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22BAC" w:rsidRPr="00DC467E" w:rsidP="008042EE" w14:paraId="74E64A9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color w:val="000000"/>
          <w:sz w:val="28"/>
          <w:szCs w:val="28"/>
        </w:rPr>
      </w:pPr>
    </w:p>
    <w:p w:rsidR="00722BAC" w:rsidRPr="00DC467E" w:rsidP="008042EE" w14:paraId="28FE633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color w:val="000000"/>
          <w:sz w:val="28"/>
          <w:szCs w:val="28"/>
        </w:rPr>
      </w:pPr>
    </w:p>
    <w:p w:rsidR="00722BAC" w:rsidRPr="00DC467E" w:rsidP="008042EE" w14:paraId="0AF3BED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color w:val="000000"/>
          <w:sz w:val="28"/>
          <w:szCs w:val="28"/>
        </w:rPr>
      </w:pPr>
    </w:p>
    <w:p w:rsidR="008042EE" w:rsidRPr="00F51FB6" w:rsidP="008042EE" w14:paraId="1F75E56C" w14:textId="4231C8D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b/>
          <w:bCs/>
          <w:color w:val="000000"/>
          <w:sz w:val="28"/>
          <w:szCs w:val="28"/>
        </w:rPr>
      </w:pPr>
      <w:bookmarkStart w:id="0" w:name="_Toc210120512"/>
      <w:bookmarkStart w:id="1" w:name="_Toc210120580"/>
      <w:r w:rsidRPr="00F51FB6">
        <w:rPr>
          <w:rFonts w:asciiTheme="minorHAnsi" w:hAnsiTheme="minorHAnsi"/>
          <w:b/>
          <w:bCs/>
          <w:color w:val="000000"/>
          <w:sz w:val="28"/>
          <w:szCs w:val="28"/>
        </w:rPr>
        <w:t>Request for Approval of a Non-Substantive Change to the</w:t>
      </w:r>
      <w:bookmarkEnd w:id="0"/>
      <w:bookmarkEnd w:id="1"/>
    </w:p>
    <w:p w:rsidR="008042EE" w:rsidRPr="00F51FB6" w:rsidP="008042EE" w14:paraId="08EF1A02" w14:textId="2885131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b/>
          <w:bCs/>
          <w:color w:val="000000"/>
          <w:sz w:val="28"/>
          <w:szCs w:val="28"/>
        </w:rPr>
      </w:pPr>
      <w:bookmarkStart w:id="2" w:name="_Toc210120513"/>
      <w:bookmarkStart w:id="3" w:name="_Toc210120581"/>
      <w:r w:rsidRPr="00F51FB6">
        <w:rPr>
          <w:rFonts w:asciiTheme="minorHAnsi" w:hAnsiTheme="minorHAnsi"/>
          <w:b/>
          <w:bCs/>
          <w:color w:val="000000"/>
          <w:sz w:val="28"/>
          <w:szCs w:val="28"/>
        </w:rPr>
        <w:t>National Health and Nutrition Examination Survey</w:t>
      </w:r>
      <w:bookmarkEnd w:id="2"/>
      <w:bookmarkEnd w:id="3"/>
    </w:p>
    <w:p w:rsidR="008042EE" w:rsidRPr="00F51FB6" w:rsidP="008042EE" w14:paraId="57C573E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b/>
          <w:bCs/>
          <w:color w:val="000000"/>
          <w:sz w:val="28"/>
          <w:szCs w:val="28"/>
        </w:rPr>
      </w:pPr>
    </w:p>
    <w:p w:rsidR="008042EE" w:rsidRPr="00F51FB6" w:rsidP="008042EE" w14:paraId="4CFD2396" w14:textId="294BDC0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b/>
          <w:bCs/>
          <w:color w:val="000000"/>
          <w:sz w:val="28"/>
          <w:szCs w:val="28"/>
        </w:rPr>
      </w:pPr>
      <w:bookmarkStart w:id="4" w:name="_Toc210120514"/>
      <w:bookmarkStart w:id="5" w:name="_Toc210120582"/>
      <w:r w:rsidRPr="00F51FB6">
        <w:rPr>
          <w:rFonts w:asciiTheme="minorHAnsi" w:hAnsiTheme="minorHAnsi"/>
          <w:b/>
          <w:bCs/>
          <w:color w:val="000000"/>
          <w:sz w:val="28"/>
          <w:szCs w:val="28"/>
        </w:rPr>
        <w:t>OMB No. 0920-0950</w:t>
      </w:r>
      <w:bookmarkEnd w:id="4"/>
      <w:bookmarkEnd w:id="5"/>
      <w:r w:rsidRPr="00F51FB6">
        <w:rPr>
          <w:rFonts w:asciiTheme="minorHAnsi" w:hAnsiTheme="minorHAnsi"/>
          <w:b/>
          <w:bCs/>
          <w:color w:val="000000"/>
          <w:sz w:val="28"/>
          <w:szCs w:val="28"/>
        </w:rPr>
        <w:t xml:space="preserve"> </w:t>
      </w:r>
    </w:p>
    <w:p w:rsidR="008042EE" w:rsidRPr="00F51FB6" w:rsidP="008042EE" w14:paraId="264B1F30" w14:textId="1AA780B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b/>
          <w:bCs/>
          <w:color w:val="000000"/>
          <w:sz w:val="28"/>
          <w:szCs w:val="28"/>
        </w:rPr>
      </w:pPr>
      <w:bookmarkStart w:id="6" w:name="_Toc210120515"/>
      <w:bookmarkStart w:id="7" w:name="_Toc210120583"/>
      <w:r w:rsidRPr="00F51FB6">
        <w:rPr>
          <w:rFonts w:asciiTheme="minorHAnsi" w:hAnsiTheme="minorHAnsi"/>
          <w:b/>
          <w:bCs/>
          <w:color w:val="000000"/>
          <w:sz w:val="28"/>
          <w:szCs w:val="28"/>
        </w:rPr>
        <w:t>(Expiration: 0</w:t>
      </w:r>
      <w:r w:rsidRPr="00F51FB6" w:rsidR="00D817F5">
        <w:rPr>
          <w:rFonts w:asciiTheme="minorHAnsi" w:hAnsiTheme="minorHAnsi"/>
          <w:b/>
          <w:bCs/>
          <w:color w:val="000000"/>
          <w:sz w:val="28"/>
          <w:szCs w:val="28"/>
        </w:rPr>
        <w:t>1/31/28</w:t>
      </w:r>
      <w:r w:rsidRPr="00F51FB6">
        <w:rPr>
          <w:rFonts w:asciiTheme="minorHAnsi" w:hAnsiTheme="minorHAnsi"/>
          <w:b/>
          <w:bCs/>
          <w:color w:val="000000"/>
          <w:sz w:val="28"/>
          <w:szCs w:val="28"/>
        </w:rPr>
        <w:t>)</w:t>
      </w:r>
      <w:bookmarkEnd w:id="6"/>
      <w:bookmarkEnd w:id="7"/>
    </w:p>
    <w:p w:rsidR="008042EE" w:rsidRPr="00DC467E" w:rsidP="008042EE" w14:paraId="2AF84B4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p>
    <w:p w:rsidR="008042EE" w:rsidRPr="00DC467E" w:rsidP="008042EE" w14:paraId="126CD0A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p>
    <w:p w:rsidR="008042EE" w:rsidRPr="00DC467E" w:rsidP="008042EE" w14:paraId="738CE1F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p>
    <w:p w:rsidR="008042EE" w:rsidRPr="00DC467E" w:rsidP="008042EE" w14:paraId="7EC6B2D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p>
    <w:p w:rsidR="008042EE" w:rsidRPr="00DC467E" w:rsidP="008042EE" w14:paraId="27C920E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p>
    <w:p w:rsidR="008042EE" w:rsidRPr="00DC467E" w:rsidP="008042EE" w14:paraId="6A001C8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p>
    <w:p w:rsidR="008042EE" w:rsidRPr="00DC467E" w:rsidP="008042EE" w14:paraId="215436E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color w:val="000000"/>
          <w:sz w:val="28"/>
          <w:szCs w:val="28"/>
        </w:rPr>
      </w:pPr>
      <w:bookmarkStart w:id="8" w:name="_Toc210120516"/>
      <w:bookmarkStart w:id="9" w:name="_Toc210120584"/>
      <w:r w:rsidRPr="00DC467E">
        <w:rPr>
          <w:rFonts w:asciiTheme="minorHAnsi" w:hAnsiTheme="minorHAnsi"/>
          <w:color w:val="000000"/>
          <w:sz w:val="28"/>
          <w:szCs w:val="28"/>
        </w:rPr>
        <w:t>Contact Information:</w:t>
      </w:r>
      <w:bookmarkEnd w:id="8"/>
      <w:bookmarkEnd w:id="9"/>
    </w:p>
    <w:p w:rsidR="008042EE" w:rsidRPr="00DC467E" w:rsidP="008042EE" w14:paraId="36C9E73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p>
    <w:p w:rsidR="008042EE" w:rsidRPr="00DC467E" w:rsidP="008042EE" w14:paraId="7AB74F5D" w14:textId="0DA591E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r>
        <w:rPr>
          <w:rFonts w:asciiTheme="minorHAnsi" w:hAnsiTheme="minorHAnsi"/>
          <w:color w:val="000000"/>
          <w:sz w:val="28"/>
          <w:szCs w:val="28"/>
        </w:rPr>
        <w:t>Chia-Yih Wang, PhD</w:t>
      </w:r>
    </w:p>
    <w:p w:rsidR="008042EE" w:rsidRPr="00DC467E" w:rsidP="008042EE" w14:paraId="656C99B2" w14:textId="44A5532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r>
        <w:rPr>
          <w:rFonts w:asciiTheme="minorHAnsi" w:hAnsiTheme="minorHAnsi"/>
          <w:color w:val="000000"/>
          <w:sz w:val="28"/>
          <w:szCs w:val="28"/>
        </w:rPr>
        <w:t xml:space="preserve">Acting </w:t>
      </w:r>
      <w:r w:rsidRPr="00DC467E">
        <w:rPr>
          <w:rFonts w:asciiTheme="minorHAnsi" w:hAnsiTheme="minorHAnsi"/>
          <w:color w:val="000000"/>
          <w:sz w:val="28"/>
          <w:szCs w:val="28"/>
        </w:rPr>
        <w:t xml:space="preserve">Chief, </w:t>
      </w:r>
      <w:r w:rsidRPr="00DC467E" w:rsidR="00722BAC">
        <w:rPr>
          <w:rFonts w:asciiTheme="minorHAnsi" w:hAnsiTheme="minorHAnsi"/>
          <w:color w:val="000000"/>
          <w:sz w:val="28"/>
          <w:szCs w:val="28"/>
        </w:rPr>
        <w:t>Planning</w:t>
      </w:r>
      <w:r w:rsidRPr="00DC467E">
        <w:rPr>
          <w:rFonts w:asciiTheme="minorHAnsi" w:hAnsiTheme="minorHAnsi"/>
          <w:color w:val="000000"/>
          <w:sz w:val="28"/>
          <w:szCs w:val="28"/>
        </w:rPr>
        <w:t xml:space="preserve"> Branch</w:t>
      </w:r>
    </w:p>
    <w:p w:rsidR="008042EE" w:rsidRPr="00DC467E" w:rsidP="008042EE" w14:paraId="125125B2" w14:textId="26BCEEB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r>
        <w:rPr>
          <w:rFonts w:asciiTheme="minorHAnsi" w:hAnsiTheme="minorHAnsi"/>
          <w:color w:val="000000"/>
          <w:sz w:val="28"/>
          <w:szCs w:val="28"/>
        </w:rPr>
        <w:t xml:space="preserve">Director, </w:t>
      </w:r>
      <w:r w:rsidRPr="00DC467E" w:rsidR="00722BAC">
        <w:rPr>
          <w:rFonts w:asciiTheme="minorHAnsi" w:hAnsiTheme="minorHAnsi"/>
          <w:color w:val="000000"/>
          <w:sz w:val="28"/>
          <w:szCs w:val="28"/>
        </w:rPr>
        <w:t>National Health and Nutrition Examination Survey</w:t>
      </w:r>
    </w:p>
    <w:p w:rsidR="008042EE" w:rsidRPr="00DC467E" w:rsidP="008042EE" w14:paraId="4E1FE3F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r w:rsidRPr="00DC467E">
        <w:rPr>
          <w:rFonts w:asciiTheme="minorHAnsi" w:hAnsiTheme="minorHAnsi"/>
          <w:color w:val="000000"/>
          <w:sz w:val="28"/>
          <w:szCs w:val="28"/>
        </w:rPr>
        <w:t>National Center for Health Statistics</w:t>
      </w:r>
    </w:p>
    <w:p w:rsidR="008042EE" w:rsidRPr="00DC467E" w:rsidP="008042EE" w14:paraId="3878A34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r w:rsidRPr="00DC467E">
        <w:rPr>
          <w:rFonts w:asciiTheme="minorHAnsi" w:hAnsiTheme="minorHAnsi"/>
          <w:color w:val="000000"/>
          <w:sz w:val="28"/>
          <w:szCs w:val="28"/>
        </w:rPr>
        <w:t>Centers for Disease Control and Prevention</w:t>
      </w:r>
    </w:p>
    <w:p w:rsidR="008042EE" w:rsidRPr="00DC467E" w:rsidP="008042EE" w14:paraId="071D28B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r w:rsidRPr="00DC467E">
        <w:rPr>
          <w:rFonts w:asciiTheme="minorHAnsi" w:hAnsiTheme="minorHAnsi"/>
          <w:color w:val="000000"/>
          <w:sz w:val="28"/>
          <w:szCs w:val="28"/>
        </w:rPr>
        <w:t>3311 Toledo Road</w:t>
      </w:r>
    </w:p>
    <w:p w:rsidR="008042EE" w:rsidRPr="00DC467E" w:rsidP="008042EE" w14:paraId="04AF143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r w:rsidRPr="00DC467E">
        <w:rPr>
          <w:rFonts w:asciiTheme="minorHAnsi" w:hAnsiTheme="minorHAnsi"/>
          <w:color w:val="000000"/>
          <w:sz w:val="28"/>
          <w:szCs w:val="28"/>
        </w:rPr>
        <w:t>Hyattsville, MD  20782</w:t>
      </w:r>
    </w:p>
    <w:p w:rsidR="002F4814" w:rsidP="008042EE" w14:paraId="357776B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p>
    <w:p w:rsidR="008042EE" w:rsidRPr="00DC467E" w:rsidP="008042EE" w14:paraId="4BA6B2B5" w14:textId="1B4EAA5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r>
        <w:rPr>
          <w:rFonts w:asciiTheme="minorHAnsi" w:hAnsiTheme="minorHAnsi"/>
          <w:color w:val="000000"/>
          <w:sz w:val="28"/>
          <w:szCs w:val="28"/>
        </w:rPr>
        <w:t xml:space="preserve">Telephone: </w:t>
      </w:r>
      <w:r w:rsidRPr="00DC467E">
        <w:rPr>
          <w:rFonts w:asciiTheme="minorHAnsi" w:hAnsiTheme="minorHAnsi"/>
          <w:color w:val="000000"/>
          <w:sz w:val="28"/>
          <w:szCs w:val="28"/>
        </w:rPr>
        <w:t>301-458-4</w:t>
      </w:r>
      <w:r>
        <w:rPr>
          <w:rFonts w:asciiTheme="minorHAnsi" w:hAnsiTheme="minorHAnsi"/>
          <w:color w:val="000000"/>
          <w:sz w:val="28"/>
          <w:szCs w:val="28"/>
        </w:rPr>
        <w:t>6</w:t>
      </w:r>
      <w:r w:rsidR="00675C85">
        <w:rPr>
          <w:rFonts w:asciiTheme="minorHAnsi" w:hAnsiTheme="minorHAnsi"/>
          <w:color w:val="000000"/>
          <w:sz w:val="28"/>
          <w:szCs w:val="28"/>
        </w:rPr>
        <w:t>97</w:t>
      </w:r>
    </w:p>
    <w:p w:rsidR="008042EE" w:rsidRPr="00DC467E" w:rsidP="008042EE" w14:paraId="55229CD9" w14:textId="1343784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rPr>
      </w:pPr>
      <w:r>
        <w:rPr>
          <w:rFonts w:asciiTheme="minorHAnsi" w:hAnsiTheme="minorHAnsi"/>
          <w:color w:val="000000"/>
          <w:sz w:val="28"/>
          <w:szCs w:val="28"/>
        </w:rPr>
        <w:t xml:space="preserve">Fax: </w:t>
      </w:r>
      <w:r w:rsidRPr="00DC467E">
        <w:rPr>
          <w:rFonts w:asciiTheme="minorHAnsi" w:hAnsiTheme="minorHAnsi"/>
          <w:color w:val="000000"/>
          <w:sz w:val="28"/>
          <w:szCs w:val="28"/>
        </w:rPr>
        <w:t>301-458-40</w:t>
      </w:r>
      <w:r w:rsidRPr="00DC467E" w:rsidR="00722BAC">
        <w:rPr>
          <w:rFonts w:asciiTheme="minorHAnsi" w:hAnsiTheme="minorHAnsi"/>
          <w:color w:val="000000"/>
          <w:sz w:val="28"/>
          <w:szCs w:val="28"/>
        </w:rPr>
        <w:t>28</w:t>
      </w:r>
    </w:p>
    <w:p w:rsidR="008042EE" w:rsidRPr="00DC467E" w:rsidP="008042EE" w14:paraId="2BE81B88" w14:textId="3F0ACC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u w:val="single"/>
        </w:rPr>
      </w:pPr>
      <w:r>
        <w:rPr>
          <w:rFonts w:asciiTheme="minorHAnsi" w:hAnsiTheme="minorHAnsi"/>
          <w:color w:val="000000"/>
          <w:sz w:val="28"/>
          <w:szCs w:val="28"/>
          <w:u w:val="single"/>
        </w:rPr>
        <w:t>Ctw9@cdc.gov</w:t>
      </w:r>
    </w:p>
    <w:p w:rsidR="008042EE" w:rsidRPr="00DC467E" w:rsidP="008042EE" w14:paraId="0274FD1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000000"/>
          <w:sz w:val="28"/>
          <w:szCs w:val="28"/>
          <w:u w:val="single"/>
        </w:rPr>
      </w:pPr>
    </w:p>
    <w:p w:rsidR="008042EE" w:rsidRPr="00F51FB6" w:rsidP="008042EE" w14:paraId="5D1CFB52" w14:textId="25672B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heme="minorHAnsi" w:hAnsiTheme="minorHAnsi"/>
          <w:b/>
          <w:bCs/>
          <w:color w:val="000000"/>
          <w:sz w:val="28"/>
          <w:szCs w:val="28"/>
        </w:rPr>
      </w:pPr>
      <w:r>
        <w:rPr>
          <w:rFonts w:asciiTheme="minorHAnsi" w:hAnsiTheme="minorHAnsi"/>
          <w:b/>
          <w:bCs/>
          <w:color w:val="000000"/>
          <w:sz w:val="28"/>
          <w:szCs w:val="28"/>
        </w:rPr>
        <w:t>February 2</w:t>
      </w:r>
      <w:r w:rsidR="00575DC3">
        <w:rPr>
          <w:rFonts w:asciiTheme="minorHAnsi" w:hAnsiTheme="minorHAnsi"/>
          <w:b/>
          <w:bCs/>
          <w:color w:val="000000"/>
          <w:sz w:val="28"/>
          <w:szCs w:val="28"/>
        </w:rPr>
        <w:t>5</w:t>
      </w:r>
      <w:r>
        <w:rPr>
          <w:rFonts w:asciiTheme="minorHAnsi" w:hAnsiTheme="minorHAnsi"/>
          <w:b/>
          <w:bCs/>
          <w:color w:val="000000"/>
          <w:sz w:val="28"/>
          <w:szCs w:val="28"/>
        </w:rPr>
        <w:t>, 2026</w:t>
      </w:r>
    </w:p>
    <w:p w:rsidR="004219C6" w:rsidRPr="00DC467E" w:rsidP="008042EE" w14:paraId="254E2F7F" w14:textId="482880E7">
      <w:pPr>
        <w:jc w:val="center"/>
        <w:rPr>
          <w:rFonts w:asciiTheme="minorHAnsi" w:hAnsiTheme="minorHAnsi" w:cs="Times New Roman"/>
          <w:b/>
        </w:rPr>
      </w:pPr>
    </w:p>
    <w:p w:rsidR="004219C6" w:rsidRPr="0005599E" w:rsidP="008042EE" w14:paraId="4380D61B" w14:textId="77777777">
      <w:pPr>
        <w:jc w:val="center"/>
        <w:rPr>
          <w:rFonts w:ascii="Times New Roman" w:hAnsi="Times New Roman" w:cs="Times New Roman"/>
          <w:b/>
        </w:rPr>
      </w:pPr>
    </w:p>
    <w:p w:rsidR="004219C6" w:rsidRPr="0005599E" w:rsidP="008042EE" w14:paraId="40A2A1C6" w14:textId="77777777">
      <w:pPr>
        <w:jc w:val="center"/>
        <w:rPr>
          <w:rFonts w:ascii="Times New Roman" w:hAnsi="Times New Roman" w:cs="Times New Roman"/>
          <w:b/>
        </w:rPr>
      </w:pPr>
    </w:p>
    <w:p w:rsidR="004219C6" w:rsidRPr="0005599E" w:rsidP="008042EE" w14:paraId="3A250C36" w14:textId="77777777">
      <w:pPr>
        <w:jc w:val="center"/>
        <w:rPr>
          <w:rFonts w:ascii="Times New Roman" w:hAnsi="Times New Roman" w:cs="Times New Roman"/>
          <w:b/>
        </w:rPr>
      </w:pPr>
    </w:p>
    <w:p w:rsidR="004219C6" w:rsidRPr="0005599E" w:rsidP="008042EE" w14:paraId="3A5240F2" w14:textId="77777777">
      <w:pPr>
        <w:jc w:val="center"/>
        <w:rPr>
          <w:rFonts w:ascii="Times New Roman" w:hAnsi="Times New Roman" w:cs="Times New Roman"/>
          <w:b/>
        </w:rPr>
      </w:pPr>
    </w:p>
    <w:p w:rsidR="00371C08" w:rsidRPr="0005599E" w:rsidP="008042EE" w14:paraId="7A432110" w14:textId="77777777">
      <w:pPr>
        <w:ind w:left="810"/>
        <w:jc w:val="center"/>
        <w:rPr>
          <w:rFonts w:ascii="Times New Roman" w:hAnsi="Times New Roman" w:cs="Times New Roman"/>
        </w:rPr>
      </w:pPr>
    </w:p>
    <w:p w:rsidR="00371C08" w:rsidRPr="008042EE" w:rsidP="008042EE" w14:paraId="7C5855C0" w14:textId="77777777">
      <w:pPr>
        <w:tabs>
          <w:tab w:val="left" w:pos="2070"/>
        </w:tabs>
        <w:jc w:val="center"/>
        <w:rPr>
          <w:rFonts w:ascii="Times New Roman" w:hAnsi="Times New Roman" w:cs="Times New Roman"/>
          <w:sz w:val="28"/>
          <w:szCs w:val="28"/>
        </w:rPr>
      </w:pPr>
    </w:p>
    <w:p w:rsidR="00650ACB" w:rsidRPr="0005599E" w:rsidP="008042EE" w14:paraId="3E9444E0" w14:textId="77777777">
      <w:pPr>
        <w:jc w:val="center"/>
        <w:rPr>
          <w:rFonts w:ascii="Times New Roman" w:hAnsi="Times New Roman" w:cs="Times New Roman"/>
          <w:b/>
        </w:rPr>
      </w:pPr>
    </w:p>
    <w:p w:rsidR="00650ACB" w:rsidRPr="0005599E" w:rsidP="008042EE" w14:paraId="59230BF5" w14:textId="77777777">
      <w:pPr>
        <w:jc w:val="center"/>
        <w:rPr>
          <w:rFonts w:ascii="Times New Roman" w:hAnsi="Times New Roman" w:cs="Times New Roman"/>
          <w:b/>
        </w:rPr>
      </w:pPr>
    </w:p>
    <w:p w:rsidR="00294195" w:rsidP="007E1305" w14:paraId="4865CF5D" w14:textId="77777777">
      <w:pPr>
        <w:rPr>
          <w:rFonts w:asciiTheme="minorHAnsi" w:hAnsiTheme="minorHAnsi" w:cs="Times New Roman"/>
          <w:b/>
          <w:bCs/>
        </w:rPr>
      </w:pPr>
    </w:p>
    <w:p w:rsidR="00BA6BF0" w:rsidRPr="00E160B9" w:rsidP="00E160B9" w14:paraId="0F1A8064" w14:textId="5C75CE70">
      <w:pPr>
        <w:pStyle w:val="Heading1"/>
      </w:pPr>
      <w:bookmarkStart w:id="10" w:name="_Toc210120586"/>
      <w:r w:rsidRPr="00DC467E">
        <w:t>Justification</w:t>
      </w:r>
      <w:bookmarkEnd w:id="10"/>
      <w:r w:rsidRPr="00DC467E">
        <w:t xml:space="preserve"> </w:t>
      </w:r>
    </w:p>
    <w:p w:rsidR="005C1404" w:rsidRPr="00834DD1" w:rsidP="007644FC" w14:paraId="3E62D184" w14:textId="25F26FE7">
      <w:pPr>
        <w:pStyle w:val="Heading1"/>
        <w:numPr>
          <w:ilvl w:val="0"/>
          <w:numId w:val="27"/>
        </w:numPr>
        <w:rPr>
          <w:b w:val="0"/>
        </w:rPr>
      </w:pPr>
      <w:bookmarkStart w:id="11" w:name="_Toc210120518"/>
      <w:bookmarkStart w:id="12" w:name="_Toc210120587"/>
      <w:r w:rsidRPr="00834DD1">
        <w:t>Circumstances</w:t>
      </w:r>
      <w:r w:rsidRPr="00834DD1" w:rsidR="00DB31A4">
        <w:t xml:space="preserve"> making the collection of information necessary</w:t>
      </w:r>
      <w:bookmarkEnd w:id="11"/>
      <w:bookmarkEnd w:id="12"/>
      <w:r w:rsidRPr="00834DD1">
        <w:t xml:space="preserve"> </w:t>
      </w:r>
    </w:p>
    <w:p w:rsidR="005C1404" w:rsidRPr="00834DD1" w:rsidP="00F72EE3" w14:paraId="2A2871F1" w14:textId="77777777">
      <w:pPr>
        <w:rPr>
          <w:rFonts w:asciiTheme="minorHAnsi" w:hAnsiTheme="minorHAnsi" w:cs="Times New Roman"/>
        </w:rPr>
      </w:pPr>
    </w:p>
    <w:p w:rsidR="00792393" w:rsidRPr="00BE0600" w:rsidP="007339CC" w14:paraId="5C83688D" w14:textId="00330F68">
      <w:pPr>
        <w:rPr>
          <w:rFonts w:asciiTheme="minorHAnsi" w:hAnsiTheme="minorHAnsi" w:cs="Times New Roman"/>
        </w:rPr>
      </w:pPr>
      <w:r w:rsidRPr="00834DD1">
        <w:rPr>
          <w:rFonts w:asciiTheme="minorHAnsi" w:hAnsiTheme="minorHAnsi" w:cs="Times New Roman"/>
        </w:rPr>
        <w:t>This</w:t>
      </w:r>
      <w:r w:rsidRPr="00834DD1" w:rsidR="00857FA6">
        <w:rPr>
          <w:rFonts w:asciiTheme="minorHAnsi" w:hAnsiTheme="minorHAnsi" w:cs="Times New Roman"/>
        </w:rPr>
        <w:t xml:space="preserve"> request</w:t>
      </w:r>
      <w:r w:rsidRPr="00834DD1">
        <w:rPr>
          <w:rFonts w:asciiTheme="minorHAnsi" w:hAnsiTheme="minorHAnsi" w:cs="Times New Roman"/>
        </w:rPr>
        <w:t xml:space="preserve"> is </w:t>
      </w:r>
      <w:r w:rsidRPr="00834DD1" w:rsidR="00857FA6">
        <w:rPr>
          <w:rFonts w:asciiTheme="minorHAnsi" w:hAnsiTheme="minorHAnsi" w:cs="Times New Roman"/>
        </w:rPr>
        <w:t>for a</w:t>
      </w:r>
      <w:r w:rsidRPr="00834DD1">
        <w:rPr>
          <w:rFonts w:asciiTheme="minorHAnsi" w:hAnsiTheme="minorHAnsi" w:cs="Times New Roman"/>
        </w:rPr>
        <w:t xml:space="preserve"> non</w:t>
      </w:r>
      <w:r w:rsidRPr="00834DD1" w:rsidR="00DB31A4">
        <w:rPr>
          <w:rFonts w:asciiTheme="minorHAnsi" w:hAnsiTheme="minorHAnsi" w:cs="Times New Roman"/>
        </w:rPr>
        <w:t>-</w:t>
      </w:r>
      <w:r w:rsidRPr="00834DD1">
        <w:rPr>
          <w:rFonts w:asciiTheme="minorHAnsi" w:hAnsiTheme="minorHAnsi" w:cs="Times New Roman"/>
        </w:rPr>
        <w:t>substantive change to the National Health and Nutrition Examination Survey (NHANES) (OMB No. 0920-0950, Exp. Date 0</w:t>
      </w:r>
      <w:r w:rsidR="000302E2">
        <w:rPr>
          <w:rFonts w:asciiTheme="minorHAnsi" w:hAnsiTheme="minorHAnsi" w:cs="Times New Roman"/>
        </w:rPr>
        <w:t>1</w:t>
      </w:r>
      <w:r w:rsidR="009D6BBF">
        <w:rPr>
          <w:rFonts w:asciiTheme="minorHAnsi" w:hAnsiTheme="minorHAnsi" w:cs="Times New Roman"/>
        </w:rPr>
        <w:t>/31/28</w:t>
      </w:r>
      <w:r w:rsidRPr="00834DD1">
        <w:rPr>
          <w:rFonts w:asciiTheme="minorHAnsi" w:hAnsiTheme="minorHAnsi" w:cs="Times New Roman"/>
        </w:rPr>
        <w:t>), conducted by the</w:t>
      </w:r>
      <w:r w:rsidR="008B0D32">
        <w:rPr>
          <w:rFonts w:asciiTheme="minorHAnsi" w:hAnsiTheme="minorHAnsi" w:cs="Times New Roman"/>
        </w:rPr>
        <w:t xml:space="preserve"> Division of Health and Nutrition Examination Surveys (DHANES),</w:t>
      </w:r>
      <w:r w:rsidRPr="00834DD1">
        <w:rPr>
          <w:rFonts w:asciiTheme="minorHAnsi" w:hAnsiTheme="minorHAnsi" w:cs="Times New Roman"/>
        </w:rPr>
        <w:t xml:space="preserve"> National Center for Health Statistics (</w:t>
      </w:r>
      <w:r w:rsidRPr="00834DD1">
        <w:rPr>
          <w:rFonts w:asciiTheme="minorHAnsi" w:hAnsiTheme="minorHAnsi" w:cs="Times New Roman"/>
        </w:rPr>
        <w:t>NCHS)</w:t>
      </w:r>
      <w:r w:rsidRPr="00834DD1">
        <w:rPr>
          <w:rFonts w:asciiTheme="minorHAnsi" w:hAnsiTheme="minorHAnsi" w:cs="Times New Roman"/>
        </w:rPr>
        <w:t xml:space="preserve">, Centers for Disease Control and Prevention (CDC). </w:t>
      </w:r>
      <w:r w:rsidR="00DA1592">
        <w:rPr>
          <w:rFonts w:asciiTheme="minorHAnsi" w:hAnsiTheme="minorHAnsi" w:cs="Times New Roman"/>
        </w:rPr>
        <w:t>NHANES</w:t>
      </w:r>
      <w:r w:rsidRPr="00DC467E" w:rsidR="00E728CD">
        <w:rPr>
          <w:rFonts w:asciiTheme="minorHAnsi" w:hAnsiTheme="minorHAnsi" w:cs="Times New Roman"/>
        </w:rPr>
        <w:t xml:space="preserve"> consists of three primary methods of data collection: personal interviews, physical examination</w:t>
      </w:r>
      <w:r w:rsidRPr="00DC467E" w:rsidR="00847B29">
        <w:rPr>
          <w:rFonts w:asciiTheme="minorHAnsi" w:hAnsiTheme="minorHAnsi" w:cs="Times New Roman"/>
        </w:rPr>
        <w:t>s</w:t>
      </w:r>
      <w:r w:rsidRPr="00DC467E" w:rsidR="00E728CD">
        <w:rPr>
          <w:rFonts w:asciiTheme="minorHAnsi" w:hAnsiTheme="minorHAnsi" w:cs="Times New Roman"/>
        </w:rPr>
        <w:t xml:space="preserve"> (conducted </w:t>
      </w:r>
      <w:r w:rsidR="00733110">
        <w:rPr>
          <w:rFonts w:asciiTheme="minorHAnsi" w:hAnsiTheme="minorHAnsi" w:cs="Times New Roman"/>
        </w:rPr>
        <w:t>at</w:t>
      </w:r>
      <w:r w:rsidRPr="00DC467E" w:rsidR="00E728CD">
        <w:rPr>
          <w:rFonts w:asciiTheme="minorHAnsi" w:hAnsiTheme="minorHAnsi" w:cs="Times New Roman"/>
        </w:rPr>
        <w:t xml:space="preserve"> the Mobile Examination Center (MEC)) </w:t>
      </w:r>
      <w:r w:rsidRPr="00DC467E" w:rsidR="00DE2AD5">
        <w:rPr>
          <w:rFonts w:asciiTheme="minorHAnsi" w:hAnsiTheme="minorHAnsi" w:cs="Times New Roman"/>
        </w:rPr>
        <w:t>including laboratory assessments</w:t>
      </w:r>
      <w:r w:rsidRPr="00DC467E" w:rsidR="002679EE">
        <w:rPr>
          <w:rFonts w:asciiTheme="minorHAnsi" w:hAnsiTheme="minorHAnsi" w:cs="Times New Roman"/>
        </w:rPr>
        <w:t>,</w:t>
      </w:r>
      <w:r w:rsidRPr="00DC467E" w:rsidR="00DE2AD5">
        <w:rPr>
          <w:rFonts w:asciiTheme="minorHAnsi" w:hAnsiTheme="minorHAnsi" w:cs="Times New Roman"/>
        </w:rPr>
        <w:t xml:space="preserve"> </w:t>
      </w:r>
      <w:r w:rsidRPr="00DC467E" w:rsidR="00E728CD">
        <w:rPr>
          <w:rFonts w:asciiTheme="minorHAnsi" w:hAnsiTheme="minorHAnsi" w:cs="Times New Roman"/>
        </w:rPr>
        <w:t xml:space="preserve">and </w:t>
      </w:r>
      <w:r w:rsidR="009D6BBF">
        <w:rPr>
          <w:rFonts w:asciiTheme="minorHAnsi" w:hAnsiTheme="minorHAnsi" w:cs="Times New Roman"/>
        </w:rPr>
        <w:t>dietary interviews</w:t>
      </w:r>
      <w:r w:rsidRPr="00DC467E" w:rsidR="00E728CD">
        <w:rPr>
          <w:rFonts w:asciiTheme="minorHAnsi" w:hAnsiTheme="minorHAnsi" w:cs="Times New Roman"/>
        </w:rPr>
        <w:t xml:space="preserve">. </w:t>
      </w:r>
      <w:r w:rsidR="00733110">
        <w:rPr>
          <w:rFonts w:asciiTheme="minorHAnsi" w:hAnsiTheme="minorHAnsi" w:cs="Times New Roman"/>
        </w:rPr>
        <w:t>The survey</w:t>
      </w:r>
      <w:r w:rsidRPr="00834DD1" w:rsidR="00733110">
        <w:rPr>
          <w:rFonts w:asciiTheme="minorHAnsi" w:hAnsiTheme="minorHAnsi" w:cs="Times New Roman"/>
        </w:rPr>
        <w:t xml:space="preserve"> is conducted annually</w:t>
      </w:r>
      <w:r w:rsidR="00733110">
        <w:rPr>
          <w:rFonts w:asciiTheme="minorHAnsi" w:hAnsiTheme="minorHAnsi" w:cs="Times New Roman"/>
        </w:rPr>
        <w:t xml:space="preserve"> and government-mandated (authorized by the National Health Survey Act of 1965) for use in policy and regulatory decisions</w:t>
      </w:r>
      <w:r w:rsidRPr="00834DD1" w:rsidR="00733110">
        <w:rPr>
          <w:rFonts w:asciiTheme="minorHAnsi" w:hAnsiTheme="minorHAnsi" w:cs="Times New Roman"/>
        </w:rPr>
        <w:t>.</w:t>
      </w:r>
      <w:r w:rsidRPr="00DC467E" w:rsidR="00733110">
        <w:rPr>
          <w:rFonts w:asciiTheme="minorHAnsi" w:hAnsiTheme="minorHAnsi" w:cs="Times New Roman"/>
        </w:rPr>
        <w:t xml:space="preserve"> </w:t>
      </w:r>
      <w:r w:rsidRPr="00DC467E" w:rsidR="00185A9F">
        <w:rPr>
          <w:rFonts w:asciiTheme="minorHAnsi" w:hAnsiTheme="minorHAnsi" w:cs="Times New Roman"/>
        </w:rPr>
        <w:t xml:space="preserve">A major advantage of continuous NHANES data collection is the ability to address emerging public health issues and provide objective data on health conditions and issues by </w:t>
      </w:r>
      <w:r w:rsidRPr="00DC467E" w:rsidR="00847B29">
        <w:rPr>
          <w:rFonts w:asciiTheme="minorHAnsi" w:hAnsiTheme="minorHAnsi" w:cs="Times New Roman"/>
        </w:rPr>
        <w:t>adding/</w:t>
      </w:r>
      <w:r w:rsidRPr="00DC467E" w:rsidR="00185A9F">
        <w:rPr>
          <w:rFonts w:asciiTheme="minorHAnsi" w:hAnsiTheme="minorHAnsi" w:cs="Times New Roman"/>
        </w:rPr>
        <w:t xml:space="preserve">changing/modifying survey content. </w:t>
      </w:r>
    </w:p>
    <w:p w:rsidR="00371C08" w:rsidRPr="00BE0600" w:rsidP="007644FC" w14:paraId="6E24D9A5" w14:textId="518EA07D">
      <w:pPr>
        <w:pStyle w:val="Heading1"/>
        <w:numPr>
          <w:ilvl w:val="0"/>
          <w:numId w:val="27"/>
        </w:numPr>
      </w:pPr>
      <w:bookmarkStart w:id="13" w:name="_Toc210120519"/>
      <w:bookmarkStart w:id="14" w:name="_Toc210120588"/>
      <w:r w:rsidRPr="00BE0600">
        <w:t xml:space="preserve">Purpose and </w:t>
      </w:r>
      <w:r w:rsidRPr="00BE0600" w:rsidR="009A5BE2">
        <w:t>u</w:t>
      </w:r>
      <w:r w:rsidRPr="00BE0600">
        <w:t xml:space="preserve">se of the </w:t>
      </w:r>
      <w:r w:rsidRPr="00BE0600" w:rsidR="009A5BE2">
        <w:t>i</w:t>
      </w:r>
      <w:r w:rsidRPr="00BE0600">
        <w:t xml:space="preserve">nformation </w:t>
      </w:r>
      <w:r w:rsidRPr="00BE0600" w:rsidR="009A5BE2">
        <w:t>c</w:t>
      </w:r>
      <w:r w:rsidRPr="00BE0600">
        <w:t>ollection</w:t>
      </w:r>
      <w:bookmarkEnd w:id="13"/>
      <w:bookmarkEnd w:id="14"/>
      <w:r w:rsidRPr="00BE0600">
        <w:t xml:space="preserve"> </w:t>
      </w:r>
    </w:p>
    <w:p w:rsidR="00371C08" w:rsidRPr="00BE0600" w:rsidP="007339CC" w14:paraId="16BE779E" w14:textId="6BE67CC9">
      <w:pPr>
        <w:ind w:left="450"/>
        <w:rPr>
          <w:rFonts w:asciiTheme="minorHAnsi" w:hAnsiTheme="minorHAnsi" w:cs="Times New Roman"/>
        </w:rPr>
      </w:pPr>
    </w:p>
    <w:p w:rsidR="00D43C6A" w:rsidP="00D43C6A" w14:paraId="4A631F8F" w14:textId="614F16FC">
      <w:pPr>
        <w:rPr>
          <w:rFonts w:asciiTheme="minorHAnsi" w:hAnsiTheme="minorHAnsi" w:cs="Times New Roman"/>
        </w:rPr>
      </w:pPr>
      <w:r>
        <w:rPr>
          <w:rFonts w:asciiTheme="minorHAnsi" w:hAnsiTheme="minorHAnsi" w:cs="Times New Roman"/>
        </w:rPr>
        <w:t>It is well understood that nationally representative surveys have experienced increasing nonresponse over time.</w:t>
      </w:r>
      <w:r>
        <w:rPr>
          <w:rStyle w:val="FootnoteReference"/>
          <w:rFonts w:asciiTheme="minorHAnsi" w:hAnsiTheme="minorHAnsi" w:cs="Times New Roman"/>
        </w:rPr>
        <w:footnoteReference w:id="2"/>
      </w:r>
      <w:r>
        <w:rPr>
          <w:rFonts w:asciiTheme="minorHAnsi" w:hAnsiTheme="minorHAnsi" w:cs="Times New Roman"/>
        </w:rPr>
        <w:t xml:space="preserve"> This observation has persisted since the onset of the COVID-19 pandemic. A study examining the change in US national and state survey responses after 2020 found that among 6 national surveys, all but one reported a considerable reduction in participant response, which may reflect various challenges such as establishing in-person contacts, increased respondent burden, and distrust associated with perceived societal challenges.</w:t>
      </w:r>
      <w:r>
        <w:rPr>
          <w:rStyle w:val="FootnoteReference"/>
          <w:rFonts w:asciiTheme="minorHAnsi" w:hAnsiTheme="minorHAnsi" w:cs="Times New Roman"/>
        </w:rPr>
        <w:footnoteReference w:id="3"/>
      </w:r>
      <w:r>
        <w:rPr>
          <w:rFonts w:asciiTheme="minorHAnsi" w:hAnsiTheme="minorHAnsi" w:cs="Times New Roman"/>
        </w:rPr>
        <w:t xml:space="preserve"> In the 2019-March 2020 NHANES cycle, among survey participants (SPs) successfully screened, the cumulative household interview response rate (RR) was 59%. Of those SPs who completed the household interview, approximately 90% completed the MEC visit which was comparable to the MEC examined response rates (approximately 90% </w:t>
      </w:r>
      <w:r w:rsidR="00C136EC">
        <w:rPr>
          <w:rFonts w:asciiTheme="minorHAnsi" w:hAnsiTheme="minorHAnsi" w:cs="Times New Roman"/>
        </w:rPr>
        <w:t>and</w:t>
      </w:r>
      <w:r>
        <w:rPr>
          <w:rFonts w:asciiTheme="minorHAnsi" w:hAnsiTheme="minorHAnsi" w:cs="Times New Roman"/>
        </w:rPr>
        <w:t xml:space="preserve"> higher) observed from 1999-2018. </w:t>
      </w:r>
    </w:p>
    <w:p w:rsidR="00D43C6A" w:rsidP="00D43C6A" w14:paraId="57BE9C9F" w14:textId="77777777">
      <w:pPr>
        <w:rPr>
          <w:rFonts w:asciiTheme="minorHAnsi" w:hAnsiTheme="minorHAnsi" w:cs="Times New Roman"/>
        </w:rPr>
      </w:pPr>
    </w:p>
    <w:p w:rsidR="00D43C6A" w:rsidP="00D43C6A" w14:paraId="468B5A46" w14:textId="6C0676F5">
      <w:pPr>
        <w:rPr>
          <w:rFonts w:asciiTheme="minorHAnsi" w:hAnsiTheme="minorHAnsi" w:cs="Times New Roman"/>
        </w:rPr>
      </w:pPr>
      <w:r>
        <w:rPr>
          <w:rFonts w:asciiTheme="minorHAnsi" w:hAnsiTheme="minorHAnsi" w:cs="Times New Roman"/>
        </w:rPr>
        <w:t xml:space="preserve">NHANES paused data collection in March 2020 due to COVID-19, and the survey returned to the field in August 2021. </w:t>
      </w:r>
      <w:r w:rsidR="008F7F7E">
        <w:rPr>
          <w:rFonts w:asciiTheme="minorHAnsi" w:hAnsiTheme="minorHAnsi" w:cs="Times New Roman"/>
        </w:rPr>
        <w:t>Data from the first four sampling locations (primary sampling units (PSUs</w:t>
      </w:r>
      <w:r w:rsidR="008F7F7E">
        <w:rPr>
          <w:rFonts w:asciiTheme="minorHAnsi" w:hAnsiTheme="minorHAnsi" w:cs="Times New Roman"/>
        </w:rPr>
        <w:t>)),</w:t>
      </w:r>
      <w:r w:rsidR="008F7F7E">
        <w:rPr>
          <w:rFonts w:asciiTheme="minorHAnsi" w:hAnsiTheme="minorHAnsi" w:cs="Times New Roman"/>
        </w:rPr>
        <w:t xml:space="preserve"> showed a similar home interview RR (56%) to the 2019-March 2020 rate; </w:t>
      </w:r>
      <w:r w:rsidR="008F7F7E">
        <w:rPr>
          <w:rFonts w:asciiTheme="minorHAnsi" w:hAnsiTheme="minorHAnsi" w:cs="Times New Roman"/>
        </w:rPr>
        <w:t>however</w:t>
      </w:r>
      <w:r w:rsidR="008F7F7E">
        <w:rPr>
          <w:rFonts w:asciiTheme="minorHAnsi" w:hAnsiTheme="minorHAnsi" w:cs="Times New Roman"/>
        </w:rPr>
        <w:t xml:space="preserve"> only 75% of interviewed SPs went on to complete a MEC examination, compared to 90% in 2019-March 2020.  </w:t>
      </w:r>
      <w:r>
        <w:rPr>
          <w:rFonts w:asciiTheme="minorHAnsi" w:hAnsiTheme="minorHAnsi" w:cs="Times New Roman"/>
        </w:rPr>
        <w:t xml:space="preserve">A $25 interview incentive provided during the August 2021-August 2023 cycle may have contributed to </w:t>
      </w:r>
      <w:r w:rsidR="008F7F7E">
        <w:rPr>
          <w:rFonts w:asciiTheme="minorHAnsi" w:hAnsiTheme="minorHAnsi" w:cs="Times New Roman"/>
        </w:rPr>
        <w:t xml:space="preserve">the </w:t>
      </w:r>
      <w:r w:rsidR="00410666">
        <w:rPr>
          <w:rFonts w:asciiTheme="minorHAnsi" w:hAnsiTheme="minorHAnsi" w:cs="Times New Roman"/>
        </w:rPr>
        <w:t xml:space="preserve">more </w:t>
      </w:r>
      <w:r w:rsidR="008F7F7E">
        <w:rPr>
          <w:rFonts w:asciiTheme="minorHAnsi" w:hAnsiTheme="minorHAnsi" w:cs="Times New Roman"/>
        </w:rPr>
        <w:t>consistent household interview rate</w:t>
      </w:r>
      <w:r w:rsidR="00410666">
        <w:rPr>
          <w:rFonts w:asciiTheme="minorHAnsi" w:hAnsiTheme="minorHAnsi" w:cs="Times New Roman"/>
        </w:rPr>
        <w:t xml:space="preserve"> but did not improve the MEC RR. </w:t>
      </w:r>
      <w:r>
        <w:rPr>
          <w:rFonts w:asciiTheme="minorHAnsi" w:hAnsiTheme="minorHAnsi" w:cs="Times New Roman"/>
        </w:rPr>
        <w:t xml:space="preserve">As a result, DHANES </w:t>
      </w:r>
      <w:r w:rsidR="001421CB">
        <w:rPr>
          <w:rFonts w:asciiTheme="minorHAnsi" w:hAnsiTheme="minorHAnsi" w:cs="Times New Roman"/>
        </w:rPr>
        <w:t xml:space="preserve">was approved to restore </w:t>
      </w:r>
      <w:r>
        <w:rPr>
          <w:rFonts w:asciiTheme="minorHAnsi" w:hAnsiTheme="minorHAnsi" w:cs="Times New Roman"/>
        </w:rPr>
        <w:t>the MEC exam incentive for adults (ages 16+) from $85 initially approved for the August 2021-August 2023 cycle to $125 (offered from 2009-March 2020) at all remaining 23 PSUs in the cycle</w:t>
      </w:r>
      <w:r w:rsidR="000C7721">
        <w:rPr>
          <w:rFonts w:asciiTheme="minorHAnsi" w:hAnsiTheme="minorHAnsi" w:cs="Times New Roman"/>
        </w:rPr>
        <w:t xml:space="preserve"> as an experimental approach</w:t>
      </w:r>
      <w:r>
        <w:rPr>
          <w:rFonts w:asciiTheme="minorHAnsi" w:hAnsiTheme="minorHAnsi" w:cs="Times New Roman"/>
        </w:rPr>
        <w:t xml:space="preserve">. No </w:t>
      </w:r>
      <w:r>
        <w:rPr>
          <w:rFonts w:asciiTheme="minorHAnsi" w:hAnsiTheme="minorHAnsi" w:cs="Times New Roman"/>
        </w:rPr>
        <w:t xml:space="preserve">changes were </w:t>
      </w:r>
      <w:r>
        <w:rPr>
          <w:rFonts w:asciiTheme="minorHAnsi" w:hAnsiTheme="minorHAnsi" w:cs="Times New Roman"/>
        </w:rPr>
        <w:t>requested</w:t>
      </w:r>
      <w:r>
        <w:rPr>
          <w:rFonts w:asciiTheme="minorHAnsi" w:hAnsiTheme="minorHAnsi" w:cs="Times New Roman"/>
        </w:rPr>
        <w:t xml:space="preserve"> to the incentives for SPs aged 12</w:t>
      </w:r>
      <w:r w:rsidR="000608F6">
        <w:rPr>
          <w:rFonts w:asciiTheme="minorHAnsi" w:hAnsiTheme="minorHAnsi" w:cs="Times New Roman"/>
        </w:rPr>
        <w:t>-</w:t>
      </w:r>
      <w:r>
        <w:rPr>
          <w:rFonts w:asciiTheme="minorHAnsi" w:hAnsiTheme="minorHAnsi" w:cs="Times New Roman"/>
        </w:rPr>
        <w:t xml:space="preserve">15 years ($60) or younger than 12 years of age ($40). In addition to increasing the adult MEC incentive, NHANES implemented additional strategies aimed at improving participation such as increasing contact attempts, utilizing study ambassadors, analyzing </w:t>
      </w:r>
      <w:r>
        <w:rPr>
          <w:rFonts w:asciiTheme="minorHAnsi" w:hAnsiTheme="minorHAnsi" w:cs="Times New Roman"/>
        </w:rPr>
        <w:t>paradata</w:t>
      </w:r>
      <w:r>
        <w:rPr>
          <w:rFonts w:asciiTheme="minorHAnsi" w:hAnsiTheme="minorHAnsi" w:cs="Times New Roman"/>
        </w:rPr>
        <w:t>, and conducting a follow-up survey for MEC nonrespondents and respondents.</w:t>
      </w:r>
    </w:p>
    <w:p w:rsidR="00D43C6A" w:rsidP="00D43C6A" w14:paraId="6B131973" w14:textId="77777777">
      <w:pPr>
        <w:rPr>
          <w:rFonts w:asciiTheme="minorHAnsi" w:hAnsiTheme="minorHAnsi" w:cs="Times New Roman"/>
        </w:rPr>
      </w:pPr>
    </w:p>
    <w:p w:rsidR="001F0A32" w:rsidP="001F0A32" w14:paraId="36BEAECE" w14:textId="38813567">
      <w:pPr>
        <w:rPr>
          <w:rFonts w:asciiTheme="minorHAnsi" w:hAnsiTheme="minorHAnsi" w:cs="Times New Roman"/>
        </w:rPr>
      </w:pPr>
      <w:r>
        <w:rPr>
          <w:rFonts w:asciiTheme="minorHAnsi" w:hAnsiTheme="minorHAnsi" w:cs="Times New Roman"/>
        </w:rPr>
        <w:t xml:space="preserve">At the conclusion of the August 2021-August 2023 cycle, the MEC examined RR among interviewed SPs who received the $125 incentive (79.5%) was significantly higher than the rate for the $85 incentive (72.9%) (see </w:t>
      </w:r>
      <w:r w:rsidR="00972B96">
        <w:rPr>
          <w:rFonts w:asciiTheme="minorHAnsi" w:hAnsiTheme="minorHAnsi" w:cs="Times New Roman"/>
        </w:rPr>
        <w:t>Figure 1</w:t>
      </w:r>
      <w:r w:rsidR="0087739A">
        <w:rPr>
          <w:rFonts w:asciiTheme="minorHAnsi" w:hAnsiTheme="minorHAnsi" w:cs="Times New Roman"/>
        </w:rPr>
        <w:t xml:space="preserve"> in</w:t>
      </w:r>
      <w:r w:rsidR="00972B96">
        <w:rPr>
          <w:rFonts w:asciiTheme="minorHAnsi" w:hAnsiTheme="minorHAnsi" w:cs="Times New Roman"/>
        </w:rPr>
        <w:t xml:space="preserve"> </w:t>
      </w:r>
      <w:r>
        <w:rPr>
          <w:rFonts w:asciiTheme="minorHAnsi" w:hAnsiTheme="minorHAnsi" w:cs="Times New Roman"/>
        </w:rPr>
        <w:t xml:space="preserve">Attachment 1). Additionally, the MEC cancelled/no-show rate for interviewed SPs receiving $125 (9.4%) was significantly lower than the rate for the $85 incentive (15.4%). The $125 incentive </w:t>
      </w:r>
      <w:r>
        <w:rPr>
          <w:rFonts w:asciiTheme="minorHAnsi" w:hAnsiTheme="minorHAnsi" w:cs="Times New Roman"/>
        </w:rPr>
        <w:t xml:space="preserve">experiment </w:t>
      </w:r>
      <w:r>
        <w:rPr>
          <w:rFonts w:asciiTheme="minorHAnsi" w:hAnsiTheme="minorHAnsi" w:cs="Times New Roman"/>
        </w:rPr>
        <w:t xml:space="preserve">resulted in a greater response for several sociodemographic and household characteristics, indicated by the dark colored bars in </w:t>
      </w:r>
      <w:r w:rsidR="00972B96">
        <w:rPr>
          <w:rFonts w:asciiTheme="minorHAnsi" w:hAnsiTheme="minorHAnsi" w:cs="Times New Roman"/>
        </w:rPr>
        <w:t>Figure 2</w:t>
      </w:r>
      <w:r>
        <w:rPr>
          <w:rFonts w:asciiTheme="minorHAnsi" w:hAnsiTheme="minorHAnsi" w:cs="Times New Roman"/>
        </w:rPr>
        <w:t xml:space="preserve"> (see Attachment 1). While DHANES preferred to restore the $125 incentive for the </w:t>
      </w:r>
      <w:r w:rsidR="00FC0488">
        <w:rPr>
          <w:rFonts w:asciiTheme="minorHAnsi" w:hAnsiTheme="minorHAnsi" w:cs="Times New Roman"/>
        </w:rPr>
        <w:t xml:space="preserve">current </w:t>
      </w:r>
      <w:r>
        <w:rPr>
          <w:rFonts w:asciiTheme="minorHAnsi" w:hAnsiTheme="minorHAnsi" w:cs="Times New Roman"/>
        </w:rPr>
        <w:t>2025-2026</w:t>
      </w:r>
      <w:r w:rsidR="00FC0488">
        <w:rPr>
          <w:rFonts w:asciiTheme="minorHAnsi" w:hAnsiTheme="minorHAnsi" w:cs="Times New Roman"/>
        </w:rPr>
        <w:t xml:space="preserve"> survey</w:t>
      </w:r>
      <w:r>
        <w:rPr>
          <w:rFonts w:asciiTheme="minorHAnsi" w:hAnsiTheme="minorHAnsi" w:cs="Times New Roman"/>
        </w:rPr>
        <w:t xml:space="preserve">, the Program chose $100 due to budgetary </w:t>
      </w:r>
      <w:r w:rsidR="00675C85">
        <w:rPr>
          <w:rFonts w:asciiTheme="minorHAnsi" w:hAnsiTheme="minorHAnsi" w:cs="Times New Roman"/>
        </w:rPr>
        <w:t>uncertainties,</w:t>
      </w:r>
      <w:r>
        <w:rPr>
          <w:rFonts w:asciiTheme="minorHAnsi" w:hAnsiTheme="minorHAnsi" w:cs="Times New Roman"/>
        </w:rPr>
        <w:t xml:space="preserve"> and this incentive amount was approved in </w:t>
      </w:r>
      <w:r w:rsidR="00675C85">
        <w:rPr>
          <w:rFonts w:asciiTheme="minorHAnsi" w:hAnsiTheme="minorHAnsi" w:cs="Times New Roman"/>
        </w:rPr>
        <w:t>January</w:t>
      </w:r>
      <w:r>
        <w:rPr>
          <w:rFonts w:asciiTheme="minorHAnsi" w:hAnsiTheme="minorHAnsi" w:cs="Times New Roman"/>
        </w:rPr>
        <w:t xml:space="preserve"> 2025</w:t>
      </w:r>
      <w:r>
        <w:rPr>
          <w:rFonts w:asciiTheme="minorHAnsi" w:hAnsiTheme="minorHAnsi" w:cs="Times New Roman"/>
        </w:rPr>
        <w:t xml:space="preserve">. After the launch of the survey in January 2025, the Program observed a MEC examined RR of 47.7% and 58.5% </w:t>
      </w:r>
      <w:r w:rsidR="008F35A7">
        <w:rPr>
          <w:rFonts w:asciiTheme="minorHAnsi" w:hAnsiTheme="minorHAnsi" w:cs="Times New Roman"/>
        </w:rPr>
        <w:t>among interview</w:t>
      </w:r>
      <w:r w:rsidR="008E5184">
        <w:rPr>
          <w:rFonts w:asciiTheme="minorHAnsi" w:hAnsiTheme="minorHAnsi" w:cs="Times New Roman"/>
        </w:rPr>
        <w:t xml:space="preserve">ed SPs </w:t>
      </w:r>
      <w:r>
        <w:rPr>
          <w:rFonts w:asciiTheme="minorHAnsi" w:hAnsiTheme="minorHAnsi" w:cs="Times New Roman"/>
        </w:rPr>
        <w:t xml:space="preserve">for </w:t>
      </w:r>
      <w:r w:rsidR="008F0B83">
        <w:rPr>
          <w:rFonts w:asciiTheme="minorHAnsi" w:hAnsiTheme="minorHAnsi" w:cs="Times New Roman"/>
        </w:rPr>
        <w:t>the first and second quarters</w:t>
      </w:r>
      <w:r>
        <w:rPr>
          <w:rFonts w:asciiTheme="minorHAnsi" w:hAnsiTheme="minorHAnsi" w:cs="Times New Roman"/>
        </w:rPr>
        <w:t>, respectively.</w:t>
      </w:r>
      <w:r w:rsidR="00CD173E">
        <w:rPr>
          <w:rFonts w:asciiTheme="minorHAnsi" w:hAnsiTheme="minorHAnsi" w:cs="Times New Roman"/>
        </w:rPr>
        <w:t xml:space="preserve"> </w:t>
      </w:r>
      <w:r w:rsidRPr="00BF6D56">
        <w:rPr>
          <w:rFonts w:asciiTheme="minorHAnsi" w:hAnsiTheme="minorHAnsi" w:cs="Times New Roman"/>
        </w:rPr>
        <w:t>In addition, the Program also observed lower RR</w:t>
      </w:r>
      <w:r>
        <w:rPr>
          <w:rFonts w:asciiTheme="minorHAnsi" w:hAnsiTheme="minorHAnsi" w:cs="Times New Roman"/>
        </w:rPr>
        <w:t>s</w:t>
      </w:r>
      <w:r w:rsidRPr="00BF6D56">
        <w:rPr>
          <w:rFonts w:asciiTheme="minorHAnsi" w:hAnsiTheme="minorHAnsi" w:cs="Times New Roman"/>
        </w:rPr>
        <w:t xml:space="preserve"> among children less than 12 years old (</w:t>
      </w:r>
      <w:r>
        <w:rPr>
          <w:rFonts w:asciiTheme="minorHAnsi" w:hAnsiTheme="minorHAnsi" w:cs="Times New Roman"/>
        </w:rPr>
        <w:t>48.1</w:t>
      </w:r>
      <w:r w:rsidRPr="00BF6D56">
        <w:rPr>
          <w:rFonts w:asciiTheme="minorHAnsi" w:hAnsiTheme="minorHAnsi" w:cs="Times New Roman"/>
        </w:rPr>
        <w:t>%) and adolescents 12-15 years</w:t>
      </w:r>
      <w:r>
        <w:rPr>
          <w:rFonts w:asciiTheme="minorHAnsi" w:hAnsiTheme="minorHAnsi" w:cs="Times New Roman"/>
        </w:rPr>
        <w:t xml:space="preserve"> old</w:t>
      </w:r>
      <w:r w:rsidRPr="00BF6D56">
        <w:rPr>
          <w:rFonts w:asciiTheme="minorHAnsi" w:hAnsiTheme="minorHAnsi" w:cs="Times New Roman"/>
        </w:rPr>
        <w:t xml:space="preserve"> (</w:t>
      </w:r>
      <w:r>
        <w:rPr>
          <w:rFonts w:asciiTheme="minorHAnsi" w:hAnsiTheme="minorHAnsi" w:cs="Times New Roman"/>
        </w:rPr>
        <w:t>47.8</w:t>
      </w:r>
      <w:r w:rsidRPr="00BF6D56">
        <w:rPr>
          <w:rFonts w:asciiTheme="minorHAnsi" w:hAnsiTheme="minorHAnsi" w:cs="Times New Roman"/>
        </w:rPr>
        <w:t>%), comparing to participants 16 years and older (</w:t>
      </w:r>
      <w:r>
        <w:rPr>
          <w:rFonts w:asciiTheme="minorHAnsi" w:hAnsiTheme="minorHAnsi" w:cs="Times New Roman"/>
        </w:rPr>
        <w:t>58.9</w:t>
      </w:r>
      <w:r w:rsidRPr="00BF6D56">
        <w:rPr>
          <w:rFonts w:asciiTheme="minorHAnsi" w:hAnsiTheme="minorHAnsi" w:cs="Times New Roman"/>
        </w:rPr>
        <w:t>%)</w:t>
      </w:r>
      <w:r>
        <w:rPr>
          <w:rFonts w:asciiTheme="minorHAnsi" w:hAnsiTheme="minorHAnsi" w:cs="Times New Roman"/>
        </w:rPr>
        <w:t>,</w:t>
      </w:r>
      <w:r w:rsidRPr="00BF6D56">
        <w:rPr>
          <w:rFonts w:asciiTheme="minorHAnsi" w:hAnsiTheme="minorHAnsi" w:cs="Times New Roman"/>
        </w:rPr>
        <w:t xml:space="preserve"> during the same </w:t>
      </w:r>
      <w:r w:rsidRPr="00BF6D56">
        <w:rPr>
          <w:rFonts w:asciiTheme="minorHAnsi" w:hAnsiTheme="minorHAnsi" w:cs="Times New Roman"/>
        </w:rPr>
        <w:t>time period</w:t>
      </w:r>
      <w:r>
        <w:rPr>
          <w:rFonts w:asciiTheme="minorHAnsi" w:hAnsiTheme="minorHAnsi" w:cs="Times New Roman"/>
        </w:rPr>
        <w:t xml:space="preserve">, among those who completed the home interview. </w:t>
      </w:r>
      <w:r w:rsidR="002E51A3">
        <w:rPr>
          <w:rFonts w:asciiTheme="minorHAnsi" w:hAnsiTheme="minorHAnsi" w:cs="Times New Roman"/>
        </w:rPr>
        <w:t>T</w:t>
      </w:r>
      <w:r w:rsidRPr="002E51A3" w:rsidR="002E51A3">
        <w:rPr>
          <w:rFonts w:asciiTheme="minorHAnsi" w:hAnsiTheme="minorHAnsi" w:cs="Times New Roman"/>
        </w:rPr>
        <w:t xml:space="preserve">hese </w:t>
      </w:r>
      <w:r w:rsidR="002E51A3">
        <w:rPr>
          <w:rFonts w:asciiTheme="minorHAnsi" w:hAnsiTheme="minorHAnsi" w:cs="Times New Roman"/>
        </w:rPr>
        <w:t xml:space="preserve">younger </w:t>
      </w:r>
      <w:r w:rsidRPr="002E51A3" w:rsidR="002E51A3">
        <w:rPr>
          <w:rFonts w:asciiTheme="minorHAnsi" w:hAnsiTheme="minorHAnsi" w:cs="Times New Roman"/>
        </w:rPr>
        <w:t xml:space="preserve">groups were not included in the August 2021-August 2023 </w:t>
      </w:r>
      <w:r w:rsidR="002E51A3">
        <w:rPr>
          <w:rFonts w:asciiTheme="minorHAnsi" w:hAnsiTheme="minorHAnsi" w:cs="Times New Roman"/>
        </w:rPr>
        <w:t>experiment.</w:t>
      </w:r>
      <w:r w:rsidRPr="002E51A3" w:rsidR="002E51A3">
        <w:rPr>
          <w:rFonts w:asciiTheme="minorHAnsi" w:hAnsiTheme="minorHAnsi" w:cs="Times New Roman"/>
        </w:rPr>
        <w:t xml:space="preserve"> </w:t>
      </w:r>
      <w:r w:rsidR="002E51A3">
        <w:rPr>
          <w:rFonts w:asciiTheme="minorHAnsi" w:hAnsiTheme="minorHAnsi" w:cs="Times New Roman"/>
        </w:rPr>
        <w:t>T</w:t>
      </w:r>
      <w:r w:rsidRPr="002E51A3" w:rsidR="002E51A3">
        <w:rPr>
          <w:rFonts w:asciiTheme="minorHAnsi" w:hAnsiTheme="minorHAnsi" w:cs="Times New Roman"/>
        </w:rPr>
        <w:t>he observed low RR</w:t>
      </w:r>
      <w:r w:rsidR="00534B46">
        <w:rPr>
          <w:rFonts w:asciiTheme="minorHAnsi" w:hAnsiTheme="minorHAnsi" w:cs="Times New Roman"/>
        </w:rPr>
        <w:t>s</w:t>
      </w:r>
      <w:r w:rsidRPr="002E51A3" w:rsidR="002E51A3">
        <w:rPr>
          <w:rFonts w:asciiTheme="minorHAnsi" w:hAnsiTheme="minorHAnsi" w:cs="Times New Roman"/>
        </w:rPr>
        <w:t xml:space="preserve"> may warrant </w:t>
      </w:r>
      <w:r w:rsidRPr="00534B46" w:rsidR="002E51A3">
        <w:rPr>
          <w:rFonts w:ascii="Calibri" w:hAnsi="Calibri" w:cs="Calibri"/>
        </w:rPr>
        <w:t>further investigation</w:t>
      </w:r>
      <w:r w:rsidR="00534B46">
        <w:rPr>
          <w:rFonts w:ascii="Calibri" w:hAnsi="Calibri" w:cs="Calibri"/>
        </w:rPr>
        <w:t>s into</w:t>
      </w:r>
      <w:r w:rsidRPr="00534B46" w:rsidR="00534B46">
        <w:rPr>
          <w:rFonts w:ascii="Calibri" w:hAnsi="Calibri" w:cs="Calibri"/>
        </w:rPr>
        <w:t xml:space="preserve"> strategies </w:t>
      </w:r>
      <w:r w:rsidR="00534B46">
        <w:rPr>
          <w:rFonts w:ascii="Calibri" w:hAnsi="Calibri" w:cs="Calibri"/>
        </w:rPr>
        <w:t>to</w:t>
      </w:r>
      <w:r w:rsidRPr="00534B46" w:rsidR="00534B46">
        <w:rPr>
          <w:rFonts w:asciiTheme="minorHAnsi" w:hAnsiTheme="minorHAnsi" w:cs="Times New Roman"/>
        </w:rPr>
        <w:t xml:space="preserve"> improv</w:t>
      </w:r>
      <w:r w:rsidR="00534B46">
        <w:rPr>
          <w:rFonts w:asciiTheme="minorHAnsi" w:hAnsiTheme="minorHAnsi" w:cs="Times New Roman"/>
        </w:rPr>
        <w:t>e</w:t>
      </w:r>
      <w:r w:rsidRPr="00534B46" w:rsidR="00534B46">
        <w:rPr>
          <w:rFonts w:asciiTheme="minorHAnsi" w:hAnsiTheme="minorHAnsi" w:cs="Times New Roman"/>
        </w:rPr>
        <w:t xml:space="preserve"> participation</w:t>
      </w:r>
      <w:r w:rsidR="002E51A3">
        <w:rPr>
          <w:rFonts w:asciiTheme="minorHAnsi" w:hAnsiTheme="minorHAnsi" w:cs="Times New Roman"/>
        </w:rPr>
        <w:t>.</w:t>
      </w:r>
    </w:p>
    <w:p w:rsidR="001F0A32" w:rsidP="00D43C6A" w14:paraId="1B4822F8" w14:textId="77777777">
      <w:pPr>
        <w:rPr>
          <w:rFonts w:asciiTheme="minorHAnsi" w:hAnsiTheme="minorHAnsi" w:cs="Times New Roman"/>
        </w:rPr>
      </w:pPr>
    </w:p>
    <w:p w:rsidR="002C1F3C" w:rsidP="00D43C6A" w14:paraId="3F508ABE" w14:textId="77777777">
      <w:pPr>
        <w:rPr>
          <w:rFonts w:asciiTheme="minorHAnsi" w:hAnsiTheme="minorHAnsi" w:cs="Times New Roman"/>
        </w:rPr>
      </w:pPr>
      <w:r>
        <w:rPr>
          <w:rFonts w:asciiTheme="minorHAnsi" w:hAnsiTheme="minorHAnsi" w:cs="Times New Roman"/>
        </w:rPr>
        <w:t xml:space="preserve">In addition to the </w:t>
      </w:r>
      <w:r w:rsidR="005C5246">
        <w:rPr>
          <w:rFonts w:asciiTheme="minorHAnsi" w:hAnsiTheme="minorHAnsi" w:cs="Times New Roman"/>
        </w:rPr>
        <w:t xml:space="preserve">declined </w:t>
      </w:r>
      <w:r w:rsidR="00CF5F3B">
        <w:rPr>
          <w:rFonts w:asciiTheme="minorHAnsi" w:hAnsiTheme="minorHAnsi" w:cs="Times New Roman"/>
        </w:rPr>
        <w:t xml:space="preserve">RR for MEC participation, the Program also experienced difficulties in recruiting </w:t>
      </w:r>
      <w:r w:rsidR="00FE211D">
        <w:rPr>
          <w:rFonts w:asciiTheme="minorHAnsi" w:hAnsiTheme="minorHAnsi" w:cs="Times New Roman"/>
        </w:rPr>
        <w:t xml:space="preserve">dry-run participants </w:t>
      </w:r>
      <w:r w:rsidR="003A412B">
        <w:rPr>
          <w:rFonts w:asciiTheme="minorHAnsi" w:hAnsiTheme="minorHAnsi" w:cs="Times New Roman"/>
        </w:rPr>
        <w:t xml:space="preserve">for </w:t>
      </w:r>
      <w:r w:rsidR="001C00A8">
        <w:rPr>
          <w:rFonts w:asciiTheme="minorHAnsi" w:hAnsiTheme="minorHAnsi" w:cs="Times New Roman"/>
        </w:rPr>
        <w:t xml:space="preserve">equipment and </w:t>
      </w:r>
      <w:r w:rsidR="00EE5113">
        <w:rPr>
          <w:rFonts w:asciiTheme="minorHAnsi" w:hAnsiTheme="minorHAnsi" w:cs="Times New Roman"/>
        </w:rPr>
        <w:t xml:space="preserve">procedure </w:t>
      </w:r>
      <w:r w:rsidR="00DA60F8">
        <w:rPr>
          <w:rFonts w:asciiTheme="minorHAnsi" w:hAnsiTheme="minorHAnsi" w:cs="Times New Roman"/>
        </w:rPr>
        <w:t xml:space="preserve">quality </w:t>
      </w:r>
      <w:r w:rsidR="00681337">
        <w:rPr>
          <w:rFonts w:asciiTheme="minorHAnsi" w:hAnsiTheme="minorHAnsi" w:cs="Times New Roman"/>
        </w:rPr>
        <w:t xml:space="preserve">assurance </w:t>
      </w:r>
      <w:r w:rsidR="001C00A8">
        <w:rPr>
          <w:rFonts w:asciiTheme="minorHAnsi" w:hAnsiTheme="minorHAnsi" w:cs="Times New Roman"/>
        </w:rPr>
        <w:t>test</w:t>
      </w:r>
      <w:r w:rsidR="00EE5113">
        <w:rPr>
          <w:rFonts w:asciiTheme="minorHAnsi" w:hAnsiTheme="minorHAnsi" w:cs="Times New Roman"/>
        </w:rPr>
        <w:t>ing</w:t>
      </w:r>
      <w:r w:rsidR="00D83C0E">
        <w:rPr>
          <w:rFonts w:asciiTheme="minorHAnsi" w:hAnsiTheme="minorHAnsi" w:cs="Times New Roman"/>
        </w:rPr>
        <w:t xml:space="preserve">. </w:t>
      </w:r>
      <w:r w:rsidR="00F7067E">
        <w:rPr>
          <w:rFonts w:asciiTheme="minorHAnsi" w:hAnsiTheme="minorHAnsi" w:cs="Times New Roman"/>
        </w:rPr>
        <w:t xml:space="preserve">The protocol calls </w:t>
      </w:r>
      <w:r w:rsidR="00E131FA">
        <w:rPr>
          <w:rFonts w:asciiTheme="minorHAnsi" w:hAnsiTheme="minorHAnsi" w:cs="Times New Roman"/>
        </w:rPr>
        <w:t xml:space="preserve">for </w:t>
      </w:r>
      <w:r w:rsidR="003C3FAE">
        <w:rPr>
          <w:rFonts w:asciiTheme="minorHAnsi" w:hAnsiTheme="minorHAnsi" w:cs="Times New Roman"/>
        </w:rPr>
        <w:t>6 dry-run participants</w:t>
      </w:r>
      <w:r w:rsidR="00AE46F2">
        <w:rPr>
          <w:rFonts w:asciiTheme="minorHAnsi" w:hAnsiTheme="minorHAnsi" w:cs="Times New Roman"/>
        </w:rPr>
        <w:t xml:space="preserve"> per </w:t>
      </w:r>
      <w:r w:rsidR="00AE46F2">
        <w:rPr>
          <w:rFonts w:asciiTheme="minorHAnsi" w:hAnsiTheme="minorHAnsi" w:cs="Times New Roman"/>
        </w:rPr>
        <w:t>PSU</w:t>
      </w:r>
      <w:r w:rsidR="00900343">
        <w:rPr>
          <w:rFonts w:asciiTheme="minorHAnsi" w:hAnsiTheme="minorHAnsi" w:cs="Times New Roman"/>
        </w:rPr>
        <w:t xml:space="preserve"> and </w:t>
      </w:r>
      <w:r w:rsidR="00474D06">
        <w:rPr>
          <w:rFonts w:asciiTheme="minorHAnsi" w:hAnsiTheme="minorHAnsi" w:cs="Times New Roman"/>
        </w:rPr>
        <w:t xml:space="preserve">the Program was only able to recruit </w:t>
      </w:r>
      <w:r w:rsidR="00335973">
        <w:rPr>
          <w:rFonts w:asciiTheme="minorHAnsi" w:hAnsiTheme="minorHAnsi" w:cs="Times New Roman"/>
        </w:rPr>
        <w:t xml:space="preserve">an </w:t>
      </w:r>
      <w:r w:rsidR="00165110">
        <w:rPr>
          <w:rFonts w:asciiTheme="minorHAnsi" w:hAnsiTheme="minorHAnsi" w:cs="Times New Roman"/>
        </w:rPr>
        <w:t>average</w:t>
      </w:r>
      <w:r w:rsidR="00335973">
        <w:rPr>
          <w:rFonts w:asciiTheme="minorHAnsi" w:hAnsiTheme="minorHAnsi" w:cs="Times New Roman"/>
        </w:rPr>
        <w:t xml:space="preserve"> of</w:t>
      </w:r>
      <w:r w:rsidR="00165110">
        <w:rPr>
          <w:rFonts w:asciiTheme="minorHAnsi" w:hAnsiTheme="minorHAnsi" w:cs="Times New Roman"/>
        </w:rPr>
        <w:t xml:space="preserve"> </w:t>
      </w:r>
      <w:r w:rsidR="00BF7DA4">
        <w:rPr>
          <w:rFonts w:asciiTheme="minorHAnsi" w:hAnsiTheme="minorHAnsi" w:cs="Times New Roman"/>
        </w:rPr>
        <w:t xml:space="preserve">3 and </w:t>
      </w:r>
      <w:r w:rsidR="00C01359">
        <w:rPr>
          <w:rFonts w:asciiTheme="minorHAnsi" w:hAnsiTheme="minorHAnsi" w:cs="Times New Roman"/>
        </w:rPr>
        <w:t>2</w:t>
      </w:r>
      <w:r w:rsidR="008E5B12">
        <w:rPr>
          <w:rFonts w:asciiTheme="minorHAnsi" w:hAnsiTheme="minorHAnsi" w:cs="Times New Roman"/>
        </w:rPr>
        <w:t xml:space="preserve"> </w:t>
      </w:r>
      <w:r w:rsidR="00827CC3">
        <w:rPr>
          <w:rFonts w:asciiTheme="minorHAnsi" w:hAnsiTheme="minorHAnsi" w:cs="Times New Roman"/>
        </w:rPr>
        <w:t>persons</w:t>
      </w:r>
      <w:r w:rsidR="00827CC3">
        <w:rPr>
          <w:rFonts w:asciiTheme="minorHAnsi" w:hAnsiTheme="minorHAnsi" w:cs="Times New Roman"/>
        </w:rPr>
        <w:t xml:space="preserve"> per PSU</w:t>
      </w:r>
      <w:r w:rsidRPr="0031254D" w:rsidR="0031254D">
        <w:rPr>
          <w:rFonts w:asciiTheme="minorHAnsi" w:hAnsiTheme="minorHAnsi" w:cs="Times New Roman"/>
        </w:rPr>
        <w:t xml:space="preserve"> </w:t>
      </w:r>
      <w:r w:rsidR="0031254D">
        <w:rPr>
          <w:rFonts w:asciiTheme="minorHAnsi" w:hAnsiTheme="minorHAnsi" w:cs="Times New Roman"/>
        </w:rPr>
        <w:t>for the first and second quarters, respectively.</w:t>
      </w:r>
      <w:r w:rsidR="003C3FAE">
        <w:rPr>
          <w:rFonts w:asciiTheme="minorHAnsi" w:hAnsiTheme="minorHAnsi" w:cs="Times New Roman"/>
        </w:rPr>
        <w:t xml:space="preserve"> </w:t>
      </w:r>
    </w:p>
    <w:p w:rsidR="002C1F3C" w:rsidP="00D43C6A" w14:paraId="3F8BFC29" w14:textId="77777777">
      <w:pPr>
        <w:rPr>
          <w:rFonts w:asciiTheme="minorHAnsi" w:hAnsiTheme="minorHAnsi" w:cs="Times New Roman"/>
        </w:rPr>
      </w:pPr>
    </w:p>
    <w:p w:rsidR="00D43C6A" w:rsidP="00D43C6A" w14:paraId="56C451CE" w14:textId="0FE782A7">
      <w:pPr>
        <w:rPr>
          <w:rFonts w:asciiTheme="minorHAnsi" w:hAnsiTheme="minorHAnsi" w:cs="Times New Roman"/>
        </w:rPr>
      </w:pPr>
      <w:r>
        <w:rPr>
          <w:rFonts w:asciiTheme="minorHAnsi" w:hAnsiTheme="minorHAnsi" w:cs="Times New Roman"/>
        </w:rPr>
        <w:t xml:space="preserve">As a result of </w:t>
      </w:r>
      <w:r w:rsidR="00101C61">
        <w:rPr>
          <w:rFonts w:asciiTheme="minorHAnsi" w:hAnsiTheme="minorHAnsi" w:cs="Times New Roman"/>
        </w:rPr>
        <w:t xml:space="preserve">the </w:t>
      </w:r>
      <w:r w:rsidR="00235DCA">
        <w:rPr>
          <w:rFonts w:asciiTheme="minorHAnsi" w:hAnsiTheme="minorHAnsi" w:cs="Times New Roman"/>
        </w:rPr>
        <w:t xml:space="preserve">continued decline in MEC RRs, and declining response in the other components of NHANES, </w:t>
      </w:r>
      <w:r w:rsidR="006A5C0E">
        <w:rPr>
          <w:rFonts w:asciiTheme="minorHAnsi" w:hAnsiTheme="minorHAnsi" w:cs="Times New Roman"/>
        </w:rPr>
        <w:t xml:space="preserve">the </w:t>
      </w:r>
      <w:r w:rsidR="00370137">
        <w:rPr>
          <w:rFonts w:asciiTheme="minorHAnsi" w:hAnsiTheme="minorHAnsi" w:cs="Times New Roman"/>
        </w:rPr>
        <w:t>2025 sample yield through the 3</w:t>
      </w:r>
      <w:r w:rsidRPr="000E24FF" w:rsidR="00370137">
        <w:rPr>
          <w:rFonts w:asciiTheme="minorHAnsi" w:hAnsiTheme="minorHAnsi" w:cs="Times New Roman"/>
          <w:vertAlign w:val="superscript"/>
        </w:rPr>
        <w:t>rd</w:t>
      </w:r>
      <w:r w:rsidR="00370137">
        <w:rPr>
          <w:rFonts w:asciiTheme="minorHAnsi" w:hAnsiTheme="minorHAnsi" w:cs="Times New Roman"/>
        </w:rPr>
        <w:t xml:space="preserve"> quarter </w:t>
      </w:r>
      <w:r w:rsidR="00ED41E9">
        <w:rPr>
          <w:rFonts w:asciiTheme="minorHAnsi" w:hAnsiTheme="minorHAnsi" w:cs="Times New Roman"/>
        </w:rPr>
        <w:t xml:space="preserve">of 1,700 SPs </w:t>
      </w:r>
      <w:r w:rsidR="006A5C0E">
        <w:rPr>
          <w:rFonts w:asciiTheme="minorHAnsi" w:hAnsiTheme="minorHAnsi" w:cs="Times New Roman"/>
        </w:rPr>
        <w:t xml:space="preserve">was much lower than the targeted </w:t>
      </w:r>
      <w:r w:rsidR="00ED41E9">
        <w:rPr>
          <w:rFonts w:asciiTheme="minorHAnsi" w:hAnsiTheme="minorHAnsi" w:cs="Times New Roman"/>
        </w:rPr>
        <w:t>number o</w:t>
      </w:r>
      <w:r w:rsidR="006A5C0E">
        <w:rPr>
          <w:rFonts w:asciiTheme="minorHAnsi" w:hAnsiTheme="minorHAnsi" w:cs="Times New Roman"/>
        </w:rPr>
        <w:t xml:space="preserve">f 5,000 SPs annually. </w:t>
      </w:r>
      <w:r w:rsidR="0048104F">
        <w:rPr>
          <w:rFonts w:asciiTheme="minorHAnsi" w:hAnsiTheme="minorHAnsi" w:cs="Times New Roman"/>
        </w:rPr>
        <w:t xml:space="preserve">This is concerning as it may not result in enough samples for required </w:t>
      </w:r>
      <w:r w:rsidR="0048104F">
        <w:rPr>
          <w:rFonts w:asciiTheme="minorHAnsi" w:hAnsiTheme="minorHAnsi" w:cs="Times New Roman"/>
        </w:rPr>
        <w:t>analyses</w:t>
      </w:r>
      <w:r w:rsidR="0048104F">
        <w:rPr>
          <w:rFonts w:asciiTheme="minorHAnsi" w:hAnsiTheme="minorHAnsi" w:cs="Times New Roman"/>
        </w:rPr>
        <w:t xml:space="preserve"> at the end of a 2-year cycle. </w:t>
      </w:r>
    </w:p>
    <w:p w:rsidR="00D43C6A" w:rsidP="00D43C6A" w14:paraId="44831D95" w14:textId="77777777">
      <w:pPr>
        <w:rPr>
          <w:rFonts w:asciiTheme="minorHAnsi" w:hAnsiTheme="minorHAnsi" w:cs="Times New Roman"/>
        </w:rPr>
      </w:pPr>
    </w:p>
    <w:p w:rsidR="00D43C6A" w:rsidP="00D43C6A" w14:paraId="7512BD7C" w14:textId="3FB1F4EB">
      <w:pPr>
        <w:rPr>
          <w:rFonts w:asciiTheme="minorHAnsi" w:hAnsiTheme="minorHAnsi" w:cs="Times New Roman"/>
        </w:rPr>
      </w:pPr>
      <w:r>
        <w:rPr>
          <w:rFonts w:asciiTheme="minorHAnsi" w:hAnsiTheme="minorHAnsi" w:cs="Times New Roman"/>
        </w:rPr>
        <w:t xml:space="preserve">Given the decrease in the MEC RRs for the first two quarters of 2025-2026 </w:t>
      </w:r>
      <w:r w:rsidR="00F64A5C">
        <w:rPr>
          <w:rFonts w:asciiTheme="minorHAnsi" w:hAnsiTheme="minorHAnsi" w:cs="Times New Roman"/>
        </w:rPr>
        <w:t>NHANES</w:t>
      </w:r>
      <w:r>
        <w:rPr>
          <w:rFonts w:asciiTheme="minorHAnsi" w:hAnsiTheme="minorHAnsi" w:cs="Times New Roman"/>
        </w:rPr>
        <w:t xml:space="preserve"> and findings from </w:t>
      </w:r>
      <w:r>
        <w:rPr>
          <w:rFonts w:asciiTheme="minorHAnsi" w:hAnsiTheme="minorHAnsi" w:cs="Times New Roman"/>
        </w:rPr>
        <w:t>the August</w:t>
      </w:r>
      <w:r>
        <w:rPr>
          <w:rFonts w:asciiTheme="minorHAnsi" w:hAnsiTheme="minorHAnsi" w:cs="Times New Roman"/>
        </w:rPr>
        <w:t xml:space="preserve"> 2021-August 2023 MEC incentive analysis, DHANES proposes the following modifications to the approved 2025-2026 cycle to begin </w:t>
      </w:r>
      <w:r w:rsidR="00680149">
        <w:rPr>
          <w:rFonts w:asciiTheme="minorHAnsi" w:hAnsiTheme="minorHAnsi" w:cs="Times New Roman"/>
        </w:rPr>
        <w:t>upon OMB approval</w:t>
      </w:r>
      <w:r>
        <w:rPr>
          <w:rFonts w:asciiTheme="minorHAnsi" w:hAnsiTheme="minorHAnsi" w:cs="Times New Roman"/>
        </w:rPr>
        <w:t>:</w:t>
      </w:r>
    </w:p>
    <w:p w:rsidR="002C1F3C" w:rsidP="00D43C6A" w14:paraId="05FFD13B" w14:textId="77777777">
      <w:pPr>
        <w:rPr>
          <w:rFonts w:asciiTheme="minorHAnsi" w:hAnsiTheme="minorHAnsi" w:cs="Times New Roman"/>
        </w:rPr>
      </w:pPr>
    </w:p>
    <w:p w:rsidR="00D43C6A" w:rsidP="00D43C6A" w14:paraId="6AFC2E83" w14:textId="5CED4739">
      <w:pPr>
        <w:pStyle w:val="ListParagraph"/>
        <w:numPr>
          <w:ilvl w:val="0"/>
          <w:numId w:val="26"/>
        </w:numPr>
        <w:rPr>
          <w:rFonts w:asciiTheme="minorHAnsi" w:hAnsiTheme="minorHAnsi" w:cs="Times New Roman"/>
        </w:rPr>
      </w:pPr>
      <w:r w:rsidRPr="009537D2">
        <w:rPr>
          <w:rFonts w:asciiTheme="minorHAnsi" w:hAnsiTheme="minorHAnsi" w:cs="Times New Roman"/>
        </w:rPr>
        <w:t>Restor</w:t>
      </w:r>
      <w:r>
        <w:rPr>
          <w:rFonts w:asciiTheme="minorHAnsi" w:hAnsiTheme="minorHAnsi" w:cs="Times New Roman"/>
        </w:rPr>
        <w:t>ation of</w:t>
      </w:r>
      <w:r w:rsidRPr="009537D2">
        <w:rPr>
          <w:rFonts w:asciiTheme="minorHAnsi" w:hAnsiTheme="minorHAnsi" w:cs="Times New Roman"/>
        </w:rPr>
        <w:t xml:space="preserve"> the MEC exam incentive for adults (ages 16+) from $100 </w:t>
      </w:r>
      <w:r>
        <w:rPr>
          <w:rFonts w:asciiTheme="minorHAnsi" w:hAnsiTheme="minorHAnsi" w:cs="Times New Roman"/>
        </w:rPr>
        <w:t>initiated in January 2025</w:t>
      </w:r>
      <w:r w:rsidRPr="009537D2">
        <w:rPr>
          <w:rFonts w:asciiTheme="minorHAnsi" w:hAnsiTheme="minorHAnsi" w:cs="Times New Roman"/>
        </w:rPr>
        <w:t xml:space="preserve"> </w:t>
      </w:r>
      <w:r>
        <w:rPr>
          <w:rFonts w:asciiTheme="minorHAnsi" w:hAnsiTheme="minorHAnsi" w:cs="Times New Roman"/>
        </w:rPr>
        <w:t xml:space="preserve">to </w:t>
      </w:r>
      <w:r w:rsidRPr="009537D2">
        <w:rPr>
          <w:rFonts w:asciiTheme="minorHAnsi" w:hAnsiTheme="minorHAnsi" w:cs="Times New Roman"/>
        </w:rPr>
        <w:t>$125 in place from 2009-2023. Additionally, the Program requests increasing the teen</w:t>
      </w:r>
      <w:r>
        <w:rPr>
          <w:rFonts w:asciiTheme="minorHAnsi" w:hAnsiTheme="minorHAnsi" w:cs="Times New Roman"/>
        </w:rPr>
        <w:t>age</w:t>
      </w:r>
      <w:r w:rsidRPr="009537D2">
        <w:rPr>
          <w:rFonts w:asciiTheme="minorHAnsi" w:hAnsiTheme="minorHAnsi" w:cs="Times New Roman"/>
        </w:rPr>
        <w:t xml:space="preserve"> (</w:t>
      </w:r>
      <w:r>
        <w:rPr>
          <w:rFonts w:asciiTheme="minorHAnsi" w:hAnsiTheme="minorHAnsi" w:cs="Times New Roman"/>
        </w:rPr>
        <w:t>12-15 years old</w:t>
      </w:r>
      <w:r w:rsidRPr="009537D2">
        <w:rPr>
          <w:rFonts w:asciiTheme="minorHAnsi" w:hAnsiTheme="minorHAnsi" w:cs="Times New Roman"/>
        </w:rPr>
        <w:t>) and child (</w:t>
      </w:r>
      <w:r>
        <w:rPr>
          <w:rFonts w:asciiTheme="minorHAnsi" w:hAnsiTheme="minorHAnsi" w:cs="Times New Roman"/>
        </w:rPr>
        <w:t>&lt;12 years old</w:t>
      </w:r>
      <w:r w:rsidRPr="009537D2">
        <w:rPr>
          <w:rFonts w:asciiTheme="minorHAnsi" w:hAnsiTheme="minorHAnsi" w:cs="Times New Roman"/>
        </w:rPr>
        <w:t>) MEC exam incentives from $60</w:t>
      </w:r>
      <w:r w:rsidR="00795BAB">
        <w:rPr>
          <w:rFonts w:asciiTheme="minorHAnsi" w:hAnsiTheme="minorHAnsi" w:cs="Times New Roman"/>
        </w:rPr>
        <w:t xml:space="preserve"> to $8</w:t>
      </w:r>
      <w:r w:rsidR="00575DC3">
        <w:rPr>
          <w:rFonts w:asciiTheme="minorHAnsi" w:hAnsiTheme="minorHAnsi" w:cs="Times New Roman"/>
        </w:rPr>
        <w:t>5</w:t>
      </w:r>
      <w:r w:rsidR="00795BAB">
        <w:rPr>
          <w:rFonts w:asciiTheme="minorHAnsi" w:hAnsiTheme="minorHAnsi" w:cs="Times New Roman"/>
        </w:rPr>
        <w:t xml:space="preserve"> and</w:t>
      </w:r>
      <w:r w:rsidRPr="009537D2">
        <w:rPr>
          <w:rFonts w:asciiTheme="minorHAnsi" w:hAnsiTheme="minorHAnsi" w:cs="Times New Roman"/>
        </w:rPr>
        <w:t xml:space="preserve"> $40 </w:t>
      </w:r>
      <w:r w:rsidR="00795BAB">
        <w:rPr>
          <w:rFonts w:asciiTheme="minorHAnsi" w:hAnsiTheme="minorHAnsi" w:cs="Times New Roman"/>
        </w:rPr>
        <w:t>to $</w:t>
      </w:r>
      <w:r w:rsidR="00A42B1E">
        <w:rPr>
          <w:rFonts w:asciiTheme="minorHAnsi" w:hAnsiTheme="minorHAnsi" w:cs="Times New Roman"/>
        </w:rPr>
        <w:t>65</w:t>
      </w:r>
      <w:r w:rsidRPr="009537D2">
        <w:rPr>
          <w:rFonts w:asciiTheme="minorHAnsi" w:hAnsiTheme="minorHAnsi" w:cs="Times New Roman"/>
        </w:rPr>
        <w:t>, respectively</w:t>
      </w:r>
      <w:r w:rsidR="001A0566">
        <w:rPr>
          <w:rFonts w:asciiTheme="minorHAnsi" w:hAnsiTheme="minorHAnsi" w:cs="Times New Roman"/>
        </w:rPr>
        <w:t>, as an experimental approach</w:t>
      </w:r>
      <w:r w:rsidRPr="009537D2">
        <w:rPr>
          <w:rFonts w:asciiTheme="minorHAnsi" w:hAnsiTheme="minorHAnsi" w:cs="Times New Roman"/>
        </w:rPr>
        <w:t xml:space="preserve">. </w:t>
      </w:r>
      <w:r>
        <w:rPr>
          <w:rFonts w:asciiTheme="minorHAnsi" w:hAnsiTheme="minorHAnsi" w:cs="Times New Roman"/>
        </w:rPr>
        <w:t xml:space="preserve"> </w:t>
      </w:r>
    </w:p>
    <w:p w:rsidR="00D43C6A" w:rsidP="00D43C6A" w14:paraId="67914A27" w14:textId="6EB4E427">
      <w:pPr>
        <w:pStyle w:val="ListParagraph"/>
        <w:numPr>
          <w:ilvl w:val="0"/>
          <w:numId w:val="26"/>
        </w:numPr>
        <w:rPr>
          <w:rFonts w:asciiTheme="minorHAnsi" w:hAnsiTheme="minorHAnsi" w:cs="Times New Roman"/>
        </w:rPr>
      </w:pPr>
      <w:r>
        <w:rPr>
          <w:rFonts w:asciiTheme="minorHAnsi" w:hAnsiTheme="minorHAnsi" w:cs="Times New Roman"/>
        </w:rPr>
        <w:t>Provision of $75 to dry-run participants as remuneration</w:t>
      </w:r>
      <w:r w:rsidR="00F90057">
        <w:rPr>
          <w:rFonts w:asciiTheme="minorHAnsi" w:hAnsiTheme="minorHAnsi" w:cs="Times New Roman"/>
        </w:rPr>
        <w:t xml:space="preserve"> (</w:t>
      </w:r>
      <w:r w:rsidR="004D3CD1">
        <w:rPr>
          <w:rFonts w:asciiTheme="minorHAnsi" w:hAnsiTheme="minorHAnsi" w:cs="Times New Roman"/>
        </w:rPr>
        <w:t>no</w:t>
      </w:r>
      <w:r w:rsidR="006F5B02">
        <w:rPr>
          <w:rFonts w:asciiTheme="minorHAnsi" w:hAnsiTheme="minorHAnsi" w:cs="Times New Roman"/>
        </w:rPr>
        <w:t xml:space="preserve"> incentive was </w:t>
      </w:r>
      <w:r w:rsidR="00325EAC">
        <w:rPr>
          <w:rFonts w:asciiTheme="minorHAnsi" w:hAnsiTheme="minorHAnsi" w:cs="Times New Roman"/>
        </w:rPr>
        <w:t xml:space="preserve">provided to </w:t>
      </w:r>
      <w:r w:rsidR="004D3CD1">
        <w:rPr>
          <w:rFonts w:asciiTheme="minorHAnsi" w:hAnsiTheme="minorHAnsi" w:cs="Times New Roman"/>
        </w:rPr>
        <w:t>dry-run participants</w:t>
      </w:r>
      <w:r w:rsidR="00325EAC">
        <w:rPr>
          <w:rFonts w:asciiTheme="minorHAnsi" w:hAnsiTheme="minorHAnsi" w:cs="Times New Roman"/>
        </w:rPr>
        <w:t xml:space="preserve"> in the past)</w:t>
      </w:r>
      <w:r w:rsidR="00775569">
        <w:rPr>
          <w:rFonts w:asciiTheme="minorHAnsi" w:hAnsiTheme="minorHAnsi" w:cs="Times New Roman"/>
        </w:rPr>
        <w:t>.</w:t>
      </w:r>
    </w:p>
    <w:p w:rsidR="00D43C6A" w:rsidP="00D43C6A" w14:paraId="062BF209" w14:textId="4964BC68">
      <w:pPr>
        <w:pStyle w:val="ListParagraph"/>
        <w:numPr>
          <w:ilvl w:val="0"/>
          <w:numId w:val="26"/>
        </w:numPr>
        <w:rPr>
          <w:rFonts w:asciiTheme="minorHAnsi" w:hAnsiTheme="minorHAnsi" w:cs="Times New Roman"/>
        </w:rPr>
      </w:pPr>
      <w:r>
        <w:rPr>
          <w:rFonts w:asciiTheme="minorHAnsi" w:hAnsiTheme="minorHAnsi" w:cs="Times New Roman"/>
        </w:rPr>
        <w:t>Extension of the 2025-2026 NHANES by one year (i.e., from 2025-2026 to 2025-2027</w:t>
      </w:r>
      <w:r w:rsidR="00D95223">
        <w:rPr>
          <w:rFonts w:asciiTheme="minorHAnsi" w:hAnsiTheme="minorHAnsi" w:cs="Times New Roman"/>
        </w:rPr>
        <w:t>)</w:t>
      </w:r>
      <w:r w:rsidR="00FA730F">
        <w:rPr>
          <w:rFonts w:asciiTheme="minorHAnsi" w:hAnsiTheme="minorHAnsi" w:cs="Times New Roman"/>
        </w:rPr>
        <w:t xml:space="preserve"> to </w:t>
      </w:r>
      <w:r w:rsidR="00FA730F">
        <w:rPr>
          <w:rFonts w:asciiTheme="minorHAnsi" w:hAnsiTheme="minorHAnsi" w:cs="Times New Roman"/>
        </w:rPr>
        <w:t xml:space="preserve">allow sufficient time to complete data collection for the designed target sample given the current environment of national survey responses. </w:t>
      </w:r>
      <w:r w:rsidR="008B7901">
        <w:rPr>
          <w:rFonts w:asciiTheme="minorHAnsi" w:hAnsiTheme="minorHAnsi" w:cs="Times New Roman"/>
        </w:rPr>
        <w:t xml:space="preserve">NHANES is designed to collect 5,000 </w:t>
      </w:r>
      <w:r w:rsidR="007D6826">
        <w:rPr>
          <w:rFonts w:asciiTheme="minorHAnsi" w:hAnsiTheme="minorHAnsi" w:cs="Times New Roman"/>
        </w:rPr>
        <w:t>examined sample</w:t>
      </w:r>
      <w:r w:rsidR="00585ABE">
        <w:rPr>
          <w:rFonts w:asciiTheme="minorHAnsi" w:hAnsiTheme="minorHAnsi" w:cs="Times New Roman"/>
        </w:rPr>
        <w:t>s</w:t>
      </w:r>
      <w:r w:rsidR="007D6826">
        <w:rPr>
          <w:rFonts w:asciiTheme="minorHAnsi" w:hAnsiTheme="minorHAnsi" w:cs="Times New Roman"/>
        </w:rPr>
        <w:t xml:space="preserve"> </w:t>
      </w:r>
      <w:r w:rsidR="00D96F77">
        <w:rPr>
          <w:rFonts w:asciiTheme="minorHAnsi" w:hAnsiTheme="minorHAnsi" w:cs="Times New Roman"/>
        </w:rPr>
        <w:t>per year</w:t>
      </w:r>
      <w:r w:rsidR="00D623B7">
        <w:rPr>
          <w:rFonts w:asciiTheme="minorHAnsi" w:hAnsiTheme="minorHAnsi" w:cs="Times New Roman"/>
        </w:rPr>
        <w:t xml:space="preserve">. </w:t>
      </w:r>
      <w:r w:rsidR="00121920">
        <w:rPr>
          <w:rFonts w:asciiTheme="minorHAnsi" w:hAnsiTheme="minorHAnsi" w:cs="Times New Roman"/>
        </w:rPr>
        <w:t xml:space="preserve">Up to the end of </w:t>
      </w:r>
      <w:r w:rsidR="002E61A1">
        <w:rPr>
          <w:rFonts w:asciiTheme="minorHAnsi" w:hAnsiTheme="minorHAnsi" w:cs="Times New Roman"/>
        </w:rPr>
        <w:t>quarter</w:t>
      </w:r>
      <w:r w:rsidR="00121920">
        <w:rPr>
          <w:rFonts w:asciiTheme="minorHAnsi" w:hAnsiTheme="minorHAnsi" w:cs="Times New Roman"/>
        </w:rPr>
        <w:t xml:space="preserve"> </w:t>
      </w:r>
      <w:r w:rsidR="002E61A1">
        <w:rPr>
          <w:rFonts w:asciiTheme="minorHAnsi" w:hAnsiTheme="minorHAnsi" w:cs="Times New Roman"/>
        </w:rPr>
        <w:t xml:space="preserve">3 </w:t>
      </w:r>
      <w:r w:rsidR="00121920">
        <w:rPr>
          <w:rFonts w:asciiTheme="minorHAnsi" w:hAnsiTheme="minorHAnsi" w:cs="Times New Roman"/>
        </w:rPr>
        <w:t>of</w:t>
      </w:r>
      <w:r w:rsidR="002E61A1">
        <w:rPr>
          <w:rFonts w:asciiTheme="minorHAnsi" w:hAnsiTheme="minorHAnsi" w:cs="Times New Roman"/>
        </w:rPr>
        <w:t xml:space="preserve"> 2025, </w:t>
      </w:r>
      <w:r w:rsidR="00D623B7">
        <w:rPr>
          <w:rFonts w:asciiTheme="minorHAnsi" w:hAnsiTheme="minorHAnsi" w:cs="Times New Roman"/>
        </w:rPr>
        <w:t xml:space="preserve">we have only collected </w:t>
      </w:r>
      <w:r w:rsidR="002E61A1">
        <w:rPr>
          <w:rFonts w:asciiTheme="minorHAnsi" w:hAnsiTheme="minorHAnsi" w:cs="Times New Roman"/>
        </w:rPr>
        <w:t>data from 1,700 examined SPs</w:t>
      </w:r>
      <w:r w:rsidR="00BF6D56">
        <w:rPr>
          <w:rFonts w:asciiTheme="minorHAnsi" w:hAnsiTheme="minorHAnsi" w:cs="Times New Roman"/>
        </w:rPr>
        <w:t xml:space="preserve">. </w:t>
      </w:r>
      <w:r w:rsidR="00C92102">
        <w:rPr>
          <w:rFonts w:asciiTheme="minorHAnsi" w:hAnsiTheme="minorHAnsi" w:cs="Times New Roman"/>
        </w:rPr>
        <w:t xml:space="preserve">Thus, the Program </w:t>
      </w:r>
      <w:r w:rsidR="004F0C3B">
        <w:rPr>
          <w:rFonts w:asciiTheme="minorHAnsi" w:hAnsiTheme="minorHAnsi" w:cs="Times New Roman"/>
        </w:rPr>
        <w:t>is requesting to extend the data collection time by one year.</w:t>
      </w:r>
      <w:r w:rsidR="004B64FD">
        <w:rPr>
          <w:rFonts w:asciiTheme="minorHAnsi" w:hAnsiTheme="minorHAnsi" w:cs="Times New Roman"/>
        </w:rPr>
        <w:t xml:space="preserve"> </w:t>
      </w:r>
      <w:r w:rsidR="00FA730F">
        <w:rPr>
          <w:rFonts w:asciiTheme="minorHAnsi" w:hAnsiTheme="minorHAnsi" w:cs="Times New Roman"/>
        </w:rPr>
        <w:t>The data collection content will remain the same for the third year (i.e., 2027)</w:t>
      </w:r>
      <w:r w:rsidR="00227C69">
        <w:rPr>
          <w:rFonts w:asciiTheme="minorHAnsi" w:hAnsiTheme="minorHAnsi" w:cs="Times New Roman"/>
        </w:rPr>
        <w:t>.</w:t>
      </w:r>
      <w:r w:rsidR="00FA730F">
        <w:rPr>
          <w:rFonts w:asciiTheme="minorHAnsi" w:hAnsiTheme="minorHAnsi" w:cs="Times New Roman"/>
        </w:rPr>
        <w:t xml:space="preserve"> </w:t>
      </w:r>
      <w:r w:rsidR="00227C69">
        <w:rPr>
          <w:rFonts w:asciiTheme="minorHAnsi" w:hAnsiTheme="minorHAnsi" w:cs="Times New Roman"/>
        </w:rPr>
        <w:t xml:space="preserve">We expect to complete the data collection </w:t>
      </w:r>
      <w:r w:rsidR="00FE17C3">
        <w:rPr>
          <w:rFonts w:asciiTheme="minorHAnsi" w:hAnsiTheme="minorHAnsi" w:cs="Times New Roman"/>
        </w:rPr>
        <w:t xml:space="preserve">up </w:t>
      </w:r>
      <w:r w:rsidR="00765D44">
        <w:rPr>
          <w:rFonts w:asciiTheme="minorHAnsi" w:hAnsiTheme="minorHAnsi" w:cs="Times New Roman"/>
        </w:rPr>
        <w:t>to</w:t>
      </w:r>
      <w:r w:rsidR="00643736">
        <w:rPr>
          <w:rFonts w:asciiTheme="minorHAnsi" w:hAnsiTheme="minorHAnsi" w:cs="Times New Roman"/>
        </w:rPr>
        <w:t xml:space="preserve"> the target number </w:t>
      </w:r>
      <w:r w:rsidR="00765D44">
        <w:rPr>
          <w:rFonts w:asciiTheme="minorHAnsi" w:hAnsiTheme="minorHAnsi" w:cs="Times New Roman"/>
        </w:rPr>
        <w:t xml:space="preserve">originally designed for the 2-year collection in 3 </w:t>
      </w:r>
      <w:r w:rsidR="00FE17C3">
        <w:rPr>
          <w:rFonts w:asciiTheme="minorHAnsi" w:hAnsiTheme="minorHAnsi" w:cs="Times New Roman"/>
        </w:rPr>
        <w:t>years;</w:t>
      </w:r>
      <w:r w:rsidR="00765D44">
        <w:rPr>
          <w:rFonts w:asciiTheme="minorHAnsi" w:hAnsiTheme="minorHAnsi" w:cs="Times New Roman"/>
        </w:rPr>
        <w:t xml:space="preserve"> therefore,</w:t>
      </w:r>
      <w:r w:rsidR="00227C69">
        <w:rPr>
          <w:rFonts w:asciiTheme="minorHAnsi" w:hAnsiTheme="minorHAnsi" w:cs="Times New Roman"/>
        </w:rPr>
        <w:t xml:space="preserve"> </w:t>
      </w:r>
      <w:r w:rsidR="00FA730F">
        <w:rPr>
          <w:rFonts w:asciiTheme="minorHAnsi" w:hAnsiTheme="minorHAnsi" w:cs="Times New Roman"/>
        </w:rPr>
        <w:t xml:space="preserve">no additional SP burden will be incurred </w:t>
      </w:r>
      <w:r w:rsidR="00781C79">
        <w:rPr>
          <w:rFonts w:asciiTheme="minorHAnsi" w:hAnsiTheme="minorHAnsi" w:cs="Times New Roman"/>
        </w:rPr>
        <w:t>as a result</w:t>
      </w:r>
      <w:r w:rsidR="00FA730F">
        <w:rPr>
          <w:rFonts w:asciiTheme="minorHAnsi" w:hAnsiTheme="minorHAnsi" w:cs="Times New Roman"/>
        </w:rPr>
        <w:t xml:space="preserve"> of</w:t>
      </w:r>
      <w:r w:rsidR="00FA730F">
        <w:rPr>
          <w:rFonts w:asciiTheme="minorHAnsi" w:hAnsiTheme="minorHAnsi" w:cs="Times New Roman"/>
        </w:rPr>
        <w:t xml:space="preserve"> the one-year extension</w:t>
      </w:r>
      <w:r w:rsidR="00D95223">
        <w:rPr>
          <w:rFonts w:asciiTheme="minorHAnsi" w:hAnsiTheme="minorHAnsi" w:cs="Times New Roman"/>
        </w:rPr>
        <w:t>.</w:t>
      </w:r>
    </w:p>
    <w:p w:rsidR="00D43C6A" w:rsidRPr="00EB2B73" w:rsidP="00D43C6A" w14:paraId="5EF0EF8D" w14:textId="77777777">
      <w:pPr>
        <w:rPr>
          <w:rFonts w:asciiTheme="minorHAnsi" w:hAnsiTheme="minorHAnsi" w:cs="Times New Roman"/>
        </w:rPr>
      </w:pPr>
    </w:p>
    <w:p w:rsidR="007E1305" w:rsidRPr="00BE0600" w:rsidP="00D814EF" w14:paraId="6BE87172" w14:textId="01A0DA20">
      <w:pPr>
        <w:rPr>
          <w:rFonts w:asciiTheme="minorHAnsi" w:hAnsiTheme="minorHAnsi" w:cs="Times New Roman"/>
        </w:rPr>
      </w:pPr>
      <w:r>
        <w:rPr>
          <w:rFonts w:asciiTheme="minorHAnsi" w:hAnsiTheme="minorHAnsi" w:cs="Times New Roman"/>
        </w:rPr>
        <w:t>The proposed non-substantive modifications will allow NHANES to determine the best approaches at reducing nonresponse while maximizing participant incentive in an equitable way. The Program will continue to implement and optimize additional strategies outlined in Section 3 of Supporting Statement B of the “</w:t>
      </w:r>
      <w:r w:rsidRPr="00834DD1">
        <w:rPr>
          <w:rFonts w:asciiTheme="minorHAnsi" w:hAnsiTheme="minorHAnsi" w:cs="Times New Roman"/>
        </w:rPr>
        <w:t>National Health and Nutrition Examination Survey (NHANES) (OMB No. 0920-0950, Exp. Date 0</w:t>
      </w:r>
      <w:r>
        <w:rPr>
          <w:rFonts w:asciiTheme="minorHAnsi" w:hAnsiTheme="minorHAnsi" w:cs="Times New Roman"/>
        </w:rPr>
        <w:t>1/31/28</w:t>
      </w:r>
      <w:r w:rsidRPr="00834DD1">
        <w:rPr>
          <w:rFonts w:asciiTheme="minorHAnsi" w:hAnsiTheme="minorHAnsi" w:cs="Times New Roman"/>
        </w:rPr>
        <w:t>)</w:t>
      </w:r>
      <w:r>
        <w:rPr>
          <w:rFonts w:asciiTheme="minorHAnsi" w:hAnsiTheme="minorHAnsi" w:cs="Times New Roman"/>
        </w:rPr>
        <w:t>,” approved on January 16, 2025.</w:t>
      </w:r>
    </w:p>
    <w:p w:rsidR="00371C08" w:rsidRPr="00BE0600" w:rsidP="007644FC" w14:paraId="7BAC6C21" w14:textId="37BD1A37">
      <w:pPr>
        <w:pStyle w:val="Heading1"/>
      </w:pPr>
      <w:bookmarkStart w:id="15" w:name="_Toc210120520"/>
      <w:bookmarkStart w:id="16" w:name="_Toc210120589"/>
      <w:r w:rsidRPr="00BE0600">
        <w:t>9.</w:t>
      </w:r>
      <w:r w:rsidRPr="00BE0600" w:rsidR="00141717">
        <w:t xml:space="preserve">   </w:t>
      </w:r>
      <w:r w:rsidRPr="00BE0600">
        <w:t>Explanation of any payment or gift to respondents</w:t>
      </w:r>
      <w:bookmarkEnd w:id="15"/>
      <w:bookmarkEnd w:id="16"/>
    </w:p>
    <w:p w:rsidR="004A50D3" w:rsidRPr="00BE0600" w:rsidP="007339CC" w14:paraId="20BD1DC9" w14:textId="77777777">
      <w:pPr>
        <w:rPr>
          <w:rFonts w:asciiTheme="minorHAnsi" w:hAnsiTheme="minorHAnsi" w:cs="Times New Roman"/>
        </w:rPr>
      </w:pPr>
    </w:p>
    <w:p w:rsidR="00BB0243" w:rsidP="007339CC" w14:paraId="579446B0" w14:textId="3EA00766">
      <w:pPr>
        <w:rPr>
          <w:rFonts w:asciiTheme="minorHAnsi" w:hAnsiTheme="minorHAnsi" w:cs="Times New Roman"/>
        </w:rPr>
      </w:pPr>
      <w:r>
        <w:rPr>
          <w:rFonts w:asciiTheme="minorHAnsi" w:hAnsiTheme="minorHAnsi" w:cs="Times New Roman"/>
        </w:rPr>
        <w:t>Upon approval, t</w:t>
      </w:r>
      <w:r w:rsidR="00D95223">
        <w:rPr>
          <w:rFonts w:asciiTheme="minorHAnsi" w:hAnsiTheme="minorHAnsi" w:cs="Times New Roman"/>
        </w:rPr>
        <w:t xml:space="preserve">he </w:t>
      </w:r>
      <w:r w:rsidRPr="00BE0600" w:rsidR="00D06F3F">
        <w:rPr>
          <w:rFonts w:asciiTheme="minorHAnsi" w:hAnsiTheme="minorHAnsi" w:cs="Times New Roman"/>
        </w:rPr>
        <w:t>modifications</w:t>
      </w:r>
      <w:r w:rsidRPr="00BE0600" w:rsidR="008333C9">
        <w:rPr>
          <w:rFonts w:asciiTheme="minorHAnsi" w:hAnsiTheme="minorHAnsi" w:cs="Times New Roman"/>
        </w:rPr>
        <w:t xml:space="preserve"> described in this</w:t>
      </w:r>
      <w:r w:rsidRPr="00BE0600" w:rsidR="007574AB">
        <w:rPr>
          <w:rFonts w:asciiTheme="minorHAnsi" w:hAnsiTheme="minorHAnsi" w:cs="Times New Roman"/>
        </w:rPr>
        <w:t xml:space="preserve"> </w:t>
      </w:r>
      <w:r w:rsidRPr="00BE0600" w:rsidR="008333C9">
        <w:rPr>
          <w:rFonts w:asciiTheme="minorHAnsi" w:hAnsiTheme="minorHAnsi" w:cs="Times New Roman"/>
        </w:rPr>
        <w:t>non-substantive c</w:t>
      </w:r>
      <w:r w:rsidRPr="00BE0600" w:rsidR="00B51CB3">
        <w:rPr>
          <w:rFonts w:asciiTheme="minorHAnsi" w:hAnsiTheme="minorHAnsi" w:cs="Times New Roman"/>
        </w:rPr>
        <w:t>hange</w:t>
      </w:r>
      <w:r w:rsidRPr="00BE0600" w:rsidR="008333C9">
        <w:rPr>
          <w:rFonts w:asciiTheme="minorHAnsi" w:hAnsiTheme="minorHAnsi" w:cs="Times New Roman"/>
        </w:rPr>
        <w:t xml:space="preserve"> request </w:t>
      </w:r>
      <w:r w:rsidRPr="00BE0600" w:rsidR="009B3E66">
        <w:rPr>
          <w:rFonts w:asciiTheme="minorHAnsi" w:hAnsiTheme="minorHAnsi" w:cs="Times New Roman"/>
        </w:rPr>
        <w:t>will</w:t>
      </w:r>
      <w:r w:rsidRPr="00BE0600" w:rsidR="00D06F3F">
        <w:rPr>
          <w:rFonts w:asciiTheme="minorHAnsi" w:hAnsiTheme="minorHAnsi" w:cs="Times New Roman"/>
        </w:rPr>
        <w:t xml:space="preserve"> result in </w:t>
      </w:r>
      <w:r w:rsidRPr="00BE0600" w:rsidR="007D6154">
        <w:rPr>
          <w:rFonts w:asciiTheme="minorHAnsi" w:hAnsiTheme="minorHAnsi" w:cs="Times New Roman"/>
        </w:rPr>
        <w:t>an increase in the</w:t>
      </w:r>
      <w:r w:rsidR="00422698">
        <w:rPr>
          <w:rFonts w:asciiTheme="minorHAnsi" w:hAnsiTheme="minorHAnsi" w:cs="Times New Roman"/>
        </w:rPr>
        <w:t xml:space="preserve"> current</w:t>
      </w:r>
      <w:r w:rsidRPr="00BE0600" w:rsidR="007D6154">
        <w:rPr>
          <w:rFonts w:asciiTheme="minorHAnsi" w:hAnsiTheme="minorHAnsi" w:cs="Times New Roman"/>
        </w:rPr>
        <w:t xml:space="preserve"> MEC exam incentive for adults (ages 16+) from </w:t>
      </w:r>
      <w:r w:rsidRPr="00BE0600" w:rsidR="0081710F">
        <w:rPr>
          <w:rFonts w:asciiTheme="minorHAnsi" w:hAnsiTheme="minorHAnsi" w:cs="Times New Roman"/>
        </w:rPr>
        <w:t>$</w:t>
      </w:r>
      <w:r w:rsidR="00227BDE">
        <w:rPr>
          <w:rFonts w:asciiTheme="minorHAnsi" w:hAnsiTheme="minorHAnsi" w:cs="Times New Roman"/>
        </w:rPr>
        <w:t>100</w:t>
      </w:r>
      <w:r w:rsidRPr="00BE0600" w:rsidR="0081710F">
        <w:rPr>
          <w:rFonts w:asciiTheme="minorHAnsi" w:hAnsiTheme="minorHAnsi" w:cs="Times New Roman"/>
        </w:rPr>
        <w:t xml:space="preserve"> to $125</w:t>
      </w:r>
      <w:r>
        <w:rPr>
          <w:rFonts w:asciiTheme="minorHAnsi" w:hAnsiTheme="minorHAnsi" w:cs="Times New Roman"/>
        </w:rPr>
        <w:t xml:space="preserve">. </w:t>
      </w:r>
      <w:r w:rsidRPr="00BE0600" w:rsidR="0081710F">
        <w:rPr>
          <w:rFonts w:asciiTheme="minorHAnsi" w:hAnsiTheme="minorHAnsi" w:cs="Times New Roman"/>
        </w:rPr>
        <w:t xml:space="preserve"> </w:t>
      </w:r>
      <w:r w:rsidR="001F7823">
        <w:rPr>
          <w:rFonts w:asciiTheme="minorHAnsi" w:hAnsiTheme="minorHAnsi" w:cs="Times New Roman"/>
        </w:rPr>
        <w:t>Additionally, t</w:t>
      </w:r>
      <w:r w:rsidR="00274B4D">
        <w:rPr>
          <w:rFonts w:asciiTheme="minorHAnsi" w:hAnsiTheme="minorHAnsi" w:cs="Times New Roman"/>
        </w:rPr>
        <w:t>he exam</w:t>
      </w:r>
      <w:r w:rsidR="00286840">
        <w:rPr>
          <w:rFonts w:asciiTheme="minorHAnsi" w:hAnsiTheme="minorHAnsi" w:cs="Times New Roman"/>
        </w:rPr>
        <w:t xml:space="preserve"> incentive for participants ages 12</w:t>
      </w:r>
      <w:r w:rsidR="00FB035F">
        <w:rPr>
          <w:rFonts w:asciiTheme="minorHAnsi" w:hAnsiTheme="minorHAnsi" w:cs="Times New Roman"/>
        </w:rPr>
        <w:t>-</w:t>
      </w:r>
      <w:r w:rsidR="00286840">
        <w:rPr>
          <w:rFonts w:asciiTheme="minorHAnsi" w:hAnsiTheme="minorHAnsi" w:cs="Times New Roman"/>
        </w:rPr>
        <w:t>15</w:t>
      </w:r>
      <w:r w:rsidR="00274B4D">
        <w:rPr>
          <w:rFonts w:asciiTheme="minorHAnsi" w:hAnsiTheme="minorHAnsi" w:cs="Times New Roman"/>
        </w:rPr>
        <w:t xml:space="preserve"> will increase from $60 to $85, and the incentive </w:t>
      </w:r>
      <w:r w:rsidR="001F7823">
        <w:rPr>
          <w:rFonts w:asciiTheme="minorHAnsi" w:hAnsiTheme="minorHAnsi" w:cs="Times New Roman"/>
        </w:rPr>
        <w:t>for children (</w:t>
      </w:r>
      <w:r w:rsidR="0001334F">
        <w:rPr>
          <w:rFonts w:asciiTheme="minorHAnsi" w:hAnsiTheme="minorHAnsi" w:cs="Times New Roman"/>
        </w:rPr>
        <w:t>&lt; 12 years) will increase from $40 to $65 (</w:t>
      </w:r>
      <w:r w:rsidRPr="0001334F" w:rsidR="0001334F">
        <w:rPr>
          <w:rFonts w:asciiTheme="minorHAnsi" w:hAnsiTheme="minorHAnsi" w:cs="Times New Roman"/>
          <w:b/>
          <w:bCs/>
        </w:rPr>
        <w:t>see Table 1</w:t>
      </w:r>
      <w:r w:rsidR="0001334F">
        <w:rPr>
          <w:rFonts w:asciiTheme="minorHAnsi" w:hAnsiTheme="minorHAnsi" w:cs="Times New Roman"/>
        </w:rPr>
        <w:t>). SPs younger than 16</w:t>
      </w:r>
      <w:r w:rsidR="00C97B29">
        <w:rPr>
          <w:rFonts w:asciiTheme="minorHAnsi" w:hAnsiTheme="minorHAnsi" w:cs="Times New Roman"/>
        </w:rPr>
        <w:t xml:space="preserve"> years</w:t>
      </w:r>
      <w:r w:rsidR="00722D01">
        <w:rPr>
          <w:rFonts w:asciiTheme="minorHAnsi" w:hAnsiTheme="minorHAnsi" w:cs="Times New Roman"/>
        </w:rPr>
        <w:t xml:space="preserve"> of age</w:t>
      </w:r>
      <w:r w:rsidR="0001334F">
        <w:rPr>
          <w:rFonts w:asciiTheme="minorHAnsi" w:hAnsiTheme="minorHAnsi" w:cs="Times New Roman"/>
        </w:rPr>
        <w:t xml:space="preserve"> </w:t>
      </w:r>
      <w:r w:rsidR="0001334F">
        <w:rPr>
          <w:rFonts w:asciiTheme="minorHAnsi" w:hAnsiTheme="minorHAnsi" w:cs="Times New Roman"/>
        </w:rPr>
        <w:t>complete</w:t>
      </w:r>
      <w:r w:rsidR="0001334F">
        <w:rPr>
          <w:rFonts w:asciiTheme="minorHAnsi" w:hAnsiTheme="minorHAnsi" w:cs="Times New Roman"/>
        </w:rPr>
        <w:t xml:space="preserve"> fewer exams, thus the incentive</w:t>
      </w:r>
      <w:r w:rsidR="00FC67D6">
        <w:rPr>
          <w:rFonts w:asciiTheme="minorHAnsi" w:hAnsiTheme="minorHAnsi" w:cs="Times New Roman"/>
        </w:rPr>
        <w:t xml:space="preserve"> </w:t>
      </w:r>
      <w:r w:rsidR="002C1F3C">
        <w:rPr>
          <w:rFonts w:asciiTheme="minorHAnsi" w:hAnsiTheme="minorHAnsi" w:cs="Times New Roman"/>
        </w:rPr>
        <w:t xml:space="preserve">for them </w:t>
      </w:r>
      <w:r w:rsidR="00FC67D6">
        <w:rPr>
          <w:rFonts w:asciiTheme="minorHAnsi" w:hAnsiTheme="minorHAnsi" w:cs="Times New Roman"/>
        </w:rPr>
        <w:t xml:space="preserve">is lower than the </w:t>
      </w:r>
      <w:r w:rsidRPr="002C1F3C" w:rsidR="002C1F3C">
        <w:rPr>
          <w:rFonts w:asciiTheme="minorHAnsi" w:hAnsiTheme="minorHAnsi" w:cs="Times New Roman"/>
        </w:rPr>
        <w:t xml:space="preserve">incentive </w:t>
      </w:r>
      <w:r w:rsidR="002F5CEF">
        <w:rPr>
          <w:rFonts w:asciiTheme="minorHAnsi" w:hAnsiTheme="minorHAnsi" w:cs="Times New Roman"/>
        </w:rPr>
        <w:t xml:space="preserve">for adult SPs. The Program </w:t>
      </w:r>
      <w:r w:rsidR="003D728E">
        <w:rPr>
          <w:rFonts w:asciiTheme="minorHAnsi" w:hAnsiTheme="minorHAnsi" w:cs="Times New Roman"/>
        </w:rPr>
        <w:t xml:space="preserve">also </w:t>
      </w:r>
      <w:r w:rsidR="009C41E3">
        <w:rPr>
          <w:rFonts w:asciiTheme="minorHAnsi" w:hAnsiTheme="minorHAnsi" w:cs="Times New Roman"/>
        </w:rPr>
        <w:t>requests</w:t>
      </w:r>
      <w:r w:rsidR="00522670">
        <w:rPr>
          <w:rFonts w:asciiTheme="minorHAnsi" w:hAnsiTheme="minorHAnsi" w:cs="Times New Roman"/>
        </w:rPr>
        <w:t xml:space="preserve"> $75</w:t>
      </w:r>
      <w:r w:rsidR="009C41E3">
        <w:rPr>
          <w:rFonts w:asciiTheme="minorHAnsi" w:hAnsiTheme="minorHAnsi" w:cs="Times New Roman"/>
        </w:rPr>
        <w:t xml:space="preserve"> </w:t>
      </w:r>
      <w:r w:rsidR="003B57EE">
        <w:rPr>
          <w:rFonts w:asciiTheme="minorHAnsi" w:hAnsiTheme="minorHAnsi" w:cs="Times New Roman"/>
        </w:rPr>
        <w:t>re</w:t>
      </w:r>
      <w:r w:rsidR="00F767F0">
        <w:rPr>
          <w:rFonts w:asciiTheme="minorHAnsi" w:hAnsiTheme="minorHAnsi" w:cs="Times New Roman"/>
        </w:rPr>
        <w:t>mun</w:t>
      </w:r>
      <w:r w:rsidR="003B57EE">
        <w:rPr>
          <w:rFonts w:asciiTheme="minorHAnsi" w:hAnsiTheme="minorHAnsi" w:cs="Times New Roman"/>
        </w:rPr>
        <w:t>eration</w:t>
      </w:r>
      <w:r w:rsidR="00522670">
        <w:rPr>
          <w:rFonts w:asciiTheme="minorHAnsi" w:hAnsiTheme="minorHAnsi" w:cs="Times New Roman"/>
        </w:rPr>
        <w:t xml:space="preserve"> </w:t>
      </w:r>
      <w:r w:rsidR="009C41E3">
        <w:rPr>
          <w:rFonts w:asciiTheme="minorHAnsi" w:hAnsiTheme="minorHAnsi" w:cs="Times New Roman"/>
        </w:rPr>
        <w:t>to dry-run par</w:t>
      </w:r>
      <w:r w:rsidR="006C4A2E">
        <w:rPr>
          <w:rFonts w:asciiTheme="minorHAnsi" w:hAnsiTheme="minorHAnsi" w:cs="Times New Roman"/>
        </w:rPr>
        <w:t>ticipants</w:t>
      </w:r>
      <w:r w:rsidR="002212CB">
        <w:rPr>
          <w:rFonts w:asciiTheme="minorHAnsi" w:hAnsiTheme="minorHAnsi" w:cs="Times New Roman"/>
        </w:rPr>
        <w:t xml:space="preserve"> as compensation for</w:t>
      </w:r>
      <w:r w:rsidR="00D8640E">
        <w:rPr>
          <w:rFonts w:asciiTheme="minorHAnsi" w:hAnsiTheme="minorHAnsi" w:cs="Times New Roman"/>
        </w:rPr>
        <w:t xml:space="preserve"> their </w:t>
      </w:r>
      <w:r w:rsidR="00D215F6">
        <w:rPr>
          <w:rFonts w:asciiTheme="minorHAnsi" w:hAnsiTheme="minorHAnsi" w:cs="Times New Roman"/>
        </w:rPr>
        <w:t>involvement</w:t>
      </w:r>
      <w:r w:rsidR="00D8640E">
        <w:rPr>
          <w:rFonts w:asciiTheme="minorHAnsi" w:hAnsiTheme="minorHAnsi" w:cs="Times New Roman"/>
        </w:rPr>
        <w:t xml:space="preserve">, which </w:t>
      </w:r>
      <w:r w:rsidR="003F4C86">
        <w:rPr>
          <w:rFonts w:asciiTheme="minorHAnsi" w:hAnsiTheme="minorHAnsi" w:cs="Times New Roman"/>
        </w:rPr>
        <w:t>is</w:t>
      </w:r>
      <w:r w:rsidR="00D8640E">
        <w:rPr>
          <w:rFonts w:asciiTheme="minorHAnsi" w:hAnsiTheme="minorHAnsi" w:cs="Times New Roman"/>
        </w:rPr>
        <w:t xml:space="preserve"> imperative for </w:t>
      </w:r>
      <w:r w:rsidR="00D2766E">
        <w:rPr>
          <w:rFonts w:asciiTheme="minorHAnsi" w:hAnsiTheme="minorHAnsi" w:cs="Times New Roman"/>
        </w:rPr>
        <w:t xml:space="preserve">the </w:t>
      </w:r>
      <w:r w:rsidR="00AE5C19">
        <w:rPr>
          <w:rFonts w:asciiTheme="minorHAnsi" w:hAnsiTheme="minorHAnsi" w:cs="Times New Roman"/>
        </w:rPr>
        <w:t xml:space="preserve">quality assurance </w:t>
      </w:r>
      <w:r w:rsidR="00F2627A">
        <w:rPr>
          <w:rFonts w:asciiTheme="minorHAnsi" w:hAnsiTheme="minorHAnsi" w:cs="Times New Roman"/>
        </w:rPr>
        <w:t xml:space="preserve">of MEC data collection. </w:t>
      </w:r>
      <w:r w:rsidR="00D67849">
        <w:rPr>
          <w:rFonts w:asciiTheme="minorHAnsi" w:hAnsiTheme="minorHAnsi" w:cs="Times New Roman"/>
        </w:rPr>
        <w:t>The dry-run process at the beginning of each PSU</w:t>
      </w:r>
      <w:r w:rsidR="00DA07A1">
        <w:rPr>
          <w:rFonts w:asciiTheme="minorHAnsi" w:hAnsiTheme="minorHAnsi" w:cs="Times New Roman"/>
        </w:rPr>
        <w:t xml:space="preserve">’s data collection allows the Program to test the recalibrated equipment after the mobile examination </w:t>
      </w:r>
      <w:r w:rsidR="00BB21F4">
        <w:rPr>
          <w:rFonts w:asciiTheme="minorHAnsi" w:hAnsiTheme="minorHAnsi" w:cs="Times New Roman"/>
        </w:rPr>
        <w:t>unit move</w:t>
      </w:r>
      <w:r w:rsidR="00875F3F">
        <w:rPr>
          <w:rFonts w:asciiTheme="minorHAnsi" w:hAnsiTheme="minorHAnsi" w:cs="Times New Roman"/>
        </w:rPr>
        <w:t>s</w:t>
      </w:r>
      <w:r w:rsidR="00BB21F4">
        <w:rPr>
          <w:rFonts w:asciiTheme="minorHAnsi" w:hAnsiTheme="minorHAnsi" w:cs="Times New Roman"/>
        </w:rPr>
        <w:t xml:space="preserve"> to the new survey </w:t>
      </w:r>
      <w:r w:rsidR="0028170B">
        <w:rPr>
          <w:rFonts w:asciiTheme="minorHAnsi" w:hAnsiTheme="minorHAnsi" w:cs="Times New Roman"/>
        </w:rPr>
        <w:t>location and</w:t>
      </w:r>
      <w:r w:rsidR="00BB21F4">
        <w:rPr>
          <w:rFonts w:asciiTheme="minorHAnsi" w:hAnsiTheme="minorHAnsi" w:cs="Times New Roman"/>
        </w:rPr>
        <w:t xml:space="preserve"> </w:t>
      </w:r>
      <w:r w:rsidR="00186693">
        <w:rPr>
          <w:rFonts w:asciiTheme="minorHAnsi" w:hAnsiTheme="minorHAnsi" w:cs="Times New Roman"/>
        </w:rPr>
        <w:t>su</w:t>
      </w:r>
      <w:r w:rsidR="00771925">
        <w:rPr>
          <w:rFonts w:asciiTheme="minorHAnsi" w:hAnsiTheme="minorHAnsi" w:cs="Times New Roman"/>
        </w:rPr>
        <w:t>pport</w:t>
      </w:r>
      <w:r w:rsidR="00B53A36">
        <w:rPr>
          <w:rFonts w:asciiTheme="minorHAnsi" w:hAnsiTheme="minorHAnsi" w:cs="Times New Roman"/>
        </w:rPr>
        <w:t>s</w:t>
      </w:r>
      <w:r w:rsidR="00DA07A1">
        <w:rPr>
          <w:rFonts w:asciiTheme="minorHAnsi" w:hAnsiTheme="minorHAnsi" w:cs="Times New Roman"/>
        </w:rPr>
        <w:t xml:space="preserve"> </w:t>
      </w:r>
      <w:r w:rsidR="00D8640E">
        <w:rPr>
          <w:rFonts w:asciiTheme="minorHAnsi" w:hAnsiTheme="minorHAnsi" w:cs="Times New Roman"/>
        </w:rPr>
        <w:t xml:space="preserve">early identification of </w:t>
      </w:r>
      <w:r w:rsidR="0022470A">
        <w:rPr>
          <w:rFonts w:asciiTheme="minorHAnsi" w:hAnsiTheme="minorHAnsi" w:cs="Times New Roman"/>
        </w:rPr>
        <w:t xml:space="preserve">MEC-specific issues. </w:t>
      </w:r>
      <w:r w:rsidR="000A0571">
        <w:rPr>
          <w:rFonts w:asciiTheme="minorHAnsi" w:hAnsiTheme="minorHAnsi" w:cs="Times New Roman"/>
        </w:rPr>
        <w:t xml:space="preserve">Only adults 18+ years are eligible </w:t>
      </w:r>
      <w:r w:rsidR="00F95B27">
        <w:rPr>
          <w:rFonts w:asciiTheme="minorHAnsi" w:hAnsiTheme="minorHAnsi" w:cs="Times New Roman"/>
        </w:rPr>
        <w:t>for d</w:t>
      </w:r>
      <w:r w:rsidR="009728CF">
        <w:rPr>
          <w:rFonts w:asciiTheme="minorHAnsi" w:hAnsiTheme="minorHAnsi" w:cs="Times New Roman"/>
        </w:rPr>
        <w:t>ry-</w:t>
      </w:r>
      <w:r w:rsidR="009728CF">
        <w:rPr>
          <w:rFonts w:asciiTheme="minorHAnsi" w:hAnsiTheme="minorHAnsi" w:cs="Times New Roman"/>
        </w:rPr>
        <w:t>run</w:t>
      </w:r>
      <w:r w:rsidR="009728CF">
        <w:rPr>
          <w:rFonts w:asciiTheme="minorHAnsi" w:hAnsiTheme="minorHAnsi" w:cs="Times New Roman"/>
        </w:rPr>
        <w:t xml:space="preserve"> </w:t>
      </w:r>
      <w:r w:rsidR="00F95B27">
        <w:rPr>
          <w:rFonts w:asciiTheme="minorHAnsi" w:hAnsiTheme="minorHAnsi" w:cs="Times New Roman"/>
        </w:rPr>
        <w:t>and they</w:t>
      </w:r>
      <w:r w:rsidR="009728CF">
        <w:rPr>
          <w:rFonts w:asciiTheme="minorHAnsi" w:hAnsiTheme="minorHAnsi" w:cs="Times New Roman"/>
        </w:rPr>
        <w:t xml:space="preserve"> </w:t>
      </w:r>
      <w:r w:rsidR="000A0571">
        <w:rPr>
          <w:rFonts w:asciiTheme="minorHAnsi" w:hAnsiTheme="minorHAnsi" w:cs="Times New Roman"/>
        </w:rPr>
        <w:t xml:space="preserve">complete fewer exams than the </w:t>
      </w:r>
      <w:r w:rsidR="00F95B27">
        <w:rPr>
          <w:rFonts w:asciiTheme="minorHAnsi" w:hAnsiTheme="minorHAnsi" w:cs="Times New Roman"/>
        </w:rPr>
        <w:t xml:space="preserve">regular </w:t>
      </w:r>
      <w:r w:rsidR="000A0571">
        <w:rPr>
          <w:rFonts w:asciiTheme="minorHAnsi" w:hAnsiTheme="minorHAnsi" w:cs="Times New Roman"/>
        </w:rPr>
        <w:t>adult</w:t>
      </w:r>
      <w:r w:rsidR="00F95B27">
        <w:rPr>
          <w:rFonts w:asciiTheme="minorHAnsi" w:hAnsiTheme="minorHAnsi" w:cs="Times New Roman"/>
        </w:rPr>
        <w:t xml:space="preserve"> SPs, thus the remuneration was </w:t>
      </w:r>
      <w:r w:rsidR="00A43CBD">
        <w:rPr>
          <w:rFonts w:asciiTheme="minorHAnsi" w:hAnsiTheme="minorHAnsi" w:cs="Times New Roman"/>
        </w:rPr>
        <w:t xml:space="preserve">adjusted to reflect this. </w:t>
      </w:r>
      <w:r w:rsidRPr="00A43CBD" w:rsidR="00A43CBD">
        <w:rPr>
          <w:rFonts w:asciiTheme="minorHAnsi" w:hAnsiTheme="minorHAnsi" w:cs="Times New Roman"/>
        </w:rPr>
        <w:t>The number of dry-run participants is limited</w:t>
      </w:r>
      <w:r w:rsidR="00A43CBD">
        <w:rPr>
          <w:rFonts w:asciiTheme="minorHAnsi" w:hAnsiTheme="minorHAnsi" w:cs="Times New Roman"/>
        </w:rPr>
        <w:t xml:space="preserve">: </w:t>
      </w:r>
      <w:r w:rsidRPr="00A43CBD" w:rsidR="00A43CBD">
        <w:rPr>
          <w:rFonts w:asciiTheme="minorHAnsi" w:hAnsiTheme="minorHAnsi" w:cs="Times New Roman"/>
        </w:rPr>
        <w:t xml:space="preserve">about 6 </w:t>
      </w:r>
      <w:r w:rsidRPr="00A43CBD" w:rsidR="00A43CBD">
        <w:rPr>
          <w:rFonts w:asciiTheme="minorHAnsi" w:hAnsiTheme="minorHAnsi" w:cs="Times New Roman"/>
        </w:rPr>
        <w:t>persons</w:t>
      </w:r>
      <w:r w:rsidRPr="00A43CBD" w:rsidR="00A43CBD">
        <w:rPr>
          <w:rFonts w:asciiTheme="minorHAnsi" w:hAnsiTheme="minorHAnsi" w:cs="Times New Roman"/>
        </w:rPr>
        <w:t xml:space="preserve"> per PSU, and 120 persons total per year.</w:t>
      </w:r>
    </w:p>
    <w:p w:rsidR="00E35C25" w:rsidP="007339CC" w14:paraId="20C9BD47" w14:textId="77777777">
      <w:pPr>
        <w:rPr>
          <w:rFonts w:asciiTheme="minorHAnsi" w:hAnsiTheme="minorHAnsi" w:cs="Times New Roman"/>
          <w:b/>
          <w:bCs/>
        </w:rPr>
      </w:pPr>
    </w:p>
    <w:p w:rsidR="00D06F3F" w:rsidRPr="00BE0600" w:rsidP="00675C85" w14:paraId="55594322" w14:textId="0C447C9B">
      <w:pPr>
        <w:keepNext/>
        <w:widowControl/>
        <w:rPr>
          <w:rFonts w:asciiTheme="minorHAnsi" w:hAnsiTheme="minorHAnsi" w:cs="Times New Roman"/>
          <w:b/>
          <w:bCs/>
        </w:rPr>
      </w:pPr>
      <w:r w:rsidRPr="00BE0600">
        <w:rPr>
          <w:rFonts w:asciiTheme="minorHAnsi" w:hAnsiTheme="minorHAnsi" w:cs="Times New Roman"/>
          <w:b/>
          <w:bCs/>
        </w:rPr>
        <w:t xml:space="preserve">Table </w:t>
      </w:r>
      <w:r w:rsidR="00BE3A40">
        <w:rPr>
          <w:rFonts w:asciiTheme="minorHAnsi" w:hAnsiTheme="minorHAnsi" w:cs="Times New Roman"/>
          <w:b/>
          <w:bCs/>
        </w:rPr>
        <w:t>1</w:t>
      </w:r>
      <w:r w:rsidRPr="00BE0600">
        <w:rPr>
          <w:rFonts w:asciiTheme="minorHAnsi" w:hAnsiTheme="minorHAnsi" w:cs="Times New Roman"/>
          <w:b/>
          <w:bCs/>
        </w:rPr>
        <w:t>. Total NHANES</w:t>
      </w:r>
      <w:r w:rsidR="00F93E92">
        <w:rPr>
          <w:rFonts w:asciiTheme="minorHAnsi" w:hAnsiTheme="minorHAnsi" w:cs="Times New Roman"/>
          <w:b/>
          <w:bCs/>
        </w:rPr>
        <w:t xml:space="preserve"> </w:t>
      </w:r>
      <w:r w:rsidRPr="00BE0600">
        <w:rPr>
          <w:rFonts w:asciiTheme="minorHAnsi" w:hAnsiTheme="minorHAnsi" w:cs="Times New Roman"/>
          <w:b/>
          <w:bCs/>
        </w:rPr>
        <w:t>Incentive</w:t>
      </w:r>
      <w:r w:rsidRPr="00BE0600" w:rsidR="00BA6BF0">
        <w:rPr>
          <w:rFonts w:asciiTheme="minorHAnsi" w:hAnsiTheme="minorHAnsi" w:cs="Times New Roman"/>
          <w:b/>
          <w:bCs/>
        </w:rPr>
        <w:t>s</w:t>
      </w:r>
    </w:p>
    <w:p w:rsidR="003E64F6" w:rsidRPr="00BE0600" w:rsidP="00675C85" w14:paraId="51820995" w14:textId="04B669D5">
      <w:pPr>
        <w:keepNext/>
        <w:widowControl/>
        <w:rPr>
          <w:rFonts w:asciiTheme="minorHAnsi" w:hAnsiTheme="minorHAnsi" w:cs="Times New Roman"/>
          <w:b/>
          <w:bCs/>
        </w:rPr>
      </w:pPr>
    </w:p>
    <w:tbl>
      <w:tblPr>
        <w:tblW w:w="4090" w:type="pct"/>
        <w:tblCellMar>
          <w:left w:w="0" w:type="dxa"/>
          <w:right w:w="0" w:type="dxa"/>
        </w:tblCellMar>
        <w:tblLook w:val="0420"/>
      </w:tblPr>
      <w:tblGrid>
        <w:gridCol w:w="1432"/>
        <w:gridCol w:w="3239"/>
        <w:gridCol w:w="2969"/>
      </w:tblGrid>
      <w:tr w14:paraId="5A4840A3" w14:textId="3CBAC623" w:rsidTr="004C0EAF">
        <w:tblPrEx>
          <w:tblW w:w="4090" w:type="pct"/>
          <w:tblCellMar>
            <w:left w:w="0" w:type="dxa"/>
            <w:right w:w="0" w:type="dxa"/>
          </w:tblCellMar>
          <w:tblLook w:val="0420"/>
        </w:tblPrEx>
        <w:trPr>
          <w:trHeight w:val="538"/>
          <w:tblHeader/>
        </w:trPr>
        <w:tc>
          <w:tcPr>
            <w:tcW w:w="937" w:type="pct"/>
            <w:tcBorders>
              <w:top w:val="single" w:sz="8" w:space="0" w:color="1D8894"/>
              <w:left w:val="single" w:sz="8" w:space="0" w:color="1D8894"/>
              <w:bottom w:val="single" w:sz="18" w:space="0" w:color="1D8894"/>
              <w:right w:val="single" w:sz="8" w:space="0" w:color="1D8894"/>
            </w:tcBorders>
            <w:tcMar>
              <w:top w:w="72" w:type="dxa"/>
              <w:left w:w="144" w:type="dxa"/>
              <w:bottom w:w="72" w:type="dxa"/>
              <w:right w:w="144" w:type="dxa"/>
            </w:tcMar>
            <w:hideMark/>
          </w:tcPr>
          <w:p w:rsidR="0075542F" w:rsidRPr="00BE0600" w:rsidP="00675C85" w14:paraId="08B22435" w14:textId="77777777">
            <w:pPr>
              <w:keepNext/>
              <w:widowControl/>
              <w:jc w:val="center"/>
              <w:rPr>
                <w:rFonts w:asciiTheme="minorHAnsi" w:hAnsiTheme="minorHAnsi" w:cs="Times New Roman"/>
                <w:b/>
                <w:bCs/>
              </w:rPr>
            </w:pPr>
          </w:p>
          <w:p w:rsidR="0075542F" w:rsidRPr="00BE0600" w:rsidP="00675C85" w14:paraId="2BDEEA46" w14:textId="28D18398">
            <w:pPr>
              <w:keepNext/>
              <w:widowControl/>
              <w:jc w:val="center"/>
              <w:rPr>
                <w:rFonts w:asciiTheme="minorHAnsi" w:hAnsiTheme="minorHAnsi" w:cs="Times New Roman"/>
                <w:b/>
                <w:bCs/>
              </w:rPr>
            </w:pPr>
            <w:r w:rsidRPr="00BE0600">
              <w:rPr>
                <w:rFonts w:asciiTheme="minorHAnsi" w:hAnsiTheme="minorHAnsi" w:cs="Times New Roman"/>
                <w:b/>
                <w:bCs/>
              </w:rPr>
              <w:t>Age</w:t>
            </w:r>
          </w:p>
        </w:tc>
        <w:tc>
          <w:tcPr>
            <w:tcW w:w="2120" w:type="pct"/>
            <w:tcBorders>
              <w:top w:val="single" w:sz="8" w:space="0" w:color="1D8894"/>
              <w:left w:val="single" w:sz="8" w:space="0" w:color="1D8894"/>
              <w:bottom w:val="single" w:sz="18" w:space="0" w:color="1D8894"/>
              <w:right w:val="single" w:sz="8" w:space="0" w:color="1D8894"/>
            </w:tcBorders>
            <w:tcMar>
              <w:top w:w="72" w:type="dxa"/>
              <w:left w:w="144" w:type="dxa"/>
              <w:bottom w:w="72" w:type="dxa"/>
              <w:right w:w="144" w:type="dxa"/>
            </w:tcMar>
            <w:vAlign w:val="center"/>
            <w:hideMark/>
          </w:tcPr>
          <w:p w:rsidR="0075542F" w:rsidRPr="00BE0600" w:rsidP="00675C85" w14:paraId="284D6457" w14:textId="59A7A3C8">
            <w:pPr>
              <w:keepNext/>
              <w:widowControl/>
              <w:jc w:val="center"/>
              <w:rPr>
                <w:rFonts w:asciiTheme="minorHAnsi" w:hAnsiTheme="minorHAnsi" w:cs="Times New Roman"/>
                <w:b/>
                <w:bCs/>
              </w:rPr>
            </w:pPr>
            <w:r w:rsidRPr="00BE0600">
              <w:rPr>
                <w:rFonts w:asciiTheme="minorHAnsi" w:hAnsiTheme="minorHAnsi" w:cs="Times New Roman"/>
                <w:b/>
                <w:bCs/>
              </w:rPr>
              <w:t>Current</w:t>
            </w:r>
          </w:p>
          <w:p w:rsidR="0075542F" w:rsidRPr="00BE0600" w:rsidP="00675C85" w14:paraId="7FC2D198" w14:textId="54AD9D6F">
            <w:pPr>
              <w:keepNext/>
              <w:widowControl/>
              <w:jc w:val="center"/>
              <w:rPr>
                <w:rFonts w:asciiTheme="minorHAnsi" w:hAnsiTheme="minorHAnsi" w:cs="Times New Roman"/>
                <w:b/>
                <w:bCs/>
              </w:rPr>
            </w:pPr>
            <w:r>
              <w:rPr>
                <w:rFonts w:asciiTheme="minorHAnsi" w:hAnsiTheme="minorHAnsi" w:cs="Times New Roman"/>
                <w:b/>
                <w:bCs/>
              </w:rPr>
              <w:t>2025-2026</w:t>
            </w:r>
            <w:r w:rsidRPr="00BE0600">
              <w:rPr>
                <w:rFonts w:asciiTheme="minorHAnsi" w:hAnsiTheme="minorHAnsi" w:cs="Times New Roman"/>
                <w:b/>
                <w:bCs/>
              </w:rPr>
              <w:t xml:space="preserve"> Incentives</w:t>
            </w:r>
          </w:p>
        </w:tc>
        <w:tc>
          <w:tcPr>
            <w:tcW w:w="1944" w:type="pct"/>
            <w:tcBorders>
              <w:top w:val="single" w:sz="8" w:space="0" w:color="1D8894"/>
              <w:left w:val="single" w:sz="8" w:space="0" w:color="1D8894"/>
              <w:bottom w:val="single" w:sz="18" w:space="0" w:color="1D8894"/>
              <w:right w:val="single" w:sz="8" w:space="0" w:color="1D8894"/>
            </w:tcBorders>
          </w:tcPr>
          <w:p w:rsidR="0075542F" w:rsidRPr="00BE0600" w:rsidP="00675C85" w14:paraId="18944F73" w14:textId="1881A35E">
            <w:pPr>
              <w:keepNext/>
              <w:widowControl/>
              <w:jc w:val="center"/>
              <w:rPr>
                <w:rFonts w:asciiTheme="minorHAnsi" w:hAnsiTheme="minorHAnsi" w:cs="Times New Roman"/>
                <w:b/>
                <w:bCs/>
              </w:rPr>
            </w:pPr>
            <w:r w:rsidRPr="00BE0600">
              <w:rPr>
                <w:rFonts w:asciiTheme="minorHAnsi" w:hAnsiTheme="minorHAnsi" w:cs="Times New Roman"/>
                <w:b/>
                <w:bCs/>
              </w:rPr>
              <w:t>Proposed</w:t>
            </w:r>
          </w:p>
          <w:p w:rsidR="0075542F" w:rsidRPr="00BE0600" w:rsidP="00675C85" w14:paraId="644FEF19" w14:textId="6EEB4BC6">
            <w:pPr>
              <w:keepNext/>
              <w:widowControl/>
              <w:jc w:val="center"/>
              <w:rPr>
                <w:rFonts w:asciiTheme="minorHAnsi" w:hAnsiTheme="minorHAnsi" w:cs="Times New Roman"/>
                <w:b/>
                <w:bCs/>
              </w:rPr>
            </w:pPr>
            <w:r w:rsidRPr="00BE0600">
              <w:rPr>
                <w:rFonts w:asciiTheme="minorHAnsi" w:hAnsiTheme="minorHAnsi" w:cs="Times New Roman"/>
                <w:b/>
                <w:bCs/>
              </w:rPr>
              <w:t>202</w:t>
            </w:r>
            <w:r w:rsidR="009D4715">
              <w:rPr>
                <w:rFonts w:asciiTheme="minorHAnsi" w:hAnsiTheme="minorHAnsi" w:cs="Times New Roman"/>
                <w:b/>
                <w:bCs/>
              </w:rPr>
              <w:t>5</w:t>
            </w:r>
            <w:r w:rsidRPr="00BE0600">
              <w:rPr>
                <w:rFonts w:asciiTheme="minorHAnsi" w:hAnsiTheme="minorHAnsi" w:cs="Times New Roman"/>
                <w:b/>
                <w:bCs/>
              </w:rPr>
              <w:t xml:space="preserve"> – 202</w:t>
            </w:r>
            <w:r w:rsidR="00870E54">
              <w:rPr>
                <w:rFonts w:asciiTheme="minorHAnsi" w:hAnsiTheme="minorHAnsi" w:cs="Times New Roman"/>
                <w:b/>
                <w:bCs/>
              </w:rPr>
              <w:t>6(</w:t>
            </w:r>
            <w:r w:rsidR="009D4715">
              <w:rPr>
                <w:rFonts w:asciiTheme="minorHAnsi" w:hAnsiTheme="minorHAnsi" w:cs="Times New Roman"/>
                <w:b/>
                <w:bCs/>
              </w:rPr>
              <w:t>7</w:t>
            </w:r>
            <w:r w:rsidR="00870E54">
              <w:rPr>
                <w:rFonts w:asciiTheme="minorHAnsi" w:hAnsiTheme="minorHAnsi" w:cs="Times New Roman"/>
                <w:b/>
                <w:bCs/>
              </w:rPr>
              <w:t>)</w:t>
            </w:r>
            <w:r w:rsidRPr="00BE0600" w:rsidR="009D4715">
              <w:rPr>
                <w:rFonts w:asciiTheme="minorHAnsi" w:hAnsiTheme="minorHAnsi" w:cs="Times New Roman"/>
                <w:b/>
                <w:bCs/>
              </w:rPr>
              <w:t>*</w:t>
            </w:r>
            <w:r w:rsidRPr="00BE0600">
              <w:rPr>
                <w:rFonts w:asciiTheme="minorHAnsi" w:hAnsiTheme="minorHAnsi" w:cs="Times New Roman"/>
                <w:b/>
                <w:bCs/>
              </w:rPr>
              <w:t xml:space="preserve"> Incentives</w:t>
            </w:r>
          </w:p>
        </w:tc>
      </w:tr>
      <w:tr w14:paraId="0D3FE322" w14:textId="69948FBC" w:rsidTr="004C0EAF">
        <w:tblPrEx>
          <w:tblW w:w="4090" w:type="pct"/>
          <w:tblCellMar>
            <w:left w:w="0" w:type="dxa"/>
            <w:right w:w="0" w:type="dxa"/>
          </w:tblCellMar>
          <w:tblLook w:val="0420"/>
        </w:tblPrEx>
        <w:trPr>
          <w:trHeight w:val="411"/>
        </w:trPr>
        <w:tc>
          <w:tcPr>
            <w:tcW w:w="937" w:type="pct"/>
            <w:tcBorders>
              <w:top w:val="single" w:sz="18" w:space="0" w:color="1D8894"/>
              <w:left w:val="single" w:sz="8" w:space="0" w:color="1D8894"/>
              <w:bottom w:val="single" w:sz="8" w:space="0" w:color="1D8894"/>
              <w:right w:val="single" w:sz="8" w:space="0" w:color="1D8894"/>
            </w:tcBorders>
            <w:shd w:val="clear" w:color="auto" w:fill="E7EDEF"/>
            <w:tcMar>
              <w:top w:w="72" w:type="dxa"/>
              <w:left w:w="144" w:type="dxa"/>
              <w:bottom w:w="72" w:type="dxa"/>
              <w:right w:w="144" w:type="dxa"/>
            </w:tcMar>
            <w:hideMark/>
          </w:tcPr>
          <w:p w:rsidR="0075542F" w:rsidRPr="00BE0600" w:rsidP="00675C85" w14:paraId="20E49824" w14:textId="56C748B9">
            <w:pPr>
              <w:keepNext/>
              <w:widowControl/>
              <w:jc w:val="center"/>
              <w:rPr>
                <w:rFonts w:asciiTheme="minorHAnsi" w:hAnsiTheme="minorHAnsi" w:cs="Times New Roman"/>
              </w:rPr>
            </w:pPr>
            <w:r w:rsidRPr="00BE0600">
              <w:rPr>
                <w:rFonts w:asciiTheme="minorHAnsi" w:hAnsiTheme="minorHAnsi" w:cs="Times New Roman"/>
              </w:rPr>
              <w:t xml:space="preserve">16 </w:t>
            </w:r>
            <w:r w:rsidRPr="00BE0600">
              <w:rPr>
                <w:rFonts w:asciiTheme="minorHAnsi" w:hAnsiTheme="minorHAnsi" w:cs="Times New Roman"/>
              </w:rPr>
              <w:t>years and</w:t>
            </w:r>
            <w:r w:rsidRPr="00BE0600">
              <w:rPr>
                <w:rFonts w:asciiTheme="minorHAnsi" w:hAnsiTheme="minorHAnsi" w:cs="Times New Roman"/>
              </w:rPr>
              <w:t xml:space="preserve"> older</w:t>
            </w:r>
          </w:p>
        </w:tc>
        <w:tc>
          <w:tcPr>
            <w:tcW w:w="2120" w:type="pct"/>
            <w:tcBorders>
              <w:top w:val="single" w:sz="18" w:space="0" w:color="1D8894"/>
              <w:left w:val="single" w:sz="8" w:space="0" w:color="1D8894"/>
              <w:bottom w:val="single" w:sz="8" w:space="0" w:color="1D8894"/>
              <w:right w:val="single" w:sz="8" w:space="0" w:color="1D8894"/>
            </w:tcBorders>
            <w:shd w:val="clear" w:color="auto" w:fill="E7EDEF"/>
            <w:tcMar>
              <w:top w:w="72" w:type="dxa"/>
              <w:left w:w="144" w:type="dxa"/>
              <w:bottom w:w="72" w:type="dxa"/>
              <w:right w:w="144" w:type="dxa"/>
            </w:tcMar>
            <w:hideMark/>
          </w:tcPr>
          <w:p w:rsidR="0075542F" w:rsidRPr="00BE0600" w:rsidP="00675C85" w14:paraId="21203BF0" w14:textId="3C20E8EF">
            <w:pPr>
              <w:keepNext/>
              <w:widowControl/>
              <w:jc w:val="center"/>
              <w:rPr>
                <w:rFonts w:asciiTheme="minorHAnsi" w:hAnsiTheme="minorHAnsi" w:cs="Times New Roman"/>
              </w:rPr>
            </w:pPr>
            <w:r w:rsidRPr="00BE0600">
              <w:rPr>
                <w:rFonts w:asciiTheme="minorHAnsi" w:hAnsiTheme="minorHAnsi" w:cs="Times New Roman"/>
              </w:rPr>
              <w:t xml:space="preserve">$25 interview + </w:t>
            </w:r>
            <w:r w:rsidRPr="00BE0600">
              <w:rPr>
                <w:rFonts w:asciiTheme="minorHAnsi" w:hAnsiTheme="minorHAnsi" w:cs="Times New Roman"/>
                <w:b/>
                <w:bCs/>
                <w:color w:val="FF0000"/>
              </w:rPr>
              <w:t>$</w:t>
            </w:r>
            <w:r w:rsidR="00AA5608">
              <w:rPr>
                <w:rFonts w:asciiTheme="minorHAnsi" w:hAnsiTheme="minorHAnsi" w:cs="Times New Roman"/>
                <w:b/>
                <w:bCs/>
                <w:color w:val="FF0000"/>
              </w:rPr>
              <w:t>100</w:t>
            </w:r>
            <w:r w:rsidRPr="00BE0600">
              <w:rPr>
                <w:rFonts w:asciiTheme="minorHAnsi" w:hAnsiTheme="minorHAnsi" w:cs="Times New Roman"/>
                <w:color w:val="FF0000"/>
              </w:rPr>
              <w:t xml:space="preserve"> </w:t>
            </w:r>
            <w:r w:rsidRPr="00BE0600">
              <w:rPr>
                <w:rFonts w:asciiTheme="minorHAnsi" w:hAnsiTheme="minorHAnsi" w:cs="Times New Roman"/>
              </w:rPr>
              <w:t>MEC + $</w:t>
            </w:r>
            <w:r w:rsidR="00C9348A">
              <w:rPr>
                <w:rFonts w:asciiTheme="minorHAnsi" w:hAnsiTheme="minorHAnsi" w:cs="Times New Roman"/>
              </w:rPr>
              <w:t>30</w:t>
            </w:r>
            <w:r w:rsidRPr="00BE0600">
              <w:rPr>
                <w:rFonts w:asciiTheme="minorHAnsi" w:hAnsiTheme="minorHAnsi" w:cs="Times New Roman"/>
              </w:rPr>
              <w:t xml:space="preserve"> dietary Day 1 interview + $</w:t>
            </w:r>
            <w:r w:rsidR="00C9348A">
              <w:rPr>
                <w:rFonts w:asciiTheme="minorHAnsi" w:hAnsiTheme="minorHAnsi" w:cs="Times New Roman"/>
              </w:rPr>
              <w:t>30</w:t>
            </w:r>
            <w:r w:rsidRPr="00BE0600">
              <w:rPr>
                <w:rFonts w:asciiTheme="minorHAnsi" w:hAnsiTheme="minorHAnsi" w:cs="Times New Roman"/>
              </w:rPr>
              <w:t xml:space="preserve"> dietary Day 2 interview = </w:t>
            </w:r>
            <w:r w:rsidRPr="00BE0600">
              <w:rPr>
                <w:rFonts w:asciiTheme="minorHAnsi" w:hAnsiTheme="minorHAnsi" w:cs="Times New Roman"/>
                <w:b/>
                <w:bCs/>
              </w:rPr>
              <w:t>$1</w:t>
            </w:r>
            <w:r w:rsidR="00901D06">
              <w:rPr>
                <w:rFonts w:asciiTheme="minorHAnsi" w:hAnsiTheme="minorHAnsi" w:cs="Times New Roman"/>
                <w:b/>
                <w:bCs/>
              </w:rPr>
              <w:t>85</w:t>
            </w:r>
          </w:p>
        </w:tc>
        <w:tc>
          <w:tcPr>
            <w:tcW w:w="1944" w:type="pct"/>
            <w:tcBorders>
              <w:top w:val="single" w:sz="18" w:space="0" w:color="1D8894"/>
              <w:left w:val="single" w:sz="8" w:space="0" w:color="1D8894"/>
              <w:bottom w:val="single" w:sz="8" w:space="0" w:color="1D8894"/>
              <w:right w:val="single" w:sz="8" w:space="0" w:color="1D8894"/>
            </w:tcBorders>
            <w:shd w:val="clear" w:color="auto" w:fill="E7EDEF"/>
          </w:tcPr>
          <w:p w:rsidR="0075542F" w:rsidRPr="00BE0600" w:rsidP="00675C85" w14:paraId="035B1098" w14:textId="52573C19">
            <w:pPr>
              <w:keepNext/>
              <w:widowControl/>
              <w:jc w:val="center"/>
              <w:rPr>
                <w:rFonts w:asciiTheme="minorHAnsi" w:hAnsiTheme="minorHAnsi" w:cs="Times New Roman"/>
              </w:rPr>
            </w:pPr>
            <w:r w:rsidRPr="00BE0600">
              <w:rPr>
                <w:rFonts w:asciiTheme="minorHAnsi" w:hAnsiTheme="minorHAnsi" w:cs="Times New Roman"/>
              </w:rPr>
              <w:t xml:space="preserve">$25 interview + </w:t>
            </w:r>
            <w:r w:rsidRPr="00BE0600">
              <w:rPr>
                <w:rFonts w:asciiTheme="minorHAnsi" w:hAnsiTheme="minorHAnsi" w:cs="Times New Roman"/>
                <w:b/>
                <w:bCs/>
                <w:color w:val="FF0000"/>
              </w:rPr>
              <w:t>$125</w:t>
            </w:r>
            <w:r w:rsidRPr="00BE0600">
              <w:rPr>
                <w:rFonts w:asciiTheme="minorHAnsi" w:hAnsiTheme="minorHAnsi" w:cs="Times New Roman"/>
              </w:rPr>
              <w:t xml:space="preserve"> MEC + $</w:t>
            </w:r>
            <w:r w:rsidR="004C0EAF">
              <w:rPr>
                <w:rFonts w:asciiTheme="minorHAnsi" w:hAnsiTheme="minorHAnsi" w:cs="Times New Roman"/>
              </w:rPr>
              <w:t>30</w:t>
            </w:r>
            <w:r w:rsidRPr="00BE0600">
              <w:rPr>
                <w:rFonts w:asciiTheme="minorHAnsi" w:hAnsiTheme="minorHAnsi" w:cs="Times New Roman"/>
              </w:rPr>
              <w:t xml:space="preserve"> dietary Day 1 interview + $</w:t>
            </w:r>
            <w:r w:rsidR="004C0EAF">
              <w:rPr>
                <w:rFonts w:asciiTheme="minorHAnsi" w:hAnsiTheme="minorHAnsi" w:cs="Times New Roman"/>
              </w:rPr>
              <w:t>30</w:t>
            </w:r>
            <w:r w:rsidRPr="00BE0600">
              <w:rPr>
                <w:rFonts w:asciiTheme="minorHAnsi" w:hAnsiTheme="minorHAnsi" w:cs="Times New Roman"/>
              </w:rPr>
              <w:t xml:space="preserve"> dietary Day 2 interview = </w:t>
            </w:r>
            <w:r w:rsidRPr="00BE0600">
              <w:rPr>
                <w:rFonts w:asciiTheme="minorHAnsi" w:hAnsiTheme="minorHAnsi" w:cs="Times New Roman"/>
                <w:b/>
                <w:bCs/>
              </w:rPr>
              <w:t>$2</w:t>
            </w:r>
            <w:r w:rsidR="00D05587">
              <w:rPr>
                <w:rFonts w:asciiTheme="minorHAnsi" w:hAnsiTheme="minorHAnsi" w:cs="Times New Roman"/>
                <w:b/>
                <w:bCs/>
              </w:rPr>
              <w:t>10</w:t>
            </w:r>
          </w:p>
        </w:tc>
      </w:tr>
      <w:tr w14:paraId="0ED57310" w14:textId="57983CE8" w:rsidTr="004C0EAF">
        <w:tblPrEx>
          <w:tblW w:w="4090" w:type="pct"/>
          <w:tblCellMar>
            <w:left w:w="0" w:type="dxa"/>
            <w:right w:w="0" w:type="dxa"/>
          </w:tblCellMar>
          <w:tblLook w:val="0420"/>
        </w:tblPrEx>
        <w:trPr>
          <w:trHeight w:val="411"/>
        </w:trPr>
        <w:tc>
          <w:tcPr>
            <w:tcW w:w="937" w:type="pct"/>
            <w:tcBorders>
              <w:top w:val="single" w:sz="8" w:space="0" w:color="1D8894"/>
              <w:left w:val="single" w:sz="8" w:space="0" w:color="1D8894"/>
              <w:bottom w:val="single" w:sz="8" w:space="0" w:color="1D8894"/>
              <w:right w:val="single" w:sz="8" w:space="0" w:color="1D8894"/>
            </w:tcBorders>
            <w:tcMar>
              <w:top w:w="72" w:type="dxa"/>
              <w:left w:w="144" w:type="dxa"/>
              <w:bottom w:w="72" w:type="dxa"/>
              <w:right w:w="144" w:type="dxa"/>
            </w:tcMar>
            <w:hideMark/>
          </w:tcPr>
          <w:p w:rsidR="0075542F" w:rsidRPr="00BE0600" w:rsidP="00675C85" w14:paraId="0A428B0B" w14:textId="77777777">
            <w:pPr>
              <w:keepNext/>
              <w:widowControl/>
              <w:jc w:val="center"/>
              <w:rPr>
                <w:rFonts w:asciiTheme="minorHAnsi" w:hAnsiTheme="minorHAnsi" w:cs="Times New Roman"/>
              </w:rPr>
            </w:pPr>
            <w:r w:rsidRPr="00BE0600">
              <w:rPr>
                <w:rFonts w:asciiTheme="minorHAnsi" w:hAnsiTheme="minorHAnsi" w:cs="Times New Roman"/>
              </w:rPr>
              <w:t>12 – 15</w:t>
            </w:r>
          </w:p>
          <w:p w:rsidR="0075542F" w:rsidRPr="00BE0600" w:rsidP="00675C85" w14:paraId="66F94586" w14:textId="64109F63">
            <w:pPr>
              <w:keepNext/>
              <w:widowControl/>
              <w:jc w:val="center"/>
              <w:rPr>
                <w:rFonts w:asciiTheme="minorHAnsi" w:hAnsiTheme="minorHAnsi" w:cs="Times New Roman"/>
              </w:rPr>
            </w:pPr>
            <w:r w:rsidRPr="00BE0600">
              <w:rPr>
                <w:rFonts w:asciiTheme="minorHAnsi" w:hAnsiTheme="minorHAnsi" w:cs="Times New Roman"/>
              </w:rPr>
              <w:t>years</w:t>
            </w:r>
          </w:p>
        </w:tc>
        <w:tc>
          <w:tcPr>
            <w:tcW w:w="2120" w:type="pct"/>
            <w:tcBorders>
              <w:top w:val="single" w:sz="8" w:space="0" w:color="1D8894"/>
              <w:left w:val="single" w:sz="8" w:space="0" w:color="1D8894"/>
              <w:bottom w:val="single" w:sz="8" w:space="0" w:color="1D8894"/>
              <w:right w:val="single" w:sz="8" w:space="0" w:color="1D8894"/>
            </w:tcBorders>
            <w:tcMar>
              <w:top w:w="72" w:type="dxa"/>
              <w:left w:w="144" w:type="dxa"/>
              <w:bottom w:w="72" w:type="dxa"/>
              <w:right w:w="144" w:type="dxa"/>
            </w:tcMar>
            <w:hideMark/>
          </w:tcPr>
          <w:p w:rsidR="0075542F" w:rsidRPr="00BE0600" w:rsidP="00675C85" w14:paraId="37F36D64" w14:textId="7A66A93D">
            <w:pPr>
              <w:keepNext/>
              <w:widowControl/>
              <w:jc w:val="center"/>
              <w:rPr>
                <w:rFonts w:asciiTheme="minorHAnsi" w:hAnsiTheme="minorHAnsi" w:cs="Times New Roman"/>
              </w:rPr>
            </w:pPr>
            <w:r w:rsidRPr="00BE0600">
              <w:rPr>
                <w:rFonts w:asciiTheme="minorHAnsi" w:hAnsiTheme="minorHAnsi" w:cs="Times New Roman"/>
              </w:rPr>
              <w:t xml:space="preserve">$25 interview + </w:t>
            </w:r>
            <w:r w:rsidRPr="00AA5608">
              <w:rPr>
                <w:rFonts w:asciiTheme="minorHAnsi" w:hAnsiTheme="minorHAnsi" w:cs="Times New Roman"/>
                <w:b/>
                <w:bCs/>
                <w:color w:val="FF0000"/>
              </w:rPr>
              <w:t>$60</w:t>
            </w:r>
            <w:r w:rsidRPr="00AA5608">
              <w:rPr>
                <w:rFonts w:asciiTheme="minorHAnsi" w:hAnsiTheme="minorHAnsi" w:cs="Times New Roman"/>
                <w:color w:val="FF0000"/>
              </w:rPr>
              <w:t xml:space="preserve"> </w:t>
            </w:r>
            <w:r w:rsidRPr="00BE0600">
              <w:rPr>
                <w:rFonts w:asciiTheme="minorHAnsi" w:hAnsiTheme="minorHAnsi" w:cs="Times New Roman"/>
              </w:rPr>
              <w:t>MEC + $</w:t>
            </w:r>
            <w:r w:rsidR="00B71600">
              <w:rPr>
                <w:rFonts w:asciiTheme="minorHAnsi" w:hAnsiTheme="minorHAnsi" w:cs="Times New Roman"/>
              </w:rPr>
              <w:t>30</w:t>
            </w:r>
            <w:r w:rsidRPr="00BE0600">
              <w:rPr>
                <w:rFonts w:asciiTheme="minorHAnsi" w:hAnsiTheme="minorHAnsi" w:cs="Times New Roman"/>
              </w:rPr>
              <w:t xml:space="preserve"> dietary Day 1 interview + $</w:t>
            </w:r>
            <w:r w:rsidR="00B71600">
              <w:rPr>
                <w:rFonts w:asciiTheme="minorHAnsi" w:hAnsiTheme="minorHAnsi" w:cs="Times New Roman"/>
              </w:rPr>
              <w:t>30</w:t>
            </w:r>
            <w:r w:rsidRPr="00BE0600">
              <w:rPr>
                <w:rFonts w:asciiTheme="minorHAnsi" w:hAnsiTheme="minorHAnsi" w:cs="Times New Roman"/>
              </w:rPr>
              <w:t xml:space="preserve"> dietary Day 2 interview = </w:t>
            </w:r>
            <w:r w:rsidRPr="00BE0600">
              <w:rPr>
                <w:rFonts w:asciiTheme="minorHAnsi" w:hAnsiTheme="minorHAnsi" w:cs="Times New Roman"/>
                <w:b/>
                <w:bCs/>
              </w:rPr>
              <w:t>$1</w:t>
            </w:r>
            <w:r w:rsidR="00C86808">
              <w:rPr>
                <w:rFonts w:asciiTheme="minorHAnsi" w:hAnsiTheme="minorHAnsi" w:cs="Times New Roman"/>
                <w:b/>
                <w:bCs/>
              </w:rPr>
              <w:t>4</w:t>
            </w:r>
            <w:r w:rsidRPr="00BE0600">
              <w:rPr>
                <w:rFonts w:asciiTheme="minorHAnsi" w:hAnsiTheme="minorHAnsi" w:cs="Times New Roman"/>
                <w:b/>
                <w:bCs/>
              </w:rPr>
              <w:t>5</w:t>
            </w:r>
          </w:p>
        </w:tc>
        <w:tc>
          <w:tcPr>
            <w:tcW w:w="1944" w:type="pct"/>
            <w:tcBorders>
              <w:top w:val="single" w:sz="8" w:space="0" w:color="1D8894"/>
              <w:left w:val="single" w:sz="8" w:space="0" w:color="1D8894"/>
              <w:bottom w:val="single" w:sz="8" w:space="0" w:color="1D8894"/>
              <w:right w:val="single" w:sz="8" w:space="0" w:color="1D8894"/>
            </w:tcBorders>
          </w:tcPr>
          <w:p w:rsidR="0075542F" w:rsidRPr="00BE0600" w:rsidP="00675C85" w14:paraId="06657823" w14:textId="6AE78B91">
            <w:pPr>
              <w:keepNext/>
              <w:widowControl/>
              <w:jc w:val="center"/>
              <w:rPr>
                <w:rFonts w:asciiTheme="minorHAnsi" w:hAnsiTheme="minorHAnsi" w:cs="Times New Roman"/>
              </w:rPr>
            </w:pPr>
            <w:r w:rsidRPr="00BE0600">
              <w:rPr>
                <w:rFonts w:asciiTheme="minorHAnsi" w:hAnsiTheme="minorHAnsi" w:cs="Times New Roman"/>
              </w:rPr>
              <w:t xml:space="preserve">$25 interview + </w:t>
            </w:r>
            <w:r w:rsidRPr="002F328F">
              <w:rPr>
                <w:rFonts w:asciiTheme="minorHAnsi" w:hAnsiTheme="minorHAnsi" w:cs="Times New Roman"/>
                <w:b/>
                <w:bCs/>
                <w:color w:val="FF0000"/>
              </w:rPr>
              <w:t>$</w:t>
            </w:r>
            <w:r w:rsidRPr="002F328F" w:rsidR="002F328F">
              <w:rPr>
                <w:rFonts w:asciiTheme="minorHAnsi" w:hAnsiTheme="minorHAnsi" w:cs="Times New Roman"/>
                <w:b/>
                <w:bCs/>
                <w:color w:val="FF0000"/>
              </w:rPr>
              <w:t>85</w:t>
            </w:r>
            <w:r w:rsidRPr="002F328F">
              <w:rPr>
                <w:rFonts w:asciiTheme="minorHAnsi" w:hAnsiTheme="minorHAnsi" w:cs="Times New Roman"/>
                <w:color w:val="FF0000"/>
              </w:rPr>
              <w:t xml:space="preserve"> </w:t>
            </w:r>
            <w:r w:rsidRPr="00BE0600">
              <w:rPr>
                <w:rFonts w:asciiTheme="minorHAnsi" w:hAnsiTheme="minorHAnsi" w:cs="Times New Roman"/>
              </w:rPr>
              <w:t>MEC + $</w:t>
            </w:r>
            <w:r w:rsidR="008F328B">
              <w:rPr>
                <w:rFonts w:asciiTheme="minorHAnsi" w:hAnsiTheme="minorHAnsi" w:cs="Times New Roman"/>
              </w:rPr>
              <w:t>30</w:t>
            </w:r>
            <w:r w:rsidRPr="00BE0600">
              <w:rPr>
                <w:rFonts w:asciiTheme="minorHAnsi" w:hAnsiTheme="minorHAnsi" w:cs="Times New Roman"/>
              </w:rPr>
              <w:t xml:space="preserve"> dietary Day 1 interview + $</w:t>
            </w:r>
            <w:r w:rsidR="009E5F7A">
              <w:rPr>
                <w:rFonts w:asciiTheme="minorHAnsi" w:hAnsiTheme="minorHAnsi" w:cs="Times New Roman"/>
              </w:rPr>
              <w:t>30</w:t>
            </w:r>
            <w:r w:rsidRPr="00BE0600">
              <w:rPr>
                <w:rFonts w:asciiTheme="minorHAnsi" w:hAnsiTheme="minorHAnsi" w:cs="Times New Roman"/>
              </w:rPr>
              <w:t xml:space="preserve"> dietary Day 2 interview = </w:t>
            </w:r>
            <w:r w:rsidRPr="00BE0600">
              <w:rPr>
                <w:rFonts w:asciiTheme="minorHAnsi" w:hAnsiTheme="minorHAnsi" w:cs="Times New Roman"/>
                <w:b/>
                <w:bCs/>
              </w:rPr>
              <w:t>$1</w:t>
            </w:r>
            <w:r w:rsidR="002F328F">
              <w:rPr>
                <w:rFonts w:asciiTheme="minorHAnsi" w:hAnsiTheme="minorHAnsi" w:cs="Times New Roman"/>
                <w:b/>
                <w:bCs/>
              </w:rPr>
              <w:t>70</w:t>
            </w:r>
          </w:p>
        </w:tc>
      </w:tr>
      <w:tr w14:paraId="3286974F" w14:textId="7DBE80BF" w:rsidTr="004C0EAF">
        <w:tblPrEx>
          <w:tblW w:w="4090" w:type="pct"/>
          <w:tblCellMar>
            <w:left w:w="0" w:type="dxa"/>
            <w:right w:w="0" w:type="dxa"/>
          </w:tblCellMar>
          <w:tblLook w:val="0420"/>
        </w:tblPrEx>
        <w:trPr>
          <w:trHeight w:val="411"/>
        </w:trPr>
        <w:tc>
          <w:tcPr>
            <w:tcW w:w="937" w:type="pct"/>
            <w:tcBorders>
              <w:top w:val="single" w:sz="8" w:space="0" w:color="1D8894"/>
              <w:left w:val="single" w:sz="8" w:space="0" w:color="1D8894"/>
              <w:bottom w:val="single" w:sz="8" w:space="0" w:color="1D8894"/>
              <w:right w:val="single" w:sz="8" w:space="0" w:color="1D8894"/>
            </w:tcBorders>
            <w:shd w:val="clear" w:color="auto" w:fill="E7EDEF"/>
            <w:tcMar>
              <w:top w:w="72" w:type="dxa"/>
              <w:left w:w="144" w:type="dxa"/>
              <w:bottom w:w="72" w:type="dxa"/>
              <w:right w:w="144" w:type="dxa"/>
            </w:tcMar>
            <w:hideMark/>
          </w:tcPr>
          <w:p w:rsidR="0075542F" w:rsidRPr="00BE0600" w:rsidP="00675C85" w14:paraId="2DABEBE7" w14:textId="47A08C64">
            <w:pPr>
              <w:keepNext/>
              <w:widowControl/>
              <w:jc w:val="center"/>
              <w:rPr>
                <w:rFonts w:asciiTheme="minorHAnsi" w:hAnsiTheme="minorHAnsi" w:cs="Times New Roman"/>
              </w:rPr>
            </w:pPr>
            <w:r w:rsidRPr="00BE0600">
              <w:rPr>
                <w:rFonts w:asciiTheme="minorHAnsi" w:hAnsiTheme="minorHAnsi" w:cs="Times New Roman"/>
              </w:rPr>
              <w:t>Under 12 years</w:t>
            </w:r>
          </w:p>
        </w:tc>
        <w:tc>
          <w:tcPr>
            <w:tcW w:w="2120" w:type="pct"/>
            <w:tcBorders>
              <w:top w:val="single" w:sz="8" w:space="0" w:color="1D8894"/>
              <w:left w:val="single" w:sz="8" w:space="0" w:color="1D8894"/>
              <w:bottom w:val="single" w:sz="8" w:space="0" w:color="1D8894"/>
              <w:right w:val="single" w:sz="8" w:space="0" w:color="1D8894"/>
            </w:tcBorders>
            <w:shd w:val="clear" w:color="auto" w:fill="E7EDEF"/>
            <w:tcMar>
              <w:top w:w="72" w:type="dxa"/>
              <w:left w:w="144" w:type="dxa"/>
              <w:bottom w:w="72" w:type="dxa"/>
              <w:right w:w="144" w:type="dxa"/>
            </w:tcMar>
            <w:hideMark/>
          </w:tcPr>
          <w:p w:rsidR="0075542F" w:rsidRPr="00BE0600" w:rsidP="00675C85" w14:paraId="24366608" w14:textId="553497CE">
            <w:pPr>
              <w:keepNext/>
              <w:widowControl/>
              <w:jc w:val="center"/>
              <w:rPr>
                <w:rFonts w:asciiTheme="minorHAnsi" w:hAnsiTheme="minorHAnsi" w:cs="Times New Roman"/>
              </w:rPr>
            </w:pPr>
            <w:r w:rsidRPr="00BE0600">
              <w:rPr>
                <w:rFonts w:asciiTheme="minorHAnsi" w:hAnsiTheme="minorHAnsi" w:cs="Times New Roman"/>
              </w:rPr>
              <w:t xml:space="preserve">$25 interview + </w:t>
            </w:r>
            <w:r w:rsidRPr="005C2579">
              <w:rPr>
                <w:rFonts w:asciiTheme="minorHAnsi" w:hAnsiTheme="minorHAnsi" w:cs="Times New Roman"/>
                <w:b/>
                <w:bCs/>
                <w:color w:val="FF0000"/>
              </w:rPr>
              <w:t>$40</w:t>
            </w:r>
            <w:r w:rsidRPr="005C2579">
              <w:rPr>
                <w:rFonts w:asciiTheme="minorHAnsi" w:hAnsiTheme="minorHAnsi" w:cs="Times New Roman"/>
                <w:color w:val="FF0000"/>
              </w:rPr>
              <w:t xml:space="preserve"> </w:t>
            </w:r>
            <w:r w:rsidRPr="00BE0600">
              <w:rPr>
                <w:rFonts w:asciiTheme="minorHAnsi" w:hAnsiTheme="minorHAnsi" w:cs="Times New Roman"/>
              </w:rPr>
              <w:t>MEC + $</w:t>
            </w:r>
            <w:r w:rsidR="00C86808">
              <w:rPr>
                <w:rFonts w:asciiTheme="minorHAnsi" w:hAnsiTheme="minorHAnsi" w:cs="Times New Roman"/>
              </w:rPr>
              <w:t>30</w:t>
            </w:r>
            <w:r w:rsidRPr="00BE0600">
              <w:rPr>
                <w:rFonts w:asciiTheme="minorHAnsi" w:hAnsiTheme="minorHAnsi" w:cs="Times New Roman"/>
              </w:rPr>
              <w:t xml:space="preserve"> dietary Day 1 interview + $</w:t>
            </w:r>
            <w:r w:rsidR="00C86808">
              <w:rPr>
                <w:rFonts w:asciiTheme="minorHAnsi" w:hAnsiTheme="minorHAnsi" w:cs="Times New Roman"/>
              </w:rPr>
              <w:t>30</w:t>
            </w:r>
            <w:r w:rsidRPr="00BE0600">
              <w:rPr>
                <w:rFonts w:asciiTheme="minorHAnsi" w:hAnsiTheme="minorHAnsi" w:cs="Times New Roman"/>
              </w:rPr>
              <w:t xml:space="preserve"> dietary Day 2 interview = </w:t>
            </w:r>
            <w:r w:rsidRPr="00BE0600">
              <w:rPr>
                <w:rFonts w:asciiTheme="minorHAnsi" w:hAnsiTheme="minorHAnsi" w:cs="Times New Roman"/>
                <w:b/>
                <w:bCs/>
              </w:rPr>
              <w:t>$1</w:t>
            </w:r>
            <w:r w:rsidR="001332EA">
              <w:rPr>
                <w:rFonts w:asciiTheme="minorHAnsi" w:hAnsiTheme="minorHAnsi" w:cs="Times New Roman"/>
                <w:b/>
                <w:bCs/>
              </w:rPr>
              <w:t>2</w:t>
            </w:r>
            <w:r w:rsidRPr="00BE0600">
              <w:rPr>
                <w:rFonts w:asciiTheme="minorHAnsi" w:hAnsiTheme="minorHAnsi" w:cs="Times New Roman"/>
                <w:b/>
                <w:bCs/>
              </w:rPr>
              <w:t>5</w:t>
            </w:r>
          </w:p>
        </w:tc>
        <w:tc>
          <w:tcPr>
            <w:tcW w:w="1944" w:type="pct"/>
            <w:tcBorders>
              <w:top w:val="single" w:sz="8" w:space="0" w:color="1D8894"/>
              <w:left w:val="single" w:sz="8" w:space="0" w:color="1D8894"/>
              <w:bottom w:val="single" w:sz="8" w:space="0" w:color="1D8894"/>
              <w:right w:val="single" w:sz="8" w:space="0" w:color="1D8894"/>
            </w:tcBorders>
            <w:shd w:val="clear" w:color="auto" w:fill="E7EDEF"/>
          </w:tcPr>
          <w:p w:rsidR="0075542F" w:rsidRPr="00BE0600" w:rsidP="00675C85" w14:paraId="105E1BC5" w14:textId="6E142013">
            <w:pPr>
              <w:keepNext/>
              <w:widowControl/>
              <w:jc w:val="center"/>
              <w:rPr>
                <w:rFonts w:asciiTheme="minorHAnsi" w:hAnsiTheme="minorHAnsi" w:cs="Times New Roman"/>
              </w:rPr>
            </w:pPr>
            <w:r w:rsidRPr="00BE0600">
              <w:rPr>
                <w:rFonts w:asciiTheme="minorHAnsi" w:hAnsiTheme="minorHAnsi" w:cs="Times New Roman"/>
              </w:rPr>
              <w:t xml:space="preserve">$25 interview + </w:t>
            </w:r>
            <w:r w:rsidRPr="00183A62">
              <w:rPr>
                <w:rFonts w:asciiTheme="minorHAnsi" w:hAnsiTheme="minorHAnsi" w:cs="Times New Roman"/>
                <w:b/>
                <w:bCs/>
                <w:color w:val="FF0000"/>
              </w:rPr>
              <w:t>$</w:t>
            </w:r>
            <w:r w:rsidR="00183A62">
              <w:rPr>
                <w:rFonts w:asciiTheme="minorHAnsi" w:hAnsiTheme="minorHAnsi" w:cs="Times New Roman"/>
                <w:b/>
                <w:bCs/>
                <w:color w:val="FF0000"/>
              </w:rPr>
              <w:t>6</w:t>
            </w:r>
            <w:r w:rsidR="00575DC3">
              <w:rPr>
                <w:rFonts w:asciiTheme="minorHAnsi" w:hAnsiTheme="minorHAnsi" w:cs="Times New Roman"/>
                <w:b/>
                <w:bCs/>
                <w:color w:val="FF0000"/>
              </w:rPr>
              <w:t>5</w:t>
            </w:r>
            <w:r w:rsidRPr="00183A62">
              <w:rPr>
                <w:rFonts w:asciiTheme="minorHAnsi" w:hAnsiTheme="minorHAnsi" w:cs="Times New Roman"/>
                <w:color w:val="FF0000"/>
              </w:rPr>
              <w:t xml:space="preserve"> </w:t>
            </w:r>
            <w:r w:rsidRPr="00BE0600">
              <w:rPr>
                <w:rFonts w:asciiTheme="minorHAnsi" w:hAnsiTheme="minorHAnsi" w:cs="Times New Roman"/>
              </w:rPr>
              <w:t>MEC + $</w:t>
            </w:r>
            <w:r w:rsidR="00183A62">
              <w:rPr>
                <w:rFonts w:asciiTheme="minorHAnsi" w:hAnsiTheme="minorHAnsi" w:cs="Times New Roman"/>
              </w:rPr>
              <w:t>30</w:t>
            </w:r>
            <w:r w:rsidRPr="00BE0600">
              <w:rPr>
                <w:rFonts w:asciiTheme="minorHAnsi" w:hAnsiTheme="minorHAnsi" w:cs="Times New Roman"/>
              </w:rPr>
              <w:t xml:space="preserve"> dietary Day 1 interview + $</w:t>
            </w:r>
            <w:r w:rsidR="00183A62">
              <w:rPr>
                <w:rFonts w:asciiTheme="minorHAnsi" w:hAnsiTheme="minorHAnsi" w:cs="Times New Roman"/>
              </w:rPr>
              <w:t>30</w:t>
            </w:r>
            <w:r w:rsidRPr="00BE0600">
              <w:rPr>
                <w:rFonts w:asciiTheme="minorHAnsi" w:hAnsiTheme="minorHAnsi" w:cs="Times New Roman"/>
              </w:rPr>
              <w:t xml:space="preserve"> dietary Day 2 interview = </w:t>
            </w:r>
            <w:r w:rsidRPr="00BE0600">
              <w:rPr>
                <w:rFonts w:asciiTheme="minorHAnsi" w:hAnsiTheme="minorHAnsi" w:cs="Times New Roman"/>
                <w:b/>
                <w:bCs/>
              </w:rPr>
              <w:t>$1</w:t>
            </w:r>
            <w:r w:rsidR="00575DC3">
              <w:rPr>
                <w:rFonts w:asciiTheme="minorHAnsi" w:hAnsiTheme="minorHAnsi" w:cs="Times New Roman"/>
                <w:b/>
                <w:bCs/>
              </w:rPr>
              <w:t>50</w:t>
            </w:r>
          </w:p>
        </w:tc>
      </w:tr>
    </w:tbl>
    <w:p w:rsidR="0038422C" w:rsidP="007339CC" w14:paraId="0C4E908E" w14:textId="7BDC70EA">
      <w:pPr>
        <w:rPr>
          <w:rFonts w:asciiTheme="minorHAnsi" w:hAnsiTheme="minorHAnsi" w:cs="Times New Roman"/>
          <w:sz w:val="18"/>
          <w:szCs w:val="18"/>
        </w:rPr>
      </w:pPr>
      <w:r w:rsidRPr="00827D97">
        <w:rPr>
          <w:rFonts w:asciiTheme="minorHAnsi" w:hAnsiTheme="minorHAnsi" w:cs="Times New Roman"/>
          <w:b/>
          <w:bCs/>
          <w:sz w:val="18"/>
          <w:szCs w:val="18"/>
        </w:rPr>
        <w:t>*</w:t>
      </w:r>
      <w:r w:rsidRPr="005A589D" w:rsidR="00870E54">
        <w:rPr>
          <w:rFonts w:asciiTheme="minorHAnsi" w:hAnsiTheme="minorHAnsi" w:cs="Times New Roman"/>
          <w:sz w:val="18"/>
          <w:szCs w:val="18"/>
        </w:rPr>
        <w:t>202</w:t>
      </w:r>
      <w:r w:rsidRPr="005A589D" w:rsidR="005A589D">
        <w:rPr>
          <w:rFonts w:asciiTheme="minorHAnsi" w:hAnsiTheme="minorHAnsi" w:cs="Times New Roman"/>
          <w:sz w:val="18"/>
          <w:szCs w:val="18"/>
        </w:rPr>
        <w:t>5</w:t>
      </w:r>
      <w:r w:rsidRPr="005A589D" w:rsidR="00870E54">
        <w:rPr>
          <w:rFonts w:asciiTheme="minorHAnsi" w:hAnsiTheme="minorHAnsi" w:cs="Times New Roman"/>
          <w:sz w:val="18"/>
          <w:szCs w:val="18"/>
        </w:rPr>
        <w:t>-2026 cycle</w:t>
      </w:r>
      <w:r w:rsidRPr="005A589D" w:rsidR="005A589D">
        <w:rPr>
          <w:rFonts w:asciiTheme="minorHAnsi" w:hAnsiTheme="minorHAnsi" w:cs="Times New Roman"/>
          <w:sz w:val="18"/>
          <w:szCs w:val="18"/>
        </w:rPr>
        <w:t xml:space="preserve"> will be modified to 2025-2027 if </w:t>
      </w:r>
      <w:r w:rsidR="00FF2EF8">
        <w:rPr>
          <w:rFonts w:asciiTheme="minorHAnsi" w:hAnsiTheme="minorHAnsi" w:cs="Times New Roman"/>
          <w:sz w:val="18"/>
          <w:szCs w:val="18"/>
        </w:rPr>
        <w:t xml:space="preserve">the </w:t>
      </w:r>
      <w:r w:rsidRPr="005A589D" w:rsidR="005A589D">
        <w:rPr>
          <w:rFonts w:asciiTheme="minorHAnsi" w:hAnsiTheme="minorHAnsi" w:cs="Times New Roman"/>
          <w:sz w:val="18"/>
          <w:szCs w:val="18"/>
        </w:rPr>
        <w:t>request</w:t>
      </w:r>
      <w:r w:rsidR="00FF2EF8">
        <w:rPr>
          <w:rFonts w:asciiTheme="minorHAnsi" w:hAnsiTheme="minorHAnsi" w:cs="Times New Roman"/>
          <w:sz w:val="18"/>
          <w:szCs w:val="18"/>
        </w:rPr>
        <w:t xml:space="preserve"> to extend the cycle by one</w:t>
      </w:r>
      <w:r w:rsidR="00E25338">
        <w:rPr>
          <w:rFonts w:asciiTheme="minorHAnsi" w:hAnsiTheme="minorHAnsi" w:cs="Times New Roman"/>
          <w:sz w:val="18"/>
          <w:szCs w:val="18"/>
        </w:rPr>
        <w:t xml:space="preserve"> </w:t>
      </w:r>
      <w:r w:rsidR="00FF2EF8">
        <w:rPr>
          <w:rFonts w:asciiTheme="minorHAnsi" w:hAnsiTheme="minorHAnsi" w:cs="Times New Roman"/>
          <w:sz w:val="18"/>
          <w:szCs w:val="18"/>
        </w:rPr>
        <w:t>year</w:t>
      </w:r>
      <w:r w:rsidRPr="005A589D" w:rsidR="005A589D">
        <w:rPr>
          <w:rFonts w:asciiTheme="minorHAnsi" w:hAnsiTheme="minorHAnsi" w:cs="Times New Roman"/>
          <w:sz w:val="18"/>
          <w:szCs w:val="18"/>
        </w:rPr>
        <w:t xml:space="preserve"> is approved</w:t>
      </w:r>
    </w:p>
    <w:p w:rsidR="0028170B" w:rsidRPr="00827D97" w:rsidP="007339CC" w14:paraId="5F67BC36" w14:textId="77777777">
      <w:pPr>
        <w:rPr>
          <w:rFonts w:asciiTheme="minorHAnsi" w:hAnsiTheme="minorHAnsi" w:cs="Times New Roman"/>
          <w:sz w:val="18"/>
          <w:szCs w:val="18"/>
        </w:rPr>
      </w:pPr>
    </w:p>
    <w:p w:rsidR="00A262C9" w:rsidP="00A06421" w14:paraId="7729C0E1" w14:textId="1B7F3330">
      <w:pPr>
        <w:pStyle w:val="Heading1"/>
      </w:pPr>
      <w:bookmarkStart w:id="17" w:name="_Toc210120521"/>
      <w:bookmarkStart w:id="18" w:name="_Toc210120590"/>
      <w:r w:rsidRPr="00BE0600">
        <w:t>12</w:t>
      </w:r>
      <w:r w:rsidRPr="00BE0600" w:rsidR="002E57AF">
        <w:t>.</w:t>
      </w:r>
      <w:r w:rsidRPr="00BE0600" w:rsidR="00141717">
        <w:tab/>
      </w:r>
      <w:r w:rsidRPr="00BE0600">
        <w:t xml:space="preserve">Estimates of </w:t>
      </w:r>
      <w:r w:rsidRPr="00BE0600" w:rsidR="007F6245">
        <w:t>a</w:t>
      </w:r>
      <w:r w:rsidRPr="00BE0600">
        <w:t xml:space="preserve">nnualized </w:t>
      </w:r>
      <w:r w:rsidRPr="00BE0600" w:rsidR="007F6245">
        <w:t>b</w:t>
      </w:r>
      <w:r w:rsidRPr="00BE0600">
        <w:t xml:space="preserve">urden </w:t>
      </w:r>
      <w:r w:rsidRPr="00BE0600" w:rsidR="007F6245">
        <w:t>h</w:t>
      </w:r>
      <w:r w:rsidRPr="00BE0600">
        <w:t xml:space="preserve">ours and </w:t>
      </w:r>
      <w:r w:rsidRPr="00BE0600" w:rsidR="007F6245">
        <w:t>c</w:t>
      </w:r>
      <w:r w:rsidRPr="00BE0600">
        <w:t>ost</w:t>
      </w:r>
      <w:r w:rsidRPr="00BE0600" w:rsidR="007F6245">
        <w:t>s</w:t>
      </w:r>
      <w:bookmarkEnd w:id="17"/>
      <w:bookmarkEnd w:id="18"/>
    </w:p>
    <w:p w:rsidR="00A06421" w:rsidRPr="00A06421" w:rsidP="00A06421" w14:paraId="72AAD776" w14:textId="77777777"/>
    <w:p w:rsidR="00F83354" w:rsidRPr="00BE0600" w:rsidP="0031487F" w14:paraId="3052C081" w14:textId="0248418E">
      <w:pPr>
        <w:rPr>
          <w:rFonts w:asciiTheme="minorHAnsi" w:hAnsiTheme="minorHAnsi" w:cs="Times New Roman"/>
        </w:rPr>
      </w:pPr>
      <w:r w:rsidRPr="00BE0600">
        <w:rPr>
          <w:rFonts w:asciiTheme="minorHAnsi" w:hAnsiTheme="minorHAnsi" w:cs="Times New Roman"/>
        </w:rPr>
        <w:t xml:space="preserve">The </w:t>
      </w:r>
      <w:r w:rsidR="00DE7549">
        <w:rPr>
          <w:rFonts w:asciiTheme="minorHAnsi" w:hAnsiTheme="minorHAnsi" w:cs="Times New Roman"/>
        </w:rPr>
        <w:t>h</w:t>
      </w:r>
      <w:r w:rsidRPr="00BE0600">
        <w:rPr>
          <w:rFonts w:asciiTheme="minorHAnsi" w:hAnsiTheme="minorHAnsi" w:cs="Times New Roman"/>
        </w:rPr>
        <w:t xml:space="preserve">ousehold </w:t>
      </w:r>
      <w:r w:rsidR="00DE7549">
        <w:rPr>
          <w:rFonts w:asciiTheme="minorHAnsi" w:hAnsiTheme="minorHAnsi" w:cs="Times New Roman"/>
        </w:rPr>
        <w:t>i</w:t>
      </w:r>
      <w:r w:rsidRPr="00BE0600">
        <w:rPr>
          <w:rFonts w:asciiTheme="minorHAnsi" w:hAnsiTheme="minorHAnsi" w:cs="Times New Roman"/>
        </w:rPr>
        <w:t xml:space="preserve">nterview and MEC </w:t>
      </w:r>
      <w:r w:rsidR="00DE7549">
        <w:rPr>
          <w:rFonts w:asciiTheme="minorHAnsi" w:hAnsiTheme="minorHAnsi" w:cs="Times New Roman"/>
        </w:rPr>
        <w:t>i</w:t>
      </w:r>
      <w:r w:rsidRPr="00BE0600">
        <w:rPr>
          <w:rFonts w:asciiTheme="minorHAnsi" w:hAnsiTheme="minorHAnsi" w:cs="Times New Roman"/>
        </w:rPr>
        <w:t xml:space="preserve">nterview and </w:t>
      </w:r>
      <w:r w:rsidR="00DE7549">
        <w:rPr>
          <w:rFonts w:asciiTheme="minorHAnsi" w:hAnsiTheme="minorHAnsi" w:cs="Times New Roman"/>
        </w:rPr>
        <w:t>e</w:t>
      </w:r>
      <w:r w:rsidRPr="00BE0600">
        <w:rPr>
          <w:rFonts w:asciiTheme="minorHAnsi" w:hAnsiTheme="minorHAnsi" w:cs="Times New Roman"/>
        </w:rPr>
        <w:t xml:space="preserve">xamination are budgeted </w:t>
      </w:r>
      <w:r w:rsidRPr="00BE0600" w:rsidR="00C60A83">
        <w:rPr>
          <w:rFonts w:asciiTheme="minorHAnsi" w:hAnsiTheme="minorHAnsi" w:cs="Times New Roman"/>
        </w:rPr>
        <w:t xml:space="preserve">for </w:t>
      </w:r>
      <w:r w:rsidRPr="00BE0600" w:rsidR="00543EDA">
        <w:rPr>
          <w:rFonts w:asciiTheme="minorHAnsi" w:hAnsiTheme="minorHAnsi" w:cs="Times New Roman"/>
        </w:rPr>
        <w:t>an average of one</w:t>
      </w:r>
      <w:r w:rsidRPr="00BE0600">
        <w:rPr>
          <w:rFonts w:asciiTheme="minorHAnsi" w:hAnsiTheme="minorHAnsi" w:cs="Times New Roman"/>
        </w:rPr>
        <w:t xml:space="preserve"> hour and </w:t>
      </w:r>
      <w:r w:rsidRPr="00BE0600" w:rsidR="00543EDA">
        <w:rPr>
          <w:rFonts w:asciiTheme="minorHAnsi" w:hAnsiTheme="minorHAnsi" w:cs="Times New Roman"/>
        </w:rPr>
        <w:t>two</w:t>
      </w:r>
      <w:r w:rsidR="005C4688">
        <w:rPr>
          <w:rFonts w:asciiTheme="minorHAnsi" w:hAnsiTheme="minorHAnsi" w:cs="Times New Roman"/>
        </w:rPr>
        <w:t xml:space="preserve"> </w:t>
      </w:r>
      <w:r w:rsidRPr="00BE0600">
        <w:rPr>
          <w:rFonts w:asciiTheme="minorHAnsi" w:hAnsiTheme="minorHAnsi" w:cs="Times New Roman"/>
        </w:rPr>
        <w:t xml:space="preserve">hours, respectively. The maximum number of respondents for </w:t>
      </w:r>
      <w:r w:rsidR="00255D5F">
        <w:rPr>
          <w:rFonts w:asciiTheme="minorHAnsi" w:hAnsiTheme="minorHAnsi" w:cs="Times New Roman"/>
        </w:rPr>
        <w:t xml:space="preserve">the </w:t>
      </w:r>
      <w:r w:rsidR="00DE7549">
        <w:rPr>
          <w:rFonts w:asciiTheme="minorHAnsi" w:hAnsiTheme="minorHAnsi" w:cs="Times New Roman"/>
        </w:rPr>
        <w:t>interview is 5,882</w:t>
      </w:r>
      <w:r w:rsidR="00DD252E">
        <w:rPr>
          <w:rFonts w:asciiTheme="minorHAnsi" w:hAnsiTheme="minorHAnsi" w:cs="Times New Roman"/>
        </w:rPr>
        <w:t xml:space="preserve">, and the maximum </w:t>
      </w:r>
      <w:r w:rsidR="00306023">
        <w:rPr>
          <w:rFonts w:asciiTheme="minorHAnsi" w:hAnsiTheme="minorHAnsi" w:cs="Times New Roman"/>
        </w:rPr>
        <w:t xml:space="preserve">number </w:t>
      </w:r>
      <w:r w:rsidR="00DD252E">
        <w:rPr>
          <w:rFonts w:asciiTheme="minorHAnsi" w:hAnsiTheme="minorHAnsi" w:cs="Times New Roman"/>
        </w:rPr>
        <w:t xml:space="preserve">for the </w:t>
      </w:r>
      <w:r w:rsidR="00DE7549">
        <w:rPr>
          <w:rFonts w:asciiTheme="minorHAnsi" w:hAnsiTheme="minorHAnsi" w:cs="Times New Roman"/>
        </w:rPr>
        <w:t>MEC interview and examination</w:t>
      </w:r>
      <w:r w:rsidR="00DD252E">
        <w:rPr>
          <w:rFonts w:asciiTheme="minorHAnsi" w:hAnsiTheme="minorHAnsi" w:cs="Times New Roman"/>
        </w:rPr>
        <w:t xml:space="preserve"> is 5,000 respondents</w:t>
      </w:r>
      <w:r w:rsidR="00AF5B55">
        <w:rPr>
          <w:rFonts w:asciiTheme="minorHAnsi" w:hAnsiTheme="minorHAnsi" w:cs="Times New Roman"/>
        </w:rPr>
        <w:t xml:space="preserve"> (including </w:t>
      </w:r>
      <w:r w:rsidR="00D33EF4">
        <w:rPr>
          <w:rFonts w:asciiTheme="minorHAnsi" w:hAnsiTheme="minorHAnsi" w:cs="Times New Roman"/>
        </w:rPr>
        <w:t>d</w:t>
      </w:r>
      <w:r w:rsidR="00AF5B55">
        <w:rPr>
          <w:rFonts w:asciiTheme="minorHAnsi" w:hAnsiTheme="minorHAnsi" w:cs="Times New Roman"/>
        </w:rPr>
        <w:t>ry</w:t>
      </w:r>
      <w:r w:rsidR="00D33EF4">
        <w:rPr>
          <w:rFonts w:asciiTheme="minorHAnsi" w:hAnsiTheme="minorHAnsi" w:cs="Times New Roman"/>
        </w:rPr>
        <w:t>-r</w:t>
      </w:r>
      <w:r w:rsidR="00AF5B55">
        <w:rPr>
          <w:rFonts w:asciiTheme="minorHAnsi" w:hAnsiTheme="minorHAnsi" w:cs="Times New Roman"/>
        </w:rPr>
        <w:t xml:space="preserve">un </w:t>
      </w:r>
      <w:r w:rsidR="00D33EF4">
        <w:rPr>
          <w:rFonts w:asciiTheme="minorHAnsi" w:hAnsiTheme="minorHAnsi" w:cs="Times New Roman"/>
        </w:rPr>
        <w:t>participants)</w:t>
      </w:r>
      <w:r w:rsidRPr="00BE0600">
        <w:rPr>
          <w:rFonts w:asciiTheme="minorHAnsi" w:hAnsiTheme="minorHAnsi" w:cs="Times New Roman"/>
        </w:rPr>
        <w:t xml:space="preserve">. The </w:t>
      </w:r>
      <w:r w:rsidRPr="00BE0600" w:rsidR="00C60A83">
        <w:rPr>
          <w:rFonts w:asciiTheme="minorHAnsi" w:hAnsiTheme="minorHAnsi" w:cs="Times New Roman"/>
        </w:rPr>
        <w:t xml:space="preserve">maximum burden for the </w:t>
      </w:r>
      <w:r w:rsidR="009C00E0">
        <w:rPr>
          <w:rFonts w:asciiTheme="minorHAnsi" w:hAnsiTheme="minorHAnsi" w:cs="Times New Roman"/>
        </w:rPr>
        <w:t>h</w:t>
      </w:r>
      <w:r w:rsidRPr="00BE0600" w:rsidR="00C60A83">
        <w:rPr>
          <w:rFonts w:asciiTheme="minorHAnsi" w:hAnsiTheme="minorHAnsi" w:cs="Times New Roman"/>
        </w:rPr>
        <w:t xml:space="preserve">ousehold </w:t>
      </w:r>
      <w:r w:rsidR="00DD252E">
        <w:rPr>
          <w:rFonts w:asciiTheme="minorHAnsi" w:hAnsiTheme="minorHAnsi" w:cs="Times New Roman"/>
        </w:rPr>
        <w:t>i</w:t>
      </w:r>
      <w:r w:rsidRPr="00BE0600" w:rsidR="00C60A83">
        <w:rPr>
          <w:rFonts w:asciiTheme="minorHAnsi" w:hAnsiTheme="minorHAnsi" w:cs="Times New Roman"/>
        </w:rPr>
        <w:t>nterview is 5,</w:t>
      </w:r>
      <w:r w:rsidR="00B9029F">
        <w:rPr>
          <w:rFonts w:asciiTheme="minorHAnsi" w:hAnsiTheme="minorHAnsi" w:cs="Times New Roman"/>
        </w:rPr>
        <w:t>882</w:t>
      </w:r>
      <w:r w:rsidRPr="00BE0600" w:rsidR="00C60A83">
        <w:rPr>
          <w:rFonts w:asciiTheme="minorHAnsi" w:hAnsiTheme="minorHAnsi" w:cs="Times New Roman"/>
        </w:rPr>
        <w:t xml:space="preserve"> hours, and the maximum burden for the MEC Interview </w:t>
      </w:r>
      <w:r w:rsidRPr="00BE0600" w:rsidR="00543EDA">
        <w:rPr>
          <w:rFonts w:asciiTheme="minorHAnsi" w:hAnsiTheme="minorHAnsi" w:cs="Times New Roman"/>
        </w:rPr>
        <w:t>and</w:t>
      </w:r>
      <w:r w:rsidRPr="00BE0600" w:rsidR="00C60A83">
        <w:rPr>
          <w:rFonts w:asciiTheme="minorHAnsi" w:hAnsiTheme="minorHAnsi" w:cs="Times New Roman"/>
        </w:rPr>
        <w:t xml:space="preserve"> Examination is 1</w:t>
      </w:r>
      <w:r w:rsidR="00B9029F">
        <w:rPr>
          <w:rFonts w:asciiTheme="minorHAnsi" w:hAnsiTheme="minorHAnsi" w:cs="Times New Roman"/>
        </w:rPr>
        <w:t>0</w:t>
      </w:r>
      <w:r w:rsidRPr="00BE0600" w:rsidR="00C60A83">
        <w:rPr>
          <w:rFonts w:asciiTheme="minorHAnsi" w:hAnsiTheme="minorHAnsi" w:cs="Times New Roman"/>
        </w:rPr>
        <w:t>,000 hours</w:t>
      </w:r>
      <w:r w:rsidRPr="00BE0600" w:rsidR="001E3B77">
        <w:rPr>
          <w:rFonts w:asciiTheme="minorHAnsi" w:hAnsiTheme="minorHAnsi" w:cs="Times New Roman"/>
        </w:rPr>
        <w:t xml:space="preserve"> (</w:t>
      </w:r>
      <w:r w:rsidRPr="00BE0600" w:rsidR="00E5678A">
        <w:rPr>
          <w:rFonts w:asciiTheme="minorHAnsi" w:hAnsiTheme="minorHAnsi" w:cs="Times New Roman"/>
          <w:b/>
          <w:bCs/>
        </w:rPr>
        <w:t>s</w:t>
      </w:r>
      <w:r w:rsidRPr="00BE0600" w:rsidR="001E3B77">
        <w:rPr>
          <w:rFonts w:asciiTheme="minorHAnsi" w:hAnsiTheme="minorHAnsi" w:cs="Times New Roman"/>
          <w:b/>
          <w:bCs/>
        </w:rPr>
        <w:t xml:space="preserve">ee Table </w:t>
      </w:r>
      <w:r w:rsidR="00B9029F">
        <w:rPr>
          <w:rFonts w:asciiTheme="minorHAnsi" w:hAnsiTheme="minorHAnsi" w:cs="Times New Roman"/>
          <w:b/>
          <w:bCs/>
        </w:rPr>
        <w:t>2</w:t>
      </w:r>
      <w:r w:rsidRPr="00BE0600" w:rsidR="001E3B77">
        <w:rPr>
          <w:rFonts w:asciiTheme="minorHAnsi" w:hAnsiTheme="minorHAnsi" w:cs="Times New Roman"/>
        </w:rPr>
        <w:t>)</w:t>
      </w:r>
      <w:r w:rsidRPr="00BE0600" w:rsidR="00C60A83">
        <w:rPr>
          <w:rFonts w:asciiTheme="minorHAnsi" w:hAnsiTheme="minorHAnsi" w:cs="Times New Roman"/>
        </w:rPr>
        <w:t>. Th</w:t>
      </w:r>
      <w:r w:rsidRPr="00BE0600" w:rsidR="00543EDA">
        <w:rPr>
          <w:rFonts w:asciiTheme="minorHAnsi" w:hAnsiTheme="minorHAnsi" w:cs="Times New Roman"/>
        </w:rPr>
        <w:t>ese burden hours</w:t>
      </w:r>
      <w:r w:rsidRPr="00BE0600" w:rsidR="00C60A83">
        <w:rPr>
          <w:rFonts w:asciiTheme="minorHAnsi" w:hAnsiTheme="minorHAnsi" w:cs="Times New Roman"/>
        </w:rPr>
        <w:t xml:space="preserve"> w</w:t>
      </w:r>
      <w:r w:rsidRPr="00BE0600" w:rsidR="00543EDA">
        <w:rPr>
          <w:rFonts w:asciiTheme="minorHAnsi" w:hAnsiTheme="minorHAnsi" w:cs="Times New Roman"/>
        </w:rPr>
        <w:t>ere</w:t>
      </w:r>
      <w:r w:rsidRPr="00BE0600" w:rsidR="00C60A83">
        <w:rPr>
          <w:rFonts w:asciiTheme="minorHAnsi" w:hAnsiTheme="minorHAnsi" w:cs="Times New Roman"/>
        </w:rPr>
        <w:t xml:space="preserve"> budgeted and approved in the original </w:t>
      </w:r>
      <w:r w:rsidRPr="00BE0600" w:rsidR="00543EDA">
        <w:rPr>
          <w:rFonts w:asciiTheme="minorHAnsi" w:hAnsiTheme="minorHAnsi" w:cs="Times New Roman"/>
        </w:rPr>
        <w:t xml:space="preserve">OMB </w:t>
      </w:r>
      <w:r w:rsidRPr="00BE0600" w:rsidR="00C60A83">
        <w:rPr>
          <w:rFonts w:asciiTheme="minorHAnsi" w:hAnsiTheme="minorHAnsi" w:cs="Times New Roman"/>
        </w:rPr>
        <w:t>submission</w:t>
      </w:r>
      <w:r w:rsidRPr="00BE0600" w:rsidR="00BA6BF0">
        <w:rPr>
          <w:rFonts w:asciiTheme="minorHAnsi" w:hAnsiTheme="minorHAnsi" w:cs="Times New Roman"/>
        </w:rPr>
        <w:t xml:space="preserve"> for the current cycle</w:t>
      </w:r>
      <w:r w:rsidRPr="00BE0600" w:rsidR="00C60A83">
        <w:rPr>
          <w:rFonts w:asciiTheme="minorHAnsi" w:hAnsiTheme="minorHAnsi" w:cs="Times New Roman"/>
        </w:rPr>
        <w:t xml:space="preserve">. </w:t>
      </w:r>
      <w:r w:rsidRPr="00BE0600" w:rsidR="009E2F33">
        <w:rPr>
          <w:rFonts w:asciiTheme="minorHAnsi" w:hAnsiTheme="minorHAnsi" w:cs="Times New Roman"/>
        </w:rPr>
        <w:t>The modification of the MEC incenti</w:t>
      </w:r>
      <w:r w:rsidR="00503B6F">
        <w:rPr>
          <w:rFonts w:asciiTheme="minorHAnsi" w:hAnsiTheme="minorHAnsi" w:cs="Times New Roman"/>
        </w:rPr>
        <w:t>ves</w:t>
      </w:r>
      <w:r w:rsidRPr="00BE0600" w:rsidR="009E2F33">
        <w:rPr>
          <w:rFonts w:asciiTheme="minorHAnsi" w:hAnsiTheme="minorHAnsi" w:cs="Times New Roman"/>
        </w:rPr>
        <w:t xml:space="preserve"> will not affect the</w:t>
      </w:r>
      <w:r w:rsidRPr="00BE0600" w:rsidR="00B475AF">
        <w:rPr>
          <w:rFonts w:asciiTheme="minorHAnsi" w:hAnsiTheme="minorHAnsi" w:cs="Times New Roman"/>
        </w:rPr>
        <w:t xml:space="preserve"> </w:t>
      </w:r>
      <w:r w:rsidRPr="00BE0600" w:rsidR="009E2F33">
        <w:rPr>
          <w:rFonts w:asciiTheme="minorHAnsi" w:hAnsiTheme="minorHAnsi" w:cs="Times New Roman"/>
        </w:rPr>
        <w:t>burden</w:t>
      </w:r>
      <w:r w:rsidRPr="00BE0600" w:rsidR="00A262C9">
        <w:rPr>
          <w:rFonts w:asciiTheme="minorHAnsi" w:hAnsiTheme="minorHAnsi" w:cs="Times New Roman"/>
        </w:rPr>
        <w:t>.</w:t>
      </w:r>
    </w:p>
    <w:p w:rsidR="00A81148" w:rsidP="00462145" w14:paraId="7485564B" w14:textId="77777777">
      <w:pPr>
        <w:widowControl/>
        <w:autoSpaceDE/>
        <w:autoSpaceDN/>
        <w:adjustRightInd/>
        <w:rPr>
          <w:rFonts w:ascii="Times New Roman" w:hAnsi="Times New Roman" w:cs="Times New Roman"/>
        </w:rPr>
      </w:pPr>
    </w:p>
    <w:p w:rsidR="00462145" w:rsidRPr="00BE0600" w:rsidP="00462145" w14:paraId="03CFE12C" w14:textId="4AB7D060">
      <w:pPr>
        <w:widowControl/>
        <w:autoSpaceDE/>
        <w:autoSpaceDN/>
        <w:adjustRightInd/>
        <w:rPr>
          <w:rFonts w:asciiTheme="minorHAnsi" w:hAnsiTheme="minorHAnsi" w:cs="Times New Roman"/>
          <w:b/>
          <w:bCs/>
        </w:rPr>
      </w:pPr>
      <w:r w:rsidRPr="00BE0600">
        <w:rPr>
          <w:rFonts w:asciiTheme="minorHAnsi" w:hAnsiTheme="minorHAnsi" w:cs="Times New Roman"/>
          <w:b/>
          <w:bCs/>
        </w:rPr>
        <w:t>T</w:t>
      </w:r>
      <w:r w:rsidRPr="00BE0600" w:rsidR="007F6245">
        <w:rPr>
          <w:rFonts w:asciiTheme="minorHAnsi" w:hAnsiTheme="minorHAnsi" w:cs="Times New Roman"/>
          <w:b/>
          <w:bCs/>
        </w:rPr>
        <w:t xml:space="preserve">able </w:t>
      </w:r>
      <w:r w:rsidR="00A81148">
        <w:rPr>
          <w:rFonts w:asciiTheme="minorHAnsi" w:hAnsiTheme="minorHAnsi" w:cs="Times New Roman"/>
          <w:b/>
          <w:bCs/>
        </w:rPr>
        <w:t>2</w:t>
      </w:r>
      <w:r w:rsidRPr="00BE0600" w:rsidR="007F6245">
        <w:rPr>
          <w:rFonts w:asciiTheme="minorHAnsi" w:hAnsiTheme="minorHAnsi" w:cs="Times New Roman"/>
          <w:b/>
          <w:bCs/>
        </w:rPr>
        <w:t xml:space="preserve">. </w:t>
      </w:r>
      <w:r w:rsidRPr="00BE0600">
        <w:rPr>
          <w:rFonts w:asciiTheme="minorHAnsi" w:hAnsiTheme="minorHAnsi" w:cs="Times New Roman"/>
          <w:b/>
          <w:bCs/>
        </w:rPr>
        <w:t>A</w:t>
      </w:r>
      <w:r w:rsidRPr="00BE0600" w:rsidR="007F6245">
        <w:rPr>
          <w:rFonts w:asciiTheme="minorHAnsi" w:hAnsiTheme="minorHAnsi" w:cs="Times New Roman"/>
          <w:b/>
          <w:bCs/>
        </w:rPr>
        <w:t>nnualized</w:t>
      </w:r>
      <w:r w:rsidRPr="00BE0600">
        <w:rPr>
          <w:rFonts w:asciiTheme="minorHAnsi" w:hAnsiTheme="minorHAnsi" w:cs="Times New Roman"/>
          <w:b/>
          <w:bCs/>
        </w:rPr>
        <w:t xml:space="preserve"> B</w:t>
      </w:r>
      <w:r w:rsidRPr="00BE0600" w:rsidR="007F6245">
        <w:rPr>
          <w:rFonts w:asciiTheme="minorHAnsi" w:hAnsiTheme="minorHAnsi" w:cs="Times New Roman"/>
          <w:b/>
          <w:bCs/>
        </w:rPr>
        <w:t>urden</w:t>
      </w:r>
      <w:r w:rsidRPr="00BE0600">
        <w:rPr>
          <w:rFonts w:asciiTheme="minorHAnsi" w:hAnsiTheme="minorHAnsi" w:cs="Times New Roman"/>
          <w:b/>
          <w:bCs/>
        </w:rPr>
        <w:t xml:space="preserve"> H</w:t>
      </w:r>
      <w:r w:rsidRPr="00BE0600" w:rsidR="007F6245">
        <w:rPr>
          <w:rFonts w:asciiTheme="minorHAnsi" w:hAnsiTheme="minorHAnsi" w:cs="Times New Roman"/>
          <w:b/>
          <w:bCs/>
        </w:rPr>
        <w:t>ours</w:t>
      </w:r>
      <w:r w:rsidRPr="00BE0600" w:rsidR="00EE5AB3">
        <w:rPr>
          <w:rFonts w:asciiTheme="minorHAnsi" w:hAnsiTheme="minorHAnsi" w:cs="Times New Roman"/>
          <w:b/>
          <w:bCs/>
        </w:rPr>
        <w:t xml:space="preserve"> for </w:t>
      </w:r>
      <w:r w:rsidR="00FA1760">
        <w:rPr>
          <w:rFonts w:asciiTheme="minorHAnsi" w:hAnsiTheme="minorHAnsi" w:cs="Times New Roman"/>
          <w:b/>
          <w:bCs/>
        </w:rPr>
        <w:t xml:space="preserve">the </w:t>
      </w:r>
      <w:r w:rsidRPr="00BE0600" w:rsidR="00EE5AB3">
        <w:rPr>
          <w:rFonts w:asciiTheme="minorHAnsi" w:hAnsiTheme="minorHAnsi" w:cs="Times New Roman"/>
          <w:b/>
          <w:bCs/>
        </w:rPr>
        <w:t xml:space="preserve">Household </w:t>
      </w:r>
      <w:r w:rsidRPr="00BE0600" w:rsidR="009E2F33">
        <w:rPr>
          <w:rFonts w:asciiTheme="minorHAnsi" w:hAnsiTheme="minorHAnsi" w:cs="Times New Roman"/>
          <w:b/>
          <w:bCs/>
        </w:rPr>
        <w:t xml:space="preserve">Interview </w:t>
      </w:r>
      <w:r w:rsidRPr="00BE0600" w:rsidR="00EE5AB3">
        <w:rPr>
          <w:rFonts w:asciiTheme="minorHAnsi" w:hAnsiTheme="minorHAnsi" w:cs="Times New Roman"/>
          <w:b/>
          <w:bCs/>
        </w:rPr>
        <w:t xml:space="preserve">and MEC </w:t>
      </w:r>
      <w:r w:rsidR="00FA1760">
        <w:rPr>
          <w:rFonts w:asciiTheme="minorHAnsi" w:hAnsiTheme="minorHAnsi" w:cs="Times New Roman"/>
          <w:b/>
          <w:bCs/>
        </w:rPr>
        <w:t>Examination</w:t>
      </w:r>
    </w:p>
    <w:tbl>
      <w:tblPr>
        <w:tblW w:w="9810" w:type="dxa"/>
        <w:tblInd w:w="-5" w:type="dxa"/>
        <w:tblLayout w:type="fixed"/>
        <w:tblCellMar>
          <w:left w:w="120" w:type="dxa"/>
          <w:right w:w="120" w:type="dxa"/>
        </w:tblCellMar>
        <w:tblLook w:val="04A0"/>
      </w:tblPr>
      <w:tblGrid>
        <w:gridCol w:w="2160"/>
        <w:gridCol w:w="2340"/>
        <w:gridCol w:w="1530"/>
        <w:gridCol w:w="1440"/>
        <w:gridCol w:w="1260"/>
        <w:gridCol w:w="1080"/>
      </w:tblGrid>
      <w:tr w14:paraId="3441CED9" w14:textId="77777777" w:rsidTr="00565261">
        <w:tblPrEx>
          <w:tblW w:w="9810" w:type="dxa"/>
          <w:tblInd w:w="-5" w:type="dxa"/>
          <w:tblLayout w:type="fixed"/>
          <w:tblCellMar>
            <w:left w:w="120" w:type="dxa"/>
            <w:right w:w="120" w:type="dxa"/>
          </w:tblCellMar>
          <w:tblLook w:val="04A0"/>
        </w:tblPrEx>
        <w:trPr>
          <w:trHeight w:val="1380"/>
        </w:trPr>
        <w:tc>
          <w:tcPr>
            <w:tcW w:w="2160" w:type="dxa"/>
            <w:tcBorders>
              <w:top w:val="single" w:sz="4" w:space="0" w:color="auto"/>
              <w:left w:val="single" w:sz="4" w:space="0" w:color="auto"/>
              <w:bottom w:val="single" w:sz="4" w:space="0" w:color="auto"/>
              <w:right w:val="single" w:sz="4" w:space="0" w:color="auto"/>
            </w:tcBorders>
            <w:vAlign w:val="center"/>
            <w:hideMark/>
          </w:tcPr>
          <w:p w:rsidR="00462145" w:rsidRPr="00BE0600" w:rsidP="006262AA" w14:paraId="58FDFE0B" w14:textId="77777777">
            <w:pPr>
              <w:rPr>
                <w:rFonts w:asciiTheme="minorHAnsi" w:hAnsiTheme="minorHAnsi" w:cs="Times New Roman"/>
                <w:bCs/>
              </w:rPr>
            </w:pPr>
            <w:r w:rsidRPr="00BE0600">
              <w:rPr>
                <w:rFonts w:asciiTheme="minorHAnsi" w:hAnsiTheme="minorHAnsi" w:cs="Times New Roman"/>
                <w:bCs/>
              </w:rPr>
              <w:t>Type of Respondent</w:t>
            </w:r>
          </w:p>
        </w:tc>
        <w:tc>
          <w:tcPr>
            <w:tcW w:w="2340" w:type="dxa"/>
            <w:tcBorders>
              <w:top w:val="single" w:sz="4" w:space="0" w:color="auto"/>
              <w:left w:val="single" w:sz="4" w:space="0" w:color="auto"/>
              <w:bottom w:val="single" w:sz="4" w:space="0" w:color="auto"/>
              <w:right w:val="single" w:sz="4" w:space="0" w:color="auto"/>
            </w:tcBorders>
            <w:vAlign w:val="center"/>
            <w:hideMark/>
          </w:tcPr>
          <w:p w:rsidR="00462145" w:rsidRPr="00BE0600" w:rsidP="006262AA" w14:paraId="2307DA84" w14:textId="77777777">
            <w:pPr>
              <w:rPr>
                <w:rFonts w:asciiTheme="minorHAnsi" w:hAnsiTheme="minorHAnsi" w:cs="Times New Roman"/>
                <w:bCs/>
              </w:rPr>
            </w:pPr>
            <w:r w:rsidRPr="00BE0600">
              <w:rPr>
                <w:rFonts w:asciiTheme="minorHAnsi" w:hAnsiTheme="minorHAnsi" w:cs="Times New Roman"/>
                <w:bCs/>
              </w:rPr>
              <w:t>Form</w:t>
            </w:r>
          </w:p>
        </w:tc>
        <w:tc>
          <w:tcPr>
            <w:tcW w:w="1530" w:type="dxa"/>
            <w:tcBorders>
              <w:top w:val="single" w:sz="4" w:space="0" w:color="auto"/>
              <w:left w:val="single" w:sz="4" w:space="0" w:color="auto"/>
              <w:bottom w:val="single" w:sz="4" w:space="0" w:color="auto"/>
              <w:right w:val="single" w:sz="8" w:space="0" w:color="000000"/>
            </w:tcBorders>
            <w:vAlign w:val="center"/>
            <w:hideMark/>
          </w:tcPr>
          <w:p w:rsidR="00462145" w:rsidRPr="00BE0600" w:rsidP="006262AA" w14:paraId="7F56D0B7" w14:textId="77777777">
            <w:pPr>
              <w:rPr>
                <w:rFonts w:asciiTheme="minorHAnsi" w:hAnsiTheme="minorHAnsi" w:cs="Times New Roman"/>
                <w:bCs/>
              </w:rPr>
            </w:pPr>
            <w:r w:rsidRPr="00BE0600">
              <w:rPr>
                <w:rFonts w:asciiTheme="minorHAnsi" w:hAnsiTheme="minorHAnsi" w:cs="Times New Roman"/>
                <w:bCs/>
              </w:rPr>
              <w:t>Number of</w:t>
            </w:r>
          </w:p>
          <w:p w:rsidR="00462145" w:rsidRPr="00BE0600" w:rsidP="006262AA" w14:paraId="409209B8" w14:textId="77777777">
            <w:pPr>
              <w:rPr>
                <w:rFonts w:asciiTheme="minorHAnsi" w:hAnsiTheme="minorHAnsi" w:cs="Times New Roman"/>
                <w:bCs/>
              </w:rPr>
            </w:pPr>
            <w:r w:rsidRPr="00BE0600">
              <w:rPr>
                <w:rFonts w:asciiTheme="minorHAnsi" w:hAnsiTheme="minorHAnsi" w:cs="Times New Roman"/>
                <w:bCs/>
              </w:rPr>
              <w:t>Respondents</w:t>
            </w:r>
          </w:p>
        </w:tc>
        <w:tc>
          <w:tcPr>
            <w:tcW w:w="1440" w:type="dxa"/>
            <w:tcBorders>
              <w:top w:val="single" w:sz="4" w:space="0" w:color="auto"/>
              <w:left w:val="single" w:sz="8" w:space="0" w:color="000000"/>
              <w:bottom w:val="single" w:sz="4" w:space="0" w:color="auto"/>
              <w:right w:val="single" w:sz="8" w:space="0" w:color="000000"/>
            </w:tcBorders>
            <w:vAlign w:val="center"/>
            <w:hideMark/>
          </w:tcPr>
          <w:p w:rsidR="00462145" w:rsidRPr="00BE0600" w:rsidP="006262AA" w14:paraId="3D8BC0D2" w14:textId="77777777">
            <w:pPr>
              <w:rPr>
                <w:rFonts w:asciiTheme="minorHAnsi" w:hAnsiTheme="minorHAnsi" w:cs="Times New Roman"/>
                <w:bCs/>
              </w:rPr>
            </w:pPr>
            <w:r w:rsidRPr="00BE0600">
              <w:rPr>
                <w:rFonts w:asciiTheme="minorHAnsi" w:hAnsiTheme="minorHAnsi" w:cs="Times New Roman"/>
                <w:bCs/>
              </w:rPr>
              <w:t>Number of</w:t>
            </w:r>
          </w:p>
          <w:p w:rsidR="00462145" w:rsidRPr="00BE0600" w:rsidP="006262AA" w14:paraId="3570FE20" w14:textId="77777777">
            <w:pPr>
              <w:rPr>
                <w:rFonts w:asciiTheme="minorHAnsi" w:hAnsiTheme="minorHAnsi" w:cs="Times New Roman"/>
                <w:bCs/>
              </w:rPr>
            </w:pPr>
            <w:r w:rsidRPr="00BE0600">
              <w:rPr>
                <w:rFonts w:asciiTheme="minorHAnsi" w:hAnsiTheme="minorHAnsi" w:cs="Times New Roman"/>
                <w:bCs/>
              </w:rPr>
              <w:t>Responses per</w:t>
            </w:r>
          </w:p>
          <w:p w:rsidR="00462145" w:rsidRPr="00BE0600" w:rsidP="006262AA" w14:paraId="4AD1D031" w14:textId="4A0CF2DE">
            <w:pPr>
              <w:rPr>
                <w:rFonts w:asciiTheme="minorHAnsi" w:hAnsiTheme="minorHAnsi" w:cs="Times New Roman"/>
                <w:bCs/>
              </w:rPr>
            </w:pPr>
            <w:r w:rsidRPr="00BE0600">
              <w:rPr>
                <w:rFonts w:asciiTheme="minorHAnsi" w:hAnsiTheme="minorHAnsi" w:cs="Times New Roman"/>
                <w:bCs/>
              </w:rPr>
              <w:t>R</w:t>
            </w:r>
            <w:r w:rsidRPr="00BE0600">
              <w:rPr>
                <w:rFonts w:asciiTheme="minorHAnsi" w:hAnsiTheme="minorHAnsi" w:cs="Times New Roman"/>
                <w:bCs/>
              </w:rPr>
              <w:t>espondent</w:t>
            </w:r>
          </w:p>
        </w:tc>
        <w:tc>
          <w:tcPr>
            <w:tcW w:w="1260" w:type="dxa"/>
            <w:tcBorders>
              <w:top w:val="single" w:sz="4" w:space="0" w:color="auto"/>
              <w:left w:val="single" w:sz="8" w:space="0" w:color="000000"/>
              <w:bottom w:val="single" w:sz="4" w:space="0" w:color="auto"/>
              <w:right w:val="single" w:sz="8" w:space="0" w:color="000000"/>
            </w:tcBorders>
            <w:vAlign w:val="center"/>
            <w:hideMark/>
          </w:tcPr>
          <w:p w:rsidR="00462145" w:rsidRPr="00BE0600" w:rsidP="006262AA" w14:paraId="6E2CB4F9" w14:textId="77777777">
            <w:pPr>
              <w:rPr>
                <w:rFonts w:asciiTheme="minorHAnsi" w:hAnsiTheme="minorHAnsi" w:cs="Times New Roman"/>
                <w:bCs/>
              </w:rPr>
            </w:pPr>
            <w:r w:rsidRPr="00BE0600">
              <w:rPr>
                <w:rFonts w:asciiTheme="minorHAnsi" w:hAnsiTheme="minorHAnsi" w:cs="Times New Roman"/>
                <w:bCs/>
              </w:rPr>
              <w:t>Average Burden per Response</w:t>
            </w:r>
          </w:p>
          <w:p w:rsidR="00462145" w:rsidRPr="00BE0600" w:rsidP="006262AA" w14:paraId="4427B81B" w14:textId="77777777">
            <w:pPr>
              <w:rPr>
                <w:rFonts w:asciiTheme="minorHAnsi" w:hAnsiTheme="minorHAnsi" w:cs="Times New Roman"/>
                <w:bCs/>
              </w:rPr>
            </w:pPr>
            <w:r w:rsidRPr="00BE0600">
              <w:rPr>
                <w:rFonts w:asciiTheme="minorHAnsi" w:hAnsiTheme="minorHAnsi" w:cs="Times New Roman"/>
                <w:bCs/>
              </w:rPr>
              <w:t>(in hours)</w:t>
            </w:r>
          </w:p>
        </w:tc>
        <w:tc>
          <w:tcPr>
            <w:tcW w:w="1080" w:type="dxa"/>
            <w:tcBorders>
              <w:top w:val="single" w:sz="4" w:space="0" w:color="auto"/>
              <w:left w:val="single" w:sz="8" w:space="0" w:color="000000"/>
              <w:bottom w:val="single" w:sz="4" w:space="0" w:color="auto"/>
              <w:right w:val="single" w:sz="4" w:space="0" w:color="auto"/>
            </w:tcBorders>
            <w:vAlign w:val="center"/>
            <w:hideMark/>
          </w:tcPr>
          <w:p w:rsidR="00462145" w:rsidRPr="00BE0600" w:rsidP="006262AA" w14:paraId="42CEC331" w14:textId="77777777">
            <w:pPr>
              <w:rPr>
                <w:rFonts w:asciiTheme="minorHAnsi" w:hAnsiTheme="minorHAnsi" w:cs="Times New Roman"/>
                <w:bCs/>
              </w:rPr>
            </w:pPr>
            <w:r w:rsidRPr="00BE0600">
              <w:rPr>
                <w:rFonts w:asciiTheme="minorHAnsi" w:hAnsiTheme="minorHAnsi" w:cs="Times New Roman"/>
                <w:bCs/>
              </w:rPr>
              <w:t>Total</w:t>
            </w:r>
          </w:p>
          <w:p w:rsidR="00462145" w:rsidRPr="00BE0600" w:rsidP="006262AA" w14:paraId="11231169" w14:textId="77777777">
            <w:pPr>
              <w:rPr>
                <w:rFonts w:asciiTheme="minorHAnsi" w:hAnsiTheme="minorHAnsi" w:cs="Times New Roman"/>
                <w:bCs/>
              </w:rPr>
            </w:pPr>
            <w:r w:rsidRPr="00BE0600">
              <w:rPr>
                <w:rFonts w:asciiTheme="minorHAnsi" w:hAnsiTheme="minorHAnsi" w:cs="Times New Roman"/>
                <w:bCs/>
              </w:rPr>
              <w:t>Burden</w:t>
            </w:r>
          </w:p>
          <w:p w:rsidR="00462145" w:rsidRPr="00BE0600" w:rsidP="006262AA" w14:paraId="095F9E1F" w14:textId="32D409E5">
            <w:pPr>
              <w:rPr>
                <w:rFonts w:asciiTheme="minorHAnsi" w:hAnsiTheme="minorHAnsi" w:cs="Times New Roman"/>
                <w:bCs/>
              </w:rPr>
            </w:pPr>
            <w:r w:rsidRPr="00BE0600">
              <w:rPr>
                <w:rFonts w:asciiTheme="minorHAnsi" w:hAnsiTheme="minorHAnsi" w:cs="Times New Roman"/>
                <w:bCs/>
              </w:rPr>
              <w:t>(in hours)</w:t>
            </w:r>
          </w:p>
        </w:tc>
      </w:tr>
      <w:tr w14:paraId="69446891" w14:textId="77777777" w:rsidTr="00565261">
        <w:tblPrEx>
          <w:tblW w:w="9810" w:type="dxa"/>
          <w:tblInd w:w="-5" w:type="dxa"/>
          <w:tblLayout w:type="fixed"/>
          <w:tblCellMar>
            <w:left w:w="120" w:type="dxa"/>
            <w:right w:w="120" w:type="dxa"/>
          </w:tblCellMar>
          <w:tblLook w:val="04A0"/>
        </w:tblPrEx>
        <w:trPr>
          <w:trHeight w:val="458"/>
        </w:trPr>
        <w:tc>
          <w:tcPr>
            <w:tcW w:w="2160" w:type="dxa"/>
            <w:tcBorders>
              <w:top w:val="single" w:sz="4" w:space="0" w:color="auto"/>
              <w:left w:val="single" w:sz="4" w:space="0" w:color="auto"/>
              <w:bottom w:val="single" w:sz="4" w:space="0" w:color="auto"/>
              <w:right w:val="single" w:sz="4" w:space="0" w:color="auto"/>
            </w:tcBorders>
            <w:vAlign w:val="center"/>
          </w:tcPr>
          <w:p w:rsidR="00462145" w:rsidRPr="00BE0600" w:rsidP="00A779AE" w14:paraId="58CEC4DF" w14:textId="2D3940CC">
            <w:pPr>
              <w:rPr>
                <w:rFonts w:asciiTheme="minorHAnsi" w:hAnsiTheme="minorHAnsi" w:cs="Times New Roman"/>
              </w:rPr>
            </w:pPr>
            <w:r w:rsidRPr="00BE0600">
              <w:rPr>
                <w:rFonts w:asciiTheme="minorHAnsi" w:hAnsiTheme="minorHAnsi" w:cs="Times New Roman"/>
              </w:rPr>
              <w:t>Individuals in households</w:t>
            </w:r>
          </w:p>
        </w:tc>
        <w:tc>
          <w:tcPr>
            <w:tcW w:w="2340" w:type="dxa"/>
            <w:tcBorders>
              <w:top w:val="single" w:sz="4" w:space="0" w:color="auto"/>
              <w:left w:val="single" w:sz="4" w:space="0" w:color="auto"/>
              <w:bottom w:val="single" w:sz="4" w:space="0" w:color="auto"/>
              <w:right w:val="single" w:sz="4" w:space="0" w:color="auto"/>
            </w:tcBorders>
            <w:vAlign w:val="center"/>
          </w:tcPr>
          <w:p w:rsidR="00462145" w:rsidRPr="00BE0600" w:rsidP="00A779AE" w14:paraId="7ACC8D6C" w14:textId="77777777">
            <w:pPr>
              <w:rPr>
                <w:rFonts w:asciiTheme="minorHAnsi" w:hAnsiTheme="minorHAnsi" w:cs="Times New Roman"/>
              </w:rPr>
            </w:pPr>
            <w:r w:rsidRPr="00BE0600">
              <w:rPr>
                <w:rFonts w:asciiTheme="minorHAnsi" w:hAnsiTheme="minorHAnsi" w:cs="Times New Roman"/>
              </w:rPr>
              <w:t>Household</w:t>
            </w:r>
          </w:p>
          <w:p w:rsidR="00A779AE" w:rsidRPr="00BE0600" w:rsidP="00A779AE" w14:paraId="0F6383B8" w14:textId="7B907ED8">
            <w:pPr>
              <w:rPr>
                <w:rFonts w:asciiTheme="minorHAnsi" w:hAnsiTheme="minorHAnsi" w:cs="Times New Roman"/>
              </w:rPr>
            </w:pPr>
            <w:r w:rsidRPr="00BE0600">
              <w:rPr>
                <w:rFonts w:asciiTheme="minorHAnsi" w:hAnsiTheme="minorHAnsi" w:cs="Times New Roman"/>
              </w:rPr>
              <w:t>Interview</w:t>
            </w:r>
          </w:p>
        </w:tc>
        <w:tc>
          <w:tcPr>
            <w:tcW w:w="1530" w:type="dxa"/>
            <w:tcBorders>
              <w:top w:val="single" w:sz="4" w:space="0" w:color="auto"/>
              <w:left w:val="single" w:sz="4" w:space="0" w:color="auto"/>
              <w:bottom w:val="single" w:sz="4" w:space="0" w:color="auto"/>
              <w:right w:val="single" w:sz="8" w:space="0" w:color="000000"/>
            </w:tcBorders>
            <w:vAlign w:val="center"/>
          </w:tcPr>
          <w:p w:rsidR="00462145" w:rsidRPr="00BE0600" w:rsidP="00A779AE" w14:paraId="3DAF5C2F" w14:textId="1FDE11A0">
            <w:pPr>
              <w:rPr>
                <w:rFonts w:asciiTheme="minorHAnsi" w:hAnsiTheme="minorHAnsi" w:cs="Times New Roman"/>
              </w:rPr>
            </w:pPr>
            <w:r w:rsidRPr="00BE0600">
              <w:rPr>
                <w:rFonts w:asciiTheme="minorHAnsi" w:hAnsiTheme="minorHAnsi" w:cs="Times New Roman"/>
              </w:rPr>
              <w:t>5,</w:t>
            </w:r>
            <w:r w:rsidR="00B9029F">
              <w:rPr>
                <w:rFonts w:asciiTheme="minorHAnsi" w:hAnsiTheme="minorHAnsi" w:cs="Times New Roman"/>
              </w:rPr>
              <w:t>882</w:t>
            </w:r>
          </w:p>
        </w:tc>
        <w:tc>
          <w:tcPr>
            <w:tcW w:w="1440" w:type="dxa"/>
            <w:tcBorders>
              <w:top w:val="single" w:sz="4" w:space="0" w:color="auto"/>
              <w:left w:val="single" w:sz="8" w:space="0" w:color="000000"/>
              <w:bottom w:val="single" w:sz="4" w:space="0" w:color="auto"/>
              <w:right w:val="single" w:sz="8" w:space="0" w:color="000000"/>
            </w:tcBorders>
            <w:vAlign w:val="center"/>
          </w:tcPr>
          <w:p w:rsidR="00462145" w:rsidRPr="00BE0600" w:rsidP="00A779AE" w14:paraId="6F896AEB" w14:textId="745F7960">
            <w:pPr>
              <w:rPr>
                <w:rFonts w:asciiTheme="minorHAnsi" w:hAnsiTheme="minorHAnsi" w:cs="Times New Roman"/>
              </w:rPr>
            </w:pPr>
            <w:r w:rsidRPr="00BE0600">
              <w:rPr>
                <w:rFonts w:asciiTheme="minorHAnsi" w:hAnsiTheme="minorHAnsi" w:cs="Times New Roman"/>
              </w:rPr>
              <w:t>1</w:t>
            </w:r>
          </w:p>
        </w:tc>
        <w:tc>
          <w:tcPr>
            <w:tcW w:w="1260" w:type="dxa"/>
            <w:tcBorders>
              <w:top w:val="single" w:sz="4" w:space="0" w:color="auto"/>
              <w:left w:val="single" w:sz="8" w:space="0" w:color="000000"/>
              <w:bottom w:val="single" w:sz="4" w:space="0" w:color="auto"/>
              <w:right w:val="single" w:sz="8" w:space="0" w:color="000000"/>
            </w:tcBorders>
            <w:vAlign w:val="center"/>
          </w:tcPr>
          <w:p w:rsidR="00462145" w:rsidRPr="00BE0600" w:rsidP="00A779AE" w14:paraId="3D566C69" w14:textId="239ED70B">
            <w:pPr>
              <w:rPr>
                <w:rFonts w:asciiTheme="minorHAnsi" w:hAnsiTheme="minorHAnsi" w:cs="Times New Roman"/>
              </w:rPr>
            </w:pPr>
            <w:r w:rsidRPr="00BE0600">
              <w:rPr>
                <w:rFonts w:asciiTheme="minorHAnsi" w:hAnsiTheme="minorHAnsi" w:cs="Times New Roman"/>
              </w:rPr>
              <w:t>1</w:t>
            </w:r>
          </w:p>
        </w:tc>
        <w:tc>
          <w:tcPr>
            <w:tcW w:w="1080" w:type="dxa"/>
            <w:tcBorders>
              <w:top w:val="single" w:sz="4" w:space="0" w:color="auto"/>
              <w:left w:val="single" w:sz="8" w:space="0" w:color="000000"/>
              <w:bottom w:val="single" w:sz="4" w:space="0" w:color="auto"/>
              <w:right w:val="single" w:sz="4" w:space="0" w:color="auto"/>
            </w:tcBorders>
            <w:vAlign w:val="center"/>
          </w:tcPr>
          <w:p w:rsidR="00462145" w:rsidRPr="00BE0600" w:rsidP="00A779AE" w14:paraId="3F0CCDEA" w14:textId="6F666F2A">
            <w:pPr>
              <w:rPr>
                <w:rFonts w:asciiTheme="minorHAnsi" w:hAnsiTheme="minorHAnsi" w:cs="Times New Roman"/>
              </w:rPr>
            </w:pPr>
            <w:r w:rsidRPr="00BE0600">
              <w:rPr>
                <w:rFonts w:asciiTheme="minorHAnsi" w:hAnsiTheme="minorHAnsi" w:cs="Times New Roman"/>
              </w:rPr>
              <w:t>5,</w:t>
            </w:r>
            <w:r w:rsidR="00B9029F">
              <w:rPr>
                <w:rFonts w:asciiTheme="minorHAnsi" w:hAnsiTheme="minorHAnsi" w:cs="Times New Roman"/>
              </w:rPr>
              <w:t>882</w:t>
            </w:r>
          </w:p>
        </w:tc>
      </w:tr>
      <w:tr w14:paraId="733CBD74" w14:textId="77777777" w:rsidTr="00565261">
        <w:tblPrEx>
          <w:tblW w:w="9810" w:type="dxa"/>
          <w:tblInd w:w="-5" w:type="dxa"/>
          <w:tblLayout w:type="fixed"/>
          <w:tblCellMar>
            <w:left w:w="120" w:type="dxa"/>
            <w:right w:w="120" w:type="dxa"/>
          </w:tblCellMar>
          <w:tblLook w:val="04A0"/>
        </w:tblPrEx>
        <w:trPr>
          <w:trHeight w:val="458"/>
        </w:trPr>
        <w:tc>
          <w:tcPr>
            <w:tcW w:w="2160" w:type="dxa"/>
            <w:tcBorders>
              <w:top w:val="single" w:sz="4" w:space="0" w:color="auto"/>
              <w:left w:val="single" w:sz="4" w:space="0" w:color="auto"/>
              <w:bottom w:val="single" w:sz="4" w:space="0" w:color="auto"/>
              <w:right w:val="single" w:sz="4" w:space="0" w:color="auto"/>
            </w:tcBorders>
            <w:vAlign w:val="center"/>
          </w:tcPr>
          <w:p w:rsidR="00C60A83" w:rsidRPr="00BE0600" w:rsidP="00A779AE" w14:paraId="3D555272" w14:textId="2D8A8659">
            <w:pPr>
              <w:rPr>
                <w:rFonts w:asciiTheme="minorHAnsi" w:hAnsiTheme="minorHAnsi" w:cs="Times New Roman"/>
              </w:rPr>
            </w:pPr>
            <w:r w:rsidRPr="00BE0600">
              <w:rPr>
                <w:rFonts w:asciiTheme="minorHAnsi" w:hAnsiTheme="minorHAnsi" w:cs="Times New Roman"/>
              </w:rPr>
              <w:t>Individuals in households</w:t>
            </w:r>
          </w:p>
        </w:tc>
        <w:tc>
          <w:tcPr>
            <w:tcW w:w="2340" w:type="dxa"/>
            <w:tcBorders>
              <w:top w:val="single" w:sz="4" w:space="0" w:color="auto"/>
              <w:left w:val="single" w:sz="4" w:space="0" w:color="auto"/>
              <w:bottom w:val="single" w:sz="4" w:space="0" w:color="auto"/>
              <w:right w:val="single" w:sz="4" w:space="0" w:color="auto"/>
            </w:tcBorders>
            <w:vAlign w:val="center"/>
          </w:tcPr>
          <w:p w:rsidR="00C60A83" w:rsidRPr="00BE0600" w:rsidP="00A779AE" w14:paraId="0D48C372" w14:textId="4DF9E8B8">
            <w:pPr>
              <w:rPr>
                <w:rFonts w:asciiTheme="minorHAnsi" w:hAnsiTheme="minorHAnsi" w:cs="Times New Roman"/>
              </w:rPr>
            </w:pPr>
            <w:r w:rsidRPr="00BE0600">
              <w:rPr>
                <w:rFonts w:asciiTheme="minorHAnsi" w:hAnsiTheme="minorHAnsi" w:cs="Times New Roman"/>
              </w:rPr>
              <w:t xml:space="preserve">MEC Interview </w:t>
            </w:r>
            <w:r w:rsidRPr="00BE0600" w:rsidR="00543EDA">
              <w:rPr>
                <w:rFonts w:asciiTheme="minorHAnsi" w:hAnsiTheme="minorHAnsi" w:cs="Times New Roman"/>
              </w:rPr>
              <w:t>and</w:t>
            </w:r>
            <w:r w:rsidRPr="00BE0600">
              <w:rPr>
                <w:rFonts w:asciiTheme="minorHAnsi" w:hAnsiTheme="minorHAnsi" w:cs="Times New Roman"/>
              </w:rPr>
              <w:t xml:space="preserve"> Examination</w:t>
            </w:r>
          </w:p>
        </w:tc>
        <w:tc>
          <w:tcPr>
            <w:tcW w:w="1530" w:type="dxa"/>
            <w:tcBorders>
              <w:top w:val="single" w:sz="4" w:space="0" w:color="auto"/>
              <w:left w:val="single" w:sz="4" w:space="0" w:color="auto"/>
              <w:bottom w:val="single" w:sz="4" w:space="0" w:color="auto"/>
              <w:right w:val="single" w:sz="8" w:space="0" w:color="000000"/>
            </w:tcBorders>
            <w:vAlign w:val="center"/>
          </w:tcPr>
          <w:p w:rsidR="00C60A83" w:rsidRPr="00BE0600" w:rsidP="00A779AE" w14:paraId="3B7EB2B3" w14:textId="11FAD084">
            <w:pPr>
              <w:rPr>
                <w:rFonts w:asciiTheme="minorHAnsi" w:hAnsiTheme="minorHAnsi" w:cs="Times New Roman"/>
              </w:rPr>
            </w:pPr>
            <w:r w:rsidRPr="00BE0600">
              <w:rPr>
                <w:rFonts w:asciiTheme="minorHAnsi" w:hAnsiTheme="minorHAnsi" w:cs="Times New Roman"/>
              </w:rPr>
              <w:t>5,</w:t>
            </w:r>
            <w:r w:rsidR="00B9029F">
              <w:rPr>
                <w:rFonts w:asciiTheme="minorHAnsi" w:hAnsiTheme="minorHAnsi" w:cs="Times New Roman"/>
              </w:rPr>
              <w:t>000</w:t>
            </w:r>
          </w:p>
        </w:tc>
        <w:tc>
          <w:tcPr>
            <w:tcW w:w="1440" w:type="dxa"/>
            <w:tcBorders>
              <w:top w:val="single" w:sz="4" w:space="0" w:color="auto"/>
              <w:left w:val="single" w:sz="8" w:space="0" w:color="000000"/>
              <w:bottom w:val="single" w:sz="4" w:space="0" w:color="auto"/>
              <w:right w:val="single" w:sz="8" w:space="0" w:color="000000"/>
            </w:tcBorders>
            <w:vAlign w:val="center"/>
          </w:tcPr>
          <w:p w:rsidR="00C60A83" w:rsidRPr="00BE0600" w:rsidP="00A779AE" w14:paraId="069A3F0B" w14:textId="61CF70CB">
            <w:pPr>
              <w:rPr>
                <w:rFonts w:asciiTheme="minorHAnsi" w:hAnsiTheme="minorHAnsi" w:cs="Times New Roman"/>
              </w:rPr>
            </w:pPr>
            <w:r w:rsidRPr="00BE0600">
              <w:rPr>
                <w:rFonts w:asciiTheme="minorHAnsi" w:hAnsiTheme="minorHAnsi" w:cs="Times New Roman"/>
              </w:rPr>
              <w:t>1</w:t>
            </w:r>
          </w:p>
        </w:tc>
        <w:tc>
          <w:tcPr>
            <w:tcW w:w="1260" w:type="dxa"/>
            <w:tcBorders>
              <w:top w:val="single" w:sz="4" w:space="0" w:color="auto"/>
              <w:left w:val="single" w:sz="8" w:space="0" w:color="000000"/>
              <w:bottom w:val="single" w:sz="4" w:space="0" w:color="auto"/>
              <w:right w:val="single" w:sz="8" w:space="0" w:color="000000"/>
            </w:tcBorders>
            <w:vAlign w:val="center"/>
          </w:tcPr>
          <w:p w:rsidR="00C60A83" w:rsidRPr="00BE0600" w:rsidP="00A779AE" w14:paraId="66713D72" w14:textId="3FE8E0CF">
            <w:pPr>
              <w:rPr>
                <w:rFonts w:asciiTheme="minorHAnsi" w:hAnsiTheme="minorHAnsi" w:cs="Times New Roman"/>
              </w:rPr>
            </w:pPr>
            <w:r w:rsidRPr="00BE0600">
              <w:rPr>
                <w:rFonts w:asciiTheme="minorHAnsi" w:hAnsiTheme="minorHAnsi" w:cs="Times New Roman"/>
              </w:rPr>
              <w:t>2</w:t>
            </w:r>
          </w:p>
        </w:tc>
        <w:tc>
          <w:tcPr>
            <w:tcW w:w="1080" w:type="dxa"/>
            <w:tcBorders>
              <w:top w:val="single" w:sz="4" w:space="0" w:color="auto"/>
              <w:left w:val="single" w:sz="8" w:space="0" w:color="000000"/>
              <w:bottom w:val="single" w:sz="4" w:space="0" w:color="auto"/>
              <w:right w:val="single" w:sz="4" w:space="0" w:color="auto"/>
            </w:tcBorders>
            <w:vAlign w:val="center"/>
          </w:tcPr>
          <w:p w:rsidR="00C60A83" w:rsidRPr="00BE0600" w:rsidP="00A779AE" w14:paraId="214F1DF3" w14:textId="34753FB4">
            <w:pPr>
              <w:rPr>
                <w:rFonts w:asciiTheme="minorHAnsi" w:hAnsiTheme="minorHAnsi" w:cs="Times New Roman"/>
              </w:rPr>
            </w:pPr>
            <w:r w:rsidRPr="00BE0600">
              <w:rPr>
                <w:rFonts w:asciiTheme="minorHAnsi" w:hAnsiTheme="minorHAnsi" w:cs="Times New Roman"/>
              </w:rPr>
              <w:t>1</w:t>
            </w:r>
            <w:r w:rsidR="00B9029F">
              <w:rPr>
                <w:rFonts w:asciiTheme="minorHAnsi" w:hAnsiTheme="minorHAnsi" w:cs="Times New Roman"/>
              </w:rPr>
              <w:t>0</w:t>
            </w:r>
            <w:r w:rsidRPr="00BE0600">
              <w:rPr>
                <w:rFonts w:asciiTheme="minorHAnsi" w:hAnsiTheme="minorHAnsi" w:cs="Times New Roman"/>
              </w:rPr>
              <w:t>,000</w:t>
            </w:r>
          </w:p>
        </w:tc>
      </w:tr>
      <w:tr w14:paraId="0B2C1546" w14:textId="77777777" w:rsidTr="00565261">
        <w:tblPrEx>
          <w:tblW w:w="9810" w:type="dxa"/>
          <w:tblInd w:w="-5" w:type="dxa"/>
          <w:tblLayout w:type="fixed"/>
          <w:tblCellMar>
            <w:left w:w="120" w:type="dxa"/>
            <w:right w:w="120" w:type="dxa"/>
          </w:tblCellMar>
          <w:tblLook w:val="04A0"/>
        </w:tblPrEx>
        <w:trPr>
          <w:trHeight w:val="413"/>
        </w:trPr>
        <w:tc>
          <w:tcPr>
            <w:tcW w:w="2160" w:type="dxa"/>
            <w:tcBorders>
              <w:top w:val="single" w:sz="4" w:space="0" w:color="auto"/>
              <w:left w:val="single" w:sz="4" w:space="0" w:color="auto"/>
              <w:bottom w:val="single" w:sz="4" w:space="0" w:color="auto"/>
              <w:right w:val="single" w:sz="4" w:space="0" w:color="auto"/>
            </w:tcBorders>
            <w:vAlign w:val="center"/>
            <w:hideMark/>
          </w:tcPr>
          <w:p w:rsidR="00462145" w:rsidRPr="00BE0600" w:rsidP="006262AA" w14:paraId="50111331" w14:textId="77777777">
            <w:pPr>
              <w:rPr>
                <w:rFonts w:asciiTheme="minorHAnsi" w:hAnsiTheme="minorHAnsi" w:cs="Times New Roman"/>
                <w:bCs/>
              </w:rPr>
            </w:pPr>
            <w:r w:rsidRPr="00BE0600">
              <w:rPr>
                <w:rFonts w:asciiTheme="minorHAnsi" w:hAnsiTheme="minorHAnsi" w:cs="Times New Roman"/>
                <w:bCs/>
              </w:rPr>
              <w:t>Total</w:t>
            </w:r>
          </w:p>
        </w:tc>
        <w:tc>
          <w:tcPr>
            <w:tcW w:w="2340" w:type="dxa"/>
            <w:tcBorders>
              <w:top w:val="single" w:sz="4" w:space="0" w:color="auto"/>
              <w:left w:val="single" w:sz="4" w:space="0" w:color="auto"/>
              <w:bottom w:val="single" w:sz="4" w:space="0" w:color="auto"/>
              <w:right w:val="nil"/>
            </w:tcBorders>
          </w:tcPr>
          <w:p w:rsidR="00462145" w:rsidRPr="00BE0600" w:rsidP="006262AA" w14:paraId="3A1A0C47" w14:textId="77777777">
            <w:pPr>
              <w:rPr>
                <w:rFonts w:asciiTheme="minorHAnsi" w:hAnsiTheme="minorHAnsi" w:cs="Times New Roman"/>
              </w:rPr>
            </w:pPr>
          </w:p>
        </w:tc>
        <w:tc>
          <w:tcPr>
            <w:tcW w:w="1530" w:type="dxa"/>
            <w:tcBorders>
              <w:top w:val="single" w:sz="4" w:space="0" w:color="auto"/>
              <w:left w:val="nil"/>
              <w:bottom w:val="single" w:sz="4" w:space="0" w:color="auto"/>
              <w:right w:val="nil"/>
            </w:tcBorders>
            <w:vAlign w:val="center"/>
          </w:tcPr>
          <w:p w:rsidR="00462145" w:rsidRPr="00BE0600" w:rsidP="006262AA" w14:paraId="1455D297" w14:textId="70978B1F">
            <w:pPr>
              <w:rPr>
                <w:rFonts w:asciiTheme="minorHAnsi" w:hAnsiTheme="minorHAnsi" w:cs="Times New Roman"/>
              </w:rPr>
            </w:pPr>
          </w:p>
        </w:tc>
        <w:tc>
          <w:tcPr>
            <w:tcW w:w="1440" w:type="dxa"/>
            <w:tcBorders>
              <w:top w:val="single" w:sz="4" w:space="0" w:color="auto"/>
              <w:left w:val="nil"/>
              <w:bottom w:val="single" w:sz="4" w:space="0" w:color="auto"/>
              <w:right w:val="nil"/>
            </w:tcBorders>
            <w:vAlign w:val="center"/>
          </w:tcPr>
          <w:p w:rsidR="00462145" w:rsidRPr="00BE0600" w:rsidP="006262AA" w14:paraId="3B7CB9AE" w14:textId="77777777">
            <w:pPr>
              <w:rPr>
                <w:rFonts w:asciiTheme="minorHAnsi" w:hAnsiTheme="minorHAnsi" w:cs="Times New Roman"/>
              </w:rPr>
            </w:pPr>
          </w:p>
        </w:tc>
        <w:tc>
          <w:tcPr>
            <w:tcW w:w="1260" w:type="dxa"/>
            <w:tcBorders>
              <w:top w:val="single" w:sz="4" w:space="0" w:color="auto"/>
              <w:left w:val="nil"/>
              <w:bottom w:val="single" w:sz="4" w:space="0" w:color="auto"/>
              <w:right w:val="single" w:sz="8" w:space="0" w:color="000000"/>
            </w:tcBorders>
          </w:tcPr>
          <w:p w:rsidR="00462145" w:rsidRPr="00BE0600" w:rsidP="006262AA" w14:paraId="3AEC2559" w14:textId="77777777">
            <w:pPr>
              <w:rPr>
                <w:rFonts w:asciiTheme="minorHAnsi" w:hAnsiTheme="minorHAnsi" w:cs="Times New Roman"/>
              </w:rPr>
            </w:pPr>
          </w:p>
        </w:tc>
        <w:tc>
          <w:tcPr>
            <w:tcW w:w="1080" w:type="dxa"/>
            <w:tcBorders>
              <w:top w:val="single" w:sz="4" w:space="0" w:color="auto"/>
              <w:left w:val="single" w:sz="8" w:space="0" w:color="000000"/>
              <w:bottom w:val="single" w:sz="4" w:space="0" w:color="auto"/>
              <w:right w:val="single" w:sz="4" w:space="0" w:color="auto"/>
            </w:tcBorders>
            <w:vAlign w:val="center"/>
            <w:hideMark/>
          </w:tcPr>
          <w:p w:rsidR="00462145" w:rsidRPr="00BE0600" w:rsidP="003F6461" w14:paraId="106198B5" w14:textId="12E59421">
            <w:pPr>
              <w:rPr>
                <w:rFonts w:asciiTheme="minorHAnsi" w:hAnsiTheme="minorHAnsi" w:cs="Times New Roman"/>
                <w:bCs/>
              </w:rPr>
            </w:pPr>
            <w:r w:rsidRPr="00BE0600">
              <w:rPr>
                <w:rFonts w:asciiTheme="minorHAnsi" w:hAnsiTheme="minorHAnsi" w:cs="Times New Roman"/>
                <w:bCs/>
              </w:rPr>
              <w:t>1</w:t>
            </w:r>
            <w:r w:rsidR="005D0F38">
              <w:rPr>
                <w:rFonts w:asciiTheme="minorHAnsi" w:hAnsiTheme="minorHAnsi" w:cs="Times New Roman"/>
                <w:bCs/>
              </w:rPr>
              <w:t>5,882</w:t>
            </w:r>
          </w:p>
        </w:tc>
      </w:tr>
    </w:tbl>
    <w:p w:rsidR="00462145" w:rsidRPr="0005599E" w:rsidP="00462145" w14:paraId="60945A8C" w14:textId="77777777">
      <w:pPr>
        <w:tabs>
          <w:tab w:val="left" w:pos="-1440"/>
        </w:tabs>
        <w:rPr>
          <w:rFonts w:ascii="Times New Roman" w:hAnsi="Times New Roman" w:cs="Times New Roman"/>
        </w:rPr>
      </w:pPr>
    </w:p>
    <w:p w:rsidR="00D91D2B" w:rsidRPr="00BE0600" w:rsidP="007644FC" w14:paraId="2D4CF547" w14:textId="24D8579C">
      <w:pPr>
        <w:pStyle w:val="Heading1"/>
      </w:pPr>
      <w:bookmarkStart w:id="19" w:name="_Toc210120522"/>
      <w:bookmarkStart w:id="20" w:name="_Toc210120591"/>
      <w:r w:rsidRPr="00BE0600">
        <w:t xml:space="preserve">15. </w:t>
      </w:r>
      <w:r w:rsidRPr="00BE0600">
        <w:tab/>
      </w:r>
      <w:r w:rsidRPr="00BE0600">
        <w:t xml:space="preserve">Explanation for </w:t>
      </w:r>
      <w:r w:rsidRPr="00BE0600" w:rsidR="007F6245">
        <w:t>p</w:t>
      </w:r>
      <w:r w:rsidRPr="00BE0600">
        <w:t xml:space="preserve">rogram </w:t>
      </w:r>
      <w:r w:rsidRPr="00BE0600" w:rsidR="007F6245">
        <w:t>c</w:t>
      </w:r>
      <w:r w:rsidRPr="00BE0600">
        <w:t xml:space="preserve">hanges and </w:t>
      </w:r>
      <w:r w:rsidRPr="00BE0600" w:rsidR="007F6245">
        <w:t>a</w:t>
      </w:r>
      <w:r w:rsidRPr="00BE0600">
        <w:t>djustments</w:t>
      </w:r>
      <w:bookmarkEnd w:id="19"/>
      <w:bookmarkEnd w:id="20"/>
      <w:r w:rsidRPr="00BE0600">
        <w:t xml:space="preserve">  </w:t>
      </w:r>
    </w:p>
    <w:p w:rsidR="00D91D2B" w:rsidRPr="00BE0600" w:rsidP="00462145" w14:paraId="1C74BF6E" w14:textId="77777777">
      <w:pPr>
        <w:tabs>
          <w:tab w:val="left" w:pos="-1440"/>
        </w:tabs>
        <w:rPr>
          <w:rFonts w:asciiTheme="minorHAnsi" w:hAnsiTheme="minorHAnsi" w:cs="Times New Roman"/>
        </w:rPr>
      </w:pPr>
    </w:p>
    <w:p w:rsidR="00AA02C1" w:rsidRPr="00BE0600" w:rsidP="00E670BA" w14:paraId="4C718375" w14:textId="06CD81A2">
      <w:pPr>
        <w:tabs>
          <w:tab w:val="left" w:pos="-1440"/>
        </w:tabs>
        <w:rPr>
          <w:rFonts w:asciiTheme="minorHAnsi" w:hAnsiTheme="minorHAnsi" w:cs="Times New Roman"/>
        </w:rPr>
      </w:pPr>
      <w:r w:rsidRPr="00BE0600">
        <w:rPr>
          <w:rFonts w:asciiTheme="minorHAnsi" w:hAnsiTheme="minorHAnsi" w:cs="Times New Roman"/>
        </w:rPr>
        <w:t xml:space="preserve">The </w:t>
      </w:r>
      <w:r w:rsidRPr="00BE0600" w:rsidR="00543EDA">
        <w:rPr>
          <w:rFonts w:asciiTheme="minorHAnsi" w:hAnsiTheme="minorHAnsi" w:cs="Times New Roman"/>
        </w:rPr>
        <w:t>proposed</w:t>
      </w:r>
      <w:r w:rsidR="00FA1760">
        <w:rPr>
          <w:rFonts w:asciiTheme="minorHAnsi" w:hAnsiTheme="minorHAnsi" w:cs="Times New Roman"/>
        </w:rPr>
        <w:t xml:space="preserve"> </w:t>
      </w:r>
      <w:r w:rsidR="005A19DB">
        <w:rPr>
          <w:rFonts w:asciiTheme="minorHAnsi" w:hAnsiTheme="minorHAnsi" w:cs="Times New Roman"/>
        </w:rPr>
        <w:t>modification</w:t>
      </w:r>
      <w:r w:rsidR="00720BE6">
        <w:rPr>
          <w:rFonts w:asciiTheme="minorHAnsi" w:hAnsiTheme="minorHAnsi" w:cs="Times New Roman"/>
        </w:rPr>
        <w:t>s</w:t>
      </w:r>
      <w:r w:rsidRPr="00BE0600" w:rsidR="009E2F33">
        <w:rPr>
          <w:rFonts w:asciiTheme="minorHAnsi" w:hAnsiTheme="minorHAnsi" w:cs="Times New Roman"/>
        </w:rPr>
        <w:t xml:space="preserve"> </w:t>
      </w:r>
      <w:r w:rsidRPr="00BE0600">
        <w:rPr>
          <w:rFonts w:asciiTheme="minorHAnsi" w:hAnsiTheme="minorHAnsi" w:cs="Times New Roman"/>
        </w:rPr>
        <w:t>in this submission do</w:t>
      </w:r>
      <w:r w:rsidRPr="00BE0600" w:rsidR="00C60A83">
        <w:rPr>
          <w:rFonts w:asciiTheme="minorHAnsi" w:hAnsiTheme="minorHAnsi" w:cs="Times New Roman"/>
        </w:rPr>
        <w:t xml:space="preserve"> </w:t>
      </w:r>
      <w:r w:rsidRPr="00BE0600">
        <w:rPr>
          <w:rFonts w:asciiTheme="minorHAnsi" w:hAnsiTheme="minorHAnsi" w:cs="Times New Roman"/>
        </w:rPr>
        <w:t>not change the</w:t>
      </w:r>
      <w:r w:rsidRPr="00BE0600" w:rsidR="00543EDA">
        <w:rPr>
          <w:rFonts w:asciiTheme="minorHAnsi" w:hAnsiTheme="minorHAnsi" w:cs="Times New Roman"/>
        </w:rPr>
        <w:t xml:space="preserve"> estimated average</w:t>
      </w:r>
      <w:r w:rsidRPr="00BE0600">
        <w:rPr>
          <w:rFonts w:asciiTheme="minorHAnsi" w:hAnsiTheme="minorHAnsi" w:cs="Times New Roman"/>
        </w:rPr>
        <w:t xml:space="preserve"> burden hours from the previously approved clearance</w:t>
      </w:r>
      <w:r w:rsidRPr="00BE0600" w:rsidR="004B0843">
        <w:rPr>
          <w:rFonts w:asciiTheme="minorHAnsi" w:hAnsiTheme="minorHAnsi" w:cs="Times New Roman"/>
        </w:rPr>
        <w:t xml:space="preserve"> (</w:t>
      </w:r>
      <w:r w:rsidRPr="00BE0600" w:rsidR="004B0843">
        <w:rPr>
          <w:rFonts w:asciiTheme="minorHAnsi" w:hAnsiTheme="minorHAnsi" w:cs="Times New Roman"/>
          <w:b/>
          <w:bCs/>
        </w:rPr>
        <w:t xml:space="preserve">see Table </w:t>
      </w:r>
      <w:r w:rsidR="0072080D">
        <w:rPr>
          <w:rFonts w:asciiTheme="minorHAnsi" w:hAnsiTheme="minorHAnsi" w:cs="Times New Roman"/>
          <w:b/>
          <w:bCs/>
        </w:rPr>
        <w:t>3</w:t>
      </w:r>
      <w:r w:rsidRPr="00BE0600" w:rsidR="004B0843">
        <w:rPr>
          <w:rFonts w:asciiTheme="minorHAnsi" w:hAnsiTheme="minorHAnsi" w:cs="Times New Roman"/>
        </w:rPr>
        <w:t>)</w:t>
      </w:r>
      <w:r w:rsidR="00720BE6">
        <w:rPr>
          <w:rFonts w:asciiTheme="minorHAnsi" w:hAnsiTheme="minorHAnsi" w:cs="Times New Roman"/>
        </w:rPr>
        <w:t xml:space="preserve"> because </w:t>
      </w:r>
      <w:r w:rsidR="0020447D">
        <w:rPr>
          <w:rFonts w:asciiTheme="minorHAnsi" w:hAnsiTheme="minorHAnsi" w:cs="Times New Roman"/>
        </w:rPr>
        <w:t xml:space="preserve">the </w:t>
      </w:r>
      <w:r w:rsidR="00803154">
        <w:rPr>
          <w:rFonts w:asciiTheme="minorHAnsi" w:hAnsiTheme="minorHAnsi" w:cs="Times New Roman"/>
        </w:rPr>
        <w:t xml:space="preserve">target </w:t>
      </w:r>
      <w:r w:rsidR="0020447D">
        <w:rPr>
          <w:rFonts w:asciiTheme="minorHAnsi" w:hAnsiTheme="minorHAnsi" w:cs="Times New Roman"/>
        </w:rPr>
        <w:t>number</w:t>
      </w:r>
      <w:r w:rsidR="00803154">
        <w:rPr>
          <w:rFonts w:asciiTheme="minorHAnsi" w:hAnsiTheme="minorHAnsi" w:cs="Times New Roman"/>
        </w:rPr>
        <w:t>s</w:t>
      </w:r>
      <w:r w:rsidR="0020447D">
        <w:rPr>
          <w:rFonts w:asciiTheme="minorHAnsi" w:hAnsiTheme="minorHAnsi" w:cs="Times New Roman"/>
        </w:rPr>
        <w:t xml:space="preserve"> </w:t>
      </w:r>
      <w:r w:rsidR="006D686A">
        <w:rPr>
          <w:rFonts w:asciiTheme="minorHAnsi" w:hAnsiTheme="minorHAnsi" w:cs="Times New Roman"/>
        </w:rPr>
        <w:t xml:space="preserve">of interviews and examinations </w:t>
      </w:r>
      <w:r w:rsidR="00803154">
        <w:rPr>
          <w:rFonts w:asciiTheme="minorHAnsi" w:hAnsiTheme="minorHAnsi" w:cs="Times New Roman"/>
        </w:rPr>
        <w:t xml:space="preserve">to be </w:t>
      </w:r>
      <w:r w:rsidR="002C5FB8">
        <w:rPr>
          <w:rFonts w:asciiTheme="minorHAnsi" w:hAnsiTheme="minorHAnsi" w:cs="Times New Roman"/>
        </w:rPr>
        <w:t xml:space="preserve">collected </w:t>
      </w:r>
      <w:r w:rsidR="006D686A">
        <w:rPr>
          <w:rFonts w:asciiTheme="minorHAnsi" w:hAnsiTheme="minorHAnsi" w:cs="Times New Roman"/>
        </w:rPr>
        <w:t xml:space="preserve">in </w:t>
      </w:r>
      <w:r w:rsidR="00650B1C">
        <w:rPr>
          <w:rFonts w:asciiTheme="minorHAnsi" w:hAnsiTheme="minorHAnsi" w:cs="Times New Roman"/>
        </w:rPr>
        <w:t>three</w:t>
      </w:r>
      <w:r w:rsidR="006D686A">
        <w:rPr>
          <w:rFonts w:asciiTheme="minorHAnsi" w:hAnsiTheme="minorHAnsi" w:cs="Times New Roman"/>
        </w:rPr>
        <w:t xml:space="preserve"> years</w:t>
      </w:r>
      <w:r w:rsidR="002C5FB8">
        <w:rPr>
          <w:rFonts w:asciiTheme="minorHAnsi" w:hAnsiTheme="minorHAnsi" w:cs="Times New Roman"/>
        </w:rPr>
        <w:t xml:space="preserve"> will be the same as previously approved number</w:t>
      </w:r>
      <w:r w:rsidR="00803154">
        <w:rPr>
          <w:rFonts w:asciiTheme="minorHAnsi" w:hAnsiTheme="minorHAnsi" w:cs="Times New Roman"/>
        </w:rPr>
        <w:t>s</w:t>
      </w:r>
      <w:r w:rsidR="002C5FB8">
        <w:rPr>
          <w:rFonts w:asciiTheme="minorHAnsi" w:hAnsiTheme="minorHAnsi" w:cs="Times New Roman"/>
        </w:rPr>
        <w:t xml:space="preserve"> for the </w:t>
      </w:r>
      <w:r w:rsidR="002902D1">
        <w:rPr>
          <w:rFonts w:asciiTheme="minorHAnsi" w:hAnsiTheme="minorHAnsi" w:cs="Times New Roman"/>
        </w:rPr>
        <w:t>two</w:t>
      </w:r>
      <w:r w:rsidR="002C5FB8">
        <w:rPr>
          <w:rFonts w:asciiTheme="minorHAnsi" w:hAnsiTheme="minorHAnsi" w:cs="Times New Roman"/>
        </w:rPr>
        <w:t>-year cycle</w:t>
      </w:r>
      <w:r w:rsidRPr="00BE0600">
        <w:rPr>
          <w:rFonts w:asciiTheme="minorHAnsi" w:hAnsiTheme="minorHAnsi" w:cs="Times New Roman"/>
        </w:rPr>
        <w:t>.</w:t>
      </w:r>
      <w:r w:rsidRPr="00BE0600" w:rsidR="009E2F33">
        <w:rPr>
          <w:rFonts w:asciiTheme="minorHAnsi" w:hAnsiTheme="minorHAnsi" w:cs="Times New Roman"/>
        </w:rPr>
        <w:t xml:space="preserve"> </w:t>
      </w:r>
      <w:r w:rsidR="00922A02">
        <w:rPr>
          <w:rFonts w:asciiTheme="minorHAnsi" w:hAnsiTheme="minorHAnsi" w:cs="Times New Roman"/>
        </w:rPr>
        <w:t xml:space="preserve">The </w:t>
      </w:r>
      <w:r w:rsidR="00997F6B">
        <w:rPr>
          <w:rFonts w:asciiTheme="minorHAnsi" w:hAnsiTheme="minorHAnsi" w:cs="Times New Roman"/>
        </w:rPr>
        <w:t xml:space="preserve">current </w:t>
      </w:r>
      <w:r w:rsidRPr="00997F6B" w:rsidR="00997F6B">
        <w:rPr>
          <w:rFonts w:asciiTheme="minorHAnsi" w:hAnsiTheme="minorHAnsi" w:cs="Times New Roman"/>
        </w:rPr>
        <w:t>incentives have not kept pace with inflation</w:t>
      </w:r>
      <w:r w:rsidR="00BB0CC4">
        <w:rPr>
          <w:rFonts w:asciiTheme="minorHAnsi" w:hAnsiTheme="minorHAnsi" w:cs="Times New Roman"/>
        </w:rPr>
        <w:t>. G</w:t>
      </w:r>
      <w:r w:rsidRPr="00997F6B" w:rsidR="00997F6B">
        <w:rPr>
          <w:rFonts w:asciiTheme="minorHAnsi" w:hAnsiTheme="minorHAnsi" w:cs="Times New Roman"/>
        </w:rPr>
        <w:t xml:space="preserve">iven </w:t>
      </w:r>
      <w:r w:rsidR="00884DE4">
        <w:rPr>
          <w:rFonts w:asciiTheme="minorHAnsi" w:hAnsiTheme="minorHAnsi" w:cs="Times New Roman"/>
        </w:rPr>
        <w:t xml:space="preserve">the association </w:t>
      </w:r>
      <w:r w:rsidR="009249C6">
        <w:rPr>
          <w:rFonts w:asciiTheme="minorHAnsi" w:hAnsiTheme="minorHAnsi" w:cs="Times New Roman"/>
        </w:rPr>
        <w:t xml:space="preserve">shown in </w:t>
      </w:r>
      <w:r w:rsidRPr="00997F6B" w:rsidR="00997F6B">
        <w:rPr>
          <w:rFonts w:asciiTheme="minorHAnsi" w:hAnsiTheme="minorHAnsi" w:cs="Times New Roman"/>
        </w:rPr>
        <w:t xml:space="preserve">our experiment </w:t>
      </w:r>
      <w:r w:rsidR="009249C6">
        <w:rPr>
          <w:rFonts w:asciiTheme="minorHAnsi" w:hAnsiTheme="minorHAnsi" w:cs="Times New Roman"/>
        </w:rPr>
        <w:t xml:space="preserve">between the higher incentive and </w:t>
      </w:r>
      <w:r w:rsidRPr="00997F6B" w:rsidR="00997F6B">
        <w:rPr>
          <w:rFonts w:asciiTheme="minorHAnsi" w:hAnsiTheme="minorHAnsi" w:cs="Times New Roman"/>
        </w:rPr>
        <w:t>increase</w:t>
      </w:r>
      <w:r w:rsidR="003E0CF4">
        <w:rPr>
          <w:rFonts w:asciiTheme="minorHAnsi" w:hAnsiTheme="minorHAnsi" w:cs="Times New Roman"/>
        </w:rPr>
        <w:t>d</w:t>
      </w:r>
      <w:r w:rsidRPr="00997F6B" w:rsidR="00997F6B">
        <w:rPr>
          <w:rFonts w:asciiTheme="minorHAnsi" w:hAnsiTheme="minorHAnsi" w:cs="Times New Roman"/>
        </w:rPr>
        <w:t xml:space="preserve"> response rate, we suspect that reduced remuneration is part of the reason </w:t>
      </w:r>
      <w:r w:rsidR="003E0CF4">
        <w:rPr>
          <w:rFonts w:asciiTheme="minorHAnsi" w:hAnsiTheme="minorHAnsi" w:cs="Times New Roman"/>
        </w:rPr>
        <w:t xml:space="preserve">for the </w:t>
      </w:r>
      <w:r w:rsidR="009D60E6">
        <w:rPr>
          <w:rFonts w:asciiTheme="minorHAnsi" w:hAnsiTheme="minorHAnsi" w:cs="Times New Roman"/>
        </w:rPr>
        <w:t>decline</w:t>
      </w:r>
      <w:r w:rsidR="00EA5A58">
        <w:rPr>
          <w:rFonts w:asciiTheme="minorHAnsi" w:hAnsiTheme="minorHAnsi" w:cs="Times New Roman"/>
        </w:rPr>
        <w:t xml:space="preserve">d </w:t>
      </w:r>
      <w:r w:rsidRPr="00997F6B" w:rsidR="00997F6B">
        <w:rPr>
          <w:rFonts w:asciiTheme="minorHAnsi" w:hAnsiTheme="minorHAnsi" w:cs="Times New Roman"/>
        </w:rPr>
        <w:t xml:space="preserve">response rates </w:t>
      </w:r>
      <w:r w:rsidR="00EA5A58">
        <w:rPr>
          <w:rFonts w:asciiTheme="minorHAnsi" w:hAnsiTheme="minorHAnsi" w:cs="Times New Roman"/>
        </w:rPr>
        <w:t xml:space="preserve">observed </w:t>
      </w:r>
      <w:r w:rsidR="009D60E6">
        <w:rPr>
          <w:rFonts w:asciiTheme="minorHAnsi" w:hAnsiTheme="minorHAnsi" w:cs="Times New Roman"/>
        </w:rPr>
        <w:t xml:space="preserve">in 2025. </w:t>
      </w:r>
      <w:r w:rsidRPr="00BE0600" w:rsidR="009E2F33">
        <w:rPr>
          <w:rFonts w:asciiTheme="minorHAnsi" w:hAnsiTheme="minorHAnsi" w:cs="Times New Roman"/>
        </w:rPr>
        <w:t>The</w:t>
      </w:r>
      <w:r w:rsidRPr="00BE0600" w:rsidR="00B475AF">
        <w:rPr>
          <w:rFonts w:asciiTheme="minorHAnsi" w:hAnsiTheme="minorHAnsi" w:cs="Times New Roman"/>
        </w:rPr>
        <w:t xml:space="preserve"> proposed</w:t>
      </w:r>
      <w:r w:rsidRPr="00BE0600" w:rsidR="009E2F33">
        <w:rPr>
          <w:rFonts w:asciiTheme="minorHAnsi" w:hAnsiTheme="minorHAnsi" w:cs="Times New Roman"/>
        </w:rPr>
        <w:t xml:space="preserve"> incentive increase</w:t>
      </w:r>
      <w:r w:rsidR="003B2B6A">
        <w:rPr>
          <w:rFonts w:asciiTheme="minorHAnsi" w:hAnsiTheme="minorHAnsi" w:cs="Times New Roman"/>
        </w:rPr>
        <w:t xml:space="preserve">s, </w:t>
      </w:r>
      <w:r w:rsidR="00897B3A">
        <w:rPr>
          <w:rFonts w:asciiTheme="minorHAnsi" w:hAnsiTheme="minorHAnsi" w:cs="Times New Roman"/>
        </w:rPr>
        <w:t>disbursement of</w:t>
      </w:r>
      <w:r w:rsidR="003B2B6A">
        <w:rPr>
          <w:rFonts w:asciiTheme="minorHAnsi" w:hAnsiTheme="minorHAnsi" w:cs="Times New Roman"/>
        </w:rPr>
        <w:t xml:space="preserve"> remuneration to dry-run participants, and extension of the survey cycle by one year</w:t>
      </w:r>
      <w:r w:rsidR="00911204">
        <w:rPr>
          <w:rFonts w:asciiTheme="minorHAnsi" w:hAnsiTheme="minorHAnsi" w:cs="Times New Roman"/>
        </w:rPr>
        <w:t xml:space="preserve"> </w:t>
      </w:r>
      <w:r w:rsidRPr="00BE0600" w:rsidR="009E2F33">
        <w:rPr>
          <w:rFonts w:asciiTheme="minorHAnsi" w:hAnsiTheme="minorHAnsi" w:cs="Times New Roman"/>
        </w:rPr>
        <w:t xml:space="preserve">are vital to ensure NHANES maximizes </w:t>
      </w:r>
      <w:r w:rsidR="00586ADC">
        <w:rPr>
          <w:rFonts w:asciiTheme="minorHAnsi" w:hAnsiTheme="minorHAnsi" w:cs="Times New Roman"/>
        </w:rPr>
        <w:t>response rates</w:t>
      </w:r>
      <w:r w:rsidR="000E15FC">
        <w:rPr>
          <w:rFonts w:asciiTheme="minorHAnsi" w:hAnsiTheme="minorHAnsi" w:cs="Times New Roman"/>
        </w:rPr>
        <w:t xml:space="preserve"> and effectively mitigates nonresponse</w:t>
      </w:r>
      <w:r w:rsidRPr="00BE0600" w:rsidR="00E308D6">
        <w:rPr>
          <w:rFonts w:asciiTheme="minorHAnsi" w:hAnsiTheme="minorHAnsi" w:cs="Times New Roman"/>
        </w:rPr>
        <w:t>.</w:t>
      </w:r>
      <w:r w:rsidRPr="00BE0600" w:rsidR="00E534E2">
        <w:rPr>
          <w:rFonts w:asciiTheme="minorHAnsi" w:hAnsiTheme="minorHAnsi" w:cs="Times New Roman"/>
        </w:rPr>
        <w:t xml:space="preserve"> If</w:t>
      </w:r>
      <w:r w:rsidR="00C2773E">
        <w:rPr>
          <w:rFonts w:asciiTheme="minorHAnsi" w:hAnsiTheme="minorHAnsi" w:cs="Times New Roman"/>
        </w:rPr>
        <w:t xml:space="preserve"> </w:t>
      </w:r>
      <w:r w:rsidRPr="00BE0600" w:rsidR="00E534E2">
        <w:rPr>
          <w:rFonts w:asciiTheme="minorHAnsi" w:hAnsiTheme="minorHAnsi" w:cs="Times New Roman"/>
        </w:rPr>
        <w:t xml:space="preserve">data suggests that the </w:t>
      </w:r>
      <w:r w:rsidR="00D47F19">
        <w:rPr>
          <w:rFonts w:asciiTheme="minorHAnsi" w:hAnsiTheme="minorHAnsi" w:cs="Times New Roman"/>
        </w:rPr>
        <w:t>incentive increase</w:t>
      </w:r>
      <w:r w:rsidR="00F3245A">
        <w:rPr>
          <w:rFonts w:asciiTheme="minorHAnsi" w:hAnsiTheme="minorHAnsi" w:cs="Times New Roman"/>
        </w:rPr>
        <w:t xml:space="preserve"> improves </w:t>
      </w:r>
      <w:r w:rsidRPr="00BE0600" w:rsidR="00E534E2">
        <w:rPr>
          <w:rFonts w:asciiTheme="minorHAnsi" w:hAnsiTheme="minorHAnsi" w:cs="Times New Roman"/>
        </w:rPr>
        <w:t xml:space="preserve">MEC participation rates, NHANES will </w:t>
      </w:r>
      <w:r w:rsidR="00DA29EE">
        <w:rPr>
          <w:rFonts w:asciiTheme="minorHAnsi" w:hAnsiTheme="minorHAnsi" w:cs="Times New Roman"/>
        </w:rPr>
        <w:t xml:space="preserve">maintain these incentive amounts in future cycles, pending any budgetary </w:t>
      </w:r>
      <w:r w:rsidR="005C6D39">
        <w:rPr>
          <w:rFonts w:asciiTheme="minorHAnsi" w:hAnsiTheme="minorHAnsi" w:cs="Times New Roman"/>
        </w:rPr>
        <w:t>constraints.</w:t>
      </w:r>
    </w:p>
    <w:p w:rsidR="00C60A83" w:rsidRPr="00685373" w:rsidP="00C60A83" w14:paraId="6A68610A" w14:textId="4F501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color w:val="000000"/>
          <w:szCs w:val="22"/>
        </w:rPr>
      </w:pPr>
    </w:p>
    <w:p w:rsidR="00E308D6" w:rsidRPr="00BE0600" w:rsidP="00E308D6" w14:paraId="1B2F9496" w14:textId="671A8348">
      <w:pPr>
        <w:tabs>
          <w:tab w:val="left" w:pos="450"/>
        </w:tabs>
        <w:rPr>
          <w:rFonts w:asciiTheme="minorHAnsi" w:hAnsiTheme="minorHAnsi" w:cs="Times New Roman"/>
          <w:b/>
          <w:bCs/>
        </w:rPr>
      </w:pPr>
      <w:r w:rsidRPr="00BE0600">
        <w:rPr>
          <w:rFonts w:asciiTheme="minorHAnsi" w:hAnsiTheme="minorHAnsi" w:cs="Times New Roman"/>
          <w:b/>
          <w:bCs/>
        </w:rPr>
        <w:t xml:space="preserve">Table </w:t>
      </w:r>
      <w:r w:rsidR="008A50D8">
        <w:rPr>
          <w:rFonts w:asciiTheme="minorHAnsi" w:hAnsiTheme="minorHAnsi" w:cs="Times New Roman"/>
          <w:b/>
          <w:bCs/>
        </w:rPr>
        <w:t>3</w:t>
      </w:r>
      <w:r w:rsidRPr="00BE0600">
        <w:rPr>
          <w:rFonts w:asciiTheme="minorHAnsi" w:hAnsiTheme="minorHAnsi" w:cs="Times New Roman"/>
          <w:b/>
          <w:bCs/>
        </w:rPr>
        <w:t>. 202</w:t>
      </w:r>
      <w:r w:rsidR="008A3E91">
        <w:rPr>
          <w:rFonts w:asciiTheme="minorHAnsi" w:hAnsiTheme="minorHAnsi" w:cs="Times New Roman"/>
          <w:b/>
          <w:bCs/>
        </w:rPr>
        <w:t>5</w:t>
      </w:r>
      <w:r w:rsidRPr="00BE0600">
        <w:rPr>
          <w:rFonts w:asciiTheme="minorHAnsi" w:hAnsiTheme="minorHAnsi" w:cs="Times New Roman"/>
          <w:b/>
          <w:bCs/>
        </w:rPr>
        <w:t xml:space="preserve"> – 202</w:t>
      </w:r>
      <w:r w:rsidR="008A3E91">
        <w:rPr>
          <w:rFonts w:asciiTheme="minorHAnsi" w:hAnsiTheme="minorHAnsi" w:cs="Times New Roman"/>
          <w:b/>
          <w:bCs/>
        </w:rPr>
        <w:t>6</w:t>
      </w:r>
      <w:r w:rsidRPr="00BE0600">
        <w:rPr>
          <w:rFonts w:asciiTheme="minorHAnsi" w:hAnsiTheme="minorHAnsi" w:cs="Times New Roman"/>
          <w:b/>
          <w:bCs/>
        </w:rPr>
        <w:t xml:space="preserve"> Approved Annualized Burden Hours</w:t>
      </w:r>
    </w:p>
    <w:p w:rsidR="00D91D2B" w:rsidP="00462145" w14:paraId="432A4B30" w14:textId="57EA2EC4">
      <w:pPr>
        <w:tabs>
          <w:tab w:val="left" w:pos="450"/>
        </w:tabs>
        <w:rPr>
          <w:rFonts w:ascii="Times New Roman" w:hAnsi="Times New Roman" w:cs="Times New Roman"/>
          <w:b/>
          <w:bCs/>
        </w:rPr>
      </w:pPr>
    </w:p>
    <w:tbl>
      <w:tblPr>
        <w:tblW w:w="10595" w:type="dxa"/>
        <w:jc w:val="center"/>
        <w:tblLayout w:type="fixed"/>
        <w:tblCellMar>
          <w:left w:w="120" w:type="dxa"/>
          <w:right w:w="120" w:type="dxa"/>
        </w:tblCellMar>
        <w:tblLook w:val="04A0"/>
      </w:tblPr>
      <w:tblGrid>
        <w:gridCol w:w="1838"/>
        <w:gridCol w:w="1988"/>
        <w:gridCol w:w="1955"/>
        <w:gridCol w:w="1689"/>
        <w:gridCol w:w="1530"/>
        <w:gridCol w:w="1595"/>
      </w:tblGrid>
      <w:tr w14:paraId="0F4365E5" w14:textId="77777777" w:rsidTr="00964B7B">
        <w:tblPrEx>
          <w:tblW w:w="10595" w:type="dxa"/>
          <w:jc w:val="center"/>
          <w:tblLayout w:type="fixed"/>
          <w:tblCellMar>
            <w:left w:w="120" w:type="dxa"/>
            <w:right w:w="120" w:type="dxa"/>
          </w:tblCellMar>
          <w:tblLook w:val="04A0"/>
        </w:tblPrEx>
        <w:trPr>
          <w:trHeight w:val="980"/>
          <w:jc w:val="center"/>
        </w:trPr>
        <w:tc>
          <w:tcPr>
            <w:tcW w:w="1838" w:type="dxa"/>
            <w:tcBorders>
              <w:top w:val="single" w:sz="4" w:space="0" w:color="auto"/>
              <w:left w:val="single" w:sz="4" w:space="0" w:color="auto"/>
              <w:bottom w:val="single" w:sz="4" w:space="0" w:color="auto"/>
              <w:right w:val="single" w:sz="4" w:space="0" w:color="auto"/>
            </w:tcBorders>
            <w:vAlign w:val="center"/>
          </w:tcPr>
          <w:p w:rsidR="00964B7B" w:rsidRPr="00D76208" w:rsidP="00EC5A5A" w14:paraId="40BD5BB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Cs/>
                <w:iCs/>
                <w:u w:val="single"/>
              </w:rPr>
            </w:pPr>
          </w:p>
          <w:p w:rsidR="00964B7B" w:rsidRPr="00D76208" w:rsidP="00EC5A5A" w14:paraId="3B742A7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Cs/>
                <w:iCs/>
                <w:u w:val="single"/>
              </w:rPr>
            </w:pPr>
            <w:r w:rsidRPr="00D76208">
              <w:rPr>
                <w:rFonts w:ascii="Calibri" w:hAnsi="Calibri" w:cs="Times New Roman"/>
                <w:bCs/>
                <w:iCs/>
                <w:u w:val="single"/>
              </w:rPr>
              <w:t>Type of Respondent</w:t>
            </w:r>
          </w:p>
          <w:p w:rsidR="00964B7B" w:rsidRPr="00D76208" w:rsidP="00EC5A5A" w14:paraId="728DC66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Cs/>
                <w:iCs/>
                <w:u w:val="single"/>
              </w:rPr>
            </w:pPr>
          </w:p>
          <w:p w:rsidR="00964B7B" w:rsidRPr="00D76208" w:rsidP="00EC5A5A" w14:paraId="44027AC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Cs/>
                <w:iCs/>
                <w:u w:val="single"/>
              </w:rPr>
            </w:pPr>
          </w:p>
        </w:tc>
        <w:tc>
          <w:tcPr>
            <w:tcW w:w="1988" w:type="dxa"/>
            <w:tcBorders>
              <w:top w:val="single" w:sz="4" w:space="0" w:color="auto"/>
              <w:left w:val="single" w:sz="4" w:space="0" w:color="auto"/>
              <w:bottom w:val="single" w:sz="4" w:space="0" w:color="auto"/>
              <w:right w:val="single" w:sz="4" w:space="0" w:color="auto"/>
            </w:tcBorders>
            <w:vAlign w:val="center"/>
          </w:tcPr>
          <w:p w:rsidR="00964B7B" w:rsidRPr="00D76208" w:rsidP="00EC5A5A" w14:paraId="2E2DC24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Cs/>
                <w:iCs/>
                <w:u w:val="single"/>
              </w:rPr>
            </w:pPr>
          </w:p>
          <w:p w:rsidR="00964B7B" w:rsidRPr="00D76208" w:rsidP="00EC5A5A" w14:paraId="2C839D7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Cs/>
                <w:iCs/>
                <w:u w:val="single"/>
              </w:rPr>
            </w:pPr>
            <w:r w:rsidRPr="00D76208">
              <w:rPr>
                <w:rFonts w:ascii="Calibri" w:hAnsi="Calibri" w:cs="Times New Roman"/>
                <w:bCs/>
                <w:iCs/>
                <w:u w:val="single"/>
              </w:rPr>
              <w:t>Form Name</w:t>
            </w:r>
          </w:p>
        </w:tc>
        <w:tc>
          <w:tcPr>
            <w:tcW w:w="1955" w:type="dxa"/>
            <w:tcBorders>
              <w:top w:val="single" w:sz="4" w:space="0" w:color="auto"/>
              <w:left w:val="single" w:sz="4" w:space="0" w:color="auto"/>
              <w:bottom w:val="single" w:sz="4" w:space="0" w:color="auto"/>
              <w:right w:val="single" w:sz="8" w:space="0" w:color="000000"/>
            </w:tcBorders>
            <w:vAlign w:val="center"/>
          </w:tcPr>
          <w:p w:rsidR="00964B7B" w:rsidRPr="00D76208" w:rsidP="00EC5A5A" w14:paraId="503C155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Cs/>
                <w:iCs/>
                <w:u w:val="single"/>
              </w:rPr>
            </w:pPr>
          </w:p>
          <w:p w:rsidR="00964B7B" w:rsidRPr="00D76208" w:rsidP="00EC5A5A" w14:paraId="2C0AF51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Cs/>
                <w:iCs/>
                <w:u w:val="single"/>
              </w:rPr>
            </w:pPr>
            <w:r w:rsidRPr="00D76208">
              <w:rPr>
                <w:rFonts w:ascii="Calibri" w:hAnsi="Calibri" w:cs="Times New Roman"/>
                <w:bCs/>
                <w:iCs/>
                <w:u w:val="single"/>
              </w:rPr>
              <w:t>Number of</w:t>
            </w:r>
          </w:p>
          <w:p w:rsidR="00964B7B" w:rsidRPr="00D76208" w:rsidP="00EC5A5A" w14:paraId="3B69F27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Cs/>
                <w:iCs/>
                <w:u w:val="single"/>
              </w:rPr>
            </w:pPr>
            <w:r w:rsidRPr="00D76208">
              <w:rPr>
                <w:rFonts w:ascii="Calibri" w:hAnsi="Calibri" w:cs="Times New Roman"/>
                <w:bCs/>
                <w:iCs/>
                <w:u w:val="single"/>
              </w:rPr>
              <w:t>Respondents</w:t>
            </w:r>
          </w:p>
          <w:p w:rsidR="00964B7B" w:rsidRPr="00D76208" w:rsidP="00EC5A5A" w14:paraId="6A886B8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Cs/>
                <w:iCs/>
                <w:u w:val="single"/>
              </w:rPr>
            </w:pPr>
          </w:p>
        </w:tc>
        <w:tc>
          <w:tcPr>
            <w:tcW w:w="1689" w:type="dxa"/>
            <w:tcBorders>
              <w:top w:val="single" w:sz="4" w:space="0" w:color="auto"/>
              <w:left w:val="single" w:sz="8" w:space="0" w:color="000000"/>
              <w:bottom w:val="single" w:sz="4" w:space="0" w:color="auto"/>
              <w:right w:val="single" w:sz="8" w:space="0" w:color="000000"/>
            </w:tcBorders>
            <w:vAlign w:val="center"/>
            <w:hideMark/>
          </w:tcPr>
          <w:p w:rsidR="00964B7B" w:rsidRPr="00D76208" w:rsidP="00EC5A5A" w14:paraId="0E928DF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Cs/>
                <w:iCs/>
                <w:u w:val="single"/>
              </w:rPr>
            </w:pPr>
            <w:r w:rsidRPr="00D76208">
              <w:rPr>
                <w:rFonts w:ascii="Calibri" w:hAnsi="Calibri" w:cs="Times New Roman"/>
                <w:bCs/>
                <w:iCs/>
                <w:u w:val="single"/>
              </w:rPr>
              <w:t>Number of</w:t>
            </w:r>
          </w:p>
          <w:p w:rsidR="00964B7B" w:rsidRPr="00D76208" w:rsidP="00EC5A5A" w14:paraId="275BECE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Cs/>
                <w:iCs/>
                <w:u w:val="single"/>
              </w:rPr>
            </w:pPr>
            <w:r w:rsidRPr="00D76208">
              <w:rPr>
                <w:rFonts w:ascii="Calibri" w:hAnsi="Calibri" w:cs="Times New Roman"/>
                <w:bCs/>
                <w:iCs/>
                <w:u w:val="single"/>
              </w:rPr>
              <w:t>Responses per</w:t>
            </w:r>
          </w:p>
          <w:p w:rsidR="00964B7B" w:rsidRPr="00D76208" w:rsidP="00EC5A5A" w14:paraId="0C9B528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Cs/>
                <w:iCs/>
                <w:u w:val="single"/>
              </w:rPr>
            </w:pPr>
            <w:r w:rsidRPr="00D76208">
              <w:rPr>
                <w:rFonts w:ascii="Calibri" w:hAnsi="Calibri" w:cs="Times New Roman"/>
                <w:bCs/>
                <w:iCs/>
                <w:u w:val="single"/>
              </w:rPr>
              <w:t>Respondent</w:t>
            </w:r>
          </w:p>
        </w:tc>
        <w:tc>
          <w:tcPr>
            <w:tcW w:w="1530" w:type="dxa"/>
            <w:tcBorders>
              <w:top w:val="single" w:sz="4" w:space="0" w:color="auto"/>
              <w:left w:val="single" w:sz="8" w:space="0" w:color="000000"/>
              <w:bottom w:val="single" w:sz="4" w:space="0" w:color="auto"/>
              <w:right w:val="single" w:sz="8" w:space="0" w:color="000000"/>
            </w:tcBorders>
            <w:vAlign w:val="center"/>
            <w:hideMark/>
          </w:tcPr>
          <w:p w:rsidR="00964B7B" w:rsidRPr="00D76208" w:rsidP="00EC5A5A" w14:paraId="3DB9AFE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Cs/>
                <w:iCs/>
                <w:u w:val="single"/>
              </w:rPr>
            </w:pPr>
            <w:r w:rsidRPr="00D76208">
              <w:rPr>
                <w:rFonts w:ascii="Calibri" w:hAnsi="Calibri" w:cs="Times New Roman"/>
                <w:bCs/>
                <w:iCs/>
                <w:u w:val="single"/>
              </w:rPr>
              <w:t>Average Burden per Response</w:t>
            </w:r>
          </w:p>
          <w:p w:rsidR="00964B7B" w:rsidRPr="00D76208" w:rsidP="00EC5A5A" w14:paraId="179E06D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Cs/>
                <w:iCs/>
                <w:u w:val="single"/>
              </w:rPr>
            </w:pPr>
            <w:r w:rsidRPr="00D76208">
              <w:rPr>
                <w:rFonts w:ascii="Calibri" w:hAnsi="Calibri" w:cs="Times New Roman"/>
                <w:bCs/>
                <w:iCs/>
                <w:u w:val="single"/>
              </w:rPr>
              <w:t>(in hours)</w:t>
            </w:r>
          </w:p>
        </w:tc>
        <w:tc>
          <w:tcPr>
            <w:tcW w:w="1595" w:type="dxa"/>
            <w:tcBorders>
              <w:top w:val="single" w:sz="4" w:space="0" w:color="auto"/>
              <w:left w:val="single" w:sz="8" w:space="0" w:color="000000"/>
              <w:bottom w:val="single" w:sz="4" w:space="0" w:color="auto"/>
              <w:right w:val="single" w:sz="4" w:space="0" w:color="auto"/>
            </w:tcBorders>
            <w:vAlign w:val="center"/>
            <w:hideMark/>
          </w:tcPr>
          <w:p w:rsidR="00964B7B" w:rsidRPr="00D76208" w:rsidP="00EC5A5A" w14:paraId="247A0CE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Cs/>
                <w:iCs/>
                <w:u w:val="single"/>
              </w:rPr>
            </w:pPr>
            <w:r w:rsidRPr="00D76208">
              <w:rPr>
                <w:rFonts w:ascii="Calibri" w:hAnsi="Calibri" w:cs="Times New Roman"/>
                <w:bCs/>
                <w:iCs/>
                <w:u w:val="single"/>
              </w:rPr>
              <w:t>Total</w:t>
            </w:r>
          </w:p>
          <w:p w:rsidR="00964B7B" w:rsidRPr="00D76208" w:rsidP="00EC5A5A" w14:paraId="794CB6E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Cs/>
                <w:iCs/>
                <w:u w:val="single"/>
              </w:rPr>
            </w:pPr>
            <w:r w:rsidRPr="00D76208">
              <w:rPr>
                <w:rFonts w:ascii="Calibri" w:hAnsi="Calibri" w:cs="Times New Roman"/>
                <w:bCs/>
                <w:iCs/>
                <w:u w:val="single"/>
              </w:rPr>
              <w:t>Burden</w:t>
            </w:r>
          </w:p>
          <w:p w:rsidR="00964B7B" w:rsidRPr="00D76208" w:rsidP="00EC5A5A" w14:paraId="0F10B6D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Cs/>
                <w:iCs/>
                <w:u w:val="single"/>
              </w:rPr>
            </w:pPr>
            <w:r w:rsidRPr="00D76208">
              <w:rPr>
                <w:rFonts w:ascii="Calibri" w:hAnsi="Calibri" w:cs="Times New Roman"/>
                <w:bCs/>
                <w:iCs/>
                <w:u w:val="single"/>
              </w:rPr>
              <w:t>(in hours)</w:t>
            </w:r>
          </w:p>
        </w:tc>
      </w:tr>
      <w:tr w14:paraId="6147A73F" w14:textId="77777777" w:rsidTr="00964B7B">
        <w:tblPrEx>
          <w:tblW w:w="10595" w:type="dxa"/>
          <w:jc w:val="center"/>
          <w:tblLayout w:type="fixed"/>
          <w:tblCellMar>
            <w:left w:w="120" w:type="dxa"/>
            <w:right w:w="120" w:type="dxa"/>
          </w:tblCellMar>
          <w:tblLook w:val="04A0"/>
        </w:tblPrEx>
        <w:trPr>
          <w:trHeight w:val="576"/>
          <w:jc w:val="center"/>
        </w:trPr>
        <w:tc>
          <w:tcPr>
            <w:tcW w:w="1838" w:type="dxa"/>
            <w:tcBorders>
              <w:top w:val="single" w:sz="4" w:space="0" w:color="auto"/>
              <w:left w:val="single" w:sz="4" w:space="0" w:color="auto"/>
              <w:bottom w:val="single" w:sz="4" w:space="0" w:color="auto"/>
              <w:right w:val="single" w:sz="4" w:space="0" w:color="auto"/>
            </w:tcBorders>
            <w:hideMark/>
          </w:tcPr>
          <w:p w:rsidR="00964B7B" w:rsidRPr="00D76208" w:rsidP="00EC5A5A" w14:paraId="27A8CB7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 xml:space="preserve">Individuals </w:t>
            </w:r>
          </w:p>
          <w:p w:rsidR="00964B7B" w:rsidRPr="00D76208" w:rsidP="00EC5A5A" w14:paraId="1192AD2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in households</w:t>
            </w:r>
          </w:p>
        </w:tc>
        <w:tc>
          <w:tcPr>
            <w:tcW w:w="1988" w:type="dxa"/>
            <w:tcBorders>
              <w:top w:val="single" w:sz="4" w:space="0" w:color="auto"/>
              <w:left w:val="single" w:sz="4" w:space="0" w:color="auto"/>
              <w:bottom w:val="single" w:sz="4" w:space="0" w:color="auto"/>
              <w:right w:val="single" w:sz="4" w:space="0" w:color="auto"/>
            </w:tcBorders>
          </w:tcPr>
          <w:p w:rsidR="00964B7B" w:rsidRPr="00D76208" w:rsidP="00EC5A5A" w14:paraId="4309CD5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6A168AF1"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Screener</w:t>
            </w:r>
          </w:p>
        </w:tc>
        <w:tc>
          <w:tcPr>
            <w:tcW w:w="1955" w:type="dxa"/>
            <w:tcBorders>
              <w:top w:val="single" w:sz="4" w:space="0" w:color="auto"/>
              <w:left w:val="single" w:sz="4" w:space="0" w:color="auto"/>
              <w:bottom w:val="single" w:sz="4" w:space="0" w:color="auto"/>
              <w:right w:val="single" w:sz="8" w:space="0" w:color="000000"/>
            </w:tcBorders>
          </w:tcPr>
          <w:p w:rsidR="00964B7B" w:rsidRPr="00D76208" w:rsidP="00EC5A5A" w14:paraId="7DDD3CA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2B6DC61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6,398</w:t>
            </w:r>
          </w:p>
        </w:tc>
        <w:tc>
          <w:tcPr>
            <w:tcW w:w="1689" w:type="dxa"/>
            <w:tcBorders>
              <w:top w:val="single" w:sz="4" w:space="0" w:color="auto"/>
              <w:left w:val="single" w:sz="8" w:space="0" w:color="000000"/>
              <w:bottom w:val="single" w:sz="4" w:space="0" w:color="auto"/>
              <w:right w:val="single" w:sz="8" w:space="0" w:color="000000"/>
            </w:tcBorders>
          </w:tcPr>
          <w:p w:rsidR="00964B7B" w:rsidRPr="00D76208" w:rsidP="00EC5A5A" w14:paraId="2D5522F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362B49E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1</w:t>
            </w:r>
          </w:p>
        </w:tc>
        <w:tc>
          <w:tcPr>
            <w:tcW w:w="1530" w:type="dxa"/>
            <w:tcBorders>
              <w:top w:val="single" w:sz="4" w:space="0" w:color="auto"/>
              <w:left w:val="single" w:sz="8" w:space="0" w:color="000000"/>
              <w:bottom w:val="single" w:sz="4" w:space="0" w:color="auto"/>
              <w:right w:val="single" w:sz="8" w:space="0" w:color="000000"/>
            </w:tcBorders>
          </w:tcPr>
          <w:p w:rsidR="00964B7B" w:rsidRPr="00D76208" w:rsidP="00EC5A5A" w14:paraId="35BFEE0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1F1B4FB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0.1</w:t>
            </w:r>
          </w:p>
        </w:tc>
        <w:tc>
          <w:tcPr>
            <w:tcW w:w="1595" w:type="dxa"/>
            <w:tcBorders>
              <w:top w:val="single" w:sz="4" w:space="0" w:color="auto"/>
              <w:left w:val="single" w:sz="8" w:space="0" w:color="000000"/>
              <w:bottom w:val="single" w:sz="4" w:space="0" w:color="auto"/>
              <w:right w:val="single" w:sz="4" w:space="0" w:color="auto"/>
            </w:tcBorders>
          </w:tcPr>
          <w:p w:rsidR="00964B7B" w:rsidRPr="00D76208" w:rsidP="00EC5A5A" w14:paraId="75CE232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0026884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747</w:t>
            </w:r>
          </w:p>
        </w:tc>
      </w:tr>
      <w:tr w14:paraId="7F8F823D" w14:textId="77777777" w:rsidTr="00964B7B">
        <w:tblPrEx>
          <w:tblW w:w="10595" w:type="dxa"/>
          <w:jc w:val="center"/>
          <w:tblLayout w:type="fixed"/>
          <w:tblCellMar>
            <w:left w:w="120" w:type="dxa"/>
            <w:right w:w="120" w:type="dxa"/>
          </w:tblCellMar>
          <w:tblLook w:val="04A0"/>
        </w:tblPrEx>
        <w:trPr>
          <w:trHeight w:val="576"/>
          <w:jc w:val="center"/>
        </w:trPr>
        <w:tc>
          <w:tcPr>
            <w:tcW w:w="1838" w:type="dxa"/>
            <w:tcBorders>
              <w:top w:val="single" w:sz="4" w:space="0" w:color="auto"/>
              <w:left w:val="single" w:sz="4" w:space="0" w:color="auto"/>
              <w:bottom w:val="single" w:sz="4" w:space="0" w:color="auto"/>
              <w:right w:val="single" w:sz="4" w:space="0" w:color="auto"/>
            </w:tcBorders>
            <w:hideMark/>
          </w:tcPr>
          <w:p w:rsidR="00964B7B" w:rsidRPr="00D76208" w:rsidP="00EC5A5A" w14:paraId="14E7FB5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 xml:space="preserve">Individuals </w:t>
            </w:r>
          </w:p>
          <w:p w:rsidR="00964B7B" w:rsidRPr="00D76208" w:rsidP="00EC5A5A" w14:paraId="22A256E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in households</w:t>
            </w:r>
          </w:p>
        </w:tc>
        <w:tc>
          <w:tcPr>
            <w:tcW w:w="1988" w:type="dxa"/>
            <w:tcBorders>
              <w:top w:val="single" w:sz="4" w:space="0" w:color="auto"/>
              <w:left w:val="single" w:sz="4" w:space="0" w:color="auto"/>
              <w:bottom w:val="single" w:sz="4" w:space="0" w:color="auto"/>
              <w:right w:val="single" w:sz="4" w:space="0" w:color="auto"/>
            </w:tcBorders>
            <w:hideMark/>
          </w:tcPr>
          <w:p w:rsidR="00964B7B" w:rsidRPr="00D76208" w:rsidP="00EC5A5A" w14:paraId="48EDBAE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 xml:space="preserve">Household </w:t>
            </w:r>
          </w:p>
          <w:p w:rsidR="00964B7B" w:rsidRPr="00D76208" w:rsidP="00EC5A5A" w14:paraId="6327427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 xml:space="preserve">Interview </w:t>
            </w:r>
          </w:p>
        </w:tc>
        <w:tc>
          <w:tcPr>
            <w:tcW w:w="1955" w:type="dxa"/>
            <w:tcBorders>
              <w:top w:val="single" w:sz="4" w:space="0" w:color="auto"/>
              <w:left w:val="single" w:sz="4" w:space="0" w:color="auto"/>
              <w:bottom w:val="single" w:sz="4" w:space="0" w:color="auto"/>
              <w:right w:val="single" w:sz="8" w:space="0" w:color="000000"/>
            </w:tcBorders>
          </w:tcPr>
          <w:p w:rsidR="00964B7B" w:rsidRPr="00D76208" w:rsidP="00EC5A5A" w14:paraId="742D012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7D922B0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5,882</w:t>
            </w:r>
          </w:p>
        </w:tc>
        <w:tc>
          <w:tcPr>
            <w:tcW w:w="1689" w:type="dxa"/>
            <w:tcBorders>
              <w:top w:val="single" w:sz="4" w:space="0" w:color="auto"/>
              <w:left w:val="single" w:sz="8" w:space="0" w:color="000000"/>
              <w:bottom w:val="single" w:sz="4" w:space="0" w:color="auto"/>
              <w:right w:val="single" w:sz="8" w:space="0" w:color="000000"/>
            </w:tcBorders>
          </w:tcPr>
          <w:p w:rsidR="00964B7B" w:rsidRPr="00D76208" w:rsidP="00EC5A5A" w14:paraId="6B89A11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19F6628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1</w:t>
            </w:r>
          </w:p>
        </w:tc>
        <w:tc>
          <w:tcPr>
            <w:tcW w:w="1530" w:type="dxa"/>
            <w:tcBorders>
              <w:top w:val="single" w:sz="4" w:space="0" w:color="auto"/>
              <w:left w:val="single" w:sz="8" w:space="0" w:color="000000"/>
              <w:bottom w:val="single" w:sz="4" w:space="0" w:color="auto"/>
              <w:right w:val="single" w:sz="8" w:space="0" w:color="000000"/>
            </w:tcBorders>
          </w:tcPr>
          <w:p w:rsidR="00964B7B" w:rsidRPr="00D76208" w:rsidP="00EC5A5A" w14:paraId="1C2D8C5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1A6C9B4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1</w:t>
            </w:r>
          </w:p>
        </w:tc>
        <w:tc>
          <w:tcPr>
            <w:tcW w:w="1595" w:type="dxa"/>
            <w:tcBorders>
              <w:top w:val="single" w:sz="4" w:space="0" w:color="auto"/>
              <w:left w:val="single" w:sz="8" w:space="0" w:color="000000"/>
              <w:bottom w:val="single" w:sz="4" w:space="0" w:color="auto"/>
              <w:right w:val="single" w:sz="4" w:space="0" w:color="auto"/>
            </w:tcBorders>
          </w:tcPr>
          <w:p w:rsidR="00964B7B" w:rsidRPr="00D76208" w:rsidP="00EC5A5A" w14:paraId="538EA25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21F643B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5,882</w:t>
            </w:r>
          </w:p>
        </w:tc>
      </w:tr>
      <w:tr w14:paraId="687250E3" w14:textId="77777777" w:rsidTr="00964B7B">
        <w:tblPrEx>
          <w:tblW w:w="10595" w:type="dxa"/>
          <w:jc w:val="center"/>
          <w:tblLayout w:type="fixed"/>
          <w:tblCellMar>
            <w:left w:w="120" w:type="dxa"/>
            <w:right w:w="120" w:type="dxa"/>
          </w:tblCellMar>
          <w:tblLook w:val="04A0"/>
        </w:tblPrEx>
        <w:trPr>
          <w:trHeight w:val="576"/>
          <w:jc w:val="center"/>
        </w:trPr>
        <w:tc>
          <w:tcPr>
            <w:tcW w:w="1838" w:type="dxa"/>
            <w:tcBorders>
              <w:top w:val="single" w:sz="4" w:space="0" w:color="auto"/>
              <w:left w:val="single" w:sz="4" w:space="0" w:color="auto"/>
              <w:bottom w:val="single" w:sz="4" w:space="0" w:color="auto"/>
              <w:right w:val="single" w:sz="4" w:space="0" w:color="auto"/>
            </w:tcBorders>
            <w:hideMark/>
          </w:tcPr>
          <w:p w:rsidR="00964B7B" w:rsidRPr="00D76208" w:rsidP="00EC5A5A" w14:paraId="3F844D0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 xml:space="preserve">Individuals </w:t>
            </w:r>
          </w:p>
          <w:p w:rsidR="00964B7B" w:rsidRPr="00D76208" w:rsidP="00EC5A5A" w14:paraId="518CE55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in households</w:t>
            </w:r>
          </w:p>
        </w:tc>
        <w:tc>
          <w:tcPr>
            <w:tcW w:w="1988" w:type="dxa"/>
            <w:tcBorders>
              <w:top w:val="single" w:sz="4" w:space="0" w:color="auto"/>
              <w:left w:val="single" w:sz="4" w:space="0" w:color="auto"/>
              <w:bottom w:val="single" w:sz="4" w:space="0" w:color="auto"/>
              <w:right w:val="single" w:sz="4" w:space="0" w:color="auto"/>
            </w:tcBorders>
            <w:hideMark/>
          </w:tcPr>
          <w:p w:rsidR="00964B7B" w:rsidRPr="00D76208" w:rsidP="00EC5A5A" w14:paraId="2546C02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MEC Interview &amp; Examination</w:t>
            </w:r>
          </w:p>
        </w:tc>
        <w:tc>
          <w:tcPr>
            <w:tcW w:w="1955" w:type="dxa"/>
            <w:tcBorders>
              <w:top w:val="single" w:sz="4" w:space="0" w:color="auto"/>
              <w:left w:val="single" w:sz="4" w:space="0" w:color="auto"/>
              <w:bottom w:val="single" w:sz="4" w:space="0" w:color="auto"/>
              <w:right w:val="single" w:sz="8" w:space="0" w:color="000000"/>
            </w:tcBorders>
          </w:tcPr>
          <w:p w:rsidR="00964B7B" w:rsidRPr="00D76208" w:rsidP="00EC5A5A" w14:paraId="26465C9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745A6D6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5,000</w:t>
            </w:r>
          </w:p>
        </w:tc>
        <w:tc>
          <w:tcPr>
            <w:tcW w:w="1689" w:type="dxa"/>
            <w:tcBorders>
              <w:top w:val="single" w:sz="4" w:space="0" w:color="auto"/>
              <w:left w:val="single" w:sz="8" w:space="0" w:color="000000"/>
              <w:bottom w:val="single" w:sz="4" w:space="0" w:color="auto"/>
              <w:right w:val="single" w:sz="8" w:space="0" w:color="000000"/>
            </w:tcBorders>
          </w:tcPr>
          <w:p w:rsidR="00964B7B" w:rsidRPr="00D76208" w:rsidP="00EC5A5A" w14:paraId="4C233DB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7F036BB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1</w:t>
            </w:r>
          </w:p>
        </w:tc>
        <w:tc>
          <w:tcPr>
            <w:tcW w:w="1530" w:type="dxa"/>
            <w:tcBorders>
              <w:top w:val="single" w:sz="4" w:space="0" w:color="auto"/>
              <w:left w:val="single" w:sz="8" w:space="0" w:color="000000"/>
              <w:bottom w:val="single" w:sz="4" w:space="0" w:color="auto"/>
              <w:right w:val="single" w:sz="8" w:space="0" w:color="000000"/>
            </w:tcBorders>
          </w:tcPr>
          <w:p w:rsidR="00964B7B" w:rsidRPr="00D76208" w:rsidP="00EC5A5A" w14:paraId="414874A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13B0A3A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2</w:t>
            </w:r>
          </w:p>
        </w:tc>
        <w:tc>
          <w:tcPr>
            <w:tcW w:w="1595" w:type="dxa"/>
            <w:tcBorders>
              <w:top w:val="single" w:sz="4" w:space="0" w:color="auto"/>
              <w:left w:val="single" w:sz="8" w:space="0" w:color="000000"/>
              <w:bottom w:val="single" w:sz="4" w:space="0" w:color="auto"/>
              <w:right w:val="single" w:sz="4" w:space="0" w:color="auto"/>
            </w:tcBorders>
          </w:tcPr>
          <w:p w:rsidR="00964B7B" w:rsidRPr="00D76208" w:rsidP="00EC5A5A" w14:paraId="7A832E3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1590A0B7"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10,000</w:t>
            </w:r>
          </w:p>
        </w:tc>
      </w:tr>
      <w:tr w14:paraId="507C939A" w14:textId="77777777" w:rsidTr="00964B7B">
        <w:tblPrEx>
          <w:tblW w:w="10595" w:type="dxa"/>
          <w:jc w:val="center"/>
          <w:tblLayout w:type="fixed"/>
          <w:tblCellMar>
            <w:left w:w="120" w:type="dxa"/>
            <w:right w:w="120" w:type="dxa"/>
          </w:tblCellMar>
          <w:tblLook w:val="04A0"/>
        </w:tblPrEx>
        <w:trPr>
          <w:trHeight w:val="576"/>
          <w:jc w:val="center"/>
        </w:trPr>
        <w:tc>
          <w:tcPr>
            <w:tcW w:w="1838" w:type="dxa"/>
            <w:tcBorders>
              <w:top w:val="single" w:sz="4" w:space="0" w:color="auto"/>
              <w:left w:val="single" w:sz="4" w:space="0" w:color="auto"/>
              <w:bottom w:val="single" w:sz="4" w:space="0" w:color="auto"/>
              <w:right w:val="single" w:sz="4" w:space="0" w:color="auto"/>
            </w:tcBorders>
            <w:hideMark/>
          </w:tcPr>
          <w:p w:rsidR="00964B7B" w:rsidRPr="00D76208" w:rsidP="00EC5A5A" w14:paraId="04960E7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 xml:space="preserve">Individuals </w:t>
            </w:r>
          </w:p>
          <w:p w:rsidR="00964B7B" w:rsidRPr="00D76208" w:rsidP="00EC5A5A" w14:paraId="0BB52088"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in households</w:t>
            </w:r>
          </w:p>
        </w:tc>
        <w:tc>
          <w:tcPr>
            <w:tcW w:w="1988" w:type="dxa"/>
            <w:tcBorders>
              <w:top w:val="single" w:sz="4" w:space="0" w:color="auto"/>
              <w:left w:val="single" w:sz="4" w:space="0" w:color="auto"/>
              <w:bottom w:val="single" w:sz="4" w:space="0" w:color="auto"/>
              <w:right w:val="single" w:sz="4" w:space="0" w:color="auto"/>
            </w:tcBorders>
            <w:hideMark/>
          </w:tcPr>
          <w:p w:rsidR="00964B7B" w:rsidRPr="00D76208" w:rsidP="00EC5A5A" w14:paraId="3EADB13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Day 1 Telephone Dietary Recall &amp; Dietary Supplements</w:t>
            </w:r>
          </w:p>
        </w:tc>
        <w:tc>
          <w:tcPr>
            <w:tcW w:w="1955" w:type="dxa"/>
            <w:tcBorders>
              <w:top w:val="single" w:sz="4" w:space="0" w:color="auto"/>
              <w:left w:val="single" w:sz="4" w:space="0" w:color="auto"/>
              <w:bottom w:val="single" w:sz="4" w:space="0" w:color="auto"/>
              <w:right w:val="single" w:sz="8" w:space="0" w:color="000000"/>
            </w:tcBorders>
          </w:tcPr>
          <w:p w:rsidR="00964B7B" w:rsidRPr="00D76208" w:rsidP="00EC5A5A" w14:paraId="28743A1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0DE627A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5,882</w:t>
            </w:r>
          </w:p>
        </w:tc>
        <w:tc>
          <w:tcPr>
            <w:tcW w:w="1689" w:type="dxa"/>
            <w:tcBorders>
              <w:top w:val="single" w:sz="4" w:space="0" w:color="auto"/>
              <w:left w:val="single" w:sz="8" w:space="0" w:color="000000"/>
              <w:bottom w:val="single" w:sz="4" w:space="0" w:color="auto"/>
              <w:right w:val="single" w:sz="8" w:space="0" w:color="000000"/>
            </w:tcBorders>
          </w:tcPr>
          <w:p w:rsidR="00964B7B" w:rsidRPr="00D76208" w:rsidP="00EC5A5A" w14:paraId="518CFA1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2862B02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1</w:t>
            </w:r>
          </w:p>
        </w:tc>
        <w:tc>
          <w:tcPr>
            <w:tcW w:w="1530" w:type="dxa"/>
            <w:tcBorders>
              <w:top w:val="single" w:sz="4" w:space="0" w:color="auto"/>
              <w:left w:val="single" w:sz="8" w:space="0" w:color="000000"/>
              <w:bottom w:val="single" w:sz="4" w:space="0" w:color="auto"/>
              <w:right w:val="single" w:sz="8" w:space="0" w:color="000000"/>
            </w:tcBorders>
          </w:tcPr>
          <w:p w:rsidR="00964B7B" w:rsidRPr="00D76208" w:rsidP="00EC5A5A" w14:paraId="6D0B93D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70328AB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1</w:t>
            </w:r>
          </w:p>
        </w:tc>
        <w:tc>
          <w:tcPr>
            <w:tcW w:w="1595" w:type="dxa"/>
            <w:tcBorders>
              <w:top w:val="single" w:sz="4" w:space="0" w:color="auto"/>
              <w:left w:val="single" w:sz="8" w:space="0" w:color="000000"/>
              <w:bottom w:val="single" w:sz="4" w:space="0" w:color="auto"/>
              <w:right w:val="single" w:sz="4" w:space="0" w:color="auto"/>
            </w:tcBorders>
          </w:tcPr>
          <w:p w:rsidR="00964B7B" w:rsidRPr="00D76208" w:rsidP="00EC5A5A" w14:paraId="5E01A8B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00B23A8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5,882</w:t>
            </w:r>
          </w:p>
        </w:tc>
      </w:tr>
      <w:tr w14:paraId="24FC8BB0" w14:textId="77777777" w:rsidTr="00964B7B">
        <w:tblPrEx>
          <w:tblW w:w="10595" w:type="dxa"/>
          <w:jc w:val="center"/>
          <w:tblLayout w:type="fixed"/>
          <w:tblCellMar>
            <w:left w:w="120" w:type="dxa"/>
            <w:right w:w="120" w:type="dxa"/>
          </w:tblCellMar>
          <w:tblLook w:val="04A0"/>
        </w:tblPrEx>
        <w:trPr>
          <w:trHeight w:val="576"/>
          <w:jc w:val="center"/>
        </w:trPr>
        <w:tc>
          <w:tcPr>
            <w:tcW w:w="1838" w:type="dxa"/>
            <w:tcBorders>
              <w:top w:val="single" w:sz="4" w:space="0" w:color="auto"/>
              <w:left w:val="single" w:sz="4" w:space="0" w:color="auto"/>
              <w:bottom w:val="single" w:sz="4" w:space="0" w:color="auto"/>
              <w:right w:val="single" w:sz="4" w:space="0" w:color="auto"/>
            </w:tcBorders>
            <w:hideMark/>
          </w:tcPr>
          <w:p w:rsidR="00964B7B" w:rsidRPr="00D76208" w:rsidP="00EC5A5A" w14:paraId="5637621F"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 xml:space="preserve">Individuals </w:t>
            </w:r>
          </w:p>
          <w:p w:rsidR="00964B7B" w:rsidRPr="00D76208" w:rsidP="00EC5A5A" w14:paraId="25BC292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in households</w:t>
            </w:r>
          </w:p>
        </w:tc>
        <w:tc>
          <w:tcPr>
            <w:tcW w:w="1988" w:type="dxa"/>
            <w:tcBorders>
              <w:top w:val="single" w:sz="4" w:space="0" w:color="auto"/>
              <w:left w:val="single" w:sz="4" w:space="0" w:color="auto"/>
              <w:bottom w:val="single" w:sz="4" w:space="0" w:color="auto"/>
              <w:right w:val="single" w:sz="4" w:space="0" w:color="auto"/>
            </w:tcBorders>
            <w:hideMark/>
          </w:tcPr>
          <w:p w:rsidR="00964B7B" w:rsidRPr="00D76208" w:rsidP="00EC5A5A" w14:paraId="3E82F071"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Day 2 Telephone Dietary Recall &amp; Dietary Supplements</w:t>
            </w:r>
          </w:p>
        </w:tc>
        <w:tc>
          <w:tcPr>
            <w:tcW w:w="1955" w:type="dxa"/>
            <w:tcBorders>
              <w:top w:val="single" w:sz="4" w:space="0" w:color="auto"/>
              <w:left w:val="single" w:sz="4" w:space="0" w:color="auto"/>
              <w:bottom w:val="single" w:sz="4" w:space="0" w:color="auto"/>
              <w:right w:val="single" w:sz="8" w:space="0" w:color="000000"/>
            </w:tcBorders>
          </w:tcPr>
          <w:p w:rsidR="00964B7B" w:rsidRPr="00D76208" w:rsidP="00EC5A5A" w14:paraId="404EF8E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30AF148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5,882</w:t>
            </w:r>
          </w:p>
        </w:tc>
        <w:tc>
          <w:tcPr>
            <w:tcW w:w="1689" w:type="dxa"/>
            <w:tcBorders>
              <w:top w:val="single" w:sz="4" w:space="0" w:color="auto"/>
              <w:left w:val="single" w:sz="8" w:space="0" w:color="000000"/>
              <w:bottom w:val="single" w:sz="4" w:space="0" w:color="auto"/>
              <w:right w:val="single" w:sz="8" w:space="0" w:color="000000"/>
            </w:tcBorders>
          </w:tcPr>
          <w:p w:rsidR="00964B7B" w:rsidRPr="00D76208" w:rsidP="00EC5A5A" w14:paraId="47B24BE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1E16380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1</w:t>
            </w:r>
          </w:p>
        </w:tc>
        <w:tc>
          <w:tcPr>
            <w:tcW w:w="1530" w:type="dxa"/>
            <w:tcBorders>
              <w:top w:val="single" w:sz="4" w:space="0" w:color="auto"/>
              <w:left w:val="single" w:sz="8" w:space="0" w:color="000000"/>
              <w:bottom w:val="single" w:sz="4" w:space="0" w:color="auto"/>
              <w:right w:val="single" w:sz="8" w:space="0" w:color="000000"/>
            </w:tcBorders>
          </w:tcPr>
          <w:p w:rsidR="00964B7B" w:rsidRPr="00D76208" w:rsidP="00EC5A5A" w14:paraId="55713CD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7437D01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0.6</w:t>
            </w:r>
          </w:p>
        </w:tc>
        <w:tc>
          <w:tcPr>
            <w:tcW w:w="1595" w:type="dxa"/>
            <w:tcBorders>
              <w:top w:val="single" w:sz="4" w:space="0" w:color="auto"/>
              <w:left w:val="single" w:sz="8" w:space="0" w:color="000000"/>
              <w:bottom w:val="single" w:sz="4" w:space="0" w:color="auto"/>
              <w:right w:val="single" w:sz="4" w:space="0" w:color="auto"/>
            </w:tcBorders>
          </w:tcPr>
          <w:p w:rsidR="00964B7B" w:rsidRPr="00D76208" w:rsidP="00EC5A5A" w14:paraId="1C36968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7538F42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3,529</w:t>
            </w:r>
          </w:p>
        </w:tc>
      </w:tr>
      <w:tr w14:paraId="28C6B7F2" w14:textId="77777777" w:rsidTr="00964B7B">
        <w:tblPrEx>
          <w:tblW w:w="10595" w:type="dxa"/>
          <w:jc w:val="center"/>
          <w:tblLayout w:type="fixed"/>
          <w:tblCellMar>
            <w:left w:w="120" w:type="dxa"/>
            <w:right w:w="120" w:type="dxa"/>
          </w:tblCellMar>
          <w:tblLook w:val="04A0"/>
        </w:tblPrEx>
        <w:trPr>
          <w:trHeight w:val="576"/>
          <w:jc w:val="center"/>
        </w:trPr>
        <w:tc>
          <w:tcPr>
            <w:tcW w:w="1838" w:type="dxa"/>
            <w:tcBorders>
              <w:top w:val="single" w:sz="4" w:space="0" w:color="auto"/>
              <w:left w:val="single" w:sz="4" w:space="0" w:color="auto"/>
              <w:bottom w:val="single" w:sz="4" w:space="0" w:color="auto"/>
              <w:right w:val="single" w:sz="4" w:space="0" w:color="auto"/>
            </w:tcBorders>
            <w:hideMark/>
          </w:tcPr>
          <w:p w:rsidR="00964B7B" w:rsidRPr="00D76208" w:rsidP="00EC5A5A" w14:paraId="0787A5E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 xml:space="preserve">Individuals </w:t>
            </w:r>
          </w:p>
          <w:p w:rsidR="00964B7B" w:rsidRPr="00D76208" w:rsidP="00EC5A5A" w14:paraId="79F41C8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in households</w:t>
            </w:r>
          </w:p>
        </w:tc>
        <w:tc>
          <w:tcPr>
            <w:tcW w:w="1988" w:type="dxa"/>
            <w:tcBorders>
              <w:top w:val="single" w:sz="4" w:space="0" w:color="auto"/>
              <w:left w:val="single" w:sz="4" w:space="0" w:color="auto"/>
              <w:bottom w:val="single" w:sz="4" w:space="0" w:color="auto"/>
              <w:right w:val="single" w:sz="4" w:space="0" w:color="auto"/>
            </w:tcBorders>
            <w:hideMark/>
          </w:tcPr>
          <w:p w:rsidR="00964B7B" w:rsidRPr="00D76208" w:rsidP="00EC5A5A" w14:paraId="24F84FA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 xml:space="preserve">Developmental </w:t>
            </w:r>
          </w:p>
          <w:p w:rsidR="00964B7B" w:rsidRPr="00D76208" w:rsidP="00EC5A5A" w14:paraId="65155C76"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 xml:space="preserve">Projects &amp; </w:t>
            </w:r>
          </w:p>
          <w:p w:rsidR="00964B7B" w:rsidRPr="00D76208" w:rsidP="00EC5A5A" w14:paraId="7F89190B"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 xml:space="preserve">Special </w:t>
            </w:r>
          </w:p>
          <w:p w:rsidR="00964B7B" w:rsidRPr="00D76208" w:rsidP="00EC5A5A" w14:paraId="4992B6B4"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Studies</w:t>
            </w:r>
          </w:p>
        </w:tc>
        <w:tc>
          <w:tcPr>
            <w:tcW w:w="1955" w:type="dxa"/>
            <w:tcBorders>
              <w:top w:val="single" w:sz="4" w:space="0" w:color="auto"/>
              <w:left w:val="single" w:sz="4" w:space="0" w:color="auto"/>
              <w:bottom w:val="single" w:sz="4" w:space="0" w:color="auto"/>
              <w:right w:val="single" w:sz="8" w:space="0" w:color="000000"/>
            </w:tcBorders>
          </w:tcPr>
          <w:p w:rsidR="00964B7B" w:rsidRPr="00D76208" w:rsidP="00EC5A5A" w14:paraId="1C77ED0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3FCD3D5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3,500</w:t>
            </w:r>
          </w:p>
        </w:tc>
        <w:tc>
          <w:tcPr>
            <w:tcW w:w="1689" w:type="dxa"/>
            <w:tcBorders>
              <w:top w:val="single" w:sz="4" w:space="0" w:color="auto"/>
              <w:left w:val="single" w:sz="8" w:space="0" w:color="000000"/>
              <w:bottom w:val="single" w:sz="4" w:space="0" w:color="auto"/>
              <w:right w:val="single" w:sz="8" w:space="0" w:color="000000"/>
            </w:tcBorders>
          </w:tcPr>
          <w:p w:rsidR="00964B7B" w:rsidRPr="00D76208" w:rsidP="00EC5A5A" w14:paraId="3FB7595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77EA7E65"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1</w:t>
            </w:r>
          </w:p>
        </w:tc>
        <w:tc>
          <w:tcPr>
            <w:tcW w:w="1530" w:type="dxa"/>
            <w:tcBorders>
              <w:top w:val="single" w:sz="4" w:space="0" w:color="auto"/>
              <w:left w:val="single" w:sz="8" w:space="0" w:color="000000"/>
              <w:bottom w:val="single" w:sz="4" w:space="0" w:color="auto"/>
              <w:right w:val="single" w:sz="8" w:space="0" w:color="000000"/>
            </w:tcBorders>
          </w:tcPr>
          <w:p w:rsidR="00964B7B" w:rsidRPr="00D76208" w:rsidP="00EC5A5A" w14:paraId="79FFE03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6848F9F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3</w:t>
            </w:r>
          </w:p>
        </w:tc>
        <w:tc>
          <w:tcPr>
            <w:tcW w:w="1595" w:type="dxa"/>
            <w:tcBorders>
              <w:top w:val="single" w:sz="4" w:space="0" w:color="auto"/>
              <w:left w:val="single" w:sz="8" w:space="0" w:color="000000"/>
              <w:bottom w:val="single" w:sz="4" w:space="0" w:color="auto"/>
              <w:right w:val="single" w:sz="4" w:space="0" w:color="auto"/>
            </w:tcBorders>
          </w:tcPr>
          <w:p w:rsidR="00964B7B" w:rsidRPr="00D76208" w:rsidP="00EC5A5A" w14:paraId="52A95E4D"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p w:rsidR="00964B7B" w:rsidRPr="00D76208" w:rsidP="00EC5A5A" w14:paraId="4693A250"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r w:rsidRPr="00D76208">
              <w:rPr>
                <w:rFonts w:ascii="Calibri" w:hAnsi="Calibri" w:cs="Times New Roman"/>
                <w:iCs/>
                <w:u w:val="single"/>
              </w:rPr>
              <w:t>10,500</w:t>
            </w:r>
          </w:p>
        </w:tc>
      </w:tr>
      <w:tr w14:paraId="05158F21" w14:textId="77777777" w:rsidTr="00964B7B">
        <w:tblPrEx>
          <w:tblW w:w="10595" w:type="dxa"/>
          <w:jc w:val="center"/>
          <w:tblLayout w:type="fixed"/>
          <w:tblCellMar>
            <w:left w:w="120" w:type="dxa"/>
            <w:right w:w="120" w:type="dxa"/>
          </w:tblCellMar>
          <w:tblLook w:val="04A0"/>
        </w:tblPrEx>
        <w:trPr>
          <w:trHeight w:val="521"/>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964B7B" w:rsidRPr="00D76208" w:rsidP="00EC5A5A" w14:paraId="6A8B936E"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Cs/>
                <w:iCs/>
                <w:u w:val="single"/>
              </w:rPr>
            </w:pPr>
            <w:bookmarkStart w:id="21" w:name="_Hlk58409508"/>
            <w:r w:rsidRPr="00D76208">
              <w:rPr>
                <w:rFonts w:ascii="Calibri" w:hAnsi="Calibri" w:cs="Times New Roman"/>
                <w:bCs/>
                <w:iCs/>
                <w:u w:val="single"/>
              </w:rPr>
              <w:t>Total</w:t>
            </w:r>
          </w:p>
        </w:tc>
        <w:tc>
          <w:tcPr>
            <w:tcW w:w="1988" w:type="dxa"/>
            <w:tcBorders>
              <w:top w:val="single" w:sz="4" w:space="0" w:color="auto"/>
              <w:left w:val="single" w:sz="4" w:space="0" w:color="auto"/>
              <w:bottom w:val="single" w:sz="4" w:space="0" w:color="auto"/>
              <w:right w:val="nil"/>
            </w:tcBorders>
          </w:tcPr>
          <w:p w:rsidR="00964B7B" w:rsidRPr="00D76208" w:rsidP="00EC5A5A" w14:paraId="07A3DEF9"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tc>
        <w:tc>
          <w:tcPr>
            <w:tcW w:w="1955" w:type="dxa"/>
            <w:tcBorders>
              <w:top w:val="single" w:sz="4" w:space="0" w:color="auto"/>
              <w:left w:val="nil"/>
              <w:bottom w:val="single" w:sz="4" w:space="0" w:color="auto"/>
              <w:right w:val="nil"/>
            </w:tcBorders>
            <w:vAlign w:val="center"/>
          </w:tcPr>
          <w:p w:rsidR="00964B7B" w:rsidRPr="00D76208" w:rsidP="00EC5A5A" w14:paraId="34AD9B2C"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tc>
        <w:tc>
          <w:tcPr>
            <w:tcW w:w="1689" w:type="dxa"/>
            <w:tcBorders>
              <w:top w:val="single" w:sz="4" w:space="0" w:color="auto"/>
              <w:left w:val="nil"/>
              <w:bottom w:val="single" w:sz="4" w:space="0" w:color="auto"/>
              <w:right w:val="nil"/>
            </w:tcBorders>
            <w:vAlign w:val="center"/>
          </w:tcPr>
          <w:p w:rsidR="00964B7B" w:rsidRPr="00D76208" w:rsidP="00EC5A5A" w14:paraId="0326C0FA"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tc>
        <w:tc>
          <w:tcPr>
            <w:tcW w:w="1530" w:type="dxa"/>
            <w:tcBorders>
              <w:top w:val="single" w:sz="4" w:space="0" w:color="auto"/>
              <w:left w:val="nil"/>
              <w:bottom w:val="single" w:sz="4" w:space="0" w:color="auto"/>
              <w:right w:val="single" w:sz="8" w:space="0" w:color="000000"/>
            </w:tcBorders>
          </w:tcPr>
          <w:p w:rsidR="00964B7B" w:rsidRPr="00D76208" w:rsidP="00EC5A5A" w14:paraId="00C5F012"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iCs/>
                <w:u w:val="single"/>
              </w:rPr>
            </w:pPr>
          </w:p>
        </w:tc>
        <w:tc>
          <w:tcPr>
            <w:tcW w:w="1595" w:type="dxa"/>
            <w:tcBorders>
              <w:top w:val="single" w:sz="4" w:space="0" w:color="auto"/>
              <w:left w:val="single" w:sz="8" w:space="0" w:color="000000"/>
              <w:bottom w:val="single" w:sz="4" w:space="0" w:color="auto"/>
              <w:right w:val="single" w:sz="4" w:space="0" w:color="auto"/>
            </w:tcBorders>
            <w:vAlign w:val="center"/>
          </w:tcPr>
          <w:p w:rsidR="00964B7B" w:rsidRPr="00D76208" w:rsidP="00EC5A5A" w14:paraId="44978D53" w14:textId="77777777">
            <w:pPr>
              <w:keepNext/>
              <w:tabs>
                <w:tab w:val="left" w:pos="-316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Times New Roman"/>
                <w:bCs/>
                <w:iCs/>
                <w:u w:val="single"/>
              </w:rPr>
            </w:pPr>
            <w:r w:rsidRPr="00D76208">
              <w:rPr>
                <w:rFonts w:ascii="Calibri" w:hAnsi="Calibri" w:cs="Times New Roman"/>
                <w:bCs/>
                <w:iCs/>
                <w:u w:val="single"/>
              </w:rPr>
              <w:t>36,540</w:t>
            </w:r>
          </w:p>
        </w:tc>
      </w:tr>
      <w:bookmarkEnd w:id="21"/>
    </w:tbl>
    <w:p w:rsidR="00E308D6" w:rsidP="00462145" w14:paraId="479178CF" w14:textId="77777777">
      <w:pPr>
        <w:tabs>
          <w:tab w:val="left" w:pos="450"/>
        </w:tabs>
        <w:rPr>
          <w:rFonts w:ascii="Times New Roman" w:hAnsi="Times New Roman" w:cs="Times New Roman"/>
          <w:b/>
          <w:bCs/>
        </w:rPr>
      </w:pPr>
    </w:p>
    <w:p w:rsidR="00E5678A" w:rsidRPr="00BE0600" w:rsidP="00675C85" w14:paraId="4E110B97" w14:textId="667F955A">
      <w:pPr>
        <w:keepNext/>
        <w:widowControl/>
        <w:tabs>
          <w:tab w:val="left" w:pos="450"/>
        </w:tabs>
        <w:rPr>
          <w:rFonts w:asciiTheme="minorHAnsi" w:hAnsiTheme="minorHAnsi" w:cs="Times New Roman"/>
          <w:b/>
          <w:bCs/>
        </w:rPr>
      </w:pPr>
      <w:r w:rsidRPr="00BE0600">
        <w:rPr>
          <w:rFonts w:asciiTheme="minorHAnsi" w:hAnsiTheme="minorHAnsi" w:cs="Times New Roman"/>
          <w:b/>
          <w:bCs/>
        </w:rPr>
        <w:t>List of Attachments</w:t>
      </w:r>
    </w:p>
    <w:p w:rsidR="00AA02C1" w:rsidRPr="00BE0600" w:rsidP="00675C85" w14:paraId="066BF55D" w14:textId="77777777">
      <w:pPr>
        <w:keepNext/>
        <w:widowControl/>
        <w:tabs>
          <w:tab w:val="left" w:pos="450"/>
        </w:tabs>
        <w:rPr>
          <w:rFonts w:asciiTheme="minorHAnsi" w:hAnsiTheme="minorHAnsi" w:cs="Times New Roman"/>
          <w:b/>
          <w:bCs/>
        </w:rPr>
      </w:pPr>
    </w:p>
    <w:p w:rsidR="002618C4" w:rsidRPr="0005599E" w:rsidP="004D2A75" w14:paraId="41C6EDF4" w14:textId="4600307C">
      <w:pPr>
        <w:rPr>
          <w:rFonts w:ascii="Times New Roman" w:hAnsi="Times New Roman" w:cs="Times New Roman"/>
          <w:lang w:val="en"/>
        </w:rPr>
      </w:pPr>
      <w:r w:rsidRPr="002618C4">
        <w:rPr>
          <w:rFonts w:asciiTheme="minorHAnsi" w:hAnsiTheme="minorHAnsi" w:cstheme="minorHAnsi"/>
        </w:rPr>
        <w:t>Attachment 1</w:t>
      </w:r>
      <w:r w:rsidRPr="002618C4" w:rsidR="009E2F33">
        <w:rPr>
          <w:rFonts w:asciiTheme="minorHAnsi" w:hAnsiTheme="minorHAnsi" w:cstheme="minorHAnsi"/>
        </w:rPr>
        <w:t xml:space="preserve"> </w:t>
      </w:r>
      <w:r w:rsidR="007F2A04">
        <w:rPr>
          <w:rFonts w:asciiTheme="minorHAnsi" w:hAnsiTheme="minorHAnsi" w:cstheme="minorHAnsi"/>
        </w:rPr>
        <w:t>MEC Examined Response Rates by Varying Incentives</w:t>
      </w:r>
    </w:p>
    <w:sectPr w:rsidSect="00A574B5">
      <w:footerReference w:type="even" r:id="rId6"/>
      <w:footerReference w:type="default" r:id="rId7"/>
      <w:pgSz w:w="12240" w:h="15840" w:code="1"/>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2AA" w14:paraId="7CA899D1" w14:textId="77777777">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sz w:val="24"/>
        <w:szCs w:val="24"/>
      </w:rPr>
      <w:fldChar w:fldCharType="end"/>
    </w:r>
  </w:p>
  <w:p w:rsidR="006262AA" w14:paraId="6B21F1E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2AA" w:rsidRPr="00BA6BF0" w14:paraId="1953D2FD" w14:textId="2585D6F8">
    <w:pPr>
      <w:pStyle w:val="Footer"/>
      <w:framePr w:wrap="auto" w:vAnchor="text" w:hAnchor="margin" w:xAlign="right" w:y="1"/>
      <w:rPr>
        <w:rStyle w:val="PageNumber"/>
        <w:rFonts w:ascii="Times New Roman" w:hAnsi="Times New Roman" w:cs="Times New Roman"/>
        <w:sz w:val="24"/>
        <w:szCs w:val="24"/>
      </w:rPr>
    </w:pPr>
    <w:r w:rsidRPr="00BA6BF0">
      <w:rPr>
        <w:rStyle w:val="PageNumber"/>
        <w:rFonts w:ascii="Times New Roman" w:hAnsi="Times New Roman" w:cs="Times New Roman"/>
        <w:sz w:val="24"/>
        <w:szCs w:val="24"/>
      </w:rPr>
      <w:fldChar w:fldCharType="begin"/>
    </w:r>
    <w:r w:rsidRPr="00BA6BF0">
      <w:rPr>
        <w:rStyle w:val="PageNumber"/>
        <w:rFonts w:ascii="Times New Roman" w:hAnsi="Times New Roman" w:cs="Times New Roman"/>
        <w:sz w:val="24"/>
        <w:szCs w:val="24"/>
      </w:rPr>
      <w:instrText xml:space="preserve">PAGE  </w:instrText>
    </w:r>
    <w:r w:rsidRPr="00BA6BF0">
      <w:rPr>
        <w:rStyle w:val="PageNumber"/>
        <w:rFonts w:ascii="Times New Roman" w:hAnsi="Times New Roman" w:cs="Times New Roman"/>
        <w:sz w:val="24"/>
        <w:szCs w:val="24"/>
      </w:rPr>
      <w:fldChar w:fldCharType="separate"/>
    </w:r>
    <w:r w:rsidRPr="00BA6BF0">
      <w:rPr>
        <w:rStyle w:val="PageNumber"/>
        <w:rFonts w:ascii="Times New Roman" w:hAnsi="Times New Roman" w:cs="Times New Roman"/>
        <w:noProof/>
        <w:sz w:val="24"/>
        <w:szCs w:val="24"/>
      </w:rPr>
      <w:t>6</w:t>
    </w:r>
    <w:r w:rsidRPr="00BA6BF0">
      <w:rPr>
        <w:rStyle w:val="PageNumber"/>
        <w:rFonts w:ascii="Times New Roman" w:hAnsi="Times New Roman" w:cs="Times New Roman"/>
        <w:sz w:val="24"/>
        <w:szCs w:val="24"/>
      </w:rPr>
      <w:fldChar w:fldCharType="end"/>
    </w:r>
  </w:p>
  <w:p w:rsidR="006262AA" w:rsidP="00F0052E" w14:paraId="3FD1EE3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638C" w14:paraId="3D21B10F" w14:textId="77777777">
      <w:r>
        <w:separator/>
      </w:r>
    </w:p>
  </w:footnote>
  <w:footnote w:type="continuationSeparator" w:id="1">
    <w:p w:rsidR="00A4638C" w14:paraId="19D2C8EC" w14:textId="77777777">
      <w:r>
        <w:continuationSeparator/>
      </w:r>
    </w:p>
  </w:footnote>
  <w:footnote w:id="2">
    <w:p w:rsidR="00D43C6A" w:rsidRPr="0005599E" w:rsidP="00D43C6A" w14:paraId="404A9656" w14:textId="77777777">
      <w:pPr>
        <w:rPr>
          <w:rFonts w:ascii="Times New Roman" w:hAnsi="Times New Roman" w:cs="Times New Roman"/>
          <w:lang w:val="en"/>
        </w:rPr>
      </w:pPr>
      <w:r>
        <w:rPr>
          <w:rStyle w:val="FootnoteReference"/>
        </w:rPr>
        <w:footnoteRef/>
      </w:r>
      <w:r w:rsidRPr="00BF56EB">
        <w:rPr>
          <w:rFonts w:asciiTheme="minorHAnsi" w:hAnsiTheme="minorHAnsi" w:cstheme="minorHAnsi"/>
          <w:sz w:val="16"/>
          <w:szCs w:val="16"/>
          <w:lang w:val="en"/>
        </w:rPr>
        <w:t>Williams D., Brick J</w:t>
      </w:r>
      <w:r>
        <w:rPr>
          <w:rFonts w:asciiTheme="minorHAnsi" w:hAnsiTheme="minorHAnsi" w:cstheme="minorHAnsi"/>
          <w:sz w:val="16"/>
          <w:szCs w:val="16"/>
          <w:lang w:val="en"/>
        </w:rPr>
        <w:t>M</w:t>
      </w:r>
      <w:r w:rsidRPr="00BF56EB">
        <w:rPr>
          <w:rFonts w:asciiTheme="minorHAnsi" w:hAnsiTheme="minorHAnsi" w:cstheme="minorHAnsi"/>
          <w:sz w:val="16"/>
          <w:szCs w:val="16"/>
          <w:lang w:val="en"/>
        </w:rPr>
        <w:t>.</w:t>
      </w:r>
      <w:r>
        <w:rPr>
          <w:rFonts w:asciiTheme="minorHAnsi" w:hAnsiTheme="minorHAnsi" w:cstheme="minorHAnsi"/>
          <w:sz w:val="16"/>
          <w:szCs w:val="16"/>
          <w:lang w:val="en"/>
        </w:rPr>
        <w:t xml:space="preserve"> </w:t>
      </w:r>
      <w:r w:rsidRPr="00BF56EB">
        <w:rPr>
          <w:rFonts w:asciiTheme="minorHAnsi" w:hAnsiTheme="minorHAnsi" w:cstheme="minorHAnsi"/>
          <w:sz w:val="16"/>
          <w:szCs w:val="16"/>
          <w:lang w:val="en"/>
        </w:rPr>
        <w:t xml:space="preserve">Trends in U.S. </w:t>
      </w:r>
      <w:r>
        <w:rPr>
          <w:rFonts w:asciiTheme="minorHAnsi" w:hAnsiTheme="minorHAnsi" w:cstheme="minorHAnsi"/>
          <w:sz w:val="16"/>
          <w:szCs w:val="16"/>
          <w:lang w:val="en"/>
        </w:rPr>
        <w:t>f</w:t>
      </w:r>
      <w:r w:rsidRPr="00BF56EB">
        <w:rPr>
          <w:rFonts w:asciiTheme="minorHAnsi" w:hAnsiTheme="minorHAnsi" w:cstheme="minorHAnsi"/>
          <w:sz w:val="16"/>
          <w:szCs w:val="16"/>
          <w:lang w:val="en"/>
        </w:rPr>
        <w:t>ace-to-</w:t>
      </w:r>
      <w:r>
        <w:rPr>
          <w:rFonts w:asciiTheme="minorHAnsi" w:hAnsiTheme="minorHAnsi" w:cstheme="minorHAnsi"/>
          <w:sz w:val="16"/>
          <w:szCs w:val="16"/>
          <w:lang w:val="en"/>
        </w:rPr>
        <w:t>f</w:t>
      </w:r>
      <w:r w:rsidRPr="00BF56EB">
        <w:rPr>
          <w:rFonts w:asciiTheme="minorHAnsi" w:hAnsiTheme="minorHAnsi" w:cstheme="minorHAnsi"/>
          <w:sz w:val="16"/>
          <w:szCs w:val="16"/>
          <w:lang w:val="en"/>
        </w:rPr>
        <w:t xml:space="preserve">ace </w:t>
      </w:r>
      <w:r>
        <w:rPr>
          <w:rFonts w:asciiTheme="minorHAnsi" w:hAnsiTheme="minorHAnsi" w:cstheme="minorHAnsi"/>
          <w:sz w:val="16"/>
          <w:szCs w:val="16"/>
          <w:lang w:val="en"/>
        </w:rPr>
        <w:t>h</w:t>
      </w:r>
      <w:r w:rsidRPr="00BF56EB">
        <w:rPr>
          <w:rFonts w:asciiTheme="minorHAnsi" w:hAnsiTheme="minorHAnsi" w:cstheme="minorHAnsi"/>
          <w:sz w:val="16"/>
          <w:szCs w:val="16"/>
          <w:lang w:val="en"/>
        </w:rPr>
        <w:t xml:space="preserve">ousehold </w:t>
      </w:r>
      <w:r>
        <w:rPr>
          <w:rFonts w:asciiTheme="minorHAnsi" w:hAnsiTheme="minorHAnsi" w:cstheme="minorHAnsi"/>
          <w:sz w:val="16"/>
          <w:szCs w:val="16"/>
          <w:lang w:val="en"/>
        </w:rPr>
        <w:t>s</w:t>
      </w:r>
      <w:r w:rsidRPr="00BF56EB">
        <w:rPr>
          <w:rFonts w:asciiTheme="minorHAnsi" w:hAnsiTheme="minorHAnsi" w:cstheme="minorHAnsi"/>
          <w:sz w:val="16"/>
          <w:szCs w:val="16"/>
          <w:lang w:val="en"/>
        </w:rPr>
        <w:t xml:space="preserve">urvey </w:t>
      </w:r>
      <w:r>
        <w:rPr>
          <w:rFonts w:asciiTheme="minorHAnsi" w:hAnsiTheme="minorHAnsi" w:cstheme="minorHAnsi"/>
          <w:sz w:val="16"/>
          <w:szCs w:val="16"/>
          <w:lang w:val="en"/>
        </w:rPr>
        <w:t>n</w:t>
      </w:r>
      <w:r w:rsidRPr="00BF56EB">
        <w:rPr>
          <w:rFonts w:asciiTheme="minorHAnsi" w:hAnsiTheme="minorHAnsi" w:cstheme="minorHAnsi"/>
          <w:sz w:val="16"/>
          <w:szCs w:val="16"/>
          <w:lang w:val="en"/>
        </w:rPr>
        <w:t xml:space="preserve">onresponse and </w:t>
      </w:r>
      <w:r>
        <w:rPr>
          <w:rFonts w:asciiTheme="minorHAnsi" w:hAnsiTheme="minorHAnsi" w:cstheme="minorHAnsi"/>
          <w:sz w:val="16"/>
          <w:szCs w:val="16"/>
          <w:lang w:val="en"/>
        </w:rPr>
        <w:t>l</w:t>
      </w:r>
      <w:r w:rsidRPr="00BF56EB">
        <w:rPr>
          <w:rFonts w:asciiTheme="minorHAnsi" w:hAnsiTheme="minorHAnsi" w:cstheme="minorHAnsi"/>
          <w:sz w:val="16"/>
          <w:szCs w:val="16"/>
          <w:lang w:val="en"/>
        </w:rPr>
        <w:t xml:space="preserve">evel of </w:t>
      </w:r>
      <w:r>
        <w:rPr>
          <w:rFonts w:asciiTheme="minorHAnsi" w:hAnsiTheme="minorHAnsi" w:cstheme="minorHAnsi"/>
          <w:sz w:val="16"/>
          <w:szCs w:val="16"/>
          <w:lang w:val="en"/>
        </w:rPr>
        <w:t>e</w:t>
      </w:r>
      <w:r w:rsidRPr="00BF56EB">
        <w:rPr>
          <w:rFonts w:asciiTheme="minorHAnsi" w:hAnsiTheme="minorHAnsi" w:cstheme="minorHAnsi"/>
          <w:sz w:val="16"/>
          <w:szCs w:val="16"/>
          <w:lang w:val="en"/>
        </w:rPr>
        <w:t>ffort</w:t>
      </w:r>
      <w:r>
        <w:rPr>
          <w:rFonts w:asciiTheme="minorHAnsi" w:hAnsiTheme="minorHAnsi" w:cstheme="minorHAnsi"/>
          <w:sz w:val="16"/>
          <w:szCs w:val="16"/>
          <w:lang w:val="en"/>
        </w:rPr>
        <w:t xml:space="preserve">. </w:t>
      </w:r>
      <w:r>
        <w:rPr>
          <w:rFonts w:asciiTheme="minorHAnsi" w:hAnsiTheme="minorHAnsi" w:cstheme="minorHAnsi"/>
          <w:i/>
          <w:iCs/>
          <w:sz w:val="16"/>
          <w:szCs w:val="16"/>
          <w:lang w:val="en"/>
        </w:rPr>
        <w:t xml:space="preserve">J </w:t>
      </w:r>
      <w:r>
        <w:rPr>
          <w:rFonts w:asciiTheme="minorHAnsi" w:hAnsiTheme="minorHAnsi" w:cstheme="minorHAnsi"/>
          <w:i/>
          <w:iCs/>
          <w:sz w:val="16"/>
          <w:szCs w:val="16"/>
          <w:lang w:val="en"/>
        </w:rPr>
        <w:t>Surv</w:t>
      </w:r>
      <w:r>
        <w:rPr>
          <w:rFonts w:asciiTheme="minorHAnsi" w:hAnsiTheme="minorHAnsi" w:cstheme="minorHAnsi"/>
          <w:i/>
          <w:iCs/>
          <w:sz w:val="16"/>
          <w:szCs w:val="16"/>
          <w:lang w:val="en"/>
        </w:rPr>
        <w:t xml:space="preserve"> Stat </w:t>
      </w:r>
      <w:r w:rsidRPr="00013822">
        <w:rPr>
          <w:rFonts w:asciiTheme="minorHAnsi" w:hAnsiTheme="minorHAnsi" w:cstheme="minorHAnsi"/>
          <w:i/>
          <w:iCs/>
          <w:sz w:val="16"/>
          <w:szCs w:val="16"/>
          <w:lang w:val="en"/>
        </w:rPr>
        <w:t>Method</w:t>
      </w:r>
      <w:r>
        <w:rPr>
          <w:rFonts w:asciiTheme="minorHAnsi" w:hAnsiTheme="minorHAnsi" w:cstheme="minorHAnsi"/>
          <w:sz w:val="16"/>
          <w:szCs w:val="16"/>
          <w:lang w:val="en"/>
        </w:rPr>
        <w:t>. 2018 Jun; 6(2): 186-211.</w:t>
      </w:r>
    </w:p>
    <w:p w:rsidR="00D43C6A" w:rsidP="00D43C6A" w14:paraId="087631DE" w14:textId="77777777">
      <w:pPr>
        <w:pStyle w:val="FootnoteText"/>
      </w:pPr>
    </w:p>
  </w:footnote>
  <w:footnote w:id="3">
    <w:p w:rsidR="00D43C6A" w:rsidP="00D43C6A" w14:paraId="3963D635" w14:textId="77777777">
      <w:pPr>
        <w:pStyle w:val="FootnoteText"/>
      </w:pPr>
      <w:r>
        <w:rPr>
          <w:rStyle w:val="FootnoteReference"/>
        </w:rPr>
        <w:footnoteRef/>
      </w:r>
      <w:r w:rsidRPr="0023588E">
        <w:rPr>
          <w:rFonts w:asciiTheme="minorHAnsi" w:hAnsiTheme="minorHAnsi" w:cstheme="minorHAnsi"/>
          <w:sz w:val="16"/>
          <w:szCs w:val="16"/>
          <w:lang w:val="en"/>
        </w:rPr>
        <w:t>Kriger</w:t>
      </w:r>
      <w:r>
        <w:rPr>
          <w:rFonts w:asciiTheme="minorHAnsi" w:hAnsiTheme="minorHAnsi" w:cstheme="minorHAnsi"/>
          <w:sz w:val="16"/>
          <w:szCs w:val="16"/>
          <w:lang w:val="en"/>
        </w:rPr>
        <w:t xml:space="preserve"> N, LeBlanc M, Waterman PD, Reisner SL, Testa C, Chen JT. Decreasing survey response rates in the time of COVID-19: Implications for analyses of population health and health inequities. </w:t>
      </w:r>
      <w:r w:rsidRPr="00D3109A">
        <w:rPr>
          <w:rFonts w:asciiTheme="minorHAnsi" w:hAnsiTheme="minorHAnsi" w:cstheme="minorHAnsi"/>
          <w:i/>
          <w:iCs/>
          <w:sz w:val="16"/>
          <w:szCs w:val="16"/>
          <w:lang w:val="en"/>
        </w:rPr>
        <w:t>Am J Public Health</w:t>
      </w:r>
      <w:r>
        <w:rPr>
          <w:rFonts w:asciiTheme="minorHAnsi" w:hAnsiTheme="minorHAnsi" w:cstheme="minorHAnsi"/>
          <w:sz w:val="16"/>
          <w:szCs w:val="16"/>
          <w:lang w:val="en"/>
        </w:rPr>
        <w:t xml:space="preserve">. 2023 Jun; 113(6): 667-670.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D54F4"/>
    <w:multiLevelType w:val="hybridMultilevel"/>
    <w:tmpl w:val="5338FD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834D54"/>
    <w:multiLevelType w:val="hybridMultilevel"/>
    <w:tmpl w:val="9A4E31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530310"/>
    <w:multiLevelType w:val="hybridMultilevel"/>
    <w:tmpl w:val="6EB46C2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9FC2CCC"/>
    <w:multiLevelType w:val="hybridMultilevel"/>
    <w:tmpl w:val="821877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4528F3"/>
    <w:multiLevelType w:val="hybridMultilevel"/>
    <w:tmpl w:val="EB78165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1E1C5B58"/>
    <w:multiLevelType w:val="hybridMultilevel"/>
    <w:tmpl w:val="1840A4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3D900E4"/>
    <w:multiLevelType w:val="hybridMultilevel"/>
    <w:tmpl w:val="401E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715EDE"/>
    <w:multiLevelType w:val="hybridMultilevel"/>
    <w:tmpl w:val="E8A6DC2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A1C72DA"/>
    <w:multiLevelType w:val="hybridMultilevel"/>
    <w:tmpl w:val="CC405E82"/>
    <w:lvl w:ilvl="0">
      <w:start w:val="1"/>
      <w:numFmt w:val="bullet"/>
      <w:lvlText w:val=""/>
      <w:lvlJc w:val="left"/>
      <w:pPr>
        <w:ind w:left="3240" w:hanging="360"/>
      </w:pPr>
      <w:rPr>
        <w:rFonts w:ascii="Symbol" w:hAnsi="Symbo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9">
    <w:nsid w:val="3C7108E8"/>
    <w:multiLevelType w:val="hybridMultilevel"/>
    <w:tmpl w:val="0400BF2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00A6F9D"/>
    <w:multiLevelType w:val="hybridMultilevel"/>
    <w:tmpl w:val="3F2AACB2"/>
    <w:lvl w:ilvl="0">
      <w:start w:val="0"/>
      <w:numFmt w:val="bullet"/>
      <w:lvlText w:val="•"/>
      <w:lvlJc w:val="left"/>
      <w:pPr>
        <w:ind w:left="720" w:hanging="360"/>
      </w:pPr>
      <w:rPr>
        <w:rFonts w:ascii="Courier New" w:eastAsia="Calibri"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D72318"/>
    <w:multiLevelType w:val="hybridMultilevel"/>
    <w:tmpl w:val="126862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1B14F0"/>
    <w:multiLevelType w:val="hybridMultilevel"/>
    <w:tmpl w:val="DF0A3A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00A5F38"/>
    <w:multiLevelType w:val="hybridMultilevel"/>
    <w:tmpl w:val="8604A758"/>
    <w:lvl w:ilvl="0">
      <w:start w:val="0"/>
      <w:numFmt w:val="bullet"/>
      <w:lvlText w:val="•"/>
      <w:lvlJc w:val="left"/>
      <w:pPr>
        <w:ind w:left="720" w:hanging="360"/>
      </w:pPr>
      <w:rPr>
        <w:rFonts w:ascii="Courier New" w:eastAsia="Calibri"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C40EC1"/>
    <w:multiLevelType w:val="hybridMultilevel"/>
    <w:tmpl w:val="60E00F82"/>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5">
    <w:nsid w:val="53B32ECF"/>
    <w:multiLevelType w:val="hybridMultilevel"/>
    <w:tmpl w:val="CBFC3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62503F2"/>
    <w:multiLevelType w:val="hybridMultilevel"/>
    <w:tmpl w:val="B6E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C3647A4"/>
    <w:multiLevelType w:val="hybridMultilevel"/>
    <w:tmpl w:val="350673C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DD45FB"/>
    <w:multiLevelType w:val="hybridMultilevel"/>
    <w:tmpl w:val="11404A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3615B01"/>
    <w:multiLevelType w:val="hybridMultilevel"/>
    <w:tmpl w:val="C6AE8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79212AC"/>
    <w:multiLevelType w:val="hybridMultilevel"/>
    <w:tmpl w:val="19228E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97C07EF"/>
    <w:multiLevelType w:val="hybridMultilevel"/>
    <w:tmpl w:val="3664E3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AD3609A"/>
    <w:multiLevelType w:val="hybridMultilevel"/>
    <w:tmpl w:val="DC36B9B2"/>
    <w:lvl w:ilvl="0">
      <w:start w:val="0"/>
      <w:numFmt w:val="bullet"/>
      <w:lvlText w:val="•"/>
      <w:lvlJc w:val="left"/>
      <w:pPr>
        <w:ind w:left="720" w:hanging="360"/>
      </w:pPr>
      <w:rPr>
        <w:rFonts w:ascii="Courier New" w:eastAsia="Calibri"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AA01C14"/>
    <w:multiLevelType w:val="hybridMultilevel"/>
    <w:tmpl w:val="D1740E3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B814829"/>
    <w:multiLevelType w:val="hybridMultilevel"/>
    <w:tmpl w:val="8EACF9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814373052">
    <w:abstractNumId w:val="23"/>
  </w:num>
  <w:num w:numId="2" w16cid:durableId="245040911">
    <w:abstractNumId w:val="22"/>
  </w:num>
  <w:num w:numId="3" w16cid:durableId="301232575">
    <w:abstractNumId w:val="16"/>
  </w:num>
  <w:num w:numId="4" w16cid:durableId="1322664104">
    <w:abstractNumId w:val="12"/>
  </w:num>
  <w:num w:numId="5" w16cid:durableId="1804885573">
    <w:abstractNumId w:val="10"/>
  </w:num>
  <w:num w:numId="6" w16cid:durableId="552666036">
    <w:abstractNumId w:val="13"/>
  </w:num>
  <w:num w:numId="7" w16cid:durableId="2055343434">
    <w:abstractNumId w:val="17"/>
  </w:num>
  <w:num w:numId="8" w16cid:durableId="1427771465">
    <w:abstractNumId w:val="5"/>
  </w:num>
  <w:num w:numId="9" w16cid:durableId="4047696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9100578">
    <w:abstractNumId w:val="20"/>
  </w:num>
  <w:num w:numId="11" w16cid:durableId="1415591767">
    <w:abstractNumId w:val="11"/>
  </w:num>
  <w:num w:numId="12" w16cid:durableId="338585935">
    <w:abstractNumId w:val="6"/>
  </w:num>
  <w:num w:numId="13" w16cid:durableId="1602034564">
    <w:abstractNumId w:val="9"/>
  </w:num>
  <w:num w:numId="14" w16cid:durableId="1402287945">
    <w:abstractNumId w:val="3"/>
  </w:num>
  <w:num w:numId="15" w16cid:durableId="1927179637">
    <w:abstractNumId w:val="22"/>
  </w:num>
  <w:num w:numId="16" w16cid:durableId="1785343237">
    <w:abstractNumId w:val="8"/>
  </w:num>
  <w:num w:numId="17" w16cid:durableId="1520267661">
    <w:abstractNumId w:val="0"/>
  </w:num>
  <w:num w:numId="18" w16cid:durableId="1538931172">
    <w:abstractNumId w:val="7"/>
  </w:num>
  <w:num w:numId="19" w16cid:durableId="2027438723">
    <w:abstractNumId w:val="21"/>
  </w:num>
  <w:num w:numId="20" w16cid:durableId="1126970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5771406">
    <w:abstractNumId w:val="18"/>
  </w:num>
  <w:num w:numId="22" w16cid:durableId="1402092914">
    <w:abstractNumId w:val="24"/>
  </w:num>
  <w:num w:numId="23" w16cid:durableId="1177496415">
    <w:abstractNumId w:val="14"/>
  </w:num>
  <w:num w:numId="24" w16cid:durableId="477042026">
    <w:abstractNumId w:val="19"/>
  </w:num>
  <w:num w:numId="25" w16cid:durableId="2007634707">
    <w:abstractNumId w:val="15"/>
  </w:num>
  <w:num w:numId="26" w16cid:durableId="1252742731">
    <w:abstractNumId w:val="1"/>
  </w:num>
  <w:num w:numId="27" w16cid:durableId="188647920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UseMarginsForDrawingGridOrigin/>
  <w:drawingGridHorizontalOrigin w:val="1440"/>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670"/>
    <w:rsid w:val="00002797"/>
    <w:rsid w:val="00003D46"/>
    <w:rsid w:val="00003FFA"/>
    <w:rsid w:val="00007E6D"/>
    <w:rsid w:val="000126AF"/>
    <w:rsid w:val="000132B8"/>
    <w:rsid w:val="0001334F"/>
    <w:rsid w:val="00013822"/>
    <w:rsid w:val="00014844"/>
    <w:rsid w:val="00015DEF"/>
    <w:rsid w:val="00016F2F"/>
    <w:rsid w:val="00017634"/>
    <w:rsid w:val="000177E5"/>
    <w:rsid w:val="0001791E"/>
    <w:rsid w:val="000200E0"/>
    <w:rsid w:val="000203B7"/>
    <w:rsid w:val="00020F8E"/>
    <w:rsid w:val="000216F8"/>
    <w:rsid w:val="000226BB"/>
    <w:rsid w:val="00022F5A"/>
    <w:rsid w:val="00024290"/>
    <w:rsid w:val="00025DF8"/>
    <w:rsid w:val="00025F62"/>
    <w:rsid w:val="00027081"/>
    <w:rsid w:val="000272A9"/>
    <w:rsid w:val="00027D77"/>
    <w:rsid w:val="000302E2"/>
    <w:rsid w:val="0003121E"/>
    <w:rsid w:val="00031284"/>
    <w:rsid w:val="00031C53"/>
    <w:rsid w:val="00031D85"/>
    <w:rsid w:val="00032111"/>
    <w:rsid w:val="000338B8"/>
    <w:rsid w:val="00035717"/>
    <w:rsid w:val="00036071"/>
    <w:rsid w:val="000370D5"/>
    <w:rsid w:val="000373EA"/>
    <w:rsid w:val="00037973"/>
    <w:rsid w:val="00037ACD"/>
    <w:rsid w:val="00040B42"/>
    <w:rsid w:val="000410D7"/>
    <w:rsid w:val="00042212"/>
    <w:rsid w:val="0004251E"/>
    <w:rsid w:val="00043E3E"/>
    <w:rsid w:val="00043EAF"/>
    <w:rsid w:val="00045A1A"/>
    <w:rsid w:val="00047475"/>
    <w:rsid w:val="000505F9"/>
    <w:rsid w:val="00050823"/>
    <w:rsid w:val="00052B25"/>
    <w:rsid w:val="00052B38"/>
    <w:rsid w:val="00054039"/>
    <w:rsid w:val="00055233"/>
    <w:rsid w:val="0005599E"/>
    <w:rsid w:val="0005660D"/>
    <w:rsid w:val="000605A5"/>
    <w:rsid w:val="000608F6"/>
    <w:rsid w:val="00060B59"/>
    <w:rsid w:val="000613D2"/>
    <w:rsid w:val="00062A6F"/>
    <w:rsid w:val="00063B8B"/>
    <w:rsid w:val="000640BC"/>
    <w:rsid w:val="00064CB7"/>
    <w:rsid w:val="00064D67"/>
    <w:rsid w:val="00065AC5"/>
    <w:rsid w:val="00066983"/>
    <w:rsid w:val="00066D20"/>
    <w:rsid w:val="00067E21"/>
    <w:rsid w:val="00071381"/>
    <w:rsid w:val="00071C2F"/>
    <w:rsid w:val="000724B8"/>
    <w:rsid w:val="000739EA"/>
    <w:rsid w:val="00075957"/>
    <w:rsid w:val="00077FDD"/>
    <w:rsid w:val="0008049D"/>
    <w:rsid w:val="00081BE0"/>
    <w:rsid w:val="00083A0C"/>
    <w:rsid w:val="000841E8"/>
    <w:rsid w:val="0008584D"/>
    <w:rsid w:val="000868D0"/>
    <w:rsid w:val="00087B4F"/>
    <w:rsid w:val="0009128F"/>
    <w:rsid w:val="00091F33"/>
    <w:rsid w:val="00094388"/>
    <w:rsid w:val="000960D7"/>
    <w:rsid w:val="000966F9"/>
    <w:rsid w:val="00097868"/>
    <w:rsid w:val="00097E59"/>
    <w:rsid w:val="00097F6B"/>
    <w:rsid w:val="000A03A3"/>
    <w:rsid w:val="000A0571"/>
    <w:rsid w:val="000A2DBA"/>
    <w:rsid w:val="000A6715"/>
    <w:rsid w:val="000A686B"/>
    <w:rsid w:val="000A68C0"/>
    <w:rsid w:val="000A7333"/>
    <w:rsid w:val="000B10A9"/>
    <w:rsid w:val="000B27E0"/>
    <w:rsid w:val="000B2AA9"/>
    <w:rsid w:val="000B619D"/>
    <w:rsid w:val="000B6BC2"/>
    <w:rsid w:val="000C031D"/>
    <w:rsid w:val="000C06CD"/>
    <w:rsid w:val="000C0C67"/>
    <w:rsid w:val="000C0F5F"/>
    <w:rsid w:val="000C3FB6"/>
    <w:rsid w:val="000C419C"/>
    <w:rsid w:val="000C479B"/>
    <w:rsid w:val="000C7721"/>
    <w:rsid w:val="000C7D93"/>
    <w:rsid w:val="000D04FF"/>
    <w:rsid w:val="000D08C5"/>
    <w:rsid w:val="000D0F43"/>
    <w:rsid w:val="000D105D"/>
    <w:rsid w:val="000D1074"/>
    <w:rsid w:val="000D1229"/>
    <w:rsid w:val="000D2FA3"/>
    <w:rsid w:val="000D2FD2"/>
    <w:rsid w:val="000D43D4"/>
    <w:rsid w:val="000D45B2"/>
    <w:rsid w:val="000D503C"/>
    <w:rsid w:val="000D5400"/>
    <w:rsid w:val="000D5541"/>
    <w:rsid w:val="000D6889"/>
    <w:rsid w:val="000D6F80"/>
    <w:rsid w:val="000D74A6"/>
    <w:rsid w:val="000E0A30"/>
    <w:rsid w:val="000E1577"/>
    <w:rsid w:val="000E15FC"/>
    <w:rsid w:val="000E1EA5"/>
    <w:rsid w:val="000E24FF"/>
    <w:rsid w:val="000E334C"/>
    <w:rsid w:val="000E349C"/>
    <w:rsid w:val="000E3B9A"/>
    <w:rsid w:val="000E3EF9"/>
    <w:rsid w:val="000E3FDA"/>
    <w:rsid w:val="000E631E"/>
    <w:rsid w:val="000E6739"/>
    <w:rsid w:val="000E7FA9"/>
    <w:rsid w:val="000E7FEC"/>
    <w:rsid w:val="000F201B"/>
    <w:rsid w:val="000F20B3"/>
    <w:rsid w:val="000F2DD8"/>
    <w:rsid w:val="000F3538"/>
    <w:rsid w:val="000F41E8"/>
    <w:rsid w:val="000F4883"/>
    <w:rsid w:val="000F5491"/>
    <w:rsid w:val="000F6646"/>
    <w:rsid w:val="000F66FB"/>
    <w:rsid w:val="000F7264"/>
    <w:rsid w:val="000F765D"/>
    <w:rsid w:val="00100D53"/>
    <w:rsid w:val="00101A9A"/>
    <w:rsid w:val="00101C61"/>
    <w:rsid w:val="00102B9C"/>
    <w:rsid w:val="00104D81"/>
    <w:rsid w:val="001071CB"/>
    <w:rsid w:val="00107639"/>
    <w:rsid w:val="00111924"/>
    <w:rsid w:val="0011271A"/>
    <w:rsid w:val="00115190"/>
    <w:rsid w:val="001171C6"/>
    <w:rsid w:val="00117CFE"/>
    <w:rsid w:val="001205DF"/>
    <w:rsid w:val="00121920"/>
    <w:rsid w:val="00121C73"/>
    <w:rsid w:val="00122564"/>
    <w:rsid w:val="00122927"/>
    <w:rsid w:val="0012317F"/>
    <w:rsid w:val="001259FD"/>
    <w:rsid w:val="00125DC5"/>
    <w:rsid w:val="00125E70"/>
    <w:rsid w:val="0012693E"/>
    <w:rsid w:val="00126C95"/>
    <w:rsid w:val="001332EA"/>
    <w:rsid w:val="00133655"/>
    <w:rsid w:val="00133A19"/>
    <w:rsid w:val="00134CCD"/>
    <w:rsid w:val="00135C37"/>
    <w:rsid w:val="00135EFC"/>
    <w:rsid w:val="00140969"/>
    <w:rsid w:val="00141717"/>
    <w:rsid w:val="001421CB"/>
    <w:rsid w:val="0014246F"/>
    <w:rsid w:val="00142555"/>
    <w:rsid w:val="00144866"/>
    <w:rsid w:val="00144E1D"/>
    <w:rsid w:val="00144E97"/>
    <w:rsid w:val="0014504B"/>
    <w:rsid w:val="00145164"/>
    <w:rsid w:val="00146749"/>
    <w:rsid w:val="001476A2"/>
    <w:rsid w:val="00147B21"/>
    <w:rsid w:val="00147FEF"/>
    <w:rsid w:val="00151551"/>
    <w:rsid w:val="00151B14"/>
    <w:rsid w:val="00152C4B"/>
    <w:rsid w:val="00153346"/>
    <w:rsid w:val="0015384A"/>
    <w:rsid w:val="001565F6"/>
    <w:rsid w:val="00156AAA"/>
    <w:rsid w:val="00157472"/>
    <w:rsid w:val="00157DC1"/>
    <w:rsid w:val="001608BC"/>
    <w:rsid w:val="0016226D"/>
    <w:rsid w:val="00162E93"/>
    <w:rsid w:val="00164F0F"/>
    <w:rsid w:val="00165110"/>
    <w:rsid w:val="0016601C"/>
    <w:rsid w:val="001663F8"/>
    <w:rsid w:val="001674ED"/>
    <w:rsid w:val="00167C65"/>
    <w:rsid w:val="001711EE"/>
    <w:rsid w:val="00171ED0"/>
    <w:rsid w:val="0017205E"/>
    <w:rsid w:val="001722FA"/>
    <w:rsid w:val="001724B4"/>
    <w:rsid w:val="00172CF9"/>
    <w:rsid w:val="00172DB2"/>
    <w:rsid w:val="001730A4"/>
    <w:rsid w:val="00173312"/>
    <w:rsid w:val="00173710"/>
    <w:rsid w:val="00174FAD"/>
    <w:rsid w:val="001753B0"/>
    <w:rsid w:val="001754D3"/>
    <w:rsid w:val="00175B19"/>
    <w:rsid w:val="0017757E"/>
    <w:rsid w:val="00180AAA"/>
    <w:rsid w:val="00180BF3"/>
    <w:rsid w:val="00180C16"/>
    <w:rsid w:val="00181711"/>
    <w:rsid w:val="00182662"/>
    <w:rsid w:val="00182A19"/>
    <w:rsid w:val="00182CAC"/>
    <w:rsid w:val="001831B1"/>
    <w:rsid w:val="00183A62"/>
    <w:rsid w:val="00185A9F"/>
    <w:rsid w:val="001860BE"/>
    <w:rsid w:val="00186404"/>
    <w:rsid w:val="00186693"/>
    <w:rsid w:val="001902AD"/>
    <w:rsid w:val="00190813"/>
    <w:rsid w:val="00190A5A"/>
    <w:rsid w:val="00190EDE"/>
    <w:rsid w:val="00191005"/>
    <w:rsid w:val="00191191"/>
    <w:rsid w:val="001931BC"/>
    <w:rsid w:val="00193EE6"/>
    <w:rsid w:val="00194735"/>
    <w:rsid w:val="00194C9B"/>
    <w:rsid w:val="001951CD"/>
    <w:rsid w:val="00196723"/>
    <w:rsid w:val="001970F4"/>
    <w:rsid w:val="001A0566"/>
    <w:rsid w:val="001A0ECB"/>
    <w:rsid w:val="001A1013"/>
    <w:rsid w:val="001A2907"/>
    <w:rsid w:val="001A29EA"/>
    <w:rsid w:val="001A2B45"/>
    <w:rsid w:val="001A39FD"/>
    <w:rsid w:val="001A3EB6"/>
    <w:rsid w:val="001A5019"/>
    <w:rsid w:val="001A5F6B"/>
    <w:rsid w:val="001A6998"/>
    <w:rsid w:val="001A710D"/>
    <w:rsid w:val="001A7EC7"/>
    <w:rsid w:val="001B036F"/>
    <w:rsid w:val="001B2A18"/>
    <w:rsid w:val="001B3356"/>
    <w:rsid w:val="001B35F2"/>
    <w:rsid w:val="001B37AA"/>
    <w:rsid w:val="001B395A"/>
    <w:rsid w:val="001B3B38"/>
    <w:rsid w:val="001B3F59"/>
    <w:rsid w:val="001B45AA"/>
    <w:rsid w:val="001B5AB3"/>
    <w:rsid w:val="001B69D0"/>
    <w:rsid w:val="001B7196"/>
    <w:rsid w:val="001B7619"/>
    <w:rsid w:val="001B7E98"/>
    <w:rsid w:val="001C00A8"/>
    <w:rsid w:val="001C137E"/>
    <w:rsid w:val="001C17E8"/>
    <w:rsid w:val="001C1F01"/>
    <w:rsid w:val="001C36A8"/>
    <w:rsid w:val="001C3ABD"/>
    <w:rsid w:val="001C5DDA"/>
    <w:rsid w:val="001C5FB8"/>
    <w:rsid w:val="001C66ED"/>
    <w:rsid w:val="001C7E0C"/>
    <w:rsid w:val="001C7FAB"/>
    <w:rsid w:val="001D25C2"/>
    <w:rsid w:val="001D5841"/>
    <w:rsid w:val="001D5F83"/>
    <w:rsid w:val="001D71BC"/>
    <w:rsid w:val="001D7586"/>
    <w:rsid w:val="001D78F1"/>
    <w:rsid w:val="001D7A68"/>
    <w:rsid w:val="001E03D0"/>
    <w:rsid w:val="001E0C41"/>
    <w:rsid w:val="001E1846"/>
    <w:rsid w:val="001E2777"/>
    <w:rsid w:val="001E28CF"/>
    <w:rsid w:val="001E3294"/>
    <w:rsid w:val="001E32AD"/>
    <w:rsid w:val="001E3B77"/>
    <w:rsid w:val="001E4175"/>
    <w:rsid w:val="001E484F"/>
    <w:rsid w:val="001E59AF"/>
    <w:rsid w:val="001E6BF5"/>
    <w:rsid w:val="001E77DC"/>
    <w:rsid w:val="001F0A32"/>
    <w:rsid w:val="001F1A20"/>
    <w:rsid w:val="001F2D7A"/>
    <w:rsid w:val="001F456B"/>
    <w:rsid w:val="001F54FE"/>
    <w:rsid w:val="001F5939"/>
    <w:rsid w:val="001F711F"/>
    <w:rsid w:val="001F7444"/>
    <w:rsid w:val="001F7823"/>
    <w:rsid w:val="00200EFD"/>
    <w:rsid w:val="00201673"/>
    <w:rsid w:val="00202F40"/>
    <w:rsid w:val="002036D3"/>
    <w:rsid w:val="0020447D"/>
    <w:rsid w:val="00204B21"/>
    <w:rsid w:val="00205965"/>
    <w:rsid w:val="00206E8E"/>
    <w:rsid w:val="00207412"/>
    <w:rsid w:val="00213619"/>
    <w:rsid w:val="002152AF"/>
    <w:rsid w:val="0021741E"/>
    <w:rsid w:val="00220381"/>
    <w:rsid w:val="002212CB"/>
    <w:rsid w:val="0022210B"/>
    <w:rsid w:val="0022295A"/>
    <w:rsid w:val="0022313A"/>
    <w:rsid w:val="00223354"/>
    <w:rsid w:val="0022337A"/>
    <w:rsid w:val="00223F0E"/>
    <w:rsid w:val="0022470A"/>
    <w:rsid w:val="00225121"/>
    <w:rsid w:val="002254FF"/>
    <w:rsid w:val="00226F56"/>
    <w:rsid w:val="00227ABD"/>
    <w:rsid w:val="00227BDE"/>
    <w:rsid w:val="00227C69"/>
    <w:rsid w:val="00230B59"/>
    <w:rsid w:val="0023204F"/>
    <w:rsid w:val="0023324D"/>
    <w:rsid w:val="00233D0E"/>
    <w:rsid w:val="00233DD0"/>
    <w:rsid w:val="00235695"/>
    <w:rsid w:val="0023588E"/>
    <w:rsid w:val="00235B0A"/>
    <w:rsid w:val="00235DCA"/>
    <w:rsid w:val="002362B6"/>
    <w:rsid w:val="00240DD2"/>
    <w:rsid w:val="00241273"/>
    <w:rsid w:val="002426D6"/>
    <w:rsid w:val="00245BC1"/>
    <w:rsid w:val="00247CAF"/>
    <w:rsid w:val="00247FC6"/>
    <w:rsid w:val="002509B7"/>
    <w:rsid w:val="00251029"/>
    <w:rsid w:val="00251346"/>
    <w:rsid w:val="002526ED"/>
    <w:rsid w:val="00252850"/>
    <w:rsid w:val="00254782"/>
    <w:rsid w:val="002558CA"/>
    <w:rsid w:val="00255947"/>
    <w:rsid w:val="00255D5F"/>
    <w:rsid w:val="00256764"/>
    <w:rsid w:val="00256D2B"/>
    <w:rsid w:val="002575A8"/>
    <w:rsid w:val="00257DA2"/>
    <w:rsid w:val="00260578"/>
    <w:rsid w:val="002618C4"/>
    <w:rsid w:val="002629AF"/>
    <w:rsid w:val="00262F0E"/>
    <w:rsid w:val="00263506"/>
    <w:rsid w:val="002679EE"/>
    <w:rsid w:val="00270676"/>
    <w:rsid w:val="00270D55"/>
    <w:rsid w:val="00270E42"/>
    <w:rsid w:val="002711C8"/>
    <w:rsid w:val="0027133A"/>
    <w:rsid w:val="00271808"/>
    <w:rsid w:val="0027218E"/>
    <w:rsid w:val="00273463"/>
    <w:rsid w:val="00274B4D"/>
    <w:rsid w:val="00275CCC"/>
    <w:rsid w:val="00277E16"/>
    <w:rsid w:val="002810FF"/>
    <w:rsid w:val="00281700"/>
    <w:rsid w:val="0028170B"/>
    <w:rsid w:val="0028321F"/>
    <w:rsid w:val="00283957"/>
    <w:rsid w:val="00285712"/>
    <w:rsid w:val="00285820"/>
    <w:rsid w:val="00286840"/>
    <w:rsid w:val="002872F9"/>
    <w:rsid w:val="002902D1"/>
    <w:rsid w:val="00291AF1"/>
    <w:rsid w:val="00291ECD"/>
    <w:rsid w:val="00294049"/>
    <w:rsid w:val="00294195"/>
    <w:rsid w:val="00294EF0"/>
    <w:rsid w:val="00295141"/>
    <w:rsid w:val="002951A7"/>
    <w:rsid w:val="002951C1"/>
    <w:rsid w:val="002972DC"/>
    <w:rsid w:val="002978B4"/>
    <w:rsid w:val="002A06C0"/>
    <w:rsid w:val="002A109B"/>
    <w:rsid w:val="002A13B5"/>
    <w:rsid w:val="002A1A32"/>
    <w:rsid w:val="002A2201"/>
    <w:rsid w:val="002A29A8"/>
    <w:rsid w:val="002A3DC5"/>
    <w:rsid w:val="002A45EF"/>
    <w:rsid w:val="002A4F46"/>
    <w:rsid w:val="002A67B1"/>
    <w:rsid w:val="002A6CA4"/>
    <w:rsid w:val="002A7F32"/>
    <w:rsid w:val="002B0156"/>
    <w:rsid w:val="002B0764"/>
    <w:rsid w:val="002B3280"/>
    <w:rsid w:val="002B411E"/>
    <w:rsid w:val="002B4399"/>
    <w:rsid w:val="002B5A65"/>
    <w:rsid w:val="002B6598"/>
    <w:rsid w:val="002C0AE2"/>
    <w:rsid w:val="002C0B1C"/>
    <w:rsid w:val="002C1F3C"/>
    <w:rsid w:val="002C2358"/>
    <w:rsid w:val="002C299D"/>
    <w:rsid w:val="002C2A68"/>
    <w:rsid w:val="002C31C8"/>
    <w:rsid w:val="002C3FAA"/>
    <w:rsid w:val="002C5ED4"/>
    <w:rsid w:val="002C5FB8"/>
    <w:rsid w:val="002C7D56"/>
    <w:rsid w:val="002D1B14"/>
    <w:rsid w:val="002D3A2E"/>
    <w:rsid w:val="002D4EC6"/>
    <w:rsid w:val="002D572A"/>
    <w:rsid w:val="002D5C1D"/>
    <w:rsid w:val="002D73B9"/>
    <w:rsid w:val="002E018C"/>
    <w:rsid w:val="002E2220"/>
    <w:rsid w:val="002E3E03"/>
    <w:rsid w:val="002E51A3"/>
    <w:rsid w:val="002E543D"/>
    <w:rsid w:val="002E5630"/>
    <w:rsid w:val="002E57AF"/>
    <w:rsid w:val="002E61A1"/>
    <w:rsid w:val="002F0464"/>
    <w:rsid w:val="002F1A1C"/>
    <w:rsid w:val="002F2684"/>
    <w:rsid w:val="002F2B46"/>
    <w:rsid w:val="002F2B85"/>
    <w:rsid w:val="002F328F"/>
    <w:rsid w:val="002F4814"/>
    <w:rsid w:val="002F50CD"/>
    <w:rsid w:val="002F57F0"/>
    <w:rsid w:val="002F5CEF"/>
    <w:rsid w:val="00301A16"/>
    <w:rsid w:val="00302C61"/>
    <w:rsid w:val="0030511D"/>
    <w:rsid w:val="00305203"/>
    <w:rsid w:val="00305EF0"/>
    <w:rsid w:val="00306023"/>
    <w:rsid w:val="00306269"/>
    <w:rsid w:val="003063A7"/>
    <w:rsid w:val="00307399"/>
    <w:rsid w:val="00307B60"/>
    <w:rsid w:val="003104CF"/>
    <w:rsid w:val="00310975"/>
    <w:rsid w:val="00311FC1"/>
    <w:rsid w:val="0031254D"/>
    <w:rsid w:val="00312A7E"/>
    <w:rsid w:val="0031487F"/>
    <w:rsid w:val="003148CE"/>
    <w:rsid w:val="00315356"/>
    <w:rsid w:val="00316F56"/>
    <w:rsid w:val="00317869"/>
    <w:rsid w:val="0032096C"/>
    <w:rsid w:val="00321973"/>
    <w:rsid w:val="00322A09"/>
    <w:rsid w:val="0032308B"/>
    <w:rsid w:val="003259C0"/>
    <w:rsid w:val="00325BAB"/>
    <w:rsid w:val="00325EAC"/>
    <w:rsid w:val="003264B9"/>
    <w:rsid w:val="00330234"/>
    <w:rsid w:val="00332096"/>
    <w:rsid w:val="00332A94"/>
    <w:rsid w:val="00332E7F"/>
    <w:rsid w:val="0033387E"/>
    <w:rsid w:val="00334547"/>
    <w:rsid w:val="00334C55"/>
    <w:rsid w:val="00335973"/>
    <w:rsid w:val="00336D89"/>
    <w:rsid w:val="00337214"/>
    <w:rsid w:val="00337CBD"/>
    <w:rsid w:val="00337EFB"/>
    <w:rsid w:val="003410C7"/>
    <w:rsid w:val="00341B4E"/>
    <w:rsid w:val="00341CC6"/>
    <w:rsid w:val="003441DF"/>
    <w:rsid w:val="00347338"/>
    <w:rsid w:val="00347B96"/>
    <w:rsid w:val="00347CCB"/>
    <w:rsid w:val="00350615"/>
    <w:rsid w:val="00350F7A"/>
    <w:rsid w:val="003512C3"/>
    <w:rsid w:val="00351990"/>
    <w:rsid w:val="003533D1"/>
    <w:rsid w:val="003536F6"/>
    <w:rsid w:val="00353AAD"/>
    <w:rsid w:val="003541CF"/>
    <w:rsid w:val="003544D5"/>
    <w:rsid w:val="00354D79"/>
    <w:rsid w:val="00355E47"/>
    <w:rsid w:val="00356108"/>
    <w:rsid w:val="0035685B"/>
    <w:rsid w:val="003601EA"/>
    <w:rsid w:val="00360F40"/>
    <w:rsid w:val="00361349"/>
    <w:rsid w:val="00361609"/>
    <w:rsid w:val="00361ECE"/>
    <w:rsid w:val="003626E8"/>
    <w:rsid w:val="003627A5"/>
    <w:rsid w:val="00363155"/>
    <w:rsid w:val="003646A5"/>
    <w:rsid w:val="00364A99"/>
    <w:rsid w:val="0036564B"/>
    <w:rsid w:val="00367CB9"/>
    <w:rsid w:val="00370137"/>
    <w:rsid w:val="00370655"/>
    <w:rsid w:val="00370FB4"/>
    <w:rsid w:val="00371C08"/>
    <w:rsid w:val="00372E5A"/>
    <w:rsid w:val="00373728"/>
    <w:rsid w:val="00373CFF"/>
    <w:rsid w:val="00374573"/>
    <w:rsid w:val="003747A0"/>
    <w:rsid w:val="00376520"/>
    <w:rsid w:val="003806CD"/>
    <w:rsid w:val="00381019"/>
    <w:rsid w:val="0038274B"/>
    <w:rsid w:val="00382A00"/>
    <w:rsid w:val="00383E09"/>
    <w:rsid w:val="0038422C"/>
    <w:rsid w:val="0038457F"/>
    <w:rsid w:val="0038685F"/>
    <w:rsid w:val="00390456"/>
    <w:rsid w:val="00390CD3"/>
    <w:rsid w:val="0039179E"/>
    <w:rsid w:val="00391A1A"/>
    <w:rsid w:val="00391C71"/>
    <w:rsid w:val="00392CB9"/>
    <w:rsid w:val="00393EAB"/>
    <w:rsid w:val="00395A03"/>
    <w:rsid w:val="00397ACA"/>
    <w:rsid w:val="003A0C47"/>
    <w:rsid w:val="003A2B1C"/>
    <w:rsid w:val="003A2C67"/>
    <w:rsid w:val="003A2DAC"/>
    <w:rsid w:val="003A412B"/>
    <w:rsid w:val="003A7AC5"/>
    <w:rsid w:val="003B050B"/>
    <w:rsid w:val="003B2811"/>
    <w:rsid w:val="003B2B6A"/>
    <w:rsid w:val="003B303A"/>
    <w:rsid w:val="003B30A7"/>
    <w:rsid w:val="003B57EE"/>
    <w:rsid w:val="003B6DD4"/>
    <w:rsid w:val="003C06F5"/>
    <w:rsid w:val="003C0927"/>
    <w:rsid w:val="003C0B62"/>
    <w:rsid w:val="003C0E60"/>
    <w:rsid w:val="003C1707"/>
    <w:rsid w:val="003C1B15"/>
    <w:rsid w:val="003C2F59"/>
    <w:rsid w:val="003C3C69"/>
    <w:rsid w:val="003C3FAE"/>
    <w:rsid w:val="003C628A"/>
    <w:rsid w:val="003D10F4"/>
    <w:rsid w:val="003D142A"/>
    <w:rsid w:val="003D15F4"/>
    <w:rsid w:val="003D1EAD"/>
    <w:rsid w:val="003D28D7"/>
    <w:rsid w:val="003D4119"/>
    <w:rsid w:val="003D434C"/>
    <w:rsid w:val="003D531B"/>
    <w:rsid w:val="003D670C"/>
    <w:rsid w:val="003D7015"/>
    <w:rsid w:val="003D70DE"/>
    <w:rsid w:val="003D728E"/>
    <w:rsid w:val="003D7A05"/>
    <w:rsid w:val="003E0CF4"/>
    <w:rsid w:val="003E13AD"/>
    <w:rsid w:val="003E2135"/>
    <w:rsid w:val="003E4C99"/>
    <w:rsid w:val="003E5B76"/>
    <w:rsid w:val="003E64F6"/>
    <w:rsid w:val="003E6BD5"/>
    <w:rsid w:val="003E7AA6"/>
    <w:rsid w:val="003E7BA3"/>
    <w:rsid w:val="003F236F"/>
    <w:rsid w:val="003F2B6B"/>
    <w:rsid w:val="003F3D0C"/>
    <w:rsid w:val="003F4C86"/>
    <w:rsid w:val="003F5D42"/>
    <w:rsid w:val="003F5E6B"/>
    <w:rsid w:val="003F6461"/>
    <w:rsid w:val="004009FC"/>
    <w:rsid w:val="004017C8"/>
    <w:rsid w:val="004021D3"/>
    <w:rsid w:val="00403C1A"/>
    <w:rsid w:val="00405323"/>
    <w:rsid w:val="004053DD"/>
    <w:rsid w:val="00406AB5"/>
    <w:rsid w:val="00406BCC"/>
    <w:rsid w:val="00410666"/>
    <w:rsid w:val="00410BC7"/>
    <w:rsid w:val="00412443"/>
    <w:rsid w:val="00412A16"/>
    <w:rsid w:val="00412F8A"/>
    <w:rsid w:val="0041387F"/>
    <w:rsid w:val="00413BDB"/>
    <w:rsid w:val="0041555E"/>
    <w:rsid w:val="0041567B"/>
    <w:rsid w:val="00415D49"/>
    <w:rsid w:val="00417B14"/>
    <w:rsid w:val="00420C68"/>
    <w:rsid w:val="004219C6"/>
    <w:rsid w:val="00422698"/>
    <w:rsid w:val="00422F02"/>
    <w:rsid w:val="00423117"/>
    <w:rsid w:val="0042315E"/>
    <w:rsid w:val="00423A25"/>
    <w:rsid w:val="00425C94"/>
    <w:rsid w:val="00425F2D"/>
    <w:rsid w:val="00425F2E"/>
    <w:rsid w:val="004262F7"/>
    <w:rsid w:val="004267E3"/>
    <w:rsid w:val="004279A0"/>
    <w:rsid w:val="00430947"/>
    <w:rsid w:val="00430D6D"/>
    <w:rsid w:val="00431771"/>
    <w:rsid w:val="00432E62"/>
    <w:rsid w:val="0043350F"/>
    <w:rsid w:val="00433F5C"/>
    <w:rsid w:val="004343D0"/>
    <w:rsid w:val="00435D44"/>
    <w:rsid w:val="00436119"/>
    <w:rsid w:val="004362CD"/>
    <w:rsid w:val="00437092"/>
    <w:rsid w:val="004379E8"/>
    <w:rsid w:val="00437A99"/>
    <w:rsid w:val="0044029D"/>
    <w:rsid w:val="004409AE"/>
    <w:rsid w:val="00445BD3"/>
    <w:rsid w:val="00447003"/>
    <w:rsid w:val="004473C8"/>
    <w:rsid w:val="00450DA4"/>
    <w:rsid w:val="00452C81"/>
    <w:rsid w:val="00453168"/>
    <w:rsid w:val="0045372C"/>
    <w:rsid w:val="00454411"/>
    <w:rsid w:val="004549B2"/>
    <w:rsid w:val="0045512B"/>
    <w:rsid w:val="0045626B"/>
    <w:rsid w:val="004576D8"/>
    <w:rsid w:val="00457B4D"/>
    <w:rsid w:val="00461272"/>
    <w:rsid w:val="0046184A"/>
    <w:rsid w:val="00461C75"/>
    <w:rsid w:val="00462145"/>
    <w:rsid w:val="00464A5D"/>
    <w:rsid w:val="00464ADC"/>
    <w:rsid w:val="0046690B"/>
    <w:rsid w:val="00466F53"/>
    <w:rsid w:val="004672EF"/>
    <w:rsid w:val="0046736F"/>
    <w:rsid w:val="004675F0"/>
    <w:rsid w:val="00467690"/>
    <w:rsid w:val="0047121F"/>
    <w:rsid w:val="00471C6C"/>
    <w:rsid w:val="00473A63"/>
    <w:rsid w:val="00474D06"/>
    <w:rsid w:val="0047511F"/>
    <w:rsid w:val="00475512"/>
    <w:rsid w:val="00475F44"/>
    <w:rsid w:val="00477127"/>
    <w:rsid w:val="00477144"/>
    <w:rsid w:val="00480082"/>
    <w:rsid w:val="0048104F"/>
    <w:rsid w:val="0048140B"/>
    <w:rsid w:val="00482FEA"/>
    <w:rsid w:val="004832B4"/>
    <w:rsid w:val="00484892"/>
    <w:rsid w:val="00485C65"/>
    <w:rsid w:val="004868DF"/>
    <w:rsid w:val="00487FC3"/>
    <w:rsid w:val="00490027"/>
    <w:rsid w:val="00490505"/>
    <w:rsid w:val="00493C79"/>
    <w:rsid w:val="00495EE4"/>
    <w:rsid w:val="004961C8"/>
    <w:rsid w:val="00497915"/>
    <w:rsid w:val="004A1226"/>
    <w:rsid w:val="004A22DF"/>
    <w:rsid w:val="004A2ABA"/>
    <w:rsid w:val="004A328E"/>
    <w:rsid w:val="004A50D3"/>
    <w:rsid w:val="004A518D"/>
    <w:rsid w:val="004A5231"/>
    <w:rsid w:val="004A58E8"/>
    <w:rsid w:val="004A5D74"/>
    <w:rsid w:val="004B0175"/>
    <w:rsid w:val="004B022F"/>
    <w:rsid w:val="004B0843"/>
    <w:rsid w:val="004B0C79"/>
    <w:rsid w:val="004B2C5A"/>
    <w:rsid w:val="004B472E"/>
    <w:rsid w:val="004B4DE9"/>
    <w:rsid w:val="004B55D7"/>
    <w:rsid w:val="004B64FD"/>
    <w:rsid w:val="004B7070"/>
    <w:rsid w:val="004B7F59"/>
    <w:rsid w:val="004C0EAF"/>
    <w:rsid w:val="004C1E43"/>
    <w:rsid w:val="004C1EE8"/>
    <w:rsid w:val="004C2ABA"/>
    <w:rsid w:val="004C3E62"/>
    <w:rsid w:val="004C672D"/>
    <w:rsid w:val="004C6C68"/>
    <w:rsid w:val="004C7A7C"/>
    <w:rsid w:val="004D0809"/>
    <w:rsid w:val="004D18EA"/>
    <w:rsid w:val="004D1CDB"/>
    <w:rsid w:val="004D1D75"/>
    <w:rsid w:val="004D2A75"/>
    <w:rsid w:val="004D3CD1"/>
    <w:rsid w:val="004D3DAB"/>
    <w:rsid w:val="004D4128"/>
    <w:rsid w:val="004D53B6"/>
    <w:rsid w:val="004D6D46"/>
    <w:rsid w:val="004D75E7"/>
    <w:rsid w:val="004E0FA9"/>
    <w:rsid w:val="004E11D4"/>
    <w:rsid w:val="004E210E"/>
    <w:rsid w:val="004E3164"/>
    <w:rsid w:val="004E38BB"/>
    <w:rsid w:val="004E4097"/>
    <w:rsid w:val="004E5554"/>
    <w:rsid w:val="004E68A6"/>
    <w:rsid w:val="004E6DDA"/>
    <w:rsid w:val="004E6EA3"/>
    <w:rsid w:val="004F0398"/>
    <w:rsid w:val="004F0C3B"/>
    <w:rsid w:val="004F13AC"/>
    <w:rsid w:val="004F1937"/>
    <w:rsid w:val="004F197F"/>
    <w:rsid w:val="004F2295"/>
    <w:rsid w:val="004F316F"/>
    <w:rsid w:val="004F540E"/>
    <w:rsid w:val="004F578E"/>
    <w:rsid w:val="004F5D8D"/>
    <w:rsid w:val="004F771A"/>
    <w:rsid w:val="00500846"/>
    <w:rsid w:val="00500F0D"/>
    <w:rsid w:val="00501864"/>
    <w:rsid w:val="00501CE0"/>
    <w:rsid w:val="00502146"/>
    <w:rsid w:val="005022BB"/>
    <w:rsid w:val="005025D1"/>
    <w:rsid w:val="0050266F"/>
    <w:rsid w:val="005029B6"/>
    <w:rsid w:val="00502DC3"/>
    <w:rsid w:val="005037A8"/>
    <w:rsid w:val="00503B6F"/>
    <w:rsid w:val="0050404C"/>
    <w:rsid w:val="00507B65"/>
    <w:rsid w:val="00507D1E"/>
    <w:rsid w:val="00510C9F"/>
    <w:rsid w:val="00511619"/>
    <w:rsid w:val="00511BC4"/>
    <w:rsid w:val="00514106"/>
    <w:rsid w:val="00514CF9"/>
    <w:rsid w:val="00515822"/>
    <w:rsid w:val="00515F21"/>
    <w:rsid w:val="005168D6"/>
    <w:rsid w:val="00516A2C"/>
    <w:rsid w:val="00516EAB"/>
    <w:rsid w:val="0051737F"/>
    <w:rsid w:val="005173C8"/>
    <w:rsid w:val="00517791"/>
    <w:rsid w:val="005209C8"/>
    <w:rsid w:val="00520FBD"/>
    <w:rsid w:val="00521855"/>
    <w:rsid w:val="00521D1C"/>
    <w:rsid w:val="00521F0D"/>
    <w:rsid w:val="00522670"/>
    <w:rsid w:val="00523C12"/>
    <w:rsid w:val="00523DB4"/>
    <w:rsid w:val="005252B7"/>
    <w:rsid w:val="00526125"/>
    <w:rsid w:val="0052634F"/>
    <w:rsid w:val="00527651"/>
    <w:rsid w:val="005278B0"/>
    <w:rsid w:val="005278C7"/>
    <w:rsid w:val="00527BD6"/>
    <w:rsid w:val="00527C35"/>
    <w:rsid w:val="00527E57"/>
    <w:rsid w:val="00527FEC"/>
    <w:rsid w:val="005300F2"/>
    <w:rsid w:val="00530D77"/>
    <w:rsid w:val="00531413"/>
    <w:rsid w:val="005318B8"/>
    <w:rsid w:val="00533213"/>
    <w:rsid w:val="00533B65"/>
    <w:rsid w:val="00534529"/>
    <w:rsid w:val="00534B46"/>
    <w:rsid w:val="00534FCC"/>
    <w:rsid w:val="00535F3E"/>
    <w:rsid w:val="005363C4"/>
    <w:rsid w:val="0054067F"/>
    <w:rsid w:val="005406D7"/>
    <w:rsid w:val="00540A8E"/>
    <w:rsid w:val="00540B49"/>
    <w:rsid w:val="00541A9B"/>
    <w:rsid w:val="00542672"/>
    <w:rsid w:val="00542B7F"/>
    <w:rsid w:val="00543D50"/>
    <w:rsid w:val="00543E10"/>
    <w:rsid w:val="00543EDA"/>
    <w:rsid w:val="005449E2"/>
    <w:rsid w:val="005452A9"/>
    <w:rsid w:val="00545A48"/>
    <w:rsid w:val="00547C05"/>
    <w:rsid w:val="0055025C"/>
    <w:rsid w:val="005507B2"/>
    <w:rsid w:val="00550930"/>
    <w:rsid w:val="00550B7A"/>
    <w:rsid w:val="00550D83"/>
    <w:rsid w:val="00551507"/>
    <w:rsid w:val="005522BB"/>
    <w:rsid w:val="00553650"/>
    <w:rsid w:val="005556FC"/>
    <w:rsid w:val="005569FB"/>
    <w:rsid w:val="00557795"/>
    <w:rsid w:val="00557CB4"/>
    <w:rsid w:val="00562EB7"/>
    <w:rsid w:val="00563BA8"/>
    <w:rsid w:val="0056438B"/>
    <w:rsid w:val="00564862"/>
    <w:rsid w:val="00564F62"/>
    <w:rsid w:val="00565063"/>
    <w:rsid w:val="00565261"/>
    <w:rsid w:val="005665C7"/>
    <w:rsid w:val="00567D24"/>
    <w:rsid w:val="005703EA"/>
    <w:rsid w:val="00570E43"/>
    <w:rsid w:val="00571186"/>
    <w:rsid w:val="00571529"/>
    <w:rsid w:val="005719F9"/>
    <w:rsid w:val="005744F1"/>
    <w:rsid w:val="005749FF"/>
    <w:rsid w:val="00574B71"/>
    <w:rsid w:val="00575DC3"/>
    <w:rsid w:val="00576164"/>
    <w:rsid w:val="0057796B"/>
    <w:rsid w:val="00580138"/>
    <w:rsid w:val="00580F9A"/>
    <w:rsid w:val="0058265A"/>
    <w:rsid w:val="005826F9"/>
    <w:rsid w:val="00582807"/>
    <w:rsid w:val="00582D62"/>
    <w:rsid w:val="005842FC"/>
    <w:rsid w:val="00585ABE"/>
    <w:rsid w:val="00585F85"/>
    <w:rsid w:val="005864F9"/>
    <w:rsid w:val="00586ADC"/>
    <w:rsid w:val="00586D7B"/>
    <w:rsid w:val="00590F4E"/>
    <w:rsid w:val="005922E2"/>
    <w:rsid w:val="0059299B"/>
    <w:rsid w:val="00592E86"/>
    <w:rsid w:val="00593433"/>
    <w:rsid w:val="00593E67"/>
    <w:rsid w:val="00594ED3"/>
    <w:rsid w:val="00594EF6"/>
    <w:rsid w:val="00595877"/>
    <w:rsid w:val="005958B3"/>
    <w:rsid w:val="00596B09"/>
    <w:rsid w:val="005A039E"/>
    <w:rsid w:val="005A042D"/>
    <w:rsid w:val="005A0BC3"/>
    <w:rsid w:val="005A10EE"/>
    <w:rsid w:val="005A19DB"/>
    <w:rsid w:val="005A2BB0"/>
    <w:rsid w:val="005A312C"/>
    <w:rsid w:val="005A36ED"/>
    <w:rsid w:val="005A3AB0"/>
    <w:rsid w:val="005A3FC3"/>
    <w:rsid w:val="005A589D"/>
    <w:rsid w:val="005A7D30"/>
    <w:rsid w:val="005B1434"/>
    <w:rsid w:val="005B34A6"/>
    <w:rsid w:val="005B3BA7"/>
    <w:rsid w:val="005B510D"/>
    <w:rsid w:val="005B67BD"/>
    <w:rsid w:val="005C0256"/>
    <w:rsid w:val="005C047C"/>
    <w:rsid w:val="005C0DC8"/>
    <w:rsid w:val="005C1404"/>
    <w:rsid w:val="005C17CE"/>
    <w:rsid w:val="005C1B5D"/>
    <w:rsid w:val="005C242E"/>
    <w:rsid w:val="005C2579"/>
    <w:rsid w:val="005C25DD"/>
    <w:rsid w:val="005C4209"/>
    <w:rsid w:val="005C4688"/>
    <w:rsid w:val="005C5246"/>
    <w:rsid w:val="005C61D0"/>
    <w:rsid w:val="005C63DE"/>
    <w:rsid w:val="005C645E"/>
    <w:rsid w:val="005C6D39"/>
    <w:rsid w:val="005C76F0"/>
    <w:rsid w:val="005D093D"/>
    <w:rsid w:val="005D0F38"/>
    <w:rsid w:val="005D0F66"/>
    <w:rsid w:val="005D42E8"/>
    <w:rsid w:val="005D57F9"/>
    <w:rsid w:val="005E0792"/>
    <w:rsid w:val="005E0820"/>
    <w:rsid w:val="005E122E"/>
    <w:rsid w:val="005E1825"/>
    <w:rsid w:val="005E240E"/>
    <w:rsid w:val="005E343C"/>
    <w:rsid w:val="005E36A7"/>
    <w:rsid w:val="005E3FCA"/>
    <w:rsid w:val="005E4C79"/>
    <w:rsid w:val="005E5987"/>
    <w:rsid w:val="005E608C"/>
    <w:rsid w:val="005E739D"/>
    <w:rsid w:val="005E73D7"/>
    <w:rsid w:val="005F0253"/>
    <w:rsid w:val="005F0BC4"/>
    <w:rsid w:val="005F2640"/>
    <w:rsid w:val="005F299D"/>
    <w:rsid w:val="005F2AF5"/>
    <w:rsid w:val="005F463D"/>
    <w:rsid w:val="005F49CE"/>
    <w:rsid w:val="005F57ED"/>
    <w:rsid w:val="005F730D"/>
    <w:rsid w:val="005F7E47"/>
    <w:rsid w:val="006024DC"/>
    <w:rsid w:val="006044E8"/>
    <w:rsid w:val="00604660"/>
    <w:rsid w:val="00604835"/>
    <w:rsid w:val="00604FB6"/>
    <w:rsid w:val="00605070"/>
    <w:rsid w:val="0060507A"/>
    <w:rsid w:val="00605140"/>
    <w:rsid w:val="00606184"/>
    <w:rsid w:val="00607EF7"/>
    <w:rsid w:val="006139CE"/>
    <w:rsid w:val="0061541E"/>
    <w:rsid w:val="00617422"/>
    <w:rsid w:val="00617BB5"/>
    <w:rsid w:val="0062087E"/>
    <w:rsid w:val="00620A20"/>
    <w:rsid w:val="00621327"/>
    <w:rsid w:val="006213E5"/>
    <w:rsid w:val="00621CC3"/>
    <w:rsid w:val="00621D1F"/>
    <w:rsid w:val="00622B31"/>
    <w:rsid w:val="00622DCA"/>
    <w:rsid w:val="00624862"/>
    <w:rsid w:val="00624A47"/>
    <w:rsid w:val="00625243"/>
    <w:rsid w:val="006258A0"/>
    <w:rsid w:val="00625B6A"/>
    <w:rsid w:val="00625DAE"/>
    <w:rsid w:val="00626232"/>
    <w:rsid w:val="006262AA"/>
    <w:rsid w:val="00626F7E"/>
    <w:rsid w:val="00626FE5"/>
    <w:rsid w:val="00631323"/>
    <w:rsid w:val="0063171D"/>
    <w:rsid w:val="00632AC4"/>
    <w:rsid w:val="006333B6"/>
    <w:rsid w:val="00635F61"/>
    <w:rsid w:val="006368BE"/>
    <w:rsid w:val="00636CC9"/>
    <w:rsid w:val="006435A5"/>
    <w:rsid w:val="00643736"/>
    <w:rsid w:val="006437E6"/>
    <w:rsid w:val="00643A95"/>
    <w:rsid w:val="00644BF4"/>
    <w:rsid w:val="006453BE"/>
    <w:rsid w:val="00646299"/>
    <w:rsid w:val="00646EFF"/>
    <w:rsid w:val="00647832"/>
    <w:rsid w:val="00647B72"/>
    <w:rsid w:val="006509BC"/>
    <w:rsid w:val="00650ACB"/>
    <w:rsid w:val="00650B1C"/>
    <w:rsid w:val="00651D21"/>
    <w:rsid w:val="006541AE"/>
    <w:rsid w:val="00654AB7"/>
    <w:rsid w:val="00654AED"/>
    <w:rsid w:val="006554EA"/>
    <w:rsid w:val="00657909"/>
    <w:rsid w:val="00661250"/>
    <w:rsid w:val="006615A8"/>
    <w:rsid w:val="00663493"/>
    <w:rsid w:val="0066418C"/>
    <w:rsid w:val="00667AE8"/>
    <w:rsid w:val="006701B9"/>
    <w:rsid w:val="00670673"/>
    <w:rsid w:val="00670EB4"/>
    <w:rsid w:val="006712E2"/>
    <w:rsid w:val="0067291B"/>
    <w:rsid w:val="006734CE"/>
    <w:rsid w:val="0067373B"/>
    <w:rsid w:val="006746FA"/>
    <w:rsid w:val="006747CF"/>
    <w:rsid w:val="00674C99"/>
    <w:rsid w:val="006752C3"/>
    <w:rsid w:val="00675AD5"/>
    <w:rsid w:val="00675C85"/>
    <w:rsid w:val="00676D01"/>
    <w:rsid w:val="0067728F"/>
    <w:rsid w:val="00677690"/>
    <w:rsid w:val="006777E3"/>
    <w:rsid w:val="0068013C"/>
    <w:rsid w:val="00680149"/>
    <w:rsid w:val="00681337"/>
    <w:rsid w:val="00681A71"/>
    <w:rsid w:val="00683074"/>
    <w:rsid w:val="00683CD0"/>
    <w:rsid w:val="006847BC"/>
    <w:rsid w:val="00685373"/>
    <w:rsid w:val="00685853"/>
    <w:rsid w:val="006858C0"/>
    <w:rsid w:val="00685DD1"/>
    <w:rsid w:val="00687B78"/>
    <w:rsid w:val="006905CA"/>
    <w:rsid w:val="0069191C"/>
    <w:rsid w:val="006931DD"/>
    <w:rsid w:val="00695623"/>
    <w:rsid w:val="006960C9"/>
    <w:rsid w:val="0069656D"/>
    <w:rsid w:val="006A0F96"/>
    <w:rsid w:val="006A1315"/>
    <w:rsid w:val="006A186F"/>
    <w:rsid w:val="006A2186"/>
    <w:rsid w:val="006A2CC6"/>
    <w:rsid w:val="006A3723"/>
    <w:rsid w:val="006A3927"/>
    <w:rsid w:val="006A5761"/>
    <w:rsid w:val="006A5C0E"/>
    <w:rsid w:val="006A699A"/>
    <w:rsid w:val="006A6F93"/>
    <w:rsid w:val="006A7D4C"/>
    <w:rsid w:val="006B2002"/>
    <w:rsid w:val="006B23E9"/>
    <w:rsid w:val="006B3415"/>
    <w:rsid w:val="006B3D3A"/>
    <w:rsid w:val="006B451B"/>
    <w:rsid w:val="006B568A"/>
    <w:rsid w:val="006B5D83"/>
    <w:rsid w:val="006B61E0"/>
    <w:rsid w:val="006B621D"/>
    <w:rsid w:val="006B66A6"/>
    <w:rsid w:val="006B66D4"/>
    <w:rsid w:val="006B6B92"/>
    <w:rsid w:val="006B6D31"/>
    <w:rsid w:val="006B795C"/>
    <w:rsid w:val="006C0F21"/>
    <w:rsid w:val="006C3301"/>
    <w:rsid w:val="006C3326"/>
    <w:rsid w:val="006C4A2E"/>
    <w:rsid w:val="006C4F0B"/>
    <w:rsid w:val="006C7437"/>
    <w:rsid w:val="006D054F"/>
    <w:rsid w:val="006D163D"/>
    <w:rsid w:val="006D2C52"/>
    <w:rsid w:val="006D380E"/>
    <w:rsid w:val="006D3B00"/>
    <w:rsid w:val="006D53CD"/>
    <w:rsid w:val="006D5421"/>
    <w:rsid w:val="006D5FD4"/>
    <w:rsid w:val="006D6294"/>
    <w:rsid w:val="006D686A"/>
    <w:rsid w:val="006D6B7C"/>
    <w:rsid w:val="006E0210"/>
    <w:rsid w:val="006E4670"/>
    <w:rsid w:val="006E4742"/>
    <w:rsid w:val="006E4B76"/>
    <w:rsid w:val="006E64D4"/>
    <w:rsid w:val="006E76EA"/>
    <w:rsid w:val="006E7F72"/>
    <w:rsid w:val="006F1B2F"/>
    <w:rsid w:val="006F2B17"/>
    <w:rsid w:val="006F3785"/>
    <w:rsid w:val="006F3960"/>
    <w:rsid w:val="006F4095"/>
    <w:rsid w:val="006F4B4E"/>
    <w:rsid w:val="006F5B02"/>
    <w:rsid w:val="006F6B5B"/>
    <w:rsid w:val="006F7A40"/>
    <w:rsid w:val="006F7AFD"/>
    <w:rsid w:val="006F7BB8"/>
    <w:rsid w:val="007009E8"/>
    <w:rsid w:val="0070494E"/>
    <w:rsid w:val="00705691"/>
    <w:rsid w:val="00705E26"/>
    <w:rsid w:val="00706B83"/>
    <w:rsid w:val="00707437"/>
    <w:rsid w:val="00707586"/>
    <w:rsid w:val="00707B46"/>
    <w:rsid w:val="00707FB7"/>
    <w:rsid w:val="00710272"/>
    <w:rsid w:val="007131EE"/>
    <w:rsid w:val="007136CD"/>
    <w:rsid w:val="0071394A"/>
    <w:rsid w:val="00713C84"/>
    <w:rsid w:val="00715897"/>
    <w:rsid w:val="00716197"/>
    <w:rsid w:val="007164DF"/>
    <w:rsid w:val="0072080D"/>
    <w:rsid w:val="00720BE6"/>
    <w:rsid w:val="0072198D"/>
    <w:rsid w:val="007221F1"/>
    <w:rsid w:val="00722BAC"/>
    <w:rsid w:val="00722D01"/>
    <w:rsid w:val="007238C2"/>
    <w:rsid w:val="00724A26"/>
    <w:rsid w:val="00725475"/>
    <w:rsid w:val="007259A5"/>
    <w:rsid w:val="00732145"/>
    <w:rsid w:val="00732EEC"/>
    <w:rsid w:val="00733110"/>
    <w:rsid w:val="00733395"/>
    <w:rsid w:val="007338E2"/>
    <w:rsid w:val="007339CC"/>
    <w:rsid w:val="00736658"/>
    <w:rsid w:val="00736FE4"/>
    <w:rsid w:val="00737B86"/>
    <w:rsid w:val="00737E0C"/>
    <w:rsid w:val="00737FE2"/>
    <w:rsid w:val="0074031A"/>
    <w:rsid w:val="0074163E"/>
    <w:rsid w:val="00742409"/>
    <w:rsid w:val="00742D14"/>
    <w:rsid w:val="00742E20"/>
    <w:rsid w:val="007431B9"/>
    <w:rsid w:val="00744A35"/>
    <w:rsid w:val="00745419"/>
    <w:rsid w:val="007466D3"/>
    <w:rsid w:val="00746A21"/>
    <w:rsid w:val="00746F48"/>
    <w:rsid w:val="0074719B"/>
    <w:rsid w:val="00750DB4"/>
    <w:rsid w:val="00750DD0"/>
    <w:rsid w:val="0075244A"/>
    <w:rsid w:val="00752581"/>
    <w:rsid w:val="00752845"/>
    <w:rsid w:val="00752DC7"/>
    <w:rsid w:val="00753AF3"/>
    <w:rsid w:val="0075448E"/>
    <w:rsid w:val="0075484A"/>
    <w:rsid w:val="00754985"/>
    <w:rsid w:val="007550DD"/>
    <w:rsid w:val="0075542F"/>
    <w:rsid w:val="00756C6B"/>
    <w:rsid w:val="00756F5F"/>
    <w:rsid w:val="007574AB"/>
    <w:rsid w:val="0076148F"/>
    <w:rsid w:val="007624AA"/>
    <w:rsid w:val="00762C2E"/>
    <w:rsid w:val="007644FA"/>
    <w:rsid w:val="007644FC"/>
    <w:rsid w:val="00765170"/>
    <w:rsid w:val="00765D44"/>
    <w:rsid w:val="00770345"/>
    <w:rsid w:val="007712EE"/>
    <w:rsid w:val="00771925"/>
    <w:rsid w:val="00772055"/>
    <w:rsid w:val="00772EB8"/>
    <w:rsid w:val="00773744"/>
    <w:rsid w:val="00773F01"/>
    <w:rsid w:val="00775569"/>
    <w:rsid w:val="0077717D"/>
    <w:rsid w:val="007772FA"/>
    <w:rsid w:val="00780C19"/>
    <w:rsid w:val="007817D3"/>
    <w:rsid w:val="00781C79"/>
    <w:rsid w:val="00781E79"/>
    <w:rsid w:val="0078251B"/>
    <w:rsid w:val="0078472E"/>
    <w:rsid w:val="0078508E"/>
    <w:rsid w:val="007851AE"/>
    <w:rsid w:val="00785E64"/>
    <w:rsid w:val="007870C1"/>
    <w:rsid w:val="0078747F"/>
    <w:rsid w:val="00787B1D"/>
    <w:rsid w:val="00791448"/>
    <w:rsid w:val="007921CF"/>
    <w:rsid w:val="00792393"/>
    <w:rsid w:val="00792860"/>
    <w:rsid w:val="00792909"/>
    <w:rsid w:val="00792C2E"/>
    <w:rsid w:val="0079390B"/>
    <w:rsid w:val="00793925"/>
    <w:rsid w:val="007940CA"/>
    <w:rsid w:val="0079481F"/>
    <w:rsid w:val="00794CD3"/>
    <w:rsid w:val="00794EE9"/>
    <w:rsid w:val="007954D7"/>
    <w:rsid w:val="0079581F"/>
    <w:rsid w:val="00795BAB"/>
    <w:rsid w:val="00795FE6"/>
    <w:rsid w:val="0079622D"/>
    <w:rsid w:val="007A0A04"/>
    <w:rsid w:val="007A0B54"/>
    <w:rsid w:val="007A2A83"/>
    <w:rsid w:val="007A2DF4"/>
    <w:rsid w:val="007A3CB3"/>
    <w:rsid w:val="007A5603"/>
    <w:rsid w:val="007A5CE2"/>
    <w:rsid w:val="007A7B7B"/>
    <w:rsid w:val="007A7CC4"/>
    <w:rsid w:val="007B0C92"/>
    <w:rsid w:val="007B1AC2"/>
    <w:rsid w:val="007B3798"/>
    <w:rsid w:val="007B6A89"/>
    <w:rsid w:val="007C0038"/>
    <w:rsid w:val="007C10DA"/>
    <w:rsid w:val="007C1405"/>
    <w:rsid w:val="007C1482"/>
    <w:rsid w:val="007C260D"/>
    <w:rsid w:val="007C2DE2"/>
    <w:rsid w:val="007C3211"/>
    <w:rsid w:val="007C3584"/>
    <w:rsid w:val="007C38E5"/>
    <w:rsid w:val="007C670F"/>
    <w:rsid w:val="007D1A3F"/>
    <w:rsid w:val="007D307B"/>
    <w:rsid w:val="007D31B7"/>
    <w:rsid w:val="007D3FF2"/>
    <w:rsid w:val="007D4BC3"/>
    <w:rsid w:val="007D539E"/>
    <w:rsid w:val="007D6154"/>
    <w:rsid w:val="007D6826"/>
    <w:rsid w:val="007D7580"/>
    <w:rsid w:val="007E019D"/>
    <w:rsid w:val="007E0F18"/>
    <w:rsid w:val="007E1305"/>
    <w:rsid w:val="007E29F8"/>
    <w:rsid w:val="007E2FD0"/>
    <w:rsid w:val="007E302F"/>
    <w:rsid w:val="007E3F46"/>
    <w:rsid w:val="007E489B"/>
    <w:rsid w:val="007E5657"/>
    <w:rsid w:val="007E5A77"/>
    <w:rsid w:val="007E6179"/>
    <w:rsid w:val="007E6ED1"/>
    <w:rsid w:val="007E7CDF"/>
    <w:rsid w:val="007F02AA"/>
    <w:rsid w:val="007F047E"/>
    <w:rsid w:val="007F115D"/>
    <w:rsid w:val="007F15E5"/>
    <w:rsid w:val="007F2843"/>
    <w:rsid w:val="007F2A04"/>
    <w:rsid w:val="007F31E7"/>
    <w:rsid w:val="007F34B6"/>
    <w:rsid w:val="007F3717"/>
    <w:rsid w:val="007F3B7F"/>
    <w:rsid w:val="007F4F4B"/>
    <w:rsid w:val="007F543B"/>
    <w:rsid w:val="007F58CA"/>
    <w:rsid w:val="007F6245"/>
    <w:rsid w:val="007F7831"/>
    <w:rsid w:val="007F7BBE"/>
    <w:rsid w:val="00800726"/>
    <w:rsid w:val="00800A7A"/>
    <w:rsid w:val="00800CD3"/>
    <w:rsid w:val="00800E94"/>
    <w:rsid w:val="008012CC"/>
    <w:rsid w:val="008017A6"/>
    <w:rsid w:val="008017C8"/>
    <w:rsid w:val="008021F8"/>
    <w:rsid w:val="0080291F"/>
    <w:rsid w:val="00802ED9"/>
    <w:rsid w:val="00803154"/>
    <w:rsid w:val="008037EF"/>
    <w:rsid w:val="008042EE"/>
    <w:rsid w:val="00805814"/>
    <w:rsid w:val="008058D6"/>
    <w:rsid w:val="00805CDE"/>
    <w:rsid w:val="00805D31"/>
    <w:rsid w:val="00806C72"/>
    <w:rsid w:val="00810011"/>
    <w:rsid w:val="00812F39"/>
    <w:rsid w:val="00814446"/>
    <w:rsid w:val="00814F01"/>
    <w:rsid w:val="0081710F"/>
    <w:rsid w:val="008200B0"/>
    <w:rsid w:val="00821916"/>
    <w:rsid w:val="00821B23"/>
    <w:rsid w:val="008236DD"/>
    <w:rsid w:val="00824BF7"/>
    <w:rsid w:val="008260E7"/>
    <w:rsid w:val="008274B2"/>
    <w:rsid w:val="00827CC3"/>
    <w:rsid w:val="00827D97"/>
    <w:rsid w:val="008308B7"/>
    <w:rsid w:val="0083111C"/>
    <w:rsid w:val="00831503"/>
    <w:rsid w:val="00831F60"/>
    <w:rsid w:val="008333C9"/>
    <w:rsid w:val="00834DD1"/>
    <w:rsid w:val="00835498"/>
    <w:rsid w:val="00835544"/>
    <w:rsid w:val="00842929"/>
    <w:rsid w:val="0084319D"/>
    <w:rsid w:val="00843778"/>
    <w:rsid w:val="00843BBA"/>
    <w:rsid w:val="008441BB"/>
    <w:rsid w:val="00844BB7"/>
    <w:rsid w:val="008455E4"/>
    <w:rsid w:val="008463F4"/>
    <w:rsid w:val="00846597"/>
    <w:rsid w:val="00847B29"/>
    <w:rsid w:val="008520C3"/>
    <w:rsid w:val="0085234A"/>
    <w:rsid w:val="00852871"/>
    <w:rsid w:val="00854DF1"/>
    <w:rsid w:val="008551EF"/>
    <w:rsid w:val="00857442"/>
    <w:rsid w:val="00857FA6"/>
    <w:rsid w:val="008603D6"/>
    <w:rsid w:val="008622A8"/>
    <w:rsid w:val="0086283E"/>
    <w:rsid w:val="00862F87"/>
    <w:rsid w:val="00863B61"/>
    <w:rsid w:val="008643E5"/>
    <w:rsid w:val="00864B9F"/>
    <w:rsid w:val="00864D3C"/>
    <w:rsid w:val="00864D89"/>
    <w:rsid w:val="00865394"/>
    <w:rsid w:val="00865AC7"/>
    <w:rsid w:val="00866C0A"/>
    <w:rsid w:val="00867B62"/>
    <w:rsid w:val="00867F1D"/>
    <w:rsid w:val="00870044"/>
    <w:rsid w:val="00870B11"/>
    <w:rsid w:val="00870E54"/>
    <w:rsid w:val="00873F90"/>
    <w:rsid w:val="00874F26"/>
    <w:rsid w:val="00875F3F"/>
    <w:rsid w:val="008766E8"/>
    <w:rsid w:val="0087739A"/>
    <w:rsid w:val="0088020A"/>
    <w:rsid w:val="008802DF"/>
    <w:rsid w:val="00880989"/>
    <w:rsid w:val="00881FEC"/>
    <w:rsid w:val="0088209E"/>
    <w:rsid w:val="008825B9"/>
    <w:rsid w:val="00882AA6"/>
    <w:rsid w:val="0088350A"/>
    <w:rsid w:val="00884DE4"/>
    <w:rsid w:val="0088528A"/>
    <w:rsid w:val="008863C8"/>
    <w:rsid w:val="00887C45"/>
    <w:rsid w:val="0089172C"/>
    <w:rsid w:val="00891E85"/>
    <w:rsid w:val="008921E1"/>
    <w:rsid w:val="00892925"/>
    <w:rsid w:val="008930D1"/>
    <w:rsid w:val="00893718"/>
    <w:rsid w:val="008941C0"/>
    <w:rsid w:val="00894203"/>
    <w:rsid w:val="0089448D"/>
    <w:rsid w:val="00894F48"/>
    <w:rsid w:val="008952BE"/>
    <w:rsid w:val="00895725"/>
    <w:rsid w:val="00895C4D"/>
    <w:rsid w:val="008960EF"/>
    <w:rsid w:val="00897B3A"/>
    <w:rsid w:val="008A065B"/>
    <w:rsid w:val="008A2609"/>
    <w:rsid w:val="008A2BFE"/>
    <w:rsid w:val="008A3E91"/>
    <w:rsid w:val="008A50D8"/>
    <w:rsid w:val="008A7E1D"/>
    <w:rsid w:val="008B04E9"/>
    <w:rsid w:val="008B06EF"/>
    <w:rsid w:val="008B0D32"/>
    <w:rsid w:val="008B1605"/>
    <w:rsid w:val="008B269E"/>
    <w:rsid w:val="008B3187"/>
    <w:rsid w:val="008B466A"/>
    <w:rsid w:val="008B4976"/>
    <w:rsid w:val="008B4CA8"/>
    <w:rsid w:val="008B50B7"/>
    <w:rsid w:val="008B5518"/>
    <w:rsid w:val="008B62D8"/>
    <w:rsid w:val="008B7901"/>
    <w:rsid w:val="008B7FE5"/>
    <w:rsid w:val="008C23F8"/>
    <w:rsid w:val="008C3082"/>
    <w:rsid w:val="008C3D10"/>
    <w:rsid w:val="008C5244"/>
    <w:rsid w:val="008C5AB7"/>
    <w:rsid w:val="008C6876"/>
    <w:rsid w:val="008C6D0A"/>
    <w:rsid w:val="008C6E6E"/>
    <w:rsid w:val="008C721F"/>
    <w:rsid w:val="008C73EC"/>
    <w:rsid w:val="008D0B90"/>
    <w:rsid w:val="008D1A24"/>
    <w:rsid w:val="008D1A5B"/>
    <w:rsid w:val="008D330E"/>
    <w:rsid w:val="008D365A"/>
    <w:rsid w:val="008D4044"/>
    <w:rsid w:val="008D4803"/>
    <w:rsid w:val="008D66B4"/>
    <w:rsid w:val="008E0265"/>
    <w:rsid w:val="008E288E"/>
    <w:rsid w:val="008E2D3E"/>
    <w:rsid w:val="008E313A"/>
    <w:rsid w:val="008E4D58"/>
    <w:rsid w:val="008E5184"/>
    <w:rsid w:val="008E5B12"/>
    <w:rsid w:val="008E77C5"/>
    <w:rsid w:val="008F0B83"/>
    <w:rsid w:val="008F119A"/>
    <w:rsid w:val="008F2253"/>
    <w:rsid w:val="008F2CD5"/>
    <w:rsid w:val="008F302A"/>
    <w:rsid w:val="008F328B"/>
    <w:rsid w:val="008F34A7"/>
    <w:rsid w:val="008F35A7"/>
    <w:rsid w:val="008F3E36"/>
    <w:rsid w:val="008F4BDB"/>
    <w:rsid w:val="008F50E6"/>
    <w:rsid w:val="008F515C"/>
    <w:rsid w:val="008F5551"/>
    <w:rsid w:val="008F5A2A"/>
    <w:rsid w:val="008F60F4"/>
    <w:rsid w:val="008F6B0E"/>
    <w:rsid w:val="008F6E1B"/>
    <w:rsid w:val="008F7F7E"/>
    <w:rsid w:val="00900343"/>
    <w:rsid w:val="00901D06"/>
    <w:rsid w:val="00902436"/>
    <w:rsid w:val="0090263E"/>
    <w:rsid w:val="0090446C"/>
    <w:rsid w:val="009045BA"/>
    <w:rsid w:val="0091061B"/>
    <w:rsid w:val="00911204"/>
    <w:rsid w:val="00912B67"/>
    <w:rsid w:val="00913801"/>
    <w:rsid w:val="00917BB5"/>
    <w:rsid w:val="00921F1D"/>
    <w:rsid w:val="00922A02"/>
    <w:rsid w:val="00922DF6"/>
    <w:rsid w:val="009236B3"/>
    <w:rsid w:val="009244CA"/>
    <w:rsid w:val="009249C6"/>
    <w:rsid w:val="00925B13"/>
    <w:rsid w:val="00925BB0"/>
    <w:rsid w:val="009276B1"/>
    <w:rsid w:val="00927EFC"/>
    <w:rsid w:val="009316F0"/>
    <w:rsid w:val="0093292B"/>
    <w:rsid w:val="00933D22"/>
    <w:rsid w:val="009341EF"/>
    <w:rsid w:val="00934CFA"/>
    <w:rsid w:val="0093525B"/>
    <w:rsid w:val="00935420"/>
    <w:rsid w:val="009361F9"/>
    <w:rsid w:val="00937834"/>
    <w:rsid w:val="00937F3F"/>
    <w:rsid w:val="0094007E"/>
    <w:rsid w:val="00940470"/>
    <w:rsid w:val="009418C9"/>
    <w:rsid w:val="009427FF"/>
    <w:rsid w:val="00942C85"/>
    <w:rsid w:val="00943162"/>
    <w:rsid w:val="00943ACC"/>
    <w:rsid w:val="00944F3F"/>
    <w:rsid w:val="0094579E"/>
    <w:rsid w:val="009507B5"/>
    <w:rsid w:val="00951504"/>
    <w:rsid w:val="00951AC6"/>
    <w:rsid w:val="00952C96"/>
    <w:rsid w:val="009537D2"/>
    <w:rsid w:val="00954282"/>
    <w:rsid w:val="0095458B"/>
    <w:rsid w:val="009548FF"/>
    <w:rsid w:val="009552C7"/>
    <w:rsid w:val="00955899"/>
    <w:rsid w:val="00956D1A"/>
    <w:rsid w:val="0095780E"/>
    <w:rsid w:val="00957FB0"/>
    <w:rsid w:val="009601C8"/>
    <w:rsid w:val="00960594"/>
    <w:rsid w:val="00960B8C"/>
    <w:rsid w:val="0096125D"/>
    <w:rsid w:val="00962B5C"/>
    <w:rsid w:val="00962CBE"/>
    <w:rsid w:val="009632FF"/>
    <w:rsid w:val="0096372E"/>
    <w:rsid w:val="00963739"/>
    <w:rsid w:val="00964B7B"/>
    <w:rsid w:val="0096652A"/>
    <w:rsid w:val="00966816"/>
    <w:rsid w:val="00966F12"/>
    <w:rsid w:val="00967241"/>
    <w:rsid w:val="0096727B"/>
    <w:rsid w:val="00967EB6"/>
    <w:rsid w:val="0097016E"/>
    <w:rsid w:val="009701BB"/>
    <w:rsid w:val="0097064A"/>
    <w:rsid w:val="009709A8"/>
    <w:rsid w:val="00970CA9"/>
    <w:rsid w:val="0097119E"/>
    <w:rsid w:val="00971AC6"/>
    <w:rsid w:val="009723F9"/>
    <w:rsid w:val="009728CF"/>
    <w:rsid w:val="00972B96"/>
    <w:rsid w:val="00972F7A"/>
    <w:rsid w:val="009742EB"/>
    <w:rsid w:val="00974B9D"/>
    <w:rsid w:val="00974CB0"/>
    <w:rsid w:val="009766E4"/>
    <w:rsid w:val="00976F58"/>
    <w:rsid w:val="009775B7"/>
    <w:rsid w:val="00977938"/>
    <w:rsid w:val="009803CF"/>
    <w:rsid w:val="0098084A"/>
    <w:rsid w:val="0098125F"/>
    <w:rsid w:val="00982BE5"/>
    <w:rsid w:val="009833EF"/>
    <w:rsid w:val="0098572D"/>
    <w:rsid w:val="00985AAB"/>
    <w:rsid w:val="00985BB5"/>
    <w:rsid w:val="00992C7E"/>
    <w:rsid w:val="00992E41"/>
    <w:rsid w:val="00993603"/>
    <w:rsid w:val="009950CE"/>
    <w:rsid w:val="00995365"/>
    <w:rsid w:val="00995F7E"/>
    <w:rsid w:val="00996DD3"/>
    <w:rsid w:val="009971AE"/>
    <w:rsid w:val="00997BB1"/>
    <w:rsid w:val="00997E25"/>
    <w:rsid w:val="00997F6B"/>
    <w:rsid w:val="009A1D33"/>
    <w:rsid w:val="009A2190"/>
    <w:rsid w:val="009A3501"/>
    <w:rsid w:val="009A4736"/>
    <w:rsid w:val="009A4DFE"/>
    <w:rsid w:val="009A537B"/>
    <w:rsid w:val="009A5BE2"/>
    <w:rsid w:val="009A5F94"/>
    <w:rsid w:val="009A6216"/>
    <w:rsid w:val="009A69A7"/>
    <w:rsid w:val="009A74A9"/>
    <w:rsid w:val="009A74C3"/>
    <w:rsid w:val="009B15FD"/>
    <w:rsid w:val="009B38BF"/>
    <w:rsid w:val="009B3E66"/>
    <w:rsid w:val="009B4051"/>
    <w:rsid w:val="009B408C"/>
    <w:rsid w:val="009B69EA"/>
    <w:rsid w:val="009B742D"/>
    <w:rsid w:val="009C00E0"/>
    <w:rsid w:val="009C0784"/>
    <w:rsid w:val="009C0A47"/>
    <w:rsid w:val="009C0D34"/>
    <w:rsid w:val="009C236C"/>
    <w:rsid w:val="009C26B4"/>
    <w:rsid w:val="009C2DEA"/>
    <w:rsid w:val="009C3564"/>
    <w:rsid w:val="009C3769"/>
    <w:rsid w:val="009C39E9"/>
    <w:rsid w:val="009C3C36"/>
    <w:rsid w:val="009C4167"/>
    <w:rsid w:val="009C41E3"/>
    <w:rsid w:val="009C4A7B"/>
    <w:rsid w:val="009C5964"/>
    <w:rsid w:val="009C6EEE"/>
    <w:rsid w:val="009D0F20"/>
    <w:rsid w:val="009D166C"/>
    <w:rsid w:val="009D1A7E"/>
    <w:rsid w:val="009D1AF7"/>
    <w:rsid w:val="009D1E1A"/>
    <w:rsid w:val="009D323D"/>
    <w:rsid w:val="009D34B0"/>
    <w:rsid w:val="009D3571"/>
    <w:rsid w:val="009D3A54"/>
    <w:rsid w:val="009D4715"/>
    <w:rsid w:val="009D5321"/>
    <w:rsid w:val="009D5EB3"/>
    <w:rsid w:val="009D60E6"/>
    <w:rsid w:val="009D646B"/>
    <w:rsid w:val="009D6569"/>
    <w:rsid w:val="009D6BBF"/>
    <w:rsid w:val="009D78DA"/>
    <w:rsid w:val="009E1BAA"/>
    <w:rsid w:val="009E1DD5"/>
    <w:rsid w:val="009E21D2"/>
    <w:rsid w:val="009E220E"/>
    <w:rsid w:val="009E2335"/>
    <w:rsid w:val="009E2AD4"/>
    <w:rsid w:val="009E2F33"/>
    <w:rsid w:val="009E3799"/>
    <w:rsid w:val="009E50D5"/>
    <w:rsid w:val="009E57C4"/>
    <w:rsid w:val="009E5F7A"/>
    <w:rsid w:val="009E6291"/>
    <w:rsid w:val="009E64B9"/>
    <w:rsid w:val="009F0651"/>
    <w:rsid w:val="009F0714"/>
    <w:rsid w:val="009F202D"/>
    <w:rsid w:val="009F2EF1"/>
    <w:rsid w:val="009F54DF"/>
    <w:rsid w:val="009F6F1B"/>
    <w:rsid w:val="00A00DC4"/>
    <w:rsid w:val="00A00DCE"/>
    <w:rsid w:val="00A00F1B"/>
    <w:rsid w:val="00A016FE"/>
    <w:rsid w:val="00A02232"/>
    <w:rsid w:val="00A027C4"/>
    <w:rsid w:val="00A032BC"/>
    <w:rsid w:val="00A0336A"/>
    <w:rsid w:val="00A03FF1"/>
    <w:rsid w:val="00A06421"/>
    <w:rsid w:val="00A069F3"/>
    <w:rsid w:val="00A06B56"/>
    <w:rsid w:val="00A06CA7"/>
    <w:rsid w:val="00A06CB9"/>
    <w:rsid w:val="00A101C8"/>
    <w:rsid w:val="00A10478"/>
    <w:rsid w:val="00A10E04"/>
    <w:rsid w:val="00A11850"/>
    <w:rsid w:val="00A12168"/>
    <w:rsid w:val="00A12326"/>
    <w:rsid w:val="00A12953"/>
    <w:rsid w:val="00A13E69"/>
    <w:rsid w:val="00A14BA8"/>
    <w:rsid w:val="00A14D3C"/>
    <w:rsid w:val="00A15775"/>
    <w:rsid w:val="00A15F7E"/>
    <w:rsid w:val="00A1680B"/>
    <w:rsid w:val="00A20B4F"/>
    <w:rsid w:val="00A24D43"/>
    <w:rsid w:val="00A2536A"/>
    <w:rsid w:val="00A25F64"/>
    <w:rsid w:val="00A25FA8"/>
    <w:rsid w:val="00A262C9"/>
    <w:rsid w:val="00A2662F"/>
    <w:rsid w:val="00A273E2"/>
    <w:rsid w:val="00A2795B"/>
    <w:rsid w:val="00A27CA1"/>
    <w:rsid w:val="00A27FF5"/>
    <w:rsid w:val="00A3034D"/>
    <w:rsid w:val="00A30AF0"/>
    <w:rsid w:val="00A31BE9"/>
    <w:rsid w:val="00A3315D"/>
    <w:rsid w:val="00A33433"/>
    <w:rsid w:val="00A337F4"/>
    <w:rsid w:val="00A340B0"/>
    <w:rsid w:val="00A34204"/>
    <w:rsid w:val="00A357F7"/>
    <w:rsid w:val="00A36476"/>
    <w:rsid w:val="00A36E1C"/>
    <w:rsid w:val="00A3757F"/>
    <w:rsid w:val="00A375CC"/>
    <w:rsid w:val="00A37DB9"/>
    <w:rsid w:val="00A37F4E"/>
    <w:rsid w:val="00A40976"/>
    <w:rsid w:val="00A40ADD"/>
    <w:rsid w:val="00A40EB9"/>
    <w:rsid w:val="00A417BE"/>
    <w:rsid w:val="00A429D4"/>
    <w:rsid w:val="00A42B1E"/>
    <w:rsid w:val="00A43674"/>
    <w:rsid w:val="00A43CBD"/>
    <w:rsid w:val="00A44422"/>
    <w:rsid w:val="00A44660"/>
    <w:rsid w:val="00A458DC"/>
    <w:rsid w:val="00A4638C"/>
    <w:rsid w:val="00A4673A"/>
    <w:rsid w:val="00A52428"/>
    <w:rsid w:val="00A524FD"/>
    <w:rsid w:val="00A52A78"/>
    <w:rsid w:val="00A54977"/>
    <w:rsid w:val="00A55B43"/>
    <w:rsid w:val="00A562F7"/>
    <w:rsid w:val="00A574B5"/>
    <w:rsid w:val="00A57512"/>
    <w:rsid w:val="00A57B51"/>
    <w:rsid w:val="00A61485"/>
    <w:rsid w:val="00A62422"/>
    <w:rsid w:val="00A642A9"/>
    <w:rsid w:val="00A66D8A"/>
    <w:rsid w:val="00A706FB"/>
    <w:rsid w:val="00A72E55"/>
    <w:rsid w:val="00A73F3E"/>
    <w:rsid w:val="00A7601D"/>
    <w:rsid w:val="00A7711B"/>
    <w:rsid w:val="00A77230"/>
    <w:rsid w:val="00A77790"/>
    <w:rsid w:val="00A777BE"/>
    <w:rsid w:val="00A779AE"/>
    <w:rsid w:val="00A8027B"/>
    <w:rsid w:val="00A81148"/>
    <w:rsid w:val="00A814B3"/>
    <w:rsid w:val="00A81992"/>
    <w:rsid w:val="00A81AF1"/>
    <w:rsid w:val="00A834F2"/>
    <w:rsid w:val="00A84B4C"/>
    <w:rsid w:val="00A84EA4"/>
    <w:rsid w:val="00A85E8D"/>
    <w:rsid w:val="00A86DF1"/>
    <w:rsid w:val="00A903A5"/>
    <w:rsid w:val="00A91493"/>
    <w:rsid w:val="00A925E9"/>
    <w:rsid w:val="00A940C2"/>
    <w:rsid w:val="00A953A8"/>
    <w:rsid w:val="00A96142"/>
    <w:rsid w:val="00A97518"/>
    <w:rsid w:val="00AA02C1"/>
    <w:rsid w:val="00AA23D6"/>
    <w:rsid w:val="00AA34EB"/>
    <w:rsid w:val="00AA3570"/>
    <w:rsid w:val="00AA4FF0"/>
    <w:rsid w:val="00AA5608"/>
    <w:rsid w:val="00AA6D62"/>
    <w:rsid w:val="00AA7C4B"/>
    <w:rsid w:val="00AB09F8"/>
    <w:rsid w:val="00AB0ED0"/>
    <w:rsid w:val="00AB18B1"/>
    <w:rsid w:val="00AB1D4E"/>
    <w:rsid w:val="00AB2AE4"/>
    <w:rsid w:val="00AB4E7B"/>
    <w:rsid w:val="00AB5BDD"/>
    <w:rsid w:val="00AB6004"/>
    <w:rsid w:val="00AB6310"/>
    <w:rsid w:val="00AC01E9"/>
    <w:rsid w:val="00AC0557"/>
    <w:rsid w:val="00AC27D8"/>
    <w:rsid w:val="00AC3C51"/>
    <w:rsid w:val="00AC4A07"/>
    <w:rsid w:val="00AC51BC"/>
    <w:rsid w:val="00AD01DE"/>
    <w:rsid w:val="00AD2A1E"/>
    <w:rsid w:val="00AD5735"/>
    <w:rsid w:val="00AD5E0F"/>
    <w:rsid w:val="00AD6CAA"/>
    <w:rsid w:val="00AD7646"/>
    <w:rsid w:val="00AE3E3B"/>
    <w:rsid w:val="00AE46F2"/>
    <w:rsid w:val="00AE4730"/>
    <w:rsid w:val="00AE5776"/>
    <w:rsid w:val="00AE5C19"/>
    <w:rsid w:val="00AE79C7"/>
    <w:rsid w:val="00AF1842"/>
    <w:rsid w:val="00AF20DC"/>
    <w:rsid w:val="00AF28AD"/>
    <w:rsid w:val="00AF3509"/>
    <w:rsid w:val="00AF4014"/>
    <w:rsid w:val="00AF4C24"/>
    <w:rsid w:val="00AF5565"/>
    <w:rsid w:val="00AF5611"/>
    <w:rsid w:val="00AF576A"/>
    <w:rsid w:val="00AF5B55"/>
    <w:rsid w:val="00AF6ECB"/>
    <w:rsid w:val="00AF6FF3"/>
    <w:rsid w:val="00AF7A06"/>
    <w:rsid w:val="00B00783"/>
    <w:rsid w:val="00B00EDC"/>
    <w:rsid w:val="00B01254"/>
    <w:rsid w:val="00B0127A"/>
    <w:rsid w:val="00B025CD"/>
    <w:rsid w:val="00B03671"/>
    <w:rsid w:val="00B04643"/>
    <w:rsid w:val="00B04FA0"/>
    <w:rsid w:val="00B054FE"/>
    <w:rsid w:val="00B05651"/>
    <w:rsid w:val="00B05FCB"/>
    <w:rsid w:val="00B06BC6"/>
    <w:rsid w:val="00B06E15"/>
    <w:rsid w:val="00B07AA4"/>
    <w:rsid w:val="00B07AFF"/>
    <w:rsid w:val="00B10164"/>
    <w:rsid w:val="00B10FE5"/>
    <w:rsid w:val="00B118D9"/>
    <w:rsid w:val="00B11A87"/>
    <w:rsid w:val="00B12A0B"/>
    <w:rsid w:val="00B14037"/>
    <w:rsid w:val="00B14D56"/>
    <w:rsid w:val="00B15233"/>
    <w:rsid w:val="00B159B7"/>
    <w:rsid w:val="00B16A9A"/>
    <w:rsid w:val="00B16B4A"/>
    <w:rsid w:val="00B16C3F"/>
    <w:rsid w:val="00B17A7C"/>
    <w:rsid w:val="00B215A2"/>
    <w:rsid w:val="00B216B3"/>
    <w:rsid w:val="00B216D2"/>
    <w:rsid w:val="00B24C96"/>
    <w:rsid w:val="00B24F73"/>
    <w:rsid w:val="00B257C2"/>
    <w:rsid w:val="00B25929"/>
    <w:rsid w:val="00B270B8"/>
    <w:rsid w:val="00B272C8"/>
    <w:rsid w:val="00B311C4"/>
    <w:rsid w:val="00B31E25"/>
    <w:rsid w:val="00B325AF"/>
    <w:rsid w:val="00B331D1"/>
    <w:rsid w:val="00B3334C"/>
    <w:rsid w:val="00B3787C"/>
    <w:rsid w:val="00B410D2"/>
    <w:rsid w:val="00B410E7"/>
    <w:rsid w:val="00B413A5"/>
    <w:rsid w:val="00B415B9"/>
    <w:rsid w:val="00B42143"/>
    <w:rsid w:val="00B423A6"/>
    <w:rsid w:val="00B434C7"/>
    <w:rsid w:val="00B434E0"/>
    <w:rsid w:val="00B43672"/>
    <w:rsid w:val="00B465E6"/>
    <w:rsid w:val="00B46F31"/>
    <w:rsid w:val="00B46FB5"/>
    <w:rsid w:val="00B475AF"/>
    <w:rsid w:val="00B50E4C"/>
    <w:rsid w:val="00B50F3F"/>
    <w:rsid w:val="00B51CB3"/>
    <w:rsid w:val="00B523E3"/>
    <w:rsid w:val="00B52489"/>
    <w:rsid w:val="00B53A36"/>
    <w:rsid w:val="00B53C76"/>
    <w:rsid w:val="00B54281"/>
    <w:rsid w:val="00B553E2"/>
    <w:rsid w:val="00B55634"/>
    <w:rsid w:val="00B56390"/>
    <w:rsid w:val="00B565EC"/>
    <w:rsid w:val="00B56FD4"/>
    <w:rsid w:val="00B61558"/>
    <w:rsid w:val="00B61A25"/>
    <w:rsid w:val="00B622D6"/>
    <w:rsid w:val="00B6304C"/>
    <w:rsid w:val="00B63125"/>
    <w:rsid w:val="00B66E02"/>
    <w:rsid w:val="00B67150"/>
    <w:rsid w:val="00B67F74"/>
    <w:rsid w:val="00B67FAF"/>
    <w:rsid w:val="00B700F1"/>
    <w:rsid w:val="00B702E6"/>
    <w:rsid w:val="00B70A34"/>
    <w:rsid w:val="00B715EB"/>
    <w:rsid w:val="00B71600"/>
    <w:rsid w:val="00B7204F"/>
    <w:rsid w:val="00B736C7"/>
    <w:rsid w:val="00B73E53"/>
    <w:rsid w:val="00B746C4"/>
    <w:rsid w:val="00B76E9D"/>
    <w:rsid w:val="00B8053A"/>
    <w:rsid w:val="00B80661"/>
    <w:rsid w:val="00B8103B"/>
    <w:rsid w:val="00B814E1"/>
    <w:rsid w:val="00B8184B"/>
    <w:rsid w:val="00B82D9B"/>
    <w:rsid w:val="00B844F0"/>
    <w:rsid w:val="00B857A7"/>
    <w:rsid w:val="00B85B95"/>
    <w:rsid w:val="00B86D80"/>
    <w:rsid w:val="00B86EE5"/>
    <w:rsid w:val="00B87330"/>
    <w:rsid w:val="00B9029F"/>
    <w:rsid w:val="00B90FE4"/>
    <w:rsid w:val="00B9117B"/>
    <w:rsid w:val="00B91BE8"/>
    <w:rsid w:val="00B930B7"/>
    <w:rsid w:val="00B93CEE"/>
    <w:rsid w:val="00B952D6"/>
    <w:rsid w:val="00B9551A"/>
    <w:rsid w:val="00B95B50"/>
    <w:rsid w:val="00B95CD7"/>
    <w:rsid w:val="00B95F4D"/>
    <w:rsid w:val="00B966AE"/>
    <w:rsid w:val="00B9745D"/>
    <w:rsid w:val="00BA059B"/>
    <w:rsid w:val="00BA064C"/>
    <w:rsid w:val="00BA1552"/>
    <w:rsid w:val="00BA1CA5"/>
    <w:rsid w:val="00BA2194"/>
    <w:rsid w:val="00BA231C"/>
    <w:rsid w:val="00BA54B6"/>
    <w:rsid w:val="00BA6BF0"/>
    <w:rsid w:val="00BB0243"/>
    <w:rsid w:val="00BB0653"/>
    <w:rsid w:val="00BB0CC4"/>
    <w:rsid w:val="00BB0FE7"/>
    <w:rsid w:val="00BB21F4"/>
    <w:rsid w:val="00BB44C7"/>
    <w:rsid w:val="00BB5D69"/>
    <w:rsid w:val="00BB6F53"/>
    <w:rsid w:val="00BC17B2"/>
    <w:rsid w:val="00BC40EF"/>
    <w:rsid w:val="00BC4A5C"/>
    <w:rsid w:val="00BC4AE4"/>
    <w:rsid w:val="00BC4E31"/>
    <w:rsid w:val="00BC596A"/>
    <w:rsid w:val="00BC5EB0"/>
    <w:rsid w:val="00BC74D2"/>
    <w:rsid w:val="00BC7AEA"/>
    <w:rsid w:val="00BD06FA"/>
    <w:rsid w:val="00BD1D53"/>
    <w:rsid w:val="00BD27FD"/>
    <w:rsid w:val="00BD31B4"/>
    <w:rsid w:val="00BD5955"/>
    <w:rsid w:val="00BD6C0F"/>
    <w:rsid w:val="00BD7390"/>
    <w:rsid w:val="00BD7FC1"/>
    <w:rsid w:val="00BE034D"/>
    <w:rsid w:val="00BE0600"/>
    <w:rsid w:val="00BE1FC8"/>
    <w:rsid w:val="00BE2308"/>
    <w:rsid w:val="00BE3A40"/>
    <w:rsid w:val="00BE67CE"/>
    <w:rsid w:val="00BE7C43"/>
    <w:rsid w:val="00BE7F54"/>
    <w:rsid w:val="00BF0997"/>
    <w:rsid w:val="00BF1FC0"/>
    <w:rsid w:val="00BF34DE"/>
    <w:rsid w:val="00BF3C9D"/>
    <w:rsid w:val="00BF434F"/>
    <w:rsid w:val="00BF56EB"/>
    <w:rsid w:val="00BF606F"/>
    <w:rsid w:val="00BF6D56"/>
    <w:rsid w:val="00BF6E7C"/>
    <w:rsid w:val="00BF7DA4"/>
    <w:rsid w:val="00C002E6"/>
    <w:rsid w:val="00C01359"/>
    <w:rsid w:val="00C02550"/>
    <w:rsid w:val="00C02B00"/>
    <w:rsid w:val="00C036BA"/>
    <w:rsid w:val="00C04022"/>
    <w:rsid w:val="00C06F34"/>
    <w:rsid w:val="00C0730F"/>
    <w:rsid w:val="00C0740D"/>
    <w:rsid w:val="00C07B13"/>
    <w:rsid w:val="00C10960"/>
    <w:rsid w:val="00C113DD"/>
    <w:rsid w:val="00C1173F"/>
    <w:rsid w:val="00C117A3"/>
    <w:rsid w:val="00C1268E"/>
    <w:rsid w:val="00C12F0F"/>
    <w:rsid w:val="00C1317F"/>
    <w:rsid w:val="00C136EC"/>
    <w:rsid w:val="00C13F6E"/>
    <w:rsid w:val="00C14AC4"/>
    <w:rsid w:val="00C14B93"/>
    <w:rsid w:val="00C158B9"/>
    <w:rsid w:val="00C161A8"/>
    <w:rsid w:val="00C16678"/>
    <w:rsid w:val="00C16DA0"/>
    <w:rsid w:val="00C17710"/>
    <w:rsid w:val="00C21E0A"/>
    <w:rsid w:val="00C2301B"/>
    <w:rsid w:val="00C234F8"/>
    <w:rsid w:val="00C23628"/>
    <w:rsid w:val="00C23A3A"/>
    <w:rsid w:val="00C255E2"/>
    <w:rsid w:val="00C25CD0"/>
    <w:rsid w:val="00C25E84"/>
    <w:rsid w:val="00C262B0"/>
    <w:rsid w:val="00C26FE6"/>
    <w:rsid w:val="00C2773E"/>
    <w:rsid w:val="00C305CE"/>
    <w:rsid w:val="00C32682"/>
    <w:rsid w:val="00C32EC6"/>
    <w:rsid w:val="00C3350E"/>
    <w:rsid w:val="00C335C0"/>
    <w:rsid w:val="00C344B8"/>
    <w:rsid w:val="00C347B2"/>
    <w:rsid w:val="00C35272"/>
    <w:rsid w:val="00C3668F"/>
    <w:rsid w:val="00C367A8"/>
    <w:rsid w:val="00C369D0"/>
    <w:rsid w:val="00C36A86"/>
    <w:rsid w:val="00C37BF0"/>
    <w:rsid w:val="00C427AA"/>
    <w:rsid w:val="00C42F8D"/>
    <w:rsid w:val="00C4458D"/>
    <w:rsid w:val="00C445EA"/>
    <w:rsid w:val="00C44FA9"/>
    <w:rsid w:val="00C46A66"/>
    <w:rsid w:val="00C46C9E"/>
    <w:rsid w:val="00C50229"/>
    <w:rsid w:val="00C51226"/>
    <w:rsid w:val="00C530BF"/>
    <w:rsid w:val="00C543CF"/>
    <w:rsid w:val="00C544A7"/>
    <w:rsid w:val="00C54C96"/>
    <w:rsid w:val="00C57608"/>
    <w:rsid w:val="00C57BF4"/>
    <w:rsid w:val="00C60A83"/>
    <w:rsid w:val="00C60D47"/>
    <w:rsid w:val="00C625F7"/>
    <w:rsid w:val="00C62B81"/>
    <w:rsid w:val="00C63ACD"/>
    <w:rsid w:val="00C65F33"/>
    <w:rsid w:val="00C67279"/>
    <w:rsid w:val="00C712C4"/>
    <w:rsid w:val="00C7131D"/>
    <w:rsid w:val="00C718D7"/>
    <w:rsid w:val="00C7365B"/>
    <w:rsid w:val="00C73E85"/>
    <w:rsid w:val="00C75300"/>
    <w:rsid w:val="00C75498"/>
    <w:rsid w:val="00C77A81"/>
    <w:rsid w:val="00C802EA"/>
    <w:rsid w:val="00C803EB"/>
    <w:rsid w:val="00C809E1"/>
    <w:rsid w:val="00C80D9E"/>
    <w:rsid w:val="00C8197C"/>
    <w:rsid w:val="00C81D81"/>
    <w:rsid w:val="00C81FFA"/>
    <w:rsid w:val="00C841B1"/>
    <w:rsid w:val="00C85617"/>
    <w:rsid w:val="00C86808"/>
    <w:rsid w:val="00C87EEF"/>
    <w:rsid w:val="00C87F13"/>
    <w:rsid w:val="00C907A0"/>
    <w:rsid w:val="00C9088C"/>
    <w:rsid w:val="00C909A9"/>
    <w:rsid w:val="00C914C5"/>
    <w:rsid w:val="00C91CCD"/>
    <w:rsid w:val="00C92102"/>
    <w:rsid w:val="00C92723"/>
    <w:rsid w:val="00C9348A"/>
    <w:rsid w:val="00C935F0"/>
    <w:rsid w:val="00C94665"/>
    <w:rsid w:val="00C95D12"/>
    <w:rsid w:val="00C96192"/>
    <w:rsid w:val="00C961D6"/>
    <w:rsid w:val="00C963A9"/>
    <w:rsid w:val="00C97B29"/>
    <w:rsid w:val="00C97B31"/>
    <w:rsid w:val="00C97F48"/>
    <w:rsid w:val="00CA0D0E"/>
    <w:rsid w:val="00CA1148"/>
    <w:rsid w:val="00CA230B"/>
    <w:rsid w:val="00CA413A"/>
    <w:rsid w:val="00CA427B"/>
    <w:rsid w:val="00CA47D0"/>
    <w:rsid w:val="00CA4D38"/>
    <w:rsid w:val="00CA4E7D"/>
    <w:rsid w:val="00CA7305"/>
    <w:rsid w:val="00CA742F"/>
    <w:rsid w:val="00CB4F55"/>
    <w:rsid w:val="00CB5278"/>
    <w:rsid w:val="00CB5523"/>
    <w:rsid w:val="00CB5930"/>
    <w:rsid w:val="00CB66E8"/>
    <w:rsid w:val="00CC2AAD"/>
    <w:rsid w:val="00CC3857"/>
    <w:rsid w:val="00CC4978"/>
    <w:rsid w:val="00CC5038"/>
    <w:rsid w:val="00CC5274"/>
    <w:rsid w:val="00CD173E"/>
    <w:rsid w:val="00CD276D"/>
    <w:rsid w:val="00CD46D6"/>
    <w:rsid w:val="00CD5771"/>
    <w:rsid w:val="00CE03DE"/>
    <w:rsid w:val="00CE1413"/>
    <w:rsid w:val="00CE3537"/>
    <w:rsid w:val="00CE35A3"/>
    <w:rsid w:val="00CE3D60"/>
    <w:rsid w:val="00CE4461"/>
    <w:rsid w:val="00CE455C"/>
    <w:rsid w:val="00CE4AB6"/>
    <w:rsid w:val="00CE4B21"/>
    <w:rsid w:val="00CE5394"/>
    <w:rsid w:val="00CE7BC9"/>
    <w:rsid w:val="00CF1D0A"/>
    <w:rsid w:val="00CF3F61"/>
    <w:rsid w:val="00CF41E6"/>
    <w:rsid w:val="00CF422F"/>
    <w:rsid w:val="00CF462B"/>
    <w:rsid w:val="00CF503B"/>
    <w:rsid w:val="00CF5D4A"/>
    <w:rsid w:val="00CF5F3B"/>
    <w:rsid w:val="00CF7492"/>
    <w:rsid w:val="00D00012"/>
    <w:rsid w:val="00D00AA8"/>
    <w:rsid w:val="00D01C66"/>
    <w:rsid w:val="00D04637"/>
    <w:rsid w:val="00D047FC"/>
    <w:rsid w:val="00D05587"/>
    <w:rsid w:val="00D06F3F"/>
    <w:rsid w:val="00D11B8C"/>
    <w:rsid w:val="00D12EE7"/>
    <w:rsid w:val="00D13C76"/>
    <w:rsid w:val="00D13DCD"/>
    <w:rsid w:val="00D140EB"/>
    <w:rsid w:val="00D14391"/>
    <w:rsid w:val="00D1508B"/>
    <w:rsid w:val="00D153AE"/>
    <w:rsid w:val="00D16F2F"/>
    <w:rsid w:val="00D20704"/>
    <w:rsid w:val="00D2126D"/>
    <w:rsid w:val="00D214C4"/>
    <w:rsid w:val="00D215F6"/>
    <w:rsid w:val="00D21FF9"/>
    <w:rsid w:val="00D22260"/>
    <w:rsid w:val="00D2292F"/>
    <w:rsid w:val="00D23074"/>
    <w:rsid w:val="00D23180"/>
    <w:rsid w:val="00D235D2"/>
    <w:rsid w:val="00D26D0B"/>
    <w:rsid w:val="00D2766E"/>
    <w:rsid w:val="00D3109A"/>
    <w:rsid w:val="00D3240B"/>
    <w:rsid w:val="00D3302B"/>
    <w:rsid w:val="00D33EF4"/>
    <w:rsid w:val="00D344CE"/>
    <w:rsid w:val="00D354C8"/>
    <w:rsid w:val="00D37602"/>
    <w:rsid w:val="00D40203"/>
    <w:rsid w:val="00D43C6A"/>
    <w:rsid w:val="00D45CFD"/>
    <w:rsid w:val="00D4600C"/>
    <w:rsid w:val="00D4670D"/>
    <w:rsid w:val="00D4671E"/>
    <w:rsid w:val="00D47602"/>
    <w:rsid w:val="00D47F09"/>
    <w:rsid w:val="00D47F19"/>
    <w:rsid w:val="00D520BB"/>
    <w:rsid w:val="00D520C5"/>
    <w:rsid w:val="00D522FF"/>
    <w:rsid w:val="00D52320"/>
    <w:rsid w:val="00D524C2"/>
    <w:rsid w:val="00D5273B"/>
    <w:rsid w:val="00D53772"/>
    <w:rsid w:val="00D55E6B"/>
    <w:rsid w:val="00D5718B"/>
    <w:rsid w:val="00D577BE"/>
    <w:rsid w:val="00D57FA0"/>
    <w:rsid w:val="00D60073"/>
    <w:rsid w:val="00D601C6"/>
    <w:rsid w:val="00D61468"/>
    <w:rsid w:val="00D623B7"/>
    <w:rsid w:val="00D63ED8"/>
    <w:rsid w:val="00D67849"/>
    <w:rsid w:val="00D714B9"/>
    <w:rsid w:val="00D71546"/>
    <w:rsid w:val="00D71F63"/>
    <w:rsid w:val="00D73CE3"/>
    <w:rsid w:val="00D73D27"/>
    <w:rsid w:val="00D743BB"/>
    <w:rsid w:val="00D74982"/>
    <w:rsid w:val="00D76208"/>
    <w:rsid w:val="00D766A3"/>
    <w:rsid w:val="00D77E16"/>
    <w:rsid w:val="00D80F7A"/>
    <w:rsid w:val="00D814EF"/>
    <w:rsid w:val="00D817F5"/>
    <w:rsid w:val="00D83C0E"/>
    <w:rsid w:val="00D840BE"/>
    <w:rsid w:val="00D843C4"/>
    <w:rsid w:val="00D845A2"/>
    <w:rsid w:val="00D84BC0"/>
    <w:rsid w:val="00D8530C"/>
    <w:rsid w:val="00D85BE1"/>
    <w:rsid w:val="00D8640E"/>
    <w:rsid w:val="00D87678"/>
    <w:rsid w:val="00D91045"/>
    <w:rsid w:val="00D91718"/>
    <w:rsid w:val="00D91B1B"/>
    <w:rsid w:val="00D91CA1"/>
    <w:rsid w:val="00D91D2B"/>
    <w:rsid w:val="00D92CBD"/>
    <w:rsid w:val="00D95223"/>
    <w:rsid w:val="00D958A4"/>
    <w:rsid w:val="00D95F04"/>
    <w:rsid w:val="00D96F77"/>
    <w:rsid w:val="00D97ED3"/>
    <w:rsid w:val="00DA07A1"/>
    <w:rsid w:val="00DA10D6"/>
    <w:rsid w:val="00DA1592"/>
    <w:rsid w:val="00DA217C"/>
    <w:rsid w:val="00DA29EE"/>
    <w:rsid w:val="00DA2AF1"/>
    <w:rsid w:val="00DA446C"/>
    <w:rsid w:val="00DA5660"/>
    <w:rsid w:val="00DA60F8"/>
    <w:rsid w:val="00DA6776"/>
    <w:rsid w:val="00DA7C08"/>
    <w:rsid w:val="00DB08E2"/>
    <w:rsid w:val="00DB0C12"/>
    <w:rsid w:val="00DB2AC0"/>
    <w:rsid w:val="00DB31A4"/>
    <w:rsid w:val="00DB323F"/>
    <w:rsid w:val="00DB3817"/>
    <w:rsid w:val="00DB4AE5"/>
    <w:rsid w:val="00DB6611"/>
    <w:rsid w:val="00DB6709"/>
    <w:rsid w:val="00DB7DF7"/>
    <w:rsid w:val="00DB7E6F"/>
    <w:rsid w:val="00DC0094"/>
    <w:rsid w:val="00DC1350"/>
    <w:rsid w:val="00DC1E0F"/>
    <w:rsid w:val="00DC343A"/>
    <w:rsid w:val="00DC467E"/>
    <w:rsid w:val="00DC48D0"/>
    <w:rsid w:val="00DC4C65"/>
    <w:rsid w:val="00DC52AF"/>
    <w:rsid w:val="00DC611F"/>
    <w:rsid w:val="00DC64F4"/>
    <w:rsid w:val="00DC7281"/>
    <w:rsid w:val="00DD04AA"/>
    <w:rsid w:val="00DD252E"/>
    <w:rsid w:val="00DD3362"/>
    <w:rsid w:val="00DD4CAB"/>
    <w:rsid w:val="00DD564D"/>
    <w:rsid w:val="00DD5934"/>
    <w:rsid w:val="00DD6ADA"/>
    <w:rsid w:val="00DD6E50"/>
    <w:rsid w:val="00DD7904"/>
    <w:rsid w:val="00DD7FA7"/>
    <w:rsid w:val="00DE04A2"/>
    <w:rsid w:val="00DE12B3"/>
    <w:rsid w:val="00DE1D5F"/>
    <w:rsid w:val="00DE2AD5"/>
    <w:rsid w:val="00DE2B25"/>
    <w:rsid w:val="00DE442A"/>
    <w:rsid w:val="00DE5765"/>
    <w:rsid w:val="00DE600B"/>
    <w:rsid w:val="00DE6380"/>
    <w:rsid w:val="00DE67CE"/>
    <w:rsid w:val="00DE6C79"/>
    <w:rsid w:val="00DE7549"/>
    <w:rsid w:val="00DF0112"/>
    <w:rsid w:val="00DF0967"/>
    <w:rsid w:val="00DF0F23"/>
    <w:rsid w:val="00DF2E2D"/>
    <w:rsid w:val="00DF373A"/>
    <w:rsid w:val="00DF3796"/>
    <w:rsid w:val="00DF5954"/>
    <w:rsid w:val="00DF6391"/>
    <w:rsid w:val="00E00B9B"/>
    <w:rsid w:val="00E0189F"/>
    <w:rsid w:val="00E01F09"/>
    <w:rsid w:val="00E0252C"/>
    <w:rsid w:val="00E03461"/>
    <w:rsid w:val="00E049AE"/>
    <w:rsid w:val="00E04D5E"/>
    <w:rsid w:val="00E04D70"/>
    <w:rsid w:val="00E04EFD"/>
    <w:rsid w:val="00E0624C"/>
    <w:rsid w:val="00E0639A"/>
    <w:rsid w:val="00E06809"/>
    <w:rsid w:val="00E119D7"/>
    <w:rsid w:val="00E12E5E"/>
    <w:rsid w:val="00E131FA"/>
    <w:rsid w:val="00E136F7"/>
    <w:rsid w:val="00E13898"/>
    <w:rsid w:val="00E142A7"/>
    <w:rsid w:val="00E14C8E"/>
    <w:rsid w:val="00E1568C"/>
    <w:rsid w:val="00E15B35"/>
    <w:rsid w:val="00E15D4D"/>
    <w:rsid w:val="00E160B9"/>
    <w:rsid w:val="00E165F7"/>
    <w:rsid w:val="00E16868"/>
    <w:rsid w:val="00E1735B"/>
    <w:rsid w:val="00E175C4"/>
    <w:rsid w:val="00E17D31"/>
    <w:rsid w:val="00E20579"/>
    <w:rsid w:val="00E2124E"/>
    <w:rsid w:val="00E219AD"/>
    <w:rsid w:val="00E21EA2"/>
    <w:rsid w:val="00E22370"/>
    <w:rsid w:val="00E22A75"/>
    <w:rsid w:val="00E24A07"/>
    <w:rsid w:val="00E25338"/>
    <w:rsid w:val="00E255A7"/>
    <w:rsid w:val="00E26126"/>
    <w:rsid w:val="00E26357"/>
    <w:rsid w:val="00E308D6"/>
    <w:rsid w:val="00E30D1B"/>
    <w:rsid w:val="00E32FCB"/>
    <w:rsid w:val="00E335B5"/>
    <w:rsid w:val="00E33BFC"/>
    <w:rsid w:val="00E34D9E"/>
    <w:rsid w:val="00E35C25"/>
    <w:rsid w:val="00E36B12"/>
    <w:rsid w:val="00E3709A"/>
    <w:rsid w:val="00E37FCD"/>
    <w:rsid w:val="00E40B71"/>
    <w:rsid w:val="00E41495"/>
    <w:rsid w:val="00E41E22"/>
    <w:rsid w:val="00E42128"/>
    <w:rsid w:val="00E42345"/>
    <w:rsid w:val="00E42C20"/>
    <w:rsid w:val="00E447E7"/>
    <w:rsid w:val="00E453B4"/>
    <w:rsid w:val="00E47134"/>
    <w:rsid w:val="00E4773C"/>
    <w:rsid w:val="00E47B61"/>
    <w:rsid w:val="00E52043"/>
    <w:rsid w:val="00E524A2"/>
    <w:rsid w:val="00E5269F"/>
    <w:rsid w:val="00E52D24"/>
    <w:rsid w:val="00E52D79"/>
    <w:rsid w:val="00E52E13"/>
    <w:rsid w:val="00E534E2"/>
    <w:rsid w:val="00E539E6"/>
    <w:rsid w:val="00E53CA7"/>
    <w:rsid w:val="00E54003"/>
    <w:rsid w:val="00E54312"/>
    <w:rsid w:val="00E546FD"/>
    <w:rsid w:val="00E54CDA"/>
    <w:rsid w:val="00E5525C"/>
    <w:rsid w:val="00E555AB"/>
    <w:rsid w:val="00E55C16"/>
    <w:rsid w:val="00E5678A"/>
    <w:rsid w:val="00E57A9C"/>
    <w:rsid w:val="00E614B9"/>
    <w:rsid w:val="00E6170A"/>
    <w:rsid w:val="00E62AC1"/>
    <w:rsid w:val="00E62B92"/>
    <w:rsid w:val="00E62C80"/>
    <w:rsid w:val="00E62C88"/>
    <w:rsid w:val="00E6430B"/>
    <w:rsid w:val="00E64579"/>
    <w:rsid w:val="00E65528"/>
    <w:rsid w:val="00E670BA"/>
    <w:rsid w:val="00E70547"/>
    <w:rsid w:val="00E70B5F"/>
    <w:rsid w:val="00E7153A"/>
    <w:rsid w:val="00E728CD"/>
    <w:rsid w:val="00E73258"/>
    <w:rsid w:val="00E73DBB"/>
    <w:rsid w:val="00E757B8"/>
    <w:rsid w:val="00E76534"/>
    <w:rsid w:val="00E774DB"/>
    <w:rsid w:val="00E80F52"/>
    <w:rsid w:val="00E81DB8"/>
    <w:rsid w:val="00E81FD7"/>
    <w:rsid w:val="00E82D0E"/>
    <w:rsid w:val="00E82DAD"/>
    <w:rsid w:val="00E8301C"/>
    <w:rsid w:val="00E848EE"/>
    <w:rsid w:val="00E84C85"/>
    <w:rsid w:val="00E8567B"/>
    <w:rsid w:val="00E86DE5"/>
    <w:rsid w:val="00E9022D"/>
    <w:rsid w:val="00E907E8"/>
    <w:rsid w:val="00E90E90"/>
    <w:rsid w:val="00E919E5"/>
    <w:rsid w:val="00E92773"/>
    <w:rsid w:val="00E935CA"/>
    <w:rsid w:val="00E936C4"/>
    <w:rsid w:val="00E97374"/>
    <w:rsid w:val="00E97E83"/>
    <w:rsid w:val="00EA2D8D"/>
    <w:rsid w:val="00EA2FFE"/>
    <w:rsid w:val="00EA35F3"/>
    <w:rsid w:val="00EA3A53"/>
    <w:rsid w:val="00EA59D5"/>
    <w:rsid w:val="00EA5A58"/>
    <w:rsid w:val="00EA6D63"/>
    <w:rsid w:val="00EA759B"/>
    <w:rsid w:val="00EB0056"/>
    <w:rsid w:val="00EB105C"/>
    <w:rsid w:val="00EB11DF"/>
    <w:rsid w:val="00EB2359"/>
    <w:rsid w:val="00EB2B73"/>
    <w:rsid w:val="00EB375E"/>
    <w:rsid w:val="00EB4CAD"/>
    <w:rsid w:val="00EB5003"/>
    <w:rsid w:val="00EB61B4"/>
    <w:rsid w:val="00EB77D3"/>
    <w:rsid w:val="00EC0EC6"/>
    <w:rsid w:val="00EC1450"/>
    <w:rsid w:val="00EC18E5"/>
    <w:rsid w:val="00EC1E63"/>
    <w:rsid w:val="00EC41A9"/>
    <w:rsid w:val="00EC454F"/>
    <w:rsid w:val="00EC4801"/>
    <w:rsid w:val="00EC4CF5"/>
    <w:rsid w:val="00EC5333"/>
    <w:rsid w:val="00EC5A5A"/>
    <w:rsid w:val="00EC6188"/>
    <w:rsid w:val="00EC6C85"/>
    <w:rsid w:val="00ED0401"/>
    <w:rsid w:val="00ED0645"/>
    <w:rsid w:val="00ED065C"/>
    <w:rsid w:val="00ED21BB"/>
    <w:rsid w:val="00ED2260"/>
    <w:rsid w:val="00ED23DA"/>
    <w:rsid w:val="00ED2944"/>
    <w:rsid w:val="00ED2F8B"/>
    <w:rsid w:val="00ED41E9"/>
    <w:rsid w:val="00ED6A55"/>
    <w:rsid w:val="00ED6EC4"/>
    <w:rsid w:val="00ED7D94"/>
    <w:rsid w:val="00EE0E87"/>
    <w:rsid w:val="00EE0F37"/>
    <w:rsid w:val="00EE35E8"/>
    <w:rsid w:val="00EE4FDE"/>
    <w:rsid w:val="00EE5113"/>
    <w:rsid w:val="00EE55A4"/>
    <w:rsid w:val="00EE5AB3"/>
    <w:rsid w:val="00EE723B"/>
    <w:rsid w:val="00EE7928"/>
    <w:rsid w:val="00EF0F88"/>
    <w:rsid w:val="00EF1150"/>
    <w:rsid w:val="00EF6506"/>
    <w:rsid w:val="00EF687C"/>
    <w:rsid w:val="00EF6CE4"/>
    <w:rsid w:val="00EF7175"/>
    <w:rsid w:val="00F0052E"/>
    <w:rsid w:val="00F009F5"/>
    <w:rsid w:val="00F00AFC"/>
    <w:rsid w:val="00F05C0A"/>
    <w:rsid w:val="00F0679C"/>
    <w:rsid w:val="00F07795"/>
    <w:rsid w:val="00F11505"/>
    <w:rsid w:val="00F11EAF"/>
    <w:rsid w:val="00F120FE"/>
    <w:rsid w:val="00F137F2"/>
    <w:rsid w:val="00F13B35"/>
    <w:rsid w:val="00F15F3F"/>
    <w:rsid w:val="00F16887"/>
    <w:rsid w:val="00F16A5A"/>
    <w:rsid w:val="00F17528"/>
    <w:rsid w:val="00F17DCD"/>
    <w:rsid w:val="00F20B74"/>
    <w:rsid w:val="00F20FC2"/>
    <w:rsid w:val="00F21093"/>
    <w:rsid w:val="00F2222F"/>
    <w:rsid w:val="00F22395"/>
    <w:rsid w:val="00F22FE8"/>
    <w:rsid w:val="00F24EBA"/>
    <w:rsid w:val="00F26023"/>
    <w:rsid w:val="00F2627A"/>
    <w:rsid w:val="00F270B4"/>
    <w:rsid w:val="00F27340"/>
    <w:rsid w:val="00F31A24"/>
    <w:rsid w:val="00F31A3D"/>
    <w:rsid w:val="00F31E6B"/>
    <w:rsid w:val="00F3245A"/>
    <w:rsid w:val="00F327F7"/>
    <w:rsid w:val="00F33A2B"/>
    <w:rsid w:val="00F33E0E"/>
    <w:rsid w:val="00F34218"/>
    <w:rsid w:val="00F35F7B"/>
    <w:rsid w:val="00F3714D"/>
    <w:rsid w:val="00F372EB"/>
    <w:rsid w:val="00F409EF"/>
    <w:rsid w:val="00F42660"/>
    <w:rsid w:val="00F42C71"/>
    <w:rsid w:val="00F436F6"/>
    <w:rsid w:val="00F437DA"/>
    <w:rsid w:val="00F43DE5"/>
    <w:rsid w:val="00F4408C"/>
    <w:rsid w:val="00F45518"/>
    <w:rsid w:val="00F45F0D"/>
    <w:rsid w:val="00F468D4"/>
    <w:rsid w:val="00F4744D"/>
    <w:rsid w:val="00F47A4F"/>
    <w:rsid w:val="00F501D5"/>
    <w:rsid w:val="00F51636"/>
    <w:rsid w:val="00F51694"/>
    <w:rsid w:val="00F51DC3"/>
    <w:rsid w:val="00F51FB6"/>
    <w:rsid w:val="00F52E7A"/>
    <w:rsid w:val="00F53E74"/>
    <w:rsid w:val="00F549DC"/>
    <w:rsid w:val="00F5675C"/>
    <w:rsid w:val="00F5690F"/>
    <w:rsid w:val="00F57B39"/>
    <w:rsid w:val="00F6095B"/>
    <w:rsid w:val="00F635AB"/>
    <w:rsid w:val="00F64214"/>
    <w:rsid w:val="00F647BF"/>
    <w:rsid w:val="00F64A5C"/>
    <w:rsid w:val="00F672ED"/>
    <w:rsid w:val="00F700DC"/>
    <w:rsid w:val="00F7067E"/>
    <w:rsid w:val="00F7088E"/>
    <w:rsid w:val="00F7185B"/>
    <w:rsid w:val="00F71BA2"/>
    <w:rsid w:val="00F71DF3"/>
    <w:rsid w:val="00F72EE3"/>
    <w:rsid w:val="00F73E66"/>
    <w:rsid w:val="00F74797"/>
    <w:rsid w:val="00F767F0"/>
    <w:rsid w:val="00F769C9"/>
    <w:rsid w:val="00F77279"/>
    <w:rsid w:val="00F778C3"/>
    <w:rsid w:val="00F77A18"/>
    <w:rsid w:val="00F77A3D"/>
    <w:rsid w:val="00F806AB"/>
    <w:rsid w:val="00F81B4F"/>
    <w:rsid w:val="00F82736"/>
    <w:rsid w:val="00F831F3"/>
    <w:rsid w:val="00F83354"/>
    <w:rsid w:val="00F83D10"/>
    <w:rsid w:val="00F85EE7"/>
    <w:rsid w:val="00F87392"/>
    <w:rsid w:val="00F90057"/>
    <w:rsid w:val="00F9066A"/>
    <w:rsid w:val="00F91679"/>
    <w:rsid w:val="00F93582"/>
    <w:rsid w:val="00F9358F"/>
    <w:rsid w:val="00F935AE"/>
    <w:rsid w:val="00F93E92"/>
    <w:rsid w:val="00F951FA"/>
    <w:rsid w:val="00F95B27"/>
    <w:rsid w:val="00F95B9B"/>
    <w:rsid w:val="00F96706"/>
    <w:rsid w:val="00F96B7F"/>
    <w:rsid w:val="00F96D00"/>
    <w:rsid w:val="00F96F84"/>
    <w:rsid w:val="00F97103"/>
    <w:rsid w:val="00F9772E"/>
    <w:rsid w:val="00F97F65"/>
    <w:rsid w:val="00F97FE7"/>
    <w:rsid w:val="00FA0A05"/>
    <w:rsid w:val="00FA1669"/>
    <w:rsid w:val="00FA1760"/>
    <w:rsid w:val="00FA21DB"/>
    <w:rsid w:val="00FA2E63"/>
    <w:rsid w:val="00FA47E4"/>
    <w:rsid w:val="00FA5B54"/>
    <w:rsid w:val="00FA6D40"/>
    <w:rsid w:val="00FA6E2E"/>
    <w:rsid w:val="00FA730F"/>
    <w:rsid w:val="00FA76F6"/>
    <w:rsid w:val="00FA7B0B"/>
    <w:rsid w:val="00FB035F"/>
    <w:rsid w:val="00FB09F5"/>
    <w:rsid w:val="00FB0D98"/>
    <w:rsid w:val="00FB103C"/>
    <w:rsid w:val="00FB14EC"/>
    <w:rsid w:val="00FB166D"/>
    <w:rsid w:val="00FB2296"/>
    <w:rsid w:val="00FB2438"/>
    <w:rsid w:val="00FB2444"/>
    <w:rsid w:val="00FB24EE"/>
    <w:rsid w:val="00FB70F7"/>
    <w:rsid w:val="00FC0488"/>
    <w:rsid w:val="00FC0D39"/>
    <w:rsid w:val="00FC4808"/>
    <w:rsid w:val="00FC4F17"/>
    <w:rsid w:val="00FC5634"/>
    <w:rsid w:val="00FC67D6"/>
    <w:rsid w:val="00FC7472"/>
    <w:rsid w:val="00FC7501"/>
    <w:rsid w:val="00FC78D9"/>
    <w:rsid w:val="00FD00B5"/>
    <w:rsid w:val="00FD1AE5"/>
    <w:rsid w:val="00FD1CE4"/>
    <w:rsid w:val="00FD27A2"/>
    <w:rsid w:val="00FD3A9F"/>
    <w:rsid w:val="00FD60F5"/>
    <w:rsid w:val="00FD695A"/>
    <w:rsid w:val="00FD76DD"/>
    <w:rsid w:val="00FE005C"/>
    <w:rsid w:val="00FE0AF9"/>
    <w:rsid w:val="00FE17C3"/>
    <w:rsid w:val="00FE1C59"/>
    <w:rsid w:val="00FE205E"/>
    <w:rsid w:val="00FE211D"/>
    <w:rsid w:val="00FE24D2"/>
    <w:rsid w:val="00FE2AE6"/>
    <w:rsid w:val="00FE3CE9"/>
    <w:rsid w:val="00FE3E6E"/>
    <w:rsid w:val="00FE43D7"/>
    <w:rsid w:val="00FE4958"/>
    <w:rsid w:val="00FE49BF"/>
    <w:rsid w:val="00FE4DFB"/>
    <w:rsid w:val="00FE524C"/>
    <w:rsid w:val="00FE54E1"/>
    <w:rsid w:val="00FE7355"/>
    <w:rsid w:val="00FE7470"/>
    <w:rsid w:val="00FF0546"/>
    <w:rsid w:val="00FF2EF8"/>
    <w:rsid w:val="00FF37FF"/>
    <w:rsid w:val="00FF3B0F"/>
    <w:rsid w:val="00FF3CB2"/>
    <w:rsid w:val="00FF4D46"/>
    <w:rsid w:val="00FF4F59"/>
    <w:rsid w:val="00FF5636"/>
    <w:rsid w:val="00FF6E6B"/>
    <w:rsid w:val="00FF73EF"/>
    <w:rsid w:val="1A82267F"/>
    <w:rsid w:val="2FB1A5A7"/>
    <w:rsid w:val="30639D36"/>
    <w:rsid w:val="5B7B0F43"/>
    <w:rsid w:val="61360939"/>
    <w:rsid w:val="74865FBF"/>
    <w:rsid w:val="792E78E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FD79A19"/>
  <w15:docId w15:val="{00899D43-8FED-4BF9-87EA-93546F4B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7EEF"/>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qFormat/>
    <w:rsid w:val="007644FC"/>
    <w:pPr>
      <w:keepNext/>
      <w:keepLines/>
      <w:spacing w:before="240"/>
      <w:outlineLvl w:val="0"/>
    </w:pPr>
    <w:rPr>
      <w:rFonts w:ascii="Calibri" w:hAnsi="Calibri" w:eastAsiaTheme="majorEastAsia" w:cstheme="majorBidi"/>
      <w:b/>
      <w:color w:val="000000" w:themeColor="text1"/>
      <w:szCs w:val="32"/>
    </w:rPr>
  </w:style>
  <w:style w:type="paragraph" w:styleId="Heading2">
    <w:name w:val="heading 2"/>
    <w:basedOn w:val="Normal"/>
    <w:next w:val="Normal"/>
    <w:link w:val="Heading2Char"/>
    <w:semiHidden/>
    <w:unhideWhenUsed/>
    <w:qFormat/>
    <w:rsid w:val="00D601C6"/>
    <w:pPr>
      <w:keepNext/>
      <w:widowControl/>
      <w:autoSpaceDE/>
      <w:autoSpaceDN/>
      <w:adjustRightInd/>
      <w:spacing w:before="240" w:after="60" w:line="360" w:lineRule="auto"/>
      <w:outlineLvl w:val="1"/>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rsid w:val="00DE67CE"/>
    <w:rPr>
      <w:sz w:val="16"/>
      <w:szCs w:val="16"/>
    </w:rPr>
  </w:style>
  <w:style w:type="paragraph" w:styleId="CommentText">
    <w:name w:val="annotation text"/>
    <w:basedOn w:val="Normal"/>
    <w:link w:val="CommentTextChar"/>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rsid w:val="0057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Revision">
    <w:name w:val="Revision"/>
    <w:hidden/>
    <w:uiPriority w:val="99"/>
    <w:semiHidden/>
    <w:rsid w:val="006B2002"/>
    <w:rPr>
      <w:rFonts w:ascii="Courier" w:hAnsi="Courier" w:cs="Courier"/>
      <w:sz w:val="24"/>
      <w:szCs w:val="24"/>
    </w:rPr>
  </w:style>
  <w:style w:type="character" w:styleId="Hyperlink">
    <w:name w:val="Hyperlink"/>
    <w:uiPriority w:val="99"/>
    <w:rsid w:val="00016F2F"/>
    <w:rPr>
      <w:color w:val="0000FF"/>
      <w:u w:val="single"/>
    </w:rPr>
  </w:style>
  <w:style w:type="paragraph" w:styleId="ListParagraph">
    <w:name w:val="List Paragraph"/>
    <w:basedOn w:val="Normal"/>
    <w:uiPriority w:val="34"/>
    <w:qFormat/>
    <w:rsid w:val="00213619"/>
    <w:pPr>
      <w:ind w:left="720"/>
      <w:contextualSpacing/>
    </w:pPr>
  </w:style>
  <w:style w:type="paragraph" w:styleId="FootnoteText">
    <w:name w:val="footnote text"/>
    <w:basedOn w:val="Normal"/>
    <w:link w:val="FootnoteTextChar"/>
    <w:uiPriority w:val="99"/>
    <w:unhideWhenUsed/>
    <w:rsid w:val="005922E2"/>
    <w:rPr>
      <w:sz w:val="20"/>
      <w:szCs w:val="20"/>
    </w:rPr>
  </w:style>
  <w:style w:type="character" w:customStyle="1" w:styleId="FootnoteTextChar">
    <w:name w:val="Footnote Text Char"/>
    <w:basedOn w:val="DefaultParagraphFont"/>
    <w:link w:val="FootnoteText"/>
    <w:uiPriority w:val="99"/>
    <w:rsid w:val="005922E2"/>
    <w:rPr>
      <w:rFonts w:ascii="Courier" w:hAnsi="Courier" w:cs="Courier"/>
    </w:rPr>
  </w:style>
  <w:style w:type="character" w:styleId="FootnoteReference">
    <w:name w:val="footnote reference"/>
    <w:basedOn w:val="DefaultParagraphFont"/>
    <w:uiPriority w:val="99"/>
    <w:unhideWhenUsed/>
    <w:rsid w:val="005922E2"/>
    <w:rPr>
      <w:vertAlign w:val="superscript"/>
    </w:rPr>
  </w:style>
  <w:style w:type="character" w:customStyle="1" w:styleId="CommentTextChar">
    <w:name w:val="Comment Text Char"/>
    <w:basedOn w:val="DefaultParagraphFont"/>
    <w:link w:val="CommentText"/>
    <w:rsid w:val="003D434C"/>
    <w:rPr>
      <w:rFonts w:ascii="Courier" w:hAnsi="Courier" w:cs="Courier"/>
    </w:rPr>
  </w:style>
  <w:style w:type="character" w:customStyle="1" w:styleId="Heading2Char">
    <w:name w:val="Heading 2 Char"/>
    <w:basedOn w:val="DefaultParagraphFont"/>
    <w:link w:val="Heading2"/>
    <w:semiHidden/>
    <w:rsid w:val="00D601C6"/>
    <w:rPr>
      <w:b/>
      <w:sz w:val="24"/>
    </w:rPr>
  </w:style>
  <w:style w:type="paragraph" w:customStyle="1" w:styleId="Level1">
    <w:name w:val="Level 1"/>
    <w:rsid w:val="00D601C6"/>
    <w:pPr>
      <w:autoSpaceDE w:val="0"/>
      <w:autoSpaceDN w:val="0"/>
      <w:adjustRightInd w:val="0"/>
      <w:ind w:left="720"/>
    </w:pPr>
    <w:rPr>
      <w:szCs w:val="24"/>
    </w:rPr>
  </w:style>
  <w:style w:type="paragraph" w:customStyle="1" w:styleId="NoSpacing1">
    <w:name w:val="No Spacing1"/>
    <w:uiPriority w:val="1"/>
    <w:qFormat/>
    <w:rsid w:val="00D601C6"/>
    <w:rPr>
      <w:rFonts w:ascii="Calibri" w:eastAsia="Calibri" w:hAnsi="Calibri"/>
      <w:sz w:val="22"/>
      <w:szCs w:val="22"/>
    </w:rPr>
  </w:style>
  <w:style w:type="character" w:customStyle="1" w:styleId="cit">
    <w:name w:val="cit"/>
    <w:basedOn w:val="DefaultParagraphFont"/>
    <w:rsid w:val="00EF6CE4"/>
  </w:style>
  <w:style w:type="character" w:customStyle="1" w:styleId="fm-citation-ids-label">
    <w:name w:val="fm-citation-ids-label"/>
    <w:basedOn w:val="DefaultParagraphFont"/>
    <w:rsid w:val="00EF6CE4"/>
  </w:style>
  <w:style w:type="paragraph" w:styleId="EndnoteText">
    <w:name w:val="endnote text"/>
    <w:basedOn w:val="Normal"/>
    <w:link w:val="EndnoteTextChar"/>
    <w:uiPriority w:val="99"/>
    <w:unhideWhenUsed/>
    <w:rsid w:val="003A7AC5"/>
    <w:pPr>
      <w:widowControl/>
      <w:autoSpaceDE/>
      <w:autoSpaceDN/>
      <w:adjustRightInd/>
    </w:pPr>
    <w:rPr>
      <w:rFonts w:ascii="Times New Roman" w:hAnsi="Times New Roman" w:eastAsiaTheme="minorHAnsi" w:cs="Times New Roman"/>
      <w:sz w:val="20"/>
      <w:szCs w:val="20"/>
    </w:rPr>
  </w:style>
  <w:style w:type="character" w:customStyle="1" w:styleId="EndnoteTextChar">
    <w:name w:val="Endnote Text Char"/>
    <w:basedOn w:val="DefaultParagraphFont"/>
    <w:link w:val="EndnoteText"/>
    <w:uiPriority w:val="99"/>
    <w:rsid w:val="003A7AC5"/>
    <w:rPr>
      <w:rFonts w:eastAsiaTheme="minorHAnsi"/>
    </w:rPr>
  </w:style>
  <w:style w:type="paragraph" w:customStyle="1" w:styleId="N2-2ndBullet">
    <w:name w:val="N2-2nd Bullet"/>
    <w:basedOn w:val="Normal"/>
    <w:rsid w:val="00B14D56"/>
    <w:pPr>
      <w:widowControl/>
      <w:tabs>
        <w:tab w:val="left" w:pos="1728"/>
      </w:tabs>
      <w:autoSpaceDE/>
      <w:autoSpaceDN/>
      <w:adjustRightInd/>
      <w:spacing w:after="240" w:line="240" w:lineRule="atLeast"/>
      <w:jc w:val="both"/>
    </w:pPr>
    <w:rPr>
      <w:rFonts w:ascii="Times New Roman" w:hAnsi="Times New Roman" w:cs="Times New Roman"/>
      <w:sz w:val="22"/>
      <w:szCs w:val="20"/>
    </w:rPr>
  </w:style>
  <w:style w:type="character" w:styleId="EndnoteReference">
    <w:name w:val="endnote reference"/>
    <w:basedOn w:val="DefaultParagraphFont"/>
    <w:rsid w:val="007F7831"/>
    <w:rPr>
      <w:vertAlign w:val="superscript"/>
    </w:rPr>
  </w:style>
  <w:style w:type="character" w:styleId="UnresolvedMention">
    <w:name w:val="Unresolved Mention"/>
    <w:basedOn w:val="DefaultParagraphFont"/>
    <w:uiPriority w:val="99"/>
    <w:semiHidden/>
    <w:unhideWhenUsed/>
    <w:rsid w:val="00332096"/>
    <w:rPr>
      <w:color w:val="605E5C"/>
      <w:shd w:val="clear" w:color="auto" w:fill="E1DFDD"/>
    </w:rPr>
  </w:style>
  <w:style w:type="paragraph" w:customStyle="1" w:styleId="Style0">
    <w:name w:val="Style0"/>
    <w:rsid w:val="008042EE"/>
    <w:pPr>
      <w:autoSpaceDE w:val="0"/>
      <w:autoSpaceDN w:val="0"/>
      <w:adjustRightInd w:val="0"/>
    </w:pPr>
    <w:rPr>
      <w:rFonts w:ascii="Arial" w:hAnsi="Arial"/>
      <w:sz w:val="24"/>
      <w:szCs w:val="24"/>
    </w:rPr>
  </w:style>
  <w:style w:type="paragraph" w:styleId="BodyText">
    <w:name w:val="Body Text"/>
    <w:basedOn w:val="Normal"/>
    <w:link w:val="BodyTextChar"/>
    <w:uiPriority w:val="99"/>
    <w:rsid w:val="00B15233"/>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rFonts w:ascii="Arial" w:hAnsi="Arial" w:cs="Times New Roman"/>
      <w:sz w:val="22"/>
      <w:szCs w:val="22"/>
    </w:rPr>
  </w:style>
  <w:style w:type="character" w:customStyle="1" w:styleId="BodyTextChar">
    <w:name w:val="Body Text Char"/>
    <w:basedOn w:val="DefaultParagraphFont"/>
    <w:link w:val="BodyText"/>
    <w:uiPriority w:val="99"/>
    <w:rsid w:val="00B15233"/>
    <w:rPr>
      <w:rFonts w:ascii="Arial" w:hAnsi="Arial"/>
      <w:sz w:val="22"/>
      <w:szCs w:val="22"/>
    </w:rPr>
  </w:style>
  <w:style w:type="character" w:customStyle="1" w:styleId="hvr">
    <w:name w:val="hvr"/>
    <w:basedOn w:val="DefaultParagraphFont"/>
    <w:rsid w:val="00F83354"/>
  </w:style>
  <w:style w:type="character" w:customStyle="1" w:styleId="Heading1Char">
    <w:name w:val="Heading 1 Char"/>
    <w:basedOn w:val="DefaultParagraphFont"/>
    <w:link w:val="Heading1"/>
    <w:rsid w:val="007644FC"/>
    <w:rPr>
      <w:rFonts w:ascii="Calibri" w:hAnsi="Calibri" w:eastAsiaTheme="majorEastAsia" w:cstheme="majorBidi"/>
      <w:b/>
      <w:color w:val="000000" w:themeColor="text1"/>
      <w:sz w:val="24"/>
      <w:szCs w:val="32"/>
    </w:rPr>
  </w:style>
  <w:style w:type="paragraph" w:styleId="TOCHeading">
    <w:name w:val="TOC Heading"/>
    <w:basedOn w:val="Heading1"/>
    <w:next w:val="Normal"/>
    <w:uiPriority w:val="39"/>
    <w:unhideWhenUsed/>
    <w:qFormat/>
    <w:rsid w:val="00857442"/>
    <w:pPr>
      <w:widowControl/>
      <w:autoSpaceDE/>
      <w:autoSpaceDN/>
      <w:adjustRightInd/>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857442"/>
    <w:pPr>
      <w:spacing w:after="100"/>
    </w:pPr>
  </w:style>
  <w:style w:type="paragraph" w:styleId="TOC2">
    <w:name w:val="toc 2"/>
    <w:basedOn w:val="Normal"/>
    <w:next w:val="Normal"/>
    <w:autoRedefine/>
    <w:uiPriority w:val="39"/>
    <w:unhideWhenUsed/>
    <w:rsid w:val="00857442"/>
    <w:pPr>
      <w:widowControl/>
      <w:autoSpaceDE/>
      <w:autoSpaceDN/>
      <w:adjustRightInd/>
      <w:spacing w:after="100" w:line="259" w:lineRule="auto"/>
      <w:ind w:left="220"/>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857442"/>
    <w:pPr>
      <w:widowControl/>
      <w:autoSpaceDE/>
      <w:autoSpaceDN/>
      <w:adjustRightInd/>
      <w:spacing w:after="100" w:line="259" w:lineRule="auto"/>
      <w:ind w:left="440"/>
    </w:pPr>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71EF5-A7FA-4056-A50E-245034059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1960</Words>
  <Characters>10664</Characters>
  <Application>Microsoft Office Word</Application>
  <DocSecurity>0</DocSecurity>
  <Lines>380</Lines>
  <Paragraphs>170</Paragraphs>
  <ScaleCrop>false</ScaleCrop>
  <HeadingPairs>
    <vt:vector size="2" baseType="variant">
      <vt:variant>
        <vt:lpstr>Title</vt:lpstr>
      </vt:variant>
      <vt:variant>
        <vt:i4>1</vt:i4>
      </vt:variant>
    </vt:vector>
  </HeadingPairs>
  <TitlesOfParts>
    <vt:vector size="1" baseType="lpstr">
      <vt:lpstr>National Health and Nutrition Examination Survey</vt:lpstr>
    </vt:vector>
  </TitlesOfParts>
  <Company>ITSO</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and Nutrition Examination Survey</dc:title>
  <dc:creator>vlb2</dc:creator>
  <cp:lastModifiedBy>Amy Branum</cp:lastModifiedBy>
  <cp:revision>6</cp:revision>
  <cp:lastPrinted>2019-06-04T12:16:00Z</cp:lastPrinted>
  <dcterms:created xsi:type="dcterms:W3CDTF">2026-02-24T23:19:00Z</dcterms:created>
  <dcterms:modified xsi:type="dcterms:W3CDTF">2026-03-02T23:08:00Z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0e4a4645-4d5d-4341-8654-7ab6750ce1b0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2021-12-01T19:07:50Z</vt:lpwstr>
  </property>
  <property fmtid="{D5CDD505-2E9C-101B-9397-08002B2CF9AE}" pid="8" name="MSIP_Label_7b94a7b8-f06c-4dfe-bdcc-9b548fd58c31_SiteId">
    <vt:lpwstr>9ce70869-60db-44fd-abe8-d2767077fc8f</vt:lpwstr>
  </property>
</Properties>
</file>