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04BBB" w:rsidP="009A79E1" w14:paraId="55FE1770" w14:textId="77777777">
      <w:bookmarkStart w:id="0" w:name="_Toc473880015"/>
    </w:p>
    <w:p w:rsidR="00FF1F62" w:rsidP="009A79E1" w14:paraId="0853C003" w14:textId="77777777"/>
    <w:p w:rsidR="00304BBB" w:rsidP="009A79E1" w14:paraId="55FE1771" w14:textId="77777777"/>
    <w:bookmarkEnd w:id="0"/>
    <w:p w:rsidR="004A13E8" w:rsidRPr="004A13E8" w:rsidP="004A13E8" w14:paraId="55FE1772" w14:textId="69496D11">
      <w:pPr>
        <w:pStyle w:val="Heading2"/>
      </w:pPr>
      <w:r w:rsidRPr="00B91AE0">
        <w:t>National Blood Collection and Utilization Survey</w:t>
      </w:r>
    </w:p>
    <w:p w:rsidR="004A13E8" w:rsidP="004A13E8" w14:paraId="55FE1773" w14:textId="77777777">
      <w:pPr>
        <w:spacing w:after="0" w:line="240" w:lineRule="auto"/>
        <w:jc w:val="center"/>
        <w:rPr>
          <w:b/>
        </w:rPr>
      </w:pPr>
    </w:p>
    <w:p w:rsidR="004A13E8" w:rsidRPr="004A13E8" w:rsidP="004A13E8" w14:paraId="55FE1774" w14:textId="036937D0">
      <w:pPr>
        <w:pStyle w:val="Heading3"/>
      </w:pPr>
      <w:bookmarkStart w:id="1" w:name="_Toc473880016"/>
      <w:r w:rsidRPr="004A13E8">
        <w:t>Request for OMB approval of a</w:t>
      </w:r>
      <w:r w:rsidR="00DC74EE">
        <w:t xml:space="preserve"> </w:t>
      </w:r>
      <w:r w:rsidRPr="00B5685D" w:rsidR="00DC74EE">
        <w:t>New</w:t>
      </w:r>
      <w:r w:rsidR="00CB3171">
        <w:t xml:space="preserve"> </w:t>
      </w:r>
      <w:r w:rsidR="00DC74EE">
        <w:t>Information Collection</w:t>
      </w:r>
      <w:bookmarkEnd w:id="1"/>
    </w:p>
    <w:p w:rsidR="004A13E8" w:rsidP="004A13E8" w14:paraId="55FE1775" w14:textId="77777777">
      <w:pPr>
        <w:spacing w:after="0" w:line="240" w:lineRule="auto"/>
        <w:jc w:val="center"/>
        <w:rPr>
          <w:b/>
        </w:rPr>
      </w:pPr>
    </w:p>
    <w:p w:rsidR="004A13E8" w:rsidRPr="004A13E8" w:rsidP="004A13E8" w14:paraId="55FE1776" w14:textId="4860C9DC">
      <w:pPr>
        <w:pStyle w:val="Heading4"/>
      </w:pPr>
      <w:r w:rsidRPr="00B91AE0">
        <w:t>3/</w:t>
      </w:r>
      <w:r w:rsidR="00DD6B61">
        <w:t>10</w:t>
      </w:r>
      <w:r w:rsidRPr="00B91AE0">
        <w:t>/2026</w:t>
      </w:r>
    </w:p>
    <w:p w:rsidR="004A13E8" w:rsidP="004A13E8" w14:paraId="55FE1777" w14:textId="77777777">
      <w:pPr>
        <w:spacing w:after="0" w:line="240" w:lineRule="auto"/>
        <w:jc w:val="center"/>
        <w:rPr>
          <w:b/>
        </w:rPr>
      </w:pPr>
    </w:p>
    <w:p w:rsidR="004A13E8" w:rsidP="009A79E1" w14:paraId="55FE1778" w14:textId="77777777"/>
    <w:p w:rsidR="004A13E8" w:rsidP="009A79E1" w14:paraId="55FE1779" w14:textId="77777777"/>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46A7C" w:rsidP="004A13E8" w14:paraId="55FE178B" w14:textId="77777777">
      <w:pPr>
        <w:spacing w:after="0" w:line="240" w:lineRule="auto"/>
        <w:rPr>
          <w:b/>
        </w:rPr>
      </w:pPr>
    </w:p>
    <w:p w:rsidR="004A13E8" w:rsidP="004A13E8" w14:paraId="55FE178C" w14:textId="77777777">
      <w:pPr>
        <w:spacing w:after="0" w:line="240" w:lineRule="auto"/>
        <w:rPr>
          <w:b/>
        </w:rPr>
      </w:pPr>
    </w:p>
    <w:p w:rsidR="004A13E8" w:rsidP="004A13E8" w14:paraId="55FE178D" w14:textId="77777777">
      <w:pPr>
        <w:spacing w:after="0" w:line="240" w:lineRule="auto"/>
        <w:rPr>
          <w:b/>
        </w:rPr>
      </w:pPr>
    </w:p>
    <w:p w:rsidR="004A13E8" w:rsidP="004A13E8" w14:paraId="55FE178E" w14:textId="77777777">
      <w:pPr>
        <w:spacing w:after="0" w:line="240" w:lineRule="auto"/>
        <w:rPr>
          <w:b/>
        </w:rPr>
      </w:pPr>
    </w:p>
    <w:p w:rsidR="004A13E8" w:rsidP="004A13E8" w14:paraId="55FE178F" w14:textId="77777777">
      <w:pPr>
        <w:spacing w:after="0" w:line="240" w:lineRule="auto"/>
        <w:rPr>
          <w:b/>
        </w:rPr>
      </w:pPr>
    </w:p>
    <w:p w:rsidR="004A13E8" w:rsidP="004A13E8" w14:paraId="55FE1790" w14:textId="77777777">
      <w:pPr>
        <w:spacing w:after="0" w:line="240" w:lineRule="auto"/>
        <w:rPr>
          <w:b/>
        </w:rPr>
      </w:pPr>
    </w:p>
    <w:p w:rsidR="004A13E8" w:rsidP="004A13E8" w14:paraId="55FE1791" w14:textId="77777777">
      <w:pPr>
        <w:spacing w:after="0" w:line="240" w:lineRule="auto"/>
        <w:rPr>
          <w:b/>
        </w:rPr>
      </w:pPr>
    </w:p>
    <w:p w:rsidR="004A13E8" w:rsidP="004A13E8" w14:paraId="55FE1792"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21FB76A8">
      <w:pPr>
        <w:pStyle w:val="NoSpacing"/>
      </w:pPr>
      <w:r>
        <w:t>Thomas Daymude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2E0C0CE9">
      <w:pPr>
        <w:pStyle w:val="NoSpacing"/>
      </w:pPr>
      <w:r w:rsidRPr="004A13E8">
        <w:t xml:space="preserve">Phone: </w:t>
      </w:r>
      <w:r w:rsidRPr="005300E6" w:rsidR="005300E6">
        <w:t>470.553.3567</w:t>
      </w:r>
      <w:r w:rsidRPr="004A13E8">
        <w:t xml:space="preserve"> </w:t>
      </w:r>
    </w:p>
    <w:p w:rsidR="004A13E8" w:rsidP="009A79E1" w14:paraId="55FE179A" w14:textId="504887D6">
      <w:pPr>
        <w:pStyle w:val="NoSpacing"/>
      </w:pPr>
      <w:r w:rsidRPr="004A6DE8">
        <w:t xml:space="preserve">Email: </w:t>
      </w:r>
      <w:r w:rsidR="005300E6">
        <w:t>qkh7@cdc.gov</w:t>
      </w:r>
      <w:r>
        <w:br w:type="page"/>
      </w:r>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5D524FC6">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D26730">
              <w:rPr>
                <w:noProof/>
                <w:webHidden/>
              </w:rPr>
              <w:t>3</w:t>
            </w:r>
            <w:r>
              <w:rPr>
                <w:noProof/>
                <w:webHidden/>
              </w:rPr>
              <w:fldChar w:fldCharType="end"/>
            </w:r>
          </w:hyperlink>
        </w:p>
        <w:p w:rsidR="00C90B13" w14:paraId="55FE179E" w14:textId="35ED6E74">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D26730">
              <w:rPr>
                <w:noProof/>
                <w:webHidden/>
              </w:rPr>
              <w:t>4</w:t>
            </w:r>
            <w:r>
              <w:rPr>
                <w:noProof/>
                <w:webHidden/>
              </w:rPr>
              <w:fldChar w:fldCharType="end"/>
            </w:r>
          </w:hyperlink>
        </w:p>
        <w:p w:rsidR="00C90B13" w14:paraId="55FE179F" w14:textId="70289CDF">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D26730">
              <w:rPr>
                <w:noProof/>
                <w:webHidden/>
              </w:rPr>
              <w:t>5</w:t>
            </w:r>
            <w:r>
              <w:rPr>
                <w:noProof/>
                <w:webHidden/>
              </w:rPr>
              <w:fldChar w:fldCharType="end"/>
            </w:r>
          </w:hyperlink>
        </w:p>
        <w:p w:rsidR="00C90B13" w14:paraId="55FE17A0" w14:textId="7F696298">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D26730">
              <w:rPr>
                <w:noProof/>
                <w:webHidden/>
              </w:rPr>
              <w:t>5</w:t>
            </w:r>
            <w:r>
              <w:rPr>
                <w:noProof/>
                <w:webHidden/>
              </w:rPr>
              <w:fldChar w:fldCharType="end"/>
            </w:r>
          </w:hyperlink>
        </w:p>
        <w:p w:rsidR="00C90B13" w14:paraId="55FE17A1" w14:textId="77B88B9C">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D26730">
              <w:rPr>
                <w:noProof/>
                <w:webHidden/>
              </w:rPr>
              <w:t>5</w:t>
            </w:r>
            <w:r>
              <w:rPr>
                <w:noProof/>
                <w:webHidden/>
              </w:rPr>
              <w:fldChar w:fldCharType="end"/>
            </w:r>
          </w:hyperlink>
        </w:p>
        <w:p w:rsidR="00C90B13" w14:paraId="55FE17A2" w14:textId="6CD174EB">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D26730">
              <w:rPr>
                <w:noProof/>
                <w:webHidden/>
              </w:rPr>
              <w:t>5</w:t>
            </w:r>
            <w:r>
              <w:rPr>
                <w:noProof/>
                <w:webHidden/>
              </w:rPr>
              <w:fldChar w:fldCharType="end"/>
            </w:r>
          </w:hyperlink>
        </w:p>
        <w:p w:rsidR="00C90B13" w14:paraId="55FE17A3" w14:textId="442367BB">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D26730">
              <w:rPr>
                <w:noProof/>
                <w:webHidden/>
              </w:rPr>
              <w:t>5</w:t>
            </w:r>
            <w:r>
              <w:rPr>
                <w:noProof/>
                <w:webHidden/>
              </w:rPr>
              <w:fldChar w:fldCharType="end"/>
            </w:r>
          </w:hyperlink>
        </w:p>
        <w:p w:rsidR="00C90B13" w14:paraId="55FE17A4" w14:textId="05AC6D9E">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D26730">
              <w:rPr>
                <w:noProof/>
                <w:webHidden/>
              </w:rPr>
              <w:t>6</w:t>
            </w:r>
            <w:r>
              <w:rPr>
                <w:noProof/>
                <w:webHidden/>
              </w:rPr>
              <w:fldChar w:fldCharType="end"/>
            </w:r>
          </w:hyperlink>
        </w:p>
        <w:p w:rsidR="00C90B13" w14:paraId="55FE17A5" w14:textId="405A9442">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D26730">
              <w:rPr>
                <w:noProof/>
                <w:webHidden/>
              </w:rPr>
              <w:t>6</w:t>
            </w:r>
            <w:r>
              <w:rPr>
                <w:noProof/>
                <w:webHidden/>
              </w:rPr>
              <w:fldChar w:fldCharType="end"/>
            </w:r>
          </w:hyperlink>
        </w:p>
        <w:p w:rsidR="00C90B13" w14:paraId="55FE17A6" w14:textId="379EE99F">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D26730">
              <w:rPr>
                <w:noProof/>
                <w:webHidden/>
              </w:rPr>
              <w:t>6</w:t>
            </w:r>
            <w:r>
              <w:rPr>
                <w:noProof/>
                <w:webHidden/>
              </w:rPr>
              <w:fldChar w:fldCharType="end"/>
            </w:r>
          </w:hyperlink>
        </w:p>
        <w:p w:rsidR="00C90B13" w14:paraId="55FE17A7" w14:textId="1C561D4B">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D26730">
              <w:rPr>
                <w:noProof/>
                <w:webHidden/>
              </w:rPr>
              <w:t>6</w:t>
            </w:r>
            <w:r>
              <w:rPr>
                <w:noProof/>
                <w:webHidden/>
              </w:rPr>
              <w:fldChar w:fldCharType="end"/>
            </w:r>
          </w:hyperlink>
        </w:p>
        <w:p w:rsidR="00C90B13" w14:paraId="55FE17A8" w14:textId="5BE500AD">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D26730">
              <w:rPr>
                <w:noProof/>
                <w:webHidden/>
              </w:rPr>
              <w:t>6</w:t>
            </w:r>
            <w:r>
              <w:rPr>
                <w:noProof/>
                <w:webHidden/>
              </w:rPr>
              <w:fldChar w:fldCharType="end"/>
            </w:r>
          </w:hyperlink>
        </w:p>
        <w:p w:rsidR="00C90B13" w14:paraId="55FE17A9" w14:textId="16868922">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D26730">
              <w:rPr>
                <w:noProof/>
                <w:webHidden/>
              </w:rPr>
              <w:t>7</w:t>
            </w:r>
            <w:r>
              <w:rPr>
                <w:noProof/>
                <w:webHidden/>
              </w:rPr>
              <w:fldChar w:fldCharType="end"/>
            </w:r>
          </w:hyperlink>
        </w:p>
        <w:p w:rsidR="00C90B13" w14:paraId="55FE17AA" w14:textId="569D5EC8">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D26730">
              <w:rPr>
                <w:noProof/>
                <w:webHidden/>
              </w:rPr>
              <w:t>7</w:t>
            </w:r>
            <w:r>
              <w:rPr>
                <w:noProof/>
                <w:webHidden/>
              </w:rPr>
              <w:fldChar w:fldCharType="end"/>
            </w:r>
          </w:hyperlink>
        </w:p>
        <w:p w:rsidR="00C90B13" w14:paraId="55FE17AB" w14:textId="43BAF0B3">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D26730">
              <w:rPr>
                <w:noProof/>
                <w:webHidden/>
              </w:rPr>
              <w:t>7</w:t>
            </w:r>
            <w:r>
              <w:rPr>
                <w:noProof/>
                <w:webHidden/>
              </w:rPr>
              <w:fldChar w:fldCharType="end"/>
            </w:r>
          </w:hyperlink>
        </w:p>
        <w:p w:rsidR="00C90B13" w14:paraId="55FE17AC" w14:textId="4F857569">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D26730">
              <w:rPr>
                <w:noProof/>
                <w:webHidden/>
              </w:rPr>
              <w:t>8</w:t>
            </w:r>
            <w:r>
              <w:rPr>
                <w:noProof/>
                <w:webHidden/>
              </w:rPr>
              <w:fldChar w:fldCharType="end"/>
            </w:r>
          </w:hyperlink>
        </w:p>
        <w:p w:rsidR="00C90B13" w14:paraId="55FE17AD" w14:textId="5CF8764D">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D26730">
              <w:rPr>
                <w:noProof/>
                <w:webHidden/>
              </w:rPr>
              <w:t>8</w:t>
            </w:r>
            <w:r>
              <w:rPr>
                <w:noProof/>
                <w:webHidden/>
              </w:rPr>
              <w:fldChar w:fldCharType="end"/>
            </w:r>
          </w:hyperlink>
        </w:p>
        <w:p w:rsidR="00C90B13" w14:paraId="55FE17AE" w14:textId="352C5687">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D26730">
              <w:rPr>
                <w:noProof/>
                <w:webHidden/>
              </w:rPr>
              <w:t>9</w:t>
            </w:r>
            <w:r>
              <w:rPr>
                <w:noProof/>
                <w:webHidden/>
              </w:rPr>
              <w:fldChar w:fldCharType="end"/>
            </w:r>
          </w:hyperlink>
        </w:p>
        <w:p w:rsidR="00C90B13" w14:paraId="55FE17AF" w14:textId="6AC99D20">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D26730">
              <w:rPr>
                <w:noProof/>
                <w:webHidden/>
              </w:rPr>
              <w:t>9</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page">
                  <wp:posOffset>689610</wp:posOffset>
                </wp:positionV>
                <wp:extent cx="6477000" cy="6436995"/>
                <wp:effectExtent l="0" t="0" r="19050" b="20955"/>
                <wp:wrapTight wrapText="bothSides">
                  <wp:wrapPolygon>
                    <wp:start x="0" y="0"/>
                    <wp:lineTo x="0" y="21606"/>
                    <wp:lineTo x="21600" y="21606"/>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6436995"/>
                        </a:xfrm>
                        <a:prstGeom prst="rect">
                          <a:avLst/>
                        </a:prstGeom>
                        <a:solidFill>
                          <a:srgbClr val="FFFFFF"/>
                        </a:solidFill>
                        <a:ln w="9525">
                          <a:solidFill>
                            <a:srgbClr val="000000"/>
                          </a:solidFill>
                          <a:miter lim="800000"/>
                          <a:headEnd/>
                          <a:tailEnd/>
                        </a:ln>
                      </wps:spPr>
                      <wps:txbx>
                        <w:txbxContent>
                          <w:p w:rsidR="004A13E8" w:rsidRPr="001A58BE" w:rsidP="004A13E8" w14:textId="2F0326D4">
                            <w:pPr>
                              <w:pStyle w:val="Bullets"/>
                              <w:rPr>
                                <w:b/>
                              </w:rPr>
                            </w:pPr>
                            <w:r w:rsidRPr="001A58BE">
                              <w:rPr>
                                <w:b/>
                              </w:rPr>
                              <w:t>Goal of the study:</w:t>
                            </w:r>
                            <w:r w:rsidR="001A58BE">
                              <w:rPr>
                                <w:b/>
                              </w:rPr>
                              <w:t xml:space="preserve"> </w:t>
                            </w:r>
                            <w:r w:rsidRPr="006E4D09" w:rsidR="006E4D09">
                              <w:rPr>
                                <w:rFonts w:cs="Times New Roman"/>
                                <w:szCs w:val="24"/>
                              </w:rPr>
                              <w:t>The objective of the NBCUS is to produce reliable and accurate estimates of national and regional collections, utilization, and safety of blood products.</w:t>
                            </w:r>
                          </w:p>
                          <w:p w:rsidR="00AF6974" w:rsidRPr="00AF6974" w:rsidP="003F7F67" w14:textId="77777777">
                            <w:pPr>
                              <w:pStyle w:val="Bullets"/>
                              <w:rPr>
                                <w:b/>
                              </w:rPr>
                            </w:pPr>
                            <w:r w:rsidRPr="00AF6974">
                              <w:rPr>
                                <w:b/>
                              </w:rPr>
                              <w:t>Intended use of the resulting data:</w:t>
                            </w:r>
                            <w:r w:rsidRPr="00AF6974" w:rsidR="001A58BE">
                              <w:rPr>
                                <w:b/>
                              </w:rPr>
                              <w:t xml:space="preserve"> </w:t>
                            </w:r>
                            <w:r w:rsidRPr="00AF6974">
                              <w:rPr>
                                <w:rFonts w:cs="Times New Roman"/>
                                <w:szCs w:val="24"/>
                              </w:rPr>
                              <w:t>This survey is intended to improve and enhance the federal government’s efforts related to infectious disease risk mitigation to the U.S. blood supply. Data from the survey will further enable the federal government and relevant stakeholders to understand dynamics of blood supply and demand, and to provide a quantitative basis for assessing strategic and regulatory agendas. An important purpose of the 2025 survey is to help the federal government continue to monitor trends in blood availability, which is critical to ensure an adequate supply of safe blood in the United States. Data collected in this survey will be of practical use to the blood banking and hospital transfusion services communities in the private sector to advance quality standards and procedures.</w:t>
                            </w:r>
                          </w:p>
                          <w:p w:rsidR="004A13E8" w:rsidRPr="00AF6974" w:rsidP="003F7F67" w14:textId="60CF4646">
                            <w:pPr>
                              <w:pStyle w:val="Bullets"/>
                              <w:rPr>
                                <w:b/>
                              </w:rPr>
                            </w:pPr>
                            <w:r w:rsidRPr="00AF6974">
                              <w:rPr>
                                <w:b/>
                              </w:rPr>
                              <w:t>Methods to be used to collect:</w:t>
                            </w:r>
                            <w:r w:rsidRPr="00AF6974" w:rsidR="001A58BE">
                              <w:rPr>
                                <w:b/>
                              </w:rPr>
                              <w:t xml:space="preserve"> </w:t>
                            </w:r>
                            <w:r w:rsidRPr="004F5B64" w:rsidR="004F5B64">
                              <w:t>We will draw a stratified, single stage sample of blood collection establishments and hospitals performing inpatient transfusions with equal probability within each stratum. We will stratify hospitals from the American Hospital Association’s annual survey of hospitals by annual inpatient surgical volume and select all (100%) hospitals in larger size strata. Forty percent (40%) of hospitals in the lowest surgical volume category will be randomly sampled. To maximize response rate as well as response</w:t>
                            </w:r>
                            <w:r w:rsidR="004F5B64">
                              <w:t xml:space="preserve"> </w:t>
                            </w:r>
                            <w:r w:rsidRPr="004F5B64" w:rsidR="004F5B64">
                              <w:t>quality, a unique survey link will be sent via email to a confirmed contact for each facility with multiple follow-up efforts. These will include email reminders, paper letters via mail, and/or phone calls to non-respondent facilities.</w:t>
                            </w:r>
                          </w:p>
                          <w:p w:rsidR="00CC2465" w:rsidRPr="00CC2465" w:rsidP="00CC2465" w14:textId="39164636">
                            <w:pPr>
                              <w:pStyle w:val="Bullets"/>
                              <w:rPr>
                                <w:b/>
                              </w:rPr>
                            </w:pPr>
                            <w:r w:rsidRPr="001A58BE">
                              <w:rPr>
                                <w:b/>
                              </w:rPr>
                              <w:t>The subpopulation to be studied:</w:t>
                            </w:r>
                            <w:r w:rsidR="001A58BE">
                              <w:rPr>
                                <w:b/>
                              </w:rPr>
                              <w:t xml:space="preserve"> </w:t>
                            </w:r>
                            <w:r w:rsidRPr="00E03CA0" w:rsidR="00E03CA0">
                              <w:t>The population of inference for the 2025 NBCUS will be all blood collection establishments and facilities performing inpatient transfusions in the United States. The target population for the 2025 NBCUS will consist of all blood collection centers and all hospitals subject to certain ownership, service and location criteria. Some practical restrictions are also placed on the target population – specifically, hospitals reporting fewer than 100 inpatient surgeries per year are excluded since these may contribute little to either collections or blood product utilization overall.</w:t>
                            </w:r>
                          </w:p>
                          <w:p w:rsidR="004A13E8" w:rsidRPr="00055D12" w:rsidP="005E35C1" w14:textId="1E5D3366">
                            <w:pPr>
                              <w:pStyle w:val="Bullets"/>
                              <w:numPr>
                                <w:ilvl w:val="0"/>
                                <w:numId w:val="0"/>
                              </w:numPr>
                              <w:ind w:left="360"/>
                              <w:rPr>
                                <w:b/>
                              </w:rPr>
                            </w:pPr>
                            <w:r w:rsidRPr="00055D12">
                              <w:rPr>
                                <w:b/>
                              </w:rPr>
                              <w:t>How data will be analyzed:</w:t>
                            </w:r>
                            <w:r w:rsidRPr="00055D12" w:rsidR="001A58BE">
                              <w:rPr>
                                <w:b/>
                              </w:rPr>
                              <w:t xml:space="preserve"> </w:t>
                            </w:r>
                            <w:r w:rsidRPr="00055D12" w:rsidR="00055D12">
                              <w:rPr>
                                <w:bCs/>
                              </w:rPr>
                              <w:t>National estimates will be calculated for the number of blood and blood components collected, distributed, transfused, rejected on infectious testing, infectious disease markers, outdated units, blood donor characteristics, donation deferrals, component costs, transfusion-associated adverse reactions, and use of infectious disease risk mitigation strategies. Weighting and imputation will be used for nonresponses and missing data, respectively.</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506.85pt;margin-top:54.3pt;margin-left:0;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2F0326D4">
                      <w:pPr>
                        <w:pStyle w:val="Bullets"/>
                        <w:rPr>
                          <w:b/>
                        </w:rPr>
                      </w:pPr>
                      <w:r w:rsidRPr="001A58BE">
                        <w:rPr>
                          <w:b/>
                        </w:rPr>
                        <w:t>Goal of the study:</w:t>
                      </w:r>
                      <w:r w:rsidR="001A58BE">
                        <w:rPr>
                          <w:b/>
                        </w:rPr>
                        <w:t xml:space="preserve"> </w:t>
                      </w:r>
                      <w:r w:rsidRPr="006E4D09" w:rsidR="006E4D09">
                        <w:rPr>
                          <w:rFonts w:cs="Times New Roman"/>
                          <w:szCs w:val="24"/>
                        </w:rPr>
                        <w:t>The objective of the NBCUS is to produce reliable and accurate estimates of national and regional collections, utilization, and safety of blood products.</w:t>
                      </w:r>
                    </w:p>
                    <w:p w:rsidR="00AF6974" w:rsidRPr="00AF6974" w:rsidP="003F7F67" w14:paraId="57F749B3" w14:textId="77777777">
                      <w:pPr>
                        <w:pStyle w:val="Bullets"/>
                        <w:rPr>
                          <w:b/>
                        </w:rPr>
                      </w:pPr>
                      <w:r w:rsidRPr="00AF6974">
                        <w:rPr>
                          <w:b/>
                        </w:rPr>
                        <w:t>Intended use of the resulting data:</w:t>
                      </w:r>
                      <w:r w:rsidRPr="00AF6974" w:rsidR="001A58BE">
                        <w:rPr>
                          <w:b/>
                        </w:rPr>
                        <w:t xml:space="preserve"> </w:t>
                      </w:r>
                      <w:r w:rsidRPr="00AF6974">
                        <w:rPr>
                          <w:rFonts w:cs="Times New Roman"/>
                          <w:szCs w:val="24"/>
                        </w:rPr>
                        <w:t>This survey is intended to improve and enhance the federal government’s efforts related to infectious disease risk mitigation to the U.S. blood supply. Data from the survey will further enable the federal government and relevant stakeholders to understand dynamics of blood supply and demand, and to provide a quantitative basis for assessing strategic and regulatory agendas. An important purpose of the 2025 survey is to help the federal government continue to monitor trends in blood availability, which is critical to ensure an adequate supply of safe blood in the United States. Data collected in this survey will be of practical use to the blood banking and hospital transfusion services communities in the private sector to advance quality standards and procedures.</w:t>
                      </w:r>
                    </w:p>
                    <w:p w:rsidR="004A13E8" w:rsidRPr="00AF6974" w:rsidP="003F7F67" w14:paraId="55FE1839" w14:textId="60CF4646">
                      <w:pPr>
                        <w:pStyle w:val="Bullets"/>
                        <w:rPr>
                          <w:b/>
                        </w:rPr>
                      </w:pPr>
                      <w:r w:rsidRPr="00AF6974">
                        <w:rPr>
                          <w:b/>
                        </w:rPr>
                        <w:t>Methods to be used to collect:</w:t>
                      </w:r>
                      <w:r w:rsidRPr="00AF6974" w:rsidR="001A58BE">
                        <w:rPr>
                          <w:b/>
                        </w:rPr>
                        <w:t xml:space="preserve"> </w:t>
                      </w:r>
                      <w:r w:rsidRPr="004F5B64" w:rsidR="004F5B64">
                        <w:t>We will draw a stratified, single stage sample of blood collection establishments and hospitals performing inpatient transfusions with equal probability within each stratum. We will stratify hospitals from the American Hospital Association’s annual survey of hospitals by annual inpatient surgical volume and select all (100%) hospitals in larger size strata. Forty percent (40%) of hospitals in the lowest surgical volume category will be randomly sampled. To maximize response rate as well as response</w:t>
                      </w:r>
                      <w:r w:rsidR="004F5B64">
                        <w:t xml:space="preserve"> </w:t>
                      </w:r>
                      <w:r w:rsidRPr="004F5B64" w:rsidR="004F5B64">
                        <w:t>quality, a unique survey link will be sent via email to a confirmed contact for each facility with multiple follow-up efforts. These will include email reminders, paper letters via mail, and/or phone calls to non-respondent facilities.</w:t>
                      </w:r>
                    </w:p>
                    <w:p w:rsidR="00CC2465" w:rsidRPr="00CC2465" w:rsidP="00CC2465" w14:paraId="337C85D8" w14:textId="39164636">
                      <w:pPr>
                        <w:pStyle w:val="Bullets"/>
                        <w:rPr>
                          <w:b/>
                        </w:rPr>
                      </w:pPr>
                      <w:r w:rsidRPr="001A58BE">
                        <w:rPr>
                          <w:b/>
                        </w:rPr>
                        <w:t>The subpopulation to be studied:</w:t>
                      </w:r>
                      <w:r w:rsidR="001A58BE">
                        <w:rPr>
                          <w:b/>
                        </w:rPr>
                        <w:t xml:space="preserve"> </w:t>
                      </w:r>
                      <w:r w:rsidRPr="00E03CA0" w:rsidR="00E03CA0">
                        <w:t>The population of inference for the 2025 NBCUS will be all blood collection establishments and facilities performing inpatient transfusions in the United States. The target population for the 2025 NBCUS will consist of all blood collection centers and all hospitals subject to certain ownership, service and location criteria. Some practical restrictions are also placed on the target population – specifically, hospitals reporting fewer than 100 inpatient surgeries per year are excluded since these may contribute little to either collections or blood product utilization overall.</w:t>
                      </w:r>
                    </w:p>
                    <w:p w:rsidR="004A13E8" w:rsidRPr="00055D12" w:rsidP="005E35C1" w14:paraId="55FE183D" w14:textId="1E5D3366">
                      <w:pPr>
                        <w:pStyle w:val="Bullets"/>
                        <w:numPr>
                          <w:ilvl w:val="0"/>
                          <w:numId w:val="0"/>
                        </w:numPr>
                        <w:ind w:left="360"/>
                        <w:rPr>
                          <w:b/>
                        </w:rPr>
                      </w:pPr>
                      <w:r w:rsidRPr="00055D12">
                        <w:rPr>
                          <w:b/>
                        </w:rPr>
                        <w:t>How data will be analyzed:</w:t>
                      </w:r>
                      <w:r w:rsidRPr="00055D12" w:rsidR="001A58BE">
                        <w:rPr>
                          <w:b/>
                        </w:rPr>
                        <w:t xml:space="preserve"> </w:t>
                      </w:r>
                      <w:r w:rsidRPr="00055D12" w:rsidR="00055D12">
                        <w:rPr>
                          <w:bCs/>
                        </w:rPr>
                        <w:t>National estimates will be calculated for the number of blood and blood components collected, distributed, transfused, rejected on infectious testing, infectious disease markers, outdated units, blood donor characteristics, donation deferrals, component costs, transfusion-associated adverse reactions, and use of infectious disease risk mitigation strategies. Weighting and imputation will be used for nonresponses and missing data, respectively.</w:t>
                      </w:r>
                    </w:p>
                  </w:txbxContent>
                </v:textbox>
                <w10:wrap type="tight"/>
              </v:shape>
            </w:pict>
          </mc:Fallback>
        </mc:AlternateContent>
      </w:r>
    </w:p>
    <w:p w:rsidR="004A13E8" w:rsidP="004A13E8" w14:paraId="55FE17B3" w14:textId="77777777">
      <w:pPr>
        <w:pStyle w:val="Heading1"/>
      </w:pPr>
      <w:bookmarkStart w:id="2" w:name="_Toc473880017"/>
      <w:r w:rsidRPr="004A13E8">
        <w:t>Circumstances Making the Collection of Information Necessary</w:t>
      </w:r>
      <w:bookmarkEnd w:id="2"/>
    </w:p>
    <w:p w:rsidR="00C143DE" w:rsidRPr="0032564E" w:rsidP="0076613D" w14:paraId="25F0A223" w14:textId="1C83E502">
      <w:pPr>
        <w:rPr>
          <w:rFonts w:cs="Times New Roman"/>
          <w:szCs w:val="24"/>
        </w:rPr>
      </w:pPr>
      <w:r w:rsidRPr="0032564E">
        <w:rPr>
          <w:rFonts w:cs="Times New Roman"/>
          <w:szCs w:val="24"/>
        </w:rPr>
        <w:t xml:space="preserve">This request is for OMB approval of a </w:t>
      </w:r>
      <w:r w:rsidR="008C0143">
        <w:rPr>
          <w:rFonts w:cs="Times New Roman"/>
          <w:szCs w:val="24"/>
        </w:rPr>
        <w:t>new</w:t>
      </w:r>
      <w:r w:rsidRPr="0032564E">
        <w:rPr>
          <w:rFonts w:cs="Times New Roman"/>
          <w:szCs w:val="24"/>
        </w:rPr>
        <w:t xml:space="preserve"> information collection request, the 2025 National Blood Collection and Utilization Survey (NBCUS), </w:t>
      </w:r>
      <w:bookmarkStart w:id="3" w:name="_Hlk67001088"/>
      <w:r w:rsidRPr="0032564E">
        <w:rPr>
          <w:rFonts w:cs="Times New Roman"/>
          <w:szCs w:val="24"/>
        </w:rPr>
        <w:t xml:space="preserve">OMB No. </w:t>
      </w:r>
      <w:bookmarkEnd w:id="3"/>
      <w:r w:rsidRPr="00C23A45">
        <w:rPr>
          <w:rFonts w:cs="Times New Roman"/>
          <w:szCs w:val="24"/>
        </w:rPr>
        <w:t>XXXXXXXX</w:t>
      </w:r>
      <w:r w:rsidRPr="0032564E">
        <w:rPr>
          <w:rFonts w:cs="Times New Roman"/>
          <w:szCs w:val="24"/>
        </w:rPr>
        <w:t xml:space="preserve">. </w:t>
      </w:r>
    </w:p>
    <w:p w:rsidR="00C143DE" w:rsidP="0076613D" w14:paraId="1B88E5D2" w14:textId="78D5BF29">
      <w:pPr>
        <w:pStyle w:val="CommentText"/>
        <w:spacing w:line="276" w:lineRule="auto"/>
        <w:rPr>
          <w:sz w:val="24"/>
          <w:szCs w:val="24"/>
        </w:rPr>
      </w:pPr>
      <w:r w:rsidRPr="0032564E">
        <w:rPr>
          <w:sz w:val="24"/>
          <w:szCs w:val="24"/>
        </w:rPr>
        <w:t xml:space="preserve">The Office of the Assistant Secretary for Health (OASH) within HHS has been historically responsible for conducting a biennial cross-sectional national blood products survey. In addition, the former Advisory Committee on Blood and Tissue Safety and Availability (ACBTSA) identified a need to provide national policy makers with current blood supply and demand data. The ACBTSA was established to provide policy advice to the Secretary and the Assistant Secretary for Health. The advice </w:t>
      </w:r>
      <w:r w:rsidRPr="0032564E">
        <w:rPr>
          <w:sz w:val="24"/>
          <w:szCs w:val="24"/>
        </w:rPr>
        <w:t xml:space="preserve">of ACBTSA </w:t>
      </w:r>
      <w:r w:rsidR="001C477C">
        <w:rPr>
          <w:sz w:val="24"/>
          <w:szCs w:val="24"/>
        </w:rPr>
        <w:t>ha</w:t>
      </w:r>
      <w:r w:rsidRPr="0032564E">
        <w:rPr>
          <w:sz w:val="24"/>
          <w:szCs w:val="24"/>
        </w:rPr>
        <w:t xml:space="preserve">s </w:t>
      </w:r>
      <w:r w:rsidR="001C477C">
        <w:rPr>
          <w:sz w:val="24"/>
          <w:szCs w:val="24"/>
        </w:rPr>
        <w:t>been</w:t>
      </w:r>
      <w:r w:rsidRPr="0032564E" w:rsidR="001C477C">
        <w:rPr>
          <w:sz w:val="24"/>
          <w:szCs w:val="24"/>
        </w:rPr>
        <w:t xml:space="preserve"> </w:t>
      </w:r>
      <w:r w:rsidRPr="0032564E">
        <w:rPr>
          <w:sz w:val="24"/>
          <w:szCs w:val="24"/>
        </w:rPr>
        <w:t xml:space="preserve">partly dependent on the analysis of relevant blood collection and utilization data, which is also widely distributed to and used by the transfusion medicine and blood banking community. </w:t>
      </w:r>
      <w:r w:rsidRPr="00DE121C">
        <w:rPr>
          <w:sz w:val="24"/>
          <w:szCs w:val="24"/>
        </w:rPr>
        <w:t>This data collection is authorized by</w:t>
      </w:r>
      <w:r w:rsidRPr="00DE121C" w:rsidR="00534086">
        <w:rPr>
          <w:sz w:val="24"/>
          <w:szCs w:val="24"/>
        </w:rPr>
        <w:t xml:space="preserve"> the following:</w:t>
      </w:r>
      <w:r w:rsidRPr="00DE121C">
        <w:rPr>
          <w:sz w:val="24"/>
          <w:szCs w:val="24"/>
        </w:rPr>
        <w:t xml:space="preserve"> Section 301 of the Public Health Service Act (42 U.S.C. 241)</w:t>
      </w:r>
      <w:r w:rsidRPr="00DE121C" w:rsidR="00C849FB">
        <w:rPr>
          <w:sz w:val="24"/>
          <w:szCs w:val="24"/>
        </w:rPr>
        <w:t>;</w:t>
      </w:r>
      <w:r w:rsidRPr="00DE121C" w:rsidR="006427DD">
        <w:rPr>
          <w:sz w:val="24"/>
          <w:szCs w:val="24"/>
        </w:rPr>
        <w:t xml:space="preserve"> 42 U.S. Code § 247d–12 - Coordination and collaboration regarding blood supply;</w:t>
      </w:r>
      <w:r w:rsidRPr="00DE121C" w:rsidR="00AB0CCE">
        <w:rPr>
          <w:sz w:val="24"/>
          <w:szCs w:val="24"/>
        </w:rPr>
        <w:t xml:space="preserve"> and </w:t>
      </w:r>
      <w:r w:rsidRPr="00DE121C" w:rsidR="005A779E">
        <w:rPr>
          <w:sz w:val="24"/>
          <w:szCs w:val="24"/>
        </w:rPr>
        <w:t>Consolidated Appropriations Act, 2023 Section 2233</w:t>
      </w:r>
      <w:r w:rsidRPr="00DE121C" w:rsidR="00C849FB">
        <w:rPr>
          <w:sz w:val="24"/>
          <w:szCs w:val="24"/>
        </w:rPr>
        <w:t xml:space="preserve"> </w:t>
      </w:r>
      <w:r w:rsidRPr="00DE121C">
        <w:rPr>
          <w:sz w:val="24"/>
          <w:szCs w:val="24"/>
        </w:rPr>
        <w:t xml:space="preserve">(Attachment </w:t>
      </w:r>
      <w:r w:rsidRPr="00DE121C" w:rsidR="00BF2E1A">
        <w:rPr>
          <w:sz w:val="24"/>
          <w:szCs w:val="24"/>
        </w:rPr>
        <w:t>1</w:t>
      </w:r>
      <w:r w:rsidRPr="00DE121C" w:rsidR="00C849FB">
        <w:rPr>
          <w:sz w:val="24"/>
          <w:szCs w:val="24"/>
        </w:rPr>
        <w:t>-</w:t>
      </w:r>
      <w:r w:rsidRPr="00DE121C" w:rsidR="00635CCF">
        <w:rPr>
          <w:sz w:val="24"/>
          <w:szCs w:val="24"/>
        </w:rPr>
        <w:t>3</w:t>
      </w:r>
      <w:r w:rsidRPr="00DE121C" w:rsidR="00F3047C">
        <w:rPr>
          <w:sz w:val="24"/>
          <w:szCs w:val="24"/>
        </w:rPr>
        <w:t>)</w:t>
      </w:r>
      <w:r w:rsidRPr="00DE121C">
        <w:rPr>
          <w:sz w:val="24"/>
          <w:szCs w:val="24"/>
        </w:rPr>
        <w:t>.</w:t>
      </w:r>
      <w:r w:rsidRPr="0032564E">
        <w:rPr>
          <w:sz w:val="24"/>
          <w:szCs w:val="24"/>
        </w:rPr>
        <w:t xml:space="preserve"> </w:t>
      </w:r>
    </w:p>
    <w:p w:rsidR="001C477C" w:rsidRPr="0032564E" w:rsidP="0076613D" w14:paraId="7ECBC2C3" w14:textId="77777777">
      <w:pPr>
        <w:pStyle w:val="CommentText"/>
        <w:spacing w:line="276" w:lineRule="auto"/>
        <w:rPr>
          <w:sz w:val="24"/>
          <w:szCs w:val="24"/>
        </w:rPr>
      </w:pPr>
    </w:p>
    <w:p w:rsidR="00C143DE" w:rsidRPr="00BA0B23" w:rsidP="0076613D" w14:paraId="5DB5E3CA" w14:textId="3AC80992">
      <w:pPr>
        <w:rPr>
          <w:rFonts w:cs="Times New Roman"/>
          <w:szCs w:val="24"/>
        </w:rPr>
      </w:pPr>
      <w:r w:rsidRPr="002C5416">
        <w:rPr>
          <w:rFonts w:cs="Times New Roman"/>
          <w:szCs w:val="24"/>
        </w:rPr>
        <w:t>The NBCUS is</w:t>
      </w:r>
      <w:r w:rsidRPr="0032564E">
        <w:rPr>
          <w:rFonts w:cs="Times New Roman"/>
          <w:szCs w:val="24"/>
        </w:rPr>
        <w:t xml:space="preserve"> conducted biennially. Since 2013, in close collaboration with OASH, the NBCUS has been performed by the Centers for Disease Control and Prevention (CDC), which has the requisite technical and scientific resources to conduct the survey. The response rates for the 2023 NBCUS were 96.2% (51/53) for community-based blood collection facilities, 90.3% (65/72) for hospital-based </w:t>
      </w:r>
      <w:bookmarkStart w:id="4" w:name="_Hlk66995280"/>
      <w:r w:rsidRPr="0032564E">
        <w:rPr>
          <w:rFonts w:cs="Times New Roman"/>
          <w:szCs w:val="24"/>
        </w:rPr>
        <w:t>blood collection facilities, and 85.7% (2195/2561) for transfusing hospitals.</w:t>
      </w:r>
      <w:bookmarkEnd w:id="4"/>
      <w:r w:rsidRPr="0032564E">
        <w:rPr>
          <w:rFonts w:cs="Times New Roman"/>
          <w:szCs w:val="24"/>
        </w:rPr>
        <w:t xml:space="preserve"> </w:t>
      </w:r>
      <w:bookmarkStart w:id="5" w:name="_Hlk66985282"/>
      <w:r w:rsidRPr="0032564E">
        <w:rPr>
          <w:rFonts w:cs="Times New Roman"/>
          <w:szCs w:val="24"/>
        </w:rPr>
        <w:t>Based on the previous iterations of the NBCUS, we expect an overall response rate of almost 85% across all types of facilities.</w:t>
      </w:r>
      <w:bookmarkEnd w:id="5"/>
    </w:p>
    <w:p w:rsidR="004A13E8" w:rsidP="004A13E8" w14:paraId="55FE17B7" w14:textId="77777777">
      <w:pPr>
        <w:pStyle w:val="Heading1"/>
      </w:pPr>
      <w:bookmarkStart w:id="6" w:name="_Toc473880018"/>
      <w:r>
        <w:t>Purpose and Use of Information Collection</w:t>
      </w:r>
      <w:bookmarkEnd w:id="6"/>
    </w:p>
    <w:p w:rsidR="00DC0F72" w:rsidRPr="0076613D" w:rsidP="0076613D" w14:paraId="5F23E728" w14:textId="225154D9">
      <w:pPr>
        <w:rPr>
          <w:rFonts w:cs="Times New Roman"/>
          <w:szCs w:val="24"/>
        </w:rPr>
      </w:pPr>
      <w:r w:rsidRPr="0076613D">
        <w:rPr>
          <w:rFonts w:cs="Times New Roman"/>
          <w:szCs w:val="24"/>
        </w:rPr>
        <w:t xml:space="preserve">The objective of the NBCUS is to produce reliable and accurate estimates of national and regional collections, utilization, and safety of blood products </w:t>
      </w:r>
      <w:r w:rsidRPr="00BF70A4">
        <w:rPr>
          <w:rFonts w:cs="Times New Roman"/>
          <w:szCs w:val="24"/>
        </w:rPr>
        <w:t>– red blood cells (RBCs), fresh frozen plasma, and platelets.</w:t>
      </w:r>
      <w:r w:rsidRPr="0076613D">
        <w:rPr>
          <w:rFonts w:cs="Times New Roman"/>
          <w:szCs w:val="24"/>
        </w:rPr>
        <w:t xml:space="preserve"> This survey will significantly improve the federal government’s capacity to understand the dynamics of blood supply and demand, and to provide a quantitative basis for assessing strategic and regulatory agendas. An important purpose of the 202</w:t>
      </w:r>
      <w:r w:rsidR="00B90BC9">
        <w:rPr>
          <w:rFonts w:cs="Times New Roman"/>
          <w:szCs w:val="24"/>
        </w:rPr>
        <w:t>5</w:t>
      </w:r>
      <w:r w:rsidRPr="0076613D">
        <w:rPr>
          <w:rFonts w:cs="Times New Roman"/>
          <w:szCs w:val="24"/>
        </w:rPr>
        <w:t xml:space="preserve"> survey is to help the federal government continue to monitor trends in blood availability, which is critical to ensure an adequate supply of safe blood in the United States. In addition to use by the federal government, data collected in this survey will be of practical use to the blood banking and hospital transfusion services communities in the private sector to advance quality standards and procedures. Broad dissemination of the survey findings through publication of reports (2005-2011 surveys) and open access scientific papers in peer review journals (2013-202</w:t>
      </w:r>
      <w:r w:rsidRPr="0076613D" w:rsidR="008474CB">
        <w:rPr>
          <w:rFonts w:cs="Times New Roman"/>
          <w:szCs w:val="24"/>
        </w:rPr>
        <w:t>3</w:t>
      </w:r>
      <w:r w:rsidRPr="0076613D">
        <w:rPr>
          <w:rFonts w:cs="Times New Roman"/>
          <w:szCs w:val="24"/>
        </w:rPr>
        <w:t xml:space="preserve"> surveys) has significantly benefited not only HHS, but the transfusion medicine community at large by furthering community discussion of key findings. Data from surveys have informed policy across HHS operating and staff divisions.</w:t>
      </w:r>
    </w:p>
    <w:p w:rsidR="00DC0F72" w:rsidRPr="0076613D" w:rsidP="0076613D" w14:paraId="5B4893BD" w14:textId="1B5BEC69">
      <w:pPr>
        <w:rPr>
          <w:rFonts w:cs="Times New Roman"/>
          <w:szCs w:val="24"/>
        </w:rPr>
      </w:pPr>
      <w:r w:rsidRPr="0076613D">
        <w:rPr>
          <w:rFonts w:cs="Times New Roman"/>
          <w:szCs w:val="24"/>
        </w:rPr>
        <w:t xml:space="preserve">Each question in the proposed survey relates to the analysis objectives detailed </w:t>
      </w:r>
      <w:r w:rsidRPr="001B2075">
        <w:rPr>
          <w:rFonts w:cs="Times New Roman"/>
          <w:szCs w:val="24"/>
        </w:rPr>
        <w:t>in Section A-16</w:t>
      </w:r>
      <w:r w:rsidRPr="0076613D">
        <w:rPr>
          <w:rFonts w:cs="Times New Roman"/>
          <w:szCs w:val="24"/>
        </w:rPr>
        <w:t xml:space="preserve"> and lists the questions by survey domains. </w:t>
      </w:r>
      <w:bookmarkStart w:id="7" w:name="_Hlk66458568"/>
      <w:r w:rsidRPr="0076613D">
        <w:rPr>
          <w:rFonts w:cs="Times New Roman"/>
          <w:szCs w:val="24"/>
        </w:rPr>
        <w:t>The general categories of information to be collected are</w:t>
      </w:r>
      <w:r w:rsidRPr="0076613D" w:rsidR="008474CB">
        <w:rPr>
          <w:rFonts w:cs="Times New Roman"/>
          <w:szCs w:val="24"/>
        </w:rPr>
        <w:t xml:space="preserve">: </w:t>
      </w:r>
      <w:r w:rsidRPr="0076613D">
        <w:rPr>
          <w:rFonts w:cs="Times New Roman"/>
          <w:szCs w:val="24"/>
        </w:rPr>
        <w:t>General information</w:t>
      </w:r>
      <w:r w:rsidRPr="0076613D" w:rsidR="008474CB">
        <w:rPr>
          <w:rFonts w:cs="Times New Roman"/>
          <w:szCs w:val="24"/>
        </w:rPr>
        <w:t xml:space="preserve">; </w:t>
      </w:r>
      <w:r w:rsidRPr="0076613D">
        <w:rPr>
          <w:rFonts w:cs="Times New Roman"/>
          <w:szCs w:val="24"/>
        </w:rPr>
        <w:t>Blood collection</w:t>
      </w:r>
      <w:r w:rsidRPr="0076613D" w:rsidR="008474CB">
        <w:rPr>
          <w:rFonts w:cs="Times New Roman"/>
          <w:szCs w:val="24"/>
        </w:rPr>
        <w:t xml:space="preserve">; </w:t>
      </w:r>
      <w:r w:rsidRPr="0076613D" w:rsidR="007F4634">
        <w:rPr>
          <w:rFonts w:cs="Times New Roman"/>
          <w:szCs w:val="24"/>
        </w:rPr>
        <w:t xml:space="preserve">and </w:t>
      </w:r>
      <w:r w:rsidRPr="0076613D">
        <w:rPr>
          <w:rFonts w:cs="Times New Roman"/>
          <w:szCs w:val="24"/>
        </w:rPr>
        <w:t>Blood transfusion</w:t>
      </w:r>
      <w:r w:rsidRPr="0076613D" w:rsidR="00EA5BD1">
        <w:rPr>
          <w:rFonts w:cs="Times New Roman"/>
          <w:szCs w:val="24"/>
        </w:rPr>
        <w:t>.</w:t>
      </w:r>
    </w:p>
    <w:bookmarkEnd w:id="7"/>
    <w:p w:rsidR="00DC0F72" w:rsidRPr="00DC0F72" w:rsidP="003419B3" w14:paraId="0DBC9B21" w14:textId="77777777"/>
    <w:p w:rsidR="004A13E8" w:rsidP="004A13E8" w14:paraId="55FE17B9" w14:textId="77777777">
      <w:pPr>
        <w:pStyle w:val="Heading1"/>
      </w:pPr>
      <w:bookmarkStart w:id="8" w:name="_Toc473880019"/>
      <w:r>
        <w:t>Use of Improved Information Technology and Burden Reduction</w:t>
      </w:r>
      <w:bookmarkEnd w:id="8"/>
    </w:p>
    <w:p w:rsidR="0015143E" w:rsidRPr="0076613D" w:rsidP="0076613D" w14:paraId="5C5EE761" w14:textId="77777777">
      <w:r w:rsidRPr="0076613D">
        <w:t>The person completing the electronic survey will be given a unique login and password. Efforts to minimize respondent burden are as follows:</w:t>
      </w:r>
    </w:p>
    <w:p w:rsidR="0015143E" w:rsidRPr="0076613D" w:rsidP="0076613D" w14:paraId="3FDF4D1B" w14:textId="77777777">
      <w:pPr>
        <w:numPr>
          <w:ilvl w:val="0"/>
          <w:numId w:val="5"/>
        </w:numPr>
        <w:spacing w:after="0"/>
      </w:pPr>
      <w:r w:rsidRPr="0076613D">
        <w:t>The survey is divided into two sections (blood collection and blood transfusion) for respondents to complete or skip.</w:t>
      </w:r>
    </w:p>
    <w:p w:rsidR="0015143E" w:rsidRPr="0076613D" w:rsidP="0076613D" w14:paraId="749DC89E" w14:textId="77777777">
      <w:pPr>
        <w:numPr>
          <w:ilvl w:val="0"/>
          <w:numId w:val="5"/>
        </w:numPr>
        <w:spacing w:after="0"/>
      </w:pPr>
      <w:r w:rsidRPr="0076613D">
        <w:t>The survey contains easy to read instructions and skip patterns to avoid having respondents answer unnecessary questions.</w:t>
      </w:r>
    </w:p>
    <w:p w:rsidR="0015143E" w:rsidRPr="0076613D" w:rsidP="0076613D" w14:paraId="64263DFF" w14:textId="77777777">
      <w:pPr>
        <w:numPr>
          <w:ilvl w:val="0"/>
          <w:numId w:val="5"/>
        </w:numPr>
        <w:spacing w:after="0"/>
      </w:pPr>
      <w:r w:rsidRPr="0076613D">
        <w:t>The survey contains a glossary of definitions to assist the respondent.</w:t>
      </w:r>
    </w:p>
    <w:p w:rsidR="0015143E" w:rsidRPr="0076613D" w:rsidP="0076613D" w14:paraId="2A254F5B" w14:textId="77777777">
      <w:pPr>
        <w:pStyle w:val="ListParagraph"/>
        <w:numPr>
          <w:ilvl w:val="0"/>
          <w:numId w:val="5"/>
        </w:numPr>
        <w:spacing w:after="0"/>
        <w:contextualSpacing w:val="0"/>
      </w:pPr>
      <w:r w:rsidRPr="0076613D">
        <w:t>A Survey Helpline number will be provided. The toll-free helpline will field inquiries related to the survey and will be available 24 hours a day to answer questions related to the survey.</w:t>
      </w:r>
    </w:p>
    <w:p w:rsidR="0015143E" w:rsidRPr="0076613D" w:rsidP="0076613D" w14:paraId="7462293A" w14:textId="77777777">
      <w:pPr>
        <w:pStyle w:val="ListParagraph"/>
        <w:numPr>
          <w:ilvl w:val="0"/>
          <w:numId w:val="5"/>
        </w:numPr>
        <w:spacing w:after="0"/>
        <w:contextualSpacing w:val="0"/>
      </w:pPr>
      <w:r w:rsidRPr="0076613D">
        <w:t>For institutions that have not responded, an abbreviated version of the survey containing critical items will be distributed. The survey will be made available both electronically and in paper form. </w:t>
      </w:r>
    </w:p>
    <w:p w:rsidR="0015143E" w:rsidRPr="0076613D" w:rsidP="008D5AEA" w14:paraId="32845057" w14:textId="77777777">
      <w:pPr>
        <w:rPr>
          <w:rFonts w:cs="Times New Roman"/>
        </w:rPr>
      </w:pPr>
    </w:p>
    <w:p w:rsidR="004A13E8" w:rsidRPr="0076613D" w:rsidP="004A13E8" w14:paraId="55FE17BC" w14:textId="77777777">
      <w:pPr>
        <w:pStyle w:val="Heading1"/>
        <w:rPr>
          <w:rFonts w:cs="Times New Roman"/>
        </w:rPr>
      </w:pPr>
      <w:bookmarkStart w:id="9" w:name="_Toc473880020"/>
      <w:r w:rsidRPr="0076613D">
        <w:rPr>
          <w:rFonts w:cs="Times New Roman"/>
        </w:rPr>
        <w:t>Efforts to Identify Duplication and Use of Similar Information</w:t>
      </w:r>
      <w:bookmarkEnd w:id="9"/>
    </w:p>
    <w:p w:rsidR="0015143E" w:rsidRPr="00902E82" w:rsidP="0076613D" w14:paraId="7D5F5811" w14:textId="585B389F">
      <w:pPr>
        <w:rPr>
          <w:rFonts w:cs="Times New Roman"/>
          <w:szCs w:val="24"/>
        </w:rPr>
      </w:pPr>
      <w:r w:rsidRPr="00902E82">
        <w:rPr>
          <w:rFonts w:cs="Times New Roman"/>
          <w:szCs w:val="24"/>
        </w:rPr>
        <w:t xml:space="preserve">The NBCUS has been conducted by HHS/OASH and CDC since 2005. Data on blood collection and utilization on a national scale are not available from any other source. While segments of the blood collection industry collect some information, it is often proprietary and not available to the government or the public at large. </w:t>
      </w:r>
    </w:p>
    <w:p w:rsidR="00DC57CC" w:rsidP="004A13E8" w14:paraId="55FE17BF" w14:textId="77777777">
      <w:pPr>
        <w:pStyle w:val="Heading1"/>
      </w:pPr>
      <w:bookmarkStart w:id="10" w:name="_Toc473880021"/>
      <w:r>
        <w:t>Impact on Small Businesses or Other Small Entities</w:t>
      </w:r>
      <w:bookmarkEnd w:id="10"/>
    </w:p>
    <w:p w:rsidR="00756F1C" w:rsidRPr="001C3B45" w:rsidP="001C3B45" w14:paraId="74F2BA1B" w14:textId="62914102">
      <w:pPr>
        <w:rPr>
          <w:rFonts w:cs="Times New Roman"/>
          <w:sz w:val="22"/>
        </w:rPr>
      </w:pPr>
      <w:r w:rsidRPr="00756F1C">
        <w:t xml:space="preserve">The target population consists of U.S. blood collection facilities and transfusing hospitals. Every effort is made to minimize the burden on small businesses </w:t>
      </w:r>
      <w:r w:rsidRPr="001C3B45">
        <w:rPr>
          <w:rFonts w:cs="Times New Roman"/>
          <w:sz w:val="22"/>
        </w:rPr>
        <w:t>when collecting information.</w:t>
      </w:r>
    </w:p>
    <w:p w:rsidR="004A13E8" w:rsidRPr="001C3B45" w:rsidP="001C3B45" w14:paraId="55FE17C3" w14:textId="77777777">
      <w:pPr>
        <w:pStyle w:val="Heading1"/>
      </w:pPr>
      <w:bookmarkStart w:id="11" w:name="_Toc473880022"/>
      <w:r w:rsidRPr="001C3B45">
        <w:t>Consequences of Collecting the Information Less Frequently</w:t>
      </w:r>
      <w:bookmarkEnd w:id="11"/>
    </w:p>
    <w:p w:rsidR="00893419" w:rsidRPr="00893419" w:rsidP="00893419" w14:paraId="2B78F614" w14:textId="77777777">
      <w:pPr>
        <w:rPr>
          <w:rFonts w:cs="Times New Roman"/>
          <w:szCs w:val="24"/>
        </w:rPr>
      </w:pPr>
      <w:r w:rsidRPr="00BF70A4">
        <w:rPr>
          <w:rFonts w:cs="Times New Roman"/>
          <w:szCs w:val="24"/>
        </w:rPr>
        <w:t xml:space="preserve">The NBCUS is administered biennially. </w:t>
      </w:r>
      <w:bookmarkStart w:id="12" w:name="_Hlk67055411"/>
      <w:r w:rsidRPr="00BF70A4">
        <w:rPr>
          <w:rFonts w:cs="Times New Roman"/>
          <w:szCs w:val="24"/>
        </w:rPr>
        <w:t>The rapidly changing environment in blood supply and</w:t>
      </w:r>
      <w:r w:rsidRPr="00893419">
        <w:rPr>
          <w:rFonts w:cs="Times New Roman"/>
          <w:szCs w:val="24"/>
        </w:rPr>
        <w:t xml:space="preserve"> demand makes it important to have regular, periodic data describing the state of U.S. blood collections and transfusions for understanding the dynamics of blood safety and availability. These data have become even more crucial </w:t>
      </w:r>
      <w:bookmarkEnd w:id="12"/>
      <w:r w:rsidRPr="00893419">
        <w:rPr>
          <w:rFonts w:cs="Times New Roman"/>
          <w:szCs w:val="24"/>
        </w:rPr>
        <w:t>with the need to help ensure patient safety by monitoring and identifying errors in transfusion medicine and related therapies.</w:t>
      </w:r>
    </w:p>
    <w:p w:rsidR="004A13E8" w:rsidP="004A13E8" w14:paraId="55FE17C6" w14:textId="77777777">
      <w:pPr>
        <w:pStyle w:val="Heading1"/>
      </w:pPr>
      <w:bookmarkStart w:id="13" w:name="_Toc473880023"/>
      <w:r>
        <w:t>Special Circumstances Relating to the Guidelines of 5 CFR 1320.5</w:t>
      </w:r>
      <w:bookmarkEnd w:id="13"/>
    </w:p>
    <w:p w:rsidR="004A13E8" w:rsidRPr="004A13E8" w:rsidP="00E62D4C" w14:paraId="55FE17C7" w14:textId="7F884F6A">
      <w:r>
        <w:t>This request fully complies with the regulation 5 CFR 1320.5.</w:t>
      </w:r>
      <w:r w:rsidR="00E62D4C">
        <w:t xml:space="preserve"> </w:t>
      </w:r>
      <w:r w:rsidRPr="00E62D4C" w:rsidR="00E62D4C">
        <w:t>There are no special circumstances associated with this data collection activity.</w:t>
      </w:r>
    </w:p>
    <w:p w:rsidR="004A13E8" w:rsidP="004A13E8" w14:paraId="55FE17C8" w14:textId="77777777">
      <w:pPr>
        <w:pStyle w:val="Heading1"/>
      </w:pPr>
      <w:bookmarkStart w:id="14" w:name="_Toc473880024"/>
      <w:r>
        <w:t>Comments in Response to the Federal Register Notice and Efforts to Consult Outside the Agency</w:t>
      </w:r>
      <w:bookmarkEnd w:id="14"/>
    </w:p>
    <w:p w:rsidR="004A13E8" w:rsidP="004A13E8" w14:paraId="55FE17C9" w14:textId="5620BCD0">
      <w:r>
        <w:t xml:space="preserve">A. </w:t>
      </w:r>
      <w:r w:rsidR="00C23A45">
        <w:t xml:space="preserve"> </w:t>
      </w:r>
      <w:r>
        <w:t xml:space="preserve">A 60-day Federal Register Notice was published in the </w:t>
      </w:r>
      <w:r w:rsidRPr="47EE0115">
        <w:rPr>
          <w:i/>
          <w:iCs/>
        </w:rPr>
        <w:t xml:space="preserve">Federal Register </w:t>
      </w:r>
      <w:r>
        <w:t xml:space="preserve">on </w:t>
      </w:r>
      <w:r w:rsidR="0012191B">
        <w:t>December 5, 2025</w:t>
      </w:r>
      <w:r>
        <w:t xml:space="preserve">, vol. </w:t>
      </w:r>
      <w:r w:rsidR="003C76A7">
        <w:t>90</w:t>
      </w:r>
      <w:r>
        <w:t xml:space="preserve">, No. </w:t>
      </w:r>
      <w:r w:rsidR="009266EC">
        <w:t>232</w:t>
      </w:r>
      <w:r w:rsidRPr="003F78AF">
        <w:t>, pp</w:t>
      </w:r>
      <w:r>
        <w:t xml:space="preserve">. </w:t>
      </w:r>
      <w:r w:rsidR="0092301C">
        <w:t>5</w:t>
      </w:r>
      <w:r w:rsidR="006C0C48">
        <w:t>6149-56150</w:t>
      </w:r>
      <w:r>
        <w:t xml:space="preserve"> </w:t>
      </w:r>
      <w:r w:rsidRPr="008849EF">
        <w:t xml:space="preserve">(Attachment </w:t>
      </w:r>
      <w:r w:rsidR="009266EC">
        <w:t>3</w:t>
      </w:r>
      <w:r w:rsidRPr="008849EF">
        <w:t>).</w:t>
      </w:r>
      <w:r>
        <w:t xml:space="preserve"> CDC </w:t>
      </w:r>
      <w:r w:rsidRPr="00B6690D">
        <w:t>did</w:t>
      </w:r>
      <w:r>
        <w:t xml:space="preserve"> receive public comments related to this notice.</w:t>
      </w:r>
      <w:r w:rsidR="00C32380">
        <w:t xml:space="preserve"> </w:t>
      </w:r>
      <w:r w:rsidR="00CF5141">
        <w:t xml:space="preserve"> A total of </w:t>
      </w:r>
      <w:r w:rsidRPr="00CE4BC2" w:rsidR="00670C18">
        <w:t>10</w:t>
      </w:r>
      <w:r w:rsidRPr="00CE4BC2" w:rsidR="00CF5141">
        <w:t xml:space="preserve"> comments </w:t>
      </w:r>
      <w:r w:rsidR="00CF5141">
        <w:t>w</w:t>
      </w:r>
      <w:r w:rsidR="00B6690D">
        <w:t>ere</w:t>
      </w:r>
      <w:r w:rsidR="00CF5141">
        <w:t xml:space="preserve"> received. </w:t>
      </w:r>
      <w:r w:rsidRPr="003F78AF" w:rsidR="00CF5141">
        <w:t xml:space="preserve">Responses are imbedded in the public comment </w:t>
      </w:r>
      <w:r w:rsidRPr="008849EF" w:rsidR="00CF5141">
        <w:t xml:space="preserve">document (Attachment </w:t>
      </w:r>
      <w:r w:rsidR="00C23A45">
        <w:t>6</w:t>
      </w:r>
      <w:r w:rsidRPr="008849EF" w:rsidR="00CF5141">
        <w:t>).</w:t>
      </w:r>
    </w:p>
    <w:p w:rsidR="00B7578D" w:rsidRPr="004A13E8" w:rsidP="004A13E8" w14:paraId="455D888C" w14:textId="2555FA34">
      <w:r w:rsidRPr="00B41CCF">
        <w:t xml:space="preserve">B. </w:t>
      </w:r>
      <w:r>
        <w:t>During previous survey cycles, CDC and OASH consulted with external stakeholders including experts in blood collection and transfusion regarding survey questions and other matters relevant to public health importance which should be included in this activity.</w:t>
      </w:r>
      <w:r w:rsidR="00B41CCF">
        <w:t xml:space="preserve"> For the present cycle, CDC engaged in informal discussions with external stakeholders from the blood collection and transfusion communities regarding matters </w:t>
      </w:r>
      <w:r w:rsidR="00962965">
        <w:t xml:space="preserve">of </w:t>
      </w:r>
      <w:r w:rsidR="00B41CCF">
        <w:t>public health importance that should be included in this activity.</w:t>
      </w:r>
    </w:p>
    <w:p w:rsidR="004A13E8" w:rsidP="004A13E8" w14:paraId="55FE17CB" w14:textId="77777777">
      <w:pPr>
        <w:pStyle w:val="Heading1"/>
      </w:pPr>
      <w:bookmarkStart w:id="15" w:name="_Toc473880025"/>
      <w:r>
        <w:t>Explanation of Any Payment or Gift to Respondents</w:t>
      </w:r>
      <w:bookmarkEnd w:id="15"/>
    </w:p>
    <w:p w:rsidR="004A13E8" w:rsidRPr="004A13E8" w:rsidP="004A13E8" w14:paraId="55FE17CC" w14:textId="2BE195C8">
      <w:r>
        <w:t>Remuneration of respondents is not provided.</w:t>
      </w:r>
    </w:p>
    <w:p w:rsidR="004A13E8" w:rsidP="004A13E8" w14:paraId="55FE17CD" w14:textId="77777777">
      <w:pPr>
        <w:pStyle w:val="Heading1"/>
      </w:pPr>
      <w:bookmarkStart w:id="16" w:name="_Toc473880026"/>
      <w:r>
        <w:t>Protection of the Privacy and Confidentiality of Information Provided by Respondents</w:t>
      </w:r>
      <w:bookmarkEnd w:id="16"/>
    </w:p>
    <w:p w:rsidR="00457614" w:rsidP="00CD2AA4" w14:paraId="4231371F" w14:textId="2AB25B30">
      <w:r w:rsidRPr="00457614">
        <w:t xml:space="preserve">CDC’s Information Systems Security Officer reviewed this submission and determined that the Privacy Act </w:t>
      </w:r>
      <w:r w:rsidRPr="00840A6C">
        <w:t>does not apply</w:t>
      </w:r>
      <w:r w:rsidR="00840A6C">
        <w:t xml:space="preserve"> </w:t>
      </w:r>
      <w:r w:rsidRPr="00840A6C" w:rsidR="00840A6C">
        <w:t>since respondents are not human subjects, but institutions; and no patient/donor identifiers are collected</w:t>
      </w:r>
      <w:r w:rsidRPr="00840A6C">
        <w:t>.</w:t>
      </w:r>
      <w:r w:rsidRPr="00840A6C" w:rsidR="00840A6C">
        <w:t xml:space="preserve"> Data identifying institutions will be kept private to the extent allowed by law.</w:t>
      </w:r>
    </w:p>
    <w:p w:rsidR="004A13E8" w:rsidP="004A13E8" w14:paraId="55FE17D0" w14:textId="77777777">
      <w:pPr>
        <w:pStyle w:val="Heading1"/>
      </w:pPr>
      <w:bookmarkStart w:id="17" w:name="_Toc473880027"/>
      <w:r>
        <w:t>Institutional Review Board (IRB) and Justification for Sensitive Questions</w:t>
      </w:r>
      <w:bookmarkEnd w:id="17"/>
    </w:p>
    <w:p w:rsidR="004A13E8" w:rsidP="004A13E8" w14:paraId="55FE17D1" w14:textId="77777777">
      <w:pPr>
        <w:rPr>
          <w:u w:val="single"/>
        </w:rPr>
      </w:pPr>
      <w:r>
        <w:rPr>
          <w:u w:val="single"/>
        </w:rPr>
        <w:t>Institutional Review Board (IRB)</w:t>
      </w:r>
    </w:p>
    <w:p w:rsidR="004A13E8" w:rsidP="004A13E8" w14:paraId="55FE17D2" w14:textId="54412BAA">
      <w:r>
        <w:t xml:space="preserve">NCEZID’s Human Subjects Advisor has determined that information collection is not research involving human subjects. IRB approval </w:t>
      </w:r>
      <w:r w:rsidR="001E08A8">
        <w:t>is</w:t>
      </w:r>
      <w:r>
        <w:t xml:space="preserve"> not required.</w:t>
      </w:r>
    </w:p>
    <w:p w:rsidR="00851FF4" w:rsidP="004A13E8" w14:paraId="376EF266" w14:textId="25053ED3">
      <w:r w:rsidRPr="00C23A45">
        <w:t>A Human Subjects Determination is included (Attachment 10).</w:t>
      </w:r>
    </w:p>
    <w:p w:rsidR="004A13E8" w:rsidRPr="0005699B" w:rsidP="004A13E8" w14:paraId="55FE17D4" w14:textId="77777777">
      <w:r>
        <w:rPr>
          <w:u w:val="single"/>
        </w:rPr>
        <w:t>Justification for Sensitive Questions</w:t>
      </w:r>
    </w:p>
    <w:p w:rsidR="00F509DE" w:rsidRPr="00F509DE" w:rsidP="00F509DE" w14:paraId="2DA74791" w14:textId="77777777">
      <w:pPr>
        <w:spacing w:line="360" w:lineRule="auto"/>
        <w:rPr>
          <w:rFonts w:cs="Times New Roman"/>
          <w:szCs w:val="24"/>
        </w:rPr>
      </w:pPr>
      <w:bookmarkStart w:id="18" w:name="_Toc473880028"/>
      <w:r w:rsidRPr="00F509DE">
        <w:rPr>
          <w:rFonts w:cs="Times New Roman"/>
          <w:szCs w:val="24"/>
        </w:rPr>
        <w:t>Information on issues of a sensitive nature involving persons is not being sought.</w:t>
      </w:r>
    </w:p>
    <w:p w:rsidR="004A13E8" w:rsidP="004A13E8" w14:paraId="55FE17D7" w14:textId="77777777">
      <w:pPr>
        <w:pStyle w:val="Heading1"/>
      </w:pPr>
      <w:r>
        <w:t>Estimates of Annualized Burden Hours and Costs</w:t>
      </w:r>
      <w:bookmarkEnd w:id="18"/>
    </w:p>
    <w:p w:rsidR="00C553B7" w:rsidP="009B0947" w14:paraId="093B700D" w14:textId="77777777">
      <w:r>
        <w:t xml:space="preserve">A. </w:t>
      </w:r>
      <w:r>
        <w:t>Estimated Annualized Burden Hours</w:t>
      </w:r>
    </w:p>
    <w:p w:rsidR="00D45992" w:rsidP="004A13E8" w14:paraId="4BE4C109" w14:textId="6A7109F5">
      <w:r w:rsidRPr="00D45992">
        <w:t xml:space="preserve">The burden for the NBCUS survey is summarized in the table below (estimated using references to 2023 NBCUS). Each institution that is asked to complete the survey is considered to be a respondent. The respondents to this survey are transfusing hospitals, blood collection centers and community blood banks. </w:t>
      </w:r>
      <w:bookmarkStart w:id="19" w:name="_Hlk67055591"/>
      <w:r w:rsidRPr="00D45992">
        <w:t>The number of respondents is 2,635.</w:t>
      </w:r>
      <w:bookmarkEnd w:id="19"/>
      <w:r w:rsidRPr="00D45992">
        <w:t xml:space="preserve"> It is estimated that each respondent will spend about 210 minutes (3.5 burden hours total; or 1 hour and 45 minutes burden hour/year) completing the questionnaire. The hourly burden estimates are based on 210 minutes from previous years’ experience administering the survey and accounts for the revision to questions in the NBCUS.</w:t>
      </w:r>
    </w:p>
    <w:tbl>
      <w:tblPr>
        <w:tblStyle w:val="TableGrid"/>
        <w:tblW w:w="0" w:type="auto"/>
        <w:tblLook w:val="04A0"/>
      </w:tblPr>
      <w:tblGrid>
        <w:gridCol w:w="1678"/>
        <w:gridCol w:w="1678"/>
        <w:gridCol w:w="1678"/>
        <w:gridCol w:w="1678"/>
        <w:gridCol w:w="1679"/>
        <w:gridCol w:w="1679"/>
      </w:tblGrid>
      <w:tr w14:paraId="55FE17E0" w14:textId="77777777" w:rsidTr="00E96668">
        <w:tblPrEx>
          <w:tblW w:w="0" w:type="auto"/>
          <w:tblLook w:val="04A0"/>
        </w:tblPrEx>
        <w:tc>
          <w:tcPr>
            <w:tcW w:w="1678" w:type="dxa"/>
          </w:tcPr>
          <w:p w:rsidR="004A13E8" w:rsidP="00E96668" w14:paraId="55FE17DA" w14:textId="77777777">
            <w:r>
              <w:t>Type of Respondent</w:t>
            </w:r>
          </w:p>
        </w:tc>
        <w:tc>
          <w:tcPr>
            <w:tcW w:w="1678" w:type="dxa"/>
          </w:tcPr>
          <w:p w:rsidR="004A13E8" w:rsidP="00E96668" w14:paraId="55FE17DB" w14:textId="77777777">
            <w:r>
              <w:t>Form Name</w:t>
            </w:r>
          </w:p>
        </w:tc>
        <w:tc>
          <w:tcPr>
            <w:tcW w:w="1678" w:type="dxa"/>
          </w:tcPr>
          <w:p w:rsidR="004A13E8" w:rsidP="00E96668" w14:paraId="55FE17DC" w14:textId="77777777">
            <w:r>
              <w:t>No. of Respondents</w:t>
            </w:r>
          </w:p>
        </w:tc>
        <w:tc>
          <w:tcPr>
            <w:tcW w:w="1678" w:type="dxa"/>
          </w:tcPr>
          <w:p w:rsidR="004A13E8" w:rsidP="00E96668" w14:paraId="55FE17DD" w14:textId="77777777">
            <w:r>
              <w:t>No. Responses per Respondent</w:t>
            </w:r>
          </w:p>
        </w:tc>
        <w:tc>
          <w:tcPr>
            <w:tcW w:w="1679" w:type="dxa"/>
          </w:tcPr>
          <w:p w:rsidR="004A13E8" w:rsidP="00E96668" w14:paraId="55FE17DE" w14:textId="77777777">
            <w:r>
              <w:t>Avg. Burden per response (in hrs.)</w:t>
            </w:r>
          </w:p>
        </w:tc>
        <w:tc>
          <w:tcPr>
            <w:tcW w:w="1679" w:type="dxa"/>
          </w:tcPr>
          <w:p w:rsidR="004A13E8" w:rsidP="00E96668" w14:paraId="55FE17DF" w14:textId="77777777">
            <w:r>
              <w:t>Total Burden (in hrs.)</w:t>
            </w:r>
          </w:p>
        </w:tc>
      </w:tr>
      <w:tr w14:paraId="55FE17E7" w14:textId="77777777" w:rsidTr="00E96668">
        <w:tblPrEx>
          <w:tblW w:w="0" w:type="auto"/>
          <w:tblLook w:val="04A0"/>
        </w:tblPrEx>
        <w:tc>
          <w:tcPr>
            <w:tcW w:w="1678" w:type="dxa"/>
          </w:tcPr>
          <w:p w:rsidR="004A13E8" w:rsidP="00E96668" w14:paraId="55FE17E1" w14:textId="02618F41">
            <w:r>
              <w:t>Transfusing hospitals</w:t>
            </w:r>
          </w:p>
        </w:tc>
        <w:tc>
          <w:tcPr>
            <w:tcW w:w="1678" w:type="dxa"/>
          </w:tcPr>
          <w:p w:rsidR="004A13E8" w:rsidP="00E96668" w14:paraId="55FE17E2" w14:textId="383BD3E9">
            <w:r>
              <w:t>2025 NBCUS</w:t>
            </w:r>
          </w:p>
        </w:tc>
        <w:tc>
          <w:tcPr>
            <w:tcW w:w="1678" w:type="dxa"/>
          </w:tcPr>
          <w:p w:rsidR="004A13E8" w:rsidP="00E96668" w14:paraId="55FE17E3" w14:textId="5E33D42B">
            <w:r>
              <w:t>2</w:t>
            </w:r>
            <w:r w:rsidR="00A676D1">
              <w:t>478</w:t>
            </w:r>
          </w:p>
        </w:tc>
        <w:tc>
          <w:tcPr>
            <w:tcW w:w="1678" w:type="dxa"/>
          </w:tcPr>
          <w:p w:rsidR="004A13E8" w:rsidP="00E96668" w14:paraId="55FE17E4" w14:textId="20EED782">
            <w:r>
              <w:t>1</w:t>
            </w:r>
          </w:p>
        </w:tc>
        <w:tc>
          <w:tcPr>
            <w:tcW w:w="1679" w:type="dxa"/>
          </w:tcPr>
          <w:p w:rsidR="004A13E8" w:rsidP="00E96668" w14:paraId="55FE17E5" w14:textId="6F38048F">
            <w:r>
              <w:t>1.75 hrs</w:t>
            </w:r>
          </w:p>
        </w:tc>
        <w:tc>
          <w:tcPr>
            <w:tcW w:w="1679" w:type="dxa"/>
          </w:tcPr>
          <w:p w:rsidR="004A13E8" w:rsidP="00E96668" w14:paraId="55FE17E6" w14:textId="46EA4848">
            <w:r>
              <w:t>4337</w:t>
            </w:r>
          </w:p>
        </w:tc>
      </w:tr>
      <w:tr w14:paraId="6A2504DE" w14:textId="77777777" w:rsidTr="00E96668">
        <w:tblPrEx>
          <w:tblW w:w="0" w:type="auto"/>
          <w:tblLook w:val="04A0"/>
        </w:tblPrEx>
        <w:tc>
          <w:tcPr>
            <w:tcW w:w="1678" w:type="dxa"/>
          </w:tcPr>
          <w:p w:rsidR="00B63295" w:rsidP="00E96668" w14:paraId="28460F25" w14:textId="339E748B">
            <w:r>
              <w:t>Hospital blood banks</w:t>
            </w:r>
          </w:p>
        </w:tc>
        <w:tc>
          <w:tcPr>
            <w:tcW w:w="1678" w:type="dxa"/>
          </w:tcPr>
          <w:p w:rsidR="00B63295" w:rsidP="00E96668" w14:paraId="22BFBCC9" w14:textId="7C1B0DA7">
            <w:r>
              <w:t>2025 NBCUS</w:t>
            </w:r>
          </w:p>
        </w:tc>
        <w:tc>
          <w:tcPr>
            <w:tcW w:w="1678" w:type="dxa"/>
          </w:tcPr>
          <w:p w:rsidR="00B63295" w:rsidP="00E96668" w14:paraId="30BA234B" w14:textId="0715FA19">
            <w:r>
              <w:t>104</w:t>
            </w:r>
          </w:p>
        </w:tc>
        <w:tc>
          <w:tcPr>
            <w:tcW w:w="1678" w:type="dxa"/>
          </w:tcPr>
          <w:p w:rsidR="00B63295" w:rsidP="00E96668" w14:paraId="6FE8B787" w14:textId="7128527E">
            <w:r>
              <w:t>1</w:t>
            </w:r>
          </w:p>
        </w:tc>
        <w:tc>
          <w:tcPr>
            <w:tcW w:w="1679" w:type="dxa"/>
          </w:tcPr>
          <w:p w:rsidR="00B63295" w:rsidP="00E96668" w14:paraId="4DD5BA97" w14:textId="48064B3A">
            <w:r>
              <w:t>1.75</w:t>
            </w:r>
          </w:p>
        </w:tc>
        <w:tc>
          <w:tcPr>
            <w:tcW w:w="1679" w:type="dxa"/>
          </w:tcPr>
          <w:p w:rsidR="00B63295" w:rsidP="00E96668" w14:paraId="1B641923" w14:textId="57A41595">
            <w:r>
              <w:t>182</w:t>
            </w:r>
          </w:p>
        </w:tc>
      </w:tr>
      <w:tr w14:paraId="69305D4E" w14:textId="77777777" w:rsidTr="00E96668">
        <w:tblPrEx>
          <w:tblW w:w="0" w:type="auto"/>
          <w:tblLook w:val="04A0"/>
        </w:tblPrEx>
        <w:tc>
          <w:tcPr>
            <w:tcW w:w="1678" w:type="dxa"/>
          </w:tcPr>
          <w:p w:rsidR="00685A18" w:rsidP="00E96668" w14:paraId="78ECF4FB" w14:textId="092A6143">
            <w:r>
              <w:t>Community-based blood centers</w:t>
            </w:r>
          </w:p>
        </w:tc>
        <w:tc>
          <w:tcPr>
            <w:tcW w:w="1678" w:type="dxa"/>
          </w:tcPr>
          <w:p w:rsidR="00685A18" w:rsidP="00E96668" w14:paraId="357F346D" w14:textId="53F26E3A">
            <w:r>
              <w:t>2025 NBCUS</w:t>
            </w:r>
          </w:p>
        </w:tc>
        <w:tc>
          <w:tcPr>
            <w:tcW w:w="1678" w:type="dxa"/>
          </w:tcPr>
          <w:p w:rsidR="00685A18" w:rsidP="00E96668" w14:paraId="6C0AFB28" w14:textId="1C468E39">
            <w:r>
              <w:t>53</w:t>
            </w:r>
          </w:p>
        </w:tc>
        <w:tc>
          <w:tcPr>
            <w:tcW w:w="1678" w:type="dxa"/>
          </w:tcPr>
          <w:p w:rsidR="00685A18" w:rsidP="00E96668" w14:paraId="7C522B42" w14:textId="59CADEE5">
            <w:r>
              <w:t>1</w:t>
            </w:r>
          </w:p>
        </w:tc>
        <w:tc>
          <w:tcPr>
            <w:tcW w:w="1679" w:type="dxa"/>
          </w:tcPr>
          <w:p w:rsidR="00685A18" w:rsidP="00E96668" w14:paraId="77527B62" w14:textId="4382BFD6">
            <w:r>
              <w:t>1.75</w:t>
            </w:r>
          </w:p>
        </w:tc>
        <w:tc>
          <w:tcPr>
            <w:tcW w:w="1679" w:type="dxa"/>
          </w:tcPr>
          <w:p w:rsidR="00685A18" w:rsidP="00E96668" w14:paraId="32545AE9" w14:textId="1324E45F">
            <w:r>
              <w:t>93</w:t>
            </w:r>
          </w:p>
        </w:tc>
      </w:tr>
      <w:tr w14:paraId="55FE17EB" w14:textId="77777777" w:rsidTr="00E96668">
        <w:tblPrEx>
          <w:tblW w:w="0" w:type="auto"/>
          <w:tblLook w:val="04A0"/>
        </w:tblPrEx>
        <w:tc>
          <w:tcPr>
            <w:tcW w:w="1678" w:type="dxa"/>
          </w:tcPr>
          <w:p w:rsidR="004A13E8" w:rsidRPr="00131328" w:rsidP="00E96668" w14:paraId="55FE17E8" w14:textId="77777777">
            <w:pPr>
              <w:rPr>
                <w:b/>
              </w:rPr>
            </w:pPr>
            <w:r>
              <w:rPr>
                <w:b/>
              </w:rPr>
              <w:t>Total</w:t>
            </w:r>
          </w:p>
        </w:tc>
        <w:tc>
          <w:tcPr>
            <w:tcW w:w="6713" w:type="dxa"/>
            <w:gridSpan w:val="4"/>
          </w:tcPr>
          <w:p w:rsidR="004A13E8" w:rsidP="00E96668" w14:paraId="55FE17E9" w14:textId="2FB329DC">
            <w:r>
              <w:t>2635 respondents</w:t>
            </w:r>
          </w:p>
        </w:tc>
        <w:tc>
          <w:tcPr>
            <w:tcW w:w="1679" w:type="dxa"/>
          </w:tcPr>
          <w:p w:rsidR="004A13E8" w:rsidP="00E96668" w14:paraId="55FE17EA" w14:textId="059A4F0C">
            <w:r>
              <w:t>4612</w:t>
            </w:r>
          </w:p>
        </w:tc>
      </w:tr>
    </w:tbl>
    <w:p w:rsidR="00C553B7" w:rsidP="004A13E8" w14:paraId="505C920E" w14:textId="20E63586">
      <w:pPr>
        <w:spacing w:before="240"/>
      </w:pPr>
      <w:r>
        <w:t>B.</w:t>
      </w:r>
      <w:r>
        <w:t xml:space="preserve"> Estimated Annualized Burden Costs</w:t>
      </w:r>
      <w:r w:rsidR="009B0947">
        <w:t xml:space="preserve"> </w:t>
      </w:r>
    </w:p>
    <w:p w:rsidR="002F6FB7" w:rsidRPr="00DF29CC" w:rsidP="00DF29CC" w14:paraId="1867364A" w14:textId="6420FEA3">
      <w:pPr>
        <w:rPr>
          <w:rFonts w:cs="Times New Roman"/>
          <w:szCs w:val="24"/>
        </w:rPr>
      </w:pPr>
      <w:r w:rsidRPr="00DF29CC">
        <w:rPr>
          <w:rFonts w:cs="Times New Roman"/>
          <w:szCs w:val="24"/>
        </w:rPr>
        <w:t>The average annualized response burden cost to respondents is estimated to be $1</w:t>
      </w:r>
      <w:r w:rsidRPr="00DF29CC" w:rsidR="00BD300A">
        <w:rPr>
          <w:rFonts w:cs="Times New Roman"/>
          <w:szCs w:val="24"/>
        </w:rPr>
        <w:t>84</w:t>
      </w:r>
      <w:r w:rsidRPr="00DF29CC">
        <w:rPr>
          <w:rFonts w:cs="Times New Roman"/>
          <w:szCs w:val="24"/>
        </w:rPr>
        <w:t>,</w:t>
      </w:r>
      <w:r w:rsidRPr="00DF29CC" w:rsidR="00BD300A">
        <w:rPr>
          <w:rFonts w:cs="Times New Roman"/>
          <w:szCs w:val="24"/>
        </w:rPr>
        <w:t>249</w:t>
      </w:r>
      <w:r w:rsidRPr="00DF29CC">
        <w:rPr>
          <w:rFonts w:cs="Times New Roman"/>
          <w:szCs w:val="24"/>
        </w:rPr>
        <w:t xml:space="preserve"> based on an hourly wage of $39.95 per hour. The hourly wage estimate is based on the Bureau of Labor Statistics’ National Compensation Survey mean hourly wage data for health-related occupations in 2024.</w:t>
      </w:r>
    </w:p>
    <w:tbl>
      <w:tblPr>
        <w:tblStyle w:val="TableGrid"/>
        <w:tblW w:w="10075" w:type="dxa"/>
        <w:tblLook w:val="04A0"/>
      </w:tblPr>
      <w:tblGrid>
        <w:gridCol w:w="2015"/>
        <w:gridCol w:w="2015"/>
        <w:gridCol w:w="2015"/>
        <w:gridCol w:w="2015"/>
        <w:gridCol w:w="2015"/>
      </w:tblGrid>
      <w:tr w14:paraId="55FE17F2" w14:textId="77777777" w:rsidTr="00E96668">
        <w:tblPrEx>
          <w:tblW w:w="10075" w:type="dxa"/>
          <w:tblLook w:val="04A0"/>
        </w:tblPrEx>
        <w:tc>
          <w:tcPr>
            <w:tcW w:w="2015" w:type="dxa"/>
          </w:tcPr>
          <w:p w:rsidR="004A13E8" w:rsidP="00E96668" w14:paraId="55FE17ED" w14:textId="77777777">
            <w:r>
              <w:t>Type of Respondent</w:t>
            </w:r>
          </w:p>
        </w:tc>
        <w:tc>
          <w:tcPr>
            <w:tcW w:w="2015" w:type="dxa"/>
          </w:tcPr>
          <w:p w:rsidR="004A13E8" w:rsidP="00E96668" w14:paraId="55FE17EE" w14:textId="77777777">
            <w:r>
              <w:t>Form Name</w:t>
            </w:r>
          </w:p>
        </w:tc>
        <w:tc>
          <w:tcPr>
            <w:tcW w:w="2015" w:type="dxa"/>
          </w:tcPr>
          <w:p w:rsidR="004A13E8" w:rsidP="00E96668" w14:paraId="55FE17EF" w14:textId="77777777">
            <w:r>
              <w:t>Total Burden Hours</w:t>
            </w:r>
          </w:p>
        </w:tc>
        <w:tc>
          <w:tcPr>
            <w:tcW w:w="2015" w:type="dxa"/>
          </w:tcPr>
          <w:p w:rsidR="004A13E8" w:rsidP="00E96668" w14:paraId="55FE17F0" w14:textId="77777777">
            <w:r>
              <w:t>Hourly Wage Rate</w:t>
            </w:r>
          </w:p>
        </w:tc>
        <w:tc>
          <w:tcPr>
            <w:tcW w:w="2015" w:type="dxa"/>
          </w:tcPr>
          <w:p w:rsidR="004A13E8" w:rsidP="00E96668" w14:paraId="55FE17F1" w14:textId="77777777">
            <w:r>
              <w:t>Total Respondent Costs</w:t>
            </w:r>
          </w:p>
        </w:tc>
      </w:tr>
      <w:tr w14:paraId="55FE17F8" w14:textId="77777777" w:rsidTr="00E96668">
        <w:tblPrEx>
          <w:tblW w:w="10075" w:type="dxa"/>
          <w:tblLook w:val="04A0"/>
        </w:tblPrEx>
        <w:tc>
          <w:tcPr>
            <w:tcW w:w="2015" w:type="dxa"/>
          </w:tcPr>
          <w:p w:rsidR="004A13E8" w:rsidP="00E96668" w14:paraId="55FE17F3" w14:textId="094C667B">
            <w:r w:rsidRPr="009F79B5">
              <w:rPr>
                <w:rFonts w:ascii="Arial" w:hAnsi="Arial" w:cs="Arial"/>
                <w:sz w:val="22"/>
              </w:rPr>
              <w:t>Hospitals, blood collection centers</w:t>
            </w:r>
          </w:p>
        </w:tc>
        <w:tc>
          <w:tcPr>
            <w:tcW w:w="2015" w:type="dxa"/>
          </w:tcPr>
          <w:p w:rsidR="004A13E8" w:rsidP="00E96668" w14:paraId="55FE17F4" w14:textId="4AA9F238">
            <w:r>
              <w:t>2025 NBCUS</w:t>
            </w:r>
          </w:p>
        </w:tc>
        <w:tc>
          <w:tcPr>
            <w:tcW w:w="2015" w:type="dxa"/>
          </w:tcPr>
          <w:p w:rsidR="004A13E8" w:rsidP="00E96668" w14:paraId="55FE17F5" w14:textId="08D6F4AA">
            <w:r>
              <w:t>4612</w:t>
            </w:r>
          </w:p>
        </w:tc>
        <w:tc>
          <w:tcPr>
            <w:tcW w:w="2015" w:type="dxa"/>
          </w:tcPr>
          <w:p w:rsidR="004A13E8" w:rsidP="00E96668" w14:paraId="55FE17F6" w14:textId="70939D41">
            <w:r>
              <w:t>$39.95</w:t>
            </w:r>
          </w:p>
        </w:tc>
        <w:tc>
          <w:tcPr>
            <w:tcW w:w="2015" w:type="dxa"/>
          </w:tcPr>
          <w:p w:rsidR="004A13E8" w:rsidP="00E96668" w14:paraId="55FE17F7" w14:textId="1D77DA18">
            <w:r>
              <w:t>$184,249.40</w:t>
            </w:r>
          </w:p>
        </w:tc>
      </w:tr>
      <w:tr w14:paraId="55FE17FC" w14:textId="77777777" w:rsidTr="00E96668">
        <w:tblPrEx>
          <w:tblW w:w="10075" w:type="dxa"/>
          <w:tblLook w:val="04A0"/>
        </w:tblPrEx>
        <w:tc>
          <w:tcPr>
            <w:tcW w:w="2015" w:type="dxa"/>
          </w:tcPr>
          <w:p w:rsidR="00851FF4" w:rsidRPr="00DC08D0" w:rsidP="00851FF4" w14:paraId="55FE17F9" w14:textId="77777777">
            <w:pPr>
              <w:rPr>
                <w:b/>
              </w:rPr>
            </w:pPr>
            <w:r>
              <w:rPr>
                <w:b/>
              </w:rPr>
              <w:t>Total</w:t>
            </w:r>
          </w:p>
        </w:tc>
        <w:tc>
          <w:tcPr>
            <w:tcW w:w="6045" w:type="dxa"/>
            <w:gridSpan w:val="3"/>
          </w:tcPr>
          <w:p w:rsidR="00851FF4" w:rsidP="00851FF4" w14:paraId="55FE17FA" w14:textId="77777777"/>
        </w:tc>
        <w:tc>
          <w:tcPr>
            <w:tcW w:w="2015" w:type="dxa"/>
          </w:tcPr>
          <w:p w:rsidR="00851FF4" w:rsidP="00851FF4" w14:paraId="55FE17FB" w14:textId="276D1F89">
            <w:r>
              <w:t>$184,249.40</w:t>
            </w:r>
          </w:p>
        </w:tc>
      </w:tr>
    </w:tbl>
    <w:p w:rsidR="004A13E8" w:rsidP="0025156B" w14:paraId="55FE17FE" w14:textId="77777777">
      <w:pPr>
        <w:pStyle w:val="Heading1"/>
        <w:spacing w:before="240"/>
      </w:pPr>
      <w:bookmarkStart w:id="20" w:name="_Toc473880029"/>
      <w:r>
        <w:t>Estimates of Other Total Annual Cost Burden to Respondents or Record Keepers</w:t>
      </w:r>
      <w:bookmarkEnd w:id="20"/>
    </w:p>
    <w:p w:rsidR="004A13E8" w:rsidRPr="004A13E8" w:rsidP="004A13E8" w14:paraId="55FE1800" w14:textId="5100CBBD">
      <w:r>
        <w:t>There are no costs to respondents other than their time to participate.</w:t>
      </w:r>
    </w:p>
    <w:p w:rsidR="004A13E8" w:rsidP="004A13E8" w14:paraId="55FE1801" w14:textId="77777777">
      <w:pPr>
        <w:pStyle w:val="Heading1"/>
      </w:pPr>
      <w:bookmarkStart w:id="21" w:name="_Toc473880030"/>
      <w:r>
        <w:t>Annualized Cost to the Government</w:t>
      </w:r>
      <w:bookmarkEnd w:id="21"/>
    </w:p>
    <w:p w:rsidR="000A1ECC" w:rsidP="00FE0398" w14:paraId="6B23CB50" w14:textId="3FCC9D80">
      <w:r w:rsidRPr="000A1ECC">
        <w:t>All survey operations including survey development, data collection, analysis, and preparation of the final report are conducted by CDC. OASH has committed support via an Interagency Agreement (IAA) at ~$250,000 annually.</w:t>
      </w:r>
    </w:p>
    <w:p w:rsidR="004A13E8" w:rsidP="0025156B" w14:paraId="55FE1810" w14:textId="77777777">
      <w:pPr>
        <w:pStyle w:val="Heading1"/>
        <w:spacing w:before="240"/>
      </w:pPr>
      <w:bookmarkStart w:id="22" w:name="_Toc473880031"/>
      <w:r>
        <w:t>Explanation for Program Changes or Adjustments</w:t>
      </w:r>
      <w:bookmarkEnd w:id="22"/>
    </w:p>
    <w:p w:rsidR="00187218" w:rsidRPr="00187218" w:rsidP="00C054CA" w14:paraId="1606D1A7" w14:textId="1E2C74C4">
      <w:pPr>
        <w:rPr>
          <w:rFonts w:cs="Times New Roman"/>
          <w:szCs w:val="24"/>
        </w:rPr>
      </w:pPr>
      <w:r w:rsidRPr="00C074A2">
        <w:rPr>
          <w:rFonts w:cs="Times New Roman"/>
          <w:szCs w:val="24"/>
        </w:rPr>
        <w:t xml:space="preserve">This collection is being submitted for OMB approval as a </w:t>
      </w:r>
      <w:r w:rsidRPr="00C074A2" w:rsidR="00FC5533">
        <w:rPr>
          <w:rFonts w:cs="Times New Roman"/>
          <w:szCs w:val="24"/>
        </w:rPr>
        <w:t>new collection tool</w:t>
      </w:r>
      <w:r w:rsidRPr="00C074A2" w:rsidR="00C074A2">
        <w:rPr>
          <w:rFonts w:cs="Times New Roman"/>
          <w:szCs w:val="24"/>
        </w:rPr>
        <w:t>; however,</w:t>
      </w:r>
      <w:r w:rsidR="00C074A2">
        <w:rPr>
          <w:rFonts w:cs="Times New Roman"/>
          <w:szCs w:val="24"/>
        </w:rPr>
        <w:t xml:space="preserve"> t</w:t>
      </w:r>
      <w:r w:rsidRPr="00187218">
        <w:rPr>
          <w:rFonts w:cs="Times New Roman"/>
          <w:szCs w:val="24"/>
        </w:rPr>
        <w:t xml:space="preserve">he 2025 survey </w:t>
      </w:r>
      <w:bookmarkStart w:id="23" w:name="_Hlk67055698"/>
      <w:r w:rsidRPr="00187218">
        <w:rPr>
          <w:rFonts w:cs="Times New Roman"/>
          <w:szCs w:val="24"/>
        </w:rPr>
        <w:t>only has slight revisions to core questions from the 2023 survey</w:t>
      </w:r>
      <w:r w:rsidR="00C074A2">
        <w:rPr>
          <w:rFonts w:cs="Times New Roman"/>
          <w:szCs w:val="24"/>
        </w:rPr>
        <w:t xml:space="preserve"> submitted by OASH and approved by </w:t>
      </w:r>
      <w:r w:rsidR="003F78AF">
        <w:rPr>
          <w:rFonts w:cs="Times New Roman"/>
          <w:szCs w:val="24"/>
        </w:rPr>
        <w:t>OMB</w:t>
      </w:r>
      <w:r w:rsidR="00BB6F6E">
        <w:rPr>
          <w:rFonts w:cs="Times New Roman"/>
          <w:szCs w:val="24"/>
        </w:rPr>
        <w:t xml:space="preserve"> under </w:t>
      </w:r>
      <w:hyperlink r:id="rId8" w:history="1">
        <w:r w:rsidRPr="00BB6F6E" w:rsidR="00BB6F6E">
          <w:rPr>
            <w:rStyle w:val="Hyperlink"/>
            <w:rFonts w:cs="Times New Roman"/>
            <w:szCs w:val="24"/>
          </w:rPr>
          <w:t>0990-0313</w:t>
        </w:r>
      </w:hyperlink>
      <w:r w:rsidRPr="00187218">
        <w:rPr>
          <w:rFonts w:cs="Times New Roman"/>
          <w:szCs w:val="24"/>
        </w:rPr>
        <w:t xml:space="preserve">. </w:t>
      </w:r>
      <w:bookmarkEnd w:id="23"/>
      <w:r w:rsidRPr="00187218">
        <w:rPr>
          <w:rFonts w:cs="Times New Roman"/>
          <w:szCs w:val="24"/>
        </w:rPr>
        <w:t xml:space="preserve">The draft 2025 survey is the same length as the 2023 survey. It is estimated that each facility takes an average 1.75 hours to complete the survey.  </w:t>
      </w:r>
    </w:p>
    <w:p w:rsidR="00861AF8" w:rsidRPr="004A13E8" w:rsidP="004A13E8" w14:paraId="68144994" w14:textId="77777777"/>
    <w:p w:rsidR="004A13E8" w:rsidP="004A13E8" w14:paraId="55FE1812" w14:textId="77777777">
      <w:pPr>
        <w:pStyle w:val="Heading1"/>
      </w:pPr>
      <w:bookmarkStart w:id="24" w:name="_Toc473880032"/>
      <w:r>
        <w:t>Plans for Tabulation and Publication and Project Time Schedule</w:t>
      </w:r>
      <w:bookmarkEnd w:id="24"/>
    </w:p>
    <w:p w:rsidR="008F1415" w:rsidP="008F1415" w14:paraId="55FE1813" w14:textId="77777777">
      <w:r>
        <w:t>[</w:t>
      </w:r>
      <w:r w:rsidRPr="008F1415">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The time required for “data/information collection” activities should align with the length of time for which OMB approval is requested. Ensure to leave enough time to allow for delays and for unforeseen circumstances. For recurring data/information collections, state the number of years requested for clearance.</w:t>
      </w:r>
      <w:r>
        <w:t>]</w:t>
      </w:r>
    </w:p>
    <w:p w:rsidR="00FA5131" w:rsidRPr="00E869B6" w:rsidP="00FA5131" w14:paraId="792E1A77" w14:textId="45B5994C">
      <w:pPr>
        <w:spacing w:line="360" w:lineRule="auto"/>
        <w:jc w:val="both"/>
        <w:rPr>
          <w:rFonts w:cs="Times New Roman"/>
          <w:szCs w:val="24"/>
        </w:rPr>
      </w:pPr>
      <w:r w:rsidRPr="00E869B6">
        <w:rPr>
          <w:rFonts w:cs="Times New Roman"/>
          <w:szCs w:val="24"/>
        </w:rPr>
        <w:t>The timetable for key activities for the 202</w:t>
      </w:r>
      <w:r w:rsidR="002D7B91">
        <w:rPr>
          <w:rFonts w:cs="Times New Roman"/>
          <w:szCs w:val="24"/>
        </w:rPr>
        <w:t>5</w:t>
      </w:r>
      <w:r w:rsidRPr="00E869B6">
        <w:rPr>
          <w:rFonts w:cs="Times New Roman"/>
          <w:szCs w:val="24"/>
        </w:rPr>
        <w:t xml:space="preserve"> survey is as follows:</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6480"/>
      </w:tblGrid>
      <w:tr w14:paraId="2F113908" w14:textId="77777777" w:rsidTr="00E96668">
        <w:tblPrEx>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70"/>
        </w:trPr>
        <w:tc>
          <w:tcPr>
            <w:tcW w:w="8748" w:type="dxa"/>
            <w:gridSpan w:val="2"/>
            <w:vAlign w:val="center"/>
          </w:tcPr>
          <w:p w:rsidR="00E869B6" w:rsidRPr="00E869B6" w:rsidP="00E869B6" w14:paraId="78A00C9F" w14:textId="77777777">
            <w:pPr>
              <w:rPr>
                <w:rFonts w:cs="Times New Roman"/>
                <w:b/>
                <w:szCs w:val="24"/>
              </w:rPr>
            </w:pPr>
            <w:bookmarkStart w:id="25" w:name="_Toc473880033"/>
            <w:r w:rsidRPr="00E869B6">
              <w:rPr>
                <w:rFonts w:cs="Times New Roman"/>
                <w:b/>
                <w:szCs w:val="24"/>
              </w:rPr>
              <w:t>Timeline</w:t>
            </w:r>
          </w:p>
        </w:tc>
      </w:tr>
      <w:tr w14:paraId="5AA30BF5" w14:textId="77777777" w:rsidTr="00E96668">
        <w:tblPrEx>
          <w:tblW w:w="0" w:type="auto"/>
          <w:tblInd w:w="445" w:type="dxa"/>
          <w:tblLook w:val="01E0"/>
        </w:tblPrEx>
        <w:trPr>
          <w:trHeight w:val="560"/>
        </w:trPr>
        <w:tc>
          <w:tcPr>
            <w:tcW w:w="2268" w:type="dxa"/>
            <w:vAlign w:val="center"/>
          </w:tcPr>
          <w:p w:rsidR="00E869B6" w:rsidRPr="00E869B6" w:rsidP="00E869B6" w14:paraId="42C5B8C1" w14:textId="48E07F6E">
            <w:pPr>
              <w:rPr>
                <w:rFonts w:cs="Times New Roman"/>
                <w:szCs w:val="24"/>
              </w:rPr>
            </w:pPr>
            <w:r w:rsidRPr="00E869B6">
              <w:rPr>
                <w:rFonts w:cs="Times New Roman"/>
                <w:szCs w:val="24"/>
              </w:rPr>
              <w:t>TBD</w:t>
            </w:r>
          </w:p>
        </w:tc>
        <w:tc>
          <w:tcPr>
            <w:tcW w:w="6480" w:type="dxa"/>
            <w:vAlign w:val="center"/>
          </w:tcPr>
          <w:p w:rsidR="00E869B6" w:rsidRPr="00E869B6" w:rsidP="00E869B6" w14:paraId="364D9D94" w14:textId="77777777">
            <w:pPr>
              <w:rPr>
                <w:rFonts w:cs="Times New Roman"/>
                <w:szCs w:val="24"/>
              </w:rPr>
            </w:pPr>
            <w:r w:rsidRPr="00E869B6">
              <w:rPr>
                <w:rFonts w:cs="Times New Roman"/>
                <w:szCs w:val="24"/>
              </w:rPr>
              <w:t>Receive OMB clearance</w:t>
            </w:r>
          </w:p>
        </w:tc>
      </w:tr>
      <w:tr w14:paraId="279B3A0F" w14:textId="77777777" w:rsidTr="00E96668">
        <w:tblPrEx>
          <w:tblW w:w="0" w:type="auto"/>
          <w:tblInd w:w="445" w:type="dxa"/>
          <w:tblLook w:val="01E0"/>
        </w:tblPrEx>
        <w:trPr>
          <w:trHeight w:val="560"/>
        </w:trPr>
        <w:tc>
          <w:tcPr>
            <w:tcW w:w="2268" w:type="dxa"/>
            <w:vAlign w:val="center"/>
          </w:tcPr>
          <w:p w:rsidR="00E869B6" w:rsidRPr="00E869B6" w:rsidP="00E869B6" w14:paraId="3C0EA400" w14:textId="7710344F">
            <w:pPr>
              <w:rPr>
                <w:rFonts w:cs="Times New Roman"/>
                <w:szCs w:val="24"/>
              </w:rPr>
            </w:pPr>
            <w:r>
              <w:rPr>
                <w:rFonts w:cs="Times New Roman"/>
                <w:szCs w:val="24"/>
              </w:rPr>
              <w:t>March</w:t>
            </w:r>
            <w:r>
              <w:rPr>
                <w:rFonts w:cs="Times New Roman"/>
                <w:szCs w:val="24"/>
              </w:rPr>
              <w:t xml:space="preserve"> 2026</w:t>
            </w:r>
          </w:p>
        </w:tc>
        <w:tc>
          <w:tcPr>
            <w:tcW w:w="6480" w:type="dxa"/>
            <w:vAlign w:val="center"/>
          </w:tcPr>
          <w:p w:rsidR="00E869B6" w:rsidRPr="00E869B6" w:rsidP="00E869B6" w14:paraId="18B6605B" w14:textId="722D1FA4">
            <w:pPr>
              <w:rPr>
                <w:rFonts w:cs="Times New Roman"/>
                <w:szCs w:val="24"/>
              </w:rPr>
            </w:pPr>
            <w:r w:rsidRPr="00E869B6">
              <w:rPr>
                <w:rFonts w:cs="Times New Roman"/>
                <w:szCs w:val="24"/>
              </w:rPr>
              <w:t>Finalize NBCUS 202</w:t>
            </w:r>
            <w:r w:rsidR="004B11AA">
              <w:rPr>
                <w:rFonts w:cs="Times New Roman"/>
                <w:szCs w:val="24"/>
              </w:rPr>
              <w:t>5</w:t>
            </w:r>
            <w:r w:rsidRPr="00E869B6">
              <w:rPr>
                <w:rFonts w:cs="Times New Roman"/>
                <w:szCs w:val="24"/>
              </w:rPr>
              <w:t xml:space="preserve"> in REDCap</w:t>
            </w:r>
          </w:p>
        </w:tc>
      </w:tr>
      <w:tr w14:paraId="58BE0DCE" w14:textId="77777777" w:rsidTr="00E96668">
        <w:tblPrEx>
          <w:tblW w:w="0" w:type="auto"/>
          <w:tblInd w:w="445" w:type="dxa"/>
          <w:tblLook w:val="01E0"/>
        </w:tblPrEx>
        <w:trPr>
          <w:trHeight w:val="560"/>
        </w:trPr>
        <w:tc>
          <w:tcPr>
            <w:tcW w:w="2268" w:type="dxa"/>
            <w:vAlign w:val="center"/>
          </w:tcPr>
          <w:p w:rsidR="00E869B6" w:rsidRPr="00E869B6" w:rsidP="00E869B6" w14:paraId="090F115E" w14:textId="7585AB63">
            <w:pPr>
              <w:rPr>
                <w:rFonts w:cs="Times New Roman"/>
                <w:szCs w:val="24"/>
              </w:rPr>
            </w:pPr>
            <w:r>
              <w:rPr>
                <w:rFonts w:cs="Times New Roman"/>
                <w:szCs w:val="24"/>
              </w:rPr>
              <w:t>April</w:t>
            </w:r>
            <w:r w:rsidRPr="00E869B6">
              <w:rPr>
                <w:rFonts w:cs="Times New Roman"/>
                <w:szCs w:val="24"/>
              </w:rPr>
              <w:t xml:space="preserve"> 202</w:t>
            </w:r>
            <w:r w:rsidR="00C70B9E">
              <w:rPr>
                <w:rFonts w:cs="Times New Roman"/>
                <w:szCs w:val="24"/>
              </w:rPr>
              <w:t>6</w:t>
            </w:r>
          </w:p>
        </w:tc>
        <w:tc>
          <w:tcPr>
            <w:tcW w:w="6480" w:type="dxa"/>
            <w:vAlign w:val="center"/>
          </w:tcPr>
          <w:p w:rsidR="00E869B6" w:rsidRPr="00E869B6" w:rsidP="00E869B6" w14:paraId="2219F44E" w14:textId="1BB1D27E">
            <w:pPr>
              <w:rPr>
                <w:rFonts w:cs="Times New Roman"/>
                <w:szCs w:val="24"/>
              </w:rPr>
            </w:pPr>
            <w:r w:rsidRPr="00E869B6">
              <w:rPr>
                <w:rFonts w:cs="Times New Roman"/>
                <w:szCs w:val="24"/>
              </w:rPr>
              <w:t xml:space="preserve">Confirm contact list </w:t>
            </w:r>
          </w:p>
        </w:tc>
      </w:tr>
      <w:tr w14:paraId="4046F2E2" w14:textId="77777777" w:rsidTr="00E96668">
        <w:tblPrEx>
          <w:tblW w:w="0" w:type="auto"/>
          <w:tblInd w:w="445" w:type="dxa"/>
          <w:tblLook w:val="01E0"/>
        </w:tblPrEx>
        <w:trPr>
          <w:trHeight w:val="560"/>
        </w:trPr>
        <w:tc>
          <w:tcPr>
            <w:tcW w:w="2268" w:type="dxa"/>
            <w:vAlign w:val="center"/>
          </w:tcPr>
          <w:p w:rsidR="00E869B6" w:rsidRPr="00E869B6" w:rsidP="00E869B6" w14:paraId="0E247DE4" w14:textId="0D845E75">
            <w:pPr>
              <w:rPr>
                <w:rFonts w:cs="Times New Roman"/>
                <w:szCs w:val="24"/>
              </w:rPr>
            </w:pPr>
            <w:r>
              <w:rPr>
                <w:rFonts w:cs="Times New Roman"/>
                <w:szCs w:val="24"/>
              </w:rPr>
              <w:t>June</w:t>
            </w:r>
            <w:r w:rsidRPr="00E869B6">
              <w:rPr>
                <w:rFonts w:cs="Times New Roman"/>
                <w:szCs w:val="24"/>
              </w:rPr>
              <w:t xml:space="preserve"> 202</w:t>
            </w:r>
            <w:r>
              <w:rPr>
                <w:rFonts w:cs="Times New Roman"/>
                <w:szCs w:val="24"/>
              </w:rPr>
              <w:t>6</w:t>
            </w:r>
          </w:p>
        </w:tc>
        <w:tc>
          <w:tcPr>
            <w:tcW w:w="6480" w:type="dxa"/>
            <w:vAlign w:val="center"/>
          </w:tcPr>
          <w:p w:rsidR="00E869B6" w:rsidRPr="00E869B6" w:rsidP="00E869B6" w14:paraId="28FE5671" w14:textId="1FA3630C">
            <w:pPr>
              <w:rPr>
                <w:rFonts w:cs="Times New Roman"/>
                <w:szCs w:val="24"/>
              </w:rPr>
            </w:pPr>
            <w:r w:rsidRPr="00E869B6">
              <w:rPr>
                <w:rFonts w:cs="Times New Roman"/>
                <w:szCs w:val="24"/>
              </w:rPr>
              <w:t>Begin data collection for 202</w:t>
            </w:r>
            <w:r w:rsidR="004B11AA">
              <w:rPr>
                <w:rFonts w:cs="Times New Roman"/>
                <w:szCs w:val="24"/>
              </w:rPr>
              <w:t>5</w:t>
            </w:r>
            <w:r w:rsidRPr="00E869B6">
              <w:rPr>
                <w:rFonts w:cs="Times New Roman"/>
                <w:szCs w:val="24"/>
              </w:rPr>
              <w:t xml:space="preserve"> survey</w:t>
            </w:r>
          </w:p>
        </w:tc>
      </w:tr>
      <w:tr w14:paraId="0246D812" w14:textId="77777777" w:rsidTr="00E96668">
        <w:tblPrEx>
          <w:tblW w:w="0" w:type="auto"/>
          <w:tblInd w:w="445" w:type="dxa"/>
          <w:tblLook w:val="01E0"/>
        </w:tblPrEx>
        <w:trPr>
          <w:trHeight w:val="560"/>
        </w:trPr>
        <w:tc>
          <w:tcPr>
            <w:tcW w:w="2268" w:type="dxa"/>
            <w:vAlign w:val="center"/>
          </w:tcPr>
          <w:p w:rsidR="00E869B6" w:rsidRPr="00E869B6" w:rsidP="00E869B6" w14:paraId="7CE0AD07" w14:textId="3C57CC8F">
            <w:pPr>
              <w:rPr>
                <w:rFonts w:cs="Times New Roman"/>
                <w:szCs w:val="24"/>
              </w:rPr>
            </w:pPr>
            <w:r>
              <w:rPr>
                <w:rFonts w:cs="Times New Roman"/>
                <w:szCs w:val="24"/>
              </w:rPr>
              <w:t>Oct</w:t>
            </w:r>
            <w:r w:rsidR="004B11AA">
              <w:rPr>
                <w:rFonts w:cs="Times New Roman"/>
                <w:szCs w:val="24"/>
              </w:rPr>
              <w:t>ober</w:t>
            </w:r>
            <w:r w:rsidRPr="00E869B6">
              <w:rPr>
                <w:rFonts w:cs="Times New Roman"/>
                <w:szCs w:val="24"/>
              </w:rPr>
              <w:t xml:space="preserve"> 202</w:t>
            </w:r>
            <w:r>
              <w:rPr>
                <w:rFonts w:cs="Times New Roman"/>
                <w:szCs w:val="24"/>
              </w:rPr>
              <w:t>6</w:t>
            </w:r>
          </w:p>
        </w:tc>
        <w:tc>
          <w:tcPr>
            <w:tcW w:w="6480" w:type="dxa"/>
            <w:vAlign w:val="center"/>
          </w:tcPr>
          <w:p w:rsidR="00E869B6" w:rsidRPr="00E869B6" w:rsidP="00E869B6" w14:paraId="525AD915" w14:textId="77777777">
            <w:pPr>
              <w:rPr>
                <w:rFonts w:cs="Times New Roman"/>
                <w:szCs w:val="24"/>
              </w:rPr>
            </w:pPr>
            <w:r w:rsidRPr="00E869B6">
              <w:rPr>
                <w:rFonts w:cs="Times New Roman"/>
                <w:szCs w:val="24"/>
              </w:rPr>
              <w:t>End data collection</w:t>
            </w:r>
          </w:p>
        </w:tc>
      </w:tr>
      <w:tr w14:paraId="14C442AF" w14:textId="77777777" w:rsidTr="00E96668">
        <w:tblPrEx>
          <w:tblW w:w="0" w:type="auto"/>
          <w:tblInd w:w="445" w:type="dxa"/>
          <w:tblLook w:val="01E0"/>
        </w:tblPrEx>
        <w:trPr>
          <w:trHeight w:val="560"/>
        </w:trPr>
        <w:tc>
          <w:tcPr>
            <w:tcW w:w="2268" w:type="dxa"/>
            <w:vAlign w:val="center"/>
          </w:tcPr>
          <w:p w:rsidR="00E869B6" w:rsidRPr="00E869B6" w:rsidP="00E869B6" w14:paraId="72DBCB0E" w14:textId="1FF710B0">
            <w:pPr>
              <w:rPr>
                <w:rFonts w:cs="Times New Roman"/>
                <w:szCs w:val="24"/>
              </w:rPr>
            </w:pPr>
            <w:r>
              <w:rPr>
                <w:rFonts w:cs="Times New Roman"/>
                <w:szCs w:val="24"/>
              </w:rPr>
              <w:t>October</w:t>
            </w:r>
            <w:r w:rsidRPr="00E869B6">
              <w:rPr>
                <w:rFonts w:cs="Times New Roman"/>
                <w:szCs w:val="24"/>
              </w:rPr>
              <w:t xml:space="preserve"> 202</w:t>
            </w:r>
            <w:r>
              <w:rPr>
                <w:rFonts w:cs="Times New Roman"/>
                <w:szCs w:val="24"/>
              </w:rPr>
              <w:t>6</w:t>
            </w:r>
          </w:p>
        </w:tc>
        <w:tc>
          <w:tcPr>
            <w:tcW w:w="6480" w:type="dxa"/>
            <w:vAlign w:val="center"/>
          </w:tcPr>
          <w:p w:rsidR="00E869B6" w:rsidRPr="00E869B6" w:rsidP="00E869B6" w14:paraId="7509D1D8" w14:textId="77777777">
            <w:pPr>
              <w:rPr>
                <w:rFonts w:cs="Times New Roman"/>
                <w:szCs w:val="24"/>
              </w:rPr>
            </w:pPr>
            <w:r w:rsidRPr="00E869B6">
              <w:rPr>
                <w:rFonts w:cs="Times New Roman"/>
                <w:szCs w:val="24"/>
              </w:rPr>
              <w:t>Begin data analysis</w:t>
            </w:r>
          </w:p>
        </w:tc>
      </w:tr>
      <w:tr w14:paraId="6A65E784" w14:textId="77777777" w:rsidTr="00E96668">
        <w:tblPrEx>
          <w:tblW w:w="0" w:type="auto"/>
          <w:tblInd w:w="445" w:type="dxa"/>
          <w:tblLook w:val="01E0"/>
        </w:tblPrEx>
        <w:trPr>
          <w:trHeight w:val="560"/>
        </w:trPr>
        <w:tc>
          <w:tcPr>
            <w:tcW w:w="2268" w:type="dxa"/>
            <w:vAlign w:val="center"/>
          </w:tcPr>
          <w:p w:rsidR="00E869B6" w:rsidRPr="00E869B6" w:rsidP="00E869B6" w14:paraId="483EE6C0" w14:textId="38F41CC1">
            <w:pPr>
              <w:rPr>
                <w:rFonts w:cs="Times New Roman"/>
                <w:szCs w:val="24"/>
              </w:rPr>
            </w:pPr>
            <w:r w:rsidRPr="00E869B6">
              <w:rPr>
                <w:rFonts w:cs="Times New Roman"/>
                <w:szCs w:val="24"/>
              </w:rPr>
              <w:t>202</w:t>
            </w:r>
            <w:r w:rsidR="004B11AA">
              <w:rPr>
                <w:rFonts w:cs="Times New Roman"/>
                <w:szCs w:val="24"/>
              </w:rPr>
              <w:t>7</w:t>
            </w:r>
          </w:p>
        </w:tc>
        <w:tc>
          <w:tcPr>
            <w:tcW w:w="6480" w:type="dxa"/>
            <w:vAlign w:val="center"/>
          </w:tcPr>
          <w:p w:rsidR="00E869B6" w:rsidRPr="00E869B6" w:rsidP="00E869B6" w14:paraId="30272FEA" w14:textId="77777777">
            <w:pPr>
              <w:rPr>
                <w:rFonts w:cs="Times New Roman"/>
                <w:szCs w:val="24"/>
              </w:rPr>
            </w:pPr>
            <w:r w:rsidRPr="00E869B6">
              <w:rPr>
                <w:rFonts w:cs="Times New Roman"/>
                <w:szCs w:val="24"/>
              </w:rPr>
              <w:t>Publish final comprehensive report</w:t>
            </w:r>
          </w:p>
        </w:tc>
      </w:tr>
    </w:tbl>
    <w:p w:rsidR="00FE1B00" w:rsidP="00FE1B00" w14:paraId="276F5AD0" w14:textId="77777777">
      <w:pPr>
        <w:spacing w:line="360" w:lineRule="auto"/>
        <w:ind w:left="360" w:firstLine="360"/>
        <w:rPr>
          <w:rFonts w:ascii="Arial" w:hAnsi="Arial" w:cs="Arial"/>
          <w:sz w:val="22"/>
        </w:rPr>
      </w:pPr>
    </w:p>
    <w:p w:rsidR="00FE1B00" w:rsidRPr="00FE1B00" w:rsidP="00FE1B00" w14:paraId="1E258572" w14:textId="38EAEC13">
      <w:pPr>
        <w:ind w:left="360" w:firstLine="360"/>
        <w:rPr>
          <w:rFonts w:cs="Times New Roman"/>
          <w:szCs w:val="24"/>
        </w:rPr>
      </w:pPr>
      <w:r w:rsidRPr="00FE1B00">
        <w:rPr>
          <w:rFonts w:cs="Times New Roman"/>
          <w:szCs w:val="24"/>
        </w:rPr>
        <w:t xml:space="preserve">Statistical tabulations of results for each question will be presented. These will be broken down by institution type, services provided, United States Public Health Service (USPHS) region, etc. </w:t>
      </w:r>
      <w:bookmarkStart w:id="26" w:name="_Hlk66458625"/>
      <w:r w:rsidRPr="00FE1B00">
        <w:rPr>
          <w:rFonts w:cs="Times New Roman"/>
          <w:szCs w:val="24"/>
        </w:rPr>
        <w:t>Selected examples of types of analyses proposed include:</w:t>
      </w:r>
    </w:p>
    <w:p w:rsidR="00FE1B00" w:rsidRPr="00FE1B00" w:rsidP="00FE1B00" w14:paraId="207D28E1" w14:textId="77777777">
      <w:pPr>
        <w:pStyle w:val="ListParagraph"/>
        <w:numPr>
          <w:ilvl w:val="0"/>
          <w:numId w:val="8"/>
        </w:numPr>
        <w:spacing w:after="0"/>
        <w:ind w:left="720"/>
        <w:contextualSpacing w:val="0"/>
        <w:rPr>
          <w:rFonts w:cs="Times New Roman"/>
          <w:szCs w:val="24"/>
        </w:rPr>
      </w:pPr>
      <w:r w:rsidRPr="00FE1B00">
        <w:rPr>
          <w:rFonts w:cs="Times New Roman"/>
          <w:szCs w:val="24"/>
        </w:rPr>
        <w:t>Analyses of trends in the U.S. blood supply</w:t>
      </w:r>
    </w:p>
    <w:p w:rsidR="00FE1B00" w:rsidRPr="00FE1B00" w:rsidP="00FE1B00" w14:paraId="7C95F7A2" w14:textId="77777777">
      <w:pPr>
        <w:pStyle w:val="ListParagraph"/>
        <w:numPr>
          <w:ilvl w:val="0"/>
          <w:numId w:val="8"/>
        </w:numPr>
        <w:spacing w:after="0"/>
        <w:ind w:left="720"/>
        <w:contextualSpacing w:val="0"/>
        <w:rPr>
          <w:rFonts w:cs="Times New Roman"/>
          <w:szCs w:val="24"/>
        </w:rPr>
      </w:pPr>
      <w:r w:rsidRPr="00FE1B00">
        <w:rPr>
          <w:rFonts w:cs="Times New Roman"/>
          <w:szCs w:val="24"/>
        </w:rPr>
        <w:t>Total supply of blood collected in the U.S. broken down by type (e.g., whole blood (WB), allogeneic, WB autologous, WB directed, RBC apheresis, platelets, plasma)</w:t>
      </w:r>
    </w:p>
    <w:p w:rsidR="00FE1B00" w:rsidRPr="00FE1B00" w:rsidP="00FE1B00" w14:paraId="2049EF06" w14:textId="77777777">
      <w:pPr>
        <w:pStyle w:val="ListParagraph"/>
        <w:numPr>
          <w:ilvl w:val="0"/>
          <w:numId w:val="8"/>
        </w:numPr>
        <w:spacing w:after="0"/>
        <w:ind w:left="720"/>
        <w:contextualSpacing w:val="0"/>
        <w:rPr>
          <w:rFonts w:cs="Times New Roman"/>
          <w:szCs w:val="24"/>
        </w:rPr>
      </w:pPr>
      <w:r w:rsidRPr="00FE1B00">
        <w:rPr>
          <w:rFonts w:cs="Times New Roman"/>
          <w:szCs w:val="24"/>
        </w:rPr>
        <w:t>Total transfusions in the U.S. broken down by type (e.g., WB, RBC, platelets, non-RBC components transfused)</w:t>
      </w:r>
    </w:p>
    <w:p w:rsidR="00FE1B00" w:rsidRPr="00FE1B00" w:rsidP="00FE1B00" w14:paraId="4F6385AE" w14:textId="77777777">
      <w:pPr>
        <w:pStyle w:val="ListParagraph"/>
        <w:numPr>
          <w:ilvl w:val="0"/>
          <w:numId w:val="8"/>
        </w:numPr>
        <w:spacing w:after="0"/>
        <w:ind w:left="720"/>
        <w:contextualSpacing w:val="0"/>
        <w:rPr>
          <w:rFonts w:cs="Times New Roman"/>
          <w:szCs w:val="24"/>
        </w:rPr>
      </w:pPr>
      <w:r w:rsidRPr="00FE1B00">
        <w:rPr>
          <w:rFonts w:cs="Times New Roman"/>
          <w:szCs w:val="24"/>
        </w:rPr>
        <w:t>National estimates of all whole blood and blood component units outdated by blood centers and hospitals</w:t>
      </w:r>
    </w:p>
    <w:p w:rsidR="00FE1B00" w:rsidRPr="00FE1B00" w:rsidP="00FE1B00" w14:paraId="380C4F82" w14:textId="77777777">
      <w:pPr>
        <w:pStyle w:val="ListParagraph"/>
        <w:numPr>
          <w:ilvl w:val="0"/>
          <w:numId w:val="8"/>
        </w:numPr>
        <w:spacing w:after="0"/>
        <w:ind w:left="720"/>
        <w:contextualSpacing w:val="0"/>
        <w:rPr>
          <w:rFonts w:cs="Times New Roman"/>
          <w:szCs w:val="24"/>
        </w:rPr>
      </w:pPr>
      <w:r w:rsidRPr="00FE1B00">
        <w:rPr>
          <w:rFonts w:cs="Times New Roman"/>
          <w:szCs w:val="24"/>
        </w:rPr>
        <w:t>Component modifications – Irradiation, leukocyte reduction by blood centers and hospitals</w:t>
      </w:r>
    </w:p>
    <w:p w:rsidR="00FE1B00" w:rsidRPr="00FE1B00" w:rsidP="00FE1B00" w14:paraId="4B530C43" w14:textId="77777777">
      <w:pPr>
        <w:pStyle w:val="ListParagraph"/>
        <w:numPr>
          <w:ilvl w:val="0"/>
          <w:numId w:val="8"/>
        </w:numPr>
        <w:spacing w:after="0"/>
        <w:ind w:left="720"/>
        <w:contextualSpacing w:val="0"/>
        <w:rPr>
          <w:rFonts w:cs="Times New Roman"/>
          <w:szCs w:val="24"/>
        </w:rPr>
      </w:pPr>
      <w:r w:rsidRPr="00FE1B00">
        <w:rPr>
          <w:rFonts w:cs="Times New Roman"/>
          <w:szCs w:val="24"/>
        </w:rPr>
        <w:t>Number of repeat reactive and confirmed positive first time and repeat allogeneic donors by infectious disease marker type</w:t>
      </w:r>
    </w:p>
    <w:p w:rsidR="00FE1B00" w:rsidRPr="00FE1B00" w:rsidP="00FE1B00" w14:paraId="4C0A3E9B" w14:textId="77777777">
      <w:pPr>
        <w:pStyle w:val="ListParagraph"/>
        <w:numPr>
          <w:ilvl w:val="0"/>
          <w:numId w:val="8"/>
        </w:numPr>
        <w:spacing w:after="0"/>
        <w:ind w:left="720"/>
        <w:contextualSpacing w:val="0"/>
        <w:rPr>
          <w:rFonts w:cs="Times New Roman"/>
          <w:szCs w:val="24"/>
        </w:rPr>
      </w:pPr>
      <w:r w:rsidRPr="00FE1B00">
        <w:rPr>
          <w:rFonts w:cs="Times New Roman"/>
          <w:szCs w:val="24"/>
        </w:rPr>
        <w:t>Rates of confirmed positives and false positives by bacterial testing methods</w:t>
      </w:r>
    </w:p>
    <w:p w:rsidR="00FE1B00" w:rsidRPr="00FE1B00" w:rsidP="00FE1B00" w14:paraId="40109919" w14:textId="77777777">
      <w:pPr>
        <w:pStyle w:val="ListParagraph"/>
        <w:numPr>
          <w:ilvl w:val="0"/>
          <w:numId w:val="8"/>
        </w:numPr>
        <w:spacing w:after="0"/>
        <w:ind w:left="720"/>
        <w:contextualSpacing w:val="0"/>
        <w:rPr>
          <w:rFonts w:cs="Times New Roman"/>
          <w:szCs w:val="24"/>
        </w:rPr>
      </w:pPr>
      <w:r w:rsidRPr="00FE1B00">
        <w:rPr>
          <w:rFonts w:cs="Times New Roman"/>
          <w:szCs w:val="24"/>
        </w:rPr>
        <w:t>Number of adverse events (e.g., Transfusion-related acute lung injury (TRALI), Transfusion-associated circulatory overload (TACO), Hemolysis, Allergic reactions, etc.)</w:t>
      </w:r>
    </w:p>
    <w:bookmarkEnd w:id="26"/>
    <w:p w:rsidR="00E869B6" w:rsidRPr="000F6703" w:rsidP="000F6703" w14:paraId="060E9613" w14:textId="66D024E7">
      <w:pPr>
        <w:ind w:left="360" w:firstLine="360"/>
        <w:rPr>
          <w:rFonts w:cs="Times New Roman"/>
          <w:szCs w:val="24"/>
        </w:rPr>
      </w:pPr>
      <w:r w:rsidRPr="00FE1B00">
        <w:rPr>
          <w:rFonts w:cs="Times New Roman"/>
          <w:szCs w:val="24"/>
        </w:rPr>
        <w:t xml:space="preserve">After final validation of results a comprehensive report of findings from the survey will be published. </w:t>
      </w:r>
      <w:r w:rsidRPr="00FA4239">
        <w:rPr>
          <w:rFonts w:cs="Times New Roman"/>
          <w:szCs w:val="24"/>
        </w:rPr>
        <w:t>The 2005 through 202</w:t>
      </w:r>
      <w:r w:rsidRPr="00FA4239" w:rsidR="000F6703">
        <w:rPr>
          <w:rFonts w:cs="Times New Roman"/>
          <w:szCs w:val="24"/>
        </w:rPr>
        <w:t>1</w:t>
      </w:r>
      <w:r w:rsidRPr="00FA4239">
        <w:rPr>
          <w:rFonts w:cs="Times New Roman"/>
          <w:szCs w:val="24"/>
        </w:rPr>
        <w:t xml:space="preserve"> Nationwide Blood Collection and Utilization reports are available at </w:t>
      </w:r>
      <w:r w:rsidRPr="00FA4239" w:rsidR="00DC47B0">
        <w:t>https://www.hhs.gov/oidp/topics/blood-tissue-safety/surveys/national-blood-collection-and-utilization-survey/index.html</w:t>
      </w:r>
      <w:r w:rsidRPr="00FA4239">
        <w:rPr>
          <w:rFonts w:cs="Times New Roman"/>
          <w:szCs w:val="24"/>
        </w:rPr>
        <w:t>.</w:t>
      </w:r>
    </w:p>
    <w:p w:rsidR="004A13E8" w:rsidP="0025156B" w14:paraId="55FE1826" w14:textId="10C8E53A">
      <w:pPr>
        <w:pStyle w:val="Heading1"/>
        <w:spacing w:before="240"/>
      </w:pPr>
      <w:r>
        <w:t>Reason(s) Display of OMB Expiration Date is Inappropriate</w:t>
      </w:r>
      <w:bookmarkEnd w:id="25"/>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7" w:name="_Toc473880034"/>
      <w:r>
        <w:t>Exceptions to Certification for Paperwork Reduction Act Submissions</w:t>
      </w:r>
      <w:bookmarkEnd w:id="27"/>
    </w:p>
    <w:p w:rsidR="004A13E8" w:rsidRPr="004A13E8" w:rsidP="004A13E8" w14:paraId="55FE1829" w14:textId="77777777">
      <w:r>
        <w:t>There are no exceptions to the certification.</w:t>
      </w:r>
    </w:p>
    <w:p w:rsidR="004A13E8" w:rsidRPr="004A13E8" w:rsidP="004A13E8" w14:paraId="55FE182A" w14:textId="77777777">
      <w:pPr>
        <w:pStyle w:val="Heading1"/>
        <w:numPr>
          <w:ilvl w:val="0"/>
          <w:numId w:val="0"/>
        </w:numPr>
      </w:pPr>
      <w:bookmarkStart w:id="28" w:name="_Toc473880035"/>
      <w:r>
        <w:t>Attachments</w:t>
      </w:r>
      <w:bookmarkEnd w:id="28"/>
    </w:p>
    <w:p w:rsidR="00BB6F6E" w:rsidRPr="008849EF" w:rsidP="00BB6F6E" w14:paraId="1AD343EC" w14:textId="06A7069F">
      <w:pPr>
        <w:spacing w:after="0" w:line="240" w:lineRule="auto"/>
      </w:pPr>
      <w:r>
        <w:t>1</w:t>
      </w:r>
      <w:r>
        <w:t xml:space="preserve">. </w:t>
      </w:r>
      <w:r>
        <w:t xml:space="preserve">Published </w:t>
      </w:r>
      <w:r w:rsidRPr="008849EF">
        <w:t>60-Day FRN</w:t>
      </w:r>
    </w:p>
    <w:p w:rsidR="004A13E8" w:rsidP="009F2816" w14:paraId="55FE182B" w14:textId="6D62D845">
      <w:pPr>
        <w:spacing w:after="0" w:line="240" w:lineRule="auto"/>
      </w:pPr>
      <w:r>
        <w:t>2</w:t>
      </w:r>
      <w:r w:rsidR="00BB6F6E">
        <w:t>a-</w:t>
      </w:r>
      <w:r>
        <w:t>2</w:t>
      </w:r>
      <w:r w:rsidR="00BB6F6E">
        <w:t>c</w:t>
      </w:r>
      <w:r w:rsidR="009F2816">
        <w:t xml:space="preserve">. </w:t>
      </w:r>
      <w:r w:rsidRPr="008849EF" w:rsidR="00AD2F36">
        <w:t>Authorizing Legislation</w:t>
      </w:r>
    </w:p>
    <w:p w:rsidR="00C65E47" w:rsidRPr="008849EF" w:rsidP="009F2816" w14:paraId="67978414" w14:textId="5BFE5044">
      <w:pPr>
        <w:spacing w:after="0" w:line="240" w:lineRule="auto"/>
      </w:pPr>
      <w:r>
        <w:t>3. 30-Day FRN</w:t>
      </w:r>
    </w:p>
    <w:p w:rsidR="00C65E47" w:rsidP="00C65E47" w14:paraId="5C2AE206" w14:textId="77777777">
      <w:pPr>
        <w:spacing w:after="0" w:line="240" w:lineRule="auto"/>
      </w:pPr>
      <w:r>
        <w:t>4</w:t>
      </w:r>
      <w:r w:rsidR="009F2816">
        <w:t xml:space="preserve">. </w:t>
      </w:r>
      <w:r w:rsidRPr="008849EF" w:rsidR="00AD2F36">
        <w:t>Information Collection instrument</w:t>
      </w:r>
    </w:p>
    <w:p w:rsidR="00C65E47" w:rsidP="00C65E47" w14:paraId="1603D4DE" w14:textId="1042E0C8">
      <w:pPr>
        <w:spacing w:after="0" w:line="240" w:lineRule="auto"/>
      </w:pPr>
      <w:r>
        <w:t>5. Human Subjects Determination</w:t>
      </w:r>
    </w:p>
    <w:p w:rsidR="00C65E47" w:rsidRPr="008849EF" w:rsidP="00C65E47" w14:paraId="64A96261" w14:textId="0FA446D3">
      <w:pPr>
        <w:spacing w:after="0" w:line="240" w:lineRule="auto"/>
      </w:pPr>
      <w:r>
        <w:t>6.</w:t>
      </w:r>
      <w:r w:rsidR="00C23A45">
        <w:t xml:space="preserve"> </w:t>
      </w:r>
      <w:r w:rsidRPr="008849EF">
        <w:t>Public Comment and Responses</w:t>
      </w:r>
    </w:p>
    <w:p w:rsidR="00C65E47" w:rsidRPr="008849EF" w:rsidP="00C65E47" w14:paraId="0FA4CFD0" w14:textId="5130180D">
      <w:pPr>
        <w:spacing w:after="0" w:line="240" w:lineRule="auto"/>
      </w:pPr>
    </w:p>
    <w:p w:rsidR="00AD2F36" w:rsidRPr="008849EF" w:rsidP="009F2816" w14:paraId="55FE182E" w14:textId="40C51543">
      <w:pPr>
        <w:spacing w:after="0" w:line="240" w:lineRule="auto"/>
      </w:pP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597F4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10FAEDD9">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55FE183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29F21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01FD80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3320A5A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5A5" w14:paraId="1B9BC24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C578E8"/>
    <w:multiLevelType w:val="hybridMultilevel"/>
    <w:tmpl w:val="F398D65A"/>
    <w:lvl w:ilvl="0">
      <w:start w:val="1"/>
      <w:numFmt w:val="bullet"/>
      <w:lvlText w:val=""/>
      <w:lvlJc w:val="left"/>
      <w:pPr>
        <w:tabs>
          <w:tab w:val="num" w:pos="360"/>
        </w:tabs>
        <w:ind w:left="360" w:hanging="360"/>
      </w:pPr>
      <w:rPr>
        <w:rFonts w:ascii="Symbol" w:hAnsi="Symbol" w:hint="default"/>
        <w:sz w:val="20"/>
        <w:szCs w:val="20"/>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28AB7040"/>
    <w:multiLevelType w:val="hybridMultilevel"/>
    <w:tmpl w:val="3580EF68"/>
    <w:lvl w:ilvl="0">
      <w:start w:val="1"/>
      <w:numFmt w:val="bullet"/>
      <w:lvlText w:val=""/>
      <w:lvlJc w:val="left"/>
      <w:pPr>
        <w:tabs>
          <w:tab w:val="num" w:pos="1800"/>
        </w:tabs>
        <w:ind w:left="1800" w:hanging="360"/>
      </w:pPr>
      <w:rPr>
        <w:rFonts w:ascii="Symbol" w:hAnsi="Symbol" w:hint="default"/>
        <w:sz w:val="20"/>
        <w:szCs w:val="20"/>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1AD2A8E"/>
    <w:multiLevelType w:val="hybridMultilevel"/>
    <w:tmpl w:val="7B200E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25922933">
    <w:abstractNumId w:val="5"/>
  </w:num>
  <w:num w:numId="2" w16cid:durableId="1268074816">
    <w:abstractNumId w:val="2"/>
  </w:num>
  <w:num w:numId="3" w16cid:durableId="433329173">
    <w:abstractNumId w:val="4"/>
  </w:num>
  <w:num w:numId="4" w16cid:durableId="774204491">
    <w:abstractNumId w:val="1"/>
  </w:num>
  <w:num w:numId="5" w16cid:durableId="1122118157">
    <w:abstractNumId w:val="0"/>
  </w:num>
  <w:num w:numId="6" w16cid:durableId="1116406248">
    <w:abstractNumId w:val="2"/>
  </w:num>
  <w:num w:numId="7" w16cid:durableId="1274942820">
    <w:abstractNumId w:val="2"/>
  </w:num>
  <w:num w:numId="8" w16cid:durableId="7764865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084E"/>
    <w:rsid w:val="00015C1E"/>
    <w:rsid w:val="00022A12"/>
    <w:rsid w:val="00055D12"/>
    <w:rsid w:val="0005699B"/>
    <w:rsid w:val="00072062"/>
    <w:rsid w:val="00077A77"/>
    <w:rsid w:val="00081001"/>
    <w:rsid w:val="00094C29"/>
    <w:rsid w:val="000A1ECC"/>
    <w:rsid w:val="000A4D7E"/>
    <w:rsid w:val="000A7BDA"/>
    <w:rsid w:val="000B5070"/>
    <w:rsid w:val="000C1760"/>
    <w:rsid w:val="000C3E6F"/>
    <w:rsid w:val="000C7353"/>
    <w:rsid w:val="000E5EB0"/>
    <w:rsid w:val="000F26ED"/>
    <w:rsid w:val="000F6703"/>
    <w:rsid w:val="00115DFB"/>
    <w:rsid w:val="0012191B"/>
    <w:rsid w:val="001233AC"/>
    <w:rsid w:val="00124128"/>
    <w:rsid w:val="001264AF"/>
    <w:rsid w:val="00126AFB"/>
    <w:rsid w:val="00131324"/>
    <w:rsid w:val="00131328"/>
    <w:rsid w:val="00132B81"/>
    <w:rsid w:val="0015143E"/>
    <w:rsid w:val="001523DF"/>
    <w:rsid w:val="00152B72"/>
    <w:rsid w:val="00181DB5"/>
    <w:rsid w:val="00187218"/>
    <w:rsid w:val="0019715E"/>
    <w:rsid w:val="001A0EE2"/>
    <w:rsid w:val="001A58BE"/>
    <w:rsid w:val="001B2075"/>
    <w:rsid w:val="001C3B45"/>
    <w:rsid w:val="001C477C"/>
    <w:rsid w:val="001E08A8"/>
    <w:rsid w:val="001E51E0"/>
    <w:rsid w:val="00202712"/>
    <w:rsid w:val="00237BB7"/>
    <w:rsid w:val="002441B9"/>
    <w:rsid w:val="0025156B"/>
    <w:rsid w:val="00252E6F"/>
    <w:rsid w:val="00275F9A"/>
    <w:rsid w:val="00285345"/>
    <w:rsid w:val="0029263C"/>
    <w:rsid w:val="002A15BE"/>
    <w:rsid w:val="002A7CC4"/>
    <w:rsid w:val="002C5416"/>
    <w:rsid w:val="002D7B91"/>
    <w:rsid w:val="002E23E6"/>
    <w:rsid w:val="002F1B39"/>
    <w:rsid w:val="002F6FB7"/>
    <w:rsid w:val="00300ED7"/>
    <w:rsid w:val="00304BBB"/>
    <w:rsid w:val="00305E4B"/>
    <w:rsid w:val="00314337"/>
    <w:rsid w:val="003236D5"/>
    <w:rsid w:val="0032564E"/>
    <w:rsid w:val="00326177"/>
    <w:rsid w:val="00334417"/>
    <w:rsid w:val="003419B3"/>
    <w:rsid w:val="00371269"/>
    <w:rsid w:val="003A2567"/>
    <w:rsid w:val="003A38A1"/>
    <w:rsid w:val="003A4496"/>
    <w:rsid w:val="003A7770"/>
    <w:rsid w:val="003B0C61"/>
    <w:rsid w:val="003B2FB4"/>
    <w:rsid w:val="003C76A7"/>
    <w:rsid w:val="003F3A65"/>
    <w:rsid w:val="003F60CF"/>
    <w:rsid w:val="003F78AF"/>
    <w:rsid w:val="003F7F67"/>
    <w:rsid w:val="004009C6"/>
    <w:rsid w:val="004161CF"/>
    <w:rsid w:val="0043440D"/>
    <w:rsid w:val="00446A7C"/>
    <w:rsid w:val="00457614"/>
    <w:rsid w:val="004841D1"/>
    <w:rsid w:val="004A0034"/>
    <w:rsid w:val="004A13E8"/>
    <w:rsid w:val="004A6BD8"/>
    <w:rsid w:val="004A6DE8"/>
    <w:rsid w:val="004B11AA"/>
    <w:rsid w:val="004C24FD"/>
    <w:rsid w:val="004D0CD2"/>
    <w:rsid w:val="004F5B64"/>
    <w:rsid w:val="005235BA"/>
    <w:rsid w:val="005300E6"/>
    <w:rsid w:val="00534086"/>
    <w:rsid w:val="00535C78"/>
    <w:rsid w:val="00544341"/>
    <w:rsid w:val="00560FAD"/>
    <w:rsid w:val="0057335F"/>
    <w:rsid w:val="0058101E"/>
    <w:rsid w:val="005A779E"/>
    <w:rsid w:val="005D0E2D"/>
    <w:rsid w:val="005D1637"/>
    <w:rsid w:val="005E35C1"/>
    <w:rsid w:val="005E7D85"/>
    <w:rsid w:val="00612513"/>
    <w:rsid w:val="00633F52"/>
    <w:rsid w:val="00635CCF"/>
    <w:rsid w:val="006427DD"/>
    <w:rsid w:val="00653FB3"/>
    <w:rsid w:val="00670C18"/>
    <w:rsid w:val="00674026"/>
    <w:rsid w:val="00677430"/>
    <w:rsid w:val="00685A18"/>
    <w:rsid w:val="006916E9"/>
    <w:rsid w:val="0069622D"/>
    <w:rsid w:val="006A0EF2"/>
    <w:rsid w:val="006A5946"/>
    <w:rsid w:val="006C0C48"/>
    <w:rsid w:val="006C6578"/>
    <w:rsid w:val="006E4D09"/>
    <w:rsid w:val="006E6A7C"/>
    <w:rsid w:val="00707982"/>
    <w:rsid w:val="00713C81"/>
    <w:rsid w:val="00722632"/>
    <w:rsid w:val="007335B2"/>
    <w:rsid w:val="00756F1C"/>
    <w:rsid w:val="0076613D"/>
    <w:rsid w:val="00766B83"/>
    <w:rsid w:val="00780DC1"/>
    <w:rsid w:val="00786216"/>
    <w:rsid w:val="00790BCB"/>
    <w:rsid w:val="007A26FB"/>
    <w:rsid w:val="007B1C56"/>
    <w:rsid w:val="007C0FBD"/>
    <w:rsid w:val="007C30AB"/>
    <w:rsid w:val="007D135C"/>
    <w:rsid w:val="007D60E6"/>
    <w:rsid w:val="007E08E7"/>
    <w:rsid w:val="007E7F9F"/>
    <w:rsid w:val="007F15A9"/>
    <w:rsid w:val="007F4634"/>
    <w:rsid w:val="007F46E9"/>
    <w:rsid w:val="00804687"/>
    <w:rsid w:val="0081405F"/>
    <w:rsid w:val="00827F0C"/>
    <w:rsid w:val="00840A6C"/>
    <w:rsid w:val="008474CB"/>
    <w:rsid w:val="00851FF4"/>
    <w:rsid w:val="00861AF8"/>
    <w:rsid w:val="00872219"/>
    <w:rsid w:val="008849EF"/>
    <w:rsid w:val="00893419"/>
    <w:rsid w:val="008B5D54"/>
    <w:rsid w:val="008C0143"/>
    <w:rsid w:val="008C2A1E"/>
    <w:rsid w:val="008D5AEA"/>
    <w:rsid w:val="008F1415"/>
    <w:rsid w:val="008F27AC"/>
    <w:rsid w:val="008F4B00"/>
    <w:rsid w:val="00900FA2"/>
    <w:rsid w:val="00902E82"/>
    <w:rsid w:val="009044F0"/>
    <w:rsid w:val="0091253C"/>
    <w:rsid w:val="009134A5"/>
    <w:rsid w:val="009174BE"/>
    <w:rsid w:val="0092301C"/>
    <w:rsid w:val="00923914"/>
    <w:rsid w:val="009266EC"/>
    <w:rsid w:val="00927476"/>
    <w:rsid w:val="00937D6B"/>
    <w:rsid w:val="0094136C"/>
    <w:rsid w:val="00947560"/>
    <w:rsid w:val="00962965"/>
    <w:rsid w:val="00962B17"/>
    <w:rsid w:val="00963E7C"/>
    <w:rsid w:val="0097588C"/>
    <w:rsid w:val="00975D58"/>
    <w:rsid w:val="00977F92"/>
    <w:rsid w:val="00983DB5"/>
    <w:rsid w:val="00984FE5"/>
    <w:rsid w:val="00987FD0"/>
    <w:rsid w:val="00997D0E"/>
    <w:rsid w:val="009A79E1"/>
    <w:rsid w:val="009B0947"/>
    <w:rsid w:val="009C01D4"/>
    <w:rsid w:val="009F2816"/>
    <w:rsid w:val="009F79B5"/>
    <w:rsid w:val="00A51E66"/>
    <w:rsid w:val="00A56244"/>
    <w:rsid w:val="00A67086"/>
    <w:rsid w:val="00A676D1"/>
    <w:rsid w:val="00A73351"/>
    <w:rsid w:val="00A91338"/>
    <w:rsid w:val="00AB0CCE"/>
    <w:rsid w:val="00AC4DA5"/>
    <w:rsid w:val="00AD2F36"/>
    <w:rsid w:val="00AE15A5"/>
    <w:rsid w:val="00AF4917"/>
    <w:rsid w:val="00AF6974"/>
    <w:rsid w:val="00B22BCC"/>
    <w:rsid w:val="00B41CCF"/>
    <w:rsid w:val="00B55735"/>
    <w:rsid w:val="00B5685D"/>
    <w:rsid w:val="00B608AC"/>
    <w:rsid w:val="00B63295"/>
    <w:rsid w:val="00B64B9E"/>
    <w:rsid w:val="00B650C7"/>
    <w:rsid w:val="00B65624"/>
    <w:rsid w:val="00B6690D"/>
    <w:rsid w:val="00B7578D"/>
    <w:rsid w:val="00B90BC9"/>
    <w:rsid w:val="00B91400"/>
    <w:rsid w:val="00B91AE0"/>
    <w:rsid w:val="00BA0B23"/>
    <w:rsid w:val="00BA6B1A"/>
    <w:rsid w:val="00BA7F6E"/>
    <w:rsid w:val="00BB6F6E"/>
    <w:rsid w:val="00BC7BBC"/>
    <w:rsid w:val="00BD300A"/>
    <w:rsid w:val="00BF2E1A"/>
    <w:rsid w:val="00BF70A4"/>
    <w:rsid w:val="00C054CA"/>
    <w:rsid w:val="00C071EA"/>
    <w:rsid w:val="00C074A2"/>
    <w:rsid w:val="00C143DE"/>
    <w:rsid w:val="00C17D45"/>
    <w:rsid w:val="00C23A45"/>
    <w:rsid w:val="00C32380"/>
    <w:rsid w:val="00C5040D"/>
    <w:rsid w:val="00C553B7"/>
    <w:rsid w:val="00C65E47"/>
    <w:rsid w:val="00C70B9E"/>
    <w:rsid w:val="00C72B40"/>
    <w:rsid w:val="00C849FB"/>
    <w:rsid w:val="00C90B13"/>
    <w:rsid w:val="00C940A1"/>
    <w:rsid w:val="00CA3902"/>
    <w:rsid w:val="00CA648A"/>
    <w:rsid w:val="00CB3171"/>
    <w:rsid w:val="00CC2465"/>
    <w:rsid w:val="00CD2AA4"/>
    <w:rsid w:val="00CE4BC2"/>
    <w:rsid w:val="00CF5141"/>
    <w:rsid w:val="00D13EA1"/>
    <w:rsid w:val="00D26730"/>
    <w:rsid w:val="00D42969"/>
    <w:rsid w:val="00D45992"/>
    <w:rsid w:val="00D50717"/>
    <w:rsid w:val="00D6368E"/>
    <w:rsid w:val="00D759DC"/>
    <w:rsid w:val="00D952DF"/>
    <w:rsid w:val="00D97997"/>
    <w:rsid w:val="00DC08D0"/>
    <w:rsid w:val="00DC0F72"/>
    <w:rsid w:val="00DC47B0"/>
    <w:rsid w:val="00DC57CC"/>
    <w:rsid w:val="00DC74EE"/>
    <w:rsid w:val="00DD2F45"/>
    <w:rsid w:val="00DD3EE7"/>
    <w:rsid w:val="00DD6B61"/>
    <w:rsid w:val="00DE121C"/>
    <w:rsid w:val="00DF29CC"/>
    <w:rsid w:val="00E03CA0"/>
    <w:rsid w:val="00E16DC1"/>
    <w:rsid w:val="00E2714D"/>
    <w:rsid w:val="00E466DD"/>
    <w:rsid w:val="00E6226E"/>
    <w:rsid w:val="00E62D4C"/>
    <w:rsid w:val="00E80D2C"/>
    <w:rsid w:val="00E8230D"/>
    <w:rsid w:val="00E869B6"/>
    <w:rsid w:val="00E96668"/>
    <w:rsid w:val="00EA46DE"/>
    <w:rsid w:val="00EA5BD1"/>
    <w:rsid w:val="00EC309D"/>
    <w:rsid w:val="00ED4D28"/>
    <w:rsid w:val="00EF0BD7"/>
    <w:rsid w:val="00EF5BA6"/>
    <w:rsid w:val="00F00226"/>
    <w:rsid w:val="00F25B5A"/>
    <w:rsid w:val="00F3047C"/>
    <w:rsid w:val="00F31FBF"/>
    <w:rsid w:val="00F509DE"/>
    <w:rsid w:val="00F548DB"/>
    <w:rsid w:val="00F56C86"/>
    <w:rsid w:val="00F608C0"/>
    <w:rsid w:val="00F617E2"/>
    <w:rsid w:val="00F638B1"/>
    <w:rsid w:val="00F80E48"/>
    <w:rsid w:val="00FA3D8B"/>
    <w:rsid w:val="00FA4239"/>
    <w:rsid w:val="00FA5131"/>
    <w:rsid w:val="00FC5533"/>
    <w:rsid w:val="00FD1F58"/>
    <w:rsid w:val="00FD359F"/>
    <w:rsid w:val="00FE0398"/>
    <w:rsid w:val="00FE1B00"/>
    <w:rsid w:val="00FE5E5F"/>
    <w:rsid w:val="00FF1F62"/>
    <w:rsid w:val="00FF40BC"/>
    <w:rsid w:val="0D381FEB"/>
    <w:rsid w:val="10EA74A0"/>
    <w:rsid w:val="47EE0115"/>
    <w:rsid w:val="52DA53BA"/>
    <w:rsid w:val="544DDE62"/>
    <w:rsid w:val="5D5064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FE1770"/>
  <w15:chartTrackingRefBased/>
  <w15:docId w15:val="{C0B006A9-7099-482E-843B-A9CDC823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BalloonText">
    <w:name w:val="Balloon Text"/>
    <w:basedOn w:val="Normal"/>
    <w:link w:val="BalloonTextChar"/>
    <w:uiPriority w:val="99"/>
    <w:semiHidden/>
    <w:unhideWhenUsed/>
    <w:rsid w:val="00AE1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5A5"/>
    <w:rPr>
      <w:rFonts w:ascii="Segoe UI" w:hAnsi="Segoe UI" w:cs="Segoe UI"/>
      <w:sz w:val="18"/>
      <w:szCs w:val="18"/>
    </w:rPr>
  </w:style>
  <w:style w:type="character" w:styleId="UnresolvedMention">
    <w:name w:val="Unresolved Mention"/>
    <w:basedOn w:val="DefaultParagraphFont"/>
    <w:uiPriority w:val="99"/>
    <w:semiHidden/>
    <w:unhideWhenUsed/>
    <w:rsid w:val="00CA3902"/>
    <w:rPr>
      <w:color w:val="605E5C"/>
      <w:shd w:val="clear" w:color="auto" w:fill="E1DFDD"/>
    </w:rPr>
  </w:style>
  <w:style w:type="paragraph" w:styleId="CommentText">
    <w:name w:val="annotation text"/>
    <w:basedOn w:val="Normal"/>
    <w:link w:val="CommentTextChar"/>
    <w:rsid w:val="00C143DE"/>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C143DE"/>
    <w:rPr>
      <w:rFonts w:ascii="Times New Roman" w:eastAsia="Times New Roman" w:hAnsi="Times New Roman" w:cs="Times New Roman"/>
      <w:sz w:val="20"/>
      <w:szCs w:val="20"/>
    </w:rPr>
  </w:style>
  <w:style w:type="character" w:styleId="CommentReference">
    <w:name w:val="annotation reference"/>
    <w:rsid w:val="00633F52"/>
    <w:rPr>
      <w:sz w:val="16"/>
      <w:szCs w:val="16"/>
    </w:rPr>
  </w:style>
  <w:style w:type="paragraph" w:styleId="CommentSubject">
    <w:name w:val="annotation subject"/>
    <w:basedOn w:val="CommentText"/>
    <w:next w:val="CommentText"/>
    <w:link w:val="CommentSubjectChar"/>
    <w:uiPriority w:val="99"/>
    <w:semiHidden/>
    <w:unhideWhenUsed/>
    <w:rsid w:val="00DF29CC"/>
    <w:pPr>
      <w:spacing w:after="200"/>
    </w:pPr>
    <w:rPr>
      <w:rFonts w:eastAsiaTheme="minorHAnsi" w:cstheme="minorBidi"/>
      <w:b/>
      <w:bCs/>
    </w:rPr>
  </w:style>
  <w:style w:type="character" w:customStyle="1" w:styleId="CommentSubjectChar">
    <w:name w:val="Comment Subject Char"/>
    <w:basedOn w:val="CommentTextChar"/>
    <w:link w:val="CommentSubject"/>
    <w:uiPriority w:val="99"/>
    <w:semiHidden/>
    <w:rsid w:val="00DF29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eginfo.gov/public/do/PRAViewICR?ref_nbr=202411-0990-003"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f95f1ffd689dd1f58bc87bab632762d7">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411a99b1b95b5ae6e1770496bbbf22ea"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E0D4B-D2AA-4AF9-B43F-DFF6FA86FAC6}">
  <ds:schemaRefs>
    <ds:schemaRef ds:uri="http://schemas.openxmlformats.org/officeDocument/2006/bibliography"/>
  </ds:schemaRefs>
</ds:datastoreItem>
</file>

<file path=customXml/itemProps2.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02022dab-d1ad-462a-91cd-9f4fff47c2a8"/>
  </ds:schemaRefs>
</ds:datastoreItem>
</file>

<file path=customXml/itemProps3.xml><?xml version="1.0" encoding="utf-8"?>
<ds:datastoreItem xmlns:ds="http://schemas.openxmlformats.org/officeDocument/2006/customXml" ds:itemID="{7715CA7A-B56F-4FEB-A9D0-613908141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2326</Words>
  <Characters>13355</Characters>
  <Application>Microsoft Office Word</Application>
  <DocSecurity>0</DocSecurity>
  <Lines>310</Lines>
  <Paragraphs>186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Daymude, Thomas (Chip) (CDC/NCEZID/OD)</cp:lastModifiedBy>
  <cp:revision>170</cp:revision>
  <dcterms:created xsi:type="dcterms:W3CDTF">2025-12-17T23:16:00Z</dcterms:created>
  <dcterms:modified xsi:type="dcterms:W3CDTF">2026-03-10T20:12:00Z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0x010100CF0FD56C140F7647A9F78EB8B7B0A994</vt:lpwstr>
  </property>
  <property fmtid="{D5CDD505-2E9C-101B-9397-08002B2CF9AE}" pid="3" name="MediaServiceImageTags">
    <vt:lpwstr/>
  </property>
  <property fmtid="{D5CDD505-2E9C-101B-9397-08002B2CF9AE}" pid="4" name="MSIP_Label_7b94a7b8-f06c-4dfe-bdcc-9b548fd58c31_ActionId">
    <vt:lpwstr>d8f0e01a-2d97-4b9d-817b-c3443a1d06e1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2020-12-01T19:50:49Z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