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3E0B" w:rsidRPr="001B3920" w:rsidP="00EA3E0B" w14:paraId="6543B78F" w14:textId="77777777">
      <w:pPr>
        <w:pStyle w:val="Heading2"/>
        <w:spacing w:before="0" w:after="0"/>
        <w:jc w:val="center"/>
        <w:rPr>
          <w:rFonts w:ascii="Times New Roman" w:hAnsi="Times New Roman" w:cs="Times New Roman"/>
          <w:b/>
          <w:bCs/>
          <w:color w:val="auto"/>
          <w:sz w:val="24"/>
          <w:szCs w:val="24"/>
        </w:rPr>
      </w:pPr>
      <w:r w:rsidRPr="001B3920">
        <w:rPr>
          <w:rFonts w:ascii="Times New Roman" w:hAnsi="Times New Roman" w:cs="Times New Roman"/>
          <w:b/>
          <w:bCs/>
          <w:color w:val="auto"/>
          <w:sz w:val="24"/>
          <w:szCs w:val="24"/>
        </w:rPr>
        <w:t>Supporting Statement for Form HA-520/i520</w:t>
      </w:r>
    </w:p>
    <w:p w:rsidR="00EA3E0B" w:rsidRPr="001B3920" w:rsidP="00EA3E0B" w14:paraId="71E5DFB5" w14:textId="77777777">
      <w:pPr>
        <w:pStyle w:val="Heading5"/>
        <w:spacing w:before="0" w:after="0"/>
        <w:jc w:val="center"/>
        <w:rPr>
          <w:rFonts w:cs="Times New Roman"/>
          <w:b/>
          <w:bCs/>
          <w:color w:val="auto"/>
          <w:sz w:val="24"/>
          <w:szCs w:val="24"/>
        </w:rPr>
      </w:pPr>
      <w:r w:rsidRPr="001B3920">
        <w:rPr>
          <w:rFonts w:cs="Times New Roman"/>
          <w:b/>
          <w:bCs/>
          <w:color w:val="auto"/>
          <w:sz w:val="24"/>
          <w:szCs w:val="24"/>
        </w:rPr>
        <w:t>Request for Review of Hearing Decision/Order</w:t>
      </w:r>
    </w:p>
    <w:p w:rsidR="00EA3E0B" w:rsidRPr="001B3920" w:rsidP="00EA3E0B" w14:paraId="1AC41F23" w14:textId="77777777">
      <w:pPr>
        <w:jc w:val="center"/>
        <w:rPr>
          <w:b/>
          <w:sz w:val="24"/>
          <w:szCs w:val="24"/>
        </w:rPr>
      </w:pPr>
      <w:r w:rsidRPr="001B3920">
        <w:rPr>
          <w:b/>
          <w:sz w:val="24"/>
          <w:szCs w:val="24"/>
        </w:rPr>
        <w:t>20 CFR 404.967-404.981, 20 CFR 416.1467-416.1481</w:t>
      </w:r>
    </w:p>
    <w:p w:rsidR="00DB29E0" w:rsidRPr="001B3920" w:rsidP="00EA3E0B" w14:paraId="6CCADE2C" w14:textId="70EB4945">
      <w:pPr>
        <w:jc w:val="center"/>
        <w:rPr>
          <w:b/>
          <w:bCs/>
          <w:sz w:val="24"/>
          <w:szCs w:val="24"/>
        </w:rPr>
      </w:pPr>
      <w:r w:rsidRPr="001B3920">
        <w:rPr>
          <w:b/>
          <w:bCs/>
          <w:sz w:val="24"/>
          <w:szCs w:val="24"/>
        </w:rPr>
        <w:t>OMB 0960-0277</w:t>
      </w:r>
    </w:p>
    <w:p w:rsidR="00EA3E0B" w:rsidRPr="001B3920" w:rsidP="00EA3E0B" w14:paraId="654E0C43" w14:textId="77777777">
      <w:pPr>
        <w:jc w:val="center"/>
        <w:rPr>
          <w:b/>
          <w:bCs/>
          <w:sz w:val="24"/>
          <w:szCs w:val="24"/>
        </w:rPr>
      </w:pPr>
    </w:p>
    <w:p w:rsidR="00EA3E0B" w:rsidRPr="001B3920" w:rsidP="00EA3E0B" w14:paraId="7662AABE" w14:textId="1FEF3F58">
      <w:pPr>
        <w:pStyle w:val="ListParagraph"/>
        <w:numPr>
          <w:ilvl w:val="0"/>
          <w:numId w:val="1"/>
        </w:numPr>
        <w:rPr>
          <w:sz w:val="24"/>
          <w:szCs w:val="24"/>
          <w:u w:val="single"/>
        </w:rPr>
      </w:pPr>
      <w:r w:rsidRPr="001B3920">
        <w:rPr>
          <w:b/>
          <w:sz w:val="24"/>
          <w:szCs w:val="24"/>
          <w:u w:val="single"/>
        </w:rPr>
        <w:t>Justification</w:t>
      </w:r>
    </w:p>
    <w:p w:rsidR="00EA3E0B" w:rsidRPr="001B3920" w:rsidP="00EA3E0B" w14:paraId="2CA1EB91" w14:textId="77777777">
      <w:pPr>
        <w:pStyle w:val="ListParagraph"/>
        <w:rPr>
          <w:b/>
          <w:sz w:val="24"/>
          <w:szCs w:val="24"/>
        </w:rPr>
      </w:pPr>
    </w:p>
    <w:p w:rsidR="00EA3E0B" w:rsidRPr="001B3920" w:rsidP="00EA3E0B" w14:paraId="7EE4F330" w14:textId="03D5A4A4">
      <w:pPr>
        <w:pStyle w:val="ListParagraph"/>
        <w:numPr>
          <w:ilvl w:val="0"/>
          <w:numId w:val="2"/>
        </w:numPr>
        <w:rPr>
          <w:sz w:val="24"/>
          <w:szCs w:val="24"/>
          <w:u w:val="single"/>
        </w:rPr>
      </w:pPr>
      <w:r w:rsidRPr="001B3920">
        <w:rPr>
          <w:b/>
          <w:bCs/>
          <w:sz w:val="24"/>
          <w:szCs w:val="24"/>
        </w:rPr>
        <w:t>Introduction/Authorizing Laws and Regulations</w:t>
      </w:r>
    </w:p>
    <w:p w:rsidR="00EA3E0B" w:rsidRPr="001B3920" w:rsidP="00EA3E0B" w14:paraId="09686813" w14:textId="05F838B3">
      <w:pPr>
        <w:pStyle w:val="ListParagraph"/>
        <w:ind w:left="1080"/>
        <w:rPr>
          <w:i/>
          <w:iCs/>
          <w:sz w:val="24"/>
          <w:szCs w:val="24"/>
        </w:rPr>
      </w:pPr>
      <w:r w:rsidRPr="001B3920">
        <w:rPr>
          <w:sz w:val="24"/>
          <w:szCs w:val="24"/>
        </w:rPr>
        <w:t xml:space="preserve">Section </w:t>
      </w:r>
      <w:r w:rsidRPr="001B3920">
        <w:rPr>
          <w:i/>
          <w:iCs/>
          <w:sz w:val="24"/>
          <w:szCs w:val="24"/>
        </w:rPr>
        <w:t>205(a)</w:t>
      </w:r>
      <w:r w:rsidRPr="001B3920">
        <w:rPr>
          <w:sz w:val="24"/>
          <w:szCs w:val="24"/>
        </w:rPr>
        <w:t xml:space="preserve"> of the </w:t>
      </w:r>
      <w:r w:rsidRPr="001B3920">
        <w:rPr>
          <w:i/>
          <w:iCs/>
          <w:sz w:val="24"/>
          <w:szCs w:val="24"/>
        </w:rPr>
        <w:t>Social Security Act (Act)</w:t>
      </w:r>
      <w:r w:rsidRPr="001B3920">
        <w:rPr>
          <w:sz w:val="24"/>
          <w:szCs w:val="24"/>
        </w:rPr>
        <w:t xml:space="preserve"> authorizes the Commissioner to make rules necessary to implement Social Security programs.  Section </w:t>
      </w:r>
      <w:r w:rsidRPr="001B3920">
        <w:rPr>
          <w:i/>
          <w:iCs/>
          <w:sz w:val="24"/>
          <w:szCs w:val="24"/>
        </w:rPr>
        <w:t>1631(d)(1)</w:t>
      </w:r>
      <w:r w:rsidRPr="001B3920">
        <w:rPr>
          <w:sz w:val="24"/>
          <w:szCs w:val="24"/>
        </w:rPr>
        <w:t xml:space="preserve"> of the </w:t>
      </w:r>
      <w:r w:rsidRPr="001B3920">
        <w:rPr>
          <w:i/>
          <w:iCs/>
          <w:sz w:val="24"/>
          <w:szCs w:val="24"/>
        </w:rPr>
        <w:t xml:space="preserve">Act </w:t>
      </w:r>
      <w:r w:rsidRPr="001B3920">
        <w:rPr>
          <w:sz w:val="24"/>
          <w:szCs w:val="24"/>
        </w:rPr>
        <w:t xml:space="preserve">incorporates Section </w:t>
      </w:r>
      <w:r w:rsidRPr="001B3920">
        <w:rPr>
          <w:i/>
          <w:iCs/>
          <w:sz w:val="24"/>
          <w:szCs w:val="24"/>
        </w:rPr>
        <w:t>205(a)</w:t>
      </w:r>
      <w:r w:rsidRPr="001B3920">
        <w:rPr>
          <w:sz w:val="24"/>
          <w:szCs w:val="24"/>
        </w:rPr>
        <w:t xml:space="preserve"> and applies it to Title XVI of the </w:t>
      </w:r>
      <w:r w:rsidRPr="001B3920">
        <w:rPr>
          <w:i/>
          <w:iCs/>
          <w:sz w:val="24"/>
          <w:szCs w:val="24"/>
        </w:rPr>
        <w:t>Act.</w:t>
      </w:r>
      <w:r w:rsidRPr="001B3920">
        <w:rPr>
          <w:sz w:val="24"/>
          <w:szCs w:val="24"/>
        </w:rPr>
        <w:t xml:space="preserve">  The Commissioner published regulations at </w:t>
      </w:r>
      <w:r w:rsidRPr="001B3920">
        <w:rPr>
          <w:i/>
          <w:iCs/>
          <w:sz w:val="24"/>
          <w:szCs w:val="24"/>
        </w:rPr>
        <w:t>20 CFR 404.967-404.981</w:t>
      </w:r>
      <w:r w:rsidRPr="001B3920">
        <w:rPr>
          <w:sz w:val="24"/>
          <w:szCs w:val="24"/>
        </w:rPr>
        <w:t xml:space="preserve"> and </w:t>
      </w:r>
      <w:r w:rsidRPr="001B3920">
        <w:rPr>
          <w:i/>
          <w:iCs/>
          <w:sz w:val="24"/>
          <w:szCs w:val="24"/>
        </w:rPr>
        <w:t>20 CFR 416.1467-416.1481</w:t>
      </w:r>
      <w:r w:rsidRPr="001B3920">
        <w:rPr>
          <w:sz w:val="24"/>
          <w:szCs w:val="24"/>
        </w:rPr>
        <w:t xml:space="preserve"> of the </w:t>
      </w:r>
      <w:r w:rsidRPr="001B3920">
        <w:rPr>
          <w:i/>
          <w:iCs/>
          <w:sz w:val="24"/>
          <w:szCs w:val="24"/>
        </w:rPr>
        <w:t>Code of Federal Regulations (Code)</w:t>
      </w:r>
      <w:r w:rsidRPr="001B3920">
        <w:rPr>
          <w:sz w:val="24"/>
          <w:szCs w:val="24"/>
        </w:rPr>
        <w:t xml:space="preserve">, creating an Appeals Council review process.  Additionally, The </w:t>
      </w:r>
      <w:r w:rsidRPr="001B3920">
        <w:rPr>
          <w:i/>
          <w:iCs/>
          <w:sz w:val="24"/>
          <w:szCs w:val="24"/>
        </w:rPr>
        <w:t>Foster Care Independence Act of 1999</w:t>
      </w:r>
      <w:r w:rsidRPr="001B3920">
        <w:rPr>
          <w:sz w:val="24"/>
          <w:szCs w:val="24"/>
        </w:rPr>
        <w:t xml:space="preserve">, section </w:t>
      </w:r>
      <w:r w:rsidRPr="001B3920">
        <w:rPr>
          <w:i/>
          <w:iCs/>
          <w:sz w:val="24"/>
          <w:szCs w:val="24"/>
        </w:rPr>
        <w:t>251</w:t>
      </w:r>
      <w:r w:rsidRPr="001B3920">
        <w:rPr>
          <w:sz w:val="24"/>
          <w:szCs w:val="24"/>
        </w:rPr>
        <w:t xml:space="preserve"> of </w:t>
      </w:r>
      <w:r w:rsidRPr="001B3920">
        <w:rPr>
          <w:i/>
          <w:iCs/>
          <w:sz w:val="24"/>
          <w:szCs w:val="24"/>
        </w:rPr>
        <w:t>Public Law (</w:t>
      </w:r>
      <w:r w:rsidRPr="001B3920">
        <w:rPr>
          <w:i/>
          <w:iCs/>
          <w:sz w:val="24"/>
          <w:szCs w:val="24"/>
        </w:rPr>
        <w:t>Pub.L</w:t>
      </w:r>
      <w:r w:rsidRPr="001B3920">
        <w:rPr>
          <w:i/>
          <w:iCs/>
          <w:sz w:val="24"/>
          <w:szCs w:val="24"/>
        </w:rPr>
        <w:t>.)</w:t>
      </w:r>
      <w:r w:rsidRPr="001B3920">
        <w:rPr>
          <w:sz w:val="24"/>
          <w:szCs w:val="24"/>
        </w:rPr>
        <w:t xml:space="preserve"> </w:t>
      </w:r>
      <w:r w:rsidRPr="001B3920">
        <w:rPr>
          <w:i/>
          <w:iCs/>
          <w:sz w:val="24"/>
          <w:szCs w:val="24"/>
        </w:rPr>
        <w:t>106-16,</w:t>
      </w:r>
      <w:r w:rsidRPr="001B3920">
        <w:rPr>
          <w:sz w:val="24"/>
          <w:szCs w:val="24"/>
        </w:rPr>
        <w:t xml:space="preserve"> established a new Title VIII of the </w:t>
      </w:r>
      <w:r w:rsidRPr="001B3920">
        <w:rPr>
          <w:i/>
          <w:iCs/>
          <w:sz w:val="24"/>
          <w:szCs w:val="24"/>
        </w:rPr>
        <w:t xml:space="preserve">Act </w:t>
      </w:r>
      <w:r w:rsidRPr="001B3920">
        <w:rPr>
          <w:sz w:val="24"/>
          <w:szCs w:val="24"/>
        </w:rPr>
        <w:t xml:space="preserve">for providing special cash benefits to certain World War II veterans.  Section </w:t>
      </w:r>
      <w:r w:rsidRPr="001B3920">
        <w:rPr>
          <w:i/>
          <w:iCs/>
          <w:sz w:val="24"/>
          <w:szCs w:val="24"/>
        </w:rPr>
        <w:t>809</w:t>
      </w:r>
      <w:r w:rsidRPr="001B3920">
        <w:rPr>
          <w:sz w:val="24"/>
          <w:szCs w:val="24"/>
        </w:rPr>
        <w:t xml:space="preserve"> of </w:t>
      </w:r>
      <w:r w:rsidRPr="001B3920">
        <w:rPr>
          <w:i/>
          <w:iCs/>
          <w:sz w:val="24"/>
          <w:szCs w:val="24"/>
        </w:rPr>
        <w:t>Pub.L</w:t>
      </w:r>
      <w:r w:rsidRPr="001B3920">
        <w:rPr>
          <w:i/>
          <w:iCs/>
          <w:sz w:val="24"/>
          <w:szCs w:val="24"/>
        </w:rPr>
        <w:t>.</w:t>
      </w:r>
      <w:r w:rsidRPr="001B3920">
        <w:rPr>
          <w:sz w:val="24"/>
          <w:szCs w:val="24"/>
        </w:rPr>
        <w:t xml:space="preserve"> </w:t>
      </w:r>
      <w:r w:rsidRPr="001B3920">
        <w:rPr>
          <w:i/>
          <w:iCs/>
          <w:sz w:val="24"/>
          <w:szCs w:val="24"/>
        </w:rPr>
        <w:t>106-169</w:t>
      </w:r>
      <w:r w:rsidRPr="001B3920">
        <w:rPr>
          <w:sz w:val="24"/>
          <w:szCs w:val="24"/>
        </w:rPr>
        <w:t xml:space="preserve"> establishes hearing and review rights, and the procedural protocol to administer this program.  The Commissioner published regulatory guidance for this program at </w:t>
      </w:r>
      <w:r w:rsidRPr="001B3920">
        <w:rPr>
          <w:i/>
          <w:iCs/>
          <w:sz w:val="24"/>
          <w:szCs w:val="24"/>
        </w:rPr>
        <w:t>20 CFR 408.1050.</w:t>
      </w:r>
    </w:p>
    <w:p w:rsidR="00EA3E0B" w:rsidRPr="001B3920" w:rsidP="00EA3E0B" w14:paraId="44CC879E" w14:textId="77777777">
      <w:pPr>
        <w:pStyle w:val="ListParagraph"/>
        <w:ind w:left="1080"/>
        <w:rPr>
          <w:i/>
          <w:iCs/>
          <w:sz w:val="24"/>
          <w:szCs w:val="24"/>
        </w:rPr>
      </w:pPr>
    </w:p>
    <w:p w:rsidR="00EA3E0B" w:rsidRPr="001B3920" w:rsidP="00EA3E0B" w14:paraId="2343C1B3" w14:textId="2C678B46">
      <w:pPr>
        <w:pStyle w:val="ListParagraph"/>
        <w:ind w:left="1080"/>
        <w:rPr>
          <w:b/>
          <w:bCs/>
          <w:sz w:val="24"/>
          <w:szCs w:val="24"/>
        </w:rPr>
      </w:pPr>
      <w:r w:rsidRPr="001B3920">
        <w:rPr>
          <w:sz w:val="24"/>
          <w:szCs w:val="24"/>
        </w:rPr>
        <w:t>Form</w:t>
      </w:r>
      <w:r w:rsidRPr="001B3920">
        <w:rPr>
          <w:sz w:val="24"/>
          <w:szCs w:val="24"/>
        </w:rPr>
        <w:t xml:space="preserve"> HA-520, Request for Review of Hearing Decision/Order, provides a means for individuals to request a review by the Appeals Council (AC) of a hearing decision or dismissal order.  The form also discloses who must file a written request and provide specific information to the Social Security Administration (SSA) as cited above.</w:t>
      </w:r>
    </w:p>
    <w:p w:rsidR="00EA3E0B" w:rsidRPr="001B3920" w:rsidP="00EA3E0B" w14:paraId="13337A44" w14:textId="77777777">
      <w:pPr>
        <w:pStyle w:val="ListParagraph"/>
        <w:ind w:left="1080"/>
        <w:rPr>
          <w:sz w:val="24"/>
          <w:szCs w:val="24"/>
          <w:u w:val="single"/>
        </w:rPr>
      </w:pPr>
    </w:p>
    <w:p w:rsidR="00EA3E0B" w:rsidRPr="001B3920" w:rsidP="00EA3E0B" w14:paraId="7F9D86C7" w14:textId="20793512">
      <w:pPr>
        <w:pStyle w:val="ListParagraph"/>
        <w:numPr>
          <w:ilvl w:val="0"/>
          <w:numId w:val="2"/>
        </w:numPr>
        <w:rPr>
          <w:sz w:val="24"/>
          <w:szCs w:val="24"/>
          <w:u w:val="single"/>
        </w:rPr>
      </w:pPr>
      <w:r w:rsidRPr="001B3920">
        <w:rPr>
          <w:b/>
          <w:bCs/>
          <w:sz w:val="24"/>
          <w:szCs w:val="24"/>
        </w:rPr>
        <w:t>Description of Collection</w:t>
      </w:r>
    </w:p>
    <w:p w:rsidR="00EA3E0B" w:rsidRPr="001B3920" w:rsidP="00EA3E0B" w14:paraId="48D1E04F" w14:textId="54BF1DD5">
      <w:pPr>
        <w:pStyle w:val="ListParagraph"/>
        <w:ind w:left="1080"/>
        <w:rPr>
          <w:sz w:val="24"/>
          <w:szCs w:val="24"/>
        </w:rPr>
      </w:pPr>
      <w:r w:rsidRPr="001B3920">
        <w:rPr>
          <w:sz w:val="24"/>
          <w:szCs w:val="24"/>
        </w:rPr>
        <w:t xml:space="preserve">When a person applies for Social Security benefits, such as disability, retirement, or survivors’ benefits, SSA reviews the application and associated record and </w:t>
      </w:r>
      <w:r w:rsidRPr="001B3920">
        <w:rPr>
          <w:sz w:val="24"/>
          <w:szCs w:val="24"/>
        </w:rPr>
        <w:t>makes a determination</w:t>
      </w:r>
      <w:r w:rsidRPr="001B3920">
        <w:rPr>
          <w:sz w:val="24"/>
          <w:szCs w:val="24"/>
        </w:rPr>
        <w:t xml:space="preserve"> on that claim.  When a claimant disagrees with SSA’s determination or decision, he or she has a statutory right under the </w:t>
      </w:r>
      <w:r w:rsidRPr="001B3920">
        <w:rPr>
          <w:i/>
          <w:iCs/>
          <w:sz w:val="24"/>
          <w:szCs w:val="24"/>
        </w:rPr>
        <w:t>Act</w:t>
      </w:r>
      <w:r w:rsidRPr="001B3920">
        <w:rPr>
          <w:sz w:val="24"/>
          <w:szCs w:val="24"/>
        </w:rPr>
        <w:t xml:space="preserve"> and current regulations to appeal that determination or decision.  SSA has three levels of administrative review (appeal) described in </w:t>
      </w:r>
      <w:r w:rsidRPr="001B3920">
        <w:rPr>
          <w:i/>
          <w:iCs/>
          <w:sz w:val="24"/>
          <w:szCs w:val="24"/>
        </w:rPr>
        <w:t>20 CFR 404.900</w:t>
      </w:r>
      <w:r w:rsidRPr="001B3920">
        <w:rPr>
          <w:sz w:val="24"/>
          <w:szCs w:val="24"/>
        </w:rPr>
        <w:t xml:space="preserve"> and </w:t>
      </w:r>
      <w:r w:rsidRPr="001B3920">
        <w:rPr>
          <w:i/>
          <w:iCs/>
          <w:sz w:val="24"/>
          <w:szCs w:val="24"/>
        </w:rPr>
        <w:t>416.1400</w:t>
      </w:r>
      <w:r w:rsidRPr="001B3920">
        <w:rPr>
          <w:sz w:val="24"/>
          <w:szCs w:val="24"/>
        </w:rPr>
        <w:t xml:space="preserve"> of the </w:t>
      </w:r>
      <w:r w:rsidRPr="001B3920">
        <w:rPr>
          <w:i/>
          <w:iCs/>
          <w:sz w:val="24"/>
          <w:szCs w:val="24"/>
        </w:rPr>
        <w:t>Code</w:t>
      </w:r>
      <w:r w:rsidRPr="001B3920">
        <w:rPr>
          <w:sz w:val="24"/>
          <w:szCs w:val="24"/>
        </w:rPr>
        <w:t>:  Reconsideration; Hearing by an administrative law judge; and AC review.  Respondents use Form HA</w:t>
      </w:r>
      <w:r w:rsidRPr="001B3920">
        <w:rPr>
          <w:sz w:val="24"/>
          <w:szCs w:val="24"/>
        </w:rPr>
        <w:noBreakHyphen/>
        <w:t xml:space="preserve">520 to request AC review, as claimants and beneficiaries who disagree with an administrative law judge’s hearing decision or dismissal on claims for initial or continuing entitlement or eligibility under Title II, Title XVI, and Title XVIII of the </w:t>
      </w:r>
      <w:r w:rsidRPr="001B3920">
        <w:rPr>
          <w:i/>
          <w:iCs/>
          <w:sz w:val="24"/>
          <w:szCs w:val="24"/>
        </w:rPr>
        <w:t xml:space="preserve">Act </w:t>
      </w:r>
      <w:r w:rsidRPr="001B3920">
        <w:rPr>
          <w:sz w:val="24"/>
          <w:szCs w:val="24"/>
        </w:rPr>
        <w:t>may request AC review.</w:t>
      </w:r>
    </w:p>
    <w:p w:rsidR="00EA3E0B" w:rsidRPr="001B3920" w:rsidP="00EA3E0B" w14:paraId="7E6CE13C" w14:textId="77777777">
      <w:pPr>
        <w:pStyle w:val="ListParagraph"/>
        <w:ind w:left="1080"/>
        <w:rPr>
          <w:sz w:val="24"/>
          <w:szCs w:val="24"/>
        </w:rPr>
      </w:pPr>
    </w:p>
    <w:p w:rsidR="00EA3E0B" w:rsidRPr="001B3920" w:rsidP="00EA3E0B" w14:paraId="3C3AAB05" w14:textId="52FEB642">
      <w:pPr>
        <w:pStyle w:val="ListParagraph"/>
        <w:ind w:left="1080"/>
        <w:rPr>
          <w:sz w:val="24"/>
          <w:szCs w:val="24"/>
        </w:rPr>
      </w:pPr>
      <w:r w:rsidRPr="001B3920">
        <w:rPr>
          <w:sz w:val="24"/>
          <w:szCs w:val="24"/>
        </w:rPr>
        <w:t xml:space="preserve">When SSA issues the hearing decision or dismissal, they mail the claimant a copy of the decision or dismissal along with a Notice of Decision or Notice of Dismissal which provides instructions on how to request AC review.  This information, along with a list of the information respondents need to </w:t>
      </w:r>
      <w:r w:rsidRPr="001B3920">
        <w:rPr>
          <w:sz w:val="24"/>
          <w:szCs w:val="24"/>
        </w:rPr>
        <w:t>respond</w:t>
      </w:r>
      <w:r w:rsidRPr="001B3920">
        <w:rPr>
          <w:sz w:val="24"/>
          <w:szCs w:val="24"/>
        </w:rPr>
        <w:t>, is also located on SSA’s website.  Both the Notice of Decision or Dismissal and SSA’s website provide the claimant with a phone number to contact if they have questions or need support completing this process.</w:t>
      </w:r>
    </w:p>
    <w:p w:rsidR="00EA3E0B" w:rsidRPr="001B3920" w:rsidP="00EA3E0B" w14:paraId="43CC1466" w14:textId="77777777">
      <w:pPr>
        <w:pStyle w:val="ListParagraph"/>
        <w:ind w:left="1080"/>
        <w:rPr>
          <w:sz w:val="24"/>
          <w:szCs w:val="24"/>
        </w:rPr>
      </w:pPr>
    </w:p>
    <w:p w:rsidR="00EA3E0B" w:rsidRPr="001B3920" w:rsidP="00EA3E0B" w14:paraId="70E98E17" w14:textId="4DBA05E3">
      <w:pPr>
        <w:pStyle w:val="ListParagraph"/>
        <w:ind w:left="1080"/>
        <w:rPr>
          <w:sz w:val="24"/>
          <w:szCs w:val="24"/>
        </w:rPr>
      </w:pPr>
      <w:r w:rsidRPr="001B3920">
        <w:rPr>
          <w:sz w:val="24"/>
          <w:szCs w:val="24"/>
        </w:rPr>
        <w:t>To initiate the appeals process, respondents must request in writing that the AC review the hearing decision.  The completion and submission of the HA-520 or i520 is voluntary, and the AC will accept other written documentation requesting review.  If the respondent utilizes Form HA-520 or i520, they may request AC review through filing a written request using Form HA-520 by mail or in a Field Office (FO), or by completing the Internet version of Form HA-520, the i520.  If prepared in a FO, SSA staff help to instruct respondents on the sections they must complete (i.e., the claimant’s name and social security number, and the claim number) and explain the voluntary sections to the respondent, along with the ones we recommend they complete (e.g., producing evidence, and the signature section).  Respondents who choose to use the Internet option may either utilize the help screens within the i520 pathing or may call SSA to request a technician to help them.</w:t>
      </w:r>
    </w:p>
    <w:p w:rsidR="003C33C1" w:rsidRPr="001B3920" w:rsidP="00EA3E0B" w14:paraId="3CB7E8C0" w14:textId="77777777">
      <w:pPr>
        <w:pStyle w:val="ListParagraph"/>
        <w:ind w:left="1080"/>
        <w:rPr>
          <w:sz w:val="24"/>
          <w:szCs w:val="24"/>
        </w:rPr>
      </w:pPr>
    </w:p>
    <w:p w:rsidR="003C33C1" w:rsidRPr="001B3920" w:rsidP="00EA3E0B" w14:paraId="3360C852" w14:textId="524425E3">
      <w:pPr>
        <w:pStyle w:val="ListParagraph"/>
        <w:ind w:left="1080"/>
        <w:rPr>
          <w:sz w:val="24"/>
          <w:szCs w:val="24"/>
        </w:rPr>
      </w:pPr>
      <w:r w:rsidRPr="001B3920">
        <w:rPr>
          <w:sz w:val="24"/>
          <w:szCs w:val="24"/>
        </w:rPr>
        <w:t>SSA uses the information gathered on Form HA-520 to establish that the claimant filed the request for review within the prescribed time and to ensure the claimant completed the requisite steps permitting the AC review.  The AC uses the information to:  (1) document the claimant’s reason(s) for disagreeing with the hearing decision or dismissal order; (2) determine whether the claimant has additional evidence to submit; (3) determine whether the claimant is requesting an extension of time, and (4) confirm whether the claimant has a representative or wants to appoint one, regardless of if they had a representative for their hearing request.</w:t>
      </w:r>
    </w:p>
    <w:p w:rsidR="00EA3E0B" w:rsidRPr="001B3920" w:rsidP="00EA3E0B" w14:paraId="714C47D6" w14:textId="77777777">
      <w:pPr>
        <w:pStyle w:val="ListParagraph"/>
        <w:ind w:left="1080"/>
        <w:rPr>
          <w:sz w:val="24"/>
          <w:szCs w:val="24"/>
        </w:rPr>
      </w:pPr>
    </w:p>
    <w:p w:rsidR="00EA3E0B" w:rsidRPr="001B3920" w:rsidP="00EA3E0B" w14:paraId="67E3D2FD" w14:textId="48DA864C">
      <w:pPr>
        <w:pStyle w:val="ListParagraph"/>
        <w:ind w:left="1080"/>
        <w:rPr>
          <w:sz w:val="24"/>
          <w:szCs w:val="24"/>
        </w:rPr>
      </w:pPr>
      <w:r w:rsidRPr="001B3920">
        <w:rPr>
          <w:sz w:val="24"/>
          <w:szCs w:val="24"/>
        </w:rPr>
        <w:t>Respondents are generally claimants requesting review of a hearing decision or order of dismissal, or their appointed representative, guardian, parent of a minor claimant, or representative payee.  If the respondent is a representative, he or she must file the appropriate SSA-1696 (Appointment of Representative) either prior to, or alongside the HA</w:t>
      </w:r>
      <w:r w:rsidRPr="001B3920">
        <w:rPr>
          <w:sz w:val="24"/>
          <w:szCs w:val="24"/>
        </w:rPr>
        <w:noBreakHyphen/>
        <w:t xml:space="preserve">520.  When prepared </w:t>
      </w:r>
      <w:r w:rsidRPr="001B3920">
        <w:rPr>
          <w:sz w:val="24"/>
          <w:szCs w:val="24"/>
        </w:rPr>
        <w:t>in</w:t>
      </w:r>
      <w:r w:rsidRPr="001B3920">
        <w:rPr>
          <w:sz w:val="24"/>
          <w:szCs w:val="24"/>
        </w:rPr>
        <w:t xml:space="preserve"> the FO, FO personnel may also assist by obtaining a Form SSA-1696 if necessary.  However, the respondent may also be a third party filing the request for review on behalf of the claimant.  If a third party responds, staff assisting the AC may contact the claimant to notify the claimant of the appeal and determine whether the claimant wants to proceed or whether the claimant was attempting to appoint the third party as a representative.  Respondents may complete Form HA-520 alone or with help.</w:t>
      </w:r>
    </w:p>
    <w:p w:rsidR="00EA3E0B" w:rsidRPr="001B3920" w:rsidP="00EA3E0B" w14:paraId="3F8DCF3E" w14:textId="77777777">
      <w:pPr>
        <w:pStyle w:val="ListParagraph"/>
        <w:ind w:left="1080"/>
        <w:rPr>
          <w:sz w:val="24"/>
          <w:szCs w:val="24"/>
        </w:rPr>
      </w:pPr>
    </w:p>
    <w:p w:rsidR="0050119A" w:rsidRPr="001B3920" w:rsidP="0050119A" w14:paraId="51BD7794" w14:textId="77777777">
      <w:pPr>
        <w:pStyle w:val="ListParagraph"/>
        <w:ind w:left="1080"/>
        <w:rPr>
          <w:sz w:val="24"/>
          <w:szCs w:val="24"/>
        </w:rPr>
      </w:pPr>
      <w:r w:rsidRPr="001B3920">
        <w:rPr>
          <w:sz w:val="24"/>
          <w:szCs w:val="24"/>
        </w:rPr>
        <w:t>Form</w:t>
      </w:r>
      <w:r w:rsidRPr="001B3920">
        <w:rPr>
          <w:sz w:val="24"/>
          <w:szCs w:val="24"/>
        </w:rPr>
        <w:t xml:space="preserve"> HA-520 collects information necessary for the AC to review the hearing decision or dismissal, including the claimant’s name and social security number, and the claim number (if different than the social security number).  Form HA-520 also collects information on why the claimant wishes to request AC review of the hearing decision or dismissal order (the “argument”).  </w:t>
      </w:r>
      <w:r w:rsidRPr="001B3920">
        <w:rPr>
          <w:sz w:val="24"/>
          <w:szCs w:val="24"/>
        </w:rPr>
        <w:t>Respondents may submit a</w:t>
      </w:r>
      <w:r w:rsidRPr="001B3920">
        <w:rPr>
          <w:sz w:val="24"/>
          <w:szCs w:val="24"/>
        </w:rPr>
        <w:t xml:space="preserve">rguments and appeal reasons </w:t>
      </w:r>
      <w:r w:rsidRPr="001B3920">
        <w:rPr>
          <w:sz w:val="24"/>
          <w:szCs w:val="24"/>
        </w:rPr>
        <w:t>which are</w:t>
      </w:r>
      <w:r w:rsidRPr="001B3920">
        <w:rPr>
          <w:sz w:val="24"/>
          <w:szCs w:val="24"/>
        </w:rPr>
        <w:t xml:space="preserve"> highly variable in terms of length and specificity and may include conclusory statements such as “I am disabled” or multipage statements or briefs.</w:t>
      </w:r>
      <w:r w:rsidRPr="001B3920">
        <w:rPr>
          <w:sz w:val="24"/>
          <w:szCs w:val="24"/>
        </w:rPr>
        <w:t xml:space="preserve">  </w:t>
      </w:r>
      <w:r w:rsidRPr="001B3920">
        <w:rPr>
          <w:sz w:val="24"/>
          <w:szCs w:val="24"/>
        </w:rPr>
        <w:t>Form</w:t>
      </w:r>
      <w:r w:rsidRPr="001B3920">
        <w:rPr>
          <w:sz w:val="24"/>
          <w:szCs w:val="24"/>
        </w:rPr>
        <w:t xml:space="preserve"> HA-520 also requires the respondent to identify or submit with the form any additional evidence not previously submitted that relates to the period on or before the date of </w:t>
      </w:r>
      <w:r w:rsidRPr="001B3920">
        <w:rPr>
          <w:sz w:val="24"/>
          <w:szCs w:val="24"/>
        </w:rPr>
        <w:t>the hearing</w:t>
      </w:r>
      <w:r w:rsidRPr="001B3920">
        <w:rPr>
          <w:sz w:val="24"/>
          <w:szCs w:val="24"/>
        </w:rPr>
        <w:t xml:space="preserve"> decision.  If the respondents have additional evidence that relates to the period on or before the date of the hearing decision, they must inform the AC about it or submit it to SSA when they submit the completed form.</w:t>
      </w:r>
    </w:p>
    <w:p w:rsidR="0050119A" w:rsidRPr="001B3920" w:rsidP="0050119A" w14:paraId="04B56141" w14:textId="77777777">
      <w:pPr>
        <w:pStyle w:val="ListParagraph"/>
        <w:ind w:left="1080"/>
        <w:rPr>
          <w:sz w:val="24"/>
          <w:szCs w:val="24"/>
        </w:rPr>
      </w:pPr>
    </w:p>
    <w:p w:rsidR="0050119A" w:rsidRPr="001B3920" w:rsidP="0050119A" w14:paraId="23F5DF03" w14:textId="2A0DBBC2">
      <w:pPr>
        <w:pStyle w:val="ListParagraph"/>
        <w:ind w:left="1080"/>
        <w:rPr>
          <w:sz w:val="24"/>
          <w:szCs w:val="24"/>
        </w:rPr>
      </w:pPr>
      <w:r w:rsidRPr="001B3920">
        <w:rPr>
          <w:sz w:val="24"/>
          <w:szCs w:val="24"/>
        </w:rPr>
        <w:t>Additionally, Form HA-520 allows a claimant or an appointed representative to request an extension of time (EOT) to submit additional evidence or arguments to the AC.  While the AC will accept an EOT request in writing or by telephone, the HA</w:t>
      </w:r>
      <w:r w:rsidRPr="001B3920" w:rsidR="003C33C1">
        <w:rPr>
          <w:sz w:val="24"/>
          <w:szCs w:val="24"/>
        </w:rPr>
        <w:noBreakHyphen/>
      </w:r>
      <w:r w:rsidRPr="001B3920">
        <w:rPr>
          <w:sz w:val="24"/>
          <w:szCs w:val="24"/>
        </w:rPr>
        <w:t>520 and i520 include the option for the claimant to request an EOT on the forms themselves.  For an initial EOT request, the AC generally provides the claimant or appointed representative 25 days from the date of the notice granting the EOT.</w:t>
      </w:r>
    </w:p>
    <w:p w:rsidR="003C33C1" w:rsidRPr="001B3920" w:rsidP="0050119A" w14:paraId="619FC0F5" w14:textId="77777777">
      <w:pPr>
        <w:pStyle w:val="ListParagraph"/>
        <w:ind w:left="1080"/>
        <w:rPr>
          <w:sz w:val="24"/>
          <w:szCs w:val="24"/>
        </w:rPr>
      </w:pPr>
    </w:p>
    <w:p w:rsidR="003C33C1" w:rsidRPr="001B3920" w:rsidP="0050119A" w14:paraId="33C6E613" w14:textId="40DF4B5F">
      <w:pPr>
        <w:pStyle w:val="ListParagraph"/>
        <w:ind w:left="1080"/>
        <w:rPr>
          <w:sz w:val="24"/>
          <w:szCs w:val="24"/>
        </w:rPr>
      </w:pPr>
      <w:r w:rsidRPr="001B3920">
        <w:rPr>
          <w:sz w:val="24"/>
          <w:szCs w:val="24"/>
        </w:rPr>
        <w:t>In situations where the respondent submits the HA-520 or i520 without providing additional evidence or argument, or requesting an EOT, the AC reviews the request based on the existing file.</w:t>
      </w:r>
    </w:p>
    <w:p w:rsidR="003C33C1" w:rsidRPr="001B3920" w:rsidP="0050119A" w14:paraId="33EA8C38" w14:textId="77777777">
      <w:pPr>
        <w:pStyle w:val="ListParagraph"/>
        <w:ind w:left="1080"/>
        <w:rPr>
          <w:sz w:val="24"/>
          <w:szCs w:val="24"/>
        </w:rPr>
      </w:pPr>
    </w:p>
    <w:p w:rsidR="003C33C1" w:rsidRPr="001B3920" w:rsidP="0050119A" w14:paraId="7ACB0000" w14:textId="39265C55">
      <w:pPr>
        <w:pStyle w:val="ListParagraph"/>
        <w:ind w:left="1080"/>
        <w:rPr>
          <w:rFonts w:eastAsia="Calibri"/>
          <w:sz w:val="24"/>
          <w:szCs w:val="24"/>
        </w:rPr>
      </w:pPr>
      <w:r w:rsidRPr="001B3920">
        <w:rPr>
          <w:rFonts w:eastAsia="Calibri"/>
          <w:sz w:val="24"/>
          <w:szCs w:val="24"/>
          <w:lang w:eastAsia="en-US"/>
        </w:rPr>
        <w:t>Finally, when</w:t>
      </w:r>
      <w:r w:rsidRPr="001B3920">
        <w:rPr>
          <w:rFonts w:eastAsia="Calibri"/>
          <w:sz w:val="24"/>
          <w:szCs w:val="24"/>
        </w:rPr>
        <w:t xml:space="preserve"> the FO receives</w:t>
      </w:r>
      <w:r w:rsidRPr="001B3920">
        <w:rPr>
          <w:rFonts w:eastAsia="Calibri"/>
          <w:sz w:val="24"/>
          <w:szCs w:val="24"/>
          <w:lang w:eastAsia="en-US"/>
        </w:rPr>
        <w:t xml:space="preserve"> a Form HA-520, whether by mail or from the claimant after they complete their sections in person, the FO also complete</w:t>
      </w:r>
      <w:r w:rsidRPr="001B3920">
        <w:rPr>
          <w:rFonts w:eastAsia="Calibri"/>
          <w:sz w:val="24"/>
          <w:szCs w:val="24"/>
        </w:rPr>
        <w:t>s</w:t>
      </w:r>
      <w:r w:rsidRPr="001B3920">
        <w:rPr>
          <w:rFonts w:eastAsia="Calibri"/>
          <w:sz w:val="24"/>
          <w:szCs w:val="24"/>
          <w:lang w:eastAsia="en-US"/>
        </w:rPr>
        <w:t xml:space="preserve"> the SSA portion of Form HA-520 that confirms when and where </w:t>
      </w:r>
      <w:r w:rsidRPr="001B3920">
        <w:rPr>
          <w:rFonts w:eastAsia="Calibri"/>
          <w:sz w:val="24"/>
          <w:szCs w:val="24"/>
        </w:rPr>
        <w:t xml:space="preserve">we received </w:t>
      </w:r>
      <w:r w:rsidRPr="001B3920">
        <w:rPr>
          <w:rFonts w:eastAsia="Calibri"/>
          <w:sz w:val="24"/>
          <w:szCs w:val="24"/>
          <w:lang w:eastAsia="en-US"/>
        </w:rPr>
        <w:t>the form</w:t>
      </w:r>
      <w:r w:rsidRPr="001B3920">
        <w:rPr>
          <w:rFonts w:eastAsia="Calibri"/>
          <w:sz w:val="24"/>
          <w:szCs w:val="24"/>
        </w:rPr>
        <w:t>;</w:t>
      </w:r>
      <w:r w:rsidRPr="001B3920">
        <w:rPr>
          <w:rFonts w:eastAsia="Calibri"/>
          <w:sz w:val="24"/>
          <w:szCs w:val="24"/>
          <w:lang w:eastAsia="en-US"/>
        </w:rPr>
        <w:t xml:space="preserve"> that </w:t>
      </w:r>
      <w:r w:rsidRPr="001B3920">
        <w:rPr>
          <w:rFonts w:eastAsia="Calibri"/>
          <w:sz w:val="24"/>
          <w:szCs w:val="24"/>
        </w:rPr>
        <w:t>we</w:t>
      </w:r>
      <w:r w:rsidRPr="001B3920">
        <w:rPr>
          <w:rFonts w:eastAsia="Calibri"/>
          <w:sz w:val="24"/>
          <w:szCs w:val="24"/>
          <w:lang w:eastAsia="en-US"/>
        </w:rPr>
        <w:t xml:space="preserve"> received </w:t>
      </w:r>
      <w:r w:rsidRPr="001B3920">
        <w:rPr>
          <w:rFonts w:eastAsia="Calibri"/>
          <w:sz w:val="24"/>
          <w:szCs w:val="24"/>
        </w:rPr>
        <w:t xml:space="preserve">it </w:t>
      </w:r>
      <w:r w:rsidRPr="001B3920">
        <w:rPr>
          <w:rFonts w:eastAsia="Calibri"/>
          <w:sz w:val="24"/>
          <w:szCs w:val="24"/>
          <w:lang w:eastAsia="en-US"/>
        </w:rPr>
        <w:t>within 65 days of the hearing decision or dismissal order</w:t>
      </w:r>
      <w:r w:rsidRPr="001B3920">
        <w:rPr>
          <w:rFonts w:eastAsia="Calibri"/>
          <w:sz w:val="24"/>
          <w:szCs w:val="24"/>
        </w:rPr>
        <w:t>;</w:t>
      </w:r>
      <w:r w:rsidRPr="001B3920">
        <w:rPr>
          <w:rFonts w:eastAsia="Calibri"/>
          <w:sz w:val="24"/>
          <w:szCs w:val="24"/>
          <w:lang w:eastAsia="en-US"/>
        </w:rPr>
        <w:t xml:space="preserve"> and the type of benefits the claimant is appealing.  If the </w:t>
      </w:r>
      <w:r w:rsidRPr="001B3920">
        <w:rPr>
          <w:rFonts w:eastAsia="Calibri"/>
          <w:sz w:val="24"/>
          <w:szCs w:val="24"/>
        </w:rPr>
        <w:t xml:space="preserve">FO receives the </w:t>
      </w:r>
      <w:r w:rsidRPr="001B3920">
        <w:rPr>
          <w:rFonts w:eastAsia="Calibri"/>
          <w:sz w:val="24"/>
          <w:szCs w:val="24"/>
          <w:lang w:eastAsia="en-US"/>
        </w:rPr>
        <w:t>form after the 65-day window close</w:t>
      </w:r>
      <w:r w:rsidRPr="001B3920">
        <w:rPr>
          <w:rFonts w:eastAsia="Calibri"/>
          <w:sz w:val="24"/>
          <w:szCs w:val="24"/>
        </w:rPr>
        <w:t>s</w:t>
      </w:r>
      <w:r w:rsidRPr="001B3920">
        <w:rPr>
          <w:rFonts w:eastAsia="Calibri"/>
          <w:sz w:val="24"/>
          <w:szCs w:val="24"/>
          <w:lang w:eastAsia="en-US"/>
        </w:rPr>
        <w:t xml:space="preserve">, </w:t>
      </w:r>
      <w:r w:rsidRPr="001B3920">
        <w:rPr>
          <w:rFonts w:eastAsia="Calibri"/>
          <w:sz w:val="24"/>
          <w:szCs w:val="24"/>
        </w:rPr>
        <w:t xml:space="preserve">the FO informs the claimant that he or she can provide </w:t>
      </w:r>
      <w:r w:rsidRPr="001B3920">
        <w:rPr>
          <w:rFonts w:eastAsia="Calibri"/>
          <w:sz w:val="24"/>
          <w:szCs w:val="24"/>
          <w:lang w:eastAsia="en-US"/>
        </w:rPr>
        <w:t xml:space="preserve">additional documentation to justify </w:t>
      </w:r>
      <w:r w:rsidRPr="001B3920">
        <w:rPr>
          <w:rFonts w:eastAsia="Calibri"/>
          <w:sz w:val="24"/>
          <w:szCs w:val="24"/>
        </w:rPr>
        <w:t>good cause for filing late</w:t>
      </w:r>
      <w:r w:rsidRPr="001B3920">
        <w:rPr>
          <w:rFonts w:eastAsia="Calibri"/>
          <w:sz w:val="24"/>
          <w:szCs w:val="24"/>
          <w:lang w:eastAsia="en-US"/>
        </w:rPr>
        <w:t xml:space="preserve">.  For HA-520s filed in an FO, field staff </w:t>
      </w:r>
      <w:r w:rsidRPr="001B3920">
        <w:rPr>
          <w:rFonts w:eastAsia="Calibri"/>
          <w:sz w:val="24"/>
          <w:szCs w:val="24"/>
          <w:lang w:eastAsia="en-US"/>
        </w:rPr>
        <w:t>produce</w:t>
      </w:r>
      <w:r w:rsidRPr="001B3920">
        <w:rPr>
          <w:rFonts w:eastAsia="Calibri"/>
          <w:sz w:val="24"/>
          <w:szCs w:val="24"/>
        </w:rPr>
        <w:t>s</w:t>
      </w:r>
      <w:r w:rsidRPr="001B3920">
        <w:rPr>
          <w:rFonts w:eastAsia="Calibri"/>
          <w:sz w:val="24"/>
          <w:szCs w:val="24"/>
          <w:lang w:eastAsia="en-US"/>
        </w:rPr>
        <w:t xml:space="preserve"> copies to be kept in SSA records, given to the claimant, and given to any appointed representatives (if applicable).</w:t>
      </w:r>
    </w:p>
    <w:p w:rsidR="003C33C1" w:rsidRPr="001B3920" w:rsidP="0050119A" w14:paraId="5C37D3CF" w14:textId="77777777">
      <w:pPr>
        <w:pStyle w:val="ListParagraph"/>
        <w:ind w:left="1080"/>
        <w:rPr>
          <w:rFonts w:eastAsia="Calibri"/>
          <w:sz w:val="24"/>
          <w:szCs w:val="24"/>
        </w:rPr>
      </w:pPr>
    </w:p>
    <w:p w:rsidR="003C33C1" w:rsidRPr="001B3920" w:rsidP="003C33C1" w14:paraId="68B7AE03" w14:textId="5E25CC1F">
      <w:pPr>
        <w:pStyle w:val="ListParagraph"/>
        <w:ind w:left="1080"/>
        <w:rPr>
          <w:rFonts w:eastAsia="Calibri"/>
          <w:sz w:val="24"/>
          <w:szCs w:val="24"/>
          <w:lang w:eastAsia="en-US"/>
        </w:rPr>
      </w:pPr>
      <w:r w:rsidRPr="001B3920">
        <w:rPr>
          <w:rFonts w:eastAsia="Calibri"/>
          <w:sz w:val="24"/>
          <w:szCs w:val="24"/>
          <w:lang w:eastAsia="en-US"/>
        </w:rPr>
        <w:t>We identified the following psychological cost based on the requirements for this information collection:</w:t>
      </w:r>
    </w:p>
    <w:p w:rsidR="003C33C1" w:rsidRPr="001B3920" w:rsidP="003C33C1" w14:paraId="12D47E44" w14:textId="77777777">
      <w:pPr>
        <w:pStyle w:val="ListParagraph"/>
        <w:ind w:left="1080"/>
        <w:rPr>
          <w:rFonts w:eastAsia="Calibri"/>
          <w:sz w:val="24"/>
          <w:szCs w:val="24"/>
          <w:lang w:eastAsia="en-US"/>
        </w:rPr>
      </w:pPr>
    </w:p>
    <w:p w:rsidR="003C33C1" w:rsidRPr="001B3920" w:rsidP="003C33C1" w14:paraId="68B537D1" w14:textId="77777777">
      <w:pPr>
        <w:pStyle w:val="ListParagraph"/>
        <w:numPr>
          <w:ilvl w:val="0"/>
          <w:numId w:val="4"/>
        </w:numPr>
        <w:rPr>
          <w:sz w:val="24"/>
          <w:szCs w:val="24"/>
        </w:rPr>
      </w:pPr>
      <w:r w:rsidRPr="001B3920">
        <w:rPr>
          <w:rFonts w:eastAsia="Calibri"/>
          <w:b/>
          <w:bCs/>
          <w:sz w:val="24"/>
          <w:szCs w:val="24"/>
          <w:u w:val="single"/>
        </w:rPr>
        <w:t xml:space="preserve">Psychological Cost </w:t>
      </w:r>
    </w:p>
    <w:p w:rsidR="003C33C1" w:rsidRPr="001B3920" w:rsidP="003C33C1" w14:paraId="220BC1C7" w14:textId="77777777">
      <w:pPr>
        <w:pStyle w:val="ListParagraph"/>
        <w:numPr>
          <w:ilvl w:val="1"/>
          <w:numId w:val="4"/>
        </w:numPr>
        <w:ind w:left="1800"/>
        <w:rPr>
          <w:sz w:val="24"/>
          <w:szCs w:val="24"/>
        </w:rPr>
      </w:pPr>
      <w:r w:rsidRPr="001B3920">
        <w:rPr>
          <w:b/>
          <w:bCs/>
          <w:sz w:val="24"/>
          <w:szCs w:val="24"/>
        </w:rPr>
        <w:t xml:space="preserve">Requirement for the Program: </w:t>
      </w:r>
      <w:r w:rsidRPr="001B3920">
        <w:rPr>
          <w:sz w:val="24"/>
          <w:szCs w:val="24"/>
        </w:rPr>
        <w:t xml:space="preserve">Form HA-520 collects basic information SSA needs to process the appeal.  </w:t>
      </w:r>
      <w:r w:rsidRPr="001B3920">
        <w:rPr>
          <w:sz w:val="24"/>
          <w:szCs w:val="24"/>
        </w:rPr>
        <w:t>Form</w:t>
      </w:r>
      <w:r w:rsidRPr="001B3920">
        <w:rPr>
          <w:sz w:val="24"/>
          <w:szCs w:val="24"/>
        </w:rPr>
        <w:t xml:space="preserve"> HA-520 requests specific identifying information </w:t>
      </w:r>
      <w:r w:rsidRPr="001B3920">
        <w:rPr>
          <w:sz w:val="24"/>
          <w:szCs w:val="24"/>
        </w:rPr>
        <w:t>such as:</w:t>
      </w:r>
      <w:r w:rsidRPr="001B3920">
        <w:rPr>
          <w:sz w:val="24"/>
          <w:szCs w:val="24"/>
        </w:rPr>
        <w:t xml:space="preserve"> the claimant’s name; Social Security number; and contact information; name and contact information for any representative helping the claimant with the appeal; and the reason the claimant disagrees with the determination.  In addition, the Notice of Decision or Dismissal places a time constraint on respondents of 60 days to submit the appeal.</w:t>
      </w:r>
    </w:p>
    <w:p w:rsidR="003C33C1" w:rsidRPr="001B3920" w:rsidP="003C33C1" w14:paraId="31A7AA84" w14:textId="77777777">
      <w:pPr>
        <w:pStyle w:val="ListParagraph"/>
        <w:ind w:left="1800"/>
        <w:rPr>
          <w:sz w:val="24"/>
          <w:szCs w:val="24"/>
        </w:rPr>
      </w:pPr>
    </w:p>
    <w:p w:rsidR="003C33C1" w:rsidRPr="001B3920" w:rsidP="003C33C1" w14:paraId="2EA3BC74" w14:textId="3815A6AA">
      <w:pPr>
        <w:pStyle w:val="ListParagraph"/>
        <w:numPr>
          <w:ilvl w:val="1"/>
          <w:numId w:val="4"/>
        </w:numPr>
        <w:ind w:left="1800"/>
        <w:rPr>
          <w:sz w:val="24"/>
          <w:szCs w:val="24"/>
        </w:rPr>
      </w:pPr>
      <w:r w:rsidRPr="001B3920">
        <w:rPr>
          <w:b/>
          <w:bCs/>
          <w:sz w:val="24"/>
          <w:szCs w:val="24"/>
        </w:rPr>
        <w:t xml:space="preserve">Psychological Cost: </w:t>
      </w:r>
      <w:r w:rsidRPr="001B3920">
        <w:rPr>
          <w:sz w:val="24"/>
          <w:szCs w:val="24"/>
        </w:rPr>
        <w:t>Due to the request for more information and the time constraint on the appeal, the respondent may find the entire process stressful to the point that it may take them longer to complete the appeal process, or they may postpone it, or abandon completing a form.</w:t>
      </w:r>
    </w:p>
    <w:p w:rsidR="003C33C1" w:rsidRPr="001B3920" w:rsidP="003C33C1" w14:paraId="65A29BFD" w14:textId="77777777">
      <w:pPr>
        <w:rPr>
          <w:sz w:val="24"/>
          <w:szCs w:val="24"/>
        </w:rPr>
      </w:pPr>
    </w:p>
    <w:p w:rsidR="003C33C1" w:rsidRPr="001B3920" w:rsidP="003C33C1" w14:paraId="32B631F2" w14:textId="5A818595">
      <w:pPr>
        <w:pStyle w:val="ListParagraph"/>
        <w:ind w:left="1080"/>
        <w:rPr>
          <w:rFonts w:eastAsia="Calibri"/>
          <w:sz w:val="24"/>
          <w:szCs w:val="24"/>
        </w:rPr>
      </w:pPr>
      <w:r w:rsidRPr="001B3920">
        <w:rPr>
          <w:rFonts w:eastAsia="Calibri"/>
          <w:sz w:val="24"/>
          <w:szCs w:val="24"/>
        </w:rPr>
        <w:t>We understand these psychological costs may cause respondents to delay their completion of the information collection or cause them to abandon the information collection entirely.  However, we require completion of this collection to process the appeal.  Therefore, we have taken this potential psychological cost into account when calculating our burden in #12 below.</w:t>
      </w:r>
    </w:p>
    <w:p w:rsidR="003C33C1" w:rsidRPr="001B3920" w:rsidP="003C33C1" w14:paraId="6C3ABFA8" w14:textId="77777777">
      <w:pPr>
        <w:pStyle w:val="ListParagraph"/>
        <w:ind w:left="1080"/>
        <w:rPr>
          <w:rFonts w:eastAsia="Calibri"/>
          <w:sz w:val="24"/>
          <w:szCs w:val="24"/>
        </w:rPr>
      </w:pPr>
    </w:p>
    <w:p w:rsidR="00EA3E0B" w:rsidRPr="001B3920" w:rsidP="003C33C1" w14:paraId="1B3C59C6" w14:textId="00569C5F">
      <w:pPr>
        <w:pStyle w:val="ListParagraph"/>
        <w:ind w:left="1080"/>
        <w:rPr>
          <w:sz w:val="24"/>
          <w:szCs w:val="24"/>
        </w:rPr>
      </w:pPr>
      <w:r w:rsidRPr="001B3920">
        <w:rPr>
          <w:sz w:val="24"/>
          <w:szCs w:val="24"/>
        </w:rPr>
        <w:t xml:space="preserve">Respondents are claimants, or their appointed representative, guardian, parent of a minor claimant, or representative payee, requesting review of a hearing decision or order of dismissal.  </w:t>
      </w:r>
    </w:p>
    <w:p w:rsidR="003C33C1" w:rsidRPr="001B3920" w:rsidP="003C33C1" w14:paraId="1418E560" w14:textId="77777777">
      <w:pPr>
        <w:pStyle w:val="ListParagraph"/>
        <w:ind w:left="1080"/>
        <w:rPr>
          <w:b/>
          <w:bCs/>
          <w:sz w:val="24"/>
          <w:szCs w:val="24"/>
        </w:rPr>
      </w:pPr>
    </w:p>
    <w:p w:rsidR="00EA3E0B" w:rsidRPr="001B3920" w:rsidP="00EA3E0B" w14:paraId="3E1DF497" w14:textId="226FE541">
      <w:pPr>
        <w:pStyle w:val="ListParagraph"/>
        <w:numPr>
          <w:ilvl w:val="0"/>
          <w:numId w:val="2"/>
        </w:numPr>
        <w:rPr>
          <w:sz w:val="24"/>
          <w:szCs w:val="24"/>
          <w:u w:val="single"/>
        </w:rPr>
      </w:pPr>
      <w:r w:rsidRPr="001B3920">
        <w:rPr>
          <w:b/>
          <w:bCs/>
          <w:sz w:val="24"/>
          <w:szCs w:val="24"/>
        </w:rPr>
        <w:t>Use of Information Technology to Collect the Information</w:t>
      </w:r>
    </w:p>
    <w:p w:rsidR="003C33C1" w:rsidRPr="001B3920" w:rsidP="003C33C1" w14:paraId="5D68CB0F" w14:textId="763E1120">
      <w:pPr>
        <w:pStyle w:val="ListParagraph"/>
        <w:ind w:left="1080"/>
        <w:rPr>
          <w:snapToGrid w:val="0"/>
          <w:sz w:val="24"/>
          <w:szCs w:val="24"/>
        </w:rPr>
      </w:pPr>
      <w:r w:rsidRPr="001B3920">
        <w:rPr>
          <w:noProof/>
          <w:snapToGrid w:val="0"/>
          <w:sz w:val="24"/>
          <w:szCs w:val="24"/>
        </w:rPr>
        <w:t>In accordance with the agency’s Government Paperwork Elimination Act plan,</w:t>
      </w:r>
      <w:r w:rsidRPr="001B3920">
        <w:rPr>
          <w:sz w:val="24"/>
          <w:szCs w:val="24"/>
        </w:rPr>
        <w:t xml:space="preserve"> we developed the Internet version of Form HA-520, the i520.  The i520 allows claimants and appointed representatives to submit appeals and evidence electronically.  </w:t>
      </w:r>
      <w:r w:rsidRPr="001B3920">
        <w:rPr>
          <w:snapToGrid w:val="0"/>
          <w:sz w:val="24"/>
          <w:szCs w:val="24"/>
        </w:rPr>
        <w:t>Based on our data, we estimate approximately 89% of respondents under this OMB number use the electronic version.</w:t>
      </w:r>
    </w:p>
    <w:p w:rsidR="003C33C1" w:rsidRPr="001B3920" w:rsidP="003C33C1" w14:paraId="3C48D978" w14:textId="77777777">
      <w:pPr>
        <w:pStyle w:val="ListParagraph"/>
        <w:ind w:left="1080"/>
        <w:rPr>
          <w:snapToGrid w:val="0"/>
          <w:sz w:val="24"/>
          <w:szCs w:val="24"/>
        </w:rPr>
      </w:pPr>
    </w:p>
    <w:p w:rsidR="003C33C1" w:rsidRPr="001B3920" w:rsidP="003C33C1" w14:paraId="0E9267C6" w14:textId="197E3BC0">
      <w:pPr>
        <w:pStyle w:val="ListParagraph"/>
        <w:ind w:left="1080"/>
        <w:rPr>
          <w:b/>
          <w:bCs/>
          <w:sz w:val="24"/>
          <w:szCs w:val="24"/>
        </w:rPr>
      </w:pPr>
      <w:r w:rsidRPr="001B3920">
        <w:rPr>
          <w:snapToGrid w:val="0"/>
          <w:sz w:val="24"/>
          <w:szCs w:val="24"/>
        </w:rPr>
        <w:t xml:space="preserve">In addition, we also created a </w:t>
      </w:r>
      <w:r w:rsidRPr="001B3920" w:rsidR="00DF2B87">
        <w:rPr>
          <w:iCs/>
          <w:sz w:val="24"/>
          <w:szCs w:val="24"/>
        </w:rPr>
        <w:t>public-facing fillable and submittable PDF version which the respondent can submit using SSA’s Upload Documents Portal (OMB No. 0960</w:t>
      </w:r>
      <w:r w:rsidRPr="001B3920" w:rsidR="00DF2B87">
        <w:rPr>
          <w:iCs/>
          <w:sz w:val="24"/>
          <w:szCs w:val="24"/>
        </w:rPr>
        <w:noBreakHyphen/>
        <w:t>0830)</w:t>
      </w:r>
      <w:r w:rsidRPr="001B3920" w:rsidR="00DF2B87">
        <w:rPr>
          <w:color w:val="000000"/>
          <w:sz w:val="24"/>
          <w:szCs w:val="24"/>
        </w:rPr>
        <w:t xml:space="preserve">.  Upload Documents </w:t>
      </w:r>
      <w:r w:rsidRPr="001B3920" w:rsidR="00DF2B87">
        <w:rPr>
          <w:color w:val="000000"/>
          <w:sz w:val="24"/>
          <w:szCs w:val="24"/>
        </w:rPr>
        <w:t>allows</w:t>
      </w:r>
      <w:r w:rsidRPr="001B3920" w:rsidR="00DF2B87">
        <w:rPr>
          <w:color w:val="000000"/>
          <w:sz w:val="24"/>
          <w:szCs w:val="24"/>
        </w:rPr>
        <w:t xml:space="preserve"> the respondent to complete the static fillable PDF, </w:t>
      </w:r>
      <w:r w:rsidRPr="001B3920" w:rsidR="00DF2B87">
        <w:rPr>
          <w:sz w:val="24"/>
          <w:szCs w:val="24"/>
        </w:rPr>
        <w:t>electronically sign it</w:t>
      </w:r>
      <w:r w:rsidRPr="001B3920" w:rsidR="00DF2B87">
        <w:rPr>
          <w:color w:val="000000"/>
          <w:sz w:val="24"/>
          <w:szCs w:val="24"/>
        </w:rPr>
        <w:t>, and submit the information through the Upload Documents Portal.  The submittable version mirrors the paper version and provides respondents with an online service option as an alternative to mailing, faxing, or bringing the form to an SSA field office.  Use of the Upload Documents Portal does not require respondents to download and install the application locally on their device or pay any subscription or licensing fees, and we account for the burden to navigate to the form in Upload Documents under OMB No. 0960-0830.  Since the burden for completing the static PDF remains the same as filling the form out with an SSA technician, we do not show any separate burden for the fillable PDF version in #12 below.</w:t>
      </w:r>
    </w:p>
    <w:p w:rsidR="003C33C1" w:rsidRPr="001B3920" w:rsidP="003C33C1" w14:paraId="4DABFE94" w14:textId="77777777">
      <w:pPr>
        <w:pStyle w:val="ListParagraph"/>
        <w:ind w:left="1080"/>
        <w:rPr>
          <w:sz w:val="24"/>
          <w:szCs w:val="24"/>
          <w:u w:val="single"/>
        </w:rPr>
      </w:pPr>
    </w:p>
    <w:p w:rsidR="00EA3E0B" w:rsidRPr="001B3920" w:rsidP="00EA3E0B" w14:paraId="52C3488D" w14:textId="38507792">
      <w:pPr>
        <w:pStyle w:val="ListParagraph"/>
        <w:numPr>
          <w:ilvl w:val="0"/>
          <w:numId w:val="2"/>
        </w:numPr>
        <w:rPr>
          <w:sz w:val="24"/>
          <w:szCs w:val="24"/>
          <w:u w:val="single"/>
        </w:rPr>
      </w:pPr>
      <w:r w:rsidRPr="001B3920">
        <w:rPr>
          <w:b/>
          <w:sz w:val="24"/>
          <w:szCs w:val="24"/>
        </w:rPr>
        <w:t>Why We Cannot Use Duplicate Information</w:t>
      </w:r>
    </w:p>
    <w:p w:rsidR="00DF2B87" w:rsidRPr="001B3920" w:rsidP="00DF2B87" w14:paraId="14B36429" w14:textId="09E29E48">
      <w:pPr>
        <w:pStyle w:val="ListParagraph"/>
        <w:ind w:left="1080"/>
        <w:rPr>
          <w:b/>
          <w:sz w:val="24"/>
          <w:szCs w:val="24"/>
        </w:rPr>
      </w:pPr>
      <w:r w:rsidRPr="001B3920">
        <w:rPr>
          <w:noProof/>
          <w:snapToGrid w:val="0"/>
          <w:sz w:val="24"/>
          <w:szCs w:val="24"/>
        </w:rPr>
        <w:t>The nature of the information we collect and the manner in which we collect it precludes duplication.  SSA does not use another collection instrument to obtain similar data.</w:t>
      </w:r>
    </w:p>
    <w:p w:rsidR="00DF2B87" w:rsidRPr="001B3920" w:rsidP="00DF2B87" w14:paraId="4705A4BE" w14:textId="77777777">
      <w:pPr>
        <w:pStyle w:val="ListParagraph"/>
        <w:ind w:left="1080"/>
        <w:rPr>
          <w:sz w:val="24"/>
          <w:szCs w:val="24"/>
          <w:u w:val="single"/>
        </w:rPr>
      </w:pPr>
    </w:p>
    <w:p w:rsidR="00EA3E0B" w:rsidRPr="001B3920" w:rsidP="00EA3E0B" w14:paraId="1DA89FD2" w14:textId="0E286161">
      <w:pPr>
        <w:pStyle w:val="ListParagraph"/>
        <w:numPr>
          <w:ilvl w:val="0"/>
          <w:numId w:val="2"/>
        </w:numPr>
        <w:rPr>
          <w:sz w:val="24"/>
          <w:szCs w:val="24"/>
          <w:u w:val="single"/>
        </w:rPr>
      </w:pPr>
      <w:r w:rsidRPr="001B3920">
        <w:rPr>
          <w:b/>
          <w:sz w:val="24"/>
          <w:szCs w:val="24"/>
        </w:rPr>
        <w:t>Minimizing Burden on Small Respondents</w:t>
      </w:r>
    </w:p>
    <w:p w:rsidR="00DF2B87" w:rsidRPr="001B3920" w:rsidP="00DF2B87" w14:paraId="02A22ABD" w14:textId="4B942B6A">
      <w:pPr>
        <w:pStyle w:val="ListParagraph"/>
        <w:ind w:left="1080"/>
        <w:rPr>
          <w:b/>
          <w:sz w:val="24"/>
          <w:szCs w:val="24"/>
        </w:rPr>
      </w:pPr>
      <w:r w:rsidRPr="001B3920">
        <w:rPr>
          <w:sz w:val="24"/>
          <w:szCs w:val="24"/>
        </w:rPr>
        <w:t>This collection does not affect small businesses or other small entities.</w:t>
      </w:r>
    </w:p>
    <w:p w:rsidR="00DF2B87" w:rsidRPr="001B3920" w:rsidP="00DF2B87" w14:paraId="1B0662B4" w14:textId="77777777">
      <w:pPr>
        <w:pStyle w:val="ListParagraph"/>
        <w:ind w:left="1080"/>
        <w:rPr>
          <w:sz w:val="24"/>
          <w:szCs w:val="24"/>
          <w:u w:val="single"/>
        </w:rPr>
      </w:pPr>
    </w:p>
    <w:p w:rsidR="00EA3E0B" w:rsidRPr="001B3920" w:rsidP="00EA3E0B" w14:paraId="5A5C9C96" w14:textId="22F2A7E1">
      <w:pPr>
        <w:pStyle w:val="ListParagraph"/>
        <w:numPr>
          <w:ilvl w:val="0"/>
          <w:numId w:val="2"/>
        </w:numPr>
        <w:rPr>
          <w:sz w:val="24"/>
          <w:szCs w:val="24"/>
          <w:u w:val="single"/>
        </w:rPr>
      </w:pPr>
      <w:r w:rsidRPr="001B3920">
        <w:rPr>
          <w:b/>
          <w:sz w:val="24"/>
          <w:szCs w:val="24"/>
        </w:rPr>
        <w:t>Consequence of Not Collecting Information or Collecting it Less Frequently</w:t>
      </w:r>
    </w:p>
    <w:p w:rsidR="00DF2B87" w:rsidRPr="001B3920" w:rsidP="00DF2B87" w14:paraId="046ACBE2" w14:textId="5DA14D71">
      <w:pPr>
        <w:pStyle w:val="ListParagraph"/>
        <w:ind w:left="1080"/>
        <w:rPr>
          <w:b/>
          <w:sz w:val="24"/>
          <w:szCs w:val="24"/>
        </w:rPr>
      </w:pPr>
      <w:r w:rsidRPr="001B3920">
        <w:rPr>
          <w:bCs/>
          <w:sz w:val="24"/>
          <w:szCs w:val="24"/>
        </w:rPr>
        <w:t>If we did not collect this information, claimants would have no way to request review of a hearing decision or dismissal to the AC.  Because we only collect this information on an as needed basis, we cannot collect it less frequently.  There are no technical or legal obstacles to burden reduction.</w:t>
      </w:r>
    </w:p>
    <w:p w:rsidR="00DF2B87" w:rsidRPr="001B3920" w:rsidP="00DF2B87" w14:paraId="4060CA95" w14:textId="77777777">
      <w:pPr>
        <w:pStyle w:val="ListParagraph"/>
        <w:ind w:left="1080"/>
        <w:rPr>
          <w:sz w:val="24"/>
          <w:szCs w:val="24"/>
          <w:u w:val="single"/>
        </w:rPr>
      </w:pPr>
    </w:p>
    <w:p w:rsidR="00EA3E0B" w:rsidRPr="001B3920" w:rsidP="00EA3E0B" w14:paraId="0462A436" w14:textId="6137AD3D">
      <w:pPr>
        <w:pStyle w:val="ListParagraph"/>
        <w:numPr>
          <w:ilvl w:val="0"/>
          <w:numId w:val="2"/>
        </w:numPr>
        <w:rPr>
          <w:sz w:val="24"/>
          <w:szCs w:val="24"/>
          <w:u w:val="single"/>
        </w:rPr>
      </w:pPr>
      <w:r w:rsidRPr="001B3920">
        <w:rPr>
          <w:b/>
          <w:sz w:val="24"/>
          <w:szCs w:val="24"/>
        </w:rPr>
        <w:t>Special Circumstances</w:t>
      </w:r>
    </w:p>
    <w:p w:rsidR="00DF2B87" w:rsidRPr="001B3920" w:rsidP="00DF2B87" w14:paraId="07079AE9" w14:textId="23CF6038">
      <w:pPr>
        <w:pStyle w:val="ListParagraph"/>
        <w:ind w:left="1080"/>
        <w:rPr>
          <w:b/>
          <w:sz w:val="24"/>
          <w:szCs w:val="24"/>
        </w:rPr>
      </w:pPr>
      <w:r w:rsidRPr="001B3920">
        <w:rPr>
          <w:sz w:val="24"/>
          <w:szCs w:val="24"/>
        </w:rPr>
        <w:t xml:space="preserve">There are no special circumstances that would cause SSA to conduct this information collection in a manner inconsistent with </w:t>
      </w:r>
      <w:r w:rsidRPr="001B3920">
        <w:rPr>
          <w:i/>
          <w:sz w:val="24"/>
          <w:szCs w:val="24"/>
        </w:rPr>
        <w:t>5 CFR 1320.5</w:t>
      </w:r>
      <w:r w:rsidRPr="001B3920">
        <w:rPr>
          <w:bCs/>
          <w:sz w:val="24"/>
          <w:szCs w:val="24"/>
        </w:rPr>
        <w:t>.</w:t>
      </w:r>
    </w:p>
    <w:p w:rsidR="00DF2B87" w:rsidRPr="001B3920" w:rsidP="00DF2B87" w14:paraId="6280501B" w14:textId="77777777">
      <w:pPr>
        <w:pStyle w:val="ListParagraph"/>
        <w:ind w:left="1080"/>
        <w:rPr>
          <w:sz w:val="24"/>
          <w:szCs w:val="24"/>
          <w:u w:val="single"/>
        </w:rPr>
      </w:pPr>
    </w:p>
    <w:p w:rsidR="00DF2B87" w:rsidRPr="001B3920" w:rsidP="00DF2B87" w14:paraId="4510C021" w14:textId="77777777">
      <w:pPr>
        <w:pStyle w:val="ListParagraph"/>
        <w:numPr>
          <w:ilvl w:val="0"/>
          <w:numId w:val="2"/>
        </w:numPr>
        <w:rPr>
          <w:sz w:val="24"/>
          <w:szCs w:val="24"/>
          <w:u w:val="single"/>
        </w:rPr>
      </w:pPr>
      <w:r w:rsidRPr="001B3920">
        <w:rPr>
          <w:b/>
          <w:sz w:val="24"/>
          <w:szCs w:val="24"/>
        </w:rPr>
        <w:t>Solicitation of Public Comment and Other Consultations with the Public</w:t>
      </w:r>
    </w:p>
    <w:p w:rsidR="00DF2B87" w:rsidRPr="001B3920" w:rsidP="00DF2B87" w14:paraId="2774907B" w14:textId="2C55236C">
      <w:pPr>
        <w:pStyle w:val="ListParagraph"/>
        <w:ind w:left="1080"/>
        <w:rPr>
          <w:sz w:val="24"/>
          <w:szCs w:val="24"/>
          <w:u w:val="single"/>
        </w:rPr>
      </w:pPr>
      <w:r w:rsidRPr="001B3920">
        <w:rPr>
          <w:snapToGrid w:val="0"/>
          <w:sz w:val="24"/>
          <w:szCs w:val="24"/>
          <w:lang w:eastAsia="ar-SA"/>
        </w:rPr>
        <w:t xml:space="preserve">The 60-day advance Federal Register Notice published on </w:t>
      </w:r>
      <w:r w:rsidR="009E445D">
        <w:rPr>
          <w:snapToGrid w:val="0"/>
          <w:sz w:val="24"/>
          <w:szCs w:val="24"/>
          <w:lang w:eastAsia="ar-SA"/>
        </w:rPr>
        <w:t>June 26, 2026</w:t>
      </w:r>
      <w:r w:rsidRPr="001B3920">
        <w:rPr>
          <w:snapToGrid w:val="0"/>
          <w:sz w:val="24"/>
          <w:szCs w:val="24"/>
          <w:lang w:eastAsia="ar-SA"/>
        </w:rPr>
        <w:t xml:space="preserve">, at  91 FR </w:t>
      </w:r>
      <w:r w:rsidR="009E445D">
        <w:rPr>
          <w:snapToGrid w:val="0"/>
          <w:sz w:val="24"/>
          <w:szCs w:val="24"/>
          <w:lang w:eastAsia="ar-SA"/>
        </w:rPr>
        <w:t>38753</w:t>
      </w:r>
      <w:r w:rsidRPr="001B3920">
        <w:rPr>
          <w:snapToGrid w:val="0"/>
          <w:sz w:val="24"/>
          <w:szCs w:val="24"/>
          <w:lang w:eastAsia="ar-SA"/>
        </w:rPr>
        <w:t xml:space="preserve">, and we received no public comments.  The 30-day FRN published on </w:t>
      </w:r>
      <w:r w:rsidR="009E445D">
        <w:rPr>
          <w:snapToGrid w:val="0"/>
          <w:sz w:val="24"/>
          <w:szCs w:val="24"/>
          <w:lang w:eastAsia="ar-SA"/>
        </w:rPr>
        <w:t xml:space="preserve">August </w:t>
      </w:r>
      <w:r w:rsidR="009E445D">
        <w:rPr>
          <w:snapToGrid w:val="0"/>
          <w:sz w:val="24"/>
          <w:szCs w:val="24"/>
          <w:lang w:eastAsia="ar-SA"/>
        </w:rPr>
        <w:t>27, 2026</w:t>
      </w:r>
      <w:r w:rsidRPr="001B3920">
        <w:rPr>
          <w:snapToGrid w:val="0"/>
          <w:sz w:val="24"/>
          <w:szCs w:val="24"/>
          <w:lang w:eastAsia="en-US"/>
        </w:rPr>
        <w:t xml:space="preserve">, at 91 FR </w:t>
      </w:r>
      <w:r w:rsidR="009E445D">
        <w:rPr>
          <w:snapToGrid w:val="0"/>
          <w:sz w:val="24"/>
          <w:szCs w:val="24"/>
          <w:lang w:eastAsia="en-US"/>
        </w:rPr>
        <w:t>55418</w:t>
      </w:r>
      <w:r w:rsidRPr="001B3920">
        <w:rPr>
          <w:snapToGrid w:val="0"/>
          <w:sz w:val="24"/>
          <w:szCs w:val="24"/>
          <w:lang w:eastAsia="en-US"/>
        </w:rPr>
        <w:t xml:space="preserve">.  </w:t>
      </w:r>
      <w:r w:rsidRPr="001B3920">
        <w:rPr>
          <w:snapToGrid w:val="0"/>
          <w:sz w:val="24"/>
          <w:szCs w:val="24"/>
          <w:lang w:eastAsia="ar-SA"/>
        </w:rPr>
        <w:t xml:space="preserve">If we receive any comments in response to this Notice, we will forward them to OMB.  </w:t>
      </w:r>
      <w:r w:rsidRPr="001B3920">
        <w:rPr>
          <w:iCs/>
          <w:snapToGrid w:val="0"/>
          <w:sz w:val="24"/>
          <w:szCs w:val="24"/>
          <w:lang w:eastAsia="ar-SA"/>
        </w:rPr>
        <w:t xml:space="preserve">We did not consult with the public </w:t>
      </w:r>
      <w:r w:rsidRPr="001B3920">
        <w:rPr>
          <w:iCs/>
          <w:snapToGrid w:val="0"/>
          <w:sz w:val="24"/>
          <w:szCs w:val="24"/>
          <w:lang w:eastAsia="ar-SA"/>
        </w:rPr>
        <w:t>in</w:t>
      </w:r>
      <w:r w:rsidRPr="001B3920">
        <w:rPr>
          <w:iCs/>
          <w:snapToGrid w:val="0"/>
          <w:sz w:val="24"/>
          <w:szCs w:val="24"/>
          <w:lang w:eastAsia="ar-SA"/>
        </w:rPr>
        <w:t xml:space="preserve"> the development revision of this form.</w:t>
      </w:r>
    </w:p>
    <w:p w:rsidR="00DF2B87" w:rsidRPr="001B3920" w:rsidP="00DF2B87" w14:paraId="62DD8B51" w14:textId="77777777">
      <w:pPr>
        <w:pStyle w:val="ListParagraph"/>
        <w:ind w:left="1080"/>
        <w:rPr>
          <w:sz w:val="24"/>
          <w:szCs w:val="24"/>
          <w:u w:val="single"/>
        </w:rPr>
      </w:pPr>
    </w:p>
    <w:p w:rsidR="00EA3E0B" w:rsidRPr="001B3920" w:rsidP="00EA3E0B" w14:paraId="50EB728F" w14:textId="1C9F0AB8">
      <w:pPr>
        <w:pStyle w:val="ListParagraph"/>
        <w:numPr>
          <w:ilvl w:val="0"/>
          <w:numId w:val="2"/>
        </w:numPr>
        <w:rPr>
          <w:sz w:val="24"/>
          <w:szCs w:val="24"/>
          <w:u w:val="single"/>
        </w:rPr>
      </w:pPr>
      <w:r w:rsidRPr="001B3920">
        <w:rPr>
          <w:b/>
          <w:sz w:val="24"/>
          <w:szCs w:val="24"/>
        </w:rPr>
        <w:t>Payment or Gifts to Respondents</w:t>
      </w:r>
    </w:p>
    <w:p w:rsidR="00DF2B87" w:rsidRPr="001B3920" w:rsidP="00DF2B87" w14:paraId="5B54BE2E" w14:textId="368C3CF0">
      <w:pPr>
        <w:pStyle w:val="ListParagraph"/>
        <w:ind w:left="1080"/>
        <w:rPr>
          <w:b/>
          <w:sz w:val="24"/>
          <w:szCs w:val="24"/>
        </w:rPr>
      </w:pPr>
      <w:r w:rsidRPr="001B3920">
        <w:rPr>
          <w:sz w:val="24"/>
          <w:szCs w:val="24"/>
        </w:rPr>
        <w:t>SSA does not provide payments or gifts to the respondents.</w:t>
      </w:r>
    </w:p>
    <w:p w:rsidR="00DF2B87" w:rsidRPr="001B3920" w:rsidP="00DF2B87" w14:paraId="333ADDD1" w14:textId="77777777">
      <w:pPr>
        <w:pStyle w:val="ListParagraph"/>
        <w:ind w:left="1080"/>
        <w:rPr>
          <w:sz w:val="24"/>
          <w:szCs w:val="24"/>
          <w:u w:val="single"/>
        </w:rPr>
      </w:pPr>
    </w:p>
    <w:p w:rsidR="00EA3E0B" w:rsidRPr="001B3920" w:rsidP="00EA3E0B" w14:paraId="08C75F4C" w14:textId="0FB3AD33">
      <w:pPr>
        <w:pStyle w:val="ListParagraph"/>
        <w:numPr>
          <w:ilvl w:val="0"/>
          <w:numId w:val="2"/>
        </w:numPr>
        <w:rPr>
          <w:sz w:val="24"/>
          <w:szCs w:val="24"/>
          <w:u w:val="single"/>
        </w:rPr>
      </w:pPr>
      <w:r w:rsidRPr="001B3920">
        <w:rPr>
          <w:b/>
          <w:bCs/>
          <w:sz w:val="24"/>
          <w:szCs w:val="24"/>
        </w:rPr>
        <w:t>Assurances of Confidentiality</w:t>
      </w:r>
    </w:p>
    <w:p w:rsidR="00DF2B87" w:rsidRPr="001B3920" w:rsidP="00DF2B87" w14:paraId="5DA1CD0C" w14:textId="14EA5542">
      <w:pPr>
        <w:pStyle w:val="ListParagraph"/>
        <w:ind w:left="1080"/>
        <w:rPr>
          <w:b/>
          <w:bCs/>
          <w:sz w:val="24"/>
          <w:szCs w:val="24"/>
        </w:rPr>
      </w:pPr>
      <w:r w:rsidRPr="001B3920">
        <w:rPr>
          <w:sz w:val="24"/>
          <w:szCs w:val="24"/>
        </w:rPr>
        <w:t xml:space="preserve">SSA protects and holds confidential the information it collects in accordance with </w:t>
      </w:r>
      <w:r w:rsidRPr="001B3920">
        <w:rPr>
          <w:i/>
          <w:sz w:val="24"/>
          <w:szCs w:val="24"/>
        </w:rPr>
        <w:t>42 U.S.C. 1306, 20 CFR 401</w:t>
      </w:r>
      <w:r w:rsidRPr="001B3920">
        <w:rPr>
          <w:sz w:val="24"/>
          <w:szCs w:val="24"/>
        </w:rPr>
        <w:t xml:space="preserve"> and </w:t>
      </w:r>
      <w:r w:rsidRPr="001B3920">
        <w:rPr>
          <w:i/>
          <w:sz w:val="24"/>
          <w:szCs w:val="24"/>
        </w:rPr>
        <w:t>402, 5 U.S.C. 552</w:t>
      </w:r>
      <w:r w:rsidRPr="001B3920">
        <w:rPr>
          <w:sz w:val="24"/>
          <w:szCs w:val="24"/>
        </w:rPr>
        <w:t xml:space="preserve"> (Freedom of Information Act), </w:t>
      </w:r>
      <w:r w:rsidRPr="001B3920">
        <w:rPr>
          <w:i/>
          <w:sz w:val="24"/>
          <w:szCs w:val="24"/>
        </w:rPr>
        <w:t>5 U.S.C. 552a</w:t>
      </w:r>
      <w:r w:rsidRPr="001B3920">
        <w:rPr>
          <w:sz w:val="24"/>
          <w:szCs w:val="24"/>
        </w:rPr>
        <w:t xml:space="preserve"> (Privacy Act of 1974), and OMB Circular No. A-130.</w:t>
      </w:r>
    </w:p>
    <w:p w:rsidR="00DF2B87" w:rsidRPr="001B3920" w:rsidP="00DF2B87" w14:paraId="1766B2EB" w14:textId="77777777">
      <w:pPr>
        <w:pStyle w:val="ListParagraph"/>
        <w:ind w:left="1080"/>
        <w:rPr>
          <w:sz w:val="24"/>
          <w:szCs w:val="24"/>
          <w:u w:val="single"/>
        </w:rPr>
      </w:pPr>
    </w:p>
    <w:p w:rsidR="00EA3E0B" w:rsidRPr="001B3920" w:rsidP="00EA3E0B" w14:paraId="10460A1E" w14:textId="769FFFED">
      <w:pPr>
        <w:pStyle w:val="ListParagraph"/>
        <w:numPr>
          <w:ilvl w:val="0"/>
          <w:numId w:val="2"/>
        </w:numPr>
        <w:rPr>
          <w:sz w:val="24"/>
          <w:szCs w:val="24"/>
          <w:u w:val="single"/>
        </w:rPr>
      </w:pPr>
      <w:r w:rsidRPr="001B3920">
        <w:rPr>
          <w:b/>
          <w:sz w:val="24"/>
          <w:szCs w:val="24"/>
        </w:rPr>
        <w:t>Justification for Sensitive Questions</w:t>
      </w:r>
    </w:p>
    <w:p w:rsidR="00DF2B87" w:rsidRPr="001B3920" w:rsidP="00DF2B87" w14:paraId="1226D503" w14:textId="19174F5D">
      <w:pPr>
        <w:pStyle w:val="ListParagraph"/>
        <w:ind w:left="1080"/>
        <w:rPr>
          <w:b/>
          <w:sz w:val="24"/>
          <w:szCs w:val="24"/>
        </w:rPr>
      </w:pPr>
      <w:r w:rsidRPr="001B3920">
        <w:rPr>
          <w:sz w:val="24"/>
          <w:szCs w:val="24"/>
        </w:rPr>
        <w:t>This information collection does not contain any questions of a sensitive nature.</w:t>
      </w:r>
    </w:p>
    <w:p w:rsidR="00DF2B87" w:rsidRPr="001B3920" w:rsidP="00DF2B87" w14:paraId="5B2CCE5E" w14:textId="77777777">
      <w:pPr>
        <w:pStyle w:val="ListParagraph"/>
        <w:ind w:left="1080"/>
        <w:rPr>
          <w:sz w:val="24"/>
          <w:szCs w:val="24"/>
          <w:u w:val="single"/>
        </w:rPr>
      </w:pPr>
    </w:p>
    <w:p w:rsidR="00EA3E0B" w:rsidRPr="001B3920" w:rsidP="00EA3E0B" w14:paraId="56C5F7B9" w14:textId="2F660BD5">
      <w:pPr>
        <w:pStyle w:val="ListParagraph"/>
        <w:numPr>
          <w:ilvl w:val="0"/>
          <w:numId w:val="2"/>
        </w:numPr>
        <w:rPr>
          <w:sz w:val="24"/>
          <w:szCs w:val="24"/>
          <w:u w:val="single"/>
        </w:rPr>
      </w:pPr>
      <w:r w:rsidRPr="001B3920">
        <w:rPr>
          <w:b/>
          <w:sz w:val="24"/>
          <w:szCs w:val="24"/>
        </w:rPr>
        <w:t>Estimates of Public Reporting Burden</w:t>
      </w:r>
    </w:p>
    <w:p w:rsidR="00DF2B87" w:rsidRPr="001B3920" w:rsidP="00DF2B87" w14:paraId="5C182ED1" w14:textId="7D013593">
      <w:pPr>
        <w:pStyle w:val="ListParagraph"/>
        <w:ind w:left="1080"/>
        <w:rPr>
          <w:bCs/>
          <w:sz w:val="24"/>
          <w:szCs w:val="24"/>
        </w:rPr>
      </w:pPr>
      <w:r w:rsidRPr="001B3920">
        <w:rPr>
          <w:bCs/>
          <w:sz w:val="24"/>
          <w:szCs w:val="24"/>
        </w:rPr>
        <w:t>Please see the burden chart below:</w:t>
      </w:r>
    </w:p>
    <w:p w:rsidR="00DF2B87" w:rsidRPr="001B3920" w:rsidP="00DF2B87" w14:paraId="1941FACA" w14:textId="77777777">
      <w:pPr>
        <w:pStyle w:val="ListParagraph"/>
        <w:ind w:left="1080"/>
        <w:rPr>
          <w:bCs/>
          <w:sz w:val="24"/>
          <w:szCs w:val="24"/>
        </w:rPr>
      </w:pPr>
    </w:p>
    <w:tbl>
      <w:tblPr>
        <w:tblStyle w:val="TableGrid"/>
        <w:tblW w:w="11070" w:type="dxa"/>
        <w:tblInd w:w="-905" w:type="dxa"/>
        <w:tblLook w:val="04A0"/>
      </w:tblPr>
      <w:tblGrid>
        <w:gridCol w:w="1416"/>
        <w:gridCol w:w="1523"/>
        <w:gridCol w:w="1310"/>
        <w:gridCol w:w="1190"/>
        <w:gridCol w:w="1256"/>
        <w:gridCol w:w="1389"/>
        <w:gridCol w:w="1190"/>
        <w:gridCol w:w="1796"/>
      </w:tblGrid>
      <w:tr w14:paraId="14BFAB5D" w14:textId="77777777" w:rsidTr="00DF2B87">
        <w:tblPrEx>
          <w:tblW w:w="11070" w:type="dxa"/>
          <w:tblInd w:w="-905" w:type="dxa"/>
          <w:tblLook w:val="04A0"/>
        </w:tblPrEx>
        <w:tc>
          <w:tcPr>
            <w:tcW w:w="1416" w:type="dxa"/>
          </w:tcPr>
          <w:p w:rsidR="00DF2B87" w:rsidRPr="001B3920" w:rsidP="00DF2B87" w14:paraId="0B185682" w14:textId="5188605A">
            <w:pPr>
              <w:pStyle w:val="ListParagraph"/>
              <w:ind w:left="0"/>
              <w:rPr>
                <w:bCs/>
                <w:sz w:val="24"/>
                <w:szCs w:val="24"/>
              </w:rPr>
            </w:pPr>
            <w:r w:rsidRPr="001B3920">
              <w:rPr>
                <w:b/>
                <w:sz w:val="24"/>
                <w:szCs w:val="24"/>
                <w:lang w:eastAsia="en-US"/>
              </w:rPr>
              <w:t>Method of Completion</w:t>
            </w:r>
          </w:p>
        </w:tc>
        <w:tc>
          <w:tcPr>
            <w:tcW w:w="1523" w:type="dxa"/>
          </w:tcPr>
          <w:p w:rsidR="00DF2B87" w:rsidRPr="001B3920" w:rsidP="00DF2B87" w14:paraId="3FBB7A1D" w14:textId="5318B02D">
            <w:pPr>
              <w:pStyle w:val="ListParagraph"/>
              <w:ind w:left="0"/>
              <w:rPr>
                <w:bCs/>
                <w:sz w:val="24"/>
                <w:szCs w:val="24"/>
              </w:rPr>
            </w:pPr>
            <w:r w:rsidRPr="001B3920">
              <w:rPr>
                <w:b/>
                <w:sz w:val="24"/>
                <w:szCs w:val="24"/>
                <w:lang w:eastAsia="en-US"/>
              </w:rPr>
              <w:t>Number of Respondents</w:t>
            </w:r>
          </w:p>
        </w:tc>
        <w:tc>
          <w:tcPr>
            <w:tcW w:w="1310" w:type="dxa"/>
          </w:tcPr>
          <w:p w:rsidR="00DF2B87" w:rsidRPr="001B3920" w:rsidP="00DF2B87" w14:paraId="16488FEA" w14:textId="752B83D7">
            <w:pPr>
              <w:pStyle w:val="ListParagraph"/>
              <w:ind w:left="0"/>
              <w:rPr>
                <w:bCs/>
                <w:sz w:val="24"/>
                <w:szCs w:val="24"/>
              </w:rPr>
            </w:pPr>
            <w:r w:rsidRPr="001B3920">
              <w:rPr>
                <w:b/>
                <w:sz w:val="24"/>
                <w:szCs w:val="24"/>
                <w:lang w:eastAsia="en-US"/>
              </w:rPr>
              <w:t>Frequency of Response</w:t>
            </w:r>
          </w:p>
        </w:tc>
        <w:tc>
          <w:tcPr>
            <w:tcW w:w="1190" w:type="dxa"/>
          </w:tcPr>
          <w:p w:rsidR="00DF2B87" w:rsidRPr="001B3920" w:rsidP="00DF2B87" w14:paraId="78C5D4A1" w14:textId="216DB29D">
            <w:pPr>
              <w:pStyle w:val="ListParagraph"/>
              <w:ind w:left="0"/>
              <w:rPr>
                <w:bCs/>
                <w:sz w:val="24"/>
                <w:szCs w:val="24"/>
              </w:rPr>
            </w:pPr>
            <w:r w:rsidRPr="001B3920">
              <w:rPr>
                <w:b/>
                <w:sz w:val="24"/>
                <w:szCs w:val="24"/>
                <w:lang w:eastAsia="en-US"/>
              </w:rPr>
              <w:t>Average Burden Per Response (minutes)</w:t>
            </w:r>
          </w:p>
        </w:tc>
        <w:tc>
          <w:tcPr>
            <w:tcW w:w="1256" w:type="dxa"/>
          </w:tcPr>
          <w:p w:rsidR="00DF2B87" w:rsidRPr="001B3920" w:rsidP="00DF2B87" w14:paraId="587B0F69" w14:textId="0869ECE8">
            <w:pPr>
              <w:pStyle w:val="ListParagraph"/>
              <w:ind w:left="0"/>
              <w:rPr>
                <w:bCs/>
                <w:sz w:val="24"/>
                <w:szCs w:val="24"/>
              </w:rPr>
            </w:pPr>
            <w:r w:rsidRPr="001B3920">
              <w:rPr>
                <w:b/>
                <w:sz w:val="24"/>
                <w:szCs w:val="24"/>
                <w:lang w:eastAsia="en-US"/>
              </w:rPr>
              <w:t>Estimated Total Annual Burden (hours)</w:t>
            </w:r>
          </w:p>
        </w:tc>
        <w:tc>
          <w:tcPr>
            <w:tcW w:w="1389" w:type="dxa"/>
          </w:tcPr>
          <w:p w:rsidR="00DF2B87" w:rsidRPr="001B3920" w:rsidP="00DF2B87" w14:paraId="3A498625" w14:textId="141924D4">
            <w:pPr>
              <w:pStyle w:val="ListParagraph"/>
              <w:ind w:left="0"/>
              <w:rPr>
                <w:bCs/>
                <w:sz w:val="24"/>
                <w:szCs w:val="24"/>
              </w:rPr>
            </w:pPr>
            <w:r w:rsidRPr="001B3920">
              <w:rPr>
                <w:b/>
                <w:sz w:val="24"/>
                <w:szCs w:val="24"/>
                <w:lang w:eastAsia="en-US"/>
              </w:rPr>
              <w:t>Average Theoretical Hourly Cost Amount (dollars)*</w:t>
            </w:r>
          </w:p>
        </w:tc>
        <w:tc>
          <w:tcPr>
            <w:tcW w:w="1190" w:type="dxa"/>
          </w:tcPr>
          <w:p w:rsidR="00DF2B87" w:rsidRPr="001B3920" w:rsidP="00DF2B87" w14:paraId="6A39027B" w14:textId="77777777">
            <w:pPr>
              <w:rPr>
                <w:b/>
                <w:sz w:val="24"/>
                <w:szCs w:val="24"/>
                <w:lang w:eastAsia="en-US"/>
              </w:rPr>
            </w:pPr>
            <w:r w:rsidRPr="001B3920">
              <w:rPr>
                <w:b/>
                <w:sz w:val="24"/>
                <w:szCs w:val="24"/>
                <w:lang w:eastAsia="en-US"/>
              </w:rPr>
              <w:t>Average</w:t>
            </w:r>
          </w:p>
          <w:p w:rsidR="00DF2B87" w:rsidRPr="001B3920" w:rsidP="00DF2B87" w14:paraId="282120DF" w14:textId="77777777">
            <w:pPr>
              <w:rPr>
                <w:b/>
                <w:sz w:val="24"/>
                <w:szCs w:val="24"/>
                <w:lang w:eastAsia="en-US"/>
              </w:rPr>
            </w:pPr>
            <w:r w:rsidRPr="001B3920">
              <w:rPr>
                <w:b/>
                <w:sz w:val="24"/>
                <w:szCs w:val="24"/>
                <w:lang w:eastAsia="en-US"/>
              </w:rPr>
              <w:t>wait time in</w:t>
            </w:r>
          </w:p>
          <w:p w:rsidR="00DF2B87" w:rsidRPr="001B3920" w:rsidP="00DF2B87" w14:paraId="19F6CBFA" w14:textId="77777777">
            <w:pPr>
              <w:rPr>
                <w:b/>
                <w:sz w:val="24"/>
                <w:szCs w:val="24"/>
                <w:lang w:eastAsia="en-US"/>
              </w:rPr>
            </w:pPr>
            <w:r w:rsidRPr="001B3920">
              <w:rPr>
                <w:b/>
                <w:sz w:val="24"/>
                <w:szCs w:val="24"/>
                <w:lang w:eastAsia="en-US"/>
              </w:rPr>
              <w:t>field office</w:t>
            </w:r>
          </w:p>
          <w:p w:rsidR="00DF2B87" w:rsidRPr="001B3920" w:rsidP="00DF2B87" w14:paraId="040B10C8" w14:textId="06F65D16">
            <w:pPr>
              <w:pStyle w:val="ListParagraph"/>
              <w:ind w:left="0"/>
              <w:rPr>
                <w:bCs/>
                <w:sz w:val="24"/>
                <w:szCs w:val="24"/>
              </w:rPr>
            </w:pPr>
            <w:r w:rsidRPr="001B3920">
              <w:rPr>
                <w:b/>
                <w:sz w:val="24"/>
                <w:szCs w:val="24"/>
                <w:lang w:eastAsia="en-US"/>
              </w:rPr>
              <w:t>(minutes) **</w:t>
            </w:r>
          </w:p>
        </w:tc>
        <w:tc>
          <w:tcPr>
            <w:tcW w:w="1796" w:type="dxa"/>
          </w:tcPr>
          <w:p w:rsidR="00DF2B87" w:rsidRPr="001B3920" w:rsidP="00DF2B87" w14:paraId="378F6FC5" w14:textId="345DDBF3">
            <w:pPr>
              <w:pStyle w:val="ListParagraph"/>
              <w:ind w:left="0"/>
              <w:rPr>
                <w:bCs/>
                <w:sz w:val="24"/>
                <w:szCs w:val="24"/>
              </w:rPr>
            </w:pPr>
            <w:r w:rsidRPr="001B3920">
              <w:rPr>
                <w:b/>
                <w:sz w:val="24"/>
                <w:szCs w:val="24"/>
                <w:lang w:eastAsia="en-US"/>
              </w:rPr>
              <w:t>Total Annual Opportunity Cost (dollars)**</w:t>
            </w:r>
          </w:p>
        </w:tc>
      </w:tr>
      <w:tr w14:paraId="4AF2E20D" w14:textId="77777777" w:rsidTr="00DF2B87">
        <w:tblPrEx>
          <w:tblW w:w="11070" w:type="dxa"/>
          <w:tblInd w:w="-905" w:type="dxa"/>
          <w:tblLook w:val="04A0"/>
        </w:tblPrEx>
        <w:tc>
          <w:tcPr>
            <w:tcW w:w="1416" w:type="dxa"/>
          </w:tcPr>
          <w:p w:rsidR="00DF2B87" w:rsidRPr="001B3920" w:rsidP="00DF2B87" w14:paraId="7B61729E" w14:textId="569D55FB">
            <w:pPr>
              <w:pStyle w:val="ListParagraph"/>
              <w:ind w:left="0"/>
              <w:rPr>
                <w:b/>
                <w:sz w:val="24"/>
                <w:szCs w:val="24"/>
                <w:lang w:eastAsia="en-US"/>
              </w:rPr>
            </w:pPr>
            <w:r w:rsidRPr="001B3920">
              <w:rPr>
                <w:sz w:val="24"/>
                <w:szCs w:val="24"/>
                <w:lang w:eastAsia="en-US"/>
              </w:rPr>
              <w:t>HA-520 – Paper</w:t>
            </w:r>
          </w:p>
        </w:tc>
        <w:tc>
          <w:tcPr>
            <w:tcW w:w="1523" w:type="dxa"/>
          </w:tcPr>
          <w:p w:rsidR="00DF2B87" w:rsidRPr="001B3920" w:rsidP="00DF2B87" w14:paraId="64771A72" w14:textId="07D78221">
            <w:pPr>
              <w:pStyle w:val="ListParagraph"/>
              <w:ind w:left="0"/>
              <w:jc w:val="right"/>
              <w:rPr>
                <w:b/>
                <w:sz w:val="24"/>
                <w:szCs w:val="24"/>
                <w:lang w:eastAsia="en-US"/>
              </w:rPr>
            </w:pPr>
            <w:r w:rsidRPr="001B3920">
              <w:rPr>
                <w:sz w:val="24"/>
                <w:szCs w:val="24"/>
                <w:lang w:eastAsia="ar-SA"/>
              </w:rPr>
              <w:t>9,002</w:t>
            </w:r>
            <w:r w:rsidRPr="001B3920">
              <w:rPr>
                <w:sz w:val="24"/>
                <w:szCs w:val="24"/>
                <w:vertAlign w:val="superscript"/>
                <w:lang w:eastAsia="ar-SA"/>
              </w:rPr>
              <w:t>+</w:t>
            </w:r>
          </w:p>
        </w:tc>
        <w:tc>
          <w:tcPr>
            <w:tcW w:w="1310" w:type="dxa"/>
          </w:tcPr>
          <w:p w:rsidR="00DF2B87" w:rsidRPr="001B3920" w:rsidP="00DF2B87" w14:paraId="483E7BC7" w14:textId="0E3EB0E4">
            <w:pPr>
              <w:pStyle w:val="ListParagraph"/>
              <w:ind w:left="0"/>
              <w:jc w:val="right"/>
              <w:rPr>
                <w:b/>
                <w:sz w:val="24"/>
                <w:szCs w:val="24"/>
                <w:lang w:eastAsia="en-US"/>
              </w:rPr>
            </w:pPr>
            <w:r w:rsidRPr="001B3920">
              <w:rPr>
                <w:sz w:val="24"/>
                <w:szCs w:val="24"/>
                <w:lang w:eastAsia="ar-SA"/>
              </w:rPr>
              <w:t>1</w:t>
            </w:r>
          </w:p>
        </w:tc>
        <w:tc>
          <w:tcPr>
            <w:tcW w:w="1190" w:type="dxa"/>
          </w:tcPr>
          <w:p w:rsidR="00DF2B87" w:rsidRPr="001B3920" w:rsidP="00DF2B87" w14:paraId="201F5E82" w14:textId="1614C89D">
            <w:pPr>
              <w:pStyle w:val="ListParagraph"/>
              <w:ind w:left="0"/>
              <w:jc w:val="right"/>
              <w:rPr>
                <w:b/>
                <w:sz w:val="24"/>
                <w:szCs w:val="24"/>
                <w:lang w:eastAsia="en-US"/>
              </w:rPr>
            </w:pPr>
            <w:r w:rsidRPr="001B3920">
              <w:rPr>
                <w:sz w:val="24"/>
                <w:szCs w:val="24"/>
                <w:lang w:eastAsia="ar-SA"/>
              </w:rPr>
              <w:t>15</w:t>
            </w:r>
          </w:p>
        </w:tc>
        <w:tc>
          <w:tcPr>
            <w:tcW w:w="1256" w:type="dxa"/>
          </w:tcPr>
          <w:p w:rsidR="00DF2B87" w:rsidRPr="001B3920" w:rsidP="00DF2B87" w14:paraId="6E795334" w14:textId="3660E1D6">
            <w:pPr>
              <w:pStyle w:val="ListParagraph"/>
              <w:ind w:left="0"/>
              <w:jc w:val="right"/>
              <w:rPr>
                <w:b/>
                <w:sz w:val="24"/>
                <w:szCs w:val="24"/>
                <w:lang w:eastAsia="en-US"/>
              </w:rPr>
            </w:pPr>
            <w:r w:rsidRPr="001B3920">
              <w:rPr>
                <w:sz w:val="24"/>
                <w:szCs w:val="24"/>
                <w:lang w:eastAsia="ar-SA"/>
              </w:rPr>
              <w:t>2,251</w:t>
            </w:r>
          </w:p>
        </w:tc>
        <w:tc>
          <w:tcPr>
            <w:tcW w:w="1389" w:type="dxa"/>
          </w:tcPr>
          <w:p w:rsidR="00DF2B87" w:rsidRPr="001B3920" w:rsidP="00DF2B87" w14:paraId="3F79D1A6" w14:textId="23A687B3">
            <w:pPr>
              <w:pStyle w:val="ListParagraph"/>
              <w:ind w:left="0"/>
              <w:jc w:val="right"/>
              <w:rPr>
                <w:b/>
                <w:sz w:val="24"/>
                <w:szCs w:val="24"/>
                <w:lang w:eastAsia="en-US"/>
              </w:rPr>
            </w:pPr>
            <w:r w:rsidRPr="001B3920">
              <w:rPr>
                <w:sz w:val="24"/>
                <w:szCs w:val="24"/>
                <w:lang w:eastAsia="en-US"/>
              </w:rPr>
              <w:t>$14.27*</w:t>
            </w:r>
          </w:p>
        </w:tc>
        <w:tc>
          <w:tcPr>
            <w:tcW w:w="1190" w:type="dxa"/>
          </w:tcPr>
          <w:p w:rsidR="00DF2B87" w:rsidRPr="001B3920" w:rsidP="00DF2B87" w14:paraId="3F6CAC8A" w14:textId="7B748D7C">
            <w:pPr>
              <w:jc w:val="right"/>
              <w:rPr>
                <w:b/>
                <w:sz w:val="24"/>
                <w:szCs w:val="24"/>
                <w:lang w:eastAsia="en-US"/>
              </w:rPr>
            </w:pPr>
            <w:r w:rsidRPr="001B3920">
              <w:rPr>
                <w:sz w:val="24"/>
                <w:szCs w:val="24"/>
                <w:lang w:eastAsia="en-US"/>
              </w:rPr>
              <w:t>2</w:t>
            </w:r>
            <w:r w:rsidR="00380BE7">
              <w:rPr>
                <w:sz w:val="24"/>
                <w:szCs w:val="24"/>
                <w:lang w:eastAsia="en-US"/>
              </w:rPr>
              <w:t>1</w:t>
            </w:r>
            <w:r w:rsidRPr="001B3920">
              <w:rPr>
                <w:sz w:val="24"/>
                <w:szCs w:val="24"/>
                <w:lang w:eastAsia="en-US"/>
              </w:rPr>
              <w:t>**</w:t>
            </w:r>
          </w:p>
        </w:tc>
        <w:tc>
          <w:tcPr>
            <w:tcW w:w="1796" w:type="dxa"/>
          </w:tcPr>
          <w:p w:rsidR="00DF2B87" w:rsidRPr="001B3920" w:rsidP="00DF2B87" w14:paraId="4723FECD" w14:textId="3A449C7B">
            <w:pPr>
              <w:pStyle w:val="ListParagraph"/>
              <w:ind w:left="0"/>
              <w:jc w:val="right"/>
              <w:rPr>
                <w:b/>
                <w:sz w:val="24"/>
                <w:szCs w:val="24"/>
                <w:lang w:eastAsia="en-US"/>
              </w:rPr>
            </w:pPr>
            <w:r w:rsidRPr="001B3920">
              <w:rPr>
                <w:sz w:val="24"/>
                <w:szCs w:val="24"/>
                <w:lang w:eastAsia="en-US"/>
              </w:rPr>
              <w:t>$</w:t>
            </w:r>
            <w:r w:rsidRPr="001B3920" w:rsidR="006C6E1F">
              <w:rPr>
                <w:sz w:val="24"/>
                <w:szCs w:val="24"/>
                <w:lang w:eastAsia="en-US"/>
              </w:rPr>
              <w:t>7</w:t>
            </w:r>
            <w:r w:rsidR="00380BE7">
              <w:rPr>
                <w:sz w:val="24"/>
                <w:szCs w:val="24"/>
                <w:lang w:eastAsia="en-US"/>
              </w:rPr>
              <w:t>7,087</w:t>
            </w:r>
            <w:r w:rsidRPr="001B3920">
              <w:rPr>
                <w:sz w:val="24"/>
                <w:szCs w:val="24"/>
                <w:lang w:eastAsia="en-US"/>
              </w:rPr>
              <w:t>***</w:t>
            </w:r>
          </w:p>
        </w:tc>
      </w:tr>
      <w:tr w14:paraId="0C46AB90" w14:textId="77777777" w:rsidTr="00DF2B87">
        <w:tblPrEx>
          <w:tblW w:w="11070" w:type="dxa"/>
          <w:tblInd w:w="-905" w:type="dxa"/>
          <w:tblLook w:val="04A0"/>
        </w:tblPrEx>
        <w:tc>
          <w:tcPr>
            <w:tcW w:w="1416" w:type="dxa"/>
          </w:tcPr>
          <w:p w:rsidR="00DF2B87" w:rsidRPr="001B3920" w:rsidP="00DF2B87" w14:paraId="24935049" w14:textId="77CCB009">
            <w:pPr>
              <w:pStyle w:val="ListParagraph"/>
              <w:ind w:left="0"/>
              <w:rPr>
                <w:sz w:val="24"/>
                <w:szCs w:val="24"/>
                <w:lang w:eastAsia="en-US"/>
              </w:rPr>
            </w:pPr>
            <w:r w:rsidRPr="001B3920">
              <w:rPr>
                <w:sz w:val="24"/>
                <w:szCs w:val="24"/>
                <w:lang w:eastAsia="en-US"/>
              </w:rPr>
              <w:t>i520 – Internet</w:t>
            </w:r>
          </w:p>
        </w:tc>
        <w:tc>
          <w:tcPr>
            <w:tcW w:w="1523" w:type="dxa"/>
          </w:tcPr>
          <w:p w:rsidR="00DF2B87" w:rsidRPr="001B3920" w:rsidP="00DF2B87" w14:paraId="427BC54E" w14:textId="028A41FC">
            <w:pPr>
              <w:pStyle w:val="ListParagraph"/>
              <w:ind w:left="0"/>
              <w:jc w:val="right"/>
              <w:rPr>
                <w:sz w:val="24"/>
                <w:szCs w:val="24"/>
                <w:lang w:eastAsia="ar-SA"/>
              </w:rPr>
            </w:pPr>
            <w:r w:rsidRPr="001B3920">
              <w:rPr>
                <w:sz w:val="24"/>
                <w:szCs w:val="24"/>
                <w:lang w:eastAsia="ar-SA"/>
              </w:rPr>
              <w:t>72,853</w:t>
            </w:r>
          </w:p>
        </w:tc>
        <w:tc>
          <w:tcPr>
            <w:tcW w:w="1310" w:type="dxa"/>
          </w:tcPr>
          <w:p w:rsidR="00DF2B87" w:rsidRPr="001B3920" w:rsidP="00DF2B87" w14:paraId="214D1170" w14:textId="0D1205A4">
            <w:pPr>
              <w:pStyle w:val="ListParagraph"/>
              <w:ind w:left="0"/>
              <w:jc w:val="right"/>
              <w:rPr>
                <w:sz w:val="24"/>
                <w:szCs w:val="24"/>
                <w:lang w:eastAsia="ar-SA"/>
              </w:rPr>
            </w:pPr>
            <w:r w:rsidRPr="001B3920">
              <w:rPr>
                <w:sz w:val="24"/>
                <w:szCs w:val="24"/>
                <w:lang w:eastAsia="ar-SA"/>
              </w:rPr>
              <w:t>1</w:t>
            </w:r>
          </w:p>
        </w:tc>
        <w:tc>
          <w:tcPr>
            <w:tcW w:w="1190" w:type="dxa"/>
          </w:tcPr>
          <w:p w:rsidR="00DF2B87" w:rsidRPr="001B3920" w:rsidP="00DF2B87" w14:paraId="24A2AFD5" w14:textId="076F14B0">
            <w:pPr>
              <w:pStyle w:val="ListParagraph"/>
              <w:ind w:left="0"/>
              <w:jc w:val="right"/>
              <w:rPr>
                <w:sz w:val="24"/>
                <w:szCs w:val="24"/>
                <w:lang w:eastAsia="ar-SA"/>
              </w:rPr>
            </w:pPr>
            <w:r w:rsidRPr="001B3920">
              <w:rPr>
                <w:sz w:val="24"/>
                <w:szCs w:val="24"/>
                <w:lang w:eastAsia="ar-SA"/>
              </w:rPr>
              <w:t>15</w:t>
            </w:r>
          </w:p>
        </w:tc>
        <w:tc>
          <w:tcPr>
            <w:tcW w:w="1256" w:type="dxa"/>
          </w:tcPr>
          <w:p w:rsidR="00DF2B87" w:rsidRPr="001B3920" w:rsidP="00DF2B87" w14:paraId="1040566C" w14:textId="4B795F92">
            <w:pPr>
              <w:pStyle w:val="ListParagraph"/>
              <w:ind w:left="0"/>
              <w:jc w:val="right"/>
              <w:rPr>
                <w:sz w:val="24"/>
                <w:szCs w:val="24"/>
                <w:lang w:eastAsia="ar-SA"/>
              </w:rPr>
            </w:pPr>
            <w:r w:rsidRPr="001B3920">
              <w:rPr>
                <w:sz w:val="24"/>
                <w:szCs w:val="24"/>
                <w:lang w:eastAsia="ar-SA"/>
              </w:rPr>
              <w:t>18,213</w:t>
            </w:r>
          </w:p>
        </w:tc>
        <w:tc>
          <w:tcPr>
            <w:tcW w:w="1389" w:type="dxa"/>
          </w:tcPr>
          <w:p w:rsidR="00DF2B87" w:rsidRPr="001B3920" w:rsidP="00DF2B87" w14:paraId="0F40311F" w14:textId="46B097B9">
            <w:pPr>
              <w:pStyle w:val="ListParagraph"/>
              <w:ind w:left="0"/>
              <w:jc w:val="right"/>
              <w:rPr>
                <w:sz w:val="24"/>
                <w:szCs w:val="24"/>
                <w:lang w:eastAsia="en-US"/>
              </w:rPr>
            </w:pPr>
            <w:r w:rsidRPr="001B3920">
              <w:rPr>
                <w:sz w:val="24"/>
                <w:szCs w:val="24"/>
                <w:lang w:eastAsia="en-US"/>
              </w:rPr>
              <w:t>$14.27*</w:t>
            </w:r>
          </w:p>
        </w:tc>
        <w:tc>
          <w:tcPr>
            <w:tcW w:w="1190" w:type="dxa"/>
          </w:tcPr>
          <w:p w:rsidR="00DF2B87" w:rsidRPr="001B3920" w:rsidP="00DF2B87" w14:paraId="2CA93B78" w14:textId="77777777">
            <w:pPr>
              <w:jc w:val="right"/>
              <w:rPr>
                <w:sz w:val="24"/>
                <w:szCs w:val="24"/>
                <w:lang w:eastAsia="en-US"/>
              </w:rPr>
            </w:pPr>
          </w:p>
        </w:tc>
        <w:tc>
          <w:tcPr>
            <w:tcW w:w="1796" w:type="dxa"/>
          </w:tcPr>
          <w:p w:rsidR="00DF2B87" w:rsidRPr="001B3920" w:rsidP="00DF2B87" w14:paraId="735B2FD3" w14:textId="198316AB">
            <w:pPr>
              <w:pStyle w:val="ListParagraph"/>
              <w:ind w:left="0"/>
              <w:jc w:val="right"/>
              <w:rPr>
                <w:sz w:val="24"/>
                <w:szCs w:val="24"/>
                <w:lang w:eastAsia="en-US"/>
              </w:rPr>
            </w:pPr>
            <w:r w:rsidRPr="001B3920">
              <w:rPr>
                <w:sz w:val="24"/>
                <w:szCs w:val="24"/>
                <w:lang w:eastAsia="en-US"/>
              </w:rPr>
              <w:t>$259,900***</w:t>
            </w:r>
          </w:p>
        </w:tc>
      </w:tr>
      <w:tr w14:paraId="462EC9F7" w14:textId="77777777" w:rsidTr="00DF2B87">
        <w:tblPrEx>
          <w:tblW w:w="11070" w:type="dxa"/>
          <w:tblInd w:w="-905" w:type="dxa"/>
          <w:tblLook w:val="04A0"/>
        </w:tblPrEx>
        <w:tc>
          <w:tcPr>
            <w:tcW w:w="1416" w:type="dxa"/>
          </w:tcPr>
          <w:p w:rsidR="00DF2B87" w:rsidRPr="00485AAA" w:rsidP="00DF2B87" w14:paraId="3AF55AA6" w14:textId="31281BB6">
            <w:pPr>
              <w:pStyle w:val="ListParagraph"/>
              <w:ind w:left="0"/>
              <w:rPr>
                <w:sz w:val="24"/>
                <w:szCs w:val="24"/>
                <w:lang w:eastAsia="en-US"/>
              </w:rPr>
            </w:pPr>
            <w:r w:rsidRPr="00485AAA">
              <w:rPr>
                <w:b/>
                <w:sz w:val="24"/>
                <w:szCs w:val="24"/>
                <w:lang w:eastAsia="en-US"/>
              </w:rPr>
              <w:t>Totals</w:t>
            </w:r>
          </w:p>
        </w:tc>
        <w:tc>
          <w:tcPr>
            <w:tcW w:w="1523" w:type="dxa"/>
          </w:tcPr>
          <w:p w:rsidR="00DF2B87" w:rsidRPr="00485AAA" w:rsidP="00DF2B87" w14:paraId="71A367F2" w14:textId="6ABBF519">
            <w:pPr>
              <w:pStyle w:val="ListParagraph"/>
              <w:ind w:left="0"/>
              <w:jc w:val="right"/>
              <w:rPr>
                <w:sz w:val="24"/>
                <w:szCs w:val="24"/>
                <w:lang w:eastAsia="ar-SA"/>
              </w:rPr>
            </w:pPr>
            <w:r w:rsidRPr="00485AAA">
              <w:rPr>
                <w:b/>
                <w:bCs/>
                <w:sz w:val="24"/>
                <w:szCs w:val="24"/>
                <w:lang w:eastAsia="ar-SA"/>
              </w:rPr>
              <w:t>81,855</w:t>
            </w:r>
          </w:p>
        </w:tc>
        <w:tc>
          <w:tcPr>
            <w:tcW w:w="1310" w:type="dxa"/>
          </w:tcPr>
          <w:p w:rsidR="00DF2B87" w:rsidRPr="00485AAA" w:rsidP="00DF2B87" w14:paraId="24D7A05C" w14:textId="77777777">
            <w:pPr>
              <w:pStyle w:val="ListParagraph"/>
              <w:ind w:left="0"/>
              <w:jc w:val="right"/>
              <w:rPr>
                <w:sz w:val="24"/>
                <w:szCs w:val="24"/>
                <w:lang w:eastAsia="ar-SA"/>
              </w:rPr>
            </w:pPr>
          </w:p>
        </w:tc>
        <w:tc>
          <w:tcPr>
            <w:tcW w:w="1190" w:type="dxa"/>
          </w:tcPr>
          <w:p w:rsidR="00DF2B87" w:rsidRPr="00485AAA" w:rsidP="00DF2B87" w14:paraId="7F2F9D32" w14:textId="77777777">
            <w:pPr>
              <w:pStyle w:val="ListParagraph"/>
              <w:ind w:left="0"/>
              <w:jc w:val="right"/>
              <w:rPr>
                <w:sz w:val="24"/>
                <w:szCs w:val="24"/>
                <w:lang w:eastAsia="ar-SA"/>
              </w:rPr>
            </w:pPr>
          </w:p>
        </w:tc>
        <w:tc>
          <w:tcPr>
            <w:tcW w:w="1256" w:type="dxa"/>
          </w:tcPr>
          <w:p w:rsidR="00DF2B87" w:rsidRPr="00485AAA" w:rsidP="00DF2B87" w14:paraId="60AE74B5" w14:textId="47B6B412">
            <w:pPr>
              <w:pStyle w:val="ListParagraph"/>
              <w:ind w:left="0"/>
              <w:jc w:val="right"/>
              <w:rPr>
                <w:sz w:val="24"/>
                <w:szCs w:val="24"/>
                <w:lang w:eastAsia="ar-SA"/>
              </w:rPr>
            </w:pPr>
            <w:r w:rsidRPr="00485AAA">
              <w:rPr>
                <w:b/>
                <w:bCs/>
                <w:sz w:val="24"/>
                <w:szCs w:val="24"/>
                <w:lang w:eastAsia="ar-SA"/>
              </w:rPr>
              <w:t>20,464</w:t>
            </w:r>
          </w:p>
        </w:tc>
        <w:tc>
          <w:tcPr>
            <w:tcW w:w="1389" w:type="dxa"/>
          </w:tcPr>
          <w:p w:rsidR="00DF2B87" w:rsidRPr="00485AAA" w:rsidP="00DF2B87" w14:paraId="1FC0332D" w14:textId="77777777">
            <w:pPr>
              <w:pStyle w:val="ListParagraph"/>
              <w:ind w:left="0"/>
              <w:jc w:val="right"/>
              <w:rPr>
                <w:sz w:val="24"/>
                <w:szCs w:val="24"/>
                <w:lang w:eastAsia="en-US"/>
              </w:rPr>
            </w:pPr>
          </w:p>
        </w:tc>
        <w:tc>
          <w:tcPr>
            <w:tcW w:w="1190" w:type="dxa"/>
          </w:tcPr>
          <w:p w:rsidR="00DF2B87" w:rsidRPr="00485AAA" w:rsidP="00DF2B87" w14:paraId="2B77FCA5" w14:textId="77777777">
            <w:pPr>
              <w:jc w:val="right"/>
              <w:rPr>
                <w:sz w:val="24"/>
                <w:szCs w:val="24"/>
                <w:lang w:eastAsia="en-US"/>
              </w:rPr>
            </w:pPr>
          </w:p>
        </w:tc>
        <w:tc>
          <w:tcPr>
            <w:tcW w:w="1796" w:type="dxa"/>
          </w:tcPr>
          <w:p w:rsidR="00DF2B87" w:rsidRPr="00485AAA" w:rsidP="00DF2B87" w14:paraId="352421BB" w14:textId="6E7412B3">
            <w:pPr>
              <w:pStyle w:val="ListParagraph"/>
              <w:ind w:left="0"/>
              <w:jc w:val="right"/>
              <w:rPr>
                <w:sz w:val="24"/>
                <w:szCs w:val="24"/>
                <w:lang w:eastAsia="en-US"/>
              </w:rPr>
            </w:pPr>
            <w:r w:rsidRPr="00485AAA">
              <w:rPr>
                <w:b/>
                <w:sz w:val="24"/>
                <w:szCs w:val="24"/>
                <w:lang w:eastAsia="en-US"/>
              </w:rPr>
              <w:t>$</w:t>
            </w:r>
            <w:r w:rsidRPr="00485AAA">
              <w:rPr>
                <w:b/>
                <w:sz w:val="24"/>
                <w:szCs w:val="24"/>
                <w:lang w:eastAsia="en-US"/>
              </w:rPr>
              <w:t>33</w:t>
            </w:r>
            <w:r w:rsidR="00380BE7">
              <w:rPr>
                <w:b/>
                <w:sz w:val="24"/>
                <w:szCs w:val="24"/>
                <w:lang w:eastAsia="en-US"/>
              </w:rPr>
              <w:t>6</w:t>
            </w:r>
            <w:r w:rsidRPr="00485AAA">
              <w:rPr>
                <w:b/>
                <w:sz w:val="24"/>
                <w:szCs w:val="24"/>
                <w:lang w:eastAsia="en-US"/>
              </w:rPr>
              <w:t>,</w:t>
            </w:r>
            <w:r w:rsidR="00380BE7">
              <w:rPr>
                <w:b/>
                <w:sz w:val="24"/>
                <w:szCs w:val="24"/>
                <w:lang w:eastAsia="en-US"/>
              </w:rPr>
              <w:t>987</w:t>
            </w:r>
            <w:r w:rsidRPr="00485AAA">
              <w:rPr>
                <w:b/>
                <w:sz w:val="24"/>
                <w:szCs w:val="24"/>
                <w:lang w:eastAsia="en-US"/>
              </w:rPr>
              <w:t>**</w:t>
            </w:r>
            <w:r w:rsidRPr="00485AAA">
              <w:rPr>
                <w:b/>
                <w:sz w:val="24"/>
                <w:szCs w:val="24"/>
                <w:lang w:eastAsia="en-US"/>
              </w:rPr>
              <w:t>*</w:t>
            </w:r>
          </w:p>
        </w:tc>
      </w:tr>
    </w:tbl>
    <w:p w:rsidR="00DF2B87" w:rsidRPr="00485AAA" w:rsidP="00DF2B87" w14:paraId="78CCBBC6" w14:textId="12348F3F">
      <w:pPr>
        <w:pStyle w:val="ListParagraph"/>
        <w:ind w:left="1080"/>
        <w:rPr>
          <w:snapToGrid w:val="0"/>
          <w:sz w:val="24"/>
          <w:szCs w:val="24"/>
          <w:lang w:eastAsia="en-US"/>
        </w:rPr>
      </w:pPr>
      <w:r w:rsidRPr="00485AAA">
        <w:rPr>
          <w:snapToGrid w:val="0"/>
          <w:sz w:val="24"/>
          <w:szCs w:val="24"/>
          <w:vertAlign w:val="superscript"/>
          <w:lang w:eastAsia="en-US"/>
        </w:rPr>
        <w:t xml:space="preserve">+ </w:t>
      </w:r>
      <w:r w:rsidRPr="00485AAA">
        <w:rPr>
          <w:snapToGrid w:val="0"/>
          <w:sz w:val="24"/>
          <w:szCs w:val="24"/>
          <w:lang w:eastAsia="en-US"/>
        </w:rPr>
        <w:t>We note that this figure may include forms completed by the FO</w:t>
      </w:r>
      <w:r w:rsidRPr="00485AAA" w:rsidR="00485AAA">
        <w:rPr>
          <w:snapToGrid w:val="0"/>
          <w:sz w:val="24"/>
          <w:szCs w:val="24"/>
        </w:rPr>
        <w:t>, or submissions of the fillable PDF through Upload Documents (OMB No. 0960-0830)</w:t>
      </w:r>
      <w:r w:rsidRPr="00485AAA">
        <w:rPr>
          <w:snapToGrid w:val="0"/>
          <w:sz w:val="24"/>
          <w:szCs w:val="24"/>
          <w:lang w:eastAsia="en-US"/>
        </w:rPr>
        <w:t>.</w:t>
      </w:r>
    </w:p>
    <w:p w:rsidR="00DF2B87" w:rsidRPr="001B3920" w:rsidP="00DF2B87" w14:paraId="51476BED" w14:textId="77777777">
      <w:pPr>
        <w:pStyle w:val="ListParagraph"/>
        <w:ind w:left="1080"/>
        <w:rPr>
          <w:snapToGrid w:val="0"/>
          <w:sz w:val="24"/>
          <w:szCs w:val="24"/>
          <w:lang w:eastAsia="en-US"/>
        </w:rPr>
      </w:pPr>
    </w:p>
    <w:p w:rsidR="00DF2B87" w:rsidRPr="001B3920" w:rsidP="00DF2B87" w14:paraId="27334D97" w14:textId="5522B2D5">
      <w:pPr>
        <w:pStyle w:val="ListParagraph"/>
        <w:ind w:left="1080"/>
        <w:rPr>
          <w:sz w:val="24"/>
          <w:szCs w:val="24"/>
        </w:rPr>
      </w:pPr>
      <w:r w:rsidRPr="001B3920">
        <w:rPr>
          <w:snapToGrid w:val="0"/>
          <w:sz w:val="24"/>
          <w:szCs w:val="24"/>
          <w:lang w:eastAsia="en-US"/>
        </w:rPr>
        <w:t xml:space="preserve">* </w:t>
      </w:r>
      <w:r w:rsidRPr="001B3920" w:rsidR="006C6E1F">
        <w:rPr>
          <w:sz w:val="24"/>
          <w:szCs w:val="24"/>
        </w:rPr>
        <w:t>We based this figure on disability payments, based on SSA’s current management information data (</w:t>
      </w:r>
      <w:hyperlink r:id="rId4" w:history="1">
        <w:r w:rsidRPr="001B3920" w:rsidR="006C6E1F">
          <w:rPr>
            <w:rStyle w:val="Hyperlink"/>
            <w:rFonts w:eastAsiaTheme="majorEastAsia"/>
            <w:sz w:val="24"/>
            <w:szCs w:val="24"/>
          </w:rPr>
          <w:t>Effect of COLA on Average Social Security Benefits</w:t>
        </w:r>
      </w:hyperlink>
      <w:r w:rsidRPr="001B3920" w:rsidR="006C6E1F">
        <w:rPr>
          <w:sz w:val="24"/>
          <w:szCs w:val="24"/>
        </w:rPr>
        <w:t>)</w:t>
      </w:r>
      <w:r w:rsidRPr="001B3920">
        <w:rPr>
          <w:sz w:val="24"/>
          <w:szCs w:val="24"/>
        </w:rPr>
        <w:t>.</w:t>
      </w:r>
    </w:p>
    <w:p w:rsidR="006C6E1F" w:rsidRPr="001B3920" w:rsidP="00DF2B87" w14:paraId="539212A8" w14:textId="77777777">
      <w:pPr>
        <w:pStyle w:val="ListParagraph"/>
        <w:ind w:left="1080"/>
        <w:rPr>
          <w:sz w:val="24"/>
          <w:szCs w:val="24"/>
        </w:rPr>
      </w:pPr>
    </w:p>
    <w:p w:rsidR="006C6E1F" w:rsidRPr="00380BE7" w:rsidP="00DF2B87" w14:paraId="013B3CE9" w14:textId="34C010EC">
      <w:pPr>
        <w:pStyle w:val="ListParagraph"/>
        <w:ind w:left="1080"/>
        <w:rPr>
          <w:sz w:val="24"/>
          <w:szCs w:val="24"/>
        </w:rPr>
      </w:pPr>
      <w:r w:rsidRPr="001B3920">
        <w:rPr>
          <w:sz w:val="24"/>
          <w:szCs w:val="24"/>
        </w:rPr>
        <w:t>**</w:t>
      </w:r>
      <w:r w:rsidRPr="00380BE7" w:rsidR="00380BE7">
        <w:rPr>
          <w:sz w:val="24"/>
          <w:szCs w:val="24"/>
        </w:rPr>
        <w:t>We based this figure on the average FY 2026 wait times for field offices (average wait time of 21 minutes), based on SSA’s current management information data. This figure reflects data from our systems and the data posted on our public facing website (</w:t>
      </w:r>
      <w:hyperlink r:id="rId5" w:tgtFrame="_blank" w:tooltip="https://www.ssa.gov/ssa-performance" w:history="1">
        <w:r w:rsidRPr="00380BE7" w:rsidR="00380BE7">
          <w:rPr>
            <w:rStyle w:val="Hyperlink"/>
            <w:sz w:val="24"/>
            <w:szCs w:val="24"/>
          </w:rPr>
          <w:t>Social Security performance | SSA</w:t>
        </w:r>
      </w:hyperlink>
      <w:r w:rsidRPr="00380BE7" w:rsidR="00380BE7">
        <w:rPr>
          <w:sz w:val="24"/>
          <w:szCs w:val="24"/>
        </w:rPr>
        <w:t>) on the date we drafted this document.  As the figures fluctuate, the wait times may be different on the website than they appear here.  We continue to monitor our website and management information data to ensure we report updated figures when possible</w:t>
      </w:r>
      <w:r w:rsidRPr="00380BE7" w:rsidR="00380BE7">
        <w:rPr>
          <w:snapToGrid w:val="0"/>
          <w:sz w:val="24"/>
          <w:szCs w:val="24"/>
        </w:rPr>
        <w:t xml:space="preserve">.  </w:t>
      </w:r>
      <w:r w:rsidRPr="00380BE7" w:rsidR="00380BE7">
        <w:rPr>
          <w:sz w:val="24"/>
          <w:szCs w:val="24"/>
        </w:rPr>
        <w:t xml:space="preserve">While we have included </w:t>
      </w:r>
      <w:r w:rsidRPr="00380BE7" w:rsidR="00380BE7">
        <w:rPr>
          <w:sz w:val="24"/>
          <w:szCs w:val="24"/>
        </w:rPr>
        <w:t>wait</w:t>
      </w:r>
      <w:r w:rsidRPr="00380BE7" w:rsidR="00380BE7">
        <w:rPr>
          <w:sz w:val="24"/>
          <w:szCs w:val="24"/>
        </w:rPr>
        <w:t xml:space="preserve"> time for all respondents, we note that respondents are not required to complete the form in person and those who mail or drop off a completed form do not experience any wait time</w:t>
      </w:r>
      <w:r w:rsidRPr="00380BE7">
        <w:rPr>
          <w:sz w:val="24"/>
          <w:szCs w:val="24"/>
        </w:rPr>
        <w:t>.</w:t>
      </w:r>
    </w:p>
    <w:p w:rsidR="006C6E1F" w:rsidRPr="001B3920" w:rsidP="00DF2B87" w14:paraId="48ED9028" w14:textId="77777777">
      <w:pPr>
        <w:pStyle w:val="ListParagraph"/>
        <w:ind w:left="1080"/>
        <w:rPr>
          <w:rFonts w:eastAsia="SimSun"/>
          <w:sz w:val="24"/>
          <w:szCs w:val="24"/>
          <w:lang w:eastAsia="ar-SA"/>
        </w:rPr>
      </w:pPr>
    </w:p>
    <w:p w:rsidR="006C6E1F" w:rsidRPr="001B3920" w:rsidP="006C6E1F" w14:paraId="7DF94569" w14:textId="77777777">
      <w:pPr>
        <w:pStyle w:val="ListParagraph"/>
        <w:ind w:left="1080"/>
        <w:rPr>
          <w:rFonts w:eastAsia="SimSun"/>
          <w:bCs/>
          <w:sz w:val="24"/>
          <w:szCs w:val="24"/>
          <w:lang w:eastAsia="ar-SA"/>
        </w:rPr>
      </w:pPr>
      <w:r w:rsidRPr="001B3920">
        <w:rPr>
          <w:rFonts w:eastAsia="SimSun"/>
          <w:sz w:val="24"/>
          <w:szCs w:val="24"/>
          <w:lang w:eastAsia="ar-SA"/>
        </w:rPr>
        <w:t xml:space="preserve">*** This figure does not represent actual costs that SSA is imposing on recipients of Social Security payments to complete this application; rather, these are theoretical opportunity costs for the additional time respondents will spend </w:t>
      </w:r>
      <w:r w:rsidRPr="001B3920">
        <w:rPr>
          <w:rFonts w:eastAsia="SimSun"/>
          <w:sz w:val="24"/>
          <w:szCs w:val="24"/>
          <w:lang w:eastAsia="ar-SA"/>
        </w:rPr>
        <w:t>to complete</w:t>
      </w:r>
      <w:r w:rsidRPr="001B3920">
        <w:rPr>
          <w:rFonts w:eastAsia="SimSun"/>
          <w:sz w:val="24"/>
          <w:szCs w:val="24"/>
          <w:lang w:eastAsia="ar-SA"/>
        </w:rPr>
        <w:t xml:space="preserve"> the application.  </w:t>
      </w:r>
      <w:r w:rsidRPr="001B3920">
        <w:rPr>
          <w:rFonts w:eastAsia="SimSun"/>
          <w:b/>
          <w:sz w:val="24"/>
          <w:szCs w:val="24"/>
          <w:u w:val="single"/>
          <w:lang w:eastAsia="ar-SA"/>
        </w:rPr>
        <w:t>There is no actual charge to respondents to complete the application</w:t>
      </w:r>
      <w:r w:rsidRPr="001B3920">
        <w:rPr>
          <w:rFonts w:eastAsia="SimSun"/>
          <w:bCs/>
          <w:sz w:val="24"/>
          <w:szCs w:val="24"/>
          <w:lang w:eastAsia="ar-SA"/>
        </w:rPr>
        <w:t>.</w:t>
      </w:r>
    </w:p>
    <w:p w:rsidR="006C6E1F" w:rsidRPr="001B3920" w:rsidP="006C6E1F" w14:paraId="263FA874" w14:textId="77777777">
      <w:pPr>
        <w:pStyle w:val="ListParagraph"/>
        <w:ind w:left="1080"/>
        <w:rPr>
          <w:rFonts w:eastAsia="SimSun"/>
          <w:bCs/>
          <w:sz w:val="24"/>
          <w:szCs w:val="24"/>
          <w:lang w:eastAsia="ar-SA"/>
        </w:rPr>
      </w:pPr>
    </w:p>
    <w:p w:rsidR="006C6E1F" w:rsidRPr="001B3920" w:rsidP="006C6E1F" w14:paraId="1F30980C" w14:textId="5EE8DBA8">
      <w:pPr>
        <w:pStyle w:val="ListParagraph"/>
        <w:ind w:left="1080"/>
        <w:rPr>
          <w:kern w:val="1"/>
          <w:sz w:val="24"/>
          <w:szCs w:val="24"/>
          <w:lang w:eastAsia="ar-SA"/>
        </w:rPr>
      </w:pPr>
      <w:r w:rsidRPr="001B3920">
        <w:rPr>
          <w:kern w:val="1"/>
          <w:sz w:val="24"/>
          <w:szCs w:val="24"/>
          <w:lang w:eastAsia="ar-SA"/>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006C6E1F" w:rsidRPr="001B3920" w:rsidP="006C6E1F" w14:paraId="1AF7A828" w14:textId="77777777">
      <w:pPr>
        <w:pStyle w:val="ListParagraph"/>
        <w:ind w:left="1080"/>
        <w:rPr>
          <w:kern w:val="1"/>
          <w:sz w:val="24"/>
          <w:szCs w:val="24"/>
          <w:lang w:eastAsia="ar-SA"/>
        </w:rPr>
      </w:pPr>
    </w:p>
    <w:tbl>
      <w:tblPr>
        <w:tblStyle w:val="TableGrid3"/>
        <w:tblW w:w="0" w:type="auto"/>
        <w:tblInd w:w="1075" w:type="dxa"/>
        <w:tblLook w:val="04A0"/>
      </w:tblPr>
      <w:tblGrid>
        <w:gridCol w:w="1881"/>
        <w:gridCol w:w="1305"/>
        <w:gridCol w:w="1693"/>
        <w:gridCol w:w="1608"/>
        <w:gridCol w:w="1788"/>
      </w:tblGrid>
      <w:tr w14:paraId="33A4B729" w14:textId="77777777" w:rsidTr="006C6E1F">
        <w:tblPrEx>
          <w:tblW w:w="0" w:type="auto"/>
          <w:tblInd w:w="1075" w:type="dxa"/>
          <w:tblLook w:val="04A0"/>
        </w:tblPrEx>
        <w:tc>
          <w:tcPr>
            <w:tcW w:w="1893" w:type="dxa"/>
          </w:tcPr>
          <w:p w:rsidR="006C6E1F" w:rsidRPr="001B3920" w:rsidP="00BF761F" w14:paraId="4835A762" w14:textId="77777777">
            <w:pPr>
              <w:suppressAutoHyphens/>
              <w:spacing w:line="100" w:lineRule="atLeast"/>
              <w:rPr>
                <w:b/>
                <w:bCs/>
                <w:kern w:val="1"/>
                <w:sz w:val="24"/>
                <w:szCs w:val="24"/>
                <w:lang w:eastAsia="ar-SA"/>
              </w:rPr>
            </w:pPr>
            <w:r w:rsidRPr="001B3920">
              <w:rPr>
                <w:b/>
                <w:bCs/>
                <w:kern w:val="1"/>
                <w:sz w:val="24"/>
                <w:szCs w:val="24"/>
                <w:lang w:eastAsia="ar-SA"/>
              </w:rPr>
              <w:t>Total Number of Respondents Who Visit a Field Office</w:t>
            </w:r>
          </w:p>
        </w:tc>
        <w:tc>
          <w:tcPr>
            <w:tcW w:w="1257" w:type="dxa"/>
          </w:tcPr>
          <w:p w:rsidR="006C6E1F" w:rsidRPr="001B3920" w:rsidP="00BF761F" w14:paraId="4D633351" w14:textId="77777777">
            <w:pPr>
              <w:suppressAutoHyphens/>
              <w:spacing w:line="100" w:lineRule="atLeast"/>
              <w:rPr>
                <w:b/>
                <w:bCs/>
                <w:kern w:val="1"/>
                <w:sz w:val="24"/>
                <w:szCs w:val="24"/>
                <w:lang w:eastAsia="ar-SA"/>
              </w:rPr>
            </w:pPr>
            <w:r w:rsidRPr="001B3920">
              <w:rPr>
                <w:b/>
                <w:bCs/>
                <w:kern w:val="1"/>
                <w:sz w:val="24"/>
                <w:szCs w:val="24"/>
                <w:lang w:eastAsia="ar-SA"/>
              </w:rPr>
              <w:t>Frequency of Response</w:t>
            </w:r>
          </w:p>
        </w:tc>
        <w:tc>
          <w:tcPr>
            <w:tcW w:w="1710" w:type="dxa"/>
          </w:tcPr>
          <w:p w:rsidR="006C6E1F" w:rsidRPr="001B3920" w:rsidP="00BF761F" w14:paraId="71B486A9" w14:textId="77777777">
            <w:pPr>
              <w:suppressAutoHyphens/>
              <w:spacing w:line="100" w:lineRule="atLeast"/>
              <w:rPr>
                <w:b/>
                <w:bCs/>
                <w:kern w:val="1"/>
                <w:sz w:val="24"/>
                <w:szCs w:val="24"/>
                <w:lang w:eastAsia="ar-SA"/>
              </w:rPr>
            </w:pPr>
            <w:r w:rsidRPr="001B3920">
              <w:rPr>
                <w:b/>
                <w:bCs/>
                <w:kern w:val="1"/>
                <w:sz w:val="24"/>
                <w:szCs w:val="24"/>
                <w:lang w:eastAsia="ar-SA"/>
              </w:rPr>
              <w:t>Average One-Way Travel Time to a Field Office (minutes)</w:t>
            </w:r>
          </w:p>
        </w:tc>
        <w:tc>
          <w:tcPr>
            <w:tcW w:w="1620" w:type="dxa"/>
          </w:tcPr>
          <w:p w:rsidR="006C6E1F" w:rsidRPr="001B3920" w:rsidP="00BF761F" w14:paraId="359EF23D" w14:textId="77777777">
            <w:pPr>
              <w:suppressAutoHyphens/>
              <w:spacing w:line="100" w:lineRule="atLeast"/>
              <w:rPr>
                <w:b/>
                <w:bCs/>
                <w:kern w:val="1"/>
                <w:sz w:val="24"/>
                <w:szCs w:val="24"/>
                <w:lang w:eastAsia="ar-SA"/>
              </w:rPr>
            </w:pPr>
            <w:r w:rsidRPr="001B3920">
              <w:rPr>
                <w:b/>
                <w:bCs/>
                <w:kern w:val="1"/>
                <w:sz w:val="24"/>
                <w:szCs w:val="24"/>
                <w:lang w:eastAsia="ar-SA"/>
              </w:rPr>
              <w:t>Estimated Total Travel Time to a Field Office (hours)</w:t>
            </w:r>
          </w:p>
        </w:tc>
        <w:tc>
          <w:tcPr>
            <w:tcW w:w="1795" w:type="dxa"/>
          </w:tcPr>
          <w:p w:rsidR="006C6E1F" w:rsidRPr="001B3920" w:rsidP="00BF761F" w14:paraId="2DBFD6EB" w14:textId="50187668">
            <w:pPr>
              <w:suppressAutoHyphens/>
              <w:spacing w:line="100" w:lineRule="atLeast"/>
              <w:rPr>
                <w:b/>
                <w:bCs/>
                <w:kern w:val="1"/>
                <w:sz w:val="24"/>
                <w:szCs w:val="24"/>
                <w:lang w:eastAsia="ar-SA"/>
              </w:rPr>
            </w:pPr>
            <w:r w:rsidRPr="001B3920">
              <w:rPr>
                <w:b/>
                <w:bCs/>
                <w:kern w:val="1"/>
                <w:sz w:val="24"/>
                <w:szCs w:val="24"/>
                <w:lang w:eastAsia="ar-SA"/>
              </w:rPr>
              <w:t>Total Annual Opportunity Cost for Travel Time (dollars)****</w:t>
            </w:r>
          </w:p>
        </w:tc>
      </w:tr>
      <w:tr w14:paraId="67969CD4" w14:textId="77777777" w:rsidTr="006C6E1F">
        <w:tblPrEx>
          <w:tblW w:w="0" w:type="auto"/>
          <w:tblInd w:w="1075" w:type="dxa"/>
          <w:tblLook w:val="04A0"/>
        </w:tblPrEx>
        <w:tc>
          <w:tcPr>
            <w:tcW w:w="1893" w:type="dxa"/>
          </w:tcPr>
          <w:p w:rsidR="006C6E1F" w:rsidRPr="001B3920" w:rsidP="00BF761F" w14:paraId="511365CD" w14:textId="77777777">
            <w:pPr>
              <w:suppressAutoHyphens/>
              <w:spacing w:line="100" w:lineRule="atLeast"/>
              <w:jc w:val="right"/>
              <w:rPr>
                <w:kern w:val="1"/>
                <w:sz w:val="24"/>
                <w:szCs w:val="24"/>
                <w:lang w:eastAsia="ar-SA"/>
              </w:rPr>
            </w:pPr>
            <w:r w:rsidRPr="001B3920">
              <w:rPr>
                <w:rFonts w:eastAsia="Calibri"/>
                <w:sz w:val="24"/>
                <w:szCs w:val="24"/>
                <w:lang w:eastAsia="en-US"/>
              </w:rPr>
              <w:t>9,002</w:t>
            </w:r>
          </w:p>
        </w:tc>
        <w:tc>
          <w:tcPr>
            <w:tcW w:w="1257" w:type="dxa"/>
          </w:tcPr>
          <w:p w:rsidR="006C6E1F" w:rsidRPr="001B3920" w:rsidP="00BF761F" w14:paraId="7035555E" w14:textId="77777777">
            <w:pPr>
              <w:suppressAutoHyphens/>
              <w:spacing w:line="100" w:lineRule="atLeast"/>
              <w:jc w:val="right"/>
              <w:rPr>
                <w:kern w:val="1"/>
                <w:sz w:val="24"/>
                <w:szCs w:val="24"/>
                <w:lang w:eastAsia="ar-SA"/>
              </w:rPr>
            </w:pPr>
            <w:r w:rsidRPr="001B3920">
              <w:rPr>
                <w:kern w:val="1"/>
                <w:sz w:val="24"/>
                <w:szCs w:val="24"/>
                <w:lang w:eastAsia="ar-SA"/>
              </w:rPr>
              <w:t>1</w:t>
            </w:r>
          </w:p>
        </w:tc>
        <w:tc>
          <w:tcPr>
            <w:tcW w:w="1710" w:type="dxa"/>
          </w:tcPr>
          <w:p w:rsidR="006C6E1F" w:rsidRPr="001B3920" w:rsidP="00BF761F" w14:paraId="4918E691" w14:textId="77777777">
            <w:pPr>
              <w:suppressAutoHyphens/>
              <w:spacing w:line="100" w:lineRule="atLeast"/>
              <w:jc w:val="right"/>
              <w:rPr>
                <w:kern w:val="1"/>
                <w:sz w:val="24"/>
                <w:szCs w:val="24"/>
                <w:lang w:eastAsia="ar-SA"/>
              </w:rPr>
            </w:pPr>
            <w:r w:rsidRPr="001B3920">
              <w:rPr>
                <w:kern w:val="1"/>
                <w:sz w:val="24"/>
                <w:szCs w:val="24"/>
                <w:lang w:eastAsia="ar-SA"/>
              </w:rPr>
              <w:t>30</w:t>
            </w:r>
          </w:p>
        </w:tc>
        <w:tc>
          <w:tcPr>
            <w:tcW w:w="1620" w:type="dxa"/>
          </w:tcPr>
          <w:p w:rsidR="006C6E1F" w:rsidRPr="001B3920" w:rsidP="00BF761F" w14:paraId="5B522669" w14:textId="77777777">
            <w:pPr>
              <w:suppressAutoHyphens/>
              <w:spacing w:line="100" w:lineRule="atLeast"/>
              <w:jc w:val="right"/>
              <w:rPr>
                <w:kern w:val="1"/>
                <w:sz w:val="24"/>
                <w:szCs w:val="24"/>
                <w:lang w:eastAsia="ar-SA"/>
              </w:rPr>
            </w:pPr>
            <w:r w:rsidRPr="001B3920">
              <w:rPr>
                <w:kern w:val="1"/>
                <w:sz w:val="24"/>
                <w:szCs w:val="24"/>
                <w:lang w:eastAsia="ar-SA"/>
              </w:rPr>
              <w:t>4,501</w:t>
            </w:r>
          </w:p>
        </w:tc>
        <w:tc>
          <w:tcPr>
            <w:tcW w:w="1795" w:type="dxa"/>
          </w:tcPr>
          <w:p w:rsidR="006C6E1F" w:rsidRPr="001B3920" w:rsidP="00BF761F" w14:paraId="79986CE6" w14:textId="5583527D">
            <w:pPr>
              <w:suppressAutoHyphens/>
              <w:spacing w:line="100" w:lineRule="atLeast"/>
              <w:jc w:val="right"/>
              <w:rPr>
                <w:kern w:val="1"/>
                <w:sz w:val="24"/>
                <w:szCs w:val="24"/>
                <w:lang w:eastAsia="ar-SA"/>
              </w:rPr>
            </w:pPr>
            <w:r w:rsidRPr="001B3920">
              <w:rPr>
                <w:kern w:val="1"/>
                <w:sz w:val="24"/>
                <w:szCs w:val="24"/>
                <w:lang w:eastAsia="ar-SA"/>
              </w:rPr>
              <w:t>$64,229****</w:t>
            </w:r>
          </w:p>
        </w:tc>
      </w:tr>
    </w:tbl>
    <w:p w:rsidR="006C6E1F" w:rsidRPr="001B3920" w:rsidP="006C6E1F" w14:paraId="1783F0BB" w14:textId="0C64F91C">
      <w:pPr>
        <w:pStyle w:val="ListParagraph"/>
        <w:ind w:left="1080"/>
        <w:rPr>
          <w:kern w:val="1"/>
          <w:sz w:val="24"/>
          <w:szCs w:val="24"/>
          <w:lang w:eastAsia="ar-SA"/>
        </w:rPr>
      </w:pPr>
      <w:r w:rsidRPr="001B3920">
        <w:rPr>
          <w:kern w:val="1"/>
          <w:sz w:val="24"/>
          <w:szCs w:val="24"/>
          <w:lang w:eastAsia="ar-SA"/>
        </w:rPr>
        <w:t>**** We based this dollar amount on the Average Theoretical Hourly Cost Amount in dollars shown on the burden chart above.</w:t>
      </w:r>
    </w:p>
    <w:p w:rsidR="006C6E1F" w:rsidRPr="001B3920" w:rsidP="006C6E1F" w14:paraId="3D632B54" w14:textId="77777777">
      <w:pPr>
        <w:pStyle w:val="ListParagraph"/>
        <w:ind w:left="1080"/>
        <w:rPr>
          <w:kern w:val="1"/>
          <w:sz w:val="24"/>
          <w:szCs w:val="24"/>
          <w:lang w:eastAsia="ar-SA"/>
        </w:rPr>
      </w:pPr>
    </w:p>
    <w:p w:rsidR="006C6E1F" w:rsidRPr="001B3920" w:rsidP="006C6E1F" w14:paraId="38042E33" w14:textId="553B5E84">
      <w:pPr>
        <w:pStyle w:val="ListParagraph"/>
        <w:ind w:left="1080"/>
        <w:rPr>
          <w:kern w:val="1"/>
          <w:sz w:val="24"/>
          <w:szCs w:val="24"/>
          <w:lang w:eastAsia="ar-SA"/>
        </w:rPr>
      </w:pPr>
      <w:r w:rsidRPr="001B3920">
        <w:rPr>
          <w:kern w:val="1"/>
          <w:sz w:val="24"/>
          <w:szCs w:val="24"/>
          <w:lang w:eastAsia="ar-SA"/>
        </w:rPr>
        <w:t xml:space="preserve">Per OIRA, we include this travel time burden estimate under the </w:t>
      </w:r>
      <w:r w:rsidRPr="001B3920">
        <w:rPr>
          <w:i/>
          <w:iCs/>
          <w:kern w:val="1"/>
          <w:sz w:val="24"/>
          <w:szCs w:val="24"/>
          <w:lang w:eastAsia="ar-SA"/>
        </w:rPr>
        <w:t>5 CFR 1320.8(a)(4)</w:t>
      </w:r>
      <w:r w:rsidRPr="001B3920">
        <w:rPr>
          <w:kern w:val="1"/>
          <w:sz w:val="24"/>
          <w:szCs w:val="24"/>
          <w:lang w:eastAsia="ar-SA"/>
        </w:rPr>
        <w:t xml:space="preserve">, which requires us to provide “time, effort, or financial resources expended by persons [for]…transmitting, or otherwise disclosing the information,” as well as </w:t>
      </w:r>
      <w:r w:rsidRPr="001B3920">
        <w:rPr>
          <w:i/>
          <w:iCs/>
          <w:kern w:val="1"/>
          <w:sz w:val="24"/>
          <w:szCs w:val="24"/>
          <w:lang w:eastAsia="ar-SA"/>
        </w:rPr>
        <w:t xml:space="preserve">5 CFR 1320.8(b)(3)(iii) </w:t>
      </w:r>
      <w:r w:rsidRPr="001B3920">
        <w:rPr>
          <w:kern w:val="1"/>
          <w:sz w:val="24"/>
          <w:szCs w:val="24"/>
          <w:lang w:eastAsia="ar-SA"/>
        </w:rPr>
        <w:t>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6C6E1F" w:rsidRPr="001B3920" w:rsidP="006C6E1F" w14:paraId="3030A572" w14:textId="77777777">
      <w:pPr>
        <w:pStyle w:val="ListParagraph"/>
        <w:ind w:left="1080"/>
        <w:rPr>
          <w:kern w:val="1"/>
          <w:sz w:val="24"/>
          <w:szCs w:val="24"/>
          <w:lang w:eastAsia="ar-SA"/>
        </w:rPr>
      </w:pPr>
    </w:p>
    <w:p w:rsidR="006C6E1F" w:rsidRPr="001B3920" w:rsidP="006C6E1F" w14:paraId="2976F102" w14:textId="77777777">
      <w:pPr>
        <w:pStyle w:val="ListParagraph"/>
        <w:ind w:left="1080"/>
        <w:rPr>
          <w:kern w:val="1"/>
          <w:sz w:val="24"/>
          <w:szCs w:val="24"/>
          <w:lang w:eastAsia="ar-SA"/>
        </w:rPr>
      </w:pPr>
      <w:r w:rsidRPr="001B3920">
        <w:rPr>
          <w:kern w:val="1"/>
          <w:sz w:val="24"/>
          <w:szCs w:val="24"/>
          <w:lang w:eastAsia="ar-SA"/>
        </w:rPr>
        <w:t>NOTE:  We included the total opportunity cost estimate from this chart in our calculations when showing the total opportunity cost estimates in the paragraph below.</w:t>
      </w:r>
    </w:p>
    <w:p w:rsidR="006C6E1F" w:rsidRPr="001B3920" w:rsidP="006C6E1F" w14:paraId="0C095F74" w14:textId="77777777">
      <w:pPr>
        <w:pStyle w:val="ListParagraph"/>
        <w:ind w:left="1080"/>
        <w:rPr>
          <w:kern w:val="1"/>
          <w:sz w:val="24"/>
          <w:szCs w:val="24"/>
          <w:lang w:eastAsia="ar-SA"/>
        </w:rPr>
      </w:pPr>
    </w:p>
    <w:p w:rsidR="006C6E1F" w:rsidRPr="001B3920" w:rsidP="006C6E1F" w14:paraId="10A3945C" w14:textId="53089A04">
      <w:pPr>
        <w:pStyle w:val="ListParagraph"/>
        <w:ind w:left="1080"/>
        <w:rPr>
          <w:sz w:val="24"/>
          <w:szCs w:val="24"/>
        </w:rPr>
      </w:pPr>
      <w:r w:rsidRPr="001B3920">
        <w:rPr>
          <w:sz w:val="24"/>
          <w:szCs w:val="24"/>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6C6E1F" w:rsidRPr="001B3920" w:rsidP="006C6E1F" w14:paraId="1CAA9BD6" w14:textId="77777777">
      <w:pPr>
        <w:pStyle w:val="ListParagraph"/>
        <w:ind w:left="1080"/>
        <w:rPr>
          <w:sz w:val="24"/>
          <w:szCs w:val="24"/>
        </w:rPr>
      </w:pPr>
    </w:p>
    <w:tbl>
      <w:tblPr>
        <w:tblW w:w="891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1800"/>
        <w:gridCol w:w="1440"/>
        <w:gridCol w:w="1890"/>
        <w:gridCol w:w="1980"/>
      </w:tblGrid>
      <w:tr w14:paraId="372F5355" w14:textId="77777777" w:rsidTr="006C6E1F">
        <w:tblPrEx>
          <w:tblW w:w="891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800" w:type="dxa"/>
          </w:tcPr>
          <w:p w:rsidR="006C6E1F" w:rsidRPr="001B3920" w:rsidP="00BF761F" w14:paraId="7DF2119F" w14:textId="77777777">
            <w:pPr>
              <w:widowControl w:val="0"/>
              <w:rPr>
                <w:b/>
                <w:snapToGrid w:val="0"/>
                <w:sz w:val="24"/>
                <w:szCs w:val="24"/>
                <w:lang w:eastAsia="en-US"/>
              </w:rPr>
            </w:pPr>
            <w:r w:rsidRPr="001B3920">
              <w:rPr>
                <w:b/>
                <w:snapToGrid w:val="0"/>
                <w:sz w:val="24"/>
                <w:szCs w:val="24"/>
                <w:lang w:eastAsia="en-US"/>
              </w:rPr>
              <w:t xml:space="preserve">Total Number of Respondents </w:t>
            </w:r>
          </w:p>
        </w:tc>
        <w:tc>
          <w:tcPr>
            <w:tcW w:w="1800" w:type="dxa"/>
          </w:tcPr>
          <w:p w:rsidR="006C6E1F" w:rsidRPr="001B3920" w:rsidP="00BF761F" w14:paraId="4A9B0E13" w14:textId="77777777">
            <w:pPr>
              <w:widowControl w:val="0"/>
              <w:rPr>
                <w:b/>
                <w:snapToGrid w:val="0"/>
                <w:sz w:val="24"/>
                <w:szCs w:val="24"/>
                <w:lang w:eastAsia="en-US"/>
              </w:rPr>
            </w:pPr>
            <w:r w:rsidRPr="001B3920">
              <w:rPr>
                <w:b/>
                <w:snapToGrid w:val="0"/>
                <w:sz w:val="24"/>
                <w:szCs w:val="24"/>
                <w:lang w:eastAsia="en-US"/>
              </w:rPr>
              <w:t>Frequency of Response</w:t>
            </w:r>
          </w:p>
        </w:tc>
        <w:tc>
          <w:tcPr>
            <w:tcW w:w="1440" w:type="dxa"/>
          </w:tcPr>
          <w:p w:rsidR="006C6E1F" w:rsidRPr="001B3920" w:rsidP="00BF761F" w14:paraId="3977DEEC" w14:textId="77777777">
            <w:pPr>
              <w:widowControl w:val="0"/>
              <w:rPr>
                <w:b/>
                <w:snapToGrid w:val="0"/>
                <w:sz w:val="24"/>
                <w:szCs w:val="24"/>
                <w:lang w:eastAsia="en-US"/>
              </w:rPr>
            </w:pPr>
            <w:r w:rsidRPr="001B3920">
              <w:rPr>
                <w:b/>
                <w:snapToGrid w:val="0"/>
                <w:sz w:val="24"/>
                <w:szCs w:val="24"/>
                <w:lang w:eastAsia="en-US"/>
              </w:rPr>
              <w:t>Estimate Learning Cost (minutes)</w:t>
            </w:r>
          </w:p>
        </w:tc>
        <w:tc>
          <w:tcPr>
            <w:tcW w:w="1890" w:type="dxa"/>
          </w:tcPr>
          <w:p w:rsidR="006C6E1F" w:rsidRPr="001B3920" w:rsidP="00BF761F" w14:paraId="46AFCC6A" w14:textId="77777777">
            <w:pPr>
              <w:widowControl w:val="0"/>
              <w:rPr>
                <w:b/>
                <w:snapToGrid w:val="0"/>
                <w:sz w:val="24"/>
                <w:szCs w:val="24"/>
                <w:lang w:eastAsia="en-US"/>
              </w:rPr>
            </w:pPr>
            <w:r w:rsidRPr="001B3920">
              <w:rPr>
                <w:b/>
                <w:snapToGrid w:val="0"/>
                <w:sz w:val="24"/>
                <w:szCs w:val="24"/>
                <w:lang w:eastAsia="en-US"/>
              </w:rPr>
              <w:t>Estimated Total Annual Burden (hours)</w:t>
            </w:r>
          </w:p>
        </w:tc>
        <w:tc>
          <w:tcPr>
            <w:tcW w:w="1980" w:type="dxa"/>
          </w:tcPr>
          <w:p w:rsidR="006C6E1F" w:rsidRPr="001B3920" w:rsidP="00BF761F" w14:paraId="6141DFB0" w14:textId="13D28227">
            <w:pPr>
              <w:widowControl w:val="0"/>
              <w:rPr>
                <w:b/>
                <w:snapToGrid w:val="0"/>
                <w:sz w:val="24"/>
                <w:szCs w:val="24"/>
                <w:lang w:eastAsia="en-US"/>
              </w:rPr>
            </w:pPr>
            <w:r w:rsidRPr="001B3920">
              <w:rPr>
                <w:b/>
                <w:snapToGrid w:val="0"/>
                <w:sz w:val="24"/>
                <w:szCs w:val="24"/>
                <w:lang w:eastAsia="en-US"/>
              </w:rPr>
              <w:t xml:space="preserve">Total </w:t>
            </w:r>
            <w:r w:rsidRPr="001B3920">
              <w:rPr>
                <w:b/>
                <w:kern w:val="1"/>
                <w:sz w:val="24"/>
                <w:szCs w:val="24"/>
                <w:lang w:eastAsia="ar-SA"/>
              </w:rPr>
              <w:t>Annual Opportunity Cost for</w:t>
            </w:r>
            <w:r w:rsidRPr="001B3920">
              <w:rPr>
                <w:kern w:val="1"/>
                <w:sz w:val="24"/>
                <w:szCs w:val="24"/>
                <w:lang w:eastAsia="ar-SA"/>
              </w:rPr>
              <w:t xml:space="preserve"> </w:t>
            </w:r>
            <w:r w:rsidRPr="001B3920">
              <w:rPr>
                <w:b/>
                <w:snapToGrid w:val="0"/>
                <w:sz w:val="24"/>
                <w:szCs w:val="24"/>
                <w:lang w:eastAsia="en-US"/>
              </w:rPr>
              <w:t xml:space="preserve"> Learning Cost (dollars)**</w:t>
            </w:r>
          </w:p>
        </w:tc>
      </w:tr>
      <w:tr w14:paraId="3DE10010" w14:textId="77777777" w:rsidTr="006C6E1F">
        <w:tblPrEx>
          <w:tblW w:w="8910" w:type="dxa"/>
          <w:tblInd w:w="1075" w:type="dxa"/>
          <w:tblLook w:val="04A0"/>
        </w:tblPrEx>
        <w:trPr>
          <w:trHeight w:val="306"/>
        </w:trPr>
        <w:tc>
          <w:tcPr>
            <w:tcW w:w="1800" w:type="dxa"/>
          </w:tcPr>
          <w:p w:rsidR="006C6E1F" w:rsidRPr="001B3920" w:rsidP="006C6E1F" w14:paraId="2D9CA90A" w14:textId="0DD7D190">
            <w:pPr>
              <w:widowControl w:val="0"/>
              <w:jc w:val="right"/>
              <w:rPr>
                <w:snapToGrid w:val="0"/>
                <w:sz w:val="24"/>
                <w:szCs w:val="24"/>
                <w:lang w:eastAsia="en-US"/>
              </w:rPr>
            </w:pPr>
            <w:r w:rsidRPr="001B3920">
              <w:rPr>
                <w:snapToGrid w:val="0"/>
                <w:sz w:val="24"/>
                <w:szCs w:val="24"/>
                <w:lang w:eastAsia="en-US"/>
              </w:rPr>
              <w:t>81,855</w:t>
            </w:r>
          </w:p>
        </w:tc>
        <w:tc>
          <w:tcPr>
            <w:tcW w:w="1800" w:type="dxa"/>
          </w:tcPr>
          <w:p w:rsidR="006C6E1F" w:rsidRPr="001B3920" w:rsidP="006C6E1F" w14:paraId="6E0DB135" w14:textId="77777777">
            <w:pPr>
              <w:widowControl w:val="0"/>
              <w:jc w:val="right"/>
              <w:rPr>
                <w:snapToGrid w:val="0"/>
                <w:sz w:val="24"/>
                <w:szCs w:val="24"/>
                <w:lang w:eastAsia="en-US"/>
              </w:rPr>
            </w:pPr>
            <w:r w:rsidRPr="001B3920">
              <w:rPr>
                <w:snapToGrid w:val="0"/>
                <w:sz w:val="24"/>
                <w:szCs w:val="24"/>
                <w:lang w:eastAsia="en-US"/>
              </w:rPr>
              <w:t>1</w:t>
            </w:r>
          </w:p>
        </w:tc>
        <w:tc>
          <w:tcPr>
            <w:tcW w:w="1440" w:type="dxa"/>
          </w:tcPr>
          <w:p w:rsidR="006C6E1F" w:rsidRPr="001B3920" w:rsidP="006C6E1F" w14:paraId="1E543086" w14:textId="77777777">
            <w:pPr>
              <w:widowControl w:val="0"/>
              <w:jc w:val="right"/>
              <w:rPr>
                <w:snapToGrid w:val="0"/>
                <w:sz w:val="24"/>
                <w:szCs w:val="24"/>
                <w:lang w:eastAsia="en-US"/>
              </w:rPr>
            </w:pPr>
            <w:r w:rsidRPr="001B3920">
              <w:rPr>
                <w:snapToGrid w:val="0"/>
                <w:sz w:val="24"/>
                <w:szCs w:val="24"/>
                <w:lang w:eastAsia="en-US"/>
              </w:rPr>
              <w:t>15</w:t>
            </w:r>
          </w:p>
        </w:tc>
        <w:tc>
          <w:tcPr>
            <w:tcW w:w="1890" w:type="dxa"/>
          </w:tcPr>
          <w:p w:rsidR="006C6E1F" w:rsidRPr="001B3920" w:rsidP="006C6E1F" w14:paraId="1ED6384F" w14:textId="560E9460">
            <w:pPr>
              <w:widowControl w:val="0"/>
              <w:jc w:val="right"/>
              <w:rPr>
                <w:snapToGrid w:val="0"/>
                <w:sz w:val="24"/>
                <w:szCs w:val="24"/>
                <w:lang w:eastAsia="en-US"/>
              </w:rPr>
            </w:pPr>
            <w:r w:rsidRPr="001B3920">
              <w:rPr>
                <w:snapToGrid w:val="0"/>
                <w:sz w:val="24"/>
                <w:szCs w:val="24"/>
                <w:lang w:eastAsia="en-US"/>
              </w:rPr>
              <w:t>20,46</w:t>
            </w:r>
            <w:r w:rsidR="00C273A9">
              <w:rPr>
                <w:snapToGrid w:val="0"/>
                <w:sz w:val="24"/>
                <w:szCs w:val="24"/>
                <w:lang w:eastAsia="en-US"/>
              </w:rPr>
              <w:t>4</w:t>
            </w:r>
          </w:p>
        </w:tc>
        <w:tc>
          <w:tcPr>
            <w:tcW w:w="1980" w:type="dxa"/>
          </w:tcPr>
          <w:p w:rsidR="006C6E1F" w:rsidRPr="001B3920" w:rsidP="006C6E1F" w14:paraId="1B3AE7F2" w14:textId="5E8E8ECE">
            <w:pPr>
              <w:widowControl w:val="0"/>
              <w:jc w:val="right"/>
              <w:rPr>
                <w:snapToGrid w:val="0"/>
                <w:sz w:val="24"/>
                <w:szCs w:val="24"/>
                <w:lang w:eastAsia="en-US"/>
              </w:rPr>
            </w:pPr>
            <w:r w:rsidRPr="001B3920">
              <w:rPr>
                <w:snapToGrid w:val="0"/>
                <w:sz w:val="24"/>
                <w:szCs w:val="24"/>
                <w:lang w:eastAsia="en-US"/>
              </w:rPr>
              <w:t>$</w:t>
            </w:r>
            <w:r w:rsidRPr="001B3920" w:rsidR="00FA48A1">
              <w:rPr>
                <w:snapToGrid w:val="0"/>
                <w:sz w:val="24"/>
                <w:szCs w:val="24"/>
                <w:lang w:eastAsia="en-US"/>
              </w:rPr>
              <w:t>292,0</w:t>
            </w:r>
            <w:r w:rsidR="00C273A9">
              <w:rPr>
                <w:snapToGrid w:val="0"/>
                <w:sz w:val="24"/>
                <w:szCs w:val="24"/>
                <w:lang w:eastAsia="en-US"/>
              </w:rPr>
              <w:t>21</w:t>
            </w:r>
            <w:r w:rsidRPr="001B3920" w:rsidR="00FA48A1">
              <w:rPr>
                <w:snapToGrid w:val="0"/>
                <w:sz w:val="24"/>
                <w:szCs w:val="24"/>
                <w:lang w:eastAsia="en-US"/>
              </w:rPr>
              <w:t>*</w:t>
            </w:r>
            <w:r w:rsidRPr="001B3920">
              <w:rPr>
                <w:snapToGrid w:val="0"/>
                <w:sz w:val="24"/>
                <w:szCs w:val="24"/>
                <w:lang w:eastAsia="en-US"/>
              </w:rPr>
              <w:t>****</w:t>
            </w:r>
          </w:p>
        </w:tc>
      </w:tr>
    </w:tbl>
    <w:p w:rsidR="006C6E1F" w:rsidRPr="001B3920" w:rsidP="00DF2B87" w14:paraId="7ECD25D0" w14:textId="6EBCC49B">
      <w:pPr>
        <w:pStyle w:val="ListParagraph"/>
        <w:ind w:left="1080"/>
        <w:rPr>
          <w:noProof/>
          <w:snapToGrid w:val="0"/>
          <w:sz w:val="24"/>
          <w:szCs w:val="24"/>
        </w:rPr>
      </w:pPr>
      <w:r w:rsidRPr="001B3920">
        <w:rPr>
          <w:noProof/>
          <w:snapToGrid w:val="0"/>
          <w:sz w:val="24"/>
          <w:szCs w:val="24"/>
        </w:rPr>
        <w:t>*****We based this dollar amount on the Average Theoretical Hourly Cost Amount in dollars shown on the burden chart above</w:t>
      </w:r>
      <w:r w:rsidRPr="001B3920" w:rsidR="00FA48A1">
        <w:rPr>
          <w:noProof/>
          <w:snapToGrid w:val="0"/>
          <w:sz w:val="24"/>
          <w:szCs w:val="24"/>
        </w:rPr>
        <w:t>.</w:t>
      </w:r>
    </w:p>
    <w:p w:rsidR="00FA48A1" w:rsidRPr="001B3920" w:rsidP="00DF2B87" w14:paraId="74D709D7" w14:textId="77777777">
      <w:pPr>
        <w:pStyle w:val="ListParagraph"/>
        <w:ind w:left="1080"/>
        <w:rPr>
          <w:noProof/>
          <w:snapToGrid w:val="0"/>
          <w:sz w:val="24"/>
          <w:szCs w:val="24"/>
        </w:rPr>
      </w:pPr>
    </w:p>
    <w:p w:rsidR="00FA48A1" w:rsidRPr="001B3920" w:rsidP="00DF2B87" w14:paraId="6587DA7F" w14:textId="27D62E81">
      <w:pPr>
        <w:pStyle w:val="ListParagraph"/>
        <w:ind w:left="1080"/>
        <w:rPr>
          <w:noProof/>
          <w:snapToGrid w:val="0"/>
          <w:sz w:val="24"/>
          <w:szCs w:val="24"/>
        </w:rPr>
      </w:pPr>
      <w:r w:rsidRPr="001B3920">
        <w:rPr>
          <w:kern w:val="1"/>
          <w:sz w:val="24"/>
          <w:szCs w:val="24"/>
          <w:lang w:eastAsia="ar-SA"/>
        </w:rPr>
        <w:t>NOTE:  We included the total opportunity cost estimate from this chart in our calculations when showing the total opportunity cost estimates in the paragraph below.</w:t>
      </w:r>
    </w:p>
    <w:p w:rsidR="00FA48A1" w:rsidRPr="001B3920" w:rsidP="00DF2B87" w14:paraId="5EF85591" w14:textId="77777777">
      <w:pPr>
        <w:pStyle w:val="ListParagraph"/>
        <w:ind w:left="1080"/>
        <w:rPr>
          <w:noProof/>
          <w:snapToGrid w:val="0"/>
          <w:sz w:val="24"/>
          <w:szCs w:val="24"/>
        </w:rPr>
      </w:pPr>
    </w:p>
    <w:p w:rsidR="00FA48A1" w:rsidRPr="001B3920" w:rsidP="00DF2B87" w14:paraId="6ADD00B3" w14:textId="5F187C7E">
      <w:pPr>
        <w:pStyle w:val="ListParagraph"/>
        <w:ind w:left="1080"/>
        <w:rPr>
          <w:bCs/>
          <w:snapToGrid w:val="0"/>
          <w:sz w:val="24"/>
          <w:szCs w:val="24"/>
          <w:lang w:eastAsia="en-US"/>
        </w:rPr>
      </w:pPr>
      <w:r w:rsidRPr="001B3920">
        <w:rPr>
          <w:noProof/>
          <w:snapToGrid w:val="0"/>
          <w:sz w:val="24"/>
          <w:szCs w:val="24"/>
        </w:rPr>
        <w:t xml:space="preserve">We base our burden estimates on current management information data, which includes data from actual interviews, as well as from years of conducting this information collection.  Per our management information data, we believe that the </w:t>
      </w:r>
      <w:r w:rsidRPr="001B3920">
        <w:rPr>
          <w:b/>
          <w:bCs/>
          <w:noProof/>
          <w:snapToGrid w:val="0"/>
          <w:sz w:val="24"/>
          <w:szCs w:val="24"/>
        </w:rPr>
        <w:t>15</w:t>
      </w:r>
      <w:r w:rsidRPr="001B3920">
        <w:rPr>
          <w:noProof/>
          <w:snapToGrid w:val="0"/>
          <w:sz w:val="24"/>
          <w:szCs w:val="24"/>
        </w:rPr>
        <w:t xml:space="preserve"> minutes shown in our chart above accurately shows the average burden per response for reading the instructions, gathering the facts, and answering the questions.  Based on our current management information data, the current burden information we provided is accurate</w:t>
      </w:r>
      <w:r w:rsidRPr="001B3920">
        <w:rPr>
          <w:snapToGrid w:val="0"/>
          <w:sz w:val="24"/>
          <w:szCs w:val="24"/>
        </w:rPr>
        <w:t xml:space="preserve">.  The total burden for this ICR is </w:t>
      </w:r>
      <w:r w:rsidRPr="001B3920">
        <w:rPr>
          <w:b/>
          <w:snapToGrid w:val="0"/>
          <w:sz w:val="24"/>
          <w:szCs w:val="24"/>
        </w:rPr>
        <w:t>20,464</w:t>
      </w:r>
      <w:r w:rsidRPr="001B3920">
        <w:rPr>
          <w:snapToGrid w:val="0"/>
          <w:sz w:val="24"/>
          <w:szCs w:val="24"/>
        </w:rPr>
        <w:t xml:space="preserve"> burden hours (reflecting SSA management information data), which results in an associated theoretical (not actual) opportunity cost financial burden of </w:t>
      </w:r>
      <w:r w:rsidRPr="001B3920">
        <w:rPr>
          <w:b/>
          <w:snapToGrid w:val="0"/>
          <w:sz w:val="24"/>
          <w:szCs w:val="24"/>
        </w:rPr>
        <w:t>$695,363</w:t>
      </w:r>
      <w:r w:rsidRPr="001B3920">
        <w:rPr>
          <w:snapToGrid w:val="0"/>
          <w:sz w:val="24"/>
          <w:szCs w:val="24"/>
        </w:rPr>
        <w:t>.  SSA does not charge respondents to complete our applications</w:t>
      </w:r>
    </w:p>
    <w:p w:rsidR="00DF2B87" w:rsidRPr="001B3920" w:rsidP="00DF2B87" w14:paraId="31A3DDFA" w14:textId="77777777">
      <w:pPr>
        <w:pStyle w:val="ListParagraph"/>
        <w:ind w:left="1080"/>
        <w:rPr>
          <w:sz w:val="24"/>
          <w:szCs w:val="24"/>
          <w:u w:val="single"/>
        </w:rPr>
      </w:pPr>
    </w:p>
    <w:p w:rsidR="00EA3E0B" w:rsidRPr="001B3920" w:rsidP="00EA3E0B" w14:paraId="02104430" w14:textId="12328F7F">
      <w:pPr>
        <w:pStyle w:val="ListParagraph"/>
        <w:numPr>
          <w:ilvl w:val="0"/>
          <w:numId w:val="2"/>
        </w:numPr>
        <w:rPr>
          <w:sz w:val="24"/>
          <w:szCs w:val="24"/>
          <w:u w:val="single"/>
        </w:rPr>
      </w:pPr>
      <w:r w:rsidRPr="001B3920">
        <w:rPr>
          <w:b/>
          <w:sz w:val="24"/>
          <w:szCs w:val="24"/>
        </w:rPr>
        <w:t>Annual Cost to the Respondents (Other)</w:t>
      </w:r>
    </w:p>
    <w:p w:rsidR="00FA48A1" w:rsidRPr="001B3920" w:rsidP="00FA48A1" w14:paraId="58AEE468" w14:textId="2DD8F602">
      <w:pPr>
        <w:pStyle w:val="ListParagraph"/>
        <w:ind w:left="1080"/>
        <w:rPr>
          <w:b/>
          <w:sz w:val="24"/>
          <w:szCs w:val="24"/>
        </w:rPr>
      </w:pPr>
      <w:r w:rsidRPr="001B3920">
        <w:rPr>
          <w:sz w:val="24"/>
          <w:szCs w:val="24"/>
        </w:rPr>
        <w:t xml:space="preserve">This collection does not impose a known cost burden </w:t>
      </w:r>
      <w:r w:rsidRPr="001B3920">
        <w:rPr>
          <w:sz w:val="24"/>
          <w:szCs w:val="24"/>
        </w:rPr>
        <w:t>to</w:t>
      </w:r>
      <w:r w:rsidRPr="001B3920">
        <w:rPr>
          <w:sz w:val="24"/>
          <w:szCs w:val="24"/>
        </w:rPr>
        <w:t xml:space="preserve"> the respondents.</w:t>
      </w:r>
    </w:p>
    <w:p w:rsidR="00FA48A1" w:rsidRPr="001B3920" w:rsidP="00FA48A1" w14:paraId="6CB2BF81" w14:textId="77777777">
      <w:pPr>
        <w:pStyle w:val="ListParagraph"/>
        <w:ind w:left="1080"/>
        <w:rPr>
          <w:sz w:val="24"/>
          <w:szCs w:val="24"/>
          <w:u w:val="single"/>
        </w:rPr>
      </w:pPr>
    </w:p>
    <w:p w:rsidR="00EA3E0B" w:rsidRPr="001B3920" w:rsidP="00EA3E0B" w14:paraId="1C6F89BA" w14:textId="40F63C63">
      <w:pPr>
        <w:pStyle w:val="ListParagraph"/>
        <w:numPr>
          <w:ilvl w:val="0"/>
          <w:numId w:val="2"/>
        </w:numPr>
        <w:rPr>
          <w:sz w:val="24"/>
          <w:szCs w:val="24"/>
          <w:u w:val="single"/>
        </w:rPr>
      </w:pPr>
      <w:r w:rsidRPr="001B3920">
        <w:rPr>
          <w:b/>
          <w:sz w:val="24"/>
          <w:szCs w:val="24"/>
        </w:rPr>
        <w:t>Annual Cost to Federal Government</w:t>
      </w:r>
    </w:p>
    <w:p w:rsidR="00FA48A1" w:rsidRPr="001B3920" w:rsidP="00FA48A1" w14:paraId="4BF5B476" w14:textId="4C10DEC3">
      <w:pPr>
        <w:pStyle w:val="ListParagraph"/>
        <w:ind w:left="1080"/>
        <w:rPr>
          <w:color w:val="000000"/>
          <w:sz w:val="24"/>
          <w:szCs w:val="24"/>
        </w:rPr>
      </w:pPr>
      <w:r w:rsidRPr="001B3920">
        <w:rPr>
          <w:color w:val="000000"/>
          <w:sz w:val="24"/>
          <w:szCs w:val="24"/>
        </w:rPr>
        <w:t>The annual cost to the Federal Government is approximately $246,150.  This estimate accounts for costs from the following areas:</w:t>
      </w:r>
    </w:p>
    <w:p w:rsidR="00FA48A1" w:rsidRPr="001B3920" w:rsidP="00FA48A1" w14:paraId="152AB694" w14:textId="77777777">
      <w:pPr>
        <w:pStyle w:val="ListParagraph"/>
        <w:ind w:left="1080"/>
        <w:rPr>
          <w:color w:val="000000"/>
          <w:sz w:val="24"/>
          <w:szCs w:val="24"/>
        </w:rPr>
      </w:pPr>
    </w:p>
    <w:tbl>
      <w:tblPr>
        <w:tblStyle w:val="TableGrid"/>
        <w:tblW w:w="0" w:type="auto"/>
        <w:tblInd w:w="1080" w:type="dxa"/>
        <w:tblLook w:val="04A0"/>
      </w:tblPr>
      <w:tblGrid>
        <w:gridCol w:w="2756"/>
        <w:gridCol w:w="2757"/>
        <w:gridCol w:w="2757"/>
      </w:tblGrid>
      <w:tr w14:paraId="220ECA67" w14:textId="77777777" w:rsidTr="00FA48A1">
        <w:tblPrEx>
          <w:tblW w:w="0" w:type="auto"/>
          <w:tblInd w:w="1080" w:type="dxa"/>
          <w:tblLook w:val="04A0"/>
        </w:tblPrEx>
        <w:tc>
          <w:tcPr>
            <w:tcW w:w="2756" w:type="dxa"/>
          </w:tcPr>
          <w:p w:rsidR="00FA48A1" w:rsidRPr="001B3920" w:rsidP="00FA48A1" w14:paraId="1C33FAF5" w14:textId="30B6BD09">
            <w:pPr>
              <w:pStyle w:val="ListParagraph"/>
              <w:ind w:left="0"/>
              <w:rPr>
                <w:color w:val="000000"/>
                <w:sz w:val="24"/>
                <w:szCs w:val="24"/>
              </w:rPr>
            </w:pPr>
            <w:r w:rsidRPr="001B3920">
              <w:rPr>
                <w:b/>
                <w:bCs/>
                <w:color w:val="000000"/>
                <w:sz w:val="24"/>
                <w:szCs w:val="24"/>
              </w:rPr>
              <w:t>Description of Cost Factor</w:t>
            </w:r>
          </w:p>
        </w:tc>
        <w:tc>
          <w:tcPr>
            <w:tcW w:w="2757" w:type="dxa"/>
          </w:tcPr>
          <w:p w:rsidR="00FA48A1" w:rsidRPr="001B3920" w:rsidP="00FA48A1" w14:paraId="112F568F" w14:textId="6D7ECD6C">
            <w:pPr>
              <w:pStyle w:val="ListParagraph"/>
              <w:ind w:left="0"/>
              <w:rPr>
                <w:color w:val="000000"/>
                <w:sz w:val="24"/>
                <w:szCs w:val="24"/>
              </w:rPr>
            </w:pPr>
            <w:r w:rsidRPr="001B3920">
              <w:rPr>
                <w:b/>
                <w:bCs/>
                <w:color w:val="000000"/>
                <w:sz w:val="24"/>
                <w:szCs w:val="24"/>
              </w:rPr>
              <w:t>Methodology for Estimating Cost</w:t>
            </w:r>
          </w:p>
        </w:tc>
        <w:tc>
          <w:tcPr>
            <w:tcW w:w="2757" w:type="dxa"/>
          </w:tcPr>
          <w:p w:rsidR="00FA48A1" w:rsidRPr="001B3920" w:rsidP="00FA48A1" w14:paraId="60185F59" w14:textId="349B8931">
            <w:pPr>
              <w:pStyle w:val="ListParagraph"/>
              <w:ind w:left="0"/>
              <w:rPr>
                <w:color w:val="000000"/>
                <w:sz w:val="24"/>
                <w:szCs w:val="24"/>
              </w:rPr>
            </w:pPr>
            <w:r w:rsidRPr="001B3920">
              <w:rPr>
                <w:b/>
                <w:bCs/>
                <w:color w:val="000000"/>
                <w:sz w:val="24"/>
                <w:szCs w:val="24"/>
              </w:rPr>
              <w:t>Cost in Dollars*</w:t>
            </w:r>
          </w:p>
        </w:tc>
      </w:tr>
      <w:tr w14:paraId="7AB01602" w14:textId="77777777" w:rsidTr="00FA48A1">
        <w:tblPrEx>
          <w:tblW w:w="0" w:type="auto"/>
          <w:tblInd w:w="1080" w:type="dxa"/>
          <w:tblLook w:val="04A0"/>
        </w:tblPrEx>
        <w:tc>
          <w:tcPr>
            <w:tcW w:w="2756" w:type="dxa"/>
          </w:tcPr>
          <w:p w:rsidR="00FA48A1" w:rsidRPr="001B3920" w:rsidP="00FA48A1" w14:paraId="2C778891" w14:textId="4DEAF870">
            <w:pPr>
              <w:pStyle w:val="ListParagraph"/>
              <w:ind w:left="0"/>
              <w:rPr>
                <w:color w:val="000000"/>
                <w:sz w:val="24"/>
                <w:szCs w:val="24"/>
              </w:rPr>
            </w:pPr>
            <w:r w:rsidRPr="001B3920">
              <w:rPr>
                <w:color w:val="000000"/>
                <w:sz w:val="24"/>
                <w:szCs w:val="24"/>
              </w:rPr>
              <w:t>Designing and Printing the Form</w:t>
            </w:r>
          </w:p>
        </w:tc>
        <w:tc>
          <w:tcPr>
            <w:tcW w:w="2757" w:type="dxa"/>
          </w:tcPr>
          <w:p w:rsidR="00FA48A1" w:rsidRPr="001B3920" w:rsidP="00FA48A1" w14:paraId="00BEF088" w14:textId="4A49C025">
            <w:pPr>
              <w:pStyle w:val="ListParagraph"/>
              <w:ind w:left="0"/>
              <w:rPr>
                <w:color w:val="000000"/>
                <w:sz w:val="24"/>
                <w:szCs w:val="24"/>
              </w:rPr>
            </w:pPr>
            <w:r w:rsidRPr="001B3920">
              <w:rPr>
                <w:color w:val="000000"/>
                <w:sz w:val="24"/>
                <w:szCs w:val="24"/>
              </w:rPr>
              <w:t>Design Cost + Printing Cost</w:t>
            </w:r>
          </w:p>
        </w:tc>
        <w:tc>
          <w:tcPr>
            <w:tcW w:w="2757" w:type="dxa"/>
          </w:tcPr>
          <w:p w:rsidR="00FA48A1" w:rsidRPr="001B3920" w:rsidP="00FA48A1" w14:paraId="381E3A51" w14:textId="0A5D3505">
            <w:pPr>
              <w:pStyle w:val="ListParagraph"/>
              <w:ind w:left="0"/>
              <w:jc w:val="right"/>
              <w:rPr>
                <w:color w:val="000000"/>
                <w:sz w:val="24"/>
                <w:szCs w:val="24"/>
              </w:rPr>
            </w:pPr>
            <w:r w:rsidRPr="001B3920">
              <w:rPr>
                <w:color w:val="000000"/>
                <w:sz w:val="24"/>
                <w:szCs w:val="24"/>
              </w:rPr>
              <w:t>$1,503</w:t>
            </w:r>
          </w:p>
        </w:tc>
      </w:tr>
      <w:tr w14:paraId="46233156" w14:textId="77777777" w:rsidTr="00FA48A1">
        <w:tblPrEx>
          <w:tblW w:w="0" w:type="auto"/>
          <w:tblInd w:w="1080" w:type="dxa"/>
          <w:tblLook w:val="04A0"/>
        </w:tblPrEx>
        <w:tc>
          <w:tcPr>
            <w:tcW w:w="2756" w:type="dxa"/>
          </w:tcPr>
          <w:p w:rsidR="00FA48A1" w:rsidRPr="001B3920" w:rsidP="00FA48A1" w14:paraId="50493533" w14:textId="34C7B1AC">
            <w:pPr>
              <w:pStyle w:val="ListParagraph"/>
              <w:ind w:left="0"/>
              <w:rPr>
                <w:color w:val="000000"/>
                <w:sz w:val="24"/>
                <w:szCs w:val="24"/>
              </w:rPr>
            </w:pPr>
            <w:r w:rsidRPr="001B3920">
              <w:rPr>
                <w:color w:val="000000"/>
                <w:sz w:val="24"/>
                <w:szCs w:val="24"/>
              </w:rPr>
              <w:t>Distributing</w:t>
            </w:r>
            <w:r w:rsidRPr="001B3920">
              <w:rPr>
                <w:color w:val="000000"/>
                <w:sz w:val="24"/>
                <w:szCs w:val="24"/>
              </w:rPr>
              <w:t>, Shipping, and Material Costs for the Form</w:t>
            </w:r>
          </w:p>
        </w:tc>
        <w:tc>
          <w:tcPr>
            <w:tcW w:w="2757" w:type="dxa"/>
          </w:tcPr>
          <w:p w:rsidR="00FA48A1" w:rsidRPr="001B3920" w:rsidP="00FA48A1" w14:paraId="238AC3B7" w14:textId="6BF7D771">
            <w:pPr>
              <w:pStyle w:val="ListParagraph"/>
              <w:ind w:left="0"/>
              <w:rPr>
                <w:color w:val="000000"/>
                <w:sz w:val="24"/>
                <w:szCs w:val="24"/>
              </w:rPr>
            </w:pPr>
            <w:r w:rsidRPr="001B3920">
              <w:rPr>
                <w:color w:val="000000"/>
                <w:sz w:val="24"/>
                <w:szCs w:val="24"/>
              </w:rPr>
              <w:t>Distribution + Shipping + Material Cost</w:t>
            </w:r>
          </w:p>
        </w:tc>
        <w:tc>
          <w:tcPr>
            <w:tcW w:w="2757" w:type="dxa"/>
          </w:tcPr>
          <w:p w:rsidR="00FA48A1" w:rsidRPr="001B3920" w:rsidP="00FA48A1" w14:paraId="1D830352" w14:textId="1E110097">
            <w:pPr>
              <w:pStyle w:val="ListParagraph"/>
              <w:ind w:left="0"/>
              <w:jc w:val="right"/>
              <w:rPr>
                <w:color w:val="000000"/>
                <w:sz w:val="24"/>
                <w:szCs w:val="24"/>
              </w:rPr>
            </w:pPr>
            <w:r w:rsidRPr="001B3920">
              <w:rPr>
                <w:color w:val="000000"/>
                <w:sz w:val="24"/>
                <w:szCs w:val="24"/>
              </w:rPr>
              <w:t>$0*</w:t>
            </w:r>
          </w:p>
        </w:tc>
      </w:tr>
      <w:tr w14:paraId="1665A163" w14:textId="77777777" w:rsidTr="00FA48A1">
        <w:tblPrEx>
          <w:tblW w:w="0" w:type="auto"/>
          <w:tblInd w:w="1080" w:type="dxa"/>
          <w:tblLook w:val="04A0"/>
        </w:tblPrEx>
        <w:tc>
          <w:tcPr>
            <w:tcW w:w="2756" w:type="dxa"/>
          </w:tcPr>
          <w:p w:rsidR="00FA48A1" w:rsidRPr="001B3920" w:rsidP="00FA48A1" w14:paraId="4F289432" w14:textId="182F9E07">
            <w:pPr>
              <w:pStyle w:val="ListParagraph"/>
              <w:ind w:left="0"/>
              <w:rPr>
                <w:color w:val="000000"/>
                <w:sz w:val="24"/>
                <w:szCs w:val="24"/>
              </w:rPr>
            </w:pPr>
            <w:r w:rsidRPr="001B3920">
              <w:rPr>
                <w:color w:val="000000"/>
                <w:sz w:val="24"/>
                <w:szCs w:val="24"/>
              </w:rPr>
              <w:t>SSA Employee (e.g., field office, 800 number, DDS staff) Information Collection and Processing Time</w:t>
            </w:r>
          </w:p>
        </w:tc>
        <w:tc>
          <w:tcPr>
            <w:tcW w:w="2757" w:type="dxa"/>
          </w:tcPr>
          <w:p w:rsidR="00FA48A1" w:rsidRPr="001B3920" w:rsidP="00FA48A1" w14:paraId="62CA27D7" w14:textId="75CE2797">
            <w:pPr>
              <w:pStyle w:val="ListParagraph"/>
              <w:ind w:left="0"/>
              <w:rPr>
                <w:color w:val="000000"/>
                <w:sz w:val="24"/>
                <w:szCs w:val="24"/>
              </w:rPr>
            </w:pPr>
            <w:r w:rsidRPr="001B3920">
              <w:rPr>
                <w:color w:val="000000"/>
                <w:sz w:val="24"/>
                <w:szCs w:val="24"/>
              </w:rPr>
              <w:t>GS-9 employee x # of responses x processing time</w:t>
            </w:r>
          </w:p>
        </w:tc>
        <w:tc>
          <w:tcPr>
            <w:tcW w:w="2757" w:type="dxa"/>
          </w:tcPr>
          <w:p w:rsidR="00FA48A1" w:rsidRPr="001B3920" w:rsidP="00FA48A1" w14:paraId="00674F9B" w14:textId="00D1BCC7">
            <w:pPr>
              <w:pStyle w:val="ListParagraph"/>
              <w:ind w:left="0"/>
              <w:jc w:val="right"/>
              <w:rPr>
                <w:color w:val="000000"/>
                <w:sz w:val="24"/>
                <w:szCs w:val="24"/>
              </w:rPr>
            </w:pPr>
            <w:r w:rsidRPr="001B3920">
              <w:rPr>
                <w:color w:val="000000"/>
                <w:sz w:val="24"/>
                <w:szCs w:val="24"/>
              </w:rPr>
              <w:t>$241,227</w:t>
            </w:r>
          </w:p>
        </w:tc>
      </w:tr>
      <w:tr w14:paraId="70E2B53F" w14:textId="77777777" w:rsidTr="00FA48A1">
        <w:tblPrEx>
          <w:tblW w:w="0" w:type="auto"/>
          <w:tblInd w:w="1080" w:type="dxa"/>
          <w:tblLook w:val="04A0"/>
        </w:tblPrEx>
        <w:tc>
          <w:tcPr>
            <w:tcW w:w="2756" w:type="dxa"/>
          </w:tcPr>
          <w:p w:rsidR="00FA48A1" w:rsidRPr="001B3920" w:rsidP="00FA48A1" w14:paraId="53ED0FA8" w14:textId="0943C795">
            <w:pPr>
              <w:pStyle w:val="ListParagraph"/>
              <w:ind w:left="0"/>
              <w:rPr>
                <w:color w:val="000000"/>
                <w:sz w:val="24"/>
                <w:szCs w:val="24"/>
              </w:rPr>
            </w:pPr>
            <w:r w:rsidRPr="001B3920">
              <w:rPr>
                <w:color w:val="000000"/>
                <w:sz w:val="24"/>
                <w:szCs w:val="24"/>
              </w:rPr>
              <w:t>Full-Time Equivalent Costs</w:t>
            </w:r>
          </w:p>
        </w:tc>
        <w:tc>
          <w:tcPr>
            <w:tcW w:w="2757" w:type="dxa"/>
          </w:tcPr>
          <w:p w:rsidR="00FA48A1" w:rsidRPr="001B3920" w:rsidP="00FA48A1" w14:paraId="487E8D2F" w14:textId="084C55D5">
            <w:pPr>
              <w:pStyle w:val="ListParagraph"/>
              <w:ind w:left="0"/>
              <w:rPr>
                <w:color w:val="000000"/>
                <w:sz w:val="24"/>
                <w:szCs w:val="24"/>
              </w:rPr>
            </w:pPr>
            <w:r w:rsidRPr="001B3920">
              <w:rPr>
                <w:color w:val="000000"/>
                <w:sz w:val="24"/>
                <w:szCs w:val="24"/>
              </w:rPr>
              <w:t>Out of pocket costs + Other expenses for providing this service</w:t>
            </w:r>
          </w:p>
        </w:tc>
        <w:tc>
          <w:tcPr>
            <w:tcW w:w="2757" w:type="dxa"/>
          </w:tcPr>
          <w:p w:rsidR="00FA48A1" w:rsidRPr="001B3920" w:rsidP="00FA48A1" w14:paraId="39FB185F" w14:textId="73857BEB">
            <w:pPr>
              <w:pStyle w:val="ListParagraph"/>
              <w:ind w:left="0"/>
              <w:jc w:val="right"/>
              <w:rPr>
                <w:color w:val="000000"/>
                <w:sz w:val="24"/>
                <w:szCs w:val="24"/>
              </w:rPr>
            </w:pPr>
            <w:r w:rsidRPr="001B3920">
              <w:rPr>
                <w:color w:val="000000"/>
                <w:sz w:val="24"/>
                <w:szCs w:val="24"/>
              </w:rPr>
              <w:t>$0*</w:t>
            </w:r>
          </w:p>
        </w:tc>
      </w:tr>
      <w:tr w14:paraId="34919174" w14:textId="77777777" w:rsidTr="00FA48A1">
        <w:tblPrEx>
          <w:tblW w:w="0" w:type="auto"/>
          <w:tblInd w:w="1080" w:type="dxa"/>
          <w:tblLook w:val="04A0"/>
        </w:tblPrEx>
        <w:tc>
          <w:tcPr>
            <w:tcW w:w="2756" w:type="dxa"/>
          </w:tcPr>
          <w:p w:rsidR="00FA48A1" w:rsidRPr="001B3920" w:rsidP="00FA48A1" w14:paraId="44502FB1" w14:textId="62EFDD05">
            <w:pPr>
              <w:pStyle w:val="ListParagraph"/>
              <w:ind w:left="0"/>
              <w:rPr>
                <w:color w:val="000000"/>
                <w:sz w:val="24"/>
                <w:szCs w:val="24"/>
              </w:rPr>
            </w:pPr>
            <w:r w:rsidRPr="001B3920">
              <w:rPr>
                <w:color w:val="000000"/>
                <w:sz w:val="24"/>
                <w:szCs w:val="24"/>
              </w:rPr>
              <w:t>Systems Development, Updating, and Maintenance</w:t>
            </w:r>
          </w:p>
        </w:tc>
        <w:tc>
          <w:tcPr>
            <w:tcW w:w="2757" w:type="dxa"/>
          </w:tcPr>
          <w:p w:rsidR="00FA48A1" w:rsidRPr="001B3920" w:rsidP="00FA48A1" w14:paraId="5342723D" w14:textId="26FEE79A">
            <w:pPr>
              <w:pStyle w:val="ListParagraph"/>
              <w:ind w:left="0"/>
              <w:rPr>
                <w:color w:val="000000"/>
                <w:sz w:val="24"/>
                <w:szCs w:val="24"/>
              </w:rPr>
            </w:pPr>
            <w:r w:rsidRPr="001B3920">
              <w:rPr>
                <w:color w:val="000000"/>
                <w:sz w:val="24"/>
                <w:szCs w:val="24"/>
              </w:rPr>
              <w:t>GS-9 employee x man hours for development, updating, maintenance</w:t>
            </w:r>
          </w:p>
        </w:tc>
        <w:tc>
          <w:tcPr>
            <w:tcW w:w="2757" w:type="dxa"/>
          </w:tcPr>
          <w:p w:rsidR="00FA48A1" w:rsidRPr="001B3920" w:rsidP="00FA48A1" w14:paraId="37257F4E" w14:textId="1C07D02C">
            <w:pPr>
              <w:pStyle w:val="ListParagraph"/>
              <w:ind w:left="0"/>
              <w:jc w:val="right"/>
              <w:rPr>
                <w:color w:val="000000"/>
                <w:sz w:val="24"/>
                <w:szCs w:val="24"/>
              </w:rPr>
            </w:pPr>
            <w:r w:rsidRPr="001B3920">
              <w:rPr>
                <w:color w:val="000000"/>
                <w:sz w:val="24"/>
                <w:szCs w:val="24"/>
              </w:rPr>
              <w:t>$</w:t>
            </w:r>
            <w:r w:rsidRPr="001B3920">
              <w:rPr>
                <w:sz w:val="24"/>
                <w:szCs w:val="24"/>
              </w:rPr>
              <w:t>3,420</w:t>
            </w:r>
          </w:p>
        </w:tc>
      </w:tr>
      <w:tr w14:paraId="7D31FD79" w14:textId="77777777" w:rsidTr="00FA48A1">
        <w:tblPrEx>
          <w:tblW w:w="0" w:type="auto"/>
          <w:tblInd w:w="1080" w:type="dxa"/>
          <w:tblLook w:val="04A0"/>
        </w:tblPrEx>
        <w:tc>
          <w:tcPr>
            <w:tcW w:w="2756" w:type="dxa"/>
          </w:tcPr>
          <w:p w:rsidR="00FA48A1" w:rsidRPr="001B3920" w:rsidP="00FA48A1" w14:paraId="065A2A1B" w14:textId="4FD2664D">
            <w:pPr>
              <w:pStyle w:val="ListParagraph"/>
              <w:ind w:left="0"/>
              <w:rPr>
                <w:color w:val="000000"/>
                <w:sz w:val="24"/>
                <w:szCs w:val="24"/>
              </w:rPr>
            </w:pPr>
            <w:r w:rsidRPr="001B3920">
              <w:rPr>
                <w:color w:val="000000"/>
                <w:sz w:val="24"/>
                <w:szCs w:val="24"/>
              </w:rPr>
              <w:t>Quantifiable IT Costs</w:t>
            </w:r>
          </w:p>
        </w:tc>
        <w:tc>
          <w:tcPr>
            <w:tcW w:w="2757" w:type="dxa"/>
          </w:tcPr>
          <w:p w:rsidR="00FA48A1" w:rsidRPr="001B3920" w:rsidP="00FA48A1" w14:paraId="4C0E08A0" w14:textId="55AB715C">
            <w:pPr>
              <w:pStyle w:val="ListParagraph"/>
              <w:ind w:left="0"/>
              <w:rPr>
                <w:color w:val="000000"/>
                <w:sz w:val="24"/>
                <w:szCs w:val="24"/>
              </w:rPr>
            </w:pPr>
            <w:r w:rsidRPr="001B3920">
              <w:rPr>
                <w:color w:val="000000"/>
                <w:sz w:val="24"/>
                <w:szCs w:val="24"/>
              </w:rPr>
              <w:t>Any additional IT costs</w:t>
            </w:r>
          </w:p>
        </w:tc>
        <w:tc>
          <w:tcPr>
            <w:tcW w:w="2757" w:type="dxa"/>
          </w:tcPr>
          <w:p w:rsidR="00FA48A1" w:rsidRPr="001B3920" w:rsidP="00FA48A1" w14:paraId="516DD284" w14:textId="2D28CB03">
            <w:pPr>
              <w:pStyle w:val="ListParagraph"/>
              <w:ind w:left="0"/>
              <w:jc w:val="right"/>
              <w:rPr>
                <w:color w:val="000000"/>
                <w:sz w:val="24"/>
                <w:szCs w:val="24"/>
              </w:rPr>
            </w:pPr>
            <w:r w:rsidRPr="001B3920">
              <w:rPr>
                <w:color w:val="000000"/>
                <w:sz w:val="24"/>
                <w:szCs w:val="24"/>
              </w:rPr>
              <w:t>$0*</w:t>
            </w:r>
          </w:p>
        </w:tc>
      </w:tr>
      <w:tr w14:paraId="646E1B3F" w14:textId="77777777" w:rsidTr="00FA48A1">
        <w:tblPrEx>
          <w:tblW w:w="0" w:type="auto"/>
          <w:tblInd w:w="1080" w:type="dxa"/>
          <w:tblLook w:val="04A0"/>
        </w:tblPrEx>
        <w:tc>
          <w:tcPr>
            <w:tcW w:w="2756" w:type="dxa"/>
          </w:tcPr>
          <w:p w:rsidR="00FA48A1" w:rsidRPr="001B3920" w:rsidP="00FA48A1" w14:paraId="4BA7F249" w14:textId="1100FDD8">
            <w:pPr>
              <w:pStyle w:val="ListParagraph"/>
              <w:ind w:left="0"/>
              <w:rPr>
                <w:color w:val="000000"/>
                <w:sz w:val="24"/>
                <w:szCs w:val="24"/>
              </w:rPr>
            </w:pPr>
            <w:r w:rsidRPr="001B3920">
              <w:rPr>
                <w:b/>
                <w:color w:val="000000"/>
                <w:sz w:val="24"/>
                <w:szCs w:val="24"/>
              </w:rPr>
              <w:t>Total</w:t>
            </w:r>
          </w:p>
        </w:tc>
        <w:tc>
          <w:tcPr>
            <w:tcW w:w="2757" w:type="dxa"/>
          </w:tcPr>
          <w:p w:rsidR="00FA48A1" w:rsidRPr="001B3920" w:rsidP="00FA48A1" w14:paraId="0506BE97" w14:textId="77777777">
            <w:pPr>
              <w:pStyle w:val="ListParagraph"/>
              <w:ind w:left="0"/>
              <w:rPr>
                <w:color w:val="000000"/>
                <w:sz w:val="24"/>
                <w:szCs w:val="24"/>
              </w:rPr>
            </w:pPr>
          </w:p>
        </w:tc>
        <w:tc>
          <w:tcPr>
            <w:tcW w:w="2757" w:type="dxa"/>
          </w:tcPr>
          <w:p w:rsidR="00FA48A1" w:rsidRPr="001B3920" w:rsidP="00FA48A1" w14:paraId="6ECA5D67" w14:textId="6E171372">
            <w:pPr>
              <w:pStyle w:val="ListParagraph"/>
              <w:ind w:left="0"/>
              <w:jc w:val="right"/>
              <w:rPr>
                <w:color w:val="000000"/>
                <w:sz w:val="24"/>
                <w:szCs w:val="24"/>
              </w:rPr>
            </w:pPr>
            <w:r w:rsidRPr="001B3920">
              <w:rPr>
                <w:b/>
                <w:color w:val="000000"/>
                <w:sz w:val="24"/>
                <w:szCs w:val="24"/>
              </w:rPr>
              <w:t>$246,150</w:t>
            </w:r>
          </w:p>
        </w:tc>
      </w:tr>
    </w:tbl>
    <w:p w:rsidR="00FA48A1" w:rsidRPr="001B3920" w:rsidP="00FA48A1" w14:paraId="56A244C9" w14:textId="274A618B">
      <w:pPr>
        <w:pStyle w:val="ListParagraph"/>
        <w:ind w:left="1080"/>
        <w:rPr>
          <w:sz w:val="24"/>
          <w:szCs w:val="24"/>
        </w:rPr>
      </w:pPr>
      <w:r w:rsidRPr="001B3920">
        <w:rPr>
          <w:sz w:val="24"/>
          <w:szCs w:val="24"/>
        </w:rPr>
        <w:t xml:space="preserve">* We have inserted a $0 amount for cost factors that </w:t>
      </w:r>
      <w:r w:rsidRPr="001B3920">
        <w:rPr>
          <w:sz w:val="24"/>
          <w:szCs w:val="24"/>
        </w:rPr>
        <w:t>do not apply</w:t>
      </w:r>
      <w:r w:rsidRPr="001B3920">
        <w:rPr>
          <w:sz w:val="24"/>
          <w:szCs w:val="24"/>
        </w:rPr>
        <w:t xml:space="preserve"> to this collection.</w:t>
      </w:r>
    </w:p>
    <w:p w:rsidR="00FA48A1" w:rsidRPr="001B3920" w:rsidP="00FA48A1" w14:paraId="172D6911" w14:textId="51AB2B0C">
      <w:pPr>
        <w:pStyle w:val="ListParagraph"/>
        <w:ind w:left="1080"/>
        <w:rPr>
          <w:b/>
          <w:sz w:val="24"/>
          <w:szCs w:val="24"/>
        </w:rPr>
      </w:pPr>
      <w:r w:rsidRPr="001B3920">
        <w:rPr>
          <w:sz w:val="24"/>
          <w:szCs w:val="24"/>
        </w:rPr>
        <w:t xml:space="preserve">SSA is unable to break down the costs to the Federal government further than we already have.  It is difficult for us to break down the cost for processing a single form, as field office staff often help respondents fill out several forms at once, and the time it takes to do so can vary greatly per respondent.  </w:t>
      </w:r>
      <w:r w:rsidRPr="001B3920">
        <w:rPr>
          <w:sz w:val="24"/>
          <w:szCs w:val="24"/>
        </w:rPr>
        <w:t>As well</w:t>
      </w:r>
      <w:r w:rsidRPr="001B3920">
        <w:rPr>
          <w:sz w:val="24"/>
          <w:szCs w:val="24"/>
        </w:rPr>
        <w:t>,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FA48A1" w:rsidRPr="001B3920" w:rsidP="00FA48A1" w14:paraId="42CF23DF" w14:textId="77777777">
      <w:pPr>
        <w:pStyle w:val="ListParagraph"/>
        <w:ind w:left="1080"/>
        <w:rPr>
          <w:sz w:val="24"/>
          <w:szCs w:val="24"/>
          <w:u w:val="single"/>
        </w:rPr>
      </w:pPr>
    </w:p>
    <w:p w:rsidR="00EA3E0B" w:rsidRPr="001B3920" w:rsidP="00EA3E0B" w14:paraId="2239255A" w14:textId="19C235B1">
      <w:pPr>
        <w:pStyle w:val="ListParagraph"/>
        <w:numPr>
          <w:ilvl w:val="0"/>
          <w:numId w:val="2"/>
        </w:numPr>
        <w:rPr>
          <w:sz w:val="24"/>
          <w:szCs w:val="24"/>
          <w:u w:val="single"/>
        </w:rPr>
      </w:pPr>
      <w:r w:rsidRPr="001B3920">
        <w:rPr>
          <w:b/>
          <w:bCs/>
          <w:sz w:val="24"/>
          <w:szCs w:val="24"/>
        </w:rPr>
        <w:t>Program Changes or Adjustments to the Information Collection Request</w:t>
      </w:r>
    </w:p>
    <w:p w:rsidR="00FA48A1" w:rsidRPr="001B3920" w:rsidP="00FA48A1" w14:paraId="79936E44" w14:textId="059F13B6">
      <w:pPr>
        <w:pStyle w:val="ListParagraph"/>
        <w:ind w:left="1080"/>
        <w:rPr>
          <w:sz w:val="24"/>
          <w:szCs w:val="24"/>
        </w:rPr>
      </w:pPr>
      <w:r w:rsidRPr="001B3920">
        <w:rPr>
          <w:sz w:val="24"/>
          <w:szCs w:val="24"/>
        </w:rPr>
        <w:t xml:space="preserve">When we last cleared this IC in 2023, the burden was </w:t>
      </w:r>
      <w:r w:rsidR="00485AAA">
        <w:rPr>
          <w:sz w:val="24"/>
          <w:szCs w:val="24"/>
        </w:rPr>
        <w:t>34,742</w:t>
      </w:r>
      <w:r w:rsidRPr="001B3920">
        <w:rPr>
          <w:sz w:val="24"/>
          <w:szCs w:val="24"/>
        </w:rPr>
        <w:t xml:space="preserve"> hours.  However, we are currently reporting a burden of 20,464 hours.  This change stems from a decrease in the number of responses from 151,600 to 81,855</w:t>
      </w:r>
      <w:r w:rsidR="00485AAA">
        <w:rPr>
          <w:sz w:val="24"/>
          <w:szCs w:val="24"/>
        </w:rPr>
        <w:t>, caused by normal fluctuations in respondents requesting AC level review</w:t>
      </w:r>
      <w:r w:rsidRPr="001B3920">
        <w:rPr>
          <w:sz w:val="24"/>
          <w:szCs w:val="24"/>
        </w:rPr>
        <w:t>.</w:t>
      </w:r>
      <w:r w:rsidR="00485AAA">
        <w:rPr>
          <w:sz w:val="24"/>
          <w:szCs w:val="24"/>
        </w:rPr>
        <w:t xml:space="preserve">  </w:t>
      </w:r>
      <w:r w:rsidRPr="001B3920" w:rsidR="00485AAA">
        <w:rPr>
          <w:sz w:val="24"/>
          <w:szCs w:val="24"/>
        </w:rPr>
        <w:t>Although the number of responses changed, SSA did not take any action to cause this change.</w:t>
      </w:r>
      <w:r w:rsidRPr="001B3920">
        <w:rPr>
          <w:sz w:val="24"/>
          <w:szCs w:val="24"/>
        </w:rPr>
        <w:t xml:space="preserve">  In addition, we decreased our burden per response for this form, which decreased the overall burden for the ICR.</w:t>
      </w:r>
      <w:r w:rsidR="00485AAA">
        <w:rPr>
          <w:sz w:val="24"/>
          <w:szCs w:val="24"/>
        </w:rPr>
        <w:t xml:space="preserve">  </w:t>
      </w:r>
      <w:r w:rsidRPr="001B3920">
        <w:rPr>
          <w:sz w:val="24"/>
          <w:szCs w:val="24"/>
        </w:rPr>
        <w:t>These figures represent current Management Information data.</w:t>
      </w:r>
    </w:p>
    <w:p w:rsidR="00FA48A1" w:rsidRPr="001B3920" w:rsidP="00FA48A1" w14:paraId="5B888ADC" w14:textId="77777777">
      <w:pPr>
        <w:pStyle w:val="ListParagraph"/>
        <w:ind w:left="1080"/>
        <w:rPr>
          <w:sz w:val="24"/>
          <w:szCs w:val="24"/>
        </w:rPr>
      </w:pPr>
    </w:p>
    <w:p w:rsidR="00FA48A1" w:rsidRPr="001B3920" w:rsidP="00FA48A1" w14:paraId="1F91C368" w14:textId="5CA62143">
      <w:pPr>
        <w:pStyle w:val="ListParagraph"/>
        <w:ind w:left="1080"/>
        <w:rPr>
          <w:color w:val="000000"/>
          <w:sz w:val="24"/>
          <w:szCs w:val="24"/>
          <w:lang w:eastAsia="en-US" w:bidi="en-US"/>
        </w:rPr>
      </w:pPr>
      <w:r w:rsidRPr="001B3920">
        <w:rPr>
          <w:color w:val="000000"/>
          <w:sz w:val="24"/>
          <w:szCs w:val="24"/>
          <w:lang w:eastAsia="en-US" w:bidi="en-US"/>
        </w:rPr>
        <w:t xml:space="preserve">Note: The total burden reflected in ROCIS is </w:t>
      </w:r>
      <w:r w:rsidR="004924EB">
        <w:rPr>
          <w:b/>
          <w:bCs/>
          <w:color w:val="000000"/>
          <w:sz w:val="24"/>
          <w:szCs w:val="24"/>
          <w:lang w:eastAsia="en-US" w:bidi="en-US"/>
        </w:rPr>
        <w:t>48,730</w:t>
      </w:r>
      <w:r w:rsidRPr="001B3920">
        <w:rPr>
          <w:color w:val="000000"/>
          <w:sz w:val="24"/>
          <w:szCs w:val="24"/>
          <w:lang w:eastAsia="en-US" w:bidi="en-US"/>
        </w:rPr>
        <w:t xml:space="preserve">, while the burden cited in #12 of the Supporting Statement is </w:t>
      </w:r>
      <w:r w:rsidR="004924EB">
        <w:rPr>
          <w:b/>
          <w:bCs/>
          <w:color w:val="000000"/>
          <w:sz w:val="24"/>
          <w:szCs w:val="24"/>
          <w:lang w:eastAsia="en-US" w:bidi="en-US"/>
        </w:rPr>
        <w:t>20,464</w:t>
      </w:r>
      <w:r w:rsidRPr="001B3920">
        <w:rPr>
          <w:color w:val="000000"/>
          <w:sz w:val="24"/>
          <w:szCs w:val="24"/>
          <w:lang w:eastAsia="en-US" w:bidi="en-US"/>
        </w:rPr>
        <w:t>.  This discrepancy is because the ROCIS burden reflects the following components:  field office waiting time + a rough estimate of a 30-minute, one-way, drive burden + learning costs.  In contrast, the chart in #12 of the Supporting Statement reflects actual burden.</w:t>
      </w:r>
    </w:p>
    <w:p w:rsidR="00FA48A1" w:rsidRPr="001B3920" w:rsidP="00FA48A1" w14:paraId="63136F68" w14:textId="77777777">
      <w:pPr>
        <w:pStyle w:val="ListParagraph"/>
        <w:ind w:left="1080"/>
        <w:rPr>
          <w:sz w:val="24"/>
          <w:szCs w:val="24"/>
          <w:u w:val="single"/>
        </w:rPr>
      </w:pPr>
    </w:p>
    <w:p w:rsidR="00EA3E0B" w:rsidRPr="001B3920" w:rsidP="00EA3E0B" w14:paraId="42C9C74C" w14:textId="588BD646">
      <w:pPr>
        <w:pStyle w:val="ListParagraph"/>
        <w:numPr>
          <w:ilvl w:val="0"/>
          <w:numId w:val="2"/>
        </w:numPr>
        <w:rPr>
          <w:sz w:val="24"/>
          <w:szCs w:val="24"/>
          <w:u w:val="single"/>
        </w:rPr>
      </w:pPr>
      <w:r w:rsidRPr="001B3920">
        <w:rPr>
          <w:b/>
          <w:bCs/>
          <w:sz w:val="24"/>
          <w:szCs w:val="24"/>
        </w:rPr>
        <w:t>Plans for Publication of Information Collection Results</w:t>
      </w:r>
    </w:p>
    <w:p w:rsidR="00FA48A1" w:rsidRPr="001B3920" w:rsidP="00FA48A1" w14:paraId="71E7A8DA" w14:textId="3A783147">
      <w:pPr>
        <w:pStyle w:val="ListParagraph"/>
        <w:ind w:left="1080"/>
        <w:rPr>
          <w:b/>
          <w:bCs/>
          <w:sz w:val="24"/>
          <w:szCs w:val="24"/>
        </w:rPr>
      </w:pPr>
      <w:r w:rsidRPr="001B3920">
        <w:rPr>
          <w:bCs/>
          <w:sz w:val="24"/>
          <w:szCs w:val="24"/>
        </w:rPr>
        <w:t>SSA will not publish the results of the information collection.</w:t>
      </w:r>
    </w:p>
    <w:p w:rsidR="00FA48A1" w:rsidRPr="001B3920" w:rsidP="00FA48A1" w14:paraId="3F986761" w14:textId="77777777">
      <w:pPr>
        <w:pStyle w:val="ListParagraph"/>
        <w:ind w:left="1080"/>
        <w:rPr>
          <w:sz w:val="24"/>
          <w:szCs w:val="24"/>
          <w:u w:val="single"/>
        </w:rPr>
      </w:pPr>
    </w:p>
    <w:p w:rsidR="00EA3E0B" w:rsidRPr="001B3920" w:rsidP="00EA3E0B" w14:paraId="09020AD7" w14:textId="2A380A32">
      <w:pPr>
        <w:pStyle w:val="ListParagraph"/>
        <w:numPr>
          <w:ilvl w:val="0"/>
          <w:numId w:val="2"/>
        </w:numPr>
        <w:rPr>
          <w:sz w:val="24"/>
          <w:szCs w:val="24"/>
          <w:u w:val="single"/>
        </w:rPr>
      </w:pPr>
      <w:r w:rsidRPr="001B3920">
        <w:rPr>
          <w:b/>
          <w:sz w:val="24"/>
          <w:szCs w:val="24"/>
        </w:rPr>
        <w:t>Displaying the OMB Approval Expiration Date</w:t>
      </w:r>
    </w:p>
    <w:p w:rsidR="00FA48A1" w:rsidRPr="001B3920" w:rsidP="00FA48A1" w14:paraId="22326D8E" w14:textId="70978F02">
      <w:pPr>
        <w:pStyle w:val="ListParagraph"/>
        <w:ind w:left="1080"/>
        <w:rPr>
          <w:sz w:val="24"/>
          <w:szCs w:val="24"/>
        </w:rPr>
      </w:pPr>
      <w:r w:rsidRPr="001B3920">
        <w:rPr>
          <w:sz w:val="24"/>
          <w:szCs w:val="24"/>
        </w:rPr>
        <w:t>For the paper Form HA-520, 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p>
    <w:p w:rsidR="00FA48A1" w:rsidRPr="001B3920" w:rsidP="00FA48A1" w14:paraId="61A94431" w14:textId="77777777">
      <w:pPr>
        <w:pStyle w:val="ListParagraph"/>
        <w:ind w:left="1080"/>
        <w:rPr>
          <w:sz w:val="24"/>
          <w:szCs w:val="24"/>
        </w:rPr>
      </w:pPr>
    </w:p>
    <w:p w:rsidR="00FA48A1" w:rsidRPr="001B3920" w:rsidP="00FA48A1" w14:paraId="56FD469C" w14:textId="4CA4AA37">
      <w:pPr>
        <w:pStyle w:val="ListParagraph"/>
        <w:ind w:left="1080"/>
        <w:rPr>
          <w:b/>
          <w:sz w:val="24"/>
          <w:szCs w:val="24"/>
        </w:rPr>
      </w:pPr>
      <w:r w:rsidRPr="001B3920">
        <w:rPr>
          <w:sz w:val="24"/>
          <w:szCs w:val="24"/>
        </w:rPr>
        <w:t>For the i520, SSA is not requesting an exception to the requirement to display the OMB approval expiration date.</w:t>
      </w:r>
    </w:p>
    <w:p w:rsidR="00FA48A1" w:rsidRPr="001B3920" w:rsidP="00FA48A1" w14:paraId="083C6458" w14:textId="77777777">
      <w:pPr>
        <w:pStyle w:val="ListParagraph"/>
        <w:ind w:left="1080"/>
        <w:rPr>
          <w:sz w:val="24"/>
          <w:szCs w:val="24"/>
          <w:u w:val="single"/>
        </w:rPr>
      </w:pPr>
    </w:p>
    <w:p w:rsidR="00FA48A1" w:rsidRPr="001B3920" w:rsidP="00FA48A1" w14:paraId="3FEBBF92" w14:textId="77777777">
      <w:pPr>
        <w:pStyle w:val="ListParagraph"/>
        <w:numPr>
          <w:ilvl w:val="0"/>
          <w:numId w:val="2"/>
        </w:numPr>
        <w:rPr>
          <w:sz w:val="24"/>
          <w:szCs w:val="24"/>
          <w:u w:val="single"/>
        </w:rPr>
      </w:pPr>
      <w:r w:rsidRPr="001B3920">
        <w:rPr>
          <w:b/>
          <w:sz w:val="24"/>
          <w:szCs w:val="24"/>
        </w:rPr>
        <w:t>Exceptions to Certification Statement</w:t>
      </w:r>
    </w:p>
    <w:p w:rsidR="00FA48A1" w:rsidRPr="001B3920" w:rsidP="00FA48A1" w14:paraId="5C7B4179" w14:textId="554EC40D">
      <w:pPr>
        <w:pStyle w:val="ListParagraph"/>
        <w:ind w:left="1080"/>
        <w:rPr>
          <w:sz w:val="24"/>
          <w:szCs w:val="24"/>
          <w:u w:val="single"/>
        </w:rPr>
      </w:pPr>
      <w:r w:rsidRPr="001B3920">
        <w:rPr>
          <w:sz w:val="24"/>
          <w:szCs w:val="24"/>
        </w:rPr>
        <w:t xml:space="preserve">SSA is not requesting an exception to the certification requirements at </w:t>
      </w:r>
      <w:r w:rsidRPr="001B3920">
        <w:rPr>
          <w:i/>
          <w:sz w:val="24"/>
          <w:szCs w:val="24"/>
        </w:rPr>
        <w:t>5 CFR 1320.9</w:t>
      </w:r>
      <w:r w:rsidRPr="001B3920">
        <w:rPr>
          <w:sz w:val="24"/>
          <w:szCs w:val="24"/>
        </w:rPr>
        <w:t xml:space="preserve"> and related provisions at </w:t>
      </w:r>
      <w:r w:rsidRPr="001B3920">
        <w:rPr>
          <w:i/>
          <w:sz w:val="24"/>
          <w:szCs w:val="24"/>
        </w:rPr>
        <w:t>5 CFR 1320.8(b)(3).</w:t>
      </w:r>
    </w:p>
    <w:p w:rsidR="00EA3E0B" w:rsidRPr="001B3920" w:rsidP="00EA3E0B" w14:paraId="3B4A5DC0" w14:textId="77777777">
      <w:pPr>
        <w:pStyle w:val="ListParagraph"/>
        <w:ind w:left="1080"/>
        <w:rPr>
          <w:sz w:val="24"/>
          <w:szCs w:val="24"/>
          <w:u w:val="single"/>
        </w:rPr>
      </w:pPr>
    </w:p>
    <w:p w:rsidR="00EA3E0B" w:rsidRPr="001B3920" w:rsidP="00EA3E0B" w14:paraId="7524DA0C" w14:textId="5E09A1CB">
      <w:pPr>
        <w:pStyle w:val="ListParagraph"/>
        <w:numPr>
          <w:ilvl w:val="0"/>
          <w:numId w:val="1"/>
        </w:numPr>
        <w:rPr>
          <w:sz w:val="24"/>
          <w:szCs w:val="24"/>
        </w:rPr>
      </w:pPr>
      <w:r w:rsidRPr="001B3920">
        <w:rPr>
          <w:b/>
          <w:sz w:val="24"/>
          <w:szCs w:val="24"/>
          <w:u w:val="single"/>
        </w:rPr>
        <w:t>Collections of Information Employing Statistical Methods</w:t>
      </w:r>
    </w:p>
    <w:p w:rsidR="00FA48A1" w:rsidRPr="001B3920" w:rsidP="00FA48A1" w14:paraId="252F5E11" w14:textId="77777777">
      <w:pPr>
        <w:pStyle w:val="ListParagraph"/>
        <w:rPr>
          <w:b/>
          <w:sz w:val="24"/>
          <w:szCs w:val="24"/>
          <w:u w:val="single"/>
        </w:rPr>
      </w:pPr>
    </w:p>
    <w:p w:rsidR="00FA48A1" w:rsidRPr="001B3920" w:rsidP="00FA48A1" w14:paraId="036C1DA2" w14:textId="53321DE6">
      <w:pPr>
        <w:pStyle w:val="ListParagraph"/>
        <w:ind w:left="1170"/>
        <w:rPr>
          <w:sz w:val="24"/>
          <w:szCs w:val="24"/>
        </w:rPr>
      </w:pPr>
      <w:r w:rsidRPr="001B3920">
        <w:rPr>
          <w:bCs/>
          <w:sz w:val="24"/>
          <w:szCs w:val="24"/>
        </w:rPr>
        <w:t>SSA did not use statistical methods for this information collection.</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0C3E96"/>
    <w:multiLevelType w:val="hybridMultilevel"/>
    <w:tmpl w:val="1F3C9BC0"/>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3F52F7F"/>
    <w:multiLevelType w:val="hybridMultilevel"/>
    <w:tmpl w:val="A17802D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5C403B0F"/>
    <w:multiLevelType w:val="hybridMultilevel"/>
    <w:tmpl w:val="CD26DF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C7D58CB"/>
    <w:multiLevelType w:val="hybridMultilevel"/>
    <w:tmpl w:val="3566E812"/>
    <w:lvl w:ilvl="0">
      <w:start w:val="1"/>
      <w:numFmt w:val="decimal"/>
      <w:lvlText w:val="%1."/>
      <w:lvlJc w:val="left"/>
      <w:pPr>
        <w:ind w:left="1080" w:hanging="360"/>
      </w:pPr>
      <w:rPr>
        <w:rFonts w:hint="default"/>
        <w:b/>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342125253">
    <w:abstractNumId w:val="0"/>
  </w:num>
  <w:num w:numId="2" w16cid:durableId="1346665789">
    <w:abstractNumId w:val="3"/>
  </w:num>
  <w:num w:numId="3" w16cid:durableId="1151408114">
    <w:abstractNumId w:val="2"/>
  </w:num>
  <w:num w:numId="4" w16cid:durableId="47535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0B"/>
    <w:rsid w:val="00044225"/>
    <w:rsid w:val="001B3920"/>
    <w:rsid w:val="001D0FFE"/>
    <w:rsid w:val="00380BE7"/>
    <w:rsid w:val="003C33C1"/>
    <w:rsid w:val="00485AAA"/>
    <w:rsid w:val="004924EB"/>
    <w:rsid w:val="0050119A"/>
    <w:rsid w:val="00560E91"/>
    <w:rsid w:val="005752A7"/>
    <w:rsid w:val="006C6E1F"/>
    <w:rsid w:val="007C4080"/>
    <w:rsid w:val="008D50C2"/>
    <w:rsid w:val="009E445D"/>
    <w:rsid w:val="00A6534A"/>
    <w:rsid w:val="00AB0C46"/>
    <w:rsid w:val="00BF761F"/>
    <w:rsid w:val="00C273A9"/>
    <w:rsid w:val="00C73D5B"/>
    <w:rsid w:val="00D0326B"/>
    <w:rsid w:val="00D06C07"/>
    <w:rsid w:val="00D6058F"/>
    <w:rsid w:val="00DB29E0"/>
    <w:rsid w:val="00DF2B87"/>
    <w:rsid w:val="00E1351C"/>
    <w:rsid w:val="00E45937"/>
    <w:rsid w:val="00EA3E0B"/>
    <w:rsid w:val="00F85F3F"/>
    <w:rsid w:val="00FA48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49CC2B"/>
  <w15:chartTrackingRefBased/>
  <w15:docId w15:val="{8450D7F1-225E-4389-8424-DB13651A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E0B"/>
    <w:pPr>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Heading1Char"/>
    <w:uiPriority w:val="9"/>
    <w:qFormat/>
    <w:rsid w:val="00EA3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A3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3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A3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E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E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E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E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3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3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E0B"/>
    <w:rPr>
      <w:rFonts w:eastAsiaTheme="majorEastAsia" w:cstheme="majorBidi"/>
      <w:color w:val="272727" w:themeColor="text1" w:themeTint="D8"/>
    </w:rPr>
  </w:style>
  <w:style w:type="paragraph" w:styleId="Title">
    <w:name w:val="Title"/>
    <w:basedOn w:val="Normal"/>
    <w:next w:val="Normal"/>
    <w:link w:val="TitleChar"/>
    <w:uiPriority w:val="10"/>
    <w:qFormat/>
    <w:rsid w:val="00EA3E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E0B"/>
    <w:pPr>
      <w:spacing w:before="160"/>
      <w:jc w:val="center"/>
    </w:pPr>
    <w:rPr>
      <w:i/>
      <w:iCs/>
      <w:color w:val="404040" w:themeColor="text1" w:themeTint="BF"/>
    </w:rPr>
  </w:style>
  <w:style w:type="character" w:customStyle="1" w:styleId="QuoteChar">
    <w:name w:val="Quote Char"/>
    <w:basedOn w:val="DefaultParagraphFont"/>
    <w:link w:val="Quote"/>
    <w:uiPriority w:val="29"/>
    <w:rsid w:val="00EA3E0B"/>
    <w:rPr>
      <w:i/>
      <w:iCs/>
      <w:color w:val="404040" w:themeColor="text1" w:themeTint="BF"/>
    </w:rPr>
  </w:style>
  <w:style w:type="paragraph" w:styleId="ListParagraph">
    <w:name w:val="List Paragraph"/>
    <w:basedOn w:val="Normal"/>
    <w:uiPriority w:val="34"/>
    <w:qFormat/>
    <w:rsid w:val="00EA3E0B"/>
    <w:pPr>
      <w:ind w:left="720"/>
      <w:contextualSpacing/>
    </w:pPr>
  </w:style>
  <w:style w:type="character" w:styleId="IntenseEmphasis">
    <w:name w:val="Intense Emphasis"/>
    <w:basedOn w:val="DefaultParagraphFont"/>
    <w:uiPriority w:val="21"/>
    <w:qFormat/>
    <w:rsid w:val="00EA3E0B"/>
    <w:rPr>
      <w:i/>
      <w:iCs/>
      <w:color w:val="0F4761" w:themeColor="accent1" w:themeShade="BF"/>
    </w:rPr>
  </w:style>
  <w:style w:type="paragraph" w:styleId="IntenseQuote">
    <w:name w:val="Intense Quote"/>
    <w:basedOn w:val="Normal"/>
    <w:next w:val="Normal"/>
    <w:link w:val="IntenseQuoteChar"/>
    <w:uiPriority w:val="30"/>
    <w:qFormat/>
    <w:rsid w:val="00EA3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E0B"/>
    <w:rPr>
      <w:i/>
      <w:iCs/>
      <w:color w:val="0F4761" w:themeColor="accent1" w:themeShade="BF"/>
    </w:rPr>
  </w:style>
  <w:style w:type="character" w:styleId="IntenseReference">
    <w:name w:val="Intense Reference"/>
    <w:basedOn w:val="DefaultParagraphFont"/>
    <w:uiPriority w:val="32"/>
    <w:qFormat/>
    <w:rsid w:val="00EA3E0B"/>
    <w:rPr>
      <w:b/>
      <w:bCs/>
      <w:smallCaps/>
      <w:color w:val="0F4761" w:themeColor="accent1" w:themeShade="BF"/>
      <w:spacing w:val="5"/>
    </w:rPr>
  </w:style>
  <w:style w:type="table" w:styleId="TableGrid">
    <w:name w:val="Table Grid"/>
    <w:basedOn w:val="TableNormal"/>
    <w:rsid w:val="003C33C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F2B87"/>
    <w:rPr>
      <w:color w:val="0563C1"/>
      <w:u w:val="single"/>
    </w:rPr>
  </w:style>
  <w:style w:type="character" w:styleId="FollowedHyperlink">
    <w:name w:val="FollowedHyperlink"/>
    <w:basedOn w:val="DefaultParagraphFont"/>
    <w:uiPriority w:val="99"/>
    <w:semiHidden/>
    <w:unhideWhenUsed/>
    <w:rsid w:val="006C6E1F"/>
    <w:rPr>
      <w:color w:val="96607D" w:themeColor="followedHyperlink"/>
      <w:u w:val="single"/>
    </w:rPr>
  </w:style>
  <w:style w:type="table" w:customStyle="1" w:styleId="TableGrid3">
    <w:name w:val="Table Grid3"/>
    <w:basedOn w:val="TableNormal"/>
    <w:next w:val="TableGrid"/>
    <w:uiPriority w:val="39"/>
    <w:rsid w:val="006C6E1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48A1"/>
    <w:rPr>
      <w:sz w:val="16"/>
      <w:szCs w:val="16"/>
    </w:rPr>
  </w:style>
  <w:style w:type="paragraph" w:styleId="CommentText">
    <w:name w:val="annotation text"/>
    <w:basedOn w:val="Normal"/>
    <w:link w:val="CommentTextChar"/>
    <w:uiPriority w:val="99"/>
    <w:unhideWhenUsed/>
    <w:rsid w:val="00FA48A1"/>
  </w:style>
  <w:style w:type="character" w:customStyle="1" w:styleId="CommentTextChar">
    <w:name w:val="Comment Text Char"/>
    <w:basedOn w:val="DefaultParagraphFont"/>
    <w:link w:val="CommentText"/>
    <w:uiPriority w:val="99"/>
    <w:rsid w:val="00FA48A1"/>
    <w:rPr>
      <w:rFonts w:ascii="Times New Roman" w:eastAsia="Times New Roman" w:hAnsi="Times New Roman" w:cs="Times New Roman"/>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FA48A1"/>
    <w:rPr>
      <w:b/>
      <w:bCs/>
    </w:rPr>
  </w:style>
  <w:style w:type="character" w:customStyle="1" w:styleId="CommentSubjectChar">
    <w:name w:val="Comment Subject Char"/>
    <w:basedOn w:val="CommentTextChar"/>
    <w:link w:val="CommentSubject"/>
    <w:uiPriority w:val="99"/>
    <w:semiHidden/>
    <w:rsid w:val="00FA48A1"/>
    <w:rPr>
      <w:rFonts w:ascii="Times New Roman" w:eastAsia="Times New Roman" w:hAnsi="Times New Roman" w:cs="Times New Roman"/>
      <w:b/>
      <w:bCs/>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sa.gov/oact/COLA/colaeffect.html" TargetMode="External" /><Relationship Id="rId5" Type="http://schemas.openxmlformats.org/officeDocument/2006/relationships/hyperlink" Target="https://www.ssa.gov/ssa-performanc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3419</Words>
  <Characters>18259</Characters>
  <Application>Microsoft Office Word</Application>
  <DocSecurity>0</DocSecurity>
  <Lines>493</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Sipple</dc:creator>
  <cp:lastModifiedBy>Naomi Sipple</cp:lastModifiedBy>
  <cp:revision>2</cp:revision>
  <dcterms:created xsi:type="dcterms:W3CDTF">2026-08-27T14:34:00Z</dcterms:created>
  <dcterms:modified xsi:type="dcterms:W3CDTF">2026-08-27T14:34:00Z</dcterms:modified>
</cp:coreProperties>
</file>