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64FCB" w:rsidRPr="00D54D40" w:rsidP="00D54D40" w14:paraId="13E24FDC" w14:textId="7B9CEAA4">
      <w:pPr>
        <w:pStyle w:val="Heading1"/>
        <w:numPr>
          <w:ilvl w:val="0"/>
          <w:numId w:val="0"/>
        </w:numPr>
        <w:jc w:val="center"/>
        <w:rPr>
          <w:szCs w:val="24"/>
        </w:rPr>
      </w:pPr>
      <w:r>
        <w:rPr>
          <w:szCs w:val="24"/>
        </w:rPr>
        <w:t xml:space="preserve">Supporting Statement for Centenarian </w:t>
      </w:r>
      <w:r w:rsidR="00BF530F">
        <w:rPr>
          <w:szCs w:val="24"/>
        </w:rPr>
        <w:t xml:space="preserve">Development Worksheets </w:t>
      </w:r>
      <w:r w:rsidR="003B4286">
        <w:rPr>
          <w:szCs w:val="24"/>
        </w:rPr>
        <w:t>and M</w:t>
      </w:r>
      <w:r w:rsidR="00604F8B">
        <w:rPr>
          <w:szCs w:val="24"/>
        </w:rPr>
        <w:t xml:space="preserve">edicare </w:t>
      </w:r>
      <w:r w:rsidR="00533FC4">
        <w:rPr>
          <w:szCs w:val="24"/>
        </w:rPr>
        <w:t xml:space="preserve">     </w:t>
      </w:r>
      <w:r w:rsidR="00D54D40">
        <w:rPr>
          <w:szCs w:val="24"/>
        </w:rPr>
        <w:t xml:space="preserve">        </w:t>
      </w:r>
      <w:r w:rsidR="003B4286">
        <w:rPr>
          <w:szCs w:val="24"/>
        </w:rPr>
        <w:t>N</w:t>
      </w:r>
      <w:r w:rsidR="00604F8B">
        <w:rPr>
          <w:szCs w:val="24"/>
        </w:rPr>
        <w:t>on-</w:t>
      </w:r>
      <w:r w:rsidR="003B4286">
        <w:rPr>
          <w:szCs w:val="24"/>
        </w:rPr>
        <w:t>U</w:t>
      </w:r>
      <w:r w:rsidR="00604F8B">
        <w:rPr>
          <w:szCs w:val="24"/>
        </w:rPr>
        <w:t>tilization</w:t>
      </w:r>
      <w:r w:rsidR="003B4286">
        <w:rPr>
          <w:szCs w:val="24"/>
        </w:rPr>
        <w:t xml:space="preserve"> </w:t>
      </w:r>
      <w:r w:rsidR="00087513">
        <w:rPr>
          <w:szCs w:val="24"/>
        </w:rPr>
        <w:t>Interviews</w:t>
      </w:r>
      <w:r>
        <w:rPr>
          <w:szCs w:val="24"/>
        </w:rPr>
        <w:t>:</w:t>
      </w:r>
      <w:r w:rsidR="00D54D40">
        <w:rPr>
          <w:szCs w:val="24"/>
        </w:rPr>
        <w:t xml:space="preserve">  </w:t>
      </w:r>
      <w:r>
        <w:rPr>
          <w:szCs w:val="24"/>
        </w:rPr>
        <w:t>Face-To-Face Interview; Telephone Interview</w:t>
      </w:r>
    </w:p>
    <w:p w:rsidR="00B64FCB" w:rsidP="00880759" w14:paraId="6C1E5434" w14:textId="2D7CFC04">
      <w:pPr>
        <w:jc w:val="center"/>
        <w:rPr>
          <w:b/>
          <w:sz w:val="24"/>
          <w:szCs w:val="24"/>
        </w:rPr>
      </w:pPr>
      <w:r w:rsidRPr="7F2B3491">
        <w:rPr>
          <w:b/>
          <w:bCs/>
          <w:sz w:val="24"/>
          <w:szCs w:val="24"/>
        </w:rPr>
        <w:t>20 CFR 416.204(b) and 422.135</w:t>
      </w:r>
      <w:r w:rsidRPr="7F2B3491" w:rsidR="7D661DFC">
        <w:rPr>
          <w:b/>
          <w:bCs/>
          <w:sz w:val="24"/>
          <w:szCs w:val="24"/>
        </w:rPr>
        <w:t>0</w:t>
      </w:r>
    </w:p>
    <w:p w:rsidR="00B64FCB" w:rsidP="00880759" w14:paraId="62915250" w14:textId="77777777">
      <w:pPr>
        <w:jc w:val="center"/>
        <w:rPr>
          <w:b/>
          <w:sz w:val="24"/>
          <w:szCs w:val="24"/>
        </w:rPr>
      </w:pPr>
      <w:r>
        <w:rPr>
          <w:b/>
          <w:sz w:val="24"/>
          <w:szCs w:val="24"/>
        </w:rPr>
        <w:t>OMB No. 0960-</w:t>
      </w:r>
      <w:r w:rsidR="006E6B62">
        <w:rPr>
          <w:b/>
          <w:sz w:val="24"/>
          <w:szCs w:val="24"/>
        </w:rPr>
        <w:t>0780</w:t>
      </w:r>
    </w:p>
    <w:p w:rsidR="00B64FCB" w14:paraId="7C0FB7FA" w14:textId="77777777">
      <w:pPr>
        <w:rPr>
          <w:sz w:val="24"/>
        </w:rPr>
      </w:pPr>
    </w:p>
    <w:p w:rsidR="00B64FCB" w:rsidP="00A13868" w14:paraId="0211E7C3" w14:textId="6249B0DC">
      <w:pPr>
        <w:pStyle w:val="ListParagraph"/>
        <w:numPr>
          <w:ilvl w:val="0"/>
          <w:numId w:val="5"/>
        </w:numPr>
        <w:tabs>
          <w:tab w:val="left" w:pos="450"/>
        </w:tabs>
        <w:ind w:hanging="720"/>
        <w:rPr>
          <w:b/>
          <w:sz w:val="24"/>
          <w:szCs w:val="24"/>
          <w:u w:val="single"/>
        </w:rPr>
      </w:pPr>
      <w:r>
        <w:rPr>
          <w:b/>
          <w:sz w:val="24"/>
          <w:szCs w:val="24"/>
          <w:u w:val="single"/>
        </w:rPr>
        <w:t xml:space="preserve"> </w:t>
      </w:r>
      <w:r w:rsidRPr="00880759">
        <w:rPr>
          <w:b/>
          <w:sz w:val="24"/>
          <w:szCs w:val="24"/>
          <w:u w:val="single"/>
        </w:rPr>
        <w:t>Justification</w:t>
      </w:r>
    </w:p>
    <w:p w:rsidR="00D82468" w:rsidP="00D82468" w14:paraId="4012D6BE" w14:textId="311C152F">
      <w:pPr>
        <w:pStyle w:val="ListParagraph"/>
        <w:rPr>
          <w:b/>
          <w:sz w:val="24"/>
          <w:szCs w:val="24"/>
          <w:u w:val="single"/>
        </w:rPr>
      </w:pPr>
    </w:p>
    <w:p w:rsidR="00D82468" w:rsidRPr="005E4CB8" w:rsidP="005E4CB8" w14:paraId="1D658338" w14:textId="16BF80F1">
      <w:pPr>
        <w:pStyle w:val="ListParagraph"/>
        <w:numPr>
          <w:ilvl w:val="0"/>
          <w:numId w:val="7"/>
        </w:numPr>
        <w:ind w:left="900"/>
        <w:rPr>
          <w:b/>
          <w:sz w:val="24"/>
          <w:szCs w:val="24"/>
          <w:u w:val="single"/>
        </w:rPr>
      </w:pPr>
      <w:r>
        <w:rPr>
          <w:b/>
          <w:sz w:val="24"/>
          <w:szCs w:val="24"/>
        </w:rPr>
        <w:t>Introduction/Authoring Laws and Regulations</w:t>
      </w:r>
    </w:p>
    <w:p w:rsidR="000B1C48" w:rsidP="005E4CB8" w14:paraId="6471EF62" w14:textId="20D22710">
      <w:pPr>
        <w:pStyle w:val="ListParagraph"/>
        <w:ind w:left="900"/>
        <w:rPr>
          <w:rFonts w:eastAsia="Batang"/>
          <w:i/>
          <w:sz w:val="24"/>
          <w:szCs w:val="24"/>
        </w:rPr>
      </w:pPr>
      <w:r>
        <w:rPr>
          <w:sz w:val="24"/>
        </w:rPr>
        <w:t>The Social Security Administration (SSA) documents the results of interviews we conduct for the Centenarian Project and Medicare Non-Utilization Project (MNUP)</w:t>
      </w:r>
      <w:r w:rsidRPr="00FA4DC1">
        <w:rPr>
          <w:sz w:val="24"/>
        </w:rPr>
        <w:t xml:space="preserve"> to determine</w:t>
      </w:r>
      <w:r>
        <w:rPr>
          <w:sz w:val="24"/>
        </w:rPr>
        <w:t>:</w:t>
      </w:r>
      <w:r w:rsidR="00C126FE">
        <w:rPr>
          <w:rStyle w:val="CommentReference"/>
        </w:rPr>
        <w:t xml:space="preserve"> </w:t>
      </w:r>
      <w:r w:rsidR="00137F1C">
        <w:rPr>
          <w:rStyle w:val="CommentReference"/>
        </w:rPr>
        <w:t xml:space="preserve"> </w:t>
      </w:r>
      <w:r w:rsidR="00C126FE">
        <w:rPr>
          <w:rStyle w:val="CommentReference"/>
        </w:rPr>
        <w:t xml:space="preserve"> </w:t>
      </w:r>
      <w:r>
        <w:rPr>
          <w:sz w:val="24"/>
        </w:rPr>
        <w:t>(1)</w:t>
      </w:r>
      <w:r w:rsidRPr="00FA4DC1">
        <w:rPr>
          <w:sz w:val="24"/>
        </w:rPr>
        <w:t xml:space="preserve"> whether the</w:t>
      </w:r>
      <w:r>
        <w:rPr>
          <w:sz w:val="24"/>
        </w:rPr>
        <w:t xml:space="preserve"> respondents are still alive;</w:t>
      </w:r>
      <w:r w:rsidRPr="00FA4DC1">
        <w:rPr>
          <w:sz w:val="24"/>
        </w:rPr>
        <w:t xml:space="preserve"> </w:t>
      </w:r>
      <w:r>
        <w:rPr>
          <w:sz w:val="24"/>
        </w:rPr>
        <w:t xml:space="preserve">(2) </w:t>
      </w:r>
      <w:r w:rsidRPr="00FA4DC1">
        <w:rPr>
          <w:sz w:val="24"/>
        </w:rPr>
        <w:t>if t</w:t>
      </w:r>
      <w:r>
        <w:rPr>
          <w:sz w:val="24"/>
        </w:rPr>
        <w:t>hey need a representative payee; and</w:t>
      </w:r>
      <w:r w:rsidRPr="00FA4DC1">
        <w:rPr>
          <w:sz w:val="24"/>
        </w:rPr>
        <w:t xml:space="preserve"> </w:t>
      </w:r>
      <w:r>
        <w:rPr>
          <w:sz w:val="24"/>
        </w:rPr>
        <w:t xml:space="preserve">(3) </w:t>
      </w:r>
      <w:r w:rsidRPr="00FA4DC1">
        <w:rPr>
          <w:sz w:val="24"/>
        </w:rPr>
        <w:t>if they need a c</w:t>
      </w:r>
      <w:r>
        <w:rPr>
          <w:sz w:val="24"/>
        </w:rPr>
        <w:t xml:space="preserve">hange in representative payee.  </w:t>
      </w:r>
      <w:r w:rsidRPr="005C236F">
        <w:rPr>
          <w:sz w:val="24"/>
          <w:szCs w:val="24"/>
        </w:rPr>
        <w:t xml:space="preserve">Sections </w:t>
      </w:r>
      <w:r w:rsidRPr="005C236F">
        <w:rPr>
          <w:rFonts w:eastAsia="Batang"/>
          <w:i/>
          <w:sz w:val="24"/>
          <w:szCs w:val="24"/>
        </w:rPr>
        <w:t>205(a) &amp; (b)</w:t>
      </w:r>
      <w:r w:rsidRPr="005C236F">
        <w:rPr>
          <w:rFonts w:eastAsia="Batang"/>
          <w:sz w:val="24"/>
          <w:szCs w:val="24"/>
        </w:rPr>
        <w:t xml:space="preserve"> and </w:t>
      </w:r>
      <w:r w:rsidRPr="005C236F">
        <w:rPr>
          <w:i/>
          <w:sz w:val="24"/>
          <w:szCs w:val="24"/>
        </w:rPr>
        <w:t xml:space="preserve">1631(e)(1) </w:t>
      </w:r>
      <w:r w:rsidRPr="005C236F">
        <w:rPr>
          <w:sz w:val="24"/>
          <w:szCs w:val="24"/>
        </w:rPr>
        <w:t xml:space="preserve">of the </w:t>
      </w:r>
      <w:r w:rsidRPr="005C236F">
        <w:rPr>
          <w:i/>
          <w:sz w:val="24"/>
          <w:szCs w:val="24"/>
        </w:rPr>
        <w:t xml:space="preserve">Social Security Act, </w:t>
      </w:r>
      <w:r w:rsidRPr="005C236F">
        <w:rPr>
          <w:sz w:val="24"/>
          <w:szCs w:val="24"/>
        </w:rPr>
        <w:t>corresponding to Sections</w:t>
      </w:r>
      <w:r w:rsidRPr="005C236F">
        <w:rPr>
          <w:i/>
          <w:sz w:val="24"/>
          <w:szCs w:val="24"/>
        </w:rPr>
        <w:t xml:space="preserve"> </w:t>
      </w:r>
      <w:r w:rsidRPr="005C236F">
        <w:rPr>
          <w:rFonts w:eastAsia="Batang"/>
          <w:i/>
          <w:sz w:val="24"/>
          <w:szCs w:val="24"/>
        </w:rPr>
        <w:t xml:space="preserve">42 U.S.C. 405 </w:t>
      </w:r>
      <w:r w:rsidRPr="005C236F">
        <w:rPr>
          <w:rFonts w:eastAsia="Batang"/>
          <w:sz w:val="24"/>
          <w:szCs w:val="24"/>
        </w:rPr>
        <w:t>and</w:t>
      </w:r>
      <w:r w:rsidRPr="005C236F">
        <w:rPr>
          <w:rFonts w:eastAsia="Batang"/>
          <w:i/>
          <w:sz w:val="24"/>
          <w:szCs w:val="24"/>
        </w:rPr>
        <w:t xml:space="preserve"> </w:t>
      </w:r>
    </w:p>
    <w:p w:rsidR="00056629" w:rsidP="005E4CB8" w14:paraId="0CA51116" w14:textId="77777777">
      <w:pPr>
        <w:pStyle w:val="ListParagraph"/>
        <w:ind w:left="900"/>
        <w:rPr>
          <w:rFonts w:eastAsia="Batang"/>
          <w:sz w:val="24"/>
          <w:szCs w:val="24"/>
        </w:rPr>
      </w:pPr>
      <w:r w:rsidRPr="005C236F">
        <w:rPr>
          <w:i/>
          <w:sz w:val="24"/>
          <w:szCs w:val="24"/>
        </w:rPr>
        <w:t>42 U.S.C. 1383</w:t>
      </w:r>
      <w:r w:rsidRPr="005C236F">
        <w:rPr>
          <w:rFonts w:eastAsia="Batang"/>
          <w:i/>
          <w:sz w:val="24"/>
          <w:szCs w:val="24"/>
        </w:rPr>
        <w:t xml:space="preserve"> </w:t>
      </w:r>
      <w:r w:rsidRPr="005C236F">
        <w:rPr>
          <w:rFonts w:eastAsia="Batang"/>
          <w:sz w:val="24"/>
          <w:szCs w:val="24"/>
        </w:rPr>
        <w:t>of the</w:t>
      </w:r>
      <w:r w:rsidRPr="005C236F">
        <w:rPr>
          <w:rFonts w:eastAsia="Batang"/>
          <w:i/>
          <w:sz w:val="24"/>
          <w:szCs w:val="24"/>
        </w:rPr>
        <w:t xml:space="preserve"> United States Code,</w:t>
      </w:r>
      <w:r w:rsidRPr="005C236F">
        <w:rPr>
          <w:sz w:val="24"/>
          <w:szCs w:val="24"/>
        </w:rPr>
        <w:t xml:space="preserve"> give SSA the authority to collect the information</w:t>
      </w:r>
      <w:r w:rsidRPr="005C236F">
        <w:rPr>
          <w:i/>
          <w:sz w:val="24"/>
          <w:szCs w:val="24"/>
        </w:rPr>
        <w:t xml:space="preserve">.  </w:t>
      </w:r>
      <w:r w:rsidRPr="005C236F">
        <w:rPr>
          <w:sz w:val="24"/>
          <w:szCs w:val="24"/>
        </w:rPr>
        <w:t>Since these interviews may lead to changes within the recipient’s payments,</w:t>
      </w:r>
      <w:r>
        <w:rPr>
          <w:sz w:val="24"/>
          <w:szCs w:val="24"/>
        </w:rPr>
        <w:t xml:space="preserve"> Sections</w:t>
      </w:r>
      <w:r w:rsidRPr="005C236F">
        <w:rPr>
          <w:sz w:val="24"/>
          <w:szCs w:val="24"/>
        </w:rPr>
        <w:t xml:space="preserve"> </w:t>
      </w:r>
      <w:r w:rsidRPr="005C236F">
        <w:rPr>
          <w:i/>
          <w:sz w:val="24"/>
          <w:szCs w:val="24"/>
        </w:rPr>
        <w:t>20</w:t>
      </w:r>
      <w:r>
        <w:rPr>
          <w:i/>
          <w:sz w:val="24"/>
          <w:szCs w:val="24"/>
        </w:rPr>
        <w:t> </w:t>
      </w:r>
      <w:r w:rsidRPr="005C236F">
        <w:rPr>
          <w:i/>
          <w:sz w:val="24"/>
          <w:szCs w:val="24"/>
        </w:rPr>
        <w:t>CFR 416.204(b)</w:t>
      </w:r>
      <w:r w:rsidRPr="005C236F">
        <w:rPr>
          <w:sz w:val="24"/>
          <w:szCs w:val="24"/>
        </w:rPr>
        <w:t xml:space="preserve"> and</w:t>
      </w:r>
      <w:r w:rsidRPr="005C236F">
        <w:rPr>
          <w:i/>
          <w:sz w:val="24"/>
          <w:szCs w:val="24"/>
        </w:rPr>
        <w:t xml:space="preserve"> 422.135 </w:t>
      </w:r>
      <w:r w:rsidRPr="005C236F">
        <w:rPr>
          <w:sz w:val="24"/>
          <w:szCs w:val="24"/>
        </w:rPr>
        <w:t>of the</w:t>
      </w:r>
      <w:r w:rsidRPr="005C236F">
        <w:rPr>
          <w:i/>
          <w:sz w:val="24"/>
          <w:szCs w:val="24"/>
        </w:rPr>
        <w:t xml:space="preserve"> Code of Federal Regulations </w:t>
      </w:r>
      <w:r w:rsidRPr="005C236F">
        <w:rPr>
          <w:sz w:val="24"/>
          <w:szCs w:val="24"/>
        </w:rPr>
        <w:t xml:space="preserve">cover reports from beneficiaries and SSA’s policies for redeterminations.  </w:t>
      </w:r>
      <w:r w:rsidRPr="005C236F">
        <w:rPr>
          <w:rFonts w:eastAsia="Batang"/>
          <w:sz w:val="24"/>
          <w:szCs w:val="24"/>
        </w:rPr>
        <w:t>We require these anti-fraud initiatives to determine whether we are issuing improper payments and whether we need to establish or remove a representative payee</w:t>
      </w:r>
      <w:r>
        <w:rPr>
          <w:rFonts w:eastAsia="Batang"/>
          <w:sz w:val="24"/>
          <w:szCs w:val="24"/>
        </w:rPr>
        <w:t>.</w:t>
      </w:r>
      <w:r w:rsidR="00C4745C">
        <w:rPr>
          <w:rFonts w:eastAsia="Batang"/>
          <w:sz w:val="24"/>
          <w:szCs w:val="24"/>
        </w:rPr>
        <w:t xml:space="preserve"> </w:t>
      </w:r>
    </w:p>
    <w:p w:rsidR="005E4CB8" w:rsidRPr="005E4CB8" w:rsidP="005E4CB8" w14:paraId="61C7BA49" w14:textId="77777777">
      <w:pPr>
        <w:pStyle w:val="ListParagraph"/>
        <w:ind w:left="900"/>
        <w:rPr>
          <w:b/>
          <w:sz w:val="24"/>
          <w:szCs w:val="24"/>
          <w:u w:val="single"/>
        </w:rPr>
      </w:pPr>
    </w:p>
    <w:p w:rsidR="005E4CB8" w:rsidRPr="005E4CB8" w:rsidP="005E4CB8" w14:paraId="6210C536" w14:textId="13A1A2A5">
      <w:pPr>
        <w:pStyle w:val="ListParagraph"/>
        <w:numPr>
          <w:ilvl w:val="0"/>
          <w:numId w:val="7"/>
        </w:numPr>
        <w:ind w:left="900"/>
        <w:rPr>
          <w:b/>
          <w:sz w:val="24"/>
          <w:szCs w:val="24"/>
          <w:u w:val="single"/>
        </w:rPr>
      </w:pPr>
      <w:r>
        <w:rPr>
          <w:b/>
          <w:sz w:val="24"/>
          <w:szCs w:val="24"/>
        </w:rPr>
        <w:t>Description of Collection</w:t>
      </w:r>
    </w:p>
    <w:p w:rsidR="005E4CB8" w:rsidRPr="0026543B" w:rsidP="0026543B" w14:paraId="3AE95E0C" w14:textId="05918050">
      <w:pPr>
        <w:pStyle w:val="ListParagraph"/>
        <w:ind w:left="900"/>
        <w:rPr>
          <w:sz w:val="24"/>
          <w:szCs w:val="24"/>
        </w:rPr>
      </w:pPr>
      <w:r>
        <w:rPr>
          <w:sz w:val="24"/>
          <w:szCs w:val="24"/>
        </w:rPr>
        <w:t xml:space="preserve">The Social Security Administration collects this information to evaluate program effectiveness.  SSA requires interviews to maintain benefits for identified beneficiaries and notifies selected individuals by phone or mail.  </w:t>
      </w:r>
      <w:r w:rsidRPr="0026543B">
        <w:rPr>
          <w:sz w:val="24"/>
          <w:szCs w:val="24"/>
        </w:rPr>
        <w:t xml:space="preserve">SSA field office personnel obtain information through </w:t>
      </w:r>
      <w:r w:rsidRPr="0026543B" w:rsidR="002F3719">
        <w:rPr>
          <w:sz w:val="24"/>
          <w:szCs w:val="24"/>
        </w:rPr>
        <w:t xml:space="preserve">mandatory </w:t>
      </w:r>
      <w:r w:rsidRPr="0026543B">
        <w:rPr>
          <w:sz w:val="24"/>
          <w:szCs w:val="24"/>
        </w:rPr>
        <w:t xml:space="preserve">personal interviews with </w:t>
      </w:r>
      <w:r w:rsidRPr="0026543B" w:rsidR="00D875B4">
        <w:rPr>
          <w:sz w:val="24"/>
          <w:szCs w:val="24"/>
        </w:rPr>
        <w:t xml:space="preserve">two groups: </w:t>
      </w:r>
      <w:r w:rsidRPr="0026543B" w:rsidR="00C50CB7">
        <w:rPr>
          <w:sz w:val="24"/>
          <w:szCs w:val="24"/>
        </w:rPr>
        <w:t xml:space="preserve"> </w:t>
      </w:r>
      <w:r w:rsidRPr="0026543B" w:rsidR="00D875B4">
        <w:rPr>
          <w:sz w:val="24"/>
          <w:szCs w:val="24"/>
        </w:rPr>
        <w:t xml:space="preserve">(1) </w:t>
      </w:r>
      <w:r w:rsidRPr="0026543B">
        <w:rPr>
          <w:sz w:val="24"/>
          <w:szCs w:val="24"/>
        </w:rPr>
        <w:t>Centenarians</w:t>
      </w:r>
      <w:r w:rsidRPr="0026543B" w:rsidR="00B35F48">
        <w:rPr>
          <w:sz w:val="24"/>
          <w:szCs w:val="24"/>
        </w:rPr>
        <w:t xml:space="preserve"> </w:t>
      </w:r>
      <w:r w:rsidRPr="0026543B" w:rsidR="00D875B4">
        <w:rPr>
          <w:sz w:val="24"/>
          <w:szCs w:val="24"/>
        </w:rPr>
        <w:t xml:space="preserve">residing </w:t>
      </w:r>
      <w:r w:rsidRPr="0026543B" w:rsidR="003B0B60">
        <w:rPr>
          <w:sz w:val="24"/>
          <w:szCs w:val="24"/>
        </w:rPr>
        <w:t xml:space="preserve">internationally </w:t>
      </w:r>
      <w:r w:rsidRPr="0026543B" w:rsidR="00D875B4">
        <w:rPr>
          <w:sz w:val="24"/>
          <w:szCs w:val="24"/>
        </w:rPr>
        <w:t>who are age 90 or older</w:t>
      </w:r>
      <w:r w:rsidRPr="0026543B" w:rsidR="00B35F48">
        <w:rPr>
          <w:sz w:val="24"/>
          <w:szCs w:val="24"/>
        </w:rPr>
        <w:t>,</w:t>
      </w:r>
      <w:r w:rsidRPr="0026543B">
        <w:rPr>
          <w:sz w:val="24"/>
          <w:szCs w:val="24"/>
        </w:rPr>
        <w:t xml:space="preserve"> and </w:t>
      </w:r>
      <w:r w:rsidRPr="0026543B" w:rsidR="00D875B4">
        <w:rPr>
          <w:sz w:val="24"/>
          <w:szCs w:val="24"/>
        </w:rPr>
        <w:t xml:space="preserve">(2) </w:t>
      </w:r>
      <w:r w:rsidRPr="0026543B">
        <w:rPr>
          <w:sz w:val="24"/>
          <w:szCs w:val="24"/>
        </w:rPr>
        <w:t>MNUP beneficiaries</w:t>
      </w:r>
      <w:r w:rsidRPr="0026543B" w:rsidR="00B35F48">
        <w:rPr>
          <w:sz w:val="24"/>
          <w:szCs w:val="24"/>
        </w:rPr>
        <w:t xml:space="preserve">, </w:t>
      </w:r>
      <w:r w:rsidRPr="0026543B" w:rsidR="00D875B4">
        <w:rPr>
          <w:sz w:val="24"/>
          <w:szCs w:val="24"/>
        </w:rPr>
        <w:t>defined as</w:t>
      </w:r>
      <w:r w:rsidRPr="0026543B" w:rsidR="00B35F48">
        <w:rPr>
          <w:sz w:val="24"/>
          <w:szCs w:val="24"/>
        </w:rPr>
        <w:t xml:space="preserve"> Title II beneficiaries </w:t>
      </w:r>
      <w:r w:rsidRPr="0026543B" w:rsidR="00F73D54">
        <w:rPr>
          <w:snapToGrid w:val="0"/>
          <w:sz w:val="24"/>
          <w:szCs w:val="24"/>
        </w:rPr>
        <w:t>ages 90</w:t>
      </w:r>
      <w:r w:rsidRPr="0026543B" w:rsidR="00B35F48">
        <w:rPr>
          <w:snapToGrid w:val="0"/>
          <w:sz w:val="24"/>
          <w:szCs w:val="24"/>
        </w:rPr>
        <w:t>-99</w:t>
      </w:r>
      <w:r w:rsidRPr="0026543B" w:rsidR="00D875B4">
        <w:rPr>
          <w:snapToGrid w:val="0"/>
          <w:sz w:val="24"/>
          <w:szCs w:val="24"/>
        </w:rPr>
        <w:t xml:space="preserve"> </w:t>
      </w:r>
      <w:r w:rsidRPr="0026543B" w:rsidR="00B35F48">
        <w:rPr>
          <w:snapToGrid w:val="0"/>
          <w:sz w:val="24"/>
          <w:szCs w:val="24"/>
        </w:rPr>
        <w:t xml:space="preserve">who </w:t>
      </w:r>
      <w:r w:rsidRPr="0026543B" w:rsidR="00D875B4">
        <w:rPr>
          <w:snapToGrid w:val="0"/>
          <w:sz w:val="24"/>
          <w:szCs w:val="24"/>
        </w:rPr>
        <w:t xml:space="preserve">reside </w:t>
      </w:r>
      <w:r w:rsidRPr="0026543B" w:rsidR="00457531">
        <w:rPr>
          <w:snapToGrid w:val="0"/>
          <w:sz w:val="24"/>
          <w:szCs w:val="24"/>
        </w:rPr>
        <w:t xml:space="preserve">domestically and </w:t>
      </w:r>
      <w:r w:rsidRPr="0026543B" w:rsidR="001A15AE">
        <w:rPr>
          <w:snapToGrid w:val="0"/>
          <w:sz w:val="24"/>
          <w:szCs w:val="24"/>
        </w:rPr>
        <w:t>demonstrate</w:t>
      </w:r>
      <w:r w:rsidRPr="0026543B" w:rsidR="001A15AE">
        <w:rPr>
          <w:sz w:val="24"/>
          <w:szCs w:val="24"/>
        </w:rPr>
        <w:t xml:space="preserve"> </w:t>
      </w:r>
      <w:r w:rsidRPr="0026543B" w:rsidR="00B35F48">
        <w:rPr>
          <w:snapToGrid w:val="0"/>
          <w:sz w:val="24"/>
          <w:szCs w:val="24"/>
        </w:rPr>
        <w:t>non</w:t>
      </w:r>
      <w:r w:rsidR="00137F1C">
        <w:rPr>
          <w:snapToGrid w:val="0"/>
          <w:sz w:val="24"/>
          <w:szCs w:val="24"/>
        </w:rPr>
        <w:noBreakHyphen/>
      </w:r>
      <w:r w:rsidRPr="0026543B" w:rsidR="00B35F48">
        <w:rPr>
          <w:snapToGrid w:val="0"/>
          <w:sz w:val="24"/>
          <w:szCs w:val="24"/>
        </w:rPr>
        <w:t xml:space="preserve">utilization of Medicare benefits for </w:t>
      </w:r>
      <w:r w:rsidRPr="0026543B" w:rsidR="000142C4">
        <w:rPr>
          <w:sz w:val="24"/>
          <w:szCs w:val="24"/>
        </w:rPr>
        <w:t xml:space="preserve">three </w:t>
      </w:r>
      <w:r w:rsidRPr="0026543B" w:rsidR="00480F9A">
        <w:rPr>
          <w:sz w:val="24"/>
          <w:szCs w:val="24"/>
        </w:rPr>
        <w:t>or more</w:t>
      </w:r>
      <w:r w:rsidRPr="0026543B" w:rsidR="00926B57">
        <w:rPr>
          <w:sz w:val="24"/>
          <w:szCs w:val="24"/>
        </w:rPr>
        <w:t xml:space="preserve"> years</w:t>
      </w:r>
      <w:r w:rsidRPr="0026543B" w:rsidR="001A15AE">
        <w:rPr>
          <w:sz w:val="24"/>
          <w:szCs w:val="24"/>
        </w:rPr>
        <w:t xml:space="preserve">, with no record </w:t>
      </w:r>
      <w:r w:rsidRPr="0026543B" w:rsidR="00B35F48">
        <w:rPr>
          <w:snapToGrid w:val="0"/>
          <w:sz w:val="24"/>
          <w:szCs w:val="24"/>
        </w:rPr>
        <w:t>of private insurance, health maintenance organization</w:t>
      </w:r>
      <w:r w:rsidRPr="0026543B" w:rsidR="001A15AE">
        <w:rPr>
          <w:snapToGrid w:val="0"/>
          <w:sz w:val="24"/>
          <w:szCs w:val="24"/>
        </w:rPr>
        <w:t xml:space="preserve"> enrollment</w:t>
      </w:r>
      <w:r w:rsidRPr="0026543B" w:rsidR="00B35F48">
        <w:rPr>
          <w:snapToGrid w:val="0"/>
          <w:sz w:val="24"/>
          <w:szCs w:val="24"/>
        </w:rPr>
        <w:t>, or nursing home</w:t>
      </w:r>
      <w:r w:rsidRPr="0026543B" w:rsidR="001A15AE">
        <w:rPr>
          <w:snapToGrid w:val="0"/>
          <w:sz w:val="24"/>
          <w:szCs w:val="24"/>
        </w:rPr>
        <w:t xml:space="preserve"> residence.</w:t>
      </w:r>
      <w:r w:rsidRPr="0026543B" w:rsidR="00B127B6">
        <w:rPr>
          <w:snapToGrid w:val="0"/>
          <w:sz w:val="24"/>
          <w:szCs w:val="24"/>
        </w:rPr>
        <w:t xml:space="preserve">  </w:t>
      </w:r>
      <w:r w:rsidRPr="0026543B" w:rsidR="001A15AE">
        <w:rPr>
          <w:snapToGrid w:val="0"/>
          <w:sz w:val="24"/>
          <w:szCs w:val="24"/>
        </w:rPr>
        <w:t xml:space="preserve">SSA uses these indicators to identify </w:t>
      </w:r>
      <w:r>
        <w:rPr>
          <w:snapToGrid w:val="0"/>
          <w:sz w:val="24"/>
          <w:szCs w:val="24"/>
        </w:rPr>
        <w:t>whether a beneficiary is deceased</w:t>
      </w:r>
      <w:r w:rsidRPr="0026543B" w:rsidR="00B35F48">
        <w:rPr>
          <w:snapToGrid w:val="0"/>
          <w:sz w:val="24"/>
          <w:szCs w:val="24"/>
        </w:rPr>
        <w:t>.</w:t>
      </w:r>
      <w:r w:rsidRPr="0026543B" w:rsidR="001A15AE">
        <w:rPr>
          <w:sz w:val="24"/>
          <w:szCs w:val="24"/>
        </w:rPr>
        <w:t xml:space="preserve">  </w:t>
      </w:r>
      <w:r w:rsidRPr="0026543B">
        <w:rPr>
          <w:sz w:val="24"/>
          <w:szCs w:val="24"/>
        </w:rPr>
        <w:t xml:space="preserve">If beneficiaries have representatives or caregivers, SSA office </w:t>
      </w:r>
      <w:r w:rsidRPr="0026543B" w:rsidR="008162E0">
        <w:rPr>
          <w:sz w:val="24"/>
          <w:szCs w:val="24"/>
        </w:rPr>
        <w:t xml:space="preserve">employees </w:t>
      </w:r>
      <w:r w:rsidRPr="0026543B">
        <w:rPr>
          <w:sz w:val="24"/>
          <w:szCs w:val="24"/>
        </w:rPr>
        <w:t>invite them to the interviews.</w:t>
      </w:r>
      <w:r w:rsidRPr="0026543B" w:rsidR="00B127B6">
        <w:rPr>
          <w:sz w:val="24"/>
          <w:szCs w:val="24"/>
        </w:rPr>
        <w:t xml:space="preserve">  </w:t>
      </w:r>
      <w:r w:rsidRPr="0026543B">
        <w:rPr>
          <w:sz w:val="24"/>
          <w:szCs w:val="24"/>
        </w:rPr>
        <w:t>During the</w:t>
      </w:r>
      <w:r w:rsidRPr="0026543B" w:rsidR="46FFC917">
        <w:rPr>
          <w:sz w:val="24"/>
          <w:szCs w:val="24"/>
        </w:rPr>
        <w:t xml:space="preserve"> </w:t>
      </w:r>
      <w:r w:rsidRPr="0026543B">
        <w:rPr>
          <w:sz w:val="24"/>
          <w:szCs w:val="24"/>
        </w:rPr>
        <w:t>interview, SSA employees make overall observations of the beneficiaries, and their representative payees (if applicable).</w:t>
      </w:r>
      <w:r w:rsidRPr="0026543B" w:rsidR="001A15AE">
        <w:rPr>
          <w:sz w:val="24"/>
          <w:szCs w:val="24"/>
        </w:rPr>
        <w:t xml:space="preserve">  </w:t>
      </w:r>
      <w:r w:rsidRPr="0026543B" w:rsidR="00040708">
        <w:rPr>
          <w:sz w:val="24"/>
          <w:szCs w:val="24"/>
        </w:rPr>
        <w:t xml:space="preserve">The </w:t>
      </w:r>
      <w:r w:rsidRPr="0026543B" w:rsidR="00D953C3">
        <w:rPr>
          <w:sz w:val="24"/>
          <w:szCs w:val="24"/>
        </w:rPr>
        <w:t xml:space="preserve">MNUP </w:t>
      </w:r>
      <w:r w:rsidRPr="0026543B" w:rsidR="00040708">
        <w:rPr>
          <w:sz w:val="24"/>
          <w:szCs w:val="24"/>
        </w:rPr>
        <w:t xml:space="preserve">interviewer </w:t>
      </w:r>
      <w:r w:rsidRPr="0026543B">
        <w:rPr>
          <w:sz w:val="24"/>
          <w:szCs w:val="24"/>
        </w:rPr>
        <w:t>document</w:t>
      </w:r>
      <w:r w:rsidRPr="0026543B" w:rsidR="004F467E">
        <w:rPr>
          <w:sz w:val="24"/>
          <w:szCs w:val="24"/>
        </w:rPr>
        <w:t>s</w:t>
      </w:r>
      <w:r w:rsidRPr="0026543B">
        <w:rPr>
          <w:sz w:val="24"/>
          <w:szCs w:val="24"/>
        </w:rPr>
        <w:t xml:space="preserve"> </w:t>
      </w:r>
      <w:r w:rsidRPr="0026543B" w:rsidR="00C50CB7">
        <w:rPr>
          <w:sz w:val="24"/>
          <w:szCs w:val="24"/>
        </w:rPr>
        <w:t xml:space="preserve">the </w:t>
      </w:r>
      <w:r w:rsidRPr="0026543B">
        <w:rPr>
          <w:sz w:val="24"/>
          <w:szCs w:val="24"/>
        </w:rPr>
        <w:t xml:space="preserve">findings </w:t>
      </w:r>
      <w:r w:rsidRPr="0026543B" w:rsidR="00040708">
        <w:rPr>
          <w:sz w:val="24"/>
          <w:szCs w:val="24"/>
        </w:rPr>
        <w:t xml:space="preserve">obtained </w:t>
      </w:r>
      <w:r w:rsidRPr="0026543B">
        <w:rPr>
          <w:sz w:val="24"/>
          <w:szCs w:val="24"/>
        </w:rPr>
        <w:t>during the interview</w:t>
      </w:r>
      <w:r w:rsidRPr="0026543B" w:rsidR="00040708">
        <w:rPr>
          <w:sz w:val="24"/>
          <w:szCs w:val="24"/>
        </w:rPr>
        <w:t xml:space="preserve"> </w:t>
      </w:r>
      <w:r w:rsidRPr="0026543B" w:rsidR="00C50CB7">
        <w:rPr>
          <w:sz w:val="24"/>
          <w:szCs w:val="24"/>
        </w:rPr>
        <w:t xml:space="preserve">on </w:t>
      </w:r>
      <w:r w:rsidRPr="0026543B" w:rsidR="00040708">
        <w:rPr>
          <w:sz w:val="24"/>
          <w:szCs w:val="24"/>
        </w:rPr>
        <w:t xml:space="preserve">the Medicare Non-Utilization Project </w:t>
      </w:r>
      <w:r w:rsidRPr="0026543B" w:rsidR="00736732">
        <w:rPr>
          <w:sz w:val="24"/>
          <w:szCs w:val="24"/>
        </w:rPr>
        <w:t>website</w:t>
      </w:r>
      <w:r w:rsidRPr="0026543B" w:rsidR="00D953C3">
        <w:rPr>
          <w:sz w:val="24"/>
          <w:szCs w:val="24"/>
        </w:rPr>
        <w:t xml:space="preserve">. </w:t>
      </w:r>
      <w:r w:rsidRPr="0026543B" w:rsidR="001A15AE">
        <w:rPr>
          <w:sz w:val="24"/>
          <w:szCs w:val="24"/>
        </w:rPr>
        <w:t xml:space="preserve"> </w:t>
      </w:r>
      <w:r w:rsidRPr="0026543B" w:rsidR="00C50CB7">
        <w:rPr>
          <w:sz w:val="24"/>
          <w:szCs w:val="24"/>
        </w:rPr>
        <w:t>Interviewers document the i</w:t>
      </w:r>
      <w:r w:rsidRPr="0026543B" w:rsidR="00E96EB9">
        <w:rPr>
          <w:sz w:val="24"/>
          <w:szCs w:val="24"/>
        </w:rPr>
        <w:t xml:space="preserve">nternational </w:t>
      </w:r>
      <w:r w:rsidRPr="0026543B">
        <w:rPr>
          <w:sz w:val="24"/>
          <w:szCs w:val="24"/>
        </w:rPr>
        <w:t>Centenarian interviews</w:t>
      </w:r>
      <w:r w:rsidRPr="0026543B" w:rsidR="00D953C3">
        <w:rPr>
          <w:sz w:val="24"/>
          <w:szCs w:val="24"/>
        </w:rPr>
        <w:t xml:space="preserve"> on the development worksheet, which </w:t>
      </w:r>
      <w:r w:rsidRPr="0026543B" w:rsidR="00C50CB7">
        <w:rPr>
          <w:sz w:val="24"/>
          <w:szCs w:val="24"/>
        </w:rPr>
        <w:t>they store</w:t>
      </w:r>
      <w:r w:rsidRPr="0026543B" w:rsidR="00D953C3">
        <w:rPr>
          <w:sz w:val="24"/>
          <w:szCs w:val="24"/>
        </w:rPr>
        <w:t xml:space="preserve"> in the Evidence Portal</w:t>
      </w:r>
      <w:r w:rsidRPr="0026543B" w:rsidR="00246785">
        <w:rPr>
          <w:sz w:val="24"/>
          <w:szCs w:val="24"/>
        </w:rPr>
        <w:t xml:space="preserve"> </w:t>
      </w:r>
      <w:r w:rsidRPr="0026543B" w:rsidR="00D953C3">
        <w:rPr>
          <w:sz w:val="24"/>
          <w:szCs w:val="24"/>
        </w:rPr>
        <w:t>and</w:t>
      </w:r>
      <w:r w:rsidRPr="0026543B" w:rsidR="00736732">
        <w:rPr>
          <w:sz w:val="24"/>
          <w:szCs w:val="24"/>
        </w:rPr>
        <w:t xml:space="preserve"> </w:t>
      </w:r>
      <w:r w:rsidRPr="0026543B" w:rsidR="00D953C3">
        <w:rPr>
          <w:sz w:val="24"/>
          <w:szCs w:val="24"/>
        </w:rPr>
        <w:t xml:space="preserve">record on </w:t>
      </w:r>
      <w:r w:rsidRPr="0026543B" w:rsidR="00736732">
        <w:rPr>
          <w:sz w:val="24"/>
          <w:szCs w:val="24"/>
        </w:rPr>
        <w:t>the</w:t>
      </w:r>
      <w:r w:rsidRPr="0026543B" w:rsidR="773A1F6C">
        <w:rPr>
          <w:sz w:val="24"/>
          <w:szCs w:val="24"/>
        </w:rPr>
        <w:t xml:space="preserve"> SharePoint site for the International Centenarian Project</w:t>
      </w:r>
      <w:r w:rsidRPr="0026543B">
        <w:rPr>
          <w:color w:val="000000"/>
          <w:sz w:val="24"/>
          <w:szCs w:val="24"/>
        </w:rPr>
        <w:t xml:space="preserve">.  </w:t>
      </w:r>
      <w:bookmarkStart w:id="0" w:name="_Hlk97277241"/>
      <w:r w:rsidRPr="0026543B" w:rsidR="000D4741">
        <w:rPr>
          <w:sz w:val="24"/>
          <w:szCs w:val="24"/>
          <w:lang w:eastAsia="en-US"/>
        </w:rPr>
        <w:t xml:space="preserve">SSA conducts the </w:t>
      </w:r>
      <w:r w:rsidR="00137F1C">
        <w:rPr>
          <w:sz w:val="24"/>
          <w:szCs w:val="24"/>
          <w:lang w:eastAsia="en-US"/>
        </w:rPr>
        <w:t xml:space="preserve">scheduled </w:t>
      </w:r>
      <w:r w:rsidRPr="0026543B" w:rsidR="000D4741">
        <w:rPr>
          <w:sz w:val="24"/>
          <w:szCs w:val="24"/>
          <w:lang w:eastAsia="en-US"/>
        </w:rPr>
        <w:t>interviews either over the telephone or through a face-to-face discussion with the respondents</w:t>
      </w:r>
      <w:r w:rsidRPr="0026543B" w:rsidR="000D4741">
        <w:rPr>
          <w:sz w:val="24"/>
          <w:szCs w:val="24"/>
        </w:rPr>
        <w:t xml:space="preserve"> </w:t>
      </w:r>
      <w:r w:rsidRPr="0026543B">
        <w:rPr>
          <w:sz w:val="24"/>
          <w:szCs w:val="24"/>
        </w:rPr>
        <w:t xml:space="preserve">either in a field office, or at the beneficiary’s residence.  </w:t>
      </w:r>
      <w:bookmarkEnd w:id="0"/>
    </w:p>
    <w:p w:rsidR="00910C1E" w:rsidP="005E4CB8" w14:paraId="7B9B7965" w14:textId="77777777">
      <w:pPr>
        <w:pStyle w:val="ListParagraph"/>
        <w:ind w:left="900"/>
        <w:rPr>
          <w:b/>
          <w:sz w:val="24"/>
          <w:szCs w:val="24"/>
        </w:rPr>
      </w:pPr>
    </w:p>
    <w:p w:rsidR="001806B5" w:rsidP="005E4CB8" w14:paraId="2A05BB7E" w14:textId="57FA2272">
      <w:pPr>
        <w:pStyle w:val="ListParagraph"/>
        <w:ind w:left="900"/>
        <w:rPr>
          <w:b/>
          <w:sz w:val="24"/>
          <w:szCs w:val="24"/>
        </w:rPr>
      </w:pPr>
      <w:r>
        <w:rPr>
          <w:b/>
          <w:sz w:val="24"/>
          <w:szCs w:val="24"/>
        </w:rPr>
        <w:t>Interview Process</w:t>
      </w:r>
    </w:p>
    <w:p w:rsidR="0085473F" w:rsidRPr="0085473F" w:rsidP="0085473F" w14:paraId="3AA17DD3" w14:textId="086916C0">
      <w:pPr>
        <w:pStyle w:val="ListParagraph"/>
        <w:ind w:left="900"/>
        <w:rPr>
          <w:bCs/>
          <w:sz w:val="24"/>
          <w:szCs w:val="24"/>
        </w:rPr>
      </w:pPr>
      <w:r>
        <w:rPr>
          <w:bCs/>
          <w:sz w:val="24"/>
          <w:szCs w:val="24"/>
        </w:rPr>
        <w:t>For MNUP</w:t>
      </w:r>
      <w:r w:rsidRPr="0ABE3CDE" w:rsidR="5930AAF1">
        <w:rPr>
          <w:sz w:val="24"/>
          <w:szCs w:val="24"/>
        </w:rPr>
        <w:t xml:space="preserve"> </w:t>
      </w:r>
      <w:r w:rsidRPr="3782B498" w:rsidR="5930AAF1">
        <w:rPr>
          <w:sz w:val="24"/>
          <w:szCs w:val="24"/>
        </w:rPr>
        <w:t xml:space="preserve">and </w:t>
      </w:r>
      <w:r w:rsidRPr="5E7081ED" w:rsidR="5930AAF1">
        <w:rPr>
          <w:sz w:val="24"/>
          <w:szCs w:val="24"/>
        </w:rPr>
        <w:t xml:space="preserve">International </w:t>
      </w:r>
      <w:r w:rsidRPr="5C7840EE" w:rsidR="5930AAF1">
        <w:rPr>
          <w:sz w:val="24"/>
          <w:szCs w:val="24"/>
        </w:rPr>
        <w:t>Centenarian</w:t>
      </w:r>
      <w:r>
        <w:rPr>
          <w:bCs/>
          <w:sz w:val="24"/>
          <w:szCs w:val="24"/>
        </w:rPr>
        <w:t xml:space="preserve"> cases, a</w:t>
      </w:r>
      <w:r w:rsidRPr="0085473F">
        <w:rPr>
          <w:bCs/>
          <w:sz w:val="24"/>
          <w:szCs w:val="24"/>
        </w:rPr>
        <w:t xml:space="preserve"> field office </w:t>
      </w:r>
      <w:r w:rsidRPr="21402F49" w:rsidR="3778196D">
        <w:rPr>
          <w:sz w:val="24"/>
          <w:szCs w:val="24"/>
        </w:rPr>
        <w:t xml:space="preserve">or a </w:t>
      </w:r>
      <w:r w:rsidRPr="19D64053" w:rsidR="3778196D">
        <w:rPr>
          <w:sz w:val="24"/>
          <w:szCs w:val="24"/>
        </w:rPr>
        <w:t>foreign service post</w:t>
      </w:r>
      <w:r w:rsidRPr="331BBDEE">
        <w:rPr>
          <w:sz w:val="24"/>
          <w:szCs w:val="24"/>
        </w:rPr>
        <w:t xml:space="preserve"> </w:t>
      </w:r>
      <w:r w:rsidRPr="0085473F">
        <w:rPr>
          <w:bCs/>
          <w:sz w:val="24"/>
          <w:szCs w:val="24"/>
        </w:rPr>
        <w:t xml:space="preserve">employee </w:t>
      </w:r>
      <w:r w:rsidR="002361FD">
        <w:rPr>
          <w:bCs/>
          <w:sz w:val="24"/>
          <w:szCs w:val="24"/>
        </w:rPr>
        <w:t>send</w:t>
      </w:r>
      <w:r w:rsidR="0012670A">
        <w:rPr>
          <w:bCs/>
          <w:sz w:val="24"/>
          <w:szCs w:val="24"/>
        </w:rPr>
        <w:t>s</w:t>
      </w:r>
      <w:r w:rsidR="002361FD">
        <w:rPr>
          <w:bCs/>
          <w:sz w:val="24"/>
          <w:szCs w:val="24"/>
        </w:rPr>
        <w:t xml:space="preserve"> an appointment letter to notify the beneficiary </w:t>
      </w:r>
      <w:r w:rsidR="00E37584">
        <w:rPr>
          <w:bCs/>
          <w:sz w:val="24"/>
          <w:szCs w:val="24"/>
        </w:rPr>
        <w:t>that an employee will call at a set date and time</w:t>
      </w:r>
      <w:r w:rsidR="0012670A">
        <w:rPr>
          <w:bCs/>
          <w:sz w:val="24"/>
          <w:szCs w:val="24"/>
        </w:rPr>
        <w:t xml:space="preserve"> for an interview</w:t>
      </w:r>
      <w:r w:rsidRPr="0085473F">
        <w:rPr>
          <w:bCs/>
          <w:sz w:val="24"/>
          <w:szCs w:val="24"/>
        </w:rPr>
        <w:t>.</w:t>
      </w:r>
      <w:r w:rsidR="00B127B6">
        <w:rPr>
          <w:bCs/>
          <w:sz w:val="24"/>
          <w:szCs w:val="24"/>
        </w:rPr>
        <w:t xml:space="preserve">  </w:t>
      </w:r>
      <w:r w:rsidRPr="0085473F">
        <w:rPr>
          <w:bCs/>
          <w:sz w:val="24"/>
          <w:szCs w:val="24"/>
        </w:rPr>
        <w:t>During the call, the employee ask</w:t>
      </w:r>
      <w:r w:rsidR="0012670A">
        <w:rPr>
          <w:bCs/>
          <w:sz w:val="24"/>
          <w:szCs w:val="24"/>
        </w:rPr>
        <w:t>s</w:t>
      </w:r>
      <w:r w:rsidRPr="0085473F">
        <w:rPr>
          <w:bCs/>
          <w:sz w:val="24"/>
          <w:szCs w:val="24"/>
        </w:rPr>
        <w:t xml:space="preserve"> for information to make sure they are talking to the </w:t>
      </w:r>
      <w:r w:rsidR="0014200B">
        <w:rPr>
          <w:bCs/>
          <w:sz w:val="24"/>
          <w:szCs w:val="24"/>
        </w:rPr>
        <w:t xml:space="preserve">correct </w:t>
      </w:r>
      <w:r w:rsidR="00E01A59">
        <w:rPr>
          <w:bCs/>
          <w:sz w:val="24"/>
          <w:szCs w:val="24"/>
        </w:rPr>
        <w:t>beneficiary</w:t>
      </w:r>
      <w:r w:rsidRPr="0085473F">
        <w:rPr>
          <w:bCs/>
          <w:sz w:val="24"/>
          <w:szCs w:val="24"/>
        </w:rPr>
        <w:t xml:space="preserve"> and </w:t>
      </w:r>
      <w:r w:rsidR="00615325">
        <w:rPr>
          <w:bCs/>
          <w:sz w:val="24"/>
          <w:szCs w:val="24"/>
        </w:rPr>
        <w:t>verif</w:t>
      </w:r>
      <w:r w:rsidR="0012670A">
        <w:rPr>
          <w:bCs/>
          <w:sz w:val="24"/>
          <w:szCs w:val="24"/>
        </w:rPr>
        <w:t>ies</w:t>
      </w:r>
      <w:r w:rsidR="00615325">
        <w:rPr>
          <w:bCs/>
          <w:sz w:val="24"/>
          <w:szCs w:val="24"/>
        </w:rPr>
        <w:t xml:space="preserve"> </w:t>
      </w:r>
      <w:r w:rsidRPr="0085473F">
        <w:rPr>
          <w:bCs/>
          <w:sz w:val="24"/>
          <w:szCs w:val="24"/>
        </w:rPr>
        <w:t xml:space="preserve">that </w:t>
      </w:r>
      <w:r w:rsidR="0012670A">
        <w:rPr>
          <w:bCs/>
          <w:sz w:val="24"/>
          <w:szCs w:val="24"/>
        </w:rPr>
        <w:t>SSA’s</w:t>
      </w:r>
      <w:r w:rsidRPr="0085473F" w:rsidR="0012670A">
        <w:rPr>
          <w:bCs/>
          <w:sz w:val="24"/>
          <w:szCs w:val="24"/>
        </w:rPr>
        <w:t xml:space="preserve"> </w:t>
      </w:r>
      <w:r w:rsidRPr="0085473F">
        <w:rPr>
          <w:bCs/>
          <w:sz w:val="24"/>
          <w:szCs w:val="24"/>
        </w:rPr>
        <w:t>records are correct.</w:t>
      </w:r>
      <w:r w:rsidR="00B127B6">
        <w:rPr>
          <w:bCs/>
          <w:sz w:val="24"/>
          <w:szCs w:val="24"/>
        </w:rPr>
        <w:t xml:space="preserve">  </w:t>
      </w:r>
      <w:r w:rsidRPr="0085473F">
        <w:rPr>
          <w:bCs/>
          <w:sz w:val="24"/>
          <w:szCs w:val="24"/>
        </w:rPr>
        <w:t>The</w:t>
      </w:r>
      <w:r w:rsidR="0012670A">
        <w:rPr>
          <w:bCs/>
          <w:sz w:val="24"/>
          <w:szCs w:val="24"/>
        </w:rPr>
        <w:t xml:space="preserve"> SSA employee</w:t>
      </w:r>
      <w:r w:rsidRPr="0085473F">
        <w:rPr>
          <w:bCs/>
          <w:sz w:val="24"/>
          <w:szCs w:val="24"/>
        </w:rPr>
        <w:t xml:space="preserve"> also </w:t>
      </w:r>
      <w:r w:rsidR="00615325">
        <w:rPr>
          <w:bCs/>
          <w:sz w:val="24"/>
          <w:szCs w:val="24"/>
        </w:rPr>
        <w:t>evaluate</w:t>
      </w:r>
      <w:r w:rsidR="0012670A">
        <w:rPr>
          <w:bCs/>
          <w:sz w:val="24"/>
          <w:szCs w:val="24"/>
        </w:rPr>
        <w:t>s</w:t>
      </w:r>
      <w:r w:rsidRPr="0085473F">
        <w:rPr>
          <w:bCs/>
          <w:sz w:val="24"/>
          <w:szCs w:val="24"/>
        </w:rPr>
        <w:t xml:space="preserve"> if the </w:t>
      </w:r>
      <w:r w:rsidR="00615325">
        <w:rPr>
          <w:bCs/>
          <w:sz w:val="24"/>
          <w:szCs w:val="24"/>
        </w:rPr>
        <w:t>beneficiary</w:t>
      </w:r>
      <w:r w:rsidRPr="0085473F">
        <w:rPr>
          <w:bCs/>
          <w:sz w:val="24"/>
          <w:szCs w:val="24"/>
        </w:rPr>
        <w:t xml:space="preserve"> needs a </w:t>
      </w:r>
      <w:r w:rsidRPr="0085473F">
        <w:rPr>
          <w:bCs/>
          <w:sz w:val="24"/>
          <w:szCs w:val="24"/>
        </w:rPr>
        <w:t>representative payee, if they do not already have one</w:t>
      </w:r>
      <w:r w:rsidR="00B127B6">
        <w:rPr>
          <w:bCs/>
          <w:sz w:val="24"/>
          <w:szCs w:val="24"/>
        </w:rPr>
        <w:t>,</w:t>
      </w:r>
      <w:r w:rsidR="00F33C4B">
        <w:rPr>
          <w:bCs/>
          <w:sz w:val="24"/>
          <w:szCs w:val="24"/>
        </w:rPr>
        <w:t xml:space="preserve"> or if the</w:t>
      </w:r>
      <w:r w:rsidR="0012670A">
        <w:rPr>
          <w:bCs/>
          <w:sz w:val="24"/>
          <w:szCs w:val="24"/>
        </w:rPr>
        <w:t xml:space="preserve"> beneficiary </w:t>
      </w:r>
      <w:r w:rsidR="00F33C4B">
        <w:rPr>
          <w:bCs/>
          <w:sz w:val="24"/>
          <w:szCs w:val="24"/>
        </w:rPr>
        <w:t>need</w:t>
      </w:r>
      <w:r w:rsidR="0012670A">
        <w:rPr>
          <w:bCs/>
          <w:sz w:val="24"/>
          <w:szCs w:val="24"/>
        </w:rPr>
        <w:t>s</w:t>
      </w:r>
      <w:r w:rsidR="00F33C4B">
        <w:rPr>
          <w:bCs/>
          <w:sz w:val="24"/>
          <w:szCs w:val="24"/>
        </w:rPr>
        <w:t xml:space="preserve"> a change in representative payee</w:t>
      </w:r>
      <w:r w:rsidRPr="0085473F">
        <w:rPr>
          <w:bCs/>
          <w:sz w:val="24"/>
          <w:szCs w:val="24"/>
        </w:rPr>
        <w:t>.</w:t>
      </w:r>
    </w:p>
    <w:p w:rsidR="0085473F" w:rsidP="0085473F" w14:paraId="6C7D7116" w14:textId="77777777">
      <w:pPr>
        <w:pStyle w:val="ListParagraph"/>
        <w:ind w:left="900"/>
        <w:rPr>
          <w:bCs/>
          <w:sz w:val="24"/>
          <w:szCs w:val="24"/>
        </w:rPr>
      </w:pPr>
    </w:p>
    <w:p w:rsidR="0085473F" w:rsidRPr="0085473F" w:rsidP="0085473F" w14:paraId="6064D700" w14:textId="70F752B7">
      <w:pPr>
        <w:pStyle w:val="ListParagraph"/>
        <w:ind w:left="900"/>
        <w:rPr>
          <w:bCs/>
          <w:sz w:val="24"/>
          <w:szCs w:val="24"/>
        </w:rPr>
      </w:pPr>
      <w:r w:rsidRPr="0085473F">
        <w:rPr>
          <w:bCs/>
          <w:sz w:val="24"/>
          <w:szCs w:val="24"/>
        </w:rPr>
        <w:t xml:space="preserve">If the </w:t>
      </w:r>
      <w:r w:rsidR="005024C5">
        <w:rPr>
          <w:bCs/>
          <w:sz w:val="24"/>
          <w:szCs w:val="24"/>
        </w:rPr>
        <w:t>beneficiary or representative payee</w:t>
      </w:r>
      <w:r w:rsidRPr="0085473F">
        <w:rPr>
          <w:bCs/>
          <w:sz w:val="24"/>
          <w:szCs w:val="24"/>
        </w:rPr>
        <w:t xml:space="preserve"> does not answer the phone </w:t>
      </w:r>
      <w:r w:rsidR="00E37584">
        <w:rPr>
          <w:bCs/>
          <w:sz w:val="24"/>
          <w:szCs w:val="24"/>
        </w:rPr>
        <w:t>during the appointment time</w:t>
      </w:r>
      <w:r w:rsidRPr="0085473F">
        <w:rPr>
          <w:bCs/>
          <w:sz w:val="24"/>
          <w:szCs w:val="24"/>
        </w:rPr>
        <w:t xml:space="preserve">, the </w:t>
      </w:r>
      <w:r w:rsidR="00344B96">
        <w:rPr>
          <w:bCs/>
          <w:sz w:val="24"/>
          <w:szCs w:val="24"/>
        </w:rPr>
        <w:t>employee attempt</w:t>
      </w:r>
      <w:r w:rsidR="0012670A">
        <w:rPr>
          <w:bCs/>
          <w:sz w:val="24"/>
          <w:szCs w:val="24"/>
        </w:rPr>
        <w:t>s</w:t>
      </w:r>
      <w:r w:rsidR="00344B96">
        <w:rPr>
          <w:bCs/>
          <w:sz w:val="24"/>
          <w:szCs w:val="24"/>
        </w:rPr>
        <w:t xml:space="preserve"> to reschedule the appointment twice</w:t>
      </w:r>
      <w:r w:rsidRPr="0085473F">
        <w:rPr>
          <w:bCs/>
          <w:sz w:val="24"/>
          <w:szCs w:val="24"/>
        </w:rPr>
        <w:t xml:space="preserve">. </w:t>
      </w:r>
      <w:r w:rsidR="00B127B6">
        <w:rPr>
          <w:bCs/>
          <w:sz w:val="24"/>
          <w:szCs w:val="24"/>
        </w:rPr>
        <w:t xml:space="preserve"> </w:t>
      </w:r>
      <w:r w:rsidR="00A6443A">
        <w:rPr>
          <w:bCs/>
          <w:sz w:val="24"/>
          <w:szCs w:val="24"/>
        </w:rPr>
        <w:t>If the beneficiary or representative payee fails to keep the third appointment,</w:t>
      </w:r>
      <w:r w:rsidR="00D63202">
        <w:rPr>
          <w:bCs/>
          <w:sz w:val="24"/>
          <w:szCs w:val="24"/>
        </w:rPr>
        <w:t xml:space="preserve"> we send an advanced notice informing</w:t>
      </w:r>
      <w:r w:rsidR="00064281">
        <w:rPr>
          <w:bCs/>
          <w:sz w:val="24"/>
          <w:szCs w:val="24"/>
        </w:rPr>
        <w:t xml:space="preserve"> </w:t>
      </w:r>
      <w:r w:rsidR="0012670A">
        <w:rPr>
          <w:bCs/>
          <w:sz w:val="24"/>
          <w:szCs w:val="24"/>
        </w:rPr>
        <w:t xml:space="preserve">the beneficiary </w:t>
      </w:r>
      <w:r w:rsidR="00064281">
        <w:rPr>
          <w:bCs/>
          <w:sz w:val="24"/>
          <w:szCs w:val="24"/>
        </w:rPr>
        <w:t>of our planned action to suspend benefits.</w:t>
      </w:r>
    </w:p>
    <w:p w:rsidR="0085473F" w:rsidP="0085473F" w14:paraId="780DEBCE" w14:textId="77777777">
      <w:pPr>
        <w:pStyle w:val="ListParagraph"/>
        <w:ind w:left="900"/>
        <w:rPr>
          <w:bCs/>
          <w:sz w:val="24"/>
          <w:szCs w:val="24"/>
        </w:rPr>
      </w:pPr>
    </w:p>
    <w:p w:rsidR="0085473F" w:rsidRPr="0085473F" w:rsidP="0085473F" w14:paraId="1799028E" w14:textId="4CB3E8BF">
      <w:pPr>
        <w:pStyle w:val="ListParagraph"/>
        <w:ind w:left="900"/>
        <w:rPr>
          <w:bCs/>
          <w:sz w:val="24"/>
          <w:szCs w:val="24"/>
        </w:rPr>
      </w:pPr>
      <w:r>
        <w:rPr>
          <w:bCs/>
          <w:sz w:val="24"/>
          <w:szCs w:val="24"/>
        </w:rPr>
        <w:t>SSA schedule</w:t>
      </w:r>
      <w:r w:rsidR="0012670A">
        <w:rPr>
          <w:bCs/>
          <w:sz w:val="24"/>
          <w:szCs w:val="24"/>
        </w:rPr>
        <w:t>s</w:t>
      </w:r>
      <w:r>
        <w:rPr>
          <w:bCs/>
          <w:sz w:val="24"/>
          <w:szCs w:val="24"/>
        </w:rPr>
        <w:t xml:space="preserve"> a face-to-face interview if </w:t>
      </w:r>
      <w:r w:rsidR="005034E3">
        <w:rPr>
          <w:bCs/>
          <w:sz w:val="24"/>
          <w:szCs w:val="24"/>
        </w:rPr>
        <w:t>the beneficiary or representative payee requests</w:t>
      </w:r>
      <w:r w:rsidR="0039652E">
        <w:rPr>
          <w:bCs/>
          <w:sz w:val="24"/>
          <w:szCs w:val="24"/>
        </w:rPr>
        <w:t xml:space="preserve"> a</w:t>
      </w:r>
      <w:r w:rsidR="006E31AD">
        <w:rPr>
          <w:bCs/>
          <w:sz w:val="24"/>
          <w:szCs w:val="24"/>
        </w:rPr>
        <w:t>n</w:t>
      </w:r>
      <w:r w:rsidR="0039652E">
        <w:rPr>
          <w:bCs/>
          <w:sz w:val="24"/>
          <w:szCs w:val="24"/>
        </w:rPr>
        <w:t xml:space="preserve"> </w:t>
      </w:r>
      <w:r w:rsidR="006E31AD">
        <w:rPr>
          <w:bCs/>
          <w:sz w:val="24"/>
          <w:szCs w:val="24"/>
        </w:rPr>
        <w:t>in-person meeting</w:t>
      </w:r>
      <w:r w:rsidR="0026543B">
        <w:rPr>
          <w:bCs/>
          <w:sz w:val="24"/>
          <w:szCs w:val="24"/>
        </w:rPr>
        <w:t xml:space="preserve">; </w:t>
      </w:r>
      <w:r w:rsidR="00F106CD">
        <w:rPr>
          <w:bCs/>
          <w:sz w:val="24"/>
          <w:szCs w:val="24"/>
        </w:rPr>
        <w:t xml:space="preserve">if </w:t>
      </w:r>
      <w:r w:rsidR="006E31AD">
        <w:rPr>
          <w:bCs/>
          <w:sz w:val="24"/>
          <w:szCs w:val="24"/>
        </w:rPr>
        <w:t>either party</w:t>
      </w:r>
      <w:r w:rsidR="00F106CD">
        <w:rPr>
          <w:bCs/>
          <w:sz w:val="24"/>
          <w:szCs w:val="24"/>
        </w:rPr>
        <w:t xml:space="preserve"> </w:t>
      </w:r>
      <w:r w:rsidR="0016203A">
        <w:rPr>
          <w:bCs/>
          <w:sz w:val="24"/>
          <w:szCs w:val="24"/>
        </w:rPr>
        <w:t>has conditions that impair effective telephone communication</w:t>
      </w:r>
      <w:r w:rsidR="0012670A">
        <w:rPr>
          <w:bCs/>
          <w:sz w:val="24"/>
          <w:szCs w:val="24"/>
        </w:rPr>
        <w:t>;</w:t>
      </w:r>
      <w:r w:rsidR="009C222F">
        <w:rPr>
          <w:bCs/>
          <w:sz w:val="24"/>
          <w:szCs w:val="24"/>
        </w:rPr>
        <w:t xml:space="preserve"> if </w:t>
      </w:r>
      <w:r w:rsidR="00FF32F4">
        <w:rPr>
          <w:bCs/>
          <w:sz w:val="24"/>
          <w:szCs w:val="24"/>
        </w:rPr>
        <w:t>there are integrity issues</w:t>
      </w:r>
      <w:r w:rsidR="00BE013C">
        <w:rPr>
          <w:bCs/>
          <w:sz w:val="24"/>
          <w:szCs w:val="24"/>
        </w:rPr>
        <w:t xml:space="preserve"> apparent during the phone interview</w:t>
      </w:r>
      <w:r w:rsidR="0012670A">
        <w:rPr>
          <w:bCs/>
          <w:sz w:val="24"/>
          <w:szCs w:val="24"/>
        </w:rPr>
        <w:t>;</w:t>
      </w:r>
      <w:r w:rsidR="00B97C07">
        <w:rPr>
          <w:bCs/>
          <w:sz w:val="24"/>
          <w:szCs w:val="24"/>
        </w:rPr>
        <w:t xml:space="preserve"> or if management determines </w:t>
      </w:r>
      <w:r w:rsidR="0012670A">
        <w:rPr>
          <w:bCs/>
          <w:sz w:val="24"/>
          <w:szCs w:val="24"/>
        </w:rPr>
        <w:t xml:space="preserve">the necessity for </w:t>
      </w:r>
      <w:r w:rsidR="00B97C07">
        <w:rPr>
          <w:bCs/>
          <w:sz w:val="24"/>
          <w:szCs w:val="24"/>
        </w:rPr>
        <w:t>a</w:t>
      </w:r>
      <w:r w:rsidR="006E31AD">
        <w:rPr>
          <w:bCs/>
          <w:sz w:val="24"/>
          <w:szCs w:val="24"/>
        </w:rPr>
        <w:t>n</w:t>
      </w:r>
      <w:r w:rsidR="00B97C07">
        <w:rPr>
          <w:bCs/>
          <w:sz w:val="24"/>
          <w:szCs w:val="24"/>
        </w:rPr>
        <w:t xml:space="preserve"> </w:t>
      </w:r>
      <w:r w:rsidR="006E31AD">
        <w:rPr>
          <w:bCs/>
          <w:sz w:val="24"/>
          <w:szCs w:val="24"/>
        </w:rPr>
        <w:t>in-person interview</w:t>
      </w:r>
      <w:r w:rsidR="00555E00">
        <w:rPr>
          <w:bCs/>
          <w:sz w:val="24"/>
          <w:szCs w:val="24"/>
        </w:rPr>
        <w:t xml:space="preserve">. </w:t>
      </w:r>
      <w:r w:rsidR="00091157">
        <w:rPr>
          <w:bCs/>
          <w:sz w:val="24"/>
          <w:szCs w:val="24"/>
        </w:rPr>
        <w:t xml:space="preserve"> </w:t>
      </w:r>
      <w:r w:rsidRPr="0085473F">
        <w:rPr>
          <w:bCs/>
          <w:sz w:val="24"/>
          <w:szCs w:val="24"/>
        </w:rPr>
        <w:t xml:space="preserve">At the in-person appointment, the </w:t>
      </w:r>
      <w:r w:rsidRPr="0085473F" w:rsidR="0026543B">
        <w:rPr>
          <w:bCs/>
          <w:sz w:val="24"/>
          <w:szCs w:val="24"/>
        </w:rPr>
        <w:t>employee as</w:t>
      </w:r>
      <w:r w:rsidR="0026543B">
        <w:rPr>
          <w:bCs/>
          <w:sz w:val="24"/>
          <w:szCs w:val="24"/>
        </w:rPr>
        <w:t>ks</w:t>
      </w:r>
      <w:r w:rsidRPr="0085473F">
        <w:rPr>
          <w:bCs/>
          <w:sz w:val="24"/>
          <w:szCs w:val="24"/>
        </w:rPr>
        <w:t xml:space="preserve"> to see identification, </w:t>
      </w:r>
      <w:r w:rsidRPr="67123836" w:rsidR="1DBDC6B7">
        <w:rPr>
          <w:sz w:val="24"/>
          <w:szCs w:val="24"/>
        </w:rPr>
        <w:t xml:space="preserve">such as </w:t>
      </w:r>
      <w:r w:rsidRPr="0085473F">
        <w:rPr>
          <w:bCs/>
          <w:sz w:val="24"/>
          <w:szCs w:val="24"/>
        </w:rPr>
        <w:t>a State ID</w:t>
      </w:r>
      <w:r w:rsidRPr="27081CF1" w:rsidR="0E96BDE4">
        <w:rPr>
          <w:sz w:val="24"/>
          <w:szCs w:val="24"/>
        </w:rPr>
        <w:t>,</w:t>
      </w:r>
      <w:r w:rsidRPr="0085473F">
        <w:rPr>
          <w:bCs/>
          <w:sz w:val="24"/>
          <w:szCs w:val="24"/>
        </w:rPr>
        <w:t xml:space="preserve"> Driver’s License</w:t>
      </w:r>
      <w:r w:rsidRPr="4A196BA0" w:rsidR="4510D47B">
        <w:rPr>
          <w:sz w:val="24"/>
          <w:szCs w:val="24"/>
        </w:rPr>
        <w:t xml:space="preserve">, </w:t>
      </w:r>
      <w:r w:rsidRPr="4EC59721" w:rsidR="4510D47B">
        <w:rPr>
          <w:sz w:val="24"/>
          <w:szCs w:val="24"/>
        </w:rPr>
        <w:t xml:space="preserve">or </w:t>
      </w:r>
      <w:r w:rsidRPr="783C5263" w:rsidR="592401C2">
        <w:rPr>
          <w:sz w:val="24"/>
          <w:szCs w:val="24"/>
        </w:rPr>
        <w:t>p</w:t>
      </w:r>
      <w:r w:rsidRPr="4E3FDE54" w:rsidR="4510D47B">
        <w:rPr>
          <w:sz w:val="24"/>
          <w:szCs w:val="24"/>
        </w:rPr>
        <w:t>assport</w:t>
      </w:r>
      <w:r w:rsidR="0012670A">
        <w:rPr>
          <w:sz w:val="24"/>
          <w:szCs w:val="24"/>
        </w:rPr>
        <w:t xml:space="preserve"> to verify the identity of the beneficiary</w:t>
      </w:r>
      <w:r w:rsidRPr="4E3FDE54">
        <w:rPr>
          <w:sz w:val="24"/>
          <w:szCs w:val="24"/>
        </w:rPr>
        <w:t>.</w:t>
      </w:r>
      <w:r w:rsidR="00091157">
        <w:rPr>
          <w:bCs/>
          <w:sz w:val="24"/>
          <w:szCs w:val="24"/>
        </w:rPr>
        <w:t xml:space="preserve">  </w:t>
      </w:r>
      <w:r w:rsidRPr="0085473F">
        <w:rPr>
          <w:bCs/>
          <w:sz w:val="24"/>
          <w:szCs w:val="24"/>
        </w:rPr>
        <w:t xml:space="preserve">If the </w:t>
      </w:r>
      <w:r w:rsidR="00042F33">
        <w:rPr>
          <w:bCs/>
          <w:sz w:val="24"/>
          <w:szCs w:val="24"/>
        </w:rPr>
        <w:t>beneficiary</w:t>
      </w:r>
      <w:r w:rsidRPr="0085473F">
        <w:rPr>
          <w:bCs/>
          <w:sz w:val="24"/>
          <w:szCs w:val="24"/>
        </w:rPr>
        <w:t xml:space="preserve"> does not have ID, the employee ask</w:t>
      </w:r>
      <w:r w:rsidR="0012670A">
        <w:rPr>
          <w:bCs/>
          <w:sz w:val="24"/>
          <w:szCs w:val="24"/>
        </w:rPr>
        <w:t>s</w:t>
      </w:r>
      <w:r w:rsidRPr="0085473F">
        <w:rPr>
          <w:bCs/>
          <w:sz w:val="24"/>
          <w:szCs w:val="24"/>
        </w:rPr>
        <w:t xml:space="preserve"> </w:t>
      </w:r>
      <w:r w:rsidR="000C17C0">
        <w:rPr>
          <w:bCs/>
          <w:sz w:val="24"/>
          <w:szCs w:val="24"/>
        </w:rPr>
        <w:t>identifying</w:t>
      </w:r>
      <w:r w:rsidRPr="0085473F">
        <w:rPr>
          <w:bCs/>
          <w:sz w:val="24"/>
          <w:szCs w:val="24"/>
        </w:rPr>
        <w:t xml:space="preserve"> questions </w:t>
      </w:r>
      <w:r w:rsidR="0012670A">
        <w:rPr>
          <w:bCs/>
          <w:sz w:val="24"/>
          <w:szCs w:val="24"/>
        </w:rPr>
        <w:t xml:space="preserve">(based on information SSA has in our records) </w:t>
      </w:r>
      <w:r w:rsidRPr="0085473F">
        <w:rPr>
          <w:bCs/>
          <w:sz w:val="24"/>
          <w:szCs w:val="24"/>
        </w:rPr>
        <w:t xml:space="preserve">to confirm </w:t>
      </w:r>
      <w:r w:rsidR="0012670A">
        <w:rPr>
          <w:bCs/>
          <w:sz w:val="24"/>
          <w:szCs w:val="24"/>
        </w:rPr>
        <w:t>identity</w:t>
      </w:r>
      <w:r w:rsidRPr="0085473F">
        <w:rPr>
          <w:bCs/>
          <w:sz w:val="24"/>
          <w:szCs w:val="24"/>
        </w:rPr>
        <w:t>.</w:t>
      </w:r>
    </w:p>
    <w:p w:rsidR="0085473F" w:rsidP="0085473F" w14:paraId="7293037A" w14:textId="77777777">
      <w:pPr>
        <w:pStyle w:val="ListParagraph"/>
        <w:ind w:left="900"/>
        <w:rPr>
          <w:bCs/>
          <w:sz w:val="24"/>
          <w:szCs w:val="24"/>
        </w:rPr>
      </w:pPr>
    </w:p>
    <w:p w:rsidR="0085473F" w:rsidP="0085473F" w14:paraId="6403B61C" w14:textId="6F72DB0C">
      <w:pPr>
        <w:pStyle w:val="ListParagraph"/>
        <w:ind w:left="900"/>
        <w:rPr>
          <w:bCs/>
          <w:sz w:val="24"/>
          <w:szCs w:val="24"/>
        </w:rPr>
      </w:pPr>
      <w:r w:rsidRPr="0085473F">
        <w:rPr>
          <w:bCs/>
          <w:sz w:val="24"/>
          <w:szCs w:val="24"/>
        </w:rPr>
        <w:t xml:space="preserve">In rare cases, if the </w:t>
      </w:r>
      <w:r w:rsidR="00495375">
        <w:rPr>
          <w:bCs/>
          <w:sz w:val="24"/>
          <w:szCs w:val="24"/>
        </w:rPr>
        <w:t>beneficiary</w:t>
      </w:r>
      <w:r w:rsidRPr="0085473F">
        <w:rPr>
          <w:bCs/>
          <w:sz w:val="24"/>
          <w:szCs w:val="24"/>
        </w:rPr>
        <w:t xml:space="preserve"> cannot come to the office and phone calls </w:t>
      </w:r>
      <w:r w:rsidR="001D7900">
        <w:rPr>
          <w:bCs/>
          <w:sz w:val="24"/>
          <w:szCs w:val="24"/>
        </w:rPr>
        <w:t>are unsuccessful</w:t>
      </w:r>
      <w:r w:rsidRPr="0085473F">
        <w:rPr>
          <w:bCs/>
          <w:sz w:val="24"/>
          <w:szCs w:val="24"/>
        </w:rPr>
        <w:t xml:space="preserve">, a </w:t>
      </w:r>
      <w:r w:rsidR="00A67188">
        <w:rPr>
          <w:bCs/>
          <w:sz w:val="24"/>
          <w:szCs w:val="24"/>
        </w:rPr>
        <w:t xml:space="preserve">field office </w:t>
      </w:r>
      <w:r w:rsidRPr="0085473F">
        <w:rPr>
          <w:bCs/>
          <w:sz w:val="24"/>
          <w:szCs w:val="24"/>
        </w:rPr>
        <w:t xml:space="preserve">manager </w:t>
      </w:r>
      <w:r w:rsidR="00A67188">
        <w:rPr>
          <w:bCs/>
          <w:sz w:val="24"/>
          <w:szCs w:val="24"/>
        </w:rPr>
        <w:t xml:space="preserve">or designee </w:t>
      </w:r>
      <w:r w:rsidRPr="0085473F">
        <w:rPr>
          <w:bCs/>
          <w:sz w:val="24"/>
          <w:szCs w:val="24"/>
        </w:rPr>
        <w:t xml:space="preserve">may visit the </w:t>
      </w:r>
      <w:r w:rsidR="00462676">
        <w:rPr>
          <w:bCs/>
          <w:sz w:val="24"/>
          <w:szCs w:val="24"/>
        </w:rPr>
        <w:t>beneficiary</w:t>
      </w:r>
      <w:r w:rsidRPr="0085473F">
        <w:rPr>
          <w:bCs/>
          <w:sz w:val="24"/>
          <w:szCs w:val="24"/>
        </w:rPr>
        <w:t xml:space="preserve">’s home. </w:t>
      </w:r>
      <w:r w:rsidR="006E31AD">
        <w:rPr>
          <w:bCs/>
          <w:sz w:val="24"/>
          <w:szCs w:val="24"/>
        </w:rPr>
        <w:t xml:space="preserve"> </w:t>
      </w:r>
      <w:r w:rsidR="00D54D40">
        <w:rPr>
          <w:bCs/>
          <w:sz w:val="24"/>
          <w:szCs w:val="24"/>
        </w:rPr>
        <w:t xml:space="preserve">We take this action only under extenuating circumstances, and only when we cannot </w:t>
      </w:r>
      <w:r w:rsidR="008313B4">
        <w:rPr>
          <w:bCs/>
          <w:sz w:val="24"/>
          <w:szCs w:val="24"/>
        </w:rPr>
        <w:t xml:space="preserve">contact </w:t>
      </w:r>
      <w:r w:rsidR="0048694F">
        <w:rPr>
          <w:bCs/>
          <w:sz w:val="24"/>
          <w:szCs w:val="24"/>
        </w:rPr>
        <w:t xml:space="preserve">the beneficiary or </w:t>
      </w:r>
      <w:r w:rsidR="008313B4">
        <w:rPr>
          <w:bCs/>
          <w:sz w:val="24"/>
          <w:szCs w:val="24"/>
        </w:rPr>
        <w:t xml:space="preserve">verify the beneficiary’s </w:t>
      </w:r>
      <w:r w:rsidR="0048694F">
        <w:rPr>
          <w:bCs/>
          <w:sz w:val="24"/>
          <w:szCs w:val="24"/>
        </w:rPr>
        <w:t xml:space="preserve">information by telephone, even with the assistance of </w:t>
      </w:r>
      <w:r w:rsidRPr="0085473F">
        <w:rPr>
          <w:bCs/>
          <w:sz w:val="24"/>
          <w:szCs w:val="24"/>
        </w:rPr>
        <w:t>a representative payee</w:t>
      </w:r>
      <w:r w:rsidR="0048694F">
        <w:rPr>
          <w:bCs/>
          <w:sz w:val="24"/>
          <w:szCs w:val="24"/>
        </w:rPr>
        <w:t xml:space="preserve"> or other authorized individual</w:t>
      </w:r>
      <w:r w:rsidRPr="0085473F">
        <w:rPr>
          <w:bCs/>
          <w:sz w:val="24"/>
          <w:szCs w:val="24"/>
        </w:rPr>
        <w:t xml:space="preserve">. </w:t>
      </w:r>
      <w:r w:rsidR="006E31AD">
        <w:rPr>
          <w:bCs/>
          <w:sz w:val="24"/>
          <w:szCs w:val="24"/>
        </w:rPr>
        <w:t xml:space="preserve"> </w:t>
      </w:r>
      <w:r w:rsidRPr="0085473F">
        <w:rPr>
          <w:bCs/>
          <w:sz w:val="24"/>
          <w:szCs w:val="24"/>
        </w:rPr>
        <w:t>During a home visit, the employee use</w:t>
      </w:r>
      <w:r w:rsidR="008313B4">
        <w:rPr>
          <w:bCs/>
          <w:sz w:val="24"/>
          <w:szCs w:val="24"/>
        </w:rPr>
        <w:t>s</w:t>
      </w:r>
      <w:r w:rsidRPr="0085473F">
        <w:rPr>
          <w:bCs/>
          <w:sz w:val="24"/>
          <w:szCs w:val="24"/>
        </w:rPr>
        <w:t xml:space="preserve"> the same steps to confirm the </w:t>
      </w:r>
      <w:r w:rsidR="000B4327">
        <w:rPr>
          <w:bCs/>
          <w:sz w:val="24"/>
          <w:szCs w:val="24"/>
        </w:rPr>
        <w:t>beneficiary</w:t>
      </w:r>
      <w:r w:rsidRPr="0085473F">
        <w:rPr>
          <w:bCs/>
          <w:sz w:val="24"/>
          <w:szCs w:val="24"/>
        </w:rPr>
        <w:t xml:space="preserve">’s identity and </w:t>
      </w:r>
      <w:r w:rsidR="00EB0B4F">
        <w:rPr>
          <w:bCs/>
          <w:sz w:val="24"/>
          <w:szCs w:val="24"/>
        </w:rPr>
        <w:t>determine</w:t>
      </w:r>
      <w:r w:rsidRPr="0085473F">
        <w:rPr>
          <w:bCs/>
          <w:sz w:val="24"/>
          <w:szCs w:val="24"/>
        </w:rPr>
        <w:t xml:space="preserve"> if </w:t>
      </w:r>
      <w:r w:rsidR="008313B4">
        <w:rPr>
          <w:bCs/>
          <w:sz w:val="24"/>
          <w:szCs w:val="24"/>
        </w:rPr>
        <w:t>the beneficiary</w:t>
      </w:r>
      <w:r w:rsidRPr="0085473F" w:rsidR="008313B4">
        <w:rPr>
          <w:bCs/>
          <w:sz w:val="24"/>
          <w:szCs w:val="24"/>
        </w:rPr>
        <w:t xml:space="preserve"> </w:t>
      </w:r>
      <w:r w:rsidRPr="0085473F">
        <w:rPr>
          <w:bCs/>
          <w:sz w:val="24"/>
          <w:szCs w:val="24"/>
        </w:rPr>
        <w:t>need</w:t>
      </w:r>
      <w:r w:rsidR="008313B4">
        <w:rPr>
          <w:bCs/>
          <w:sz w:val="24"/>
          <w:szCs w:val="24"/>
        </w:rPr>
        <w:t>s</w:t>
      </w:r>
      <w:r w:rsidRPr="0085473F">
        <w:rPr>
          <w:bCs/>
          <w:sz w:val="24"/>
          <w:szCs w:val="24"/>
        </w:rPr>
        <w:t xml:space="preserve"> a representative payee.</w:t>
      </w:r>
    </w:p>
    <w:p w:rsidR="00A42F1A" w:rsidP="0085473F" w14:paraId="31B1750B" w14:textId="77777777">
      <w:pPr>
        <w:pStyle w:val="ListParagraph"/>
        <w:ind w:left="900"/>
        <w:rPr>
          <w:bCs/>
          <w:sz w:val="24"/>
          <w:szCs w:val="24"/>
        </w:rPr>
      </w:pPr>
    </w:p>
    <w:p w:rsidR="003A2E69" w:rsidP="005E4CB8" w14:paraId="631C9F44" w14:textId="7FA01973">
      <w:pPr>
        <w:pStyle w:val="ListParagraph"/>
        <w:ind w:left="900"/>
        <w:rPr>
          <w:bCs/>
          <w:sz w:val="24"/>
          <w:szCs w:val="24"/>
        </w:rPr>
      </w:pPr>
      <w:r>
        <w:rPr>
          <w:bCs/>
          <w:sz w:val="24"/>
          <w:szCs w:val="24"/>
        </w:rPr>
        <w:t>If the beneficiary or representative payee does not respond to our requests</w:t>
      </w:r>
      <w:r w:rsidR="00637F9B">
        <w:rPr>
          <w:bCs/>
          <w:sz w:val="24"/>
          <w:szCs w:val="24"/>
        </w:rPr>
        <w:t>,</w:t>
      </w:r>
      <w:r w:rsidR="007D1A7A">
        <w:rPr>
          <w:bCs/>
          <w:sz w:val="24"/>
          <w:szCs w:val="24"/>
        </w:rPr>
        <w:t xml:space="preserve"> </w:t>
      </w:r>
      <w:r w:rsidR="00873D73">
        <w:rPr>
          <w:bCs/>
          <w:sz w:val="24"/>
          <w:szCs w:val="24"/>
        </w:rPr>
        <w:t>we suspend benefit payments</w:t>
      </w:r>
      <w:r w:rsidR="00814AE5">
        <w:rPr>
          <w:bCs/>
          <w:sz w:val="24"/>
          <w:szCs w:val="24"/>
        </w:rPr>
        <w:t xml:space="preserve"> and refer the case to the Office of Inspector General for review</w:t>
      </w:r>
      <w:r w:rsidR="00232159">
        <w:rPr>
          <w:bCs/>
          <w:sz w:val="24"/>
          <w:szCs w:val="24"/>
        </w:rPr>
        <w:t>.</w:t>
      </w:r>
      <w:r w:rsidR="003A7542">
        <w:rPr>
          <w:bCs/>
          <w:sz w:val="24"/>
          <w:szCs w:val="24"/>
        </w:rPr>
        <w:t xml:space="preserve"> </w:t>
      </w:r>
      <w:r w:rsidR="0048694F">
        <w:rPr>
          <w:bCs/>
          <w:sz w:val="24"/>
          <w:szCs w:val="24"/>
        </w:rPr>
        <w:t xml:space="preserve"> </w:t>
      </w:r>
      <w:r w:rsidR="003A7542">
        <w:rPr>
          <w:bCs/>
          <w:sz w:val="24"/>
          <w:szCs w:val="24"/>
        </w:rPr>
        <w:t xml:space="preserve">If </w:t>
      </w:r>
      <w:r w:rsidR="00BD72AD">
        <w:rPr>
          <w:bCs/>
          <w:sz w:val="24"/>
          <w:szCs w:val="24"/>
        </w:rPr>
        <w:t xml:space="preserve">we receive a report of death for the beneficiary or representative payee during this process, </w:t>
      </w:r>
      <w:r w:rsidR="00C411B4">
        <w:rPr>
          <w:bCs/>
          <w:sz w:val="24"/>
          <w:szCs w:val="24"/>
        </w:rPr>
        <w:t>employees take appropriate action to verify the death and terminate benefit payments</w:t>
      </w:r>
      <w:r w:rsidR="007B2E37">
        <w:rPr>
          <w:bCs/>
          <w:sz w:val="24"/>
          <w:szCs w:val="24"/>
        </w:rPr>
        <w:t>.</w:t>
      </w:r>
    </w:p>
    <w:p w:rsidR="00C126FE" w:rsidP="005E4CB8" w14:paraId="2AAF4E5F" w14:textId="77777777">
      <w:pPr>
        <w:pStyle w:val="ListParagraph"/>
        <w:ind w:left="900"/>
        <w:rPr>
          <w:bCs/>
          <w:sz w:val="24"/>
          <w:szCs w:val="24"/>
        </w:rPr>
      </w:pPr>
    </w:p>
    <w:p w:rsidR="00C126FE" w:rsidRPr="00F11A7C" w:rsidP="00C126FE" w14:paraId="0A0B2690" w14:textId="77777777">
      <w:pPr>
        <w:pStyle w:val="ListParagraph"/>
        <w:ind w:left="900"/>
        <w:rPr>
          <w:bCs/>
          <w:sz w:val="24"/>
          <w:szCs w:val="24"/>
        </w:rPr>
      </w:pPr>
      <w:r>
        <w:rPr>
          <w:bCs/>
          <w:sz w:val="24"/>
          <w:szCs w:val="24"/>
        </w:rPr>
        <w:t>We identified the following psychological cost based on the requirements for this information collection:</w:t>
      </w:r>
    </w:p>
    <w:p w:rsidR="00C126FE" w:rsidP="005E4CB8" w14:paraId="180B716D" w14:textId="77777777">
      <w:pPr>
        <w:pStyle w:val="ListParagraph"/>
        <w:ind w:left="900"/>
        <w:rPr>
          <w:bCs/>
          <w:sz w:val="24"/>
          <w:szCs w:val="24"/>
        </w:rPr>
      </w:pPr>
    </w:p>
    <w:p w:rsidR="00F22F5B" w:rsidRPr="00C126FE" w:rsidP="00C126FE" w14:paraId="6F8B263A" w14:textId="68D30C1F">
      <w:pPr>
        <w:pStyle w:val="ListParagraph"/>
        <w:numPr>
          <w:ilvl w:val="0"/>
          <w:numId w:val="12"/>
        </w:numPr>
        <w:rPr>
          <w:b/>
          <w:sz w:val="24"/>
          <w:szCs w:val="24"/>
          <w:u w:val="single"/>
        </w:rPr>
      </w:pPr>
      <w:r w:rsidRPr="00C126FE">
        <w:rPr>
          <w:b/>
          <w:sz w:val="24"/>
          <w:szCs w:val="24"/>
          <w:u w:val="single"/>
        </w:rPr>
        <w:t>Psychological Cost</w:t>
      </w:r>
      <w:r w:rsidRPr="00C126FE" w:rsidR="00C126FE">
        <w:rPr>
          <w:b/>
          <w:sz w:val="24"/>
          <w:szCs w:val="24"/>
          <w:u w:val="single"/>
        </w:rPr>
        <w:t>:</w:t>
      </w:r>
    </w:p>
    <w:p w:rsidR="005E4CB8" w:rsidRPr="00C126FE" w:rsidP="00C126FE" w14:paraId="01BED5EE" w14:textId="58E6936C">
      <w:pPr>
        <w:pStyle w:val="ListParagraph"/>
        <w:numPr>
          <w:ilvl w:val="0"/>
          <w:numId w:val="15"/>
        </w:numPr>
        <w:rPr>
          <w:bCs/>
          <w:sz w:val="24"/>
          <w:szCs w:val="24"/>
        </w:rPr>
      </w:pPr>
      <w:r w:rsidRPr="00C126FE">
        <w:rPr>
          <w:b/>
          <w:sz w:val="24"/>
          <w:szCs w:val="24"/>
        </w:rPr>
        <w:t xml:space="preserve">Requirement for the Program: </w:t>
      </w:r>
      <w:r w:rsidR="00137F1C">
        <w:rPr>
          <w:b/>
          <w:sz w:val="24"/>
          <w:szCs w:val="24"/>
        </w:rPr>
        <w:t xml:space="preserve"> </w:t>
      </w:r>
      <w:r w:rsidRPr="00C126FE" w:rsidR="00150B81">
        <w:rPr>
          <w:bCs/>
          <w:sz w:val="24"/>
          <w:szCs w:val="24"/>
        </w:rPr>
        <w:t xml:space="preserve">For MNUP </w:t>
      </w:r>
      <w:r w:rsidRPr="00C126FE" w:rsidR="00F45B87">
        <w:rPr>
          <w:bCs/>
          <w:sz w:val="24"/>
          <w:szCs w:val="24"/>
        </w:rPr>
        <w:t xml:space="preserve">and Centenarian </w:t>
      </w:r>
      <w:r w:rsidRPr="00C126FE" w:rsidR="00150B81">
        <w:rPr>
          <w:bCs/>
          <w:sz w:val="24"/>
          <w:szCs w:val="24"/>
        </w:rPr>
        <w:t xml:space="preserve">interviews, </w:t>
      </w:r>
      <w:r w:rsidRPr="00C126FE" w:rsidR="008A5625">
        <w:rPr>
          <w:bCs/>
          <w:sz w:val="24"/>
          <w:szCs w:val="24"/>
        </w:rPr>
        <w:t>w</w:t>
      </w:r>
      <w:r w:rsidRPr="00C126FE" w:rsidR="006F1F4A">
        <w:rPr>
          <w:bCs/>
          <w:sz w:val="24"/>
          <w:szCs w:val="24"/>
        </w:rPr>
        <w:t xml:space="preserve">hen </w:t>
      </w:r>
      <w:r w:rsidRPr="00C126FE" w:rsidR="00283940">
        <w:rPr>
          <w:bCs/>
          <w:sz w:val="24"/>
          <w:szCs w:val="24"/>
        </w:rPr>
        <w:t>employee</w:t>
      </w:r>
      <w:r w:rsidRPr="00C126FE" w:rsidR="00B03067">
        <w:rPr>
          <w:bCs/>
          <w:sz w:val="24"/>
          <w:szCs w:val="24"/>
        </w:rPr>
        <w:t>s</w:t>
      </w:r>
      <w:r w:rsidRPr="00C126FE" w:rsidR="00283940">
        <w:rPr>
          <w:bCs/>
          <w:sz w:val="24"/>
          <w:szCs w:val="24"/>
        </w:rPr>
        <w:t xml:space="preserve"> attempt</w:t>
      </w:r>
      <w:r w:rsidRPr="00C126FE" w:rsidR="006F1F4A">
        <w:rPr>
          <w:bCs/>
          <w:sz w:val="24"/>
          <w:szCs w:val="24"/>
        </w:rPr>
        <w:t xml:space="preserve"> contact with the </w:t>
      </w:r>
      <w:r w:rsidRPr="00C126FE" w:rsidR="008A5625">
        <w:rPr>
          <w:bCs/>
          <w:sz w:val="24"/>
          <w:szCs w:val="24"/>
        </w:rPr>
        <w:t>beneficiary or representative payee</w:t>
      </w:r>
      <w:r w:rsidRPr="00C126FE" w:rsidR="007701A1">
        <w:rPr>
          <w:bCs/>
          <w:sz w:val="24"/>
          <w:szCs w:val="24"/>
        </w:rPr>
        <w:t xml:space="preserve"> via phone call</w:t>
      </w:r>
      <w:r w:rsidRPr="00C126FE" w:rsidR="00C31A97">
        <w:rPr>
          <w:bCs/>
          <w:sz w:val="24"/>
          <w:szCs w:val="24"/>
        </w:rPr>
        <w:t xml:space="preserve">, the </w:t>
      </w:r>
      <w:r w:rsidRPr="00C126FE" w:rsidR="00940601">
        <w:rPr>
          <w:bCs/>
          <w:sz w:val="24"/>
          <w:szCs w:val="24"/>
        </w:rPr>
        <w:t xml:space="preserve">beneficiary or representative payee may </w:t>
      </w:r>
      <w:r w:rsidRPr="00C126FE" w:rsidR="002D396C">
        <w:rPr>
          <w:bCs/>
          <w:sz w:val="24"/>
          <w:szCs w:val="24"/>
        </w:rPr>
        <w:t>not understand the reason for the call</w:t>
      </w:r>
      <w:r w:rsidRPr="00C126FE" w:rsidR="009106E2">
        <w:rPr>
          <w:bCs/>
          <w:sz w:val="24"/>
          <w:szCs w:val="24"/>
        </w:rPr>
        <w:t xml:space="preserve">; however, </w:t>
      </w:r>
      <w:r w:rsidRPr="00C126FE" w:rsidR="00794DE9">
        <w:rPr>
          <w:bCs/>
          <w:sz w:val="24"/>
          <w:szCs w:val="24"/>
        </w:rPr>
        <w:t xml:space="preserve">SSA needs </w:t>
      </w:r>
      <w:r w:rsidRPr="00C126FE" w:rsidR="009106E2">
        <w:rPr>
          <w:bCs/>
          <w:sz w:val="24"/>
          <w:szCs w:val="24"/>
        </w:rPr>
        <w:t xml:space="preserve">verification and certain personal information, </w:t>
      </w:r>
      <w:r w:rsidRPr="00C126FE" w:rsidR="00794DE9">
        <w:rPr>
          <w:sz w:val="24"/>
          <w:szCs w:val="24"/>
        </w:rPr>
        <w:t>to maintain benefits for beneficiaries identified</w:t>
      </w:r>
      <w:r w:rsidRPr="00C126FE" w:rsidR="00794DE9">
        <w:rPr>
          <w:bCs/>
          <w:sz w:val="24"/>
          <w:szCs w:val="24"/>
        </w:rPr>
        <w:t xml:space="preserve"> </w:t>
      </w:r>
    </w:p>
    <w:p w:rsidR="00F8657A" w:rsidP="00F8657A" w14:paraId="0608F597" w14:textId="77777777">
      <w:pPr>
        <w:pStyle w:val="ListParagraph"/>
        <w:ind w:left="1620"/>
        <w:rPr>
          <w:b/>
          <w:sz w:val="24"/>
          <w:szCs w:val="24"/>
        </w:rPr>
      </w:pPr>
    </w:p>
    <w:p w:rsidR="00137F1C" w:rsidRPr="00137F1C" w:rsidP="00137F1C" w14:paraId="1ED6CF6A" w14:textId="0D2EB4EA">
      <w:pPr>
        <w:pStyle w:val="ListParagraph"/>
        <w:numPr>
          <w:ilvl w:val="0"/>
          <w:numId w:val="15"/>
        </w:numPr>
        <w:rPr>
          <w:b/>
          <w:sz w:val="24"/>
          <w:szCs w:val="24"/>
        </w:rPr>
      </w:pPr>
      <w:r w:rsidRPr="00BF785C">
        <w:rPr>
          <w:b/>
          <w:sz w:val="24"/>
          <w:szCs w:val="24"/>
        </w:rPr>
        <w:t xml:space="preserve">Psychological Cost: </w:t>
      </w:r>
      <w:r>
        <w:rPr>
          <w:b/>
          <w:sz w:val="24"/>
          <w:szCs w:val="24"/>
        </w:rPr>
        <w:t xml:space="preserve">  </w:t>
      </w:r>
    </w:p>
    <w:p w:rsidR="00137F1C" w:rsidP="00137F1C" w14:paraId="64496A1B" w14:textId="77777777">
      <w:pPr>
        <w:pStyle w:val="ListParagraph"/>
        <w:ind w:left="1620"/>
        <w:rPr>
          <w:bCs/>
          <w:sz w:val="24"/>
          <w:szCs w:val="24"/>
        </w:rPr>
      </w:pPr>
      <w:r>
        <w:rPr>
          <w:bCs/>
          <w:sz w:val="24"/>
          <w:szCs w:val="24"/>
        </w:rPr>
        <w:t>During the phone interview:  T</w:t>
      </w:r>
      <w:r w:rsidRPr="00137F1C" w:rsidR="009E526E">
        <w:rPr>
          <w:bCs/>
          <w:sz w:val="24"/>
          <w:szCs w:val="24"/>
        </w:rPr>
        <w:t xml:space="preserve">he </w:t>
      </w:r>
      <w:r w:rsidRPr="00137F1C" w:rsidR="008A5625">
        <w:rPr>
          <w:bCs/>
          <w:sz w:val="24"/>
          <w:szCs w:val="24"/>
        </w:rPr>
        <w:t>beneficiary or representative payee</w:t>
      </w:r>
      <w:r w:rsidRPr="00137F1C" w:rsidR="009E526E">
        <w:rPr>
          <w:bCs/>
          <w:sz w:val="24"/>
          <w:szCs w:val="24"/>
        </w:rPr>
        <w:t xml:space="preserve"> may believe that the</w:t>
      </w:r>
      <w:r w:rsidRPr="00137F1C" w:rsidR="008313B4">
        <w:rPr>
          <w:bCs/>
          <w:sz w:val="24"/>
          <w:szCs w:val="24"/>
        </w:rPr>
        <w:t xml:space="preserve"> SSA</w:t>
      </w:r>
      <w:r w:rsidRPr="00137F1C" w:rsidR="009E526E">
        <w:rPr>
          <w:bCs/>
          <w:sz w:val="24"/>
          <w:szCs w:val="24"/>
        </w:rPr>
        <w:t xml:space="preserve"> employee is a fraudster attempting to obtain </w:t>
      </w:r>
      <w:r w:rsidRPr="00137F1C" w:rsidR="00E32683">
        <w:rPr>
          <w:bCs/>
          <w:sz w:val="24"/>
          <w:szCs w:val="24"/>
        </w:rPr>
        <w:t>PII</w:t>
      </w:r>
      <w:r w:rsidRPr="00137F1C" w:rsidR="004B34C0">
        <w:rPr>
          <w:bCs/>
          <w:sz w:val="24"/>
          <w:szCs w:val="24"/>
        </w:rPr>
        <w:t xml:space="preserve"> for nefarious purposes</w:t>
      </w:r>
      <w:r w:rsidRPr="00137F1C" w:rsidR="00D67FF5">
        <w:rPr>
          <w:bCs/>
          <w:sz w:val="24"/>
          <w:szCs w:val="24"/>
        </w:rPr>
        <w:t xml:space="preserve">. </w:t>
      </w:r>
      <w:r w:rsidRPr="00137F1C" w:rsidR="0048694F">
        <w:rPr>
          <w:bCs/>
          <w:sz w:val="24"/>
          <w:szCs w:val="24"/>
        </w:rPr>
        <w:t xml:space="preserve"> </w:t>
      </w:r>
      <w:r w:rsidRPr="00137F1C" w:rsidR="00D67FF5">
        <w:rPr>
          <w:bCs/>
          <w:sz w:val="24"/>
          <w:szCs w:val="24"/>
        </w:rPr>
        <w:t>SSA</w:t>
      </w:r>
      <w:r w:rsidRPr="00137F1C" w:rsidR="008A5625">
        <w:rPr>
          <w:bCs/>
          <w:sz w:val="24"/>
          <w:szCs w:val="24"/>
        </w:rPr>
        <w:t xml:space="preserve"> online</w:t>
      </w:r>
      <w:r w:rsidRPr="00137F1C" w:rsidR="00D67FF5">
        <w:rPr>
          <w:bCs/>
          <w:sz w:val="24"/>
          <w:szCs w:val="24"/>
        </w:rPr>
        <w:t xml:space="preserve"> communications st</w:t>
      </w:r>
      <w:r w:rsidRPr="00137F1C" w:rsidR="008A5625">
        <w:rPr>
          <w:bCs/>
          <w:sz w:val="24"/>
          <w:szCs w:val="24"/>
        </w:rPr>
        <w:t>ate</w:t>
      </w:r>
      <w:r w:rsidRPr="00137F1C" w:rsidR="009106E2">
        <w:rPr>
          <w:bCs/>
          <w:sz w:val="24"/>
          <w:szCs w:val="24"/>
        </w:rPr>
        <w:t>s</w:t>
      </w:r>
      <w:r w:rsidRPr="00137F1C" w:rsidR="00D67FF5">
        <w:rPr>
          <w:bCs/>
          <w:sz w:val="24"/>
          <w:szCs w:val="24"/>
        </w:rPr>
        <w:t xml:space="preserve"> that </w:t>
      </w:r>
      <w:r w:rsidRPr="00137F1C" w:rsidR="00DF57B7">
        <w:rPr>
          <w:bCs/>
          <w:sz w:val="24"/>
          <w:szCs w:val="24"/>
        </w:rPr>
        <w:t xml:space="preserve">SSA employees do not contact </w:t>
      </w:r>
      <w:r w:rsidRPr="00137F1C" w:rsidR="00084634">
        <w:rPr>
          <w:bCs/>
          <w:sz w:val="24"/>
          <w:szCs w:val="24"/>
        </w:rPr>
        <w:t>the public by telephone for business purposes</w:t>
      </w:r>
      <w:r w:rsidRPr="00137F1C" w:rsidR="000970B7">
        <w:rPr>
          <w:bCs/>
          <w:sz w:val="24"/>
          <w:szCs w:val="24"/>
        </w:rPr>
        <w:t>; however, th</w:t>
      </w:r>
      <w:r w:rsidRPr="00137F1C" w:rsidR="008A5625">
        <w:rPr>
          <w:bCs/>
          <w:sz w:val="24"/>
          <w:szCs w:val="24"/>
        </w:rPr>
        <w:t>e MNUP and Centenarian</w:t>
      </w:r>
      <w:r w:rsidRPr="00137F1C" w:rsidR="000970B7">
        <w:rPr>
          <w:bCs/>
          <w:sz w:val="24"/>
          <w:szCs w:val="24"/>
        </w:rPr>
        <w:t xml:space="preserve"> process</w:t>
      </w:r>
      <w:r w:rsidRPr="00137F1C" w:rsidR="008A5625">
        <w:rPr>
          <w:bCs/>
          <w:sz w:val="24"/>
          <w:szCs w:val="24"/>
        </w:rPr>
        <w:t>es</w:t>
      </w:r>
      <w:r w:rsidRPr="00137F1C" w:rsidR="000970B7">
        <w:rPr>
          <w:bCs/>
          <w:sz w:val="24"/>
          <w:szCs w:val="24"/>
        </w:rPr>
        <w:t xml:space="preserve"> </w:t>
      </w:r>
      <w:r w:rsidRPr="00137F1C" w:rsidR="00BC5184">
        <w:rPr>
          <w:bCs/>
          <w:sz w:val="24"/>
          <w:szCs w:val="24"/>
        </w:rPr>
        <w:t xml:space="preserve">contradict that statement. </w:t>
      </w:r>
      <w:r w:rsidRPr="00137F1C" w:rsidR="00276AB1">
        <w:rPr>
          <w:bCs/>
          <w:sz w:val="24"/>
          <w:szCs w:val="24"/>
        </w:rPr>
        <w:t xml:space="preserve"> </w:t>
      </w:r>
      <w:r w:rsidRPr="00137F1C" w:rsidR="008A5625">
        <w:rPr>
          <w:bCs/>
          <w:sz w:val="24"/>
          <w:szCs w:val="24"/>
        </w:rPr>
        <w:t xml:space="preserve">Beneficiaries or </w:t>
      </w:r>
      <w:r w:rsidRPr="00137F1C" w:rsidR="008A5625">
        <w:rPr>
          <w:bCs/>
          <w:sz w:val="24"/>
          <w:szCs w:val="24"/>
        </w:rPr>
        <w:t>representative payees</w:t>
      </w:r>
      <w:r w:rsidRPr="00137F1C" w:rsidR="008A5625">
        <w:rPr>
          <w:bCs/>
          <w:sz w:val="24"/>
          <w:szCs w:val="24"/>
        </w:rPr>
        <w:t xml:space="preserve"> </w:t>
      </w:r>
      <w:r w:rsidRPr="00137F1C" w:rsidR="009E031F">
        <w:rPr>
          <w:bCs/>
          <w:sz w:val="24"/>
          <w:szCs w:val="24"/>
        </w:rPr>
        <w:t xml:space="preserve">may feel </w:t>
      </w:r>
      <w:r w:rsidRPr="00137F1C" w:rsidR="0048694F">
        <w:rPr>
          <w:bCs/>
          <w:sz w:val="24"/>
          <w:szCs w:val="24"/>
        </w:rPr>
        <w:t>stressed</w:t>
      </w:r>
      <w:r w:rsidRPr="00137F1C" w:rsidR="009E031F">
        <w:rPr>
          <w:bCs/>
          <w:sz w:val="24"/>
          <w:szCs w:val="24"/>
        </w:rPr>
        <w:t xml:space="preserve"> when responding to our inquiry calls</w:t>
      </w:r>
      <w:r w:rsidRPr="00137F1C" w:rsidR="00C247F2">
        <w:rPr>
          <w:bCs/>
          <w:sz w:val="24"/>
          <w:szCs w:val="24"/>
        </w:rPr>
        <w:t xml:space="preserve"> and notices</w:t>
      </w:r>
      <w:r w:rsidRPr="00137F1C" w:rsidR="009E031F">
        <w:rPr>
          <w:bCs/>
          <w:sz w:val="24"/>
          <w:szCs w:val="24"/>
        </w:rPr>
        <w:t xml:space="preserve">. </w:t>
      </w:r>
      <w:r w:rsidRPr="00137F1C" w:rsidR="0048694F">
        <w:rPr>
          <w:bCs/>
          <w:sz w:val="24"/>
          <w:szCs w:val="24"/>
        </w:rPr>
        <w:t xml:space="preserve"> </w:t>
      </w:r>
      <w:r w:rsidRPr="00137F1C" w:rsidR="001E0139">
        <w:rPr>
          <w:bCs/>
          <w:sz w:val="24"/>
          <w:szCs w:val="24"/>
        </w:rPr>
        <w:t xml:space="preserve">If the </w:t>
      </w:r>
      <w:r w:rsidRPr="00137F1C" w:rsidR="008A5625">
        <w:rPr>
          <w:bCs/>
          <w:sz w:val="24"/>
          <w:szCs w:val="24"/>
        </w:rPr>
        <w:t>beneficiary or representative payee</w:t>
      </w:r>
      <w:r w:rsidRPr="00137F1C" w:rsidR="001E0139">
        <w:rPr>
          <w:bCs/>
          <w:sz w:val="24"/>
          <w:szCs w:val="24"/>
        </w:rPr>
        <w:t xml:space="preserve"> feels uncomfortable providing information over the phone, </w:t>
      </w:r>
      <w:r w:rsidRPr="00137F1C" w:rsidR="009106E2">
        <w:rPr>
          <w:bCs/>
          <w:sz w:val="24"/>
          <w:szCs w:val="24"/>
        </w:rPr>
        <w:t xml:space="preserve">they may </w:t>
      </w:r>
      <w:r w:rsidRPr="00137F1C" w:rsidR="009106E2">
        <w:rPr>
          <w:sz w:val="24"/>
          <w:szCs w:val="24"/>
        </w:rPr>
        <w:t xml:space="preserve">choose to </w:t>
      </w:r>
      <w:r w:rsidRPr="00137F1C" w:rsidR="009106E2">
        <w:rPr>
          <w:sz w:val="24"/>
          <w:szCs w:val="24"/>
        </w:rPr>
        <w:t>delay, or</w:t>
      </w:r>
      <w:r w:rsidRPr="00137F1C" w:rsidR="009106E2">
        <w:rPr>
          <w:sz w:val="24"/>
          <w:szCs w:val="24"/>
        </w:rPr>
        <w:t xml:space="preserve"> </w:t>
      </w:r>
      <w:r w:rsidRPr="00137F1C" w:rsidR="00F8657A">
        <w:rPr>
          <w:sz w:val="24"/>
          <w:szCs w:val="24"/>
        </w:rPr>
        <w:t xml:space="preserve">not </w:t>
      </w:r>
      <w:r w:rsidRPr="00137F1C" w:rsidR="009106E2">
        <w:rPr>
          <w:bCs/>
          <w:sz w:val="24"/>
          <w:szCs w:val="24"/>
        </w:rPr>
        <w:t xml:space="preserve">comply with the appointment request. </w:t>
      </w:r>
    </w:p>
    <w:p w:rsidR="00137F1C" w:rsidP="00137F1C" w14:paraId="7CDBF28E" w14:textId="77777777">
      <w:pPr>
        <w:pStyle w:val="ListParagraph"/>
        <w:ind w:left="1620"/>
        <w:rPr>
          <w:bCs/>
          <w:sz w:val="24"/>
          <w:szCs w:val="24"/>
        </w:rPr>
      </w:pPr>
    </w:p>
    <w:p w:rsidR="00B736B7" w:rsidRPr="00477305" w:rsidP="00137F1C" w14:paraId="4AA47F5C" w14:textId="18642468">
      <w:pPr>
        <w:pStyle w:val="ListParagraph"/>
        <w:ind w:left="1620"/>
        <w:rPr>
          <w:b/>
          <w:sz w:val="24"/>
          <w:szCs w:val="24"/>
        </w:rPr>
      </w:pPr>
      <w:r>
        <w:rPr>
          <w:bCs/>
          <w:sz w:val="24"/>
          <w:szCs w:val="24"/>
        </w:rPr>
        <w:t xml:space="preserve">During the </w:t>
      </w:r>
      <w:r w:rsidRPr="00C126FE" w:rsidR="00DE30A5">
        <w:rPr>
          <w:bCs/>
          <w:sz w:val="24"/>
          <w:szCs w:val="24"/>
        </w:rPr>
        <w:t>Face to Face</w:t>
      </w:r>
      <w:r w:rsidRPr="00C126FE" w:rsidR="00DE30A5">
        <w:rPr>
          <w:bCs/>
          <w:sz w:val="24"/>
          <w:szCs w:val="24"/>
        </w:rPr>
        <w:t xml:space="preserve"> Interview:</w:t>
      </w:r>
      <w:r w:rsidRPr="00477305" w:rsidR="00DE30A5">
        <w:rPr>
          <w:b/>
          <w:sz w:val="24"/>
          <w:szCs w:val="24"/>
        </w:rPr>
        <w:t xml:space="preserve"> </w:t>
      </w:r>
      <w:r w:rsidR="00C126FE">
        <w:rPr>
          <w:bCs/>
          <w:sz w:val="24"/>
          <w:szCs w:val="24"/>
        </w:rPr>
        <w:t xml:space="preserve"> </w:t>
      </w:r>
      <w:r w:rsidRPr="00477305" w:rsidR="00576589">
        <w:rPr>
          <w:bCs/>
          <w:sz w:val="24"/>
          <w:szCs w:val="24"/>
        </w:rPr>
        <w:t xml:space="preserve">The appointment notice does not provide complete information about the purpose of the </w:t>
      </w:r>
      <w:r w:rsidRPr="00477305" w:rsidR="00104D77">
        <w:rPr>
          <w:bCs/>
          <w:sz w:val="24"/>
          <w:szCs w:val="24"/>
        </w:rPr>
        <w:t xml:space="preserve">interview and may cause stress to the </w:t>
      </w:r>
      <w:r w:rsidRPr="00477305" w:rsidR="009F58F8">
        <w:rPr>
          <w:bCs/>
          <w:sz w:val="24"/>
          <w:szCs w:val="24"/>
        </w:rPr>
        <w:t>beneficiary or representative payee</w:t>
      </w:r>
      <w:r w:rsidRPr="00477305" w:rsidR="009662BC">
        <w:rPr>
          <w:bCs/>
          <w:sz w:val="24"/>
          <w:szCs w:val="24"/>
        </w:rPr>
        <w:t xml:space="preserve"> </w:t>
      </w:r>
      <w:r w:rsidRPr="00477305" w:rsidR="00EC6FFB">
        <w:rPr>
          <w:bCs/>
          <w:sz w:val="24"/>
          <w:szCs w:val="24"/>
        </w:rPr>
        <w:t xml:space="preserve">about </w:t>
      </w:r>
      <w:r w:rsidRPr="00477305" w:rsidR="002E1AF0">
        <w:rPr>
          <w:bCs/>
          <w:sz w:val="24"/>
          <w:szCs w:val="24"/>
        </w:rPr>
        <w:t xml:space="preserve">the purpose of the appointment and </w:t>
      </w:r>
      <w:r w:rsidRPr="00477305" w:rsidR="00EC6FFB">
        <w:rPr>
          <w:bCs/>
          <w:sz w:val="24"/>
          <w:szCs w:val="24"/>
        </w:rPr>
        <w:t>maintaining their benefit payment.</w:t>
      </w:r>
      <w:r w:rsidR="009106E2">
        <w:rPr>
          <w:bCs/>
          <w:sz w:val="24"/>
          <w:szCs w:val="24"/>
        </w:rPr>
        <w:t xml:space="preserve">  This may result in postponing the appointment, or not setting it up at all.</w:t>
      </w:r>
    </w:p>
    <w:p w:rsidR="00FE52ED" w:rsidP="00DE55CB" w14:paraId="7E43A7AF" w14:textId="77777777">
      <w:pPr>
        <w:ind w:left="540"/>
        <w:rPr>
          <w:b/>
          <w:sz w:val="24"/>
          <w:szCs w:val="24"/>
          <w:u w:val="single"/>
        </w:rPr>
      </w:pPr>
    </w:p>
    <w:p w:rsidR="00C50CB7" w:rsidP="00C126FE" w14:paraId="4EE50EBB" w14:textId="77777777">
      <w:pPr>
        <w:ind w:left="900"/>
        <w:rPr>
          <w:bCs/>
          <w:sz w:val="24"/>
          <w:szCs w:val="24"/>
        </w:rPr>
      </w:pPr>
      <w:r w:rsidRPr="00BF785C">
        <w:rPr>
          <w:bCs/>
          <w:sz w:val="24"/>
          <w:szCs w:val="24"/>
        </w:rPr>
        <w:t xml:space="preserve">We understand these psychological costs may cause respondents to delay their completion of the information collection or cause them to abandon the information collection entirely. </w:t>
      </w:r>
      <w:r w:rsidR="00F8657A">
        <w:rPr>
          <w:bCs/>
          <w:sz w:val="24"/>
          <w:szCs w:val="24"/>
        </w:rPr>
        <w:t xml:space="preserve"> </w:t>
      </w:r>
      <w:r w:rsidRPr="00BF785C">
        <w:rPr>
          <w:bCs/>
          <w:sz w:val="24"/>
          <w:szCs w:val="24"/>
        </w:rPr>
        <w:t xml:space="preserve">However, we require full completion of this collection to continue to receive benefits. </w:t>
      </w:r>
      <w:r w:rsidR="00F8657A">
        <w:rPr>
          <w:bCs/>
          <w:sz w:val="24"/>
          <w:szCs w:val="24"/>
        </w:rPr>
        <w:t xml:space="preserve"> </w:t>
      </w:r>
      <w:r w:rsidRPr="00BF785C">
        <w:rPr>
          <w:bCs/>
          <w:sz w:val="24"/>
          <w:szCs w:val="24"/>
        </w:rPr>
        <w:t xml:space="preserve">Therefore, we have taken this </w:t>
      </w:r>
      <w:r w:rsidRPr="00BF785C" w:rsidR="000406F8">
        <w:rPr>
          <w:bCs/>
          <w:sz w:val="24"/>
          <w:szCs w:val="24"/>
        </w:rPr>
        <w:t>potential psychological cost into account when calculating our burden in #12 below.</w:t>
      </w:r>
    </w:p>
    <w:p w:rsidR="00C50CB7" w:rsidP="00F8657A" w14:paraId="3F79B222" w14:textId="77777777">
      <w:pPr>
        <w:ind w:left="1620"/>
        <w:rPr>
          <w:bCs/>
          <w:sz w:val="24"/>
          <w:szCs w:val="24"/>
        </w:rPr>
      </w:pPr>
    </w:p>
    <w:p w:rsidR="00C227F0" w:rsidRPr="00BF785C" w:rsidP="0026543B" w14:paraId="3F2A5766" w14:textId="5844DD5E">
      <w:pPr>
        <w:ind w:left="900"/>
        <w:rPr>
          <w:bCs/>
          <w:sz w:val="24"/>
          <w:szCs w:val="24"/>
        </w:rPr>
      </w:pPr>
      <w:r>
        <w:rPr>
          <w:sz w:val="24"/>
          <w:szCs w:val="24"/>
        </w:rPr>
        <w:t>Respondents are beneficiaries, and their representative payees, or their caregivers.</w:t>
      </w:r>
      <w:r w:rsidRPr="00BF785C" w:rsidR="000406F8">
        <w:rPr>
          <w:bCs/>
          <w:sz w:val="24"/>
          <w:szCs w:val="24"/>
        </w:rPr>
        <w:t xml:space="preserve"> </w:t>
      </w:r>
    </w:p>
    <w:p w:rsidR="001F05CD" w:rsidRPr="00F11A7C" w:rsidP="00DE55CB" w14:paraId="72C7A7F8" w14:textId="77777777">
      <w:pPr>
        <w:ind w:left="540"/>
        <w:rPr>
          <w:bCs/>
          <w:sz w:val="24"/>
          <w:szCs w:val="24"/>
          <w:u w:val="single"/>
        </w:rPr>
      </w:pPr>
    </w:p>
    <w:p w:rsidR="005E4CB8" w:rsidRPr="005E4CB8" w:rsidP="005E4CB8" w14:paraId="4451DBB6" w14:textId="3B682A8F">
      <w:pPr>
        <w:pStyle w:val="ListParagraph"/>
        <w:numPr>
          <w:ilvl w:val="0"/>
          <w:numId w:val="7"/>
        </w:numPr>
        <w:ind w:left="900"/>
        <w:rPr>
          <w:b/>
          <w:sz w:val="24"/>
          <w:szCs w:val="24"/>
          <w:u w:val="single"/>
        </w:rPr>
      </w:pPr>
      <w:r>
        <w:rPr>
          <w:b/>
          <w:sz w:val="24"/>
          <w:szCs w:val="24"/>
        </w:rPr>
        <w:t>Use of Information Technology to Collect the Information</w:t>
      </w:r>
    </w:p>
    <w:p w:rsidR="005E4CB8" w:rsidP="005E4CB8" w14:paraId="26357AA8" w14:textId="17AB58AE">
      <w:pPr>
        <w:pStyle w:val="ListParagraph"/>
        <w:ind w:left="900"/>
        <w:rPr>
          <w:b/>
          <w:sz w:val="24"/>
          <w:szCs w:val="24"/>
        </w:rPr>
      </w:pPr>
      <w:r w:rsidRPr="7DB3F62A">
        <w:rPr>
          <w:sz w:val="24"/>
          <w:szCs w:val="24"/>
        </w:rPr>
        <w:t xml:space="preserve">SSA employees document the outcome of the interviews </w:t>
      </w:r>
      <w:r w:rsidRPr="7DB3F62A" w:rsidR="009C5B38">
        <w:rPr>
          <w:sz w:val="24"/>
          <w:szCs w:val="24"/>
        </w:rPr>
        <w:t>by</w:t>
      </w:r>
      <w:r w:rsidRPr="7DB3F62A" w:rsidR="00921411">
        <w:rPr>
          <w:sz w:val="24"/>
          <w:szCs w:val="24"/>
        </w:rPr>
        <w:t xml:space="preserve"> </w:t>
      </w:r>
      <w:r w:rsidRPr="03D985A6" w:rsidR="02F89796">
        <w:rPr>
          <w:sz w:val="24"/>
          <w:szCs w:val="24"/>
        </w:rPr>
        <w:t>uploading</w:t>
      </w:r>
      <w:r w:rsidRPr="7DB3F62A">
        <w:rPr>
          <w:sz w:val="24"/>
          <w:szCs w:val="24"/>
        </w:rPr>
        <w:t xml:space="preserve"> </w:t>
      </w:r>
      <w:r w:rsidRPr="37AEF864" w:rsidR="02F89796">
        <w:rPr>
          <w:sz w:val="24"/>
          <w:szCs w:val="24"/>
        </w:rPr>
        <w:t xml:space="preserve">their </w:t>
      </w:r>
      <w:r w:rsidRPr="68A8BECC" w:rsidR="02F89796">
        <w:rPr>
          <w:sz w:val="24"/>
          <w:szCs w:val="24"/>
        </w:rPr>
        <w:t>findings</w:t>
      </w:r>
      <w:r w:rsidRPr="4794279A" w:rsidR="2CECC5B1">
        <w:rPr>
          <w:sz w:val="24"/>
          <w:szCs w:val="24"/>
        </w:rPr>
        <w:t xml:space="preserve"> </w:t>
      </w:r>
      <w:r w:rsidRPr="7DB3F62A">
        <w:rPr>
          <w:sz w:val="24"/>
          <w:szCs w:val="24"/>
        </w:rPr>
        <w:t xml:space="preserve">directly into </w:t>
      </w:r>
      <w:r w:rsidRPr="119038BD" w:rsidR="5AEA6B5D">
        <w:rPr>
          <w:sz w:val="24"/>
          <w:szCs w:val="24"/>
        </w:rPr>
        <w:t xml:space="preserve">Evidence </w:t>
      </w:r>
      <w:r w:rsidRPr="6BB16778" w:rsidR="5AEA6B5D">
        <w:rPr>
          <w:sz w:val="24"/>
          <w:szCs w:val="24"/>
        </w:rPr>
        <w:t>Po</w:t>
      </w:r>
      <w:r w:rsidRPr="6BB16778" w:rsidR="4367AB7B">
        <w:rPr>
          <w:sz w:val="24"/>
          <w:szCs w:val="24"/>
        </w:rPr>
        <w:t>rtal</w:t>
      </w:r>
      <w:r w:rsidRPr="5FD2E5F7" w:rsidR="001D6301">
        <w:rPr>
          <w:sz w:val="24"/>
          <w:szCs w:val="24"/>
        </w:rPr>
        <w:t xml:space="preserve"> </w:t>
      </w:r>
      <w:r w:rsidRPr="5FD2E5F7" w:rsidR="2CECC5B1">
        <w:rPr>
          <w:sz w:val="24"/>
          <w:szCs w:val="24"/>
        </w:rPr>
        <w:t>and</w:t>
      </w:r>
      <w:r w:rsidRPr="5FD2E5F7" w:rsidR="1150F179">
        <w:rPr>
          <w:sz w:val="24"/>
          <w:szCs w:val="24"/>
        </w:rPr>
        <w:t xml:space="preserve"> keying </w:t>
      </w:r>
      <w:r w:rsidRPr="42AC48B2" w:rsidR="5174589F">
        <w:rPr>
          <w:sz w:val="24"/>
          <w:szCs w:val="24"/>
        </w:rPr>
        <w:t xml:space="preserve">them into </w:t>
      </w:r>
      <w:r w:rsidRPr="7026DBC4" w:rsidR="5174589F">
        <w:rPr>
          <w:sz w:val="24"/>
          <w:szCs w:val="24"/>
        </w:rPr>
        <w:t>the</w:t>
      </w:r>
      <w:r w:rsidRPr="6BB16778">
        <w:rPr>
          <w:sz w:val="24"/>
          <w:szCs w:val="24"/>
        </w:rPr>
        <w:t xml:space="preserve"> </w:t>
      </w:r>
      <w:r w:rsidRPr="7DB3F62A">
        <w:rPr>
          <w:sz w:val="24"/>
          <w:szCs w:val="24"/>
        </w:rPr>
        <w:t xml:space="preserve">MNUP </w:t>
      </w:r>
      <w:r w:rsidRPr="7DB3F62A" w:rsidR="00921411">
        <w:rPr>
          <w:sz w:val="24"/>
          <w:szCs w:val="24"/>
        </w:rPr>
        <w:t>w</w:t>
      </w:r>
      <w:r w:rsidRPr="7DB3F62A">
        <w:rPr>
          <w:sz w:val="24"/>
          <w:szCs w:val="24"/>
        </w:rPr>
        <w:t xml:space="preserve">ebsite.  We must conduct a telephone, or a </w:t>
      </w:r>
      <w:r w:rsidRPr="6EFF71AA">
        <w:rPr>
          <w:sz w:val="24"/>
          <w:szCs w:val="24"/>
        </w:rPr>
        <w:t>face</w:t>
      </w:r>
      <w:r w:rsidRPr="6EFF71AA" w:rsidR="402E52AE">
        <w:rPr>
          <w:sz w:val="24"/>
          <w:szCs w:val="24"/>
        </w:rPr>
        <w:t>-</w:t>
      </w:r>
      <w:r w:rsidRPr="6EFF71AA">
        <w:rPr>
          <w:sz w:val="24"/>
          <w:szCs w:val="24"/>
        </w:rPr>
        <w:t>to</w:t>
      </w:r>
      <w:r w:rsidRPr="6EFF71AA" w:rsidR="65B513B8">
        <w:rPr>
          <w:sz w:val="24"/>
          <w:szCs w:val="24"/>
        </w:rPr>
        <w:t>-</w:t>
      </w:r>
      <w:r w:rsidRPr="6EFF71AA" w:rsidR="00F8657A">
        <w:rPr>
          <w:sz w:val="24"/>
          <w:szCs w:val="24"/>
        </w:rPr>
        <w:t>face</w:t>
      </w:r>
      <w:r w:rsidRPr="7DB3F62A">
        <w:rPr>
          <w:sz w:val="24"/>
          <w:szCs w:val="24"/>
        </w:rPr>
        <w:t xml:space="preserve"> interview at the Centenarian and MNUP beneficiary’s residence or at the field office</w:t>
      </w:r>
      <w:r w:rsidRPr="00BF74A7">
        <w:rPr>
          <w:sz w:val="24"/>
          <w:szCs w:val="24"/>
        </w:rPr>
        <w:t>.</w:t>
      </w:r>
      <w:r w:rsidR="00E7466B">
        <w:rPr>
          <w:sz w:val="24"/>
          <w:szCs w:val="24"/>
        </w:rPr>
        <w:t xml:space="preserve">  Employees conduct </w:t>
      </w:r>
      <w:r w:rsidRPr="00BF74A7" w:rsidR="00BF74A7">
        <w:rPr>
          <w:sz w:val="24"/>
          <w:szCs w:val="24"/>
        </w:rPr>
        <w:t>2</w:t>
      </w:r>
      <w:r w:rsidR="003C5932">
        <w:rPr>
          <w:sz w:val="24"/>
          <w:szCs w:val="24"/>
        </w:rPr>
        <w:t>7</w:t>
      </w:r>
      <w:r w:rsidR="00276AB1">
        <w:rPr>
          <w:sz w:val="24"/>
          <w:szCs w:val="24"/>
        </w:rPr>
        <w:t xml:space="preserve"> percent</w:t>
      </w:r>
      <w:r w:rsidRPr="7DB3F62A" w:rsidR="00276AB1">
        <w:rPr>
          <w:sz w:val="24"/>
          <w:szCs w:val="24"/>
        </w:rPr>
        <w:t xml:space="preserve"> </w:t>
      </w:r>
      <w:r w:rsidRPr="7DB3F62A" w:rsidR="00A01E04">
        <w:rPr>
          <w:sz w:val="24"/>
          <w:szCs w:val="24"/>
        </w:rPr>
        <w:t xml:space="preserve">of </w:t>
      </w:r>
      <w:r w:rsidR="00BF74A7">
        <w:rPr>
          <w:sz w:val="24"/>
          <w:szCs w:val="24"/>
        </w:rPr>
        <w:t>MNUP interviews</w:t>
      </w:r>
      <w:r w:rsidRPr="7DB3F62A" w:rsidR="00A01E04">
        <w:rPr>
          <w:sz w:val="24"/>
          <w:szCs w:val="24"/>
        </w:rPr>
        <w:t xml:space="preserve"> face-to-face. </w:t>
      </w:r>
      <w:r w:rsidRPr="7DB3F62A">
        <w:rPr>
          <w:sz w:val="24"/>
          <w:szCs w:val="24"/>
        </w:rPr>
        <w:t xml:space="preserve"> SSA currently has no plans to create a version of the interview questions for the public to complete on their own.  As part of the process for this interview is for the SSA employee</w:t>
      </w:r>
      <w:r w:rsidR="00276AB1">
        <w:rPr>
          <w:sz w:val="24"/>
          <w:szCs w:val="24"/>
        </w:rPr>
        <w:t>s</w:t>
      </w:r>
      <w:r w:rsidRPr="7DB3F62A">
        <w:rPr>
          <w:sz w:val="24"/>
          <w:szCs w:val="24"/>
        </w:rPr>
        <w:t xml:space="preserve"> to have direct contact with the respondents for observation purposes, the</w:t>
      </w:r>
      <w:r w:rsidRPr="7DB3F62A" w:rsidR="00921411">
        <w:rPr>
          <w:sz w:val="24"/>
          <w:szCs w:val="24"/>
        </w:rPr>
        <w:t xml:space="preserve"> </w:t>
      </w:r>
      <w:r w:rsidRPr="428D4FAF" w:rsidR="4584EB0A">
        <w:rPr>
          <w:sz w:val="24"/>
          <w:szCs w:val="24"/>
        </w:rPr>
        <w:t>internal</w:t>
      </w:r>
      <w:r w:rsidRPr="428D4FAF" w:rsidR="00921411">
        <w:rPr>
          <w:sz w:val="24"/>
          <w:szCs w:val="24"/>
        </w:rPr>
        <w:t xml:space="preserve"> </w:t>
      </w:r>
      <w:r w:rsidRPr="7DB3F62A" w:rsidR="00921411">
        <w:rPr>
          <w:sz w:val="24"/>
          <w:szCs w:val="24"/>
        </w:rPr>
        <w:t>websites</w:t>
      </w:r>
      <w:r w:rsidRPr="7DB3F62A">
        <w:rPr>
          <w:sz w:val="24"/>
          <w:szCs w:val="24"/>
        </w:rPr>
        <w:t xml:space="preserve"> are meant for the SSA employee</w:t>
      </w:r>
      <w:r w:rsidR="00276AB1">
        <w:rPr>
          <w:sz w:val="24"/>
          <w:szCs w:val="24"/>
        </w:rPr>
        <w:t>s</w:t>
      </w:r>
      <w:r w:rsidRPr="7DB3F62A">
        <w:rPr>
          <w:sz w:val="24"/>
          <w:szCs w:val="24"/>
        </w:rPr>
        <w:t xml:space="preserve"> to record </w:t>
      </w:r>
      <w:r w:rsidRPr="7DB3F62A" w:rsidR="00921411">
        <w:rPr>
          <w:sz w:val="24"/>
          <w:szCs w:val="24"/>
        </w:rPr>
        <w:t>findings from the interview.</w:t>
      </w:r>
      <w:r w:rsidRPr="7DB3F62A">
        <w:rPr>
          <w:sz w:val="24"/>
          <w:szCs w:val="24"/>
        </w:rPr>
        <w:t xml:space="preserve">  </w:t>
      </w:r>
      <w:r w:rsidRPr="00232D49" w:rsidR="00232D49">
        <w:rPr>
          <w:sz w:val="24"/>
          <w:szCs w:val="24"/>
        </w:rPr>
        <w:t xml:space="preserve">SSA is unable to create an Internet version of this information collection, </w:t>
      </w:r>
      <w:r w:rsidR="00232D49">
        <w:rPr>
          <w:sz w:val="24"/>
          <w:szCs w:val="24"/>
        </w:rPr>
        <w:t>because</w:t>
      </w:r>
      <w:r w:rsidRPr="7DB3F62A">
        <w:rPr>
          <w:sz w:val="24"/>
          <w:szCs w:val="24"/>
        </w:rPr>
        <w:t xml:space="preserve"> we need to conduct these interviews in person </w:t>
      </w:r>
      <w:r w:rsidRPr="7DB3F62A" w:rsidR="000312EF">
        <w:rPr>
          <w:sz w:val="24"/>
          <w:szCs w:val="24"/>
        </w:rPr>
        <w:t>or via telephone</w:t>
      </w:r>
      <w:r w:rsidRPr="7DB3F62A">
        <w:rPr>
          <w:sz w:val="24"/>
          <w:szCs w:val="24"/>
        </w:rPr>
        <w:t xml:space="preserve"> for observational purposes, and we have already created a website version of the </w:t>
      </w:r>
      <w:r w:rsidR="003A2057">
        <w:rPr>
          <w:sz w:val="24"/>
          <w:szCs w:val="24"/>
        </w:rPr>
        <w:t xml:space="preserve">MNUP </w:t>
      </w:r>
      <w:r w:rsidRPr="7DB3F62A">
        <w:rPr>
          <w:sz w:val="24"/>
          <w:szCs w:val="24"/>
        </w:rPr>
        <w:t>worksheets for SSA employee use only</w:t>
      </w:r>
      <w:r w:rsidRPr="7DB3F62A" w:rsidR="00EA67BB">
        <w:rPr>
          <w:sz w:val="24"/>
          <w:szCs w:val="24"/>
        </w:rPr>
        <w:t>.</w:t>
      </w:r>
    </w:p>
    <w:p w:rsidR="005E4CB8" w:rsidRPr="005E4CB8" w:rsidP="005E4CB8" w14:paraId="582573A9" w14:textId="77777777">
      <w:pPr>
        <w:pStyle w:val="ListParagraph"/>
        <w:ind w:left="900"/>
        <w:rPr>
          <w:b/>
          <w:sz w:val="24"/>
          <w:szCs w:val="24"/>
          <w:u w:val="single"/>
        </w:rPr>
      </w:pPr>
    </w:p>
    <w:p w:rsidR="005E4CB8" w:rsidRPr="005E4CB8" w:rsidP="005E4CB8" w14:paraId="112B498C" w14:textId="13997577">
      <w:pPr>
        <w:pStyle w:val="ListParagraph"/>
        <w:numPr>
          <w:ilvl w:val="0"/>
          <w:numId w:val="7"/>
        </w:numPr>
        <w:ind w:left="900"/>
        <w:rPr>
          <w:b/>
          <w:sz w:val="24"/>
          <w:szCs w:val="24"/>
          <w:u w:val="single"/>
        </w:rPr>
      </w:pPr>
      <w:r>
        <w:rPr>
          <w:b/>
          <w:sz w:val="24"/>
          <w:szCs w:val="24"/>
        </w:rPr>
        <w:t>Why We Cannot Use Duplicate Information</w:t>
      </w:r>
    </w:p>
    <w:p w:rsidR="005E4CB8" w:rsidP="005E4CB8" w14:paraId="013C055D" w14:textId="3A95D0E5">
      <w:pPr>
        <w:pStyle w:val="ListParagraph"/>
        <w:ind w:left="900"/>
        <w:rPr>
          <w:b/>
          <w:sz w:val="24"/>
          <w:szCs w:val="24"/>
        </w:rPr>
      </w:pPr>
      <w:r>
        <w:rPr>
          <w:sz w:val="24"/>
        </w:rPr>
        <w:t>The nature of the information we collect and the manner in which we collect it preclude</w:t>
      </w:r>
      <w:r w:rsidR="0011322B">
        <w:rPr>
          <w:sz w:val="24"/>
        </w:rPr>
        <w:t>s</w:t>
      </w:r>
      <w:r>
        <w:rPr>
          <w:sz w:val="24"/>
        </w:rPr>
        <w:t xml:space="preserve"> duplication.  SSA does not use another collection instrument to obtain similar data.</w:t>
      </w:r>
    </w:p>
    <w:p w:rsidR="005E4CB8" w:rsidRPr="005E4CB8" w:rsidP="005E4CB8" w14:paraId="00D3B3FE" w14:textId="77777777">
      <w:pPr>
        <w:pStyle w:val="ListParagraph"/>
        <w:ind w:left="900"/>
        <w:rPr>
          <w:b/>
          <w:sz w:val="24"/>
          <w:szCs w:val="24"/>
          <w:u w:val="single"/>
        </w:rPr>
      </w:pPr>
    </w:p>
    <w:p w:rsidR="005E4CB8" w:rsidRPr="005E4CB8" w:rsidP="005E4CB8" w14:paraId="04F5C6B0" w14:textId="34E4823E">
      <w:pPr>
        <w:pStyle w:val="ListParagraph"/>
        <w:numPr>
          <w:ilvl w:val="0"/>
          <w:numId w:val="7"/>
        </w:numPr>
        <w:ind w:left="900"/>
        <w:rPr>
          <w:b/>
          <w:sz w:val="24"/>
          <w:szCs w:val="24"/>
          <w:u w:val="single"/>
        </w:rPr>
      </w:pPr>
      <w:r>
        <w:rPr>
          <w:b/>
          <w:sz w:val="24"/>
          <w:szCs w:val="24"/>
        </w:rPr>
        <w:t>Minimizing Burden on Small Respondents</w:t>
      </w:r>
    </w:p>
    <w:p w:rsidR="005E4CB8" w:rsidP="005E4CB8" w14:paraId="3D65494F" w14:textId="46BC4629">
      <w:pPr>
        <w:pStyle w:val="ListParagraph"/>
        <w:ind w:left="900"/>
        <w:rPr>
          <w:b/>
          <w:sz w:val="24"/>
          <w:szCs w:val="24"/>
        </w:rPr>
      </w:pPr>
      <w:r>
        <w:rPr>
          <w:sz w:val="24"/>
          <w:szCs w:val="24"/>
        </w:rPr>
        <w:t>This collection does not affect small businesses or other small entities.</w:t>
      </w:r>
    </w:p>
    <w:p w:rsidR="005E4CB8" w:rsidRPr="005E4CB8" w:rsidP="005E4CB8" w14:paraId="3EC3B271" w14:textId="77777777">
      <w:pPr>
        <w:pStyle w:val="ListParagraph"/>
        <w:ind w:left="900"/>
        <w:rPr>
          <w:b/>
          <w:sz w:val="24"/>
          <w:szCs w:val="24"/>
          <w:u w:val="single"/>
        </w:rPr>
      </w:pPr>
    </w:p>
    <w:p w:rsidR="005E4CB8" w:rsidRPr="005E4CB8" w:rsidP="005E4CB8" w14:paraId="3F87F29F" w14:textId="71C07103">
      <w:pPr>
        <w:pStyle w:val="ListParagraph"/>
        <w:numPr>
          <w:ilvl w:val="0"/>
          <w:numId w:val="7"/>
        </w:numPr>
        <w:ind w:left="900"/>
        <w:rPr>
          <w:b/>
          <w:sz w:val="24"/>
          <w:szCs w:val="24"/>
          <w:u w:val="single"/>
        </w:rPr>
      </w:pPr>
      <w:r>
        <w:rPr>
          <w:b/>
          <w:sz w:val="24"/>
          <w:szCs w:val="24"/>
        </w:rPr>
        <w:t>Consequence of Not Collecting Information or Collecting it Less Frequently</w:t>
      </w:r>
    </w:p>
    <w:p w:rsidR="005E4CB8" w:rsidP="005E4CB8" w14:paraId="6DD0A703" w14:textId="4A5991DB">
      <w:pPr>
        <w:pStyle w:val="ListParagraph"/>
        <w:ind w:left="900"/>
        <w:rPr>
          <w:b/>
          <w:sz w:val="24"/>
          <w:szCs w:val="24"/>
        </w:rPr>
      </w:pPr>
      <w:r w:rsidRPr="5169FFEA">
        <w:rPr>
          <w:sz w:val="24"/>
          <w:szCs w:val="24"/>
        </w:rPr>
        <w:t>The consequences of not conducting these interviews are two-fold:</w:t>
      </w:r>
      <w:r w:rsidR="00C126FE">
        <w:rPr>
          <w:sz w:val="24"/>
          <w:szCs w:val="24"/>
        </w:rPr>
        <w:t xml:space="preserve">  </w:t>
      </w:r>
      <w:r w:rsidRPr="5169FFEA">
        <w:rPr>
          <w:sz w:val="24"/>
          <w:szCs w:val="24"/>
        </w:rPr>
        <w:t xml:space="preserve">(1) SSA would have no means to confirm if the Centenarian or MNUP beneficiary </w:t>
      </w:r>
      <w:r w:rsidRPr="5169FFEA" w:rsidR="007F6C6C">
        <w:rPr>
          <w:sz w:val="24"/>
          <w:szCs w:val="24"/>
        </w:rPr>
        <w:t>needs</w:t>
      </w:r>
      <w:r w:rsidRPr="5169FFEA">
        <w:rPr>
          <w:sz w:val="24"/>
          <w:szCs w:val="24"/>
        </w:rPr>
        <w:t xml:space="preserve"> a representative payee or a change </w:t>
      </w:r>
      <w:r w:rsidR="00B145A8">
        <w:rPr>
          <w:sz w:val="24"/>
          <w:szCs w:val="24"/>
        </w:rPr>
        <w:t>to a different representative</w:t>
      </w:r>
      <w:r w:rsidRPr="5169FFEA">
        <w:rPr>
          <w:sz w:val="24"/>
          <w:szCs w:val="24"/>
        </w:rPr>
        <w:t xml:space="preserve"> payee; and (2) SSA would not know if the </w:t>
      </w:r>
      <w:r w:rsidRPr="5169FFEA" w:rsidR="00391AD3">
        <w:rPr>
          <w:sz w:val="24"/>
          <w:szCs w:val="24"/>
        </w:rPr>
        <w:t xml:space="preserve">beneficiary </w:t>
      </w:r>
      <w:r w:rsidRPr="5169FFEA">
        <w:rPr>
          <w:sz w:val="24"/>
          <w:szCs w:val="24"/>
        </w:rPr>
        <w:t xml:space="preserve">is </w:t>
      </w:r>
      <w:r w:rsidRPr="5169FFEA" w:rsidR="0026667C">
        <w:rPr>
          <w:sz w:val="24"/>
          <w:szCs w:val="24"/>
        </w:rPr>
        <w:t>deceased</w:t>
      </w:r>
      <w:r w:rsidRPr="5169FFEA" w:rsidR="00755517">
        <w:rPr>
          <w:sz w:val="24"/>
          <w:szCs w:val="24"/>
        </w:rPr>
        <w:t>,</w:t>
      </w:r>
      <w:r w:rsidRPr="5169FFEA" w:rsidR="001A2951">
        <w:rPr>
          <w:sz w:val="24"/>
          <w:szCs w:val="24"/>
        </w:rPr>
        <w:t xml:space="preserve"> and we did not receive the report of death</w:t>
      </w:r>
      <w:r w:rsidRPr="5169FFEA">
        <w:rPr>
          <w:sz w:val="24"/>
          <w:szCs w:val="24"/>
        </w:rPr>
        <w:t xml:space="preserve">.  </w:t>
      </w:r>
      <w:r w:rsidRPr="5169FFEA" w:rsidR="00F01B04">
        <w:rPr>
          <w:sz w:val="24"/>
          <w:szCs w:val="24"/>
        </w:rPr>
        <w:t xml:space="preserve">The </w:t>
      </w:r>
      <w:r w:rsidRPr="5169FFEA" w:rsidR="00F01B04">
        <w:rPr>
          <w:sz w:val="24"/>
          <w:szCs w:val="24"/>
        </w:rPr>
        <w:t xml:space="preserve">agency intends to </w:t>
      </w:r>
      <w:r w:rsidRPr="5169FFEA" w:rsidR="009D7540">
        <w:rPr>
          <w:sz w:val="24"/>
          <w:szCs w:val="24"/>
        </w:rPr>
        <w:t xml:space="preserve">reduce improper payments and prevent fraud by confirming the status of </w:t>
      </w:r>
      <w:r w:rsidRPr="5169FFEA" w:rsidR="00562129">
        <w:rPr>
          <w:sz w:val="24"/>
          <w:szCs w:val="24"/>
        </w:rPr>
        <w:t>selected beneficiaries.</w:t>
      </w:r>
      <w:r w:rsidRPr="5169FFEA" w:rsidR="00015887">
        <w:rPr>
          <w:sz w:val="24"/>
          <w:szCs w:val="24"/>
        </w:rPr>
        <w:t xml:space="preserve"> </w:t>
      </w:r>
      <w:r w:rsidR="00276AB1">
        <w:rPr>
          <w:sz w:val="24"/>
          <w:szCs w:val="24"/>
        </w:rPr>
        <w:t xml:space="preserve"> </w:t>
      </w:r>
      <w:r w:rsidRPr="5169FFEA">
        <w:rPr>
          <w:sz w:val="24"/>
          <w:szCs w:val="24"/>
        </w:rPr>
        <w:t>Since we only collect the information once per Centenarian, and only once when the MNUP beneficiary meets all selection criteria, we cannot collect it less frequently.  There are no technical or legal obstacles to burden reduction.</w:t>
      </w:r>
    </w:p>
    <w:p w:rsidR="005E4CB8" w:rsidRPr="005E4CB8" w:rsidP="005E4CB8" w14:paraId="7B4571CC" w14:textId="77777777">
      <w:pPr>
        <w:pStyle w:val="ListParagraph"/>
        <w:ind w:left="900"/>
        <w:rPr>
          <w:b/>
          <w:sz w:val="24"/>
          <w:szCs w:val="24"/>
          <w:u w:val="single"/>
        </w:rPr>
      </w:pPr>
    </w:p>
    <w:p w:rsidR="005E4CB8" w:rsidRPr="004A26DA" w:rsidP="005E4CB8" w14:paraId="5E067A1B" w14:textId="3AADE6F5">
      <w:pPr>
        <w:pStyle w:val="ListParagraph"/>
        <w:numPr>
          <w:ilvl w:val="0"/>
          <w:numId w:val="7"/>
        </w:numPr>
        <w:ind w:left="900"/>
        <w:rPr>
          <w:b/>
          <w:sz w:val="24"/>
          <w:szCs w:val="24"/>
          <w:u w:val="single"/>
        </w:rPr>
      </w:pPr>
      <w:r>
        <w:rPr>
          <w:b/>
          <w:sz w:val="24"/>
          <w:szCs w:val="24"/>
        </w:rPr>
        <w:t>Special Circumstances</w:t>
      </w:r>
    </w:p>
    <w:p w:rsidR="004A26DA" w:rsidP="004A26DA" w14:paraId="3C82085D" w14:textId="03AC0587">
      <w:pPr>
        <w:pStyle w:val="ListParagraph"/>
        <w:ind w:left="900"/>
        <w:rPr>
          <w:b/>
          <w:sz w:val="24"/>
          <w:szCs w:val="24"/>
        </w:rPr>
      </w:pPr>
      <w:r>
        <w:rPr>
          <w:sz w:val="24"/>
          <w:szCs w:val="24"/>
        </w:rPr>
        <w:t xml:space="preserve">There are no special circumstances that would cause SSA to conduct this information collection in a manner inconsistent with </w:t>
      </w:r>
      <w:r>
        <w:rPr>
          <w:i/>
          <w:sz w:val="24"/>
          <w:szCs w:val="24"/>
        </w:rPr>
        <w:t>5 CFR 1320.5.</w:t>
      </w:r>
    </w:p>
    <w:p w:rsidR="004A26DA" w:rsidRPr="005E4CB8" w:rsidP="004A26DA" w14:paraId="5B6A98FD" w14:textId="77777777">
      <w:pPr>
        <w:pStyle w:val="ListParagraph"/>
        <w:ind w:left="900"/>
        <w:rPr>
          <w:b/>
          <w:sz w:val="24"/>
          <w:szCs w:val="24"/>
          <w:u w:val="single"/>
        </w:rPr>
      </w:pPr>
    </w:p>
    <w:p w:rsidR="005E4CB8" w:rsidRPr="004A26DA" w:rsidP="005E4CB8" w14:paraId="3A4925C2" w14:textId="727A75E1">
      <w:pPr>
        <w:pStyle w:val="ListParagraph"/>
        <w:numPr>
          <w:ilvl w:val="0"/>
          <w:numId w:val="7"/>
        </w:numPr>
        <w:ind w:left="900"/>
        <w:rPr>
          <w:b/>
          <w:sz w:val="24"/>
          <w:szCs w:val="24"/>
          <w:u w:val="single"/>
        </w:rPr>
      </w:pPr>
      <w:r>
        <w:rPr>
          <w:b/>
          <w:sz w:val="24"/>
          <w:szCs w:val="24"/>
        </w:rPr>
        <w:t>Solicitation of Public Comment and Other Consultations with the Public</w:t>
      </w:r>
    </w:p>
    <w:p w:rsidR="00232D49" w:rsidRPr="00232D49" w:rsidP="00232D49" w14:paraId="76C33173" w14:textId="1EE32D0F">
      <w:pPr>
        <w:ind w:left="180" w:firstLine="720"/>
        <w:rPr>
          <w:sz w:val="24"/>
          <w:szCs w:val="24"/>
        </w:rPr>
      </w:pPr>
      <w:r w:rsidRPr="00232D49">
        <w:rPr>
          <w:sz w:val="24"/>
          <w:szCs w:val="24"/>
        </w:rPr>
        <w:t xml:space="preserve">The 60-day advance Federal Register Notice published on </w:t>
      </w:r>
      <w:r w:rsidR="00C126FE">
        <w:rPr>
          <w:sz w:val="24"/>
          <w:szCs w:val="24"/>
        </w:rPr>
        <w:t>February 26, 2026</w:t>
      </w:r>
      <w:r w:rsidRPr="00232D49">
        <w:rPr>
          <w:sz w:val="24"/>
          <w:szCs w:val="24"/>
        </w:rPr>
        <w:t xml:space="preserve"> at </w:t>
      </w:r>
    </w:p>
    <w:p w:rsidR="00232D49" w:rsidRPr="00232D49" w:rsidP="00232D49" w14:paraId="394D0888" w14:textId="26453FFB">
      <w:pPr>
        <w:ind w:left="900"/>
        <w:rPr>
          <w:b/>
          <w:sz w:val="24"/>
          <w:szCs w:val="24"/>
        </w:rPr>
      </w:pPr>
      <w:r>
        <w:rPr>
          <w:sz w:val="24"/>
          <w:szCs w:val="24"/>
        </w:rPr>
        <w:t>91</w:t>
      </w:r>
      <w:r w:rsidRPr="00232D49">
        <w:rPr>
          <w:sz w:val="24"/>
          <w:szCs w:val="24"/>
        </w:rPr>
        <w:t xml:space="preserve"> FR </w:t>
      </w:r>
      <w:r w:rsidR="007645C9">
        <w:rPr>
          <w:sz w:val="24"/>
          <w:szCs w:val="24"/>
        </w:rPr>
        <w:t>9671</w:t>
      </w:r>
      <w:r w:rsidRPr="00232D49">
        <w:rPr>
          <w:sz w:val="24"/>
          <w:szCs w:val="24"/>
        </w:rPr>
        <w:t xml:space="preserve">, and we received no public comments.  The 30-day FRN published on </w:t>
      </w:r>
      <w:r w:rsidR="007645C9">
        <w:rPr>
          <w:sz w:val="24"/>
          <w:szCs w:val="24"/>
        </w:rPr>
        <w:t>April 24, 2026</w:t>
      </w:r>
      <w:r w:rsidRPr="00232D49">
        <w:rPr>
          <w:sz w:val="24"/>
          <w:szCs w:val="24"/>
        </w:rPr>
        <w:t xml:space="preserve">, at </w:t>
      </w:r>
      <w:r w:rsidR="007645C9">
        <w:rPr>
          <w:sz w:val="24"/>
          <w:szCs w:val="24"/>
        </w:rPr>
        <w:t>91</w:t>
      </w:r>
      <w:r w:rsidRPr="00232D49">
        <w:rPr>
          <w:sz w:val="24"/>
          <w:szCs w:val="24"/>
        </w:rPr>
        <w:t xml:space="preserve"> FR </w:t>
      </w:r>
      <w:r w:rsidR="007645C9">
        <w:rPr>
          <w:sz w:val="24"/>
          <w:szCs w:val="24"/>
        </w:rPr>
        <w:t xml:space="preserve">22195.  </w:t>
      </w:r>
      <w:r w:rsidRPr="00232D49">
        <w:rPr>
          <w:sz w:val="24"/>
          <w:szCs w:val="24"/>
        </w:rPr>
        <w:t>If we receive any comments in response to this Notice, we will forward them to OMB.  We did not consult with the public in the maintenance of this form.</w:t>
      </w:r>
    </w:p>
    <w:p w:rsidR="004A26DA" w:rsidRPr="00232D49" w:rsidP="004A26DA" w14:paraId="62271DEE" w14:textId="77777777">
      <w:pPr>
        <w:pStyle w:val="ListParagraph"/>
        <w:ind w:left="900"/>
        <w:rPr>
          <w:b/>
          <w:sz w:val="24"/>
          <w:szCs w:val="24"/>
          <w:u w:val="single"/>
        </w:rPr>
      </w:pPr>
    </w:p>
    <w:p w:rsidR="005E4CB8" w:rsidRPr="004A26DA" w:rsidP="005E4CB8" w14:paraId="4BF3BA99" w14:textId="664F8B86">
      <w:pPr>
        <w:pStyle w:val="ListParagraph"/>
        <w:numPr>
          <w:ilvl w:val="0"/>
          <w:numId w:val="7"/>
        </w:numPr>
        <w:ind w:left="900"/>
        <w:rPr>
          <w:b/>
          <w:sz w:val="24"/>
          <w:szCs w:val="24"/>
          <w:u w:val="single"/>
        </w:rPr>
      </w:pPr>
      <w:r>
        <w:rPr>
          <w:b/>
          <w:sz w:val="24"/>
          <w:szCs w:val="24"/>
        </w:rPr>
        <w:t>Payment or Gifts to Respondents</w:t>
      </w:r>
    </w:p>
    <w:p w:rsidR="004A26DA" w:rsidP="004A26DA" w14:paraId="14A8728B" w14:textId="7961593D">
      <w:pPr>
        <w:pStyle w:val="ListParagraph"/>
        <w:ind w:left="900"/>
        <w:rPr>
          <w:b/>
          <w:sz w:val="24"/>
          <w:szCs w:val="24"/>
        </w:rPr>
      </w:pPr>
      <w:r>
        <w:rPr>
          <w:sz w:val="24"/>
          <w:szCs w:val="24"/>
        </w:rPr>
        <w:t>SSA does not provide payment or gifts to the respondents.</w:t>
      </w:r>
    </w:p>
    <w:p w:rsidR="004A26DA" w:rsidP="004A26DA" w14:paraId="309F44C9" w14:textId="1885D54F">
      <w:pPr>
        <w:pStyle w:val="ListParagraph"/>
        <w:ind w:left="900"/>
        <w:rPr>
          <w:b/>
          <w:sz w:val="24"/>
          <w:szCs w:val="24"/>
          <w:u w:val="single"/>
        </w:rPr>
      </w:pPr>
    </w:p>
    <w:p w:rsidR="005E4CB8" w:rsidRPr="004A26DA" w:rsidP="005E4CB8" w14:paraId="5F3BA870" w14:textId="4DBB4736">
      <w:pPr>
        <w:pStyle w:val="ListParagraph"/>
        <w:numPr>
          <w:ilvl w:val="0"/>
          <w:numId w:val="7"/>
        </w:numPr>
        <w:ind w:left="900"/>
        <w:rPr>
          <w:b/>
          <w:sz w:val="24"/>
          <w:szCs w:val="24"/>
          <w:u w:val="single"/>
        </w:rPr>
      </w:pPr>
      <w:r>
        <w:rPr>
          <w:b/>
          <w:sz w:val="24"/>
          <w:szCs w:val="24"/>
        </w:rPr>
        <w:t>Assurances of Confidentiality</w:t>
      </w:r>
    </w:p>
    <w:p w:rsidR="004A26DA" w:rsidP="004A26DA" w14:paraId="24A7B976" w14:textId="18582FFD">
      <w:pPr>
        <w:pStyle w:val="ListParagraph"/>
        <w:ind w:left="900"/>
        <w:rPr>
          <w:sz w:val="24"/>
        </w:rPr>
      </w:pPr>
      <w:r>
        <w:rPr>
          <w:sz w:val="24"/>
        </w:rPr>
        <w:t xml:space="preserve">SSA protects and holds confidential information it collects in accordance with </w:t>
      </w:r>
      <w:r w:rsidR="007645C9">
        <w:rPr>
          <w:sz w:val="24"/>
        </w:rPr>
        <w:t xml:space="preserve">           </w:t>
      </w:r>
      <w:r>
        <w:rPr>
          <w:i/>
          <w:sz w:val="24"/>
        </w:rPr>
        <w:t>42 U. S. C. 1306, 20 CFR 401</w:t>
      </w:r>
      <w:r>
        <w:rPr>
          <w:sz w:val="24"/>
        </w:rPr>
        <w:t xml:space="preserve"> and </w:t>
      </w:r>
      <w:r>
        <w:rPr>
          <w:i/>
          <w:sz w:val="24"/>
        </w:rPr>
        <w:t xml:space="preserve">402, 5 U. S. C. 552 </w:t>
      </w:r>
      <w:r>
        <w:rPr>
          <w:sz w:val="24"/>
        </w:rPr>
        <w:t>(Freedom of Information Act)</w:t>
      </w:r>
      <w:r>
        <w:rPr>
          <w:i/>
          <w:sz w:val="24"/>
        </w:rPr>
        <w:t xml:space="preserve">, </w:t>
      </w:r>
      <w:r w:rsidR="007645C9">
        <w:rPr>
          <w:i/>
          <w:sz w:val="24"/>
        </w:rPr>
        <w:t xml:space="preserve">  </w:t>
      </w:r>
      <w:r>
        <w:rPr>
          <w:i/>
          <w:sz w:val="24"/>
        </w:rPr>
        <w:t xml:space="preserve">5 U.S. C. 552a </w:t>
      </w:r>
      <w:r>
        <w:rPr>
          <w:sz w:val="24"/>
        </w:rPr>
        <w:t>(Privacy Act of 1974), and OMB Circular No. A-130.</w:t>
      </w:r>
    </w:p>
    <w:p w:rsidR="004A26DA" w:rsidRPr="00B35F48" w:rsidP="00B35F48" w14:paraId="702D3F6E" w14:textId="77777777">
      <w:pPr>
        <w:rPr>
          <w:b/>
          <w:sz w:val="24"/>
          <w:szCs w:val="24"/>
          <w:u w:val="single"/>
        </w:rPr>
      </w:pPr>
    </w:p>
    <w:p w:rsidR="005E4CB8" w:rsidRPr="004A26DA" w:rsidP="005E4CB8" w14:paraId="1387FD8B" w14:textId="3DFBE280">
      <w:pPr>
        <w:pStyle w:val="ListParagraph"/>
        <w:numPr>
          <w:ilvl w:val="0"/>
          <w:numId w:val="7"/>
        </w:numPr>
        <w:ind w:left="900"/>
        <w:rPr>
          <w:b/>
          <w:sz w:val="24"/>
          <w:szCs w:val="24"/>
          <w:u w:val="single"/>
        </w:rPr>
      </w:pPr>
      <w:r>
        <w:rPr>
          <w:b/>
          <w:sz w:val="24"/>
          <w:szCs w:val="24"/>
        </w:rPr>
        <w:t>Justification for Sensitive Questions</w:t>
      </w:r>
    </w:p>
    <w:p w:rsidR="004A26DA" w:rsidP="004A26DA" w14:paraId="032D27D0" w14:textId="03E9CBB2">
      <w:pPr>
        <w:pStyle w:val="ListParagraph"/>
        <w:ind w:left="900"/>
        <w:rPr>
          <w:b/>
          <w:sz w:val="24"/>
          <w:szCs w:val="24"/>
        </w:rPr>
      </w:pPr>
      <w:r>
        <w:rPr>
          <w:sz w:val="24"/>
        </w:rPr>
        <w:t>The information collection does not contain any questions of a sensitive nature.</w:t>
      </w:r>
    </w:p>
    <w:p w:rsidR="004A26DA" w:rsidRPr="005E4CB8" w:rsidP="004A26DA" w14:paraId="335F1E0B" w14:textId="77777777">
      <w:pPr>
        <w:pStyle w:val="ListParagraph"/>
        <w:ind w:left="900"/>
        <w:rPr>
          <w:b/>
          <w:sz w:val="24"/>
          <w:szCs w:val="24"/>
          <w:u w:val="single"/>
        </w:rPr>
      </w:pPr>
    </w:p>
    <w:p w:rsidR="005E4CB8" w:rsidRPr="004A26DA" w:rsidP="005E4CB8" w14:paraId="35EB28B2" w14:textId="785F7372">
      <w:pPr>
        <w:pStyle w:val="ListParagraph"/>
        <w:numPr>
          <w:ilvl w:val="0"/>
          <w:numId w:val="7"/>
        </w:numPr>
        <w:ind w:left="900"/>
        <w:rPr>
          <w:b/>
          <w:sz w:val="24"/>
          <w:szCs w:val="24"/>
          <w:u w:val="single"/>
        </w:rPr>
      </w:pPr>
      <w:r>
        <w:rPr>
          <w:b/>
          <w:sz w:val="24"/>
          <w:szCs w:val="24"/>
        </w:rPr>
        <w:t>Estimates of Public Reporting Burden</w:t>
      </w:r>
    </w:p>
    <w:p w:rsidR="004A26DA" w:rsidP="004A26DA" w14:paraId="0DB91B23" w14:textId="53631809">
      <w:pPr>
        <w:pStyle w:val="ListParagraph"/>
        <w:ind w:left="900"/>
        <w:rPr>
          <w:snapToGrid w:val="0"/>
          <w:sz w:val="24"/>
          <w:szCs w:val="24"/>
        </w:rPr>
      </w:pPr>
      <w:r>
        <w:rPr>
          <w:snapToGrid w:val="0"/>
          <w:sz w:val="24"/>
          <w:szCs w:val="24"/>
        </w:rPr>
        <w:t>Below is our estimate of the Public Reporting Burden</w:t>
      </w:r>
      <w:r w:rsidR="00F57A14">
        <w:rPr>
          <w:snapToGrid w:val="0"/>
          <w:sz w:val="24"/>
          <w:szCs w:val="24"/>
        </w:rPr>
        <w:t xml:space="preserve">, calculated using the </w:t>
      </w:r>
      <w:r w:rsidR="005A0152">
        <w:rPr>
          <w:snapToGrid w:val="0"/>
          <w:sz w:val="24"/>
          <w:szCs w:val="24"/>
        </w:rPr>
        <w:t>completed interviews</w:t>
      </w:r>
      <w:r w:rsidR="00FE252E">
        <w:rPr>
          <w:snapToGrid w:val="0"/>
          <w:sz w:val="24"/>
          <w:szCs w:val="24"/>
        </w:rPr>
        <w:t xml:space="preserve"> from </w:t>
      </w:r>
      <w:r w:rsidR="00185535">
        <w:rPr>
          <w:snapToGrid w:val="0"/>
          <w:sz w:val="24"/>
          <w:szCs w:val="24"/>
        </w:rPr>
        <w:t>F</w:t>
      </w:r>
      <w:r w:rsidR="00AA10F2">
        <w:rPr>
          <w:snapToGrid w:val="0"/>
          <w:sz w:val="24"/>
          <w:szCs w:val="24"/>
        </w:rPr>
        <w:t xml:space="preserve">iscal </w:t>
      </w:r>
      <w:r w:rsidR="00185535">
        <w:rPr>
          <w:snapToGrid w:val="0"/>
          <w:sz w:val="24"/>
          <w:szCs w:val="24"/>
        </w:rPr>
        <w:t>Y</w:t>
      </w:r>
      <w:r w:rsidR="00AA10F2">
        <w:rPr>
          <w:snapToGrid w:val="0"/>
          <w:sz w:val="24"/>
          <w:szCs w:val="24"/>
        </w:rPr>
        <w:t>ear</w:t>
      </w:r>
      <w:r w:rsidR="00185535">
        <w:rPr>
          <w:snapToGrid w:val="0"/>
          <w:sz w:val="24"/>
          <w:szCs w:val="24"/>
        </w:rPr>
        <w:t xml:space="preserve"> 2025 for MNUP and for C</w:t>
      </w:r>
      <w:r w:rsidR="00AA10F2">
        <w:rPr>
          <w:snapToGrid w:val="0"/>
          <w:sz w:val="24"/>
          <w:szCs w:val="24"/>
        </w:rPr>
        <w:t xml:space="preserve">alendar </w:t>
      </w:r>
      <w:r w:rsidR="00185535">
        <w:rPr>
          <w:snapToGrid w:val="0"/>
          <w:sz w:val="24"/>
          <w:szCs w:val="24"/>
        </w:rPr>
        <w:t>Y</w:t>
      </w:r>
      <w:r w:rsidR="00AA10F2">
        <w:rPr>
          <w:snapToGrid w:val="0"/>
          <w:sz w:val="24"/>
          <w:szCs w:val="24"/>
        </w:rPr>
        <w:t>ear</w:t>
      </w:r>
      <w:r w:rsidR="00185535">
        <w:rPr>
          <w:snapToGrid w:val="0"/>
          <w:sz w:val="24"/>
          <w:szCs w:val="24"/>
        </w:rPr>
        <w:t xml:space="preserve"> 2025 for the Centenarian project.</w:t>
      </w:r>
    </w:p>
    <w:p w:rsidR="00185535" w:rsidP="004A26DA" w14:paraId="7F6098F8" w14:textId="77777777">
      <w:pPr>
        <w:pStyle w:val="ListParagraph"/>
        <w:ind w:left="900"/>
        <w:rPr>
          <w:snapToGrid w:val="0"/>
          <w:sz w:val="24"/>
          <w:szCs w:val="24"/>
        </w:rPr>
      </w:pPr>
    </w:p>
    <w:tbl>
      <w:tblPr>
        <w:tblStyle w:val="TableGrid"/>
        <w:tblW w:w="11467" w:type="dxa"/>
        <w:tblInd w:w="-1163" w:type="dxa"/>
        <w:tblLayout w:type="fixed"/>
        <w:tblLook w:val="04A0"/>
      </w:tblPr>
      <w:tblGrid>
        <w:gridCol w:w="1447"/>
        <w:gridCol w:w="1443"/>
        <w:gridCol w:w="1385"/>
        <w:gridCol w:w="1194"/>
        <w:gridCol w:w="1359"/>
        <w:gridCol w:w="1530"/>
        <w:gridCol w:w="1479"/>
        <w:gridCol w:w="1630"/>
      </w:tblGrid>
      <w:tr w14:paraId="3AA2C779" w14:textId="77777777" w:rsidTr="00B6654C">
        <w:tblPrEx>
          <w:tblW w:w="11467" w:type="dxa"/>
          <w:tblInd w:w="-1163" w:type="dxa"/>
          <w:tblLayout w:type="fixed"/>
          <w:tblLook w:val="04A0"/>
        </w:tblPrEx>
        <w:trPr>
          <w:trHeight w:val="300"/>
        </w:trPr>
        <w:tc>
          <w:tcPr>
            <w:tcW w:w="1447" w:type="dxa"/>
          </w:tcPr>
          <w:p w:rsidR="004A26DA" w:rsidRPr="006671E0" w:rsidP="004A26DA" w14:paraId="6D2F80D3" w14:textId="51BC6D55">
            <w:pPr>
              <w:pStyle w:val="ListParagraph"/>
              <w:ind w:left="0"/>
              <w:rPr>
                <w:bCs/>
                <w:snapToGrid w:val="0"/>
                <w:sz w:val="24"/>
                <w:szCs w:val="24"/>
              </w:rPr>
            </w:pPr>
            <w:r>
              <w:rPr>
                <w:bCs/>
                <w:sz w:val="24"/>
                <w:szCs w:val="24"/>
              </w:rPr>
              <w:t>Method</w:t>
            </w:r>
            <w:r w:rsidRPr="006671E0">
              <w:rPr>
                <w:bCs/>
                <w:sz w:val="24"/>
                <w:szCs w:val="24"/>
              </w:rPr>
              <w:t xml:space="preserve"> of Completion</w:t>
            </w:r>
          </w:p>
        </w:tc>
        <w:tc>
          <w:tcPr>
            <w:tcW w:w="1443" w:type="dxa"/>
          </w:tcPr>
          <w:p w:rsidR="004A26DA" w:rsidRPr="006671E0" w:rsidP="004A26DA" w14:paraId="526E1CFB" w14:textId="744896E0">
            <w:pPr>
              <w:pStyle w:val="ListParagraph"/>
              <w:ind w:left="0"/>
              <w:rPr>
                <w:bCs/>
                <w:snapToGrid w:val="0"/>
                <w:sz w:val="24"/>
                <w:szCs w:val="24"/>
              </w:rPr>
            </w:pPr>
            <w:r w:rsidRPr="006671E0">
              <w:rPr>
                <w:bCs/>
                <w:sz w:val="24"/>
                <w:szCs w:val="24"/>
              </w:rPr>
              <w:t>Number of Respondents</w:t>
            </w:r>
          </w:p>
        </w:tc>
        <w:tc>
          <w:tcPr>
            <w:tcW w:w="1385" w:type="dxa"/>
          </w:tcPr>
          <w:p w:rsidR="004A26DA" w:rsidRPr="006671E0" w:rsidP="004A26DA" w14:paraId="655AAC9D" w14:textId="1FD10191">
            <w:pPr>
              <w:pStyle w:val="ListParagraph"/>
              <w:ind w:left="0"/>
              <w:rPr>
                <w:bCs/>
                <w:snapToGrid w:val="0"/>
                <w:sz w:val="24"/>
                <w:szCs w:val="24"/>
              </w:rPr>
            </w:pPr>
            <w:r w:rsidRPr="006671E0">
              <w:rPr>
                <w:bCs/>
                <w:sz w:val="24"/>
                <w:szCs w:val="24"/>
              </w:rPr>
              <w:t>Frequency of Response</w:t>
            </w:r>
          </w:p>
        </w:tc>
        <w:tc>
          <w:tcPr>
            <w:tcW w:w="1194" w:type="dxa"/>
          </w:tcPr>
          <w:p w:rsidR="004A26DA" w:rsidRPr="006671E0" w:rsidP="004A26DA" w14:paraId="629CDE4C" w14:textId="3035EA9F">
            <w:pPr>
              <w:pStyle w:val="ListParagraph"/>
              <w:ind w:left="0"/>
              <w:rPr>
                <w:bCs/>
                <w:snapToGrid w:val="0"/>
                <w:sz w:val="24"/>
                <w:szCs w:val="24"/>
              </w:rPr>
            </w:pPr>
            <w:r w:rsidRPr="006671E0">
              <w:rPr>
                <w:bCs/>
                <w:sz w:val="24"/>
                <w:szCs w:val="24"/>
              </w:rPr>
              <w:t>Average Burden Per Response (minutes)</w:t>
            </w:r>
          </w:p>
        </w:tc>
        <w:tc>
          <w:tcPr>
            <w:tcW w:w="1359" w:type="dxa"/>
          </w:tcPr>
          <w:p w:rsidR="004A26DA" w:rsidRPr="006671E0" w:rsidP="004A26DA" w14:paraId="3708EC97" w14:textId="1F76B286">
            <w:pPr>
              <w:pStyle w:val="ListParagraph"/>
              <w:ind w:left="0"/>
              <w:rPr>
                <w:bCs/>
                <w:snapToGrid w:val="0"/>
                <w:sz w:val="24"/>
                <w:szCs w:val="24"/>
              </w:rPr>
            </w:pPr>
            <w:r w:rsidRPr="006671E0">
              <w:rPr>
                <w:bCs/>
                <w:sz w:val="24"/>
                <w:szCs w:val="24"/>
              </w:rPr>
              <w:t>Estimated Total Annual Burden (hours)</w:t>
            </w:r>
          </w:p>
        </w:tc>
        <w:tc>
          <w:tcPr>
            <w:tcW w:w="1530" w:type="dxa"/>
          </w:tcPr>
          <w:p w:rsidR="004A26DA" w:rsidRPr="006671E0" w:rsidP="004A26DA" w14:paraId="6C6934AB" w14:textId="2EAD145F">
            <w:pPr>
              <w:pStyle w:val="ListParagraph"/>
              <w:ind w:left="0"/>
              <w:rPr>
                <w:bCs/>
                <w:snapToGrid w:val="0"/>
                <w:sz w:val="24"/>
                <w:szCs w:val="24"/>
              </w:rPr>
            </w:pPr>
            <w:r w:rsidRPr="006671E0">
              <w:rPr>
                <w:bCs/>
                <w:sz w:val="24"/>
                <w:szCs w:val="24"/>
              </w:rPr>
              <w:t>Average Theoretical Hourly Cost Amount (dollars)*</w:t>
            </w:r>
          </w:p>
        </w:tc>
        <w:tc>
          <w:tcPr>
            <w:tcW w:w="1479" w:type="dxa"/>
          </w:tcPr>
          <w:p w:rsidR="004A26DA" w:rsidRPr="006671E0" w:rsidP="004A26DA" w14:paraId="7C494085" w14:textId="15F2BCBC">
            <w:pPr>
              <w:autoSpaceDE w:val="0"/>
              <w:autoSpaceDN w:val="0"/>
              <w:adjustRightInd w:val="0"/>
              <w:rPr>
                <w:rFonts w:eastAsia="Calibri"/>
                <w:bCs/>
                <w:sz w:val="24"/>
                <w:szCs w:val="24"/>
              </w:rPr>
            </w:pPr>
            <w:r w:rsidRPr="006671E0">
              <w:rPr>
                <w:rFonts w:eastAsia="Calibri"/>
                <w:bCs/>
                <w:sz w:val="24"/>
                <w:szCs w:val="24"/>
              </w:rPr>
              <w:t xml:space="preserve">Average Wait Time in Field Office </w:t>
            </w:r>
          </w:p>
          <w:p w:rsidR="004A26DA" w:rsidRPr="006671E0" w:rsidP="004A26DA" w14:paraId="1B167FD5" w14:textId="65343E99">
            <w:pPr>
              <w:pStyle w:val="ListParagraph"/>
              <w:ind w:left="0"/>
              <w:rPr>
                <w:bCs/>
                <w:snapToGrid w:val="0"/>
                <w:sz w:val="24"/>
                <w:szCs w:val="24"/>
              </w:rPr>
            </w:pPr>
            <w:r w:rsidRPr="006671E0">
              <w:rPr>
                <w:rFonts w:eastAsia="Calibri"/>
                <w:bCs/>
                <w:sz w:val="24"/>
                <w:szCs w:val="24"/>
                <w:lang w:val="x-none"/>
              </w:rPr>
              <w:t>(minutes) **</w:t>
            </w:r>
          </w:p>
        </w:tc>
        <w:tc>
          <w:tcPr>
            <w:tcW w:w="1630" w:type="dxa"/>
          </w:tcPr>
          <w:p w:rsidR="004A26DA" w:rsidRPr="006671E0" w:rsidP="004A26DA" w14:paraId="43A170E4" w14:textId="77777777">
            <w:pPr>
              <w:autoSpaceDE w:val="0"/>
              <w:autoSpaceDN w:val="0"/>
              <w:adjustRightInd w:val="0"/>
              <w:rPr>
                <w:bCs/>
                <w:sz w:val="24"/>
                <w:szCs w:val="24"/>
              </w:rPr>
            </w:pPr>
            <w:r w:rsidRPr="006671E0">
              <w:rPr>
                <w:bCs/>
                <w:sz w:val="24"/>
                <w:szCs w:val="24"/>
              </w:rPr>
              <w:t>Total Annual Opportunity Cost</w:t>
            </w:r>
          </w:p>
          <w:p w:rsidR="004A26DA" w:rsidRPr="006671E0" w:rsidP="004A26DA" w14:paraId="4932BDA9" w14:textId="09059C1C">
            <w:pPr>
              <w:pStyle w:val="ListParagraph"/>
              <w:ind w:left="0"/>
              <w:rPr>
                <w:bCs/>
                <w:snapToGrid w:val="0"/>
                <w:sz w:val="24"/>
                <w:szCs w:val="24"/>
              </w:rPr>
            </w:pPr>
            <w:r w:rsidRPr="006671E0">
              <w:rPr>
                <w:bCs/>
                <w:sz w:val="24"/>
                <w:szCs w:val="24"/>
              </w:rPr>
              <w:t>(dollars) *</w:t>
            </w:r>
            <w:r w:rsidRPr="006671E0" w:rsidR="00E25453">
              <w:rPr>
                <w:bCs/>
                <w:sz w:val="24"/>
                <w:szCs w:val="24"/>
              </w:rPr>
              <w:t>*</w:t>
            </w:r>
            <w:r w:rsidRPr="006671E0">
              <w:rPr>
                <w:bCs/>
                <w:sz w:val="24"/>
                <w:szCs w:val="24"/>
              </w:rPr>
              <w:t>*</w:t>
            </w:r>
          </w:p>
        </w:tc>
      </w:tr>
      <w:tr w14:paraId="09C1365F" w14:textId="77777777" w:rsidTr="00B6654C">
        <w:tblPrEx>
          <w:tblW w:w="11467" w:type="dxa"/>
          <w:tblInd w:w="-1163" w:type="dxa"/>
          <w:tblLayout w:type="fixed"/>
          <w:tblLook w:val="04A0"/>
        </w:tblPrEx>
        <w:trPr>
          <w:trHeight w:val="458"/>
        </w:trPr>
        <w:tc>
          <w:tcPr>
            <w:tcW w:w="1447" w:type="dxa"/>
          </w:tcPr>
          <w:p w:rsidR="004A26DA" w:rsidRPr="006671E0" w:rsidP="004A26DA" w14:paraId="6E85769A" w14:textId="5FF0686A">
            <w:pPr>
              <w:pStyle w:val="ListParagraph"/>
              <w:ind w:left="0"/>
              <w:rPr>
                <w:bCs/>
                <w:snapToGrid w:val="0"/>
                <w:sz w:val="24"/>
                <w:szCs w:val="24"/>
              </w:rPr>
            </w:pPr>
            <w:r w:rsidRPr="006671E0">
              <w:rPr>
                <w:bCs/>
                <w:snapToGrid w:val="0"/>
                <w:sz w:val="24"/>
                <w:szCs w:val="24"/>
              </w:rPr>
              <w:t>MNUP</w:t>
            </w:r>
            <w:r w:rsidR="00AB6A29">
              <w:rPr>
                <w:bCs/>
                <w:snapToGrid w:val="0"/>
                <w:sz w:val="24"/>
                <w:szCs w:val="24"/>
              </w:rPr>
              <w:t xml:space="preserve"> – Telephone Interview</w:t>
            </w:r>
          </w:p>
        </w:tc>
        <w:tc>
          <w:tcPr>
            <w:tcW w:w="1443" w:type="dxa"/>
          </w:tcPr>
          <w:p w:rsidR="004A26DA" w:rsidRPr="006671E0" w:rsidP="004A26DA" w14:paraId="1123ED6E" w14:textId="4DD6AA6B">
            <w:pPr>
              <w:pStyle w:val="ListParagraph"/>
              <w:ind w:left="0"/>
              <w:jc w:val="right"/>
              <w:rPr>
                <w:bCs/>
                <w:snapToGrid w:val="0"/>
                <w:sz w:val="24"/>
                <w:szCs w:val="24"/>
              </w:rPr>
            </w:pPr>
            <w:r>
              <w:rPr>
                <w:bCs/>
                <w:snapToGrid w:val="0"/>
                <w:sz w:val="24"/>
                <w:szCs w:val="24"/>
              </w:rPr>
              <w:t>3</w:t>
            </w:r>
            <w:r w:rsidRPr="006671E0" w:rsidR="006878DA">
              <w:rPr>
                <w:bCs/>
                <w:snapToGrid w:val="0"/>
                <w:sz w:val="24"/>
                <w:szCs w:val="24"/>
              </w:rPr>
              <w:t>,</w:t>
            </w:r>
            <w:r>
              <w:rPr>
                <w:bCs/>
                <w:snapToGrid w:val="0"/>
                <w:sz w:val="24"/>
                <w:szCs w:val="24"/>
              </w:rPr>
              <w:t>279</w:t>
            </w:r>
          </w:p>
        </w:tc>
        <w:tc>
          <w:tcPr>
            <w:tcW w:w="1385" w:type="dxa"/>
          </w:tcPr>
          <w:p w:rsidR="004A26DA" w:rsidRPr="006671E0" w:rsidP="004A26DA" w14:paraId="2A5855A0" w14:textId="3F416254">
            <w:pPr>
              <w:pStyle w:val="ListParagraph"/>
              <w:ind w:left="0"/>
              <w:jc w:val="right"/>
              <w:rPr>
                <w:bCs/>
                <w:snapToGrid w:val="0"/>
                <w:sz w:val="24"/>
                <w:szCs w:val="24"/>
              </w:rPr>
            </w:pPr>
            <w:r w:rsidRPr="006671E0">
              <w:rPr>
                <w:bCs/>
                <w:snapToGrid w:val="0"/>
                <w:sz w:val="24"/>
                <w:szCs w:val="24"/>
              </w:rPr>
              <w:t>1</w:t>
            </w:r>
          </w:p>
        </w:tc>
        <w:tc>
          <w:tcPr>
            <w:tcW w:w="1194" w:type="dxa"/>
          </w:tcPr>
          <w:p w:rsidR="004A26DA" w:rsidRPr="006671E0" w:rsidP="004A26DA" w14:paraId="19D9AB9A" w14:textId="4A6613B8">
            <w:pPr>
              <w:pStyle w:val="ListParagraph"/>
              <w:ind w:left="0"/>
              <w:jc w:val="right"/>
              <w:rPr>
                <w:bCs/>
                <w:snapToGrid w:val="0"/>
                <w:sz w:val="24"/>
                <w:szCs w:val="24"/>
              </w:rPr>
            </w:pPr>
            <w:r w:rsidRPr="006671E0">
              <w:rPr>
                <w:bCs/>
                <w:snapToGrid w:val="0"/>
                <w:sz w:val="24"/>
                <w:szCs w:val="24"/>
              </w:rPr>
              <w:t>15</w:t>
            </w:r>
          </w:p>
        </w:tc>
        <w:tc>
          <w:tcPr>
            <w:tcW w:w="1359" w:type="dxa"/>
          </w:tcPr>
          <w:p w:rsidR="004A26DA" w:rsidRPr="006671E0" w:rsidP="004A26DA" w14:paraId="4E98E991" w14:textId="7F654AE0">
            <w:pPr>
              <w:pStyle w:val="ListParagraph"/>
              <w:ind w:left="0"/>
              <w:jc w:val="right"/>
              <w:rPr>
                <w:bCs/>
                <w:snapToGrid w:val="0"/>
                <w:sz w:val="24"/>
                <w:szCs w:val="24"/>
              </w:rPr>
            </w:pPr>
            <w:r>
              <w:rPr>
                <w:bCs/>
                <w:snapToGrid w:val="0"/>
                <w:sz w:val="24"/>
                <w:szCs w:val="24"/>
              </w:rPr>
              <w:t>820</w:t>
            </w:r>
          </w:p>
        </w:tc>
        <w:tc>
          <w:tcPr>
            <w:tcW w:w="1530" w:type="dxa"/>
          </w:tcPr>
          <w:p w:rsidR="004A26DA" w:rsidRPr="006671E0" w:rsidP="004A26DA" w14:paraId="5B454979" w14:textId="2CF3F8AF">
            <w:pPr>
              <w:pStyle w:val="ListParagraph"/>
              <w:ind w:left="0"/>
              <w:jc w:val="right"/>
              <w:rPr>
                <w:bCs/>
                <w:snapToGrid w:val="0"/>
                <w:sz w:val="24"/>
                <w:szCs w:val="24"/>
              </w:rPr>
            </w:pPr>
            <w:r w:rsidRPr="006671E0">
              <w:rPr>
                <w:bCs/>
                <w:sz w:val="24"/>
                <w:szCs w:val="24"/>
              </w:rPr>
              <w:t>$</w:t>
            </w:r>
            <w:r w:rsidRPr="006671E0" w:rsidR="0074172E">
              <w:rPr>
                <w:bCs/>
                <w:sz w:val="24"/>
                <w:szCs w:val="24"/>
              </w:rPr>
              <w:t>32.66</w:t>
            </w:r>
            <w:r w:rsidR="00B6654C">
              <w:rPr>
                <w:bCs/>
                <w:sz w:val="24"/>
                <w:szCs w:val="24"/>
              </w:rPr>
              <w:t>*</w:t>
            </w:r>
          </w:p>
        </w:tc>
        <w:tc>
          <w:tcPr>
            <w:tcW w:w="1479" w:type="dxa"/>
          </w:tcPr>
          <w:p w:rsidR="004A26DA" w:rsidRPr="006671E0" w:rsidP="004A26DA" w14:paraId="0C209315" w14:textId="6557552F">
            <w:pPr>
              <w:pStyle w:val="ListParagraph"/>
              <w:ind w:left="0"/>
              <w:jc w:val="right"/>
              <w:rPr>
                <w:bCs/>
                <w:snapToGrid w:val="0"/>
                <w:sz w:val="24"/>
                <w:szCs w:val="24"/>
              </w:rPr>
            </w:pPr>
          </w:p>
        </w:tc>
        <w:tc>
          <w:tcPr>
            <w:tcW w:w="1630" w:type="dxa"/>
          </w:tcPr>
          <w:p w:rsidR="004A26DA" w:rsidRPr="006671E0" w:rsidP="004A26DA" w14:paraId="58B74439" w14:textId="7834F099">
            <w:pPr>
              <w:pStyle w:val="ListParagraph"/>
              <w:ind w:left="0"/>
              <w:jc w:val="right"/>
              <w:rPr>
                <w:bCs/>
                <w:snapToGrid w:val="0"/>
                <w:sz w:val="24"/>
                <w:szCs w:val="24"/>
              </w:rPr>
            </w:pPr>
            <w:r w:rsidRPr="006671E0">
              <w:rPr>
                <w:bCs/>
                <w:snapToGrid w:val="0"/>
                <w:sz w:val="24"/>
                <w:szCs w:val="24"/>
              </w:rPr>
              <w:t>$</w:t>
            </w:r>
            <w:r w:rsidR="001C4C9F">
              <w:rPr>
                <w:bCs/>
                <w:snapToGrid w:val="0"/>
                <w:sz w:val="24"/>
                <w:szCs w:val="24"/>
              </w:rPr>
              <w:t>26,781</w:t>
            </w:r>
          </w:p>
        </w:tc>
      </w:tr>
      <w:tr w14:paraId="50CCC099" w14:textId="77777777" w:rsidTr="00B6654C">
        <w:tblPrEx>
          <w:tblW w:w="11467" w:type="dxa"/>
          <w:tblInd w:w="-1163" w:type="dxa"/>
          <w:tblLayout w:type="fixed"/>
          <w:tblLook w:val="04A0"/>
        </w:tblPrEx>
        <w:trPr>
          <w:trHeight w:val="458"/>
        </w:trPr>
        <w:tc>
          <w:tcPr>
            <w:tcW w:w="1447" w:type="dxa"/>
          </w:tcPr>
          <w:p w:rsidR="00AB6A29" w:rsidRPr="006671E0" w:rsidP="004A26DA" w14:paraId="697ADFA4" w14:textId="37E7799B">
            <w:pPr>
              <w:pStyle w:val="ListParagraph"/>
              <w:ind w:left="0"/>
              <w:rPr>
                <w:bCs/>
                <w:snapToGrid w:val="0"/>
                <w:sz w:val="24"/>
                <w:szCs w:val="24"/>
              </w:rPr>
            </w:pPr>
            <w:r>
              <w:rPr>
                <w:bCs/>
                <w:snapToGrid w:val="0"/>
                <w:sz w:val="24"/>
                <w:szCs w:val="24"/>
              </w:rPr>
              <w:t>MNUP-Field Office Interview</w:t>
            </w:r>
          </w:p>
        </w:tc>
        <w:tc>
          <w:tcPr>
            <w:tcW w:w="1443" w:type="dxa"/>
          </w:tcPr>
          <w:p w:rsidR="00AB6A29" w:rsidRPr="006671E0" w:rsidP="004A26DA" w14:paraId="29E28553" w14:textId="01B66437">
            <w:pPr>
              <w:pStyle w:val="ListParagraph"/>
              <w:ind w:left="0"/>
              <w:jc w:val="right"/>
              <w:rPr>
                <w:bCs/>
                <w:snapToGrid w:val="0"/>
                <w:sz w:val="24"/>
                <w:szCs w:val="24"/>
              </w:rPr>
            </w:pPr>
            <w:r>
              <w:rPr>
                <w:bCs/>
                <w:snapToGrid w:val="0"/>
                <w:sz w:val="24"/>
                <w:szCs w:val="24"/>
              </w:rPr>
              <w:t>1,125</w:t>
            </w:r>
          </w:p>
        </w:tc>
        <w:tc>
          <w:tcPr>
            <w:tcW w:w="1385" w:type="dxa"/>
          </w:tcPr>
          <w:p w:rsidR="00AB6A29" w:rsidRPr="006671E0" w:rsidP="004A26DA" w14:paraId="72218675" w14:textId="4D2F4D66">
            <w:pPr>
              <w:pStyle w:val="ListParagraph"/>
              <w:ind w:left="0"/>
              <w:jc w:val="right"/>
              <w:rPr>
                <w:bCs/>
                <w:snapToGrid w:val="0"/>
                <w:sz w:val="24"/>
                <w:szCs w:val="24"/>
              </w:rPr>
            </w:pPr>
            <w:r>
              <w:rPr>
                <w:bCs/>
                <w:snapToGrid w:val="0"/>
                <w:sz w:val="24"/>
                <w:szCs w:val="24"/>
              </w:rPr>
              <w:t>1</w:t>
            </w:r>
          </w:p>
        </w:tc>
        <w:tc>
          <w:tcPr>
            <w:tcW w:w="1194" w:type="dxa"/>
          </w:tcPr>
          <w:p w:rsidR="00AB6A29" w:rsidRPr="006671E0" w:rsidP="004A26DA" w14:paraId="0B303762" w14:textId="1AAC6627">
            <w:pPr>
              <w:pStyle w:val="ListParagraph"/>
              <w:ind w:left="0"/>
              <w:jc w:val="right"/>
              <w:rPr>
                <w:bCs/>
                <w:snapToGrid w:val="0"/>
                <w:sz w:val="24"/>
                <w:szCs w:val="24"/>
              </w:rPr>
            </w:pPr>
            <w:r>
              <w:rPr>
                <w:bCs/>
                <w:snapToGrid w:val="0"/>
                <w:sz w:val="24"/>
                <w:szCs w:val="24"/>
              </w:rPr>
              <w:t>15</w:t>
            </w:r>
          </w:p>
        </w:tc>
        <w:tc>
          <w:tcPr>
            <w:tcW w:w="1359" w:type="dxa"/>
          </w:tcPr>
          <w:p w:rsidR="00AB6A29" w:rsidRPr="006671E0" w:rsidP="004A26DA" w14:paraId="53C96E43" w14:textId="6F44988A">
            <w:pPr>
              <w:pStyle w:val="ListParagraph"/>
              <w:ind w:left="0"/>
              <w:jc w:val="right"/>
              <w:rPr>
                <w:bCs/>
                <w:snapToGrid w:val="0"/>
                <w:sz w:val="24"/>
                <w:szCs w:val="24"/>
              </w:rPr>
            </w:pPr>
            <w:r>
              <w:rPr>
                <w:bCs/>
                <w:snapToGrid w:val="0"/>
                <w:sz w:val="24"/>
                <w:szCs w:val="24"/>
              </w:rPr>
              <w:t>281</w:t>
            </w:r>
          </w:p>
        </w:tc>
        <w:tc>
          <w:tcPr>
            <w:tcW w:w="1530" w:type="dxa"/>
          </w:tcPr>
          <w:p w:rsidR="00AB6A29" w:rsidRPr="006671E0" w:rsidP="004A26DA" w14:paraId="7197DB00" w14:textId="7C6011DA">
            <w:pPr>
              <w:pStyle w:val="ListParagraph"/>
              <w:ind w:left="0"/>
              <w:jc w:val="right"/>
              <w:rPr>
                <w:bCs/>
                <w:sz w:val="24"/>
                <w:szCs w:val="24"/>
              </w:rPr>
            </w:pPr>
            <w:r>
              <w:rPr>
                <w:bCs/>
                <w:sz w:val="24"/>
                <w:szCs w:val="24"/>
              </w:rPr>
              <w:t>$32.66*</w:t>
            </w:r>
          </w:p>
        </w:tc>
        <w:tc>
          <w:tcPr>
            <w:tcW w:w="1479" w:type="dxa"/>
          </w:tcPr>
          <w:p w:rsidR="00AB6A29" w:rsidP="004A26DA" w14:paraId="69B986F5" w14:textId="5922B753">
            <w:pPr>
              <w:pStyle w:val="ListParagraph"/>
              <w:ind w:left="0"/>
              <w:jc w:val="right"/>
              <w:rPr>
                <w:rFonts w:cs="Courier New"/>
                <w:bCs/>
                <w:sz w:val="24"/>
                <w:szCs w:val="24"/>
              </w:rPr>
            </w:pPr>
            <w:r>
              <w:rPr>
                <w:rFonts w:cs="Courier New"/>
                <w:bCs/>
                <w:sz w:val="24"/>
                <w:szCs w:val="24"/>
              </w:rPr>
              <w:t>22**</w:t>
            </w:r>
          </w:p>
        </w:tc>
        <w:tc>
          <w:tcPr>
            <w:tcW w:w="1630" w:type="dxa"/>
          </w:tcPr>
          <w:p w:rsidR="00AB6A29" w:rsidRPr="006671E0" w:rsidP="004A26DA" w14:paraId="0D7B5DDE" w14:textId="677DBF37">
            <w:pPr>
              <w:pStyle w:val="ListParagraph"/>
              <w:ind w:left="0"/>
              <w:jc w:val="right"/>
              <w:rPr>
                <w:bCs/>
                <w:snapToGrid w:val="0"/>
                <w:sz w:val="24"/>
                <w:szCs w:val="24"/>
              </w:rPr>
            </w:pPr>
            <w:r>
              <w:rPr>
                <w:bCs/>
                <w:snapToGrid w:val="0"/>
                <w:sz w:val="24"/>
                <w:szCs w:val="24"/>
              </w:rPr>
              <w:t>$22,666</w:t>
            </w:r>
          </w:p>
        </w:tc>
      </w:tr>
      <w:tr w14:paraId="3721F3EA" w14:textId="77777777" w:rsidTr="00B6654C">
        <w:tblPrEx>
          <w:tblW w:w="11467" w:type="dxa"/>
          <w:tblInd w:w="-1163" w:type="dxa"/>
          <w:tblLayout w:type="fixed"/>
          <w:tblLook w:val="04A0"/>
        </w:tblPrEx>
        <w:trPr>
          <w:trHeight w:val="300"/>
        </w:trPr>
        <w:tc>
          <w:tcPr>
            <w:tcW w:w="1447" w:type="dxa"/>
          </w:tcPr>
          <w:p w:rsidR="74DA2A19" w:rsidRPr="006671E0" w:rsidP="2B51FAB9" w14:paraId="2D9D5604" w14:textId="7DA643C5">
            <w:pPr>
              <w:rPr>
                <w:bCs/>
              </w:rPr>
            </w:pPr>
            <w:r w:rsidRPr="006671E0">
              <w:rPr>
                <w:bCs/>
                <w:sz w:val="24"/>
                <w:szCs w:val="24"/>
              </w:rPr>
              <w:t>International Centenarian Project</w:t>
            </w:r>
          </w:p>
        </w:tc>
        <w:tc>
          <w:tcPr>
            <w:tcW w:w="1443" w:type="dxa"/>
          </w:tcPr>
          <w:p w:rsidR="74DA2A19" w:rsidRPr="006671E0" w:rsidP="00477305" w14:paraId="29D4258A" w14:textId="7C8A9BF6">
            <w:pPr>
              <w:jc w:val="right"/>
              <w:rPr>
                <w:bCs/>
                <w:sz w:val="24"/>
                <w:szCs w:val="24"/>
              </w:rPr>
            </w:pPr>
            <w:r w:rsidRPr="006671E0">
              <w:rPr>
                <w:bCs/>
                <w:sz w:val="24"/>
                <w:szCs w:val="24"/>
              </w:rPr>
              <w:t>4,220</w:t>
            </w:r>
          </w:p>
        </w:tc>
        <w:tc>
          <w:tcPr>
            <w:tcW w:w="1385" w:type="dxa"/>
          </w:tcPr>
          <w:p w:rsidR="74DA2A19" w:rsidRPr="006671E0" w:rsidP="00477305" w14:paraId="2034A72C" w14:textId="3D1528C8">
            <w:pPr>
              <w:pStyle w:val="ListParagraph"/>
              <w:jc w:val="right"/>
              <w:rPr>
                <w:bCs/>
                <w:sz w:val="24"/>
                <w:szCs w:val="24"/>
              </w:rPr>
            </w:pPr>
            <w:r w:rsidRPr="006671E0">
              <w:rPr>
                <w:bCs/>
                <w:sz w:val="24"/>
                <w:szCs w:val="24"/>
              </w:rPr>
              <w:t>1</w:t>
            </w:r>
          </w:p>
        </w:tc>
        <w:tc>
          <w:tcPr>
            <w:tcW w:w="1194" w:type="dxa"/>
          </w:tcPr>
          <w:p w:rsidR="74DA2A19" w:rsidRPr="006671E0" w:rsidP="00477305" w14:paraId="1DFAE922" w14:textId="0D21E1D3">
            <w:pPr>
              <w:pStyle w:val="ListParagraph"/>
              <w:jc w:val="right"/>
              <w:rPr>
                <w:bCs/>
                <w:sz w:val="24"/>
                <w:szCs w:val="24"/>
              </w:rPr>
            </w:pPr>
            <w:r w:rsidRPr="006671E0">
              <w:rPr>
                <w:bCs/>
                <w:sz w:val="24"/>
                <w:szCs w:val="24"/>
              </w:rPr>
              <w:t>15</w:t>
            </w:r>
          </w:p>
        </w:tc>
        <w:tc>
          <w:tcPr>
            <w:tcW w:w="1359" w:type="dxa"/>
          </w:tcPr>
          <w:p w:rsidR="74DA2A19" w:rsidRPr="00B6654C" w:rsidP="00B6654C" w14:paraId="1B8E0255" w14:textId="0D204716">
            <w:pPr>
              <w:jc w:val="right"/>
              <w:rPr>
                <w:bCs/>
                <w:sz w:val="24"/>
                <w:szCs w:val="24"/>
              </w:rPr>
            </w:pPr>
            <w:r w:rsidRPr="00B6654C">
              <w:rPr>
                <w:bCs/>
                <w:sz w:val="24"/>
                <w:szCs w:val="24"/>
              </w:rPr>
              <w:t>1</w:t>
            </w:r>
            <w:r w:rsidRPr="00B6654C" w:rsidR="008313B4">
              <w:rPr>
                <w:bCs/>
                <w:sz w:val="24"/>
                <w:szCs w:val="24"/>
              </w:rPr>
              <w:t>,</w:t>
            </w:r>
            <w:r w:rsidRPr="00B6654C">
              <w:rPr>
                <w:bCs/>
                <w:sz w:val="24"/>
                <w:szCs w:val="24"/>
              </w:rPr>
              <w:t>05</w:t>
            </w:r>
            <w:r w:rsidRPr="00B6654C" w:rsidR="00B6654C">
              <w:rPr>
                <w:bCs/>
                <w:sz w:val="24"/>
                <w:szCs w:val="24"/>
              </w:rPr>
              <w:t>5</w:t>
            </w:r>
          </w:p>
        </w:tc>
        <w:tc>
          <w:tcPr>
            <w:tcW w:w="1530" w:type="dxa"/>
          </w:tcPr>
          <w:p w:rsidR="74DA2A19" w:rsidRPr="002849B7" w:rsidP="002849B7" w14:paraId="305557B3" w14:textId="26980E1E">
            <w:pPr>
              <w:jc w:val="right"/>
              <w:rPr>
                <w:bCs/>
                <w:sz w:val="24"/>
                <w:szCs w:val="24"/>
              </w:rPr>
            </w:pPr>
            <w:r w:rsidRPr="002849B7">
              <w:rPr>
                <w:bCs/>
                <w:sz w:val="24"/>
                <w:szCs w:val="24"/>
              </w:rPr>
              <w:t>$32.66</w:t>
            </w:r>
            <w:r w:rsidR="00B6654C">
              <w:rPr>
                <w:bCs/>
                <w:sz w:val="24"/>
                <w:szCs w:val="24"/>
              </w:rPr>
              <w:t>*</w:t>
            </w:r>
          </w:p>
        </w:tc>
        <w:tc>
          <w:tcPr>
            <w:tcW w:w="1479" w:type="dxa"/>
          </w:tcPr>
          <w:p w:rsidR="74DA2A19" w:rsidRPr="006671E0" w:rsidP="003846EC" w14:paraId="7BE522D7" w14:textId="25DE83C0">
            <w:pPr>
              <w:pStyle w:val="ListParagraph"/>
              <w:jc w:val="right"/>
              <w:rPr>
                <w:rFonts w:cs="Courier New"/>
                <w:bCs/>
                <w:sz w:val="24"/>
                <w:szCs w:val="24"/>
              </w:rPr>
            </w:pPr>
          </w:p>
        </w:tc>
        <w:tc>
          <w:tcPr>
            <w:tcW w:w="1630" w:type="dxa"/>
          </w:tcPr>
          <w:p w:rsidR="74DA2A19" w:rsidRPr="00B8367C" w:rsidP="00B8367C" w14:paraId="14175D5C" w14:textId="30D67A81">
            <w:pPr>
              <w:jc w:val="right"/>
              <w:rPr>
                <w:bCs/>
                <w:sz w:val="24"/>
                <w:szCs w:val="24"/>
              </w:rPr>
            </w:pPr>
            <w:r w:rsidRPr="00B8367C">
              <w:rPr>
                <w:bCs/>
                <w:sz w:val="24"/>
                <w:szCs w:val="24"/>
              </w:rPr>
              <w:t>$</w:t>
            </w:r>
            <w:r w:rsidR="00394A5C">
              <w:rPr>
                <w:bCs/>
                <w:sz w:val="24"/>
                <w:szCs w:val="24"/>
              </w:rPr>
              <w:t>34,456</w:t>
            </w:r>
          </w:p>
        </w:tc>
      </w:tr>
      <w:tr w14:paraId="735F7ABC" w14:textId="77777777" w:rsidTr="00B6654C">
        <w:tblPrEx>
          <w:tblW w:w="11467" w:type="dxa"/>
          <w:tblInd w:w="-1163" w:type="dxa"/>
          <w:tblLayout w:type="fixed"/>
          <w:tblLook w:val="04A0"/>
        </w:tblPrEx>
        <w:trPr>
          <w:trHeight w:val="300"/>
        </w:trPr>
        <w:tc>
          <w:tcPr>
            <w:tcW w:w="1447" w:type="dxa"/>
          </w:tcPr>
          <w:p w:rsidR="004A26DA" w:rsidRPr="006671E0" w:rsidP="004A26DA" w14:paraId="13529B67" w14:textId="6EDE91A7">
            <w:pPr>
              <w:pStyle w:val="ListParagraph"/>
              <w:ind w:left="0"/>
              <w:rPr>
                <w:bCs/>
                <w:snapToGrid w:val="0"/>
                <w:sz w:val="24"/>
                <w:szCs w:val="24"/>
              </w:rPr>
            </w:pPr>
            <w:r w:rsidRPr="006671E0">
              <w:rPr>
                <w:bCs/>
                <w:snapToGrid w:val="0"/>
                <w:sz w:val="24"/>
                <w:szCs w:val="24"/>
              </w:rPr>
              <w:t>Totals</w:t>
            </w:r>
          </w:p>
        </w:tc>
        <w:tc>
          <w:tcPr>
            <w:tcW w:w="1443" w:type="dxa"/>
          </w:tcPr>
          <w:p w:rsidR="004A26DA" w:rsidRPr="006671E0" w:rsidP="004A26DA" w14:paraId="63206B8F" w14:textId="4AA22EAE">
            <w:pPr>
              <w:pStyle w:val="ListParagraph"/>
              <w:ind w:left="0"/>
              <w:jc w:val="right"/>
              <w:rPr>
                <w:bCs/>
                <w:snapToGrid w:val="0"/>
                <w:sz w:val="24"/>
                <w:szCs w:val="24"/>
              </w:rPr>
            </w:pPr>
            <w:r w:rsidRPr="006671E0">
              <w:rPr>
                <w:bCs/>
                <w:snapToGrid w:val="0"/>
                <w:sz w:val="24"/>
                <w:szCs w:val="24"/>
              </w:rPr>
              <w:t>8,624</w:t>
            </w:r>
          </w:p>
        </w:tc>
        <w:tc>
          <w:tcPr>
            <w:tcW w:w="1385" w:type="dxa"/>
          </w:tcPr>
          <w:p w:rsidR="004A26DA" w:rsidRPr="006671E0" w:rsidP="004A26DA" w14:paraId="6DCB4ACA" w14:textId="77777777">
            <w:pPr>
              <w:pStyle w:val="ListParagraph"/>
              <w:ind w:left="0"/>
              <w:jc w:val="right"/>
              <w:rPr>
                <w:bCs/>
                <w:snapToGrid w:val="0"/>
                <w:sz w:val="24"/>
                <w:szCs w:val="24"/>
              </w:rPr>
            </w:pPr>
          </w:p>
        </w:tc>
        <w:tc>
          <w:tcPr>
            <w:tcW w:w="1194" w:type="dxa"/>
          </w:tcPr>
          <w:p w:rsidR="004A26DA" w:rsidRPr="006671E0" w:rsidP="004A26DA" w14:paraId="2B0116E1" w14:textId="77777777">
            <w:pPr>
              <w:pStyle w:val="ListParagraph"/>
              <w:ind w:left="0"/>
              <w:jc w:val="right"/>
              <w:rPr>
                <w:bCs/>
                <w:snapToGrid w:val="0"/>
                <w:sz w:val="24"/>
                <w:szCs w:val="24"/>
              </w:rPr>
            </w:pPr>
          </w:p>
        </w:tc>
        <w:tc>
          <w:tcPr>
            <w:tcW w:w="1359" w:type="dxa"/>
          </w:tcPr>
          <w:p w:rsidR="004A26DA" w:rsidRPr="006671E0" w:rsidP="004A26DA" w14:paraId="63D77400" w14:textId="650976B1">
            <w:pPr>
              <w:pStyle w:val="ListParagraph"/>
              <w:ind w:left="0"/>
              <w:jc w:val="right"/>
              <w:rPr>
                <w:bCs/>
                <w:snapToGrid w:val="0"/>
                <w:sz w:val="24"/>
                <w:szCs w:val="24"/>
              </w:rPr>
            </w:pPr>
            <w:r w:rsidRPr="006671E0">
              <w:rPr>
                <w:bCs/>
                <w:snapToGrid w:val="0"/>
                <w:sz w:val="24"/>
                <w:szCs w:val="24"/>
              </w:rPr>
              <w:t>2</w:t>
            </w:r>
            <w:r w:rsidR="001E644D">
              <w:rPr>
                <w:bCs/>
                <w:snapToGrid w:val="0"/>
                <w:sz w:val="24"/>
                <w:szCs w:val="24"/>
              </w:rPr>
              <w:t>,</w:t>
            </w:r>
            <w:r w:rsidRPr="006671E0">
              <w:rPr>
                <w:bCs/>
                <w:snapToGrid w:val="0"/>
                <w:sz w:val="24"/>
                <w:szCs w:val="24"/>
              </w:rPr>
              <w:t>1</w:t>
            </w:r>
            <w:r w:rsidR="000824E1">
              <w:rPr>
                <w:bCs/>
                <w:snapToGrid w:val="0"/>
                <w:sz w:val="24"/>
                <w:szCs w:val="24"/>
              </w:rPr>
              <w:t>5</w:t>
            </w:r>
            <w:r w:rsidRPr="006671E0">
              <w:rPr>
                <w:bCs/>
                <w:snapToGrid w:val="0"/>
                <w:sz w:val="24"/>
                <w:szCs w:val="24"/>
              </w:rPr>
              <w:t>6</w:t>
            </w:r>
          </w:p>
        </w:tc>
        <w:tc>
          <w:tcPr>
            <w:tcW w:w="1530" w:type="dxa"/>
          </w:tcPr>
          <w:p w:rsidR="004A26DA" w:rsidRPr="006671E0" w:rsidP="004A26DA" w14:paraId="5B8A2207" w14:textId="77777777">
            <w:pPr>
              <w:pStyle w:val="ListParagraph"/>
              <w:ind w:left="0"/>
              <w:jc w:val="right"/>
              <w:rPr>
                <w:bCs/>
                <w:snapToGrid w:val="0"/>
                <w:sz w:val="24"/>
                <w:szCs w:val="24"/>
              </w:rPr>
            </w:pPr>
          </w:p>
        </w:tc>
        <w:tc>
          <w:tcPr>
            <w:tcW w:w="1479" w:type="dxa"/>
          </w:tcPr>
          <w:p w:rsidR="004A26DA" w:rsidRPr="006671E0" w:rsidP="004A26DA" w14:paraId="5D485450" w14:textId="77777777">
            <w:pPr>
              <w:pStyle w:val="ListParagraph"/>
              <w:ind w:left="0"/>
              <w:jc w:val="right"/>
              <w:rPr>
                <w:bCs/>
                <w:snapToGrid w:val="0"/>
                <w:sz w:val="24"/>
                <w:szCs w:val="24"/>
              </w:rPr>
            </w:pPr>
          </w:p>
        </w:tc>
        <w:tc>
          <w:tcPr>
            <w:tcW w:w="1630" w:type="dxa"/>
          </w:tcPr>
          <w:p w:rsidR="004A26DA" w:rsidRPr="006671E0" w:rsidP="004A26DA" w14:paraId="3AD75EE0" w14:textId="70F8D159">
            <w:pPr>
              <w:pStyle w:val="ListParagraph"/>
              <w:ind w:left="0"/>
              <w:jc w:val="right"/>
              <w:rPr>
                <w:bCs/>
                <w:snapToGrid w:val="0"/>
                <w:sz w:val="24"/>
                <w:szCs w:val="24"/>
              </w:rPr>
            </w:pPr>
            <w:r w:rsidRPr="006671E0">
              <w:rPr>
                <w:bCs/>
                <w:snapToGrid w:val="0"/>
                <w:sz w:val="24"/>
                <w:szCs w:val="24"/>
              </w:rPr>
              <w:t>$</w:t>
            </w:r>
            <w:r w:rsidR="00394A5C">
              <w:rPr>
                <w:bCs/>
                <w:snapToGrid w:val="0"/>
                <w:sz w:val="24"/>
                <w:szCs w:val="24"/>
              </w:rPr>
              <w:t>83,903</w:t>
            </w:r>
          </w:p>
        </w:tc>
      </w:tr>
    </w:tbl>
    <w:p w:rsidR="004A26DA" w:rsidP="00975665" w14:paraId="6B175EC8" w14:textId="7C502575">
      <w:pPr>
        <w:pStyle w:val="ListParagraph"/>
        <w:ind w:left="900"/>
        <w:rPr>
          <w:sz w:val="24"/>
          <w:szCs w:val="24"/>
        </w:rPr>
      </w:pPr>
      <w:bookmarkStart w:id="1" w:name="_Hlk86926304"/>
      <w:bookmarkStart w:id="2" w:name="_Hlk86926357"/>
      <w:bookmarkStart w:id="3" w:name="_Hlk97277368"/>
      <w:r w:rsidRPr="004A26DA">
        <w:rPr>
          <w:bCs/>
          <w:sz w:val="24"/>
          <w:szCs w:val="24"/>
        </w:rPr>
        <w:t>*</w:t>
      </w:r>
      <w:r w:rsidRPr="004A26DA">
        <w:rPr>
          <w:b/>
          <w:sz w:val="24"/>
          <w:szCs w:val="24"/>
        </w:rPr>
        <w:t xml:space="preserve"> </w:t>
      </w:r>
      <w:r w:rsidRPr="004A26DA">
        <w:rPr>
          <w:sz w:val="24"/>
          <w:szCs w:val="24"/>
        </w:rPr>
        <w:t>We based this figure on the average U.S. worker’s hourly wages, as reported by Bureau of Labor Statistics data</w:t>
      </w:r>
      <w:bookmarkEnd w:id="1"/>
      <w:r w:rsidRPr="004A26DA">
        <w:rPr>
          <w:sz w:val="24"/>
          <w:szCs w:val="24"/>
        </w:rPr>
        <w:t xml:space="preserve"> </w:t>
      </w:r>
      <w:r w:rsidRPr="00975665" w:rsidR="00975665">
        <w:rPr>
          <w:sz w:val="24"/>
          <w:szCs w:val="24"/>
        </w:rPr>
        <w:t>(</w:t>
      </w:r>
      <w:bookmarkEnd w:id="2"/>
      <w:bookmarkEnd w:id="3"/>
      <w:hyperlink r:id="rId5" w:anchor="/industry/000000" w:history="1">
        <w:r w:rsidRPr="006C7EB5" w:rsidR="00674BA4">
          <w:rPr>
            <w:rStyle w:val="Hyperlink"/>
            <w:sz w:val="24"/>
            <w:szCs w:val="24"/>
          </w:rPr>
          <w:t>Occupational Employment and Wage Statistics</w:t>
        </w:r>
      </w:hyperlink>
      <w:r w:rsidR="00674BA4">
        <w:t>).</w:t>
      </w:r>
    </w:p>
    <w:p w:rsidR="00975665" w:rsidRPr="00975665" w:rsidP="00975665" w14:paraId="4F2730C2" w14:textId="77777777">
      <w:pPr>
        <w:pStyle w:val="ListParagraph"/>
        <w:ind w:left="900"/>
        <w:rPr>
          <w:sz w:val="24"/>
          <w:szCs w:val="24"/>
        </w:rPr>
      </w:pPr>
    </w:p>
    <w:p w:rsidR="00B6654C" w:rsidP="00137F1C" w14:paraId="03D9FBC0" w14:textId="0C99C632">
      <w:pPr>
        <w:ind w:left="900"/>
        <w:rPr>
          <w:sz w:val="24"/>
          <w:szCs w:val="24"/>
        </w:rPr>
      </w:pPr>
      <w:bookmarkStart w:id="4" w:name="_Hlk97277382"/>
      <w:r w:rsidRPr="004A26DA">
        <w:rPr>
          <w:snapToGrid w:val="0"/>
          <w:sz w:val="24"/>
          <w:szCs w:val="24"/>
          <w:lang w:eastAsia="en-US"/>
        </w:rPr>
        <w:t>*</w:t>
      </w:r>
      <w:r w:rsidR="00833E0E">
        <w:rPr>
          <w:snapToGrid w:val="0"/>
          <w:sz w:val="24"/>
          <w:szCs w:val="24"/>
          <w:lang w:eastAsia="en-US"/>
        </w:rPr>
        <w:t>*</w:t>
      </w:r>
      <w:r w:rsidRPr="004A26DA">
        <w:rPr>
          <w:snapToGrid w:val="0"/>
          <w:sz w:val="24"/>
          <w:szCs w:val="24"/>
          <w:lang w:eastAsia="en-US"/>
        </w:rPr>
        <w:t xml:space="preserve"> </w:t>
      </w:r>
      <w:bookmarkEnd w:id="4"/>
      <w:r w:rsidRPr="00424B49">
        <w:rPr>
          <w:sz w:val="24"/>
          <w:szCs w:val="24"/>
        </w:rPr>
        <w:t>We based this figure on the average FY 2026 wait times for field offices (2</w:t>
      </w:r>
      <w:r>
        <w:rPr>
          <w:sz w:val="24"/>
          <w:szCs w:val="24"/>
        </w:rPr>
        <w:t>2</w:t>
      </w:r>
      <w:r w:rsidRPr="00424B49">
        <w:rPr>
          <w:sz w:val="24"/>
          <w:szCs w:val="24"/>
        </w:rPr>
        <w:t xml:space="preserve"> minutes)</w:t>
      </w:r>
      <w:r>
        <w:rPr>
          <w:sz w:val="24"/>
          <w:szCs w:val="24"/>
        </w:rPr>
        <w:t xml:space="preserve">, </w:t>
      </w:r>
      <w:r w:rsidRPr="00EA6F5E">
        <w:rPr>
          <w:sz w:val="24"/>
          <w:szCs w:val="24"/>
        </w:rPr>
        <w:t>based on SSA’s current management information data</w:t>
      </w:r>
      <w:r>
        <w:rPr>
          <w:sz w:val="24"/>
          <w:szCs w:val="24"/>
        </w:rPr>
        <w:t xml:space="preserve">.  </w:t>
      </w:r>
      <w:r w:rsidRPr="00424B49">
        <w:rPr>
          <w:sz w:val="24"/>
          <w:szCs w:val="24"/>
        </w:rPr>
        <w:t>This figure reflects both data from our systems and the data posted on our public facing website (</w:t>
      </w:r>
      <w:hyperlink r:id="rId6" w:history="1">
        <w:r w:rsidRPr="00424B49">
          <w:rPr>
            <w:rStyle w:val="Hyperlink"/>
            <w:sz w:val="24"/>
            <w:szCs w:val="24"/>
          </w:rPr>
          <w:t>Social Security performance | SSA</w:t>
        </w:r>
      </w:hyperlink>
      <w:r w:rsidRPr="00424B49">
        <w:rPr>
          <w:sz w:val="24"/>
          <w:szCs w:val="24"/>
        </w:rPr>
        <w:t xml:space="preserve">) on the date we drafted this document.  As the figures fluctuate daily, the wait times may be different on the website than they appear here.  We continue to monitor our website and </w:t>
      </w:r>
      <w:r w:rsidRPr="00424B49">
        <w:rPr>
          <w:sz w:val="24"/>
          <w:szCs w:val="24"/>
        </w:rPr>
        <w:t>management</w:t>
      </w:r>
      <w:r w:rsidRPr="00424B49">
        <w:rPr>
          <w:sz w:val="24"/>
          <w:szCs w:val="24"/>
        </w:rPr>
        <w:t xml:space="preserve"> information data on call back times to ensure we report updated figures when possible.</w:t>
      </w:r>
    </w:p>
    <w:p w:rsidR="004A26DA" w:rsidP="004A26DA" w14:paraId="4BC905FA" w14:textId="79F72361">
      <w:pPr>
        <w:pStyle w:val="ListParagraph"/>
        <w:ind w:left="900"/>
        <w:rPr>
          <w:sz w:val="24"/>
          <w:szCs w:val="24"/>
        </w:rPr>
      </w:pPr>
    </w:p>
    <w:p w:rsidR="004A26DA" w:rsidRPr="00B6654C" w:rsidP="00137F1C" w14:paraId="19153F18" w14:textId="1D51409D">
      <w:pPr>
        <w:ind w:left="900"/>
        <w:rPr>
          <w:snapToGrid w:val="0"/>
          <w:sz w:val="24"/>
          <w:szCs w:val="24"/>
        </w:rPr>
      </w:pPr>
      <w:bookmarkStart w:id="5" w:name="_Hlk97277389"/>
      <w:r w:rsidRPr="00B6654C">
        <w:rPr>
          <w:sz w:val="24"/>
          <w:szCs w:val="24"/>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6654C">
        <w:rPr>
          <w:b/>
          <w:sz w:val="24"/>
          <w:szCs w:val="24"/>
          <w:u w:val="single"/>
          <w:lang w:eastAsia="en-US"/>
        </w:rPr>
        <w:t>There is no actual charge to respondents to complete the application</w:t>
      </w:r>
      <w:r w:rsidRPr="00B6654C">
        <w:rPr>
          <w:b/>
          <w:bCs/>
          <w:sz w:val="24"/>
          <w:szCs w:val="24"/>
        </w:rPr>
        <w:t>.</w:t>
      </w:r>
      <w:bookmarkEnd w:id="5"/>
    </w:p>
    <w:p w:rsidR="004A26DA" w:rsidRPr="00E25453" w:rsidP="004A26DA" w14:paraId="7E5FB5FB" w14:textId="77777777">
      <w:pPr>
        <w:pStyle w:val="ListParagraph"/>
        <w:ind w:left="900"/>
        <w:rPr>
          <w:snapToGrid w:val="0"/>
          <w:sz w:val="24"/>
          <w:szCs w:val="24"/>
        </w:rPr>
      </w:pPr>
    </w:p>
    <w:p w:rsidR="004A26DA" w:rsidRPr="00B6654C" w:rsidP="00137F1C" w14:paraId="2D183A01" w14:textId="72D48353">
      <w:pPr>
        <w:ind w:left="900"/>
        <w:rPr>
          <w:sz w:val="24"/>
          <w:szCs w:val="24"/>
        </w:rPr>
      </w:pPr>
      <w:r w:rsidRPr="00B6654C">
        <w:rPr>
          <w:sz w:val="24"/>
          <w:szCs w:val="24"/>
        </w:rPr>
        <w:t xml:space="preserve">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w:t>
      </w:r>
      <w:r w:rsidRPr="00B6654C" w:rsidR="00EA02CC">
        <w:rPr>
          <w:sz w:val="24"/>
          <w:szCs w:val="24"/>
        </w:rPr>
        <w:t>13.97-mile</w:t>
      </w:r>
      <w:r w:rsidRPr="00B6654C">
        <w:rPr>
          <w:sz w:val="24"/>
          <w:szCs w:val="24"/>
        </w:rPr>
        <w:t xml:space="preserve"> driving distance for one-way travel.  We depict this on the chart below:</w:t>
      </w:r>
    </w:p>
    <w:p w:rsidR="00E25453" w:rsidRPr="00E25453" w:rsidP="004A26DA" w14:paraId="0A3DF725" w14:textId="063EEF0E">
      <w:pPr>
        <w:pStyle w:val="ListParagraph"/>
        <w:ind w:left="900"/>
        <w:rPr>
          <w:sz w:val="24"/>
          <w:szCs w:val="24"/>
        </w:rPr>
      </w:pPr>
    </w:p>
    <w:tbl>
      <w:tblPr>
        <w:tblStyle w:val="TableGrid"/>
        <w:tblW w:w="0" w:type="auto"/>
        <w:tblInd w:w="900" w:type="dxa"/>
        <w:tblLayout w:type="fixed"/>
        <w:tblLook w:val="04A0"/>
      </w:tblPr>
      <w:tblGrid>
        <w:gridCol w:w="1795"/>
        <w:gridCol w:w="1350"/>
        <w:gridCol w:w="1350"/>
        <w:gridCol w:w="1350"/>
        <w:gridCol w:w="2605"/>
      </w:tblGrid>
      <w:tr w14:paraId="7BBE671B" w14:textId="77777777" w:rsidTr="008A1964">
        <w:tblPrEx>
          <w:tblW w:w="0" w:type="auto"/>
          <w:tblInd w:w="900" w:type="dxa"/>
          <w:tblLayout w:type="fixed"/>
          <w:tblLook w:val="04A0"/>
        </w:tblPrEx>
        <w:tc>
          <w:tcPr>
            <w:tcW w:w="1795" w:type="dxa"/>
          </w:tcPr>
          <w:p w:rsidR="00E25453" w:rsidRPr="00E25453" w:rsidP="00E25453" w14:paraId="5746633E" w14:textId="5B4BBD92">
            <w:pPr>
              <w:pStyle w:val="ListParagraph"/>
              <w:ind w:left="0"/>
              <w:rPr>
                <w:sz w:val="24"/>
                <w:szCs w:val="24"/>
              </w:rPr>
            </w:pPr>
            <w:r w:rsidRPr="00E25453">
              <w:rPr>
                <w:b/>
                <w:sz w:val="24"/>
                <w:szCs w:val="24"/>
              </w:rPr>
              <w:t>Total Number of Respondents Who Visit a Field Office</w:t>
            </w:r>
          </w:p>
        </w:tc>
        <w:tc>
          <w:tcPr>
            <w:tcW w:w="1350" w:type="dxa"/>
          </w:tcPr>
          <w:p w:rsidR="00E25453" w:rsidRPr="00E25453" w:rsidP="00E25453" w14:paraId="425A3164" w14:textId="03B46B13">
            <w:pPr>
              <w:pStyle w:val="ListParagraph"/>
              <w:ind w:left="0"/>
              <w:rPr>
                <w:sz w:val="24"/>
                <w:szCs w:val="24"/>
              </w:rPr>
            </w:pPr>
            <w:r w:rsidRPr="00E25453">
              <w:rPr>
                <w:b/>
                <w:sz w:val="24"/>
                <w:szCs w:val="24"/>
              </w:rPr>
              <w:t>Frequency of Response</w:t>
            </w:r>
          </w:p>
        </w:tc>
        <w:tc>
          <w:tcPr>
            <w:tcW w:w="1350" w:type="dxa"/>
          </w:tcPr>
          <w:p w:rsidR="00E25453" w:rsidRPr="00E25453" w:rsidP="00E25453" w14:paraId="1925AA70" w14:textId="3B7C73FF">
            <w:pPr>
              <w:pStyle w:val="ListParagraph"/>
              <w:ind w:left="0"/>
              <w:rPr>
                <w:sz w:val="24"/>
                <w:szCs w:val="24"/>
              </w:rPr>
            </w:pPr>
            <w:r w:rsidRPr="00E25453">
              <w:rPr>
                <w:b/>
                <w:sz w:val="24"/>
                <w:szCs w:val="24"/>
              </w:rPr>
              <w:t>Average One-Way Travel Time to a Field Office (minutes)</w:t>
            </w:r>
          </w:p>
        </w:tc>
        <w:tc>
          <w:tcPr>
            <w:tcW w:w="1350" w:type="dxa"/>
          </w:tcPr>
          <w:p w:rsidR="00E25453" w:rsidRPr="00E25453" w:rsidP="00E25453" w14:paraId="55084DBF" w14:textId="307ACB0A">
            <w:pPr>
              <w:pStyle w:val="ListParagraph"/>
              <w:ind w:left="0"/>
              <w:rPr>
                <w:sz w:val="24"/>
                <w:szCs w:val="24"/>
              </w:rPr>
            </w:pPr>
            <w:r w:rsidRPr="00E25453">
              <w:rPr>
                <w:b/>
                <w:sz w:val="24"/>
                <w:szCs w:val="24"/>
              </w:rPr>
              <w:t>Estimated Total Travel Time to a Field Office (hours)</w:t>
            </w:r>
          </w:p>
        </w:tc>
        <w:tc>
          <w:tcPr>
            <w:tcW w:w="2605" w:type="dxa"/>
          </w:tcPr>
          <w:p w:rsidR="00E25453" w:rsidRPr="00E25453" w:rsidP="00E25453" w14:paraId="3A9B8808" w14:textId="7C8B0A4B">
            <w:pPr>
              <w:pStyle w:val="ListParagraph"/>
              <w:ind w:left="0"/>
              <w:rPr>
                <w:sz w:val="24"/>
                <w:szCs w:val="24"/>
              </w:rPr>
            </w:pPr>
            <w:r w:rsidRPr="00E25453">
              <w:rPr>
                <w:b/>
                <w:sz w:val="24"/>
                <w:szCs w:val="24"/>
              </w:rPr>
              <w:t>Total Annual Opportunity Cost for Travel Time (dollars)****</w:t>
            </w:r>
          </w:p>
        </w:tc>
      </w:tr>
      <w:tr w14:paraId="5AC202C9" w14:textId="77777777" w:rsidTr="008A1964">
        <w:tblPrEx>
          <w:tblW w:w="0" w:type="auto"/>
          <w:tblInd w:w="900" w:type="dxa"/>
          <w:tblLayout w:type="fixed"/>
          <w:tblLook w:val="04A0"/>
        </w:tblPrEx>
        <w:tc>
          <w:tcPr>
            <w:tcW w:w="1795" w:type="dxa"/>
          </w:tcPr>
          <w:p w:rsidR="00E25453" w:rsidRPr="00E25453" w:rsidP="00E25453" w14:paraId="52866C98" w14:textId="6766A9FC">
            <w:pPr>
              <w:pStyle w:val="ListParagraph"/>
              <w:ind w:left="0"/>
              <w:jc w:val="right"/>
              <w:rPr>
                <w:sz w:val="24"/>
                <w:szCs w:val="24"/>
              </w:rPr>
            </w:pPr>
            <w:r>
              <w:rPr>
                <w:sz w:val="24"/>
                <w:szCs w:val="24"/>
              </w:rPr>
              <w:t>1,1</w:t>
            </w:r>
            <w:r w:rsidR="00ED719A">
              <w:rPr>
                <w:sz w:val="24"/>
                <w:szCs w:val="24"/>
              </w:rPr>
              <w:t>25</w:t>
            </w:r>
          </w:p>
        </w:tc>
        <w:tc>
          <w:tcPr>
            <w:tcW w:w="1350" w:type="dxa"/>
          </w:tcPr>
          <w:p w:rsidR="00E25453" w:rsidRPr="00E25453" w:rsidP="00E25453" w14:paraId="0A00F1BE" w14:textId="3D44B7CE">
            <w:pPr>
              <w:pStyle w:val="ListParagraph"/>
              <w:ind w:left="0"/>
              <w:jc w:val="right"/>
              <w:rPr>
                <w:sz w:val="24"/>
                <w:szCs w:val="24"/>
              </w:rPr>
            </w:pPr>
            <w:r>
              <w:rPr>
                <w:sz w:val="24"/>
                <w:szCs w:val="24"/>
              </w:rPr>
              <w:t>1</w:t>
            </w:r>
          </w:p>
        </w:tc>
        <w:tc>
          <w:tcPr>
            <w:tcW w:w="1350" w:type="dxa"/>
          </w:tcPr>
          <w:p w:rsidR="00E25453" w:rsidRPr="00E25453" w:rsidP="00E25453" w14:paraId="6146B66D" w14:textId="537BE725">
            <w:pPr>
              <w:pStyle w:val="ListParagraph"/>
              <w:ind w:left="0"/>
              <w:jc w:val="right"/>
              <w:rPr>
                <w:sz w:val="24"/>
                <w:szCs w:val="24"/>
              </w:rPr>
            </w:pPr>
            <w:r>
              <w:rPr>
                <w:sz w:val="24"/>
                <w:szCs w:val="24"/>
              </w:rPr>
              <w:t>30</w:t>
            </w:r>
          </w:p>
        </w:tc>
        <w:tc>
          <w:tcPr>
            <w:tcW w:w="1350" w:type="dxa"/>
          </w:tcPr>
          <w:p w:rsidR="00E25453" w:rsidRPr="00E25453" w:rsidP="00E25453" w14:paraId="70D15A79" w14:textId="72236984">
            <w:pPr>
              <w:pStyle w:val="ListParagraph"/>
              <w:ind w:left="0"/>
              <w:jc w:val="right"/>
              <w:rPr>
                <w:sz w:val="24"/>
                <w:szCs w:val="24"/>
              </w:rPr>
            </w:pPr>
            <w:r>
              <w:rPr>
                <w:sz w:val="24"/>
                <w:szCs w:val="24"/>
              </w:rPr>
              <w:t>563</w:t>
            </w:r>
          </w:p>
        </w:tc>
        <w:tc>
          <w:tcPr>
            <w:tcW w:w="2605" w:type="dxa"/>
          </w:tcPr>
          <w:p w:rsidR="00E25453" w:rsidRPr="00E25453" w:rsidP="00E25453" w14:paraId="2A88BCDC" w14:textId="51C9D663">
            <w:pPr>
              <w:pStyle w:val="ListParagraph"/>
              <w:ind w:left="0"/>
              <w:jc w:val="right"/>
              <w:rPr>
                <w:sz w:val="24"/>
                <w:szCs w:val="24"/>
              </w:rPr>
            </w:pPr>
            <w:r>
              <w:rPr>
                <w:sz w:val="24"/>
                <w:szCs w:val="24"/>
              </w:rPr>
              <w:t>$18,38</w:t>
            </w:r>
            <w:r w:rsidR="001D6DAC">
              <w:rPr>
                <w:sz w:val="24"/>
                <w:szCs w:val="24"/>
              </w:rPr>
              <w:t>8</w:t>
            </w:r>
          </w:p>
        </w:tc>
      </w:tr>
    </w:tbl>
    <w:p w:rsidR="00E25453" w:rsidP="004A26DA" w14:paraId="3765B0CC" w14:textId="062356EF">
      <w:pPr>
        <w:pStyle w:val="ListParagraph"/>
        <w:ind w:left="900"/>
        <w:rPr>
          <w:sz w:val="24"/>
          <w:szCs w:val="24"/>
        </w:rPr>
      </w:pPr>
      <w:r w:rsidRPr="00E25453">
        <w:rPr>
          <w:sz w:val="24"/>
          <w:szCs w:val="24"/>
        </w:rPr>
        <w:t>***</w:t>
      </w:r>
      <w:r>
        <w:rPr>
          <w:sz w:val="24"/>
          <w:szCs w:val="24"/>
        </w:rPr>
        <w:t>*</w:t>
      </w:r>
      <w:r w:rsidRPr="00E25453">
        <w:rPr>
          <w:sz w:val="24"/>
          <w:szCs w:val="24"/>
        </w:rPr>
        <w:t>We based this dollar amount on the Average Theoretical Hourly Cost Amount in dollars shown on the burden chart above</w:t>
      </w:r>
      <w:r>
        <w:rPr>
          <w:sz w:val="24"/>
          <w:szCs w:val="24"/>
        </w:rPr>
        <w:t>.</w:t>
      </w:r>
    </w:p>
    <w:p w:rsidR="00E25453" w:rsidRPr="00E25453" w:rsidP="004A26DA" w14:paraId="75C23142" w14:textId="35E89C80">
      <w:pPr>
        <w:pStyle w:val="ListParagraph"/>
        <w:ind w:left="900"/>
        <w:rPr>
          <w:sz w:val="24"/>
          <w:szCs w:val="24"/>
        </w:rPr>
      </w:pPr>
    </w:p>
    <w:p w:rsidR="00E25453" w:rsidRPr="00E25453" w:rsidP="004A26DA" w14:paraId="37C8A727" w14:textId="2DEEB28F">
      <w:pPr>
        <w:pStyle w:val="ListParagraph"/>
        <w:ind w:left="900"/>
        <w:rPr>
          <w:sz w:val="24"/>
          <w:szCs w:val="24"/>
        </w:rPr>
      </w:pPr>
      <w:r w:rsidRPr="00E25453">
        <w:rPr>
          <w:sz w:val="24"/>
          <w:szCs w:val="24"/>
        </w:rPr>
        <w:t xml:space="preserve">Per OIRA, we include this travel time burden estimate under the </w:t>
      </w:r>
      <w:r w:rsidRPr="00394A5C">
        <w:rPr>
          <w:i/>
          <w:iCs/>
          <w:sz w:val="24"/>
          <w:szCs w:val="24"/>
        </w:rPr>
        <w:t>5 CFR 1320.8(a)(4)</w:t>
      </w:r>
      <w:r w:rsidRPr="00E25453">
        <w:rPr>
          <w:sz w:val="24"/>
          <w:szCs w:val="24"/>
        </w:rPr>
        <w:t xml:space="preserve">, which requires us to provide “time, effort, or financial resources expended by persons [for]…transmitting, or otherwise disclosing the information,” as well as </w:t>
      </w:r>
      <w:r w:rsidR="00394A5C">
        <w:rPr>
          <w:sz w:val="24"/>
          <w:szCs w:val="24"/>
        </w:rPr>
        <w:t xml:space="preserve">                        </w:t>
      </w:r>
      <w:r w:rsidRPr="00D909F8">
        <w:rPr>
          <w:i/>
          <w:iCs/>
          <w:sz w:val="24"/>
          <w:szCs w:val="24"/>
        </w:rPr>
        <w:t>5 CFR 1320.8(b)(3)(iii)</w:t>
      </w:r>
      <w:r w:rsidRPr="00E25453">
        <w:rPr>
          <w:sz w:val="24"/>
          <w:szCs w:val="24"/>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E25453" w:rsidRPr="00E25453" w:rsidP="004A26DA" w14:paraId="7510A30C" w14:textId="1A4BEA77">
      <w:pPr>
        <w:pStyle w:val="ListParagraph"/>
        <w:ind w:left="900"/>
        <w:rPr>
          <w:sz w:val="24"/>
          <w:szCs w:val="24"/>
        </w:rPr>
      </w:pPr>
    </w:p>
    <w:p w:rsidR="00E25453" w:rsidRPr="00E25453" w:rsidP="004A26DA" w14:paraId="6D6E884E" w14:textId="22F44771">
      <w:pPr>
        <w:pStyle w:val="ListParagraph"/>
        <w:ind w:left="900"/>
        <w:rPr>
          <w:sz w:val="24"/>
          <w:szCs w:val="24"/>
        </w:rPr>
      </w:pPr>
      <w:r w:rsidRPr="00E25453">
        <w:rPr>
          <w:sz w:val="24"/>
          <w:szCs w:val="24"/>
        </w:rPr>
        <w:t>NOTE:  We included the total opportunity cost estimate from this chart in our calculations when showing the total time and opportunity cost estimates in the paragraph below.</w:t>
      </w:r>
    </w:p>
    <w:p w:rsidR="009F6F26" w:rsidP="00137F1C" w14:paraId="4581EF22" w14:textId="77777777">
      <w:pPr>
        <w:rPr>
          <w:bCs/>
          <w:sz w:val="24"/>
          <w:szCs w:val="24"/>
          <w:u w:val="single"/>
        </w:rPr>
      </w:pPr>
    </w:p>
    <w:p w:rsidR="009F6F26" w:rsidRPr="0099464B" w:rsidP="004A26DA" w14:paraId="75301798" w14:textId="72286406">
      <w:pPr>
        <w:pStyle w:val="ListParagraph"/>
        <w:ind w:left="900"/>
        <w:rPr>
          <w:bCs/>
          <w:sz w:val="24"/>
          <w:szCs w:val="24"/>
        </w:rPr>
      </w:pPr>
      <w:r w:rsidRPr="0099464B">
        <w:rPr>
          <w:bCs/>
          <w:sz w:val="24"/>
          <w:szCs w:val="24"/>
        </w:rPr>
        <w:t>We calculated the following Learning Cost time burden based on the estimated time and effort we expect respondents</w:t>
      </w:r>
      <w:r w:rsidRPr="0099464B" w:rsidR="00327790">
        <w:rPr>
          <w:bCs/>
          <w:sz w:val="24"/>
          <w:szCs w:val="24"/>
        </w:rPr>
        <w:t xml:space="preserve"> will take to learn about this program, </w:t>
      </w:r>
      <w:r w:rsidRPr="0099464B" w:rsidR="007835DE">
        <w:rPr>
          <w:bCs/>
          <w:sz w:val="24"/>
          <w:szCs w:val="24"/>
        </w:rPr>
        <w:t>its</w:t>
      </w:r>
      <w:r w:rsidRPr="0099464B" w:rsidR="00327790">
        <w:rPr>
          <w:bCs/>
          <w:sz w:val="24"/>
          <w:szCs w:val="24"/>
        </w:rPr>
        <w:t xml:space="preserve"> applicability to their circumstances</w:t>
      </w:r>
      <w:r w:rsidR="009908BD">
        <w:rPr>
          <w:bCs/>
          <w:sz w:val="24"/>
          <w:szCs w:val="24"/>
        </w:rPr>
        <w:t>,</w:t>
      </w:r>
      <w:r w:rsidRPr="0099464B" w:rsidR="00327790">
        <w:rPr>
          <w:bCs/>
          <w:sz w:val="24"/>
          <w:szCs w:val="24"/>
        </w:rPr>
        <w:t xml:space="preserve"> and to cover any additional research we believe respondents may need to take to understand how to comply with the program requirements (beyond reading instructions on the collection instrument).</w:t>
      </w:r>
    </w:p>
    <w:p w:rsidR="00327790" w:rsidP="004A26DA" w14:paraId="7980595A" w14:textId="77777777">
      <w:pPr>
        <w:pStyle w:val="ListParagraph"/>
        <w:ind w:left="900"/>
        <w:rPr>
          <w:bCs/>
          <w:sz w:val="24"/>
          <w:szCs w:val="24"/>
          <w:u w:val="single"/>
        </w:rPr>
      </w:pPr>
    </w:p>
    <w:tbl>
      <w:tblPr>
        <w:tblStyle w:val="TableGrid"/>
        <w:tblW w:w="0" w:type="auto"/>
        <w:tblInd w:w="900" w:type="dxa"/>
        <w:tblLook w:val="04A0"/>
      </w:tblPr>
      <w:tblGrid>
        <w:gridCol w:w="1758"/>
        <w:gridCol w:w="1662"/>
        <w:gridCol w:w="1632"/>
        <w:gridCol w:w="1645"/>
        <w:gridCol w:w="1753"/>
      </w:tblGrid>
      <w:tr w14:paraId="47BC06B6" w14:textId="77777777" w:rsidTr="00E5032C">
        <w:tblPrEx>
          <w:tblW w:w="0" w:type="auto"/>
          <w:tblInd w:w="900" w:type="dxa"/>
          <w:tblLook w:val="04A0"/>
        </w:tblPrEx>
        <w:tc>
          <w:tcPr>
            <w:tcW w:w="1870" w:type="dxa"/>
          </w:tcPr>
          <w:p w:rsidR="00E5032C" w:rsidRPr="009C16D8" w:rsidP="004A26DA" w14:paraId="0B4E6173" w14:textId="467048A0">
            <w:pPr>
              <w:pStyle w:val="ListParagraph"/>
              <w:ind w:left="0"/>
              <w:rPr>
                <w:b/>
                <w:sz w:val="24"/>
                <w:szCs w:val="24"/>
              </w:rPr>
            </w:pPr>
            <w:r w:rsidRPr="009C16D8">
              <w:rPr>
                <w:b/>
                <w:sz w:val="24"/>
                <w:szCs w:val="24"/>
              </w:rPr>
              <w:t>Total Number of Respondents</w:t>
            </w:r>
          </w:p>
        </w:tc>
        <w:tc>
          <w:tcPr>
            <w:tcW w:w="1870" w:type="dxa"/>
          </w:tcPr>
          <w:p w:rsidR="00E5032C" w:rsidRPr="009C16D8" w:rsidP="004A26DA" w14:paraId="58FD42BB" w14:textId="4A7D6292">
            <w:pPr>
              <w:pStyle w:val="ListParagraph"/>
              <w:ind w:left="0"/>
              <w:rPr>
                <w:bCs/>
                <w:sz w:val="24"/>
                <w:szCs w:val="24"/>
              </w:rPr>
            </w:pPr>
            <w:r w:rsidRPr="009C16D8">
              <w:rPr>
                <w:bCs/>
                <w:sz w:val="24"/>
                <w:szCs w:val="24"/>
              </w:rPr>
              <w:t>Frequency of Response</w:t>
            </w:r>
          </w:p>
        </w:tc>
        <w:tc>
          <w:tcPr>
            <w:tcW w:w="1870" w:type="dxa"/>
          </w:tcPr>
          <w:p w:rsidR="00E5032C" w:rsidRPr="009C16D8" w:rsidP="004A26DA" w14:paraId="06F5E47E" w14:textId="216AA86D">
            <w:pPr>
              <w:pStyle w:val="ListParagraph"/>
              <w:ind w:left="0"/>
              <w:rPr>
                <w:bCs/>
                <w:sz w:val="24"/>
                <w:szCs w:val="24"/>
              </w:rPr>
            </w:pPr>
            <w:r w:rsidRPr="009C16D8">
              <w:rPr>
                <w:bCs/>
                <w:sz w:val="24"/>
                <w:szCs w:val="24"/>
              </w:rPr>
              <w:t>Estimate Learning Cost (minutes)</w:t>
            </w:r>
          </w:p>
        </w:tc>
        <w:tc>
          <w:tcPr>
            <w:tcW w:w="1870" w:type="dxa"/>
          </w:tcPr>
          <w:p w:rsidR="00E5032C" w:rsidRPr="009C16D8" w:rsidP="004A26DA" w14:paraId="224B601C" w14:textId="155EB3B6">
            <w:pPr>
              <w:pStyle w:val="ListParagraph"/>
              <w:ind w:left="0"/>
              <w:rPr>
                <w:bCs/>
                <w:sz w:val="24"/>
                <w:szCs w:val="24"/>
              </w:rPr>
            </w:pPr>
            <w:r w:rsidRPr="009C16D8">
              <w:rPr>
                <w:bCs/>
                <w:sz w:val="24"/>
                <w:szCs w:val="24"/>
              </w:rPr>
              <w:t>Estimated Total Annual Burden (hours)</w:t>
            </w:r>
          </w:p>
        </w:tc>
        <w:tc>
          <w:tcPr>
            <w:tcW w:w="1870" w:type="dxa"/>
          </w:tcPr>
          <w:p w:rsidR="00E5032C" w:rsidRPr="009C16D8" w:rsidP="004A26DA" w14:paraId="40B2DDB3" w14:textId="288C9AB0">
            <w:pPr>
              <w:pStyle w:val="ListParagraph"/>
              <w:ind w:left="0"/>
              <w:rPr>
                <w:bCs/>
                <w:sz w:val="24"/>
                <w:szCs w:val="24"/>
              </w:rPr>
            </w:pPr>
            <w:r w:rsidRPr="009C16D8">
              <w:rPr>
                <w:bCs/>
                <w:sz w:val="24"/>
                <w:szCs w:val="24"/>
              </w:rPr>
              <w:t>Total Annual Learning Cost (</w:t>
            </w:r>
            <w:r w:rsidRPr="009C16D8" w:rsidR="009908BD">
              <w:rPr>
                <w:bCs/>
                <w:sz w:val="24"/>
                <w:szCs w:val="24"/>
              </w:rPr>
              <w:t>dollars)</w:t>
            </w:r>
            <w:r w:rsidR="00710E2D">
              <w:rPr>
                <w:bCs/>
                <w:sz w:val="24"/>
                <w:szCs w:val="24"/>
              </w:rPr>
              <w:t>***</w:t>
            </w:r>
            <w:r w:rsidR="00FC5D99">
              <w:rPr>
                <w:bCs/>
                <w:sz w:val="24"/>
                <w:szCs w:val="24"/>
              </w:rPr>
              <w:t>*</w:t>
            </w:r>
          </w:p>
        </w:tc>
      </w:tr>
      <w:tr w14:paraId="1AFE4368" w14:textId="77777777" w:rsidTr="00E5032C">
        <w:tblPrEx>
          <w:tblW w:w="0" w:type="auto"/>
          <w:tblInd w:w="900" w:type="dxa"/>
          <w:tblLook w:val="04A0"/>
        </w:tblPrEx>
        <w:tc>
          <w:tcPr>
            <w:tcW w:w="1870" w:type="dxa"/>
          </w:tcPr>
          <w:p w:rsidR="00E5032C" w:rsidRPr="009C16D8" w:rsidP="003516A9" w14:paraId="1942111E" w14:textId="407871BD">
            <w:pPr>
              <w:pStyle w:val="ListParagraph"/>
              <w:ind w:left="0"/>
              <w:jc w:val="right"/>
              <w:rPr>
                <w:bCs/>
                <w:sz w:val="24"/>
                <w:szCs w:val="24"/>
              </w:rPr>
            </w:pPr>
            <w:r>
              <w:rPr>
                <w:bCs/>
                <w:sz w:val="24"/>
                <w:szCs w:val="24"/>
              </w:rPr>
              <w:t>6,988</w:t>
            </w:r>
          </w:p>
        </w:tc>
        <w:tc>
          <w:tcPr>
            <w:tcW w:w="1870" w:type="dxa"/>
          </w:tcPr>
          <w:p w:rsidR="00E5032C" w:rsidRPr="009C16D8" w:rsidP="003516A9" w14:paraId="169758EF" w14:textId="7A098BFD">
            <w:pPr>
              <w:pStyle w:val="ListParagraph"/>
              <w:ind w:left="0"/>
              <w:jc w:val="right"/>
              <w:rPr>
                <w:bCs/>
                <w:sz w:val="24"/>
                <w:szCs w:val="24"/>
              </w:rPr>
            </w:pPr>
            <w:r w:rsidRPr="009C16D8">
              <w:rPr>
                <w:bCs/>
                <w:sz w:val="24"/>
                <w:szCs w:val="24"/>
              </w:rPr>
              <w:t>1</w:t>
            </w:r>
          </w:p>
        </w:tc>
        <w:tc>
          <w:tcPr>
            <w:tcW w:w="1870" w:type="dxa"/>
          </w:tcPr>
          <w:p w:rsidR="00E5032C" w:rsidRPr="009C16D8" w:rsidP="003516A9" w14:paraId="473B82AB" w14:textId="23DBD91D">
            <w:pPr>
              <w:pStyle w:val="ListParagraph"/>
              <w:ind w:left="0"/>
              <w:jc w:val="right"/>
              <w:rPr>
                <w:bCs/>
                <w:sz w:val="24"/>
                <w:szCs w:val="24"/>
              </w:rPr>
            </w:pPr>
            <w:r>
              <w:rPr>
                <w:bCs/>
                <w:sz w:val="24"/>
                <w:szCs w:val="24"/>
              </w:rPr>
              <w:t>5</w:t>
            </w:r>
          </w:p>
        </w:tc>
        <w:tc>
          <w:tcPr>
            <w:tcW w:w="1870" w:type="dxa"/>
          </w:tcPr>
          <w:p w:rsidR="00E5032C" w:rsidRPr="009C16D8" w:rsidP="003516A9" w14:paraId="5110BCA7" w14:textId="512F9A9B">
            <w:pPr>
              <w:pStyle w:val="ListParagraph"/>
              <w:ind w:left="0"/>
              <w:jc w:val="right"/>
              <w:rPr>
                <w:bCs/>
                <w:sz w:val="24"/>
                <w:szCs w:val="24"/>
              </w:rPr>
            </w:pPr>
            <w:r>
              <w:rPr>
                <w:bCs/>
                <w:sz w:val="24"/>
                <w:szCs w:val="24"/>
              </w:rPr>
              <w:t>582</w:t>
            </w:r>
          </w:p>
        </w:tc>
        <w:tc>
          <w:tcPr>
            <w:tcW w:w="1870" w:type="dxa"/>
          </w:tcPr>
          <w:p w:rsidR="00E5032C" w:rsidRPr="009C16D8" w:rsidP="00F17E32" w14:paraId="0A22270A" w14:textId="49BF21DA">
            <w:pPr>
              <w:pStyle w:val="ListParagraph"/>
              <w:ind w:left="0"/>
              <w:jc w:val="right"/>
              <w:rPr>
                <w:bCs/>
                <w:sz w:val="24"/>
                <w:szCs w:val="24"/>
              </w:rPr>
            </w:pPr>
            <w:r>
              <w:rPr>
                <w:bCs/>
                <w:sz w:val="24"/>
                <w:szCs w:val="24"/>
              </w:rPr>
              <w:t>$19,008</w:t>
            </w:r>
          </w:p>
        </w:tc>
      </w:tr>
    </w:tbl>
    <w:p w:rsidR="00327790" w:rsidRPr="00AF082D" w:rsidP="004A26DA" w14:paraId="6ECDD153" w14:textId="6BD30721">
      <w:pPr>
        <w:pStyle w:val="ListParagraph"/>
        <w:ind w:left="900"/>
        <w:rPr>
          <w:bCs/>
          <w:sz w:val="24"/>
          <w:szCs w:val="24"/>
        </w:rPr>
      </w:pPr>
      <w:r w:rsidRPr="00AF082D">
        <w:rPr>
          <w:bCs/>
          <w:sz w:val="24"/>
          <w:szCs w:val="24"/>
        </w:rPr>
        <w:t>****</w:t>
      </w:r>
      <w:r w:rsidR="00FC5D99">
        <w:rPr>
          <w:bCs/>
          <w:sz w:val="24"/>
          <w:szCs w:val="24"/>
        </w:rPr>
        <w:t>*</w:t>
      </w:r>
      <w:r w:rsidRPr="00AF082D" w:rsidR="00B51DC0">
        <w:rPr>
          <w:bCs/>
          <w:sz w:val="24"/>
          <w:szCs w:val="24"/>
        </w:rPr>
        <w:t>We based this dollar amount on the Average Theoretical</w:t>
      </w:r>
      <w:r w:rsidRPr="00AF082D" w:rsidR="004B31AD">
        <w:rPr>
          <w:bCs/>
          <w:sz w:val="24"/>
          <w:szCs w:val="24"/>
        </w:rPr>
        <w:t xml:space="preserve"> Hourly Cost Amount in dollars shown on the burden chart above.</w:t>
      </w:r>
    </w:p>
    <w:p w:rsidR="00F10DDF" w:rsidP="004A26DA" w14:paraId="1B743146" w14:textId="77777777">
      <w:pPr>
        <w:pStyle w:val="ListParagraph"/>
        <w:ind w:left="900"/>
        <w:rPr>
          <w:b/>
          <w:sz w:val="24"/>
          <w:szCs w:val="24"/>
          <w:u w:val="single"/>
        </w:rPr>
      </w:pPr>
    </w:p>
    <w:p w:rsidR="008A5A7B" w:rsidRPr="0099464B" w:rsidP="004A26DA" w14:paraId="7AE09036" w14:textId="79DC5970">
      <w:pPr>
        <w:pStyle w:val="ListParagraph"/>
        <w:ind w:left="900"/>
        <w:rPr>
          <w:bCs/>
          <w:sz w:val="24"/>
          <w:szCs w:val="24"/>
        </w:rPr>
      </w:pPr>
      <w:r w:rsidRPr="0099464B">
        <w:rPr>
          <w:b/>
          <w:sz w:val="24"/>
          <w:szCs w:val="24"/>
        </w:rPr>
        <w:t xml:space="preserve">NOTE: </w:t>
      </w:r>
      <w:r w:rsidRPr="0099464B">
        <w:rPr>
          <w:bCs/>
          <w:sz w:val="24"/>
          <w:szCs w:val="24"/>
        </w:rPr>
        <w:t>We included the total opportunity cost estimate from this chart in our calculations when showing the total time and opportunity cost estimates in the paragraph below.</w:t>
      </w:r>
    </w:p>
    <w:p w:rsidR="008A5A7B" w:rsidRPr="0099464B" w:rsidP="004A26DA" w14:paraId="775079FD" w14:textId="77777777">
      <w:pPr>
        <w:pStyle w:val="ListParagraph"/>
        <w:ind w:left="900"/>
        <w:rPr>
          <w:bCs/>
          <w:sz w:val="24"/>
          <w:szCs w:val="24"/>
          <w:u w:val="single"/>
        </w:rPr>
      </w:pPr>
    </w:p>
    <w:p w:rsidR="00703EB2" w:rsidRPr="00E25453" w:rsidP="00703EB2" w14:paraId="0CF38B3A" w14:textId="63E1047F">
      <w:pPr>
        <w:pStyle w:val="ListParagraph"/>
        <w:ind w:left="900"/>
        <w:rPr>
          <w:b/>
          <w:sz w:val="24"/>
          <w:szCs w:val="24"/>
        </w:rPr>
      </w:pPr>
      <w:r w:rsidRPr="00E25453">
        <w:rPr>
          <w:noProof/>
          <w:sz w:val="24"/>
          <w:szCs w:val="24"/>
        </w:rPr>
        <w:t xml:space="preserve">We base our burden estimates on current management information data, which includes data from actual interviews, as well as from years of conducting this information collection.  Per our management information data, we believe that </w:t>
      </w:r>
      <w:r w:rsidR="001E644D">
        <w:rPr>
          <w:noProof/>
          <w:sz w:val="24"/>
          <w:szCs w:val="24"/>
        </w:rPr>
        <w:t>1</w:t>
      </w:r>
      <w:r w:rsidRPr="00547957">
        <w:rPr>
          <w:noProof/>
          <w:sz w:val="24"/>
          <w:szCs w:val="24"/>
        </w:rPr>
        <w:t>5</w:t>
      </w:r>
      <w:r w:rsidRPr="00E25453">
        <w:rPr>
          <w:noProof/>
          <w:sz w:val="24"/>
          <w:szCs w:val="24"/>
        </w:rPr>
        <w:t xml:space="preserve"> minutes accurately shows the average burden per response for</w:t>
      </w:r>
      <w:r w:rsidR="00C50B6B">
        <w:rPr>
          <w:noProof/>
          <w:sz w:val="24"/>
          <w:szCs w:val="24"/>
        </w:rPr>
        <w:t xml:space="preserve"> learning</w:t>
      </w:r>
      <w:r w:rsidR="00040AF3">
        <w:rPr>
          <w:noProof/>
          <w:sz w:val="24"/>
          <w:szCs w:val="24"/>
        </w:rPr>
        <w:t xml:space="preserve"> about the program; receiving notices as needed</w:t>
      </w:r>
      <w:r w:rsidR="00C26AF0">
        <w:rPr>
          <w:noProof/>
          <w:sz w:val="24"/>
          <w:szCs w:val="24"/>
        </w:rPr>
        <w:t xml:space="preserve">; </w:t>
      </w:r>
      <w:r w:rsidRPr="00E25453">
        <w:rPr>
          <w:noProof/>
          <w:sz w:val="24"/>
          <w:szCs w:val="24"/>
        </w:rPr>
        <w:t xml:space="preserve"> reading </w:t>
      </w:r>
      <w:r w:rsidR="00C26AF0">
        <w:rPr>
          <w:noProof/>
          <w:sz w:val="24"/>
          <w:szCs w:val="24"/>
        </w:rPr>
        <w:t xml:space="preserve">and understanding </w:t>
      </w:r>
      <w:r w:rsidRPr="00E25453">
        <w:rPr>
          <w:noProof/>
          <w:sz w:val="24"/>
          <w:szCs w:val="24"/>
        </w:rPr>
        <w:t xml:space="preserve">the instructions, gathering the </w:t>
      </w:r>
      <w:r w:rsidR="004A6B7C">
        <w:rPr>
          <w:noProof/>
          <w:sz w:val="24"/>
          <w:szCs w:val="24"/>
        </w:rPr>
        <w:t>data and documents needed</w:t>
      </w:r>
      <w:r w:rsidRPr="00E25453">
        <w:rPr>
          <w:noProof/>
          <w:sz w:val="24"/>
          <w:szCs w:val="24"/>
        </w:rPr>
        <w:t>, and answering the questions</w:t>
      </w:r>
      <w:r w:rsidR="001A56CF">
        <w:rPr>
          <w:noProof/>
          <w:sz w:val="24"/>
          <w:szCs w:val="24"/>
        </w:rPr>
        <w:t xml:space="preserve"> and completeing the information collection instrument; scheduling any ne</w:t>
      </w:r>
      <w:r w:rsidR="00171B5A">
        <w:rPr>
          <w:noProof/>
          <w:sz w:val="24"/>
          <w:szCs w:val="24"/>
        </w:rPr>
        <w:t>c</w:t>
      </w:r>
      <w:r w:rsidR="001A56CF">
        <w:rPr>
          <w:noProof/>
          <w:sz w:val="24"/>
          <w:szCs w:val="24"/>
        </w:rPr>
        <w:t>essary appointment or required phone call; consulting with any third parties</w:t>
      </w:r>
      <w:r w:rsidR="00556AF0">
        <w:rPr>
          <w:noProof/>
          <w:sz w:val="24"/>
          <w:szCs w:val="24"/>
        </w:rPr>
        <w:t xml:space="preserve"> (as needed)</w:t>
      </w:r>
      <w:r w:rsidR="00262BBA">
        <w:rPr>
          <w:noProof/>
          <w:sz w:val="24"/>
          <w:szCs w:val="24"/>
        </w:rPr>
        <w:t>; and waiting to speak with</w:t>
      </w:r>
      <w:r w:rsidR="00472197">
        <w:rPr>
          <w:noProof/>
          <w:sz w:val="24"/>
          <w:szCs w:val="24"/>
        </w:rPr>
        <w:t xml:space="preserve"> employees (as needed)</w:t>
      </w:r>
      <w:r w:rsidRPr="00E25453">
        <w:rPr>
          <w:noProof/>
          <w:sz w:val="24"/>
          <w:szCs w:val="24"/>
        </w:rPr>
        <w:t>.  Based on our current management information data, the current burden information we provided is accurate</w:t>
      </w:r>
      <w:r w:rsidRPr="00E25453">
        <w:rPr>
          <w:sz w:val="24"/>
          <w:szCs w:val="24"/>
        </w:rPr>
        <w:t xml:space="preserve">.  The total burden for this ICR is </w:t>
      </w:r>
      <w:r w:rsidR="001E644D">
        <w:rPr>
          <w:b/>
          <w:sz w:val="24"/>
          <w:szCs w:val="24"/>
        </w:rPr>
        <w:t>2,156</w:t>
      </w:r>
      <w:r w:rsidR="008F19D2">
        <w:rPr>
          <w:b/>
          <w:sz w:val="24"/>
          <w:szCs w:val="24"/>
        </w:rPr>
        <w:t xml:space="preserve"> </w:t>
      </w:r>
      <w:r w:rsidRPr="00E25453">
        <w:rPr>
          <w:sz w:val="24"/>
          <w:szCs w:val="24"/>
        </w:rPr>
        <w:t>burden hours (reflecting SSA management information data), which results in an associated theoretical (not actual) opportunity cost financial burden of</w:t>
      </w:r>
      <w:r w:rsidR="00DB6D2D">
        <w:rPr>
          <w:sz w:val="24"/>
          <w:szCs w:val="24"/>
        </w:rPr>
        <w:t xml:space="preserve"> </w:t>
      </w:r>
      <w:r w:rsidRPr="00DB6D2D" w:rsidR="00DB6D2D">
        <w:rPr>
          <w:b/>
          <w:snapToGrid w:val="0"/>
          <w:sz w:val="24"/>
          <w:szCs w:val="24"/>
        </w:rPr>
        <w:t>$83,903</w:t>
      </w:r>
      <w:r w:rsidRPr="00E25453">
        <w:rPr>
          <w:sz w:val="24"/>
          <w:szCs w:val="24"/>
        </w:rPr>
        <w:t>.  SSA does not charge respondents to complete our applications</w:t>
      </w:r>
      <w:r w:rsidRPr="00E25453">
        <w:rPr>
          <w:noProof/>
          <w:sz w:val="24"/>
          <w:szCs w:val="24"/>
        </w:rPr>
        <w:t>.</w:t>
      </w:r>
    </w:p>
    <w:p w:rsidR="00703EB2" w:rsidRPr="00E25453" w:rsidP="004A26DA" w14:paraId="24F365BA" w14:textId="77777777">
      <w:pPr>
        <w:pStyle w:val="ListParagraph"/>
        <w:ind w:left="900"/>
        <w:rPr>
          <w:b/>
          <w:sz w:val="24"/>
          <w:szCs w:val="24"/>
          <w:u w:val="single"/>
        </w:rPr>
      </w:pPr>
    </w:p>
    <w:p w:rsidR="005E4CB8" w:rsidRPr="00E25453" w:rsidP="005E4CB8" w14:paraId="46F00946" w14:textId="75C1DBD3">
      <w:pPr>
        <w:pStyle w:val="ListParagraph"/>
        <w:numPr>
          <w:ilvl w:val="0"/>
          <w:numId w:val="7"/>
        </w:numPr>
        <w:ind w:left="900"/>
        <w:rPr>
          <w:b/>
          <w:sz w:val="24"/>
          <w:szCs w:val="24"/>
          <w:u w:val="single"/>
        </w:rPr>
      </w:pPr>
      <w:r w:rsidRPr="00E25453">
        <w:rPr>
          <w:b/>
          <w:sz w:val="24"/>
          <w:szCs w:val="24"/>
        </w:rPr>
        <w:t>Annual</w:t>
      </w:r>
      <w:r w:rsidRPr="00E25453">
        <w:rPr>
          <w:sz w:val="24"/>
          <w:szCs w:val="24"/>
        </w:rPr>
        <w:t xml:space="preserve"> </w:t>
      </w:r>
      <w:r w:rsidRPr="00E25453">
        <w:rPr>
          <w:b/>
          <w:sz w:val="24"/>
          <w:szCs w:val="24"/>
        </w:rPr>
        <w:t>Cost to the Respondents (Other)</w:t>
      </w:r>
    </w:p>
    <w:p w:rsidR="00E25453" w:rsidP="00B35F48" w14:paraId="0A97E013" w14:textId="1FEE49C8">
      <w:pPr>
        <w:pStyle w:val="ListParagraph"/>
        <w:ind w:left="900"/>
        <w:rPr>
          <w:sz w:val="24"/>
          <w:szCs w:val="24"/>
        </w:rPr>
      </w:pPr>
      <w:r w:rsidRPr="00E25453">
        <w:rPr>
          <w:sz w:val="24"/>
          <w:szCs w:val="24"/>
        </w:rPr>
        <w:t>This collection does not impose a known cost burden to the respondents.</w:t>
      </w:r>
    </w:p>
    <w:p w:rsidR="00A13868" w:rsidRPr="00B35F48" w:rsidP="00B35F48" w14:paraId="13912F1D" w14:textId="77777777">
      <w:pPr>
        <w:pStyle w:val="ListParagraph"/>
        <w:ind w:left="900"/>
        <w:rPr>
          <w:sz w:val="24"/>
          <w:szCs w:val="24"/>
        </w:rPr>
      </w:pPr>
    </w:p>
    <w:p w:rsidR="005E4CB8" w:rsidRPr="00E25453" w:rsidP="005E4CB8" w14:paraId="5C1EBCE8" w14:textId="363A7B2B">
      <w:pPr>
        <w:pStyle w:val="ListParagraph"/>
        <w:numPr>
          <w:ilvl w:val="0"/>
          <w:numId w:val="7"/>
        </w:numPr>
        <w:ind w:left="900"/>
        <w:rPr>
          <w:b/>
          <w:sz w:val="24"/>
          <w:szCs w:val="24"/>
          <w:u w:val="single"/>
        </w:rPr>
      </w:pPr>
      <w:r w:rsidRPr="00E25453">
        <w:rPr>
          <w:b/>
          <w:sz w:val="24"/>
          <w:szCs w:val="24"/>
        </w:rPr>
        <w:t xml:space="preserve">Annual Cost </w:t>
      </w:r>
      <w:r w:rsidR="001D7E55">
        <w:rPr>
          <w:b/>
          <w:sz w:val="24"/>
          <w:szCs w:val="24"/>
        </w:rPr>
        <w:t>t</w:t>
      </w:r>
      <w:r w:rsidRPr="00E25453">
        <w:rPr>
          <w:b/>
          <w:sz w:val="24"/>
          <w:szCs w:val="24"/>
        </w:rPr>
        <w:t>o Federal Government</w:t>
      </w:r>
    </w:p>
    <w:p w:rsidR="00E25453" w:rsidRPr="00E25453" w:rsidP="00E25453" w14:paraId="4E25FDDA" w14:textId="21C3F85F">
      <w:pPr>
        <w:pStyle w:val="ListParagraph"/>
        <w:ind w:left="900"/>
        <w:rPr>
          <w:color w:val="000000"/>
          <w:sz w:val="24"/>
          <w:szCs w:val="24"/>
        </w:rPr>
      </w:pPr>
      <w:r w:rsidRPr="00E25453">
        <w:rPr>
          <w:color w:val="000000"/>
          <w:sz w:val="24"/>
          <w:szCs w:val="24"/>
        </w:rPr>
        <w:t xml:space="preserve">The annual cost to the Federal Government is approximately </w:t>
      </w:r>
      <w:r w:rsidRPr="000D6B7A">
        <w:rPr>
          <w:color w:val="000000"/>
          <w:sz w:val="24"/>
          <w:szCs w:val="24"/>
        </w:rPr>
        <w:t>$</w:t>
      </w:r>
      <w:r w:rsidRPr="000D6B7A" w:rsidR="000D6B7A">
        <w:rPr>
          <w:sz w:val="24"/>
        </w:rPr>
        <w:t>71</w:t>
      </w:r>
      <w:r w:rsidRPr="000D6B7A" w:rsidR="00BC3EAA">
        <w:rPr>
          <w:sz w:val="24"/>
        </w:rPr>
        <w:t>,145</w:t>
      </w:r>
      <w:r w:rsidRPr="00E25453">
        <w:rPr>
          <w:color w:val="000000"/>
          <w:sz w:val="24"/>
          <w:szCs w:val="24"/>
        </w:rPr>
        <w:t>.  This estimate accounts for costs from the following areas:</w:t>
      </w:r>
    </w:p>
    <w:p w:rsidR="00E25453" w:rsidRPr="00E25453" w:rsidP="00E25453" w14:paraId="749DEC01" w14:textId="6973E902">
      <w:pPr>
        <w:pStyle w:val="ListParagraph"/>
        <w:ind w:left="900"/>
        <w:rPr>
          <w:color w:val="000000"/>
          <w:sz w:val="24"/>
          <w:szCs w:val="24"/>
        </w:rPr>
      </w:pPr>
    </w:p>
    <w:tbl>
      <w:tblPr>
        <w:tblStyle w:val="TableGrid"/>
        <w:tblW w:w="0" w:type="auto"/>
        <w:tblInd w:w="900" w:type="dxa"/>
        <w:tblLook w:val="04A0"/>
      </w:tblPr>
      <w:tblGrid>
        <w:gridCol w:w="2576"/>
        <w:gridCol w:w="2577"/>
        <w:gridCol w:w="2577"/>
      </w:tblGrid>
      <w:tr w14:paraId="6BEA20C3" w14:textId="77777777" w:rsidTr="00E25453">
        <w:tblPrEx>
          <w:tblW w:w="0" w:type="auto"/>
          <w:tblInd w:w="900" w:type="dxa"/>
          <w:tblLook w:val="04A0"/>
        </w:tblPrEx>
        <w:tc>
          <w:tcPr>
            <w:tcW w:w="2576" w:type="dxa"/>
          </w:tcPr>
          <w:p w:rsidR="00E25453" w:rsidRPr="00E25453" w:rsidP="00E25453" w14:paraId="25FC3C52" w14:textId="1F8AE9CB">
            <w:pPr>
              <w:pStyle w:val="ListParagraph"/>
              <w:ind w:left="0"/>
              <w:rPr>
                <w:color w:val="000000"/>
                <w:sz w:val="24"/>
                <w:szCs w:val="24"/>
              </w:rPr>
            </w:pPr>
            <w:r w:rsidRPr="00E25453">
              <w:rPr>
                <w:b/>
                <w:bCs/>
                <w:color w:val="000000"/>
                <w:sz w:val="24"/>
                <w:szCs w:val="24"/>
              </w:rPr>
              <w:t>Description of Cost Factor</w:t>
            </w:r>
          </w:p>
        </w:tc>
        <w:tc>
          <w:tcPr>
            <w:tcW w:w="2577" w:type="dxa"/>
          </w:tcPr>
          <w:p w:rsidR="00E25453" w:rsidRPr="00E25453" w:rsidP="00E25453" w14:paraId="58A2E7C2" w14:textId="2F37E318">
            <w:pPr>
              <w:pStyle w:val="ListParagraph"/>
              <w:ind w:left="0"/>
              <w:rPr>
                <w:color w:val="000000"/>
                <w:sz w:val="24"/>
                <w:szCs w:val="24"/>
              </w:rPr>
            </w:pPr>
            <w:r w:rsidRPr="00E25453">
              <w:rPr>
                <w:b/>
                <w:bCs/>
                <w:color w:val="000000"/>
                <w:sz w:val="24"/>
                <w:szCs w:val="24"/>
              </w:rPr>
              <w:t>Methodology for Estimating Cost</w:t>
            </w:r>
          </w:p>
        </w:tc>
        <w:tc>
          <w:tcPr>
            <w:tcW w:w="2577" w:type="dxa"/>
          </w:tcPr>
          <w:p w:rsidR="00E25453" w:rsidRPr="00E25453" w:rsidP="00E25453" w14:paraId="7CA1F2BC" w14:textId="0E0FDB1A">
            <w:pPr>
              <w:pStyle w:val="ListParagraph"/>
              <w:ind w:left="0"/>
              <w:rPr>
                <w:color w:val="000000"/>
                <w:sz w:val="24"/>
                <w:szCs w:val="24"/>
              </w:rPr>
            </w:pPr>
            <w:r w:rsidRPr="00E25453">
              <w:rPr>
                <w:b/>
                <w:bCs/>
                <w:color w:val="000000"/>
                <w:sz w:val="24"/>
                <w:szCs w:val="24"/>
              </w:rPr>
              <w:t>Cost in Dollars*</w:t>
            </w:r>
          </w:p>
        </w:tc>
      </w:tr>
      <w:tr w14:paraId="73D7D8A3" w14:textId="77777777" w:rsidTr="00E25453">
        <w:tblPrEx>
          <w:tblW w:w="0" w:type="auto"/>
          <w:tblInd w:w="900" w:type="dxa"/>
          <w:tblLook w:val="04A0"/>
        </w:tblPrEx>
        <w:tc>
          <w:tcPr>
            <w:tcW w:w="2576" w:type="dxa"/>
          </w:tcPr>
          <w:p w:rsidR="00E25453" w:rsidRPr="00E25453" w:rsidP="00E25453" w14:paraId="0FF7CC75" w14:textId="4E58AE05">
            <w:pPr>
              <w:pStyle w:val="ListParagraph"/>
              <w:ind w:left="0"/>
              <w:rPr>
                <w:color w:val="000000"/>
                <w:sz w:val="24"/>
                <w:szCs w:val="24"/>
              </w:rPr>
            </w:pPr>
            <w:r w:rsidRPr="00E25453">
              <w:rPr>
                <w:color w:val="000000"/>
                <w:sz w:val="24"/>
                <w:szCs w:val="24"/>
              </w:rPr>
              <w:t>Designing and Printing the Form</w:t>
            </w:r>
          </w:p>
        </w:tc>
        <w:tc>
          <w:tcPr>
            <w:tcW w:w="2577" w:type="dxa"/>
          </w:tcPr>
          <w:p w:rsidR="00E25453" w:rsidRPr="00E25453" w:rsidP="00E25453" w14:paraId="306B6279" w14:textId="3B18C29E">
            <w:pPr>
              <w:pStyle w:val="ListParagraph"/>
              <w:ind w:left="0"/>
              <w:rPr>
                <w:color w:val="000000"/>
                <w:sz w:val="24"/>
                <w:szCs w:val="24"/>
              </w:rPr>
            </w:pPr>
            <w:r w:rsidRPr="00E25453">
              <w:rPr>
                <w:color w:val="000000"/>
                <w:sz w:val="24"/>
                <w:szCs w:val="24"/>
              </w:rPr>
              <w:t>Design Cost + Printing Cost</w:t>
            </w:r>
          </w:p>
        </w:tc>
        <w:tc>
          <w:tcPr>
            <w:tcW w:w="2577" w:type="dxa"/>
          </w:tcPr>
          <w:p w:rsidR="00E25453" w:rsidRPr="00E25453" w:rsidP="00A13868" w14:paraId="22AD77C0" w14:textId="188E1D29">
            <w:pPr>
              <w:pStyle w:val="ListParagraph"/>
              <w:ind w:left="0"/>
              <w:jc w:val="right"/>
              <w:rPr>
                <w:color w:val="000000"/>
                <w:sz w:val="24"/>
                <w:szCs w:val="24"/>
              </w:rPr>
            </w:pPr>
            <w:r>
              <w:rPr>
                <w:color w:val="000000"/>
                <w:sz w:val="24"/>
                <w:szCs w:val="24"/>
              </w:rPr>
              <w:t>$0*</w:t>
            </w:r>
          </w:p>
        </w:tc>
      </w:tr>
      <w:tr w14:paraId="268AA588" w14:textId="77777777" w:rsidTr="00E25453">
        <w:tblPrEx>
          <w:tblW w:w="0" w:type="auto"/>
          <w:tblInd w:w="900" w:type="dxa"/>
          <w:tblLook w:val="04A0"/>
        </w:tblPrEx>
        <w:tc>
          <w:tcPr>
            <w:tcW w:w="2576" w:type="dxa"/>
          </w:tcPr>
          <w:p w:rsidR="00E25453" w:rsidRPr="00E25453" w:rsidP="00E25453" w14:paraId="3A9EE7E4" w14:textId="3FEF0835">
            <w:pPr>
              <w:pStyle w:val="ListParagraph"/>
              <w:ind w:left="0"/>
              <w:rPr>
                <w:color w:val="000000"/>
                <w:sz w:val="24"/>
                <w:szCs w:val="24"/>
              </w:rPr>
            </w:pPr>
            <w:r w:rsidRPr="00E25453">
              <w:rPr>
                <w:color w:val="000000"/>
                <w:sz w:val="24"/>
                <w:szCs w:val="24"/>
              </w:rPr>
              <w:t>Distributing, Shipping, and Material Costs for the Form</w:t>
            </w:r>
          </w:p>
        </w:tc>
        <w:tc>
          <w:tcPr>
            <w:tcW w:w="2577" w:type="dxa"/>
          </w:tcPr>
          <w:p w:rsidR="00E25453" w:rsidRPr="00E25453" w:rsidP="00E25453" w14:paraId="7D32E746" w14:textId="501AA6CE">
            <w:pPr>
              <w:pStyle w:val="ListParagraph"/>
              <w:ind w:left="0"/>
              <w:rPr>
                <w:color w:val="000000"/>
                <w:sz w:val="24"/>
                <w:szCs w:val="24"/>
              </w:rPr>
            </w:pPr>
            <w:r w:rsidRPr="00E25453">
              <w:rPr>
                <w:color w:val="000000"/>
                <w:sz w:val="24"/>
                <w:szCs w:val="24"/>
              </w:rPr>
              <w:t>Distribution + Shipping + Material Cost</w:t>
            </w:r>
          </w:p>
        </w:tc>
        <w:tc>
          <w:tcPr>
            <w:tcW w:w="2577" w:type="dxa"/>
          </w:tcPr>
          <w:p w:rsidR="00E25453" w:rsidRPr="00E25453" w:rsidP="00A13868" w14:paraId="24DF5348" w14:textId="77CF9CAF">
            <w:pPr>
              <w:pStyle w:val="ListParagraph"/>
              <w:ind w:left="0"/>
              <w:jc w:val="right"/>
              <w:rPr>
                <w:color w:val="000000"/>
                <w:sz w:val="24"/>
                <w:szCs w:val="24"/>
              </w:rPr>
            </w:pPr>
            <w:r>
              <w:rPr>
                <w:color w:val="000000"/>
                <w:sz w:val="24"/>
                <w:szCs w:val="24"/>
              </w:rPr>
              <w:t>$0*</w:t>
            </w:r>
          </w:p>
        </w:tc>
      </w:tr>
      <w:tr w14:paraId="448BFD62" w14:textId="77777777" w:rsidTr="00E25453">
        <w:tblPrEx>
          <w:tblW w:w="0" w:type="auto"/>
          <w:tblInd w:w="900" w:type="dxa"/>
          <w:tblLook w:val="04A0"/>
        </w:tblPrEx>
        <w:tc>
          <w:tcPr>
            <w:tcW w:w="2576" w:type="dxa"/>
          </w:tcPr>
          <w:p w:rsidR="00E25453" w:rsidRPr="00E25453" w:rsidP="00E25453" w14:paraId="2FFD2AF9" w14:textId="297E069A">
            <w:pPr>
              <w:pStyle w:val="ListParagraph"/>
              <w:ind w:left="0"/>
              <w:rPr>
                <w:color w:val="000000"/>
                <w:sz w:val="24"/>
                <w:szCs w:val="24"/>
              </w:rPr>
            </w:pPr>
            <w:r w:rsidRPr="00E25453">
              <w:rPr>
                <w:color w:val="000000"/>
                <w:sz w:val="24"/>
                <w:szCs w:val="24"/>
              </w:rPr>
              <w:t>SSA Employee (e.g., field office, 800 number, DDS staff) Information Collection and Processing Time</w:t>
            </w:r>
          </w:p>
        </w:tc>
        <w:tc>
          <w:tcPr>
            <w:tcW w:w="2577" w:type="dxa"/>
          </w:tcPr>
          <w:p w:rsidR="00E25453" w:rsidRPr="00E25453" w:rsidP="00E25453" w14:paraId="1E6660C2" w14:textId="62D00CA6">
            <w:pPr>
              <w:pStyle w:val="ListParagraph"/>
              <w:ind w:left="0"/>
              <w:rPr>
                <w:color w:val="000000"/>
                <w:sz w:val="24"/>
                <w:szCs w:val="24"/>
              </w:rPr>
            </w:pPr>
            <w:r w:rsidRPr="00E25453">
              <w:rPr>
                <w:color w:val="000000"/>
                <w:sz w:val="24"/>
                <w:szCs w:val="24"/>
              </w:rPr>
              <w:t>GS-9 employee x # of responses x processing time</w:t>
            </w:r>
          </w:p>
        </w:tc>
        <w:tc>
          <w:tcPr>
            <w:tcW w:w="2577" w:type="dxa"/>
          </w:tcPr>
          <w:p w:rsidR="00E25453" w:rsidRPr="00E25453" w:rsidP="00A13868" w14:paraId="589AC532" w14:textId="13AE6A71">
            <w:pPr>
              <w:pStyle w:val="ListParagraph"/>
              <w:ind w:left="0"/>
              <w:jc w:val="right"/>
              <w:rPr>
                <w:color w:val="000000"/>
                <w:sz w:val="24"/>
                <w:szCs w:val="24"/>
              </w:rPr>
            </w:pPr>
            <w:r>
              <w:rPr>
                <w:color w:val="000000"/>
                <w:sz w:val="24"/>
                <w:szCs w:val="24"/>
              </w:rPr>
              <w:t>$</w:t>
            </w:r>
            <w:r w:rsidR="0053632B">
              <w:rPr>
                <w:color w:val="000000"/>
                <w:sz w:val="24"/>
                <w:szCs w:val="24"/>
              </w:rPr>
              <w:t>61</w:t>
            </w:r>
            <w:r w:rsidR="00FF3DA1">
              <w:rPr>
                <w:color w:val="000000"/>
                <w:sz w:val="24"/>
                <w:szCs w:val="24"/>
              </w:rPr>
              <w:t>,145</w:t>
            </w:r>
          </w:p>
        </w:tc>
      </w:tr>
      <w:tr w14:paraId="08B7206F" w14:textId="77777777" w:rsidTr="00E25453">
        <w:tblPrEx>
          <w:tblW w:w="0" w:type="auto"/>
          <w:tblInd w:w="900" w:type="dxa"/>
          <w:tblLook w:val="04A0"/>
        </w:tblPrEx>
        <w:tc>
          <w:tcPr>
            <w:tcW w:w="2576" w:type="dxa"/>
          </w:tcPr>
          <w:p w:rsidR="00E25453" w:rsidRPr="00E25453" w:rsidP="00E25453" w14:paraId="021EEC43" w14:textId="60BBDB93">
            <w:pPr>
              <w:pStyle w:val="ListParagraph"/>
              <w:ind w:left="0"/>
              <w:rPr>
                <w:color w:val="000000"/>
                <w:sz w:val="24"/>
                <w:szCs w:val="24"/>
              </w:rPr>
            </w:pPr>
            <w:r w:rsidRPr="00E25453">
              <w:rPr>
                <w:color w:val="000000"/>
                <w:sz w:val="24"/>
                <w:szCs w:val="24"/>
              </w:rPr>
              <w:t>Full-Time Equivalent Costs</w:t>
            </w:r>
          </w:p>
        </w:tc>
        <w:tc>
          <w:tcPr>
            <w:tcW w:w="2577" w:type="dxa"/>
          </w:tcPr>
          <w:p w:rsidR="00E25453" w:rsidRPr="00E25453" w:rsidP="00E25453" w14:paraId="775A7EFC" w14:textId="21E37603">
            <w:pPr>
              <w:pStyle w:val="ListParagraph"/>
              <w:ind w:left="0"/>
              <w:rPr>
                <w:color w:val="000000"/>
                <w:sz w:val="24"/>
                <w:szCs w:val="24"/>
              </w:rPr>
            </w:pPr>
            <w:r w:rsidRPr="00E25453">
              <w:rPr>
                <w:color w:val="000000"/>
                <w:sz w:val="24"/>
                <w:szCs w:val="24"/>
              </w:rPr>
              <w:t>Out of pocket costs + Other expenses for providing this service</w:t>
            </w:r>
          </w:p>
        </w:tc>
        <w:tc>
          <w:tcPr>
            <w:tcW w:w="2577" w:type="dxa"/>
          </w:tcPr>
          <w:p w:rsidR="00E25453" w:rsidRPr="00E25453" w:rsidP="00A13868" w14:paraId="65C66FAD" w14:textId="4AB92FA1">
            <w:pPr>
              <w:pStyle w:val="ListParagraph"/>
              <w:ind w:left="0"/>
              <w:jc w:val="right"/>
              <w:rPr>
                <w:color w:val="000000"/>
                <w:sz w:val="24"/>
                <w:szCs w:val="24"/>
              </w:rPr>
            </w:pPr>
            <w:r>
              <w:rPr>
                <w:color w:val="000000"/>
                <w:sz w:val="24"/>
                <w:szCs w:val="24"/>
              </w:rPr>
              <w:t>$0*</w:t>
            </w:r>
          </w:p>
        </w:tc>
      </w:tr>
      <w:tr w14:paraId="753ED7C5" w14:textId="77777777" w:rsidTr="00E25453">
        <w:tblPrEx>
          <w:tblW w:w="0" w:type="auto"/>
          <w:tblInd w:w="900" w:type="dxa"/>
          <w:tblLook w:val="04A0"/>
        </w:tblPrEx>
        <w:tc>
          <w:tcPr>
            <w:tcW w:w="2576" w:type="dxa"/>
          </w:tcPr>
          <w:p w:rsidR="00E25453" w:rsidRPr="00E25453" w:rsidP="00E25453" w14:paraId="424CAACE" w14:textId="3D9EF66A">
            <w:pPr>
              <w:pStyle w:val="ListParagraph"/>
              <w:ind w:left="0"/>
              <w:rPr>
                <w:color w:val="000000"/>
                <w:sz w:val="24"/>
                <w:szCs w:val="24"/>
              </w:rPr>
            </w:pPr>
            <w:r w:rsidRPr="00E25453">
              <w:rPr>
                <w:color w:val="000000"/>
                <w:sz w:val="24"/>
                <w:szCs w:val="24"/>
              </w:rPr>
              <w:t>Systems Development, Updating, and Maintenance</w:t>
            </w:r>
          </w:p>
        </w:tc>
        <w:tc>
          <w:tcPr>
            <w:tcW w:w="2577" w:type="dxa"/>
          </w:tcPr>
          <w:p w:rsidR="00E25453" w:rsidRPr="00E25453" w:rsidP="00E25453" w14:paraId="12416613" w14:textId="7949B200">
            <w:pPr>
              <w:pStyle w:val="ListParagraph"/>
              <w:ind w:left="0"/>
              <w:rPr>
                <w:color w:val="000000"/>
                <w:sz w:val="24"/>
                <w:szCs w:val="24"/>
              </w:rPr>
            </w:pPr>
            <w:r w:rsidRPr="00E25453">
              <w:rPr>
                <w:color w:val="000000"/>
                <w:sz w:val="24"/>
                <w:szCs w:val="24"/>
              </w:rPr>
              <w:t>GS-</w:t>
            </w:r>
            <w:r w:rsidR="00883E42">
              <w:rPr>
                <w:color w:val="000000"/>
                <w:sz w:val="24"/>
                <w:szCs w:val="24"/>
              </w:rPr>
              <w:t>11</w:t>
            </w:r>
            <w:r w:rsidRPr="00E25453">
              <w:rPr>
                <w:color w:val="000000"/>
                <w:sz w:val="24"/>
                <w:szCs w:val="24"/>
              </w:rPr>
              <w:t xml:space="preserve"> employee x man hours for development, updating, maintenance</w:t>
            </w:r>
          </w:p>
        </w:tc>
        <w:tc>
          <w:tcPr>
            <w:tcW w:w="2577" w:type="dxa"/>
          </w:tcPr>
          <w:p w:rsidR="00E25453" w:rsidRPr="00A13868" w:rsidP="00A13868" w14:paraId="71F59415" w14:textId="347FCE2E">
            <w:pPr>
              <w:pStyle w:val="ListParagraph"/>
              <w:ind w:left="0"/>
              <w:jc w:val="right"/>
              <w:rPr>
                <w:color w:val="000000"/>
                <w:sz w:val="24"/>
                <w:szCs w:val="24"/>
              </w:rPr>
            </w:pPr>
            <w:r>
              <w:rPr>
                <w:color w:val="000000"/>
                <w:sz w:val="24"/>
                <w:szCs w:val="24"/>
              </w:rPr>
              <w:t>$</w:t>
            </w:r>
            <w:r w:rsidR="000D6B7A">
              <w:rPr>
                <w:color w:val="000000"/>
                <w:sz w:val="24"/>
                <w:szCs w:val="24"/>
              </w:rPr>
              <w:t>10,</w:t>
            </w:r>
            <w:r>
              <w:rPr>
                <w:color w:val="000000"/>
                <w:sz w:val="24"/>
                <w:szCs w:val="24"/>
              </w:rPr>
              <w:t>000</w:t>
            </w:r>
          </w:p>
        </w:tc>
      </w:tr>
      <w:tr w14:paraId="1D187AB0" w14:textId="77777777" w:rsidTr="00E25453">
        <w:tblPrEx>
          <w:tblW w:w="0" w:type="auto"/>
          <w:tblInd w:w="900" w:type="dxa"/>
          <w:tblLook w:val="04A0"/>
        </w:tblPrEx>
        <w:tc>
          <w:tcPr>
            <w:tcW w:w="2576" w:type="dxa"/>
          </w:tcPr>
          <w:p w:rsidR="00E25453" w:rsidRPr="00E25453" w:rsidP="00E25453" w14:paraId="61196416" w14:textId="15653D75">
            <w:pPr>
              <w:pStyle w:val="ListParagraph"/>
              <w:ind w:left="0"/>
              <w:rPr>
                <w:color w:val="000000"/>
                <w:sz w:val="24"/>
                <w:szCs w:val="24"/>
              </w:rPr>
            </w:pPr>
            <w:r w:rsidRPr="00E25453">
              <w:rPr>
                <w:color w:val="000000"/>
                <w:sz w:val="24"/>
                <w:szCs w:val="24"/>
              </w:rPr>
              <w:t>Quantifiable IT Costs</w:t>
            </w:r>
          </w:p>
        </w:tc>
        <w:tc>
          <w:tcPr>
            <w:tcW w:w="2577" w:type="dxa"/>
          </w:tcPr>
          <w:p w:rsidR="00E25453" w:rsidRPr="00E25453" w:rsidP="00E25453" w14:paraId="2621921C" w14:textId="67F37E3A">
            <w:pPr>
              <w:pStyle w:val="ListParagraph"/>
              <w:ind w:left="0"/>
              <w:rPr>
                <w:color w:val="000000"/>
                <w:sz w:val="24"/>
                <w:szCs w:val="24"/>
              </w:rPr>
            </w:pPr>
            <w:r w:rsidRPr="00E25453">
              <w:rPr>
                <w:color w:val="000000"/>
                <w:sz w:val="24"/>
                <w:szCs w:val="24"/>
              </w:rPr>
              <w:t>Any additional IT costs</w:t>
            </w:r>
          </w:p>
        </w:tc>
        <w:tc>
          <w:tcPr>
            <w:tcW w:w="2577" w:type="dxa"/>
          </w:tcPr>
          <w:p w:rsidR="00E25453" w:rsidRPr="00E25453" w:rsidP="00A13868" w14:paraId="70EF0826" w14:textId="609F6A31">
            <w:pPr>
              <w:pStyle w:val="ListParagraph"/>
              <w:ind w:left="0"/>
              <w:jc w:val="right"/>
              <w:rPr>
                <w:color w:val="000000"/>
                <w:sz w:val="24"/>
                <w:szCs w:val="24"/>
              </w:rPr>
            </w:pPr>
            <w:r>
              <w:rPr>
                <w:color w:val="000000"/>
                <w:sz w:val="24"/>
                <w:szCs w:val="24"/>
              </w:rPr>
              <w:t>$0*</w:t>
            </w:r>
          </w:p>
        </w:tc>
      </w:tr>
      <w:tr w14:paraId="71B7BC54" w14:textId="77777777" w:rsidTr="00E25453">
        <w:tblPrEx>
          <w:tblW w:w="0" w:type="auto"/>
          <w:tblInd w:w="900" w:type="dxa"/>
          <w:tblLook w:val="04A0"/>
        </w:tblPrEx>
        <w:tc>
          <w:tcPr>
            <w:tcW w:w="2576" w:type="dxa"/>
          </w:tcPr>
          <w:p w:rsidR="00E25453" w:rsidRPr="00E25453" w:rsidP="00E25453" w14:paraId="4A4656F8" w14:textId="5889B0A8">
            <w:pPr>
              <w:pStyle w:val="ListParagraph"/>
              <w:ind w:left="0"/>
              <w:rPr>
                <w:color w:val="000000"/>
                <w:sz w:val="24"/>
                <w:szCs w:val="24"/>
              </w:rPr>
            </w:pPr>
            <w:r w:rsidRPr="00E25453">
              <w:rPr>
                <w:b/>
                <w:bCs/>
                <w:color w:val="000000"/>
                <w:sz w:val="24"/>
                <w:szCs w:val="24"/>
              </w:rPr>
              <w:t>Total</w:t>
            </w:r>
          </w:p>
        </w:tc>
        <w:tc>
          <w:tcPr>
            <w:tcW w:w="2577" w:type="dxa"/>
          </w:tcPr>
          <w:p w:rsidR="00E25453" w:rsidRPr="00E25453" w:rsidP="00E25453" w14:paraId="07835126" w14:textId="77777777">
            <w:pPr>
              <w:pStyle w:val="ListParagraph"/>
              <w:ind w:left="0"/>
              <w:rPr>
                <w:color w:val="000000"/>
                <w:sz w:val="24"/>
                <w:szCs w:val="24"/>
              </w:rPr>
            </w:pPr>
          </w:p>
        </w:tc>
        <w:tc>
          <w:tcPr>
            <w:tcW w:w="2577" w:type="dxa"/>
          </w:tcPr>
          <w:p w:rsidR="00E25453" w:rsidRPr="007D0E69" w:rsidP="00A13868" w14:paraId="53CCC53E" w14:textId="2D6B3398">
            <w:pPr>
              <w:pStyle w:val="ListParagraph"/>
              <w:ind w:left="0"/>
              <w:jc w:val="right"/>
              <w:rPr>
                <w:b/>
                <w:bCs/>
                <w:color w:val="000000"/>
                <w:sz w:val="24"/>
                <w:szCs w:val="24"/>
              </w:rPr>
            </w:pPr>
            <w:r>
              <w:rPr>
                <w:b/>
                <w:bCs/>
                <w:sz w:val="24"/>
              </w:rPr>
              <w:t>$</w:t>
            </w:r>
            <w:r w:rsidR="000D6B7A">
              <w:rPr>
                <w:b/>
                <w:bCs/>
                <w:sz w:val="24"/>
              </w:rPr>
              <w:t>71</w:t>
            </w:r>
            <w:r w:rsidR="008B6339">
              <w:rPr>
                <w:b/>
                <w:bCs/>
                <w:sz w:val="24"/>
              </w:rPr>
              <w:t>,14</w:t>
            </w:r>
            <w:r w:rsidR="00044791">
              <w:rPr>
                <w:b/>
                <w:bCs/>
                <w:sz w:val="24"/>
              </w:rPr>
              <w:t>5</w:t>
            </w:r>
          </w:p>
        </w:tc>
      </w:tr>
    </w:tbl>
    <w:p w:rsidR="00E25453" w:rsidRPr="00E25453" w:rsidP="00E25453" w14:paraId="1EBEDB4E" w14:textId="5D491D36">
      <w:pPr>
        <w:pStyle w:val="ListParagraph"/>
        <w:ind w:left="900"/>
        <w:rPr>
          <w:color w:val="000000"/>
          <w:sz w:val="24"/>
          <w:szCs w:val="24"/>
        </w:rPr>
      </w:pPr>
      <w:r w:rsidRPr="00E25453">
        <w:rPr>
          <w:color w:val="000000"/>
          <w:sz w:val="24"/>
          <w:szCs w:val="24"/>
        </w:rPr>
        <w:t>* We have inserted a $0 amount for cost factors that do not apply to this collection.</w:t>
      </w:r>
    </w:p>
    <w:p w:rsidR="00E25453" w:rsidRPr="00E25453" w:rsidP="00E25453" w14:paraId="5269A84F" w14:textId="77777777">
      <w:pPr>
        <w:pStyle w:val="ListParagraph"/>
        <w:ind w:left="900"/>
        <w:rPr>
          <w:color w:val="000000"/>
          <w:sz w:val="24"/>
          <w:szCs w:val="24"/>
        </w:rPr>
      </w:pPr>
    </w:p>
    <w:p w:rsidR="00E25453" w:rsidRPr="00E25453" w:rsidP="00E25453" w14:paraId="1AE35C7F" w14:textId="5F928EC6">
      <w:pPr>
        <w:pStyle w:val="ListParagraph"/>
        <w:ind w:left="900"/>
        <w:rPr>
          <w:color w:val="000000"/>
          <w:sz w:val="24"/>
          <w:szCs w:val="24"/>
        </w:rPr>
      </w:pPr>
      <w:r w:rsidRPr="00E25453">
        <w:rPr>
          <w:color w:val="000000"/>
          <w:sz w:val="24"/>
          <w:szCs w:val="24"/>
        </w:rPr>
        <w:t xml:space="preserve">SSA is unable to break down the costs to the Federal government further than we already have.  </w:t>
      </w:r>
      <w:r w:rsidR="00B35F48">
        <w:rPr>
          <w:color w:val="000000"/>
          <w:sz w:val="24"/>
          <w:szCs w:val="24"/>
        </w:rPr>
        <w:t>B</w:t>
      </w:r>
      <w:r w:rsidRPr="00E25453">
        <w:rPr>
          <w:color w:val="000000"/>
          <w:sz w:val="24"/>
          <w:szCs w:val="24"/>
        </w:rPr>
        <w:t>ecause so many employees have a hand in each aspect of our forms, we use an estimated average hourly wage, based on the wage of our average field office employee (GS-9) for these calculations.</w:t>
      </w:r>
      <w:r w:rsidR="00A13868">
        <w:rPr>
          <w:color w:val="000000"/>
          <w:sz w:val="24"/>
          <w:szCs w:val="24"/>
        </w:rPr>
        <w:t xml:space="preserve">  </w:t>
      </w:r>
      <w:r w:rsidRPr="00E25453">
        <w:rPr>
          <w:color w:val="000000"/>
          <w:sz w:val="24"/>
          <w:szCs w:val="24"/>
        </w:rPr>
        <w:t>However, we have calculated these costs as accurately as possible based on the information we collect for creating, updating, and maintaining these information collections.</w:t>
      </w:r>
    </w:p>
    <w:p w:rsidR="00E25453" w:rsidRPr="00E25453" w:rsidP="00E25453" w14:paraId="6D5E202B" w14:textId="77777777">
      <w:pPr>
        <w:pStyle w:val="ListParagraph"/>
        <w:ind w:left="900"/>
        <w:rPr>
          <w:b/>
          <w:sz w:val="24"/>
          <w:szCs w:val="24"/>
          <w:u w:val="single"/>
        </w:rPr>
      </w:pPr>
    </w:p>
    <w:p w:rsidR="005E4CB8" w:rsidRPr="007D0E69" w:rsidP="005E4CB8" w14:paraId="58DAE006" w14:textId="7C1F5791">
      <w:pPr>
        <w:pStyle w:val="ListParagraph"/>
        <w:numPr>
          <w:ilvl w:val="0"/>
          <w:numId w:val="7"/>
        </w:numPr>
        <w:ind w:left="900"/>
        <w:rPr>
          <w:b/>
          <w:sz w:val="24"/>
          <w:szCs w:val="24"/>
          <w:u w:val="single"/>
        </w:rPr>
      </w:pPr>
      <w:r>
        <w:rPr>
          <w:b/>
          <w:sz w:val="24"/>
          <w:szCs w:val="24"/>
        </w:rPr>
        <w:t>Program Changes or Adjustments to the Information Collection Request</w:t>
      </w:r>
    </w:p>
    <w:p w:rsidR="007D0E69" w:rsidP="007D0E69" w14:paraId="596F4B89" w14:textId="7DE29193">
      <w:pPr>
        <w:pStyle w:val="ListParagraph"/>
        <w:ind w:left="900"/>
        <w:rPr>
          <w:sz w:val="24"/>
          <w:szCs w:val="24"/>
        </w:rPr>
      </w:pPr>
      <w:r w:rsidRPr="1452EDF3">
        <w:rPr>
          <w:color w:val="000000" w:themeColor="text1"/>
          <w:sz w:val="24"/>
          <w:szCs w:val="24"/>
        </w:rPr>
        <w:t xml:space="preserve">When we last cleared this IC in </w:t>
      </w:r>
      <w:r w:rsidRPr="00477305">
        <w:rPr>
          <w:color w:val="000000" w:themeColor="text1"/>
          <w:sz w:val="24"/>
          <w:szCs w:val="24"/>
        </w:rPr>
        <w:t>20</w:t>
      </w:r>
      <w:r w:rsidRPr="006D19A3" w:rsidR="00790156">
        <w:rPr>
          <w:color w:val="000000" w:themeColor="text1"/>
          <w:sz w:val="24"/>
          <w:szCs w:val="24"/>
        </w:rPr>
        <w:t>2</w:t>
      </w:r>
      <w:r w:rsidR="006D19A3">
        <w:rPr>
          <w:color w:val="000000" w:themeColor="text1"/>
          <w:sz w:val="24"/>
          <w:szCs w:val="24"/>
        </w:rPr>
        <w:t>3</w:t>
      </w:r>
      <w:r w:rsidRPr="1452EDF3">
        <w:rPr>
          <w:color w:val="000000" w:themeColor="text1"/>
          <w:sz w:val="24"/>
          <w:szCs w:val="24"/>
        </w:rPr>
        <w:t xml:space="preserve">, the burden of hours was </w:t>
      </w:r>
      <w:r w:rsidR="00500F98">
        <w:rPr>
          <w:color w:val="000000" w:themeColor="text1"/>
          <w:sz w:val="24"/>
          <w:szCs w:val="24"/>
        </w:rPr>
        <w:t>1,102</w:t>
      </w:r>
      <w:r w:rsidRPr="1452EDF3">
        <w:rPr>
          <w:color w:val="000000" w:themeColor="text1"/>
          <w:sz w:val="24"/>
          <w:szCs w:val="24"/>
        </w:rPr>
        <w:t xml:space="preserve"> hours.  However, we are currently reporting a burden of </w:t>
      </w:r>
      <w:r w:rsidR="00500F98">
        <w:rPr>
          <w:color w:val="000000" w:themeColor="text1"/>
          <w:sz w:val="24"/>
          <w:szCs w:val="24"/>
        </w:rPr>
        <w:t>2,156</w:t>
      </w:r>
      <w:r w:rsidRPr="1452EDF3">
        <w:rPr>
          <w:color w:val="000000" w:themeColor="text1"/>
          <w:sz w:val="24"/>
          <w:szCs w:val="24"/>
        </w:rPr>
        <w:t xml:space="preserve"> hours.  This change is due to </w:t>
      </w:r>
      <w:r w:rsidR="00500F98">
        <w:rPr>
          <w:color w:val="000000" w:themeColor="text1"/>
          <w:sz w:val="24"/>
          <w:szCs w:val="24"/>
        </w:rPr>
        <w:t>an update in how we calculated the burden hours.</w:t>
      </w:r>
      <w:r w:rsidR="00FE5351">
        <w:rPr>
          <w:color w:val="000000" w:themeColor="text1"/>
          <w:sz w:val="24"/>
          <w:szCs w:val="24"/>
        </w:rPr>
        <w:t xml:space="preserve">  </w:t>
      </w:r>
      <w:r w:rsidR="00473040">
        <w:rPr>
          <w:color w:val="000000" w:themeColor="text1"/>
          <w:sz w:val="24"/>
          <w:szCs w:val="24"/>
        </w:rPr>
        <w:t xml:space="preserve">By using the total number of interviews completed </w:t>
      </w:r>
      <w:r w:rsidR="00477305">
        <w:rPr>
          <w:color w:val="000000" w:themeColor="text1"/>
          <w:sz w:val="24"/>
          <w:szCs w:val="24"/>
        </w:rPr>
        <w:t>instead of</w:t>
      </w:r>
      <w:r w:rsidR="00473040">
        <w:rPr>
          <w:color w:val="000000" w:themeColor="text1"/>
          <w:sz w:val="24"/>
          <w:szCs w:val="24"/>
        </w:rPr>
        <w:t xml:space="preserve"> the number of interviews left to be completed</w:t>
      </w:r>
      <w:r w:rsidR="008C363B">
        <w:rPr>
          <w:color w:val="000000" w:themeColor="text1"/>
          <w:sz w:val="24"/>
          <w:szCs w:val="24"/>
        </w:rPr>
        <w:t xml:space="preserve"> (which was used in the prior submission)</w:t>
      </w:r>
      <w:r w:rsidR="00473040">
        <w:rPr>
          <w:color w:val="000000" w:themeColor="text1"/>
          <w:sz w:val="24"/>
          <w:szCs w:val="24"/>
        </w:rPr>
        <w:t xml:space="preserve">, we believe this more accurately </w:t>
      </w:r>
      <w:r w:rsidR="00AE4FDD">
        <w:rPr>
          <w:color w:val="000000" w:themeColor="text1"/>
          <w:sz w:val="24"/>
          <w:szCs w:val="24"/>
        </w:rPr>
        <w:t>determines the burden for the MNUP and Centenarian interviews together.</w:t>
      </w:r>
      <w:r w:rsidR="00A549EF">
        <w:rPr>
          <w:color w:val="000000" w:themeColor="text1"/>
          <w:sz w:val="24"/>
          <w:szCs w:val="24"/>
        </w:rPr>
        <w:t xml:space="preserve">  </w:t>
      </w:r>
      <w:r w:rsidRPr="1452EDF3">
        <w:rPr>
          <w:sz w:val="24"/>
          <w:szCs w:val="24"/>
        </w:rPr>
        <w:t>There is no change to the burden time per response.</w:t>
      </w:r>
    </w:p>
    <w:p w:rsidR="00833E0E" w:rsidP="007D0E69" w14:paraId="41660E19" w14:textId="3A668BDD">
      <w:pPr>
        <w:pStyle w:val="ListParagraph"/>
        <w:ind w:left="900"/>
        <w:rPr>
          <w:sz w:val="24"/>
        </w:rPr>
      </w:pPr>
    </w:p>
    <w:p w:rsidR="00833E0E" w:rsidRPr="00495B43" w:rsidP="00205F7B" w14:paraId="0F5517B5" w14:textId="34AB4B1D">
      <w:pPr>
        <w:pStyle w:val="NoSpacing"/>
        <w:ind w:left="900"/>
        <w:rPr>
          <w:b/>
          <w:bCs/>
          <w:iCs/>
        </w:rPr>
      </w:pPr>
      <w:r>
        <w:rPr>
          <w:color w:val="000000"/>
        </w:rPr>
        <w:t>*</w:t>
      </w:r>
      <w:r w:rsidRPr="00833E0E">
        <w:rPr>
          <w:b/>
          <w:bCs/>
          <w:color w:val="000000"/>
        </w:rPr>
        <w:t>Note</w:t>
      </w:r>
      <w:r>
        <w:rPr>
          <w:color w:val="000000"/>
        </w:rPr>
        <w:t xml:space="preserve">: The total burden reflected in ROCIS is </w:t>
      </w:r>
      <w:r w:rsidR="00FE5351">
        <w:rPr>
          <w:b/>
          <w:bCs/>
          <w:color w:val="000000"/>
        </w:rPr>
        <w:t>3,850</w:t>
      </w:r>
      <w:r>
        <w:rPr>
          <w:color w:val="000000"/>
        </w:rPr>
        <w:t xml:space="preserve">, while the burden cited in #12 of the Supporting Statement is </w:t>
      </w:r>
      <w:r w:rsidR="00A549EF">
        <w:rPr>
          <w:b/>
          <w:bCs/>
          <w:color w:val="000000"/>
        </w:rPr>
        <w:t>2,156</w:t>
      </w:r>
      <w:r>
        <w:rPr>
          <w:color w:val="000000"/>
        </w:rPr>
        <w:t>.  This discrepancy is because the ROCIS burden reflects the following components</w:t>
      </w:r>
      <w:r w:rsidR="00A549EF">
        <w:rPr>
          <w:color w:val="000000"/>
        </w:rPr>
        <w:t>: field</w:t>
      </w:r>
      <w:r>
        <w:rPr>
          <w:color w:val="000000"/>
        </w:rPr>
        <w:t xml:space="preserve"> office waiting time + a rough estimate of a 30-minute, one-way, drive burden</w:t>
      </w:r>
      <w:r w:rsidR="006B0DEC">
        <w:rPr>
          <w:color w:val="000000"/>
        </w:rPr>
        <w:t xml:space="preserve"> + learning costs</w:t>
      </w:r>
      <w:r>
        <w:rPr>
          <w:color w:val="000000"/>
        </w:rPr>
        <w:t>.  In contrast, the chart in #12 of the Supporting Statement reflects actual burden.</w:t>
      </w:r>
    </w:p>
    <w:p w:rsidR="00A13868" w:rsidRPr="00E25453" w:rsidP="007D0E69" w14:paraId="147CBA1E" w14:textId="77777777">
      <w:pPr>
        <w:pStyle w:val="ListParagraph"/>
        <w:ind w:left="900"/>
        <w:rPr>
          <w:b/>
          <w:sz w:val="24"/>
          <w:szCs w:val="24"/>
          <w:u w:val="single"/>
        </w:rPr>
      </w:pPr>
    </w:p>
    <w:p w:rsidR="005E4CB8" w:rsidRPr="00B35F48" w:rsidP="005E4CB8" w14:paraId="6135BC95" w14:textId="4B237DF5">
      <w:pPr>
        <w:pStyle w:val="ListParagraph"/>
        <w:numPr>
          <w:ilvl w:val="0"/>
          <w:numId w:val="7"/>
        </w:numPr>
        <w:ind w:left="900"/>
        <w:rPr>
          <w:b/>
          <w:sz w:val="24"/>
          <w:szCs w:val="24"/>
          <w:u w:val="single"/>
        </w:rPr>
      </w:pPr>
      <w:r>
        <w:rPr>
          <w:b/>
          <w:sz w:val="24"/>
          <w:szCs w:val="24"/>
        </w:rPr>
        <w:t>Plans for Publication Information Collection Results</w:t>
      </w:r>
    </w:p>
    <w:p w:rsidR="00B35F48" w:rsidP="00B35F48" w14:paraId="2BA4066F" w14:textId="5C82531D">
      <w:pPr>
        <w:pStyle w:val="ListParagraph"/>
        <w:ind w:left="900"/>
        <w:rPr>
          <w:b/>
          <w:sz w:val="24"/>
          <w:szCs w:val="24"/>
        </w:rPr>
      </w:pPr>
      <w:r>
        <w:rPr>
          <w:sz w:val="24"/>
        </w:rPr>
        <w:t>SSA will not publish the results of the information collection.</w:t>
      </w:r>
    </w:p>
    <w:p w:rsidR="00B35F48" w:rsidRPr="00E25453" w:rsidP="00B35F48" w14:paraId="02AE7EE3" w14:textId="77777777">
      <w:pPr>
        <w:pStyle w:val="ListParagraph"/>
        <w:ind w:left="900"/>
        <w:rPr>
          <w:b/>
          <w:sz w:val="24"/>
          <w:szCs w:val="24"/>
          <w:u w:val="single"/>
        </w:rPr>
      </w:pPr>
    </w:p>
    <w:p w:rsidR="005E4CB8" w:rsidRPr="00B35F48" w:rsidP="005E4CB8" w14:paraId="4DA752C2" w14:textId="0DA22AE1">
      <w:pPr>
        <w:pStyle w:val="ListParagraph"/>
        <w:numPr>
          <w:ilvl w:val="0"/>
          <w:numId w:val="7"/>
        </w:numPr>
        <w:ind w:left="900"/>
        <w:rPr>
          <w:b/>
          <w:sz w:val="24"/>
          <w:szCs w:val="24"/>
          <w:u w:val="single"/>
        </w:rPr>
      </w:pPr>
      <w:r>
        <w:rPr>
          <w:b/>
          <w:sz w:val="24"/>
          <w:szCs w:val="24"/>
        </w:rPr>
        <w:t>Displaying the OMB Approval Expiration Date</w:t>
      </w:r>
    </w:p>
    <w:p w:rsidR="00B35F48" w:rsidP="00B35F48" w14:paraId="2153A486" w14:textId="5BC436AE">
      <w:pPr>
        <w:pStyle w:val="ListParagraph"/>
        <w:ind w:left="900"/>
        <w:rPr>
          <w:b/>
          <w:sz w:val="24"/>
          <w:szCs w:val="24"/>
        </w:rPr>
      </w:pPr>
      <w:r>
        <w:rPr>
          <w:bCs/>
          <w:iCs/>
          <w:sz w:val="24"/>
          <w:szCs w:val="24"/>
        </w:rPr>
        <w:t>SSA is not requesting an exception to the requirement to display an expiration date.</w:t>
      </w:r>
    </w:p>
    <w:p w:rsidR="00B35F48" w:rsidRPr="00E25453" w:rsidP="00B35F48" w14:paraId="35E33E28" w14:textId="77777777">
      <w:pPr>
        <w:pStyle w:val="ListParagraph"/>
        <w:ind w:left="900"/>
        <w:rPr>
          <w:b/>
          <w:sz w:val="24"/>
          <w:szCs w:val="24"/>
          <w:u w:val="single"/>
        </w:rPr>
      </w:pPr>
    </w:p>
    <w:p w:rsidR="00B35F48" w:rsidRPr="00B35F48" w:rsidP="005E4CB8" w14:paraId="4E039F38" w14:textId="77777777">
      <w:pPr>
        <w:pStyle w:val="ListParagraph"/>
        <w:numPr>
          <w:ilvl w:val="0"/>
          <w:numId w:val="7"/>
        </w:numPr>
        <w:ind w:left="900"/>
        <w:rPr>
          <w:b/>
          <w:sz w:val="24"/>
          <w:szCs w:val="24"/>
          <w:u w:val="single"/>
        </w:rPr>
      </w:pPr>
      <w:r>
        <w:rPr>
          <w:b/>
          <w:sz w:val="24"/>
          <w:szCs w:val="24"/>
        </w:rPr>
        <w:t>Exceptions to Certification Statement</w:t>
      </w:r>
    </w:p>
    <w:p w:rsidR="005E4CB8" w:rsidRPr="00E25453" w:rsidP="00B35F48" w14:paraId="29C94045" w14:textId="3888708B">
      <w:pPr>
        <w:pStyle w:val="ListParagraph"/>
        <w:ind w:left="900"/>
        <w:rPr>
          <w:b/>
          <w:sz w:val="24"/>
          <w:szCs w:val="24"/>
          <w:u w:val="single"/>
        </w:rPr>
      </w:pPr>
      <w:r>
        <w:rPr>
          <w:sz w:val="24"/>
        </w:rPr>
        <w:t xml:space="preserve">SSA is not requesting an exception to the certification requirements at </w:t>
      </w:r>
      <w:r>
        <w:rPr>
          <w:i/>
          <w:sz w:val="24"/>
        </w:rPr>
        <w:t>5 CFR 1320.9</w:t>
      </w:r>
      <w:r>
        <w:rPr>
          <w:sz w:val="24"/>
        </w:rPr>
        <w:t xml:space="preserve"> and related provisions at </w:t>
      </w:r>
      <w:r>
        <w:rPr>
          <w:i/>
          <w:sz w:val="24"/>
        </w:rPr>
        <w:t>5 CFR 1320.8(b)(3).</w:t>
      </w:r>
    </w:p>
    <w:p w:rsidR="00D82468" w:rsidRPr="005E4CB8" w:rsidP="005E4CB8" w14:paraId="7A1C775D" w14:textId="77777777">
      <w:pPr>
        <w:rPr>
          <w:b/>
          <w:sz w:val="24"/>
          <w:szCs w:val="24"/>
          <w:u w:val="single"/>
        </w:rPr>
      </w:pPr>
    </w:p>
    <w:p w:rsidR="00880759" w:rsidRPr="00B35F48" w:rsidP="00B35F48" w14:paraId="39B08C35" w14:textId="1DFEDF7C">
      <w:pPr>
        <w:pStyle w:val="ListParagraph"/>
        <w:numPr>
          <w:ilvl w:val="0"/>
          <w:numId w:val="5"/>
        </w:numPr>
        <w:rPr>
          <w:b/>
          <w:sz w:val="24"/>
          <w:szCs w:val="24"/>
          <w:u w:val="single"/>
        </w:rPr>
      </w:pPr>
      <w:r w:rsidRPr="00B35F48">
        <w:rPr>
          <w:b/>
          <w:sz w:val="24"/>
          <w:szCs w:val="24"/>
          <w:u w:val="single"/>
        </w:rPr>
        <w:t>Collections of Information Employing Statistical Methods</w:t>
      </w:r>
    </w:p>
    <w:p w:rsidR="00B64FCB" w14:paraId="44FF8D78" w14:textId="77777777">
      <w:pPr>
        <w:rPr>
          <w:sz w:val="24"/>
        </w:rPr>
      </w:pPr>
    </w:p>
    <w:p w:rsidR="00B64FCB" w:rsidP="00B35F48" w14:paraId="1AE3019F" w14:textId="77777777">
      <w:pPr>
        <w:pStyle w:val="BodyTextIndent3"/>
        <w:ind w:left="900"/>
      </w:pPr>
      <w:r>
        <w:t xml:space="preserve">SSA does not use statistical methods for this information collection. </w:t>
      </w:r>
    </w:p>
    <w:sectPr w:rsidSect="00A1386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2BB" w14:paraId="5D50143A" w14:textId="010BD90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D41BED">
      <w:rPr>
        <w:rStyle w:val="PageNumber"/>
        <w:noProof/>
      </w:rPr>
      <w:t>4</w:t>
    </w:r>
    <w:r>
      <w:rPr>
        <w:rStyle w:val="PageNumber"/>
      </w:rPr>
      <w:fldChar w:fldCharType="end"/>
    </w:r>
    <w:r>
      <w:rPr>
        <w:rStyle w:val="PageNumber"/>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4"/>
      <w:numFmt w:val="decimal"/>
      <w:lvlText w:val="%1."/>
      <w:lvlJc w:val="left"/>
      <w:pPr>
        <w:tabs>
          <w:tab w:val="num" w:pos="1440"/>
        </w:tabs>
        <w:ind w:left="1440" w:hanging="720"/>
      </w:pPr>
    </w:lvl>
  </w:abstractNum>
  <w:abstractNum w:abstractNumId="2">
    <w:nsid w:val="00000003"/>
    <w:multiLevelType w:val="singleLevel"/>
    <w:tmpl w:val="00000003"/>
    <w:name w:val="WW8Num3"/>
    <w:lvl w:ilvl="0">
      <w:start w:val="15"/>
      <w:numFmt w:val="decimal"/>
      <w:lvlText w:val="%1."/>
      <w:lvlJc w:val="left"/>
      <w:pPr>
        <w:tabs>
          <w:tab w:val="num" w:pos="1440"/>
        </w:tabs>
        <w:ind w:left="1440" w:hanging="720"/>
      </w:pPr>
    </w:lvl>
  </w:abstractNum>
  <w:abstractNum w:abstractNumId="3">
    <w:nsid w:val="00000004"/>
    <w:multiLevelType w:val="singleLevel"/>
    <w:tmpl w:val="00000004"/>
    <w:name w:val="WW8Num4"/>
    <w:lvl w:ilvl="0">
      <w:start w:val="1"/>
      <w:numFmt w:val="decimal"/>
      <w:lvlText w:val="%1."/>
      <w:lvlJc w:val="left"/>
      <w:pPr>
        <w:tabs>
          <w:tab w:val="num" w:pos="1440"/>
        </w:tabs>
        <w:ind w:left="1440" w:hanging="720"/>
      </w:pPr>
      <w:rPr>
        <w:i w:val="0"/>
      </w:rPr>
    </w:lvl>
  </w:abstractNum>
  <w:abstractNum w:abstractNumId="4">
    <w:nsid w:val="0FD80F1E"/>
    <w:multiLevelType w:val="hybridMultilevel"/>
    <w:tmpl w:val="4F142D7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3C21FB0"/>
    <w:multiLevelType w:val="hybridMultilevel"/>
    <w:tmpl w:val="993E51E8"/>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1AD06532"/>
    <w:multiLevelType w:val="hybridMultilevel"/>
    <w:tmpl w:val="62000200"/>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7">
    <w:nsid w:val="23F23E33"/>
    <w:multiLevelType w:val="hybridMultilevel"/>
    <w:tmpl w:val="CB4848D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46D13CC"/>
    <w:multiLevelType w:val="hybridMultilevel"/>
    <w:tmpl w:val="78189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8705DDB"/>
    <w:multiLevelType w:val="hybridMultilevel"/>
    <w:tmpl w:val="C9F0934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3A5F1EBF"/>
    <w:multiLevelType w:val="hybridMultilevel"/>
    <w:tmpl w:val="960A66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2510492"/>
    <w:multiLevelType w:val="hybridMultilevel"/>
    <w:tmpl w:val="57886F48"/>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AF7D86"/>
    <w:multiLevelType w:val="hybridMultilevel"/>
    <w:tmpl w:val="A9A46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73703F"/>
    <w:multiLevelType w:val="hybridMultilevel"/>
    <w:tmpl w:val="22C2B948"/>
    <w:lvl w:ilvl="0">
      <w:start w:val="1"/>
      <w:numFmt w:val="bullet"/>
      <w:lvlText w:val="o"/>
      <w:lvlJc w:val="left"/>
      <w:pPr>
        <w:ind w:left="1620" w:hanging="360"/>
      </w:pPr>
      <w:rPr>
        <w:rFonts w:ascii="Courier New" w:hAnsi="Courier New" w:cs="Courier New"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77170F28"/>
    <w:multiLevelType w:val="hybridMultilevel"/>
    <w:tmpl w:val="36EC427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555968271">
    <w:abstractNumId w:val="0"/>
  </w:num>
  <w:num w:numId="2" w16cid:durableId="547230788">
    <w:abstractNumId w:val="1"/>
  </w:num>
  <w:num w:numId="3" w16cid:durableId="573587724">
    <w:abstractNumId w:val="2"/>
  </w:num>
  <w:num w:numId="4" w16cid:durableId="1106921686">
    <w:abstractNumId w:val="3"/>
  </w:num>
  <w:num w:numId="5" w16cid:durableId="384909135">
    <w:abstractNumId w:val="11"/>
  </w:num>
  <w:num w:numId="6" w16cid:durableId="1860658810">
    <w:abstractNumId w:val="10"/>
  </w:num>
  <w:num w:numId="7" w16cid:durableId="355159545">
    <w:abstractNumId w:val="4"/>
  </w:num>
  <w:num w:numId="8" w16cid:durableId="2031374946">
    <w:abstractNumId w:val="9"/>
  </w:num>
  <w:num w:numId="9" w16cid:durableId="153575040">
    <w:abstractNumId w:val="6"/>
  </w:num>
  <w:num w:numId="10" w16cid:durableId="291792245">
    <w:abstractNumId w:val="5"/>
  </w:num>
  <w:num w:numId="11" w16cid:durableId="343553930">
    <w:abstractNumId w:val="12"/>
  </w:num>
  <w:num w:numId="12" w16cid:durableId="568006836">
    <w:abstractNumId w:val="14"/>
  </w:num>
  <w:num w:numId="13" w16cid:durableId="713385974">
    <w:abstractNumId w:val="7"/>
  </w:num>
  <w:num w:numId="14" w16cid:durableId="209652703">
    <w:abstractNumId w:val="8"/>
  </w:num>
  <w:num w:numId="15" w16cid:durableId="612242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C4"/>
    <w:rsid w:val="000001FC"/>
    <w:rsid w:val="000010E0"/>
    <w:rsid w:val="00001F3C"/>
    <w:rsid w:val="00002D24"/>
    <w:rsid w:val="000032A9"/>
    <w:rsid w:val="00004BCF"/>
    <w:rsid w:val="00006720"/>
    <w:rsid w:val="00007244"/>
    <w:rsid w:val="00007FAE"/>
    <w:rsid w:val="000106C4"/>
    <w:rsid w:val="00012E51"/>
    <w:rsid w:val="00012F97"/>
    <w:rsid w:val="000142C4"/>
    <w:rsid w:val="00014559"/>
    <w:rsid w:val="00014FDC"/>
    <w:rsid w:val="00015887"/>
    <w:rsid w:val="000171CD"/>
    <w:rsid w:val="00017327"/>
    <w:rsid w:val="00021519"/>
    <w:rsid w:val="000216DC"/>
    <w:rsid w:val="00021CEF"/>
    <w:rsid w:val="00021E80"/>
    <w:rsid w:val="00023287"/>
    <w:rsid w:val="00023B95"/>
    <w:rsid w:val="00024371"/>
    <w:rsid w:val="00024D3F"/>
    <w:rsid w:val="00025506"/>
    <w:rsid w:val="00027415"/>
    <w:rsid w:val="000312EF"/>
    <w:rsid w:val="00032B30"/>
    <w:rsid w:val="00033C85"/>
    <w:rsid w:val="00035A11"/>
    <w:rsid w:val="00035DCE"/>
    <w:rsid w:val="000364F2"/>
    <w:rsid w:val="00037EB8"/>
    <w:rsid w:val="000406F8"/>
    <w:rsid w:val="00040708"/>
    <w:rsid w:val="00040AF3"/>
    <w:rsid w:val="00042D5A"/>
    <w:rsid w:val="00042F33"/>
    <w:rsid w:val="0004435A"/>
    <w:rsid w:val="00044791"/>
    <w:rsid w:val="00044B72"/>
    <w:rsid w:val="00047410"/>
    <w:rsid w:val="00050778"/>
    <w:rsid w:val="00052DCA"/>
    <w:rsid w:val="00054312"/>
    <w:rsid w:val="00055257"/>
    <w:rsid w:val="0005653E"/>
    <w:rsid w:val="00056543"/>
    <w:rsid w:val="00056629"/>
    <w:rsid w:val="00056D58"/>
    <w:rsid w:val="00060E4B"/>
    <w:rsid w:val="000617FE"/>
    <w:rsid w:val="00062FCD"/>
    <w:rsid w:val="00064281"/>
    <w:rsid w:val="00064BE9"/>
    <w:rsid w:val="00067017"/>
    <w:rsid w:val="00067688"/>
    <w:rsid w:val="0007083F"/>
    <w:rsid w:val="0007156F"/>
    <w:rsid w:val="00071F50"/>
    <w:rsid w:val="00073A41"/>
    <w:rsid w:val="00073EC9"/>
    <w:rsid w:val="00074438"/>
    <w:rsid w:val="0007664A"/>
    <w:rsid w:val="000767A5"/>
    <w:rsid w:val="00076989"/>
    <w:rsid w:val="00077C92"/>
    <w:rsid w:val="00080F4C"/>
    <w:rsid w:val="000824E1"/>
    <w:rsid w:val="0008330C"/>
    <w:rsid w:val="00084011"/>
    <w:rsid w:val="00084634"/>
    <w:rsid w:val="00085A82"/>
    <w:rsid w:val="00087513"/>
    <w:rsid w:val="00091157"/>
    <w:rsid w:val="000913AB"/>
    <w:rsid w:val="00092425"/>
    <w:rsid w:val="00094D14"/>
    <w:rsid w:val="000970B7"/>
    <w:rsid w:val="000A3391"/>
    <w:rsid w:val="000A36F6"/>
    <w:rsid w:val="000A6427"/>
    <w:rsid w:val="000B1C48"/>
    <w:rsid w:val="000B4327"/>
    <w:rsid w:val="000B5238"/>
    <w:rsid w:val="000B5C48"/>
    <w:rsid w:val="000B672F"/>
    <w:rsid w:val="000C0CC8"/>
    <w:rsid w:val="000C127A"/>
    <w:rsid w:val="000C17C0"/>
    <w:rsid w:val="000C2393"/>
    <w:rsid w:val="000C497C"/>
    <w:rsid w:val="000C5DC1"/>
    <w:rsid w:val="000D0836"/>
    <w:rsid w:val="000D1D22"/>
    <w:rsid w:val="000D2A9B"/>
    <w:rsid w:val="000D4741"/>
    <w:rsid w:val="000D6B7A"/>
    <w:rsid w:val="000D721E"/>
    <w:rsid w:val="000E12DB"/>
    <w:rsid w:val="000E1B13"/>
    <w:rsid w:val="000E6848"/>
    <w:rsid w:val="000E7D18"/>
    <w:rsid w:val="000F1557"/>
    <w:rsid w:val="000F463B"/>
    <w:rsid w:val="000F6EAB"/>
    <w:rsid w:val="001001BC"/>
    <w:rsid w:val="00100241"/>
    <w:rsid w:val="00102F20"/>
    <w:rsid w:val="00103E6E"/>
    <w:rsid w:val="00104D77"/>
    <w:rsid w:val="001050EF"/>
    <w:rsid w:val="001050F4"/>
    <w:rsid w:val="00105127"/>
    <w:rsid w:val="00106CC4"/>
    <w:rsid w:val="00107EDC"/>
    <w:rsid w:val="00112BF8"/>
    <w:rsid w:val="00112D2B"/>
    <w:rsid w:val="0011322B"/>
    <w:rsid w:val="0011456D"/>
    <w:rsid w:val="0012130D"/>
    <w:rsid w:val="00121418"/>
    <w:rsid w:val="001227EC"/>
    <w:rsid w:val="00123F81"/>
    <w:rsid w:val="001249A5"/>
    <w:rsid w:val="001251A2"/>
    <w:rsid w:val="0012670A"/>
    <w:rsid w:val="00126D2C"/>
    <w:rsid w:val="001304FA"/>
    <w:rsid w:val="00131031"/>
    <w:rsid w:val="001324BA"/>
    <w:rsid w:val="00132CD3"/>
    <w:rsid w:val="0013434C"/>
    <w:rsid w:val="00135489"/>
    <w:rsid w:val="001354E0"/>
    <w:rsid w:val="00136E89"/>
    <w:rsid w:val="00137F1C"/>
    <w:rsid w:val="00140CFF"/>
    <w:rsid w:val="0014200B"/>
    <w:rsid w:val="00147E27"/>
    <w:rsid w:val="00150B81"/>
    <w:rsid w:val="00150EBE"/>
    <w:rsid w:val="001534C5"/>
    <w:rsid w:val="00153AB0"/>
    <w:rsid w:val="00155C2D"/>
    <w:rsid w:val="001600BB"/>
    <w:rsid w:val="001611E5"/>
    <w:rsid w:val="0016203A"/>
    <w:rsid w:val="001625EC"/>
    <w:rsid w:val="00162A59"/>
    <w:rsid w:val="0016338E"/>
    <w:rsid w:val="00163E0F"/>
    <w:rsid w:val="00166336"/>
    <w:rsid w:val="00167B55"/>
    <w:rsid w:val="0017000C"/>
    <w:rsid w:val="00171118"/>
    <w:rsid w:val="00171764"/>
    <w:rsid w:val="001718A9"/>
    <w:rsid w:val="00171B5A"/>
    <w:rsid w:val="00172E73"/>
    <w:rsid w:val="00176012"/>
    <w:rsid w:val="001764FD"/>
    <w:rsid w:val="001806B5"/>
    <w:rsid w:val="00184BEF"/>
    <w:rsid w:val="00184D0C"/>
    <w:rsid w:val="00185535"/>
    <w:rsid w:val="001856CC"/>
    <w:rsid w:val="00186B2F"/>
    <w:rsid w:val="001875AC"/>
    <w:rsid w:val="0019200C"/>
    <w:rsid w:val="001924E9"/>
    <w:rsid w:val="0019350C"/>
    <w:rsid w:val="00193BF8"/>
    <w:rsid w:val="00194686"/>
    <w:rsid w:val="00196F9A"/>
    <w:rsid w:val="001A0612"/>
    <w:rsid w:val="001A15AE"/>
    <w:rsid w:val="001A2951"/>
    <w:rsid w:val="001A2DC0"/>
    <w:rsid w:val="001A3350"/>
    <w:rsid w:val="001A4AD8"/>
    <w:rsid w:val="001A56CF"/>
    <w:rsid w:val="001A6E50"/>
    <w:rsid w:val="001B043D"/>
    <w:rsid w:val="001B1390"/>
    <w:rsid w:val="001B1476"/>
    <w:rsid w:val="001B1983"/>
    <w:rsid w:val="001B247A"/>
    <w:rsid w:val="001B4B5C"/>
    <w:rsid w:val="001B4C9D"/>
    <w:rsid w:val="001C3A4F"/>
    <w:rsid w:val="001C4C9F"/>
    <w:rsid w:val="001C55F8"/>
    <w:rsid w:val="001C5670"/>
    <w:rsid w:val="001C602C"/>
    <w:rsid w:val="001C693A"/>
    <w:rsid w:val="001C6B7C"/>
    <w:rsid w:val="001C766F"/>
    <w:rsid w:val="001D09CE"/>
    <w:rsid w:val="001D233C"/>
    <w:rsid w:val="001D31D0"/>
    <w:rsid w:val="001D46F6"/>
    <w:rsid w:val="001D6301"/>
    <w:rsid w:val="001D68FC"/>
    <w:rsid w:val="001D6DAC"/>
    <w:rsid w:val="001D7900"/>
    <w:rsid w:val="001D7E55"/>
    <w:rsid w:val="001E0139"/>
    <w:rsid w:val="001E0E6A"/>
    <w:rsid w:val="001E2F53"/>
    <w:rsid w:val="001E4263"/>
    <w:rsid w:val="001E644D"/>
    <w:rsid w:val="001F05CD"/>
    <w:rsid w:val="001F242E"/>
    <w:rsid w:val="001F30E7"/>
    <w:rsid w:val="001F3F8B"/>
    <w:rsid w:val="001F51E4"/>
    <w:rsid w:val="001F6470"/>
    <w:rsid w:val="00201601"/>
    <w:rsid w:val="00202274"/>
    <w:rsid w:val="00202A54"/>
    <w:rsid w:val="0020565B"/>
    <w:rsid w:val="00205F7B"/>
    <w:rsid w:val="002104DC"/>
    <w:rsid w:val="00212390"/>
    <w:rsid w:val="00213EE9"/>
    <w:rsid w:val="00214F77"/>
    <w:rsid w:val="00217185"/>
    <w:rsid w:val="0022075D"/>
    <w:rsid w:val="00224F76"/>
    <w:rsid w:val="002256F8"/>
    <w:rsid w:val="0023051A"/>
    <w:rsid w:val="00231303"/>
    <w:rsid w:val="00232159"/>
    <w:rsid w:val="00232D49"/>
    <w:rsid w:val="002361FD"/>
    <w:rsid w:val="00237883"/>
    <w:rsid w:val="00242602"/>
    <w:rsid w:val="0024331B"/>
    <w:rsid w:val="00243FD1"/>
    <w:rsid w:val="00244277"/>
    <w:rsid w:val="002442CD"/>
    <w:rsid w:val="0024619B"/>
    <w:rsid w:val="00246785"/>
    <w:rsid w:val="00253771"/>
    <w:rsid w:val="00254EBC"/>
    <w:rsid w:val="00262BBA"/>
    <w:rsid w:val="00263DBB"/>
    <w:rsid w:val="0026430C"/>
    <w:rsid w:val="0026543B"/>
    <w:rsid w:val="00265A09"/>
    <w:rsid w:val="0026667C"/>
    <w:rsid w:val="00270210"/>
    <w:rsid w:val="002708AB"/>
    <w:rsid w:val="00271137"/>
    <w:rsid w:val="00271B47"/>
    <w:rsid w:val="00273BDC"/>
    <w:rsid w:val="00274889"/>
    <w:rsid w:val="00276AB1"/>
    <w:rsid w:val="00276F3E"/>
    <w:rsid w:val="002806C2"/>
    <w:rsid w:val="00283940"/>
    <w:rsid w:val="002849B7"/>
    <w:rsid w:val="00284DAD"/>
    <w:rsid w:val="00285AB7"/>
    <w:rsid w:val="00286471"/>
    <w:rsid w:val="002874AB"/>
    <w:rsid w:val="0029355B"/>
    <w:rsid w:val="00294EA5"/>
    <w:rsid w:val="002A09F1"/>
    <w:rsid w:val="002A2965"/>
    <w:rsid w:val="002A31FA"/>
    <w:rsid w:val="002A3605"/>
    <w:rsid w:val="002A5E68"/>
    <w:rsid w:val="002A5E8B"/>
    <w:rsid w:val="002A6A9E"/>
    <w:rsid w:val="002A7AE2"/>
    <w:rsid w:val="002B2211"/>
    <w:rsid w:val="002B2C0A"/>
    <w:rsid w:val="002B332E"/>
    <w:rsid w:val="002B54D2"/>
    <w:rsid w:val="002B5C40"/>
    <w:rsid w:val="002B76E3"/>
    <w:rsid w:val="002C071E"/>
    <w:rsid w:val="002C70DB"/>
    <w:rsid w:val="002D0259"/>
    <w:rsid w:val="002D2B1C"/>
    <w:rsid w:val="002D32F1"/>
    <w:rsid w:val="002D396C"/>
    <w:rsid w:val="002D4F10"/>
    <w:rsid w:val="002D59A2"/>
    <w:rsid w:val="002D5B67"/>
    <w:rsid w:val="002D6580"/>
    <w:rsid w:val="002E1128"/>
    <w:rsid w:val="002E1AF0"/>
    <w:rsid w:val="002E1AF8"/>
    <w:rsid w:val="002E2C41"/>
    <w:rsid w:val="002E38F7"/>
    <w:rsid w:val="002E46A2"/>
    <w:rsid w:val="002F0470"/>
    <w:rsid w:val="002F0EA4"/>
    <w:rsid w:val="002F25D9"/>
    <w:rsid w:val="002F3719"/>
    <w:rsid w:val="002F3F89"/>
    <w:rsid w:val="002F426D"/>
    <w:rsid w:val="002F5EBA"/>
    <w:rsid w:val="002F6014"/>
    <w:rsid w:val="002F6D01"/>
    <w:rsid w:val="00303674"/>
    <w:rsid w:val="00303BD2"/>
    <w:rsid w:val="00303EFC"/>
    <w:rsid w:val="003102B4"/>
    <w:rsid w:val="00313149"/>
    <w:rsid w:val="0031420C"/>
    <w:rsid w:val="0031546F"/>
    <w:rsid w:val="00316696"/>
    <w:rsid w:val="00316E28"/>
    <w:rsid w:val="00326A23"/>
    <w:rsid w:val="00327790"/>
    <w:rsid w:val="003311AC"/>
    <w:rsid w:val="00331873"/>
    <w:rsid w:val="00331E23"/>
    <w:rsid w:val="00333C3A"/>
    <w:rsid w:val="00333EDD"/>
    <w:rsid w:val="003347C5"/>
    <w:rsid w:val="00335F10"/>
    <w:rsid w:val="0033620B"/>
    <w:rsid w:val="003377B3"/>
    <w:rsid w:val="00340D0C"/>
    <w:rsid w:val="00342AC9"/>
    <w:rsid w:val="00344B96"/>
    <w:rsid w:val="00344F5C"/>
    <w:rsid w:val="003454F1"/>
    <w:rsid w:val="00345562"/>
    <w:rsid w:val="00346518"/>
    <w:rsid w:val="00346D19"/>
    <w:rsid w:val="003516A9"/>
    <w:rsid w:val="00351FD5"/>
    <w:rsid w:val="00353254"/>
    <w:rsid w:val="0036159E"/>
    <w:rsid w:val="003627C3"/>
    <w:rsid w:val="003653E8"/>
    <w:rsid w:val="003667A1"/>
    <w:rsid w:val="003674FE"/>
    <w:rsid w:val="00367FF1"/>
    <w:rsid w:val="00370540"/>
    <w:rsid w:val="0037104F"/>
    <w:rsid w:val="003716B2"/>
    <w:rsid w:val="00374160"/>
    <w:rsid w:val="00374260"/>
    <w:rsid w:val="00374488"/>
    <w:rsid w:val="00376285"/>
    <w:rsid w:val="00376E77"/>
    <w:rsid w:val="00377998"/>
    <w:rsid w:val="00377FB2"/>
    <w:rsid w:val="00381E31"/>
    <w:rsid w:val="003821F7"/>
    <w:rsid w:val="003823E5"/>
    <w:rsid w:val="003846EC"/>
    <w:rsid w:val="00385E73"/>
    <w:rsid w:val="003863D6"/>
    <w:rsid w:val="00391AD3"/>
    <w:rsid w:val="00391D56"/>
    <w:rsid w:val="00394A5C"/>
    <w:rsid w:val="00394A7B"/>
    <w:rsid w:val="0039652E"/>
    <w:rsid w:val="00396EF6"/>
    <w:rsid w:val="003A1883"/>
    <w:rsid w:val="003A2057"/>
    <w:rsid w:val="003A21E1"/>
    <w:rsid w:val="003A21F5"/>
    <w:rsid w:val="003A2367"/>
    <w:rsid w:val="003A2E69"/>
    <w:rsid w:val="003A7542"/>
    <w:rsid w:val="003B0242"/>
    <w:rsid w:val="003B09C1"/>
    <w:rsid w:val="003B0B60"/>
    <w:rsid w:val="003B1666"/>
    <w:rsid w:val="003B4286"/>
    <w:rsid w:val="003B6029"/>
    <w:rsid w:val="003B664B"/>
    <w:rsid w:val="003B71DC"/>
    <w:rsid w:val="003B7335"/>
    <w:rsid w:val="003B74CD"/>
    <w:rsid w:val="003C0603"/>
    <w:rsid w:val="003C0F88"/>
    <w:rsid w:val="003C16D3"/>
    <w:rsid w:val="003C2D75"/>
    <w:rsid w:val="003C4E0C"/>
    <w:rsid w:val="003C5932"/>
    <w:rsid w:val="003C5EBF"/>
    <w:rsid w:val="003C5ED2"/>
    <w:rsid w:val="003C6A8B"/>
    <w:rsid w:val="003D10E6"/>
    <w:rsid w:val="003D4DDD"/>
    <w:rsid w:val="003D691C"/>
    <w:rsid w:val="003D73DC"/>
    <w:rsid w:val="003D7CBA"/>
    <w:rsid w:val="003E0761"/>
    <w:rsid w:val="003E081F"/>
    <w:rsid w:val="003E20B5"/>
    <w:rsid w:val="003E2726"/>
    <w:rsid w:val="003E7251"/>
    <w:rsid w:val="003E7402"/>
    <w:rsid w:val="003F17C5"/>
    <w:rsid w:val="003F2747"/>
    <w:rsid w:val="003F2CE8"/>
    <w:rsid w:val="00400598"/>
    <w:rsid w:val="00400D2E"/>
    <w:rsid w:val="00404527"/>
    <w:rsid w:val="00404690"/>
    <w:rsid w:val="0040615D"/>
    <w:rsid w:val="00407251"/>
    <w:rsid w:val="00407549"/>
    <w:rsid w:val="00412DE1"/>
    <w:rsid w:val="00413376"/>
    <w:rsid w:val="0041390C"/>
    <w:rsid w:val="00415671"/>
    <w:rsid w:val="00416784"/>
    <w:rsid w:val="00420750"/>
    <w:rsid w:val="004210E6"/>
    <w:rsid w:val="00422E7B"/>
    <w:rsid w:val="00423A46"/>
    <w:rsid w:val="00424B49"/>
    <w:rsid w:val="0042584E"/>
    <w:rsid w:val="004322E8"/>
    <w:rsid w:val="004324BC"/>
    <w:rsid w:val="00435C3C"/>
    <w:rsid w:val="00436A29"/>
    <w:rsid w:val="004375FE"/>
    <w:rsid w:val="004404F9"/>
    <w:rsid w:val="0044713F"/>
    <w:rsid w:val="00447D78"/>
    <w:rsid w:val="0045040C"/>
    <w:rsid w:val="00451024"/>
    <w:rsid w:val="004538E2"/>
    <w:rsid w:val="00454B20"/>
    <w:rsid w:val="00455E18"/>
    <w:rsid w:val="00457531"/>
    <w:rsid w:val="00460F8C"/>
    <w:rsid w:val="00461864"/>
    <w:rsid w:val="00462676"/>
    <w:rsid w:val="00463EFC"/>
    <w:rsid w:val="0046417B"/>
    <w:rsid w:val="00464C4E"/>
    <w:rsid w:val="0046538B"/>
    <w:rsid w:val="0046610C"/>
    <w:rsid w:val="00467B8A"/>
    <w:rsid w:val="004713F2"/>
    <w:rsid w:val="004715D9"/>
    <w:rsid w:val="00472197"/>
    <w:rsid w:val="0047236C"/>
    <w:rsid w:val="00472ABC"/>
    <w:rsid w:val="00473040"/>
    <w:rsid w:val="00474224"/>
    <w:rsid w:val="0047561D"/>
    <w:rsid w:val="00477305"/>
    <w:rsid w:val="004775DE"/>
    <w:rsid w:val="00480503"/>
    <w:rsid w:val="00480EF9"/>
    <w:rsid w:val="00480F9A"/>
    <w:rsid w:val="00483F10"/>
    <w:rsid w:val="0048694F"/>
    <w:rsid w:val="0048774D"/>
    <w:rsid w:val="004926CD"/>
    <w:rsid w:val="00492840"/>
    <w:rsid w:val="00495375"/>
    <w:rsid w:val="00495B43"/>
    <w:rsid w:val="00497A9E"/>
    <w:rsid w:val="00497CC4"/>
    <w:rsid w:val="004A102F"/>
    <w:rsid w:val="004A1F23"/>
    <w:rsid w:val="004A2687"/>
    <w:rsid w:val="004A26DA"/>
    <w:rsid w:val="004A40F2"/>
    <w:rsid w:val="004A44A7"/>
    <w:rsid w:val="004A4DD4"/>
    <w:rsid w:val="004A6774"/>
    <w:rsid w:val="004A6B7C"/>
    <w:rsid w:val="004B1DD3"/>
    <w:rsid w:val="004B31AD"/>
    <w:rsid w:val="004B34C0"/>
    <w:rsid w:val="004B3747"/>
    <w:rsid w:val="004B598A"/>
    <w:rsid w:val="004B6DBF"/>
    <w:rsid w:val="004C065D"/>
    <w:rsid w:val="004C0A4A"/>
    <w:rsid w:val="004C22DB"/>
    <w:rsid w:val="004C2476"/>
    <w:rsid w:val="004C60F0"/>
    <w:rsid w:val="004C7107"/>
    <w:rsid w:val="004C7442"/>
    <w:rsid w:val="004D2BE6"/>
    <w:rsid w:val="004D2BEE"/>
    <w:rsid w:val="004D357D"/>
    <w:rsid w:val="004D3853"/>
    <w:rsid w:val="004D39C0"/>
    <w:rsid w:val="004D40FB"/>
    <w:rsid w:val="004E0320"/>
    <w:rsid w:val="004E268E"/>
    <w:rsid w:val="004E2FBA"/>
    <w:rsid w:val="004E5D5A"/>
    <w:rsid w:val="004E6E5C"/>
    <w:rsid w:val="004F1B1D"/>
    <w:rsid w:val="004F26C9"/>
    <w:rsid w:val="004F379B"/>
    <w:rsid w:val="004F467E"/>
    <w:rsid w:val="004F544C"/>
    <w:rsid w:val="004F5BE6"/>
    <w:rsid w:val="004F5DED"/>
    <w:rsid w:val="004F7992"/>
    <w:rsid w:val="004F7FDF"/>
    <w:rsid w:val="0050093D"/>
    <w:rsid w:val="00500F98"/>
    <w:rsid w:val="00501836"/>
    <w:rsid w:val="005024C5"/>
    <w:rsid w:val="005034E3"/>
    <w:rsid w:val="00503B0D"/>
    <w:rsid w:val="005040C2"/>
    <w:rsid w:val="005043AF"/>
    <w:rsid w:val="00504D5F"/>
    <w:rsid w:val="00505656"/>
    <w:rsid w:val="00506C1B"/>
    <w:rsid w:val="00510E8F"/>
    <w:rsid w:val="00511270"/>
    <w:rsid w:val="005117B0"/>
    <w:rsid w:val="00511C38"/>
    <w:rsid w:val="00513149"/>
    <w:rsid w:val="00515699"/>
    <w:rsid w:val="00516E0E"/>
    <w:rsid w:val="00516EE4"/>
    <w:rsid w:val="00520182"/>
    <w:rsid w:val="005220A0"/>
    <w:rsid w:val="00525EEE"/>
    <w:rsid w:val="00527C3D"/>
    <w:rsid w:val="00531F26"/>
    <w:rsid w:val="005328D9"/>
    <w:rsid w:val="00533FC4"/>
    <w:rsid w:val="0053632B"/>
    <w:rsid w:val="0054056E"/>
    <w:rsid w:val="00541A47"/>
    <w:rsid w:val="00541C70"/>
    <w:rsid w:val="0054312A"/>
    <w:rsid w:val="00547957"/>
    <w:rsid w:val="00547CA8"/>
    <w:rsid w:val="00550329"/>
    <w:rsid w:val="0055061C"/>
    <w:rsid w:val="00554FB8"/>
    <w:rsid w:val="0055520B"/>
    <w:rsid w:val="00555688"/>
    <w:rsid w:val="00555C46"/>
    <w:rsid w:val="00555D94"/>
    <w:rsid w:val="00555E00"/>
    <w:rsid w:val="00556AF0"/>
    <w:rsid w:val="0056001A"/>
    <w:rsid w:val="005602AB"/>
    <w:rsid w:val="005608D8"/>
    <w:rsid w:val="00562129"/>
    <w:rsid w:val="00565AA7"/>
    <w:rsid w:val="005664B2"/>
    <w:rsid w:val="00572DC6"/>
    <w:rsid w:val="00573506"/>
    <w:rsid w:val="00576589"/>
    <w:rsid w:val="00576A1B"/>
    <w:rsid w:val="005801F9"/>
    <w:rsid w:val="00581378"/>
    <w:rsid w:val="005816FA"/>
    <w:rsid w:val="005841C1"/>
    <w:rsid w:val="00584873"/>
    <w:rsid w:val="0058525F"/>
    <w:rsid w:val="005854EB"/>
    <w:rsid w:val="00585720"/>
    <w:rsid w:val="005874D9"/>
    <w:rsid w:val="00590266"/>
    <w:rsid w:val="005902B2"/>
    <w:rsid w:val="00590C52"/>
    <w:rsid w:val="00593F17"/>
    <w:rsid w:val="0059496F"/>
    <w:rsid w:val="00594BA7"/>
    <w:rsid w:val="00595417"/>
    <w:rsid w:val="00595CD7"/>
    <w:rsid w:val="005977B8"/>
    <w:rsid w:val="005A0152"/>
    <w:rsid w:val="005A2F52"/>
    <w:rsid w:val="005A5752"/>
    <w:rsid w:val="005A5AAF"/>
    <w:rsid w:val="005B0B49"/>
    <w:rsid w:val="005B197E"/>
    <w:rsid w:val="005B23BE"/>
    <w:rsid w:val="005B3746"/>
    <w:rsid w:val="005B397C"/>
    <w:rsid w:val="005B3AE9"/>
    <w:rsid w:val="005B49B3"/>
    <w:rsid w:val="005B5A37"/>
    <w:rsid w:val="005C236F"/>
    <w:rsid w:val="005C5CF7"/>
    <w:rsid w:val="005D192B"/>
    <w:rsid w:val="005D2705"/>
    <w:rsid w:val="005D2721"/>
    <w:rsid w:val="005D29B3"/>
    <w:rsid w:val="005E06D9"/>
    <w:rsid w:val="005E0F5A"/>
    <w:rsid w:val="005E1F6D"/>
    <w:rsid w:val="005E2F02"/>
    <w:rsid w:val="005E3503"/>
    <w:rsid w:val="005E3D17"/>
    <w:rsid w:val="005E3E49"/>
    <w:rsid w:val="005E4CB8"/>
    <w:rsid w:val="005F02CC"/>
    <w:rsid w:val="005F19C7"/>
    <w:rsid w:val="005F71DD"/>
    <w:rsid w:val="005F7DE1"/>
    <w:rsid w:val="006007BB"/>
    <w:rsid w:val="00600EEC"/>
    <w:rsid w:val="006010FA"/>
    <w:rsid w:val="0060124E"/>
    <w:rsid w:val="006047FB"/>
    <w:rsid w:val="00604EB8"/>
    <w:rsid w:val="00604F8B"/>
    <w:rsid w:val="00606C46"/>
    <w:rsid w:val="00607B97"/>
    <w:rsid w:val="0061066C"/>
    <w:rsid w:val="00610905"/>
    <w:rsid w:val="00612F85"/>
    <w:rsid w:val="00614ADA"/>
    <w:rsid w:val="00615325"/>
    <w:rsid w:val="00616101"/>
    <w:rsid w:val="0061688C"/>
    <w:rsid w:val="006173CF"/>
    <w:rsid w:val="006215E7"/>
    <w:rsid w:val="00623701"/>
    <w:rsid w:val="0063078C"/>
    <w:rsid w:val="00632050"/>
    <w:rsid w:val="00633E0C"/>
    <w:rsid w:val="00634D44"/>
    <w:rsid w:val="0063543E"/>
    <w:rsid w:val="0063787E"/>
    <w:rsid w:val="00637B40"/>
    <w:rsid w:val="00637F9B"/>
    <w:rsid w:val="00642DE4"/>
    <w:rsid w:val="00644B56"/>
    <w:rsid w:val="006464C3"/>
    <w:rsid w:val="00650811"/>
    <w:rsid w:val="0065113F"/>
    <w:rsid w:val="00652298"/>
    <w:rsid w:val="006528E9"/>
    <w:rsid w:val="00653528"/>
    <w:rsid w:val="006548A4"/>
    <w:rsid w:val="00663C94"/>
    <w:rsid w:val="00664C14"/>
    <w:rsid w:val="00666855"/>
    <w:rsid w:val="006671E0"/>
    <w:rsid w:val="00670F47"/>
    <w:rsid w:val="006718B6"/>
    <w:rsid w:val="00672FAA"/>
    <w:rsid w:val="006743A4"/>
    <w:rsid w:val="00674910"/>
    <w:rsid w:val="00674BA4"/>
    <w:rsid w:val="006757C0"/>
    <w:rsid w:val="006758F0"/>
    <w:rsid w:val="00676411"/>
    <w:rsid w:val="006767E4"/>
    <w:rsid w:val="00677D24"/>
    <w:rsid w:val="006816B0"/>
    <w:rsid w:val="00682732"/>
    <w:rsid w:val="00682B1C"/>
    <w:rsid w:val="006830CD"/>
    <w:rsid w:val="00683D24"/>
    <w:rsid w:val="00684076"/>
    <w:rsid w:val="00684A55"/>
    <w:rsid w:val="00685462"/>
    <w:rsid w:val="00685F60"/>
    <w:rsid w:val="0068714B"/>
    <w:rsid w:val="006878DA"/>
    <w:rsid w:val="00694F80"/>
    <w:rsid w:val="006A01B1"/>
    <w:rsid w:val="006A1064"/>
    <w:rsid w:val="006A3185"/>
    <w:rsid w:val="006A5A39"/>
    <w:rsid w:val="006A699D"/>
    <w:rsid w:val="006B00B3"/>
    <w:rsid w:val="006B0DEC"/>
    <w:rsid w:val="006B1A46"/>
    <w:rsid w:val="006B20E6"/>
    <w:rsid w:val="006B3B5E"/>
    <w:rsid w:val="006B7379"/>
    <w:rsid w:val="006C0634"/>
    <w:rsid w:val="006C1877"/>
    <w:rsid w:val="006C330B"/>
    <w:rsid w:val="006C60C5"/>
    <w:rsid w:val="006C6A0F"/>
    <w:rsid w:val="006C6E3E"/>
    <w:rsid w:val="006C7EB5"/>
    <w:rsid w:val="006D02A8"/>
    <w:rsid w:val="006D19A3"/>
    <w:rsid w:val="006D26B1"/>
    <w:rsid w:val="006D27EF"/>
    <w:rsid w:val="006D2D5B"/>
    <w:rsid w:val="006D2FE4"/>
    <w:rsid w:val="006D4995"/>
    <w:rsid w:val="006D4A3E"/>
    <w:rsid w:val="006E10F4"/>
    <w:rsid w:val="006E207F"/>
    <w:rsid w:val="006E31AD"/>
    <w:rsid w:val="006E3266"/>
    <w:rsid w:val="006E38DF"/>
    <w:rsid w:val="006E5761"/>
    <w:rsid w:val="006E576A"/>
    <w:rsid w:val="006E5A8E"/>
    <w:rsid w:val="006E69AB"/>
    <w:rsid w:val="006E6B62"/>
    <w:rsid w:val="006F10F3"/>
    <w:rsid w:val="006F1F4A"/>
    <w:rsid w:val="006F22E7"/>
    <w:rsid w:val="006F2DF4"/>
    <w:rsid w:val="006F3CFA"/>
    <w:rsid w:val="006F5097"/>
    <w:rsid w:val="006F589E"/>
    <w:rsid w:val="00702144"/>
    <w:rsid w:val="007023B7"/>
    <w:rsid w:val="0070259E"/>
    <w:rsid w:val="00703B9B"/>
    <w:rsid w:val="00703EB2"/>
    <w:rsid w:val="00704C37"/>
    <w:rsid w:val="0070606F"/>
    <w:rsid w:val="007065B7"/>
    <w:rsid w:val="00710DF4"/>
    <w:rsid w:val="00710E2D"/>
    <w:rsid w:val="007152BE"/>
    <w:rsid w:val="00715694"/>
    <w:rsid w:val="0071787A"/>
    <w:rsid w:val="00717BCE"/>
    <w:rsid w:val="00720A02"/>
    <w:rsid w:val="007217A6"/>
    <w:rsid w:val="0072477B"/>
    <w:rsid w:val="00724813"/>
    <w:rsid w:val="00730DD0"/>
    <w:rsid w:val="00731336"/>
    <w:rsid w:val="0073357F"/>
    <w:rsid w:val="00735714"/>
    <w:rsid w:val="00736619"/>
    <w:rsid w:val="00736732"/>
    <w:rsid w:val="00737DBD"/>
    <w:rsid w:val="0074172E"/>
    <w:rsid w:val="00742F2E"/>
    <w:rsid w:val="00743933"/>
    <w:rsid w:val="00744F89"/>
    <w:rsid w:val="0074502F"/>
    <w:rsid w:val="00746097"/>
    <w:rsid w:val="00752AD6"/>
    <w:rsid w:val="00753AFB"/>
    <w:rsid w:val="00755517"/>
    <w:rsid w:val="00755E90"/>
    <w:rsid w:val="00756846"/>
    <w:rsid w:val="00757266"/>
    <w:rsid w:val="00760A2E"/>
    <w:rsid w:val="00761749"/>
    <w:rsid w:val="00762DBF"/>
    <w:rsid w:val="00763EA3"/>
    <w:rsid w:val="0076437C"/>
    <w:rsid w:val="007645C9"/>
    <w:rsid w:val="00764D35"/>
    <w:rsid w:val="007668F4"/>
    <w:rsid w:val="00766FD4"/>
    <w:rsid w:val="007701A1"/>
    <w:rsid w:val="007717F6"/>
    <w:rsid w:val="007726B4"/>
    <w:rsid w:val="007761DB"/>
    <w:rsid w:val="00776A92"/>
    <w:rsid w:val="00776DB9"/>
    <w:rsid w:val="0077744F"/>
    <w:rsid w:val="0078077A"/>
    <w:rsid w:val="0078180E"/>
    <w:rsid w:val="00782D04"/>
    <w:rsid w:val="007835DE"/>
    <w:rsid w:val="00784293"/>
    <w:rsid w:val="00785555"/>
    <w:rsid w:val="00786C48"/>
    <w:rsid w:val="007877A5"/>
    <w:rsid w:val="00787BA1"/>
    <w:rsid w:val="00787DE4"/>
    <w:rsid w:val="00790156"/>
    <w:rsid w:val="007901FC"/>
    <w:rsid w:val="00790949"/>
    <w:rsid w:val="0079140F"/>
    <w:rsid w:val="0079375B"/>
    <w:rsid w:val="00794B66"/>
    <w:rsid w:val="00794DE9"/>
    <w:rsid w:val="00796958"/>
    <w:rsid w:val="00796D31"/>
    <w:rsid w:val="007A0550"/>
    <w:rsid w:val="007A0661"/>
    <w:rsid w:val="007A1FA4"/>
    <w:rsid w:val="007A63B4"/>
    <w:rsid w:val="007A6D28"/>
    <w:rsid w:val="007B15EC"/>
    <w:rsid w:val="007B2E37"/>
    <w:rsid w:val="007B3904"/>
    <w:rsid w:val="007B48FE"/>
    <w:rsid w:val="007B6ECD"/>
    <w:rsid w:val="007B79B9"/>
    <w:rsid w:val="007C15DB"/>
    <w:rsid w:val="007C3A6B"/>
    <w:rsid w:val="007C71A1"/>
    <w:rsid w:val="007C7582"/>
    <w:rsid w:val="007D0AEC"/>
    <w:rsid w:val="007D0E69"/>
    <w:rsid w:val="007D0FA5"/>
    <w:rsid w:val="007D1A7A"/>
    <w:rsid w:val="007D2707"/>
    <w:rsid w:val="007D2897"/>
    <w:rsid w:val="007D7B6B"/>
    <w:rsid w:val="007E0B62"/>
    <w:rsid w:val="007E2B3D"/>
    <w:rsid w:val="007E3263"/>
    <w:rsid w:val="007E5656"/>
    <w:rsid w:val="007E5A0A"/>
    <w:rsid w:val="007E692B"/>
    <w:rsid w:val="007E6D71"/>
    <w:rsid w:val="007E7142"/>
    <w:rsid w:val="007F0C4F"/>
    <w:rsid w:val="007F34A0"/>
    <w:rsid w:val="007F6039"/>
    <w:rsid w:val="007F6603"/>
    <w:rsid w:val="007F6C6C"/>
    <w:rsid w:val="007F76FB"/>
    <w:rsid w:val="008009D6"/>
    <w:rsid w:val="00800D17"/>
    <w:rsid w:val="00802008"/>
    <w:rsid w:val="008030B2"/>
    <w:rsid w:val="00806ADE"/>
    <w:rsid w:val="00811A98"/>
    <w:rsid w:val="0081430A"/>
    <w:rsid w:val="00814AE5"/>
    <w:rsid w:val="00814B95"/>
    <w:rsid w:val="00815801"/>
    <w:rsid w:val="00816135"/>
    <w:rsid w:val="008162E0"/>
    <w:rsid w:val="00817D64"/>
    <w:rsid w:val="008206AC"/>
    <w:rsid w:val="008215D1"/>
    <w:rsid w:val="00822368"/>
    <w:rsid w:val="00822B43"/>
    <w:rsid w:val="00822EF5"/>
    <w:rsid w:val="0082320E"/>
    <w:rsid w:val="00824D13"/>
    <w:rsid w:val="00825349"/>
    <w:rsid w:val="00825BD8"/>
    <w:rsid w:val="008306E8"/>
    <w:rsid w:val="008313B4"/>
    <w:rsid w:val="00832D61"/>
    <w:rsid w:val="00833E0E"/>
    <w:rsid w:val="00834233"/>
    <w:rsid w:val="00834CBA"/>
    <w:rsid w:val="0083623A"/>
    <w:rsid w:val="00836EF0"/>
    <w:rsid w:val="008377DE"/>
    <w:rsid w:val="00841509"/>
    <w:rsid w:val="0084475A"/>
    <w:rsid w:val="00846922"/>
    <w:rsid w:val="00846A9A"/>
    <w:rsid w:val="00851C4F"/>
    <w:rsid w:val="008522A7"/>
    <w:rsid w:val="00853442"/>
    <w:rsid w:val="00853A52"/>
    <w:rsid w:val="0085463C"/>
    <w:rsid w:val="0085473F"/>
    <w:rsid w:val="00855AAA"/>
    <w:rsid w:val="008564CD"/>
    <w:rsid w:val="00857129"/>
    <w:rsid w:val="008571F2"/>
    <w:rsid w:val="00860A71"/>
    <w:rsid w:val="00862434"/>
    <w:rsid w:val="00862601"/>
    <w:rsid w:val="00862B1D"/>
    <w:rsid w:val="00862D94"/>
    <w:rsid w:val="00863790"/>
    <w:rsid w:val="00865DA1"/>
    <w:rsid w:val="0086741B"/>
    <w:rsid w:val="008706B7"/>
    <w:rsid w:val="00873D73"/>
    <w:rsid w:val="008745D5"/>
    <w:rsid w:val="0087647F"/>
    <w:rsid w:val="00877250"/>
    <w:rsid w:val="00877A53"/>
    <w:rsid w:val="00880759"/>
    <w:rsid w:val="00883E42"/>
    <w:rsid w:val="0088764C"/>
    <w:rsid w:val="0089049C"/>
    <w:rsid w:val="00891580"/>
    <w:rsid w:val="00891BBA"/>
    <w:rsid w:val="00894201"/>
    <w:rsid w:val="00895B3A"/>
    <w:rsid w:val="008A1964"/>
    <w:rsid w:val="008A3373"/>
    <w:rsid w:val="008A45BB"/>
    <w:rsid w:val="008A4A7E"/>
    <w:rsid w:val="008A54F8"/>
    <w:rsid w:val="008A5625"/>
    <w:rsid w:val="008A5A7B"/>
    <w:rsid w:val="008A6EB1"/>
    <w:rsid w:val="008B041F"/>
    <w:rsid w:val="008B0E38"/>
    <w:rsid w:val="008B0E58"/>
    <w:rsid w:val="008B203C"/>
    <w:rsid w:val="008B2D93"/>
    <w:rsid w:val="008B4239"/>
    <w:rsid w:val="008B4C02"/>
    <w:rsid w:val="008B6339"/>
    <w:rsid w:val="008C047B"/>
    <w:rsid w:val="008C1ADD"/>
    <w:rsid w:val="008C200B"/>
    <w:rsid w:val="008C283D"/>
    <w:rsid w:val="008C2C1A"/>
    <w:rsid w:val="008C363B"/>
    <w:rsid w:val="008C62C9"/>
    <w:rsid w:val="008C6640"/>
    <w:rsid w:val="008C7E47"/>
    <w:rsid w:val="008D1B06"/>
    <w:rsid w:val="008D36F1"/>
    <w:rsid w:val="008D53F2"/>
    <w:rsid w:val="008D5CCB"/>
    <w:rsid w:val="008D5FEC"/>
    <w:rsid w:val="008D62A1"/>
    <w:rsid w:val="008E00F6"/>
    <w:rsid w:val="008E0280"/>
    <w:rsid w:val="008E161E"/>
    <w:rsid w:val="008E1848"/>
    <w:rsid w:val="008E3E4A"/>
    <w:rsid w:val="008E44C3"/>
    <w:rsid w:val="008E46E1"/>
    <w:rsid w:val="008E4E5D"/>
    <w:rsid w:val="008E55DF"/>
    <w:rsid w:val="008E7BD8"/>
    <w:rsid w:val="008F10D8"/>
    <w:rsid w:val="008F12E6"/>
    <w:rsid w:val="008F19D2"/>
    <w:rsid w:val="008F5A18"/>
    <w:rsid w:val="00900191"/>
    <w:rsid w:val="0090297F"/>
    <w:rsid w:val="009042D6"/>
    <w:rsid w:val="00904644"/>
    <w:rsid w:val="009065A4"/>
    <w:rsid w:val="00907709"/>
    <w:rsid w:val="009106E2"/>
    <w:rsid w:val="00910C1E"/>
    <w:rsid w:val="0091170A"/>
    <w:rsid w:val="00911C4E"/>
    <w:rsid w:val="00911FF3"/>
    <w:rsid w:val="0091251F"/>
    <w:rsid w:val="00914126"/>
    <w:rsid w:val="00915EF6"/>
    <w:rsid w:val="0091664B"/>
    <w:rsid w:val="00917E5A"/>
    <w:rsid w:val="00921411"/>
    <w:rsid w:val="00921AA9"/>
    <w:rsid w:val="00922C1A"/>
    <w:rsid w:val="00924799"/>
    <w:rsid w:val="00926B57"/>
    <w:rsid w:val="00932AB9"/>
    <w:rsid w:val="00933634"/>
    <w:rsid w:val="00935E0B"/>
    <w:rsid w:val="0093616B"/>
    <w:rsid w:val="00936FC9"/>
    <w:rsid w:val="00940601"/>
    <w:rsid w:val="00940C75"/>
    <w:rsid w:val="00940D73"/>
    <w:rsid w:val="00940FF3"/>
    <w:rsid w:val="00941176"/>
    <w:rsid w:val="0094705F"/>
    <w:rsid w:val="00947E31"/>
    <w:rsid w:val="00951256"/>
    <w:rsid w:val="009546AB"/>
    <w:rsid w:val="00954D0C"/>
    <w:rsid w:val="009560D9"/>
    <w:rsid w:val="009572AA"/>
    <w:rsid w:val="00960C2E"/>
    <w:rsid w:val="00962775"/>
    <w:rsid w:val="009630D0"/>
    <w:rsid w:val="00963B21"/>
    <w:rsid w:val="0096419B"/>
    <w:rsid w:val="00964DFE"/>
    <w:rsid w:val="009662BC"/>
    <w:rsid w:val="00967AF7"/>
    <w:rsid w:val="00971161"/>
    <w:rsid w:val="0097270E"/>
    <w:rsid w:val="009732DA"/>
    <w:rsid w:val="00973A7E"/>
    <w:rsid w:val="00975665"/>
    <w:rsid w:val="00980F0E"/>
    <w:rsid w:val="00982A1B"/>
    <w:rsid w:val="009833AD"/>
    <w:rsid w:val="00984011"/>
    <w:rsid w:val="009908BD"/>
    <w:rsid w:val="00990C64"/>
    <w:rsid w:val="00991626"/>
    <w:rsid w:val="00991AE5"/>
    <w:rsid w:val="00992046"/>
    <w:rsid w:val="00993C05"/>
    <w:rsid w:val="009944BA"/>
    <w:rsid w:val="0099464B"/>
    <w:rsid w:val="00994978"/>
    <w:rsid w:val="00996681"/>
    <w:rsid w:val="00996BAF"/>
    <w:rsid w:val="009976DD"/>
    <w:rsid w:val="009A3DED"/>
    <w:rsid w:val="009A4BF4"/>
    <w:rsid w:val="009A4C45"/>
    <w:rsid w:val="009A4CB5"/>
    <w:rsid w:val="009B0288"/>
    <w:rsid w:val="009B2D2C"/>
    <w:rsid w:val="009B3DBF"/>
    <w:rsid w:val="009B4889"/>
    <w:rsid w:val="009B5440"/>
    <w:rsid w:val="009B628E"/>
    <w:rsid w:val="009B77E2"/>
    <w:rsid w:val="009B7E7E"/>
    <w:rsid w:val="009C1085"/>
    <w:rsid w:val="009C16D8"/>
    <w:rsid w:val="009C222F"/>
    <w:rsid w:val="009C39C5"/>
    <w:rsid w:val="009C5B38"/>
    <w:rsid w:val="009D096B"/>
    <w:rsid w:val="009D1BD9"/>
    <w:rsid w:val="009D3634"/>
    <w:rsid w:val="009D73F6"/>
    <w:rsid w:val="009D7540"/>
    <w:rsid w:val="009D7A07"/>
    <w:rsid w:val="009D7F38"/>
    <w:rsid w:val="009E031F"/>
    <w:rsid w:val="009E1C2D"/>
    <w:rsid w:val="009E27B0"/>
    <w:rsid w:val="009E3428"/>
    <w:rsid w:val="009E526E"/>
    <w:rsid w:val="009F09DC"/>
    <w:rsid w:val="009F3BCD"/>
    <w:rsid w:val="009F40C4"/>
    <w:rsid w:val="009F4FE5"/>
    <w:rsid w:val="009F583D"/>
    <w:rsid w:val="009F58F8"/>
    <w:rsid w:val="009F6F26"/>
    <w:rsid w:val="009F7210"/>
    <w:rsid w:val="009F7238"/>
    <w:rsid w:val="00A00047"/>
    <w:rsid w:val="00A01AC1"/>
    <w:rsid w:val="00A01E04"/>
    <w:rsid w:val="00A05CF1"/>
    <w:rsid w:val="00A10E69"/>
    <w:rsid w:val="00A10E85"/>
    <w:rsid w:val="00A114E0"/>
    <w:rsid w:val="00A13868"/>
    <w:rsid w:val="00A16B41"/>
    <w:rsid w:val="00A16E9E"/>
    <w:rsid w:val="00A176D1"/>
    <w:rsid w:val="00A20375"/>
    <w:rsid w:val="00A22907"/>
    <w:rsid w:val="00A23088"/>
    <w:rsid w:val="00A239BE"/>
    <w:rsid w:val="00A272D5"/>
    <w:rsid w:val="00A27A76"/>
    <w:rsid w:val="00A27F22"/>
    <w:rsid w:val="00A3018C"/>
    <w:rsid w:val="00A30AEC"/>
    <w:rsid w:val="00A30FB1"/>
    <w:rsid w:val="00A32492"/>
    <w:rsid w:val="00A33502"/>
    <w:rsid w:val="00A33519"/>
    <w:rsid w:val="00A34BAF"/>
    <w:rsid w:val="00A3526E"/>
    <w:rsid w:val="00A367FB"/>
    <w:rsid w:val="00A416B1"/>
    <w:rsid w:val="00A42F1A"/>
    <w:rsid w:val="00A44C08"/>
    <w:rsid w:val="00A4559E"/>
    <w:rsid w:val="00A46368"/>
    <w:rsid w:val="00A46D39"/>
    <w:rsid w:val="00A474A9"/>
    <w:rsid w:val="00A503D8"/>
    <w:rsid w:val="00A549EF"/>
    <w:rsid w:val="00A56F91"/>
    <w:rsid w:val="00A602BC"/>
    <w:rsid w:val="00A60AC1"/>
    <w:rsid w:val="00A6165C"/>
    <w:rsid w:val="00A625BA"/>
    <w:rsid w:val="00A63444"/>
    <w:rsid w:val="00A6443A"/>
    <w:rsid w:val="00A67188"/>
    <w:rsid w:val="00A676C0"/>
    <w:rsid w:val="00A707C4"/>
    <w:rsid w:val="00A7424B"/>
    <w:rsid w:val="00A77CF0"/>
    <w:rsid w:val="00A810AF"/>
    <w:rsid w:val="00A81995"/>
    <w:rsid w:val="00A83E59"/>
    <w:rsid w:val="00A8635A"/>
    <w:rsid w:val="00A90620"/>
    <w:rsid w:val="00A91CF1"/>
    <w:rsid w:val="00A920FC"/>
    <w:rsid w:val="00A93B39"/>
    <w:rsid w:val="00A93CD5"/>
    <w:rsid w:val="00A958FC"/>
    <w:rsid w:val="00A96F60"/>
    <w:rsid w:val="00A97404"/>
    <w:rsid w:val="00AA108B"/>
    <w:rsid w:val="00AA10F2"/>
    <w:rsid w:val="00AA287B"/>
    <w:rsid w:val="00AA2D40"/>
    <w:rsid w:val="00AA2ECB"/>
    <w:rsid w:val="00AA48F8"/>
    <w:rsid w:val="00AA5C1B"/>
    <w:rsid w:val="00AA614B"/>
    <w:rsid w:val="00AA6E16"/>
    <w:rsid w:val="00AA76DD"/>
    <w:rsid w:val="00AA7B8A"/>
    <w:rsid w:val="00AB120D"/>
    <w:rsid w:val="00AB17AE"/>
    <w:rsid w:val="00AB5F49"/>
    <w:rsid w:val="00AB6A29"/>
    <w:rsid w:val="00AB7B07"/>
    <w:rsid w:val="00AC1FCA"/>
    <w:rsid w:val="00AC3709"/>
    <w:rsid w:val="00AC4196"/>
    <w:rsid w:val="00AC6159"/>
    <w:rsid w:val="00AC63FF"/>
    <w:rsid w:val="00AC649D"/>
    <w:rsid w:val="00AD09B8"/>
    <w:rsid w:val="00AD11A5"/>
    <w:rsid w:val="00AD24C0"/>
    <w:rsid w:val="00AD29CC"/>
    <w:rsid w:val="00AD2AC1"/>
    <w:rsid w:val="00AD2C71"/>
    <w:rsid w:val="00AD369F"/>
    <w:rsid w:val="00AD3A64"/>
    <w:rsid w:val="00AD47B3"/>
    <w:rsid w:val="00AD6F62"/>
    <w:rsid w:val="00AD731C"/>
    <w:rsid w:val="00AE0583"/>
    <w:rsid w:val="00AE0F8D"/>
    <w:rsid w:val="00AE18F5"/>
    <w:rsid w:val="00AE4C90"/>
    <w:rsid w:val="00AE4FDD"/>
    <w:rsid w:val="00AF052A"/>
    <w:rsid w:val="00AF06E7"/>
    <w:rsid w:val="00AF082D"/>
    <w:rsid w:val="00AF1F2F"/>
    <w:rsid w:val="00AF3647"/>
    <w:rsid w:val="00AF3B48"/>
    <w:rsid w:val="00AF3CE4"/>
    <w:rsid w:val="00AF3F72"/>
    <w:rsid w:val="00AF71E7"/>
    <w:rsid w:val="00B0211D"/>
    <w:rsid w:val="00B03067"/>
    <w:rsid w:val="00B0442C"/>
    <w:rsid w:val="00B06155"/>
    <w:rsid w:val="00B10C1B"/>
    <w:rsid w:val="00B127B6"/>
    <w:rsid w:val="00B133AE"/>
    <w:rsid w:val="00B13746"/>
    <w:rsid w:val="00B145A8"/>
    <w:rsid w:val="00B14F4D"/>
    <w:rsid w:val="00B1688B"/>
    <w:rsid w:val="00B20A87"/>
    <w:rsid w:val="00B21277"/>
    <w:rsid w:val="00B22057"/>
    <w:rsid w:val="00B221E7"/>
    <w:rsid w:val="00B23D2C"/>
    <w:rsid w:val="00B23F18"/>
    <w:rsid w:val="00B27023"/>
    <w:rsid w:val="00B27D01"/>
    <w:rsid w:val="00B308A6"/>
    <w:rsid w:val="00B326C1"/>
    <w:rsid w:val="00B32B8D"/>
    <w:rsid w:val="00B32E49"/>
    <w:rsid w:val="00B33EB9"/>
    <w:rsid w:val="00B34124"/>
    <w:rsid w:val="00B35D0B"/>
    <w:rsid w:val="00B35F48"/>
    <w:rsid w:val="00B3769D"/>
    <w:rsid w:val="00B40A62"/>
    <w:rsid w:val="00B41602"/>
    <w:rsid w:val="00B46A4C"/>
    <w:rsid w:val="00B46BF2"/>
    <w:rsid w:val="00B509F7"/>
    <w:rsid w:val="00B51DC0"/>
    <w:rsid w:val="00B528A0"/>
    <w:rsid w:val="00B530BE"/>
    <w:rsid w:val="00B5427D"/>
    <w:rsid w:val="00B55090"/>
    <w:rsid w:val="00B571C4"/>
    <w:rsid w:val="00B600C6"/>
    <w:rsid w:val="00B60F19"/>
    <w:rsid w:val="00B61DF5"/>
    <w:rsid w:val="00B64FCB"/>
    <w:rsid w:val="00B6654C"/>
    <w:rsid w:val="00B66EB0"/>
    <w:rsid w:val="00B6705C"/>
    <w:rsid w:val="00B67C81"/>
    <w:rsid w:val="00B70427"/>
    <w:rsid w:val="00B7094C"/>
    <w:rsid w:val="00B7258A"/>
    <w:rsid w:val="00B736B7"/>
    <w:rsid w:val="00B73EBA"/>
    <w:rsid w:val="00B748B6"/>
    <w:rsid w:val="00B74E61"/>
    <w:rsid w:val="00B77081"/>
    <w:rsid w:val="00B77266"/>
    <w:rsid w:val="00B77974"/>
    <w:rsid w:val="00B80BEE"/>
    <w:rsid w:val="00B824D8"/>
    <w:rsid w:val="00B82BFA"/>
    <w:rsid w:val="00B82EA8"/>
    <w:rsid w:val="00B83625"/>
    <w:rsid w:val="00B8367C"/>
    <w:rsid w:val="00B8674B"/>
    <w:rsid w:val="00B8701E"/>
    <w:rsid w:val="00B903E7"/>
    <w:rsid w:val="00B90ADC"/>
    <w:rsid w:val="00B910AF"/>
    <w:rsid w:val="00B91946"/>
    <w:rsid w:val="00B91F18"/>
    <w:rsid w:val="00B938CE"/>
    <w:rsid w:val="00B95F99"/>
    <w:rsid w:val="00B977DB"/>
    <w:rsid w:val="00B97C07"/>
    <w:rsid w:val="00BA1B4C"/>
    <w:rsid w:val="00BA4E06"/>
    <w:rsid w:val="00BA5D85"/>
    <w:rsid w:val="00BA67C5"/>
    <w:rsid w:val="00BA692F"/>
    <w:rsid w:val="00BA6EDE"/>
    <w:rsid w:val="00BA7384"/>
    <w:rsid w:val="00BA7C03"/>
    <w:rsid w:val="00BB0109"/>
    <w:rsid w:val="00BB18D9"/>
    <w:rsid w:val="00BB3E7F"/>
    <w:rsid w:val="00BB5C49"/>
    <w:rsid w:val="00BB72AA"/>
    <w:rsid w:val="00BC1E9A"/>
    <w:rsid w:val="00BC332D"/>
    <w:rsid w:val="00BC3EAA"/>
    <w:rsid w:val="00BC5184"/>
    <w:rsid w:val="00BC56C2"/>
    <w:rsid w:val="00BC59EF"/>
    <w:rsid w:val="00BC5D85"/>
    <w:rsid w:val="00BC6361"/>
    <w:rsid w:val="00BC7FBD"/>
    <w:rsid w:val="00BD2B9C"/>
    <w:rsid w:val="00BD39D0"/>
    <w:rsid w:val="00BD72AD"/>
    <w:rsid w:val="00BE013C"/>
    <w:rsid w:val="00BE0463"/>
    <w:rsid w:val="00BE0BDF"/>
    <w:rsid w:val="00BE1771"/>
    <w:rsid w:val="00BE34CE"/>
    <w:rsid w:val="00BE4011"/>
    <w:rsid w:val="00BE4615"/>
    <w:rsid w:val="00BF083A"/>
    <w:rsid w:val="00BF194A"/>
    <w:rsid w:val="00BF1A4A"/>
    <w:rsid w:val="00BF530F"/>
    <w:rsid w:val="00BF56FA"/>
    <w:rsid w:val="00BF74A7"/>
    <w:rsid w:val="00BF785C"/>
    <w:rsid w:val="00C00043"/>
    <w:rsid w:val="00C0049C"/>
    <w:rsid w:val="00C00791"/>
    <w:rsid w:val="00C01052"/>
    <w:rsid w:val="00C01D69"/>
    <w:rsid w:val="00C028EE"/>
    <w:rsid w:val="00C05614"/>
    <w:rsid w:val="00C05FCD"/>
    <w:rsid w:val="00C11DA8"/>
    <w:rsid w:val="00C126FE"/>
    <w:rsid w:val="00C17DAC"/>
    <w:rsid w:val="00C227F0"/>
    <w:rsid w:val="00C23247"/>
    <w:rsid w:val="00C23876"/>
    <w:rsid w:val="00C247F2"/>
    <w:rsid w:val="00C25EF7"/>
    <w:rsid w:val="00C2666D"/>
    <w:rsid w:val="00C26AF0"/>
    <w:rsid w:val="00C27180"/>
    <w:rsid w:val="00C31054"/>
    <w:rsid w:val="00C31A97"/>
    <w:rsid w:val="00C364E6"/>
    <w:rsid w:val="00C40D71"/>
    <w:rsid w:val="00C411B4"/>
    <w:rsid w:val="00C41E40"/>
    <w:rsid w:val="00C4208A"/>
    <w:rsid w:val="00C4277C"/>
    <w:rsid w:val="00C44200"/>
    <w:rsid w:val="00C46F5E"/>
    <w:rsid w:val="00C47259"/>
    <w:rsid w:val="00C4745C"/>
    <w:rsid w:val="00C50B6B"/>
    <w:rsid w:val="00C50CB7"/>
    <w:rsid w:val="00C537DA"/>
    <w:rsid w:val="00C5473E"/>
    <w:rsid w:val="00C67E7A"/>
    <w:rsid w:val="00C702D0"/>
    <w:rsid w:val="00C7103D"/>
    <w:rsid w:val="00C71657"/>
    <w:rsid w:val="00C74B1B"/>
    <w:rsid w:val="00C76242"/>
    <w:rsid w:val="00C76C75"/>
    <w:rsid w:val="00C77D63"/>
    <w:rsid w:val="00C816AD"/>
    <w:rsid w:val="00C848A2"/>
    <w:rsid w:val="00C90271"/>
    <w:rsid w:val="00C91897"/>
    <w:rsid w:val="00C92621"/>
    <w:rsid w:val="00C92A13"/>
    <w:rsid w:val="00C93964"/>
    <w:rsid w:val="00CA330C"/>
    <w:rsid w:val="00CA4615"/>
    <w:rsid w:val="00CA50E6"/>
    <w:rsid w:val="00CA5A73"/>
    <w:rsid w:val="00CA7FF5"/>
    <w:rsid w:val="00CB01EA"/>
    <w:rsid w:val="00CB0576"/>
    <w:rsid w:val="00CB0EB8"/>
    <w:rsid w:val="00CB5ADC"/>
    <w:rsid w:val="00CB6920"/>
    <w:rsid w:val="00CB7AF2"/>
    <w:rsid w:val="00CC1FDA"/>
    <w:rsid w:val="00CC269E"/>
    <w:rsid w:val="00CC3596"/>
    <w:rsid w:val="00CC4403"/>
    <w:rsid w:val="00CC47C7"/>
    <w:rsid w:val="00CC5163"/>
    <w:rsid w:val="00CD32A0"/>
    <w:rsid w:val="00CD4102"/>
    <w:rsid w:val="00CD4F5C"/>
    <w:rsid w:val="00CD668E"/>
    <w:rsid w:val="00CD6CD2"/>
    <w:rsid w:val="00CE00F8"/>
    <w:rsid w:val="00CE1E33"/>
    <w:rsid w:val="00CE1E5E"/>
    <w:rsid w:val="00CE296D"/>
    <w:rsid w:val="00CE2BF2"/>
    <w:rsid w:val="00CE3CCE"/>
    <w:rsid w:val="00CE6CBE"/>
    <w:rsid w:val="00CE6D61"/>
    <w:rsid w:val="00CE7CC6"/>
    <w:rsid w:val="00CF1444"/>
    <w:rsid w:val="00CF30C3"/>
    <w:rsid w:val="00CF3DA5"/>
    <w:rsid w:val="00CF51CD"/>
    <w:rsid w:val="00CF618A"/>
    <w:rsid w:val="00CF6270"/>
    <w:rsid w:val="00D0011C"/>
    <w:rsid w:val="00D01956"/>
    <w:rsid w:val="00D01DA1"/>
    <w:rsid w:val="00D0268D"/>
    <w:rsid w:val="00D043F8"/>
    <w:rsid w:val="00D07A2F"/>
    <w:rsid w:val="00D07B98"/>
    <w:rsid w:val="00D07F5A"/>
    <w:rsid w:val="00D10DD7"/>
    <w:rsid w:val="00D10DE1"/>
    <w:rsid w:val="00D10E20"/>
    <w:rsid w:val="00D13AFC"/>
    <w:rsid w:val="00D13E1C"/>
    <w:rsid w:val="00D15F82"/>
    <w:rsid w:val="00D21C22"/>
    <w:rsid w:val="00D22190"/>
    <w:rsid w:val="00D227C0"/>
    <w:rsid w:val="00D2302D"/>
    <w:rsid w:val="00D239DE"/>
    <w:rsid w:val="00D2446D"/>
    <w:rsid w:val="00D24C51"/>
    <w:rsid w:val="00D25A19"/>
    <w:rsid w:val="00D25D1F"/>
    <w:rsid w:val="00D26E04"/>
    <w:rsid w:val="00D2785C"/>
    <w:rsid w:val="00D31442"/>
    <w:rsid w:val="00D36751"/>
    <w:rsid w:val="00D403C9"/>
    <w:rsid w:val="00D40A8D"/>
    <w:rsid w:val="00D41BED"/>
    <w:rsid w:val="00D41CB3"/>
    <w:rsid w:val="00D41FEA"/>
    <w:rsid w:val="00D42B48"/>
    <w:rsid w:val="00D43AB0"/>
    <w:rsid w:val="00D43ED3"/>
    <w:rsid w:val="00D4534A"/>
    <w:rsid w:val="00D467AA"/>
    <w:rsid w:val="00D50C94"/>
    <w:rsid w:val="00D50D64"/>
    <w:rsid w:val="00D52045"/>
    <w:rsid w:val="00D52493"/>
    <w:rsid w:val="00D5281A"/>
    <w:rsid w:val="00D53BDF"/>
    <w:rsid w:val="00D547AC"/>
    <w:rsid w:val="00D54BEF"/>
    <w:rsid w:val="00D54D40"/>
    <w:rsid w:val="00D63202"/>
    <w:rsid w:val="00D6369E"/>
    <w:rsid w:val="00D63EC9"/>
    <w:rsid w:val="00D6778D"/>
    <w:rsid w:val="00D67FF5"/>
    <w:rsid w:val="00D714AA"/>
    <w:rsid w:val="00D71FC6"/>
    <w:rsid w:val="00D72EB3"/>
    <w:rsid w:val="00D74179"/>
    <w:rsid w:val="00D76249"/>
    <w:rsid w:val="00D771D7"/>
    <w:rsid w:val="00D8146D"/>
    <w:rsid w:val="00D82468"/>
    <w:rsid w:val="00D845ED"/>
    <w:rsid w:val="00D875B4"/>
    <w:rsid w:val="00D909F8"/>
    <w:rsid w:val="00D90DD4"/>
    <w:rsid w:val="00D92A2A"/>
    <w:rsid w:val="00D9402D"/>
    <w:rsid w:val="00D95301"/>
    <w:rsid w:val="00D953C3"/>
    <w:rsid w:val="00D95C2E"/>
    <w:rsid w:val="00D9709F"/>
    <w:rsid w:val="00D97357"/>
    <w:rsid w:val="00DA1976"/>
    <w:rsid w:val="00DA19F8"/>
    <w:rsid w:val="00DA3D79"/>
    <w:rsid w:val="00DA402C"/>
    <w:rsid w:val="00DA4AEC"/>
    <w:rsid w:val="00DA5BA8"/>
    <w:rsid w:val="00DA6D2C"/>
    <w:rsid w:val="00DB1A57"/>
    <w:rsid w:val="00DB2B71"/>
    <w:rsid w:val="00DB3D79"/>
    <w:rsid w:val="00DB6D2D"/>
    <w:rsid w:val="00DC01FB"/>
    <w:rsid w:val="00DC0831"/>
    <w:rsid w:val="00DC0D15"/>
    <w:rsid w:val="00DC1253"/>
    <w:rsid w:val="00DC4BF5"/>
    <w:rsid w:val="00DC6980"/>
    <w:rsid w:val="00DD1C8A"/>
    <w:rsid w:val="00DD2E90"/>
    <w:rsid w:val="00DD55AB"/>
    <w:rsid w:val="00DE0204"/>
    <w:rsid w:val="00DE1575"/>
    <w:rsid w:val="00DE163C"/>
    <w:rsid w:val="00DE1C06"/>
    <w:rsid w:val="00DE30A5"/>
    <w:rsid w:val="00DE55CB"/>
    <w:rsid w:val="00DF03A1"/>
    <w:rsid w:val="00DF3576"/>
    <w:rsid w:val="00DF57B7"/>
    <w:rsid w:val="00DF5E00"/>
    <w:rsid w:val="00DF7A6A"/>
    <w:rsid w:val="00E00A4B"/>
    <w:rsid w:val="00E01A59"/>
    <w:rsid w:val="00E0269C"/>
    <w:rsid w:val="00E04432"/>
    <w:rsid w:val="00E04C39"/>
    <w:rsid w:val="00E069C9"/>
    <w:rsid w:val="00E14957"/>
    <w:rsid w:val="00E151D2"/>
    <w:rsid w:val="00E15F2B"/>
    <w:rsid w:val="00E160EB"/>
    <w:rsid w:val="00E165A2"/>
    <w:rsid w:val="00E20848"/>
    <w:rsid w:val="00E21713"/>
    <w:rsid w:val="00E22D18"/>
    <w:rsid w:val="00E25453"/>
    <w:rsid w:val="00E256E4"/>
    <w:rsid w:val="00E27C32"/>
    <w:rsid w:val="00E311EE"/>
    <w:rsid w:val="00E32683"/>
    <w:rsid w:val="00E35256"/>
    <w:rsid w:val="00E37584"/>
    <w:rsid w:val="00E40382"/>
    <w:rsid w:val="00E42EAA"/>
    <w:rsid w:val="00E43EF2"/>
    <w:rsid w:val="00E448A2"/>
    <w:rsid w:val="00E449BA"/>
    <w:rsid w:val="00E458D5"/>
    <w:rsid w:val="00E5032C"/>
    <w:rsid w:val="00E529B1"/>
    <w:rsid w:val="00E54D45"/>
    <w:rsid w:val="00E55D4E"/>
    <w:rsid w:val="00E55EEC"/>
    <w:rsid w:val="00E5612E"/>
    <w:rsid w:val="00E6279D"/>
    <w:rsid w:val="00E6331D"/>
    <w:rsid w:val="00E70FE6"/>
    <w:rsid w:val="00E73EFE"/>
    <w:rsid w:val="00E7466B"/>
    <w:rsid w:val="00E74C22"/>
    <w:rsid w:val="00E76046"/>
    <w:rsid w:val="00E776E5"/>
    <w:rsid w:val="00E80157"/>
    <w:rsid w:val="00E80A6D"/>
    <w:rsid w:val="00E81997"/>
    <w:rsid w:val="00E83D28"/>
    <w:rsid w:val="00E84F13"/>
    <w:rsid w:val="00E855CB"/>
    <w:rsid w:val="00E8605F"/>
    <w:rsid w:val="00E86DB2"/>
    <w:rsid w:val="00E8799B"/>
    <w:rsid w:val="00E908F4"/>
    <w:rsid w:val="00E90A2A"/>
    <w:rsid w:val="00E93887"/>
    <w:rsid w:val="00E93EE4"/>
    <w:rsid w:val="00E96EB9"/>
    <w:rsid w:val="00E96FEA"/>
    <w:rsid w:val="00EA02CC"/>
    <w:rsid w:val="00EA67BB"/>
    <w:rsid w:val="00EA6A39"/>
    <w:rsid w:val="00EA6ADE"/>
    <w:rsid w:val="00EA6F5E"/>
    <w:rsid w:val="00EA75C3"/>
    <w:rsid w:val="00EB0B4F"/>
    <w:rsid w:val="00EB2175"/>
    <w:rsid w:val="00EB6E8A"/>
    <w:rsid w:val="00EC22BB"/>
    <w:rsid w:val="00EC3924"/>
    <w:rsid w:val="00EC6FFB"/>
    <w:rsid w:val="00ED2BE4"/>
    <w:rsid w:val="00ED3735"/>
    <w:rsid w:val="00ED3E58"/>
    <w:rsid w:val="00ED4116"/>
    <w:rsid w:val="00ED5021"/>
    <w:rsid w:val="00ED506C"/>
    <w:rsid w:val="00ED5985"/>
    <w:rsid w:val="00ED719A"/>
    <w:rsid w:val="00EE00B1"/>
    <w:rsid w:val="00EE14B8"/>
    <w:rsid w:val="00EE3374"/>
    <w:rsid w:val="00EE4B85"/>
    <w:rsid w:val="00EE5AFB"/>
    <w:rsid w:val="00EE769A"/>
    <w:rsid w:val="00EE7901"/>
    <w:rsid w:val="00EF00A8"/>
    <w:rsid w:val="00EF0657"/>
    <w:rsid w:val="00EF06B3"/>
    <w:rsid w:val="00EF0BFF"/>
    <w:rsid w:val="00EF1798"/>
    <w:rsid w:val="00EF1D98"/>
    <w:rsid w:val="00EF35F1"/>
    <w:rsid w:val="00EF36CB"/>
    <w:rsid w:val="00EF5EDB"/>
    <w:rsid w:val="00EF6331"/>
    <w:rsid w:val="00F015D0"/>
    <w:rsid w:val="00F01B04"/>
    <w:rsid w:val="00F02428"/>
    <w:rsid w:val="00F03F26"/>
    <w:rsid w:val="00F04317"/>
    <w:rsid w:val="00F051CB"/>
    <w:rsid w:val="00F051F7"/>
    <w:rsid w:val="00F077FE"/>
    <w:rsid w:val="00F078F3"/>
    <w:rsid w:val="00F106CD"/>
    <w:rsid w:val="00F10DDF"/>
    <w:rsid w:val="00F11A7C"/>
    <w:rsid w:val="00F14972"/>
    <w:rsid w:val="00F150A2"/>
    <w:rsid w:val="00F16764"/>
    <w:rsid w:val="00F17C5C"/>
    <w:rsid w:val="00F17E32"/>
    <w:rsid w:val="00F21186"/>
    <w:rsid w:val="00F22F5B"/>
    <w:rsid w:val="00F26FE8"/>
    <w:rsid w:val="00F30C11"/>
    <w:rsid w:val="00F31954"/>
    <w:rsid w:val="00F31EE2"/>
    <w:rsid w:val="00F33C4B"/>
    <w:rsid w:val="00F3406C"/>
    <w:rsid w:val="00F34328"/>
    <w:rsid w:val="00F3499C"/>
    <w:rsid w:val="00F3685D"/>
    <w:rsid w:val="00F37BFF"/>
    <w:rsid w:val="00F4064B"/>
    <w:rsid w:val="00F40AAE"/>
    <w:rsid w:val="00F42663"/>
    <w:rsid w:val="00F4345E"/>
    <w:rsid w:val="00F43993"/>
    <w:rsid w:val="00F4408B"/>
    <w:rsid w:val="00F444C0"/>
    <w:rsid w:val="00F459C3"/>
    <w:rsid w:val="00F45B87"/>
    <w:rsid w:val="00F4655E"/>
    <w:rsid w:val="00F57A14"/>
    <w:rsid w:val="00F608C7"/>
    <w:rsid w:val="00F61422"/>
    <w:rsid w:val="00F61732"/>
    <w:rsid w:val="00F61F47"/>
    <w:rsid w:val="00F666F1"/>
    <w:rsid w:val="00F67A0A"/>
    <w:rsid w:val="00F67B5B"/>
    <w:rsid w:val="00F726F0"/>
    <w:rsid w:val="00F73788"/>
    <w:rsid w:val="00F73D54"/>
    <w:rsid w:val="00F7463F"/>
    <w:rsid w:val="00F7533F"/>
    <w:rsid w:val="00F7610C"/>
    <w:rsid w:val="00F77A1D"/>
    <w:rsid w:val="00F81A68"/>
    <w:rsid w:val="00F81D90"/>
    <w:rsid w:val="00F835CD"/>
    <w:rsid w:val="00F84725"/>
    <w:rsid w:val="00F85347"/>
    <w:rsid w:val="00F8657A"/>
    <w:rsid w:val="00F9005B"/>
    <w:rsid w:val="00F90ACE"/>
    <w:rsid w:val="00F9195C"/>
    <w:rsid w:val="00F91FE6"/>
    <w:rsid w:val="00F93143"/>
    <w:rsid w:val="00F94FA6"/>
    <w:rsid w:val="00F95132"/>
    <w:rsid w:val="00F9516F"/>
    <w:rsid w:val="00F96545"/>
    <w:rsid w:val="00F96EFE"/>
    <w:rsid w:val="00F971DA"/>
    <w:rsid w:val="00FA01A2"/>
    <w:rsid w:val="00FA0654"/>
    <w:rsid w:val="00FA0988"/>
    <w:rsid w:val="00FA1ED8"/>
    <w:rsid w:val="00FA249F"/>
    <w:rsid w:val="00FA2F20"/>
    <w:rsid w:val="00FA2FC0"/>
    <w:rsid w:val="00FA4DC1"/>
    <w:rsid w:val="00FA5783"/>
    <w:rsid w:val="00FA63BB"/>
    <w:rsid w:val="00FB0044"/>
    <w:rsid w:val="00FB0FD9"/>
    <w:rsid w:val="00FB2B6D"/>
    <w:rsid w:val="00FB4329"/>
    <w:rsid w:val="00FB598C"/>
    <w:rsid w:val="00FC1EA0"/>
    <w:rsid w:val="00FC38C4"/>
    <w:rsid w:val="00FC5D99"/>
    <w:rsid w:val="00FC620A"/>
    <w:rsid w:val="00FD002C"/>
    <w:rsid w:val="00FD0451"/>
    <w:rsid w:val="00FD05C0"/>
    <w:rsid w:val="00FD1692"/>
    <w:rsid w:val="00FD281B"/>
    <w:rsid w:val="00FD4066"/>
    <w:rsid w:val="00FD6FF1"/>
    <w:rsid w:val="00FD760C"/>
    <w:rsid w:val="00FE18E5"/>
    <w:rsid w:val="00FE252E"/>
    <w:rsid w:val="00FE3928"/>
    <w:rsid w:val="00FE4B30"/>
    <w:rsid w:val="00FE52ED"/>
    <w:rsid w:val="00FE5351"/>
    <w:rsid w:val="00FE5A05"/>
    <w:rsid w:val="00FF0812"/>
    <w:rsid w:val="00FF092C"/>
    <w:rsid w:val="00FF1D92"/>
    <w:rsid w:val="00FF2E2C"/>
    <w:rsid w:val="00FF32F4"/>
    <w:rsid w:val="00FF3DA1"/>
    <w:rsid w:val="019B6D21"/>
    <w:rsid w:val="020529B4"/>
    <w:rsid w:val="02F89796"/>
    <w:rsid w:val="03B3EEBE"/>
    <w:rsid w:val="03D985A6"/>
    <w:rsid w:val="05E8952D"/>
    <w:rsid w:val="06442CF2"/>
    <w:rsid w:val="078C87D8"/>
    <w:rsid w:val="07AB9298"/>
    <w:rsid w:val="09D5604A"/>
    <w:rsid w:val="09E6568D"/>
    <w:rsid w:val="0ABE3CDE"/>
    <w:rsid w:val="0BB8585D"/>
    <w:rsid w:val="0BCA2989"/>
    <w:rsid w:val="0C004A7D"/>
    <w:rsid w:val="0C0C7951"/>
    <w:rsid w:val="0C0F0C99"/>
    <w:rsid w:val="0CB17105"/>
    <w:rsid w:val="0E96BDE4"/>
    <w:rsid w:val="0F43E0ED"/>
    <w:rsid w:val="103FACE3"/>
    <w:rsid w:val="106D50AA"/>
    <w:rsid w:val="1150F179"/>
    <w:rsid w:val="119038BD"/>
    <w:rsid w:val="11DB442B"/>
    <w:rsid w:val="123018F7"/>
    <w:rsid w:val="1242E1E3"/>
    <w:rsid w:val="13D9455A"/>
    <w:rsid w:val="1452EDF3"/>
    <w:rsid w:val="146E7B67"/>
    <w:rsid w:val="148B2E0F"/>
    <w:rsid w:val="150CFDAE"/>
    <w:rsid w:val="154C3F59"/>
    <w:rsid w:val="1747AB31"/>
    <w:rsid w:val="18AF8ED3"/>
    <w:rsid w:val="19A9E93E"/>
    <w:rsid w:val="19D64053"/>
    <w:rsid w:val="1B3F9B75"/>
    <w:rsid w:val="1C8A5FF4"/>
    <w:rsid w:val="1CA4B7B7"/>
    <w:rsid w:val="1CE0F5A0"/>
    <w:rsid w:val="1D461757"/>
    <w:rsid w:val="1DBDC6B7"/>
    <w:rsid w:val="1E5F5821"/>
    <w:rsid w:val="1EF513B5"/>
    <w:rsid w:val="1F633127"/>
    <w:rsid w:val="21402F49"/>
    <w:rsid w:val="22EF34B5"/>
    <w:rsid w:val="26C7DDF1"/>
    <w:rsid w:val="27081CF1"/>
    <w:rsid w:val="27203FB0"/>
    <w:rsid w:val="27A65797"/>
    <w:rsid w:val="28D0782E"/>
    <w:rsid w:val="29A264D4"/>
    <w:rsid w:val="2A59FA4D"/>
    <w:rsid w:val="2B51FAB9"/>
    <w:rsid w:val="2B7ECBD5"/>
    <w:rsid w:val="2CECC5B1"/>
    <w:rsid w:val="2E656403"/>
    <w:rsid w:val="2F460BCD"/>
    <w:rsid w:val="32303CDC"/>
    <w:rsid w:val="331BBDEE"/>
    <w:rsid w:val="350D7152"/>
    <w:rsid w:val="36844B04"/>
    <w:rsid w:val="36A20D66"/>
    <w:rsid w:val="3778196D"/>
    <w:rsid w:val="3782B498"/>
    <w:rsid w:val="37AEF864"/>
    <w:rsid w:val="394E3C27"/>
    <w:rsid w:val="3AFA75DD"/>
    <w:rsid w:val="3B68B04E"/>
    <w:rsid w:val="3C67C294"/>
    <w:rsid w:val="402E52AE"/>
    <w:rsid w:val="415A581E"/>
    <w:rsid w:val="428D4FAF"/>
    <w:rsid w:val="42AC48B2"/>
    <w:rsid w:val="4367AB7B"/>
    <w:rsid w:val="43EC2CDE"/>
    <w:rsid w:val="441EFE06"/>
    <w:rsid w:val="4510D47B"/>
    <w:rsid w:val="4584EB0A"/>
    <w:rsid w:val="46FFC917"/>
    <w:rsid w:val="4794279A"/>
    <w:rsid w:val="481C1977"/>
    <w:rsid w:val="493376F3"/>
    <w:rsid w:val="4A196BA0"/>
    <w:rsid w:val="4ACCB05E"/>
    <w:rsid w:val="4B7E5618"/>
    <w:rsid w:val="4D56E5CE"/>
    <w:rsid w:val="4E3FDE54"/>
    <w:rsid w:val="4EC59721"/>
    <w:rsid w:val="4FEC2B0D"/>
    <w:rsid w:val="50BBD05C"/>
    <w:rsid w:val="5169FFEA"/>
    <w:rsid w:val="5174589F"/>
    <w:rsid w:val="51BADC17"/>
    <w:rsid w:val="54358775"/>
    <w:rsid w:val="548722CC"/>
    <w:rsid w:val="552F14D7"/>
    <w:rsid w:val="553A1CB7"/>
    <w:rsid w:val="55EFECCD"/>
    <w:rsid w:val="561FA78D"/>
    <w:rsid w:val="5748DC96"/>
    <w:rsid w:val="592401C2"/>
    <w:rsid w:val="5930AAF1"/>
    <w:rsid w:val="5AEA6B5D"/>
    <w:rsid w:val="5B9D3FD3"/>
    <w:rsid w:val="5C58A55A"/>
    <w:rsid w:val="5C7840EE"/>
    <w:rsid w:val="5C792C40"/>
    <w:rsid w:val="5E46AA3A"/>
    <w:rsid w:val="5E7081ED"/>
    <w:rsid w:val="5F794526"/>
    <w:rsid w:val="5FD2E5F7"/>
    <w:rsid w:val="607B0CB9"/>
    <w:rsid w:val="651798C7"/>
    <w:rsid w:val="65B513B8"/>
    <w:rsid w:val="65F8023E"/>
    <w:rsid w:val="67123836"/>
    <w:rsid w:val="68A8BECC"/>
    <w:rsid w:val="692B9B7C"/>
    <w:rsid w:val="6931B223"/>
    <w:rsid w:val="6A20CD84"/>
    <w:rsid w:val="6A98044B"/>
    <w:rsid w:val="6BB16778"/>
    <w:rsid w:val="6D2DC738"/>
    <w:rsid w:val="6EFF71AA"/>
    <w:rsid w:val="6F3C24EA"/>
    <w:rsid w:val="7026DBC4"/>
    <w:rsid w:val="74CF9107"/>
    <w:rsid w:val="74DA2A19"/>
    <w:rsid w:val="7562298D"/>
    <w:rsid w:val="773A1F6C"/>
    <w:rsid w:val="77A12CE4"/>
    <w:rsid w:val="77A3485B"/>
    <w:rsid w:val="783C5263"/>
    <w:rsid w:val="78EDAC70"/>
    <w:rsid w:val="7CCA69AA"/>
    <w:rsid w:val="7D661DFC"/>
    <w:rsid w:val="7DB3F62A"/>
    <w:rsid w:val="7DFE60B6"/>
    <w:rsid w:val="7F2B3491"/>
    <w:rsid w:val="7F598F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582B3AD5"/>
  <w15:docId w15:val="{F85631E1-5B77-454F-AFBF-93681AE4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11z0">
    <w:name w:val="WW8Num11z0"/>
    <w:rPr>
      <w:i w:val="0"/>
    </w:rPr>
  </w:style>
  <w:style w:type="character" w:customStyle="1" w:styleId="WW8Num13z0">
    <w:name w:val="WW8Num13z0"/>
    <w:rPr>
      <w:rFonts w:ascii="Symbol" w:hAnsi="Symbol"/>
    </w:rPr>
  </w:style>
  <w:style w:type="character" w:customStyle="1" w:styleId="WW8NumSt13z0">
    <w:name w:val="WW8NumSt13z0"/>
    <w:rPr>
      <w:rFonts w:ascii="Symbol" w:hAnsi="Symbol"/>
    </w:rPr>
  </w:style>
  <w:style w:type="character" w:customStyle="1" w:styleId="WW-DefaultParagraphFont">
    <w:name w:val="WW-Default Paragraph Font"/>
  </w:style>
  <w:style w:type="character" w:styleId="PageNumber">
    <w:name w:val="page number"/>
    <w:basedOn w:val="WW-DefaultParagraphFont"/>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pPr>
    <w:rPr>
      <w:sz w:val="24"/>
    </w:rPr>
  </w:style>
  <w:style w:type="paragraph" w:styleId="BodyTextIndent3">
    <w:name w:val="Body Text Indent 3"/>
    <w:basedOn w:val="Normal"/>
    <w:pPr>
      <w:widowControl w:val="0"/>
      <w:ind w:left="144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styleId="ListParagraph">
    <w:name w:val="List Paragraph"/>
    <w:basedOn w:val="Normal"/>
    <w:uiPriority w:val="34"/>
    <w:qFormat/>
    <w:rsid w:val="00880759"/>
    <w:pPr>
      <w:ind w:left="720"/>
      <w:contextualSpacing/>
    </w:pPr>
  </w:style>
  <w:style w:type="table" w:styleId="TableGrid">
    <w:name w:val="Table Grid"/>
    <w:basedOn w:val="TableNormal"/>
    <w:uiPriority w:val="59"/>
    <w:rsid w:val="00385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rsid w:val="004A26DA"/>
    <w:rPr>
      <w:rFonts w:ascii="Courier New" w:eastAsia="Times New Roman" w:hAnsi="Courier New" w:cs="Courier New"/>
      <w:b/>
      <w:bCs/>
      <w:snapToGrid w:val="0"/>
      <w:sz w:val="24"/>
      <w:szCs w:val="24"/>
    </w:rPr>
  </w:style>
  <w:style w:type="character" w:styleId="Hyperlink">
    <w:name w:val="Hyperlink"/>
    <w:basedOn w:val="DefaultParagraphFont"/>
    <w:uiPriority w:val="99"/>
    <w:unhideWhenUsed/>
    <w:rsid w:val="00975665"/>
    <w:rPr>
      <w:color w:val="0000FF" w:themeColor="hyperlink"/>
      <w:u w:val="single"/>
    </w:rPr>
  </w:style>
  <w:style w:type="character" w:styleId="UnresolvedMention">
    <w:name w:val="Unresolved Mention"/>
    <w:basedOn w:val="DefaultParagraphFont"/>
    <w:uiPriority w:val="99"/>
    <w:semiHidden/>
    <w:unhideWhenUsed/>
    <w:rsid w:val="00975665"/>
    <w:rPr>
      <w:color w:val="605E5C"/>
      <w:shd w:val="clear" w:color="auto" w:fill="E1DFDD"/>
    </w:rPr>
  </w:style>
  <w:style w:type="paragraph" w:styleId="NoSpacing">
    <w:name w:val="No Spacing"/>
    <w:qFormat/>
    <w:rsid w:val="00833E0E"/>
    <w:rPr>
      <w:sz w:val="24"/>
      <w:szCs w:val="24"/>
      <w:lang w:bidi="en-US"/>
    </w:rPr>
  </w:style>
  <w:style w:type="paragraph" w:styleId="Revision">
    <w:name w:val="Revision"/>
    <w:hidden/>
    <w:uiPriority w:val="99"/>
    <w:semiHidden/>
    <w:rsid w:val="00040708"/>
    <w:rPr>
      <w:lang w:eastAsia="ar-SA"/>
    </w:rPr>
  </w:style>
  <w:style w:type="character" w:styleId="FollowedHyperlink">
    <w:name w:val="FollowedHyperlink"/>
    <w:basedOn w:val="DefaultParagraphFont"/>
    <w:uiPriority w:val="99"/>
    <w:semiHidden/>
    <w:unhideWhenUsed/>
    <w:rsid w:val="00EF0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ssa.gov/ssa-performance"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1989-9F45-4F7A-A3B8-6B22A3517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vt:lpstr>
    </vt:vector>
  </TitlesOfParts>
  <Company>Social Security Administration</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dc:title>
  <dc:creator>OIG</dc:creator>
  <cp:lastModifiedBy>Naomi Sipple</cp:lastModifiedBy>
  <cp:revision>2</cp:revision>
  <cp:lastPrinted>2018-10-31T18:44:00Z</cp:lastPrinted>
  <dcterms:created xsi:type="dcterms:W3CDTF">2026-04-29T14:11:00Z</dcterms:created>
  <dcterms:modified xsi:type="dcterms:W3CDTF">2026-04-29T14:11:00Z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-856126232</vt:i4>
  </property>
  <property fmtid="{D5CDD505-2E9C-101B-9397-08002B2CF9AE}" pid="3" name="_AuthorEmail">
    <vt:lpwstr>Naomi.Sipple@ssa.gov</vt:lpwstr>
  </property>
  <property fmtid="{D5CDD505-2E9C-101B-9397-08002B2CF9AE}" pid="4" name="_AuthorEmailDisplayName">
    <vt:lpwstr>Sipple, Naomi   LP</vt:lpwstr>
  </property>
  <property fmtid="{D5CDD505-2E9C-101B-9397-08002B2CF9AE}" pid="5" name="_EmailSubject">
    <vt:lpwstr>FOR YOUR REVIEW-OMB Package 0960-0780 - Centenarian Project and Medicare Non-Utilization Project Development Worksheets: Face-to-Face Interview; Telephone Interview</vt:lpwstr>
  </property>
  <property fmtid="{D5CDD505-2E9C-101B-9397-08002B2CF9AE}" pid="6" name="_NewReviewCycle">
    <vt:lpwstr/>
  </property>
  <property fmtid="{D5CDD505-2E9C-101B-9397-08002B2CF9AE}" pid="7" name="_PreviousAdHocReviewCycleID">
    <vt:i4>546831482</vt:i4>
  </property>
  <property fmtid="{D5CDD505-2E9C-101B-9397-08002B2CF9AE}" pid="8" name="_ReviewingToolsShownOnce">
    <vt:lpwstr/>
  </property>
</Properties>
</file>