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75EC0" w:rsidRPr="00C27717" w:rsidP="00333033" w14:paraId="5D4DD3CB" w14:textId="5F35DF46">
      <w:pPr>
        <w:pStyle w:val="Title"/>
      </w:pPr>
      <w:r w:rsidRPr="00C27717">
        <w:t>Supporting Statement for Form SSA-4-BK</w:t>
      </w:r>
    </w:p>
    <w:p w:rsidR="00075EC0" w:rsidRPr="00C27717" w:rsidP="00333033" w14:paraId="0DC2FE7F" w14:textId="77777777">
      <w:pPr>
        <w:pStyle w:val="Title"/>
      </w:pPr>
      <w:r w:rsidRPr="00C27717">
        <w:t>Application for Child’s Insurance Benefits</w:t>
      </w:r>
    </w:p>
    <w:p w:rsidR="00075EC0" w:rsidRPr="00C27717" w:rsidP="00333033" w14:paraId="0CAA0942" w14:textId="77777777">
      <w:pPr>
        <w:pStyle w:val="Title"/>
      </w:pPr>
      <w:r w:rsidRPr="00C27717">
        <w:t>20 CFR 404-</w:t>
      </w:r>
      <w:r w:rsidRPr="00C27717" w:rsidR="00C5182A">
        <w:t xml:space="preserve">350 </w:t>
      </w:r>
      <w:r w:rsidRPr="00C27717" w:rsidR="00EF4064">
        <w:t>-</w:t>
      </w:r>
      <w:r w:rsidRPr="00C27717" w:rsidR="00C5182A">
        <w:t xml:space="preserve"> 404.368 and 404.603, CFR 4</w:t>
      </w:r>
      <w:r w:rsidRPr="00C27717">
        <w:t>16.350</w:t>
      </w:r>
    </w:p>
    <w:p w:rsidR="00A3539C" w:rsidRPr="00C27717" w:rsidP="00333033" w14:paraId="7231E883" w14:textId="77777777">
      <w:pPr>
        <w:pStyle w:val="Title"/>
      </w:pPr>
      <w:r w:rsidRPr="00C27717">
        <w:t>OMB No. 0960-001</w:t>
      </w:r>
      <w:r w:rsidRPr="00C27717" w:rsidR="008F3C23">
        <w:t>0</w:t>
      </w:r>
    </w:p>
    <w:p w:rsidR="00075EC0" w:rsidRPr="00333033" w:rsidP="00333033" w14:paraId="6790E06C" w14:textId="77777777">
      <w:pPr>
        <w:ind w:left="0"/>
      </w:pPr>
      <w:r w:rsidRPr="00333033">
        <w:rPr>
          <w:b/>
          <w:bCs/>
        </w:rPr>
        <w:t>A.</w:t>
      </w:r>
      <w:r w:rsidRPr="00333033">
        <w:t xml:space="preserve"> </w:t>
      </w:r>
      <w:r w:rsidRPr="00333033">
        <w:tab/>
      </w:r>
      <w:r w:rsidRPr="00333033">
        <w:rPr>
          <w:rStyle w:val="Heading1Char"/>
        </w:rPr>
        <w:t>Justification</w:t>
      </w:r>
    </w:p>
    <w:p w:rsidR="00075EC0" w:rsidRPr="00333033" w:rsidP="00333033" w14:paraId="2CACB192" w14:textId="77777777">
      <w:pPr>
        <w:pStyle w:val="ListParagraph"/>
        <w:numPr>
          <w:ilvl w:val="0"/>
          <w:numId w:val="1"/>
        </w:numPr>
        <w:ind w:hanging="274"/>
        <w:contextualSpacing w:val="0"/>
        <w:rPr>
          <w:b/>
          <w:bCs/>
        </w:rPr>
      </w:pPr>
      <w:r w:rsidRPr="00333033">
        <w:rPr>
          <w:b/>
          <w:bCs/>
        </w:rPr>
        <w:t>Introduction/Authoring Laws and Regulations</w:t>
      </w:r>
    </w:p>
    <w:p w:rsidR="00075EC0" w:rsidRPr="00075EC0" w:rsidP="00333033" w14:paraId="400DD003" w14:textId="467C4CDF">
      <w:r w:rsidRPr="008762B3">
        <w:t>Title II</w:t>
      </w:r>
      <w:r w:rsidRPr="00075EC0">
        <w:t xml:space="preserve"> of the </w:t>
      </w:r>
      <w:r w:rsidRPr="00075EC0">
        <w:rPr>
          <w:i/>
        </w:rPr>
        <w:t xml:space="preserve">Social Security Act </w:t>
      </w:r>
      <w:r w:rsidR="00D9026B">
        <w:rPr>
          <w:i/>
        </w:rPr>
        <w:t>(</w:t>
      </w:r>
      <w:r w:rsidRPr="00075EC0">
        <w:rPr>
          <w:i/>
        </w:rPr>
        <w:t>Act)</w:t>
      </w:r>
      <w:r w:rsidRPr="00075EC0">
        <w:t xml:space="preserve"> provides for the payment of monthly benefit</w:t>
      </w:r>
      <w:r w:rsidR="008762B3">
        <w:t xml:space="preserve">s to the children of an insured, </w:t>
      </w:r>
      <w:r w:rsidRPr="00075EC0">
        <w:t>retired, disabled, or deceased worker.  Section</w:t>
      </w:r>
      <w:r w:rsidRPr="00075EC0">
        <w:rPr>
          <w:i/>
        </w:rPr>
        <w:t xml:space="preserve"> 202(d) </w:t>
      </w:r>
      <w:r w:rsidRPr="00075EC0">
        <w:t xml:space="preserve">of the </w:t>
      </w:r>
      <w:r w:rsidRPr="008616BD">
        <w:rPr>
          <w:i/>
        </w:rPr>
        <w:t xml:space="preserve">Act </w:t>
      </w:r>
      <w:r w:rsidRPr="00075EC0">
        <w:t>contains the conditions and requirements the applicant must meet when filing an application.</w:t>
      </w:r>
      <w:r w:rsidR="00CB1BA6">
        <w:t xml:space="preserve">  </w:t>
      </w:r>
      <w:r w:rsidRPr="00A82994">
        <w:rPr>
          <w:i/>
        </w:rPr>
        <w:t>20 CFR</w:t>
      </w:r>
      <w:r w:rsidRPr="00075EC0">
        <w:t xml:space="preserve"> </w:t>
      </w:r>
      <w:r w:rsidRPr="00075EC0">
        <w:rPr>
          <w:i/>
        </w:rPr>
        <w:t xml:space="preserve">404.350 </w:t>
      </w:r>
      <w:r w:rsidR="00EF4064">
        <w:rPr>
          <w:i/>
        </w:rPr>
        <w:t>-</w:t>
      </w:r>
      <w:r w:rsidRPr="00075EC0">
        <w:rPr>
          <w:i/>
        </w:rPr>
        <w:t xml:space="preserve"> 404.368</w:t>
      </w:r>
      <w:r w:rsidRPr="00075EC0">
        <w:t xml:space="preserve"> and </w:t>
      </w:r>
      <w:r w:rsidRPr="00A82994">
        <w:rPr>
          <w:i/>
        </w:rPr>
        <w:t>20 CFR</w:t>
      </w:r>
      <w:r w:rsidRPr="00075EC0">
        <w:t xml:space="preserve"> </w:t>
      </w:r>
      <w:r w:rsidRPr="00075EC0">
        <w:rPr>
          <w:i/>
        </w:rPr>
        <w:t>404.603</w:t>
      </w:r>
      <w:r w:rsidRPr="00075EC0">
        <w:t xml:space="preserve"> of the </w:t>
      </w:r>
      <w:r w:rsidRPr="00075EC0">
        <w:rPr>
          <w:i/>
        </w:rPr>
        <w:t>Code of Federal Regulations</w:t>
      </w:r>
      <w:r w:rsidRPr="00075EC0">
        <w:t xml:space="preserve"> </w:t>
      </w:r>
      <w:r w:rsidRPr="008762B3" w:rsidR="008762B3">
        <w:rPr>
          <w:i/>
        </w:rPr>
        <w:t>(Code)</w:t>
      </w:r>
      <w:r w:rsidR="008762B3">
        <w:t xml:space="preserve"> </w:t>
      </w:r>
      <w:r w:rsidRPr="00075EC0">
        <w:t xml:space="preserve">set forth the eligibility criteria for child’s benefits and require the filing of an application so </w:t>
      </w:r>
      <w:r w:rsidRPr="00075EC0" w:rsidR="00A82994">
        <w:t>the Social Security Administration (SSA</w:t>
      </w:r>
      <w:r w:rsidR="00A82994">
        <w:t>)</w:t>
      </w:r>
      <w:r w:rsidRPr="00075EC0">
        <w:t xml:space="preserve"> can make a determination on the applicant’s eligibility for such benefits.  </w:t>
      </w:r>
      <w:r w:rsidR="00AE0691">
        <w:t>F</w:t>
      </w:r>
      <w:r w:rsidRPr="00075EC0">
        <w:t xml:space="preserve">or </w:t>
      </w:r>
      <w:r w:rsidR="00A82994">
        <w:t xml:space="preserve">SSA to make </w:t>
      </w:r>
      <w:r w:rsidRPr="00075EC0">
        <w:t xml:space="preserve">such a determination, it is necessary </w:t>
      </w:r>
      <w:r w:rsidR="00A82994">
        <w:t xml:space="preserve">for us </w:t>
      </w:r>
      <w:r w:rsidRPr="00075EC0">
        <w:t>to elicit from the applicant information such as date and place of birth, relationship, residence, etc.</w:t>
      </w:r>
      <w:r w:rsidR="00AE0691">
        <w:t xml:space="preserve">  </w:t>
      </w:r>
      <w:r w:rsidRPr="00075EC0">
        <w:t>Section</w:t>
      </w:r>
      <w:r w:rsidRPr="00075EC0">
        <w:rPr>
          <w:i/>
        </w:rPr>
        <w:t xml:space="preserve"> 20</w:t>
      </w:r>
      <w:r w:rsidRPr="00075EC0">
        <w:t xml:space="preserve"> </w:t>
      </w:r>
      <w:r w:rsidRPr="00A82994">
        <w:rPr>
          <w:i/>
        </w:rPr>
        <w:t>CFR</w:t>
      </w:r>
      <w:r w:rsidRPr="00075EC0">
        <w:rPr>
          <w:i/>
        </w:rPr>
        <w:t xml:space="preserve"> 416.350</w:t>
      </w:r>
      <w:r w:rsidRPr="00075EC0">
        <w:t xml:space="preserve"> of the </w:t>
      </w:r>
      <w:r w:rsidRPr="00A82994">
        <w:rPr>
          <w:i/>
        </w:rPr>
        <w:t>Code</w:t>
      </w:r>
      <w:r w:rsidRPr="00075EC0">
        <w:t xml:space="preserve">, requires </w:t>
      </w:r>
      <w:r w:rsidR="00A82994">
        <w:t>SSA</w:t>
      </w:r>
      <w:r w:rsidRPr="00075EC0">
        <w:t xml:space="preserve"> to discuss the Supplemental Security Income (SSI) program with every Title II applicant who is within two months of age 65 or older, or might qualif</w:t>
      </w:r>
      <w:r w:rsidR="008762B3">
        <w:t xml:space="preserve">y as a blind or disabled person, </w:t>
      </w:r>
      <w:r w:rsidRPr="00075EC0">
        <w:t>and give the person a</w:t>
      </w:r>
      <w:r w:rsidR="00287F09">
        <w:t>n opportunity</w:t>
      </w:r>
      <w:r w:rsidRPr="00075EC0">
        <w:t xml:space="preserve"> to file an application</w:t>
      </w:r>
      <w:r w:rsidR="00287F09">
        <w:t xml:space="preserve"> if desire</w:t>
      </w:r>
      <w:r w:rsidRPr="00075EC0">
        <w:t xml:space="preserve">.  </w:t>
      </w:r>
      <w:r w:rsidR="00182280">
        <w:t>If the</w:t>
      </w:r>
      <w:r w:rsidR="00D7366C">
        <w:t xml:space="preserve"> individual applying for Title II benefits do</w:t>
      </w:r>
      <w:r w:rsidR="005370E9">
        <w:t xml:space="preserve">es not file an application on a prescribed </w:t>
      </w:r>
      <w:r w:rsidR="00857098">
        <w:t xml:space="preserve">SSI </w:t>
      </w:r>
      <w:r w:rsidR="005370E9">
        <w:t xml:space="preserve">form when </w:t>
      </w:r>
      <w:r w:rsidR="00064B24">
        <w:t xml:space="preserve">we explain </w:t>
      </w:r>
      <w:r w:rsidR="00793A41">
        <w:t>it</w:t>
      </w:r>
      <w:r w:rsidR="00466758">
        <w:t xml:space="preserve"> to him or her, </w:t>
      </w:r>
      <w:r w:rsidR="00617801">
        <w:t>we will treat the Title II application as an oral inquiry</w:t>
      </w:r>
      <w:r w:rsidR="0053444A">
        <w:t xml:space="preserve"> and document their </w:t>
      </w:r>
      <w:r w:rsidR="00532C89">
        <w:t xml:space="preserve">intent to file for SSI on the </w:t>
      </w:r>
      <w:r w:rsidRPr="00075EC0">
        <w:t>Title II application</w:t>
      </w:r>
      <w:r w:rsidR="00793A41">
        <w:t xml:space="preserve">. </w:t>
      </w:r>
      <w:r w:rsidRPr="00075EC0">
        <w:t xml:space="preserve"> </w:t>
      </w:r>
      <w:r w:rsidR="00532C89">
        <w:t xml:space="preserve"> </w:t>
      </w:r>
    </w:p>
    <w:p w:rsidR="00075EC0" w:rsidRPr="00333033" w:rsidP="00333033" w14:paraId="17A3D1E4" w14:textId="77777777">
      <w:pPr>
        <w:pStyle w:val="ListParagraph"/>
        <w:numPr>
          <w:ilvl w:val="0"/>
          <w:numId w:val="1"/>
        </w:numPr>
        <w:ind w:hanging="270"/>
        <w:rPr>
          <w:b/>
          <w:bCs/>
        </w:rPr>
      </w:pPr>
      <w:r w:rsidRPr="00333033">
        <w:rPr>
          <w:b/>
          <w:bCs/>
        </w:rPr>
        <w:t xml:space="preserve">Description of Collection </w:t>
      </w:r>
    </w:p>
    <w:p w:rsidR="00F55EB5" w:rsidRPr="00B96A43" w:rsidP="00B96A43" w14:paraId="692401A4" w14:textId="6FAC7380">
      <w:pPr>
        <w:pStyle w:val="Default"/>
        <w:ind w:left="720"/>
        <w:rPr>
          <w:rFonts w:ascii="Times New Roman" w:hAnsi="Times New Roman" w:cs="Times New Roman"/>
          <w:color w:val="auto"/>
        </w:rPr>
      </w:pPr>
      <w:r w:rsidRPr="00EC56DF">
        <w:rPr>
          <w:rFonts w:ascii="Times New Roman" w:hAnsi="Times New Roman" w:cs="Times New Roman"/>
          <w:color w:val="auto"/>
        </w:rPr>
        <w:t xml:space="preserve">An unmarried child who has </w:t>
      </w:r>
      <w:r>
        <w:rPr>
          <w:rFonts w:ascii="Times New Roman" w:hAnsi="Times New Roman" w:cs="Times New Roman"/>
          <w:color w:val="auto"/>
        </w:rPr>
        <w:t xml:space="preserve">a </w:t>
      </w:r>
      <w:r w:rsidRPr="007B5E06">
        <w:rPr>
          <w:rFonts w:ascii="Times New Roman" w:hAnsi="Times New Roman" w:cs="Times New Roman"/>
          <w:color w:val="auto"/>
        </w:rPr>
        <w:t>parent who is retired</w:t>
      </w:r>
      <w:r>
        <w:rPr>
          <w:rFonts w:ascii="Times New Roman" w:hAnsi="Times New Roman" w:cs="Times New Roman"/>
          <w:color w:val="auto"/>
        </w:rPr>
        <w:t xml:space="preserve"> or</w:t>
      </w:r>
      <w:r w:rsidRPr="007B5E06">
        <w:rPr>
          <w:rFonts w:ascii="Times New Roman" w:hAnsi="Times New Roman" w:cs="Times New Roman"/>
          <w:color w:val="auto"/>
        </w:rPr>
        <w:t xml:space="preserve"> has a disability and is entitled to Social Security benefits</w:t>
      </w:r>
      <w:r>
        <w:rPr>
          <w:rFonts w:ascii="Times New Roman" w:hAnsi="Times New Roman" w:cs="Times New Roman"/>
          <w:color w:val="auto"/>
        </w:rPr>
        <w:t>,</w:t>
      </w:r>
      <w:r w:rsidRPr="00EC56DF">
        <w:rPr>
          <w:rFonts w:ascii="Times New Roman" w:hAnsi="Times New Roman" w:cs="Times New Roman"/>
          <w:color w:val="auto"/>
        </w:rPr>
        <w:t xml:space="preserve"> or who has a </w:t>
      </w:r>
      <w:r w:rsidRPr="007B5E06">
        <w:rPr>
          <w:rFonts w:ascii="Times New Roman" w:hAnsi="Times New Roman" w:cs="Times New Roman"/>
          <w:color w:val="auto"/>
        </w:rPr>
        <w:t>parent who died after having worked long enough in a job where they paid Social Security taxes</w:t>
      </w:r>
      <w:r>
        <w:rPr>
          <w:rFonts w:ascii="Times New Roman" w:hAnsi="Times New Roman" w:cs="Times New Roman"/>
          <w:color w:val="auto"/>
        </w:rPr>
        <w:t>,</w:t>
      </w:r>
      <w:r w:rsidRPr="00EC56DF">
        <w:rPr>
          <w:rFonts w:ascii="Times New Roman" w:hAnsi="Times New Roman" w:cs="Times New Roman"/>
          <w:color w:val="auto"/>
        </w:rPr>
        <w:t xml:space="preserve"> </w:t>
      </w:r>
      <w:r>
        <w:rPr>
          <w:rFonts w:ascii="Times New Roman" w:hAnsi="Times New Roman" w:cs="Times New Roman"/>
          <w:color w:val="auto"/>
        </w:rPr>
        <w:t>is</w:t>
      </w:r>
      <w:r w:rsidRPr="00EC56DF">
        <w:rPr>
          <w:rFonts w:ascii="Times New Roman" w:hAnsi="Times New Roman" w:cs="Times New Roman"/>
          <w:color w:val="auto"/>
        </w:rPr>
        <w:t xml:space="preserve"> entitled to receive benefits.  </w:t>
      </w:r>
      <w:r>
        <w:rPr>
          <w:rFonts w:ascii="Times New Roman" w:hAnsi="Times New Roman" w:cs="Times New Roman"/>
          <w:color w:val="auto"/>
        </w:rPr>
        <w:t>An</w:t>
      </w:r>
      <w:r w:rsidRPr="00EC56DF">
        <w:rPr>
          <w:rFonts w:ascii="Times New Roman" w:hAnsi="Times New Roman" w:cs="Times New Roman"/>
          <w:color w:val="auto"/>
        </w:rPr>
        <w:t xml:space="preserve"> unmarried child can </w:t>
      </w:r>
      <w:r>
        <w:rPr>
          <w:rFonts w:ascii="Times New Roman" w:hAnsi="Times New Roman" w:cs="Times New Roman"/>
          <w:color w:val="auto"/>
        </w:rPr>
        <w:t>receive</w:t>
      </w:r>
      <w:r w:rsidRPr="00EC56DF">
        <w:rPr>
          <w:rFonts w:ascii="Times New Roman" w:hAnsi="Times New Roman" w:cs="Times New Roman"/>
          <w:color w:val="auto"/>
        </w:rPr>
        <w:t xml:space="preserve"> benefits if they meet one of the following criteria: </w:t>
      </w:r>
      <w:r w:rsidRPr="00B96A43">
        <w:rPr>
          <w:rFonts w:ascii="Times New Roman" w:hAnsi="Times New Roman" w:cs="Times New Roman"/>
        </w:rPr>
        <w:t xml:space="preserve">(1) the child is younger than 18; (2) the child is a full-time student at an elementary or secondary school (grade 12 or below); (3) the child is age 18 to 19 and attending elementary or secondary school full-time; or (4) the child is age 18 or older with a disability that began before age 22.  </w:t>
      </w:r>
      <w:r w:rsidRPr="00B96A43" w:rsidR="00032FA1">
        <w:rPr>
          <w:rFonts w:ascii="Times New Roman" w:hAnsi="Times New Roman" w:cs="Times New Roman"/>
        </w:rPr>
        <w:t xml:space="preserve">Under certain circumstances, SSA can also pay benefits to a stepchild, grandchild, step-grandchild, or adopted child.  </w:t>
      </w:r>
    </w:p>
    <w:p w:rsidR="00F55EB5" w:rsidP="00F55EB5" w14:paraId="320BB5E4" w14:textId="60CC8160">
      <w:pPr>
        <w:spacing w:after="0"/>
      </w:pPr>
      <w:r>
        <w:t xml:space="preserve">SSA uses various forms of communication to inform the public of the benefits we administer, including written publications, brochures, and news releases available through the SSA website, which allow the public to read information regarding all current SSA programs and eligibility factors.  Additionally, SSA’s outreach efforts include social media, digital services, print and television advertisements, as well as aid from community partners who provide information to the public.  SSA representatives at field offices and teleservice centers can assist in the process of benefit applications, encouraging online services or scheduling either </w:t>
      </w:r>
      <w:r w:rsidR="004D6685">
        <w:t>phone</w:t>
      </w:r>
      <w:r>
        <w:t xml:space="preserve"> or in-person appointments.  </w:t>
      </w:r>
    </w:p>
    <w:p w:rsidR="0093027E" w:rsidP="006B3F69" w14:paraId="71463DCF" w14:textId="77777777">
      <w:r w:rsidRPr="00032FA1">
        <w:t xml:space="preserve">Respondents can </w:t>
      </w:r>
      <w:r w:rsidR="00291BBC">
        <w:t xml:space="preserve">also </w:t>
      </w:r>
      <w:r w:rsidRPr="00032FA1">
        <w:t>download and complete Form SSA</w:t>
      </w:r>
      <w:r w:rsidRPr="00032FA1">
        <w:noBreakHyphen/>
        <w:t>4</w:t>
      </w:r>
      <w:r w:rsidRPr="00032FA1">
        <w:noBreakHyphen/>
        <w:t xml:space="preserve">BK at </w:t>
      </w:r>
      <w:hyperlink r:id="rId5" w:history="1">
        <w:r w:rsidRPr="00C8046A">
          <w:rPr>
            <w:color w:val="0070C0"/>
            <w:u w:val="single"/>
          </w:rPr>
          <w:t>www.ssa.gov</w:t>
        </w:r>
      </w:hyperlink>
      <w:r w:rsidR="00FC5298">
        <w:t xml:space="preserve"> </w:t>
      </w:r>
      <w:r w:rsidRPr="00032FA1">
        <w:t xml:space="preserve">and mail it back to </w:t>
      </w:r>
      <w:r w:rsidRPr="00032FA1" w:rsidR="00743ACD">
        <w:t>SSA or</w:t>
      </w:r>
      <w:r w:rsidRPr="00032FA1">
        <w:t xml:space="preserve"> </w:t>
      </w:r>
      <w:r w:rsidRPr="00587EE0" w:rsidR="00743ACD">
        <w:rPr>
          <w:iCs/>
        </w:rPr>
        <w:t>submit the fillable</w:t>
      </w:r>
      <w:r w:rsidR="00743ACD">
        <w:rPr>
          <w:iCs/>
        </w:rPr>
        <w:t xml:space="preserve"> pdf form </w:t>
      </w:r>
      <w:r w:rsidRPr="00587EE0" w:rsidR="00743ACD">
        <w:rPr>
          <w:iCs/>
        </w:rPr>
        <w:t>through our Upload Documents portal (OMB No. 0960-0830)</w:t>
      </w:r>
      <w:r w:rsidR="00743ACD">
        <w:rPr>
          <w:iCs/>
        </w:rPr>
        <w:t>.  T</w:t>
      </w:r>
      <w:r w:rsidRPr="00032FA1">
        <w:t xml:space="preserve">hey can </w:t>
      </w:r>
      <w:r w:rsidR="00743ACD">
        <w:t xml:space="preserve">also </w:t>
      </w:r>
      <w:r w:rsidRPr="00032FA1">
        <w:t>call</w:t>
      </w:r>
      <w:r w:rsidR="006B2F0C">
        <w:t xml:space="preserve"> us</w:t>
      </w:r>
      <w:r w:rsidRPr="00032FA1">
        <w:t xml:space="preserve"> to schedule an appointment at the field office, where an SSA employee can interview respondents </w:t>
      </w:r>
      <w:r w:rsidR="00B821DC">
        <w:t xml:space="preserve">either by phone or in-person </w:t>
      </w:r>
      <w:r w:rsidRPr="00032FA1">
        <w:t>and enter information into our Modernized Claims Systems (MCS).  When applying for benefits for a child, the respondent needs to provide SSA with the following information</w:t>
      </w:r>
      <w:r w:rsidRPr="00617C66" w:rsidR="00617C66">
        <w:t xml:space="preserve"> </w:t>
      </w:r>
      <w:r w:rsidR="00617C66">
        <w:t xml:space="preserve">but only if our systems does not </w:t>
      </w:r>
      <w:r w:rsidR="00DE0E71">
        <w:t xml:space="preserve">already </w:t>
      </w:r>
      <w:r w:rsidR="00617C66">
        <w:t>have the proven information</w:t>
      </w:r>
      <w:r w:rsidRPr="00032FA1" w:rsidR="00B821DC">
        <w:t>: (</w:t>
      </w:r>
      <w:r w:rsidRPr="00032FA1">
        <w:t xml:space="preserve">1) the child’s birth certificate or other proof of birth or adoption; and (2) the parent’s and child’s Social Security numbers.  </w:t>
      </w:r>
    </w:p>
    <w:p w:rsidR="000977CB" w:rsidP="00C07656" w14:paraId="72BB5140" w14:textId="0FAC5BF0">
      <w:r>
        <w:t xml:space="preserve">In addition to </w:t>
      </w:r>
      <w:r w:rsidR="0025444A">
        <w:t>providing us with proof of age</w:t>
      </w:r>
      <w:r w:rsidR="00856F39">
        <w:t xml:space="preserve">, </w:t>
      </w:r>
      <w:r w:rsidR="0025444A">
        <w:t xml:space="preserve">relationship to the parent, </w:t>
      </w:r>
      <w:r w:rsidR="00856F39">
        <w:t>or proof of a parent’s death</w:t>
      </w:r>
      <w:r w:rsidR="002F20DF">
        <w:t xml:space="preserve"> (if not previously proven in our records)</w:t>
      </w:r>
      <w:r w:rsidR="00856F39">
        <w:t xml:space="preserve"> for </w:t>
      </w:r>
      <w:r w:rsidR="00A11AC9">
        <w:t xml:space="preserve">a survivor claim, </w:t>
      </w:r>
      <w:r w:rsidR="0025444A">
        <w:t xml:space="preserve">there </w:t>
      </w:r>
      <w:r w:rsidR="00AC2C02">
        <w:t xml:space="preserve">may be </w:t>
      </w:r>
      <w:r w:rsidR="0025444A">
        <w:t>additional forms</w:t>
      </w:r>
      <w:r w:rsidR="00700912">
        <w:t xml:space="preserve"> or </w:t>
      </w:r>
      <w:r w:rsidR="000E717F">
        <w:t>proofs</w:t>
      </w:r>
      <w:r w:rsidR="0025444A">
        <w:t xml:space="preserve"> SSA requires in </w:t>
      </w:r>
      <w:r w:rsidR="00F3646A">
        <w:t>various claims situations besides the Form SSA-4-BK.</w:t>
      </w:r>
      <w:r w:rsidR="00CD7368">
        <w:t xml:space="preserve"> </w:t>
      </w:r>
      <w:r w:rsidR="002F20DF">
        <w:t xml:space="preserve">Below are the most common forms and listed situations when it may apply:  </w:t>
      </w:r>
    </w:p>
    <w:p w:rsidR="002D5E03" w:rsidP="002D5E03" w14:paraId="492DD771" w14:textId="470780D0">
      <w:pPr>
        <w:pStyle w:val="ListParagraph"/>
        <w:numPr>
          <w:ilvl w:val="0"/>
          <w:numId w:val="11"/>
        </w:numPr>
      </w:pPr>
      <w:r w:rsidRPr="009D58A4">
        <w:rPr>
          <w:b/>
          <w:bCs/>
        </w:rPr>
        <w:t>SSA-21</w:t>
      </w:r>
      <w:r w:rsidR="00EB5C9B">
        <w:rPr>
          <w:b/>
          <w:bCs/>
        </w:rPr>
        <w:t>, OMB No. 0960-0051</w:t>
      </w:r>
      <w:r>
        <w:t xml:space="preserve"> (Supplement to Claim on Behalf of Child Outside of the United States) – </w:t>
      </w:r>
      <w:r w:rsidR="002F20DF">
        <w:t xml:space="preserve">In cases where the </w:t>
      </w:r>
      <w:r>
        <w:t>child lives outside of the U.S. or intends to leave the U.S.</w:t>
      </w:r>
    </w:p>
    <w:p w:rsidR="002D5E03" w:rsidP="002D5E03" w14:paraId="553B67F0" w14:textId="601F2CA7">
      <w:pPr>
        <w:pStyle w:val="ListParagraph"/>
        <w:numPr>
          <w:ilvl w:val="0"/>
          <w:numId w:val="11"/>
        </w:numPr>
      </w:pPr>
      <w:r w:rsidRPr="009D58A4">
        <w:rPr>
          <w:b/>
          <w:bCs/>
        </w:rPr>
        <w:t>SSA-783</w:t>
      </w:r>
      <w:r w:rsidR="00EB5C9B">
        <w:rPr>
          <w:b/>
          <w:bCs/>
        </w:rPr>
        <w:t>, OMB No.0960- 0020</w:t>
      </w:r>
      <w:r>
        <w:t xml:space="preserve"> (Statement Regarding Contributions)</w:t>
      </w:r>
      <w:r w:rsidRPr="006F5769">
        <w:t xml:space="preserve"> </w:t>
      </w:r>
      <w:r>
        <w:t xml:space="preserve">– </w:t>
      </w:r>
      <w:r w:rsidR="002F20DF">
        <w:t xml:space="preserve">In cases when the child is a step child and we need </w:t>
      </w:r>
      <w:r>
        <w:t xml:space="preserve">to determine if the stepparent is providing one-half support for </w:t>
      </w:r>
      <w:r w:rsidR="002F20DF">
        <w:t>the child.</w:t>
      </w:r>
    </w:p>
    <w:p w:rsidR="00A224F8" w:rsidP="000977CB" w14:paraId="6255E58A" w14:textId="3DC3DB3C">
      <w:pPr>
        <w:pStyle w:val="ListParagraph"/>
        <w:numPr>
          <w:ilvl w:val="0"/>
          <w:numId w:val="11"/>
        </w:numPr>
      </w:pPr>
      <w:r w:rsidRPr="009D58A4">
        <w:rPr>
          <w:b/>
          <w:bCs/>
        </w:rPr>
        <w:t>SSA</w:t>
      </w:r>
      <w:r w:rsidRPr="009D58A4" w:rsidR="00F3646A">
        <w:rPr>
          <w:b/>
          <w:bCs/>
        </w:rPr>
        <w:t>-1372-BK</w:t>
      </w:r>
      <w:r w:rsidR="00484832">
        <w:t xml:space="preserve"> or </w:t>
      </w:r>
      <w:r w:rsidRPr="009D58A4" w:rsidR="00484832">
        <w:rPr>
          <w:b/>
          <w:bCs/>
        </w:rPr>
        <w:t>SSA-1372-BK-FC</w:t>
      </w:r>
      <w:r w:rsidR="00EB5C9B">
        <w:t xml:space="preserve">, </w:t>
      </w:r>
      <w:r w:rsidRPr="00EB5C9B" w:rsidR="00EB5C9B">
        <w:rPr>
          <w:b/>
          <w:bCs/>
        </w:rPr>
        <w:t>OMB No. 0960-0778</w:t>
      </w:r>
      <w:r w:rsidR="00EB5C9B">
        <w:t xml:space="preserve"> </w:t>
      </w:r>
      <w:r w:rsidR="00F3646A">
        <w:t>(Advance Notice of Termination of Child’s Benefits)</w:t>
      </w:r>
      <w:r w:rsidR="007D3F12">
        <w:t xml:space="preserve"> </w:t>
      </w:r>
      <w:r w:rsidR="00484832">
        <w:t>–</w:t>
      </w:r>
      <w:r w:rsidR="007D3F12">
        <w:t xml:space="preserve"> </w:t>
      </w:r>
      <w:r w:rsidR="002F20DF">
        <w:t xml:space="preserve">We only collect this form when the child is age 18-19 to verify </w:t>
      </w:r>
      <w:r w:rsidR="00484832">
        <w:t xml:space="preserve">full-time </w:t>
      </w:r>
      <w:r w:rsidR="002F20DF">
        <w:t xml:space="preserve">attendance. </w:t>
      </w:r>
    </w:p>
    <w:p w:rsidR="00B77B7C" w:rsidP="000977CB" w14:paraId="36A21054" w14:textId="768E5262">
      <w:pPr>
        <w:pStyle w:val="ListParagraph"/>
        <w:numPr>
          <w:ilvl w:val="0"/>
          <w:numId w:val="11"/>
        </w:numPr>
      </w:pPr>
      <w:r w:rsidRPr="009D58A4">
        <w:rPr>
          <w:b/>
          <w:bCs/>
        </w:rPr>
        <w:t>SSA-2519</w:t>
      </w:r>
      <w:r w:rsidR="00EB5C9B">
        <w:t xml:space="preserve">, </w:t>
      </w:r>
      <w:r w:rsidRPr="00EB5C9B" w:rsidR="00EB5C9B">
        <w:rPr>
          <w:b/>
          <w:bCs/>
        </w:rPr>
        <w:t>OMB No. 0960-0116</w:t>
      </w:r>
      <w:r w:rsidR="00EB5C9B">
        <w:t xml:space="preserve"> </w:t>
      </w:r>
      <w:r>
        <w:t xml:space="preserve">(Child Relationship Statement) </w:t>
      </w:r>
      <w:r w:rsidR="00E746BA">
        <w:t>–</w:t>
      </w:r>
      <w:r>
        <w:t xml:space="preserve"> </w:t>
      </w:r>
      <w:r w:rsidR="002F20DF">
        <w:t xml:space="preserve">In situations where a parent is not listed as the parent in the child’s SSN record, we request this form to </w:t>
      </w:r>
      <w:r w:rsidR="00E746BA">
        <w:t>establish a parent-child relationship under Section 216(h)(3)</w:t>
      </w:r>
      <w:r w:rsidR="002F20DF">
        <w:t>.</w:t>
      </w:r>
    </w:p>
    <w:p w:rsidR="000E717F" w:rsidP="000977CB" w14:paraId="4C437884" w14:textId="6AEF3BDB">
      <w:pPr>
        <w:pStyle w:val="ListParagraph"/>
        <w:numPr>
          <w:ilvl w:val="0"/>
          <w:numId w:val="11"/>
        </w:numPr>
      </w:pPr>
      <w:r w:rsidRPr="009D58A4">
        <w:rPr>
          <w:b/>
          <w:bCs/>
        </w:rPr>
        <w:t>SSA-3368</w:t>
      </w:r>
      <w:r w:rsidRPr="009D58A4" w:rsidR="00190230">
        <w:rPr>
          <w:b/>
          <w:bCs/>
        </w:rPr>
        <w:t>-BK</w:t>
      </w:r>
      <w:r w:rsidR="00EB5C9B">
        <w:t xml:space="preserve">, </w:t>
      </w:r>
      <w:r w:rsidRPr="00EB5C9B" w:rsidR="00EB5C9B">
        <w:rPr>
          <w:b/>
          <w:bCs/>
        </w:rPr>
        <w:t>OMB No. 0960-0579</w:t>
      </w:r>
      <w:r w:rsidR="00EB5C9B">
        <w:t xml:space="preserve"> </w:t>
      </w:r>
      <w:r>
        <w:t>(</w:t>
      </w:r>
      <w:r w:rsidR="00BD4EF6">
        <w:t>Disability Report - Adult</w:t>
      </w:r>
      <w:r>
        <w:t>)</w:t>
      </w:r>
      <w:r w:rsidR="00BD4EF6">
        <w:t xml:space="preserve"> or electronic disability collect system (EDCS) report</w:t>
      </w:r>
      <w:r w:rsidR="00AC2C02">
        <w:t xml:space="preserve"> – </w:t>
      </w:r>
      <w:r w:rsidR="002F20DF">
        <w:t xml:space="preserve">We request this form only if </w:t>
      </w:r>
      <w:r w:rsidR="00A9423B">
        <w:t>the individual is</w:t>
      </w:r>
      <w:r w:rsidR="00AC2C02">
        <w:t xml:space="preserve"> child</w:t>
      </w:r>
      <w:r w:rsidR="00C25585">
        <w:t xml:space="preserve"> </w:t>
      </w:r>
      <w:r w:rsidR="00704459">
        <w:t>age</w:t>
      </w:r>
      <w:r w:rsidR="00E664EE">
        <w:t>d</w:t>
      </w:r>
      <w:r w:rsidR="00704459">
        <w:t xml:space="preserve"> </w:t>
      </w:r>
      <w:r w:rsidR="002710ED">
        <w:t>18 or over</w:t>
      </w:r>
      <w:r w:rsidR="00AC2C02">
        <w:t xml:space="preserve"> </w:t>
      </w:r>
      <w:r w:rsidR="00A9423B">
        <w:t xml:space="preserve">and is filing for </w:t>
      </w:r>
      <w:r w:rsidR="00AC2C02">
        <w:t>disability</w:t>
      </w:r>
      <w:r w:rsidR="00A9423B">
        <w:t xml:space="preserve">. </w:t>
      </w:r>
    </w:p>
    <w:p w:rsidR="00032FA1" w:rsidP="006B3F69" w14:paraId="10D0DBF5" w14:textId="1F016668">
      <w:r>
        <w:t xml:space="preserve">The SSA representative helping the respondent with their application tells them what other documents they may need, or the respondent can find the information on SSA’s website. </w:t>
      </w:r>
      <w:r w:rsidRPr="006B3F69">
        <w:rPr>
          <w:color w:val="004CD6"/>
        </w:rPr>
        <w:t xml:space="preserve"> </w:t>
      </w:r>
      <w:r>
        <w:t xml:space="preserve">SSA uses the information on Form SSA-4-BK to determine </w:t>
      </w:r>
      <w:r w:rsidR="00A37190">
        <w:t xml:space="preserve">eligibility </w:t>
      </w:r>
      <w:r>
        <w:t xml:space="preserve">for children of living and deceased workers to monthly Social Security payments.  </w:t>
      </w:r>
      <w:r w:rsidRPr="006B3F69">
        <w:rPr>
          <w:snapToGrid w:val="0"/>
        </w:rPr>
        <w:t>The r</w:t>
      </w:r>
      <w:r>
        <w:t xml:space="preserve">espondents are guardians completing the form on behalf of the children of living or deceased workers, or the children of living or deceased workers.  </w:t>
      </w:r>
    </w:p>
    <w:p w:rsidR="00D54C6E" w:rsidP="007721ED" w14:paraId="23EBDF2E" w14:textId="77777777">
      <w:pPr>
        <w:spacing w:before="0" w:after="0"/>
      </w:pPr>
    </w:p>
    <w:p w:rsidR="001B588D" w:rsidRPr="001B588D" w:rsidP="001B588D" w14:paraId="4E4AFCCB" w14:textId="77777777">
      <w:pPr>
        <w:spacing w:before="0" w:after="0"/>
        <w:rPr>
          <w:b/>
          <w:bCs/>
          <w:u w:val="single"/>
        </w:rPr>
      </w:pPr>
      <w:r w:rsidRPr="001B588D">
        <w:rPr>
          <w:b/>
          <w:bCs/>
          <w:u w:val="single"/>
        </w:rPr>
        <w:t>Psychological Cost #1:</w:t>
      </w:r>
    </w:p>
    <w:p w:rsidR="001B588D" w:rsidRPr="001B588D" w:rsidP="001B588D" w14:paraId="2DD0CAD8" w14:textId="2115CD98">
      <w:pPr>
        <w:numPr>
          <w:ilvl w:val="0"/>
          <w:numId w:val="9"/>
        </w:numPr>
        <w:spacing w:before="0" w:after="0"/>
        <w:rPr>
          <w:b/>
          <w:bCs/>
        </w:rPr>
      </w:pPr>
      <w:r w:rsidRPr="001B588D">
        <w:rPr>
          <w:b/>
          <w:bCs/>
        </w:rPr>
        <w:t xml:space="preserve">Requirements for Program:  </w:t>
      </w:r>
      <w:r w:rsidRPr="001B588D">
        <w:t xml:space="preserve">The applications for </w:t>
      </w:r>
      <w:r w:rsidR="00871D66">
        <w:t xml:space="preserve">Social Security </w:t>
      </w:r>
      <w:r w:rsidR="0016621E">
        <w:t xml:space="preserve">Benefits – Child’s Insurance Benefits </w:t>
      </w:r>
      <w:r w:rsidRPr="001B588D">
        <w:t xml:space="preserve">collects information from respondents and uses it to determine eligibility for payable benefits.  </w:t>
      </w:r>
    </w:p>
    <w:p w:rsidR="001B588D" w:rsidRPr="001B588D" w:rsidP="001B588D" w14:paraId="3E0284CE" w14:textId="77777777">
      <w:pPr>
        <w:spacing w:before="0" w:after="0"/>
        <w:rPr>
          <w:b/>
          <w:bCs/>
        </w:rPr>
      </w:pPr>
    </w:p>
    <w:p w:rsidR="001B588D" w:rsidRPr="001B588D" w:rsidP="00A215AF" w14:paraId="01AD9F7E" w14:textId="77777777">
      <w:pPr>
        <w:spacing w:before="0" w:after="0"/>
        <w:ind w:left="1440"/>
        <w:rPr>
          <w:b/>
          <w:bCs/>
        </w:rPr>
      </w:pPr>
      <w:r w:rsidRPr="001B588D">
        <w:rPr>
          <w:b/>
          <w:bCs/>
        </w:rPr>
        <w:t xml:space="preserve">Note:  </w:t>
      </w:r>
      <w:r w:rsidRPr="001B588D">
        <w:t xml:space="preserve">The intent of the application process is to provide a collection tool that is user friendly and provides an ease of access, while providing SSA with the </w:t>
      </w:r>
      <w:r w:rsidRPr="001B588D">
        <w:t>information needed to make determinations for benefits.  SSA uses the information collected to determine insured status and eligibility for benefit payments and may branch out to explore other possible entitlements based on the respondents’ answers.</w:t>
      </w:r>
    </w:p>
    <w:p w:rsidR="001B588D" w:rsidRPr="001B588D" w:rsidP="001B588D" w14:paraId="7CCC5147" w14:textId="77777777">
      <w:pPr>
        <w:spacing w:before="0" w:after="0"/>
        <w:rPr>
          <w:b/>
          <w:bCs/>
        </w:rPr>
      </w:pPr>
    </w:p>
    <w:p w:rsidR="001B588D" w:rsidRPr="001B588D" w:rsidP="001B588D" w14:paraId="45570CF4" w14:textId="4E445B92">
      <w:pPr>
        <w:numPr>
          <w:ilvl w:val="0"/>
          <w:numId w:val="9"/>
        </w:numPr>
        <w:spacing w:before="0" w:after="0"/>
        <w:rPr>
          <w:b/>
          <w:bCs/>
        </w:rPr>
      </w:pPr>
      <w:r w:rsidRPr="001B588D">
        <w:rPr>
          <w:b/>
          <w:bCs/>
        </w:rPr>
        <w:t xml:space="preserve">Psychological Cost:  </w:t>
      </w:r>
      <w:r w:rsidRPr="001B588D">
        <w:t xml:space="preserve">  We acknowledge that some respondents may consider these questions too personal and intrusive, causing those respondents to skip those questions or refuse to provide clear or accurate information.  This may lead to frustration and uncooperative </w:t>
      </w:r>
      <w:r w:rsidRPr="001B588D" w:rsidR="009C2123">
        <w:t>respondents and</w:t>
      </w:r>
      <w:r w:rsidRPr="001B588D">
        <w:t xml:space="preserve"> possibly cause the respondents to submit incomplete applications or abandon the application entirely.</w:t>
      </w:r>
    </w:p>
    <w:p w:rsidR="001B588D" w:rsidRPr="001B588D" w:rsidP="001B588D" w14:paraId="3798B64C" w14:textId="77777777">
      <w:pPr>
        <w:spacing w:before="0" w:after="0"/>
        <w:rPr>
          <w:b/>
          <w:bCs/>
        </w:rPr>
      </w:pPr>
    </w:p>
    <w:p w:rsidR="001B588D" w:rsidRPr="001B588D" w:rsidP="001B588D" w14:paraId="78964A49" w14:textId="01225FF4">
      <w:pPr>
        <w:spacing w:before="0" w:after="0"/>
      </w:pPr>
      <w:r w:rsidRPr="001B588D">
        <w:t xml:space="preserve">The respondents are members of the public who wish to apply for </w:t>
      </w:r>
      <w:r w:rsidR="00321115">
        <w:t>auxiliary or survivor child’s</w:t>
      </w:r>
      <w:r w:rsidRPr="001B588D">
        <w:t xml:space="preserve"> benefits</w:t>
      </w:r>
      <w:r w:rsidR="0071164A">
        <w:t xml:space="preserve">. </w:t>
      </w:r>
    </w:p>
    <w:p w:rsidR="007F20F9" w:rsidRPr="007721ED" w:rsidP="00BC24E2" w14:paraId="12E6F9BA" w14:textId="77777777">
      <w:pPr>
        <w:spacing w:before="0" w:after="0"/>
        <w:ind w:left="0"/>
      </w:pPr>
    </w:p>
    <w:p w:rsidR="00EB5C9B" w:rsidRPr="00EB5C9B" w:rsidP="00A0413C" w14:paraId="2C18183E" w14:textId="77777777">
      <w:pPr>
        <w:pStyle w:val="ListParagraph"/>
        <w:numPr>
          <w:ilvl w:val="0"/>
          <w:numId w:val="1"/>
        </w:numPr>
        <w:spacing w:before="0" w:after="0" w:line="240" w:lineRule="auto"/>
        <w:ind w:hanging="270"/>
      </w:pPr>
      <w:r w:rsidRPr="00EB5C9B">
        <w:rPr>
          <w:b/>
          <w:bCs/>
        </w:rPr>
        <w:t>Use of Information Technology to Collect the Information</w:t>
      </w:r>
    </w:p>
    <w:p w:rsidR="00875896" w:rsidP="00EB5C9B" w14:paraId="1A95F0A9" w14:textId="69639355">
      <w:pPr>
        <w:pStyle w:val="ListParagraph"/>
        <w:spacing w:before="0" w:after="0" w:line="240" w:lineRule="auto"/>
      </w:pPr>
      <w:r w:rsidRPr="00D934BD">
        <w:t xml:space="preserve">SSA created a </w:t>
      </w:r>
      <w:r w:rsidR="0071164A">
        <w:t xml:space="preserve">fillable and </w:t>
      </w:r>
      <w:r w:rsidRPr="00D934BD">
        <w:t>printable PDF version of Form SSA-</w:t>
      </w:r>
      <w:r>
        <w:t>4</w:t>
      </w:r>
      <w:r w:rsidRPr="00D934BD">
        <w:t>-BK, which is available on our website.  SSA also collects the information on the paper Form SSA-</w:t>
      </w:r>
      <w:r>
        <w:t>4</w:t>
      </w:r>
      <w:r w:rsidRPr="00D934BD">
        <w:t>-BK and electronically using MCS.  In accordance with the agency’s Government Paperwork Elimination Act plan, SSA created an electronic version of form SSA-</w:t>
      </w:r>
      <w:r>
        <w:t>4</w:t>
      </w:r>
      <w:r w:rsidRPr="00D934BD">
        <w:t>-BK through MCS.  Based on our data, we estimate approximately 9</w:t>
      </w:r>
      <w:r>
        <w:t>9</w:t>
      </w:r>
      <w:r w:rsidRPr="00D934BD">
        <w:t>% of respondents under this OMB number use the electronic version.</w:t>
      </w:r>
    </w:p>
    <w:p w:rsidR="00B96A43" w:rsidP="00333033" w14:paraId="77969320" w14:textId="77777777"/>
    <w:p w:rsidR="00B96A43" w:rsidRPr="007F20F9" w:rsidP="00B96A43" w14:paraId="3346747B" w14:textId="77777777">
      <w:pPr>
        <w:spacing w:before="0" w:after="0"/>
        <w:rPr>
          <w:b/>
          <w:u w:val="single"/>
        </w:rPr>
      </w:pPr>
      <w:r w:rsidRPr="007F20F9">
        <w:rPr>
          <w:b/>
          <w:u w:val="single"/>
        </w:rPr>
        <w:t>Paper Application Form:</w:t>
      </w:r>
    </w:p>
    <w:p w:rsidR="00B96A43" w:rsidRPr="007721ED" w:rsidP="00B96A43" w14:paraId="30EF66FB" w14:textId="77777777">
      <w:pPr>
        <w:spacing w:before="0" w:after="0"/>
        <w:rPr>
          <w:u w:val="single"/>
        </w:rPr>
      </w:pPr>
      <w:r w:rsidRPr="001B5366">
        <w:t>Form SSA-4-BK</w:t>
      </w:r>
      <w:r w:rsidRPr="007F20F9">
        <w:t xml:space="preserve"> </w:t>
      </w:r>
      <w:r>
        <w:t>is the “</w:t>
      </w:r>
      <w:r w:rsidRPr="007F20F9">
        <w:t>Application for Social Security Benefits Child’s Insurance Benefits</w:t>
      </w:r>
      <w:r>
        <w:t>” we use</w:t>
      </w:r>
      <w:r w:rsidRPr="007F20F9">
        <w:t xml:space="preserve"> to determine </w:t>
      </w:r>
      <w:r>
        <w:t xml:space="preserve">an </w:t>
      </w:r>
      <w:r w:rsidRPr="007F20F9">
        <w:t xml:space="preserve">individual </w:t>
      </w:r>
      <w:r>
        <w:t xml:space="preserve">eligibility </w:t>
      </w:r>
      <w:r w:rsidRPr="007F20F9">
        <w:t>to child’s insurance benefits.</w:t>
      </w:r>
      <w:r w:rsidRPr="007721ED">
        <w:t xml:space="preserve"> </w:t>
      </w:r>
    </w:p>
    <w:p w:rsidR="00B96A43" w:rsidRPr="00587EE0" w:rsidP="00B96A43" w14:paraId="6B4E6BEB" w14:textId="1831551E">
      <w:pPr>
        <w:spacing w:before="0" w:after="0"/>
        <w:rPr>
          <w:iCs/>
        </w:rPr>
      </w:pPr>
      <w:r>
        <w:t xml:space="preserve">Although </w:t>
      </w:r>
      <w:r w:rsidRPr="00587EE0">
        <w:t>SSA no longer prints and delivers paper copies of the SSA-</w:t>
      </w:r>
      <w:r>
        <w:t>4</w:t>
      </w:r>
      <w:r w:rsidRPr="00587EE0">
        <w:t xml:space="preserve"> form to field offices</w:t>
      </w:r>
      <w:r>
        <w:t xml:space="preserve">, the form is available </w:t>
      </w:r>
      <w:r w:rsidRPr="00587EE0">
        <w:t xml:space="preserve">on our </w:t>
      </w:r>
      <w:r>
        <w:t xml:space="preserve">intranet and internet </w:t>
      </w:r>
      <w:r w:rsidRPr="00587EE0">
        <w:t>website</w:t>
      </w:r>
      <w:r w:rsidR="003544A9">
        <w:t xml:space="preserve">.  </w:t>
      </w:r>
      <w:r>
        <w:t>Responders</w:t>
      </w:r>
      <w:r w:rsidRPr="00587EE0">
        <w:rPr>
          <w:iCs/>
        </w:rPr>
        <w:t xml:space="preserve"> can submit the fillable</w:t>
      </w:r>
      <w:r>
        <w:rPr>
          <w:iCs/>
        </w:rPr>
        <w:t xml:space="preserve"> pdf form </w:t>
      </w:r>
      <w:r w:rsidRPr="00587EE0">
        <w:rPr>
          <w:iCs/>
        </w:rPr>
        <w:t xml:space="preserve">through our Upload Documents portal (OMB No. 0960-0830).  The fillable </w:t>
      </w:r>
      <w:r>
        <w:rPr>
          <w:iCs/>
        </w:rPr>
        <w:t xml:space="preserve">pdf </w:t>
      </w:r>
      <w:r w:rsidRPr="00587EE0">
        <w:rPr>
          <w:iCs/>
        </w:rPr>
        <w:t>for</w:t>
      </w:r>
      <w:r>
        <w:rPr>
          <w:iCs/>
        </w:rPr>
        <w:t>m is</w:t>
      </w:r>
      <w:r w:rsidRPr="00587EE0">
        <w:rPr>
          <w:iCs/>
        </w:rPr>
        <w:t xml:space="preserve"> a mirrored version of the paper form.  In situations where individuals submit a paper application either by mail or Upload Documents, an SSA technician reviews the information, manually enters the information into MCS, and determines what additional development is needed to pay benefits.  This modality often requires additional contact with the </w:t>
      </w:r>
      <w:r>
        <w:rPr>
          <w:iCs/>
        </w:rPr>
        <w:t>applicant to</w:t>
      </w:r>
      <w:r w:rsidRPr="00587EE0">
        <w:rPr>
          <w:iCs/>
        </w:rPr>
        <w:t xml:space="preserve"> either clarify information or request additional information based on the provided </w:t>
      </w:r>
      <w:r>
        <w:rPr>
          <w:iCs/>
        </w:rPr>
        <w:t>answers</w:t>
      </w:r>
      <w:r w:rsidRPr="00587EE0">
        <w:rPr>
          <w:iCs/>
        </w:rPr>
        <w:t xml:space="preserve">. </w:t>
      </w:r>
    </w:p>
    <w:p w:rsidR="00B96A43" w:rsidRPr="007721ED" w:rsidP="00B96A43" w14:paraId="3A8F142D" w14:textId="77777777">
      <w:pPr>
        <w:spacing w:before="0" w:after="0"/>
      </w:pPr>
    </w:p>
    <w:p w:rsidR="00B96A43" w:rsidRPr="007F20F9" w:rsidP="00B96A43" w14:paraId="1E05DB4A" w14:textId="77777777">
      <w:pPr>
        <w:spacing w:before="0" w:after="0"/>
      </w:pPr>
      <w:r w:rsidRPr="007F20F9">
        <w:rPr>
          <w:b/>
          <w:u w:val="single"/>
        </w:rPr>
        <w:t>Interview</w:t>
      </w:r>
      <w:r>
        <w:rPr>
          <w:b/>
          <w:u w:val="single"/>
        </w:rPr>
        <w:t xml:space="preserve"> In-person or Phone</w:t>
      </w:r>
      <w:r w:rsidRPr="007F20F9">
        <w:rPr>
          <w:b/>
          <w:u w:val="single"/>
        </w:rPr>
        <w:t>:</w:t>
      </w:r>
    </w:p>
    <w:p w:rsidR="00B96A43" w:rsidP="00B96A43" w14:paraId="61BA70A9" w14:textId="77777777">
      <w:pPr>
        <w:spacing w:before="0" w:after="0"/>
      </w:pPr>
      <w:r w:rsidRPr="007F20F9">
        <w:t xml:space="preserve">MCS mirrors the child’s paper application formats using an electronic collection method.  Guided by the MCS collection screens, an SSA technician interviews the applicant either by phone or in person and inputs the information directly into </w:t>
      </w:r>
      <w:r>
        <w:t xml:space="preserve">the MCS </w:t>
      </w:r>
      <w:r w:rsidRPr="007F20F9">
        <w:t xml:space="preserve">application </w:t>
      </w:r>
      <w:r>
        <w:t>system</w:t>
      </w:r>
      <w:r w:rsidRPr="007F20F9">
        <w:t xml:space="preserve">.  MCS prompts the technician with the required questions based on the type of </w:t>
      </w:r>
      <w:r>
        <w:t>benefit</w:t>
      </w:r>
      <w:r w:rsidRPr="007F20F9">
        <w:t xml:space="preserve"> the applicant </w:t>
      </w:r>
      <w:r>
        <w:t xml:space="preserve">is </w:t>
      </w:r>
      <w:r>
        <w:t>applying</w:t>
      </w:r>
      <w:r w:rsidRPr="007F20F9">
        <w:t>, and the applicant’s initial responses.  MCS prints an application summary for the claimant to review and sign by either verbal attestation or wet signature.  In contrast to the paper application, the interview via MCS offers the following advantages: 1) it improves accuracy in recording responses, 2) it reduces the overall interview time, and 3) it reduces the number of times we have to re-contact applicants to clarify responses.</w:t>
      </w:r>
    </w:p>
    <w:p w:rsidR="00EA689C" w:rsidP="00EA689C" w14:paraId="58ED34C3" w14:textId="797E52D1">
      <w:pPr>
        <w:pStyle w:val="ListParagraph"/>
        <w:rPr>
          <w:rFonts w:eastAsia="Arial"/>
          <w:color w:val="000000"/>
        </w:rPr>
      </w:pPr>
      <w:r w:rsidRPr="007C36BA">
        <w:rPr>
          <w:iCs/>
        </w:rPr>
        <w:t xml:space="preserve">This collection has a public-facing fillable and submittable </w:t>
      </w:r>
      <w:r>
        <w:rPr>
          <w:iCs/>
        </w:rPr>
        <w:t>version which the respondent can submit using SSA’s Upload Documents Portal (OMB No. 0960</w:t>
      </w:r>
      <w:r>
        <w:rPr>
          <w:iCs/>
        </w:rPr>
        <w:noBreakHyphen/>
        <w:t>0830)</w:t>
      </w:r>
      <w:r w:rsidRPr="007C36BA">
        <w:rPr>
          <w:color w:val="000000"/>
        </w:rPr>
        <w:t xml:space="preserve">.  </w:t>
      </w:r>
      <w:r>
        <w:rPr>
          <w:color w:val="000000"/>
        </w:rPr>
        <w:t xml:space="preserve">Upload Documents allows the respondent to complete the fillable PDF, </w:t>
      </w:r>
      <w:r w:rsidRPr="00EA689C">
        <w:t>electronically sign it</w:t>
      </w:r>
      <w:r>
        <w:rPr>
          <w:color w:val="000000"/>
        </w:rPr>
        <w:t>, and submit the information through the Upload Documents Portal.  The</w:t>
      </w:r>
      <w:r w:rsidRPr="007C36BA">
        <w:rPr>
          <w:color w:val="000000"/>
        </w:rPr>
        <w:t xml:space="preserve"> </w:t>
      </w:r>
      <w:r>
        <w:rPr>
          <w:color w:val="000000"/>
        </w:rPr>
        <w:t>submittable version</w:t>
      </w:r>
      <w:r w:rsidRPr="007C36BA">
        <w:rPr>
          <w:color w:val="000000"/>
        </w:rPr>
        <w:t xml:space="preserve"> mirrors the paper version and provides respondents with an online service option as an alternative to mailing</w:t>
      </w:r>
      <w:r>
        <w:rPr>
          <w:color w:val="000000"/>
        </w:rPr>
        <w:t>,</w:t>
      </w:r>
      <w:r w:rsidRPr="007C36BA">
        <w:rPr>
          <w:color w:val="000000"/>
        </w:rPr>
        <w:t xml:space="preserve"> faxing</w:t>
      </w:r>
      <w:r>
        <w:rPr>
          <w:color w:val="000000"/>
        </w:rPr>
        <w:t>, or bringing</w:t>
      </w:r>
      <w:r w:rsidRPr="007C36BA">
        <w:rPr>
          <w:color w:val="000000"/>
        </w:rPr>
        <w:t xml:space="preserve"> the form </w:t>
      </w:r>
      <w:r>
        <w:rPr>
          <w:color w:val="000000"/>
        </w:rPr>
        <w:t>to an SSA field office</w:t>
      </w:r>
      <w:r w:rsidRPr="007C36BA">
        <w:rPr>
          <w:color w:val="000000"/>
        </w:rPr>
        <w:t xml:space="preserve">. </w:t>
      </w:r>
      <w:r>
        <w:rPr>
          <w:color w:val="000000"/>
        </w:rPr>
        <w:t xml:space="preserve"> </w:t>
      </w:r>
      <w:r w:rsidRPr="007C36BA">
        <w:rPr>
          <w:color w:val="000000"/>
        </w:rPr>
        <w:t>Use of th</w:t>
      </w:r>
      <w:r>
        <w:rPr>
          <w:color w:val="000000"/>
        </w:rPr>
        <w:t xml:space="preserve">e Upload Documents Portal </w:t>
      </w:r>
      <w:r w:rsidRPr="007C36BA">
        <w:rPr>
          <w:color w:val="000000"/>
        </w:rPr>
        <w:t xml:space="preserve">does not </w:t>
      </w:r>
      <w:r>
        <w:rPr>
          <w:color w:val="000000"/>
        </w:rPr>
        <w:t>require respondents</w:t>
      </w:r>
      <w:r w:rsidRPr="007C36BA">
        <w:rPr>
          <w:color w:val="000000"/>
        </w:rPr>
        <w:t xml:space="preserve"> to download and install the application locally on their device or pay any subscription or licensing fees</w:t>
      </w:r>
      <w:r>
        <w:rPr>
          <w:color w:val="000000"/>
        </w:rPr>
        <w:t>, and we account for the burden for using Upload Documents under OMB No. 0960-0830</w:t>
      </w:r>
      <w:r w:rsidRPr="007C36BA">
        <w:rPr>
          <w:color w:val="000000"/>
        </w:rPr>
        <w:t xml:space="preserve">.  </w:t>
      </w:r>
    </w:p>
    <w:p w:rsidR="00EA689C" w:rsidP="00EA689C" w14:paraId="1F0E00A6" w14:textId="77777777">
      <w:pPr>
        <w:pStyle w:val="ListParagraph"/>
        <w:rPr>
          <w:rFonts w:eastAsia="Arial"/>
          <w:color w:val="000000"/>
        </w:rPr>
      </w:pPr>
    </w:p>
    <w:p w:rsidR="00075EC0" w:rsidRPr="00333033" w:rsidP="00333033" w14:paraId="053E3D18" w14:textId="77777777">
      <w:pPr>
        <w:pStyle w:val="ListParagraph"/>
        <w:numPr>
          <w:ilvl w:val="0"/>
          <w:numId w:val="1"/>
        </w:numPr>
        <w:ind w:hanging="270"/>
        <w:rPr>
          <w:b/>
          <w:bCs/>
        </w:rPr>
      </w:pPr>
      <w:r w:rsidRPr="00333033">
        <w:rPr>
          <w:b/>
          <w:bCs/>
        </w:rPr>
        <w:t>Why We Cannot Use Duplicate Information</w:t>
      </w:r>
    </w:p>
    <w:p w:rsidR="00EA689C" w:rsidRPr="00EA689C" w:rsidP="00EA689C" w14:paraId="6E0F89AF" w14:textId="77777777">
      <w:pPr>
        <w:pStyle w:val="ListParagraph"/>
        <w:rPr>
          <w:iCs/>
        </w:rPr>
      </w:pPr>
      <w:r w:rsidRPr="00EA689C">
        <w:rPr>
          <w:iCs/>
        </w:rPr>
        <w:t xml:space="preserve">The nature of the information we collect and the manner in which we collect it precludes duplication.  SSA does not use another collection instrument to obtain similar data.  </w:t>
      </w:r>
    </w:p>
    <w:p w:rsidR="00EA689C" w:rsidRPr="00EA689C" w:rsidP="00EA689C" w14:paraId="17E7D4CF" w14:textId="77777777">
      <w:pPr>
        <w:pStyle w:val="ListParagraph"/>
        <w:rPr>
          <w:iCs/>
        </w:rPr>
      </w:pPr>
    </w:p>
    <w:p w:rsidR="00075EC0" w:rsidRPr="00333033" w:rsidP="00EA689C" w14:paraId="4ACD86C9" w14:textId="77777777">
      <w:pPr>
        <w:pStyle w:val="ListParagraph"/>
        <w:numPr>
          <w:ilvl w:val="0"/>
          <w:numId w:val="3"/>
        </w:numPr>
        <w:tabs>
          <w:tab w:val="clear" w:pos="360"/>
          <w:tab w:val="num" w:pos="810"/>
        </w:tabs>
        <w:spacing w:before="0" w:after="0" w:line="240" w:lineRule="auto"/>
        <w:ind w:left="720" w:hanging="270"/>
        <w:rPr>
          <w:b/>
          <w:bCs/>
        </w:rPr>
      </w:pPr>
      <w:r w:rsidRPr="00333033">
        <w:rPr>
          <w:b/>
          <w:bCs/>
        </w:rPr>
        <w:t>Minimizing Burden on Small Respondents</w:t>
      </w:r>
    </w:p>
    <w:p w:rsidR="00075EC0" w:rsidP="00EA689C" w14:paraId="49B8A775" w14:textId="77777777">
      <w:pPr>
        <w:spacing w:before="0" w:after="0" w:line="240" w:lineRule="auto"/>
      </w:pPr>
      <w:r w:rsidRPr="00075EC0">
        <w:t xml:space="preserve">This collection does not affect small businesses or other small entities. </w:t>
      </w:r>
    </w:p>
    <w:p w:rsidR="00EA689C" w:rsidRPr="00075EC0" w:rsidP="00EA689C" w14:paraId="72985B0E" w14:textId="77777777">
      <w:pPr>
        <w:spacing w:before="0" w:after="0" w:line="240" w:lineRule="auto"/>
      </w:pPr>
    </w:p>
    <w:p w:rsidR="00075EC0" w:rsidRPr="00333033" w:rsidP="00EA689C" w14:paraId="47574ABC" w14:textId="77777777">
      <w:pPr>
        <w:spacing w:before="0" w:after="0" w:line="240" w:lineRule="auto"/>
        <w:ind w:left="90" w:firstLine="360"/>
        <w:rPr>
          <w:b/>
          <w:bCs/>
        </w:rPr>
      </w:pPr>
      <w:r w:rsidRPr="00333033">
        <w:rPr>
          <w:b/>
          <w:bCs/>
        </w:rPr>
        <w:t>6.</w:t>
      </w:r>
      <w:r w:rsidRPr="00333033">
        <w:rPr>
          <w:b/>
          <w:bCs/>
        </w:rPr>
        <w:tab/>
        <w:t xml:space="preserve">Consequence of Not Collecting Information or Collecting it Less Frequently </w:t>
      </w:r>
    </w:p>
    <w:p w:rsidR="00075EC0" w:rsidP="00EA689C" w14:paraId="7ADADF84" w14:textId="615B20B7">
      <w:pPr>
        <w:spacing w:before="0" w:after="0" w:line="240" w:lineRule="auto"/>
      </w:pPr>
      <w:r w:rsidRPr="00075EC0">
        <w:t xml:space="preserve">If we did not use Form SSA-4-BK, </w:t>
      </w:r>
      <w:r w:rsidR="00D74134">
        <w:t xml:space="preserve">the public would have no way to apply for </w:t>
      </w:r>
      <w:r w:rsidR="00D74134">
        <w:t>child’s</w:t>
      </w:r>
      <w:r w:rsidR="00D74134">
        <w:t xml:space="preserve"> insurance benefits for children of l</w:t>
      </w:r>
      <w:r w:rsidRPr="00075EC0">
        <w:t>iving and deceased workers.  Because we collect this information on an as needed basis, we cannot collect it less frequently.</w:t>
      </w:r>
      <w:r w:rsidR="00285507">
        <w:t xml:space="preserve">  </w:t>
      </w:r>
      <w:r w:rsidRPr="00075EC0">
        <w:t>There are no technical or legal obstacles to burden reduction.</w:t>
      </w:r>
    </w:p>
    <w:p w:rsidR="00EA689C" w:rsidRPr="00075EC0" w:rsidP="00EA689C" w14:paraId="2144ACBC" w14:textId="77777777">
      <w:pPr>
        <w:spacing w:before="0" w:after="0" w:line="240" w:lineRule="auto"/>
      </w:pPr>
    </w:p>
    <w:p w:rsidR="00075EC0" w:rsidRPr="00333033" w:rsidP="00EA689C" w14:paraId="40921601" w14:textId="77777777">
      <w:pPr>
        <w:spacing w:before="0" w:after="0" w:line="240" w:lineRule="auto"/>
        <w:ind w:left="0" w:firstLine="450"/>
        <w:rPr>
          <w:b/>
          <w:bCs/>
        </w:rPr>
      </w:pPr>
      <w:r w:rsidRPr="00333033">
        <w:rPr>
          <w:b/>
          <w:bCs/>
        </w:rPr>
        <w:t>7.</w:t>
      </w:r>
      <w:r w:rsidRPr="00333033">
        <w:rPr>
          <w:b/>
          <w:bCs/>
        </w:rPr>
        <w:tab/>
        <w:t xml:space="preserve">Special Circumstances </w:t>
      </w:r>
    </w:p>
    <w:p w:rsidR="00075EC0" w:rsidP="00EA689C" w14:paraId="3F62F4D6" w14:textId="77777777">
      <w:pPr>
        <w:spacing w:before="0" w:after="0" w:line="240" w:lineRule="auto"/>
      </w:pPr>
      <w:r w:rsidRPr="00075EC0">
        <w:t xml:space="preserve">There are no special circumstances that would cause SSA to conduct this information collection in a manner inconsistent with </w:t>
      </w:r>
      <w:r w:rsidRPr="00245829">
        <w:rPr>
          <w:i/>
        </w:rPr>
        <w:t>5 CFR 1320.5</w:t>
      </w:r>
      <w:r w:rsidRPr="00075EC0">
        <w:t>.</w:t>
      </w:r>
    </w:p>
    <w:p w:rsidR="00EA689C" w:rsidRPr="00075EC0" w:rsidP="00EA689C" w14:paraId="3995082C" w14:textId="77777777">
      <w:pPr>
        <w:spacing w:before="0" w:after="0" w:line="240" w:lineRule="auto"/>
      </w:pPr>
    </w:p>
    <w:p w:rsidR="00075EC0" w:rsidP="00EA689C" w14:paraId="04A4D35F" w14:textId="77777777">
      <w:pPr>
        <w:pStyle w:val="ListParagraph"/>
        <w:numPr>
          <w:ilvl w:val="0"/>
          <w:numId w:val="4"/>
        </w:numPr>
        <w:spacing w:before="0" w:after="0" w:line="240" w:lineRule="auto"/>
        <w:ind w:hanging="270"/>
        <w:contextualSpacing w:val="0"/>
        <w:rPr>
          <w:b/>
          <w:bCs/>
        </w:rPr>
      </w:pPr>
      <w:r w:rsidRPr="00333033">
        <w:rPr>
          <w:b/>
          <w:bCs/>
        </w:rPr>
        <w:t xml:space="preserve">Solicitation of Public Comment and Other Consultations with the Public </w:t>
      </w:r>
    </w:p>
    <w:p w:rsidR="00EA689C" w:rsidP="00EA689C" w14:paraId="3991C074" w14:textId="0F20506F">
      <w:pPr>
        <w:pStyle w:val="ListParagraph"/>
        <w:spacing w:before="0" w:after="0" w:line="240" w:lineRule="auto"/>
      </w:pPr>
      <w:r w:rsidRPr="000C0A45">
        <w:t xml:space="preserve">The 60-day advance Federal Register Notice published on </w:t>
      </w:r>
      <w:r>
        <w:t xml:space="preserve">September 3, </w:t>
      </w:r>
      <w:r>
        <w:t>2025</w:t>
      </w:r>
      <w:r>
        <w:t xml:space="preserve"> </w:t>
      </w:r>
      <w:r w:rsidRPr="000C0A45">
        <w:t xml:space="preserve">at </w:t>
      </w:r>
    </w:p>
    <w:p w:rsidR="00EA689C" w:rsidP="00EA689C" w14:paraId="2790FBE8" w14:textId="6C571AAD">
      <w:pPr>
        <w:pStyle w:val="ListParagraph"/>
        <w:spacing w:before="0" w:after="0" w:line="240" w:lineRule="auto"/>
      </w:pPr>
      <w:r>
        <w:t>90 FR 42</w:t>
      </w:r>
      <w:r>
        <w:t>667</w:t>
      </w:r>
      <w:r w:rsidRPr="000C0A45">
        <w:t xml:space="preserve">, and we received no public comments.  SSA published the second Notice on </w:t>
      </w:r>
      <w:r>
        <w:t xml:space="preserve">March 23, </w:t>
      </w:r>
      <w:r w:rsidR="008A127B">
        <w:t>2026,</w:t>
      </w:r>
      <w:r>
        <w:t xml:space="preserve"> </w:t>
      </w:r>
      <w:r w:rsidRPr="000C0A45">
        <w:t xml:space="preserve">at </w:t>
      </w:r>
      <w:r>
        <w:t>9</w:t>
      </w:r>
      <w:r>
        <w:t>1</w:t>
      </w:r>
      <w:r w:rsidRPr="000C0A45">
        <w:t xml:space="preserve"> FR </w:t>
      </w:r>
      <w:r>
        <w:t>13915</w:t>
      </w:r>
      <w:r w:rsidRPr="000C0A45">
        <w:t xml:space="preserve">.  </w:t>
      </w:r>
      <w:r w:rsidRPr="00CE00A6">
        <w:rPr>
          <w:noProof/>
          <w:lang w:eastAsia="zh-CN" w:bidi="en-US"/>
        </w:rPr>
        <w:t>If we receive any comments in response to this Notice, we will forward them to OMB</w:t>
      </w:r>
      <w:r w:rsidRPr="00CE00A6">
        <w:t>.</w:t>
      </w:r>
    </w:p>
    <w:p w:rsidR="00EA689C" w:rsidRPr="00CE00A6" w:rsidP="00EA689C" w14:paraId="7F702A08" w14:textId="77777777">
      <w:pPr>
        <w:pStyle w:val="ListParagraph"/>
        <w:spacing w:before="0" w:after="0" w:line="240" w:lineRule="auto"/>
      </w:pPr>
    </w:p>
    <w:p w:rsidR="00075EC0" w:rsidRPr="00333033" w:rsidP="00EA689C" w14:paraId="6018CFD7" w14:textId="77777777">
      <w:pPr>
        <w:pStyle w:val="ListParagraph"/>
        <w:numPr>
          <w:ilvl w:val="0"/>
          <w:numId w:val="4"/>
        </w:numPr>
        <w:spacing w:before="0" w:after="0" w:line="240" w:lineRule="auto"/>
        <w:ind w:hanging="270"/>
        <w:rPr>
          <w:b/>
          <w:bCs/>
        </w:rPr>
      </w:pPr>
      <w:r w:rsidRPr="00333033">
        <w:rPr>
          <w:b/>
          <w:bCs/>
        </w:rPr>
        <w:t>Payment or Gifts to Respondents</w:t>
      </w:r>
    </w:p>
    <w:p w:rsidR="00075EC0" w:rsidP="00EA689C" w14:paraId="32EA4805" w14:textId="77777777">
      <w:pPr>
        <w:spacing w:before="0" w:after="0" w:line="240" w:lineRule="auto"/>
        <w:rPr>
          <w:i/>
        </w:rPr>
      </w:pPr>
      <w:r w:rsidRPr="00075EC0">
        <w:t>SSA does not provide payments or gifts to the respondents</w:t>
      </w:r>
      <w:r w:rsidRPr="00075EC0">
        <w:rPr>
          <w:i/>
        </w:rPr>
        <w:t xml:space="preserve">. </w:t>
      </w:r>
    </w:p>
    <w:p w:rsidR="00EA689C" w:rsidP="00EA689C" w14:paraId="33F5D8B5" w14:textId="77777777">
      <w:pPr>
        <w:spacing w:before="0" w:after="0" w:line="240" w:lineRule="auto"/>
        <w:rPr>
          <w:i/>
        </w:rPr>
      </w:pPr>
    </w:p>
    <w:p w:rsidR="00EA689C" w:rsidP="00EA689C" w14:paraId="5A4BFAD7" w14:textId="77777777">
      <w:pPr>
        <w:spacing w:before="0" w:after="0" w:line="240" w:lineRule="auto"/>
        <w:rPr>
          <w:i/>
        </w:rPr>
      </w:pPr>
    </w:p>
    <w:p w:rsidR="00EA689C" w:rsidRPr="00075EC0" w:rsidP="00EA689C" w14:paraId="308E72B9" w14:textId="77777777">
      <w:pPr>
        <w:spacing w:before="0" w:after="0" w:line="240" w:lineRule="auto"/>
        <w:rPr>
          <w:i/>
        </w:rPr>
      </w:pPr>
    </w:p>
    <w:p w:rsidR="008A127B" w:rsidRPr="008A127B" w:rsidP="00F73B0A" w14:paraId="09818465" w14:textId="77777777">
      <w:pPr>
        <w:pStyle w:val="ListParagraph"/>
        <w:numPr>
          <w:ilvl w:val="0"/>
          <w:numId w:val="4"/>
        </w:numPr>
        <w:spacing w:before="0" w:after="0" w:line="240" w:lineRule="auto"/>
        <w:ind w:hanging="360"/>
      </w:pPr>
      <w:r w:rsidRPr="008A127B">
        <w:rPr>
          <w:b/>
          <w:bCs/>
        </w:rPr>
        <w:t>Assurances of Confidentiality</w:t>
      </w:r>
    </w:p>
    <w:p w:rsidR="00075EC0" w:rsidRPr="008A127B" w:rsidP="008A127B" w14:paraId="0D4C7CA5" w14:textId="67D24A83">
      <w:pPr>
        <w:pStyle w:val="ListParagraph"/>
        <w:spacing w:before="0" w:after="0" w:line="240" w:lineRule="auto"/>
      </w:pPr>
      <w:r w:rsidRPr="008A127B">
        <w:t xml:space="preserve">SSA protects and holds confidential the information it collects in accordance with </w:t>
      </w:r>
      <w:r w:rsidRPr="008A127B">
        <w:rPr>
          <w:i/>
        </w:rPr>
        <w:t>42</w:t>
      </w:r>
      <w:r w:rsidRPr="008A127B" w:rsidR="00285507">
        <w:rPr>
          <w:i/>
        </w:rPr>
        <w:t> </w:t>
      </w:r>
      <w:r w:rsidRPr="008A127B">
        <w:rPr>
          <w:i/>
        </w:rPr>
        <w:t>U.S.C. 1306, 20 CFR 401</w:t>
      </w:r>
      <w:r w:rsidRPr="008A127B">
        <w:t xml:space="preserve"> and </w:t>
      </w:r>
      <w:r w:rsidRPr="008A127B">
        <w:rPr>
          <w:i/>
        </w:rPr>
        <w:t>402, 5 U.S.C. 552</w:t>
      </w:r>
      <w:r w:rsidRPr="008A127B">
        <w:t xml:space="preserve"> (Freedom of Information Act), </w:t>
      </w:r>
      <w:r w:rsidRPr="008A127B">
        <w:rPr>
          <w:i/>
        </w:rPr>
        <w:t>5</w:t>
      </w:r>
      <w:r w:rsidRPr="008A127B" w:rsidR="00245829">
        <w:rPr>
          <w:i/>
        </w:rPr>
        <w:t> </w:t>
      </w:r>
      <w:r w:rsidRPr="008A127B">
        <w:rPr>
          <w:i/>
        </w:rPr>
        <w:t>U.S.C. 552a</w:t>
      </w:r>
      <w:r w:rsidRPr="008A127B">
        <w:t xml:space="preserve"> (Privacy Act of 1974), and OMB Circular No. A-130.</w:t>
      </w:r>
    </w:p>
    <w:p w:rsidR="008A127B" w:rsidRPr="008A127B" w:rsidP="008A127B" w14:paraId="287A3563" w14:textId="77777777">
      <w:pPr>
        <w:pStyle w:val="ListParagraph"/>
        <w:spacing w:before="0" w:after="0" w:line="240" w:lineRule="auto"/>
      </w:pPr>
    </w:p>
    <w:p w:rsidR="00075EC0" w:rsidRPr="00333033" w:rsidP="008A127B" w14:paraId="71BC3834" w14:textId="77777777">
      <w:pPr>
        <w:pStyle w:val="ListParagraph"/>
        <w:numPr>
          <w:ilvl w:val="0"/>
          <w:numId w:val="4"/>
        </w:numPr>
        <w:spacing w:before="0" w:after="0" w:line="240" w:lineRule="auto"/>
        <w:ind w:hanging="360"/>
        <w:rPr>
          <w:b/>
          <w:bCs/>
        </w:rPr>
      </w:pPr>
      <w:r w:rsidRPr="00333033">
        <w:rPr>
          <w:b/>
          <w:bCs/>
        </w:rPr>
        <w:t>Justification for Sensitive Questions</w:t>
      </w:r>
    </w:p>
    <w:p w:rsidR="00C27717" w:rsidP="008A127B" w14:paraId="168E4AC4" w14:textId="0DA342ED">
      <w:pPr>
        <w:spacing w:before="0" w:after="0" w:line="240" w:lineRule="auto"/>
      </w:pPr>
      <w:r w:rsidRPr="00075EC0">
        <w:t>The information collection does not contain any questions of a sensitive nature.</w:t>
      </w:r>
    </w:p>
    <w:p w:rsidR="008A127B" w:rsidP="008A127B" w14:paraId="52CF3E0E" w14:textId="77777777">
      <w:pPr>
        <w:spacing w:before="0" w:after="0" w:line="240" w:lineRule="auto"/>
        <w:rPr>
          <w:b/>
        </w:rPr>
      </w:pPr>
    </w:p>
    <w:p w:rsidR="002136E7" w:rsidP="00F757FA" w14:paraId="4A94DE12" w14:textId="353FB4C4">
      <w:pPr>
        <w:pStyle w:val="ListParagraph"/>
        <w:numPr>
          <w:ilvl w:val="0"/>
          <w:numId w:val="4"/>
        </w:numPr>
        <w:ind w:hanging="360"/>
        <w:rPr>
          <w:b/>
          <w:bCs/>
        </w:rPr>
      </w:pPr>
      <w:r w:rsidRPr="00333033">
        <w:rPr>
          <w:b/>
          <w:bCs/>
        </w:rPr>
        <w:t>Estimates of Public Reporting Burden</w:t>
      </w:r>
    </w:p>
    <w:tbl>
      <w:tblPr>
        <w:tblW w:w="11448" w:type="dxa"/>
        <w:tblInd w:w="-1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4"/>
        <w:gridCol w:w="1523"/>
        <w:gridCol w:w="1310"/>
        <w:gridCol w:w="1190"/>
        <w:gridCol w:w="1256"/>
        <w:gridCol w:w="1389"/>
        <w:gridCol w:w="1550"/>
        <w:gridCol w:w="1776"/>
      </w:tblGrid>
      <w:tr w14:paraId="5C5BFB82" w14:textId="77777777" w:rsidTr="00617CB2">
        <w:tblPrEx>
          <w:tblW w:w="11448" w:type="dxa"/>
          <w:tblInd w:w="-1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454" w:type="dxa"/>
            <w:tcBorders>
              <w:top w:val="single" w:sz="4" w:space="0" w:color="auto"/>
              <w:left w:val="single" w:sz="4" w:space="0" w:color="auto"/>
              <w:bottom w:val="single" w:sz="4" w:space="0" w:color="auto"/>
              <w:right w:val="single" w:sz="4" w:space="0" w:color="auto"/>
            </w:tcBorders>
            <w:hideMark/>
          </w:tcPr>
          <w:p w:rsidR="00617CB2" w:rsidRPr="00617CB2" w:rsidP="00617CB2" w14:paraId="727B2762" w14:textId="77777777">
            <w:pPr>
              <w:spacing w:before="0" w:after="0" w:line="240" w:lineRule="auto"/>
              <w:ind w:left="0"/>
              <w:rPr>
                <w:b/>
                <w:bCs/>
              </w:rPr>
            </w:pPr>
            <w:r w:rsidRPr="00617CB2">
              <w:rPr>
                <w:b/>
                <w:bCs/>
              </w:rPr>
              <w:t>Modality</w:t>
            </w:r>
          </w:p>
          <w:p w:rsidR="00617CB2" w:rsidRPr="00617CB2" w:rsidP="00617CB2" w14:paraId="79A2CE5D" w14:textId="77777777">
            <w:pPr>
              <w:spacing w:before="0" w:after="0" w:line="240" w:lineRule="auto"/>
              <w:ind w:left="0"/>
              <w:rPr>
                <w:b/>
                <w:bCs/>
              </w:rPr>
            </w:pPr>
            <w:r w:rsidRPr="00617CB2">
              <w:rPr>
                <w:b/>
                <w:bCs/>
              </w:rPr>
              <w:t>of Completion</w:t>
            </w:r>
          </w:p>
        </w:tc>
        <w:tc>
          <w:tcPr>
            <w:tcW w:w="1523" w:type="dxa"/>
            <w:tcBorders>
              <w:top w:val="single" w:sz="4" w:space="0" w:color="auto"/>
              <w:left w:val="single" w:sz="4" w:space="0" w:color="auto"/>
              <w:bottom w:val="single" w:sz="4" w:space="0" w:color="auto"/>
              <w:right w:val="single" w:sz="4" w:space="0" w:color="auto"/>
            </w:tcBorders>
            <w:hideMark/>
          </w:tcPr>
          <w:p w:rsidR="00617CB2" w:rsidRPr="00617CB2" w:rsidP="00617CB2" w14:paraId="75D3B80C" w14:textId="77777777">
            <w:pPr>
              <w:spacing w:before="0" w:after="0" w:line="240" w:lineRule="auto"/>
              <w:ind w:left="0"/>
              <w:rPr>
                <w:b/>
                <w:bCs/>
              </w:rPr>
            </w:pPr>
            <w:r w:rsidRPr="00617CB2">
              <w:rPr>
                <w:b/>
                <w:bCs/>
              </w:rPr>
              <w:t>Number</w:t>
            </w:r>
          </w:p>
          <w:p w:rsidR="00617CB2" w:rsidRPr="00617CB2" w:rsidP="00617CB2" w14:paraId="5648A4B6" w14:textId="77777777">
            <w:pPr>
              <w:spacing w:before="0" w:after="0" w:line="240" w:lineRule="auto"/>
              <w:ind w:left="0"/>
              <w:rPr>
                <w:b/>
                <w:bCs/>
              </w:rPr>
            </w:pPr>
            <w:r w:rsidRPr="00617CB2">
              <w:rPr>
                <w:b/>
                <w:bCs/>
              </w:rPr>
              <w:t>of Respondents</w:t>
            </w:r>
          </w:p>
        </w:tc>
        <w:tc>
          <w:tcPr>
            <w:tcW w:w="1310" w:type="dxa"/>
            <w:tcBorders>
              <w:top w:val="single" w:sz="4" w:space="0" w:color="auto"/>
              <w:left w:val="single" w:sz="4" w:space="0" w:color="auto"/>
              <w:bottom w:val="single" w:sz="4" w:space="0" w:color="auto"/>
              <w:right w:val="single" w:sz="4" w:space="0" w:color="auto"/>
            </w:tcBorders>
            <w:hideMark/>
          </w:tcPr>
          <w:p w:rsidR="00617CB2" w:rsidRPr="00617CB2" w:rsidP="00617CB2" w14:paraId="3BE3B9CD" w14:textId="77777777">
            <w:pPr>
              <w:spacing w:before="0" w:after="0" w:line="240" w:lineRule="auto"/>
              <w:ind w:left="0"/>
              <w:rPr>
                <w:b/>
                <w:bCs/>
              </w:rPr>
            </w:pPr>
            <w:r w:rsidRPr="00617CB2">
              <w:rPr>
                <w:b/>
                <w:bCs/>
              </w:rPr>
              <w:t>Frequency of Response</w:t>
            </w:r>
          </w:p>
        </w:tc>
        <w:tc>
          <w:tcPr>
            <w:tcW w:w="1190" w:type="dxa"/>
            <w:tcBorders>
              <w:top w:val="single" w:sz="4" w:space="0" w:color="auto"/>
              <w:left w:val="single" w:sz="4" w:space="0" w:color="auto"/>
              <w:bottom w:val="single" w:sz="4" w:space="0" w:color="auto"/>
              <w:right w:val="single" w:sz="4" w:space="0" w:color="auto"/>
            </w:tcBorders>
            <w:hideMark/>
          </w:tcPr>
          <w:p w:rsidR="00617CB2" w:rsidRPr="00617CB2" w:rsidP="00617CB2" w14:paraId="2A5BC597" w14:textId="77777777">
            <w:pPr>
              <w:spacing w:before="0" w:after="0" w:line="240" w:lineRule="auto"/>
              <w:ind w:left="0"/>
              <w:rPr>
                <w:b/>
                <w:bCs/>
              </w:rPr>
            </w:pPr>
            <w:r w:rsidRPr="00617CB2">
              <w:rPr>
                <w:b/>
                <w:bCs/>
              </w:rPr>
              <w:t>Average Burden per Response (minutes)</w:t>
            </w:r>
          </w:p>
        </w:tc>
        <w:tc>
          <w:tcPr>
            <w:tcW w:w="1256" w:type="dxa"/>
            <w:tcBorders>
              <w:top w:val="single" w:sz="4" w:space="0" w:color="auto"/>
              <w:left w:val="single" w:sz="4" w:space="0" w:color="auto"/>
              <w:bottom w:val="single" w:sz="4" w:space="0" w:color="auto"/>
              <w:right w:val="single" w:sz="4" w:space="0" w:color="auto"/>
            </w:tcBorders>
            <w:hideMark/>
          </w:tcPr>
          <w:p w:rsidR="00617CB2" w:rsidRPr="00617CB2" w:rsidP="00617CB2" w14:paraId="1DB7FCB6" w14:textId="77777777">
            <w:pPr>
              <w:spacing w:before="0" w:after="0" w:line="240" w:lineRule="auto"/>
              <w:ind w:left="0"/>
              <w:rPr>
                <w:b/>
                <w:bCs/>
              </w:rPr>
            </w:pPr>
            <w:r w:rsidRPr="00617CB2">
              <w:rPr>
                <w:b/>
                <w:bCs/>
              </w:rPr>
              <w:t>Estimated Total Annual Burden (hours)</w:t>
            </w:r>
          </w:p>
        </w:tc>
        <w:tc>
          <w:tcPr>
            <w:tcW w:w="1389" w:type="dxa"/>
            <w:tcBorders>
              <w:top w:val="single" w:sz="4" w:space="0" w:color="auto"/>
              <w:left w:val="single" w:sz="4" w:space="0" w:color="auto"/>
              <w:bottom w:val="single" w:sz="4" w:space="0" w:color="auto"/>
              <w:right w:val="single" w:sz="4" w:space="0" w:color="auto"/>
            </w:tcBorders>
            <w:hideMark/>
          </w:tcPr>
          <w:p w:rsidR="00617CB2" w:rsidRPr="00617CB2" w:rsidP="00617CB2" w14:paraId="36669734" w14:textId="77777777">
            <w:pPr>
              <w:spacing w:before="0" w:after="0" w:line="240" w:lineRule="auto"/>
              <w:ind w:left="0"/>
              <w:rPr>
                <w:b/>
                <w:bCs/>
              </w:rPr>
            </w:pPr>
            <w:r w:rsidRPr="00617CB2">
              <w:rPr>
                <w:b/>
                <w:bCs/>
              </w:rPr>
              <w:t>Average Theoretical Hourly Cost Amount (dollars)*</w:t>
            </w:r>
          </w:p>
        </w:tc>
        <w:tc>
          <w:tcPr>
            <w:tcW w:w="1550" w:type="dxa"/>
            <w:tcBorders>
              <w:top w:val="single" w:sz="4" w:space="0" w:color="auto"/>
              <w:left w:val="single" w:sz="4" w:space="0" w:color="auto"/>
              <w:bottom w:val="single" w:sz="4" w:space="0" w:color="auto"/>
              <w:right w:val="single" w:sz="4" w:space="0" w:color="auto"/>
            </w:tcBorders>
            <w:hideMark/>
          </w:tcPr>
          <w:p w:rsidR="00617CB2" w:rsidRPr="00617CB2" w:rsidP="00617CB2" w14:paraId="18C36B80" w14:textId="77777777">
            <w:pPr>
              <w:suppressAutoHyphens/>
              <w:autoSpaceDE w:val="0"/>
              <w:autoSpaceDN w:val="0"/>
              <w:adjustRightInd w:val="0"/>
              <w:spacing w:before="0" w:after="0" w:line="240" w:lineRule="auto"/>
              <w:ind w:left="0"/>
              <w:rPr>
                <w:b/>
                <w:sz w:val="22"/>
                <w:szCs w:val="22"/>
                <w:lang w:eastAsia="ar-SA"/>
              </w:rPr>
            </w:pPr>
            <w:r w:rsidRPr="00617CB2">
              <w:rPr>
                <w:rFonts w:eastAsia="Times New Roman"/>
                <w:b/>
                <w:sz w:val="22"/>
                <w:szCs w:val="22"/>
              </w:rPr>
              <w:t xml:space="preserve">Average Wait Time in Field Office and </w:t>
            </w:r>
            <w:r w:rsidRPr="00617CB2">
              <w:rPr>
                <w:b/>
                <w:sz w:val="22"/>
                <w:szCs w:val="22"/>
                <w:lang w:eastAsia="ar-SA"/>
              </w:rPr>
              <w:t xml:space="preserve">Teleservice Centers </w:t>
            </w:r>
          </w:p>
          <w:p w:rsidR="00617CB2" w:rsidRPr="00617CB2" w:rsidP="00617CB2" w14:paraId="1BFFDD87" w14:textId="77777777">
            <w:pPr>
              <w:widowControl w:val="0"/>
              <w:autoSpaceDE w:val="0"/>
              <w:autoSpaceDN w:val="0"/>
              <w:adjustRightInd w:val="0"/>
              <w:spacing w:before="0" w:after="0" w:line="240" w:lineRule="auto"/>
              <w:ind w:left="0"/>
              <w:rPr>
                <w:rFonts w:eastAsia="Times New Roman"/>
                <w:b/>
                <w:sz w:val="22"/>
                <w:szCs w:val="22"/>
              </w:rPr>
            </w:pPr>
            <w:r w:rsidRPr="00617CB2">
              <w:rPr>
                <w:b/>
                <w:sz w:val="22"/>
                <w:szCs w:val="22"/>
                <w:lang w:val="x-none" w:eastAsia="ar-SA"/>
              </w:rPr>
              <w:t>(minutes)</w:t>
            </w:r>
          </w:p>
          <w:p w:rsidR="00617CB2" w:rsidRPr="00617CB2" w:rsidP="00617CB2" w14:paraId="41E23738" w14:textId="77777777">
            <w:pPr>
              <w:spacing w:before="0" w:after="0" w:line="240" w:lineRule="auto"/>
              <w:ind w:left="0"/>
              <w:rPr>
                <w:rFonts w:eastAsia="Times New Roman"/>
                <w:b/>
                <w:bCs/>
              </w:rPr>
            </w:pPr>
            <w:r w:rsidRPr="00617CB2">
              <w:rPr>
                <w:rFonts w:eastAsia="Times New Roman"/>
                <w:b/>
                <w:sz w:val="22"/>
                <w:szCs w:val="22"/>
                <w:lang w:val="x-none"/>
              </w:rPr>
              <w:t>**</w:t>
            </w:r>
            <w:r w:rsidRPr="00617CB2">
              <w:rPr>
                <w:rFonts w:eastAsia="Times New Roman"/>
                <w:b/>
                <w:sz w:val="22"/>
                <w:szCs w:val="22"/>
              </w:rPr>
              <w:t>*</w:t>
            </w:r>
          </w:p>
        </w:tc>
        <w:tc>
          <w:tcPr>
            <w:tcW w:w="1776" w:type="dxa"/>
            <w:tcBorders>
              <w:top w:val="single" w:sz="4" w:space="0" w:color="auto"/>
              <w:left w:val="single" w:sz="4" w:space="0" w:color="auto"/>
              <w:bottom w:val="single" w:sz="4" w:space="0" w:color="auto"/>
              <w:right w:val="single" w:sz="4" w:space="0" w:color="auto"/>
            </w:tcBorders>
            <w:hideMark/>
          </w:tcPr>
          <w:p w:rsidR="00617CB2" w:rsidRPr="00617CB2" w:rsidP="00617CB2" w14:paraId="1E6D3B82" w14:textId="77777777">
            <w:pPr>
              <w:spacing w:before="0" w:after="0" w:line="240" w:lineRule="auto"/>
              <w:ind w:left="0"/>
              <w:rPr>
                <w:b/>
                <w:bCs/>
              </w:rPr>
            </w:pPr>
            <w:r w:rsidRPr="00617CB2">
              <w:rPr>
                <w:b/>
                <w:bCs/>
              </w:rPr>
              <w:t>Total</w:t>
            </w:r>
          </w:p>
          <w:p w:rsidR="00617CB2" w:rsidRPr="00617CB2" w:rsidP="00617CB2" w14:paraId="5F90ADBC" w14:textId="77777777">
            <w:pPr>
              <w:spacing w:before="0" w:after="0" w:line="240" w:lineRule="auto"/>
              <w:ind w:left="0"/>
              <w:rPr>
                <w:b/>
                <w:bCs/>
              </w:rPr>
            </w:pPr>
            <w:r w:rsidRPr="00617CB2">
              <w:rPr>
                <w:b/>
                <w:bCs/>
              </w:rPr>
              <w:t>Annual Opportunity</w:t>
            </w:r>
          </w:p>
          <w:p w:rsidR="00617CB2" w:rsidRPr="00617CB2" w:rsidP="00617CB2" w14:paraId="4C65F863" w14:textId="77777777">
            <w:pPr>
              <w:spacing w:before="0" w:after="0" w:line="240" w:lineRule="auto"/>
              <w:ind w:left="0"/>
              <w:rPr>
                <w:b/>
                <w:bCs/>
              </w:rPr>
            </w:pPr>
            <w:r w:rsidRPr="00617CB2">
              <w:rPr>
                <w:b/>
                <w:bCs/>
              </w:rPr>
              <w:t>Cost</w:t>
            </w:r>
          </w:p>
          <w:p w:rsidR="00617CB2" w:rsidRPr="00617CB2" w:rsidP="00617CB2" w14:paraId="7EF6C7CD" w14:textId="77777777">
            <w:pPr>
              <w:spacing w:before="0" w:after="0" w:line="240" w:lineRule="auto"/>
              <w:ind w:left="0"/>
              <w:rPr>
                <w:b/>
                <w:bCs/>
              </w:rPr>
            </w:pPr>
            <w:r w:rsidRPr="00617CB2">
              <w:rPr>
                <w:b/>
                <w:bCs/>
              </w:rPr>
              <w:t>(dollars)***</w:t>
            </w:r>
          </w:p>
        </w:tc>
      </w:tr>
      <w:tr w14:paraId="0CF3D6D6" w14:textId="77777777" w:rsidTr="00617CB2">
        <w:tblPrEx>
          <w:tblW w:w="11448" w:type="dxa"/>
          <w:tblInd w:w="-1031" w:type="dxa"/>
          <w:tblLook w:val="04A0"/>
        </w:tblPrEx>
        <w:trPr>
          <w:cantSplit/>
        </w:trPr>
        <w:tc>
          <w:tcPr>
            <w:tcW w:w="1454" w:type="dxa"/>
            <w:tcBorders>
              <w:top w:val="single" w:sz="4" w:space="0" w:color="auto"/>
              <w:left w:val="single" w:sz="4" w:space="0" w:color="auto"/>
              <w:bottom w:val="single" w:sz="4" w:space="0" w:color="auto"/>
              <w:right w:val="single" w:sz="4" w:space="0" w:color="auto"/>
            </w:tcBorders>
            <w:hideMark/>
          </w:tcPr>
          <w:p w:rsidR="00617CB2" w:rsidRPr="00617CB2" w:rsidP="00617CB2" w14:paraId="4FCC83C4" w14:textId="77777777">
            <w:pPr>
              <w:spacing w:before="0" w:after="0" w:line="240" w:lineRule="auto"/>
              <w:ind w:left="0"/>
            </w:pPr>
            <w:r w:rsidRPr="00617CB2">
              <w:t>SSA-4-BK (Death Claim): Paper</w:t>
            </w:r>
          </w:p>
        </w:tc>
        <w:tc>
          <w:tcPr>
            <w:tcW w:w="1523" w:type="dxa"/>
            <w:tcBorders>
              <w:top w:val="single" w:sz="4" w:space="0" w:color="auto"/>
              <w:left w:val="single" w:sz="4" w:space="0" w:color="auto"/>
              <w:bottom w:val="single" w:sz="4" w:space="0" w:color="auto"/>
              <w:right w:val="single" w:sz="4" w:space="0" w:color="auto"/>
            </w:tcBorders>
            <w:hideMark/>
          </w:tcPr>
          <w:p w:rsidR="00617CB2" w:rsidRPr="00617CB2" w:rsidP="00617CB2" w14:paraId="73E7D25D" w14:textId="77777777">
            <w:pPr>
              <w:spacing w:before="0" w:after="0" w:line="240" w:lineRule="auto"/>
              <w:ind w:left="0"/>
              <w:jc w:val="right"/>
            </w:pPr>
            <w:r w:rsidRPr="00617CB2">
              <w:t>1,702</w:t>
            </w:r>
          </w:p>
        </w:tc>
        <w:tc>
          <w:tcPr>
            <w:tcW w:w="1310" w:type="dxa"/>
            <w:tcBorders>
              <w:top w:val="single" w:sz="4" w:space="0" w:color="auto"/>
              <w:left w:val="single" w:sz="4" w:space="0" w:color="auto"/>
              <w:bottom w:val="single" w:sz="4" w:space="0" w:color="auto"/>
              <w:right w:val="single" w:sz="4" w:space="0" w:color="auto"/>
            </w:tcBorders>
            <w:hideMark/>
          </w:tcPr>
          <w:p w:rsidR="00617CB2" w:rsidRPr="00617CB2" w:rsidP="00617CB2" w14:paraId="1F7E23A9" w14:textId="77777777">
            <w:pPr>
              <w:spacing w:before="0" w:after="0" w:line="240" w:lineRule="auto"/>
              <w:ind w:left="0"/>
              <w:jc w:val="right"/>
            </w:pPr>
            <w:r w:rsidRPr="00617CB2">
              <w:t>1</w:t>
            </w:r>
          </w:p>
        </w:tc>
        <w:tc>
          <w:tcPr>
            <w:tcW w:w="1190" w:type="dxa"/>
            <w:tcBorders>
              <w:top w:val="single" w:sz="4" w:space="0" w:color="auto"/>
              <w:left w:val="single" w:sz="4" w:space="0" w:color="auto"/>
              <w:bottom w:val="single" w:sz="4" w:space="0" w:color="auto"/>
              <w:right w:val="single" w:sz="4" w:space="0" w:color="auto"/>
            </w:tcBorders>
            <w:hideMark/>
          </w:tcPr>
          <w:p w:rsidR="00617CB2" w:rsidRPr="00617CB2" w:rsidP="00617CB2" w14:paraId="452AD732" w14:textId="77777777">
            <w:pPr>
              <w:spacing w:before="0" w:after="0" w:line="240" w:lineRule="auto"/>
              <w:ind w:left="0"/>
              <w:jc w:val="right"/>
            </w:pPr>
            <w:r w:rsidRPr="00617CB2">
              <w:t>12</w:t>
            </w:r>
          </w:p>
        </w:tc>
        <w:tc>
          <w:tcPr>
            <w:tcW w:w="1256" w:type="dxa"/>
            <w:tcBorders>
              <w:top w:val="single" w:sz="4" w:space="0" w:color="auto"/>
              <w:left w:val="single" w:sz="4" w:space="0" w:color="auto"/>
              <w:bottom w:val="single" w:sz="4" w:space="0" w:color="auto"/>
              <w:right w:val="single" w:sz="4" w:space="0" w:color="auto"/>
            </w:tcBorders>
            <w:hideMark/>
          </w:tcPr>
          <w:p w:rsidR="00617CB2" w:rsidRPr="00617CB2" w:rsidP="00617CB2" w14:paraId="178E79F9" w14:textId="77777777">
            <w:pPr>
              <w:spacing w:before="0" w:after="0" w:line="240" w:lineRule="auto"/>
              <w:ind w:left="0"/>
              <w:jc w:val="right"/>
            </w:pPr>
            <w:r w:rsidRPr="00617CB2">
              <w:t>340</w:t>
            </w:r>
          </w:p>
        </w:tc>
        <w:tc>
          <w:tcPr>
            <w:tcW w:w="1389" w:type="dxa"/>
            <w:tcBorders>
              <w:top w:val="single" w:sz="4" w:space="0" w:color="auto"/>
              <w:left w:val="single" w:sz="4" w:space="0" w:color="auto"/>
              <w:bottom w:val="single" w:sz="4" w:space="0" w:color="auto"/>
              <w:right w:val="single" w:sz="4" w:space="0" w:color="auto"/>
            </w:tcBorders>
            <w:hideMark/>
          </w:tcPr>
          <w:p w:rsidR="00617CB2" w:rsidRPr="00617CB2" w:rsidP="00617CB2" w14:paraId="4FEA1302" w14:textId="77777777">
            <w:pPr>
              <w:spacing w:before="0" w:after="0" w:line="240" w:lineRule="auto"/>
              <w:ind w:left="0"/>
              <w:jc w:val="right"/>
            </w:pPr>
            <w:r w:rsidRPr="00617CB2">
              <w:t xml:space="preserve"> $32.66*</w:t>
            </w:r>
          </w:p>
        </w:tc>
        <w:tc>
          <w:tcPr>
            <w:tcW w:w="1550" w:type="dxa"/>
            <w:tcBorders>
              <w:top w:val="single" w:sz="4" w:space="0" w:color="auto"/>
              <w:left w:val="single" w:sz="4" w:space="0" w:color="auto"/>
              <w:bottom w:val="single" w:sz="4" w:space="0" w:color="auto"/>
              <w:right w:val="single" w:sz="4" w:space="0" w:color="auto"/>
            </w:tcBorders>
            <w:hideMark/>
          </w:tcPr>
          <w:p w:rsidR="00617CB2" w:rsidRPr="00617CB2" w:rsidP="00617CB2" w14:paraId="61E80D7D" w14:textId="77777777">
            <w:pPr>
              <w:spacing w:before="0" w:after="0" w:line="240" w:lineRule="auto"/>
              <w:ind w:left="0"/>
              <w:jc w:val="right"/>
            </w:pPr>
            <w:r w:rsidRPr="00617CB2">
              <w:t xml:space="preserve"> </w:t>
            </w:r>
          </w:p>
        </w:tc>
        <w:tc>
          <w:tcPr>
            <w:tcW w:w="1776" w:type="dxa"/>
            <w:tcBorders>
              <w:top w:val="single" w:sz="4" w:space="0" w:color="auto"/>
              <w:left w:val="single" w:sz="4" w:space="0" w:color="auto"/>
              <w:bottom w:val="single" w:sz="4" w:space="0" w:color="auto"/>
              <w:right w:val="single" w:sz="4" w:space="0" w:color="auto"/>
            </w:tcBorders>
            <w:hideMark/>
          </w:tcPr>
          <w:p w:rsidR="00617CB2" w:rsidRPr="00617CB2" w:rsidP="00617CB2" w14:paraId="1E5A657B" w14:textId="77777777">
            <w:pPr>
              <w:spacing w:before="0" w:after="0" w:line="240" w:lineRule="auto"/>
              <w:ind w:left="0"/>
              <w:jc w:val="right"/>
            </w:pPr>
            <w:r w:rsidRPr="00617CB2">
              <w:t>$11,104***</w:t>
            </w:r>
          </w:p>
        </w:tc>
      </w:tr>
      <w:tr w14:paraId="0C0C6D7E" w14:textId="77777777" w:rsidTr="00617CB2">
        <w:tblPrEx>
          <w:tblW w:w="11448" w:type="dxa"/>
          <w:tblInd w:w="-1031" w:type="dxa"/>
          <w:tblLook w:val="04A0"/>
        </w:tblPrEx>
        <w:trPr>
          <w:cantSplit/>
        </w:trPr>
        <w:tc>
          <w:tcPr>
            <w:tcW w:w="1454" w:type="dxa"/>
            <w:tcBorders>
              <w:top w:val="single" w:sz="4" w:space="0" w:color="auto"/>
              <w:left w:val="single" w:sz="4" w:space="0" w:color="auto"/>
              <w:bottom w:val="single" w:sz="4" w:space="0" w:color="auto"/>
              <w:right w:val="single" w:sz="4" w:space="0" w:color="auto"/>
            </w:tcBorders>
            <w:hideMark/>
          </w:tcPr>
          <w:p w:rsidR="00617CB2" w:rsidRPr="00617CB2" w:rsidP="00617CB2" w14:paraId="0185773C" w14:textId="77777777">
            <w:pPr>
              <w:spacing w:before="0" w:after="0" w:line="240" w:lineRule="auto"/>
              <w:ind w:left="0"/>
            </w:pPr>
            <w:r w:rsidRPr="00617CB2">
              <w:t xml:space="preserve">SSA-4-BK (Death Claim): MCS Interview </w:t>
            </w:r>
          </w:p>
        </w:tc>
        <w:tc>
          <w:tcPr>
            <w:tcW w:w="1523" w:type="dxa"/>
            <w:tcBorders>
              <w:top w:val="single" w:sz="4" w:space="0" w:color="auto"/>
              <w:left w:val="single" w:sz="4" w:space="0" w:color="auto"/>
              <w:bottom w:val="single" w:sz="4" w:space="0" w:color="auto"/>
              <w:right w:val="single" w:sz="4" w:space="0" w:color="auto"/>
            </w:tcBorders>
            <w:hideMark/>
          </w:tcPr>
          <w:p w:rsidR="00617CB2" w:rsidRPr="00617CB2" w:rsidP="00617CB2" w14:paraId="783BE1B4" w14:textId="77777777">
            <w:pPr>
              <w:spacing w:before="0" w:after="0" w:line="240" w:lineRule="auto"/>
              <w:ind w:left="0"/>
              <w:jc w:val="right"/>
            </w:pPr>
            <w:r w:rsidRPr="00617CB2">
              <w:t>235,166</w:t>
            </w:r>
          </w:p>
        </w:tc>
        <w:tc>
          <w:tcPr>
            <w:tcW w:w="1310" w:type="dxa"/>
            <w:tcBorders>
              <w:top w:val="single" w:sz="4" w:space="0" w:color="auto"/>
              <w:left w:val="single" w:sz="4" w:space="0" w:color="auto"/>
              <w:bottom w:val="single" w:sz="4" w:space="0" w:color="auto"/>
              <w:right w:val="single" w:sz="4" w:space="0" w:color="auto"/>
            </w:tcBorders>
            <w:hideMark/>
          </w:tcPr>
          <w:p w:rsidR="00617CB2" w:rsidRPr="00617CB2" w:rsidP="00617CB2" w14:paraId="2C4EBD57" w14:textId="77777777">
            <w:pPr>
              <w:spacing w:before="0" w:after="0" w:line="240" w:lineRule="auto"/>
              <w:ind w:left="0"/>
              <w:jc w:val="right"/>
            </w:pPr>
            <w:r w:rsidRPr="00617CB2">
              <w:t>1</w:t>
            </w:r>
          </w:p>
        </w:tc>
        <w:tc>
          <w:tcPr>
            <w:tcW w:w="1190" w:type="dxa"/>
            <w:tcBorders>
              <w:top w:val="single" w:sz="4" w:space="0" w:color="auto"/>
              <w:left w:val="single" w:sz="4" w:space="0" w:color="auto"/>
              <w:bottom w:val="single" w:sz="4" w:space="0" w:color="auto"/>
              <w:right w:val="single" w:sz="4" w:space="0" w:color="auto"/>
            </w:tcBorders>
            <w:hideMark/>
          </w:tcPr>
          <w:p w:rsidR="00617CB2" w:rsidRPr="00617CB2" w:rsidP="00617CB2" w14:paraId="63C276DD" w14:textId="77777777">
            <w:pPr>
              <w:spacing w:before="0" w:after="0" w:line="240" w:lineRule="auto"/>
              <w:ind w:left="0"/>
              <w:jc w:val="right"/>
            </w:pPr>
            <w:r w:rsidRPr="00617CB2">
              <w:t>11</w:t>
            </w:r>
          </w:p>
        </w:tc>
        <w:tc>
          <w:tcPr>
            <w:tcW w:w="1256" w:type="dxa"/>
            <w:tcBorders>
              <w:top w:val="single" w:sz="4" w:space="0" w:color="auto"/>
              <w:left w:val="single" w:sz="4" w:space="0" w:color="auto"/>
              <w:bottom w:val="single" w:sz="4" w:space="0" w:color="auto"/>
              <w:right w:val="single" w:sz="4" w:space="0" w:color="auto"/>
            </w:tcBorders>
            <w:hideMark/>
          </w:tcPr>
          <w:p w:rsidR="00617CB2" w:rsidRPr="00617CB2" w:rsidP="00617CB2" w14:paraId="3656E855" w14:textId="77777777">
            <w:pPr>
              <w:spacing w:before="0" w:after="0" w:line="240" w:lineRule="auto"/>
              <w:ind w:left="0"/>
              <w:jc w:val="right"/>
            </w:pPr>
            <w:r w:rsidRPr="00617CB2">
              <w:t>43,114</w:t>
            </w:r>
          </w:p>
        </w:tc>
        <w:tc>
          <w:tcPr>
            <w:tcW w:w="1389" w:type="dxa"/>
            <w:tcBorders>
              <w:top w:val="single" w:sz="4" w:space="0" w:color="auto"/>
              <w:left w:val="single" w:sz="4" w:space="0" w:color="auto"/>
              <w:bottom w:val="single" w:sz="4" w:space="0" w:color="auto"/>
              <w:right w:val="single" w:sz="4" w:space="0" w:color="auto"/>
            </w:tcBorders>
            <w:hideMark/>
          </w:tcPr>
          <w:p w:rsidR="00617CB2" w:rsidRPr="00617CB2" w:rsidP="00617CB2" w14:paraId="3F1BDBDF" w14:textId="77777777">
            <w:pPr>
              <w:spacing w:before="0" w:after="0" w:line="240" w:lineRule="auto"/>
              <w:ind w:left="0"/>
              <w:jc w:val="right"/>
            </w:pPr>
            <w:r w:rsidRPr="00617CB2">
              <w:t>$32.66*</w:t>
            </w:r>
          </w:p>
        </w:tc>
        <w:tc>
          <w:tcPr>
            <w:tcW w:w="1550" w:type="dxa"/>
            <w:tcBorders>
              <w:top w:val="single" w:sz="4" w:space="0" w:color="auto"/>
              <w:left w:val="single" w:sz="4" w:space="0" w:color="auto"/>
              <w:bottom w:val="single" w:sz="4" w:space="0" w:color="auto"/>
              <w:right w:val="single" w:sz="4" w:space="0" w:color="auto"/>
            </w:tcBorders>
            <w:hideMark/>
          </w:tcPr>
          <w:p w:rsidR="00617CB2" w:rsidRPr="00617CB2" w:rsidP="00617CB2" w14:paraId="2ACECF6E" w14:textId="77777777">
            <w:pPr>
              <w:spacing w:before="0" w:after="0" w:line="240" w:lineRule="auto"/>
              <w:ind w:left="0"/>
              <w:jc w:val="right"/>
            </w:pPr>
            <w:r w:rsidRPr="00617CB2">
              <w:t>38**</w:t>
            </w:r>
          </w:p>
        </w:tc>
        <w:tc>
          <w:tcPr>
            <w:tcW w:w="1776" w:type="dxa"/>
            <w:tcBorders>
              <w:top w:val="single" w:sz="4" w:space="0" w:color="auto"/>
              <w:left w:val="single" w:sz="4" w:space="0" w:color="auto"/>
              <w:bottom w:val="single" w:sz="4" w:space="0" w:color="auto"/>
              <w:right w:val="single" w:sz="4" w:space="0" w:color="auto"/>
            </w:tcBorders>
            <w:hideMark/>
          </w:tcPr>
          <w:p w:rsidR="00617CB2" w:rsidRPr="00617CB2" w:rsidP="00617CB2" w14:paraId="5AF88B7F" w14:textId="77777777">
            <w:pPr>
              <w:spacing w:before="0" w:after="0" w:line="240" w:lineRule="auto"/>
              <w:ind w:left="0"/>
              <w:jc w:val="right"/>
            </w:pPr>
            <w:r w:rsidRPr="00617CB2">
              <w:t>$6,272,418***</w:t>
            </w:r>
          </w:p>
        </w:tc>
      </w:tr>
      <w:tr w14:paraId="5E5E8223" w14:textId="77777777" w:rsidTr="00617CB2">
        <w:tblPrEx>
          <w:tblW w:w="11448" w:type="dxa"/>
          <w:tblInd w:w="-1031" w:type="dxa"/>
          <w:tblLook w:val="04A0"/>
        </w:tblPrEx>
        <w:trPr>
          <w:cantSplit/>
        </w:trPr>
        <w:tc>
          <w:tcPr>
            <w:tcW w:w="1454" w:type="dxa"/>
            <w:tcBorders>
              <w:top w:val="single" w:sz="4" w:space="0" w:color="auto"/>
              <w:left w:val="single" w:sz="4" w:space="0" w:color="auto"/>
              <w:bottom w:val="single" w:sz="4" w:space="0" w:color="auto"/>
              <w:right w:val="single" w:sz="4" w:space="0" w:color="auto"/>
            </w:tcBorders>
            <w:hideMark/>
          </w:tcPr>
          <w:p w:rsidR="00617CB2" w:rsidRPr="00617CB2" w:rsidP="00617CB2" w14:paraId="53D132E5" w14:textId="77777777">
            <w:pPr>
              <w:spacing w:before="0" w:after="0" w:line="240" w:lineRule="auto"/>
              <w:ind w:left="0"/>
            </w:pPr>
            <w:r w:rsidRPr="00617CB2">
              <w:t>SSA-4-BK (Life Claim): Paper</w:t>
            </w:r>
          </w:p>
        </w:tc>
        <w:tc>
          <w:tcPr>
            <w:tcW w:w="1523" w:type="dxa"/>
            <w:tcBorders>
              <w:top w:val="single" w:sz="4" w:space="0" w:color="auto"/>
              <w:left w:val="single" w:sz="4" w:space="0" w:color="auto"/>
              <w:bottom w:val="single" w:sz="4" w:space="0" w:color="auto"/>
              <w:right w:val="single" w:sz="4" w:space="0" w:color="auto"/>
            </w:tcBorders>
            <w:hideMark/>
          </w:tcPr>
          <w:p w:rsidR="00617CB2" w:rsidRPr="00617CB2" w:rsidP="00617CB2" w14:paraId="1B9A56E8" w14:textId="77777777">
            <w:pPr>
              <w:spacing w:before="0" w:after="0" w:line="240" w:lineRule="auto"/>
              <w:ind w:left="0"/>
              <w:jc w:val="right"/>
            </w:pPr>
            <w:r w:rsidRPr="00617CB2">
              <w:t>2,912</w:t>
            </w:r>
          </w:p>
        </w:tc>
        <w:tc>
          <w:tcPr>
            <w:tcW w:w="1310" w:type="dxa"/>
            <w:tcBorders>
              <w:top w:val="single" w:sz="4" w:space="0" w:color="auto"/>
              <w:left w:val="single" w:sz="4" w:space="0" w:color="auto"/>
              <w:bottom w:val="single" w:sz="4" w:space="0" w:color="auto"/>
              <w:right w:val="single" w:sz="4" w:space="0" w:color="auto"/>
            </w:tcBorders>
            <w:hideMark/>
          </w:tcPr>
          <w:p w:rsidR="00617CB2" w:rsidRPr="00617CB2" w:rsidP="00617CB2" w14:paraId="0B04C259" w14:textId="77777777">
            <w:pPr>
              <w:spacing w:before="0" w:after="0" w:line="240" w:lineRule="auto"/>
              <w:ind w:left="0"/>
              <w:jc w:val="right"/>
            </w:pPr>
            <w:r w:rsidRPr="00617CB2">
              <w:t>1</w:t>
            </w:r>
          </w:p>
        </w:tc>
        <w:tc>
          <w:tcPr>
            <w:tcW w:w="1190" w:type="dxa"/>
            <w:tcBorders>
              <w:top w:val="single" w:sz="4" w:space="0" w:color="auto"/>
              <w:left w:val="single" w:sz="4" w:space="0" w:color="auto"/>
              <w:bottom w:val="single" w:sz="4" w:space="0" w:color="auto"/>
              <w:right w:val="single" w:sz="4" w:space="0" w:color="auto"/>
            </w:tcBorders>
            <w:hideMark/>
          </w:tcPr>
          <w:p w:rsidR="00617CB2" w:rsidRPr="00617CB2" w:rsidP="00617CB2" w14:paraId="50A08F6C" w14:textId="77777777">
            <w:pPr>
              <w:spacing w:before="0" w:after="0" w:line="240" w:lineRule="auto"/>
              <w:ind w:left="0"/>
              <w:jc w:val="right"/>
            </w:pPr>
            <w:r w:rsidRPr="00617CB2">
              <w:t>12</w:t>
            </w:r>
          </w:p>
        </w:tc>
        <w:tc>
          <w:tcPr>
            <w:tcW w:w="1256" w:type="dxa"/>
            <w:tcBorders>
              <w:top w:val="single" w:sz="4" w:space="0" w:color="auto"/>
              <w:left w:val="single" w:sz="4" w:space="0" w:color="auto"/>
              <w:bottom w:val="single" w:sz="4" w:space="0" w:color="auto"/>
              <w:right w:val="single" w:sz="4" w:space="0" w:color="auto"/>
            </w:tcBorders>
            <w:hideMark/>
          </w:tcPr>
          <w:p w:rsidR="00617CB2" w:rsidRPr="00617CB2" w:rsidP="00617CB2" w14:paraId="3AAAF9D4" w14:textId="77777777">
            <w:pPr>
              <w:spacing w:before="0" w:after="0" w:line="240" w:lineRule="auto"/>
              <w:ind w:left="0"/>
              <w:jc w:val="right"/>
            </w:pPr>
            <w:r w:rsidRPr="00617CB2">
              <w:t>582</w:t>
            </w:r>
          </w:p>
        </w:tc>
        <w:tc>
          <w:tcPr>
            <w:tcW w:w="1389" w:type="dxa"/>
            <w:tcBorders>
              <w:top w:val="single" w:sz="4" w:space="0" w:color="auto"/>
              <w:left w:val="single" w:sz="4" w:space="0" w:color="auto"/>
              <w:bottom w:val="single" w:sz="4" w:space="0" w:color="auto"/>
              <w:right w:val="single" w:sz="4" w:space="0" w:color="auto"/>
            </w:tcBorders>
            <w:hideMark/>
          </w:tcPr>
          <w:p w:rsidR="00617CB2" w:rsidRPr="00617CB2" w:rsidP="00617CB2" w14:paraId="4C3EFA74" w14:textId="77777777">
            <w:pPr>
              <w:spacing w:before="0" w:after="0" w:line="240" w:lineRule="auto"/>
              <w:ind w:left="0"/>
              <w:jc w:val="right"/>
            </w:pPr>
            <w:r w:rsidRPr="00617CB2">
              <w:t xml:space="preserve"> $32.66*</w:t>
            </w:r>
          </w:p>
        </w:tc>
        <w:tc>
          <w:tcPr>
            <w:tcW w:w="1550" w:type="dxa"/>
            <w:tcBorders>
              <w:top w:val="single" w:sz="4" w:space="0" w:color="auto"/>
              <w:left w:val="single" w:sz="4" w:space="0" w:color="auto"/>
              <w:bottom w:val="single" w:sz="4" w:space="0" w:color="auto"/>
              <w:right w:val="single" w:sz="4" w:space="0" w:color="auto"/>
            </w:tcBorders>
            <w:hideMark/>
          </w:tcPr>
          <w:p w:rsidR="00617CB2" w:rsidRPr="00617CB2" w:rsidP="00617CB2" w14:paraId="271B1613" w14:textId="77777777">
            <w:pPr>
              <w:spacing w:before="0" w:after="0" w:line="240" w:lineRule="auto"/>
              <w:ind w:left="0"/>
              <w:jc w:val="right"/>
            </w:pPr>
            <w:r w:rsidRPr="00617CB2">
              <w:t xml:space="preserve"> </w:t>
            </w:r>
          </w:p>
        </w:tc>
        <w:tc>
          <w:tcPr>
            <w:tcW w:w="1776" w:type="dxa"/>
            <w:tcBorders>
              <w:top w:val="single" w:sz="4" w:space="0" w:color="auto"/>
              <w:left w:val="single" w:sz="4" w:space="0" w:color="auto"/>
              <w:bottom w:val="single" w:sz="4" w:space="0" w:color="auto"/>
              <w:right w:val="single" w:sz="4" w:space="0" w:color="auto"/>
            </w:tcBorders>
            <w:hideMark/>
          </w:tcPr>
          <w:p w:rsidR="00617CB2" w:rsidRPr="00617CB2" w:rsidP="00617CB2" w14:paraId="552A99E3" w14:textId="77777777">
            <w:pPr>
              <w:spacing w:before="0" w:after="0" w:line="240" w:lineRule="auto"/>
              <w:ind w:left="0"/>
              <w:jc w:val="right"/>
            </w:pPr>
            <w:r w:rsidRPr="00617CB2">
              <w:t>$19,008***</w:t>
            </w:r>
          </w:p>
        </w:tc>
      </w:tr>
      <w:tr w14:paraId="617CA413" w14:textId="77777777" w:rsidTr="00617CB2">
        <w:tblPrEx>
          <w:tblW w:w="11448" w:type="dxa"/>
          <w:tblInd w:w="-1031" w:type="dxa"/>
          <w:tblLook w:val="04A0"/>
        </w:tblPrEx>
        <w:trPr>
          <w:cantSplit/>
        </w:trPr>
        <w:tc>
          <w:tcPr>
            <w:tcW w:w="1454" w:type="dxa"/>
            <w:tcBorders>
              <w:top w:val="single" w:sz="4" w:space="0" w:color="auto"/>
              <w:left w:val="single" w:sz="4" w:space="0" w:color="auto"/>
              <w:bottom w:val="single" w:sz="4" w:space="0" w:color="auto"/>
              <w:right w:val="single" w:sz="4" w:space="0" w:color="auto"/>
            </w:tcBorders>
            <w:hideMark/>
          </w:tcPr>
          <w:p w:rsidR="00617CB2" w:rsidRPr="00617CB2" w:rsidP="00617CB2" w14:paraId="6AB36F66" w14:textId="77777777">
            <w:pPr>
              <w:spacing w:before="0" w:after="0" w:line="240" w:lineRule="auto"/>
              <w:ind w:left="0"/>
            </w:pPr>
            <w:r w:rsidRPr="00617CB2">
              <w:t>SSA-4-BK (Life Claim):</w:t>
            </w:r>
          </w:p>
          <w:p w:rsidR="00617CB2" w:rsidRPr="00617CB2" w:rsidP="00617CB2" w14:paraId="00C59179" w14:textId="77777777">
            <w:pPr>
              <w:spacing w:before="0" w:after="0" w:line="240" w:lineRule="auto"/>
              <w:ind w:left="0"/>
            </w:pPr>
            <w:r w:rsidRPr="00617CB2">
              <w:t xml:space="preserve">MCS Interview </w:t>
            </w:r>
          </w:p>
        </w:tc>
        <w:tc>
          <w:tcPr>
            <w:tcW w:w="1523" w:type="dxa"/>
            <w:tcBorders>
              <w:top w:val="single" w:sz="4" w:space="0" w:color="auto"/>
              <w:left w:val="single" w:sz="4" w:space="0" w:color="auto"/>
              <w:bottom w:val="single" w:sz="4" w:space="0" w:color="auto"/>
              <w:right w:val="single" w:sz="4" w:space="0" w:color="auto"/>
            </w:tcBorders>
          </w:tcPr>
          <w:p w:rsidR="00617CB2" w:rsidRPr="00617CB2" w:rsidP="00617CB2" w14:paraId="366A7446" w14:textId="77777777">
            <w:pPr>
              <w:spacing w:before="0" w:after="0" w:line="240" w:lineRule="auto"/>
              <w:ind w:left="0"/>
              <w:jc w:val="right"/>
            </w:pPr>
            <w:r w:rsidRPr="00617CB2">
              <w:t>332,333</w:t>
            </w:r>
          </w:p>
          <w:p w:rsidR="00617CB2" w:rsidRPr="00617CB2" w:rsidP="00617CB2" w14:paraId="2CFB6671" w14:textId="77777777">
            <w:pPr>
              <w:spacing w:before="0" w:after="0" w:line="240" w:lineRule="auto"/>
              <w:ind w:left="0"/>
              <w:jc w:val="right"/>
            </w:pPr>
          </w:p>
        </w:tc>
        <w:tc>
          <w:tcPr>
            <w:tcW w:w="1310" w:type="dxa"/>
            <w:tcBorders>
              <w:top w:val="single" w:sz="4" w:space="0" w:color="auto"/>
              <w:left w:val="single" w:sz="4" w:space="0" w:color="auto"/>
              <w:bottom w:val="single" w:sz="4" w:space="0" w:color="auto"/>
              <w:right w:val="single" w:sz="4" w:space="0" w:color="auto"/>
            </w:tcBorders>
            <w:hideMark/>
          </w:tcPr>
          <w:p w:rsidR="00617CB2" w:rsidRPr="00617CB2" w:rsidP="00617CB2" w14:paraId="4395C728" w14:textId="77777777">
            <w:pPr>
              <w:spacing w:before="0" w:after="0" w:line="240" w:lineRule="auto"/>
              <w:ind w:left="0"/>
              <w:jc w:val="right"/>
            </w:pPr>
            <w:r w:rsidRPr="00617CB2">
              <w:t>1</w:t>
            </w:r>
          </w:p>
        </w:tc>
        <w:tc>
          <w:tcPr>
            <w:tcW w:w="1190" w:type="dxa"/>
            <w:tcBorders>
              <w:top w:val="single" w:sz="4" w:space="0" w:color="auto"/>
              <w:left w:val="single" w:sz="4" w:space="0" w:color="auto"/>
              <w:bottom w:val="single" w:sz="4" w:space="0" w:color="auto"/>
              <w:right w:val="single" w:sz="4" w:space="0" w:color="auto"/>
            </w:tcBorders>
            <w:hideMark/>
          </w:tcPr>
          <w:p w:rsidR="00617CB2" w:rsidRPr="00617CB2" w:rsidP="00617CB2" w14:paraId="640615A8" w14:textId="77777777">
            <w:pPr>
              <w:spacing w:before="0" w:after="0" w:line="240" w:lineRule="auto"/>
              <w:ind w:left="0"/>
              <w:jc w:val="right"/>
            </w:pPr>
            <w:r w:rsidRPr="00617CB2">
              <w:t>11</w:t>
            </w:r>
          </w:p>
        </w:tc>
        <w:tc>
          <w:tcPr>
            <w:tcW w:w="1256" w:type="dxa"/>
            <w:tcBorders>
              <w:top w:val="single" w:sz="4" w:space="0" w:color="auto"/>
              <w:left w:val="single" w:sz="4" w:space="0" w:color="auto"/>
              <w:bottom w:val="single" w:sz="4" w:space="0" w:color="auto"/>
              <w:right w:val="single" w:sz="4" w:space="0" w:color="auto"/>
            </w:tcBorders>
            <w:hideMark/>
          </w:tcPr>
          <w:p w:rsidR="00617CB2" w:rsidRPr="00617CB2" w:rsidP="00617CB2" w14:paraId="5879BCD9" w14:textId="77777777">
            <w:pPr>
              <w:spacing w:before="0" w:after="0" w:line="240" w:lineRule="auto"/>
              <w:ind w:left="0"/>
              <w:jc w:val="right"/>
            </w:pPr>
            <w:r w:rsidRPr="00617CB2">
              <w:t>60,928</w:t>
            </w:r>
          </w:p>
        </w:tc>
        <w:tc>
          <w:tcPr>
            <w:tcW w:w="1389" w:type="dxa"/>
            <w:tcBorders>
              <w:top w:val="single" w:sz="4" w:space="0" w:color="auto"/>
              <w:left w:val="single" w:sz="4" w:space="0" w:color="auto"/>
              <w:bottom w:val="single" w:sz="4" w:space="0" w:color="auto"/>
              <w:right w:val="single" w:sz="4" w:space="0" w:color="auto"/>
            </w:tcBorders>
            <w:hideMark/>
          </w:tcPr>
          <w:p w:rsidR="00617CB2" w:rsidRPr="00617CB2" w:rsidP="00617CB2" w14:paraId="514EC379" w14:textId="77777777">
            <w:pPr>
              <w:spacing w:before="0" w:after="0" w:line="240" w:lineRule="auto"/>
              <w:ind w:left="0"/>
              <w:jc w:val="right"/>
            </w:pPr>
            <w:r w:rsidRPr="00617CB2">
              <w:t>$32.66*</w:t>
            </w:r>
          </w:p>
        </w:tc>
        <w:tc>
          <w:tcPr>
            <w:tcW w:w="1550" w:type="dxa"/>
            <w:tcBorders>
              <w:top w:val="single" w:sz="4" w:space="0" w:color="auto"/>
              <w:left w:val="single" w:sz="4" w:space="0" w:color="auto"/>
              <w:bottom w:val="single" w:sz="4" w:space="0" w:color="auto"/>
              <w:right w:val="single" w:sz="4" w:space="0" w:color="auto"/>
            </w:tcBorders>
            <w:hideMark/>
          </w:tcPr>
          <w:p w:rsidR="00617CB2" w:rsidRPr="00617CB2" w:rsidP="00617CB2" w14:paraId="55ADCF59" w14:textId="77777777">
            <w:pPr>
              <w:spacing w:before="0" w:after="0" w:line="240" w:lineRule="auto"/>
              <w:ind w:left="0"/>
              <w:jc w:val="right"/>
            </w:pPr>
            <w:r w:rsidRPr="00617CB2">
              <w:t>38**</w:t>
            </w:r>
          </w:p>
        </w:tc>
        <w:tc>
          <w:tcPr>
            <w:tcW w:w="1776" w:type="dxa"/>
            <w:tcBorders>
              <w:top w:val="single" w:sz="4" w:space="0" w:color="auto"/>
              <w:left w:val="single" w:sz="4" w:space="0" w:color="auto"/>
              <w:bottom w:val="single" w:sz="4" w:space="0" w:color="auto"/>
              <w:right w:val="single" w:sz="4" w:space="0" w:color="auto"/>
            </w:tcBorders>
            <w:hideMark/>
          </w:tcPr>
          <w:p w:rsidR="00617CB2" w:rsidRPr="00617CB2" w:rsidP="00617CB2" w14:paraId="07F873BC" w14:textId="77777777">
            <w:pPr>
              <w:spacing w:before="0" w:after="0" w:line="240" w:lineRule="auto"/>
              <w:ind w:left="0"/>
              <w:jc w:val="right"/>
            </w:pPr>
            <w:r w:rsidRPr="00617CB2">
              <w:t>$8,864,120***</w:t>
            </w:r>
          </w:p>
        </w:tc>
      </w:tr>
      <w:tr w14:paraId="151A923E" w14:textId="77777777" w:rsidTr="00617CB2">
        <w:tblPrEx>
          <w:tblW w:w="11448" w:type="dxa"/>
          <w:tblInd w:w="-1031" w:type="dxa"/>
          <w:tblLook w:val="04A0"/>
        </w:tblPrEx>
        <w:trPr>
          <w:cantSplit/>
        </w:trPr>
        <w:tc>
          <w:tcPr>
            <w:tcW w:w="1454" w:type="dxa"/>
            <w:tcBorders>
              <w:top w:val="single" w:sz="4" w:space="0" w:color="auto"/>
              <w:left w:val="single" w:sz="4" w:space="0" w:color="auto"/>
              <w:bottom w:val="single" w:sz="4" w:space="0" w:color="auto"/>
              <w:right w:val="single" w:sz="4" w:space="0" w:color="auto"/>
            </w:tcBorders>
            <w:hideMark/>
          </w:tcPr>
          <w:p w:rsidR="00617CB2" w:rsidRPr="00617CB2" w:rsidP="00617CB2" w14:paraId="05AF5043" w14:textId="77777777">
            <w:pPr>
              <w:spacing w:before="0" w:after="0" w:line="240" w:lineRule="auto"/>
              <w:ind w:left="0"/>
              <w:rPr>
                <w:b/>
                <w:bCs/>
              </w:rPr>
            </w:pPr>
            <w:r w:rsidRPr="00617CB2">
              <w:rPr>
                <w:b/>
                <w:bCs/>
              </w:rPr>
              <w:t>Totals</w:t>
            </w:r>
          </w:p>
        </w:tc>
        <w:tc>
          <w:tcPr>
            <w:tcW w:w="1523" w:type="dxa"/>
            <w:tcBorders>
              <w:top w:val="single" w:sz="4" w:space="0" w:color="auto"/>
              <w:left w:val="single" w:sz="4" w:space="0" w:color="auto"/>
              <w:bottom w:val="single" w:sz="4" w:space="0" w:color="auto"/>
              <w:right w:val="single" w:sz="4" w:space="0" w:color="auto"/>
            </w:tcBorders>
            <w:hideMark/>
          </w:tcPr>
          <w:p w:rsidR="00617CB2" w:rsidRPr="00617CB2" w:rsidP="00617CB2" w14:paraId="31A6C846" w14:textId="77777777">
            <w:pPr>
              <w:spacing w:before="0" w:after="0" w:line="240" w:lineRule="auto"/>
              <w:ind w:left="0"/>
              <w:jc w:val="right"/>
              <w:rPr>
                <w:b/>
                <w:bCs/>
              </w:rPr>
            </w:pPr>
            <w:r w:rsidRPr="00617CB2">
              <w:rPr>
                <w:b/>
                <w:bCs/>
              </w:rPr>
              <w:t>572,113</w:t>
            </w:r>
          </w:p>
        </w:tc>
        <w:tc>
          <w:tcPr>
            <w:tcW w:w="1310" w:type="dxa"/>
            <w:tcBorders>
              <w:top w:val="single" w:sz="4" w:space="0" w:color="auto"/>
              <w:left w:val="single" w:sz="4" w:space="0" w:color="auto"/>
              <w:bottom w:val="single" w:sz="4" w:space="0" w:color="auto"/>
              <w:right w:val="single" w:sz="4" w:space="0" w:color="auto"/>
            </w:tcBorders>
            <w:hideMark/>
          </w:tcPr>
          <w:p w:rsidR="00617CB2" w:rsidRPr="00617CB2" w:rsidP="00617CB2" w14:paraId="665DE62A" w14:textId="77777777">
            <w:pPr>
              <w:spacing w:before="0" w:after="0" w:line="240" w:lineRule="auto"/>
              <w:ind w:left="0"/>
              <w:jc w:val="right"/>
              <w:rPr>
                <w:b/>
                <w:bCs/>
              </w:rPr>
            </w:pPr>
          </w:p>
        </w:tc>
        <w:tc>
          <w:tcPr>
            <w:tcW w:w="1190" w:type="dxa"/>
            <w:tcBorders>
              <w:top w:val="single" w:sz="4" w:space="0" w:color="auto"/>
              <w:left w:val="single" w:sz="4" w:space="0" w:color="auto"/>
              <w:bottom w:val="single" w:sz="4" w:space="0" w:color="auto"/>
              <w:right w:val="single" w:sz="4" w:space="0" w:color="auto"/>
            </w:tcBorders>
            <w:hideMark/>
          </w:tcPr>
          <w:p w:rsidR="00617CB2" w:rsidRPr="00617CB2" w:rsidP="00617CB2" w14:paraId="3B53D710" w14:textId="77777777">
            <w:pPr>
              <w:spacing w:before="0" w:after="0" w:line="240" w:lineRule="auto"/>
              <w:ind w:left="0"/>
              <w:jc w:val="right"/>
              <w:rPr>
                <w:b/>
                <w:bCs/>
              </w:rPr>
            </w:pPr>
          </w:p>
        </w:tc>
        <w:tc>
          <w:tcPr>
            <w:tcW w:w="1256" w:type="dxa"/>
            <w:tcBorders>
              <w:top w:val="single" w:sz="4" w:space="0" w:color="auto"/>
              <w:left w:val="single" w:sz="4" w:space="0" w:color="auto"/>
              <w:bottom w:val="single" w:sz="4" w:space="0" w:color="auto"/>
              <w:right w:val="single" w:sz="4" w:space="0" w:color="auto"/>
            </w:tcBorders>
            <w:hideMark/>
          </w:tcPr>
          <w:p w:rsidR="00617CB2" w:rsidRPr="00617CB2" w:rsidP="00617CB2" w14:paraId="1A6E59AE" w14:textId="77777777">
            <w:pPr>
              <w:spacing w:before="0" w:after="0" w:line="240" w:lineRule="auto"/>
              <w:ind w:left="0"/>
              <w:jc w:val="right"/>
              <w:rPr>
                <w:b/>
                <w:bCs/>
              </w:rPr>
            </w:pPr>
            <w:r w:rsidRPr="00617CB2">
              <w:rPr>
                <w:b/>
                <w:bCs/>
              </w:rPr>
              <w:t>104,964</w:t>
            </w:r>
          </w:p>
        </w:tc>
        <w:tc>
          <w:tcPr>
            <w:tcW w:w="1389" w:type="dxa"/>
            <w:tcBorders>
              <w:top w:val="single" w:sz="4" w:space="0" w:color="auto"/>
              <w:left w:val="single" w:sz="4" w:space="0" w:color="auto"/>
              <w:bottom w:val="single" w:sz="4" w:space="0" w:color="auto"/>
              <w:right w:val="single" w:sz="4" w:space="0" w:color="auto"/>
            </w:tcBorders>
            <w:hideMark/>
          </w:tcPr>
          <w:p w:rsidR="00617CB2" w:rsidRPr="00617CB2" w:rsidP="00617CB2" w14:paraId="16732C06" w14:textId="77777777">
            <w:pPr>
              <w:spacing w:before="0" w:after="0" w:line="240" w:lineRule="auto"/>
              <w:ind w:left="0"/>
              <w:jc w:val="right"/>
              <w:rPr>
                <w:b/>
                <w:bCs/>
              </w:rPr>
            </w:pPr>
          </w:p>
        </w:tc>
        <w:tc>
          <w:tcPr>
            <w:tcW w:w="1550" w:type="dxa"/>
            <w:tcBorders>
              <w:top w:val="single" w:sz="4" w:space="0" w:color="auto"/>
              <w:left w:val="single" w:sz="4" w:space="0" w:color="auto"/>
              <w:bottom w:val="single" w:sz="4" w:space="0" w:color="auto"/>
              <w:right w:val="single" w:sz="4" w:space="0" w:color="auto"/>
            </w:tcBorders>
            <w:hideMark/>
          </w:tcPr>
          <w:p w:rsidR="00617CB2" w:rsidRPr="00617CB2" w:rsidP="00617CB2" w14:paraId="5B6CA46A" w14:textId="77777777">
            <w:pPr>
              <w:spacing w:before="0" w:after="0" w:line="240" w:lineRule="auto"/>
              <w:ind w:left="0"/>
              <w:jc w:val="right"/>
              <w:rPr>
                <w:b/>
                <w:bCs/>
              </w:rPr>
            </w:pPr>
          </w:p>
        </w:tc>
        <w:tc>
          <w:tcPr>
            <w:tcW w:w="1776" w:type="dxa"/>
            <w:tcBorders>
              <w:top w:val="single" w:sz="4" w:space="0" w:color="auto"/>
              <w:left w:val="single" w:sz="4" w:space="0" w:color="auto"/>
              <w:bottom w:val="single" w:sz="4" w:space="0" w:color="auto"/>
              <w:right w:val="single" w:sz="4" w:space="0" w:color="auto"/>
            </w:tcBorders>
            <w:hideMark/>
          </w:tcPr>
          <w:p w:rsidR="00617CB2" w:rsidRPr="00617CB2" w:rsidP="00617CB2" w14:paraId="71EC6639" w14:textId="77777777">
            <w:pPr>
              <w:spacing w:before="0" w:after="0" w:line="240" w:lineRule="auto"/>
              <w:ind w:left="0"/>
              <w:jc w:val="right"/>
              <w:rPr>
                <w:b/>
                <w:bCs/>
              </w:rPr>
            </w:pPr>
            <w:r w:rsidRPr="00617CB2">
              <w:rPr>
                <w:b/>
                <w:bCs/>
              </w:rPr>
              <w:t>$15,166,650***</w:t>
            </w:r>
          </w:p>
        </w:tc>
      </w:tr>
    </w:tbl>
    <w:p w:rsidR="00617CB2" w:rsidRPr="005D0DA8" w:rsidP="00617CB2" w14:paraId="73AEDDF5" w14:textId="77777777">
      <w:pPr>
        <w:spacing w:before="0" w:after="0" w:line="240" w:lineRule="auto"/>
        <w:ind w:left="1440"/>
      </w:pPr>
      <w:r w:rsidRPr="005D0DA8">
        <w:t>* We based this figure on average U.S. citizen’s hourly salary, as reported by Bureau of Labor Statistics data (</w:t>
      </w:r>
      <w:hyperlink r:id="rId6" w:anchor="/industry/000000" w:history="1">
        <w:r w:rsidRPr="005D0DA8">
          <w:rPr>
            <w:rStyle w:val="Hyperlink"/>
          </w:rPr>
          <w:t>Occupational Employment and Wage Statistics</w:t>
        </w:r>
      </w:hyperlink>
      <w:r w:rsidRPr="005D0DA8">
        <w:t>).</w:t>
      </w:r>
    </w:p>
    <w:p w:rsidR="008A127B" w:rsidP="00617CB2" w14:paraId="5933B787" w14:textId="77777777">
      <w:pPr>
        <w:autoSpaceDE w:val="0"/>
        <w:autoSpaceDN w:val="0"/>
        <w:adjustRightInd w:val="0"/>
        <w:spacing w:before="0" w:after="0" w:line="240" w:lineRule="auto"/>
        <w:ind w:left="1440"/>
      </w:pPr>
    </w:p>
    <w:p w:rsidR="00617CB2" w:rsidRPr="005D0DA8" w:rsidP="00617CB2" w14:paraId="1685FAF7" w14:textId="2E179173">
      <w:pPr>
        <w:autoSpaceDE w:val="0"/>
        <w:autoSpaceDN w:val="0"/>
        <w:adjustRightInd w:val="0"/>
        <w:spacing w:before="0" w:after="0" w:line="240" w:lineRule="auto"/>
        <w:ind w:left="1440"/>
      </w:pPr>
      <w:r w:rsidRPr="005D0DA8">
        <w:t>**</w:t>
      </w:r>
      <w:r w:rsidRPr="00424B49">
        <w:t>We based this figure on the average combined FY 2026 wait times for field offices (2</w:t>
      </w:r>
      <w:r>
        <w:t>3</w:t>
      </w:r>
      <w:r w:rsidRPr="00424B49">
        <w:t xml:space="preserve"> minutes) and for teleservice centers (5</w:t>
      </w:r>
      <w:r>
        <w:t>2</w:t>
      </w:r>
      <w:r w:rsidRPr="00424B49">
        <w:t xml:space="preserve"> minutes which includes the average speed of answer of 1</w:t>
      </w:r>
      <w:r>
        <w:t>1</w:t>
      </w:r>
      <w:r w:rsidRPr="00424B49">
        <w:t xml:space="preserve"> minutes as well as the average 41-minute wait time for a call back from an SSA technician), based on SSA’s current management information data.  This figure reflects both data from our systems and the data posted on our public facing website (</w:t>
      </w:r>
      <w:hyperlink r:id="rId7" w:history="1">
        <w:r w:rsidRPr="00424B49">
          <w:rPr>
            <w:rStyle w:val="Hyperlink"/>
          </w:rPr>
          <w:t>Social Security performance | SSA</w:t>
        </w:r>
      </w:hyperlink>
      <w:r w:rsidRPr="00424B49">
        <w:t>) on the date we drafted this document.  As the figures fluctuate daily, the wait times may be different on the website than they appear here.  We continue to monitor our website and management information data on call back times to ensure we report updated figures when possible</w:t>
      </w:r>
      <w:r w:rsidRPr="005D0DA8">
        <w:t>.  We note that we combined these two figures for the purposes of this information collection, as SSA does not track whether the respondents who complete the MCS interview do so via telephone or in person.  In addition, we did not calculate wait time for the respondents who use the paper form, as they submit the forms via mail.</w:t>
      </w:r>
    </w:p>
    <w:p w:rsidR="00617CB2" w:rsidRPr="005D0DA8" w:rsidP="00617CB2" w14:paraId="2CF98C0E" w14:textId="77777777">
      <w:pPr>
        <w:autoSpaceDE w:val="0"/>
        <w:autoSpaceDN w:val="0"/>
        <w:adjustRightInd w:val="0"/>
        <w:spacing w:before="0" w:after="0" w:line="240" w:lineRule="auto"/>
        <w:ind w:left="1440"/>
      </w:pPr>
      <w:r w:rsidRPr="005D0DA8">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5D0DA8">
        <w:rPr>
          <w:b/>
          <w:u w:val="single"/>
        </w:rPr>
        <w:t>There is no actual charge to respondents to complete the application</w:t>
      </w:r>
      <w:r w:rsidRPr="005D0DA8">
        <w:t>.</w:t>
      </w:r>
    </w:p>
    <w:p w:rsidR="00617CB2" w:rsidP="00617CB2" w14:paraId="5D2B46EA" w14:textId="77777777">
      <w:pPr>
        <w:spacing w:before="0" w:after="0" w:line="240" w:lineRule="auto"/>
        <w:rPr>
          <w:b/>
          <w:bCs/>
        </w:rPr>
      </w:pPr>
    </w:p>
    <w:p w:rsidR="0080252B" w:rsidRPr="0080252B" w:rsidP="00333033" w14:paraId="24CD57BF" w14:textId="6E83881A">
      <w:pPr>
        <w:rPr>
          <w:color w:val="000000"/>
        </w:rPr>
      </w:pPr>
      <w:r w:rsidRPr="0080252B">
        <w:t xml:space="preserve">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w:t>
      </w:r>
      <w:r w:rsidRPr="0080252B" w:rsidR="00ED28DB">
        <w:t>13.97-mile</w:t>
      </w:r>
      <w:r w:rsidRPr="0080252B">
        <w:t xml:space="preserve"> driving distance for one-way travel.  We depict this on the chart below:</w:t>
      </w:r>
    </w:p>
    <w:tbl>
      <w:tblPr>
        <w:tblStyle w:val="TableGrid2"/>
        <w:tblW w:w="0" w:type="auto"/>
        <w:jc w:val="center"/>
        <w:tblLook w:val="04A0"/>
      </w:tblPr>
      <w:tblGrid>
        <w:gridCol w:w="1783"/>
        <w:gridCol w:w="1310"/>
        <w:gridCol w:w="1767"/>
        <w:gridCol w:w="1620"/>
        <w:gridCol w:w="1710"/>
      </w:tblGrid>
      <w:tr w14:paraId="0D1C41C8" w14:textId="77777777" w:rsidTr="00F757FA">
        <w:tblPrEx>
          <w:tblW w:w="0" w:type="auto"/>
          <w:jc w:val="center"/>
          <w:tblLook w:val="04A0"/>
        </w:tblPrEx>
        <w:trPr>
          <w:jc w:val="center"/>
        </w:trPr>
        <w:tc>
          <w:tcPr>
            <w:tcW w:w="1783" w:type="dxa"/>
            <w:vAlign w:val="center"/>
          </w:tcPr>
          <w:p w:rsidR="0080252B" w:rsidRPr="00333033" w:rsidP="00F757FA" w14:paraId="74ABFCFF" w14:textId="77777777">
            <w:pPr>
              <w:spacing w:before="0" w:after="0" w:line="240" w:lineRule="auto"/>
              <w:ind w:left="0"/>
              <w:jc w:val="center"/>
              <w:rPr>
                <w:b/>
                <w:bCs/>
              </w:rPr>
            </w:pPr>
            <w:r w:rsidRPr="00FB47FD">
              <w:rPr>
                <w:b/>
                <w:bCs/>
              </w:rPr>
              <w:t>Total Number of Respondents Who Visit a Field Office</w:t>
            </w:r>
          </w:p>
        </w:tc>
        <w:tc>
          <w:tcPr>
            <w:tcW w:w="1310" w:type="dxa"/>
            <w:vAlign w:val="center"/>
          </w:tcPr>
          <w:p w:rsidR="00F757FA" w:rsidP="00F757FA" w14:paraId="2DB6797C" w14:textId="77777777">
            <w:pPr>
              <w:spacing w:before="0" w:after="0" w:line="240" w:lineRule="auto"/>
              <w:ind w:left="0"/>
              <w:jc w:val="center"/>
              <w:rPr>
                <w:b/>
                <w:bCs/>
              </w:rPr>
            </w:pPr>
            <w:r w:rsidRPr="00333033">
              <w:rPr>
                <w:b/>
                <w:bCs/>
              </w:rPr>
              <w:t xml:space="preserve">Frequency </w:t>
            </w:r>
          </w:p>
          <w:p w:rsidR="00F757FA" w:rsidP="00F757FA" w14:paraId="7FC1CD14" w14:textId="77777777">
            <w:pPr>
              <w:spacing w:before="0" w:after="0" w:line="240" w:lineRule="auto"/>
              <w:ind w:left="0"/>
              <w:jc w:val="center"/>
              <w:rPr>
                <w:b/>
                <w:bCs/>
              </w:rPr>
            </w:pPr>
            <w:r w:rsidRPr="00333033">
              <w:rPr>
                <w:b/>
                <w:bCs/>
              </w:rPr>
              <w:t xml:space="preserve">of </w:t>
            </w:r>
          </w:p>
          <w:p w:rsidR="0080252B" w:rsidRPr="00333033" w:rsidP="00F757FA" w14:paraId="0515AED6" w14:textId="4C5F5161">
            <w:pPr>
              <w:spacing w:before="0" w:after="0" w:line="240" w:lineRule="auto"/>
              <w:ind w:left="0"/>
              <w:jc w:val="center"/>
              <w:rPr>
                <w:b/>
                <w:bCs/>
              </w:rPr>
            </w:pPr>
            <w:r w:rsidRPr="00333033">
              <w:rPr>
                <w:b/>
                <w:bCs/>
              </w:rPr>
              <w:t>Response</w:t>
            </w:r>
          </w:p>
        </w:tc>
        <w:tc>
          <w:tcPr>
            <w:tcW w:w="1767" w:type="dxa"/>
            <w:vAlign w:val="center"/>
          </w:tcPr>
          <w:p w:rsidR="0080252B" w:rsidRPr="00333033" w:rsidP="00F757FA" w14:paraId="2BE1064F" w14:textId="77777777">
            <w:pPr>
              <w:spacing w:before="0" w:after="0" w:line="240" w:lineRule="auto"/>
              <w:ind w:left="0"/>
              <w:jc w:val="center"/>
              <w:rPr>
                <w:b/>
                <w:bCs/>
              </w:rPr>
            </w:pPr>
            <w:r w:rsidRPr="00333033">
              <w:rPr>
                <w:b/>
                <w:bCs/>
              </w:rPr>
              <w:t>Average One-Way Travel Time to a Field Office (minutes)</w:t>
            </w:r>
          </w:p>
        </w:tc>
        <w:tc>
          <w:tcPr>
            <w:tcW w:w="1620" w:type="dxa"/>
            <w:vAlign w:val="center"/>
          </w:tcPr>
          <w:p w:rsidR="0080252B" w:rsidRPr="00333033" w:rsidP="00F757FA" w14:paraId="72BBD1DF" w14:textId="77777777">
            <w:pPr>
              <w:spacing w:before="0" w:after="0" w:line="240" w:lineRule="auto"/>
              <w:ind w:left="0"/>
              <w:jc w:val="center"/>
              <w:rPr>
                <w:b/>
                <w:bCs/>
              </w:rPr>
            </w:pPr>
            <w:r w:rsidRPr="00333033">
              <w:rPr>
                <w:b/>
                <w:bCs/>
              </w:rPr>
              <w:t>Estimated Total Travel Time to a Field Office (hours)</w:t>
            </w:r>
          </w:p>
        </w:tc>
        <w:tc>
          <w:tcPr>
            <w:tcW w:w="1710" w:type="dxa"/>
            <w:vAlign w:val="center"/>
          </w:tcPr>
          <w:p w:rsidR="0080252B" w:rsidRPr="00333033" w:rsidP="00F757FA" w14:paraId="2A6F5BAA" w14:textId="77777777">
            <w:pPr>
              <w:spacing w:before="0" w:after="0" w:line="240" w:lineRule="auto"/>
              <w:ind w:left="0"/>
              <w:jc w:val="center"/>
              <w:rPr>
                <w:b/>
                <w:bCs/>
              </w:rPr>
            </w:pPr>
            <w:r w:rsidRPr="00333033">
              <w:rPr>
                <w:b/>
                <w:bCs/>
              </w:rPr>
              <w:t>Total Annual Opportunity Cost for Travel Time (dollars)****</w:t>
            </w:r>
          </w:p>
        </w:tc>
      </w:tr>
      <w:tr w14:paraId="703E0950" w14:textId="77777777" w:rsidTr="00F757FA">
        <w:tblPrEx>
          <w:tblW w:w="0" w:type="auto"/>
          <w:jc w:val="center"/>
          <w:tblLook w:val="04A0"/>
        </w:tblPrEx>
        <w:trPr>
          <w:jc w:val="center"/>
        </w:trPr>
        <w:tc>
          <w:tcPr>
            <w:tcW w:w="1783" w:type="dxa"/>
          </w:tcPr>
          <w:p w:rsidR="0080252B" w:rsidRPr="0080252B" w:rsidP="00CE4376" w14:paraId="101451E7" w14:textId="53770D42">
            <w:pPr>
              <w:spacing w:before="0" w:after="0" w:line="240" w:lineRule="auto"/>
              <w:ind w:left="0"/>
            </w:pPr>
            <w:r>
              <w:t>567</w:t>
            </w:r>
            <w:r w:rsidR="00EB5C9B">
              <w:t>,</w:t>
            </w:r>
            <w:r>
              <w:t>499</w:t>
            </w:r>
          </w:p>
        </w:tc>
        <w:tc>
          <w:tcPr>
            <w:tcW w:w="1310" w:type="dxa"/>
          </w:tcPr>
          <w:p w:rsidR="0080252B" w:rsidRPr="0080252B" w:rsidP="00333033" w14:paraId="7696BFE4" w14:textId="77777777">
            <w:pPr>
              <w:spacing w:before="0" w:after="0" w:line="240" w:lineRule="auto"/>
              <w:ind w:left="0"/>
              <w:jc w:val="right"/>
            </w:pPr>
            <w:r w:rsidRPr="0080252B">
              <w:t>1</w:t>
            </w:r>
          </w:p>
        </w:tc>
        <w:tc>
          <w:tcPr>
            <w:tcW w:w="1767" w:type="dxa"/>
          </w:tcPr>
          <w:p w:rsidR="0080252B" w:rsidRPr="0080252B" w:rsidP="00333033" w14:paraId="104C77C8" w14:textId="77777777">
            <w:pPr>
              <w:spacing w:before="0" w:after="0" w:line="240" w:lineRule="auto"/>
              <w:ind w:left="0"/>
              <w:jc w:val="right"/>
            </w:pPr>
            <w:r w:rsidRPr="0080252B">
              <w:t>30</w:t>
            </w:r>
          </w:p>
        </w:tc>
        <w:tc>
          <w:tcPr>
            <w:tcW w:w="1620" w:type="dxa"/>
          </w:tcPr>
          <w:p w:rsidR="0080252B" w:rsidRPr="0080252B" w:rsidP="00333033" w14:paraId="609BE123" w14:textId="52AA37B5">
            <w:pPr>
              <w:spacing w:before="0" w:after="0" w:line="240" w:lineRule="auto"/>
              <w:ind w:left="0"/>
              <w:jc w:val="right"/>
            </w:pPr>
            <w:r>
              <w:t>283,750</w:t>
            </w:r>
          </w:p>
        </w:tc>
        <w:tc>
          <w:tcPr>
            <w:tcW w:w="1710" w:type="dxa"/>
          </w:tcPr>
          <w:p w:rsidR="0080252B" w:rsidRPr="0080252B" w:rsidP="00333033" w14:paraId="5718DF5E" w14:textId="3150E67A">
            <w:pPr>
              <w:spacing w:before="0" w:after="0" w:line="240" w:lineRule="auto"/>
              <w:ind w:left="0"/>
              <w:jc w:val="right"/>
            </w:pPr>
            <w:r w:rsidRPr="00FB47FD">
              <w:t>$</w:t>
            </w:r>
            <w:r w:rsidR="008A127B">
              <w:t>2,802,783</w:t>
            </w:r>
            <w:r w:rsidRPr="00FB47FD">
              <w:t>***</w:t>
            </w:r>
          </w:p>
        </w:tc>
      </w:tr>
    </w:tbl>
    <w:p w:rsidR="0080252B" w:rsidRPr="0080252B" w:rsidP="00333033" w14:paraId="16F83F0C" w14:textId="77777777">
      <w:r w:rsidRPr="0080252B">
        <w:t xml:space="preserve">****We based this dollar amount on the Average Theoretical Hourly Cost Amount in dollars shown on the burden chart above.  </w:t>
      </w:r>
    </w:p>
    <w:p w:rsidR="0080252B" w:rsidP="00333033" w14:paraId="4C9761EF" w14:textId="77777777">
      <w:r w:rsidRPr="0080252B">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 </w:t>
      </w:r>
    </w:p>
    <w:p w:rsidR="00CE4376" w:rsidP="00CE4376" w14:paraId="60B01A1D" w14:textId="77777777">
      <w:r>
        <w:t>NOTE:  We included the total opportunity cost estimate from this chart in our calculations when showing the total time and opportunity cost estimates in the paragraph below.</w:t>
      </w:r>
    </w:p>
    <w:p w:rsidR="00CE4376" w:rsidRPr="0080252B" w:rsidP="00333033" w14:paraId="419DE03B" w14:textId="77777777"/>
    <w:tbl>
      <w:tblPr>
        <w:tblpPr w:leftFromText="180" w:rightFromText="180" w:vertAnchor="text" w:horzAnchor="margin" w:tblpXSpec="right" w:tblpY="1597"/>
        <w:tblW w:w="8545"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615"/>
        <w:gridCol w:w="1560"/>
        <w:gridCol w:w="1684"/>
        <w:gridCol w:w="1894"/>
        <w:gridCol w:w="1792"/>
      </w:tblGrid>
      <w:tr w14:paraId="7B2D341A" w14:textId="77777777" w:rsidTr="00CE4376">
        <w:tblPrEx>
          <w:tblW w:w="8545"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tblPrEx>
        <w:trPr>
          <w:trHeight w:val="520"/>
        </w:trPr>
        <w:tc>
          <w:tcPr>
            <w:tcW w:w="1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4376" w:rsidRPr="008A127B" w:rsidP="00CE4376" w14:paraId="4E9EB2C5" w14:textId="77777777">
            <w:pPr>
              <w:spacing w:before="0" w:after="0" w:line="240" w:lineRule="auto"/>
              <w:ind w:left="0"/>
              <w:rPr>
                <w:b/>
                <w:bCs/>
              </w:rPr>
            </w:pPr>
            <w:r w:rsidRPr="008A127B">
              <w:rPr>
                <w:b/>
                <w:bCs/>
              </w:rPr>
              <w:t xml:space="preserve">Total Number of Respondents </w:t>
            </w:r>
          </w:p>
        </w:tc>
        <w:tc>
          <w:tcPr>
            <w:tcW w:w="1560" w:type="dxa"/>
            <w:tcBorders>
              <w:left w:val="single" w:sz="4" w:space="0" w:color="auto"/>
            </w:tcBorders>
            <w:tcMar>
              <w:top w:w="0" w:type="dxa"/>
              <w:left w:w="108" w:type="dxa"/>
              <w:bottom w:w="0" w:type="dxa"/>
              <w:right w:w="108" w:type="dxa"/>
            </w:tcMar>
            <w:hideMark/>
          </w:tcPr>
          <w:p w:rsidR="00CE4376" w:rsidRPr="00EB5C9B" w:rsidP="00CE4376" w14:paraId="393D03DD" w14:textId="77777777">
            <w:pPr>
              <w:spacing w:before="0" w:after="0" w:line="240" w:lineRule="auto"/>
              <w:ind w:left="0"/>
              <w:rPr>
                <w:b/>
                <w:bCs/>
              </w:rPr>
            </w:pPr>
            <w:r w:rsidRPr="00EB5C9B">
              <w:rPr>
                <w:b/>
                <w:bCs/>
              </w:rPr>
              <w:t>Frequency of Response</w:t>
            </w:r>
          </w:p>
        </w:tc>
        <w:tc>
          <w:tcPr>
            <w:tcW w:w="1684" w:type="dxa"/>
            <w:tcMar>
              <w:top w:w="0" w:type="dxa"/>
              <w:left w:w="108" w:type="dxa"/>
              <w:bottom w:w="0" w:type="dxa"/>
              <w:right w:w="108" w:type="dxa"/>
            </w:tcMar>
            <w:hideMark/>
          </w:tcPr>
          <w:p w:rsidR="00CE4376" w:rsidRPr="00EB5C9B" w:rsidP="00CE4376" w14:paraId="74C9F605" w14:textId="77777777">
            <w:pPr>
              <w:spacing w:before="0" w:after="0" w:line="240" w:lineRule="auto"/>
              <w:ind w:left="0"/>
              <w:rPr>
                <w:b/>
                <w:bCs/>
              </w:rPr>
            </w:pPr>
            <w:r w:rsidRPr="00EB5C9B">
              <w:rPr>
                <w:b/>
                <w:bCs/>
              </w:rPr>
              <w:t>Estimate Learning Cost (minutes)</w:t>
            </w:r>
          </w:p>
        </w:tc>
        <w:tc>
          <w:tcPr>
            <w:tcW w:w="1894" w:type="dxa"/>
            <w:tcMar>
              <w:top w:w="0" w:type="dxa"/>
              <w:left w:w="108" w:type="dxa"/>
              <w:bottom w:w="0" w:type="dxa"/>
              <w:right w:w="108" w:type="dxa"/>
            </w:tcMar>
            <w:hideMark/>
          </w:tcPr>
          <w:p w:rsidR="00CE4376" w:rsidRPr="00EB5C9B" w:rsidP="00CE4376" w14:paraId="02F01BA0" w14:textId="77777777">
            <w:pPr>
              <w:spacing w:before="0" w:after="0" w:line="240" w:lineRule="auto"/>
              <w:ind w:left="0"/>
              <w:rPr>
                <w:b/>
                <w:bCs/>
              </w:rPr>
            </w:pPr>
            <w:r w:rsidRPr="00EB5C9B">
              <w:rPr>
                <w:b/>
                <w:bCs/>
              </w:rPr>
              <w:t>Estimated Total Annual Burden (hours)</w:t>
            </w:r>
          </w:p>
        </w:tc>
        <w:tc>
          <w:tcPr>
            <w:tcW w:w="1792" w:type="dxa"/>
            <w:tcMar>
              <w:top w:w="0" w:type="dxa"/>
              <w:left w:w="108" w:type="dxa"/>
              <w:bottom w:w="0" w:type="dxa"/>
              <w:right w:w="108" w:type="dxa"/>
            </w:tcMar>
            <w:hideMark/>
          </w:tcPr>
          <w:p w:rsidR="00CE4376" w:rsidRPr="00EB5C9B" w:rsidP="00CE4376" w14:paraId="50607BB3" w14:textId="77777777">
            <w:pPr>
              <w:spacing w:before="0" w:after="0" w:line="240" w:lineRule="auto"/>
              <w:ind w:left="0"/>
              <w:rPr>
                <w:b/>
                <w:bCs/>
              </w:rPr>
            </w:pPr>
            <w:r w:rsidRPr="00EB5C9B">
              <w:rPr>
                <w:b/>
                <w:bCs/>
              </w:rPr>
              <w:t>Total Annual</w:t>
            </w:r>
          </w:p>
          <w:p w:rsidR="00CE4376" w:rsidRPr="00EB5C9B" w:rsidP="00CE4376" w14:paraId="2076732C" w14:textId="77777777">
            <w:pPr>
              <w:spacing w:before="0" w:after="0" w:line="240" w:lineRule="auto"/>
              <w:ind w:left="0"/>
              <w:rPr>
                <w:b/>
                <w:bCs/>
              </w:rPr>
            </w:pPr>
            <w:r w:rsidRPr="00EB5C9B">
              <w:rPr>
                <w:b/>
                <w:bCs/>
              </w:rPr>
              <w:t xml:space="preserve"> Learning Cost (dollars)*****</w:t>
            </w:r>
          </w:p>
        </w:tc>
      </w:tr>
      <w:tr w14:paraId="5790726F" w14:textId="77777777" w:rsidTr="00CE4376">
        <w:tblPrEx>
          <w:tblW w:w="8545" w:type="dxa"/>
          <w:tblLayout w:type="fixed"/>
          <w:tblCellMar>
            <w:left w:w="0" w:type="dxa"/>
            <w:right w:w="0" w:type="dxa"/>
          </w:tblCellMar>
          <w:tblLook w:val="04A0"/>
        </w:tblPrEx>
        <w:trPr>
          <w:trHeight w:val="283"/>
        </w:trPr>
        <w:tc>
          <w:tcPr>
            <w:tcW w:w="1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4376" w:rsidRPr="008A127B" w:rsidP="00CE4376" w14:paraId="1034B07A" w14:textId="77777777">
            <w:pPr>
              <w:spacing w:before="0" w:after="0" w:line="240" w:lineRule="auto"/>
              <w:ind w:left="0"/>
              <w:rPr>
                <w:b/>
                <w:bCs/>
              </w:rPr>
            </w:pPr>
            <w:r w:rsidRPr="008A127B">
              <w:rPr>
                <w:b/>
                <w:bCs/>
              </w:rPr>
              <w:t>572,113</w:t>
            </w:r>
          </w:p>
        </w:tc>
        <w:tc>
          <w:tcPr>
            <w:tcW w:w="1560" w:type="dxa"/>
            <w:tcBorders>
              <w:left w:val="single" w:sz="4" w:space="0" w:color="auto"/>
            </w:tcBorders>
            <w:tcMar>
              <w:top w:w="0" w:type="dxa"/>
              <w:left w:w="108" w:type="dxa"/>
              <w:bottom w:w="0" w:type="dxa"/>
              <w:right w:w="108" w:type="dxa"/>
            </w:tcMar>
            <w:hideMark/>
          </w:tcPr>
          <w:p w:rsidR="00CE4376" w:rsidRPr="00EB5C9B" w:rsidP="00CE4376" w14:paraId="5062E281" w14:textId="77777777">
            <w:pPr>
              <w:spacing w:before="0" w:after="0" w:line="240" w:lineRule="auto"/>
              <w:jc w:val="right"/>
              <w:rPr>
                <w:b/>
                <w:bCs/>
              </w:rPr>
            </w:pPr>
            <w:r w:rsidRPr="00EB5C9B">
              <w:rPr>
                <w:b/>
                <w:bCs/>
              </w:rPr>
              <w:t>1</w:t>
            </w:r>
          </w:p>
        </w:tc>
        <w:tc>
          <w:tcPr>
            <w:tcW w:w="1684" w:type="dxa"/>
            <w:tcMar>
              <w:top w:w="0" w:type="dxa"/>
              <w:left w:w="108" w:type="dxa"/>
              <w:bottom w:w="0" w:type="dxa"/>
              <w:right w:w="108" w:type="dxa"/>
            </w:tcMar>
            <w:hideMark/>
          </w:tcPr>
          <w:p w:rsidR="00CE4376" w:rsidRPr="00EB5C9B" w:rsidP="00CE4376" w14:paraId="7C9852D0" w14:textId="77777777">
            <w:pPr>
              <w:spacing w:before="0" w:after="0" w:line="240" w:lineRule="auto"/>
              <w:jc w:val="right"/>
              <w:rPr>
                <w:b/>
                <w:bCs/>
              </w:rPr>
            </w:pPr>
            <w:r w:rsidRPr="00EB5C9B">
              <w:rPr>
                <w:b/>
                <w:bCs/>
              </w:rPr>
              <w:t>9</w:t>
            </w:r>
          </w:p>
        </w:tc>
        <w:tc>
          <w:tcPr>
            <w:tcW w:w="1894" w:type="dxa"/>
            <w:tcMar>
              <w:top w:w="0" w:type="dxa"/>
              <w:left w:w="108" w:type="dxa"/>
              <w:bottom w:w="0" w:type="dxa"/>
              <w:right w:w="108" w:type="dxa"/>
            </w:tcMar>
            <w:hideMark/>
          </w:tcPr>
          <w:p w:rsidR="00CE4376" w:rsidRPr="00EB5C9B" w:rsidP="00CE4376" w14:paraId="7AAE019A" w14:textId="77777777">
            <w:pPr>
              <w:spacing w:before="0" w:after="0" w:line="240" w:lineRule="auto"/>
              <w:jc w:val="right"/>
              <w:rPr>
                <w:b/>
                <w:bCs/>
              </w:rPr>
            </w:pPr>
            <w:r>
              <w:rPr>
                <w:b/>
                <w:bCs/>
              </w:rPr>
              <w:t>85,817</w:t>
            </w:r>
          </w:p>
        </w:tc>
        <w:tc>
          <w:tcPr>
            <w:tcW w:w="1792" w:type="dxa"/>
            <w:tcMar>
              <w:top w:w="0" w:type="dxa"/>
              <w:left w:w="108" w:type="dxa"/>
              <w:bottom w:w="0" w:type="dxa"/>
              <w:right w:w="108" w:type="dxa"/>
            </w:tcMar>
            <w:hideMark/>
          </w:tcPr>
          <w:p w:rsidR="00CE4376" w:rsidRPr="00EB5C9B" w:rsidP="00CE4376" w14:paraId="00805D85" w14:textId="68E80B32">
            <w:pPr>
              <w:spacing w:before="0" w:after="0" w:line="240" w:lineRule="auto"/>
              <w:ind w:left="0"/>
              <w:jc w:val="right"/>
              <w:rPr>
                <w:b/>
                <w:bCs/>
              </w:rPr>
            </w:pPr>
            <w:r w:rsidRPr="00EB5C9B">
              <w:rPr>
                <w:b/>
                <w:bCs/>
              </w:rPr>
              <w:t>$2,042,445</w:t>
            </w:r>
            <w:r>
              <w:rPr>
                <w:b/>
                <w:bCs/>
              </w:rPr>
              <w:t>****</w:t>
            </w:r>
          </w:p>
        </w:tc>
      </w:tr>
    </w:tbl>
    <w:p w:rsidR="00D70D01" w:rsidP="00D70D01" w14:paraId="100FB86A" w14:textId="77777777">
      <w:pPr>
        <w:rPr>
          <w:rFonts w:eastAsiaTheme="minorHAnsi"/>
        </w:rPr>
      </w:pPr>
      <w: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CE4376" w:rsidP="00CE4376" w14:paraId="5485308D" w14:textId="77777777">
      <w:r>
        <w:t>*****We based this dollar amount on the Average Theoretical Hourly Cost Amount in dollars shown on the burden chart above.</w:t>
      </w:r>
    </w:p>
    <w:p w:rsidR="00CE4376" w:rsidP="00CE4376" w14:paraId="059774DD" w14:textId="77777777">
      <w:r>
        <w:t>NOTE:  We included the total opportunity cost estimate from this chart in our calculations when showing the total time and opportunity cost estimates in the paragraph below.</w:t>
      </w:r>
    </w:p>
    <w:p w:rsidR="00CE4376" w:rsidRPr="00CE4376" w:rsidP="00CE4376" w14:paraId="0811BF8F" w14:textId="76D3B6BE">
      <w:pPr>
        <w:pStyle w:val="ListParagraph"/>
      </w:pPr>
      <w:r w:rsidRPr="00CE4376">
        <w:rPr>
          <w:noProof/>
        </w:rPr>
        <w:t xml:space="preserve">We base our burden estimates on current management information data, which includes data from actual interviews, as well as from years of conducting this information collection.  Per our management information data, we believe that </w:t>
      </w:r>
      <w:r>
        <w:rPr>
          <w:b/>
          <w:bCs/>
          <w:noProof/>
        </w:rPr>
        <w:t>11 and 12</w:t>
      </w:r>
      <w:r w:rsidRPr="00CE4376">
        <w:rPr>
          <w:noProof/>
        </w:rPr>
        <w:t xml:space="preserve"> minutes accurately shows the average burden per response for </w:t>
      </w:r>
      <w:r w:rsidRPr="00CE4376">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CE4376">
        <w:rPr>
          <w:noProof/>
        </w:rPr>
        <w:t>.  Based on our current management information data, the current burden information we provided is accurate</w:t>
      </w:r>
      <w:r w:rsidRPr="00CE4376">
        <w:t xml:space="preserve">.  The total burden for this ICR is </w:t>
      </w:r>
      <w:r w:rsidRPr="00617CB2">
        <w:rPr>
          <w:b/>
          <w:bCs/>
        </w:rPr>
        <w:t>104,964</w:t>
      </w:r>
      <w:r>
        <w:rPr>
          <w:b/>
          <w:bCs/>
        </w:rPr>
        <w:t xml:space="preserve"> </w:t>
      </w:r>
      <w:r w:rsidRPr="00CE4376">
        <w:t xml:space="preserve">burden hours (reflecting SSA management information data), which results in an associated theoretical (not actual) opportunity cost financial burden of </w:t>
      </w:r>
      <w:r w:rsidRPr="00CE4376">
        <w:rPr>
          <w:b/>
        </w:rPr>
        <w:t>$</w:t>
      </w:r>
      <w:r w:rsidRPr="00CE4376">
        <w:rPr>
          <w:b/>
        </w:rPr>
        <w:t>20,</w:t>
      </w:r>
      <w:r>
        <w:rPr>
          <w:b/>
        </w:rPr>
        <w:t>011,888</w:t>
      </w:r>
      <w:r w:rsidRPr="00CE4376">
        <w:t>.  SSA does not charge respondents to complete our applications.</w:t>
      </w:r>
    </w:p>
    <w:p w:rsidR="00CE4376" w:rsidP="00CE4376" w14:paraId="4A7062A5" w14:textId="7FF627FB">
      <w:pPr>
        <w:spacing w:before="0" w:after="0" w:line="240" w:lineRule="auto"/>
        <w:ind w:left="0"/>
      </w:pPr>
    </w:p>
    <w:p w:rsidR="00075EC0" w:rsidRPr="00333033" w:rsidP="00CE4376" w14:paraId="4D77CB46" w14:textId="2C4A4BDB">
      <w:pPr>
        <w:spacing w:before="0" w:after="0" w:line="240" w:lineRule="auto"/>
        <w:ind w:left="450" w:hanging="90"/>
        <w:rPr>
          <w:b/>
          <w:bCs/>
        </w:rPr>
      </w:pPr>
      <w:r w:rsidRPr="00333033">
        <w:rPr>
          <w:b/>
          <w:bCs/>
        </w:rPr>
        <w:t xml:space="preserve">13. Annual Cost to the Respondents (Other) </w:t>
      </w:r>
    </w:p>
    <w:p w:rsidR="00075EC0" w:rsidP="00CE4376" w14:paraId="07BE20C3" w14:textId="77777777">
      <w:pPr>
        <w:spacing w:before="0" w:after="0" w:line="240" w:lineRule="auto"/>
      </w:pPr>
      <w:r w:rsidRPr="00075EC0">
        <w:t xml:space="preserve">This collection does not impose a known cost burden on the respondents.   </w:t>
      </w:r>
    </w:p>
    <w:p w:rsidR="00CE4376" w:rsidRPr="00075EC0" w:rsidP="00CE4376" w14:paraId="1C467D46" w14:textId="77777777">
      <w:pPr>
        <w:spacing w:before="0" w:after="0" w:line="240" w:lineRule="auto"/>
      </w:pPr>
    </w:p>
    <w:p w:rsidR="00075EC0" w:rsidRPr="00333033" w:rsidP="00CE4376" w14:paraId="0581E2BF" w14:textId="77777777">
      <w:pPr>
        <w:pStyle w:val="ListParagraph"/>
        <w:numPr>
          <w:ilvl w:val="0"/>
          <w:numId w:val="5"/>
        </w:numPr>
        <w:tabs>
          <w:tab w:val="clear" w:pos="360"/>
          <w:tab w:val="num" w:pos="810"/>
        </w:tabs>
        <w:spacing w:before="0" w:after="0" w:line="240" w:lineRule="auto"/>
        <w:ind w:left="720"/>
        <w:rPr>
          <w:b/>
          <w:bCs/>
        </w:rPr>
      </w:pPr>
      <w:r w:rsidRPr="00333033">
        <w:rPr>
          <w:b/>
          <w:bCs/>
        </w:rPr>
        <w:t>Annual Cost To Federal Government</w:t>
      </w:r>
    </w:p>
    <w:p w:rsidR="00A3539C" w:rsidP="00CE4376" w14:paraId="62E46F55" w14:textId="60BCAC68">
      <w:pPr>
        <w:spacing w:before="0" w:after="0" w:line="240" w:lineRule="auto"/>
        <w:rPr>
          <w:color w:val="000000"/>
        </w:rPr>
      </w:pPr>
      <w:r w:rsidRPr="00F757FA">
        <w:t xml:space="preserve">The annual cost to the Federal Government is approximately </w:t>
      </w:r>
      <w:r w:rsidRPr="007E0398">
        <w:t>$</w:t>
      </w:r>
      <w:r w:rsidRPr="007E0398" w:rsidR="00E26470">
        <w:t>7</w:t>
      </w:r>
      <w:r w:rsidRPr="007E0398" w:rsidR="00B418FB">
        <w:t>,</w:t>
      </w:r>
      <w:r w:rsidRPr="007E0398" w:rsidR="00A000DB">
        <w:t>039</w:t>
      </w:r>
      <w:r w:rsidRPr="007E0398" w:rsidR="00B418FB">
        <w:t>,</w:t>
      </w:r>
      <w:r w:rsidRPr="007E0398" w:rsidR="00A000DB">
        <w:t>390</w:t>
      </w:r>
      <w:r w:rsidRPr="00F757FA" w:rsidR="002F7CFC">
        <w:rPr>
          <w:i/>
        </w:rPr>
        <w:t>.</w:t>
      </w:r>
      <w:r w:rsidRPr="00A3539C">
        <w:rPr>
          <w:i/>
        </w:rPr>
        <w:t xml:space="preserve">  </w:t>
      </w:r>
      <w:r w:rsidRPr="00A3539C">
        <w:rPr>
          <w:color w:val="000000"/>
        </w:rPr>
        <w:t>This estimate accounts for costs from the following areas:</w:t>
      </w:r>
    </w:p>
    <w:p w:rsidR="00CE4376" w:rsidP="00CE4376" w14:paraId="248B4361" w14:textId="77777777">
      <w:pPr>
        <w:spacing w:before="0" w:after="0" w:line="240" w:lineRule="auto"/>
        <w:rPr>
          <w:color w:val="000000"/>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1"/>
        <w:gridCol w:w="3117"/>
        <w:gridCol w:w="3117"/>
      </w:tblGrid>
      <w:tr w14:paraId="521A4CD3" w14:textId="77777777" w:rsidTr="00CE4376">
        <w:tblPrEx>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11" w:type="dxa"/>
          </w:tcPr>
          <w:p w:rsidR="00CE4376" w:rsidRPr="00003983" w:rsidP="00217216" w14:paraId="679822CD" w14:textId="77777777">
            <w:pPr>
              <w:pStyle w:val="ListParagraph"/>
              <w:ind w:left="0"/>
              <w:rPr>
                <w:b/>
                <w:bCs/>
                <w:color w:val="000000"/>
              </w:rPr>
            </w:pPr>
            <w:r w:rsidRPr="00003983">
              <w:rPr>
                <w:b/>
                <w:bCs/>
                <w:color w:val="000000"/>
              </w:rPr>
              <w:t>Description of Cost Factor</w:t>
            </w:r>
          </w:p>
        </w:tc>
        <w:tc>
          <w:tcPr>
            <w:tcW w:w="3117" w:type="dxa"/>
          </w:tcPr>
          <w:p w:rsidR="00CE4376" w:rsidRPr="00003983" w:rsidP="00217216" w14:paraId="527C09AF" w14:textId="77777777">
            <w:pPr>
              <w:pStyle w:val="ListParagraph"/>
              <w:ind w:left="0"/>
              <w:rPr>
                <w:b/>
                <w:bCs/>
                <w:color w:val="000000"/>
              </w:rPr>
            </w:pPr>
            <w:r w:rsidRPr="00003983">
              <w:rPr>
                <w:b/>
                <w:bCs/>
                <w:color w:val="000000"/>
              </w:rPr>
              <w:t>Methodology for Estimating Cost</w:t>
            </w:r>
          </w:p>
        </w:tc>
        <w:tc>
          <w:tcPr>
            <w:tcW w:w="3117" w:type="dxa"/>
          </w:tcPr>
          <w:p w:rsidR="00CE4376" w:rsidRPr="00003983" w:rsidP="00217216" w14:paraId="7B8C5809" w14:textId="77777777">
            <w:pPr>
              <w:pStyle w:val="ListParagraph"/>
              <w:ind w:left="0"/>
              <w:rPr>
                <w:b/>
                <w:bCs/>
                <w:color w:val="000000"/>
              </w:rPr>
            </w:pPr>
            <w:r w:rsidRPr="00003983">
              <w:rPr>
                <w:b/>
                <w:bCs/>
                <w:color w:val="000000"/>
              </w:rPr>
              <w:t>Cost in Dollars*</w:t>
            </w:r>
          </w:p>
        </w:tc>
      </w:tr>
      <w:tr w14:paraId="6A90A8CE" w14:textId="77777777" w:rsidTr="00CE4376">
        <w:tblPrEx>
          <w:tblW w:w="0" w:type="auto"/>
          <w:tblInd w:w="805" w:type="dxa"/>
          <w:tblLook w:val="04A0"/>
        </w:tblPrEx>
        <w:tc>
          <w:tcPr>
            <w:tcW w:w="2311" w:type="dxa"/>
          </w:tcPr>
          <w:p w:rsidR="00CE4376" w:rsidRPr="00003983" w:rsidP="00217216" w14:paraId="560228B9" w14:textId="77777777">
            <w:pPr>
              <w:pStyle w:val="ListParagraph"/>
              <w:ind w:left="0"/>
              <w:rPr>
                <w:color w:val="000000"/>
              </w:rPr>
            </w:pPr>
            <w:r w:rsidRPr="00003983">
              <w:rPr>
                <w:color w:val="000000"/>
              </w:rPr>
              <w:t>Designing and Printing the Form</w:t>
            </w:r>
          </w:p>
        </w:tc>
        <w:tc>
          <w:tcPr>
            <w:tcW w:w="3117" w:type="dxa"/>
          </w:tcPr>
          <w:p w:rsidR="00CE4376" w:rsidRPr="00003983" w:rsidP="00217216" w14:paraId="2BE11487" w14:textId="77777777">
            <w:pPr>
              <w:pStyle w:val="ListParagraph"/>
              <w:ind w:left="0"/>
              <w:rPr>
                <w:color w:val="000000"/>
              </w:rPr>
            </w:pPr>
            <w:r w:rsidRPr="00003983">
              <w:rPr>
                <w:color w:val="000000"/>
              </w:rPr>
              <w:t>Design Cost + Printing Cost</w:t>
            </w:r>
          </w:p>
        </w:tc>
        <w:tc>
          <w:tcPr>
            <w:tcW w:w="3117" w:type="dxa"/>
          </w:tcPr>
          <w:p w:rsidR="00CE4376" w:rsidRPr="00003983" w:rsidP="00CE4376" w14:paraId="74DD5848" w14:textId="6724E4D6">
            <w:pPr>
              <w:pStyle w:val="ListParagraph"/>
              <w:ind w:left="0"/>
              <w:jc w:val="right"/>
              <w:rPr>
                <w:color w:val="000000"/>
              </w:rPr>
            </w:pPr>
            <w:r>
              <w:rPr>
                <w:color w:val="000000"/>
              </w:rPr>
              <w:t>$174</w:t>
            </w:r>
          </w:p>
        </w:tc>
      </w:tr>
      <w:tr w14:paraId="2A8FBF63" w14:textId="77777777" w:rsidTr="00CE4376">
        <w:tblPrEx>
          <w:tblW w:w="0" w:type="auto"/>
          <w:tblInd w:w="805" w:type="dxa"/>
          <w:tblLook w:val="04A0"/>
        </w:tblPrEx>
        <w:tc>
          <w:tcPr>
            <w:tcW w:w="2311" w:type="dxa"/>
          </w:tcPr>
          <w:p w:rsidR="00CE4376" w:rsidRPr="00003983" w:rsidP="00217216" w14:paraId="4AA8E158" w14:textId="77777777">
            <w:pPr>
              <w:pStyle w:val="ListParagraph"/>
              <w:ind w:left="0"/>
              <w:rPr>
                <w:color w:val="000000"/>
              </w:rPr>
            </w:pPr>
            <w:r w:rsidRPr="00003983">
              <w:rPr>
                <w:color w:val="000000"/>
              </w:rPr>
              <w:t>Distributing</w:t>
            </w:r>
            <w:r w:rsidRPr="00003983">
              <w:rPr>
                <w:color w:val="000000"/>
              </w:rPr>
              <w:t>, Shipping, and Material Costs for the Form</w:t>
            </w:r>
          </w:p>
        </w:tc>
        <w:tc>
          <w:tcPr>
            <w:tcW w:w="3117" w:type="dxa"/>
          </w:tcPr>
          <w:p w:rsidR="00CE4376" w:rsidRPr="00003983" w:rsidP="00217216" w14:paraId="4BD9C622" w14:textId="77777777">
            <w:pPr>
              <w:pStyle w:val="ListParagraph"/>
              <w:ind w:left="0"/>
              <w:rPr>
                <w:color w:val="000000"/>
              </w:rPr>
            </w:pPr>
            <w:r w:rsidRPr="00003983">
              <w:rPr>
                <w:color w:val="000000"/>
              </w:rPr>
              <w:t>Distribution + Shipping + Material Cost</w:t>
            </w:r>
          </w:p>
        </w:tc>
        <w:tc>
          <w:tcPr>
            <w:tcW w:w="3117" w:type="dxa"/>
          </w:tcPr>
          <w:p w:rsidR="00CE4376" w:rsidRPr="00003983" w:rsidP="00CE4376" w14:paraId="7C92E608" w14:textId="7C87276E">
            <w:pPr>
              <w:pStyle w:val="ListParagraph"/>
              <w:ind w:left="0"/>
              <w:jc w:val="right"/>
              <w:rPr>
                <w:color w:val="000000"/>
              </w:rPr>
            </w:pPr>
            <w:r>
              <w:rPr>
                <w:color w:val="000000"/>
              </w:rPr>
              <w:t>0*</w:t>
            </w:r>
          </w:p>
        </w:tc>
      </w:tr>
      <w:tr w14:paraId="6F6FE111" w14:textId="77777777" w:rsidTr="00CE4376">
        <w:tblPrEx>
          <w:tblW w:w="0" w:type="auto"/>
          <w:tblInd w:w="805" w:type="dxa"/>
          <w:tblLook w:val="04A0"/>
        </w:tblPrEx>
        <w:tc>
          <w:tcPr>
            <w:tcW w:w="2311" w:type="dxa"/>
          </w:tcPr>
          <w:p w:rsidR="00CE4376" w:rsidRPr="00003983" w:rsidP="00217216" w14:paraId="67AE03D1" w14:textId="77777777">
            <w:pPr>
              <w:pStyle w:val="ListParagraph"/>
              <w:ind w:left="0"/>
              <w:rPr>
                <w:color w:val="000000"/>
              </w:rPr>
            </w:pPr>
            <w:r w:rsidRPr="00003983">
              <w:rPr>
                <w:color w:val="000000"/>
              </w:rPr>
              <w:t>SSA Employee (e.g., field office, 800 number, DDS staff) Information Collection and Processing Time</w:t>
            </w:r>
          </w:p>
        </w:tc>
        <w:tc>
          <w:tcPr>
            <w:tcW w:w="3117" w:type="dxa"/>
          </w:tcPr>
          <w:p w:rsidR="00CE4376" w:rsidRPr="00003983" w:rsidP="00217216" w14:paraId="19D55460" w14:textId="77777777">
            <w:pPr>
              <w:pStyle w:val="ListParagraph"/>
              <w:ind w:left="0"/>
              <w:rPr>
                <w:color w:val="000000"/>
              </w:rPr>
            </w:pPr>
            <w:r w:rsidRPr="00003983">
              <w:rPr>
                <w:color w:val="000000"/>
              </w:rPr>
              <w:t>GS-9 employee x # of responses x processing time</w:t>
            </w:r>
          </w:p>
        </w:tc>
        <w:tc>
          <w:tcPr>
            <w:tcW w:w="3117" w:type="dxa"/>
          </w:tcPr>
          <w:p w:rsidR="00CE4376" w:rsidRPr="00003983" w:rsidP="00CE4376" w14:paraId="2812AC7C" w14:textId="7DAC35E5">
            <w:pPr>
              <w:pStyle w:val="ListParagraph"/>
              <w:ind w:left="0"/>
              <w:jc w:val="right"/>
              <w:rPr>
                <w:color w:val="000000"/>
              </w:rPr>
            </w:pPr>
            <w:r w:rsidRPr="00E246FA">
              <w:rPr>
                <w:color w:val="000000"/>
              </w:rPr>
              <w:t>$</w:t>
            </w:r>
            <w:r>
              <w:rPr>
                <w:color w:val="000000"/>
              </w:rPr>
              <w:t>6</w:t>
            </w:r>
            <w:r w:rsidRPr="00E246FA">
              <w:rPr>
                <w:color w:val="000000"/>
              </w:rPr>
              <w:t>,</w:t>
            </w:r>
            <w:r>
              <w:rPr>
                <w:color w:val="000000"/>
              </w:rPr>
              <w:t>589</w:t>
            </w:r>
            <w:r w:rsidRPr="00E246FA">
              <w:rPr>
                <w:color w:val="000000"/>
              </w:rPr>
              <w:t>,</w:t>
            </w:r>
            <w:r>
              <w:rPr>
                <w:color w:val="000000"/>
              </w:rPr>
              <w:t>216</w:t>
            </w:r>
          </w:p>
        </w:tc>
      </w:tr>
      <w:tr w14:paraId="420C9B93" w14:textId="77777777" w:rsidTr="00CE4376">
        <w:tblPrEx>
          <w:tblW w:w="0" w:type="auto"/>
          <w:tblInd w:w="805" w:type="dxa"/>
          <w:tblLook w:val="04A0"/>
        </w:tblPrEx>
        <w:tc>
          <w:tcPr>
            <w:tcW w:w="2311" w:type="dxa"/>
          </w:tcPr>
          <w:p w:rsidR="00CE4376" w:rsidRPr="00003983" w:rsidP="00217216" w14:paraId="321A4914" w14:textId="77777777">
            <w:pPr>
              <w:pStyle w:val="ListParagraph"/>
              <w:ind w:left="0"/>
              <w:rPr>
                <w:color w:val="000000"/>
              </w:rPr>
            </w:pPr>
            <w:r w:rsidRPr="00003983">
              <w:rPr>
                <w:color w:val="000000"/>
              </w:rPr>
              <w:t>Full-Time Equivalent Costs</w:t>
            </w:r>
          </w:p>
        </w:tc>
        <w:tc>
          <w:tcPr>
            <w:tcW w:w="3117" w:type="dxa"/>
          </w:tcPr>
          <w:p w:rsidR="00CE4376" w:rsidRPr="00003983" w:rsidP="00217216" w14:paraId="35726081" w14:textId="77777777">
            <w:pPr>
              <w:pStyle w:val="ListParagraph"/>
              <w:ind w:left="0"/>
              <w:rPr>
                <w:color w:val="000000"/>
              </w:rPr>
            </w:pPr>
            <w:r w:rsidRPr="00003983">
              <w:rPr>
                <w:color w:val="000000"/>
              </w:rPr>
              <w:t>Out of pocket costs + Other expenses for providing this service</w:t>
            </w:r>
          </w:p>
        </w:tc>
        <w:tc>
          <w:tcPr>
            <w:tcW w:w="3117" w:type="dxa"/>
          </w:tcPr>
          <w:p w:rsidR="00CE4376" w:rsidRPr="00003983" w:rsidP="00CE4376" w14:paraId="7FECFF57" w14:textId="645FD0F0">
            <w:pPr>
              <w:pStyle w:val="ListParagraph"/>
              <w:ind w:left="0"/>
              <w:jc w:val="right"/>
              <w:rPr>
                <w:color w:val="000000"/>
              </w:rPr>
            </w:pPr>
            <w:r>
              <w:rPr>
                <w:color w:val="000000"/>
              </w:rPr>
              <w:t>0*</w:t>
            </w:r>
          </w:p>
        </w:tc>
      </w:tr>
      <w:tr w14:paraId="1E5F7E1B" w14:textId="77777777" w:rsidTr="00CE4376">
        <w:tblPrEx>
          <w:tblW w:w="0" w:type="auto"/>
          <w:tblInd w:w="805" w:type="dxa"/>
          <w:tblLook w:val="04A0"/>
        </w:tblPrEx>
        <w:tc>
          <w:tcPr>
            <w:tcW w:w="2311" w:type="dxa"/>
          </w:tcPr>
          <w:p w:rsidR="00CE4376" w:rsidRPr="00003983" w:rsidP="00217216" w14:paraId="78B930B0" w14:textId="77777777">
            <w:pPr>
              <w:pStyle w:val="ListParagraph"/>
              <w:ind w:left="0"/>
              <w:rPr>
                <w:color w:val="000000"/>
              </w:rPr>
            </w:pPr>
            <w:r w:rsidRPr="00003983">
              <w:rPr>
                <w:color w:val="000000"/>
              </w:rPr>
              <w:t>Systems Development, Updating, and Maintenance</w:t>
            </w:r>
          </w:p>
        </w:tc>
        <w:tc>
          <w:tcPr>
            <w:tcW w:w="3117" w:type="dxa"/>
          </w:tcPr>
          <w:p w:rsidR="00CE4376" w:rsidRPr="00003983" w:rsidP="00217216" w14:paraId="738DCB6B" w14:textId="77777777">
            <w:pPr>
              <w:pStyle w:val="ListParagraph"/>
              <w:ind w:left="0"/>
              <w:rPr>
                <w:color w:val="000000"/>
              </w:rPr>
            </w:pPr>
            <w:r w:rsidRPr="00003983">
              <w:rPr>
                <w:color w:val="000000"/>
              </w:rPr>
              <w:t>GS-9 employee x man hours for development, updating, maintenance</w:t>
            </w:r>
          </w:p>
        </w:tc>
        <w:tc>
          <w:tcPr>
            <w:tcW w:w="3117" w:type="dxa"/>
          </w:tcPr>
          <w:p w:rsidR="00CE4376" w:rsidRPr="00003983" w:rsidP="00CE4376" w14:paraId="21C1AEE6" w14:textId="45C33445">
            <w:pPr>
              <w:pStyle w:val="ListParagraph"/>
              <w:ind w:left="0"/>
              <w:jc w:val="right"/>
              <w:rPr>
                <w:color w:val="000000"/>
              </w:rPr>
            </w:pPr>
            <w:r w:rsidRPr="00595210">
              <w:t>$450,000</w:t>
            </w:r>
          </w:p>
        </w:tc>
      </w:tr>
      <w:tr w14:paraId="3D032966" w14:textId="77777777" w:rsidTr="00CE4376">
        <w:tblPrEx>
          <w:tblW w:w="0" w:type="auto"/>
          <w:tblInd w:w="805" w:type="dxa"/>
          <w:tblLook w:val="04A0"/>
        </w:tblPrEx>
        <w:tc>
          <w:tcPr>
            <w:tcW w:w="2311" w:type="dxa"/>
          </w:tcPr>
          <w:p w:rsidR="00CE4376" w:rsidRPr="00003983" w:rsidP="00217216" w14:paraId="50758F66" w14:textId="77777777">
            <w:pPr>
              <w:pStyle w:val="ListParagraph"/>
              <w:ind w:left="0"/>
              <w:rPr>
                <w:color w:val="000000"/>
              </w:rPr>
            </w:pPr>
            <w:r w:rsidRPr="00003983">
              <w:rPr>
                <w:color w:val="000000"/>
              </w:rPr>
              <w:t>Quantifiable IT Costs</w:t>
            </w:r>
          </w:p>
        </w:tc>
        <w:tc>
          <w:tcPr>
            <w:tcW w:w="3117" w:type="dxa"/>
          </w:tcPr>
          <w:p w:rsidR="00CE4376" w:rsidRPr="00003983" w:rsidP="00217216" w14:paraId="490B21BB" w14:textId="77777777">
            <w:pPr>
              <w:pStyle w:val="ListParagraph"/>
              <w:ind w:left="0"/>
              <w:rPr>
                <w:color w:val="000000"/>
              </w:rPr>
            </w:pPr>
            <w:r w:rsidRPr="00003983">
              <w:rPr>
                <w:color w:val="000000"/>
              </w:rPr>
              <w:t>Any additional IT costs</w:t>
            </w:r>
          </w:p>
        </w:tc>
        <w:tc>
          <w:tcPr>
            <w:tcW w:w="3117" w:type="dxa"/>
          </w:tcPr>
          <w:p w:rsidR="00CE4376" w:rsidRPr="00003983" w:rsidP="00CE4376" w14:paraId="4B19EF6E" w14:textId="149A4BFD">
            <w:pPr>
              <w:pStyle w:val="ListParagraph"/>
              <w:ind w:left="0"/>
              <w:jc w:val="right"/>
              <w:rPr>
                <w:color w:val="000000"/>
              </w:rPr>
            </w:pPr>
            <w:r>
              <w:rPr>
                <w:color w:val="000000"/>
              </w:rPr>
              <w:t>0*</w:t>
            </w:r>
          </w:p>
        </w:tc>
      </w:tr>
      <w:tr w14:paraId="3CA093BC" w14:textId="77777777" w:rsidTr="00CE4376">
        <w:tblPrEx>
          <w:tblW w:w="0" w:type="auto"/>
          <w:tblInd w:w="805" w:type="dxa"/>
          <w:tblLook w:val="04A0"/>
        </w:tblPrEx>
        <w:tc>
          <w:tcPr>
            <w:tcW w:w="2311" w:type="dxa"/>
          </w:tcPr>
          <w:p w:rsidR="00CE4376" w:rsidRPr="00003983" w:rsidP="00CE4376" w14:paraId="36C75E0B" w14:textId="77777777">
            <w:pPr>
              <w:pStyle w:val="ListParagraph"/>
              <w:ind w:left="0"/>
              <w:rPr>
                <w:b/>
                <w:bCs/>
                <w:color w:val="000000"/>
              </w:rPr>
            </w:pPr>
            <w:r w:rsidRPr="00003983">
              <w:rPr>
                <w:b/>
                <w:bCs/>
                <w:color w:val="000000"/>
              </w:rPr>
              <w:t>Total</w:t>
            </w:r>
          </w:p>
        </w:tc>
        <w:tc>
          <w:tcPr>
            <w:tcW w:w="3117" w:type="dxa"/>
          </w:tcPr>
          <w:p w:rsidR="00CE4376" w:rsidRPr="00003983" w:rsidP="00CE4376" w14:paraId="196F9581" w14:textId="77777777">
            <w:pPr>
              <w:pStyle w:val="ListParagraph"/>
              <w:ind w:left="0"/>
              <w:rPr>
                <w:b/>
                <w:bCs/>
                <w:color w:val="000000"/>
              </w:rPr>
            </w:pPr>
          </w:p>
        </w:tc>
        <w:tc>
          <w:tcPr>
            <w:tcW w:w="3117" w:type="dxa"/>
          </w:tcPr>
          <w:p w:rsidR="00CE4376" w:rsidRPr="00003983" w:rsidP="00CE4376" w14:paraId="68C7309B" w14:textId="4DA20717">
            <w:pPr>
              <w:pStyle w:val="ListParagraph"/>
              <w:ind w:left="0"/>
              <w:jc w:val="right"/>
              <w:rPr>
                <w:b/>
                <w:bCs/>
                <w:color w:val="000000"/>
              </w:rPr>
            </w:pPr>
            <w:r w:rsidRPr="002C0ED5">
              <w:rPr>
                <w:b/>
                <w:bCs/>
              </w:rPr>
              <w:t>$7,</w:t>
            </w:r>
            <w:r>
              <w:rPr>
                <w:b/>
                <w:bCs/>
              </w:rPr>
              <w:t>039</w:t>
            </w:r>
            <w:r w:rsidRPr="002C0ED5">
              <w:rPr>
                <w:b/>
                <w:bCs/>
              </w:rPr>
              <w:t>,</w:t>
            </w:r>
            <w:r>
              <w:rPr>
                <w:b/>
                <w:bCs/>
              </w:rPr>
              <w:t>390</w:t>
            </w:r>
          </w:p>
        </w:tc>
      </w:tr>
    </w:tbl>
    <w:p w:rsidR="00674693" w:rsidRPr="00674693" w:rsidP="00333033" w14:paraId="0E3468D0" w14:textId="77777777">
      <w:r w:rsidRPr="00674693">
        <w:t xml:space="preserve">* We have inserted a $0 amount for cost factors that </w:t>
      </w:r>
      <w:r w:rsidRPr="00674693">
        <w:t>do not apply</w:t>
      </w:r>
      <w:r w:rsidRPr="00674693">
        <w:t xml:space="preserve"> to this collection.</w:t>
      </w:r>
    </w:p>
    <w:p w:rsidR="00674693" w:rsidRPr="00333033" w:rsidP="00333033" w14:paraId="0BA5ACF6" w14:textId="5DC038E1">
      <w:r w:rsidRPr="00333033">
        <w:t>SSA is unable to break down the costs to the Federal government further than we already have</w:t>
      </w:r>
      <w:r w:rsidRPr="00333033" w:rsidR="003544A9">
        <w:t xml:space="preserve">.  </w:t>
      </w:r>
      <w:r w:rsidRPr="00333033">
        <w:t xml:space="preserve">In addition, it is difficult for us to break down the cost for processing a single form, as field office and State Disability Determination Services staff often help respondents fill out several forms at once, and the time it takes to do so can vary greatly per respondent.  </w:t>
      </w:r>
      <w:r w:rsidRPr="00333033">
        <w:t>As well</w:t>
      </w:r>
      <w:r w:rsidRPr="00333033">
        <w:t>,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075EC0" w:rsidRPr="00333033" w:rsidP="00CE4376" w14:paraId="709007B0" w14:textId="77777777">
      <w:pPr>
        <w:spacing w:before="0" w:after="0" w:line="240" w:lineRule="auto"/>
        <w:ind w:left="0" w:firstLine="360"/>
        <w:rPr>
          <w:b/>
          <w:bCs/>
        </w:rPr>
      </w:pPr>
      <w:r w:rsidRPr="00333033">
        <w:rPr>
          <w:b/>
          <w:bCs/>
        </w:rPr>
        <w:t>15.</w:t>
      </w:r>
      <w:r w:rsidRPr="00333033">
        <w:rPr>
          <w:b/>
          <w:bCs/>
        </w:rPr>
        <w:tab/>
        <w:t>Program Changes or Adjustments to the Information Collection Request</w:t>
      </w:r>
      <w:r w:rsidRPr="00333033">
        <w:rPr>
          <w:b/>
          <w:bCs/>
        </w:rPr>
        <w:tab/>
      </w:r>
    </w:p>
    <w:p w:rsidR="00A3539C" w:rsidP="00CE4376" w14:paraId="6083D5C9" w14:textId="3AFA6710">
      <w:pPr>
        <w:spacing w:before="0" w:after="0" w:line="240" w:lineRule="auto"/>
      </w:pPr>
      <w:r w:rsidRPr="00A3539C">
        <w:t>When we last cleared this IC</w:t>
      </w:r>
      <w:r w:rsidR="008616BD">
        <w:t>R</w:t>
      </w:r>
      <w:r w:rsidRPr="00A3539C">
        <w:t xml:space="preserve"> in</w:t>
      </w:r>
      <w:r w:rsidR="002467C8">
        <w:t xml:space="preserve"> </w:t>
      </w:r>
      <w:r w:rsidRPr="00762AC9" w:rsidR="00963F09">
        <w:t>202</w:t>
      </w:r>
      <w:r w:rsidR="00B5093E">
        <w:t>3</w:t>
      </w:r>
      <w:r w:rsidRPr="00A3539C">
        <w:t xml:space="preserve">, the burden was </w:t>
      </w:r>
      <w:r w:rsidRPr="0047101B" w:rsidR="007322AF">
        <w:t>115,896</w:t>
      </w:r>
      <w:r w:rsidRPr="0047101B">
        <w:t xml:space="preserve"> hours.</w:t>
      </w:r>
      <w:r w:rsidRPr="00A3539C">
        <w:t xml:space="preserve">  However, we are currently reporting a burden of </w:t>
      </w:r>
      <w:r w:rsidRPr="00E704B2" w:rsidR="00E704B2">
        <w:rPr>
          <w:b/>
          <w:bCs/>
        </w:rPr>
        <w:t>199</w:t>
      </w:r>
      <w:r w:rsidRPr="00E704B2" w:rsidR="000F4126">
        <w:rPr>
          <w:b/>
          <w:bCs/>
        </w:rPr>
        <w:t>,</w:t>
      </w:r>
      <w:r w:rsidRPr="00E704B2" w:rsidR="00E704B2">
        <w:rPr>
          <w:b/>
          <w:bCs/>
        </w:rPr>
        <w:t>033</w:t>
      </w:r>
      <w:r w:rsidRPr="00E704B2">
        <w:t xml:space="preserve"> hours</w:t>
      </w:r>
      <w:r w:rsidRPr="000F4126">
        <w:t>.  This change stems</w:t>
      </w:r>
      <w:r w:rsidRPr="000F4126" w:rsidR="007322AF">
        <w:t xml:space="preserve"> from</w:t>
      </w:r>
      <w:r w:rsidRPr="000F4126">
        <w:t xml:space="preserve"> a</w:t>
      </w:r>
      <w:r w:rsidR="002C0ED5">
        <w:t>n</w:t>
      </w:r>
      <w:r w:rsidRPr="000F4126">
        <w:t xml:space="preserve"> </w:t>
      </w:r>
      <w:r w:rsidR="00B5093E">
        <w:t>increase</w:t>
      </w:r>
      <w:r w:rsidRPr="000F4126">
        <w:t xml:space="preserve"> in the number of responses from </w:t>
      </w:r>
      <w:r w:rsidRPr="00F25033" w:rsidR="000F4126">
        <w:t>515,602</w:t>
      </w:r>
      <w:r w:rsidRPr="00F25033" w:rsidR="00F25033">
        <w:t xml:space="preserve"> to </w:t>
      </w:r>
      <w:r w:rsidRPr="00BD7721" w:rsidR="00F25033">
        <w:rPr>
          <w:b/>
          <w:bCs/>
        </w:rPr>
        <w:t>572,113</w:t>
      </w:r>
      <w:r w:rsidRPr="00F25033">
        <w:t>.</w:t>
      </w:r>
      <w:r w:rsidRPr="000F4126">
        <w:t xml:space="preserve">  There is no change to the </w:t>
      </w:r>
      <w:r w:rsidRPr="000F4126">
        <w:t>burden</w:t>
      </w:r>
      <w:r w:rsidRPr="000F4126">
        <w:t xml:space="preserve"> time per response.  Although the number of responses</w:t>
      </w:r>
      <w:r w:rsidRPr="00A3539C">
        <w:t xml:space="preserve"> changed, SSA did not take any </w:t>
      </w:r>
      <w:r w:rsidRPr="00A3539C">
        <w:t>actions</w:t>
      </w:r>
      <w:r w:rsidRPr="00A3539C">
        <w:t xml:space="preserve"> to cause this change.</w:t>
      </w:r>
    </w:p>
    <w:p w:rsidR="009B1834" w:rsidP="009B1834" w14:paraId="5FC3ACCB" w14:textId="77777777">
      <w:pPr>
        <w:pStyle w:val="NoSpacing"/>
        <w:ind w:left="720"/>
        <w:rPr>
          <w:color w:val="000000"/>
        </w:rPr>
      </w:pPr>
    </w:p>
    <w:p w:rsidR="009B1834" w:rsidRPr="009B1834" w:rsidP="009B1834" w14:paraId="3825FCCD" w14:textId="72E560BB">
      <w:pPr>
        <w:pStyle w:val="NoSpacing"/>
        <w:ind w:left="720"/>
        <w:rPr>
          <w:rFonts w:ascii="Times New Roman" w:hAnsi="Times New Roman"/>
          <w:b/>
          <w:bCs/>
          <w:iCs/>
        </w:rPr>
      </w:pPr>
      <w:r w:rsidRPr="009B1834">
        <w:rPr>
          <w:rFonts w:ascii="Times New Roman" w:hAnsi="Times New Roman"/>
          <w:color w:val="000000"/>
        </w:rPr>
        <w:t xml:space="preserve">* Note: The total burden reflected in ROCIS is </w:t>
      </w:r>
      <w:r>
        <w:rPr>
          <w:rFonts w:ascii="Times New Roman" w:hAnsi="Times New Roman"/>
          <w:b/>
          <w:bCs/>
          <w:color w:val="000000"/>
        </w:rPr>
        <w:t>833,947</w:t>
      </w:r>
      <w:r w:rsidRPr="009B1834">
        <w:rPr>
          <w:rFonts w:ascii="Times New Roman" w:hAnsi="Times New Roman"/>
          <w:color w:val="000000"/>
        </w:rPr>
        <w:t xml:space="preserve"> while the burden cited in #12 of the Supporting Statement is </w:t>
      </w:r>
      <w:r>
        <w:rPr>
          <w:rFonts w:ascii="Times New Roman" w:hAnsi="Times New Roman"/>
          <w:b/>
          <w:bCs/>
          <w:color w:val="000000"/>
        </w:rPr>
        <w:t>104,964</w:t>
      </w:r>
      <w:r w:rsidRPr="009B1834">
        <w:rPr>
          <w:rFonts w:ascii="Times New Roman" w:hAnsi="Times New Roman"/>
          <w:color w:val="000000"/>
        </w:rPr>
        <w:t>.  This discrepancy is because the ROCIS burden reflects the following components:  field office waiting time + a rough estimate of a 30-minute, one-way, drive burden + learning costs.  In contrast, the chart in #12 of the Supporting Statement reflects actual burden.</w:t>
      </w:r>
    </w:p>
    <w:p w:rsidR="00CE4376" w:rsidRPr="00A3539C" w:rsidP="00CE4376" w14:paraId="501B19F2" w14:textId="77777777">
      <w:pPr>
        <w:spacing w:before="0" w:after="0" w:line="240" w:lineRule="auto"/>
        <w:rPr>
          <w:b/>
        </w:rPr>
      </w:pPr>
    </w:p>
    <w:p w:rsidR="00075EC0" w:rsidRPr="00333033" w:rsidP="00CE4376" w14:paraId="3CAD5AC2" w14:textId="69E2B740">
      <w:pPr>
        <w:spacing w:before="0" w:after="0" w:line="240" w:lineRule="auto"/>
        <w:ind w:left="270" w:firstLine="90"/>
        <w:rPr>
          <w:b/>
          <w:bCs/>
        </w:rPr>
      </w:pPr>
      <w:r w:rsidRPr="00333033">
        <w:rPr>
          <w:b/>
          <w:bCs/>
        </w:rPr>
        <w:t>16. Plans for Publication Information Collection Results</w:t>
      </w:r>
    </w:p>
    <w:p w:rsidR="00EF2277" w:rsidP="00CE4376" w14:paraId="617F9D0A" w14:textId="77777777">
      <w:pPr>
        <w:spacing w:before="0" w:after="0" w:line="240" w:lineRule="auto"/>
        <w:rPr>
          <w:lang w:bidi="en-US"/>
        </w:rPr>
      </w:pPr>
      <w:r w:rsidRPr="00075EC0">
        <w:rPr>
          <w:lang w:bidi="en-US"/>
        </w:rPr>
        <w:t>SSA will not publish the results of the information collection.</w:t>
      </w:r>
    </w:p>
    <w:p w:rsidR="00CE4376" w:rsidP="00CE4376" w14:paraId="5738632F" w14:textId="77777777">
      <w:pPr>
        <w:spacing w:before="0" w:after="0" w:line="240" w:lineRule="auto"/>
        <w:rPr>
          <w:lang w:bidi="en-US"/>
        </w:rPr>
      </w:pPr>
    </w:p>
    <w:p w:rsidR="00CE4376" w:rsidP="00CE4376" w14:paraId="61FFAAC0" w14:textId="77777777">
      <w:pPr>
        <w:spacing w:before="0" w:after="0" w:line="240" w:lineRule="auto"/>
      </w:pPr>
    </w:p>
    <w:p w:rsidR="00075EC0" w:rsidRPr="00333033" w:rsidP="00CE4376" w14:paraId="7BAB9F54" w14:textId="77777777">
      <w:pPr>
        <w:spacing w:before="0" w:after="0" w:line="240" w:lineRule="auto"/>
        <w:ind w:left="360"/>
        <w:rPr>
          <w:b/>
          <w:bCs/>
        </w:rPr>
      </w:pPr>
      <w:r w:rsidRPr="00333033">
        <w:rPr>
          <w:b/>
          <w:bCs/>
        </w:rPr>
        <w:t>17.</w:t>
      </w:r>
      <w:r w:rsidRPr="00333033">
        <w:rPr>
          <w:b/>
          <w:bCs/>
        </w:rPr>
        <w:tab/>
        <w:t>Displaying the OMB Approval Expiration Date</w:t>
      </w:r>
    </w:p>
    <w:p w:rsidR="00075EC0" w:rsidP="00CE4376" w14:paraId="2C28D8A1" w14:textId="1E20E942">
      <w:pPr>
        <w:spacing w:before="0" w:after="0" w:line="240" w:lineRule="auto"/>
        <w:rPr>
          <w:i/>
          <w:vanish/>
          <w:lang w:bidi="en-US"/>
        </w:rPr>
      </w:pPr>
      <w:r w:rsidRPr="00075EC0">
        <w:rPr>
          <w:lang w:bidi="en-U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r w:rsidRPr="00075EC0">
        <w:rPr>
          <w:i/>
          <w:vanish/>
          <w:lang w:bidi="en-US"/>
        </w:rPr>
        <w:t> </w:t>
      </w:r>
      <w:bookmarkStart w:id="0" w:name="_msoanchor_2"/>
      <w:bookmarkEnd w:id="0"/>
      <w:r w:rsidRPr="00075EC0">
        <w:rPr>
          <w:i/>
          <w:vanish/>
          <w:lang w:bidi="en-US"/>
        </w:rPr>
        <w:t>   </w:t>
      </w:r>
    </w:p>
    <w:p w:rsidR="00CE4376" w:rsidRPr="00CF2B20" w:rsidP="00CE4376" w14:paraId="332F1F09" w14:textId="77777777">
      <w:pPr>
        <w:spacing w:before="0" w:after="0" w:line="240" w:lineRule="auto"/>
        <w:rPr>
          <w:i/>
          <w:lang w:bidi="en-US"/>
        </w:rPr>
      </w:pPr>
    </w:p>
    <w:p w:rsidR="00075EC0" w:rsidRPr="00333033" w:rsidP="00CE4376" w14:paraId="360B7075" w14:textId="77777777">
      <w:pPr>
        <w:pStyle w:val="ListParagraph"/>
        <w:numPr>
          <w:ilvl w:val="0"/>
          <w:numId w:val="6"/>
        </w:numPr>
        <w:spacing w:before="0" w:after="0" w:line="240" w:lineRule="auto"/>
        <w:ind w:hanging="360"/>
        <w:rPr>
          <w:b/>
          <w:bCs/>
        </w:rPr>
      </w:pPr>
      <w:r w:rsidRPr="00333033">
        <w:rPr>
          <w:b/>
          <w:bCs/>
        </w:rPr>
        <w:t>Exceptions to Certification Statement</w:t>
      </w:r>
    </w:p>
    <w:p w:rsidR="00075EC0" w:rsidRPr="00075EC0" w:rsidP="00CE4376" w14:paraId="677775DB" w14:textId="6FA14F1B">
      <w:pPr>
        <w:spacing w:before="0" w:after="0" w:line="240" w:lineRule="auto"/>
      </w:pPr>
      <w:r w:rsidRPr="00075EC0">
        <w:t xml:space="preserve">SSA is not requesting an exception to the certification requirements at </w:t>
      </w:r>
      <w:r w:rsidRPr="00245829">
        <w:rPr>
          <w:i/>
        </w:rPr>
        <w:t>5 CFR 1320.9</w:t>
      </w:r>
      <w:r w:rsidRPr="00075EC0">
        <w:t xml:space="preserve"> and related provisions at </w:t>
      </w:r>
      <w:r w:rsidRPr="00245829">
        <w:rPr>
          <w:i/>
        </w:rPr>
        <w:t>5 CFR 1320.8(b)(3)</w:t>
      </w:r>
      <w:r w:rsidRPr="00075EC0">
        <w:t xml:space="preserve">. </w:t>
      </w:r>
    </w:p>
    <w:p w:rsidR="00075EC0" w:rsidRPr="00075EC0" w:rsidP="00333033" w14:paraId="7DFE772B" w14:textId="77777777">
      <w:pPr>
        <w:ind w:left="0"/>
      </w:pPr>
      <w:r w:rsidRPr="00333033">
        <w:rPr>
          <w:b/>
          <w:bCs/>
        </w:rPr>
        <w:t>B.</w:t>
      </w:r>
      <w:r>
        <w:t xml:space="preserve">     </w:t>
      </w:r>
      <w:r w:rsidRPr="00CF2B20">
        <w:rPr>
          <w:rStyle w:val="Heading1Char"/>
        </w:rPr>
        <w:t>Collections of Information Employing Statistical Methods</w:t>
      </w:r>
    </w:p>
    <w:p w:rsidR="00E904C6" w:rsidP="00333033" w14:paraId="6666FAE2" w14:textId="77777777">
      <w:r w:rsidRPr="00075EC0">
        <w:t xml:space="preserve">SSA does not use statistical methods </w:t>
      </w:r>
      <w:r w:rsidR="00302CAC">
        <w:t>for this information collection.</w:t>
      </w:r>
      <w:r w:rsidR="002A39F8">
        <w:t xml:space="preserve"> </w:t>
      </w:r>
    </w:p>
    <w:sectPr w:rsidSect="00E904C6">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2128643"/>
      <w:docPartObj>
        <w:docPartGallery w:val="Page Numbers (Bottom of Page)"/>
        <w:docPartUnique/>
      </w:docPartObj>
    </w:sdtPr>
    <w:sdtEndPr>
      <w:rPr>
        <w:noProof/>
      </w:rPr>
    </w:sdtEndPr>
    <w:sdtContent>
      <w:p w:rsidR="00EA689C" w14:paraId="37147571" w14:textId="61A0F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F2B20" w:rsidP="00333033" w14:paraId="50FEB4E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768EC198"/>
    <w:lvl w:ilvl="0">
      <w:start w:val="18"/>
      <w:numFmt w:val="decimal"/>
      <w:lvlText w:val="%1."/>
      <w:lvlJc w:val="left"/>
      <w:pPr>
        <w:tabs>
          <w:tab w:val="num" w:pos="720"/>
        </w:tabs>
        <w:ind w:left="720" w:hanging="720"/>
      </w:pPr>
      <w:rPr>
        <w:b/>
        <w:bCs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3ABC0F71"/>
    <w:multiLevelType w:val="hybridMultilevel"/>
    <w:tmpl w:val="7FFC8BBC"/>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5A605A35"/>
    <w:multiLevelType w:val="singleLevel"/>
    <w:tmpl w:val="53CE9440"/>
    <w:lvl w:ilvl="0">
      <w:start w:val="5"/>
      <w:numFmt w:val="decimal"/>
      <w:lvlText w:val="%1."/>
      <w:lvlJc w:val="left"/>
      <w:pPr>
        <w:tabs>
          <w:tab w:val="num" w:pos="360"/>
        </w:tabs>
        <w:ind w:left="360" w:hanging="360"/>
      </w:pPr>
      <w:rPr>
        <w:b/>
        <w:bCs w:val="0"/>
      </w:rPr>
    </w:lvl>
  </w:abstractNum>
  <w:abstractNum w:abstractNumId="3">
    <w:nsid w:val="616F329C"/>
    <w:multiLevelType w:val="hybridMultilevel"/>
    <w:tmpl w:val="82D24D60"/>
    <w:lvl w:ilvl="0">
      <w:start w:val="1"/>
      <w:numFmt w:val="decimal"/>
      <w:lvlText w:val="%1."/>
      <w:lvlJc w:val="left"/>
      <w:pPr>
        <w:tabs>
          <w:tab w:val="num" w:pos="720"/>
        </w:tabs>
        <w:ind w:left="720" w:hanging="720"/>
      </w:pPr>
      <w:rPr>
        <w:b/>
        <w:bCs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637C46D2"/>
    <w:multiLevelType w:val="hybridMultilevel"/>
    <w:tmpl w:val="376813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74CC03B5"/>
    <w:multiLevelType w:val="singleLevel"/>
    <w:tmpl w:val="8BEE8C88"/>
    <w:lvl w:ilvl="0">
      <w:start w:val="14"/>
      <w:numFmt w:val="decimal"/>
      <w:lvlText w:val="%1."/>
      <w:lvlJc w:val="left"/>
      <w:pPr>
        <w:tabs>
          <w:tab w:val="num" w:pos="360"/>
        </w:tabs>
        <w:ind w:left="360" w:hanging="360"/>
      </w:pPr>
      <w:rPr>
        <w:b/>
        <w:bCs w:val="0"/>
      </w:rPr>
    </w:lvl>
  </w:abstractNum>
  <w:abstractNum w:abstractNumId="6">
    <w:nsid w:val="7866410B"/>
    <w:multiLevelType w:val="singleLevel"/>
    <w:tmpl w:val="5E74131A"/>
    <w:lvl w:ilvl="0">
      <w:start w:val="2"/>
      <w:numFmt w:val="decimal"/>
      <w:lvlText w:val="%1."/>
      <w:lvlJc w:val="left"/>
      <w:pPr>
        <w:tabs>
          <w:tab w:val="num" w:pos="720"/>
        </w:tabs>
        <w:ind w:left="720" w:hanging="720"/>
      </w:pPr>
      <w:rPr>
        <w:b w:val="0"/>
      </w:rPr>
    </w:lvl>
  </w:abstractNum>
  <w:abstractNum w:abstractNumId="7">
    <w:nsid w:val="7A9B5E7D"/>
    <w:multiLevelType w:val="singleLevel"/>
    <w:tmpl w:val="8982B70A"/>
    <w:lvl w:ilvl="0">
      <w:start w:val="8"/>
      <w:numFmt w:val="decimal"/>
      <w:lvlText w:val="%1."/>
      <w:lvlJc w:val="left"/>
      <w:pPr>
        <w:tabs>
          <w:tab w:val="num" w:pos="720"/>
        </w:tabs>
        <w:ind w:left="720" w:hanging="720"/>
      </w:pPr>
      <w:rPr>
        <w:b/>
        <w:bCs/>
        <w:color w:val="auto"/>
      </w:rPr>
    </w:lvl>
  </w:abstractNum>
  <w:abstractNum w:abstractNumId="8">
    <w:nsid w:val="7BDB5F08"/>
    <w:multiLevelType w:val="hybridMultilevel"/>
    <w:tmpl w:val="14240E5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826438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4013976">
    <w:abstractNumId w:val="6"/>
    <w:lvlOverride w:ilvl="0">
      <w:startOverride w:val="2"/>
    </w:lvlOverride>
  </w:num>
  <w:num w:numId="3" w16cid:durableId="1294949381">
    <w:abstractNumId w:val="2"/>
    <w:lvlOverride w:ilvl="0">
      <w:startOverride w:val="5"/>
    </w:lvlOverride>
  </w:num>
  <w:num w:numId="4" w16cid:durableId="508832029">
    <w:abstractNumId w:val="7"/>
    <w:lvlOverride w:ilvl="0">
      <w:startOverride w:val="8"/>
    </w:lvlOverride>
  </w:num>
  <w:num w:numId="5" w16cid:durableId="1507867197">
    <w:abstractNumId w:val="5"/>
    <w:lvlOverride w:ilvl="0">
      <w:startOverride w:val="14"/>
    </w:lvlOverride>
  </w:num>
  <w:num w:numId="6" w16cid:durableId="124276398">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7867995">
    <w:abstractNumId w:val="0"/>
  </w:num>
  <w:num w:numId="8" w16cid:durableId="2118672126">
    <w:abstractNumId w:val="3"/>
  </w:num>
  <w:num w:numId="9" w16cid:durableId="1255165554">
    <w:abstractNumId w:val="8"/>
  </w:num>
  <w:num w:numId="10" w16cid:durableId="1287471206">
    <w:abstractNumId w:val="1"/>
  </w:num>
  <w:num w:numId="11" w16cid:durableId="645281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C0"/>
    <w:rsid w:val="00001A2A"/>
    <w:rsid w:val="00003983"/>
    <w:rsid w:val="00007C1E"/>
    <w:rsid w:val="0001540A"/>
    <w:rsid w:val="00024977"/>
    <w:rsid w:val="00032FA1"/>
    <w:rsid w:val="00041E09"/>
    <w:rsid w:val="00043148"/>
    <w:rsid w:val="000623C9"/>
    <w:rsid w:val="0006367C"/>
    <w:rsid w:val="00064B24"/>
    <w:rsid w:val="00070B0F"/>
    <w:rsid w:val="00075EC0"/>
    <w:rsid w:val="00082FC4"/>
    <w:rsid w:val="00086904"/>
    <w:rsid w:val="000948CE"/>
    <w:rsid w:val="0009750B"/>
    <w:rsid w:val="000977CB"/>
    <w:rsid w:val="000A2003"/>
    <w:rsid w:val="000A35C8"/>
    <w:rsid w:val="000C05B6"/>
    <w:rsid w:val="000C0A45"/>
    <w:rsid w:val="000D43B5"/>
    <w:rsid w:val="000E717F"/>
    <w:rsid w:val="000F298A"/>
    <w:rsid w:val="000F2EFC"/>
    <w:rsid w:val="000F4126"/>
    <w:rsid w:val="000F6E4A"/>
    <w:rsid w:val="001263C4"/>
    <w:rsid w:val="00133D8E"/>
    <w:rsid w:val="00133F45"/>
    <w:rsid w:val="0013703D"/>
    <w:rsid w:val="00140084"/>
    <w:rsid w:val="00151C85"/>
    <w:rsid w:val="00153D30"/>
    <w:rsid w:val="00154820"/>
    <w:rsid w:val="00157F44"/>
    <w:rsid w:val="001628A2"/>
    <w:rsid w:val="0016393C"/>
    <w:rsid w:val="0016621E"/>
    <w:rsid w:val="00166FC7"/>
    <w:rsid w:val="0017596F"/>
    <w:rsid w:val="001767DE"/>
    <w:rsid w:val="00181D38"/>
    <w:rsid w:val="00182280"/>
    <w:rsid w:val="0018516A"/>
    <w:rsid w:val="00186092"/>
    <w:rsid w:val="00190230"/>
    <w:rsid w:val="001A6C86"/>
    <w:rsid w:val="001A722F"/>
    <w:rsid w:val="001B5366"/>
    <w:rsid w:val="001B588D"/>
    <w:rsid w:val="001C3D2F"/>
    <w:rsid w:val="001C4E11"/>
    <w:rsid w:val="001D7811"/>
    <w:rsid w:val="001E2F3B"/>
    <w:rsid w:val="001E3645"/>
    <w:rsid w:val="001E68FE"/>
    <w:rsid w:val="001F24D1"/>
    <w:rsid w:val="001F61F7"/>
    <w:rsid w:val="00201B99"/>
    <w:rsid w:val="00204E1D"/>
    <w:rsid w:val="00205F17"/>
    <w:rsid w:val="002136E7"/>
    <w:rsid w:val="00214E52"/>
    <w:rsid w:val="00217216"/>
    <w:rsid w:val="0022158D"/>
    <w:rsid w:val="002361C9"/>
    <w:rsid w:val="0024338E"/>
    <w:rsid w:val="00245829"/>
    <w:rsid w:val="002467C8"/>
    <w:rsid w:val="002513E6"/>
    <w:rsid w:val="0025444A"/>
    <w:rsid w:val="0026151E"/>
    <w:rsid w:val="00261F7E"/>
    <w:rsid w:val="002710ED"/>
    <w:rsid w:val="00271422"/>
    <w:rsid w:val="00284FB3"/>
    <w:rsid w:val="00285507"/>
    <w:rsid w:val="00287F09"/>
    <w:rsid w:val="00291BBC"/>
    <w:rsid w:val="002A39F8"/>
    <w:rsid w:val="002B72A1"/>
    <w:rsid w:val="002C0ED5"/>
    <w:rsid w:val="002D2A56"/>
    <w:rsid w:val="002D5E03"/>
    <w:rsid w:val="002F1A38"/>
    <w:rsid w:val="002F20DF"/>
    <w:rsid w:val="002F7CFC"/>
    <w:rsid w:val="002F7D03"/>
    <w:rsid w:val="00302CAC"/>
    <w:rsid w:val="003169C0"/>
    <w:rsid w:val="00316BBE"/>
    <w:rsid w:val="00321115"/>
    <w:rsid w:val="00331AC0"/>
    <w:rsid w:val="00333033"/>
    <w:rsid w:val="00334CEF"/>
    <w:rsid w:val="003374F2"/>
    <w:rsid w:val="00342E43"/>
    <w:rsid w:val="0035208D"/>
    <w:rsid w:val="003544A9"/>
    <w:rsid w:val="0035556B"/>
    <w:rsid w:val="0035671A"/>
    <w:rsid w:val="00357305"/>
    <w:rsid w:val="003645F9"/>
    <w:rsid w:val="00367387"/>
    <w:rsid w:val="003758E9"/>
    <w:rsid w:val="00380456"/>
    <w:rsid w:val="00395EBE"/>
    <w:rsid w:val="003A28ED"/>
    <w:rsid w:val="003C31F8"/>
    <w:rsid w:val="003C4372"/>
    <w:rsid w:val="003C4A1D"/>
    <w:rsid w:val="003C5E65"/>
    <w:rsid w:val="003F49AE"/>
    <w:rsid w:val="00402F8E"/>
    <w:rsid w:val="004043FE"/>
    <w:rsid w:val="00412C64"/>
    <w:rsid w:val="0041584C"/>
    <w:rsid w:val="00421235"/>
    <w:rsid w:val="00424B49"/>
    <w:rsid w:val="00425E09"/>
    <w:rsid w:val="00451CB7"/>
    <w:rsid w:val="00454730"/>
    <w:rsid w:val="00463476"/>
    <w:rsid w:val="00466758"/>
    <w:rsid w:val="0047101B"/>
    <w:rsid w:val="00477A37"/>
    <w:rsid w:val="004834B2"/>
    <w:rsid w:val="00483AD0"/>
    <w:rsid w:val="00484832"/>
    <w:rsid w:val="0049610D"/>
    <w:rsid w:val="0049773A"/>
    <w:rsid w:val="004A0D0C"/>
    <w:rsid w:val="004A1314"/>
    <w:rsid w:val="004A4CB7"/>
    <w:rsid w:val="004B1BEE"/>
    <w:rsid w:val="004C5DA7"/>
    <w:rsid w:val="004D30A9"/>
    <w:rsid w:val="004D3763"/>
    <w:rsid w:val="004D5DB5"/>
    <w:rsid w:val="004D6685"/>
    <w:rsid w:val="004D7E84"/>
    <w:rsid w:val="004F1545"/>
    <w:rsid w:val="004F2E20"/>
    <w:rsid w:val="004F675D"/>
    <w:rsid w:val="00507FC9"/>
    <w:rsid w:val="005121A5"/>
    <w:rsid w:val="005260D1"/>
    <w:rsid w:val="005311C6"/>
    <w:rsid w:val="00532C89"/>
    <w:rsid w:val="0053444A"/>
    <w:rsid w:val="005370E9"/>
    <w:rsid w:val="0054558B"/>
    <w:rsid w:val="0055425A"/>
    <w:rsid w:val="005542A9"/>
    <w:rsid w:val="005748A6"/>
    <w:rsid w:val="00576EF6"/>
    <w:rsid w:val="0058295F"/>
    <w:rsid w:val="005863C6"/>
    <w:rsid w:val="00587EE0"/>
    <w:rsid w:val="00595172"/>
    <w:rsid w:val="00595210"/>
    <w:rsid w:val="005A41D7"/>
    <w:rsid w:val="005A41F6"/>
    <w:rsid w:val="005C2234"/>
    <w:rsid w:val="005C2F73"/>
    <w:rsid w:val="005C6FD0"/>
    <w:rsid w:val="005D0DA8"/>
    <w:rsid w:val="005E2CF4"/>
    <w:rsid w:val="005E357B"/>
    <w:rsid w:val="005E5AC9"/>
    <w:rsid w:val="005F08CA"/>
    <w:rsid w:val="00617801"/>
    <w:rsid w:val="00617C66"/>
    <w:rsid w:val="00617CB2"/>
    <w:rsid w:val="00632F46"/>
    <w:rsid w:val="00642034"/>
    <w:rsid w:val="0064296B"/>
    <w:rsid w:val="00642EC5"/>
    <w:rsid w:val="006447E5"/>
    <w:rsid w:val="006471D0"/>
    <w:rsid w:val="006554B0"/>
    <w:rsid w:val="00667E0A"/>
    <w:rsid w:val="00674693"/>
    <w:rsid w:val="006762CA"/>
    <w:rsid w:val="00684F1A"/>
    <w:rsid w:val="0069131D"/>
    <w:rsid w:val="006A6CA4"/>
    <w:rsid w:val="006B15B4"/>
    <w:rsid w:val="006B2F0C"/>
    <w:rsid w:val="006B2F23"/>
    <w:rsid w:val="006B3F69"/>
    <w:rsid w:val="006B5DFC"/>
    <w:rsid w:val="006C0EBD"/>
    <w:rsid w:val="006D084F"/>
    <w:rsid w:val="006E4ED0"/>
    <w:rsid w:val="006F5769"/>
    <w:rsid w:val="006F5E29"/>
    <w:rsid w:val="006F6984"/>
    <w:rsid w:val="00700912"/>
    <w:rsid w:val="00704459"/>
    <w:rsid w:val="00704758"/>
    <w:rsid w:val="00706662"/>
    <w:rsid w:val="0071164A"/>
    <w:rsid w:val="00711714"/>
    <w:rsid w:val="00713C8B"/>
    <w:rsid w:val="00715EFD"/>
    <w:rsid w:val="007161E3"/>
    <w:rsid w:val="00721615"/>
    <w:rsid w:val="007322AF"/>
    <w:rsid w:val="007330DF"/>
    <w:rsid w:val="007404CD"/>
    <w:rsid w:val="007407EF"/>
    <w:rsid w:val="00741CD6"/>
    <w:rsid w:val="00743ACD"/>
    <w:rsid w:val="00744EA2"/>
    <w:rsid w:val="00747D13"/>
    <w:rsid w:val="00751D3D"/>
    <w:rsid w:val="007626C7"/>
    <w:rsid w:val="00762AC9"/>
    <w:rsid w:val="007721ED"/>
    <w:rsid w:val="0077300F"/>
    <w:rsid w:val="007749D9"/>
    <w:rsid w:val="007835E9"/>
    <w:rsid w:val="00793A41"/>
    <w:rsid w:val="00794759"/>
    <w:rsid w:val="007A41E6"/>
    <w:rsid w:val="007B5401"/>
    <w:rsid w:val="007B5A07"/>
    <w:rsid w:val="007B5E06"/>
    <w:rsid w:val="007C03C4"/>
    <w:rsid w:val="007C36BA"/>
    <w:rsid w:val="007C41FF"/>
    <w:rsid w:val="007D2A03"/>
    <w:rsid w:val="007D3F12"/>
    <w:rsid w:val="007E0398"/>
    <w:rsid w:val="007F0E37"/>
    <w:rsid w:val="007F20F9"/>
    <w:rsid w:val="007F2BE9"/>
    <w:rsid w:val="0080087E"/>
    <w:rsid w:val="0080252B"/>
    <w:rsid w:val="0083272E"/>
    <w:rsid w:val="00843004"/>
    <w:rsid w:val="00843DB4"/>
    <w:rsid w:val="00847DBC"/>
    <w:rsid w:val="00856E53"/>
    <w:rsid w:val="00856F39"/>
    <w:rsid w:val="00857098"/>
    <w:rsid w:val="00857928"/>
    <w:rsid w:val="008616BD"/>
    <w:rsid w:val="00862A8C"/>
    <w:rsid w:val="00871D66"/>
    <w:rsid w:val="00875896"/>
    <w:rsid w:val="008762B3"/>
    <w:rsid w:val="00876C6C"/>
    <w:rsid w:val="00890C37"/>
    <w:rsid w:val="008A127B"/>
    <w:rsid w:val="008C0276"/>
    <w:rsid w:val="008C0DF5"/>
    <w:rsid w:val="008C5839"/>
    <w:rsid w:val="008D40B6"/>
    <w:rsid w:val="008E08C8"/>
    <w:rsid w:val="008E6D96"/>
    <w:rsid w:val="008F3546"/>
    <w:rsid w:val="008F3C23"/>
    <w:rsid w:val="008F4A10"/>
    <w:rsid w:val="00904D1F"/>
    <w:rsid w:val="0093027E"/>
    <w:rsid w:val="00931326"/>
    <w:rsid w:val="00963F09"/>
    <w:rsid w:val="00974C44"/>
    <w:rsid w:val="00977F3C"/>
    <w:rsid w:val="0098460F"/>
    <w:rsid w:val="00985658"/>
    <w:rsid w:val="009A6D02"/>
    <w:rsid w:val="009B0979"/>
    <w:rsid w:val="009B1834"/>
    <w:rsid w:val="009B31A8"/>
    <w:rsid w:val="009C2123"/>
    <w:rsid w:val="009C242A"/>
    <w:rsid w:val="009C67A7"/>
    <w:rsid w:val="009D58A4"/>
    <w:rsid w:val="009D7B04"/>
    <w:rsid w:val="009E4C59"/>
    <w:rsid w:val="009E6130"/>
    <w:rsid w:val="009F0679"/>
    <w:rsid w:val="00A000DB"/>
    <w:rsid w:val="00A0413C"/>
    <w:rsid w:val="00A0678D"/>
    <w:rsid w:val="00A07CAA"/>
    <w:rsid w:val="00A07F4A"/>
    <w:rsid w:val="00A11AC9"/>
    <w:rsid w:val="00A11CD6"/>
    <w:rsid w:val="00A17905"/>
    <w:rsid w:val="00A215AF"/>
    <w:rsid w:val="00A224F8"/>
    <w:rsid w:val="00A23F1D"/>
    <w:rsid w:val="00A25B6B"/>
    <w:rsid w:val="00A260E2"/>
    <w:rsid w:val="00A3539C"/>
    <w:rsid w:val="00A37190"/>
    <w:rsid w:val="00A4318E"/>
    <w:rsid w:val="00A44C2C"/>
    <w:rsid w:val="00A50AEB"/>
    <w:rsid w:val="00A51F00"/>
    <w:rsid w:val="00A5214C"/>
    <w:rsid w:val="00A70C59"/>
    <w:rsid w:val="00A801D4"/>
    <w:rsid w:val="00A82994"/>
    <w:rsid w:val="00A93855"/>
    <w:rsid w:val="00A9423B"/>
    <w:rsid w:val="00AA1E3B"/>
    <w:rsid w:val="00AA5F19"/>
    <w:rsid w:val="00AA6BB9"/>
    <w:rsid w:val="00AA7CFB"/>
    <w:rsid w:val="00AB2F96"/>
    <w:rsid w:val="00AC2C02"/>
    <w:rsid w:val="00AE0691"/>
    <w:rsid w:val="00AE3809"/>
    <w:rsid w:val="00AE650B"/>
    <w:rsid w:val="00AF15AE"/>
    <w:rsid w:val="00B11803"/>
    <w:rsid w:val="00B245F3"/>
    <w:rsid w:val="00B25B56"/>
    <w:rsid w:val="00B26F93"/>
    <w:rsid w:val="00B37499"/>
    <w:rsid w:val="00B418FB"/>
    <w:rsid w:val="00B461F1"/>
    <w:rsid w:val="00B5093E"/>
    <w:rsid w:val="00B530D8"/>
    <w:rsid w:val="00B7386B"/>
    <w:rsid w:val="00B77B7C"/>
    <w:rsid w:val="00B821DC"/>
    <w:rsid w:val="00B86B9A"/>
    <w:rsid w:val="00B96A43"/>
    <w:rsid w:val="00BA3ED4"/>
    <w:rsid w:val="00BB3CC8"/>
    <w:rsid w:val="00BC1717"/>
    <w:rsid w:val="00BC1899"/>
    <w:rsid w:val="00BC24E2"/>
    <w:rsid w:val="00BD4EF6"/>
    <w:rsid w:val="00BD7721"/>
    <w:rsid w:val="00BE0E43"/>
    <w:rsid w:val="00C05218"/>
    <w:rsid w:val="00C07656"/>
    <w:rsid w:val="00C12012"/>
    <w:rsid w:val="00C1274C"/>
    <w:rsid w:val="00C1425A"/>
    <w:rsid w:val="00C239E0"/>
    <w:rsid w:val="00C25585"/>
    <w:rsid w:val="00C27717"/>
    <w:rsid w:val="00C36A33"/>
    <w:rsid w:val="00C5182A"/>
    <w:rsid w:val="00C52471"/>
    <w:rsid w:val="00C5750E"/>
    <w:rsid w:val="00C6682B"/>
    <w:rsid w:val="00C67027"/>
    <w:rsid w:val="00C71722"/>
    <w:rsid w:val="00C725D3"/>
    <w:rsid w:val="00C7597C"/>
    <w:rsid w:val="00C75C49"/>
    <w:rsid w:val="00C8046A"/>
    <w:rsid w:val="00C80B36"/>
    <w:rsid w:val="00C82F85"/>
    <w:rsid w:val="00CB1BA6"/>
    <w:rsid w:val="00CB2BE3"/>
    <w:rsid w:val="00CB5D41"/>
    <w:rsid w:val="00CC40B6"/>
    <w:rsid w:val="00CD147E"/>
    <w:rsid w:val="00CD4D36"/>
    <w:rsid w:val="00CD674F"/>
    <w:rsid w:val="00CD6AE4"/>
    <w:rsid w:val="00CD7368"/>
    <w:rsid w:val="00CE00A6"/>
    <w:rsid w:val="00CE4376"/>
    <w:rsid w:val="00CF2B20"/>
    <w:rsid w:val="00D10578"/>
    <w:rsid w:val="00D339E9"/>
    <w:rsid w:val="00D34531"/>
    <w:rsid w:val="00D40D16"/>
    <w:rsid w:val="00D414D0"/>
    <w:rsid w:val="00D42F53"/>
    <w:rsid w:val="00D479DF"/>
    <w:rsid w:val="00D54C6E"/>
    <w:rsid w:val="00D6461A"/>
    <w:rsid w:val="00D6730A"/>
    <w:rsid w:val="00D70D01"/>
    <w:rsid w:val="00D7366C"/>
    <w:rsid w:val="00D74134"/>
    <w:rsid w:val="00D8154B"/>
    <w:rsid w:val="00D9026B"/>
    <w:rsid w:val="00D934BD"/>
    <w:rsid w:val="00DA4D88"/>
    <w:rsid w:val="00DB5373"/>
    <w:rsid w:val="00DC4B23"/>
    <w:rsid w:val="00DC5C0B"/>
    <w:rsid w:val="00DC7E06"/>
    <w:rsid w:val="00DD0DFF"/>
    <w:rsid w:val="00DE0E71"/>
    <w:rsid w:val="00E06A9F"/>
    <w:rsid w:val="00E1156F"/>
    <w:rsid w:val="00E131DC"/>
    <w:rsid w:val="00E16EDA"/>
    <w:rsid w:val="00E246FA"/>
    <w:rsid w:val="00E26470"/>
    <w:rsid w:val="00E328A5"/>
    <w:rsid w:val="00E32CC7"/>
    <w:rsid w:val="00E35B8D"/>
    <w:rsid w:val="00E40714"/>
    <w:rsid w:val="00E47347"/>
    <w:rsid w:val="00E5707B"/>
    <w:rsid w:val="00E65771"/>
    <w:rsid w:val="00E664EE"/>
    <w:rsid w:val="00E704B2"/>
    <w:rsid w:val="00E746BA"/>
    <w:rsid w:val="00E90121"/>
    <w:rsid w:val="00E904C6"/>
    <w:rsid w:val="00EA689C"/>
    <w:rsid w:val="00EB2106"/>
    <w:rsid w:val="00EB5C9B"/>
    <w:rsid w:val="00EC0A2D"/>
    <w:rsid w:val="00EC56DF"/>
    <w:rsid w:val="00ED28DB"/>
    <w:rsid w:val="00ED6D2B"/>
    <w:rsid w:val="00EE3BF2"/>
    <w:rsid w:val="00EE4D7D"/>
    <w:rsid w:val="00EF05E9"/>
    <w:rsid w:val="00EF2277"/>
    <w:rsid w:val="00EF4064"/>
    <w:rsid w:val="00F0470D"/>
    <w:rsid w:val="00F130BE"/>
    <w:rsid w:val="00F1393F"/>
    <w:rsid w:val="00F147B0"/>
    <w:rsid w:val="00F15FC1"/>
    <w:rsid w:val="00F21BC1"/>
    <w:rsid w:val="00F23393"/>
    <w:rsid w:val="00F25033"/>
    <w:rsid w:val="00F25C24"/>
    <w:rsid w:val="00F3646A"/>
    <w:rsid w:val="00F4245D"/>
    <w:rsid w:val="00F45921"/>
    <w:rsid w:val="00F50F8D"/>
    <w:rsid w:val="00F55095"/>
    <w:rsid w:val="00F55EB5"/>
    <w:rsid w:val="00F73B0A"/>
    <w:rsid w:val="00F757FA"/>
    <w:rsid w:val="00F87187"/>
    <w:rsid w:val="00F95440"/>
    <w:rsid w:val="00F95F7A"/>
    <w:rsid w:val="00FA1890"/>
    <w:rsid w:val="00FA3941"/>
    <w:rsid w:val="00FA3C86"/>
    <w:rsid w:val="00FA43D8"/>
    <w:rsid w:val="00FB47FD"/>
    <w:rsid w:val="00FC2334"/>
    <w:rsid w:val="00FC4423"/>
    <w:rsid w:val="00FC5298"/>
    <w:rsid w:val="00FF33A3"/>
    <w:rsid w:val="00FF6D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E7C6E7"/>
  <w15:docId w15:val="{6ED74440-12F5-4A83-B005-D4BD314D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
    <w:rsid w:val="00333033"/>
    <w:pPr>
      <w:spacing w:before="120" w:after="120" w:line="259" w:lineRule="auto"/>
      <w:ind w:left="720"/>
    </w:pPr>
    <w:rPr>
      <w:rFonts w:ascii="Times New Roman" w:eastAsia="Calibri" w:hAnsi="Times New Roman" w:cs="Times New Roman"/>
      <w:sz w:val="24"/>
      <w:szCs w:val="24"/>
    </w:rPr>
  </w:style>
  <w:style w:type="paragraph" w:styleId="Heading1">
    <w:name w:val="heading 1"/>
    <w:basedOn w:val="Normal"/>
    <w:next w:val="Normal"/>
    <w:link w:val="Heading1Char"/>
    <w:rsid w:val="00CF2B20"/>
    <w:pPr>
      <w:widowControl w:val="0"/>
      <w:snapToGrid w:val="0"/>
      <w:spacing w:before="240" w:after="240"/>
      <w:ind w:left="734" w:hanging="547"/>
      <w:outlineLvl w:val="0"/>
    </w:pPr>
    <w:rPr>
      <w:b/>
      <w:u w:val="single"/>
    </w:rPr>
  </w:style>
  <w:style w:type="paragraph" w:styleId="Heading2">
    <w:name w:val="heading 2"/>
    <w:basedOn w:val="Heading1"/>
    <w:next w:val="Normal"/>
    <w:link w:val="Heading2Char"/>
    <w:uiPriority w:val="1"/>
    <w:rsid w:val="00F23393"/>
    <w:pPr>
      <w:outlineLvl w:val="1"/>
    </w:pPr>
    <w:rPr>
      <w:b w:val="0"/>
      <w:bCs/>
      <w:i/>
      <w:iCs/>
      <w:szCs w:val="28"/>
    </w:rPr>
  </w:style>
  <w:style w:type="paragraph" w:styleId="Heading3">
    <w:name w:val="heading 3"/>
    <w:basedOn w:val="Heading2"/>
    <w:next w:val="Normal"/>
    <w:link w:val="Heading3Char"/>
    <w:uiPriority w:val="2"/>
    <w:rsid w:val="00F23393"/>
    <w:pPr>
      <w:outlineLvl w:val="2"/>
    </w:pPr>
    <w:rPr>
      <w:bCs w:val="0"/>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CF2B20"/>
    <w:rPr>
      <w:rFonts w:ascii="Times New Roman" w:hAnsi="Times New Roman" w:cs="Times New Roman"/>
      <w:b/>
      <w:sz w:val="24"/>
      <w:szCs w:val="24"/>
      <w:u w:val="single"/>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qFormat/>
    <w:rsid w:val="00F23393"/>
    <w:rPr>
      <w:rFonts w:cs="Times New Roman"/>
      <w:sz w:val="24"/>
    </w:rPr>
  </w:style>
  <w:style w:type="paragraph" w:styleId="NormalIndent">
    <w:name w:val="Normal Indent"/>
    <w:basedOn w:val="Normal"/>
    <w:uiPriority w:val="3"/>
    <w:rsid w:val="00F23393"/>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uiPriority w:val="22"/>
    <w:qFormat/>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C27717"/>
    <w:pPr>
      <w:widowControl w:val="0"/>
      <w:suppressAutoHyphens/>
      <w:snapToGrid w:val="0"/>
      <w:spacing w:before="0" w:after="240"/>
      <w:contextualSpacing/>
      <w:jc w:val="center"/>
    </w:pPr>
    <w:rPr>
      <w:b/>
      <w:bCs/>
    </w:rPr>
  </w:style>
  <w:style w:type="character" w:customStyle="1" w:styleId="TitleChar">
    <w:name w:val="Title Char"/>
    <w:link w:val="Title"/>
    <w:uiPriority w:val="7"/>
    <w:rsid w:val="00C27717"/>
    <w:rPr>
      <w:rFonts w:ascii="Times New Roman" w:hAnsi="Times New Roman" w:cs="Times New Roman"/>
      <w:b/>
      <w:bCs/>
      <w:sz w:val="24"/>
      <w:szCs w:val="24"/>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ListParagraph">
    <w:name w:val="List Paragraph"/>
    <w:basedOn w:val="Normal"/>
    <w:uiPriority w:val="34"/>
    <w:qFormat/>
    <w:rsid w:val="00A3539C"/>
    <w:pPr>
      <w:contextualSpacing/>
    </w:pPr>
  </w:style>
  <w:style w:type="table" w:customStyle="1" w:styleId="TableGrid1">
    <w:name w:val="Table Grid1"/>
    <w:basedOn w:val="TableNormal"/>
    <w:next w:val="TableGrid"/>
    <w:uiPriority w:val="59"/>
    <w:rsid w:val="002136E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298A"/>
    <w:rPr>
      <w:sz w:val="16"/>
      <w:szCs w:val="16"/>
    </w:rPr>
  </w:style>
  <w:style w:type="paragraph" w:styleId="CommentText">
    <w:name w:val="annotation text"/>
    <w:basedOn w:val="Normal"/>
    <w:link w:val="CommentTextChar"/>
    <w:uiPriority w:val="99"/>
    <w:unhideWhenUsed/>
    <w:rsid w:val="000F298A"/>
    <w:rPr>
      <w:sz w:val="20"/>
    </w:rPr>
  </w:style>
  <w:style w:type="character" w:customStyle="1" w:styleId="CommentTextChar">
    <w:name w:val="Comment Text Char"/>
    <w:basedOn w:val="DefaultParagraphFont"/>
    <w:link w:val="CommentText"/>
    <w:uiPriority w:val="99"/>
    <w:rsid w:val="000F298A"/>
    <w:rPr>
      <w:rFonts w:cs="Times New Roman"/>
    </w:rPr>
  </w:style>
  <w:style w:type="paragraph" w:styleId="CommentSubject">
    <w:name w:val="annotation subject"/>
    <w:basedOn w:val="CommentText"/>
    <w:next w:val="CommentText"/>
    <w:link w:val="CommentSubjectChar"/>
    <w:uiPriority w:val="99"/>
    <w:semiHidden/>
    <w:unhideWhenUsed/>
    <w:rsid w:val="000F298A"/>
    <w:rPr>
      <w:b/>
      <w:bCs/>
    </w:rPr>
  </w:style>
  <w:style w:type="character" w:customStyle="1" w:styleId="CommentSubjectChar">
    <w:name w:val="Comment Subject Char"/>
    <w:basedOn w:val="CommentTextChar"/>
    <w:link w:val="CommentSubject"/>
    <w:uiPriority w:val="99"/>
    <w:semiHidden/>
    <w:rsid w:val="000F298A"/>
    <w:rPr>
      <w:rFonts w:cs="Times New Roman"/>
      <w:b/>
      <w:bCs/>
    </w:rPr>
  </w:style>
  <w:style w:type="character" w:styleId="Hyperlink">
    <w:name w:val="Hyperlink"/>
    <w:basedOn w:val="DefaultParagraphFont"/>
    <w:uiPriority w:val="99"/>
    <w:unhideWhenUsed/>
    <w:rsid w:val="00AA5F19"/>
    <w:rPr>
      <w:color w:val="0563C1" w:themeColor="hyperlink"/>
      <w:u w:val="single"/>
    </w:rPr>
  </w:style>
  <w:style w:type="character" w:styleId="UnresolvedMention">
    <w:name w:val="Unresolved Mention"/>
    <w:basedOn w:val="DefaultParagraphFont"/>
    <w:uiPriority w:val="99"/>
    <w:semiHidden/>
    <w:unhideWhenUsed/>
    <w:rsid w:val="00AA5F19"/>
    <w:rPr>
      <w:color w:val="605E5C"/>
      <w:shd w:val="clear" w:color="auto" w:fill="E1DFDD"/>
    </w:rPr>
  </w:style>
  <w:style w:type="character" w:styleId="FollowedHyperlink">
    <w:name w:val="FollowedHyperlink"/>
    <w:basedOn w:val="DefaultParagraphFont"/>
    <w:uiPriority w:val="99"/>
    <w:semiHidden/>
    <w:unhideWhenUsed/>
    <w:rsid w:val="00AA5F19"/>
    <w:rPr>
      <w:color w:val="954F72" w:themeColor="followedHyperlink"/>
      <w:u w:val="single"/>
    </w:rPr>
  </w:style>
  <w:style w:type="table" w:customStyle="1" w:styleId="TableGrid2">
    <w:name w:val="Table Grid2"/>
    <w:basedOn w:val="TableNormal"/>
    <w:next w:val="TableGrid"/>
    <w:uiPriority w:val="39"/>
    <w:rsid w:val="0080252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74693"/>
    <w:rPr>
      <w:rFonts w:ascii="Arial" w:eastAsia="Calibri" w:hAnsi="Arial"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67DE"/>
    <w:rPr>
      <w:rFonts w:ascii="Times New Roman" w:eastAsia="Calibri" w:hAnsi="Times New Roman" w:cs="Times New Roman"/>
      <w:sz w:val="24"/>
      <w:szCs w:val="24"/>
    </w:rPr>
  </w:style>
  <w:style w:type="paragraph" w:customStyle="1" w:styleId="Default">
    <w:name w:val="Default"/>
    <w:rsid w:val="00032FA1"/>
    <w:pPr>
      <w:autoSpaceDE w:val="0"/>
      <w:autoSpaceDN w:val="0"/>
      <w:adjustRightInd w:val="0"/>
    </w:pPr>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sa.gov/" TargetMode="External" /><Relationship Id="rId6" Type="http://schemas.openxmlformats.org/officeDocument/2006/relationships/hyperlink" Target="https://data.bls.gov/oes/" TargetMode="External" /><Relationship Id="rId7" Type="http://schemas.openxmlformats.org/officeDocument/2006/relationships/hyperlink" Target="https://www.ssa.gov/ssa-performance"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94C64-8AD9-4C1D-AEB5-5101C3C0A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3165</Words>
  <Characters>18046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IWS/LAN</dc:creator>
  <cp:lastModifiedBy>SSA Response</cp:lastModifiedBy>
  <cp:revision>16</cp:revision>
  <cp:lastPrinted>2019-09-19T10:49:00Z</cp:lastPrinted>
  <dcterms:created xsi:type="dcterms:W3CDTF">2025-08-28T13:00:00Z</dcterms:created>
  <dcterms:modified xsi:type="dcterms:W3CDTF">2026-03-23T13:58:00Z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-717886499</vt:i4>
  </property>
  <property fmtid="{D5CDD505-2E9C-101B-9397-08002B2CF9AE}" pid="3" name="_AuthorEmail">
    <vt:lpwstr>LP.OISP.OAESIP.Controls@ssa.gov</vt:lpwstr>
  </property>
  <property fmtid="{D5CDD505-2E9C-101B-9397-08002B2CF9AE}" pid="4" name="_AuthorEmailDisplayName">
    <vt:lpwstr>^LP OISP OAESIP Controls</vt:lpwstr>
  </property>
  <property fmtid="{D5CDD505-2E9C-101B-9397-08002B2CF9AE}" pid="5" name="_EmailSubject">
    <vt:lpwstr>OAESIP response-OMB Expiration Notice:  0960-0010  SSA-4-BK (Modernized Claims System Screens),SSA-4-BK</vt:lpwstr>
  </property>
  <property fmtid="{D5CDD505-2E9C-101B-9397-08002B2CF9AE}" pid="6" name="_NewReviewCycle">
    <vt:lpwstr/>
  </property>
  <property fmtid="{D5CDD505-2E9C-101B-9397-08002B2CF9AE}" pid="7" name="_PreviousAdHocReviewCycleID">
    <vt:i4>1515312950</vt:i4>
  </property>
  <property fmtid="{D5CDD505-2E9C-101B-9397-08002B2CF9AE}" pid="8" name="_ReviewingToolsShownOnce">
    <vt:lpwstr/>
  </property>
</Properties>
</file>