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434E33" w14:paraId="4EE851ED" w14:textId="686FAD5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753BD4">
        <w:t xml:space="preserve"> Family Violence Prevention and Services:</w:t>
      </w:r>
      <w:r w:rsidR="009626CA">
        <w:t xml:space="preserve"> </w:t>
      </w:r>
      <w:r w:rsidR="00753BD4">
        <w:t xml:space="preserve">Grants to </w:t>
      </w:r>
      <w:r w:rsidR="00E75CD5">
        <w:t xml:space="preserve">support </w:t>
      </w:r>
      <w:r w:rsidR="006D36E2">
        <w:t>Specialized Services for Abused Parents and Children (SSAPC)</w:t>
      </w:r>
    </w:p>
    <w:p w:rsidR="00BC789E" w14:paraId="13EA06A7" w14:textId="77777777">
      <w:pPr>
        <w:rPr>
          <w:b/>
        </w:rPr>
      </w:pPr>
    </w:p>
    <w:p w:rsidR="006D36E2" w:rsidRPr="005E6978" w:rsidP="005E6978" w14:paraId="2DF4E17B" w14:textId="29DF36D6">
      <w:pPr>
        <w:rPr>
          <w:bCs/>
        </w:rPr>
      </w:pPr>
      <w:r>
        <w:rPr>
          <w:b/>
        </w:rPr>
        <w:t>PURPOSE</w:t>
      </w:r>
      <w:r w:rsidRPr="009239AA">
        <w:rPr>
          <w:b/>
        </w:rPr>
        <w:t>:</w:t>
      </w:r>
      <w:r w:rsidRPr="009239AA" w:rsidR="00C14CC4">
        <w:rPr>
          <w:b/>
        </w:rPr>
        <w:t xml:space="preserve">  </w:t>
      </w:r>
      <w:r w:rsidRPr="006D36E2" w:rsidR="005E6978">
        <w:rPr>
          <w:bCs/>
        </w:rPr>
        <w:t xml:space="preserve">The Office of Family Violence Prevention and Services (OFVPS) in the Administration for Children and Families (ACF) administers the Family Violence Prevention and Services Act (FVPSA) discretionary grant funding to support </w:t>
      </w:r>
      <w:r w:rsidR="00F57AFD">
        <w:t>Specialized Services for Abused Parents and Children (</w:t>
      </w:r>
      <w:r w:rsidRPr="006D36E2">
        <w:rPr>
          <w:bCs/>
        </w:rPr>
        <w:t>SSAPC</w:t>
      </w:r>
      <w:r w:rsidR="00F57AFD">
        <w:rPr>
          <w:bCs/>
        </w:rPr>
        <w:t>)</w:t>
      </w:r>
      <w:r w:rsidRPr="006D36E2">
        <w:rPr>
          <w:bCs/>
        </w:rPr>
        <w:t xml:space="preserve"> </w:t>
      </w:r>
      <w:r w:rsidR="00F57AFD">
        <w:rPr>
          <w:bCs/>
        </w:rPr>
        <w:t>d</w:t>
      </w:r>
      <w:r w:rsidRPr="006D36E2">
        <w:rPr>
          <w:bCs/>
        </w:rPr>
        <w:t xml:space="preserve">emonstration </w:t>
      </w:r>
      <w:r w:rsidR="00F57AFD">
        <w:rPr>
          <w:bCs/>
        </w:rPr>
        <w:t>projects</w:t>
      </w:r>
      <w:r w:rsidRPr="006D36E2">
        <w:rPr>
          <w:bCs/>
        </w:rPr>
        <w:t xml:space="preserve">. SSAPC </w:t>
      </w:r>
      <w:r w:rsidRPr="006D36E2">
        <w:rPr>
          <w:color w:val="000000"/>
        </w:rPr>
        <w:t>projects focus on expanding their capacity (as family violence, domestic violence, and dating violence coalitions; local programs; tribal communities; and community-based programs) to prevent future domestic violence by addressing, in a developmentally appropriate manner, the needs of children exposed to family violence, domestic violence, or dating violence.</w:t>
      </w:r>
      <w:r w:rsidR="00F57AFD">
        <w:rPr>
          <w:bCs/>
        </w:rPr>
        <w:t xml:space="preserve">  </w:t>
      </w:r>
      <w:r w:rsidRPr="006D36E2">
        <w:rPr>
          <w:bCs/>
        </w:rPr>
        <w:t>All grant recipients will provide trauma-informed, developmentally, and age-appropriate services, that are culturally relevant and linguistically accessible to victims and children exposed to family violence, domestic violence, and/or dating violence, many of whom have also experienced child abuse and neglect. All grant recipients will provide services for non-abusing parents to support their role as caregivers and their role in responding to the social, emotional, and developmental needs of their children. Where appropriate, grant recipients will provide services while working with a non-abusing parent and child together.</w:t>
      </w:r>
    </w:p>
    <w:p w:rsidR="005E6978" w:rsidRPr="005E6978" w:rsidP="005E6978" w14:paraId="2DEEF2B2" w14:textId="77777777">
      <w:pPr>
        <w:rPr>
          <w:bCs/>
        </w:rPr>
      </w:pPr>
    </w:p>
    <w:p w:rsidR="001B0AAA" w:rsidRPr="005E6978" w:rsidP="005E6978" w14:paraId="140DE4B3" w14:textId="7347762C">
      <w:pPr>
        <w:rPr>
          <w:bCs/>
        </w:rPr>
      </w:pPr>
      <w:r w:rsidRPr="005E6978">
        <w:rPr>
          <w:bCs/>
        </w:rPr>
        <w:t xml:space="preserve">FVPSA is required to collect and report data on the provision of family violence, domestic violence, and dating violence services, including assistance and programs supported by Federal funds (42 USC 10404 (b)(3)(B)) and establish reporting requirements (42 U.S.C. 10413 (f)). FVPSA collects this information through Performance Progress Reports (PPRs). </w:t>
      </w:r>
      <w:r w:rsidR="00A31061">
        <w:t xml:space="preserve">FVPSA currently collects information from </w:t>
      </w:r>
      <w:r w:rsidR="00F57AFD">
        <w:t>SSAPC grant recipients</w:t>
      </w:r>
      <w:r w:rsidR="00A31061">
        <w:t xml:space="preserve"> through the standard ACF Performance Progress Report (PPR) - Program Indicators (OMB #0970-0406).  To ensure requested data is specific to the program’s reporting requirements, FVPSA has created a PPR that is specific to the </w:t>
      </w:r>
      <w:r w:rsidR="006D36E2">
        <w:t>SSAPC</w:t>
      </w:r>
      <w:r w:rsidR="001F09A7">
        <w:t xml:space="preserve"> </w:t>
      </w:r>
      <w:r w:rsidR="002D7A4C">
        <w:t>recipients</w:t>
      </w:r>
      <w:r w:rsidR="00A31061">
        <w:t xml:space="preserve">. The proposed PPR in this request was developed by incorporating the standard ACF PPR data elements (0970-0406) with a </w:t>
      </w:r>
      <w:r w:rsidR="006D36E2">
        <w:t>SSAPC</w:t>
      </w:r>
      <w:r w:rsidR="00A31061">
        <w:t xml:space="preserve"> narrative section</w:t>
      </w:r>
      <w:r w:rsidRPr="005E6978">
        <w:rPr>
          <w:bCs/>
        </w:rPr>
        <w:t xml:space="preserve">. The </w:t>
      </w:r>
      <w:r w:rsidR="006D36E2">
        <w:rPr>
          <w:bCs/>
        </w:rPr>
        <w:t xml:space="preserve">SSAPC </w:t>
      </w:r>
      <w:r w:rsidRPr="005E6978">
        <w:rPr>
          <w:bCs/>
        </w:rPr>
        <w:t>PPR will include metrics to better demonstrate its reach and capacity while aligning with reporting included in ACF’s annual Justification of Estimates for Appropriations for the program budget</w:t>
      </w:r>
      <w:r w:rsidR="00B353FB">
        <w:rPr>
          <w:bCs/>
        </w:rPr>
        <w:t>.</w:t>
      </w:r>
    </w:p>
    <w:p w:rsidR="001B0AAA" w14:paraId="740B6B0F" w14:textId="77777777"/>
    <w:p w:rsidR="00F15956" w:rsidRPr="00B353FB" w:rsidP="00B353FB" w14:paraId="5AD6BE8B" w14:textId="6480B062">
      <w:pPr>
        <w:pStyle w:val="Header"/>
        <w:tabs>
          <w:tab w:val="clear" w:pos="4320"/>
          <w:tab w:val="clear" w:pos="8640"/>
        </w:tabs>
        <w:rPr>
          <w:i/>
          <w:snapToGrid/>
        </w:rPr>
      </w:pPr>
      <w:r w:rsidRPr="00434E33">
        <w:rPr>
          <w:b/>
        </w:rPr>
        <w:t>DESCRIPTION OF RESPONDENTS</w:t>
      </w:r>
      <w:r>
        <w:t xml:space="preserve">: </w:t>
      </w:r>
      <w:r w:rsidR="006045DB">
        <w:t xml:space="preserve">There are currently </w:t>
      </w:r>
      <w:r w:rsidR="006D36E2">
        <w:t>55 SSAPC</w:t>
      </w:r>
      <w:r w:rsidR="006E701F">
        <w:t xml:space="preserve"> </w:t>
      </w:r>
      <w:r w:rsidR="006045DB">
        <w:t xml:space="preserve">grant recipients funded by the FVPSA </w:t>
      </w:r>
      <w:r w:rsidR="002D7A4C">
        <w:t>Program. Responses</w:t>
      </w:r>
      <w:r w:rsidR="000D4FFF">
        <w:t xml:space="preserve"> to FVPSA</w:t>
      </w:r>
      <w:r w:rsidR="00183E4B">
        <w:t xml:space="preserve"> </w:t>
      </w:r>
      <w:r w:rsidR="006D36E2">
        <w:t>SSAPC</w:t>
      </w:r>
      <w:r w:rsidR="000D4FFF">
        <w:t xml:space="preserve"> PPRs will, in most cases, be completed by existing grantee staff using data collection currently in place for discretionary grant recipients.</w:t>
      </w:r>
    </w:p>
    <w:p w:rsidR="00C8488C" w14:paraId="7B58CBA2" w14:textId="77777777"/>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is in compliance with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9C13B9" w:rsidP="00D46ED2" w14:paraId="14C88772" w14:textId="178D6C4D">
      <w:pPr>
        <w:pStyle w:val="ListParagraph"/>
        <w:numPr>
          <w:ilvl w:val="0"/>
          <w:numId w:val="20"/>
        </w:numPr>
      </w:pPr>
      <w:r>
        <w:t>Information gathered is meant primarily for program improvement and accountability.</w:t>
      </w:r>
      <w:r w:rsidR="008101A5">
        <w:tab/>
      </w:r>
      <w:r w:rsidR="008101A5">
        <w:tab/>
      </w:r>
      <w:r w:rsidR="008101A5">
        <w:tab/>
      </w:r>
      <w:r w:rsidR="008101A5">
        <w:tab/>
      </w:r>
      <w:r w:rsidR="008101A5">
        <w:tab/>
      </w:r>
      <w:r w:rsidR="008101A5">
        <w:tab/>
      </w:r>
      <w:r w:rsidR="008101A5">
        <w:tab/>
      </w:r>
      <w:r w:rsidR="008101A5">
        <w:tab/>
      </w:r>
      <w:r w:rsidR="008101A5">
        <w:tab/>
      </w:r>
      <w:r w:rsidR="008101A5">
        <w:tab/>
      </w:r>
    </w:p>
    <w:p w:rsidR="009C13B9" w:rsidP="009C13B9" w14:paraId="6C00EAD1" w14:textId="02DB0414">
      <w:r>
        <w:t>Name</w:t>
      </w:r>
      <w:r w:rsidR="004677A8">
        <w:t xml:space="preserve"> and Title</w:t>
      </w:r>
      <w:r>
        <w:t>:</w:t>
      </w:r>
      <w:r w:rsidR="004F1736">
        <w:t xml:space="preserve">  </w:t>
      </w:r>
      <w:r w:rsidRPr="00B92C42" w:rsidR="00B92C42">
        <w:rPr>
          <w:u w:val="single"/>
        </w:rPr>
        <w:t>Treymaine Ryant</w:t>
      </w:r>
      <w:r w:rsidR="00504E17">
        <w:rPr>
          <w:u w:val="single"/>
        </w:rPr>
        <w:t xml:space="preserve">, </w:t>
      </w:r>
      <w:r w:rsidRPr="00B92C42" w:rsidR="00B92C42">
        <w:rPr>
          <w:u w:val="single"/>
        </w:rPr>
        <w:t>Supervisory Program Analyst</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699A61AA">
      <w:pPr>
        <w:pStyle w:val="ListParagraph"/>
        <w:numPr>
          <w:ilvl w:val="0"/>
          <w:numId w:val="18"/>
        </w:numPr>
      </w:pPr>
      <w:r>
        <w:t>Is</w:t>
      </w:r>
      <w:r w:rsidR="00237B48">
        <w:t xml:space="preserve"> personally identifiable information (PII) collected</w:t>
      </w:r>
      <w:r>
        <w:t xml:space="preserve">?  </w:t>
      </w:r>
      <w:r w:rsidR="009239AA">
        <w:t>[  ] Yes  [</w:t>
      </w:r>
      <w:r w:rsidR="00EC697D">
        <w:t>X</w:t>
      </w:r>
      <w:r w:rsidR="009239AA">
        <w:t xml:space="preserve"> ]  No </w:t>
      </w:r>
    </w:p>
    <w:p w:rsidR="00C86E91" w:rsidP="00C86E91" w14:paraId="2CC274F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09F054A3" w14:textId="77777777">
      <w:pPr>
        <w:pStyle w:val="ListParagraph"/>
        <w:ind w:left="0"/>
        <w:rPr>
          <w:b/>
        </w:rPr>
      </w:pPr>
    </w:p>
    <w:p w:rsidR="005E714A" w:rsidP="00D46ED2" w14:paraId="63D1B82F" w14:textId="2DBE1734">
      <w:pPr>
        <w:spacing w:after="120"/>
      </w:pPr>
      <w:r>
        <w:rPr>
          <w:b/>
        </w:rPr>
        <w:t>BURDEN HOUR</w:t>
      </w:r>
      <w:r w:rsidR="00441434">
        <w:rPr>
          <w:b/>
        </w:rPr>
        <w:t>S</w:t>
      </w:r>
      <w:r>
        <w:t xml:space="preserve"> </w:t>
      </w:r>
    </w:p>
    <w:p w:rsidR="00B353FB" w:rsidP="00B353FB" w14:paraId="0BF54E72" w14:textId="77777777">
      <w:pPr>
        <w:pStyle w:val="ListParagraph"/>
        <w:spacing w:after="120"/>
        <w:ind w:left="0"/>
        <w:rPr>
          <w:i/>
        </w:rPr>
      </w:pPr>
      <w:r>
        <w:rPr>
          <w:i/>
        </w:rPr>
        <w:t>Estimates of Burden</w:t>
      </w:r>
    </w:p>
    <w:p w:rsidR="00B353FB" w:rsidP="00D46ED2" w14:paraId="5CCF22C9" w14:textId="3EB157A5">
      <w:pPr>
        <w:spacing w:after="120"/>
      </w:pPr>
      <w:r>
        <w:t xml:space="preserve">Based on </w:t>
      </w:r>
      <w:r w:rsidR="00DB7E20">
        <w:t>prior PPR’s in place</w:t>
      </w:r>
      <w:r>
        <w:t xml:space="preserve">, staff spend approximately 10 hours developing and uploading each semi-annual PPR. All FVPSA Program PPRs are uploaded into the GrantSolutions environment. </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620"/>
        <w:gridCol w:w="1530"/>
        <w:gridCol w:w="1890"/>
        <w:gridCol w:w="1540"/>
        <w:gridCol w:w="1080"/>
      </w:tblGrid>
      <w:tr w14:paraId="5EE1DE53" w14:textId="77777777" w:rsidTr="00A31061">
        <w:tblPrEx>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605" w:type="dxa"/>
          </w:tcPr>
          <w:p w:rsidR="005958E0" w:rsidRPr="0001027E" w:rsidP="005958E0" w14:paraId="49C0ADA6" w14:textId="044A0F2E">
            <w:pPr>
              <w:jc w:val="center"/>
              <w:rPr>
                <w:b/>
              </w:rPr>
            </w:pPr>
            <w:r>
              <w:rPr>
                <w:b/>
              </w:rPr>
              <w:t>Information Collection Title</w:t>
            </w:r>
          </w:p>
        </w:tc>
        <w:tc>
          <w:tcPr>
            <w:tcW w:w="162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90" w:type="dxa"/>
          </w:tcPr>
          <w:p w:rsidR="005958E0" w:rsidRPr="0001027E" w:rsidP="005958E0" w14:paraId="11E4456D" w14:textId="7D7D417A">
            <w:pPr>
              <w:jc w:val="center"/>
              <w:rPr>
                <w:b/>
              </w:rPr>
            </w:pPr>
            <w:r>
              <w:rPr>
                <w:b/>
              </w:rPr>
              <w:t>No. of Responses per Respondent (Annual)</w:t>
            </w:r>
          </w:p>
        </w:tc>
        <w:tc>
          <w:tcPr>
            <w:tcW w:w="1540" w:type="dxa"/>
          </w:tcPr>
          <w:p w:rsidR="005958E0" w:rsidRPr="0001027E" w:rsidP="005958E0" w14:paraId="7D482F0D" w14:textId="77777777">
            <w:pPr>
              <w:jc w:val="center"/>
              <w:rPr>
                <w:b/>
              </w:rPr>
            </w:pPr>
            <w:r>
              <w:rPr>
                <w:b/>
              </w:rPr>
              <w:t>Burden per Response</w:t>
            </w:r>
          </w:p>
        </w:tc>
        <w:tc>
          <w:tcPr>
            <w:tcW w:w="1080"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D46ED2">
        <w:tblPrEx>
          <w:tblW w:w="10265" w:type="dxa"/>
          <w:jc w:val="center"/>
          <w:tblLayout w:type="fixed"/>
          <w:tblLook w:val="01E0"/>
        </w:tblPrEx>
        <w:trPr>
          <w:trHeight w:val="274"/>
          <w:jc w:val="center"/>
        </w:trPr>
        <w:tc>
          <w:tcPr>
            <w:tcW w:w="2605" w:type="dxa"/>
          </w:tcPr>
          <w:p w:rsidR="005958E0" w:rsidP="00843796" w14:paraId="4EF8E65E" w14:textId="590950EE">
            <w:r>
              <w:rPr>
                <w:noProof/>
                <w:snapToGrid w:val="0"/>
              </w:rPr>
              <w:t xml:space="preserve">FVPSA </w:t>
            </w:r>
            <w:r w:rsidR="006D36E2">
              <w:rPr>
                <w:noProof/>
                <w:snapToGrid w:val="0"/>
              </w:rPr>
              <w:t>Specialized Services for Abused Parents and Children</w:t>
            </w:r>
          </w:p>
        </w:tc>
        <w:tc>
          <w:tcPr>
            <w:tcW w:w="1620" w:type="dxa"/>
            <w:vAlign w:val="center"/>
          </w:tcPr>
          <w:p w:rsidR="005958E0" w:rsidP="00F57AFD" w14:paraId="1A1B0E7D" w14:textId="42C49B2D">
            <w:pPr>
              <w:jc w:val="center"/>
            </w:pPr>
            <w:r>
              <w:t>Private Sector</w:t>
            </w:r>
          </w:p>
        </w:tc>
        <w:tc>
          <w:tcPr>
            <w:tcW w:w="1530" w:type="dxa"/>
            <w:vAlign w:val="center"/>
          </w:tcPr>
          <w:p w:rsidR="005958E0" w:rsidP="00F57AFD" w14:paraId="1B07A050" w14:textId="7D1C3867">
            <w:pPr>
              <w:jc w:val="center"/>
            </w:pPr>
            <w:r>
              <w:t>55</w:t>
            </w:r>
          </w:p>
        </w:tc>
        <w:tc>
          <w:tcPr>
            <w:tcW w:w="1890" w:type="dxa"/>
            <w:vAlign w:val="center"/>
          </w:tcPr>
          <w:p w:rsidR="005958E0" w:rsidP="00F57AFD" w14:paraId="0E9DDACF" w14:textId="0B81DE46">
            <w:pPr>
              <w:jc w:val="center"/>
            </w:pPr>
            <w:r>
              <w:t>2</w:t>
            </w:r>
          </w:p>
        </w:tc>
        <w:tc>
          <w:tcPr>
            <w:tcW w:w="1540" w:type="dxa"/>
            <w:vAlign w:val="center"/>
          </w:tcPr>
          <w:p w:rsidR="005958E0" w:rsidP="00F57AFD" w14:paraId="58DFDE16" w14:textId="1038DD81">
            <w:pPr>
              <w:jc w:val="center"/>
            </w:pPr>
            <w:r>
              <w:t>10</w:t>
            </w:r>
          </w:p>
        </w:tc>
        <w:tc>
          <w:tcPr>
            <w:tcW w:w="1080" w:type="dxa"/>
            <w:vAlign w:val="center"/>
          </w:tcPr>
          <w:p w:rsidR="005958E0" w:rsidP="00F57AFD" w14:paraId="1F57D640" w14:textId="27807242">
            <w:pPr>
              <w:jc w:val="center"/>
            </w:pPr>
            <w:r>
              <w:t>1,100</w:t>
            </w:r>
          </w:p>
        </w:tc>
      </w:tr>
    </w:tbl>
    <w:p w:rsidR="00A31061" w:rsidRPr="00A31061" w:rsidP="00A31061" w14:paraId="40996EFB" w14:textId="77777777">
      <w:pPr>
        <w:rPr>
          <w:b/>
        </w:rPr>
      </w:pPr>
    </w:p>
    <w:p w:rsidR="00C66DBF" w:rsidP="00C66DBF" w14:paraId="0DB362AA" w14:textId="3F1A032A">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is </w:t>
      </w:r>
      <w:r w:rsidRPr="0002367F" w:rsidR="0002367F">
        <w:rPr>
          <w:u w:val="single"/>
        </w:rPr>
        <w:t>$15,000</w:t>
      </w:r>
      <w:r>
        <w:rPr>
          <w:u w:val="single"/>
        </w:rPr>
        <w:t xml:space="preserve">. </w:t>
      </w:r>
      <w:r w:rsidRPr="007C2F17">
        <w:t>This is based on an estimate from the GrantSolutions Centers of Excellence to program this form in the GrantSolutions Online Data Collection System.</w:t>
      </w:r>
    </w:p>
    <w:p w:rsidR="005E6978" w:rsidP="00A403BB" w14:paraId="648F6D0E" w14:textId="77777777">
      <w:pPr>
        <w:rPr>
          <w:b/>
        </w:rPr>
      </w:pPr>
    </w:p>
    <w:p w:rsidR="00A403BB" w:rsidP="00A403BB" w14:paraId="272F7DC0" w14:textId="11437941">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3F4BC6D3">
      <w:pPr>
        <w:ind w:left="720"/>
      </w:pPr>
      <w:r>
        <w:t xml:space="preserve">[ </w:t>
      </w:r>
      <w:r w:rsidR="000D4FFF">
        <w:t>X</w:t>
      </w:r>
      <w:r>
        <w:t xml:space="preserve"> </w:t>
      </w:r>
      <w:r>
        <w:t>] Web-based</w:t>
      </w:r>
      <w:r>
        <w:t xml:space="preserve">  </w:t>
      </w:r>
    </w:p>
    <w:p w:rsidR="001B0AAA" w:rsidP="001B0AAA" w14:paraId="108764F8" w14:textId="3A5592F4">
      <w:pPr>
        <w:ind w:left="720"/>
      </w:pPr>
      <w:r>
        <w:t>[  ] Email</w:t>
      </w:r>
      <w:r w:rsidR="00A403BB">
        <w:tab/>
      </w:r>
    </w:p>
    <w:p w:rsidR="001B0AAA" w:rsidP="001B0AAA" w14:paraId="3539262E" w14:textId="77777777">
      <w:pPr>
        <w:ind w:left="720"/>
      </w:pPr>
      <w:r>
        <w:t xml:space="preserve">[ </w:t>
      </w:r>
      <w:r>
        <w:t xml:space="preserve"> </w:t>
      </w:r>
      <w:r>
        <w:t xml:space="preserve">] </w:t>
      </w:r>
      <w:r w:rsidR="00BD3E02">
        <w:t>Paper m</w:t>
      </w:r>
      <w:r>
        <w:t>ail</w:t>
      </w:r>
      <w:r>
        <w:t xml:space="preserve"> </w:t>
      </w:r>
    </w:p>
    <w:p w:rsidR="005D7338" w:rsidP="00753BD4" w14:paraId="7ACC93C4" w14:textId="0E20AD31">
      <w:pPr>
        <w:ind w:left="720"/>
      </w:pPr>
      <w:r>
        <w:t>[] Other, Explain</w:t>
      </w:r>
      <w:r w:rsidR="00753BD4">
        <w:t xml:space="preserve">: </w:t>
      </w:r>
    </w:p>
    <w:p w:rsidR="005D7338" w:rsidP="00753BD4" w14:paraId="733E3531" w14:textId="77777777">
      <w:pPr>
        <w:ind w:left="720"/>
      </w:pPr>
    </w:p>
    <w:p w:rsidR="00753BD4" w:rsidP="00753BD4" w14:paraId="70A03120" w14:textId="16F294AB">
      <w:pPr>
        <w:ind w:left="720"/>
      </w:pPr>
      <w:r>
        <w:t xml:space="preserve">All PPRs are submitted by grantees in an electronic format through GrantSolutions.  This system allows grantees 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GrantSolutions by the OFVPS staff.    </w:t>
      </w:r>
    </w:p>
    <w:p w:rsidR="001B0AAA" w:rsidP="001B0AAA" w14:paraId="6C7A935E" w14:textId="4C8991EF">
      <w:pPr>
        <w:ind w:left="720"/>
      </w:pP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5E714A" w:rsidRPr="008228C3" w:rsidP="008228C3" w14:paraId="3C79FE5A" w14:textId="44A3F729">
      <w:pPr>
        <w:rPr>
          <w:b/>
        </w:rPr>
      </w:pPr>
      <w:r w:rsidRPr="00F24CFC">
        <w:rPr>
          <w:b/>
        </w:rPr>
        <w:t>Please make sure that all instruments, instructions, and scripts are submitted with the request.</w:t>
      </w:r>
      <w:r w:rsidR="006B57D0">
        <w:rPr>
          <w:b/>
        </w:rPr>
        <w:t xml:space="preserve"> </w:t>
      </w:r>
    </w:p>
    <w:sectPr w:rsidSect="00753BD4">
      <w:footerReference w:type="default" r:id="rId7"/>
      <w:footerReference w:type="firs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3FB" w:rsidP="00B353FB" w14:paraId="343A6901" w14:textId="77777777">
    <w:pPr>
      <w:pStyle w:val="Footer"/>
      <w:tabs>
        <w:tab w:val="clear" w:pos="8640"/>
        <w:tab w:val="right" w:pos="9000"/>
      </w:tabs>
      <w:jc w:val="center"/>
      <w:rPr>
        <w:rStyle w:val="PageNumber"/>
        <w:sz w:val="20"/>
        <w:szCs w:val="20"/>
      </w:rPr>
    </w:pPr>
  </w:p>
  <w:p w:rsidR="00B353FB" w:rsidRPr="00B353FB" w:rsidP="00B353FB" w14:paraId="3DA2A9FB" w14:textId="0AF35617">
    <w:pPr>
      <w:pStyle w:val="Footer"/>
      <w:tabs>
        <w:tab w:val="clear" w:pos="8640"/>
        <w:tab w:val="right" w:pos="9000"/>
      </w:tabs>
      <w:jc w:val="center"/>
      <w:rPr>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802667"/>
      <w:docPartObj>
        <w:docPartGallery w:val="Page Numbers (Bottom of Page)"/>
        <w:docPartUnique/>
      </w:docPartObj>
    </w:sdtPr>
    <w:sdtEndPr>
      <w:rPr>
        <w:noProof/>
      </w:rPr>
    </w:sdtEndPr>
    <w:sdtContent>
      <w:p w:rsidR="00753BD4" w14:paraId="4CF4A586" w14:textId="669551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BD4" w14:paraId="4B2B1D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BBE231F"/>
    <w:multiLevelType w:val="hybridMultilevel"/>
    <w:tmpl w:val="06AC58A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4230710">
    <w:abstractNumId w:val="13"/>
  </w:num>
  <w:num w:numId="2" w16cid:durableId="1640917395">
    <w:abstractNumId w:val="21"/>
  </w:num>
  <w:num w:numId="3" w16cid:durableId="1825929778">
    <w:abstractNumId w:val="20"/>
  </w:num>
  <w:num w:numId="4" w16cid:durableId="1964653484">
    <w:abstractNumId w:val="22"/>
  </w:num>
  <w:num w:numId="5" w16cid:durableId="112872217">
    <w:abstractNumId w:val="3"/>
  </w:num>
  <w:num w:numId="6" w16cid:durableId="1977448107">
    <w:abstractNumId w:val="1"/>
  </w:num>
  <w:num w:numId="7" w16cid:durableId="2080588692">
    <w:abstractNumId w:val="11"/>
  </w:num>
  <w:num w:numId="8" w16cid:durableId="1628316620">
    <w:abstractNumId w:val="16"/>
  </w:num>
  <w:num w:numId="9" w16cid:durableId="1867058586">
    <w:abstractNumId w:val="12"/>
  </w:num>
  <w:num w:numId="10" w16cid:durableId="806977186">
    <w:abstractNumId w:val="2"/>
  </w:num>
  <w:num w:numId="11" w16cid:durableId="1207714215">
    <w:abstractNumId w:val="8"/>
  </w:num>
  <w:num w:numId="12" w16cid:durableId="878975929">
    <w:abstractNumId w:val="10"/>
  </w:num>
  <w:num w:numId="13" w16cid:durableId="1690183823">
    <w:abstractNumId w:val="0"/>
  </w:num>
  <w:num w:numId="14" w16cid:durableId="490416591">
    <w:abstractNumId w:val="19"/>
  </w:num>
  <w:num w:numId="15" w16cid:durableId="1735471529">
    <w:abstractNumId w:val="15"/>
  </w:num>
  <w:num w:numId="16" w16cid:durableId="1675641336">
    <w:abstractNumId w:val="14"/>
  </w:num>
  <w:num w:numId="17" w16cid:durableId="1232306063">
    <w:abstractNumId w:val="4"/>
  </w:num>
  <w:num w:numId="18" w16cid:durableId="1374227863">
    <w:abstractNumId w:val="7"/>
  </w:num>
  <w:num w:numId="19" w16cid:durableId="428161907">
    <w:abstractNumId w:val="6"/>
  </w:num>
  <w:num w:numId="20" w16cid:durableId="1467770850">
    <w:abstractNumId w:val="5"/>
  </w:num>
  <w:num w:numId="21" w16cid:durableId="1498808820">
    <w:abstractNumId w:val="9"/>
  </w:num>
  <w:num w:numId="22" w16cid:durableId="1704592454">
    <w:abstractNumId w:val="18"/>
  </w:num>
  <w:num w:numId="23" w16cid:durableId="20184626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67F"/>
    <w:rsid w:val="00023A57"/>
    <w:rsid w:val="00047A64"/>
    <w:rsid w:val="000623BC"/>
    <w:rsid w:val="00066808"/>
    <w:rsid w:val="00067329"/>
    <w:rsid w:val="000B2838"/>
    <w:rsid w:val="000D44CA"/>
    <w:rsid w:val="000D4FFF"/>
    <w:rsid w:val="000E200B"/>
    <w:rsid w:val="000F12D1"/>
    <w:rsid w:val="000F68BE"/>
    <w:rsid w:val="001274DD"/>
    <w:rsid w:val="00133BEB"/>
    <w:rsid w:val="00152CE4"/>
    <w:rsid w:val="00183E4B"/>
    <w:rsid w:val="001927A4"/>
    <w:rsid w:val="00194AC6"/>
    <w:rsid w:val="00196ACE"/>
    <w:rsid w:val="00196E2D"/>
    <w:rsid w:val="001A23B0"/>
    <w:rsid w:val="001A25CC"/>
    <w:rsid w:val="001B0AAA"/>
    <w:rsid w:val="001C39F7"/>
    <w:rsid w:val="001D4A37"/>
    <w:rsid w:val="001F09A7"/>
    <w:rsid w:val="001F4B09"/>
    <w:rsid w:val="001F7444"/>
    <w:rsid w:val="00237B48"/>
    <w:rsid w:val="0024521E"/>
    <w:rsid w:val="002459E3"/>
    <w:rsid w:val="00263C3D"/>
    <w:rsid w:val="00274D0B"/>
    <w:rsid w:val="002969EF"/>
    <w:rsid w:val="002B052D"/>
    <w:rsid w:val="002B34CD"/>
    <w:rsid w:val="002B3C95"/>
    <w:rsid w:val="002D0B92"/>
    <w:rsid w:val="002D7A4C"/>
    <w:rsid w:val="00351A0F"/>
    <w:rsid w:val="003636B3"/>
    <w:rsid w:val="003744F3"/>
    <w:rsid w:val="00390591"/>
    <w:rsid w:val="003A183F"/>
    <w:rsid w:val="003D5BBE"/>
    <w:rsid w:val="003E3C61"/>
    <w:rsid w:val="003F1C5B"/>
    <w:rsid w:val="003F5F22"/>
    <w:rsid w:val="0041242E"/>
    <w:rsid w:val="00430748"/>
    <w:rsid w:val="00434E33"/>
    <w:rsid w:val="004410DB"/>
    <w:rsid w:val="00441434"/>
    <w:rsid w:val="0044453A"/>
    <w:rsid w:val="0045264C"/>
    <w:rsid w:val="004651E5"/>
    <w:rsid w:val="004677A8"/>
    <w:rsid w:val="004876EC"/>
    <w:rsid w:val="004879BF"/>
    <w:rsid w:val="004D6E14"/>
    <w:rsid w:val="004F1736"/>
    <w:rsid w:val="005009B0"/>
    <w:rsid w:val="00504E17"/>
    <w:rsid w:val="0053213F"/>
    <w:rsid w:val="00534D18"/>
    <w:rsid w:val="0058602A"/>
    <w:rsid w:val="005936D8"/>
    <w:rsid w:val="005958E0"/>
    <w:rsid w:val="005A1006"/>
    <w:rsid w:val="005D7338"/>
    <w:rsid w:val="005E6978"/>
    <w:rsid w:val="005E714A"/>
    <w:rsid w:val="005F693D"/>
    <w:rsid w:val="006045DB"/>
    <w:rsid w:val="006140A0"/>
    <w:rsid w:val="00630A62"/>
    <w:rsid w:val="00636621"/>
    <w:rsid w:val="00642B49"/>
    <w:rsid w:val="00682B94"/>
    <w:rsid w:val="006832D9"/>
    <w:rsid w:val="00683B51"/>
    <w:rsid w:val="0069403B"/>
    <w:rsid w:val="006B57D0"/>
    <w:rsid w:val="006D36E2"/>
    <w:rsid w:val="006E496E"/>
    <w:rsid w:val="006E701F"/>
    <w:rsid w:val="006F3DDE"/>
    <w:rsid w:val="006F4216"/>
    <w:rsid w:val="00704678"/>
    <w:rsid w:val="00707318"/>
    <w:rsid w:val="007209F9"/>
    <w:rsid w:val="00727FA4"/>
    <w:rsid w:val="007425E7"/>
    <w:rsid w:val="00751779"/>
    <w:rsid w:val="00753BD4"/>
    <w:rsid w:val="00780954"/>
    <w:rsid w:val="00787F49"/>
    <w:rsid w:val="007C2F17"/>
    <w:rsid w:val="007D15CF"/>
    <w:rsid w:val="007E3387"/>
    <w:rsid w:val="007F53FC"/>
    <w:rsid w:val="007F7080"/>
    <w:rsid w:val="00802607"/>
    <w:rsid w:val="008101A5"/>
    <w:rsid w:val="00822664"/>
    <w:rsid w:val="008228C3"/>
    <w:rsid w:val="00822AD2"/>
    <w:rsid w:val="00843796"/>
    <w:rsid w:val="00846207"/>
    <w:rsid w:val="00894245"/>
    <w:rsid w:val="00895229"/>
    <w:rsid w:val="008A09A6"/>
    <w:rsid w:val="008B2EB3"/>
    <w:rsid w:val="008C7D85"/>
    <w:rsid w:val="008F0203"/>
    <w:rsid w:val="008F50D4"/>
    <w:rsid w:val="008F63B5"/>
    <w:rsid w:val="009239AA"/>
    <w:rsid w:val="00925AB5"/>
    <w:rsid w:val="0093272F"/>
    <w:rsid w:val="00935ADA"/>
    <w:rsid w:val="00946B6C"/>
    <w:rsid w:val="00955A71"/>
    <w:rsid w:val="0096108F"/>
    <w:rsid w:val="009626CA"/>
    <w:rsid w:val="0098404E"/>
    <w:rsid w:val="009B52DC"/>
    <w:rsid w:val="009C13B9"/>
    <w:rsid w:val="009D01A2"/>
    <w:rsid w:val="009F5923"/>
    <w:rsid w:val="00A064F6"/>
    <w:rsid w:val="00A31061"/>
    <w:rsid w:val="00A403BB"/>
    <w:rsid w:val="00A674DF"/>
    <w:rsid w:val="00A70BEA"/>
    <w:rsid w:val="00A83AA6"/>
    <w:rsid w:val="00A913C5"/>
    <w:rsid w:val="00A934D6"/>
    <w:rsid w:val="00A9524E"/>
    <w:rsid w:val="00AD190F"/>
    <w:rsid w:val="00AD3D4D"/>
    <w:rsid w:val="00AE1809"/>
    <w:rsid w:val="00AF47AD"/>
    <w:rsid w:val="00B0189D"/>
    <w:rsid w:val="00B04D1C"/>
    <w:rsid w:val="00B353FB"/>
    <w:rsid w:val="00B355A4"/>
    <w:rsid w:val="00B610A4"/>
    <w:rsid w:val="00B65832"/>
    <w:rsid w:val="00B80D76"/>
    <w:rsid w:val="00B824F4"/>
    <w:rsid w:val="00B92C42"/>
    <w:rsid w:val="00B954CA"/>
    <w:rsid w:val="00BA2105"/>
    <w:rsid w:val="00BA7E06"/>
    <w:rsid w:val="00BB43B5"/>
    <w:rsid w:val="00BB6219"/>
    <w:rsid w:val="00BC789E"/>
    <w:rsid w:val="00BD290F"/>
    <w:rsid w:val="00BD3E02"/>
    <w:rsid w:val="00BD78CA"/>
    <w:rsid w:val="00BF0025"/>
    <w:rsid w:val="00C14CC4"/>
    <w:rsid w:val="00C25899"/>
    <w:rsid w:val="00C27F29"/>
    <w:rsid w:val="00C33C52"/>
    <w:rsid w:val="00C40D8B"/>
    <w:rsid w:val="00C53C1E"/>
    <w:rsid w:val="00C66DBF"/>
    <w:rsid w:val="00C8407A"/>
    <w:rsid w:val="00C8488C"/>
    <w:rsid w:val="00C86E91"/>
    <w:rsid w:val="00C93D56"/>
    <w:rsid w:val="00CA2650"/>
    <w:rsid w:val="00CA565E"/>
    <w:rsid w:val="00CB1078"/>
    <w:rsid w:val="00CC3B29"/>
    <w:rsid w:val="00CC6FAF"/>
    <w:rsid w:val="00CF6542"/>
    <w:rsid w:val="00D03CB3"/>
    <w:rsid w:val="00D2113C"/>
    <w:rsid w:val="00D24698"/>
    <w:rsid w:val="00D46ED2"/>
    <w:rsid w:val="00D6383F"/>
    <w:rsid w:val="00D70081"/>
    <w:rsid w:val="00D82880"/>
    <w:rsid w:val="00DB59D0"/>
    <w:rsid w:val="00DB7E20"/>
    <w:rsid w:val="00DC297C"/>
    <w:rsid w:val="00DC33D3"/>
    <w:rsid w:val="00DE7149"/>
    <w:rsid w:val="00E02310"/>
    <w:rsid w:val="00E26329"/>
    <w:rsid w:val="00E40B50"/>
    <w:rsid w:val="00E50293"/>
    <w:rsid w:val="00E61997"/>
    <w:rsid w:val="00E65FFC"/>
    <w:rsid w:val="00E744EA"/>
    <w:rsid w:val="00E75CD5"/>
    <w:rsid w:val="00E80951"/>
    <w:rsid w:val="00E86CC6"/>
    <w:rsid w:val="00E9525D"/>
    <w:rsid w:val="00EB56B3"/>
    <w:rsid w:val="00EC697D"/>
    <w:rsid w:val="00ED6492"/>
    <w:rsid w:val="00EE3FDB"/>
    <w:rsid w:val="00EF2095"/>
    <w:rsid w:val="00F06866"/>
    <w:rsid w:val="00F15956"/>
    <w:rsid w:val="00F24CFC"/>
    <w:rsid w:val="00F27791"/>
    <w:rsid w:val="00F3170F"/>
    <w:rsid w:val="00F51AC7"/>
    <w:rsid w:val="00F57AFD"/>
    <w:rsid w:val="00F85161"/>
    <w:rsid w:val="00F87126"/>
    <w:rsid w:val="00F92AED"/>
    <w:rsid w:val="00F976B0"/>
    <w:rsid w:val="00FA0188"/>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B353FB"/>
    <w:rPr>
      <w:color w:val="0000FF"/>
      <w:u w:val="single"/>
    </w:rPr>
  </w:style>
  <w:style w:type="paragraph" w:styleId="FootnoteText">
    <w:name w:val="footnote text"/>
    <w:basedOn w:val="Normal"/>
    <w:link w:val="FootnoteTextChar"/>
    <w:uiPriority w:val="99"/>
    <w:unhideWhenUsed/>
    <w:rsid w:val="00B353FB"/>
    <w:pPr>
      <w:widowControl w:val="0"/>
      <w:snapToGrid w:val="0"/>
    </w:pPr>
    <w:rPr>
      <w:rFonts w:ascii="Courier New" w:hAnsi="Courier New"/>
      <w:szCs w:val="20"/>
    </w:rPr>
  </w:style>
  <w:style w:type="character" w:customStyle="1" w:styleId="FootnoteTextChar">
    <w:name w:val="Footnote Text Char"/>
    <w:basedOn w:val="DefaultParagraphFont"/>
    <w:link w:val="FootnoteText"/>
    <w:uiPriority w:val="99"/>
    <w:rsid w:val="00B353FB"/>
    <w:rPr>
      <w:rFonts w:ascii="Courier New" w:hAnsi="Courier New"/>
      <w:sz w:val="24"/>
    </w:rPr>
  </w:style>
  <w:style w:type="character" w:styleId="FootnoteReference">
    <w:name w:val="footnote reference"/>
    <w:uiPriority w:val="99"/>
    <w:unhideWhenUsed/>
    <w:rsid w:val="00B353FB"/>
    <w:rPr>
      <w:vertAlign w:val="superscript"/>
    </w:rPr>
  </w:style>
  <w:style w:type="character" w:customStyle="1" w:styleId="FooterChar">
    <w:name w:val="Footer Char"/>
    <w:basedOn w:val="DefaultParagraphFont"/>
    <w:link w:val="Footer"/>
    <w:uiPriority w:val="99"/>
    <w:rsid w:val="00753BD4"/>
    <w:rPr>
      <w:sz w:val="24"/>
      <w:szCs w:val="24"/>
    </w:rPr>
  </w:style>
  <w:style w:type="paragraph" w:styleId="Revision">
    <w:name w:val="Revision"/>
    <w:hidden/>
    <w:uiPriority w:val="99"/>
    <w:semiHidden/>
    <w:rsid w:val="000D4F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Props1.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2.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2017-02-23T14:30:00Z</cp:lastPrinted>
  <dcterms:created xsi:type="dcterms:W3CDTF">2024-08-21T12:42:00Z</dcterms:created>
  <dcterms:modified xsi:type="dcterms:W3CDTF">2026-03-11T14:25:00Z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