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957C58" w14:paraId="4C554728" w14:textId="77777777">
      <w:pPr>
        <w:widowControl/>
        <w:tabs>
          <w:tab w:val="left" w:pos="45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1E96B72D">
      <w:pPr>
        <w:widowControl/>
        <w:jc w:val="center"/>
        <w:rPr>
          <w:rFonts w:ascii="Times New Roman" w:hAnsi="Times New Roman"/>
          <w:b/>
          <w:bCs/>
        </w:rPr>
      </w:pPr>
      <w:r w:rsidRPr="00615C87">
        <w:rPr>
          <w:rFonts w:ascii="Times New Roman" w:hAnsi="Times New Roman"/>
          <w:b/>
          <w:bCs/>
        </w:rPr>
        <w:t>United States Victims of State Sponsored Terrorism Fund Application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957C58" w:rsidP="00957C58" w14:paraId="38CEE6AD" w14:textId="7D1FDE75">
      <w:pPr>
        <w:pStyle w:val="ListParagraph"/>
        <w:widowControl/>
        <w:numPr>
          <w:ilvl w:val="0"/>
          <w:numId w:val="17"/>
        </w:numPr>
        <w:ind w:left="450"/>
        <w:rPr>
          <w:rFonts w:ascii="Times New Roman" w:hAnsi="Times New Roman"/>
          <w:b/>
          <w:bCs/>
        </w:rPr>
      </w:pPr>
      <w:r w:rsidRPr="00957C58">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57C58" w:rsidP="007A5A0C" w14:paraId="53491E40" w14:textId="77777777">
      <w:pPr>
        <w:widowControl/>
        <w:rPr>
          <w:rFonts w:ascii="Times New Roman" w:hAnsi="Times New Roman"/>
        </w:rPr>
      </w:pPr>
    </w:p>
    <w:p w:rsidR="00615C87" w:rsidP="00C82F1E" w14:paraId="73E4ADC7" w14:textId="3F2108C2">
      <w:pPr>
        <w:widowControl/>
        <w:ind w:left="450"/>
        <w:rPr>
          <w:rFonts w:ascii="Times New Roman" w:hAnsi="Times New Roman"/>
        </w:rPr>
      </w:pPr>
      <w:r w:rsidRPr="00615C87">
        <w:rPr>
          <w:rFonts w:ascii="Times New Roman" w:hAnsi="Times New Roman"/>
        </w:rPr>
        <w:t xml:space="preserve">The Justice for United States Victims of State Sponsored Terrorism Act (the “Act”) was enacted into law as Title IV, Division O, section 404 of the Consolidated Appropriations Act, 2016, Pub. L 114-113, </w:t>
      </w:r>
      <w:r w:rsidRPr="00E21768" w:rsidR="00E21768">
        <w:rPr>
          <w:rFonts w:ascii="Times New Roman" w:hAnsi="Times New Roman"/>
        </w:rPr>
        <w:t>codified at 34 U.S.C. § 20144 (formerly 42 U.S.C. § 10609).</w:t>
      </w:r>
      <w:r w:rsidRPr="00615C87">
        <w:rPr>
          <w:rFonts w:ascii="Times New Roman" w:hAnsi="Times New Roman"/>
        </w:rPr>
        <w:t xml:space="preserve">  The Act establishes a program, overseen by a Special Master, to provide compensation from a special fund to certain eligible victims of state sponsored terrorism.  The Criminal Division will assist the Office of the Special Master in administering the U.S. Victims of State Sponsored Terrorism Fund (the “Fund”).</w:t>
      </w:r>
    </w:p>
    <w:p w:rsidR="000051A1" w:rsidRPr="00615C87" w:rsidP="00C82F1E" w14:paraId="6F1E567B" w14:textId="77777777">
      <w:pPr>
        <w:widowControl/>
        <w:ind w:left="450"/>
        <w:rPr>
          <w:rFonts w:ascii="Times New Roman" w:hAnsi="Times New Roman"/>
        </w:rPr>
      </w:pPr>
    </w:p>
    <w:p w:rsidR="00615C87" w:rsidP="00C82F1E" w14:paraId="26EBA880" w14:textId="5F284591">
      <w:pPr>
        <w:widowControl/>
        <w:ind w:left="450"/>
        <w:rPr>
          <w:rFonts w:ascii="Times New Roman" w:hAnsi="Times New Roman"/>
        </w:rPr>
      </w:pPr>
      <w:r w:rsidRPr="00615C87">
        <w:rPr>
          <w:rFonts w:ascii="Times New Roman" w:hAnsi="Times New Roman"/>
        </w:rPr>
        <w:t>The Act contains specific language authorizing the collection of information from applicants who are victims of state sponsored terrorism to assess their eligibility to receive compensation from the Fund and if so, the amount of compensation.  In accordance with the Act, the information collection requests information from the applicant, either from the applicant or through counsel, confirming that the claimant is a U.S. person who holds a final judgment issued by a U.S. district court awarding the claimant compensatory damages arising from acts of international terrorism for which a foreign state sponsor of terrorism was found not immune from the jurisdiction of the courts of the United States under the Foreign Sovereign Immunities Act; was taken and held hostage from the United States Embassy in Tehran, Iran, during the period beginning November 4, 1979, and ending January 20, 1981, or are spouses and children of these hostages, if identified as a member of the proposed class in case number 1:00-CV-03110 (EGS) of the United States District Court for the District of Columbia; and information regarding compensation from sources other than the Fund that the claimant has received, is entitled to received, or is scheduled to receive as a result of a final judgment.</w:t>
      </w:r>
      <w:r w:rsidR="00C82F1E">
        <w:rPr>
          <w:rFonts w:ascii="Times New Roman" w:hAnsi="Times New Roman"/>
        </w:rPr>
        <w:t xml:space="preserve">  </w:t>
      </w:r>
      <w:r w:rsidR="001C674A">
        <w:rPr>
          <w:rFonts w:ascii="Times New Roman" w:hAnsi="Times New Roman"/>
        </w:rPr>
        <w:t>Copies of t</w:t>
      </w:r>
      <w:r w:rsidR="00C82F1E">
        <w:rPr>
          <w:rFonts w:ascii="Times New Roman" w:hAnsi="Times New Roman"/>
        </w:rPr>
        <w:t>he Fund’s governing statute</w:t>
      </w:r>
      <w:r w:rsidR="001C674A">
        <w:rPr>
          <w:rFonts w:ascii="Times New Roman" w:hAnsi="Times New Roman"/>
        </w:rPr>
        <w:t xml:space="preserve"> and July 14, 2016 Federal Register Notice</w:t>
      </w:r>
      <w:r w:rsidR="00C82F1E">
        <w:rPr>
          <w:rFonts w:ascii="Times New Roman" w:hAnsi="Times New Roman"/>
        </w:rPr>
        <w:t xml:space="preserve"> </w:t>
      </w:r>
      <w:r w:rsidR="001C674A">
        <w:rPr>
          <w:rFonts w:ascii="Times New Roman" w:hAnsi="Times New Roman"/>
        </w:rPr>
        <w:t>are</w:t>
      </w:r>
      <w:r w:rsidR="00C82F1E">
        <w:rPr>
          <w:rFonts w:ascii="Times New Roman" w:hAnsi="Times New Roman"/>
        </w:rPr>
        <w:t xml:space="preserve"> attached.</w:t>
      </w:r>
    </w:p>
    <w:p w:rsidR="007A5A0C" w:rsidRPr="007A5A0C" w:rsidP="007A5A0C" w14:paraId="490B9B33" w14:textId="77777777">
      <w:pPr>
        <w:widowControl/>
        <w:rPr>
          <w:rFonts w:ascii="Times New Roman" w:hAnsi="Times New Roman"/>
        </w:rPr>
      </w:pPr>
    </w:p>
    <w:p w:rsidR="00690F56" w:rsidP="00823643" w14:paraId="2BBF8E2F" w14:textId="1C532A1C">
      <w:pPr>
        <w:pStyle w:val="ListParagraph"/>
        <w:widowControl/>
        <w:numPr>
          <w:ilvl w:val="0"/>
          <w:numId w:val="17"/>
        </w:numPr>
        <w:ind w:left="450"/>
        <w:rPr>
          <w:rFonts w:ascii="Times New Roman" w:hAnsi="Times New Roman"/>
          <w:b/>
          <w:bCs/>
        </w:rPr>
      </w:pPr>
      <w:r w:rsidRPr="00823643">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2D0A2F" w:rsidP="002D0A2F" w14:paraId="06918559" w14:textId="77777777">
      <w:pPr>
        <w:widowControl/>
        <w:rPr>
          <w:rFonts w:ascii="Times New Roman" w:hAnsi="Times New Roman"/>
          <w:b/>
          <w:bCs/>
        </w:rPr>
      </w:pPr>
    </w:p>
    <w:p w:rsidR="00C25E66" w:rsidP="00C82F1E" w14:paraId="5EFBC942" w14:textId="693A7D80">
      <w:pPr>
        <w:widowControl/>
        <w:ind w:left="450"/>
        <w:rPr>
          <w:rFonts w:ascii="Times New Roman" w:hAnsi="Times New Roman"/>
        </w:rPr>
      </w:pPr>
      <w:r w:rsidRPr="00C82F1E">
        <w:rPr>
          <w:rFonts w:ascii="Times New Roman" w:hAnsi="Times New Roman"/>
        </w:rPr>
        <w:t>The information collected from the Application Form</w:t>
      </w:r>
      <w:r w:rsidR="00E92897">
        <w:rPr>
          <w:rFonts w:ascii="Times New Roman" w:hAnsi="Times New Roman"/>
        </w:rPr>
        <w:t xml:space="preserve"> and supporting documents </w:t>
      </w:r>
      <w:r w:rsidRPr="00C82F1E">
        <w:rPr>
          <w:rFonts w:ascii="Times New Roman" w:hAnsi="Times New Roman"/>
        </w:rPr>
        <w:t xml:space="preserve">for the Fund will be used to determine whether claimants will be eligible for compensation from the Fund and if so, the amount of compensation they will be awarded.  </w:t>
      </w:r>
    </w:p>
    <w:p w:rsidR="001C674A" w:rsidP="00C82F1E" w14:paraId="09AF4CC7" w14:textId="77777777">
      <w:pPr>
        <w:widowControl/>
        <w:ind w:left="450"/>
        <w:rPr>
          <w:rFonts w:ascii="Times New Roman" w:hAnsi="Times New Roman"/>
        </w:rPr>
      </w:pPr>
    </w:p>
    <w:p w:rsidR="00802A30" w:rsidRPr="00A47DA7" w:rsidP="00802A30" w14:paraId="34E41BA0" w14:textId="77777777">
      <w:pPr>
        <w:widowControl/>
        <w:rPr>
          <w:rFonts w:ascii="Times New Roman" w:hAnsi="Times New Roman"/>
          <w:u w:val="single"/>
        </w:rPr>
      </w:pPr>
    </w:p>
    <w:p w:rsidR="00690F56" w:rsidRPr="002D0A2F" w:rsidP="002D0A2F" w14:paraId="1908DC84" w14:textId="4E70E59C">
      <w:pPr>
        <w:pStyle w:val="ListParagraph"/>
        <w:widowControl/>
        <w:numPr>
          <w:ilvl w:val="0"/>
          <w:numId w:val="17"/>
        </w:numPr>
        <w:tabs>
          <w:tab w:val="left" w:pos="-360"/>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450"/>
        <w:rPr>
          <w:rFonts w:ascii="Times New Roman" w:hAnsi="Times New Roman"/>
          <w:b/>
          <w:bCs/>
        </w:rPr>
      </w:pPr>
      <w:r w:rsidRPr="002D0A2F">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2D0A2F" w:rsidR="00237691">
        <w:rPr>
          <w:rFonts w:ascii="Times New Roman" w:hAnsi="Times New Roman"/>
          <w:b/>
          <w:bCs/>
        </w:rPr>
        <w:t>,</w:t>
      </w:r>
      <w:r w:rsidRPr="002D0A2F">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E92897" w14:paraId="711B75A7" w14:textId="71EAA5D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92897">
        <w:rPr>
          <w:rFonts w:ascii="Times New Roman" w:hAnsi="Times New Roman"/>
        </w:rPr>
        <w:t xml:space="preserve">Applications may be submitted electronically, online at </w:t>
      </w:r>
      <w:hyperlink r:id="rId8" w:history="1">
        <w:r w:rsidRPr="00833EBC">
          <w:rPr>
            <w:rStyle w:val="Hyperlink"/>
            <w:rFonts w:ascii="Times New Roman" w:hAnsi="Times New Roman"/>
          </w:rPr>
          <w:t>www.usvsst.com</w:t>
        </w:r>
      </w:hyperlink>
      <w:r w:rsidRPr="00E92897">
        <w:rPr>
          <w:rFonts w:ascii="Times New Roman" w:hAnsi="Times New Roman"/>
        </w:rPr>
        <w:t xml:space="preserve">.  Applications may also be mailed, faxed, or emailed to the </w:t>
      </w:r>
      <w:r w:rsidRPr="00E92897">
        <w:rPr>
          <w:rFonts w:ascii="Times New Roman" w:hAnsi="Times New Roman"/>
        </w:rPr>
        <w:t>claims</w:t>
      </w:r>
      <w:r w:rsidRPr="00E92897">
        <w:rPr>
          <w:rFonts w:ascii="Times New Roman" w:hAnsi="Times New Roman"/>
        </w:rPr>
        <w:t xml:space="preserve"> administrator.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15A1B4C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w:t>
      </w:r>
      <w:r w:rsidRPr="00D53DEB" w:rsidR="00847F1E">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BF6" w14:paraId="1F4E2827" w14:textId="265AB73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Claimants must provide information to establish eligibility for payments from the Fund.  </w:t>
      </w:r>
      <w:r w:rsidR="008371EA">
        <w:rPr>
          <w:rFonts w:ascii="Times New Roman" w:hAnsi="Times New Roman"/>
        </w:rPr>
        <w:t>Information provided by applicants in this collection is not otherwise available.</w:t>
      </w:r>
    </w:p>
    <w:p w:rsidR="00E92897" w:rsidRPr="00A973AA" w:rsidP="00690F56" w14:paraId="77A3BA2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B703E2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sidR="00847F1E">
        <w:rPr>
          <w:rFonts w:ascii="Times New Roman" w:hAnsi="Times New Roman"/>
          <w:b/>
          <w:bCs/>
        </w:rPr>
        <w:t>.</w:t>
      </w:r>
      <w:r w:rsidRPr="00D53DEB" w:rsidR="00847F1E">
        <w:rPr>
          <w:rFonts w:ascii="Times New Roman" w:hAnsi="Times New Roman"/>
        </w:rPr>
        <w:t xml:space="preserve"> 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144D87C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371EA">
        <w:rPr>
          <w:rFonts w:ascii="Times New Roman" w:hAnsi="Times New Roman"/>
        </w:rPr>
        <w:t xml:space="preserve">This information </w:t>
      </w:r>
      <w:r>
        <w:rPr>
          <w:rFonts w:ascii="Times New Roman" w:hAnsi="Times New Roman"/>
        </w:rPr>
        <w:t xml:space="preserve">has no </w:t>
      </w:r>
      <w:r w:rsidRPr="008371EA">
        <w:rPr>
          <w:rFonts w:ascii="Times New Roman" w:hAnsi="Times New Roman"/>
        </w:rPr>
        <w:t>effect on small businesses.  Only individuals may apply to the Fund.</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1C0C53D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847F1E">
        <w:rPr>
          <w:rFonts w:ascii="Times New Roman" w:hAnsi="Times New Roman"/>
          <w:b/>
          <w:bCs/>
        </w:rPr>
        <w:t>. Describe</w:t>
      </w:r>
      <w:r w:rsidRPr="00D53DEB" w:rsidR="00237691">
        <w:rPr>
          <w:rFonts w:ascii="Times New Roman" w:hAnsi="Times New Roman"/>
          <w:b/>
          <w:bCs/>
        </w:rPr>
        <w:t xml:space="preserv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371EA" w:rsidRPr="008371EA" w:rsidP="008371EA" w14:paraId="3349E20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371EA">
        <w:rPr>
          <w:rFonts w:ascii="Times New Roman" w:hAnsi="Times New Roman"/>
        </w:rPr>
        <w:t>The Application Form will be used to collect information to determine eligibility and compensation from the Fund.  The Application Form will be used only once by a claimant.</w:t>
      </w:r>
    </w:p>
    <w:p w:rsidR="008371EA" w:rsidRPr="008371EA" w:rsidP="008371EA" w14:paraId="3471D45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8371EA" w14:paraId="7C4C2F67" w14:textId="02B2B34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371EA">
        <w:rPr>
          <w:rFonts w:ascii="Times New Roman" w:hAnsi="Times New Roman"/>
        </w:rPr>
        <w:t xml:space="preserve">If the collection is not conducted, eligible claimants would be unable to submit an Application Form and would therefore risk not receiving compensation from the Fund.  Failure to complete this collection would render the U.S. Department of Justice unable to fulfill the mandates in the Act and the Fund’s </w:t>
      </w:r>
      <w:r>
        <w:rPr>
          <w:rFonts w:ascii="Times New Roman" w:hAnsi="Times New Roman"/>
        </w:rPr>
        <w:t xml:space="preserve">July 14, 2016 </w:t>
      </w:r>
      <w:r w:rsidRPr="008371EA">
        <w:rPr>
          <w:rFonts w:ascii="Times New Roman" w:hAnsi="Times New Roman"/>
        </w:rPr>
        <w:t>Federal Register Notice, and would prevent the U.S. Department of Justice’s vital mission in compensating victims of state</w:t>
      </w:r>
      <w:r w:rsidR="00B3217C">
        <w:rPr>
          <w:rFonts w:ascii="Times New Roman" w:hAnsi="Times New Roman"/>
        </w:rPr>
        <w:t>-</w:t>
      </w:r>
      <w:r w:rsidRPr="008371EA">
        <w:rPr>
          <w:rFonts w:ascii="Times New Roman" w:hAnsi="Times New Roman"/>
        </w:rPr>
        <w:t>sponsored terrorism.</w:t>
      </w:r>
    </w:p>
    <w:p w:rsidR="008371EA" w:rsidRPr="00A47DA7" w:rsidP="00690F56" w14:paraId="5391F7F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1FF9A0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w:t>
      </w:r>
      <w:r w:rsidRPr="00D53DEB" w:rsidR="00847F1E">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8371EA" w:rsidRPr="008371EA" w:rsidP="008371EA" w14:paraId="582721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371EA">
        <w:rPr>
          <w:rFonts w:ascii="Times New Roman" w:hAnsi="Times New Roman"/>
        </w:rPr>
        <w:t>The Application Form is a one-time collection.</w:t>
      </w:r>
    </w:p>
    <w:p w:rsidR="008371EA" w:rsidRPr="008371EA" w:rsidP="008371EA" w14:paraId="702AE7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371EA" w:rsidRPr="008371EA" w:rsidP="008371EA" w14:paraId="38F771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371EA">
        <w:rPr>
          <w:rFonts w:ascii="Times New Roman" w:hAnsi="Times New Roman"/>
        </w:rPr>
        <w:t>Claimants may be required to submit supplementary information in order to accurately process their claim.</w:t>
      </w:r>
    </w:p>
    <w:p w:rsidR="008371EA" w:rsidRPr="008371EA" w:rsidP="008371EA" w14:paraId="07CBF1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371EA" w:rsidRPr="008371EA" w:rsidP="008371EA" w14:paraId="35F446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371EA">
        <w:rPr>
          <w:rFonts w:ascii="Times New Roman" w:hAnsi="Times New Roman"/>
        </w:rPr>
        <w:t>Claimants are not required to submit more than an original or one copy of any document.</w:t>
      </w:r>
    </w:p>
    <w:p w:rsidR="008371EA" w:rsidRPr="008371EA" w:rsidP="008371EA" w14:paraId="774CF2A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371EA" w:rsidRPr="008371EA" w:rsidP="008371EA" w14:paraId="5E06A6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371EA">
        <w:rPr>
          <w:rFonts w:ascii="Times New Roman" w:hAnsi="Times New Roman"/>
        </w:rPr>
        <w:t>Claimants may be required to retain records for more than three years in order to accurately calculate their eligible claim amount.</w:t>
      </w:r>
    </w:p>
    <w:p w:rsidR="008371EA" w:rsidRPr="008371EA" w:rsidP="008371EA" w14:paraId="402593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371EA" w:rsidRPr="008371EA" w:rsidP="008371EA" w14:paraId="7C9BB8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371EA">
        <w:rPr>
          <w:rFonts w:ascii="Times New Roman" w:hAnsi="Times New Roman"/>
        </w:rPr>
        <w:t>There is no information collection in connection with a statistical survey.</w:t>
      </w:r>
    </w:p>
    <w:p w:rsidR="008371EA" w:rsidRPr="008371EA" w:rsidP="008371EA" w14:paraId="7CF8A2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371EA" w:rsidRPr="008371EA" w:rsidP="008371EA" w14:paraId="698C6E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371EA">
        <w:rPr>
          <w:rFonts w:ascii="Times New Roman" w:hAnsi="Times New Roman"/>
        </w:rPr>
        <w:t>The collection does not require the use of any statistical data collection.</w:t>
      </w:r>
    </w:p>
    <w:p w:rsidR="008371EA" w:rsidRPr="008371EA" w:rsidP="008371EA" w14:paraId="4B6B53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371EA">
        <w:rPr>
          <w:rFonts w:ascii="Times New Roman" w:hAnsi="Times New Roman"/>
        </w:rPr>
        <w:t xml:space="preserve"> </w:t>
      </w:r>
    </w:p>
    <w:p w:rsidR="008371EA" w:rsidRPr="008371EA" w:rsidP="008371EA" w14:paraId="6F7E3D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371EA">
        <w:rPr>
          <w:rFonts w:ascii="Times New Roman" w:hAnsi="Times New Roman"/>
        </w:rPr>
        <w:t xml:space="preserve">The Application Form contains a Privacy Act Notice.  Any release of information will conform to the Privacy Act Notice.  The language of the Privacy Act Notice is included in the Application Form.  Moreover, an applicant must initial their acknowledgement in the Application Form, that he or she “authorize[s] the U.S. Department of Justice to disclose any records or information relating to my claim in accordance with the Privacy Act Notice, including the routine uses . . . This includes, but is not limited to, the disclosure of any records or information relating to my claim for the purposes of determining qualification and/or compensation of my claim specifically to:  agency contractors . . . and the Department of the Treasury to ensure that any recipients of federal payments who also owe delinquent debts have their payment offset or withheld or reduced to satisfy the debt.”  </w:t>
      </w:r>
    </w:p>
    <w:p w:rsidR="008371EA" w:rsidRPr="008371EA" w:rsidP="008371EA" w14:paraId="5912D1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23E3A" w:rsidRPr="00D4451A" w:rsidP="008371EA" w14:paraId="4498B60F" w14:textId="2AFEB0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371EA">
        <w:rPr>
          <w:rFonts w:ascii="Times New Roman" w:hAnsi="Times New Roman"/>
        </w:rPr>
        <w:t xml:space="preserve">The collection does not require the claimants to submit proprietary trade secrets.  Other confidential information may be necessary in order to establish eligibility and the amount of compensation.  </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46893B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w:t>
      </w:r>
      <w:r w:rsidRPr="00D53DEB" w:rsidR="00847F1E">
        <w:rPr>
          <w:rFonts w:ascii="Times New Roman" w:hAnsi="Times New Roman"/>
          <w:b/>
          <w:bCs/>
        </w:rPr>
        <w:t>. If</w:t>
      </w:r>
      <w:r w:rsidRPr="00D53DEB">
        <w:rPr>
          <w:rFonts w:ascii="Times New Roman" w:hAnsi="Times New Roman"/>
          <w:b/>
          <w:bCs/>
        </w:rPr>
        <w:t xml:space="preserve">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A1ECD" w:rsidRPr="004A1ECD" w:rsidP="004A1ECD" w14:paraId="28E04E94" w14:textId="6C0C752B">
      <w:pPr>
        <w:widowControl/>
        <w:autoSpaceDE/>
        <w:autoSpaceDN/>
        <w:adjustRightInd/>
        <w:rPr>
          <w:rFonts w:ascii="Times New Roman" w:hAnsi="Times New Roman"/>
        </w:rPr>
      </w:pPr>
      <w:r>
        <w:rPr>
          <w:rFonts w:ascii="Times New Roman" w:hAnsi="Times New Roman"/>
        </w:rPr>
        <w:t>At the Fund’s inception and with its original</w:t>
      </w:r>
      <w:r w:rsidR="00101A10">
        <w:rPr>
          <w:rFonts w:ascii="Times New Roman" w:hAnsi="Times New Roman"/>
        </w:rPr>
        <w:t xml:space="preserve"> information collection request</w:t>
      </w:r>
      <w:r>
        <w:rPr>
          <w:rFonts w:ascii="Times New Roman" w:hAnsi="Times New Roman"/>
        </w:rPr>
        <w:t xml:space="preserve">, </w:t>
      </w:r>
      <w:r w:rsidR="00F92CA3">
        <w:rPr>
          <w:rFonts w:ascii="Times New Roman" w:hAnsi="Times New Roman"/>
        </w:rPr>
        <w:t>t</w:t>
      </w:r>
      <w:r w:rsidRPr="004A1ECD">
        <w:rPr>
          <w:rFonts w:ascii="Times New Roman" w:hAnsi="Times New Roman"/>
        </w:rPr>
        <w:t xml:space="preserve">he Fund </w:t>
      </w:r>
      <w:r w:rsidR="00F92CA3">
        <w:rPr>
          <w:rFonts w:ascii="Times New Roman" w:hAnsi="Times New Roman"/>
        </w:rPr>
        <w:t xml:space="preserve">took several </w:t>
      </w:r>
      <w:r w:rsidRPr="004A1ECD">
        <w:rPr>
          <w:rFonts w:ascii="Times New Roman" w:hAnsi="Times New Roman"/>
        </w:rPr>
        <w:t xml:space="preserve">steps to </w:t>
      </w:r>
      <w:r w:rsidR="00B3217C">
        <w:rPr>
          <w:rFonts w:ascii="Times New Roman" w:hAnsi="Times New Roman"/>
        </w:rPr>
        <w:t>e</w:t>
      </w:r>
      <w:r w:rsidRPr="004A1ECD">
        <w:rPr>
          <w:rFonts w:ascii="Times New Roman" w:hAnsi="Times New Roman"/>
        </w:rPr>
        <w:t>nsure public input.  The Special Master held two town hall conferences on June</w:t>
      </w:r>
      <w:r w:rsidR="00B3217C">
        <w:rPr>
          <w:rFonts w:ascii="Times New Roman" w:hAnsi="Times New Roman"/>
        </w:rPr>
        <w:t> </w:t>
      </w:r>
      <w:r w:rsidRPr="004A1ECD">
        <w:rPr>
          <w:rFonts w:ascii="Times New Roman" w:hAnsi="Times New Roman"/>
        </w:rPr>
        <w:t xml:space="preserve">24, 2016 and June 29, 2016, which were open to the public.  Participants, including potential applicants and attorneys, directly posed questions and comments which were responded to or taken into consideration.  Further, the Fund published on its online website </w:t>
      </w:r>
      <w:hyperlink r:id="rId8" w:history="1">
        <w:r w:rsidRPr="00833EBC" w:rsidR="00101A10">
          <w:rPr>
            <w:rStyle w:val="Hyperlink"/>
            <w:rFonts w:ascii="Times New Roman" w:hAnsi="Times New Roman"/>
          </w:rPr>
          <w:t>www.usvsst.com</w:t>
        </w:r>
      </w:hyperlink>
      <w:r w:rsidRPr="004A1ECD">
        <w:rPr>
          <w:rFonts w:ascii="Times New Roman" w:hAnsi="Times New Roman"/>
        </w:rPr>
        <w:t xml:space="preserve"> draft versions of the Notice and Frequently Asked Questions for public input.  The Special Master received written input from potential claimants and their attorneys.  Thus, interested parties had opportunities to consider and provide input on the draft procedures, including details of the information that would be collected.  The Fund considered this public input in developing the final version of the Fund’s Federal Register Notice.</w:t>
      </w:r>
    </w:p>
    <w:p w:rsidR="004A1ECD" w:rsidRPr="004A1ECD" w:rsidP="004A1ECD" w14:paraId="403340AF" w14:textId="77777777">
      <w:pPr>
        <w:widowControl/>
        <w:autoSpaceDE/>
        <w:autoSpaceDN/>
        <w:adjustRightInd/>
        <w:rPr>
          <w:rFonts w:ascii="Times New Roman" w:hAnsi="Times New Roman"/>
        </w:rPr>
      </w:pPr>
    </w:p>
    <w:p w:rsidR="004A1ECD" w:rsidP="004A1ECD" w14:paraId="1EB1D710" w14:textId="1CB0C286">
      <w:pPr>
        <w:widowControl/>
        <w:autoSpaceDE/>
        <w:autoSpaceDN/>
        <w:adjustRightInd/>
        <w:rPr>
          <w:rFonts w:ascii="Times New Roman" w:hAnsi="Times New Roman"/>
        </w:rPr>
      </w:pPr>
      <w:r w:rsidRPr="004A1ECD">
        <w:rPr>
          <w:rFonts w:ascii="Times New Roman" w:hAnsi="Times New Roman"/>
        </w:rPr>
        <w:t xml:space="preserve">On July 14, 2016, the Fund’s Notice was published in the Federal Register and posted on the Fund’s website.  </w:t>
      </w:r>
      <w:r w:rsidRPr="00F92CA3">
        <w:rPr>
          <w:rFonts w:ascii="Times New Roman" w:hAnsi="Times New Roman"/>
          <w:i/>
          <w:iCs/>
        </w:rPr>
        <w:t>See</w:t>
      </w:r>
      <w:r w:rsidRPr="004A1ECD">
        <w:rPr>
          <w:rFonts w:ascii="Times New Roman" w:hAnsi="Times New Roman"/>
        </w:rPr>
        <w:t xml:space="preserve"> 81 FR 45535-45539.  The Notice specifies the procedures necessary for United States persons to apply to the Fund and establish eligibility for payment.  The Notice included a description of this collection.  </w:t>
      </w:r>
      <w:r w:rsidRPr="00F92CA3">
        <w:rPr>
          <w:rFonts w:ascii="Times New Roman" w:hAnsi="Times New Roman"/>
          <w:i/>
          <w:iCs/>
        </w:rPr>
        <w:t>Id.</w:t>
      </w:r>
      <w:r w:rsidRPr="004A1ECD">
        <w:rPr>
          <w:rFonts w:ascii="Times New Roman" w:hAnsi="Times New Roman"/>
        </w:rPr>
        <w:t xml:space="preserve">  </w:t>
      </w:r>
    </w:p>
    <w:p w:rsidR="004A1ECD" w:rsidP="0060114B" w14:paraId="7F1C24B8" w14:textId="77777777">
      <w:pPr>
        <w:widowControl/>
        <w:autoSpaceDE/>
        <w:autoSpaceDN/>
        <w:adjustRightInd/>
        <w:rPr>
          <w:rFonts w:ascii="Times New Roman" w:hAnsi="Times New Roman"/>
        </w:rPr>
      </w:pPr>
    </w:p>
    <w:p w:rsidR="000C6AC7" w:rsidP="0060114B" w14:paraId="2B6AC43D" w14:textId="12336E6B">
      <w:pPr>
        <w:widowControl/>
        <w:autoSpaceDE/>
        <w:autoSpaceDN/>
        <w:adjustRightInd/>
        <w:rPr>
          <w:rFonts w:ascii="Times New Roman" w:hAnsi="Times New Roman"/>
        </w:rPr>
      </w:pPr>
      <w:r>
        <w:rPr>
          <w:rFonts w:ascii="Times New Roman" w:hAnsi="Times New Roman"/>
        </w:rPr>
        <w:t xml:space="preserve">The </w:t>
      </w:r>
      <w:r w:rsidR="00101A10">
        <w:rPr>
          <w:rFonts w:ascii="Times New Roman" w:hAnsi="Times New Roman"/>
        </w:rPr>
        <w:t xml:space="preserve">Fund extended the approved collection in 2019.  The 60-Day Notice was published in the Federal Register on July 19, 2019 (84 FR 34946) and the 30-Day Notice was published on September 30, 2019 (84 FR 51620).  </w:t>
      </w:r>
    </w:p>
    <w:p w:rsidR="000C6AC7" w:rsidP="0060114B" w14:paraId="570D2C4C" w14:textId="77777777">
      <w:pPr>
        <w:widowControl/>
        <w:autoSpaceDE/>
        <w:autoSpaceDN/>
        <w:adjustRightInd/>
        <w:rPr>
          <w:rFonts w:ascii="Times New Roman" w:hAnsi="Times New Roman"/>
        </w:rPr>
      </w:pPr>
    </w:p>
    <w:p w:rsidR="00F92CA3" w:rsidP="0060114B" w14:paraId="28D85863" w14:textId="4ABB46CD">
      <w:pPr>
        <w:widowControl/>
        <w:autoSpaceDE/>
        <w:autoSpaceDN/>
        <w:adjustRightInd/>
        <w:rPr>
          <w:rFonts w:ascii="Times New Roman" w:hAnsi="Times New Roman"/>
        </w:rPr>
      </w:pPr>
      <w:r>
        <w:rPr>
          <w:rFonts w:ascii="Times New Roman" w:hAnsi="Times New Roman"/>
        </w:rPr>
        <w:t xml:space="preserve">The </w:t>
      </w:r>
      <w:r w:rsidR="000C6AC7">
        <w:rPr>
          <w:rFonts w:ascii="Times New Roman" w:hAnsi="Times New Roman"/>
        </w:rPr>
        <w:t>Fund revised the approved collection in 2022.  The 60-Day Notice was published in the Federal Register on May 31, 2022 (87 FR 32463) and the 30-Day Notice was published on September 22, 2022 (87 FR 57924).</w:t>
      </w:r>
    </w:p>
    <w:p w:rsidR="00F92CA3" w:rsidP="0060114B" w14:paraId="021DA61E" w14:textId="77777777">
      <w:pPr>
        <w:widowControl/>
        <w:autoSpaceDE/>
        <w:autoSpaceDN/>
        <w:adjustRightInd/>
        <w:rPr>
          <w:rFonts w:ascii="Times New Roman" w:hAnsi="Times New Roman"/>
        </w:rPr>
      </w:pPr>
    </w:p>
    <w:p w:rsidR="0060114B" w:rsidP="0060114B" w14:paraId="425C0DB9" w14:textId="7AEA09D7">
      <w:pPr>
        <w:widowControl/>
        <w:autoSpaceDE/>
        <w:autoSpaceDN/>
        <w:adjustRightInd/>
        <w:rPr>
          <w:rFonts w:ascii="Times New Roman" w:hAnsi="Times New Roman"/>
        </w:rPr>
      </w:pPr>
      <w:r w:rsidRPr="00A2391E">
        <w:rPr>
          <w:rFonts w:ascii="Times New Roman" w:hAnsi="Times New Roman"/>
        </w:rPr>
        <w:t>The</w:t>
      </w:r>
      <w:r w:rsidR="000C6AC7">
        <w:rPr>
          <w:rFonts w:ascii="Times New Roman" w:hAnsi="Times New Roman"/>
        </w:rPr>
        <w:t xml:space="preserve"> Fund seeks to revise the approved collection.  The</w:t>
      </w:r>
      <w:r w:rsidRPr="00A2391E">
        <w:rPr>
          <w:rFonts w:ascii="Times New Roman" w:hAnsi="Times New Roman"/>
        </w:rPr>
        <w:t xml:space="preserve"> 60-Day Notice was published in the Federal Register on </w:t>
      </w:r>
      <w:r w:rsidR="00B01DD1">
        <w:rPr>
          <w:rFonts w:ascii="Times New Roman" w:hAnsi="Times New Roman"/>
        </w:rPr>
        <w:t xml:space="preserve">November 25, 2025 </w:t>
      </w:r>
      <w:r w:rsidRPr="00A2391E">
        <w:rPr>
          <w:rFonts w:ascii="Times New Roman" w:hAnsi="Times New Roman"/>
        </w:rPr>
        <w:t>(</w:t>
      </w:r>
      <w:r w:rsidR="00B01DD1">
        <w:rPr>
          <w:rFonts w:ascii="Times New Roman" w:hAnsi="Times New Roman"/>
        </w:rPr>
        <w:t>90</w:t>
      </w:r>
      <w:r w:rsidRPr="005B2697" w:rsidR="005B2697">
        <w:rPr>
          <w:rFonts w:ascii="Times New Roman" w:hAnsi="Times New Roman"/>
        </w:rPr>
        <w:t xml:space="preserve"> FR</w:t>
      </w:r>
      <w:r w:rsidR="00B01DD1">
        <w:rPr>
          <w:rFonts w:ascii="Times New Roman" w:hAnsi="Times New Roman"/>
        </w:rPr>
        <w:t xml:space="preserve"> 53390</w:t>
      </w:r>
      <w:r w:rsidRPr="00A2391E">
        <w:rPr>
          <w:rFonts w:ascii="Times New Roman" w:hAnsi="Times New Roman"/>
        </w:rPr>
        <w:t xml:space="preserve">). </w:t>
      </w:r>
      <w:r w:rsidR="000C6AC7">
        <w:rPr>
          <w:rFonts w:ascii="Times New Roman" w:hAnsi="Times New Roman"/>
        </w:rPr>
        <w:t xml:space="preserve"> </w:t>
      </w:r>
      <w:r w:rsidRPr="00A2391E">
        <w:rPr>
          <w:rFonts w:ascii="Times New Roman" w:hAnsi="Times New Roman"/>
        </w:rPr>
        <w:t>The comment period ended on</w:t>
      </w:r>
      <w:r w:rsidR="002517E4">
        <w:rPr>
          <w:rFonts w:ascii="Times New Roman" w:hAnsi="Times New Roman"/>
        </w:rPr>
        <w:t xml:space="preserve"> </w:t>
      </w:r>
      <w:r w:rsidR="00B01DD1">
        <w:rPr>
          <w:rFonts w:ascii="Times New Roman" w:hAnsi="Times New Roman"/>
        </w:rPr>
        <w:t xml:space="preserve">January </w:t>
      </w:r>
      <w:r w:rsidR="00B01DD1">
        <w:rPr>
          <w:rFonts w:ascii="Times New Roman" w:hAnsi="Times New Roman"/>
        </w:rPr>
        <w:t>26, 2026</w:t>
      </w:r>
      <w:r w:rsidR="002517E4">
        <w:rPr>
          <w:rFonts w:ascii="Times New Roman" w:hAnsi="Times New Roman"/>
        </w:rPr>
        <w:t>.</w:t>
      </w:r>
      <w:r w:rsidRPr="00A2391E">
        <w:rPr>
          <w:rFonts w:ascii="Times New Roman" w:hAnsi="Times New Roman"/>
        </w:rPr>
        <w:t xml:space="preserve"> </w:t>
      </w:r>
      <w:r w:rsidR="000C6AC7">
        <w:rPr>
          <w:rFonts w:ascii="Times New Roman" w:hAnsi="Times New Roman"/>
        </w:rPr>
        <w:t xml:space="preserve"> </w:t>
      </w:r>
      <w:r w:rsidRPr="00A2391E">
        <w:rPr>
          <w:rFonts w:ascii="Times New Roman" w:hAnsi="Times New Roman"/>
        </w:rPr>
        <w:t>No comments were received.</w:t>
      </w:r>
      <w:r w:rsidR="00847F1E">
        <w:rPr>
          <w:rFonts w:ascii="Times New Roman" w:hAnsi="Times New Roman"/>
        </w:rPr>
        <w:t xml:space="preserve"> The 30-Day Notice was published in the Federal Register on January 23, </w:t>
      </w:r>
      <w:r w:rsidR="00847F1E">
        <w:rPr>
          <w:rFonts w:ascii="Times New Roman" w:hAnsi="Times New Roman"/>
        </w:rPr>
        <w:t>2026</w:t>
      </w:r>
      <w:r w:rsidR="00847F1E">
        <w:rPr>
          <w:rFonts w:ascii="Times New Roman" w:hAnsi="Times New Roman"/>
        </w:rPr>
        <w:t xml:space="preserve"> and will be open for public comment until February 23, 2026.</w:t>
      </w:r>
    </w:p>
    <w:p w:rsidR="009A1D72" w:rsidRPr="009A1D72" w:rsidP="009A1D72" w14:paraId="7CF5069F" w14:textId="77777777">
      <w:pPr>
        <w:widowControl/>
        <w:autoSpaceDE/>
        <w:autoSpaceDN/>
        <w:adjustRightInd/>
        <w:rPr>
          <w:rFonts w:ascii="Times New Roman" w:hAnsi="Times New Roman"/>
        </w:rPr>
      </w:pPr>
      <w:r w:rsidRPr="009A1D72">
        <w:rPr>
          <w:rFonts w:ascii="Times New Roman" w:hAnsi="Times New Roman"/>
        </w:rPr>
        <w:t>On 3/27/26, the Fund received a comment dated 3/22/26.  The comment relates to the potential for identity theft or malware in the information collection.</w:t>
      </w:r>
    </w:p>
    <w:p w:rsidR="009A1D72" w:rsidRPr="009A1D72" w:rsidP="009A1D72" w14:paraId="5F0C0436" w14:textId="77777777">
      <w:pPr>
        <w:widowControl/>
        <w:autoSpaceDE/>
        <w:autoSpaceDN/>
        <w:adjustRightInd/>
        <w:rPr>
          <w:rFonts w:ascii="Times New Roman" w:hAnsi="Times New Roman"/>
        </w:rPr>
      </w:pPr>
    </w:p>
    <w:p w:rsidR="009A1D72" w:rsidP="009A1D72" w14:paraId="0A2A77F8" w14:textId="6B0A6E98">
      <w:pPr>
        <w:widowControl/>
        <w:autoSpaceDE/>
        <w:autoSpaceDN/>
        <w:adjustRightInd/>
        <w:rPr>
          <w:rFonts w:ascii="Times New Roman" w:hAnsi="Times New Roman"/>
        </w:rPr>
      </w:pPr>
      <w:r w:rsidRPr="009A1D72">
        <w:rPr>
          <w:rFonts w:ascii="Times New Roman" w:hAnsi="Times New Roman"/>
        </w:rPr>
        <w:t xml:space="preserve">The information requested in this collection is collected in accordance with the Privacy Act and the Systems of Record Notice (SORN) published in the Federal Register on July 14, 2016 (81 FR 45539) (modified May 25, </w:t>
      </w:r>
      <w:r w:rsidRPr="009A1D72">
        <w:rPr>
          <w:rFonts w:ascii="Times New Roman" w:hAnsi="Times New Roman"/>
        </w:rPr>
        <w:t>2017</w:t>
      </w:r>
      <w:r w:rsidRPr="009A1D72">
        <w:rPr>
          <w:rFonts w:ascii="Times New Roman" w:hAnsi="Times New Roman"/>
        </w:rPr>
        <w:t xml:space="preserve"> at 82 FR 24151 and June 10, </w:t>
      </w:r>
      <w:r w:rsidRPr="009A1D72">
        <w:rPr>
          <w:rFonts w:ascii="Times New Roman" w:hAnsi="Times New Roman"/>
        </w:rPr>
        <w:t>2019</w:t>
      </w:r>
      <w:r w:rsidRPr="009A1D72">
        <w:rPr>
          <w:rFonts w:ascii="Times New Roman" w:hAnsi="Times New Roman"/>
        </w:rPr>
        <w:t xml:space="preserve"> at 84 FR 26901).  Please see the response to question 10.</w:t>
      </w:r>
    </w:p>
    <w:p w:rsidR="009A1D72" w:rsidP="0060114B" w14:paraId="64FD2D65" w14:textId="77777777">
      <w:pPr>
        <w:widowControl/>
        <w:autoSpaceDE/>
        <w:autoSpaceDN/>
        <w:adjustRightInd/>
        <w:rPr>
          <w:rFonts w:ascii="Times New Roman" w:hAnsi="Times New Roman"/>
        </w:rPr>
      </w:pP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25CEE8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2BE09B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F69D8">
        <w:rPr>
          <w:rFonts w:ascii="Times New Roman" w:hAnsi="Times New Roman"/>
        </w:rPr>
        <w:t>No payment or gift will be provided to claimants for filling out the Application Form.  The collection is part of an application for compensation from the Fund.  Only those claimants who submit a complete and timely application, satisfy the eligibility criteria as provided in the Act, and are determined by the Special Master to satisfy those eligibility criteria, will receive payment</w:t>
      </w:r>
      <w:r w:rsidR="00243FDC">
        <w:rPr>
          <w:rFonts w:ascii="Times New Roman" w:hAnsi="Times New Roman"/>
        </w:rPr>
        <w:t>s</w:t>
      </w:r>
      <w:r w:rsidRPr="000F69D8">
        <w:rPr>
          <w:rFonts w:ascii="Times New Roman" w:hAnsi="Times New Roman"/>
        </w:rPr>
        <w:t>.  Further, any eligible claim amount is subject to the statutory limitations as set forth in the Act.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395EC0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w:t>
      </w:r>
      <w:r w:rsidRPr="00D53DEB" w:rsidR="00847F1E">
        <w:rPr>
          <w:rFonts w:ascii="Times New Roman" w:hAnsi="Times New Roman"/>
          <w:b/>
          <w:bCs/>
        </w:rPr>
        <w:t>. Describe</w:t>
      </w:r>
      <w:r w:rsidRPr="00D53DEB">
        <w:rPr>
          <w:rFonts w:ascii="Times New Roman" w:hAnsi="Times New Roman"/>
          <w:b/>
          <w:bCs/>
        </w:rPr>
        <w:t xml:space="preserv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F69D8" w:rsidRPr="00014CA1" w:rsidP="00014CA1" w14:paraId="18B2BDB5" w14:textId="111E8C75">
      <w:r w:rsidRPr="000F69D8">
        <w:rPr>
          <w:rFonts w:ascii="Times New Roman" w:hAnsi="Times New Roman"/>
        </w:rPr>
        <w:t>Information requested in this collection is collected in accordance with the Privacy Act.  Any release of information will conform to the Privacy Act Notice which is included in the Application Form.  Moreover, a claimant must certify, as part of the Application Form, that he or she “authorize[s] the U.S. Department of Justice to disclose any records or information relating to my claim in accordance with the Privacy Act Notice, including the routine uses . . .  This includes, but is not limited to, the disclosure of any records or information relating to my claim for the purposes of determining qualification and/or compensation of my claim specifically to:  agency contractors . . .  and the Department of the Treasury to ensure that any recipients of federal payments who also owe delinquent debts have their payment offset or withheld or reduced to satisfy the debt.”</w:t>
      </w:r>
      <w:r w:rsidR="00600FAC">
        <w:rPr>
          <w:rFonts w:ascii="Times New Roman" w:hAnsi="Times New Roman"/>
        </w:rPr>
        <w:t xml:space="preserve">  In addition to the Privacy Act, the information is collected in accordance with the Systems of Record Notice (SORN) published in the Federal Register on July 14, 2016 (81 FR 45539) (modified May 25, 2017 at 82 FR 24151 and June 10, 2019 at 84 FR 26901).</w:t>
      </w:r>
    </w:p>
    <w:p w:rsidR="000F69D8" w:rsidRPr="000F69D8" w:rsidP="000F69D8" w14:paraId="1C2477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69AEE21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w:t>
      </w:r>
      <w:r w:rsidRPr="009D2488" w:rsidR="009D2488">
        <w:rPr>
          <w:rFonts w:ascii="Times New Roman" w:hAnsi="Times New Roman"/>
        </w:rPr>
        <w:t xml:space="preserve">he Application Form </w:t>
      </w:r>
      <w:r>
        <w:rPr>
          <w:rFonts w:ascii="Times New Roman" w:hAnsi="Times New Roman"/>
        </w:rPr>
        <w:t xml:space="preserve">does not include questions of a sensitive nature.  </w:t>
      </w:r>
    </w:p>
    <w:p w:rsidR="009D2488" w:rsidRPr="00871CA6" w:rsidP="00690F56" w14:paraId="1E66F8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0A7B31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460" w:type="dxa"/>
        <w:tblLook w:val="04A0"/>
      </w:tblPr>
      <w:tblGrid>
        <w:gridCol w:w="1830"/>
        <w:gridCol w:w="1415"/>
        <w:gridCol w:w="1219"/>
        <w:gridCol w:w="1182"/>
        <w:gridCol w:w="1097"/>
        <w:gridCol w:w="950"/>
        <w:gridCol w:w="1438"/>
        <w:gridCol w:w="1329"/>
      </w:tblGrid>
      <w:tr w14:paraId="4AA59B92" w14:textId="77777777" w:rsidTr="00C0069F">
        <w:tblPrEx>
          <w:tblW w:w="10460" w:type="dxa"/>
          <w:tblLook w:val="04A0"/>
        </w:tblPrEx>
        <w:tc>
          <w:tcPr>
            <w:tcW w:w="1830"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38"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29"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C0069F">
        <w:tblPrEx>
          <w:tblW w:w="10460" w:type="dxa"/>
          <w:tblLook w:val="04A0"/>
        </w:tblPrEx>
        <w:tc>
          <w:tcPr>
            <w:tcW w:w="1830" w:type="dxa"/>
            <w:vAlign w:val="bottom"/>
          </w:tcPr>
          <w:p w:rsidR="003908B9" w:rsidRPr="008F47CB" w:rsidP="008C6A87" w14:paraId="4E4E0FA6" w14:textId="6FA9CDCD">
            <w:pPr>
              <w:jc w:val="right"/>
              <w:rPr>
                <w:rFonts w:ascii="Times New Roman" w:hAnsi="Times New Roman"/>
                <w:sz w:val="22"/>
                <w:szCs w:val="22"/>
              </w:rPr>
            </w:pPr>
            <w:r>
              <w:rPr>
                <w:rFonts w:ascii="Times New Roman" w:hAnsi="Times New Roman"/>
                <w:sz w:val="22"/>
                <w:szCs w:val="22"/>
              </w:rPr>
              <w:t>Name of collection instrument</w:t>
            </w:r>
            <w:r w:rsidR="00607AC5">
              <w:rPr>
                <w:rFonts w:ascii="Times New Roman" w:hAnsi="Times New Roman"/>
                <w:sz w:val="22"/>
                <w:szCs w:val="22"/>
              </w:rPr>
              <w:t xml:space="preserve">: </w:t>
            </w:r>
            <w:r w:rsidR="00FB79DC">
              <w:rPr>
                <w:rFonts w:ascii="Times New Roman" w:hAnsi="Times New Roman"/>
                <w:sz w:val="22"/>
                <w:szCs w:val="22"/>
              </w:rPr>
              <w:t xml:space="preserve">Application </w:t>
            </w:r>
            <w:r w:rsidR="006C2FC8">
              <w:rPr>
                <w:rFonts w:ascii="Times New Roman" w:hAnsi="Times New Roman"/>
                <w:sz w:val="22"/>
                <w:szCs w:val="22"/>
              </w:rPr>
              <w:t>(Individuals)</w:t>
            </w:r>
          </w:p>
        </w:tc>
        <w:tc>
          <w:tcPr>
            <w:tcW w:w="1415" w:type="dxa"/>
            <w:vAlign w:val="bottom"/>
          </w:tcPr>
          <w:p w:rsidR="003908B9" w:rsidRPr="008F47CB" w:rsidP="008C6A87" w14:paraId="23BB2474" w14:textId="5FC72DEF">
            <w:pPr>
              <w:jc w:val="right"/>
              <w:rPr>
                <w:rFonts w:ascii="Times New Roman" w:hAnsi="Times New Roman"/>
                <w:sz w:val="22"/>
                <w:szCs w:val="22"/>
              </w:rPr>
            </w:pPr>
            <w:r>
              <w:rPr>
                <w:rFonts w:ascii="Times New Roman" w:hAnsi="Times New Roman"/>
                <w:sz w:val="22"/>
                <w:szCs w:val="22"/>
              </w:rPr>
              <w:t>2000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34CFB693">
            <w:pPr>
              <w:jc w:val="right"/>
              <w:rPr>
                <w:rFonts w:ascii="Times New Roman" w:hAnsi="Times New Roman"/>
                <w:sz w:val="22"/>
                <w:szCs w:val="22"/>
              </w:rPr>
            </w:pPr>
            <w:r>
              <w:rPr>
                <w:rFonts w:ascii="Times New Roman" w:hAnsi="Times New Roman"/>
                <w:sz w:val="22"/>
                <w:szCs w:val="22"/>
              </w:rPr>
              <w:t>2000</w:t>
            </w:r>
          </w:p>
        </w:tc>
        <w:tc>
          <w:tcPr>
            <w:tcW w:w="1097" w:type="dxa"/>
            <w:vAlign w:val="bottom"/>
          </w:tcPr>
          <w:p w:rsidR="003908B9" w:rsidRPr="008F47CB" w:rsidP="008C6A87" w14:paraId="3704ADCE" w14:textId="6EEE84D5">
            <w:pPr>
              <w:jc w:val="right"/>
              <w:rPr>
                <w:rFonts w:ascii="Times New Roman" w:hAnsi="Times New Roman"/>
                <w:sz w:val="22"/>
                <w:szCs w:val="22"/>
              </w:rPr>
            </w:pPr>
            <w:r>
              <w:rPr>
                <w:rFonts w:ascii="Times New Roman" w:hAnsi="Times New Roman"/>
                <w:sz w:val="22"/>
                <w:szCs w:val="22"/>
              </w:rPr>
              <w:t>60min</w:t>
            </w:r>
          </w:p>
        </w:tc>
        <w:tc>
          <w:tcPr>
            <w:tcW w:w="950" w:type="dxa"/>
            <w:vAlign w:val="bottom"/>
          </w:tcPr>
          <w:p w:rsidR="003908B9" w:rsidRPr="008F47CB" w:rsidP="008C6A87" w14:paraId="498C761A" w14:textId="2F70B194">
            <w:pPr>
              <w:jc w:val="right"/>
              <w:rPr>
                <w:rFonts w:ascii="Times New Roman" w:hAnsi="Times New Roman"/>
                <w:sz w:val="22"/>
                <w:szCs w:val="22"/>
              </w:rPr>
            </w:pPr>
            <w:r>
              <w:rPr>
                <w:rFonts w:ascii="Times New Roman" w:hAnsi="Times New Roman"/>
                <w:sz w:val="22"/>
                <w:szCs w:val="22"/>
              </w:rPr>
              <w:t>20</w:t>
            </w:r>
            <w:r w:rsidR="00BF0E96">
              <w:rPr>
                <w:rFonts w:ascii="Times New Roman" w:hAnsi="Times New Roman"/>
                <w:sz w:val="22"/>
                <w:szCs w:val="22"/>
              </w:rPr>
              <w:t>00</w:t>
            </w:r>
            <w:r w:rsidR="00C04C0E">
              <w:rPr>
                <w:rFonts w:ascii="Times New Roman" w:hAnsi="Times New Roman"/>
                <w:sz w:val="22"/>
                <w:szCs w:val="22"/>
              </w:rPr>
              <w:t xml:space="preserve"> hrs.</w:t>
            </w:r>
          </w:p>
        </w:tc>
        <w:tc>
          <w:tcPr>
            <w:tcW w:w="1438" w:type="dxa"/>
            <w:vAlign w:val="bottom"/>
          </w:tcPr>
          <w:p w:rsidR="003908B9" w:rsidRPr="008F47CB" w:rsidP="008C6A87" w14:paraId="2C9B9B1D" w14:textId="35F5C8CE">
            <w:pPr>
              <w:jc w:val="right"/>
              <w:rPr>
                <w:rFonts w:ascii="Times New Roman" w:hAnsi="Times New Roman"/>
                <w:sz w:val="22"/>
                <w:szCs w:val="22"/>
              </w:rPr>
            </w:pPr>
            <w:r>
              <w:rPr>
                <w:rFonts w:ascii="Times New Roman" w:hAnsi="Times New Roman"/>
                <w:sz w:val="22"/>
                <w:szCs w:val="22"/>
              </w:rPr>
              <w:t>$32.66</w:t>
            </w:r>
          </w:p>
        </w:tc>
        <w:tc>
          <w:tcPr>
            <w:tcW w:w="1329" w:type="dxa"/>
            <w:vAlign w:val="bottom"/>
          </w:tcPr>
          <w:p w:rsidR="003908B9" w:rsidRPr="008F47CB" w:rsidP="008C6A87" w14:paraId="689A6EF1" w14:textId="31256193">
            <w:pPr>
              <w:jc w:val="right"/>
              <w:rPr>
                <w:rFonts w:ascii="Times New Roman" w:hAnsi="Times New Roman"/>
                <w:sz w:val="22"/>
                <w:szCs w:val="22"/>
              </w:rPr>
            </w:pPr>
            <w:r>
              <w:rPr>
                <w:rFonts w:ascii="Times New Roman" w:hAnsi="Times New Roman"/>
                <w:sz w:val="22"/>
                <w:szCs w:val="22"/>
              </w:rPr>
              <w:t>$65,320</w:t>
            </w:r>
          </w:p>
        </w:tc>
      </w:tr>
      <w:tr w14:paraId="28A27403" w14:textId="77777777" w:rsidTr="00C0069F">
        <w:tblPrEx>
          <w:tblW w:w="10460" w:type="dxa"/>
          <w:tblLook w:val="04A0"/>
        </w:tblPrEx>
        <w:tc>
          <w:tcPr>
            <w:tcW w:w="1830" w:type="dxa"/>
            <w:vAlign w:val="bottom"/>
          </w:tcPr>
          <w:p w:rsidR="003908B9" w:rsidRPr="008F47CB" w:rsidP="008C6A87" w14:paraId="779E4025" w14:textId="495F4181">
            <w:pPr>
              <w:jc w:val="right"/>
              <w:rPr>
                <w:rFonts w:ascii="Times New Roman" w:hAnsi="Times New Roman"/>
                <w:sz w:val="22"/>
                <w:szCs w:val="22"/>
              </w:rPr>
            </w:pPr>
            <w:r>
              <w:rPr>
                <w:rFonts w:ascii="Times New Roman" w:hAnsi="Times New Roman"/>
                <w:sz w:val="22"/>
                <w:szCs w:val="22"/>
              </w:rPr>
              <w:t>Worksheet</w:t>
            </w:r>
            <w:r w:rsidR="006C2FC8">
              <w:rPr>
                <w:rFonts w:ascii="Times New Roman" w:hAnsi="Times New Roman"/>
                <w:sz w:val="22"/>
                <w:szCs w:val="22"/>
              </w:rPr>
              <w:t xml:space="preserve"> (Private Sector)</w:t>
            </w:r>
          </w:p>
        </w:tc>
        <w:tc>
          <w:tcPr>
            <w:tcW w:w="1415" w:type="dxa"/>
            <w:vAlign w:val="bottom"/>
          </w:tcPr>
          <w:p w:rsidR="003908B9" w:rsidRPr="008F47CB" w:rsidP="008C6A87" w14:paraId="0D0FB099" w14:textId="1EA36E1D">
            <w:pPr>
              <w:jc w:val="right"/>
              <w:rPr>
                <w:rFonts w:ascii="Times New Roman" w:hAnsi="Times New Roman"/>
                <w:sz w:val="22"/>
                <w:szCs w:val="22"/>
              </w:rPr>
            </w:pPr>
            <w:r>
              <w:rPr>
                <w:rFonts w:ascii="Times New Roman" w:hAnsi="Times New Roman"/>
                <w:sz w:val="22"/>
                <w:szCs w:val="22"/>
              </w:rPr>
              <w:t>n/a</w:t>
            </w:r>
          </w:p>
        </w:tc>
        <w:tc>
          <w:tcPr>
            <w:tcW w:w="1219" w:type="dxa"/>
            <w:vAlign w:val="bottom"/>
          </w:tcPr>
          <w:p w:rsidR="003908B9" w:rsidRPr="008F47CB" w:rsidP="008C6A87" w14:paraId="2DF69973" w14:textId="379D5F26">
            <w:pPr>
              <w:jc w:val="right"/>
              <w:rPr>
                <w:rFonts w:ascii="Times New Roman" w:hAnsi="Times New Roman"/>
                <w:sz w:val="22"/>
                <w:szCs w:val="22"/>
              </w:rPr>
            </w:pPr>
            <w:r>
              <w:rPr>
                <w:rFonts w:ascii="Times New Roman" w:hAnsi="Times New Roman"/>
                <w:sz w:val="22"/>
                <w:szCs w:val="22"/>
              </w:rPr>
              <w:t>n/a</w:t>
            </w:r>
          </w:p>
        </w:tc>
        <w:tc>
          <w:tcPr>
            <w:tcW w:w="1182" w:type="dxa"/>
            <w:vAlign w:val="bottom"/>
          </w:tcPr>
          <w:p w:rsidR="003908B9" w:rsidRPr="008F47CB" w:rsidP="008C6A87" w14:paraId="6869AFA2" w14:textId="05978AE6">
            <w:pPr>
              <w:jc w:val="right"/>
              <w:rPr>
                <w:rFonts w:ascii="Times New Roman" w:hAnsi="Times New Roman"/>
                <w:sz w:val="22"/>
                <w:szCs w:val="22"/>
              </w:rPr>
            </w:pPr>
            <w:r>
              <w:rPr>
                <w:rFonts w:ascii="Times New Roman" w:hAnsi="Times New Roman"/>
                <w:sz w:val="22"/>
                <w:szCs w:val="22"/>
              </w:rPr>
              <w:t>n/a</w:t>
            </w:r>
          </w:p>
        </w:tc>
        <w:tc>
          <w:tcPr>
            <w:tcW w:w="1097" w:type="dxa"/>
            <w:vAlign w:val="bottom"/>
          </w:tcPr>
          <w:p w:rsidR="003908B9" w:rsidRPr="008F47CB" w:rsidP="008C6A87" w14:paraId="3983D868" w14:textId="69945688">
            <w:pPr>
              <w:jc w:val="right"/>
              <w:rPr>
                <w:rFonts w:ascii="Times New Roman" w:hAnsi="Times New Roman"/>
                <w:sz w:val="22"/>
                <w:szCs w:val="22"/>
              </w:rPr>
            </w:pPr>
            <w:r>
              <w:rPr>
                <w:rFonts w:ascii="Times New Roman" w:hAnsi="Times New Roman"/>
                <w:sz w:val="22"/>
                <w:szCs w:val="22"/>
              </w:rPr>
              <w:t>n/a</w:t>
            </w:r>
          </w:p>
        </w:tc>
        <w:tc>
          <w:tcPr>
            <w:tcW w:w="950" w:type="dxa"/>
            <w:vAlign w:val="bottom"/>
          </w:tcPr>
          <w:p w:rsidR="003908B9" w:rsidRPr="008F47CB" w:rsidP="008C6A87" w14:paraId="1211DF9B" w14:textId="34242541">
            <w:pPr>
              <w:jc w:val="right"/>
              <w:rPr>
                <w:rFonts w:ascii="Times New Roman" w:hAnsi="Times New Roman"/>
                <w:sz w:val="22"/>
                <w:szCs w:val="22"/>
              </w:rPr>
            </w:pPr>
            <w:r>
              <w:rPr>
                <w:rFonts w:ascii="Times New Roman" w:hAnsi="Times New Roman"/>
                <w:sz w:val="22"/>
                <w:szCs w:val="22"/>
              </w:rPr>
              <w:t>n/a</w:t>
            </w:r>
          </w:p>
        </w:tc>
        <w:tc>
          <w:tcPr>
            <w:tcW w:w="1438" w:type="dxa"/>
            <w:vAlign w:val="bottom"/>
          </w:tcPr>
          <w:p w:rsidR="003908B9" w:rsidRPr="008F47CB" w:rsidP="008C6A87" w14:paraId="52BBFE45" w14:textId="72D4DF9C">
            <w:pPr>
              <w:jc w:val="right"/>
              <w:rPr>
                <w:rFonts w:ascii="Times New Roman" w:hAnsi="Times New Roman"/>
                <w:sz w:val="22"/>
                <w:szCs w:val="22"/>
              </w:rPr>
            </w:pPr>
            <w:r>
              <w:rPr>
                <w:rFonts w:ascii="Times New Roman" w:hAnsi="Times New Roman"/>
                <w:sz w:val="22"/>
                <w:szCs w:val="22"/>
              </w:rPr>
              <w:t>n/a</w:t>
            </w:r>
          </w:p>
        </w:tc>
        <w:tc>
          <w:tcPr>
            <w:tcW w:w="1329" w:type="dxa"/>
            <w:vAlign w:val="bottom"/>
          </w:tcPr>
          <w:p w:rsidR="003908B9" w:rsidRPr="008F47CB" w:rsidP="008C6A87" w14:paraId="1116896A" w14:textId="32EB4F01">
            <w:pPr>
              <w:jc w:val="right"/>
              <w:rPr>
                <w:rFonts w:ascii="Times New Roman" w:hAnsi="Times New Roman"/>
                <w:sz w:val="22"/>
                <w:szCs w:val="22"/>
              </w:rPr>
            </w:pPr>
            <w:r>
              <w:rPr>
                <w:rFonts w:ascii="Times New Roman" w:hAnsi="Times New Roman"/>
                <w:sz w:val="22"/>
                <w:szCs w:val="22"/>
              </w:rPr>
              <w:t>n/a</w:t>
            </w:r>
          </w:p>
        </w:tc>
      </w:tr>
      <w:tr w14:paraId="7117E8A9" w14:textId="77777777" w:rsidTr="00C0069F">
        <w:tblPrEx>
          <w:tblW w:w="10460" w:type="dxa"/>
          <w:tblLook w:val="04A0"/>
        </w:tblPrEx>
        <w:tc>
          <w:tcPr>
            <w:tcW w:w="1830" w:type="dxa"/>
            <w:vAlign w:val="bottom"/>
          </w:tcPr>
          <w:p w:rsidR="003908B9" w:rsidRPr="008F47CB" w:rsidP="008C6A87" w14:paraId="7B495C05" w14:textId="1E5C0B79">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1438" w:type="dxa"/>
            <w:vAlign w:val="bottom"/>
          </w:tcPr>
          <w:p w:rsidR="003908B9" w:rsidRPr="008F47CB" w:rsidP="008C6A87" w14:paraId="1869DBC4" w14:textId="77777777">
            <w:pPr>
              <w:jc w:val="right"/>
              <w:rPr>
                <w:rFonts w:ascii="Times New Roman" w:hAnsi="Times New Roman"/>
                <w:sz w:val="22"/>
                <w:szCs w:val="22"/>
              </w:rPr>
            </w:pPr>
          </w:p>
        </w:tc>
        <w:tc>
          <w:tcPr>
            <w:tcW w:w="1329" w:type="dxa"/>
            <w:vAlign w:val="bottom"/>
          </w:tcPr>
          <w:p w:rsidR="003908B9" w:rsidRPr="008F47CB" w:rsidP="008C6A87" w14:paraId="3020B04B" w14:textId="77777777">
            <w:pPr>
              <w:jc w:val="right"/>
              <w:rPr>
                <w:rFonts w:ascii="Times New Roman" w:hAnsi="Times New Roman"/>
                <w:sz w:val="22"/>
                <w:szCs w:val="22"/>
              </w:rPr>
            </w:pPr>
          </w:p>
        </w:tc>
      </w:tr>
      <w:tr w14:paraId="578B68EB" w14:textId="77777777" w:rsidTr="00C0069F">
        <w:tblPrEx>
          <w:tblW w:w="10460" w:type="dxa"/>
          <w:tblLook w:val="04A0"/>
        </w:tblPrEx>
        <w:tc>
          <w:tcPr>
            <w:tcW w:w="1830"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C30E059">
            <w:pPr>
              <w:jc w:val="right"/>
              <w:rPr>
                <w:rFonts w:ascii="Times New Roman" w:hAnsi="Times New Roman"/>
                <w:b/>
                <w:i/>
                <w:sz w:val="22"/>
                <w:szCs w:val="22"/>
              </w:rPr>
            </w:pP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0A1B8370">
            <w:pPr>
              <w:jc w:val="right"/>
              <w:rPr>
                <w:rFonts w:ascii="Times New Roman" w:hAnsi="Times New Roman"/>
                <w:b/>
                <w:i/>
                <w:sz w:val="22"/>
                <w:szCs w:val="22"/>
              </w:rPr>
            </w:pP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5C8E0FA4">
            <w:pPr>
              <w:jc w:val="right"/>
              <w:rPr>
                <w:rFonts w:ascii="Times New Roman" w:hAnsi="Times New Roman"/>
                <w:b/>
                <w:i/>
                <w:sz w:val="22"/>
                <w:szCs w:val="22"/>
              </w:rPr>
            </w:pPr>
          </w:p>
        </w:tc>
        <w:tc>
          <w:tcPr>
            <w:tcW w:w="1438" w:type="dxa"/>
            <w:vAlign w:val="bottom"/>
          </w:tcPr>
          <w:p w:rsidR="00501A15" w:rsidRPr="008F47CB" w:rsidP="00501A15" w14:paraId="7F82B751" w14:textId="50FAEA02">
            <w:pPr>
              <w:jc w:val="right"/>
              <w:rPr>
                <w:rFonts w:ascii="Times New Roman" w:hAnsi="Times New Roman"/>
                <w:b/>
                <w:i/>
                <w:sz w:val="22"/>
                <w:szCs w:val="22"/>
              </w:rPr>
            </w:pPr>
          </w:p>
        </w:tc>
        <w:tc>
          <w:tcPr>
            <w:tcW w:w="1329"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021D1CF9">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w:t>
      </w:r>
      <w:r w:rsidR="00AE03CB">
        <w:rPr>
          <w:rFonts w:ascii="Times New Roman" w:hAnsi="Times New Roman"/>
          <w:i/>
          <w:iCs/>
        </w:rPr>
        <w:t xml:space="preserve"> </w:t>
      </w:r>
      <w:r w:rsidR="00F76AE8">
        <w:rPr>
          <w:rFonts w:ascii="Times New Roman" w:hAnsi="Times New Roman"/>
          <w:i/>
          <w:iCs/>
        </w:rPr>
        <w:t xml:space="preserve">Although the USVSST Fund has no way to accurately assess or estimate the wage information of any respondent population, the Hourly Rate and Monetized Value of Respondent Time fields are completed for the sake of thoroughness using data from the Bureau of Labor Statistics (BLS) for the mean hourly wage across all occupations.  </w:t>
      </w:r>
      <w:r w:rsidR="00AE03CB">
        <w:rPr>
          <w:rFonts w:ascii="Times New Roman" w:hAnsi="Times New Roman"/>
          <w:i/>
          <w:iCs/>
        </w:rPr>
        <w:t xml:space="preserve">According to the </w:t>
      </w:r>
      <w:r w:rsidR="00F76AE8">
        <w:rPr>
          <w:rFonts w:ascii="Times New Roman" w:hAnsi="Times New Roman"/>
          <w:i/>
          <w:iCs/>
        </w:rPr>
        <w:t>BLS</w:t>
      </w:r>
      <w:r w:rsidR="00AE03CB">
        <w:rPr>
          <w:rFonts w:ascii="Times New Roman" w:hAnsi="Times New Roman"/>
          <w:i/>
          <w:iCs/>
        </w:rPr>
        <w:t xml:space="preserve">, the mean hourly wage is $32.66 across all occupations.  See </w:t>
      </w:r>
      <w:r w:rsidR="00AE03CB">
        <w:rPr>
          <w:rFonts w:ascii="Times New Roman" w:hAnsi="Times New Roman"/>
          <w:i/>
          <w:iCs/>
        </w:rPr>
        <w:t xml:space="preserve">Occupational Employment and Wage Statistics Data, available at </w:t>
      </w:r>
      <w:hyperlink r:id="rId9" w:anchor="/industry/000000" w:history="1">
        <w:r w:rsidRPr="00AE03CB" w:rsidR="00AE03CB">
          <w:rPr>
            <w:rStyle w:val="Hyperlink"/>
            <w:rFonts w:ascii="Times New Roman" w:hAnsi="Times New Roman"/>
            <w:i/>
            <w:iCs/>
          </w:rPr>
          <w:t>https://data.bls.gov/oes/#/industry/000000</w:t>
        </w:r>
      </w:hyperlink>
      <w:r w:rsidR="00AE03CB">
        <w:rPr>
          <w:rFonts w:ascii="Times New Roman" w:hAnsi="Times New Roman"/>
          <w:i/>
          <w:iCs/>
        </w:rPr>
        <w:t>.</w:t>
      </w:r>
    </w:p>
    <w:p w:rsidR="00EE2223" w:rsidP="00E60FB0" w14:paraId="73540948" w14:textId="77777777">
      <w:pPr>
        <w:widowControl/>
        <w:autoSpaceDE/>
        <w:autoSpaceDN/>
        <w:adjustRightInd/>
        <w:rPr>
          <w:rFonts w:ascii="Times New Roman" w:hAnsi="Times New Roman"/>
          <w:i/>
          <w:iCs/>
          <w:highlight w:val="yellow"/>
        </w:rPr>
      </w:pPr>
    </w:p>
    <w:p w:rsidR="00FB79DC" w:rsidRPr="00FB79DC" w:rsidP="00FB79DC" w14:paraId="42963FE7" w14:textId="3421AA5D">
      <w:pPr>
        <w:widowControl/>
        <w:autoSpaceDE/>
        <w:autoSpaceDN/>
        <w:adjustRightInd/>
        <w:rPr>
          <w:rFonts w:ascii="Times New Roman" w:hAnsi="Times New Roman"/>
        </w:rPr>
      </w:pPr>
      <w:r w:rsidRPr="00FB79DC">
        <w:rPr>
          <w:rFonts w:ascii="Times New Roman" w:hAnsi="Times New Roman"/>
        </w:rPr>
        <w:t xml:space="preserve">It is estimated that </w:t>
      </w:r>
      <w:r>
        <w:rPr>
          <w:rFonts w:ascii="Times New Roman" w:hAnsi="Times New Roman"/>
        </w:rPr>
        <w:t>2,0</w:t>
      </w:r>
      <w:r w:rsidRPr="00FB79DC">
        <w:rPr>
          <w:rFonts w:ascii="Times New Roman" w:hAnsi="Times New Roman"/>
        </w:rPr>
        <w:t xml:space="preserve">00 claimants, on an annual basis, will complete this one-time Application Form at an hour burden of </w:t>
      </w:r>
      <w:r>
        <w:rPr>
          <w:rFonts w:ascii="Times New Roman" w:hAnsi="Times New Roman"/>
        </w:rPr>
        <w:t>1</w:t>
      </w:r>
      <w:r w:rsidRPr="00FB79DC">
        <w:rPr>
          <w:rFonts w:ascii="Times New Roman" w:hAnsi="Times New Roman"/>
        </w:rPr>
        <w:t xml:space="preserve"> hour per respondent.  </w:t>
      </w:r>
    </w:p>
    <w:p w:rsidR="00FB79DC" w:rsidRPr="00FB79DC" w:rsidP="00FB79DC" w14:paraId="191E6985" w14:textId="77777777">
      <w:pPr>
        <w:widowControl/>
        <w:autoSpaceDE/>
        <w:autoSpaceDN/>
        <w:adjustRightInd/>
        <w:rPr>
          <w:rFonts w:ascii="Times New Roman" w:hAnsi="Times New Roman"/>
        </w:rPr>
      </w:pPr>
    </w:p>
    <w:p w:rsidR="00FB79DC" w:rsidRPr="00FB79DC" w:rsidP="00FB79DC" w14:paraId="3B8DE25F" w14:textId="18E60516">
      <w:pPr>
        <w:widowControl/>
        <w:autoSpaceDE/>
        <w:autoSpaceDN/>
        <w:adjustRightInd/>
        <w:rPr>
          <w:rFonts w:ascii="Times New Roman" w:hAnsi="Times New Roman"/>
          <w:highlight w:val="yellow"/>
        </w:rPr>
      </w:pPr>
      <w:r>
        <w:rPr>
          <w:rFonts w:ascii="Times New Roman" w:hAnsi="Times New Roman"/>
        </w:rPr>
        <w:t>2,000</w:t>
      </w:r>
      <w:r w:rsidRPr="00FB79DC">
        <w:rPr>
          <w:rFonts w:ascii="Times New Roman" w:hAnsi="Times New Roman"/>
        </w:rPr>
        <w:t xml:space="preserve"> claimants x </w:t>
      </w:r>
      <w:r>
        <w:rPr>
          <w:rFonts w:ascii="Times New Roman" w:hAnsi="Times New Roman"/>
        </w:rPr>
        <w:t>1</w:t>
      </w:r>
      <w:r w:rsidRPr="00FB79DC">
        <w:rPr>
          <w:rFonts w:ascii="Times New Roman" w:hAnsi="Times New Roman"/>
        </w:rPr>
        <w:t xml:space="preserve"> hour per respondent =</w:t>
      </w:r>
      <w:r>
        <w:rPr>
          <w:rFonts w:ascii="Times New Roman" w:hAnsi="Times New Roman"/>
        </w:rPr>
        <w:t xml:space="preserve"> 2,00</w:t>
      </w:r>
      <w:r w:rsidRPr="00FB79DC">
        <w:rPr>
          <w:rFonts w:ascii="Times New Roman" w:hAnsi="Times New Roman"/>
        </w:rPr>
        <w:t xml:space="preserve">0 burden hours  </w:t>
      </w:r>
    </w:p>
    <w:p w:rsidR="00FB79DC" w:rsidRPr="00EE2223" w:rsidP="00E60FB0" w14:paraId="1AA670A9" w14:textId="77777777">
      <w:pPr>
        <w:widowControl/>
        <w:autoSpaceDE/>
        <w:autoSpaceDN/>
        <w:adjustRightInd/>
        <w:rPr>
          <w:rFonts w:ascii="Times New Roman" w:hAnsi="Times New Roman"/>
          <w:i/>
          <w:iCs/>
          <w:highlight w:val="yellow"/>
        </w:rPr>
      </w:pPr>
    </w:p>
    <w:p w:rsidR="00CD215D" w:rsidRPr="00D53DEB" w:rsidP="00CD215D" w14:paraId="4F65FC61" w14:textId="02FE23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w:t>
      </w:r>
      <w:r w:rsidRPr="00D53DEB" w:rsidR="00847F1E">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3BDD7FFB" w14:textId="4503E8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B79DC">
        <w:rPr>
          <w:rFonts w:ascii="Times New Roman" w:hAnsi="Times New Roman"/>
        </w:rPr>
        <w:t>Applicants will not incur any costs other than their time to complete the Application Form.  Applicants will not incur any capital, start-up, or system maintenance costs associated with this information collection.</w:t>
      </w:r>
    </w:p>
    <w:p w:rsidR="00FB79DC" w:rsidRPr="00F4518C" w:rsidP="00690F56" w14:paraId="1FD97A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97B43F9" w14:textId="05478F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any </w:t>
      </w:r>
      <w:r w:rsidRPr="00D53DEB">
        <w:rPr>
          <w:rFonts w:ascii="Times New Roman" w:hAnsi="Times New Roman"/>
          <w:b/>
          <w:bCs/>
        </w:rPr>
        <w:t>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FB79DC" w:rsidP="00690F56" w14:paraId="0EDCBF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2AA1" w:rsidP="001376D3" w14:paraId="2708E903" w14:textId="2E294E2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B79DC">
        <w:rPr>
          <w:rFonts w:ascii="Times New Roman" w:hAnsi="Times New Roman"/>
        </w:rPr>
        <w:t>Funding for administrative costs comes directly out of the Fund.  Therefore, cost to the Federal government is minimal.</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23EA94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Consistent with its aims to streamline and simplify the claims process, the </w:t>
      </w:r>
      <w:r w:rsidRPr="00FF3EF4">
        <w:rPr>
          <w:rFonts w:ascii="Times New Roman" w:hAnsi="Times New Roman"/>
        </w:rPr>
        <w:t xml:space="preserve">Fund reduced the Application Form’s page length (from </w:t>
      </w:r>
      <w:r>
        <w:rPr>
          <w:rFonts w:ascii="Times New Roman" w:hAnsi="Times New Roman"/>
        </w:rPr>
        <w:t>17</w:t>
      </w:r>
      <w:r w:rsidRPr="00FF3EF4">
        <w:rPr>
          <w:rFonts w:ascii="Times New Roman" w:hAnsi="Times New Roman"/>
        </w:rPr>
        <w:t xml:space="preserve"> pages to 1</w:t>
      </w:r>
      <w:r>
        <w:rPr>
          <w:rFonts w:ascii="Times New Roman" w:hAnsi="Times New Roman"/>
        </w:rPr>
        <w:t>5</w:t>
      </w:r>
      <w:r w:rsidRPr="00FF3EF4">
        <w:rPr>
          <w:rFonts w:ascii="Times New Roman" w:hAnsi="Times New Roman"/>
        </w:rPr>
        <w:t xml:space="preserve"> pages) and decreased or removed</w:t>
      </w:r>
      <w:r>
        <w:rPr>
          <w:rFonts w:ascii="Times New Roman" w:hAnsi="Times New Roman"/>
        </w:rPr>
        <w:t xml:space="preserve"> </w:t>
      </w:r>
      <w:r w:rsidRPr="00FF3EF4">
        <w:rPr>
          <w:rFonts w:ascii="Times New Roman" w:hAnsi="Times New Roman"/>
        </w:rPr>
        <w:t>certain information requests throughout the application and supplemental forms.</w:t>
      </w:r>
      <w:r>
        <w:rPr>
          <w:rFonts w:ascii="Times New Roman" w:hAnsi="Times New Roman"/>
        </w:rPr>
        <w:t xml:space="preserve">  T</w:t>
      </w:r>
      <w:r w:rsidRPr="00FF3EF4">
        <w:rPr>
          <w:rFonts w:ascii="Times New Roman" w:hAnsi="Times New Roman"/>
        </w:rPr>
        <w:t xml:space="preserve">o further reduce data collection, the Fund removed from the Application Form certain requests for information, </w:t>
      </w:r>
      <w:r w:rsidRPr="00FE5C69">
        <w:rPr>
          <w:rFonts w:ascii="Times New Roman" w:hAnsi="Times New Roman"/>
          <w:i/>
          <w:iCs/>
        </w:rPr>
        <w:t>e.g.</w:t>
      </w:r>
      <w:r w:rsidRPr="00FF3EF4">
        <w:rPr>
          <w:rFonts w:ascii="Times New Roman" w:hAnsi="Times New Roman"/>
        </w:rPr>
        <w:t>, the “</w:t>
      </w:r>
      <w:r w:rsidR="00FE5C69">
        <w:rPr>
          <w:rFonts w:ascii="Times New Roman" w:hAnsi="Times New Roman"/>
        </w:rPr>
        <w:t>Eligibility for Compensation</w:t>
      </w:r>
      <w:r w:rsidRPr="00FF3EF4">
        <w:rPr>
          <w:rFonts w:ascii="Times New Roman" w:hAnsi="Times New Roman"/>
        </w:rPr>
        <w:t xml:space="preserve">” section </w:t>
      </w:r>
      <w:r w:rsidR="00FE5C69">
        <w:rPr>
          <w:rFonts w:ascii="Times New Roman" w:hAnsi="Times New Roman"/>
        </w:rPr>
        <w:t>consolidated requests relating to family members with judgments, accounting for at least a single page reduction</w:t>
      </w:r>
      <w:r w:rsidRPr="00FF3EF4">
        <w:rPr>
          <w:rFonts w:ascii="Times New Roman" w:hAnsi="Times New Roman"/>
        </w:rPr>
        <w:t>.</w:t>
      </w:r>
      <w:r w:rsidR="00FE5C69">
        <w:rPr>
          <w:rFonts w:ascii="Times New Roman" w:hAnsi="Times New Roman"/>
        </w:rPr>
        <w:t xml:space="preserve">  The Fund also removed the “Proposed Distribution Plan” and “Consent to Proposed Distribution Plan” </w:t>
      </w:r>
      <w:r w:rsidR="00E74543">
        <w:rPr>
          <w:rFonts w:ascii="Times New Roman" w:hAnsi="Times New Roman"/>
        </w:rPr>
        <w:t>forms, as they are no longer used.</w:t>
      </w:r>
      <w:r w:rsidRPr="00FF3EF4">
        <w:rPr>
          <w:rFonts w:ascii="Times New Roman" w:hAnsi="Times New Roman"/>
        </w:rPr>
        <w:t xml:space="preserve"> </w:t>
      </w:r>
      <w:r w:rsidR="00FE5C69">
        <w:rPr>
          <w:rFonts w:ascii="Times New Roman" w:hAnsi="Times New Roman"/>
        </w:rPr>
        <w:t xml:space="preserve"> </w:t>
      </w:r>
      <w:r w:rsidRPr="00FF3EF4">
        <w:rPr>
          <w:rFonts w:ascii="Times New Roman" w:hAnsi="Times New Roman"/>
        </w:rPr>
        <w:t xml:space="preserve">Overall, as mentioned above, the revised Application Form </w:t>
      </w:r>
      <w:r w:rsidR="00FE5C69">
        <w:rPr>
          <w:rFonts w:ascii="Times New Roman" w:hAnsi="Times New Roman"/>
        </w:rPr>
        <w:t>and supplementary documentation are</w:t>
      </w:r>
      <w:r w:rsidRPr="00FF3EF4">
        <w:rPr>
          <w:rFonts w:ascii="Times New Roman" w:hAnsi="Times New Roman"/>
        </w:rPr>
        <w:t xml:space="preserve"> more streamlined, some</w:t>
      </w:r>
      <w:r w:rsidR="00FE5C69">
        <w:rPr>
          <w:rFonts w:ascii="Times New Roman" w:hAnsi="Times New Roman"/>
        </w:rPr>
        <w:t xml:space="preserve"> </w:t>
      </w:r>
      <w:r w:rsidRPr="00FF3EF4">
        <w:rPr>
          <w:rFonts w:ascii="Times New Roman" w:hAnsi="Times New Roman"/>
        </w:rPr>
        <w:t>questions are shortened or removed, and the instructions are clearer.</w:t>
      </w:r>
      <w:r w:rsidR="00147C13">
        <w:rPr>
          <w:rFonts w:ascii="Times New Roman" w:hAnsi="Times New Roman"/>
        </w:rPr>
        <w:t xml:space="preserve">  In the Fund’s estimation, these changes will make completing the Application Form less burdensome, resulting in a reduction in the burden hours.</w:t>
      </w:r>
    </w:p>
    <w:p w:rsidR="00147C13" w:rsidP="00690F56" w14:paraId="1F68BA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47C13" w:rsidP="00690F56" w14:paraId="0FA38402" w14:textId="122F18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Based on the Fund’s most recent distributions, the Fund forecasts an increase in the number of applicants to the Fund, causing an increase in the total burden hours.</w:t>
      </w:r>
    </w:p>
    <w:p w:rsidR="00FE5C69" w:rsidRPr="00F4518C" w:rsidP="00690F56" w14:paraId="14E6A2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74543" w:rsidP="00690F56" w14:paraId="176B4450" w14:textId="71952E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74543">
        <w:rPr>
          <w:rFonts w:ascii="Times New Roman" w:hAnsi="Times New Roman"/>
        </w:rPr>
        <w:t xml:space="preserve">The Act provides that within 30 days after authorizing the payment of compensation of eligible claims, the Special Master shall submit to the chairman and ranking minority member of the Committee on the Judiciary of the House of Representatives and the chairman and ranking minority member of the Committee on the Judiciary of the Senate a report on the payment of eligible claims, which must include, an explanation of the procedures for filing and process of applications for compensation and an analysis of the payments made to U.S. persons from the Fund and the amount of outstanding eligible claims, including the number of applications received, approved, denied or pending as well as the total amount of compensatory damages from eligible claims that have been paid and that remain unpaid.  </w:t>
      </w:r>
      <w:r w:rsidR="002D4137">
        <w:rPr>
          <w:rFonts w:ascii="Times New Roman" w:hAnsi="Times New Roman"/>
        </w:rPr>
        <w:t xml:space="preserve">The Fund makes these Congressional reports available on its website.  The reports do not disclose any individual applicant’s information.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01ED35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2300F7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74543">
        <w:rPr>
          <w:rFonts w:ascii="Times New Roman" w:hAnsi="Times New Roman"/>
        </w:rPr>
        <w:t xml:space="preserve">The Fund seeks approval to not display the expiration date for OMB approval of the information collection.  An expiration date on the form </w:t>
      </w:r>
      <w:r>
        <w:rPr>
          <w:rFonts w:ascii="Times New Roman" w:hAnsi="Times New Roman"/>
        </w:rPr>
        <w:t>may</w:t>
      </w:r>
      <w:r w:rsidRPr="00E74543">
        <w:rPr>
          <w:rFonts w:ascii="Times New Roman" w:hAnsi="Times New Roman"/>
        </w:rPr>
        <w:t xml:space="preserve"> result in unnecessary confusion for the claimant.</w:t>
      </w:r>
      <w:r w:rsidR="001C39F6">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4BBABB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1AA57D70">
      <w:pPr>
        <w:rPr>
          <w:rFonts w:ascii="Times New Roman" w:hAnsi="Times New Roman"/>
        </w:rPr>
      </w:pPr>
      <w:r>
        <w:rPr>
          <w:rFonts w:ascii="Times New Roman" w:hAnsi="Times New Roman"/>
        </w:rPr>
        <w:t>This collection does not contain statistical data.</w:t>
      </w:r>
    </w:p>
    <w:sectPr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778ED10C">
    <w:pPr>
      <w:pStyle w:val="Header"/>
      <w:rPr>
        <w:rFonts w:ascii="Times New Roman" w:hAnsi="Times New Roman"/>
        <w:bCs/>
        <w:sz w:val="20"/>
        <w:szCs w:val="20"/>
      </w:rPr>
    </w:pPr>
    <w:r w:rsidRPr="00B0439F">
      <w:rPr>
        <w:rFonts w:ascii="Times New Roman" w:hAnsi="Times New Roman"/>
        <w:bCs/>
        <w:sz w:val="20"/>
        <w:szCs w:val="20"/>
      </w:rPr>
      <w:t>United States Victims of State Sponsored Terrorism Fund Application</w:t>
    </w:r>
  </w:p>
  <w:p w:rsidR="00EC0B43" w14:paraId="52F50703" w14:textId="73E448AD">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615C87">
      <w:rPr>
        <w:rFonts w:ascii="Times New Roman" w:hAnsi="Times New Roman"/>
        <w:sz w:val="20"/>
        <w:szCs w:val="20"/>
      </w:rPr>
      <w:t>1123-0013</w:t>
    </w:r>
  </w:p>
  <w:p w:rsidR="00304132" w14:paraId="29EBD65C" w14:textId="7C5D3683">
    <w:pPr>
      <w:pStyle w:val="Header"/>
      <w:rPr>
        <w:rFonts w:ascii="Times New Roman" w:hAnsi="Times New Roman"/>
        <w:sz w:val="20"/>
        <w:szCs w:val="20"/>
      </w:rPr>
    </w:pPr>
    <w:r>
      <w:rPr>
        <w:rFonts w:ascii="Times New Roman" w:hAnsi="Times New Roman"/>
        <w:sz w:val="20"/>
        <w:szCs w:val="20"/>
      </w:rPr>
      <w:t xml:space="preserve">OMB Expiration Date: </w:t>
    </w:r>
    <w:r w:rsidR="00615C87">
      <w:rPr>
        <w:rFonts w:ascii="Times New Roman" w:hAnsi="Times New Roman"/>
        <w:sz w:val="20"/>
        <w:szCs w:val="20"/>
      </w:rPr>
      <w:t>01</w:t>
    </w:r>
    <w:r w:rsidR="00996A5D">
      <w:rPr>
        <w:rFonts w:ascii="Times New Roman" w:hAnsi="Times New Roman"/>
        <w:sz w:val="20"/>
        <w:szCs w:val="20"/>
      </w:rPr>
      <w:t>/</w:t>
    </w:r>
    <w:r w:rsidR="00615C87">
      <w:rPr>
        <w:rFonts w:ascii="Times New Roman" w:hAnsi="Times New Roman"/>
        <w:sz w:val="20"/>
        <w:szCs w:val="20"/>
      </w:rPr>
      <w:t>31</w:t>
    </w:r>
    <w:r w:rsidR="00996A5D">
      <w:rPr>
        <w:rFonts w:ascii="Times New Roman" w:hAnsi="Times New Roman"/>
        <w:sz w:val="20"/>
        <w:szCs w:val="20"/>
      </w:rPr>
      <w:t>/</w:t>
    </w:r>
    <w:r w:rsidR="00615C87">
      <w:rPr>
        <w:rFonts w:ascii="Times New Roman" w:hAnsi="Times New Roman"/>
        <w:sz w:val="20"/>
        <w:szCs w:val="20"/>
      </w:rPr>
      <w:t>2026</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6F46DC"/>
    <w:multiLevelType w:val="hybridMultilevel"/>
    <w:tmpl w:val="3E14FDD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4401E00"/>
    <w:multiLevelType w:val="hybridMultilevel"/>
    <w:tmpl w:val="A8DA46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618468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9723015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580090732">
    <w:abstractNumId w:val="3"/>
  </w:num>
  <w:num w:numId="4" w16cid:durableId="959533666">
    <w:abstractNumId w:val="11"/>
  </w:num>
  <w:num w:numId="5" w16cid:durableId="1727223432">
    <w:abstractNumId w:val="2"/>
  </w:num>
  <w:num w:numId="6" w16cid:durableId="671299716">
    <w:abstractNumId w:val="4"/>
  </w:num>
  <w:num w:numId="7" w16cid:durableId="121485249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450321852">
    <w:abstractNumId w:val="13"/>
  </w:num>
  <w:num w:numId="9" w16cid:durableId="1126463024">
    <w:abstractNumId w:val="1"/>
  </w:num>
  <w:num w:numId="10" w16cid:durableId="671684949">
    <w:abstractNumId w:val="12"/>
  </w:num>
  <w:num w:numId="11" w16cid:durableId="1293754516">
    <w:abstractNumId w:val="7"/>
  </w:num>
  <w:num w:numId="12" w16cid:durableId="1500460139">
    <w:abstractNumId w:val="10"/>
  </w:num>
  <w:num w:numId="13" w16cid:durableId="1177842291">
    <w:abstractNumId w:val="5"/>
  </w:num>
  <w:num w:numId="14" w16cid:durableId="68425730">
    <w:abstractNumId w:val="14"/>
  </w:num>
  <w:num w:numId="15" w16cid:durableId="960110034">
    <w:abstractNumId w:val="8"/>
  </w:num>
  <w:num w:numId="16" w16cid:durableId="2125809782">
    <w:abstractNumId w:val="9"/>
  </w:num>
  <w:num w:numId="17" w16cid:durableId="1446778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51A1"/>
    <w:rsid w:val="00007F1C"/>
    <w:rsid w:val="000114C0"/>
    <w:rsid w:val="00011CDA"/>
    <w:rsid w:val="000133FD"/>
    <w:rsid w:val="00014158"/>
    <w:rsid w:val="00014CA1"/>
    <w:rsid w:val="00020F69"/>
    <w:rsid w:val="00022303"/>
    <w:rsid w:val="0003073D"/>
    <w:rsid w:val="0004107F"/>
    <w:rsid w:val="00042CBD"/>
    <w:rsid w:val="00052174"/>
    <w:rsid w:val="00053095"/>
    <w:rsid w:val="00061F6C"/>
    <w:rsid w:val="00064E28"/>
    <w:rsid w:val="000655CC"/>
    <w:rsid w:val="0007383F"/>
    <w:rsid w:val="00094A5E"/>
    <w:rsid w:val="00095C30"/>
    <w:rsid w:val="00097C15"/>
    <w:rsid w:val="000A7853"/>
    <w:rsid w:val="000B0391"/>
    <w:rsid w:val="000B2FCE"/>
    <w:rsid w:val="000B4875"/>
    <w:rsid w:val="000B6FB6"/>
    <w:rsid w:val="000C257C"/>
    <w:rsid w:val="000C3A92"/>
    <w:rsid w:val="000C6AC7"/>
    <w:rsid w:val="000C6C66"/>
    <w:rsid w:val="000C74FB"/>
    <w:rsid w:val="000D7F95"/>
    <w:rsid w:val="000E1C64"/>
    <w:rsid w:val="000F6836"/>
    <w:rsid w:val="000F69D8"/>
    <w:rsid w:val="00101A10"/>
    <w:rsid w:val="001040D4"/>
    <w:rsid w:val="001078BB"/>
    <w:rsid w:val="00116CD5"/>
    <w:rsid w:val="00117CA5"/>
    <w:rsid w:val="001209CE"/>
    <w:rsid w:val="001332BB"/>
    <w:rsid w:val="00133C47"/>
    <w:rsid w:val="00133E3D"/>
    <w:rsid w:val="001376D3"/>
    <w:rsid w:val="00142C43"/>
    <w:rsid w:val="0014556E"/>
    <w:rsid w:val="0014601E"/>
    <w:rsid w:val="00146F1C"/>
    <w:rsid w:val="00147C13"/>
    <w:rsid w:val="0015322B"/>
    <w:rsid w:val="0015365E"/>
    <w:rsid w:val="00155A2D"/>
    <w:rsid w:val="00157A90"/>
    <w:rsid w:val="00167AD4"/>
    <w:rsid w:val="00170614"/>
    <w:rsid w:val="00180E5A"/>
    <w:rsid w:val="001846F8"/>
    <w:rsid w:val="00192711"/>
    <w:rsid w:val="001A47D9"/>
    <w:rsid w:val="001B4BB9"/>
    <w:rsid w:val="001C39F6"/>
    <w:rsid w:val="001C674A"/>
    <w:rsid w:val="001D10ED"/>
    <w:rsid w:val="001D2D09"/>
    <w:rsid w:val="001D67BB"/>
    <w:rsid w:val="001E0E7F"/>
    <w:rsid w:val="001E2932"/>
    <w:rsid w:val="001E3596"/>
    <w:rsid w:val="001E5213"/>
    <w:rsid w:val="001F056F"/>
    <w:rsid w:val="001F2E8E"/>
    <w:rsid w:val="001F3787"/>
    <w:rsid w:val="001F552E"/>
    <w:rsid w:val="002036A1"/>
    <w:rsid w:val="00210A61"/>
    <w:rsid w:val="002134B4"/>
    <w:rsid w:val="002203C9"/>
    <w:rsid w:val="00224C08"/>
    <w:rsid w:val="00234341"/>
    <w:rsid w:val="0023726A"/>
    <w:rsid w:val="00237691"/>
    <w:rsid w:val="00242CA0"/>
    <w:rsid w:val="00243432"/>
    <w:rsid w:val="00243FDC"/>
    <w:rsid w:val="0024438F"/>
    <w:rsid w:val="00247146"/>
    <w:rsid w:val="002514A0"/>
    <w:rsid w:val="002517E4"/>
    <w:rsid w:val="0025791B"/>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D0A2F"/>
    <w:rsid w:val="002D4137"/>
    <w:rsid w:val="002E238B"/>
    <w:rsid w:val="002E4200"/>
    <w:rsid w:val="002E6DF9"/>
    <w:rsid w:val="002E6F9C"/>
    <w:rsid w:val="002F3BB8"/>
    <w:rsid w:val="002F4EAB"/>
    <w:rsid w:val="002F5C6A"/>
    <w:rsid w:val="00304132"/>
    <w:rsid w:val="00304EAD"/>
    <w:rsid w:val="00312124"/>
    <w:rsid w:val="00312D21"/>
    <w:rsid w:val="00313820"/>
    <w:rsid w:val="00313AC0"/>
    <w:rsid w:val="00322C1B"/>
    <w:rsid w:val="0032649A"/>
    <w:rsid w:val="00332F98"/>
    <w:rsid w:val="0033501A"/>
    <w:rsid w:val="0033578D"/>
    <w:rsid w:val="003430A6"/>
    <w:rsid w:val="003448FC"/>
    <w:rsid w:val="003548D8"/>
    <w:rsid w:val="00363CC2"/>
    <w:rsid w:val="00370C9A"/>
    <w:rsid w:val="00371EEC"/>
    <w:rsid w:val="003876F3"/>
    <w:rsid w:val="00390426"/>
    <w:rsid w:val="003908B9"/>
    <w:rsid w:val="00394AEB"/>
    <w:rsid w:val="003A2E23"/>
    <w:rsid w:val="003A4476"/>
    <w:rsid w:val="003A6353"/>
    <w:rsid w:val="003B270E"/>
    <w:rsid w:val="003B2F28"/>
    <w:rsid w:val="003B447D"/>
    <w:rsid w:val="003B5882"/>
    <w:rsid w:val="003C13C6"/>
    <w:rsid w:val="003C6DA9"/>
    <w:rsid w:val="003D5958"/>
    <w:rsid w:val="003D6AC7"/>
    <w:rsid w:val="003E15A0"/>
    <w:rsid w:val="003E49A6"/>
    <w:rsid w:val="003E5208"/>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3B13"/>
    <w:rsid w:val="004844D1"/>
    <w:rsid w:val="0048559D"/>
    <w:rsid w:val="0049001D"/>
    <w:rsid w:val="00494A93"/>
    <w:rsid w:val="00494D75"/>
    <w:rsid w:val="004A1763"/>
    <w:rsid w:val="004A1ECD"/>
    <w:rsid w:val="004B1E83"/>
    <w:rsid w:val="004D1C78"/>
    <w:rsid w:val="004D441E"/>
    <w:rsid w:val="004D46D1"/>
    <w:rsid w:val="004E1D9E"/>
    <w:rsid w:val="004E20E0"/>
    <w:rsid w:val="004E5B39"/>
    <w:rsid w:val="00501A15"/>
    <w:rsid w:val="005121F1"/>
    <w:rsid w:val="00514BFB"/>
    <w:rsid w:val="005150A9"/>
    <w:rsid w:val="005164DC"/>
    <w:rsid w:val="005203D5"/>
    <w:rsid w:val="00522B8D"/>
    <w:rsid w:val="0052585C"/>
    <w:rsid w:val="00530EBD"/>
    <w:rsid w:val="005413BB"/>
    <w:rsid w:val="005622FE"/>
    <w:rsid w:val="00567912"/>
    <w:rsid w:val="00570098"/>
    <w:rsid w:val="005805E7"/>
    <w:rsid w:val="005825A4"/>
    <w:rsid w:val="00583F5D"/>
    <w:rsid w:val="0058424C"/>
    <w:rsid w:val="00584F8D"/>
    <w:rsid w:val="005A0350"/>
    <w:rsid w:val="005A23DC"/>
    <w:rsid w:val="005A624B"/>
    <w:rsid w:val="005A7D9E"/>
    <w:rsid w:val="005B2697"/>
    <w:rsid w:val="005B5990"/>
    <w:rsid w:val="005C2C56"/>
    <w:rsid w:val="005C6147"/>
    <w:rsid w:val="005D5F8C"/>
    <w:rsid w:val="005E5148"/>
    <w:rsid w:val="00600C0E"/>
    <w:rsid w:val="00600FAC"/>
    <w:rsid w:val="0060114B"/>
    <w:rsid w:val="00603D4A"/>
    <w:rsid w:val="00607AC5"/>
    <w:rsid w:val="00611DE2"/>
    <w:rsid w:val="00614A1C"/>
    <w:rsid w:val="00615378"/>
    <w:rsid w:val="00615C87"/>
    <w:rsid w:val="006227B3"/>
    <w:rsid w:val="00627B1F"/>
    <w:rsid w:val="00627F63"/>
    <w:rsid w:val="00642220"/>
    <w:rsid w:val="00645FBC"/>
    <w:rsid w:val="0065148D"/>
    <w:rsid w:val="00652ED1"/>
    <w:rsid w:val="006626FF"/>
    <w:rsid w:val="006650A8"/>
    <w:rsid w:val="0067772C"/>
    <w:rsid w:val="00683A96"/>
    <w:rsid w:val="00685435"/>
    <w:rsid w:val="00687746"/>
    <w:rsid w:val="00690BF6"/>
    <w:rsid w:val="00690F56"/>
    <w:rsid w:val="00692CE1"/>
    <w:rsid w:val="006A4637"/>
    <w:rsid w:val="006C2FC8"/>
    <w:rsid w:val="006C39F8"/>
    <w:rsid w:val="006E1A08"/>
    <w:rsid w:val="006E4433"/>
    <w:rsid w:val="006E54FE"/>
    <w:rsid w:val="006E604F"/>
    <w:rsid w:val="006E63C6"/>
    <w:rsid w:val="006F2132"/>
    <w:rsid w:val="006F66F9"/>
    <w:rsid w:val="006F6E13"/>
    <w:rsid w:val="007010C5"/>
    <w:rsid w:val="007011F1"/>
    <w:rsid w:val="00704E00"/>
    <w:rsid w:val="007127A1"/>
    <w:rsid w:val="00713ACE"/>
    <w:rsid w:val="00715F82"/>
    <w:rsid w:val="0071749C"/>
    <w:rsid w:val="00721E05"/>
    <w:rsid w:val="007379CF"/>
    <w:rsid w:val="00740A99"/>
    <w:rsid w:val="007412B6"/>
    <w:rsid w:val="00741BF4"/>
    <w:rsid w:val="00753389"/>
    <w:rsid w:val="00755761"/>
    <w:rsid w:val="007636EC"/>
    <w:rsid w:val="00767D37"/>
    <w:rsid w:val="007725AF"/>
    <w:rsid w:val="00774503"/>
    <w:rsid w:val="007754A0"/>
    <w:rsid w:val="0077658B"/>
    <w:rsid w:val="00777CD2"/>
    <w:rsid w:val="00780272"/>
    <w:rsid w:val="0078038F"/>
    <w:rsid w:val="0078153B"/>
    <w:rsid w:val="00785FE9"/>
    <w:rsid w:val="00786E04"/>
    <w:rsid w:val="007A5A0C"/>
    <w:rsid w:val="007A7F79"/>
    <w:rsid w:val="007C0696"/>
    <w:rsid w:val="007C124D"/>
    <w:rsid w:val="007D2655"/>
    <w:rsid w:val="007D46C2"/>
    <w:rsid w:val="007E3065"/>
    <w:rsid w:val="007F04A6"/>
    <w:rsid w:val="007F3B38"/>
    <w:rsid w:val="007F3C02"/>
    <w:rsid w:val="007F783A"/>
    <w:rsid w:val="00802605"/>
    <w:rsid w:val="00802A30"/>
    <w:rsid w:val="008043E5"/>
    <w:rsid w:val="00804A1A"/>
    <w:rsid w:val="0081073D"/>
    <w:rsid w:val="00813CC0"/>
    <w:rsid w:val="00823643"/>
    <w:rsid w:val="008323ED"/>
    <w:rsid w:val="00832EBB"/>
    <w:rsid w:val="00833EBC"/>
    <w:rsid w:val="00835955"/>
    <w:rsid w:val="008371EA"/>
    <w:rsid w:val="00846701"/>
    <w:rsid w:val="00847F1E"/>
    <w:rsid w:val="008624D5"/>
    <w:rsid w:val="00870E47"/>
    <w:rsid w:val="00871CA6"/>
    <w:rsid w:val="008775EA"/>
    <w:rsid w:val="00882AB5"/>
    <w:rsid w:val="00882B1D"/>
    <w:rsid w:val="0088672C"/>
    <w:rsid w:val="00895454"/>
    <w:rsid w:val="008A1335"/>
    <w:rsid w:val="008A1F0C"/>
    <w:rsid w:val="008A40D1"/>
    <w:rsid w:val="008B3128"/>
    <w:rsid w:val="008B541B"/>
    <w:rsid w:val="008B79C1"/>
    <w:rsid w:val="008C656B"/>
    <w:rsid w:val="008C6A87"/>
    <w:rsid w:val="008E7879"/>
    <w:rsid w:val="008F47CB"/>
    <w:rsid w:val="00900236"/>
    <w:rsid w:val="00901003"/>
    <w:rsid w:val="0090158E"/>
    <w:rsid w:val="00901EF6"/>
    <w:rsid w:val="0090413E"/>
    <w:rsid w:val="009210D8"/>
    <w:rsid w:val="00923B37"/>
    <w:rsid w:val="009271B1"/>
    <w:rsid w:val="00933EE9"/>
    <w:rsid w:val="0093485F"/>
    <w:rsid w:val="009407FC"/>
    <w:rsid w:val="009441E2"/>
    <w:rsid w:val="00950ED2"/>
    <w:rsid w:val="00957C58"/>
    <w:rsid w:val="00963680"/>
    <w:rsid w:val="00964D3F"/>
    <w:rsid w:val="009664F0"/>
    <w:rsid w:val="009700D9"/>
    <w:rsid w:val="00983CA7"/>
    <w:rsid w:val="00985369"/>
    <w:rsid w:val="00985C15"/>
    <w:rsid w:val="00996A5D"/>
    <w:rsid w:val="009A1D72"/>
    <w:rsid w:val="009A6DCA"/>
    <w:rsid w:val="009B00FD"/>
    <w:rsid w:val="009B38D1"/>
    <w:rsid w:val="009B4116"/>
    <w:rsid w:val="009B689F"/>
    <w:rsid w:val="009B6955"/>
    <w:rsid w:val="009C2A10"/>
    <w:rsid w:val="009D0BBA"/>
    <w:rsid w:val="009D1EA2"/>
    <w:rsid w:val="009D2488"/>
    <w:rsid w:val="009E0141"/>
    <w:rsid w:val="009E234B"/>
    <w:rsid w:val="009F52F3"/>
    <w:rsid w:val="009F60B8"/>
    <w:rsid w:val="00A01346"/>
    <w:rsid w:val="00A10441"/>
    <w:rsid w:val="00A15094"/>
    <w:rsid w:val="00A217C3"/>
    <w:rsid w:val="00A21F98"/>
    <w:rsid w:val="00A2391E"/>
    <w:rsid w:val="00A33AAC"/>
    <w:rsid w:val="00A41C21"/>
    <w:rsid w:val="00A47DA7"/>
    <w:rsid w:val="00A52DE7"/>
    <w:rsid w:val="00A55023"/>
    <w:rsid w:val="00A56B86"/>
    <w:rsid w:val="00A61233"/>
    <w:rsid w:val="00A632EF"/>
    <w:rsid w:val="00A677E9"/>
    <w:rsid w:val="00A70609"/>
    <w:rsid w:val="00A740AB"/>
    <w:rsid w:val="00A834BF"/>
    <w:rsid w:val="00A90769"/>
    <w:rsid w:val="00A973AA"/>
    <w:rsid w:val="00AA177A"/>
    <w:rsid w:val="00AA418C"/>
    <w:rsid w:val="00AB4DC3"/>
    <w:rsid w:val="00AC3138"/>
    <w:rsid w:val="00AC775D"/>
    <w:rsid w:val="00AD022F"/>
    <w:rsid w:val="00AD113F"/>
    <w:rsid w:val="00AD75AC"/>
    <w:rsid w:val="00AE03CB"/>
    <w:rsid w:val="00AE0D00"/>
    <w:rsid w:val="00AF2C11"/>
    <w:rsid w:val="00AF3788"/>
    <w:rsid w:val="00AF38B7"/>
    <w:rsid w:val="00AF5262"/>
    <w:rsid w:val="00AF7928"/>
    <w:rsid w:val="00B01DD1"/>
    <w:rsid w:val="00B0439F"/>
    <w:rsid w:val="00B13844"/>
    <w:rsid w:val="00B26E3E"/>
    <w:rsid w:val="00B3217C"/>
    <w:rsid w:val="00B35DAD"/>
    <w:rsid w:val="00B417B3"/>
    <w:rsid w:val="00B47443"/>
    <w:rsid w:val="00B5043F"/>
    <w:rsid w:val="00B5377A"/>
    <w:rsid w:val="00B6181C"/>
    <w:rsid w:val="00B64496"/>
    <w:rsid w:val="00B66231"/>
    <w:rsid w:val="00B674DE"/>
    <w:rsid w:val="00B67A3F"/>
    <w:rsid w:val="00B9439C"/>
    <w:rsid w:val="00B96E43"/>
    <w:rsid w:val="00BA1A79"/>
    <w:rsid w:val="00BA6A42"/>
    <w:rsid w:val="00BA6C9C"/>
    <w:rsid w:val="00BA7D04"/>
    <w:rsid w:val="00BB2AA1"/>
    <w:rsid w:val="00BB3BEF"/>
    <w:rsid w:val="00BB69A8"/>
    <w:rsid w:val="00BC5F22"/>
    <w:rsid w:val="00BD21CA"/>
    <w:rsid w:val="00BD34F2"/>
    <w:rsid w:val="00BF0E96"/>
    <w:rsid w:val="00C0069F"/>
    <w:rsid w:val="00C02E4A"/>
    <w:rsid w:val="00C04C0E"/>
    <w:rsid w:val="00C05B4B"/>
    <w:rsid w:val="00C05B88"/>
    <w:rsid w:val="00C05EBE"/>
    <w:rsid w:val="00C07F7F"/>
    <w:rsid w:val="00C12530"/>
    <w:rsid w:val="00C14429"/>
    <w:rsid w:val="00C16985"/>
    <w:rsid w:val="00C16FA7"/>
    <w:rsid w:val="00C247D8"/>
    <w:rsid w:val="00C25486"/>
    <w:rsid w:val="00C25E66"/>
    <w:rsid w:val="00C33D1B"/>
    <w:rsid w:val="00C34009"/>
    <w:rsid w:val="00C419A5"/>
    <w:rsid w:val="00C42FC9"/>
    <w:rsid w:val="00C4763A"/>
    <w:rsid w:val="00C63D1E"/>
    <w:rsid w:val="00C667F3"/>
    <w:rsid w:val="00C712D2"/>
    <w:rsid w:val="00C730F9"/>
    <w:rsid w:val="00C73799"/>
    <w:rsid w:val="00C77B5C"/>
    <w:rsid w:val="00C824C6"/>
    <w:rsid w:val="00C8275F"/>
    <w:rsid w:val="00C82F1E"/>
    <w:rsid w:val="00C87068"/>
    <w:rsid w:val="00C9162F"/>
    <w:rsid w:val="00CA2F0A"/>
    <w:rsid w:val="00CA652C"/>
    <w:rsid w:val="00CB0E3F"/>
    <w:rsid w:val="00CB1ECE"/>
    <w:rsid w:val="00CB3579"/>
    <w:rsid w:val="00CB5C31"/>
    <w:rsid w:val="00CC0731"/>
    <w:rsid w:val="00CC1B60"/>
    <w:rsid w:val="00CC770C"/>
    <w:rsid w:val="00CD215D"/>
    <w:rsid w:val="00CD4B24"/>
    <w:rsid w:val="00CD4F92"/>
    <w:rsid w:val="00CD6628"/>
    <w:rsid w:val="00CE6A67"/>
    <w:rsid w:val="00D00B48"/>
    <w:rsid w:val="00D2331B"/>
    <w:rsid w:val="00D36BB6"/>
    <w:rsid w:val="00D4451A"/>
    <w:rsid w:val="00D472BE"/>
    <w:rsid w:val="00D506BE"/>
    <w:rsid w:val="00D53DEB"/>
    <w:rsid w:val="00D572FB"/>
    <w:rsid w:val="00D57DE8"/>
    <w:rsid w:val="00D735B0"/>
    <w:rsid w:val="00D73AAD"/>
    <w:rsid w:val="00D75842"/>
    <w:rsid w:val="00D802D6"/>
    <w:rsid w:val="00D86A15"/>
    <w:rsid w:val="00D86FF7"/>
    <w:rsid w:val="00D956B2"/>
    <w:rsid w:val="00DA7DC9"/>
    <w:rsid w:val="00DB7B7C"/>
    <w:rsid w:val="00DD6DF0"/>
    <w:rsid w:val="00E0031C"/>
    <w:rsid w:val="00E0138A"/>
    <w:rsid w:val="00E06430"/>
    <w:rsid w:val="00E11E2A"/>
    <w:rsid w:val="00E13DE5"/>
    <w:rsid w:val="00E163CF"/>
    <w:rsid w:val="00E20D5B"/>
    <w:rsid w:val="00E21768"/>
    <w:rsid w:val="00E22463"/>
    <w:rsid w:val="00E23871"/>
    <w:rsid w:val="00E322E9"/>
    <w:rsid w:val="00E400EA"/>
    <w:rsid w:val="00E46EE5"/>
    <w:rsid w:val="00E57F5E"/>
    <w:rsid w:val="00E60FB0"/>
    <w:rsid w:val="00E614A1"/>
    <w:rsid w:val="00E674A9"/>
    <w:rsid w:val="00E700AD"/>
    <w:rsid w:val="00E74543"/>
    <w:rsid w:val="00E74ABD"/>
    <w:rsid w:val="00E81C88"/>
    <w:rsid w:val="00E829F2"/>
    <w:rsid w:val="00E83023"/>
    <w:rsid w:val="00E83271"/>
    <w:rsid w:val="00E833E4"/>
    <w:rsid w:val="00E86973"/>
    <w:rsid w:val="00E909D5"/>
    <w:rsid w:val="00E92897"/>
    <w:rsid w:val="00E92EED"/>
    <w:rsid w:val="00E93A0F"/>
    <w:rsid w:val="00E96323"/>
    <w:rsid w:val="00EA3E66"/>
    <w:rsid w:val="00EA50C8"/>
    <w:rsid w:val="00EB783E"/>
    <w:rsid w:val="00EC0B43"/>
    <w:rsid w:val="00EC2ADC"/>
    <w:rsid w:val="00EC4383"/>
    <w:rsid w:val="00EC5D7E"/>
    <w:rsid w:val="00ED49C1"/>
    <w:rsid w:val="00EE2223"/>
    <w:rsid w:val="00EF2707"/>
    <w:rsid w:val="00EF4DFD"/>
    <w:rsid w:val="00EF70DB"/>
    <w:rsid w:val="00F11AA8"/>
    <w:rsid w:val="00F12F81"/>
    <w:rsid w:val="00F1377A"/>
    <w:rsid w:val="00F24787"/>
    <w:rsid w:val="00F24B7A"/>
    <w:rsid w:val="00F27223"/>
    <w:rsid w:val="00F3623C"/>
    <w:rsid w:val="00F41116"/>
    <w:rsid w:val="00F44D20"/>
    <w:rsid w:val="00F4518C"/>
    <w:rsid w:val="00F4529D"/>
    <w:rsid w:val="00F53F09"/>
    <w:rsid w:val="00F56B20"/>
    <w:rsid w:val="00F6219B"/>
    <w:rsid w:val="00F64E0B"/>
    <w:rsid w:val="00F72D66"/>
    <w:rsid w:val="00F76AE8"/>
    <w:rsid w:val="00F8164B"/>
    <w:rsid w:val="00F91628"/>
    <w:rsid w:val="00F92CA3"/>
    <w:rsid w:val="00F935EE"/>
    <w:rsid w:val="00F96885"/>
    <w:rsid w:val="00FA3D8C"/>
    <w:rsid w:val="00FB026D"/>
    <w:rsid w:val="00FB587F"/>
    <w:rsid w:val="00FB79DC"/>
    <w:rsid w:val="00FD35DD"/>
    <w:rsid w:val="00FD5326"/>
    <w:rsid w:val="00FE5C69"/>
    <w:rsid w:val="00FF3EF4"/>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AC9CFFBA-3E93-4D15-9BD5-6F17FF6D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vsst.com" TargetMode="Externa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B7228-F0BC-445C-8842-BD75217EE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78F6B-8424-4845-AB9C-CF6B3BDF58F2}">
  <ds:schemaRefs>
    <ds:schemaRef ds:uri="http://schemas.microsoft.com/office/2006/metadata/properties"/>
    <ds:schemaRef ds:uri="http://schemas.microsoft.com/office/infopath/2007/PartnerControls"/>
    <ds:schemaRef ds:uri="768bdf26-1ffa-46c3-9f11-5cd786606989"/>
    <ds:schemaRef ds:uri="981d3281-29bf-4baa-ae53-f3776f456ed6"/>
  </ds:schemaRefs>
</ds:datastoreItem>
</file>

<file path=customXml/itemProps3.xml><?xml version="1.0" encoding="utf-8"?>
<ds:datastoreItem xmlns:ds="http://schemas.openxmlformats.org/officeDocument/2006/customXml" ds:itemID="{A40EEACE-663E-4356-AD4F-ED97B3A6A0E2}">
  <ds:schemaRefs>
    <ds:schemaRef ds:uri="http://schemas.microsoft.com/sharepoint/v3/contenttype/forms"/>
  </ds:schemaRefs>
</ds:datastoreItem>
</file>

<file path=customXml/itemProps4.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3327</Words>
  <Characters>18969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Arceo, Darwin (JMD)</dc:creator>
  <cp:lastModifiedBy>Arceo, Darwin (JMD)</cp:lastModifiedBy>
  <cp:revision>2</cp:revision>
  <dcterms:created xsi:type="dcterms:W3CDTF">2026-03-30T15:41:00Z</dcterms:created>
  <dcterms:modified xsi:type="dcterms:W3CDTF">2026-03-30T15:41:00Z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