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63BF6" w:rsidRPr="0041425F" w:rsidP="00A862DF" w14:paraId="39D7E221" w14:textId="77777777">
      <w:pPr>
        <w:widowControl/>
        <w:jc w:val="center"/>
        <w:rPr>
          <w:rFonts w:ascii="Times New Roman" w:hAnsi="Times New Roman"/>
          <w:b/>
          <w:bCs/>
          <w:color w:val="000000"/>
        </w:rPr>
      </w:pPr>
      <w:r w:rsidRPr="0041425F">
        <w:rPr>
          <w:rFonts w:ascii="Times New Roman" w:hAnsi="Times New Roman"/>
          <w:b/>
          <w:bCs/>
          <w:color w:val="000000"/>
        </w:rPr>
        <w:t>SUPPORTING STATEMENT</w:t>
      </w:r>
      <w:r w:rsidR="001549F5">
        <w:rPr>
          <w:rFonts w:ascii="Times New Roman" w:hAnsi="Times New Roman"/>
          <w:b/>
          <w:bCs/>
          <w:color w:val="000000"/>
        </w:rPr>
        <w:t xml:space="preserve"> </w:t>
      </w:r>
    </w:p>
    <w:p w:rsidR="00630C56" w:rsidRPr="0041425F" w:rsidP="00C05EAD" w14:paraId="2A0ACF0D" w14:textId="77777777">
      <w:pPr>
        <w:widowControl/>
        <w:jc w:val="center"/>
        <w:rPr>
          <w:rFonts w:ascii="Times New Roman" w:hAnsi="Times New Roman"/>
          <w:b/>
          <w:bCs/>
          <w:color w:val="000000"/>
        </w:rPr>
      </w:pPr>
      <w:r w:rsidRPr="0041425F">
        <w:rPr>
          <w:rFonts w:ascii="Times New Roman" w:hAnsi="Times New Roman"/>
          <w:b/>
          <w:bCs/>
          <w:color w:val="000000"/>
        </w:rPr>
        <w:t>NONMONETARY DETERMINATION</w:t>
      </w:r>
      <w:r w:rsidR="00A862DF">
        <w:rPr>
          <w:rFonts w:ascii="Times New Roman" w:hAnsi="Times New Roman"/>
          <w:b/>
          <w:bCs/>
          <w:color w:val="000000"/>
        </w:rPr>
        <w:t xml:space="preserve"> ACTIVITY</w:t>
      </w:r>
      <w:r w:rsidRPr="0041425F">
        <w:rPr>
          <w:rFonts w:ascii="Times New Roman" w:hAnsi="Times New Roman"/>
          <w:b/>
          <w:bCs/>
          <w:color w:val="000000"/>
        </w:rPr>
        <w:t xml:space="preserve"> REPORT</w:t>
      </w:r>
    </w:p>
    <w:p w:rsidR="00635717" w:rsidP="00C05EAD" w14:paraId="7BB5EF00" w14:textId="77777777">
      <w:pPr>
        <w:widowControl/>
        <w:jc w:val="center"/>
        <w:rPr>
          <w:rFonts w:ascii="Times New Roman" w:hAnsi="Times New Roman"/>
          <w:b/>
          <w:bCs/>
          <w:color w:val="000000"/>
        </w:rPr>
      </w:pPr>
      <w:r w:rsidRPr="00E41381">
        <w:rPr>
          <w:rFonts w:ascii="Times New Roman" w:hAnsi="Times New Roman"/>
          <w:b/>
          <w:bCs/>
          <w:color w:val="000000"/>
        </w:rPr>
        <w:t xml:space="preserve">OMB </w:t>
      </w:r>
      <w:r>
        <w:rPr>
          <w:rFonts w:ascii="Times New Roman" w:hAnsi="Times New Roman"/>
          <w:b/>
          <w:bCs/>
          <w:color w:val="000000"/>
        </w:rPr>
        <w:t xml:space="preserve">Control </w:t>
      </w:r>
      <w:r w:rsidRPr="00E41381">
        <w:rPr>
          <w:rFonts w:ascii="Times New Roman" w:hAnsi="Times New Roman"/>
          <w:b/>
          <w:bCs/>
          <w:color w:val="000000"/>
        </w:rPr>
        <w:t>No. 1205-0150</w:t>
      </w:r>
    </w:p>
    <w:p w:rsidR="00010981" w:rsidRPr="0041425F" w:rsidP="00C05EAD" w14:paraId="2522C085" w14:textId="77777777">
      <w:pPr>
        <w:widowControl/>
        <w:jc w:val="center"/>
        <w:rPr>
          <w:rFonts w:ascii="Times New Roman" w:hAnsi="Times New Roman"/>
          <w:b/>
          <w:bCs/>
          <w:color w:val="000000"/>
        </w:rPr>
      </w:pPr>
    </w:p>
    <w:p w:rsidR="00630C56" w:rsidP="00172163" w14:paraId="0D9EC592" w14:textId="56681FDC">
      <w:pPr>
        <w:widowControl/>
        <w:rPr>
          <w:rFonts w:ascii="Times New Roman" w:hAnsi="Times New Roman"/>
          <w:color w:val="000000"/>
        </w:rPr>
      </w:pPr>
      <w:r>
        <w:rPr>
          <w:rFonts w:ascii="Times New Roman" w:hAnsi="Times New Roman"/>
        </w:rPr>
        <w:t xml:space="preserve">The Department of Labor (Department), Employment and Training Administration (ETA) is requesting a revision to OMB 1205-0150, </w:t>
      </w:r>
      <w:r>
        <w:rPr>
          <w:rFonts w:ascii="Times New Roman" w:hAnsi="Times New Roman"/>
          <w:color w:val="000000"/>
        </w:rPr>
        <w:t>the Nonmonetary Determination Activity Report Information Collection (ETA 207).</w:t>
      </w:r>
      <w:r>
        <w:rPr>
          <w:rFonts w:ascii="Times New Roman" w:hAnsi="Times New Roman"/>
        </w:rPr>
        <w:t xml:space="preserve"> Revisions were done to the reporting instructions, form, and burden.</w:t>
      </w:r>
    </w:p>
    <w:p w:rsidR="0088775F" w:rsidRPr="0041425F" w:rsidP="00172163" w14:paraId="7B355C78" w14:textId="77777777">
      <w:pPr>
        <w:widowControl/>
        <w:rPr>
          <w:rFonts w:ascii="Times New Roman" w:hAnsi="Times New Roman"/>
          <w:color w:val="000000"/>
        </w:rPr>
      </w:pPr>
    </w:p>
    <w:p w:rsidR="00630C56" w:rsidRPr="0041425F" w:rsidP="00172163" w14:paraId="4929609A" w14:textId="58F3E218">
      <w:pPr>
        <w:widowControl/>
        <w:rPr>
          <w:rFonts w:ascii="Times New Roman" w:hAnsi="Times New Roman"/>
          <w:color w:val="000000"/>
        </w:rPr>
      </w:pPr>
      <w:r w:rsidRPr="39F5D985">
        <w:rPr>
          <w:rFonts w:ascii="Times New Roman" w:hAnsi="Times New Roman"/>
          <w:b/>
          <w:bCs/>
          <w:color w:val="000000" w:themeColor="text1"/>
        </w:rPr>
        <w:t>A</w:t>
      </w:r>
      <w:r w:rsidR="009067F3">
        <w:rPr>
          <w:rFonts w:ascii="Times New Roman" w:hAnsi="Times New Roman"/>
          <w:b/>
          <w:bCs/>
          <w:color w:val="000000" w:themeColor="text1"/>
        </w:rPr>
        <w:t xml:space="preserve">. </w:t>
      </w:r>
      <w:r w:rsidRPr="39F5D985" w:rsidR="0033608E">
        <w:rPr>
          <w:rFonts w:ascii="Times New Roman" w:hAnsi="Times New Roman"/>
          <w:b/>
          <w:bCs/>
          <w:color w:val="000000" w:themeColor="text1"/>
          <w:u w:val="single"/>
        </w:rPr>
        <w:t>JUSTIFICATION</w:t>
      </w:r>
      <w:r w:rsidRPr="39F5D985" w:rsidR="00CC648C">
        <w:rPr>
          <w:rFonts w:ascii="Times New Roman" w:hAnsi="Times New Roman"/>
          <w:b/>
          <w:bCs/>
          <w:color w:val="000000" w:themeColor="text1"/>
          <w:u w:val="single"/>
        </w:rPr>
        <w:t>.</w:t>
      </w:r>
    </w:p>
    <w:p w:rsidR="00630C56" w:rsidRPr="0041425F" w:rsidP="00172163" w14:paraId="536BDB45" w14:textId="77777777">
      <w:pPr>
        <w:widowControl/>
        <w:rPr>
          <w:rFonts w:ascii="Times New Roman" w:hAnsi="Times New Roman"/>
          <w:color w:val="000000"/>
        </w:rPr>
      </w:pPr>
    </w:p>
    <w:p w:rsidR="00DA7A30" w:rsidRPr="00287305" w:rsidP="00287305" w14:paraId="6BC7D269" w14:textId="1835BCE9">
      <w:pPr>
        <w:rPr>
          <w:b/>
          <w:bCs/>
        </w:rPr>
      </w:pPr>
      <w:r w:rsidRPr="39F5D985">
        <w:rPr>
          <w:rFonts w:ascii="Times New Roman" w:hAnsi="Times New Roman"/>
          <w:b/>
          <w:bCs/>
        </w:rPr>
        <w:t xml:space="preserve">1. </w:t>
      </w:r>
      <w:r w:rsidRPr="39F5D985" w:rsidR="00E41381">
        <w:rPr>
          <w:rFonts w:ascii="Times New Roman" w:hAnsi="Times New Roman"/>
          <w:b/>
          <w:bCs/>
        </w:rPr>
        <w:t>Explain the circumstances that make the collection of information necessary</w:t>
      </w:r>
      <w:r w:rsidRPr="39F5D985" w:rsidR="4199B3B5">
        <w:rPr>
          <w:rFonts w:ascii="Times New Roman" w:hAnsi="Times New Roman"/>
          <w:b/>
          <w:bCs/>
        </w:rPr>
        <w:t xml:space="preserve">. </w:t>
      </w:r>
      <w:r w:rsidRPr="39F5D985" w:rsidR="00E41381">
        <w:rPr>
          <w:rFonts w:ascii="Times New Roman" w:hAnsi="Times New Roman"/>
          <w:b/>
          <w:bCs/>
        </w:rPr>
        <w:t>Identify any legal or administrative requirements that necessitate the collection</w:t>
      </w:r>
      <w:r w:rsidRPr="39F5D985" w:rsidR="760E63CF">
        <w:rPr>
          <w:rFonts w:ascii="Times New Roman" w:hAnsi="Times New Roman"/>
          <w:b/>
          <w:bCs/>
        </w:rPr>
        <w:t xml:space="preserve">. </w:t>
      </w:r>
      <w:r w:rsidRPr="39F5D985" w:rsidR="00E41381">
        <w:rPr>
          <w:rFonts w:ascii="Times New Roman" w:hAnsi="Times New Roman"/>
          <w:b/>
          <w:bCs/>
        </w:rPr>
        <w:t>Attach a copy of the appropriate section of each statute and regulation mandating or authorizing the collection of information.</w:t>
      </w:r>
      <w:r w:rsidRPr="39F5D985" w:rsidR="008D22C6">
        <w:rPr>
          <w:rFonts w:ascii="Times New Roman" w:hAnsi="Times New Roman"/>
          <w:b/>
          <w:bCs/>
        </w:rPr>
        <w:t xml:space="preserve"> </w:t>
      </w:r>
    </w:p>
    <w:p w:rsidR="00B37551" w:rsidRPr="00287305" w:rsidP="00287305" w14:paraId="6BDFF902" w14:textId="77777777">
      <w:pPr>
        <w:rPr>
          <w:b/>
          <w:bCs/>
        </w:rPr>
      </w:pPr>
    </w:p>
    <w:p w:rsidR="00D23629" w:rsidP="00B37551" w14:paraId="0A60AD1A" w14:textId="444F5C98">
      <w:pPr>
        <w:widowControl/>
        <w:rPr>
          <w:rFonts w:ascii="Times New Roman" w:hAnsi="Times New Roman"/>
          <w:color w:val="000000"/>
        </w:rPr>
      </w:pPr>
      <w:r w:rsidRPr="6B8F2ECB">
        <w:rPr>
          <w:rFonts w:ascii="Times New Roman" w:hAnsi="Times New Roman"/>
          <w:color w:val="000000" w:themeColor="text1"/>
        </w:rPr>
        <w:t xml:space="preserve">The data reported on the </w:t>
      </w:r>
      <w:r w:rsidR="00010981">
        <w:rPr>
          <w:rFonts w:ascii="Times New Roman" w:hAnsi="Times New Roman"/>
          <w:color w:val="000000" w:themeColor="text1"/>
        </w:rPr>
        <w:t xml:space="preserve">quarterly </w:t>
      </w:r>
      <w:r w:rsidRPr="6B8F2ECB">
        <w:rPr>
          <w:rFonts w:ascii="Times New Roman" w:hAnsi="Times New Roman"/>
          <w:color w:val="000000" w:themeColor="text1"/>
        </w:rPr>
        <w:t>ETA 207 provides current information on the volume and nature of nonmonetary</w:t>
      </w:r>
      <w:r w:rsidR="00046521">
        <w:rPr>
          <w:rFonts w:ascii="Times New Roman" w:hAnsi="Times New Roman"/>
          <w:color w:val="000000" w:themeColor="text1"/>
        </w:rPr>
        <w:t xml:space="preserve"> eligibility</w:t>
      </w:r>
      <w:r w:rsidRPr="6B8F2ECB">
        <w:rPr>
          <w:rFonts w:ascii="Times New Roman" w:hAnsi="Times New Roman"/>
          <w:color w:val="000000" w:themeColor="text1"/>
        </w:rPr>
        <w:t xml:space="preserve"> determinations </w:t>
      </w:r>
      <w:r w:rsidR="00046521">
        <w:rPr>
          <w:rFonts w:ascii="Times New Roman" w:hAnsi="Times New Roman"/>
          <w:color w:val="000000" w:themeColor="text1"/>
        </w:rPr>
        <w:t xml:space="preserve">(approvals </w:t>
      </w:r>
      <w:r w:rsidRPr="6B8F2ECB">
        <w:rPr>
          <w:rFonts w:ascii="Times New Roman" w:hAnsi="Times New Roman"/>
          <w:color w:val="000000" w:themeColor="text1"/>
        </w:rPr>
        <w:t>and denials</w:t>
      </w:r>
      <w:r w:rsidR="00046521">
        <w:rPr>
          <w:rFonts w:ascii="Times New Roman" w:hAnsi="Times New Roman"/>
          <w:color w:val="000000" w:themeColor="text1"/>
        </w:rPr>
        <w:t>)</w:t>
      </w:r>
      <w:r w:rsidRPr="6B8F2ECB">
        <w:rPr>
          <w:rFonts w:ascii="Times New Roman" w:hAnsi="Times New Roman"/>
          <w:color w:val="000000" w:themeColor="text1"/>
        </w:rPr>
        <w:t xml:space="preserve"> under </w:t>
      </w:r>
      <w:r w:rsidRPr="6B8F2ECB" w:rsidR="0082022E">
        <w:rPr>
          <w:rFonts w:ascii="Times New Roman" w:hAnsi="Times New Roman"/>
          <w:color w:val="000000" w:themeColor="text1"/>
        </w:rPr>
        <w:t>s</w:t>
      </w:r>
      <w:r w:rsidRPr="6B8F2ECB" w:rsidR="006B59C9">
        <w:rPr>
          <w:rFonts w:ascii="Times New Roman" w:hAnsi="Times New Roman"/>
          <w:color w:val="000000" w:themeColor="text1"/>
        </w:rPr>
        <w:t>tate</w:t>
      </w:r>
      <w:r w:rsidRPr="6B8F2ECB" w:rsidR="000024F7">
        <w:rPr>
          <w:rFonts w:ascii="Times New Roman" w:hAnsi="Times New Roman"/>
          <w:color w:val="000000" w:themeColor="text1"/>
        </w:rPr>
        <w:t>s’</w:t>
      </w:r>
      <w:r w:rsidRPr="6B8F2ECB" w:rsidR="006B59C9">
        <w:rPr>
          <w:rFonts w:ascii="Times New Roman" w:hAnsi="Times New Roman"/>
          <w:color w:val="000000" w:themeColor="text1"/>
        </w:rPr>
        <w:t xml:space="preserve"> </w:t>
      </w:r>
      <w:r w:rsidRPr="6B8F2ECB" w:rsidR="001E0388">
        <w:rPr>
          <w:rFonts w:ascii="Times New Roman" w:hAnsi="Times New Roman"/>
          <w:color w:val="000000" w:themeColor="text1"/>
        </w:rPr>
        <w:t>Unemployment Insurance (</w:t>
      </w:r>
      <w:r w:rsidRPr="6B8F2ECB">
        <w:rPr>
          <w:rFonts w:ascii="Times New Roman" w:hAnsi="Times New Roman"/>
          <w:color w:val="000000" w:themeColor="text1"/>
        </w:rPr>
        <w:t>UI</w:t>
      </w:r>
      <w:r w:rsidRPr="6B8F2ECB" w:rsidR="001E0388">
        <w:rPr>
          <w:rFonts w:ascii="Times New Roman" w:hAnsi="Times New Roman"/>
          <w:color w:val="000000" w:themeColor="text1"/>
        </w:rPr>
        <w:t>)</w:t>
      </w:r>
      <w:r w:rsidR="00010981">
        <w:rPr>
          <w:rFonts w:ascii="Times New Roman" w:hAnsi="Times New Roman"/>
          <w:color w:val="000000" w:themeColor="text1"/>
        </w:rPr>
        <w:t xml:space="preserve">, </w:t>
      </w:r>
      <w:r w:rsidRPr="6B8F2ECB" w:rsidR="001E0388">
        <w:rPr>
          <w:rFonts w:ascii="Times New Roman" w:hAnsi="Times New Roman"/>
          <w:color w:val="000000" w:themeColor="text1"/>
        </w:rPr>
        <w:t xml:space="preserve">Unemployment Compensation for </w:t>
      </w:r>
      <w:r w:rsidRPr="6B8F2ECB">
        <w:rPr>
          <w:rFonts w:ascii="Times New Roman" w:hAnsi="Times New Roman"/>
          <w:color w:val="000000" w:themeColor="text1"/>
        </w:rPr>
        <w:t xml:space="preserve">Federal </w:t>
      </w:r>
      <w:r w:rsidRPr="6B8F2ECB" w:rsidR="001E0388">
        <w:rPr>
          <w:rFonts w:ascii="Times New Roman" w:hAnsi="Times New Roman"/>
          <w:color w:val="000000" w:themeColor="text1"/>
        </w:rPr>
        <w:t>Employees (</w:t>
      </w:r>
      <w:r w:rsidRPr="6B8F2ECB">
        <w:rPr>
          <w:rFonts w:ascii="Times New Roman" w:hAnsi="Times New Roman"/>
          <w:color w:val="000000" w:themeColor="text1"/>
        </w:rPr>
        <w:t>UCFE</w:t>
      </w:r>
      <w:r w:rsidRPr="6B8F2ECB" w:rsidR="001E0388">
        <w:rPr>
          <w:rFonts w:ascii="Times New Roman" w:hAnsi="Times New Roman"/>
          <w:color w:val="000000" w:themeColor="text1"/>
        </w:rPr>
        <w:t>),</w:t>
      </w:r>
      <w:r w:rsidRPr="6B8F2ECB">
        <w:rPr>
          <w:rFonts w:ascii="Times New Roman" w:hAnsi="Times New Roman"/>
          <w:color w:val="000000" w:themeColor="text1"/>
        </w:rPr>
        <w:t xml:space="preserve"> and </w:t>
      </w:r>
      <w:r w:rsidRPr="6B8F2ECB" w:rsidR="001E0388">
        <w:rPr>
          <w:rFonts w:ascii="Times New Roman" w:hAnsi="Times New Roman"/>
          <w:color w:val="000000" w:themeColor="text1"/>
        </w:rPr>
        <w:t>Unemployment Compensation for Ex-Service Members (</w:t>
      </w:r>
      <w:r w:rsidRPr="6B8F2ECB">
        <w:rPr>
          <w:rFonts w:ascii="Times New Roman" w:hAnsi="Times New Roman"/>
          <w:color w:val="000000" w:themeColor="text1"/>
        </w:rPr>
        <w:t>UCX</w:t>
      </w:r>
      <w:r w:rsidRPr="6B8F2ECB" w:rsidR="001E0388">
        <w:rPr>
          <w:rFonts w:ascii="Times New Roman" w:hAnsi="Times New Roman"/>
          <w:color w:val="000000" w:themeColor="text1"/>
        </w:rPr>
        <w:t>)</w:t>
      </w:r>
      <w:r w:rsidRPr="6B8F2ECB">
        <w:rPr>
          <w:rFonts w:ascii="Times New Roman" w:hAnsi="Times New Roman"/>
          <w:color w:val="000000" w:themeColor="text1"/>
        </w:rPr>
        <w:t xml:space="preserve"> programs.</w:t>
      </w:r>
      <w:r w:rsidRPr="6B8F2ECB" w:rsidR="008D22C6">
        <w:rPr>
          <w:rFonts w:ascii="Times New Roman" w:hAnsi="Times New Roman"/>
          <w:color w:val="000000" w:themeColor="text1"/>
        </w:rPr>
        <w:t xml:space="preserve"> </w:t>
      </w:r>
    </w:p>
    <w:p w:rsidR="00D23629" w:rsidP="00B37551" w14:paraId="39DD7D29" w14:textId="77777777">
      <w:pPr>
        <w:widowControl/>
        <w:rPr>
          <w:rFonts w:ascii="Times New Roman" w:hAnsi="Times New Roman"/>
          <w:color w:val="000000"/>
        </w:rPr>
      </w:pPr>
    </w:p>
    <w:p w:rsidR="00BC235A" w:rsidP="00BC235A" w14:paraId="2907F331" w14:textId="6C90092A">
      <w:pPr>
        <w:widowControl/>
        <w:tabs>
          <w:tab w:val="left" w:pos="-1440"/>
        </w:tabs>
        <w:jc w:val="both"/>
        <w:rPr>
          <w:rFonts w:ascii="Times New Roman" w:hAnsi="Times New Roman"/>
        </w:rPr>
      </w:pPr>
      <w:r w:rsidRPr="39F5D985">
        <w:rPr>
          <w:rFonts w:ascii="Times New Roman" w:hAnsi="Times New Roman"/>
          <w:color w:val="000000" w:themeColor="text1"/>
        </w:rPr>
        <w:t>Claimants for unemployment insurance may be denied benefits for reasons associated with their separ</w:t>
      </w:r>
      <w:r w:rsidRPr="39F5D985" w:rsidR="00F93C54">
        <w:rPr>
          <w:rFonts w:ascii="Times New Roman" w:hAnsi="Times New Roman"/>
          <w:color w:val="000000" w:themeColor="text1"/>
        </w:rPr>
        <w:t xml:space="preserve">ation </w:t>
      </w:r>
      <w:r w:rsidRPr="39F5D985">
        <w:rPr>
          <w:rFonts w:ascii="Times New Roman" w:hAnsi="Times New Roman"/>
          <w:color w:val="000000" w:themeColor="text1"/>
        </w:rPr>
        <w:t>from employment, such as voluntar</w:t>
      </w:r>
      <w:r w:rsidRPr="39F5D985" w:rsidR="00EA1F82">
        <w:rPr>
          <w:rFonts w:ascii="Times New Roman" w:hAnsi="Times New Roman"/>
          <w:color w:val="000000" w:themeColor="text1"/>
        </w:rPr>
        <w:t>il</w:t>
      </w:r>
      <w:r w:rsidRPr="39F5D985">
        <w:rPr>
          <w:rFonts w:ascii="Times New Roman" w:hAnsi="Times New Roman"/>
          <w:color w:val="000000" w:themeColor="text1"/>
        </w:rPr>
        <w:t>y quit</w:t>
      </w:r>
      <w:r w:rsidRPr="39F5D985" w:rsidR="00EA1F82">
        <w:rPr>
          <w:rFonts w:ascii="Times New Roman" w:hAnsi="Times New Roman"/>
          <w:color w:val="000000" w:themeColor="text1"/>
        </w:rPr>
        <w:t>ting</w:t>
      </w:r>
      <w:r w:rsidR="00046521">
        <w:rPr>
          <w:rFonts w:ascii="Times New Roman" w:hAnsi="Times New Roman"/>
          <w:color w:val="000000" w:themeColor="text1"/>
        </w:rPr>
        <w:t xml:space="preserve"> without acceptable cause</w:t>
      </w:r>
      <w:r w:rsidR="00010981">
        <w:rPr>
          <w:rFonts w:ascii="Times New Roman" w:hAnsi="Times New Roman"/>
          <w:color w:val="000000" w:themeColor="text1"/>
        </w:rPr>
        <w:t>;</w:t>
      </w:r>
      <w:r w:rsidRPr="39F5D985">
        <w:rPr>
          <w:rFonts w:ascii="Times New Roman" w:hAnsi="Times New Roman"/>
          <w:color w:val="000000" w:themeColor="text1"/>
        </w:rPr>
        <w:t xml:space="preserve"> questions of continuing eligibility</w:t>
      </w:r>
      <w:r w:rsidR="00010981">
        <w:rPr>
          <w:rFonts w:ascii="Times New Roman" w:hAnsi="Times New Roman"/>
          <w:color w:val="000000" w:themeColor="text1"/>
        </w:rPr>
        <w:t>;</w:t>
      </w:r>
      <w:r w:rsidRPr="39F5D985">
        <w:rPr>
          <w:rFonts w:ascii="Times New Roman" w:hAnsi="Times New Roman"/>
          <w:color w:val="000000" w:themeColor="text1"/>
        </w:rPr>
        <w:t xml:space="preserve"> </w:t>
      </w:r>
      <w:r w:rsidRPr="39F5D985" w:rsidR="00EA1F82">
        <w:rPr>
          <w:rFonts w:ascii="Times New Roman" w:hAnsi="Times New Roman"/>
          <w:color w:val="000000" w:themeColor="text1"/>
        </w:rPr>
        <w:t>or</w:t>
      </w:r>
      <w:r w:rsidRPr="39F5D985">
        <w:rPr>
          <w:rFonts w:ascii="Times New Roman" w:hAnsi="Times New Roman"/>
          <w:color w:val="000000" w:themeColor="text1"/>
        </w:rPr>
        <w:t xml:space="preserve"> refusal of suitable work</w:t>
      </w:r>
      <w:r w:rsidRPr="39F5D985" w:rsidR="79F511CF">
        <w:rPr>
          <w:rFonts w:ascii="Times New Roman" w:hAnsi="Times New Roman"/>
          <w:color w:val="000000" w:themeColor="text1"/>
        </w:rPr>
        <w:t>.</w:t>
      </w:r>
      <w:r w:rsidRPr="0982479A" w:rsidR="76FC3013">
        <w:rPr>
          <w:rFonts w:ascii="Times New Roman" w:hAnsi="Times New Roman"/>
          <w:color w:val="000000" w:themeColor="text1"/>
        </w:rPr>
        <w:t xml:space="preserve"> </w:t>
      </w:r>
      <w:r w:rsidR="00046521">
        <w:rPr>
          <w:rFonts w:ascii="Times New Roman" w:hAnsi="Times New Roman"/>
          <w:color w:val="000000" w:themeColor="text1"/>
        </w:rPr>
        <w:t>D</w:t>
      </w:r>
      <w:r w:rsidRPr="39F5D985">
        <w:rPr>
          <w:rFonts w:ascii="Times New Roman" w:hAnsi="Times New Roman"/>
          <w:color w:val="000000" w:themeColor="text1"/>
        </w:rPr>
        <w:t xml:space="preserve">ata </w:t>
      </w:r>
      <w:r w:rsidR="00046521">
        <w:rPr>
          <w:rFonts w:ascii="Times New Roman" w:hAnsi="Times New Roman"/>
          <w:color w:val="000000" w:themeColor="text1"/>
        </w:rPr>
        <w:t xml:space="preserve">about these types of determinations </w:t>
      </w:r>
      <w:r w:rsidRPr="39F5D985" w:rsidR="002A262B">
        <w:rPr>
          <w:rFonts w:ascii="Times New Roman" w:hAnsi="Times New Roman"/>
          <w:color w:val="000000" w:themeColor="text1"/>
        </w:rPr>
        <w:t>are</w:t>
      </w:r>
      <w:r w:rsidRPr="39F5D985">
        <w:rPr>
          <w:rFonts w:ascii="Times New Roman" w:hAnsi="Times New Roman"/>
          <w:color w:val="000000" w:themeColor="text1"/>
        </w:rPr>
        <w:t xml:space="preserve"> a byproduct of the normal program operations.</w:t>
      </w:r>
      <w:r w:rsidRPr="39F5D985" w:rsidR="008D22C6">
        <w:rPr>
          <w:rFonts w:ascii="Times New Roman" w:hAnsi="Times New Roman"/>
          <w:color w:val="000000" w:themeColor="text1"/>
        </w:rPr>
        <w:t xml:space="preserve"> </w:t>
      </w:r>
      <w:r w:rsidR="00010981">
        <w:rPr>
          <w:rFonts w:ascii="Times New Roman" w:hAnsi="Times New Roman"/>
        </w:rPr>
        <w:t xml:space="preserve">The Department </w:t>
      </w:r>
      <w:r w:rsidR="00046521">
        <w:rPr>
          <w:rFonts w:ascii="Times New Roman" w:hAnsi="Times New Roman"/>
        </w:rPr>
        <w:t>proposes</w:t>
      </w:r>
      <w:r w:rsidR="00010981">
        <w:rPr>
          <w:rFonts w:ascii="Times New Roman" w:hAnsi="Times New Roman"/>
        </w:rPr>
        <w:t xml:space="preserve"> revis</w:t>
      </w:r>
      <w:r w:rsidR="00046521">
        <w:rPr>
          <w:rFonts w:ascii="Times New Roman" w:hAnsi="Times New Roman"/>
        </w:rPr>
        <w:t>ing</w:t>
      </w:r>
      <w:r w:rsidR="00010981">
        <w:rPr>
          <w:rFonts w:ascii="Times New Roman" w:hAnsi="Times New Roman"/>
        </w:rPr>
        <w:t xml:space="preserve"> the report to expand</w:t>
      </w:r>
      <w:r>
        <w:rPr>
          <w:rFonts w:ascii="Times New Roman" w:hAnsi="Times New Roman"/>
        </w:rPr>
        <w:t xml:space="preserve"> </w:t>
      </w:r>
      <w:r w:rsidR="00046521">
        <w:rPr>
          <w:rFonts w:ascii="Times New Roman" w:hAnsi="Times New Roman"/>
        </w:rPr>
        <w:t xml:space="preserve">reportable </w:t>
      </w:r>
      <w:r>
        <w:rPr>
          <w:rFonts w:ascii="Times New Roman" w:hAnsi="Times New Roman"/>
        </w:rPr>
        <w:t xml:space="preserve">issues; as well as </w:t>
      </w:r>
      <w:r w:rsidR="00046521">
        <w:rPr>
          <w:rFonts w:ascii="Times New Roman" w:hAnsi="Times New Roman"/>
        </w:rPr>
        <w:t xml:space="preserve">enhance the delineation of </w:t>
      </w:r>
      <w:r w:rsidR="00010981">
        <w:rPr>
          <w:rFonts w:ascii="Times New Roman" w:hAnsi="Times New Roman"/>
        </w:rPr>
        <w:t xml:space="preserve">existing data </w:t>
      </w:r>
      <w:r w:rsidR="00A70A38">
        <w:rPr>
          <w:rFonts w:ascii="Times New Roman" w:hAnsi="Times New Roman"/>
        </w:rPr>
        <w:t>to</w:t>
      </w:r>
      <w:r w:rsidR="00010981">
        <w:rPr>
          <w:rFonts w:ascii="Times New Roman" w:hAnsi="Times New Roman"/>
        </w:rPr>
        <w:t xml:space="preserve"> </w:t>
      </w:r>
      <w:r w:rsidR="00B036B3">
        <w:rPr>
          <w:rFonts w:ascii="Times New Roman" w:hAnsi="Times New Roman"/>
        </w:rPr>
        <w:t xml:space="preserve">better define and count </w:t>
      </w:r>
      <w:r w:rsidR="00AE1D25">
        <w:rPr>
          <w:rFonts w:ascii="Times New Roman" w:hAnsi="Times New Roman"/>
        </w:rPr>
        <w:t>specific types of</w:t>
      </w:r>
      <w:r w:rsidR="00B036B3">
        <w:rPr>
          <w:rFonts w:ascii="Times New Roman" w:hAnsi="Times New Roman"/>
        </w:rPr>
        <w:t xml:space="preserve"> </w:t>
      </w:r>
      <w:r w:rsidR="008353A6">
        <w:rPr>
          <w:rFonts w:ascii="Times New Roman" w:hAnsi="Times New Roman"/>
        </w:rPr>
        <w:t>determinations</w:t>
      </w:r>
      <w:r w:rsidR="00B036B3">
        <w:rPr>
          <w:rFonts w:ascii="Times New Roman" w:hAnsi="Times New Roman"/>
        </w:rPr>
        <w:t xml:space="preserve">, </w:t>
      </w:r>
      <w:r w:rsidR="00A70A38">
        <w:rPr>
          <w:rFonts w:ascii="Times New Roman" w:hAnsi="Times New Roman"/>
        </w:rPr>
        <w:t>currently reported in the “Other” category</w:t>
      </w:r>
      <w:r w:rsidR="009067F3">
        <w:rPr>
          <w:rFonts w:ascii="Times New Roman" w:hAnsi="Times New Roman"/>
        </w:rPr>
        <w:t xml:space="preserve">. </w:t>
      </w:r>
    </w:p>
    <w:p w:rsidR="00BC235A" w:rsidP="00BC235A" w14:paraId="4ECB7246" w14:textId="77777777">
      <w:pPr>
        <w:widowControl/>
        <w:tabs>
          <w:tab w:val="left" w:pos="-1440"/>
        </w:tabs>
        <w:jc w:val="both"/>
        <w:rPr>
          <w:rFonts w:ascii="Times New Roman" w:hAnsi="Times New Roman"/>
        </w:rPr>
      </w:pPr>
    </w:p>
    <w:p w:rsidR="008353A6" w:rsidP="008353A6" w14:paraId="7D28906E" w14:textId="54C38572">
      <w:pPr>
        <w:widowControl/>
        <w:jc w:val="both"/>
        <w:rPr>
          <w:rFonts w:ascii="Times New Roman" w:hAnsi="Times New Roman"/>
        </w:rPr>
      </w:pPr>
      <w:r>
        <w:rPr>
          <w:rFonts w:ascii="Times New Roman" w:hAnsi="Times New Roman"/>
        </w:rPr>
        <w:t>Social Security Act section 303(a)(6) authorizes this data collection</w:t>
      </w:r>
      <w:r w:rsidR="009067F3">
        <w:rPr>
          <w:rFonts w:ascii="Times New Roman" w:hAnsi="Times New Roman"/>
        </w:rPr>
        <w:t xml:space="preserve">. </w:t>
      </w:r>
      <w:r>
        <w:rPr>
          <w:rFonts w:ascii="Times New Roman" w:hAnsi="Times New Roman"/>
        </w:rPr>
        <w:t>Section 303(a)(1) of the Social Security Act (SSA) provides that state UC laws must have “methods of administration” that are “reasonably calculated” to ensure full payment of unemployment compensation “when due” in order to receive a UI administrative grant</w:t>
      </w:r>
      <w:r w:rsidR="009067F3">
        <w:rPr>
          <w:rFonts w:ascii="Times New Roman" w:hAnsi="Times New Roman"/>
        </w:rPr>
        <w:t xml:space="preserve">. </w:t>
      </w:r>
      <w:r>
        <w:rPr>
          <w:rFonts w:ascii="Times New Roman" w:hAnsi="Times New Roman"/>
        </w:rPr>
        <w:t xml:space="preserve">Section 303(a)(6) of the Social Security Act specifies that the Secretary of Labor will not certify </w:t>
      </w:r>
      <w:r w:rsidR="009F798F">
        <w:rPr>
          <w:rFonts w:ascii="Times New Roman" w:hAnsi="Times New Roman"/>
        </w:rPr>
        <w:t>s</w:t>
      </w:r>
      <w:r>
        <w:rPr>
          <w:rFonts w:ascii="Times New Roman" w:hAnsi="Times New Roman"/>
        </w:rPr>
        <w:t xml:space="preserve">tate unemployment compensation programs to receive administrative grants unless the </w:t>
      </w:r>
      <w:r w:rsidR="009F798F">
        <w:rPr>
          <w:rFonts w:ascii="Times New Roman" w:hAnsi="Times New Roman"/>
        </w:rPr>
        <w:t>s</w:t>
      </w:r>
      <w:r>
        <w:rPr>
          <w:rFonts w:ascii="Times New Roman" w:hAnsi="Times New Roman"/>
        </w:rPr>
        <w:t>tate’s law includes provision for</w:t>
      </w:r>
      <w:r w:rsidR="001A66C1">
        <w:rPr>
          <w:rFonts w:ascii="Times New Roman" w:hAnsi="Times New Roman"/>
        </w:rPr>
        <w:t>: “</w:t>
      </w:r>
      <w:r>
        <w:rPr>
          <w:rFonts w:ascii="Times New Roman" w:hAnsi="Times New Roman"/>
        </w:rPr>
        <w:t>...making of such reports...as the Secretary of Labor may from time to time require, and compliance with such provisions as the Secretary may from time to time find necessary to assure the correctness and verification of such reports.”</w:t>
      </w:r>
    </w:p>
    <w:p w:rsidR="008353A6" w:rsidP="00B37551" w14:paraId="7FED4022" w14:textId="77777777">
      <w:pPr>
        <w:widowControl/>
        <w:rPr>
          <w:rFonts w:ascii="Times New Roman" w:hAnsi="Times New Roman"/>
          <w:color w:val="000000"/>
        </w:rPr>
      </w:pPr>
    </w:p>
    <w:p w:rsidR="00E41381" w:rsidRPr="00287305" w:rsidP="00B37551" w14:paraId="57159C8A" w14:textId="48F1061A">
      <w:pPr>
        <w:widowControl/>
        <w:autoSpaceDE/>
        <w:autoSpaceDN/>
        <w:adjustRightInd/>
        <w:rPr>
          <w:rFonts w:ascii="Times New Roman" w:hAnsi="Times New Roman"/>
          <w:b/>
          <w:bCs/>
        </w:rPr>
      </w:pPr>
      <w:r w:rsidRPr="00287305">
        <w:rPr>
          <w:rFonts w:ascii="Times New Roman" w:hAnsi="Times New Roman"/>
          <w:b/>
          <w:bCs/>
        </w:rPr>
        <w:t xml:space="preserve">2. </w:t>
      </w:r>
      <w:r w:rsidRPr="00287305" w:rsidR="00A862DF">
        <w:rPr>
          <w:rFonts w:ascii="Times New Roman" w:hAnsi="Times New Roman"/>
          <w:b/>
          <w:bCs/>
        </w:rPr>
        <w:t>Indicate how, by whom, and for what purpose the information is to be used.</w:t>
      </w:r>
      <w:r w:rsidR="008D22C6">
        <w:rPr>
          <w:rFonts w:ascii="Times New Roman" w:hAnsi="Times New Roman"/>
          <w:b/>
          <w:bCs/>
        </w:rPr>
        <w:t xml:space="preserve"> </w:t>
      </w:r>
      <w:r w:rsidRPr="00287305" w:rsidR="00A862DF">
        <w:rPr>
          <w:rFonts w:ascii="Times New Roman" w:hAnsi="Times New Roman"/>
          <w:b/>
          <w:bCs/>
        </w:rPr>
        <w:t>Except for a new collection, indicate the actual use the agency has made of the information received from the current collection.</w:t>
      </w:r>
    </w:p>
    <w:p w:rsidR="00D23629" w:rsidRPr="0041425F" w:rsidP="00B37551" w14:paraId="7323329F" w14:textId="77777777">
      <w:pPr>
        <w:widowControl/>
        <w:tabs>
          <w:tab w:val="left" w:pos="-1440"/>
        </w:tabs>
        <w:rPr>
          <w:rFonts w:ascii="Times New Roman" w:hAnsi="Times New Roman"/>
          <w:color w:val="000000"/>
        </w:rPr>
      </w:pPr>
      <w:r>
        <w:rPr>
          <w:rFonts w:ascii="Times New Roman" w:hAnsi="Times New Roman"/>
          <w:color w:val="000000"/>
        </w:rPr>
        <w:t xml:space="preserve"> </w:t>
      </w:r>
    </w:p>
    <w:p w:rsidR="00BB7000" w:rsidP="00B37551" w14:paraId="2859EB75" w14:textId="004A810F">
      <w:pPr>
        <w:widowControl/>
        <w:tabs>
          <w:tab w:val="left" w:pos="-1440"/>
        </w:tabs>
        <w:rPr>
          <w:rFonts w:ascii="Times New Roman" w:hAnsi="Times New Roman"/>
          <w:color w:val="000000"/>
        </w:rPr>
      </w:pPr>
      <w:r w:rsidRPr="0041425F">
        <w:rPr>
          <w:rFonts w:ascii="Times New Roman" w:hAnsi="Times New Roman"/>
          <w:color w:val="000000"/>
        </w:rPr>
        <w:t xml:space="preserve">These data are used by </w:t>
      </w:r>
      <w:r w:rsidR="00046521">
        <w:rPr>
          <w:rFonts w:ascii="Times New Roman" w:hAnsi="Times New Roman"/>
          <w:color w:val="000000"/>
        </w:rPr>
        <w:t>ETA</w:t>
      </w:r>
      <w:r w:rsidRPr="0041425F">
        <w:rPr>
          <w:rFonts w:ascii="Times New Roman" w:hAnsi="Times New Roman"/>
          <w:color w:val="000000"/>
        </w:rPr>
        <w:t xml:space="preserve"> to determine workload counts, to enable </w:t>
      </w:r>
      <w:r w:rsidR="00046521">
        <w:rPr>
          <w:rFonts w:ascii="Times New Roman" w:hAnsi="Times New Roman"/>
          <w:color w:val="000000"/>
        </w:rPr>
        <w:t>ETA</w:t>
      </w:r>
      <w:r w:rsidRPr="0041425F">
        <w:rPr>
          <w:rFonts w:ascii="Times New Roman" w:hAnsi="Times New Roman"/>
          <w:color w:val="000000"/>
        </w:rPr>
        <w:t xml:space="preserve"> to evaluate the adequacy and effectiveness of adjudication determination procedures, and to evaluate the impact of state and Federal legislation with respect to disqualifications</w:t>
      </w:r>
      <w:r w:rsidR="009067F3">
        <w:rPr>
          <w:rFonts w:ascii="Times New Roman" w:hAnsi="Times New Roman"/>
          <w:color w:val="000000"/>
        </w:rPr>
        <w:t xml:space="preserve">. </w:t>
      </w:r>
      <w:r w:rsidRPr="0041425F">
        <w:rPr>
          <w:rFonts w:ascii="Times New Roman" w:hAnsi="Times New Roman"/>
          <w:color w:val="000000"/>
        </w:rPr>
        <w:t>They are also used for general statistical purposes</w:t>
      </w:r>
      <w:r w:rsidR="009067F3">
        <w:rPr>
          <w:rFonts w:ascii="Times New Roman" w:hAnsi="Times New Roman"/>
          <w:color w:val="000000"/>
        </w:rPr>
        <w:t xml:space="preserve">. </w:t>
      </w:r>
      <w:r w:rsidR="004460B0">
        <w:rPr>
          <w:rFonts w:ascii="Times New Roman" w:hAnsi="Times New Roman"/>
          <w:color w:val="000000"/>
        </w:rPr>
        <w:t>For instance, t</w:t>
      </w:r>
      <w:r w:rsidR="00F768CD">
        <w:rPr>
          <w:rFonts w:ascii="Times New Roman" w:hAnsi="Times New Roman"/>
          <w:color w:val="000000"/>
        </w:rPr>
        <w:t xml:space="preserve">hese data </w:t>
      </w:r>
      <w:r w:rsidR="004460B0">
        <w:rPr>
          <w:rFonts w:ascii="Times New Roman" w:hAnsi="Times New Roman"/>
          <w:color w:val="000000"/>
        </w:rPr>
        <w:t>are</w:t>
      </w:r>
      <w:r w:rsidR="00F768CD">
        <w:rPr>
          <w:rFonts w:ascii="Times New Roman" w:hAnsi="Times New Roman"/>
          <w:color w:val="000000"/>
        </w:rPr>
        <w:t xml:space="preserve"> used to</w:t>
      </w:r>
      <w:r w:rsidR="00BA5BA6">
        <w:rPr>
          <w:rFonts w:ascii="Times New Roman" w:hAnsi="Times New Roman"/>
          <w:color w:val="000000"/>
        </w:rPr>
        <w:t xml:space="preserve"> compute ratios of nonmonetary determinations resulting in disqualific</w:t>
      </w:r>
      <w:r w:rsidR="004460B0">
        <w:rPr>
          <w:rFonts w:ascii="Times New Roman" w:hAnsi="Times New Roman"/>
          <w:color w:val="000000"/>
        </w:rPr>
        <w:t>ations, as well as measures reflecting the distributions of nonmonetary determinations by the eligibility issues involved</w:t>
      </w:r>
      <w:r w:rsidR="00F768CD">
        <w:rPr>
          <w:rFonts w:ascii="Times New Roman" w:hAnsi="Times New Roman"/>
          <w:color w:val="000000"/>
        </w:rPr>
        <w:t>.</w:t>
      </w:r>
      <w:r w:rsidR="008D22C6">
        <w:rPr>
          <w:rFonts w:ascii="Times New Roman" w:hAnsi="Times New Roman"/>
          <w:color w:val="000000"/>
        </w:rPr>
        <w:t xml:space="preserve"> </w:t>
      </w:r>
      <w:r w:rsidRPr="0041425F">
        <w:rPr>
          <w:rFonts w:ascii="Times New Roman" w:hAnsi="Times New Roman"/>
          <w:color w:val="000000"/>
        </w:rPr>
        <w:t xml:space="preserve">No similar data </w:t>
      </w:r>
      <w:r w:rsidRPr="0041425F" w:rsidR="00E856D1">
        <w:rPr>
          <w:rFonts w:ascii="Times New Roman" w:hAnsi="Times New Roman"/>
          <w:color w:val="000000"/>
        </w:rPr>
        <w:t>is</w:t>
      </w:r>
      <w:r w:rsidRPr="0041425F">
        <w:rPr>
          <w:rFonts w:ascii="Times New Roman" w:hAnsi="Times New Roman"/>
          <w:color w:val="000000"/>
        </w:rPr>
        <w:t xml:space="preserve"> available from other sources.</w:t>
      </w:r>
    </w:p>
    <w:p w:rsidR="00D23629" w:rsidRPr="0041425F" w:rsidP="00B37551" w14:paraId="1CAABE59" w14:textId="77777777">
      <w:pPr>
        <w:widowControl/>
        <w:tabs>
          <w:tab w:val="left" w:pos="-1440"/>
        </w:tabs>
        <w:rPr>
          <w:rFonts w:ascii="Times New Roman" w:hAnsi="Times New Roman"/>
          <w:color w:val="000000"/>
        </w:rPr>
      </w:pPr>
    </w:p>
    <w:p w:rsidR="004B2E58" w:rsidP="00B37551" w14:paraId="5D5523D0" w14:textId="224CA969">
      <w:pPr>
        <w:widowControl/>
        <w:tabs>
          <w:tab w:val="left" w:pos="-1440"/>
        </w:tabs>
        <w:rPr>
          <w:rFonts w:ascii="Times New Roman" w:hAnsi="Times New Roman"/>
          <w:color w:val="000000"/>
        </w:rPr>
      </w:pPr>
      <w:r w:rsidRPr="0041425F">
        <w:rPr>
          <w:rFonts w:ascii="Times New Roman" w:hAnsi="Times New Roman"/>
          <w:color w:val="000000"/>
        </w:rPr>
        <w:t>Workload counts are an input for funding states for administrative costs.</w:t>
      </w:r>
      <w:r w:rsidR="008D22C6">
        <w:rPr>
          <w:rFonts w:ascii="Times New Roman" w:hAnsi="Times New Roman"/>
          <w:color w:val="000000"/>
        </w:rPr>
        <w:t xml:space="preserve"> </w:t>
      </w:r>
      <w:r w:rsidRPr="0041425F">
        <w:rPr>
          <w:rFonts w:ascii="Times New Roman" w:hAnsi="Times New Roman"/>
          <w:color w:val="000000"/>
        </w:rPr>
        <w:t xml:space="preserve">Comparative figures among states give </w:t>
      </w:r>
      <w:r w:rsidR="00046521">
        <w:rPr>
          <w:rFonts w:ascii="Times New Roman" w:hAnsi="Times New Roman"/>
          <w:color w:val="000000"/>
        </w:rPr>
        <w:t>ETA</w:t>
      </w:r>
      <w:r w:rsidRPr="0041425F">
        <w:rPr>
          <w:rFonts w:ascii="Times New Roman" w:hAnsi="Times New Roman"/>
          <w:color w:val="000000"/>
        </w:rPr>
        <w:t xml:space="preserve"> information about </w:t>
      </w:r>
      <w:r w:rsidRPr="0041425F" w:rsidR="007934DB">
        <w:rPr>
          <w:rFonts w:ascii="Times New Roman" w:hAnsi="Times New Roman"/>
          <w:color w:val="000000"/>
        </w:rPr>
        <w:t>the effectiveness of</w:t>
      </w:r>
      <w:r w:rsidRPr="0041425F">
        <w:rPr>
          <w:rFonts w:ascii="Times New Roman" w:hAnsi="Times New Roman"/>
          <w:color w:val="000000"/>
        </w:rPr>
        <w:t xml:space="preserve"> the various state provisions and or administrative procedures in carrying out the program.</w:t>
      </w:r>
      <w:r w:rsidR="008D22C6">
        <w:rPr>
          <w:rFonts w:ascii="Times New Roman" w:hAnsi="Times New Roman"/>
          <w:color w:val="000000"/>
        </w:rPr>
        <w:t xml:space="preserve"> </w:t>
      </w:r>
      <w:r w:rsidRPr="0041425F">
        <w:rPr>
          <w:rFonts w:ascii="Times New Roman" w:hAnsi="Times New Roman"/>
          <w:color w:val="000000"/>
        </w:rPr>
        <w:t xml:space="preserve">Combined with information from </w:t>
      </w:r>
      <w:r w:rsidR="00BC6F88">
        <w:rPr>
          <w:rFonts w:ascii="Times New Roman" w:hAnsi="Times New Roman"/>
          <w:color w:val="000000"/>
        </w:rPr>
        <w:t xml:space="preserve">other reports, such as </w:t>
      </w:r>
      <w:r w:rsidRPr="0041425F">
        <w:rPr>
          <w:rFonts w:ascii="Times New Roman" w:hAnsi="Times New Roman"/>
          <w:color w:val="000000"/>
        </w:rPr>
        <w:t xml:space="preserve">the ETA 5130 (OMB No. 1205-0172) and the ETA 227 (OMB </w:t>
      </w:r>
      <w:r w:rsidR="00F4322A">
        <w:rPr>
          <w:rFonts w:ascii="Times New Roman" w:hAnsi="Times New Roman"/>
          <w:color w:val="000000"/>
        </w:rPr>
        <w:t xml:space="preserve">Control </w:t>
      </w:r>
      <w:r w:rsidRPr="0041425F">
        <w:rPr>
          <w:rFonts w:ascii="Times New Roman" w:hAnsi="Times New Roman"/>
          <w:color w:val="000000"/>
        </w:rPr>
        <w:t>No. 1205-</w:t>
      </w:r>
      <w:r w:rsidRPr="0041425F" w:rsidR="000E6A24">
        <w:rPr>
          <w:rFonts w:ascii="Times New Roman" w:hAnsi="Times New Roman"/>
          <w:color w:val="000000"/>
        </w:rPr>
        <w:t>01</w:t>
      </w:r>
      <w:r w:rsidR="000E6A24">
        <w:rPr>
          <w:rFonts w:ascii="Times New Roman" w:hAnsi="Times New Roman"/>
          <w:color w:val="000000"/>
        </w:rPr>
        <w:t>87</w:t>
      </w:r>
      <w:r w:rsidRPr="0041425F">
        <w:rPr>
          <w:rFonts w:ascii="Times New Roman" w:hAnsi="Times New Roman"/>
          <w:color w:val="000000"/>
        </w:rPr>
        <w:t xml:space="preserve">), individual state programs and legal provisions can be evaluated </w:t>
      </w:r>
      <w:r w:rsidR="00046521">
        <w:rPr>
          <w:rFonts w:ascii="Times New Roman" w:hAnsi="Times New Roman"/>
          <w:color w:val="000000"/>
        </w:rPr>
        <w:t>for</w:t>
      </w:r>
      <w:r w:rsidRPr="0041425F">
        <w:rPr>
          <w:rFonts w:ascii="Times New Roman" w:hAnsi="Times New Roman"/>
          <w:color w:val="000000"/>
        </w:rPr>
        <w:t xml:space="preserve"> effectiveness.</w:t>
      </w:r>
    </w:p>
    <w:p w:rsidR="008353A6" w:rsidP="00B37551" w14:paraId="4E976FB4" w14:textId="77777777">
      <w:pPr>
        <w:widowControl/>
        <w:tabs>
          <w:tab w:val="left" w:pos="-1440"/>
        </w:tabs>
        <w:rPr>
          <w:rFonts w:ascii="Times New Roman" w:hAnsi="Times New Roman"/>
          <w:color w:val="000000"/>
        </w:rPr>
      </w:pPr>
    </w:p>
    <w:p w:rsidR="004B2E58" w:rsidRPr="0041425F" w:rsidP="00B37551" w14:paraId="442B3A35" w14:textId="2C717428">
      <w:pPr>
        <w:widowControl/>
        <w:rPr>
          <w:rFonts w:ascii="Times New Roman" w:hAnsi="Times New Roman"/>
          <w:color w:val="000000"/>
        </w:rPr>
      </w:pPr>
      <w:r w:rsidRPr="0041425F">
        <w:rPr>
          <w:rFonts w:ascii="Times New Roman" w:hAnsi="Times New Roman"/>
          <w:color w:val="000000"/>
        </w:rPr>
        <w:t>Without this information</w:t>
      </w:r>
      <w:r w:rsidRPr="0041425F" w:rsidR="00FC02F6">
        <w:rPr>
          <w:rFonts w:ascii="Times New Roman" w:hAnsi="Times New Roman"/>
          <w:color w:val="000000"/>
        </w:rPr>
        <w:t>,</w:t>
      </w:r>
      <w:r w:rsidRPr="0041425F">
        <w:rPr>
          <w:rFonts w:ascii="Times New Roman" w:hAnsi="Times New Roman"/>
          <w:color w:val="000000"/>
        </w:rPr>
        <w:t xml:space="preserve"> </w:t>
      </w:r>
      <w:r w:rsidR="00046521">
        <w:rPr>
          <w:rFonts w:ascii="Times New Roman" w:hAnsi="Times New Roman"/>
          <w:color w:val="000000"/>
        </w:rPr>
        <w:t>ETA</w:t>
      </w:r>
      <w:r w:rsidRPr="0041425F">
        <w:rPr>
          <w:rFonts w:ascii="Times New Roman" w:hAnsi="Times New Roman"/>
          <w:color w:val="000000"/>
        </w:rPr>
        <w:t xml:space="preserve"> would not be able to evaluate state performance in the </w:t>
      </w:r>
      <w:r w:rsidR="00046521">
        <w:rPr>
          <w:rFonts w:ascii="Times New Roman" w:hAnsi="Times New Roman"/>
          <w:color w:val="000000"/>
        </w:rPr>
        <w:t xml:space="preserve">UI </w:t>
      </w:r>
      <w:r w:rsidRPr="0041425F">
        <w:rPr>
          <w:rFonts w:ascii="Times New Roman" w:hAnsi="Times New Roman"/>
          <w:color w:val="000000"/>
        </w:rPr>
        <w:t xml:space="preserve">adjudication area on an ongoing </w:t>
      </w:r>
      <w:r w:rsidRPr="0041425F" w:rsidR="0011058B">
        <w:rPr>
          <w:rFonts w:ascii="Times New Roman" w:hAnsi="Times New Roman"/>
          <w:color w:val="000000"/>
        </w:rPr>
        <w:t>basis,</w:t>
      </w:r>
      <w:r w:rsidRPr="0041425F">
        <w:rPr>
          <w:rFonts w:ascii="Times New Roman" w:hAnsi="Times New Roman"/>
          <w:color w:val="000000"/>
        </w:rPr>
        <w:t xml:space="preserve"> and it would not ha</w:t>
      </w:r>
      <w:r w:rsidR="00617EC4">
        <w:rPr>
          <w:rFonts w:ascii="Times New Roman" w:hAnsi="Times New Roman"/>
          <w:color w:val="000000"/>
        </w:rPr>
        <w:t xml:space="preserve">ve one of the key inputs to the </w:t>
      </w:r>
      <w:r w:rsidRPr="0041425F">
        <w:rPr>
          <w:rFonts w:ascii="Times New Roman" w:hAnsi="Times New Roman"/>
          <w:color w:val="000000"/>
        </w:rPr>
        <w:t>administrative funding process.</w:t>
      </w:r>
    </w:p>
    <w:p w:rsidR="00630C56" w:rsidRPr="0041425F" w:rsidP="00B37551" w14:paraId="4964E8C8" w14:textId="77777777">
      <w:pPr>
        <w:widowControl/>
        <w:rPr>
          <w:rFonts w:ascii="Times New Roman" w:hAnsi="Times New Roman"/>
          <w:color w:val="000000"/>
        </w:rPr>
      </w:pPr>
    </w:p>
    <w:p w:rsidR="00E41381" w:rsidRPr="00287305" w:rsidP="00B37551" w14:paraId="3F431F37" w14:textId="691303EC">
      <w:pPr>
        <w:widowControl/>
        <w:autoSpaceDE/>
        <w:autoSpaceDN/>
        <w:adjustRightInd/>
        <w:rPr>
          <w:rFonts w:ascii="Times New Roman" w:hAnsi="Times New Roman"/>
          <w:b/>
          <w:bCs/>
        </w:rPr>
      </w:pPr>
      <w:r w:rsidRPr="00287305">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D22C6">
        <w:rPr>
          <w:rFonts w:ascii="Times New Roman" w:hAnsi="Times New Roman"/>
          <w:b/>
          <w:bCs/>
        </w:rPr>
        <w:t xml:space="preserve"> </w:t>
      </w:r>
      <w:r w:rsidRPr="00287305">
        <w:rPr>
          <w:rFonts w:ascii="Times New Roman" w:hAnsi="Times New Roman"/>
          <w:b/>
          <w:bCs/>
        </w:rPr>
        <w:t>Also describe any consideration of using information technology to reduce burden.</w:t>
      </w:r>
    </w:p>
    <w:p w:rsidR="00DA7A30" w:rsidRPr="0041425F" w:rsidP="00B37551" w14:paraId="0D1163AA" w14:textId="77777777">
      <w:pPr>
        <w:widowControl/>
        <w:rPr>
          <w:rFonts w:ascii="Times New Roman" w:hAnsi="Times New Roman"/>
          <w:color w:val="000000"/>
        </w:rPr>
      </w:pPr>
    </w:p>
    <w:p w:rsidR="004B2E58" w:rsidRPr="0041425F" w:rsidP="00B37551" w14:paraId="6F292CB3" w14:textId="46F50048">
      <w:pPr>
        <w:widowControl/>
        <w:rPr>
          <w:rFonts w:ascii="Times New Roman" w:hAnsi="Times New Roman"/>
          <w:color w:val="000000"/>
        </w:rPr>
      </w:pPr>
      <w:r w:rsidRPr="0041425F">
        <w:rPr>
          <w:rFonts w:ascii="Times New Roman" w:hAnsi="Times New Roman"/>
          <w:color w:val="000000"/>
        </w:rPr>
        <w:t>As with most UI reports, the ETA 207 is a part of an electronic reporting system through which State Workforce Agencies</w:t>
      </w:r>
      <w:r w:rsidR="00255F02">
        <w:rPr>
          <w:rFonts w:ascii="Times New Roman" w:hAnsi="Times New Roman"/>
          <w:color w:val="000000"/>
        </w:rPr>
        <w:t xml:space="preserve"> (SWA)</w:t>
      </w:r>
      <w:r w:rsidRPr="0041425F">
        <w:rPr>
          <w:rFonts w:ascii="Times New Roman" w:hAnsi="Times New Roman"/>
          <w:color w:val="000000"/>
        </w:rPr>
        <w:t xml:space="preserve"> enter and transmit data to </w:t>
      </w:r>
      <w:r w:rsidR="00046521">
        <w:rPr>
          <w:rFonts w:ascii="Times New Roman" w:hAnsi="Times New Roman"/>
          <w:color w:val="000000"/>
        </w:rPr>
        <w:t>ETA</w:t>
      </w:r>
      <w:r w:rsidRPr="0041425F">
        <w:rPr>
          <w:rFonts w:ascii="Times New Roman" w:hAnsi="Times New Roman"/>
          <w:color w:val="000000"/>
        </w:rPr>
        <w:t>.</w:t>
      </w:r>
      <w:r w:rsidR="008D22C6">
        <w:rPr>
          <w:rFonts w:ascii="Times New Roman" w:hAnsi="Times New Roman"/>
          <w:color w:val="000000"/>
        </w:rPr>
        <w:t xml:space="preserve"> </w:t>
      </w:r>
      <w:r w:rsidRPr="0041425F">
        <w:rPr>
          <w:rFonts w:ascii="Times New Roman" w:hAnsi="Times New Roman"/>
          <w:color w:val="000000"/>
        </w:rPr>
        <w:t>States have the option of creating a file on</w:t>
      </w:r>
      <w:r w:rsidRPr="0041425F" w:rsidR="00B831F1">
        <w:rPr>
          <w:rFonts w:ascii="Times New Roman" w:hAnsi="Times New Roman"/>
          <w:color w:val="000000"/>
        </w:rPr>
        <w:t xml:space="preserve"> </w:t>
      </w:r>
      <w:r w:rsidRPr="0041425F">
        <w:rPr>
          <w:rFonts w:ascii="Times New Roman" w:hAnsi="Times New Roman"/>
          <w:color w:val="000000"/>
        </w:rPr>
        <w:t>their own computer system and uploading it to the UI system to eliminate hand keying and the potential for errors that go along with it.</w:t>
      </w:r>
    </w:p>
    <w:p w:rsidR="00630C56" w:rsidRPr="00287305" w:rsidP="00B37551" w14:paraId="19A4B4DC" w14:textId="77777777">
      <w:pPr>
        <w:widowControl/>
        <w:tabs>
          <w:tab w:val="left" w:pos="-1440"/>
        </w:tabs>
        <w:ind w:left="720" w:hanging="720"/>
        <w:rPr>
          <w:rFonts w:ascii="Times New Roman" w:hAnsi="Times New Roman"/>
          <w:b/>
          <w:bCs/>
        </w:rPr>
      </w:pPr>
    </w:p>
    <w:p w:rsidR="00E41381" w:rsidRPr="00287305" w:rsidP="00B37551" w14:paraId="5EBB09B4" w14:textId="6D7BC677">
      <w:pPr>
        <w:widowControl/>
        <w:autoSpaceDE/>
        <w:autoSpaceDN/>
        <w:adjustRightInd/>
        <w:rPr>
          <w:rFonts w:ascii="Times New Roman" w:hAnsi="Times New Roman"/>
          <w:b/>
          <w:bCs/>
        </w:rPr>
      </w:pPr>
      <w:r w:rsidRPr="00287305">
        <w:rPr>
          <w:rFonts w:ascii="Times New Roman" w:hAnsi="Times New Roman"/>
          <w:b/>
          <w:bCs/>
        </w:rPr>
        <w:t>4. Describe efforts to identify duplication.</w:t>
      </w:r>
      <w:r w:rsidR="008D22C6">
        <w:rPr>
          <w:rFonts w:ascii="Times New Roman" w:hAnsi="Times New Roman"/>
          <w:b/>
          <w:bCs/>
        </w:rPr>
        <w:t xml:space="preserve"> </w:t>
      </w:r>
      <w:r w:rsidRPr="00287305">
        <w:rPr>
          <w:rFonts w:ascii="Times New Roman" w:hAnsi="Times New Roman"/>
          <w:b/>
          <w:bCs/>
        </w:rPr>
        <w:t>Show specifically why any similar information already available cannot be used or modified for use for the purposes described in Item 2 above.</w:t>
      </w:r>
    </w:p>
    <w:p w:rsidR="00C50239" w:rsidRPr="00287305" w:rsidP="00B37551" w14:paraId="4870178E" w14:textId="77777777">
      <w:pPr>
        <w:widowControl/>
        <w:tabs>
          <w:tab w:val="left" w:pos="-1440"/>
        </w:tabs>
        <w:rPr>
          <w:rFonts w:ascii="Times New Roman" w:hAnsi="Times New Roman"/>
          <w:b/>
          <w:bCs/>
        </w:rPr>
      </w:pPr>
    </w:p>
    <w:p w:rsidR="00630C56" w:rsidRPr="0041425F" w:rsidP="00B37551" w14:paraId="0F448246" w14:textId="0A81E0F5">
      <w:pPr>
        <w:widowControl/>
        <w:tabs>
          <w:tab w:val="left" w:pos="-1440"/>
        </w:tabs>
        <w:rPr>
          <w:rFonts w:ascii="Times New Roman" w:hAnsi="Times New Roman"/>
          <w:color w:val="000000"/>
        </w:rPr>
      </w:pPr>
      <w:r w:rsidRPr="0041425F">
        <w:rPr>
          <w:rFonts w:ascii="Times New Roman" w:hAnsi="Times New Roman"/>
          <w:color w:val="000000"/>
        </w:rPr>
        <w:t xml:space="preserve">There is no other source for </w:t>
      </w:r>
      <w:r w:rsidR="0011058B">
        <w:rPr>
          <w:rFonts w:ascii="Times New Roman" w:hAnsi="Times New Roman"/>
          <w:color w:val="000000"/>
        </w:rPr>
        <w:t xml:space="preserve">specific </w:t>
      </w:r>
      <w:r w:rsidR="00900153">
        <w:rPr>
          <w:rFonts w:ascii="Times New Roman" w:hAnsi="Times New Roman"/>
          <w:color w:val="000000"/>
        </w:rPr>
        <w:t>nonmonetary</w:t>
      </w:r>
      <w:r w:rsidRPr="0041425F">
        <w:rPr>
          <w:rFonts w:ascii="Times New Roman" w:hAnsi="Times New Roman"/>
          <w:color w:val="000000"/>
        </w:rPr>
        <w:t xml:space="preserve"> </w:t>
      </w:r>
      <w:r w:rsidR="0011058B">
        <w:rPr>
          <w:rFonts w:ascii="Times New Roman" w:hAnsi="Times New Roman"/>
          <w:color w:val="000000"/>
        </w:rPr>
        <w:t xml:space="preserve">determinations </w:t>
      </w:r>
      <w:r w:rsidRPr="0041425F">
        <w:rPr>
          <w:rFonts w:ascii="Times New Roman" w:hAnsi="Times New Roman"/>
          <w:color w:val="000000"/>
        </w:rPr>
        <w:t>information</w:t>
      </w:r>
      <w:r w:rsidR="0011058B">
        <w:rPr>
          <w:rFonts w:ascii="Times New Roman" w:hAnsi="Times New Roman"/>
          <w:color w:val="000000"/>
        </w:rPr>
        <w:t xml:space="preserve"> other than this report.</w:t>
      </w:r>
    </w:p>
    <w:p w:rsidR="00630C56" w:rsidRPr="00287305" w:rsidP="00B37551" w14:paraId="5246692E" w14:textId="77777777">
      <w:pPr>
        <w:widowControl/>
        <w:rPr>
          <w:rFonts w:ascii="Times New Roman" w:hAnsi="Times New Roman"/>
          <w:b/>
          <w:bCs/>
        </w:rPr>
      </w:pPr>
    </w:p>
    <w:p w:rsidR="00C50239" w:rsidRPr="00287305" w:rsidP="00B37551" w14:paraId="723DFAED" w14:textId="77777777">
      <w:pPr>
        <w:pStyle w:val="Style1"/>
        <w:spacing w:after="0" w:line="240" w:lineRule="auto"/>
        <w:rPr>
          <w:b/>
          <w:bCs/>
          <w:color w:val="auto"/>
          <w:sz w:val="24"/>
          <w:szCs w:val="24"/>
        </w:rPr>
      </w:pPr>
      <w:r w:rsidRPr="00287305">
        <w:rPr>
          <w:b/>
          <w:bCs/>
          <w:color w:val="auto"/>
          <w:sz w:val="24"/>
          <w:szCs w:val="24"/>
        </w:rPr>
        <w:t xml:space="preserve">5. </w:t>
      </w:r>
      <w:r w:rsidRPr="00287305" w:rsidR="00E41381">
        <w:rPr>
          <w:b/>
          <w:bCs/>
          <w:color w:val="auto"/>
          <w:sz w:val="24"/>
          <w:szCs w:val="24"/>
        </w:rPr>
        <w:t>If the collection of information impacts small businesses or other small entities, describe any methods used to minimize burden.</w:t>
      </w:r>
    </w:p>
    <w:p w:rsidR="006A7A00" w:rsidRPr="00287305" w:rsidP="00B37551" w14:paraId="4ED0418B" w14:textId="77777777">
      <w:pPr>
        <w:pStyle w:val="Style1"/>
        <w:spacing w:after="0" w:line="240" w:lineRule="auto"/>
        <w:rPr>
          <w:b/>
          <w:bCs/>
          <w:color w:val="auto"/>
          <w:sz w:val="24"/>
          <w:szCs w:val="24"/>
        </w:rPr>
      </w:pPr>
    </w:p>
    <w:p w:rsidR="00630C56" w:rsidP="00B37551" w14:paraId="1967545C" w14:textId="3F7CE46F">
      <w:pPr>
        <w:widowControl/>
        <w:rPr>
          <w:rFonts w:ascii="Times New Roman" w:hAnsi="Times New Roman"/>
        </w:rPr>
      </w:pPr>
      <w:r>
        <w:rPr>
          <w:rFonts w:ascii="Times New Roman" w:hAnsi="Times New Roman"/>
        </w:rPr>
        <w:t>There is no impact on small businesses or entities.</w:t>
      </w:r>
    </w:p>
    <w:p w:rsidR="00900153" w:rsidRPr="0041425F" w:rsidP="00B37551" w14:paraId="0DBC8DD7" w14:textId="77777777">
      <w:pPr>
        <w:widowControl/>
        <w:rPr>
          <w:rFonts w:ascii="Times New Roman" w:hAnsi="Times New Roman"/>
          <w:color w:val="000000"/>
        </w:rPr>
      </w:pPr>
    </w:p>
    <w:p w:rsidR="00ED0F39" w:rsidRPr="00287305" w:rsidP="00B37551" w14:paraId="2C1C1EB8" w14:textId="77777777">
      <w:pPr>
        <w:pStyle w:val="Style1"/>
        <w:spacing w:after="0" w:line="240" w:lineRule="auto"/>
        <w:rPr>
          <w:b/>
          <w:bCs/>
          <w:color w:val="auto"/>
          <w:sz w:val="24"/>
          <w:szCs w:val="24"/>
        </w:rPr>
      </w:pPr>
      <w:r w:rsidRPr="00287305">
        <w:rPr>
          <w:b/>
          <w:bCs/>
          <w:color w:val="auto"/>
          <w:sz w:val="24"/>
          <w:szCs w:val="24"/>
        </w:rPr>
        <w:t xml:space="preserve">6. </w:t>
      </w:r>
      <w:r w:rsidRPr="00287305" w:rsidR="00E41381">
        <w:rPr>
          <w:b/>
          <w:bCs/>
          <w:color w:val="auto"/>
          <w:sz w:val="24"/>
          <w:szCs w:val="24"/>
        </w:rPr>
        <w:t>Describe the consequence to Federal program or policy activities if the collection is not conducted or is conducted less frequently, as well as any technical or legal obstacles to reducing burden.</w:t>
      </w:r>
    </w:p>
    <w:p w:rsidR="00B37551" w:rsidRPr="00287305" w:rsidP="00B37551" w14:paraId="4DD355C1" w14:textId="77777777">
      <w:pPr>
        <w:pStyle w:val="Style1"/>
        <w:spacing w:after="0" w:line="240" w:lineRule="auto"/>
        <w:rPr>
          <w:b/>
          <w:bCs/>
          <w:color w:val="auto"/>
          <w:sz w:val="24"/>
          <w:szCs w:val="24"/>
        </w:rPr>
      </w:pPr>
    </w:p>
    <w:p w:rsidR="00630C56" w:rsidP="00B37551" w14:paraId="3F8DAFF2" w14:textId="409477E1">
      <w:pPr>
        <w:pStyle w:val="Quick1"/>
        <w:widowControl/>
        <w:numPr>
          <w:ilvl w:val="0"/>
          <w:numId w:val="0"/>
        </w:numPr>
        <w:rPr>
          <w:rFonts w:ascii="Times New Roman" w:hAnsi="Times New Roman"/>
          <w:color w:val="000000"/>
        </w:rPr>
      </w:pPr>
      <w:r w:rsidRPr="00CD6E80">
        <w:rPr>
          <w:rFonts w:ascii="Times New Roman" w:hAnsi="Times New Roman"/>
          <w:color w:val="000000" w:themeColor="text1"/>
        </w:rPr>
        <w:t xml:space="preserve">Sec. 303(a)(6) of the SSA requires states to provide reports ‘from time to time’ containing such information to </w:t>
      </w:r>
      <w:r w:rsidRPr="00CD6E80" w:rsidR="00E856D1">
        <w:rPr>
          <w:rFonts w:ascii="Times New Roman" w:hAnsi="Times New Roman"/>
          <w:color w:val="000000" w:themeColor="text1"/>
        </w:rPr>
        <w:t>ensure</w:t>
      </w:r>
      <w:r w:rsidRPr="00CD6E80">
        <w:rPr>
          <w:rFonts w:ascii="Times New Roman" w:hAnsi="Times New Roman"/>
          <w:color w:val="000000" w:themeColor="text1"/>
        </w:rPr>
        <w:t xml:space="preserve"> compliance with federal provisions as the Secretary of Labor finds necessary.</w:t>
      </w:r>
      <w:r w:rsidRPr="19B56054">
        <w:rPr>
          <w:rFonts w:ascii="Times New Roman" w:hAnsi="Times New Roman"/>
          <w:color w:val="000000" w:themeColor="text1"/>
        </w:rPr>
        <w:t xml:space="preserve"> </w:t>
      </w:r>
      <w:r w:rsidRPr="19B56054" w:rsidR="00006C8A">
        <w:rPr>
          <w:rFonts w:ascii="Times New Roman" w:hAnsi="Times New Roman"/>
          <w:color w:val="000000" w:themeColor="text1"/>
        </w:rPr>
        <w:t>Less frequently than a quarterly collection would mean less ability</w:t>
      </w:r>
      <w:r w:rsidRPr="19B56054" w:rsidR="00ED0F39">
        <w:rPr>
          <w:rFonts w:ascii="Times New Roman" w:hAnsi="Times New Roman"/>
          <w:color w:val="000000" w:themeColor="text1"/>
        </w:rPr>
        <w:t xml:space="preserve"> </w:t>
      </w:r>
      <w:r w:rsidRPr="19B56054" w:rsidR="00F4322A">
        <w:rPr>
          <w:rFonts w:ascii="Times New Roman" w:hAnsi="Times New Roman"/>
          <w:color w:val="000000" w:themeColor="text1"/>
        </w:rPr>
        <w:t xml:space="preserve">for the Department </w:t>
      </w:r>
      <w:r w:rsidRPr="19B56054" w:rsidR="00ED0F39">
        <w:rPr>
          <w:rFonts w:ascii="Times New Roman" w:hAnsi="Times New Roman"/>
          <w:color w:val="000000" w:themeColor="text1"/>
        </w:rPr>
        <w:t>to track impact of legislation</w:t>
      </w:r>
      <w:r w:rsidRPr="19B56054" w:rsidR="00C61D49">
        <w:rPr>
          <w:rFonts w:ascii="Times New Roman" w:hAnsi="Times New Roman"/>
          <w:color w:val="000000" w:themeColor="text1"/>
        </w:rPr>
        <w:t xml:space="preserve"> </w:t>
      </w:r>
      <w:r w:rsidRPr="19B56054" w:rsidR="00006C8A">
        <w:rPr>
          <w:rFonts w:ascii="Times New Roman" w:hAnsi="Times New Roman"/>
          <w:color w:val="000000" w:themeColor="text1"/>
        </w:rPr>
        <w:t xml:space="preserve">and less ability to track patterns of </w:t>
      </w:r>
      <w:r w:rsidRPr="19B56054" w:rsidR="00DA28B5">
        <w:rPr>
          <w:rFonts w:ascii="Times New Roman" w:hAnsi="Times New Roman"/>
          <w:color w:val="000000" w:themeColor="text1"/>
        </w:rPr>
        <w:t>nonmonetary</w:t>
      </w:r>
      <w:r w:rsidRPr="19B56054" w:rsidR="00006C8A">
        <w:rPr>
          <w:rFonts w:ascii="Times New Roman" w:hAnsi="Times New Roman"/>
          <w:color w:val="000000" w:themeColor="text1"/>
        </w:rPr>
        <w:t xml:space="preserve"> </w:t>
      </w:r>
      <w:r w:rsidR="00AE1D25">
        <w:rPr>
          <w:rFonts w:ascii="Times New Roman" w:hAnsi="Times New Roman"/>
          <w:color w:val="000000" w:themeColor="text1"/>
        </w:rPr>
        <w:t xml:space="preserve">determinations </w:t>
      </w:r>
      <w:r w:rsidRPr="19B56054" w:rsidR="00006C8A">
        <w:rPr>
          <w:rFonts w:ascii="Times New Roman" w:hAnsi="Times New Roman"/>
          <w:color w:val="000000" w:themeColor="text1"/>
        </w:rPr>
        <w:t>activity within a</w:t>
      </w:r>
      <w:r w:rsidRPr="19B56054" w:rsidR="00803E0C">
        <w:rPr>
          <w:rFonts w:ascii="Times New Roman" w:hAnsi="Times New Roman"/>
          <w:color w:val="000000" w:themeColor="text1"/>
        </w:rPr>
        <w:t xml:space="preserve"> s</w:t>
      </w:r>
      <w:r w:rsidRPr="19B56054" w:rsidR="00006C8A">
        <w:rPr>
          <w:rFonts w:ascii="Times New Roman" w:hAnsi="Times New Roman"/>
          <w:color w:val="000000" w:themeColor="text1"/>
        </w:rPr>
        <w:t>tate over time</w:t>
      </w:r>
      <w:r w:rsidRPr="19B56054">
        <w:rPr>
          <w:rFonts w:ascii="Times New Roman" w:hAnsi="Times New Roman"/>
          <w:color w:val="000000" w:themeColor="text1"/>
        </w:rPr>
        <w:t>.</w:t>
      </w:r>
    </w:p>
    <w:p w:rsidR="00900153" w:rsidP="00900153" w14:paraId="0FE3ABDB" w14:textId="77777777">
      <w:pPr>
        <w:widowControl/>
        <w:rPr>
          <w:rFonts w:ascii="Times New Roman" w:hAnsi="Times New Roman"/>
        </w:rPr>
      </w:pPr>
    </w:p>
    <w:p w:rsidR="00630C56" w:rsidRPr="0041425F" w:rsidP="00B37551" w14:paraId="39A3A0CB" w14:textId="77777777">
      <w:pPr>
        <w:widowControl/>
        <w:rPr>
          <w:rFonts w:ascii="Times New Roman" w:hAnsi="Times New Roman"/>
          <w:color w:val="000000"/>
        </w:rPr>
      </w:pPr>
    </w:p>
    <w:p w:rsidR="002D6444" w:rsidP="002D6444" w14:paraId="1F0E656A" w14:textId="09F0F119">
      <w:pPr>
        <w:pStyle w:val="Style1"/>
        <w:spacing w:after="0" w:line="240" w:lineRule="auto"/>
        <w:rPr>
          <w:b/>
          <w:bCs/>
          <w:color w:val="auto"/>
          <w:sz w:val="24"/>
          <w:szCs w:val="24"/>
        </w:rPr>
      </w:pPr>
      <w:r w:rsidRPr="00287305">
        <w:rPr>
          <w:b/>
          <w:bCs/>
          <w:color w:val="auto"/>
          <w:sz w:val="24"/>
          <w:szCs w:val="24"/>
        </w:rPr>
        <w:t xml:space="preserve">7. </w:t>
      </w:r>
      <w:r w:rsidRPr="00287305" w:rsidR="00E41381">
        <w:rPr>
          <w:b/>
          <w:bCs/>
          <w:color w:val="auto"/>
          <w:sz w:val="24"/>
          <w:szCs w:val="24"/>
        </w:rPr>
        <w:t>Explain any special circumstances that would cause an information collection to be conducted in a manne</w:t>
      </w:r>
      <w:r w:rsidRPr="00287305" w:rsidR="00617EC4">
        <w:rPr>
          <w:b/>
          <w:bCs/>
          <w:color w:val="auto"/>
          <w:sz w:val="24"/>
          <w:szCs w:val="24"/>
        </w:rPr>
        <w:t>r that requires further explanation pursuant to regulations 5 CFR 1320.5:</w:t>
      </w:r>
      <w:r w:rsidRPr="00287305">
        <w:rPr>
          <w:b/>
          <w:bCs/>
          <w:color w:val="auto"/>
          <w:sz w:val="24"/>
          <w:szCs w:val="24"/>
        </w:rPr>
        <w:t xml:space="preserve"> Explain any special circumstances that would cause an information collection to be conducted in a manner: </w:t>
      </w:r>
    </w:p>
    <w:p w:rsidR="0028680D" w:rsidRPr="00287305" w:rsidP="002D6444" w14:paraId="7B5E0BC5" w14:textId="77777777">
      <w:pPr>
        <w:pStyle w:val="Style1"/>
        <w:spacing w:after="0" w:line="240" w:lineRule="auto"/>
        <w:rPr>
          <w:b/>
          <w:bCs/>
          <w:color w:val="auto"/>
          <w:sz w:val="24"/>
          <w:szCs w:val="24"/>
        </w:rPr>
      </w:pPr>
    </w:p>
    <w:p w:rsidR="002D6444" w:rsidRPr="00287305" w:rsidP="00287305" w14:paraId="06555F0A" w14:textId="573E182C">
      <w:pPr>
        <w:pStyle w:val="Style1"/>
        <w:numPr>
          <w:ilvl w:val="0"/>
          <w:numId w:val="28"/>
        </w:numPr>
        <w:spacing w:after="0" w:line="240" w:lineRule="auto"/>
        <w:rPr>
          <w:b/>
          <w:bCs/>
          <w:color w:val="auto"/>
          <w:sz w:val="24"/>
          <w:szCs w:val="24"/>
        </w:rPr>
      </w:pPr>
      <w:r w:rsidRPr="00287305">
        <w:rPr>
          <w:b/>
          <w:bCs/>
          <w:color w:val="auto"/>
          <w:sz w:val="24"/>
          <w:szCs w:val="24"/>
        </w:rPr>
        <w:t xml:space="preserve">Requiring respondents to report information to the agency more often than quarterly; </w:t>
      </w:r>
    </w:p>
    <w:p w:rsidR="002D6444" w:rsidRPr="00287305" w:rsidP="00287305" w14:paraId="142BB9B5" w14:textId="0432221C">
      <w:pPr>
        <w:pStyle w:val="Style1"/>
        <w:numPr>
          <w:ilvl w:val="0"/>
          <w:numId w:val="28"/>
        </w:numPr>
        <w:spacing w:after="0" w:line="240" w:lineRule="auto"/>
        <w:rPr>
          <w:b/>
          <w:bCs/>
          <w:color w:val="auto"/>
          <w:sz w:val="24"/>
          <w:szCs w:val="24"/>
        </w:rPr>
      </w:pPr>
      <w:r w:rsidRPr="00287305">
        <w:rPr>
          <w:b/>
          <w:bCs/>
          <w:color w:val="auto"/>
          <w:sz w:val="24"/>
          <w:szCs w:val="24"/>
        </w:rPr>
        <w:t xml:space="preserve">Requiring respondents to prepare a written response to a collection of information in fewer than 30 days after receipt of it; </w:t>
      </w:r>
    </w:p>
    <w:p w:rsidR="002D6444" w:rsidRPr="00287305" w:rsidP="00287305" w14:paraId="6C801BA2" w14:textId="125342A6">
      <w:pPr>
        <w:pStyle w:val="Style1"/>
        <w:numPr>
          <w:ilvl w:val="0"/>
          <w:numId w:val="28"/>
        </w:numPr>
        <w:spacing w:after="0" w:line="240" w:lineRule="auto"/>
        <w:rPr>
          <w:b/>
          <w:bCs/>
          <w:color w:val="auto"/>
          <w:sz w:val="24"/>
          <w:szCs w:val="24"/>
        </w:rPr>
      </w:pPr>
      <w:r w:rsidRPr="00287305">
        <w:rPr>
          <w:b/>
          <w:bCs/>
          <w:color w:val="auto"/>
          <w:sz w:val="24"/>
          <w:szCs w:val="24"/>
        </w:rPr>
        <w:t xml:space="preserve">Requiring respondents to submit more than an original and two copies of any document; </w:t>
      </w:r>
    </w:p>
    <w:p w:rsidR="002D6444" w:rsidRPr="00287305" w:rsidP="00287305" w14:paraId="09B10F9D" w14:textId="1F308FCE">
      <w:pPr>
        <w:pStyle w:val="Style1"/>
        <w:numPr>
          <w:ilvl w:val="0"/>
          <w:numId w:val="28"/>
        </w:numPr>
        <w:spacing w:after="0" w:line="240" w:lineRule="auto"/>
        <w:rPr>
          <w:b/>
          <w:bCs/>
          <w:color w:val="auto"/>
          <w:sz w:val="24"/>
          <w:szCs w:val="24"/>
        </w:rPr>
      </w:pPr>
      <w:r w:rsidRPr="00287305">
        <w:rPr>
          <w:b/>
          <w:bCs/>
          <w:color w:val="auto"/>
          <w:sz w:val="24"/>
          <w:szCs w:val="24"/>
        </w:rPr>
        <w:t xml:space="preserve">Requiring respondents to retain records, other than health, medical, government contract, grant-in-aid, or tax records, for more than three years; </w:t>
      </w:r>
    </w:p>
    <w:p w:rsidR="002D6444" w:rsidRPr="00287305" w:rsidP="00287305" w14:paraId="68B0B3F4" w14:textId="25099FD7">
      <w:pPr>
        <w:pStyle w:val="Style1"/>
        <w:numPr>
          <w:ilvl w:val="0"/>
          <w:numId w:val="28"/>
        </w:numPr>
        <w:spacing w:after="0" w:line="240" w:lineRule="auto"/>
        <w:rPr>
          <w:b/>
          <w:bCs/>
          <w:color w:val="auto"/>
          <w:sz w:val="24"/>
          <w:szCs w:val="24"/>
        </w:rPr>
      </w:pPr>
      <w:r w:rsidRPr="00287305">
        <w:rPr>
          <w:b/>
          <w:bCs/>
          <w:color w:val="auto"/>
          <w:sz w:val="24"/>
          <w:szCs w:val="24"/>
        </w:rPr>
        <w:t xml:space="preserve">In connection with a statistical survey, that is not designed to produce valid and reliable results that can be generalized to the universe of study; </w:t>
      </w:r>
    </w:p>
    <w:p w:rsidR="002D6444" w:rsidRPr="00287305" w:rsidP="00287305" w14:paraId="5DF48123" w14:textId="7D45B1F3">
      <w:pPr>
        <w:pStyle w:val="Style1"/>
        <w:numPr>
          <w:ilvl w:val="0"/>
          <w:numId w:val="28"/>
        </w:numPr>
        <w:spacing w:after="0" w:line="240" w:lineRule="auto"/>
        <w:rPr>
          <w:b/>
          <w:bCs/>
          <w:color w:val="auto"/>
          <w:sz w:val="24"/>
          <w:szCs w:val="24"/>
        </w:rPr>
      </w:pPr>
      <w:r w:rsidRPr="00287305">
        <w:rPr>
          <w:b/>
          <w:bCs/>
          <w:color w:val="auto"/>
          <w:sz w:val="24"/>
          <w:szCs w:val="24"/>
        </w:rPr>
        <w:t xml:space="preserve">Requiring the use of a statistical data classification that has not been reviewed and approved by OMB; </w:t>
      </w:r>
    </w:p>
    <w:p w:rsidR="002D6444" w:rsidRPr="00287305" w:rsidP="00287305" w14:paraId="080B1254" w14:textId="75C8B5FA">
      <w:pPr>
        <w:pStyle w:val="Style1"/>
        <w:numPr>
          <w:ilvl w:val="0"/>
          <w:numId w:val="28"/>
        </w:numPr>
        <w:spacing w:after="0" w:line="240" w:lineRule="auto"/>
        <w:rPr>
          <w:b/>
          <w:bCs/>
          <w:color w:val="auto"/>
          <w:sz w:val="24"/>
          <w:szCs w:val="24"/>
        </w:rPr>
      </w:pPr>
      <w:r w:rsidRPr="00287305">
        <w:rPr>
          <w:b/>
          <w:bCs/>
          <w:color w:val="auto"/>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ED0F39" w:rsidRPr="00287305" w:rsidP="00287305" w14:paraId="555C6955" w14:textId="2FFA3E05">
      <w:pPr>
        <w:pStyle w:val="Style1"/>
        <w:numPr>
          <w:ilvl w:val="0"/>
          <w:numId w:val="28"/>
        </w:numPr>
        <w:spacing w:after="0" w:line="240" w:lineRule="auto"/>
        <w:rPr>
          <w:b/>
          <w:bCs/>
          <w:color w:val="auto"/>
          <w:sz w:val="24"/>
          <w:szCs w:val="24"/>
        </w:rPr>
      </w:pPr>
      <w:r w:rsidRPr="00287305">
        <w:rPr>
          <w:b/>
          <w:bCs/>
          <w:color w:val="auto"/>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B37551" w:rsidRPr="00852796" w:rsidP="00B37551" w14:paraId="5541B6B2" w14:textId="77777777">
      <w:pPr>
        <w:pStyle w:val="Style1"/>
        <w:spacing w:after="0" w:line="240" w:lineRule="auto"/>
        <w:rPr>
          <w:spacing w:val="4"/>
          <w:sz w:val="24"/>
          <w:szCs w:val="24"/>
        </w:rPr>
      </w:pPr>
    </w:p>
    <w:p w:rsidR="00630C56" w:rsidP="00715D00" w14:paraId="17E211AC" w14:textId="373756B3">
      <w:pPr>
        <w:pStyle w:val="Quick1"/>
        <w:widowControl/>
        <w:numPr>
          <w:ilvl w:val="0"/>
          <w:numId w:val="0"/>
        </w:numPr>
        <w:rPr>
          <w:rFonts w:ascii="Times New Roman" w:hAnsi="Times New Roman"/>
        </w:rPr>
      </w:pPr>
      <w:r>
        <w:rPr>
          <w:rFonts w:ascii="Times New Roman" w:hAnsi="Times New Roman"/>
          <w:color w:val="000000"/>
        </w:rPr>
        <w:t>There are no special circumstances</w:t>
      </w:r>
      <w:r w:rsidRPr="0041425F">
        <w:rPr>
          <w:rFonts w:ascii="Times New Roman" w:hAnsi="Times New Roman"/>
          <w:color w:val="000000"/>
        </w:rPr>
        <w:t>.</w:t>
      </w:r>
      <w:r w:rsidRPr="00715D00" w:rsidR="00715D00">
        <w:rPr>
          <w:rFonts w:ascii="Times New Roman" w:hAnsi="Times New Roman"/>
        </w:rPr>
        <w:t xml:space="preserve"> </w:t>
      </w:r>
      <w:r w:rsidR="00715D00">
        <w:rPr>
          <w:rFonts w:ascii="Times New Roman" w:hAnsi="Times New Roman"/>
        </w:rPr>
        <w:t>This request is consistent with 5 CFR 1320.5</w:t>
      </w:r>
      <w:r w:rsidR="00D84D1E">
        <w:rPr>
          <w:rFonts w:ascii="Times New Roman" w:hAnsi="Times New Roman"/>
        </w:rPr>
        <w:t>.</w:t>
      </w:r>
    </w:p>
    <w:p w:rsidR="00715D00" w:rsidRPr="0041425F" w:rsidP="00715D00" w14:paraId="0336BB3E" w14:textId="77777777">
      <w:pPr>
        <w:pStyle w:val="Quick1"/>
        <w:widowControl/>
        <w:numPr>
          <w:ilvl w:val="0"/>
          <w:numId w:val="0"/>
        </w:numPr>
        <w:rPr>
          <w:rFonts w:ascii="Times New Roman" w:hAnsi="Times New Roman"/>
          <w:color w:val="000000"/>
        </w:rPr>
      </w:pPr>
    </w:p>
    <w:p w:rsidR="00E41381" w:rsidRPr="00287305" w:rsidP="00B37551" w14:paraId="56CCA89C" w14:textId="09F8F423">
      <w:pPr>
        <w:widowControl/>
        <w:autoSpaceDE/>
        <w:autoSpaceDN/>
        <w:adjustRightInd/>
        <w:rPr>
          <w:rFonts w:ascii="Times New Roman" w:hAnsi="Times New Roman"/>
          <w:b/>
          <w:bCs/>
        </w:rPr>
      </w:pPr>
      <w:r w:rsidRPr="00287305">
        <w:rPr>
          <w:rFonts w:ascii="Times New Roman" w:hAnsi="Times New Roman"/>
          <w:b/>
          <w:bCs/>
        </w:rPr>
        <w:t>8. If applicable, provide a copy and identify the date and page number of publication in the Federal Register of the agency's notice, required by 5 CFR 1320.8(d), soliciting comments on the information collection prior to submission to OMB</w:t>
      </w:r>
      <w:r w:rsidR="009067F3">
        <w:rPr>
          <w:rFonts w:ascii="Times New Roman" w:hAnsi="Times New Roman"/>
          <w:b/>
          <w:bCs/>
        </w:rPr>
        <w:t xml:space="preserve">. </w:t>
      </w:r>
      <w:r w:rsidRPr="00287305">
        <w:rPr>
          <w:rFonts w:ascii="Times New Roman" w:hAnsi="Times New Roman"/>
          <w:b/>
          <w:bCs/>
        </w:rPr>
        <w:t>Summarize public comments received in response to that notice and describe actions taken by the agency in response to these comments.</w:t>
      </w:r>
      <w:r w:rsidR="008D22C6">
        <w:rPr>
          <w:rFonts w:ascii="Times New Roman" w:hAnsi="Times New Roman"/>
          <w:b/>
          <w:bCs/>
        </w:rPr>
        <w:t xml:space="preserve"> </w:t>
      </w:r>
      <w:r w:rsidRPr="00287305">
        <w:rPr>
          <w:rFonts w:ascii="Times New Roman" w:hAnsi="Times New Roman"/>
          <w:b/>
          <w:bCs/>
        </w:rPr>
        <w:t>Specifically address comments received on cost and hour burden.</w:t>
      </w:r>
    </w:p>
    <w:p w:rsidR="00E41381" w:rsidRPr="00287305" w:rsidP="00B37551" w14:paraId="046D3A33" w14:textId="77777777">
      <w:pPr>
        <w:widowControl/>
        <w:autoSpaceDE/>
        <w:autoSpaceDN/>
        <w:adjustRightInd/>
        <w:rPr>
          <w:rFonts w:ascii="Times New Roman" w:hAnsi="Times New Roman"/>
          <w:b/>
          <w:bCs/>
        </w:rPr>
      </w:pPr>
    </w:p>
    <w:p w:rsidR="00E41381" w:rsidRPr="00287305" w:rsidP="00B37551" w14:paraId="6D5E5B9D" w14:textId="77777777">
      <w:pPr>
        <w:widowControl/>
        <w:autoSpaceDE/>
        <w:autoSpaceDN/>
        <w:adjustRightInd/>
        <w:rPr>
          <w:rFonts w:ascii="Times New Roman" w:hAnsi="Times New Roman"/>
          <w:b/>
          <w:bCs/>
        </w:rPr>
      </w:pPr>
      <w:r w:rsidRPr="00287305">
        <w:rPr>
          <w:rFonts w:ascii="Times New Roman" w:hAnsi="Times New Roman"/>
          <w:b/>
          <w:b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E41381" w:rsidRPr="00287305" w:rsidP="00B37551" w14:paraId="57ED92DD" w14:textId="77777777">
      <w:pPr>
        <w:widowControl/>
        <w:autoSpaceDE/>
        <w:autoSpaceDN/>
        <w:adjustRightInd/>
        <w:rPr>
          <w:rFonts w:ascii="Times New Roman" w:hAnsi="Times New Roman"/>
          <w:b/>
          <w:bCs/>
        </w:rPr>
      </w:pPr>
    </w:p>
    <w:p w:rsidR="00E41381" w:rsidRPr="00287305" w:rsidP="00B37551" w14:paraId="502819CD" w14:textId="0AB9219C">
      <w:pPr>
        <w:widowControl/>
        <w:autoSpaceDE/>
        <w:autoSpaceDN/>
        <w:adjustRightInd/>
        <w:rPr>
          <w:rFonts w:ascii="Times New Roman" w:hAnsi="Times New Roman"/>
          <w:b/>
          <w:bCs/>
        </w:rPr>
      </w:pPr>
      <w:r w:rsidRPr="00287305">
        <w:rPr>
          <w:rFonts w:ascii="Times New Roman" w:hAnsi="Times New Roman"/>
          <w:b/>
          <w:bCs/>
        </w:rPr>
        <w:t>Consultation with representatives of those from whom information is to be obtained or those who must compile records should occur at least once every 3 years - even if the collection of information activity is the same as in prior periods.</w:t>
      </w:r>
      <w:r w:rsidR="008D22C6">
        <w:rPr>
          <w:rFonts w:ascii="Times New Roman" w:hAnsi="Times New Roman"/>
          <w:b/>
          <w:bCs/>
        </w:rPr>
        <w:t xml:space="preserve"> </w:t>
      </w:r>
      <w:r w:rsidRPr="00287305">
        <w:rPr>
          <w:rFonts w:ascii="Times New Roman" w:hAnsi="Times New Roman"/>
          <w:b/>
          <w:bCs/>
        </w:rPr>
        <w:t>There may be circumstances that may preclude consultation in a specific situation.</w:t>
      </w:r>
      <w:r w:rsidR="008D22C6">
        <w:rPr>
          <w:rFonts w:ascii="Times New Roman" w:hAnsi="Times New Roman"/>
          <w:b/>
          <w:bCs/>
        </w:rPr>
        <w:t xml:space="preserve"> </w:t>
      </w:r>
      <w:r w:rsidRPr="00287305">
        <w:rPr>
          <w:rFonts w:ascii="Times New Roman" w:hAnsi="Times New Roman"/>
          <w:b/>
          <w:bCs/>
        </w:rPr>
        <w:t>These circumstances should be explained.</w:t>
      </w:r>
    </w:p>
    <w:p w:rsidR="00ED0F39" w:rsidP="00B37551" w14:paraId="2D72AE6E" w14:textId="1612212F">
      <w:pPr>
        <w:widowControl/>
        <w:tabs>
          <w:tab w:val="left" w:pos="-1440"/>
        </w:tabs>
        <w:rPr>
          <w:rFonts w:ascii="Times New Roman" w:hAnsi="Times New Roman"/>
          <w:color w:val="000000"/>
        </w:rPr>
      </w:pPr>
    </w:p>
    <w:p w:rsidR="005E2811" w:rsidRPr="0041425F" w:rsidP="005E2811" w14:paraId="39E33D7E" w14:textId="0046683A">
      <w:pPr>
        <w:widowControl/>
        <w:rPr>
          <w:rFonts w:ascii="Times New Roman" w:hAnsi="Times New Roman"/>
          <w:color w:val="000000"/>
          <w:highlight w:val="yellow"/>
        </w:rPr>
      </w:pPr>
      <w:r w:rsidRPr="1258ACB5">
        <w:rPr>
          <w:rFonts w:ascii="Times New Roman" w:hAnsi="Times New Roman"/>
          <w:color w:val="000000" w:themeColor="text1"/>
        </w:rPr>
        <w:t xml:space="preserve">In accordance with the Paperwork Reduction Act of 1995, the public was allowed 60 days to comment through the Federal Register Notice posted on </w:t>
      </w:r>
      <w:r w:rsidR="00B85695">
        <w:rPr>
          <w:rFonts w:ascii="Times New Roman" w:hAnsi="Times New Roman"/>
          <w:color w:val="000000" w:themeColor="text1"/>
        </w:rPr>
        <w:t>January 15, 2025</w:t>
      </w:r>
      <w:r w:rsidRPr="00D84D1E" w:rsidR="00B85695">
        <w:rPr>
          <w:rFonts w:ascii="Times New Roman" w:hAnsi="Times New Roman"/>
          <w:i/>
          <w:iCs/>
          <w:color w:val="000000" w:themeColor="text1"/>
        </w:rPr>
        <w:t xml:space="preserve"> </w:t>
      </w:r>
      <w:r w:rsidRPr="00D84D1E">
        <w:rPr>
          <w:rFonts w:ascii="Times New Roman" w:hAnsi="Times New Roman"/>
          <w:i/>
          <w:iCs/>
          <w:color w:val="000000" w:themeColor="text1"/>
        </w:rPr>
        <w:t>(</w:t>
      </w:r>
      <w:r w:rsidRPr="00A04290" w:rsidR="00A04290">
        <w:rPr>
          <w:rFonts w:ascii="Times New Roman" w:hAnsi="Times New Roman"/>
          <w:i/>
          <w:iCs/>
          <w:color w:val="000000" w:themeColor="text1"/>
        </w:rPr>
        <w:t>90 FR 3958</w:t>
      </w:r>
      <w:r w:rsidRPr="1258ACB5">
        <w:rPr>
          <w:rFonts w:ascii="Times New Roman" w:hAnsi="Times New Roman"/>
          <w:color w:val="000000" w:themeColor="text1"/>
        </w:rPr>
        <w:t>)</w:t>
      </w:r>
      <w:r>
        <w:rPr>
          <w:rFonts w:ascii="Times New Roman" w:hAnsi="Times New Roman"/>
          <w:i/>
          <w:iCs/>
          <w:color w:val="000000" w:themeColor="text1"/>
        </w:rPr>
        <w:t xml:space="preserve">. </w:t>
      </w:r>
      <w:r w:rsidR="00B85695">
        <w:rPr>
          <w:rFonts w:ascii="Times New Roman" w:hAnsi="Times New Roman"/>
          <w:color w:val="000000" w:themeColor="text1"/>
        </w:rPr>
        <w:t>No</w:t>
      </w:r>
      <w:r w:rsidRPr="00D84D1E" w:rsidR="00B85695">
        <w:rPr>
          <w:rFonts w:ascii="Times New Roman" w:hAnsi="Times New Roman"/>
          <w:i/>
          <w:iCs/>
          <w:color w:val="000000" w:themeColor="text1"/>
        </w:rPr>
        <w:t xml:space="preserve"> </w:t>
      </w:r>
      <w:r w:rsidRPr="1258ACB5">
        <w:rPr>
          <w:rFonts w:ascii="Times New Roman" w:hAnsi="Times New Roman"/>
          <w:color w:val="000000" w:themeColor="text1"/>
        </w:rPr>
        <w:t>public comments were received.</w:t>
      </w:r>
    </w:p>
    <w:p w:rsidR="005E2811" w:rsidRPr="0041425F" w:rsidP="005E2811" w14:paraId="5DBADB78" w14:textId="77777777">
      <w:pPr>
        <w:widowControl/>
        <w:rPr>
          <w:rFonts w:ascii="Times New Roman" w:hAnsi="Times New Roman"/>
          <w:color w:val="000000"/>
        </w:rPr>
      </w:pPr>
    </w:p>
    <w:p w:rsidR="1258ACB5" w:rsidP="1258ACB5" w14:paraId="71799F36" w14:textId="7AE5C183">
      <w:pPr>
        <w:widowControl/>
        <w:rPr>
          <w:rFonts w:ascii="Times New Roman" w:hAnsi="Times New Roman"/>
          <w:color w:val="000000" w:themeColor="text1"/>
        </w:rPr>
      </w:pPr>
    </w:p>
    <w:p w:rsidR="00523869" w:rsidRPr="00BC00C8" w:rsidP="00BC00C8" w14:paraId="00F9DE0B" w14:textId="6EA6B1C1">
      <w:pPr>
        <w:widowControl/>
        <w:rPr>
          <w:rFonts w:ascii="Times New Roman" w:hAnsi="Times New Roman"/>
          <w:color w:val="000000"/>
        </w:rPr>
      </w:pPr>
      <w:r w:rsidRPr="00523869">
        <w:rPr>
          <w:rFonts w:ascii="Times New Roman" w:hAnsi="Times New Roman"/>
          <w:color w:val="000000"/>
        </w:rPr>
        <w:t>No separate state consultation was conducted for this renewal because the ETA 207 is a longstanding quarterly collection, and the revisions do not require states to collect new information; instead, they further delineate determinations that states already capture and report in the existing “Other” category. State UI agencies have ongoing familiarity with the ETA 207 reporting requirements through regular quarterly submissions, and the Federal Register notice provided all interested parties, including states, an opportunity to comment on the availability of data, reporting frequency, instructions, format, burden, and related issues. Because no public comments were received and the revisions do not change the estimated reporting burden, ETA did not identify a need for additional state consultation for this submission.</w:t>
      </w:r>
      <w:r w:rsidRPr="00523869">
        <w:rPr>
          <w:rFonts w:ascii="Times New Roman" w:hAnsi="Times New Roman"/>
          <w:color w:val="000000"/>
        </w:rPr>
        <w:t xml:space="preserve"> </w:t>
      </w:r>
    </w:p>
    <w:p w:rsidR="008A17E2" w:rsidRPr="0041425F" w:rsidP="1258ACB5" w14:paraId="14457523" w14:textId="77777777">
      <w:pPr>
        <w:widowControl/>
        <w:rPr>
          <w:rFonts w:ascii="Times New Roman" w:hAnsi="Times New Roman"/>
          <w:color w:val="000000"/>
        </w:rPr>
      </w:pPr>
    </w:p>
    <w:p w:rsidR="00ED0F39" w:rsidRPr="00287305" w:rsidP="00B37551" w14:paraId="2C62C36D" w14:textId="77777777">
      <w:pPr>
        <w:widowControl/>
        <w:autoSpaceDE/>
        <w:autoSpaceDN/>
        <w:adjustRightInd/>
        <w:jc w:val="both"/>
        <w:rPr>
          <w:rFonts w:ascii="Times New Roman" w:hAnsi="Times New Roman"/>
          <w:b/>
          <w:bCs/>
        </w:rPr>
      </w:pPr>
      <w:r w:rsidRPr="00287305">
        <w:rPr>
          <w:rFonts w:ascii="Times New Roman" w:hAnsi="Times New Roman"/>
          <w:b/>
          <w:bCs/>
        </w:rPr>
        <w:t>9.</w:t>
      </w:r>
      <w:r w:rsidRPr="00287305" w:rsidR="00E87320">
        <w:rPr>
          <w:rFonts w:ascii="Times New Roman" w:hAnsi="Times New Roman"/>
          <w:b/>
          <w:bCs/>
        </w:rPr>
        <w:t xml:space="preserve"> </w:t>
      </w:r>
      <w:r w:rsidRPr="00287305">
        <w:rPr>
          <w:rFonts w:ascii="Times New Roman" w:hAnsi="Times New Roman"/>
          <w:b/>
          <w:bCs/>
        </w:rPr>
        <w:t>Explain any decision to provide any payment or gift to respondents, other than remuneration of contractors or grantees.</w:t>
      </w:r>
    </w:p>
    <w:p w:rsidR="00B37551" w:rsidRPr="00287305" w:rsidP="00B37551" w14:paraId="63F00323" w14:textId="77777777">
      <w:pPr>
        <w:widowControl/>
        <w:autoSpaceDE/>
        <w:autoSpaceDN/>
        <w:adjustRightInd/>
        <w:jc w:val="both"/>
        <w:rPr>
          <w:rFonts w:ascii="Times New Roman" w:hAnsi="Times New Roman"/>
          <w:b/>
          <w:bCs/>
        </w:rPr>
      </w:pPr>
    </w:p>
    <w:p w:rsidR="00630C56" w:rsidRPr="0041425F" w:rsidP="00B37551" w14:paraId="09B54E0E" w14:textId="77777777">
      <w:pPr>
        <w:pStyle w:val="Quick1"/>
        <w:widowControl/>
        <w:numPr>
          <w:ilvl w:val="0"/>
          <w:numId w:val="0"/>
        </w:numPr>
        <w:tabs>
          <w:tab w:val="left" w:pos="-1440"/>
        </w:tabs>
        <w:ind w:left="720" w:hanging="720"/>
        <w:rPr>
          <w:rFonts w:ascii="Times New Roman" w:hAnsi="Times New Roman"/>
          <w:color w:val="000000"/>
        </w:rPr>
      </w:pPr>
      <w:r w:rsidRPr="0041425F">
        <w:rPr>
          <w:rFonts w:ascii="Times New Roman" w:hAnsi="Times New Roman"/>
          <w:color w:val="000000"/>
        </w:rPr>
        <w:t>There were no payments or gifts to any respondents.</w:t>
      </w:r>
    </w:p>
    <w:p w:rsidR="00630C56" w:rsidRPr="0041425F" w:rsidP="00B37551" w14:paraId="0B8017A0" w14:textId="77777777">
      <w:pPr>
        <w:widowControl/>
        <w:rPr>
          <w:rFonts w:ascii="Times New Roman" w:hAnsi="Times New Roman"/>
          <w:color w:val="000000"/>
        </w:rPr>
      </w:pPr>
    </w:p>
    <w:p w:rsidR="00E41381" w:rsidRPr="00287305" w:rsidP="00B37551" w14:paraId="4C1712DE" w14:textId="77777777">
      <w:pPr>
        <w:widowControl/>
        <w:autoSpaceDE/>
        <w:autoSpaceDN/>
        <w:adjustRightInd/>
        <w:rPr>
          <w:rFonts w:ascii="Times New Roman" w:hAnsi="Times New Roman"/>
          <w:b/>
          <w:bCs/>
        </w:rPr>
      </w:pPr>
      <w:r w:rsidRPr="00287305">
        <w:rPr>
          <w:rFonts w:ascii="Times New Roman" w:hAnsi="Times New Roman"/>
          <w:b/>
          <w:bCs/>
        </w:rPr>
        <w:t>10. Describe any assurance of confidentiality provided to respondents and the basis for the assurance in statute, regulation, or agency policy.</w:t>
      </w:r>
    </w:p>
    <w:p w:rsidR="00350F8A" w:rsidRPr="0041425F" w:rsidP="00B37551" w14:paraId="2C3B9BE7" w14:textId="77777777">
      <w:pPr>
        <w:pStyle w:val="Level1"/>
        <w:widowControl/>
        <w:numPr>
          <w:ilvl w:val="0"/>
          <w:numId w:val="0"/>
        </w:numPr>
        <w:tabs>
          <w:tab w:val="left" w:pos="-1440"/>
        </w:tabs>
        <w:ind w:left="900" w:hanging="900"/>
        <w:rPr>
          <w:rFonts w:ascii="Times New Roman" w:hAnsi="Times New Roman"/>
          <w:color w:val="000000"/>
        </w:rPr>
      </w:pPr>
    </w:p>
    <w:p w:rsidR="00630C56" w:rsidRPr="0041425F" w:rsidP="00B37551" w14:paraId="05D8AAD0" w14:textId="77777777">
      <w:pPr>
        <w:pStyle w:val="Level1"/>
        <w:widowControl/>
        <w:numPr>
          <w:ilvl w:val="0"/>
          <w:numId w:val="0"/>
        </w:numPr>
        <w:tabs>
          <w:tab w:val="left" w:pos="-1440"/>
        </w:tabs>
        <w:ind w:left="900" w:hanging="900"/>
        <w:rPr>
          <w:rFonts w:ascii="Times New Roman" w:hAnsi="Times New Roman"/>
          <w:color w:val="000000"/>
        </w:rPr>
      </w:pPr>
      <w:r w:rsidRPr="0041425F">
        <w:rPr>
          <w:rFonts w:ascii="Times New Roman" w:hAnsi="Times New Roman"/>
          <w:color w:val="000000"/>
        </w:rPr>
        <w:t xml:space="preserve">There is no assurance of </w:t>
      </w:r>
      <w:r w:rsidRPr="0041425F" w:rsidR="004009F0">
        <w:rPr>
          <w:rFonts w:ascii="Times New Roman" w:hAnsi="Times New Roman"/>
          <w:color w:val="000000"/>
        </w:rPr>
        <w:t>co</w:t>
      </w:r>
      <w:r w:rsidRPr="0041425F">
        <w:rPr>
          <w:rFonts w:ascii="Times New Roman" w:hAnsi="Times New Roman"/>
          <w:color w:val="000000"/>
        </w:rPr>
        <w:t>nfidentiality to respondents.</w:t>
      </w:r>
    </w:p>
    <w:p w:rsidR="00630C56" w:rsidRPr="0041425F" w:rsidP="00B37551" w14:paraId="641DA263" w14:textId="77777777">
      <w:pPr>
        <w:widowControl/>
        <w:rPr>
          <w:rFonts w:ascii="Times New Roman" w:hAnsi="Times New Roman"/>
          <w:color w:val="000000"/>
        </w:rPr>
      </w:pPr>
    </w:p>
    <w:p w:rsidR="00350F8A" w:rsidRPr="00287305" w:rsidP="00B37551" w14:paraId="5FEB8BFA" w14:textId="77777777">
      <w:pPr>
        <w:pStyle w:val="Style1"/>
        <w:spacing w:after="0" w:line="240" w:lineRule="auto"/>
        <w:rPr>
          <w:b/>
          <w:bCs/>
          <w:color w:val="auto"/>
          <w:sz w:val="24"/>
          <w:szCs w:val="24"/>
        </w:rPr>
      </w:pPr>
      <w:r w:rsidRPr="00287305">
        <w:rPr>
          <w:b/>
          <w:bCs/>
          <w:color w:val="auto"/>
          <w:sz w:val="24"/>
          <w:szCs w:val="24"/>
        </w:rPr>
        <w:t>1</w:t>
      </w:r>
      <w:r w:rsidRPr="00287305" w:rsidR="00E87320">
        <w:rPr>
          <w:b/>
          <w:bCs/>
          <w:color w:val="auto"/>
          <w:sz w:val="24"/>
          <w:szCs w:val="24"/>
        </w:rPr>
        <w:t xml:space="preserve">1. </w:t>
      </w:r>
      <w:r w:rsidRPr="00287305">
        <w:rPr>
          <w:b/>
          <w:bCs/>
          <w:color w:val="auto"/>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37551" w:rsidRPr="00287305" w:rsidP="00B37551" w14:paraId="6A65D1C1" w14:textId="77777777">
      <w:pPr>
        <w:pStyle w:val="Style1"/>
        <w:spacing w:after="0" w:line="240" w:lineRule="auto"/>
        <w:rPr>
          <w:b/>
          <w:bCs/>
          <w:color w:val="auto"/>
          <w:sz w:val="24"/>
          <w:szCs w:val="24"/>
        </w:rPr>
      </w:pPr>
    </w:p>
    <w:p w:rsidR="00630C56" w:rsidRPr="0041425F" w:rsidP="00B37551" w14:paraId="5F2CD472" w14:textId="77777777">
      <w:pPr>
        <w:widowControl/>
        <w:tabs>
          <w:tab w:val="left" w:pos="-1440"/>
        </w:tabs>
        <w:rPr>
          <w:rFonts w:ascii="Times New Roman" w:hAnsi="Times New Roman"/>
          <w:color w:val="000000"/>
        </w:rPr>
      </w:pPr>
      <w:r w:rsidRPr="0041425F">
        <w:rPr>
          <w:rFonts w:ascii="Times New Roman" w:hAnsi="Times New Roman"/>
          <w:color w:val="000000"/>
        </w:rPr>
        <w:t>There are no questions of a sensitive nature.</w:t>
      </w:r>
    </w:p>
    <w:p w:rsidR="0088775F" w:rsidRPr="0041425F" w:rsidP="00B37551" w14:paraId="55DEF281" w14:textId="77777777">
      <w:pPr>
        <w:widowControl/>
        <w:rPr>
          <w:rFonts w:ascii="Times New Roman" w:hAnsi="Times New Roman"/>
          <w:color w:val="000000"/>
        </w:rPr>
      </w:pPr>
    </w:p>
    <w:p w:rsidR="00E41381" w:rsidRPr="00287305" w:rsidP="00B37551" w14:paraId="650A1794" w14:textId="77777777">
      <w:pPr>
        <w:widowControl/>
        <w:autoSpaceDE/>
        <w:autoSpaceDN/>
        <w:adjustRightInd/>
        <w:rPr>
          <w:rFonts w:ascii="Times New Roman" w:hAnsi="Times New Roman"/>
          <w:b/>
          <w:bCs/>
        </w:rPr>
      </w:pPr>
      <w:r w:rsidRPr="00287305">
        <w:rPr>
          <w:rFonts w:ascii="Times New Roman" w:hAnsi="Times New Roman"/>
          <w:b/>
          <w:bCs/>
        </w:rPr>
        <w:t>12. Provide estimates of the hour burden of the collection of information</w:t>
      </w:r>
      <w:r w:rsidRPr="00287305" w:rsidR="00B37551">
        <w:rPr>
          <w:rFonts w:ascii="Times New Roman" w:hAnsi="Times New Roman"/>
          <w:b/>
          <w:bCs/>
        </w:rPr>
        <w:t>.</w:t>
      </w:r>
    </w:p>
    <w:p w:rsidR="00350F8A" w:rsidRPr="0041425F" w:rsidP="00B37551" w14:paraId="4F376500" w14:textId="77777777">
      <w:pPr>
        <w:widowControl/>
        <w:tabs>
          <w:tab w:val="left" w:pos="-1440"/>
        </w:tabs>
        <w:rPr>
          <w:rFonts w:ascii="Times New Roman" w:hAnsi="Times New Roman"/>
          <w:color w:val="000000"/>
        </w:rPr>
      </w:pPr>
    </w:p>
    <w:p w:rsidR="00630C56" w:rsidRPr="0041425F" w:rsidP="00B37551" w14:paraId="1B2AA1D8" w14:textId="6CBC81FF">
      <w:pPr>
        <w:widowControl/>
        <w:rPr>
          <w:rFonts w:ascii="Times New Roman" w:hAnsi="Times New Roman"/>
          <w:color w:val="000000"/>
        </w:rPr>
      </w:pPr>
      <w:r w:rsidRPr="0041425F">
        <w:rPr>
          <w:rFonts w:ascii="Times New Roman" w:hAnsi="Times New Roman"/>
          <w:color w:val="000000"/>
        </w:rPr>
        <w:t xml:space="preserve">The estimated annual burden for this collection is </w:t>
      </w:r>
      <w:r w:rsidR="00451986">
        <w:rPr>
          <w:rFonts w:ascii="Times New Roman" w:hAnsi="Times New Roman"/>
          <w:color w:val="000000"/>
        </w:rPr>
        <w:t>1,</w:t>
      </w:r>
      <w:r w:rsidR="006A30D2">
        <w:rPr>
          <w:rFonts w:ascii="Times New Roman" w:hAnsi="Times New Roman"/>
          <w:color w:val="000000"/>
        </w:rPr>
        <w:t>696</w:t>
      </w:r>
      <w:r w:rsidRPr="0041425F">
        <w:rPr>
          <w:rFonts w:ascii="Times New Roman" w:hAnsi="Times New Roman"/>
          <w:color w:val="000000"/>
        </w:rPr>
        <w:t xml:space="preserve"> hours (</w:t>
      </w:r>
      <w:r w:rsidR="00E260A0">
        <w:rPr>
          <w:rFonts w:ascii="Times New Roman" w:hAnsi="Times New Roman"/>
          <w:color w:val="000000"/>
        </w:rPr>
        <w:t>848</w:t>
      </w:r>
      <w:r w:rsidR="006A30D2">
        <w:rPr>
          <w:rFonts w:ascii="Times New Roman" w:hAnsi="Times New Roman"/>
          <w:color w:val="000000"/>
        </w:rPr>
        <w:t xml:space="preserve"> </w:t>
      </w:r>
      <w:r w:rsidRPr="0041425F">
        <w:rPr>
          <w:rFonts w:ascii="Times New Roman" w:hAnsi="Times New Roman"/>
          <w:color w:val="000000"/>
        </w:rPr>
        <w:t>hours for</w:t>
      </w:r>
      <w:r w:rsidR="0054137D">
        <w:rPr>
          <w:rFonts w:ascii="Times New Roman" w:hAnsi="Times New Roman"/>
          <w:color w:val="000000"/>
        </w:rPr>
        <w:t xml:space="preserve"> </w:t>
      </w:r>
      <w:r w:rsidR="003F1A8B">
        <w:rPr>
          <w:rFonts w:ascii="Times New Roman" w:hAnsi="Times New Roman"/>
          <w:color w:val="000000"/>
        </w:rPr>
        <w:t xml:space="preserve">each of </w:t>
      </w:r>
      <w:r w:rsidRPr="0041425F">
        <w:rPr>
          <w:rFonts w:ascii="Times New Roman" w:hAnsi="Times New Roman"/>
          <w:color w:val="000000"/>
        </w:rPr>
        <w:t>the ETA 207 report</w:t>
      </w:r>
      <w:r w:rsidR="003F1A8B">
        <w:rPr>
          <w:rFonts w:ascii="Times New Roman" w:hAnsi="Times New Roman"/>
          <w:color w:val="000000"/>
        </w:rPr>
        <w:t>s</w:t>
      </w:r>
      <w:r w:rsidRPr="0041425F">
        <w:rPr>
          <w:rFonts w:ascii="Times New Roman" w:hAnsi="Times New Roman"/>
          <w:color w:val="000000"/>
        </w:rPr>
        <w:t xml:space="preserve"> </w:t>
      </w:r>
      <w:r w:rsidRPr="0041425F" w:rsidR="00C96F88">
        <w:rPr>
          <w:rFonts w:ascii="Times New Roman" w:hAnsi="Times New Roman"/>
          <w:color w:val="000000"/>
        </w:rPr>
        <w:t>covering the regular state program</w:t>
      </w:r>
      <w:r w:rsidR="00552136">
        <w:rPr>
          <w:rFonts w:ascii="Times New Roman" w:hAnsi="Times New Roman"/>
          <w:color w:val="000000"/>
        </w:rPr>
        <w:t xml:space="preserve"> and</w:t>
      </w:r>
      <w:r w:rsidRPr="0041425F" w:rsidR="00C96F88">
        <w:rPr>
          <w:rFonts w:ascii="Times New Roman" w:hAnsi="Times New Roman"/>
          <w:color w:val="000000"/>
        </w:rPr>
        <w:t xml:space="preserve"> the Federal-State Extended Benefits program</w:t>
      </w:r>
      <w:r w:rsidR="008416C9">
        <w:rPr>
          <w:rFonts w:ascii="Times New Roman" w:hAnsi="Times New Roman"/>
          <w:color w:val="000000"/>
        </w:rPr>
        <w:t>)</w:t>
      </w:r>
      <w:r w:rsidR="00552136">
        <w:rPr>
          <w:rFonts w:ascii="Times New Roman" w:hAnsi="Times New Roman"/>
          <w:color w:val="000000"/>
        </w:rPr>
        <w:t>.</w:t>
      </w:r>
      <w:r w:rsidR="00F4322A">
        <w:rPr>
          <w:rFonts w:ascii="Times New Roman" w:hAnsi="Times New Roman"/>
          <w:color w:val="000000"/>
        </w:rPr>
        <w:t xml:space="preserve"> </w:t>
      </w:r>
      <w:r w:rsidRPr="00F4322A" w:rsidR="00F4322A">
        <w:rPr>
          <w:rFonts w:ascii="Times New Roman" w:hAnsi="Times New Roman"/>
          <w:color w:val="000000"/>
        </w:rPr>
        <w:t>The information is collected from the same respondents</w:t>
      </w:r>
      <w:r w:rsidR="00046521">
        <w:rPr>
          <w:rFonts w:ascii="Times New Roman" w:hAnsi="Times New Roman"/>
          <w:color w:val="000000"/>
        </w:rPr>
        <w:t xml:space="preserve"> (state UI agencies)</w:t>
      </w:r>
      <w:r w:rsidRPr="00F4322A" w:rsidR="00F4322A">
        <w:rPr>
          <w:rFonts w:ascii="Times New Roman" w:hAnsi="Times New Roman"/>
          <w:color w:val="000000"/>
        </w:rPr>
        <w:t xml:space="preserve"> under the same obligation.</w:t>
      </w:r>
      <w:r w:rsidR="008D22C6">
        <w:rPr>
          <w:rFonts w:ascii="Times New Roman" w:hAnsi="Times New Roman"/>
          <w:color w:val="000000"/>
        </w:rPr>
        <w:t xml:space="preserve"> </w:t>
      </w:r>
      <w:r w:rsidRPr="00F4322A" w:rsidR="00F4322A">
        <w:rPr>
          <w:rFonts w:ascii="Times New Roman" w:hAnsi="Times New Roman"/>
          <w:color w:val="000000"/>
        </w:rPr>
        <w:t xml:space="preserve">The </w:t>
      </w:r>
      <w:r w:rsidR="001E232B">
        <w:rPr>
          <w:rFonts w:ascii="Times New Roman" w:hAnsi="Times New Roman"/>
          <w:color w:val="000000"/>
        </w:rPr>
        <w:t>primary</w:t>
      </w:r>
      <w:r w:rsidRPr="00F4322A" w:rsidR="00F4322A">
        <w:rPr>
          <w:rFonts w:ascii="Times New Roman" w:hAnsi="Times New Roman"/>
          <w:color w:val="000000"/>
        </w:rPr>
        <w:t xml:space="preserve"> difference </w:t>
      </w:r>
      <w:r w:rsidR="00F4322A">
        <w:rPr>
          <w:rFonts w:ascii="Times New Roman" w:hAnsi="Times New Roman"/>
          <w:color w:val="000000"/>
        </w:rPr>
        <w:t xml:space="preserve">between regular and Extended Benefits </w:t>
      </w:r>
      <w:r w:rsidRPr="00F4322A" w:rsidR="00F4322A">
        <w:rPr>
          <w:rFonts w:ascii="Times New Roman" w:hAnsi="Times New Roman"/>
          <w:color w:val="000000"/>
        </w:rPr>
        <w:t xml:space="preserve">is </w:t>
      </w:r>
      <w:r w:rsidR="00046521">
        <w:rPr>
          <w:rFonts w:ascii="Times New Roman" w:hAnsi="Times New Roman"/>
          <w:color w:val="000000"/>
        </w:rPr>
        <w:t xml:space="preserve">that during </w:t>
      </w:r>
      <w:r w:rsidRPr="00F4322A" w:rsidR="00F4322A">
        <w:rPr>
          <w:rFonts w:ascii="Times New Roman" w:hAnsi="Times New Roman"/>
          <w:color w:val="000000"/>
        </w:rPr>
        <w:t xml:space="preserve">a period </w:t>
      </w:r>
      <w:r w:rsidR="00046521">
        <w:rPr>
          <w:rFonts w:ascii="Times New Roman" w:hAnsi="Times New Roman"/>
          <w:color w:val="000000"/>
        </w:rPr>
        <w:t>when</w:t>
      </w:r>
      <w:r w:rsidRPr="00F4322A" w:rsidR="00F4322A">
        <w:rPr>
          <w:rFonts w:ascii="Times New Roman" w:hAnsi="Times New Roman"/>
          <w:color w:val="000000"/>
        </w:rPr>
        <w:t xml:space="preserve"> extended benefits</w:t>
      </w:r>
      <w:r w:rsidR="00046521">
        <w:rPr>
          <w:rFonts w:ascii="Times New Roman" w:hAnsi="Times New Roman"/>
          <w:color w:val="000000"/>
        </w:rPr>
        <w:t xml:space="preserve"> are available</w:t>
      </w:r>
      <w:r w:rsidRPr="00F4322A" w:rsidR="00F4322A">
        <w:rPr>
          <w:rFonts w:ascii="Times New Roman" w:hAnsi="Times New Roman"/>
          <w:color w:val="000000"/>
        </w:rPr>
        <w:t xml:space="preserve">, there may be additional disqualification provisions, and that information must still be collected on the </w:t>
      </w:r>
      <w:r w:rsidR="00F4322A">
        <w:rPr>
          <w:rFonts w:ascii="Times New Roman" w:hAnsi="Times New Roman"/>
          <w:color w:val="000000"/>
        </w:rPr>
        <w:t xml:space="preserve">ETA </w:t>
      </w:r>
      <w:r w:rsidRPr="00F4322A" w:rsidR="00F4322A">
        <w:rPr>
          <w:rFonts w:ascii="Times New Roman" w:hAnsi="Times New Roman"/>
          <w:color w:val="000000"/>
        </w:rPr>
        <w:t>207 for adjudication activities related to that program.</w:t>
      </w:r>
    </w:p>
    <w:p w:rsidR="00DE1499" w:rsidP="00B37551" w14:paraId="4D8FA413" w14:textId="77777777">
      <w:pPr>
        <w:widowControl/>
        <w:tabs>
          <w:tab w:val="left" w:pos="-1440"/>
        </w:tabs>
        <w:ind w:left="180"/>
        <w:rPr>
          <w:rFonts w:ascii="Times New Roman" w:hAnsi="Times New Roman"/>
          <w:color w:val="000000"/>
        </w:rPr>
      </w:pPr>
    </w:p>
    <w:p w:rsidR="001455E6" w:rsidP="00B37551" w14:paraId="1A96471E" w14:textId="77777777">
      <w:pPr>
        <w:widowControl/>
        <w:tabs>
          <w:tab w:val="left" w:pos="-1440"/>
        </w:tabs>
        <w:rPr>
          <w:rFonts w:ascii="Times New Roman" w:hAnsi="Times New Roman"/>
          <w:i/>
        </w:rPr>
      </w:pPr>
      <w:r w:rsidRPr="00B37551">
        <w:rPr>
          <w:rFonts w:ascii="Times New Roman" w:hAnsi="Times New Roman"/>
          <w:i/>
        </w:rPr>
        <w:t>The following table can be used as a guide to calculate the total burden of an information collection.</w:t>
      </w:r>
      <w:r>
        <w:rPr>
          <w:rFonts w:ascii="Times New Roman" w:hAnsi="Times New Roman"/>
          <w:i/>
        </w:rPr>
        <w:t xml:space="preserve"> </w:t>
      </w:r>
    </w:p>
    <w:p w:rsidR="001455E6" w:rsidRPr="0041425F" w:rsidP="00B37551" w14:paraId="4D2E6F82" w14:textId="77777777">
      <w:pPr>
        <w:widowControl/>
        <w:tabs>
          <w:tab w:val="left" w:pos="-1440"/>
        </w:tabs>
        <w:ind w:left="180"/>
        <w:rPr>
          <w:rFonts w:ascii="Times New Roman" w:hAnsi="Times New Roman"/>
          <w:color w:val="000000"/>
        </w:rPr>
      </w:pPr>
    </w:p>
    <w:tbl>
      <w:tblPr>
        <w:tblW w:w="0" w:type="auto"/>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6"/>
        <w:gridCol w:w="1530"/>
        <w:gridCol w:w="1260"/>
        <w:gridCol w:w="1260"/>
        <w:gridCol w:w="1135"/>
        <w:gridCol w:w="963"/>
        <w:gridCol w:w="979"/>
        <w:gridCol w:w="1490"/>
      </w:tblGrid>
      <w:tr w14:paraId="51AB23C6" w14:textId="77777777" w:rsidTr="00287305">
        <w:tblPrEx>
          <w:tblW w:w="0" w:type="auto"/>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06" w:type="dxa"/>
            <w:vAlign w:val="center"/>
          </w:tcPr>
          <w:p w:rsidR="001455E6" w:rsidRPr="0041425F" w:rsidP="00B37551" w14:paraId="09789E54"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sidRPr="0041425F">
              <w:rPr>
                <w:rFonts w:ascii="Times New Roman" w:hAnsi="Times New Roman"/>
                <w:color w:val="000000"/>
              </w:rPr>
              <w:t xml:space="preserve">Program </w:t>
            </w:r>
            <w:r w:rsidRPr="00683317">
              <w:rPr>
                <w:rFonts w:ascii="Times New Roman" w:hAnsi="Times New Roman"/>
                <w:color w:val="000000"/>
              </w:rPr>
              <w:t>Type</w:t>
            </w:r>
          </w:p>
        </w:tc>
        <w:tc>
          <w:tcPr>
            <w:tcW w:w="1530" w:type="dxa"/>
            <w:vAlign w:val="center"/>
          </w:tcPr>
          <w:p w:rsidR="00B37551" w:rsidP="00B37551" w14:paraId="735EB6A8"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Pr>
                <w:rFonts w:ascii="Times New Roman" w:hAnsi="Times New Roman"/>
                <w:color w:val="000000"/>
              </w:rPr>
              <w:t>Number of</w:t>
            </w:r>
          </w:p>
          <w:p w:rsidR="001455E6" w:rsidRPr="0060276D" w:rsidP="00B37551" w14:paraId="13924970"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sidRPr="0060276D">
              <w:rPr>
                <w:rFonts w:ascii="Times New Roman" w:hAnsi="Times New Roman"/>
                <w:color w:val="000000"/>
              </w:rPr>
              <w:t>Respondents</w:t>
            </w:r>
          </w:p>
        </w:tc>
        <w:tc>
          <w:tcPr>
            <w:tcW w:w="1260" w:type="dxa"/>
            <w:vAlign w:val="center"/>
          </w:tcPr>
          <w:p w:rsidR="001455E6" w:rsidRPr="0041425F" w:rsidP="001E0388" w14:paraId="6E1811A5"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Pr>
                <w:rFonts w:ascii="Times New Roman" w:hAnsi="Times New Roman"/>
                <w:color w:val="000000"/>
              </w:rPr>
              <w:t xml:space="preserve">Annual </w:t>
            </w:r>
            <w:r w:rsidR="00B37551">
              <w:rPr>
                <w:rFonts w:ascii="Times New Roman" w:hAnsi="Times New Roman"/>
                <w:color w:val="000000"/>
              </w:rPr>
              <w:t>Frequency</w:t>
            </w:r>
            <w:r w:rsidR="002759BF">
              <w:rPr>
                <w:rFonts w:ascii="Times New Roman" w:hAnsi="Times New Roman"/>
                <w:color w:val="000000"/>
              </w:rPr>
              <w:t xml:space="preserve"> </w:t>
            </w:r>
          </w:p>
        </w:tc>
        <w:tc>
          <w:tcPr>
            <w:tcW w:w="1260" w:type="dxa"/>
            <w:vAlign w:val="center"/>
          </w:tcPr>
          <w:p w:rsidR="001455E6" w:rsidRPr="0041425F" w:rsidP="00B37551" w14:paraId="2C69DD7B"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sidRPr="008340F4">
              <w:rPr>
                <w:rFonts w:ascii="Times New Roman" w:hAnsi="Times New Roman"/>
                <w:color w:val="000000"/>
              </w:rPr>
              <w:t>Total Annual Responses</w:t>
            </w:r>
          </w:p>
        </w:tc>
        <w:tc>
          <w:tcPr>
            <w:tcW w:w="1135" w:type="dxa"/>
            <w:vAlign w:val="center"/>
          </w:tcPr>
          <w:p w:rsidR="001455E6" w:rsidRPr="0041425F" w:rsidP="00B37551" w14:paraId="746278F1"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Pr>
                <w:rFonts w:ascii="Times New Roman" w:hAnsi="Times New Roman"/>
                <w:color w:val="000000"/>
              </w:rPr>
              <w:t>Time Per Response</w:t>
            </w:r>
            <w:r w:rsidR="002759BF">
              <w:rPr>
                <w:rFonts w:ascii="Times New Roman" w:hAnsi="Times New Roman"/>
                <w:color w:val="000000"/>
              </w:rPr>
              <w:t xml:space="preserve"> (Hours)</w:t>
            </w:r>
          </w:p>
        </w:tc>
        <w:tc>
          <w:tcPr>
            <w:tcW w:w="963" w:type="dxa"/>
            <w:vAlign w:val="center"/>
          </w:tcPr>
          <w:p w:rsidR="001455E6" w:rsidRPr="0041425F" w:rsidP="00B37551" w14:paraId="00C6BDC6"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Pr>
                <w:rFonts w:ascii="Times New Roman" w:hAnsi="Times New Roman"/>
                <w:color w:val="000000"/>
              </w:rPr>
              <w:t>Total</w:t>
            </w:r>
            <w:r w:rsidRPr="0041425F">
              <w:rPr>
                <w:rFonts w:ascii="Times New Roman" w:hAnsi="Times New Roman"/>
                <w:color w:val="000000"/>
              </w:rPr>
              <w:t xml:space="preserve"> Annual Burden </w:t>
            </w:r>
            <w:r>
              <w:rPr>
                <w:rFonts w:ascii="Times New Roman" w:hAnsi="Times New Roman"/>
                <w:color w:val="000000"/>
              </w:rPr>
              <w:t>(</w:t>
            </w:r>
            <w:r w:rsidRPr="0041425F">
              <w:rPr>
                <w:rFonts w:ascii="Times New Roman" w:hAnsi="Times New Roman"/>
                <w:color w:val="000000"/>
              </w:rPr>
              <w:t>Hours</w:t>
            </w:r>
            <w:r>
              <w:rPr>
                <w:rFonts w:ascii="Times New Roman" w:hAnsi="Times New Roman"/>
                <w:color w:val="000000"/>
              </w:rPr>
              <w:t>)</w:t>
            </w:r>
          </w:p>
        </w:tc>
        <w:tc>
          <w:tcPr>
            <w:tcW w:w="979" w:type="dxa"/>
          </w:tcPr>
          <w:p w:rsidR="001455E6" w:rsidP="00B37551" w14:paraId="636B1118"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p>
          <w:p w:rsidR="001455E6" w:rsidRPr="0041425F" w:rsidP="00B37551" w14:paraId="1D7BC074"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Pr>
                <w:rFonts w:ascii="Times New Roman" w:hAnsi="Times New Roman"/>
                <w:color w:val="000000"/>
              </w:rPr>
              <w:t>Hourly Rate*</w:t>
            </w:r>
          </w:p>
        </w:tc>
        <w:tc>
          <w:tcPr>
            <w:tcW w:w="1490" w:type="dxa"/>
          </w:tcPr>
          <w:p w:rsidR="001455E6" w:rsidP="00B37551" w14:paraId="2F92F550"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p>
          <w:p w:rsidR="001455E6" w:rsidP="00B37551" w14:paraId="33D9C95E" w14:textId="77777777">
            <w:pPr>
              <w:rPr>
                <w:rFonts w:ascii="Times New Roman" w:hAnsi="Times New Roman"/>
              </w:rPr>
            </w:pPr>
            <w:r w:rsidRPr="001455E6">
              <w:rPr>
                <w:rFonts w:ascii="Times New Roman" w:hAnsi="Times New Roman"/>
              </w:rPr>
              <w:t xml:space="preserve">Monetized </w:t>
            </w:r>
          </w:p>
          <w:p w:rsidR="008340F4" w:rsidP="00B37551" w14:paraId="450EE3AE" w14:textId="77777777">
            <w:pPr>
              <w:rPr>
                <w:rFonts w:ascii="Times New Roman" w:hAnsi="Times New Roman"/>
              </w:rPr>
            </w:pPr>
            <w:r>
              <w:rPr>
                <w:rFonts w:ascii="Times New Roman" w:hAnsi="Times New Roman"/>
              </w:rPr>
              <w:t>Value of Respondent</w:t>
            </w:r>
          </w:p>
          <w:p w:rsidR="008340F4" w:rsidRPr="00053866" w:rsidP="00B37551" w14:paraId="67415D74" w14:textId="77777777">
            <w:pPr>
              <w:rPr>
                <w:rFonts w:ascii="Times New Roman" w:hAnsi="Times New Roman"/>
              </w:rPr>
            </w:pPr>
            <w:r>
              <w:rPr>
                <w:rFonts w:ascii="Times New Roman" w:hAnsi="Times New Roman"/>
              </w:rPr>
              <w:t>Time</w:t>
            </w:r>
          </w:p>
        </w:tc>
      </w:tr>
      <w:tr w14:paraId="017F12A2" w14:textId="77777777" w:rsidTr="00287305">
        <w:tblPrEx>
          <w:tblW w:w="0" w:type="auto"/>
          <w:tblInd w:w="-338" w:type="dxa"/>
          <w:tblLayout w:type="fixed"/>
          <w:tblLook w:val="01E0"/>
        </w:tblPrEx>
        <w:tc>
          <w:tcPr>
            <w:tcW w:w="1706" w:type="dxa"/>
            <w:vAlign w:val="center"/>
          </w:tcPr>
          <w:p w:rsidR="001455E6" w:rsidRPr="0041425F" w:rsidP="00B37551" w14:paraId="2D884DB4"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sidRPr="0041425F">
              <w:rPr>
                <w:rFonts w:ascii="Times New Roman" w:hAnsi="Times New Roman"/>
                <w:color w:val="000000"/>
              </w:rPr>
              <w:t>Regular</w:t>
            </w:r>
          </w:p>
        </w:tc>
        <w:tc>
          <w:tcPr>
            <w:tcW w:w="1530" w:type="dxa"/>
            <w:vAlign w:val="bottom"/>
          </w:tcPr>
          <w:p w:rsidR="001455E6" w:rsidRPr="0041425F" w:rsidP="00B37551" w14:paraId="6119C602" w14:textId="4666FB50">
            <w:pPr>
              <w:widowControl/>
              <w:tabs>
                <w:tab w:val="left" w:pos="-1440"/>
                <w:tab w:val="left" w:pos="-720"/>
                <w:tab w:val="left" w:pos="28"/>
                <w:tab w:val="left" w:pos="547"/>
                <w:tab w:val="left" w:pos="1065"/>
                <w:tab w:val="left" w:pos="1584"/>
              </w:tabs>
              <w:jc w:val="center"/>
              <w:rPr>
                <w:rFonts w:ascii="Times New Roman" w:hAnsi="Times New Roman"/>
                <w:color w:val="000000"/>
              </w:rPr>
            </w:pPr>
            <w:r w:rsidRPr="0041425F">
              <w:rPr>
                <w:rFonts w:ascii="Times New Roman" w:hAnsi="Times New Roman"/>
                <w:color w:val="000000"/>
              </w:rPr>
              <w:t>53</w:t>
            </w:r>
            <w:r w:rsidR="008D22C6">
              <w:rPr>
                <w:rFonts w:ascii="Times New Roman" w:hAnsi="Times New Roman"/>
                <w:color w:val="000000"/>
              </w:rPr>
              <w:t>**</w:t>
            </w:r>
          </w:p>
        </w:tc>
        <w:tc>
          <w:tcPr>
            <w:tcW w:w="1260" w:type="dxa"/>
            <w:vAlign w:val="bottom"/>
          </w:tcPr>
          <w:p w:rsidR="001455E6" w:rsidRPr="0041425F" w:rsidP="00B37551" w14:paraId="34CE2FD7"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sidRPr="0041425F">
              <w:rPr>
                <w:rFonts w:ascii="Times New Roman" w:hAnsi="Times New Roman"/>
                <w:color w:val="000000"/>
              </w:rPr>
              <w:t>4</w:t>
            </w:r>
          </w:p>
        </w:tc>
        <w:tc>
          <w:tcPr>
            <w:tcW w:w="1260" w:type="dxa"/>
            <w:vAlign w:val="bottom"/>
          </w:tcPr>
          <w:p w:rsidR="001455E6" w:rsidRPr="0041425F" w:rsidP="00B37551" w14:paraId="650E2145"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Pr>
                <w:rFonts w:ascii="Times New Roman" w:hAnsi="Times New Roman"/>
                <w:color w:val="000000"/>
              </w:rPr>
              <w:t>212</w:t>
            </w:r>
          </w:p>
        </w:tc>
        <w:tc>
          <w:tcPr>
            <w:tcW w:w="1135" w:type="dxa"/>
            <w:vAlign w:val="bottom"/>
          </w:tcPr>
          <w:p w:rsidR="001455E6" w:rsidRPr="00A308A2" w:rsidP="00B37551" w14:paraId="6A1F4FEC" w14:textId="1E85D9FF">
            <w:pPr>
              <w:widowControl/>
              <w:tabs>
                <w:tab w:val="left" w:pos="-1440"/>
                <w:tab w:val="left" w:pos="-720"/>
                <w:tab w:val="left" w:pos="28"/>
                <w:tab w:val="left" w:pos="547"/>
                <w:tab w:val="left" w:pos="1065"/>
                <w:tab w:val="left" w:pos="1584"/>
              </w:tabs>
              <w:jc w:val="center"/>
              <w:rPr>
                <w:rFonts w:ascii="Times New Roman" w:hAnsi="Times New Roman"/>
              </w:rPr>
            </w:pPr>
            <w:r w:rsidRPr="00A308A2">
              <w:rPr>
                <w:rFonts w:ascii="Times New Roman" w:hAnsi="Times New Roman"/>
              </w:rPr>
              <w:t>4</w:t>
            </w:r>
          </w:p>
        </w:tc>
        <w:tc>
          <w:tcPr>
            <w:tcW w:w="963" w:type="dxa"/>
            <w:vAlign w:val="bottom"/>
          </w:tcPr>
          <w:p w:rsidR="001455E6" w:rsidRPr="00A308A2" w:rsidP="00B37551" w14:paraId="4E49F43D" w14:textId="1008D525">
            <w:pPr>
              <w:widowControl/>
              <w:tabs>
                <w:tab w:val="left" w:pos="-1440"/>
                <w:tab w:val="left" w:pos="-720"/>
                <w:tab w:val="left" w:pos="28"/>
                <w:tab w:val="left" w:pos="547"/>
                <w:tab w:val="left" w:pos="1065"/>
                <w:tab w:val="left" w:pos="1584"/>
              </w:tabs>
              <w:jc w:val="center"/>
              <w:rPr>
                <w:rFonts w:ascii="Times New Roman" w:hAnsi="Times New Roman"/>
              </w:rPr>
            </w:pPr>
            <w:r w:rsidRPr="00A308A2">
              <w:rPr>
                <w:rFonts w:ascii="Times New Roman" w:hAnsi="Times New Roman"/>
              </w:rPr>
              <w:t>848</w:t>
            </w:r>
          </w:p>
        </w:tc>
        <w:tc>
          <w:tcPr>
            <w:tcW w:w="979" w:type="dxa"/>
          </w:tcPr>
          <w:p w:rsidR="000B7CDB" w:rsidRPr="00A308A2" w:rsidP="00B37551" w14:paraId="09DF6184" w14:textId="77777777">
            <w:pPr>
              <w:widowControl/>
              <w:tabs>
                <w:tab w:val="left" w:pos="-1440"/>
                <w:tab w:val="left" w:pos="-720"/>
                <w:tab w:val="left" w:pos="28"/>
                <w:tab w:val="left" w:pos="547"/>
                <w:tab w:val="left" w:pos="1065"/>
                <w:tab w:val="left" w:pos="1584"/>
              </w:tabs>
              <w:jc w:val="center"/>
              <w:rPr>
                <w:rFonts w:ascii="Times New Roman" w:hAnsi="Times New Roman"/>
              </w:rPr>
            </w:pPr>
          </w:p>
          <w:p w:rsidR="001455E6" w:rsidRPr="00A308A2" w:rsidP="00287305" w14:paraId="062BAA65" w14:textId="627D7AB9">
            <w:pPr>
              <w:widowControl/>
              <w:tabs>
                <w:tab w:val="left" w:pos="-1440"/>
                <w:tab w:val="left" w:pos="-720"/>
                <w:tab w:val="left" w:pos="28"/>
                <w:tab w:val="left" w:pos="547"/>
                <w:tab w:val="left" w:pos="1065"/>
                <w:tab w:val="left" w:pos="1584"/>
              </w:tabs>
              <w:spacing w:before="240"/>
              <w:jc w:val="center"/>
              <w:rPr>
                <w:rFonts w:ascii="Times New Roman" w:hAnsi="Times New Roman"/>
              </w:rPr>
            </w:pPr>
            <w:r w:rsidRPr="00A308A2">
              <w:rPr>
                <w:rFonts w:ascii="Times New Roman" w:hAnsi="Times New Roman"/>
              </w:rPr>
              <w:t>$</w:t>
            </w:r>
            <w:r w:rsidR="00CC7259">
              <w:rPr>
                <w:rFonts w:ascii="Times New Roman" w:hAnsi="Times New Roman"/>
              </w:rPr>
              <w:t>62</w:t>
            </w:r>
          </w:p>
        </w:tc>
        <w:tc>
          <w:tcPr>
            <w:tcW w:w="1490" w:type="dxa"/>
            <w:vAlign w:val="center"/>
          </w:tcPr>
          <w:p w:rsidR="00676B76" w:rsidRPr="00A308A2" w:rsidP="00287305" w14:paraId="02EFF732" w14:textId="77777777">
            <w:pPr>
              <w:widowControl/>
              <w:tabs>
                <w:tab w:val="left" w:pos="-1440"/>
                <w:tab w:val="left" w:pos="-720"/>
                <w:tab w:val="left" w:pos="28"/>
                <w:tab w:val="left" w:pos="547"/>
                <w:tab w:val="left" w:pos="1065"/>
                <w:tab w:val="left" w:pos="1584"/>
              </w:tabs>
              <w:jc w:val="center"/>
              <w:rPr>
                <w:rFonts w:ascii="Times New Roman" w:hAnsi="Times New Roman"/>
              </w:rPr>
            </w:pPr>
          </w:p>
          <w:p w:rsidR="00676B76" w:rsidRPr="00A308A2" w:rsidP="00287305" w14:paraId="2F0F9D93" w14:textId="77777777">
            <w:pPr>
              <w:widowControl/>
              <w:tabs>
                <w:tab w:val="left" w:pos="-1440"/>
                <w:tab w:val="left" w:pos="-720"/>
                <w:tab w:val="left" w:pos="28"/>
                <w:tab w:val="left" w:pos="547"/>
                <w:tab w:val="left" w:pos="1065"/>
                <w:tab w:val="left" w:pos="1584"/>
              </w:tabs>
              <w:jc w:val="center"/>
              <w:rPr>
                <w:rFonts w:ascii="Times New Roman" w:hAnsi="Times New Roman"/>
              </w:rPr>
            </w:pPr>
          </w:p>
          <w:p w:rsidR="00000BCF" w:rsidRPr="00A308A2" w:rsidP="5EC17ADC" w14:paraId="54349D30" w14:textId="02D9E593">
            <w:pPr>
              <w:widowControl/>
              <w:tabs>
                <w:tab w:val="left" w:pos="28"/>
                <w:tab w:val="left" w:pos="547"/>
                <w:tab w:val="left" w:pos="1065"/>
                <w:tab w:val="left" w:pos="1584"/>
              </w:tabs>
              <w:jc w:val="center"/>
              <w:rPr>
                <w:rFonts w:ascii="Times New Roman" w:hAnsi="Times New Roman"/>
              </w:rPr>
            </w:pPr>
            <w:r w:rsidRPr="00A308A2">
              <w:rPr>
                <w:rFonts w:ascii="Times New Roman" w:hAnsi="Times New Roman"/>
              </w:rPr>
              <w:t>$</w:t>
            </w:r>
            <w:r w:rsidR="00CC7259">
              <w:rPr>
                <w:rFonts w:ascii="Times New Roman" w:hAnsi="Times New Roman"/>
              </w:rPr>
              <w:t>52,576</w:t>
            </w:r>
          </w:p>
        </w:tc>
      </w:tr>
      <w:tr w14:paraId="59894D01" w14:textId="77777777" w:rsidTr="00287305">
        <w:tblPrEx>
          <w:tblW w:w="0" w:type="auto"/>
          <w:tblInd w:w="-338" w:type="dxa"/>
          <w:tblLayout w:type="fixed"/>
          <w:tblLook w:val="01E0"/>
        </w:tblPrEx>
        <w:tc>
          <w:tcPr>
            <w:tcW w:w="1706" w:type="dxa"/>
            <w:vAlign w:val="center"/>
          </w:tcPr>
          <w:p w:rsidR="001455E6" w:rsidRPr="0041425F" w:rsidP="00B37551" w14:paraId="02FA7C50"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sidRPr="0041425F">
              <w:rPr>
                <w:rFonts w:ascii="Times New Roman" w:hAnsi="Times New Roman"/>
                <w:color w:val="000000"/>
              </w:rPr>
              <w:t>EB (Extended Benefits)</w:t>
            </w:r>
          </w:p>
        </w:tc>
        <w:tc>
          <w:tcPr>
            <w:tcW w:w="1530" w:type="dxa"/>
            <w:vAlign w:val="bottom"/>
          </w:tcPr>
          <w:p w:rsidR="001455E6" w:rsidRPr="0041425F" w:rsidP="00B37551" w14:paraId="5E7FCA06"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sidRPr="0041425F">
              <w:rPr>
                <w:rFonts w:ascii="Times New Roman" w:hAnsi="Times New Roman"/>
                <w:color w:val="000000"/>
              </w:rPr>
              <w:t>53</w:t>
            </w:r>
          </w:p>
        </w:tc>
        <w:tc>
          <w:tcPr>
            <w:tcW w:w="1260" w:type="dxa"/>
            <w:vAlign w:val="bottom"/>
          </w:tcPr>
          <w:p w:rsidR="001455E6" w:rsidRPr="0041425F" w:rsidP="00B37551" w14:paraId="67764006"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sidRPr="0041425F">
              <w:rPr>
                <w:rFonts w:ascii="Times New Roman" w:hAnsi="Times New Roman"/>
                <w:color w:val="000000"/>
              </w:rPr>
              <w:t>4</w:t>
            </w:r>
          </w:p>
        </w:tc>
        <w:tc>
          <w:tcPr>
            <w:tcW w:w="1260" w:type="dxa"/>
            <w:vAlign w:val="bottom"/>
          </w:tcPr>
          <w:p w:rsidR="001455E6" w:rsidRPr="0041425F" w:rsidP="00B37551" w14:paraId="3E8310BA" w14:textId="77777777">
            <w:pPr>
              <w:widowControl/>
              <w:tabs>
                <w:tab w:val="left" w:pos="-1440"/>
                <w:tab w:val="left" w:pos="-720"/>
                <w:tab w:val="left" w:pos="28"/>
                <w:tab w:val="left" w:pos="547"/>
                <w:tab w:val="left" w:pos="1065"/>
                <w:tab w:val="left" w:pos="1584"/>
              </w:tabs>
              <w:jc w:val="center"/>
              <w:rPr>
                <w:rFonts w:ascii="Times New Roman" w:hAnsi="Times New Roman"/>
                <w:color w:val="000000"/>
              </w:rPr>
            </w:pPr>
            <w:r>
              <w:rPr>
                <w:rFonts w:ascii="Times New Roman" w:hAnsi="Times New Roman"/>
                <w:color w:val="000000"/>
              </w:rPr>
              <w:t>212</w:t>
            </w:r>
          </w:p>
        </w:tc>
        <w:tc>
          <w:tcPr>
            <w:tcW w:w="1135" w:type="dxa"/>
            <w:vAlign w:val="bottom"/>
          </w:tcPr>
          <w:p w:rsidR="001455E6" w:rsidRPr="00A308A2" w:rsidP="00B37551" w14:paraId="452594A6" w14:textId="17DAEF7E">
            <w:pPr>
              <w:widowControl/>
              <w:tabs>
                <w:tab w:val="left" w:pos="-1440"/>
                <w:tab w:val="left" w:pos="-720"/>
                <w:tab w:val="left" w:pos="28"/>
                <w:tab w:val="left" w:pos="547"/>
                <w:tab w:val="left" w:pos="1065"/>
                <w:tab w:val="left" w:pos="1584"/>
              </w:tabs>
              <w:jc w:val="center"/>
              <w:rPr>
                <w:rFonts w:ascii="Times New Roman" w:hAnsi="Times New Roman"/>
              </w:rPr>
            </w:pPr>
            <w:r w:rsidRPr="00A308A2">
              <w:rPr>
                <w:rFonts w:ascii="Times New Roman" w:hAnsi="Times New Roman"/>
              </w:rPr>
              <w:t>4</w:t>
            </w:r>
            <w:r w:rsidRPr="00A308A2" w:rsidR="009B3D5D">
              <w:rPr>
                <w:rFonts w:ascii="Times New Roman" w:hAnsi="Times New Roman"/>
              </w:rPr>
              <w:t xml:space="preserve"> </w:t>
            </w:r>
          </w:p>
        </w:tc>
        <w:tc>
          <w:tcPr>
            <w:tcW w:w="963" w:type="dxa"/>
            <w:vAlign w:val="bottom"/>
          </w:tcPr>
          <w:p w:rsidR="001455E6" w:rsidRPr="00A308A2" w:rsidP="00B37551" w14:paraId="4DC47F6B" w14:textId="45227C2C">
            <w:pPr>
              <w:widowControl/>
              <w:tabs>
                <w:tab w:val="left" w:pos="-1440"/>
                <w:tab w:val="left" w:pos="-720"/>
                <w:tab w:val="left" w:pos="28"/>
                <w:tab w:val="left" w:pos="547"/>
                <w:tab w:val="left" w:pos="1065"/>
                <w:tab w:val="left" w:pos="1584"/>
              </w:tabs>
              <w:jc w:val="center"/>
              <w:rPr>
                <w:rFonts w:ascii="Times New Roman" w:hAnsi="Times New Roman"/>
              </w:rPr>
            </w:pPr>
            <w:r w:rsidRPr="00A308A2">
              <w:rPr>
                <w:rFonts w:ascii="Times New Roman" w:hAnsi="Times New Roman"/>
              </w:rPr>
              <w:t>848</w:t>
            </w:r>
          </w:p>
        </w:tc>
        <w:tc>
          <w:tcPr>
            <w:tcW w:w="979" w:type="dxa"/>
          </w:tcPr>
          <w:p w:rsidR="008340F4" w:rsidRPr="00A308A2" w:rsidP="00B37551" w14:paraId="065900EB" w14:textId="77777777">
            <w:pPr>
              <w:widowControl/>
              <w:tabs>
                <w:tab w:val="left" w:pos="-1440"/>
                <w:tab w:val="left" w:pos="-720"/>
                <w:tab w:val="left" w:pos="28"/>
                <w:tab w:val="left" w:pos="547"/>
                <w:tab w:val="left" w:pos="1065"/>
                <w:tab w:val="left" w:pos="1584"/>
              </w:tabs>
              <w:jc w:val="center"/>
              <w:rPr>
                <w:rFonts w:ascii="Times New Roman" w:hAnsi="Times New Roman"/>
              </w:rPr>
            </w:pPr>
          </w:p>
          <w:p w:rsidR="008340F4" w:rsidRPr="00A308A2" w:rsidP="00B37551" w14:paraId="1F84F111" w14:textId="77777777">
            <w:pPr>
              <w:widowControl/>
              <w:tabs>
                <w:tab w:val="left" w:pos="-1440"/>
                <w:tab w:val="left" w:pos="-720"/>
                <w:tab w:val="left" w:pos="28"/>
                <w:tab w:val="left" w:pos="547"/>
                <w:tab w:val="left" w:pos="1065"/>
                <w:tab w:val="left" w:pos="1584"/>
              </w:tabs>
              <w:jc w:val="center"/>
              <w:rPr>
                <w:rFonts w:ascii="Times New Roman" w:hAnsi="Times New Roman"/>
              </w:rPr>
            </w:pPr>
          </w:p>
          <w:p w:rsidR="001455E6" w:rsidRPr="00A308A2" w:rsidP="00B37551" w14:paraId="4A20EDC5" w14:textId="14E42489">
            <w:pPr>
              <w:widowControl/>
              <w:tabs>
                <w:tab w:val="left" w:pos="-1440"/>
                <w:tab w:val="left" w:pos="-720"/>
                <w:tab w:val="left" w:pos="28"/>
                <w:tab w:val="left" w:pos="547"/>
                <w:tab w:val="left" w:pos="1065"/>
                <w:tab w:val="left" w:pos="1584"/>
              </w:tabs>
              <w:jc w:val="center"/>
              <w:rPr>
                <w:rFonts w:ascii="Times New Roman" w:hAnsi="Times New Roman"/>
              </w:rPr>
            </w:pPr>
            <w:r w:rsidRPr="00A308A2">
              <w:rPr>
                <w:rFonts w:ascii="Times New Roman" w:hAnsi="Times New Roman"/>
              </w:rPr>
              <w:t>$</w:t>
            </w:r>
            <w:r w:rsidR="00CC7259">
              <w:rPr>
                <w:rFonts w:ascii="Times New Roman" w:hAnsi="Times New Roman"/>
              </w:rPr>
              <w:t>62</w:t>
            </w:r>
          </w:p>
        </w:tc>
        <w:tc>
          <w:tcPr>
            <w:tcW w:w="1490" w:type="dxa"/>
            <w:vAlign w:val="center"/>
          </w:tcPr>
          <w:p w:rsidR="00676B76" w:rsidRPr="00A308A2" w:rsidP="00676B76" w14:paraId="41F9D6B2" w14:textId="77777777">
            <w:pPr>
              <w:widowControl/>
              <w:tabs>
                <w:tab w:val="left" w:pos="-1440"/>
                <w:tab w:val="left" w:pos="-720"/>
                <w:tab w:val="left" w:pos="28"/>
                <w:tab w:val="left" w:pos="547"/>
                <w:tab w:val="left" w:pos="1065"/>
                <w:tab w:val="left" w:pos="1584"/>
              </w:tabs>
              <w:contextualSpacing/>
              <w:jc w:val="center"/>
              <w:rPr>
                <w:rFonts w:ascii="Times New Roman" w:hAnsi="Times New Roman"/>
              </w:rPr>
            </w:pPr>
          </w:p>
          <w:p w:rsidR="00676B76" w:rsidRPr="00A308A2" w:rsidP="00676B76" w14:paraId="3F226A92" w14:textId="77777777">
            <w:pPr>
              <w:widowControl/>
              <w:tabs>
                <w:tab w:val="left" w:pos="-1440"/>
                <w:tab w:val="left" w:pos="-720"/>
                <w:tab w:val="left" w:pos="28"/>
                <w:tab w:val="left" w:pos="547"/>
                <w:tab w:val="left" w:pos="1065"/>
                <w:tab w:val="left" w:pos="1584"/>
              </w:tabs>
              <w:contextualSpacing/>
              <w:jc w:val="center"/>
              <w:rPr>
                <w:rFonts w:ascii="Times New Roman" w:hAnsi="Times New Roman"/>
              </w:rPr>
            </w:pPr>
          </w:p>
          <w:p w:rsidR="008340F4" w:rsidRPr="00A308A2" w:rsidP="00676B76" w14:paraId="1C1B2C90" w14:textId="0F5A5D56">
            <w:pPr>
              <w:widowControl/>
              <w:tabs>
                <w:tab w:val="left" w:pos="-1440"/>
                <w:tab w:val="left" w:pos="-720"/>
                <w:tab w:val="left" w:pos="28"/>
                <w:tab w:val="left" w:pos="547"/>
                <w:tab w:val="left" w:pos="1065"/>
                <w:tab w:val="left" w:pos="1584"/>
              </w:tabs>
              <w:contextualSpacing/>
              <w:jc w:val="center"/>
              <w:rPr>
                <w:rFonts w:ascii="Times New Roman" w:hAnsi="Times New Roman"/>
              </w:rPr>
            </w:pPr>
            <w:r w:rsidRPr="00A308A2">
              <w:rPr>
                <w:rFonts w:ascii="Times New Roman" w:hAnsi="Times New Roman"/>
              </w:rPr>
              <w:t>$</w:t>
            </w:r>
            <w:r w:rsidR="00CC7259">
              <w:rPr>
                <w:rFonts w:ascii="Times New Roman" w:hAnsi="Times New Roman"/>
              </w:rPr>
              <w:t>52,576</w:t>
            </w:r>
            <w:r w:rsidRPr="00A308A2" w:rsidR="00715D00">
              <w:rPr>
                <w:rFonts w:ascii="Times New Roman" w:hAnsi="Times New Roman"/>
              </w:rPr>
              <w:t xml:space="preserve"> </w:t>
            </w:r>
          </w:p>
        </w:tc>
      </w:tr>
      <w:tr w14:paraId="0D7F50EB" w14:textId="77777777" w:rsidTr="00287305">
        <w:tblPrEx>
          <w:tblW w:w="0" w:type="auto"/>
          <w:tblInd w:w="-338" w:type="dxa"/>
          <w:tblLayout w:type="fixed"/>
          <w:tblLook w:val="01E0"/>
        </w:tblPrEx>
        <w:tc>
          <w:tcPr>
            <w:tcW w:w="1706" w:type="dxa"/>
            <w:vAlign w:val="center"/>
          </w:tcPr>
          <w:p w:rsidR="001455E6" w:rsidRPr="00617EC4" w:rsidP="00B37551" w14:paraId="035BFE27" w14:textId="77777777">
            <w:pPr>
              <w:widowControl/>
              <w:tabs>
                <w:tab w:val="left" w:pos="-1440"/>
                <w:tab w:val="left" w:pos="-720"/>
                <w:tab w:val="left" w:pos="28"/>
                <w:tab w:val="left" w:pos="547"/>
                <w:tab w:val="left" w:pos="1065"/>
                <w:tab w:val="left" w:pos="1584"/>
              </w:tabs>
              <w:jc w:val="center"/>
              <w:rPr>
                <w:rFonts w:ascii="Times New Roman" w:hAnsi="Times New Roman"/>
                <w:b/>
                <w:i/>
                <w:color w:val="000000"/>
              </w:rPr>
            </w:pPr>
            <w:r w:rsidRPr="00617EC4">
              <w:rPr>
                <w:rFonts w:ascii="Times New Roman" w:hAnsi="Times New Roman"/>
                <w:b/>
                <w:i/>
                <w:color w:val="000000"/>
              </w:rPr>
              <w:t>Unduplicated Total</w:t>
            </w:r>
            <w:r w:rsidRPr="00617EC4" w:rsidR="00F5666D">
              <w:rPr>
                <w:rFonts w:ascii="Times New Roman" w:hAnsi="Times New Roman"/>
                <w:b/>
                <w:i/>
                <w:color w:val="000000"/>
              </w:rPr>
              <w:t>s</w:t>
            </w:r>
          </w:p>
        </w:tc>
        <w:tc>
          <w:tcPr>
            <w:tcW w:w="1530" w:type="dxa"/>
            <w:vAlign w:val="center"/>
          </w:tcPr>
          <w:p w:rsidR="00617EC4" w:rsidP="0088775F" w14:paraId="7B31C906" w14:textId="77777777">
            <w:pPr>
              <w:widowControl/>
              <w:tabs>
                <w:tab w:val="left" w:pos="-1440"/>
                <w:tab w:val="left" w:pos="-720"/>
                <w:tab w:val="left" w:pos="28"/>
                <w:tab w:val="left" w:pos="547"/>
                <w:tab w:val="left" w:pos="1065"/>
                <w:tab w:val="left" w:pos="1584"/>
              </w:tabs>
              <w:jc w:val="center"/>
              <w:rPr>
                <w:rFonts w:ascii="Times New Roman" w:hAnsi="Times New Roman"/>
                <w:b/>
                <w:i/>
                <w:color w:val="000000"/>
              </w:rPr>
            </w:pPr>
          </w:p>
          <w:p w:rsidR="001455E6" w:rsidRPr="00617EC4" w:rsidP="0088775F" w14:paraId="3FF9E77C" w14:textId="77777777">
            <w:pPr>
              <w:widowControl/>
              <w:tabs>
                <w:tab w:val="left" w:pos="-1440"/>
                <w:tab w:val="left" w:pos="-720"/>
                <w:tab w:val="left" w:pos="28"/>
                <w:tab w:val="left" w:pos="547"/>
                <w:tab w:val="left" w:pos="1065"/>
                <w:tab w:val="left" w:pos="1584"/>
              </w:tabs>
              <w:jc w:val="center"/>
              <w:rPr>
                <w:rFonts w:ascii="Times New Roman" w:hAnsi="Times New Roman"/>
                <w:b/>
                <w:i/>
                <w:color w:val="000000"/>
              </w:rPr>
            </w:pPr>
            <w:r w:rsidRPr="00617EC4">
              <w:rPr>
                <w:rFonts w:ascii="Times New Roman" w:hAnsi="Times New Roman"/>
                <w:b/>
                <w:i/>
                <w:color w:val="000000"/>
              </w:rPr>
              <w:t>53</w:t>
            </w:r>
          </w:p>
        </w:tc>
        <w:tc>
          <w:tcPr>
            <w:tcW w:w="1260" w:type="dxa"/>
            <w:vAlign w:val="bottom"/>
          </w:tcPr>
          <w:p w:rsidR="001455E6" w:rsidRPr="00617EC4" w:rsidP="00B37551" w14:paraId="71326712" w14:textId="77777777">
            <w:pPr>
              <w:widowControl/>
              <w:tabs>
                <w:tab w:val="left" w:pos="-1440"/>
                <w:tab w:val="left" w:pos="-720"/>
                <w:tab w:val="left" w:pos="28"/>
                <w:tab w:val="left" w:pos="547"/>
                <w:tab w:val="left" w:pos="1065"/>
                <w:tab w:val="left" w:pos="1584"/>
              </w:tabs>
              <w:jc w:val="center"/>
              <w:rPr>
                <w:rFonts w:ascii="Times New Roman" w:hAnsi="Times New Roman"/>
                <w:b/>
                <w:i/>
                <w:color w:val="000000"/>
              </w:rPr>
            </w:pPr>
          </w:p>
        </w:tc>
        <w:tc>
          <w:tcPr>
            <w:tcW w:w="1260" w:type="dxa"/>
            <w:vAlign w:val="bottom"/>
          </w:tcPr>
          <w:p w:rsidR="001455E6" w:rsidRPr="00617EC4" w:rsidP="00B37551" w14:paraId="35A91460" w14:textId="77777777">
            <w:pPr>
              <w:widowControl/>
              <w:tabs>
                <w:tab w:val="left" w:pos="-1440"/>
                <w:tab w:val="left" w:pos="-720"/>
                <w:tab w:val="left" w:pos="28"/>
                <w:tab w:val="left" w:pos="547"/>
                <w:tab w:val="left" w:pos="1065"/>
                <w:tab w:val="left" w:pos="1584"/>
              </w:tabs>
              <w:jc w:val="center"/>
              <w:rPr>
                <w:rFonts w:ascii="Times New Roman" w:hAnsi="Times New Roman"/>
                <w:b/>
                <w:i/>
                <w:color w:val="000000"/>
              </w:rPr>
            </w:pPr>
            <w:r w:rsidRPr="00617EC4">
              <w:rPr>
                <w:rFonts w:ascii="Times New Roman" w:hAnsi="Times New Roman"/>
                <w:b/>
                <w:i/>
                <w:color w:val="000000"/>
              </w:rPr>
              <w:t>424</w:t>
            </w:r>
          </w:p>
        </w:tc>
        <w:tc>
          <w:tcPr>
            <w:tcW w:w="1135" w:type="dxa"/>
            <w:vAlign w:val="bottom"/>
          </w:tcPr>
          <w:p w:rsidR="001455E6" w:rsidRPr="00A308A2" w:rsidP="00B37551" w14:paraId="327F8403" w14:textId="77777777">
            <w:pPr>
              <w:widowControl/>
              <w:tabs>
                <w:tab w:val="left" w:pos="-1440"/>
                <w:tab w:val="left" w:pos="-720"/>
                <w:tab w:val="left" w:pos="28"/>
                <w:tab w:val="left" w:pos="547"/>
                <w:tab w:val="left" w:pos="1065"/>
                <w:tab w:val="left" w:pos="1584"/>
              </w:tabs>
              <w:jc w:val="center"/>
              <w:rPr>
                <w:rFonts w:ascii="Times New Roman" w:hAnsi="Times New Roman"/>
                <w:b/>
                <w:i/>
              </w:rPr>
            </w:pPr>
          </w:p>
        </w:tc>
        <w:tc>
          <w:tcPr>
            <w:tcW w:w="963" w:type="dxa"/>
            <w:vAlign w:val="bottom"/>
          </w:tcPr>
          <w:p w:rsidR="001455E6" w:rsidRPr="00A308A2" w:rsidP="00B37551" w14:paraId="60F83876" w14:textId="28B74DEF">
            <w:pPr>
              <w:widowControl/>
              <w:tabs>
                <w:tab w:val="left" w:pos="-1440"/>
                <w:tab w:val="left" w:pos="-720"/>
                <w:tab w:val="left" w:pos="28"/>
                <w:tab w:val="left" w:pos="547"/>
                <w:tab w:val="left" w:pos="1065"/>
                <w:tab w:val="left" w:pos="1584"/>
              </w:tabs>
              <w:jc w:val="center"/>
              <w:rPr>
                <w:rFonts w:ascii="Times New Roman" w:hAnsi="Times New Roman"/>
                <w:b/>
                <w:i/>
              </w:rPr>
            </w:pPr>
            <w:r w:rsidRPr="00A308A2">
              <w:rPr>
                <w:rFonts w:ascii="Times New Roman" w:hAnsi="Times New Roman"/>
                <w:b/>
                <w:i/>
              </w:rPr>
              <w:t>1,696</w:t>
            </w:r>
          </w:p>
        </w:tc>
        <w:tc>
          <w:tcPr>
            <w:tcW w:w="979" w:type="dxa"/>
          </w:tcPr>
          <w:p w:rsidR="001455E6" w:rsidRPr="00A308A2" w:rsidP="00B37551" w14:paraId="2D9AEAC0" w14:textId="77777777">
            <w:pPr>
              <w:widowControl/>
              <w:tabs>
                <w:tab w:val="left" w:pos="-1440"/>
                <w:tab w:val="left" w:pos="-720"/>
                <w:tab w:val="left" w:pos="28"/>
                <w:tab w:val="left" w:pos="547"/>
                <w:tab w:val="left" w:pos="1065"/>
                <w:tab w:val="left" w:pos="1584"/>
              </w:tabs>
              <w:jc w:val="center"/>
              <w:rPr>
                <w:rFonts w:ascii="Times New Roman" w:hAnsi="Times New Roman"/>
                <w:b/>
                <w:i/>
              </w:rPr>
            </w:pPr>
          </w:p>
          <w:p w:rsidR="0088775F" w:rsidRPr="00A308A2" w:rsidP="00B37551" w14:paraId="2B2C8019" w14:textId="77777777">
            <w:pPr>
              <w:widowControl/>
              <w:tabs>
                <w:tab w:val="left" w:pos="-1440"/>
                <w:tab w:val="left" w:pos="-720"/>
                <w:tab w:val="left" w:pos="28"/>
                <w:tab w:val="left" w:pos="547"/>
                <w:tab w:val="left" w:pos="1065"/>
                <w:tab w:val="left" w:pos="1584"/>
              </w:tabs>
              <w:jc w:val="center"/>
              <w:rPr>
                <w:rFonts w:ascii="Times New Roman" w:hAnsi="Times New Roman"/>
                <w:b/>
                <w:i/>
              </w:rPr>
            </w:pPr>
          </w:p>
        </w:tc>
        <w:tc>
          <w:tcPr>
            <w:tcW w:w="1490" w:type="dxa"/>
            <w:vAlign w:val="center"/>
          </w:tcPr>
          <w:p w:rsidR="00676B76" w:rsidRPr="00A308A2" w:rsidP="00676B76" w14:paraId="26E1D143" w14:textId="77777777">
            <w:pPr>
              <w:widowControl/>
              <w:tabs>
                <w:tab w:val="left" w:pos="-1440"/>
                <w:tab w:val="left" w:pos="-720"/>
                <w:tab w:val="left" w:pos="28"/>
                <w:tab w:val="left" w:pos="547"/>
                <w:tab w:val="left" w:pos="1065"/>
                <w:tab w:val="left" w:pos="1584"/>
              </w:tabs>
              <w:jc w:val="center"/>
              <w:rPr>
                <w:rFonts w:ascii="Times New Roman" w:hAnsi="Times New Roman"/>
                <w:b/>
                <w:i/>
              </w:rPr>
            </w:pPr>
          </w:p>
          <w:p w:rsidR="008340F4" w:rsidRPr="00A308A2" w:rsidP="00676B76" w14:paraId="24E2024F" w14:textId="18BB5D3F">
            <w:pPr>
              <w:widowControl/>
              <w:tabs>
                <w:tab w:val="left" w:pos="-1440"/>
                <w:tab w:val="left" w:pos="-720"/>
                <w:tab w:val="left" w:pos="28"/>
                <w:tab w:val="left" w:pos="547"/>
                <w:tab w:val="left" w:pos="1065"/>
                <w:tab w:val="left" w:pos="1584"/>
              </w:tabs>
              <w:jc w:val="center"/>
              <w:rPr>
                <w:rFonts w:ascii="Times New Roman" w:hAnsi="Times New Roman"/>
                <w:b/>
                <w:i/>
              </w:rPr>
            </w:pPr>
            <w:r w:rsidRPr="00A308A2">
              <w:rPr>
                <w:rFonts w:ascii="Times New Roman" w:hAnsi="Times New Roman"/>
                <w:b/>
                <w:i/>
              </w:rPr>
              <w:t>$</w:t>
            </w:r>
            <w:r w:rsidR="00131238">
              <w:rPr>
                <w:rFonts w:ascii="Times New Roman" w:hAnsi="Times New Roman"/>
                <w:b/>
                <w:i/>
              </w:rPr>
              <w:t>105,152</w:t>
            </w:r>
          </w:p>
        </w:tc>
      </w:tr>
    </w:tbl>
    <w:p w:rsidR="0054137D" w:rsidRPr="0054137D" w:rsidP="0054137D" w14:paraId="1D78EE21" w14:textId="508C5C5A">
      <w:pPr>
        <w:contextualSpacing/>
        <w:rPr>
          <w:rFonts w:ascii="Times New Roman" w:hAnsi="Times New Roman"/>
          <w:sz w:val="20"/>
          <w:szCs w:val="20"/>
        </w:rPr>
      </w:pPr>
      <w:bookmarkStart w:id="0" w:name="_Hlk127961663"/>
      <w:bookmarkStart w:id="1" w:name="_Hlk119585834"/>
    </w:p>
    <w:p w:rsidR="00CC7259" w:rsidP="00CC7259" w14:paraId="30B84F6B" w14:textId="727B181F">
      <w:pPr>
        <w:rPr>
          <w:rFonts w:ascii="Times New Roman" w:hAnsi="Times New Roman"/>
          <w:i/>
          <w:iCs/>
          <w:sz w:val="22"/>
          <w:szCs w:val="22"/>
        </w:rPr>
      </w:pPr>
    </w:p>
    <w:p w:rsidR="00CC7259" w:rsidRPr="00FB17D6" w:rsidP="00CC7259" w14:paraId="2A4D2B9B" w14:textId="77777777">
      <w:pPr>
        <w:rPr>
          <w:rFonts w:ascii="Times New Roman" w:hAnsi="Times New Roman"/>
          <w:sz w:val="20"/>
          <w:szCs w:val="20"/>
        </w:rPr>
      </w:pPr>
      <w:r w:rsidRPr="00FB17D6">
        <w:rPr>
          <w:rFonts w:ascii="Times New Roman" w:hAnsi="Times New Roman"/>
          <w:sz w:val="20"/>
          <w:szCs w:val="20"/>
        </w:rPr>
        <w:t xml:space="preserve">*Source: The hourly rate is computed by dividing the FY 2026 national average PS/PB annual salary for state staff as provided for through the distribution of state UI administrative grants </w:t>
      </w:r>
    </w:p>
    <w:p w:rsidR="00CC7259" w:rsidRPr="00FB17D6" w:rsidP="00CC7259" w14:paraId="6D8E9D6A" w14:textId="77777777">
      <w:pPr>
        <w:rPr>
          <w:rFonts w:ascii="Times New Roman" w:hAnsi="Times New Roman"/>
          <w:sz w:val="20"/>
          <w:szCs w:val="20"/>
        </w:rPr>
      </w:pPr>
      <w:r w:rsidRPr="00FB17D6">
        <w:rPr>
          <w:rFonts w:ascii="Times New Roman" w:hAnsi="Times New Roman"/>
          <w:sz w:val="20"/>
          <w:szCs w:val="20"/>
        </w:rPr>
        <w:t>(</w:t>
      </w:r>
      <w:hyperlink r:id="rId8" w:history="1">
        <w:r w:rsidRPr="00FB17D6">
          <w:rPr>
            <w:rStyle w:val="Hyperlink"/>
            <w:rFonts w:ascii="Times New Roman" w:hAnsi="Times New Roman"/>
            <w:sz w:val="20"/>
            <w:szCs w:val="20"/>
          </w:rPr>
          <w:t>https://www.dol.gov/agencies/eta/advisories/uipl-15-25</w:t>
        </w:r>
      </w:hyperlink>
      <w:r w:rsidRPr="00FB17D6">
        <w:rPr>
          <w:rFonts w:ascii="Times New Roman" w:hAnsi="Times New Roman"/>
          <w:sz w:val="20"/>
          <w:szCs w:val="20"/>
        </w:rPr>
        <w:t xml:space="preserve"> </w:t>
      </w:r>
      <w:hyperlink r:id="rId9" w:history="1">
        <w:r w:rsidRPr="00FB17D6">
          <w:rPr>
            <w:rStyle w:val="Hyperlink"/>
            <w:rFonts w:ascii="Times New Roman" w:hAnsi="Times New Roman"/>
            <w:color w:val="0563C1"/>
            <w:sz w:val="20"/>
            <w:szCs w:val="20"/>
          </w:rPr>
          <w:t>)</w:t>
        </w:r>
      </w:hyperlink>
      <w:r w:rsidRPr="00FB17D6">
        <w:rPr>
          <w:rFonts w:ascii="Times New Roman" w:hAnsi="Times New Roman"/>
          <w:sz w:val="20"/>
          <w:szCs w:val="20"/>
        </w:rPr>
        <w:t>by the average number of hours worked in a year (1,711).  For FY 2026, this calculation is: $104,553/ 1,711= $62.</w:t>
      </w:r>
    </w:p>
    <w:bookmarkEnd w:id="0"/>
    <w:bookmarkEnd w:id="1"/>
    <w:p w:rsidR="0078662F" w:rsidRPr="00097475" w:rsidP="00C95D30" w14:paraId="5D6B9E9E" w14:textId="4DEF6545">
      <w:pPr>
        <w:contextualSpacing/>
        <w:rPr>
          <w:rFonts w:ascii="Times New Roman" w:hAnsi="Times New Roman"/>
          <w:color w:val="000000"/>
          <w:sz w:val="20"/>
          <w:szCs w:val="20"/>
        </w:rPr>
      </w:pPr>
      <w:r w:rsidRPr="00C95D30">
        <w:rPr>
          <w:rFonts w:ascii="Times New Roman" w:hAnsi="Times New Roman"/>
          <w:sz w:val="20"/>
          <w:szCs w:val="20"/>
        </w:rPr>
        <w:t xml:space="preserve"> </w:t>
      </w:r>
      <w:r w:rsidRPr="00097475" w:rsidR="00993D94">
        <w:rPr>
          <w:rFonts w:ascii="Times New Roman" w:hAnsi="Times New Roman"/>
          <w:color w:val="000000"/>
          <w:sz w:val="20"/>
          <w:szCs w:val="20"/>
        </w:rPr>
        <w:t>**</w:t>
      </w:r>
      <w:r w:rsidR="00993D94">
        <w:rPr>
          <w:rFonts w:ascii="Times New Roman" w:hAnsi="Times New Roman"/>
          <w:color w:val="000000"/>
          <w:sz w:val="20"/>
          <w:szCs w:val="20"/>
        </w:rPr>
        <w:t xml:space="preserve">The number of respondents </w:t>
      </w:r>
      <w:r w:rsidR="00AE1D25">
        <w:rPr>
          <w:rFonts w:ascii="Times New Roman" w:hAnsi="Times New Roman"/>
          <w:color w:val="000000"/>
          <w:sz w:val="20"/>
          <w:szCs w:val="20"/>
        </w:rPr>
        <w:t xml:space="preserve">reflects the entities operating UI programs, which </w:t>
      </w:r>
      <w:r w:rsidR="00993D94">
        <w:rPr>
          <w:rFonts w:ascii="Times New Roman" w:hAnsi="Times New Roman"/>
          <w:color w:val="000000"/>
          <w:sz w:val="20"/>
          <w:szCs w:val="20"/>
        </w:rPr>
        <w:t>include all 50 states, the District of Columbia, Puerto Rico, and the US Virgin Islands.</w:t>
      </w:r>
    </w:p>
    <w:p w:rsidR="00C95D30" w:rsidRPr="006E2C2C" w:rsidP="00B37551" w14:paraId="74E3786B" w14:textId="77777777">
      <w:pPr>
        <w:widowControl/>
        <w:autoSpaceDE/>
        <w:autoSpaceDN/>
        <w:adjustRightInd/>
        <w:rPr>
          <w:rFonts w:ascii="Times New Roman" w:hAnsi="Times New Roman"/>
          <w:color w:val="000000"/>
        </w:rPr>
      </w:pPr>
    </w:p>
    <w:p w:rsidR="008B5F3C" w:rsidRPr="00287305" w:rsidP="00B37551" w14:paraId="04B0FAF4" w14:textId="3D2FFC01">
      <w:pPr>
        <w:widowControl/>
        <w:autoSpaceDE/>
        <w:autoSpaceDN/>
        <w:adjustRightInd/>
        <w:rPr>
          <w:rFonts w:ascii="Times New Roman" w:hAnsi="Times New Roman"/>
          <w:b/>
          <w:bCs/>
        </w:rPr>
      </w:pPr>
      <w:r w:rsidRPr="00287305">
        <w:rPr>
          <w:rFonts w:ascii="Times New Roman" w:hAnsi="Times New Roman"/>
          <w:b/>
          <w:bCs/>
        </w:rPr>
        <w:t>13. Provide an estimate for the total annual cost burden to respondents or record keepers resulting from the collection of information.</w:t>
      </w:r>
      <w:r w:rsidR="008D22C6">
        <w:rPr>
          <w:rFonts w:ascii="Times New Roman" w:hAnsi="Times New Roman"/>
          <w:b/>
          <w:bCs/>
        </w:rPr>
        <w:t xml:space="preserve"> </w:t>
      </w:r>
      <w:r w:rsidRPr="00287305">
        <w:rPr>
          <w:rFonts w:ascii="Times New Roman" w:hAnsi="Times New Roman"/>
          <w:b/>
          <w:bCs/>
        </w:rPr>
        <w:t>(Do not include the cost of any hour burden already reflected on the burden worksheet).</w:t>
      </w:r>
    </w:p>
    <w:p w:rsidR="00350F8A" w:rsidRPr="0041425F" w:rsidP="00B37551" w14:paraId="1498172B" w14:textId="77777777">
      <w:pPr>
        <w:widowControl/>
        <w:rPr>
          <w:rFonts w:ascii="Times New Roman" w:hAnsi="Times New Roman"/>
          <w:color w:val="000000"/>
        </w:rPr>
      </w:pPr>
    </w:p>
    <w:p w:rsidR="00317A34" w:rsidP="008340F4" w14:paraId="29BD8CC3" w14:textId="372DAFAA">
      <w:pPr>
        <w:widowControl/>
        <w:autoSpaceDE/>
        <w:autoSpaceDN/>
        <w:adjustRightInd/>
      </w:pPr>
      <w:r w:rsidRPr="60B30DCD">
        <w:rPr>
          <w:rFonts w:ascii="Times New Roman" w:hAnsi="Times New Roman"/>
          <w:color w:val="000000" w:themeColor="text1"/>
        </w:rPr>
        <w:t>The ETA 207 is a longstanding data collection, and as such t</w:t>
      </w:r>
      <w:r w:rsidRPr="60B30DCD" w:rsidR="00630C56">
        <w:rPr>
          <w:rFonts w:ascii="Times New Roman" w:hAnsi="Times New Roman"/>
          <w:color w:val="000000" w:themeColor="text1"/>
        </w:rPr>
        <w:t>here are no startup costs</w:t>
      </w:r>
      <w:r w:rsidR="00E30A0C">
        <w:rPr>
          <w:rFonts w:ascii="Times New Roman" w:hAnsi="Times New Roman"/>
          <w:color w:val="000000" w:themeColor="text1"/>
        </w:rPr>
        <w:t xml:space="preserve">. </w:t>
      </w:r>
      <w:r w:rsidRPr="6EAD31E1" w:rsidR="00630C56">
        <w:rPr>
          <w:rFonts w:ascii="Times New Roman" w:hAnsi="Times New Roman"/>
          <w:color w:val="000000" w:themeColor="text1"/>
        </w:rPr>
        <w:t>All</w:t>
      </w:r>
      <w:r w:rsidRPr="60B30DCD" w:rsidR="00630C56">
        <w:rPr>
          <w:rFonts w:ascii="Times New Roman" w:hAnsi="Times New Roman"/>
          <w:color w:val="000000" w:themeColor="text1"/>
        </w:rPr>
        <w:t xml:space="preserve"> reports are collected and electronically transmitted.</w:t>
      </w:r>
      <w:r w:rsidR="00C3144C">
        <w:rPr>
          <w:rFonts w:ascii="Times New Roman" w:hAnsi="Times New Roman"/>
          <w:color w:val="000000" w:themeColor="text1"/>
        </w:rPr>
        <w:t xml:space="preserve"> </w:t>
      </w:r>
      <w:r w:rsidRPr="60B30DCD" w:rsidR="00910D91">
        <w:rPr>
          <w:rFonts w:ascii="Times New Roman" w:hAnsi="Times New Roman"/>
          <w:color w:val="000000" w:themeColor="text1"/>
        </w:rPr>
        <w:t>The UI system</w:t>
      </w:r>
      <w:r w:rsidRPr="60B30DCD" w:rsidR="00BE44EF">
        <w:rPr>
          <w:rFonts w:ascii="Times New Roman" w:hAnsi="Times New Roman"/>
          <w:color w:val="000000" w:themeColor="text1"/>
        </w:rPr>
        <w:t xml:space="preserve"> </w:t>
      </w:r>
      <w:r w:rsidRPr="60B30DCD" w:rsidR="00910D91">
        <w:rPr>
          <w:rFonts w:ascii="Times New Roman" w:hAnsi="Times New Roman"/>
          <w:color w:val="000000" w:themeColor="text1"/>
        </w:rPr>
        <w:t>supports 30 information collections.</w:t>
      </w:r>
      <w:r w:rsidRPr="60B30DCD" w:rsidR="008D22C6">
        <w:rPr>
          <w:rFonts w:ascii="Times New Roman" w:hAnsi="Times New Roman"/>
          <w:color w:val="000000" w:themeColor="text1"/>
        </w:rPr>
        <w:t xml:space="preserve"> </w:t>
      </w:r>
      <w:r w:rsidRPr="60B30DCD" w:rsidR="00910D91">
        <w:rPr>
          <w:rFonts w:ascii="Times New Roman" w:hAnsi="Times New Roman"/>
          <w:color w:val="000000" w:themeColor="text1"/>
        </w:rPr>
        <w:t>For administrative purposes, each information collection is assumed to contribute an equal share of the cost for supporting the entire system (see item 14); which</w:t>
      </w:r>
      <w:r w:rsidR="00910D91">
        <w:rPr>
          <w:rFonts w:ascii="Times New Roman" w:hAnsi="Times New Roman"/>
        </w:rPr>
        <w:t xml:space="preserve"> </w:t>
      </w:r>
      <w:r w:rsidRPr="00910D91" w:rsidR="00BE44EF">
        <w:rPr>
          <w:rFonts w:ascii="Times New Roman" w:hAnsi="Times New Roman"/>
        </w:rPr>
        <w:t>would not be considered an additional burden under the PRA</w:t>
      </w:r>
      <w:r w:rsidRPr="00910D91" w:rsidR="00AD24DE">
        <w:rPr>
          <w:rFonts w:ascii="Times New Roman" w:hAnsi="Times New Roman"/>
        </w:rPr>
        <w:t xml:space="preserve">; rather </w:t>
      </w:r>
      <w:r w:rsidRPr="00910D91" w:rsidR="00BE44EF">
        <w:rPr>
          <w:rFonts w:ascii="Times New Roman" w:hAnsi="Times New Roman"/>
        </w:rPr>
        <w:t>any additional effort would most appropriately be considered a usual or customary business practice that a respo</w:t>
      </w:r>
      <w:r w:rsidRPr="00BE44EF" w:rsidR="00BE44EF">
        <w:rPr>
          <w:rFonts w:ascii="Times New Roman" w:hAnsi="Times New Roman"/>
        </w:rPr>
        <w:t>ndent engages in for its own purposes.</w:t>
      </w:r>
      <w:r w:rsidR="008D22C6">
        <w:rPr>
          <w:rFonts w:ascii="Times New Roman" w:hAnsi="Times New Roman"/>
        </w:rPr>
        <w:t xml:space="preserve"> </w:t>
      </w:r>
      <w:r w:rsidRPr="76D16F3A" w:rsidR="00BE44EF">
        <w:rPr>
          <w:rFonts w:ascii="Times New Roman" w:hAnsi="Times New Roman"/>
          <w:i/>
          <w:iCs/>
        </w:rPr>
        <w:t>See</w:t>
      </w:r>
      <w:r w:rsidRPr="00BE44EF" w:rsidR="00BE44EF">
        <w:rPr>
          <w:rFonts w:ascii="Times New Roman" w:hAnsi="Times New Roman"/>
        </w:rPr>
        <w:t xml:space="preserve"> 5 C.F.R. §</w:t>
      </w:r>
      <w:r w:rsidR="00A5314B">
        <w:rPr>
          <w:rFonts w:ascii="Times New Roman" w:hAnsi="Times New Roman"/>
        </w:rPr>
        <w:t> </w:t>
      </w:r>
      <w:r w:rsidRPr="00BE44EF" w:rsidR="00BE44EF">
        <w:rPr>
          <w:rFonts w:ascii="Times New Roman" w:hAnsi="Times New Roman"/>
        </w:rPr>
        <w:t>1320.3(b)(2)</w:t>
      </w:r>
      <w:r w:rsidR="00C643BB">
        <w:rPr>
          <w:rFonts w:ascii="Times New Roman" w:hAnsi="Times New Roman"/>
        </w:rPr>
        <w:t>. There are no other costs associated with this collection of information</w:t>
      </w:r>
      <w:r w:rsidRPr="00BE44EF" w:rsidR="00BE44EF">
        <w:rPr>
          <w:rFonts w:ascii="Times New Roman" w:hAnsi="Times New Roman"/>
        </w:rPr>
        <w:t>.</w:t>
      </w:r>
      <w:r w:rsidR="008D22C6">
        <w:t xml:space="preserve"> </w:t>
      </w:r>
    </w:p>
    <w:p w:rsidR="00B704BC" w:rsidP="008340F4" w14:paraId="15471BA1" w14:textId="77777777">
      <w:pPr>
        <w:widowControl/>
        <w:autoSpaceDE/>
        <w:autoSpaceDN/>
        <w:adjustRightInd/>
      </w:pPr>
    </w:p>
    <w:p w:rsidR="008B5F3C" w:rsidRPr="00287305" w:rsidP="00B37551" w14:paraId="5F537D06" w14:textId="2261DAEA">
      <w:pPr>
        <w:pStyle w:val="Style2"/>
        <w:spacing w:after="0" w:line="240" w:lineRule="auto"/>
        <w:rPr>
          <w:b/>
          <w:bCs/>
          <w:color w:val="auto"/>
          <w:sz w:val="24"/>
          <w:szCs w:val="24"/>
        </w:rPr>
      </w:pPr>
      <w:r w:rsidRPr="39F5D985">
        <w:rPr>
          <w:b/>
          <w:bCs/>
          <w:color w:val="auto"/>
          <w:sz w:val="24"/>
          <w:szCs w:val="24"/>
        </w:rPr>
        <w:t>14. Provide estimates of annualized costs to the Federal government</w:t>
      </w:r>
      <w:r w:rsidRPr="39F5D985" w:rsidR="009E3CD7">
        <w:rPr>
          <w:b/>
          <w:bCs/>
          <w:color w:val="auto"/>
          <w:sz w:val="24"/>
          <w:szCs w:val="24"/>
        </w:rPr>
        <w:t xml:space="preserve">. </w:t>
      </w:r>
      <w:r w:rsidRPr="39F5D985">
        <w:rPr>
          <w:b/>
          <w:bCs/>
          <w:color w:val="auto"/>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9067F3">
        <w:rPr>
          <w:b/>
          <w:bCs/>
          <w:color w:val="auto"/>
          <w:sz w:val="24"/>
          <w:szCs w:val="24"/>
        </w:rPr>
        <w:t xml:space="preserve">. </w:t>
      </w:r>
      <w:r w:rsidRPr="39F5D985">
        <w:rPr>
          <w:b/>
          <w:bCs/>
          <w:color w:val="auto"/>
          <w:sz w:val="24"/>
          <w:szCs w:val="24"/>
        </w:rPr>
        <w:t>Agencies may also aggregate cost estimates from Items 12, 13, and 14 in a single table.</w:t>
      </w:r>
    </w:p>
    <w:p w:rsidR="00317A34" w:rsidRPr="00287305" w:rsidP="00B37551" w14:paraId="20F0365C" w14:textId="77777777">
      <w:pPr>
        <w:pStyle w:val="Quick1"/>
        <w:widowControl/>
        <w:numPr>
          <w:ilvl w:val="0"/>
          <w:numId w:val="0"/>
        </w:numPr>
        <w:tabs>
          <w:tab w:val="left" w:pos="-1440"/>
        </w:tabs>
        <w:ind w:left="720" w:hanging="720"/>
        <w:rPr>
          <w:rFonts w:ascii="Times New Roman" w:hAnsi="Times New Roman"/>
          <w:b/>
          <w:bCs/>
        </w:rPr>
      </w:pPr>
    </w:p>
    <w:p w:rsidR="008F0A92" w:rsidP="008F0A92" w14:paraId="798A6DD2" w14:textId="53BC2821">
      <w:pPr>
        <w:rPr>
          <w:rFonts w:ascii="Times New Roman" w:hAnsi="Times New Roman"/>
        </w:rPr>
      </w:pPr>
      <w:r w:rsidRPr="004F33CF">
        <w:rPr>
          <w:rFonts w:ascii="Times New Roman" w:hAnsi="Times New Roman"/>
        </w:rPr>
        <w:t xml:space="preserve">Although no staff is required to process this report, ETA has budgeted </w:t>
      </w:r>
      <w:r w:rsidRPr="00E10AD6">
        <w:rPr>
          <w:rFonts w:ascii="Times New Roman" w:hAnsi="Times New Roman"/>
        </w:rPr>
        <w:t>$</w:t>
      </w:r>
      <w:r>
        <w:rPr>
          <w:rFonts w:ascii="Times New Roman" w:hAnsi="Times New Roman"/>
        </w:rPr>
        <w:t>479,300.16</w:t>
      </w:r>
      <w:r w:rsidRPr="004F33CF">
        <w:rPr>
          <w:rFonts w:ascii="Times New Roman" w:hAnsi="Times New Roman"/>
        </w:rPr>
        <w:t xml:space="preserve"> to operate and maintain the Unemployment Insurance Required Reports system.  Including the subject ICR, this reporting system supports 30 information collections. For administrative purposes, each information collection is assumed to contribute an equal share of the cost for supporting the entire system; therefore, the cost allocated to this ICR is estimated to be </w:t>
      </w:r>
      <w:r w:rsidRPr="00E10AD6">
        <w:rPr>
          <w:rFonts w:ascii="Times New Roman" w:hAnsi="Times New Roman"/>
        </w:rPr>
        <w:t>$15,976.67 ($479,300.16 system cost/30 information collections).</w:t>
      </w:r>
    </w:p>
    <w:p w:rsidR="00C95D30" w:rsidRPr="0041425F" w:rsidP="00C95D30" w14:paraId="62AA5F5F" w14:textId="77777777">
      <w:pPr>
        <w:rPr>
          <w:rFonts w:ascii="Times New Roman" w:hAnsi="Times New Roman"/>
          <w:color w:val="000000"/>
        </w:rPr>
      </w:pPr>
    </w:p>
    <w:p w:rsidR="008B5F3C" w:rsidRPr="00287305" w:rsidP="00B37551" w14:paraId="510DF49E" w14:textId="77777777">
      <w:pPr>
        <w:pStyle w:val="Style2"/>
        <w:spacing w:after="0" w:line="240" w:lineRule="auto"/>
        <w:rPr>
          <w:b/>
          <w:bCs/>
          <w:color w:val="auto"/>
          <w:sz w:val="24"/>
          <w:szCs w:val="24"/>
        </w:rPr>
      </w:pPr>
      <w:r w:rsidRPr="00287305">
        <w:rPr>
          <w:b/>
          <w:bCs/>
          <w:color w:val="auto"/>
          <w:sz w:val="24"/>
          <w:szCs w:val="24"/>
        </w:rPr>
        <w:t>15. Explain the reasons for any program changes or adjustments reported on the burden worksheet.</w:t>
      </w:r>
    </w:p>
    <w:p w:rsidR="00317A34" w:rsidRPr="0041425F" w:rsidP="00B37551" w14:paraId="1F6E2B9D" w14:textId="77777777">
      <w:pPr>
        <w:pStyle w:val="Quick1"/>
        <w:widowControl/>
        <w:numPr>
          <w:ilvl w:val="0"/>
          <w:numId w:val="0"/>
        </w:numPr>
        <w:tabs>
          <w:tab w:val="left" w:pos="-1440"/>
        </w:tabs>
        <w:ind w:left="720" w:hanging="720"/>
        <w:rPr>
          <w:rFonts w:ascii="Times New Roman" w:hAnsi="Times New Roman"/>
          <w:color w:val="000000"/>
        </w:rPr>
      </w:pPr>
    </w:p>
    <w:p w:rsidR="00C95D30" w:rsidP="0077018B" w14:paraId="61CE4F78" w14:textId="67926A9F">
      <w:pPr>
        <w:widowControl/>
        <w:rPr>
          <w:rFonts w:ascii="Times New Roman" w:hAnsi="Times New Roman"/>
          <w:color w:val="000000" w:themeColor="text1"/>
        </w:rPr>
      </w:pPr>
      <w:r>
        <w:rPr>
          <w:rFonts w:ascii="Times New Roman" w:hAnsi="Times New Roman"/>
          <w:color w:val="000000" w:themeColor="text1"/>
        </w:rPr>
        <w:t xml:space="preserve">Additional delineation of the types of nonmonetary determinations, which are currently reported as “Other” will provide the Department with greater information that it can use to develop technical </w:t>
      </w:r>
      <w:r>
        <w:rPr>
          <w:rFonts w:ascii="Times New Roman" w:hAnsi="Times New Roman"/>
          <w:color w:val="000000" w:themeColor="text1"/>
        </w:rPr>
        <w:t xml:space="preserve">assistance and to guide oversight regarding the UI system. </w:t>
      </w:r>
      <w:r w:rsidR="00E57174">
        <w:rPr>
          <w:rFonts w:ascii="Times New Roman" w:hAnsi="Times New Roman"/>
          <w:color w:val="000000" w:themeColor="text1"/>
        </w:rPr>
        <w:t xml:space="preserve">The burden hours did not change </w:t>
      </w:r>
      <w:r w:rsidR="004E1FD3">
        <w:rPr>
          <w:rFonts w:ascii="Times New Roman" w:hAnsi="Times New Roman"/>
          <w:color w:val="000000" w:themeColor="text1"/>
        </w:rPr>
        <w:t>because of</w:t>
      </w:r>
      <w:r w:rsidR="00E57174">
        <w:rPr>
          <w:rFonts w:ascii="Times New Roman" w:hAnsi="Times New Roman"/>
          <w:color w:val="000000" w:themeColor="text1"/>
        </w:rPr>
        <w:t xml:space="preserve"> the</w:t>
      </w:r>
      <w:r w:rsidR="006A2855">
        <w:rPr>
          <w:rFonts w:ascii="Times New Roman" w:hAnsi="Times New Roman"/>
          <w:color w:val="000000" w:themeColor="text1"/>
        </w:rPr>
        <w:t xml:space="preserve"> additional</w:t>
      </w:r>
      <w:r w:rsidR="00E57174">
        <w:rPr>
          <w:rFonts w:ascii="Times New Roman" w:hAnsi="Times New Roman"/>
          <w:color w:val="000000" w:themeColor="text1"/>
        </w:rPr>
        <w:t xml:space="preserve"> </w:t>
      </w:r>
      <w:r w:rsidR="006A2855">
        <w:rPr>
          <w:rFonts w:ascii="Times New Roman" w:hAnsi="Times New Roman"/>
          <w:color w:val="000000" w:themeColor="text1"/>
        </w:rPr>
        <w:t>/</w:t>
      </w:r>
      <w:r w:rsidR="00EC54C8">
        <w:rPr>
          <w:rFonts w:ascii="Times New Roman" w:hAnsi="Times New Roman"/>
          <w:color w:val="000000" w:themeColor="text1"/>
        </w:rPr>
        <w:t xml:space="preserve"> revised</w:t>
      </w:r>
      <w:r w:rsidR="00E57174">
        <w:rPr>
          <w:rFonts w:ascii="Times New Roman" w:hAnsi="Times New Roman"/>
          <w:color w:val="000000" w:themeColor="text1"/>
        </w:rPr>
        <w:t xml:space="preserve"> </w:t>
      </w:r>
      <w:r w:rsidR="00EC54C8">
        <w:rPr>
          <w:rFonts w:ascii="Times New Roman" w:hAnsi="Times New Roman"/>
          <w:color w:val="000000" w:themeColor="text1"/>
        </w:rPr>
        <w:t xml:space="preserve">nonmonetary fields and definitions </w:t>
      </w:r>
      <w:r w:rsidR="00E57174">
        <w:rPr>
          <w:rFonts w:ascii="Times New Roman" w:hAnsi="Times New Roman"/>
          <w:color w:val="000000" w:themeColor="text1"/>
        </w:rPr>
        <w:t>added</w:t>
      </w:r>
      <w:r w:rsidR="00EC54C8">
        <w:rPr>
          <w:rFonts w:ascii="Times New Roman" w:hAnsi="Times New Roman"/>
          <w:color w:val="000000" w:themeColor="text1"/>
        </w:rPr>
        <w:t xml:space="preserve"> to the report</w:t>
      </w:r>
      <w:r w:rsidR="00C643BB">
        <w:rPr>
          <w:rFonts w:ascii="Times New Roman" w:hAnsi="Times New Roman"/>
          <w:color w:val="000000" w:themeColor="text1"/>
        </w:rPr>
        <w:t xml:space="preserve"> as states currently capture these determinations and report them in the </w:t>
      </w:r>
      <w:r w:rsidR="004E1FD3">
        <w:rPr>
          <w:rFonts w:ascii="Times New Roman" w:hAnsi="Times New Roman"/>
          <w:color w:val="000000" w:themeColor="text1"/>
        </w:rPr>
        <w:t>‘</w:t>
      </w:r>
      <w:r w:rsidR="00C643BB">
        <w:rPr>
          <w:rFonts w:ascii="Times New Roman" w:hAnsi="Times New Roman"/>
          <w:color w:val="000000" w:themeColor="text1"/>
        </w:rPr>
        <w:t>Other</w:t>
      </w:r>
      <w:r w:rsidR="004E1FD3">
        <w:rPr>
          <w:rFonts w:ascii="Times New Roman" w:hAnsi="Times New Roman"/>
          <w:color w:val="000000" w:themeColor="text1"/>
        </w:rPr>
        <w:t>’</w:t>
      </w:r>
      <w:r w:rsidR="00C643BB">
        <w:rPr>
          <w:rFonts w:ascii="Times New Roman" w:hAnsi="Times New Roman"/>
          <w:color w:val="000000" w:themeColor="text1"/>
        </w:rPr>
        <w:t xml:space="preserve"> column of the report</w:t>
      </w:r>
      <w:r w:rsidR="00E57174">
        <w:rPr>
          <w:rFonts w:ascii="Times New Roman" w:hAnsi="Times New Roman"/>
          <w:color w:val="000000" w:themeColor="text1"/>
        </w:rPr>
        <w:t>.</w:t>
      </w:r>
    </w:p>
    <w:p w:rsidR="0077018B" w:rsidRPr="0041425F" w:rsidP="004A2749" w14:paraId="1D1D7D66" w14:textId="77777777">
      <w:pPr>
        <w:widowControl/>
        <w:rPr>
          <w:rFonts w:ascii="Times New Roman" w:hAnsi="Times New Roman"/>
          <w:color w:val="000000"/>
        </w:rPr>
      </w:pPr>
    </w:p>
    <w:p w:rsidR="008B5F3C" w:rsidRPr="00287305" w:rsidP="00B37551" w14:paraId="14E04CCF" w14:textId="7444250C">
      <w:pPr>
        <w:pStyle w:val="Style2"/>
        <w:spacing w:after="0" w:line="240" w:lineRule="auto"/>
        <w:rPr>
          <w:b/>
          <w:bCs/>
          <w:color w:val="auto"/>
          <w:sz w:val="24"/>
          <w:szCs w:val="24"/>
        </w:rPr>
      </w:pPr>
      <w:r w:rsidRPr="39F5D985">
        <w:rPr>
          <w:b/>
          <w:bCs/>
          <w:color w:val="auto"/>
          <w:sz w:val="24"/>
          <w:szCs w:val="24"/>
        </w:rPr>
        <w:t>16. For collections of information whose results will be published, outline plans for tabulation and publication</w:t>
      </w:r>
      <w:r w:rsidR="009067F3">
        <w:rPr>
          <w:b/>
          <w:bCs/>
          <w:color w:val="auto"/>
          <w:sz w:val="24"/>
          <w:szCs w:val="24"/>
        </w:rPr>
        <w:t xml:space="preserve">. </w:t>
      </w:r>
      <w:r w:rsidRPr="39F5D985">
        <w:rPr>
          <w:b/>
          <w:bCs/>
          <w:color w:val="auto"/>
          <w:sz w:val="24"/>
          <w:szCs w:val="24"/>
        </w:rPr>
        <w:t>Address any complex analytical techniques that will be used. Provide the time schedule for the entire project, including beginning and ending dates of the collection of information, completion of report, publication dates, and other actions.</w:t>
      </w:r>
    </w:p>
    <w:p w:rsidR="00317A34" w:rsidRPr="00097475" w:rsidP="00097475" w14:paraId="7BEF5B6A" w14:textId="77777777">
      <w:pPr>
        <w:pStyle w:val="Quick1"/>
        <w:widowControl/>
        <w:numPr>
          <w:ilvl w:val="0"/>
          <w:numId w:val="0"/>
        </w:numPr>
        <w:spacing w:line="259" w:lineRule="auto"/>
        <w:rPr>
          <w:rFonts w:ascii="Times New Roman" w:hAnsi="Times New Roman"/>
          <w:color w:val="000000" w:themeColor="text1"/>
        </w:rPr>
      </w:pPr>
    </w:p>
    <w:p w:rsidR="002B6C6B" w:rsidP="002B6C6B" w14:paraId="2BDCF6E6" w14:textId="3A106048">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97475">
        <w:rPr>
          <w:rFonts w:ascii="Times New Roman" w:hAnsi="Times New Roman"/>
          <w:color w:val="000000" w:themeColor="text1"/>
        </w:rPr>
        <w:t>Data</w:t>
      </w:r>
      <w:r w:rsidR="00AE1D25">
        <w:rPr>
          <w:rFonts w:ascii="Times New Roman" w:hAnsi="Times New Roman"/>
          <w:color w:val="000000" w:themeColor="text1"/>
        </w:rPr>
        <w:t xml:space="preserve"> that states report to ETA are</w:t>
      </w:r>
      <w:r w:rsidRPr="00097475">
        <w:rPr>
          <w:rFonts w:ascii="Times New Roman" w:hAnsi="Times New Roman"/>
          <w:color w:val="000000" w:themeColor="text1"/>
        </w:rPr>
        <w:t xml:space="preserve"> published on the DOL-ETA webpage: </w:t>
      </w:r>
      <w:r w:rsidRPr="39F5D985" w:rsidR="0BFEA1BB">
        <w:rPr>
          <w:rFonts w:ascii="Times New Roman" w:hAnsi="Times New Roman"/>
          <w:color w:val="000000" w:themeColor="text1"/>
        </w:rPr>
        <w:t xml:space="preserve">  </w:t>
      </w:r>
      <w:hyperlink r:id="rId10" w:anchor="ETA_207" w:history="1">
        <w:r w:rsidRPr="39F5D985" w:rsidR="004F7E57">
          <w:rPr>
            <w:rStyle w:val="Hyperlink"/>
            <w:rFonts w:ascii="Times New Roman" w:hAnsi="Times New Roman"/>
          </w:rPr>
          <w:t>https://oui.doleta.gov/unemploy/DataDownloads.asp#ETA_207</w:t>
        </w:r>
      </w:hyperlink>
      <w:r w:rsidRPr="39F5D985" w:rsidR="00C91CF9">
        <w:rPr>
          <w:rFonts w:ascii="Times New Roman" w:hAnsi="Times New Roman"/>
          <w:color w:val="000000" w:themeColor="text1"/>
        </w:rPr>
        <w:t xml:space="preserve">. The data </w:t>
      </w:r>
      <w:r w:rsidR="00AE1D25">
        <w:rPr>
          <w:rFonts w:ascii="Times New Roman" w:hAnsi="Times New Roman"/>
          <w:color w:val="000000" w:themeColor="text1"/>
        </w:rPr>
        <w:t xml:space="preserve">on the data </w:t>
      </w:r>
      <w:r w:rsidRPr="39F5D985" w:rsidR="00C91CF9">
        <w:rPr>
          <w:rFonts w:ascii="Times New Roman" w:hAnsi="Times New Roman"/>
          <w:color w:val="000000" w:themeColor="text1"/>
        </w:rPr>
        <w:t>download site</w:t>
      </w:r>
      <w:r w:rsidR="00AE1D25">
        <w:rPr>
          <w:rFonts w:ascii="Times New Roman" w:hAnsi="Times New Roman"/>
          <w:color w:val="000000" w:themeColor="text1"/>
        </w:rPr>
        <w:t xml:space="preserve"> </w:t>
      </w:r>
      <w:r w:rsidR="00E856D1">
        <w:rPr>
          <w:rFonts w:ascii="Times New Roman" w:hAnsi="Times New Roman"/>
          <w:color w:val="000000" w:themeColor="text1"/>
        </w:rPr>
        <w:t>is</w:t>
      </w:r>
      <w:r w:rsidRPr="39F5D985" w:rsidR="00C91CF9">
        <w:rPr>
          <w:rFonts w:ascii="Times New Roman" w:hAnsi="Times New Roman"/>
          <w:color w:val="000000" w:themeColor="text1"/>
        </w:rPr>
        <w:t xml:space="preserve"> published as is, without modifications, calculations or filters</w:t>
      </w:r>
      <w:r w:rsidR="009067F3">
        <w:rPr>
          <w:rFonts w:ascii="Times New Roman" w:hAnsi="Times New Roman"/>
          <w:color w:val="000000" w:themeColor="text1"/>
        </w:rPr>
        <w:t xml:space="preserve">. </w:t>
      </w:r>
    </w:p>
    <w:p w:rsidR="0095159F" w:rsidRPr="0041425F" w:rsidP="002B6C6B" w14:paraId="2915FBDE" w14:textId="56F8AA7C">
      <w:pPr>
        <w:pStyle w:val="Quick1"/>
        <w:numPr>
          <w:ilvl w:val="0"/>
          <w:numId w:val="0"/>
        </w:numPr>
        <w:spacing w:line="259" w:lineRule="auto"/>
        <w:rPr>
          <w:rFonts w:ascii="Times New Roman" w:hAnsi="Times New Roman"/>
          <w:color w:val="000000"/>
        </w:rPr>
      </w:pPr>
    </w:p>
    <w:p w:rsidR="008B5F3C" w:rsidRPr="00287305" w:rsidP="00B37551" w14:paraId="4B6C3D3A" w14:textId="77777777">
      <w:pPr>
        <w:pStyle w:val="Style2"/>
        <w:spacing w:after="0" w:line="240" w:lineRule="auto"/>
        <w:rPr>
          <w:b/>
          <w:bCs/>
          <w:color w:val="auto"/>
          <w:sz w:val="24"/>
          <w:szCs w:val="24"/>
        </w:rPr>
      </w:pPr>
      <w:r w:rsidRPr="00287305">
        <w:rPr>
          <w:b/>
          <w:bCs/>
          <w:color w:val="auto"/>
          <w:sz w:val="24"/>
          <w:szCs w:val="24"/>
        </w:rPr>
        <w:t>17. If seeking approval to not display the expiration date for OMB approval of the information collection, explain the reasons that display would be inappropriate.</w:t>
      </w:r>
    </w:p>
    <w:p w:rsidR="00317A34" w:rsidRPr="0041425F" w:rsidP="00B37551" w14:paraId="1275C226" w14:textId="77777777">
      <w:pPr>
        <w:pStyle w:val="Quick1"/>
        <w:widowControl/>
        <w:numPr>
          <w:ilvl w:val="0"/>
          <w:numId w:val="0"/>
        </w:numPr>
        <w:tabs>
          <w:tab w:val="left" w:pos="-1440"/>
        </w:tabs>
        <w:ind w:left="720"/>
        <w:rPr>
          <w:rFonts w:ascii="Times New Roman" w:hAnsi="Times New Roman"/>
          <w:b/>
          <w:bCs/>
          <w:color w:val="000000"/>
          <w:u w:val="single"/>
        </w:rPr>
      </w:pPr>
    </w:p>
    <w:p w:rsidR="00630C56" w:rsidP="006A7A00" w14:paraId="4AA5EABE" w14:textId="77777777">
      <w:pPr>
        <w:pStyle w:val="Quick1"/>
        <w:widowControl/>
        <w:numPr>
          <w:ilvl w:val="0"/>
          <w:numId w:val="0"/>
        </w:numPr>
        <w:tabs>
          <w:tab w:val="left" w:pos="-1440"/>
        </w:tabs>
        <w:ind w:left="720" w:hanging="720"/>
        <w:rPr>
          <w:rFonts w:ascii="Times New Roman" w:hAnsi="Times New Roman"/>
          <w:color w:val="000000"/>
        </w:rPr>
      </w:pPr>
      <w:r w:rsidRPr="0041425F">
        <w:rPr>
          <w:rFonts w:ascii="Times New Roman" w:hAnsi="Times New Roman"/>
          <w:color w:val="000000"/>
        </w:rPr>
        <w:t xml:space="preserve">Instrument cleared </w:t>
      </w:r>
      <w:r w:rsidRPr="0041425F" w:rsidR="007F407D">
        <w:rPr>
          <w:rFonts w:ascii="Times New Roman" w:hAnsi="Times New Roman"/>
          <w:color w:val="000000"/>
        </w:rPr>
        <w:t>through t</w:t>
      </w:r>
      <w:r w:rsidRPr="0041425F" w:rsidR="00B5211D">
        <w:rPr>
          <w:rFonts w:ascii="Times New Roman" w:hAnsi="Times New Roman"/>
          <w:color w:val="000000"/>
        </w:rPr>
        <w:t>his ICR will bear the expiration date</w:t>
      </w:r>
      <w:r w:rsidRPr="0041425F" w:rsidR="00B50246">
        <w:rPr>
          <w:rFonts w:ascii="Times New Roman" w:hAnsi="Times New Roman"/>
          <w:color w:val="000000"/>
        </w:rPr>
        <w:t>.</w:t>
      </w:r>
    </w:p>
    <w:p w:rsidR="00CC648C" w:rsidRPr="0041425F" w:rsidP="006A7A00" w14:paraId="5A2B6B0A" w14:textId="77777777">
      <w:pPr>
        <w:pStyle w:val="Quick1"/>
        <w:widowControl/>
        <w:numPr>
          <w:ilvl w:val="0"/>
          <w:numId w:val="0"/>
        </w:numPr>
        <w:tabs>
          <w:tab w:val="left" w:pos="-1440"/>
        </w:tabs>
        <w:ind w:left="720" w:hanging="720"/>
        <w:rPr>
          <w:rFonts w:ascii="Times New Roman" w:hAnsi="Times New Roman"/>
          <w:color w:val="000000"/>
        </w:rPr>
      </w:pPr>
    </w:p>
    <w:p w:rsidR="008B5F3C" w:rsidRPr="00287305" w:rsidP="00B37551" w14:paraId="4EB64DAD" w14:textId="7E68E02D">
      <w:pPr>
        <w:pStyle w:val="Style2"/>
        <w:spacing w:after="0" w:line="240" w:lineRule="auto"/>
        <w:rPr>
          <w:b/>
          <w:bCs/>
          <w:color w:val="auto"/>
          <w:sz w:val="24"/>
          <w:szCs w:val="24"/>
        </w:rPr>
      </w:pPr>
      <w:r w:rsidRPr="00287305">
        <w:rPr>
          <w:b/>
          <w:bCs/>
          <w:color w:val="auto"/>
          <w:sz w:val="24"/>
          <w:szCs w:val="24"/>
        </w:rPr>
        <w:t xml:space="preserve">18. Explain each exception to the topics of the certification statement identified in </w:t>
      </w:r>
      <w:r w:rsidRPr="00287305" w:rsidR="00B25000">
        <w:rPr>
          <w:b/>
          <w:bCs/>
          <w:color w:val="auto"/>
          <w:sz w:val="24"/>
          <w:szCs w:val="24"/>
        </w:rPr>
        <w:t>“</w:t>
      </w:r>
      <w:r w:rsidRPr="00287305">
        <w:rPr>
          <w:b/>
          <w:bCs/>
          <w:color w:val="auto"/>
          <w:sz w:val="24"/>
          <w:szCs w:val="24"/>
        </w:rPr>
        <w:t>Certification for Pap</w:t>
      </w:r>
      <w:r w:rsidRPr="00287305" w:rsidR="00451986">
        <w:rPr>
          <w:b/>
          <w:bCs/>
          <w:color w:val="auto"/>
          <w:sz w:val="24"/>
          <w:szCs w:val="24"/>
        </w:rPr>
        <w:t>erwork Reduction Act Submiss</w:t>
      </w:r>
      <w:r w:rsidRPr="00287305" w:rsidR="006A7A00">
        <w:rPr>
          <w:b/>
          <w:bCs/>
          <w:color w:val="auto"/>
          <w:sz w:val="24"/>
          <w:szCs w:val="24"/>
        </w:rPr>
        <w:t>ion</w:t>
      </w:r>
      <w:r w:rsidRPr="00287305" w:rsidR="00CC648C">
        <w:rPr>
          <w:b/>
          <w:bCs/>
          <w:color w:val="auto"/>
          <w:sz w:val="24"/>
          <w:szCs w:val="24"/>
        </w:rPr>
        <w:t>.</w:t>
      </w:r>
      <w:r w:rsidRPr="00287305">
        <w:rPr>
          <w:b/>
          <w:bCs/>
          <w:color w:val="auto"/>
          <w:sz w:val="24"/>
          <w:szCs w:val="24"/>
        </w:rPr>
        <w:t>”</w:t>
      </w:r>
    </w:p>
    <w:p w:rsidR="00317A34" w:rsidRPr="00287305" w:rsidP="00B37551" w14:paraId="42CEC708" w14:textId="77777777">
      <w:pPr>
        <w:pStyle w:val="Quick1"/>
        <w:widowControl/>
        <w:numPr>
          <w:ilvl w:val="0"/>
          <w:numId w:val="0"/>
        </w:numPr>
        <w:tabs>
          <w:tab w:val="left" w:pos="-1440"/>
        </w:tabs>
        <w:rPr>
          <w:rFonts w:ascii="Times New Roman" w:hAnsi="Times New Roman"/>
          <w:b/>
          <w:bCs/>
        </w:rPr>
      </w:pPr>
    </w:p>
    <w:p w:rsidR="00A75DC6" w:rsidRPr="0041425F" w:rsidP="00B37551" w14:paraId="11B647F0" w14:textId="77777777">
      <w:pPr>
        <w:pStyle w:val="Quick1"/>
        <w:widowControl/>
        <w:numPr>
          <w:ilvl w:val="0"/>
          <w:numId w:val="0"/>
        </w:numPr>
        <w:tabs>
          <w:tab w:val="left" w:pos="-1440"/>
        </w:tabs>
        <w:rPr>
          <w:rFonts w:ascii="Times New Roman" w:hAnsi="Times New Roman"/>
          <w:color w:val="000000"/>
        </w:rPr>
      </w:pPr>
      <w:r w:rsidRPr="0041425F">
        <w:rPr>
          <w:rFonts w:ascii="Times New Roman" w:hAnsi="Times New Roman"/>
          <w:color w:val="000000"/>
        </w:rPr>
        <w:t>There are no exceptions</w:t>
      </w:r>
      <w:r w:rsidRPr="0041425F" w:rsidR="00EC5A1D">
        <w:rPr>
          <w:rFonts w:ascii="Times New Roman" w:hAnsi="Times New Roman"/>
          <w:color w:val="000000"/>
        </w:rPr>
        <w:t xml:space="preserve"> to the certification statement</w:t>
      </w:r>
      <w:r w:rsidRPr="0041425F">
        <w:rPr>
          <w:rFonts w:ascii="Times New Roman" w:hAnsi="Times New Roman"/>
          <w:color w:val="000000"/>
        </w:rPr>
        <w:t>.</w:t>
      </w:r>
    </w:p>
    <w:p w:rsidR="00401FD2" w:rsidRPr="0041425F" w:rsidP="00B37551" w14:paraId="18F28759" w14:textId="77777777">
      <w:pPr>
        <w:pStyle w:val="Quick1"/>
        <w:widowControl/>
        <w:numPr>
          <w:ilvl w:val="0"/>
          <w:numId w:val="0"/>
        </w:numPr>
        <w:tabs>
          <w:tab w:val="left" w:pos="-1440"/>
        </w:tabs>
        <w:ind w:firstLine="270"/>
        <w:rPr>
          <w:rFonts w:ascii="Times New Roman" w:hAnsi="Times New Roman"/>
          <w:color w:val="000000"/>
        </w:rPr>
      </w:pPr>
    </w:p>
    <w:p w:rsidR="00401FD2" w:rsidRPr="0041425F" w:rsidP="00B37551" w14:paraId="2B3F2DE9" w14:textId="77777777">
      <w:pPr>
        <w:pStyle w:val="Quick1"/>
        <w:widowControl/>
        <w:numPr>
          <w:ilvl w:val="0"/>
          <w:numId w:val="0"/>
        </w:numPr>
        <w:tabs>
          <w:tab w:val="left" w:pos="-1440"/>
        </w:tabs>
        <w:rPr>
          <w:rFonts w:ascii="Times New Roman" w:hAnsi="Times New Roman"/>
          <w:color w:val="000000"/>
        </w:rPr>
      </w:pPr>
    </w:p>
    <w:p w:rsidR="0033608E" w:rsidRPr="0033608E" w:rsidP="0033608E" w14:paraId="491EE484" w14:textId="77777777">
      <w:pPr>
        <w:widowControl/>
        <w:autoSpaceDE/>
        <w:autoSpaceDN/>
        <w:adjustRightInd/>
        <w:spacing w:after="200" w:line="276" w:lineRule="auto"/>
        <w:rPr>
          <w:rFonts w:ascii="Times New Roman" w:hAnsi="Times New Roman"/>
          <w:b/>
          <w:bCs/>
        </w:rPr>
      </w:pPr>
      <w:r w:rsidRPr="0033608E">
        <w:rPr>
          <w:rFonts w:ascii="Times New Roman" w:hAnsi="Times New Roman"/>
          <w:b/>
          <w:bCs/>
        </w:rPr>
        <w:t>B. COLLECTIONS OF INFORMATON EMPLOYING STATISTICAL METHODS.</w:t>
      </w:r>
    </w:p>
    <w:p w:rsidR="00401FD2" w:rsidRPr="0041425F" w:rsidP="00B37551" w14:paraId="3C4E47C6" w14:textId="77777777">
      <w:pPr>
        <w:widowControl/>
        <w:tabs>
          <w:tab w:val="left" w:pos="-1440"/>
          <w:tab w:val="left" w:pos="-720"/>
          <w:tab w:val="left" w:pos="28"/>
          <w:tab w:val="left" w:pos="547"/>
          <w:tab w:val="left" w:pos="1065"/>
          <w:tab w:val="left" w:pos="1584"/>
        </w:tabs>
        <w:rPr>
          <w:rFonts w:ascii="Times New Roman" w:hAnsi="Times New Roman"/>
          <w:b/>
          <w:bCs/>
          <w:color w:val="000000"/>
        </w:rPr>
      </w:pPr>
    </w:p>
    <w:p w:rsidR="00630C56" w:rsidRPr="0041425F" w:rsidP="00B37551" w14:paraId="22244F92" w14:textId="77777777">
      <w:pPr>
        <w:widowControl/>
        <w:tabs>
          <w:tab w:val="left" w:pos="-1440"/>
          <w:tab w:val="left" w:pos="-720"/>
          <w:tab w:val="left" w:pos="28"/>
          <w:tab w:val="left" w:pos="547"/>
          <w:tab w:val="left" w:pos="1065"/>
          <w:tab w:val="left" w:pos="1584"/>
        </w:tabs>
        <w:rPr>
          <w:rFonts w:ascii="Times New Roman" w:hAnsi="Times New Roman"/>
          <w:color w:val="000000"/>
        </w:rPr>
      </w:pPr>
      <w:r w:rsidRPr="00451986">
        <w:rPr>
          <w:rFonts w:ascii="Times New Roman" w:hAnsi="Times New Roman"/>
          <w:color w:val="000000"/>
        </w:rPr>
        <w:t>This information collection does not employ statistical methods.</w:t>
      </w:r>
      <w:r>
        <w:rPr>
          <w:rFonts w:ascii="Times New Roman" w:hAnsi="Times New Roman"/>
          <w:color w:val="000000"/>
        </w:rPr>
        <w:t xml:space="preserve"> </w:t>
      </w:r>
    </w:p>
    <w:sectPr w:rsidSect="0033608E">
      <w:headerReference w:type="default" r:id="rId11"/>
      <w:footerReference w:type="default" r:id="rId12"/>
      <w:type w:val="continuous"/>
      <w:pgSz w:w="12240" w:h="15840"/>
      <w:pgMar w:top="1440" w:right="81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6F88" w14:paraId="1B4EB708" w14:textId="77777777">
    <w:pPr>
      <w:spacing w:line="240" w:lineRule="exact"/>
    </w:pPr>
  </w:p>
  <w:p w:rsidR="00C96F88" w14:paraId="35D07371" w14:textId="3A446F20">
    <w:pPr>
      <w:framePr w:w="9361" w:wrap="notBeside" w:vAnchor="text" w:hAnchor="text" w:x="1" w:y="1"/>
      <w:jc w:val="center"/>
      <w:rPr>
        <w:rFonts w:cs="Courier"/>
      </w:rPr>
    </w:pPr>
    <w:r>
      <w:rPr>
        <w:rFonts w:cs="Courier"/>
      </w:rPr>
      <w:fldChar w:fldCharType="begin"/>
    </w:r>
    <w:r>
      <w:rPr>
        <w:rFonts w:cs="Courier"/>
      </w:rPr>
      <w:instrText xml:space="preserve">PAGE </w:instrText>
    </w:r>
    <w:r>
      <w:rPr>
        <w:rFonts w:cs="Courier"/>
      </w:rPr>
      <w:fldChar w:fldCharType="separate"/>
    </w:r>
    <w:r w:rsidR="009A6AB0">
      <w:rPr>
        <w:rFonts w:cs="Courier"/>
        <w:noProof/>
      </w:rPr>
      <w:t>2</w:t>
    </w:r>
    <w:r>
      <w:rPr>
        <w:rFonts w:cs="Courier"/>
      </w:rPr>
      <w:fldChar w:fldCharType="end"/>
    </w:r>
  </w:p>
  <w:p w:rsidR="00C96F88" w14:paraId="18E97F1C"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716D" w:rsidRPr="00A862DF" w14:paraId="657BF71F" w14:textId="77777777">
    <w:pPr>
      <w:pStyle w:val="Header"/>
      <w:rPr>
        <w:rFonts w:ascii="Times New Roman" w:hAnsi="Times New Roman"/>
        <w:sz w:val="20"/>
        <w:szCs w:val="20"/>
      </w:rPr>
    </w:pPr>
    <w:r w:rsidRPr="00A862DF">
      <w:rPr>
        <w:rFonts w:ascii="Times New Roman" w:hAnsi="Times New Roman"/>
        <w:sz w:val="20"/>
        <w:szCs w:val="20"/>
      </w:rPr>
      <w:t>Nonmonetary Determination</w:t>
    </w:r>
    <w:r w:rsidR="00A862DF">
      <w:rPr>
        <w:rFonts w:ascii="Times New Roman" w:hAnsi="Times New Roman"/>
        <w:sz w:val="20"/>
        <w:szCs w:val="20"/>
      </w:rPr>
      <w:t xml:space="preserve"> Activity Report</w:t>
    </w:r>
  </w:p>
  <w:p w:rsidR="00B1716D" w14:paraId="5FC44EA1" w14:textId="58EAC979">
    <w:pPr>
      <w:pStyle w:val="Header"/>
      <w:rPr>
        <w:rFonts w:ascii="Times New Roman" w:hAnsi="Times New Roman"/>
        <w:sz w:val="20"/>
        <w:szCs w:val="20"/>
      </w:rPr>
    </w:pPr>
    <w:r w:rsidRPr="00A862DF">
      <w:rPr>
        <w:rFonts w:ascii="Times New Roman" w:hAnsi="Times New Roman"/>
        <w:sz w:val="20"/>
        <w:szCs w:val="20"/>
      </w:rPr>
      <w:t>OMB Control No. 1205-0150</w:t>
    </w:r>
  </w:p>
  <w:p w:rsidR="00287305" w:rsidRPr="00A862DF" w14:paraId="4240090A" w14:textId="2FBE8D56">
    <w:pPr>
      <w:pStyle w:val="Header"/>
      <w:rPr>
        <w:rFonts w:ascii="Times New Roman" w:hAnsi="Times New Roman"/>
        <w:sz w:val="20"/>
        <w:szCs w:val="20"/>
      </w:rPr>
    </w:pPr>
    <w:r>
      <w:rPr>
        <w:rFonts w:ascii="Times New Roman" w:hAnsi="Times New Roman"/>
        <w:sz w:val="20"/>
        <w:szCs w:val="20"/>
      </w:rPr>
      <w:t>June 202</w:t>
    </w:r>
    <w:r w:rsidR="000B18D8">
      <w:rPr>
        <w:rFonts w:ascii="Times New Roman" w:hAnsi="Times New Roman"/>
        <w:sz w:val="20"/>
        <w:szCs w:val="20"/>
      </w:rPr>
      <w:t>6</w:t>
    </w:r>
  </w:p>
  <w:p w:rsidR="00B1716D" w14:paraId="488EB35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Arial" w:hAnsi="Arial" w:cs="Arial"/>
        <w:sz w:val="24"/>
        <w:szCs w:val="24"/>
      </w:rPr>
    </w:lvl>
  </w:abstractNum>
  <w:abstractNum w:abstractNumId="1">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5C75921"/>
    <w:multiLevelType w:val="hybridMultilevel"/>
    <w:tmpl w:val="16D430D8"/>
    <w:lvl w:ilvl="0">
      <w:start w:val="1"/>
      <w:numFmt w:val="decimal"/>
      <w:lvlText w:val="%1."/>
      <w:lvlJc w:val="left"/>
      <w:pPr>
        <w:tabs>
          <w:tab w:val="num" w:pos="900"/>
        </w:tabs>
        <w:ind w:left="900" w:hanging="360"/>
      </w:p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
    <w:nsid w:val="0754503C"/>
    <w:multiLevelType w:val="hybridMultilevel"/>
    <w:tmpl w:val="A4921D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BE75E83"/>
    <w:multiLevelType w:val="hybridMultilevel"/>
    <w:tmpl w:val="4D5C5132"/>
    <w:lvl w:ilvl="0">
      <w:start w:val="1"/>
      <w:numFmt w:val="decimal"/>
      <w:lvlText w:val="%1."/>
      <w:lvlJc w:val="left"/>
      <w:pPr>
        <w:tabs>
          <w:tab w:val="num" w:pos="900"/>
        </w:tabs>
        <w:ind w:left="90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0E3117B"/>
    <w:multiLevelType w:val="hybridMultilevel"/>
    <w:tmpl w:val="93BE60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00628D"/>
    <w:multiLevelType w:val="multilevel"/>
    <w:tmpl w:val="4D5C5132"/>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BC17DF8"/>
    <w:multiLevelType w:val="hybridMultilevel"/>
    <w:tmpl w:val="4F48FFAE"/>
    <w:lvl w:ilvl="0">
      <w:start w:val="1"/>
      <w:numFmt w:val="lowerLetter"/>
      <w:lvlText w:val="(%1)"/>
      <w:lvlJc w:val="left"/>
      <w:pPr>
        <w:tabs>
          <w:tab w:val="num" w:pos="1080"/>
        </w:tabs>
        <w:ind w:left="1080" w:hanging="360"/>
      </w:pPr>
      <w:rPr>
        <w:rFonts w:hint="default"/>
        <w:u w:val="sing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1C8E382F"/>
    <w:multiLevelType w:val="hybridMultilevel"/>
    <w:tmpl w:val="64463E1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FCB6AF1"/>
    <w:multiLevelType w:val="hybridMultilevel"/>
    <w:tmpl w:val="C658CE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3896BBE"/>
    <w:multiLevelType w:val="hybridMultilevel"/>
    <w:tmpl w:val="3D2C16D2"/>
    <w:lvl w:ilvl="0">
      <w:start w:val="1"/>
      <w:numFmt w:val="decimal"/>
      <w:lvlText w:val="%1."/>
      <w:lvlJc w:val="left"/>
      <w:pPr>
        <w:tabs>
          <w:tab w:val="num" w:pos="900"/>
        </w:tabs>
        <w:ind w:left="900" w:hanging="360"/>
      </w:p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1">
    <w:nsid w:val="2B482752"/>
    <w:multiLevelType w:val="hybridMultilevel"/>
    <w:tmpl w:val="3B50D7FA"/>
    <w:lvl w:ilvl="0">
      <w:start w:val="5"/>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0AC77DF"/>
    <w:multiLevelType w:val="hybridMultilevel"/>
    <w:tmpl w:val="E3E42DE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31F6BC6"/>
    <w:multiLevelType w:val="hybridMultilevel"/>
    <w:tmpl w:val="976231E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4">
    <w:nsid w:val="33661580"/>
    <w:multiLevelType w:val="hybridMultilevel"/>
    <w:tmpl w:val="F0E42194"/>
    <w:lvl w:ilvl="0">
      <w:start w:val="1"/>
      <w:numFmt w:val="bullet"/>
      <w:lvlText w:val=""/>
      <w:lvlJc w:val="left"/>
      <w:pPr>
        <w:tabs>
          <w:tab w:val="num" w:pos="1635"/>
        </w:tabs>
        <w:ind w:left="1635" w:hanging="360"/>
      </w:pPr>
      <w:rPr>
        <w:rFonts w:ascii="Symbol" w:hAnsi="Symbol" w:hint="default"/>
      </w:rPr>
    </w:lvl>
    <w:lvl w:ilvl="1" w:tentative="1">
      <w:start w:val="1"/>
      <w:numFmt w:val="bullet"/>
      <w:lvlText w:val="o"/>
      <w:lvlJc w:val="left"/>
      <w:pPr>
        <w:tabs>
          <w:tab w:val="num" w:pos="2355"/>
        </w:tabs>
        <w:ind w:left="2355" w:hanging="360"/>
      </w:pPr>
      <w:rPr>
        <w:rFonts w:ascii="Courier New" w:hAnsi="Courier New" w:cs="Courier New" w:hint="default"/>
      </w:rPr>
    </w:lvl>
    <w:lvl w:ilvl="2" w:tentative="1">
      <w:start w:val="1"/>
      <w:numFmt w:val="bullet"/>
      <w:lvlText w:val=""/>
      <w:lvlJc w:val="left"/>
      <w:pPr>
        <w:tabs>
          <w:tab w:val="num" w:pos="3075"/>
        </w:tabs>
        <w:ind w:left="3075" w:hanging="360"/>
      </w:pPr>
      <w:rPr>
        <w:rFonts w:ascii="Wingdings" w:hAnsi="Wingdings" w:hint="default"/>
      </w:rPr>
    </w:lvl>
    <w:lvl w:ilvl="3" w:tentative="1">
      <w:start w:val="1"/>
      <w:numFmt w:val="bullet"/>
      <w:lvlText w:val=""/>
      <w:lvlJc w:val="left"/>
      <w:pPr>
        <w:tabs>
          <w:tab w:val="num" w:pos="3795"/>
        </w:tabs>
        <w:ind w:left="3795" w:hanging="360"/>
      </w:pPr>
      <w:rPr>
        <w:rFonts w:ascii="Symbol" w:hAnsi="Symbol" w:hint="default"/>
      </w:rPr>
    </w:lvl>
    <w:lvl w:ilvl="4" w:tentative="1">
      <w:start w:val="1"/>
      <w:numFmt w:val="bullet"/>
      <w:lvlText w:val="o"/>
      <w:lvlJc w:val="left"/>
      <w:pPr>
        <w:tabs>
          <w:tab w:val="num" w:pos="4515"/>
        </w:tabs>
        <w:ind w:left="4515" w:hanging="360"/>
      </w:pPr>
      <w:rPr>
        <w:rFonts w:ascii="Courier New" w:hAnsi="Courier New" w:cs="Courier New" w:hint="default"/>
      </w:rPr>
    </w:lvl>
    <w:lvl w:ilvl="5" w:tentative="1">
      <w:start w:val="1"/>
      <w:numFmt w:val="bullet"/>
      <w:lvlText w:val=""/>
      <w:lvlJc w:val="left"/>
      <w:pPr>
        <w:tabs>
          <w:tab w:val="num" w:pos="5235"/>
        </w:tabs>
        <w:ind w:left="5235" w:hanging="360"/>
      </w:pPr>
      <w:rPr>
        <w:rFonts w:ascii="Wingdings" w:hAnsi="Wingdings" w:hint="default"/>
      </w:rPr>
    </w:lvl>
    <w:lvl w:ilvl="6" w:tentative="1">
      <w:start w:val="1"/>
      <w:numFmt w:val="bullet"/>
      <w:lvlText w:val=""/>
      <w:lvlJc w:val="left"/>
      <w:pPr>
        <w:tabs>
          <w:tab w:val="num" w:pos="5955"/>
        </w:tabs>
        <w:ind w:left="5955" w:hanging="360"/>
      </w:pPr>
      <w:rPr>
        <w:rFonts w:ascii="Symbol" w:hAnsi="Symbol" w:hint="default"/>
      </w:rPr>
    </w:lvl>
    <w:lvl w:ilvl="7" w:tentative="1">
      <w:start w:val="1"/>
      <w:numFmt w:val="bullet"/>
      <w:lvlText w:val="o"/>
      <w:lvlJc w:val="left"/>
      <w:pPr>
        <w:tabs>
          <w:tab w:val="num" w:pos="6675"/>
        </w:tabs>
        <w:ind w:left="6675" w:hanging="360"/>
      </w:pPr>
      <w:rPr>
        <w:rFonts w:ascii="Courier New" w:hAnsi="Courier New" w:cs="Courier New" w:hint="default"/>
      </w:rPr>
    </w:lvl>
    <w:lvl w:ilvl="8" w:tentative="1">
      <w:start w:val="1"/>
      <w:numFmt w:val="bullet"/>
      <w:lvlText w:val=""/>
      <w:lvlJc w:val="left"/>
      <w:pPr>
        <w:tabs>
          <w:tab w:val="num" w:pos="7395"/>
        </w:tabs>
        <w:ind w:left="7395" w:hanging="360"/>
      </w:pPr>
      <w:rPr>
        <w:rFonts w:ascii="Wingdings" w:hAnsi="Wingdings" w:hint="default"/>
      </w:rPr>
    </w:lvl>
  </w:abstractNum>
  <w:abstractNum w:abstractNumId="15">
    <w:nsid w:val="373B7F97"/>
    <w:multiLevelType w:val="hybridMultilevel"/>
    <w:tmpl w:val="A192D2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2114080"/>
    <w:multiLevelType w:val="hybridMultilevel"/>
    <w:tmpl w:val="85C2EF3C"/>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7106C7B"/>
    <w:multiLevelType w:val="hybridMultilevel"/>
    <w:tmpl w:val="F9A01D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9737F9B"/>
    <w:multiLevelType w:val="hybridMultilevel"/>
    <w:tmpl w:val="C1EAD4AE"/>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9E113A5"/>
    <w:multiLevelType w:val="hybridMultilevel"/>
    <w:tmpl w:val="8F40365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FB33E67"/>
    <w:multiLevelType w:val="hybridMultilevel"/>
    <w:tmpl w:val="5F444316"/>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1">
    <w:nsid w:val="530F2492"/>
    <w:multiLevelType w:val="hybridMultilevel"/>
    <w:tmpl w:val="BFB4F2F4"/>
    <w:lvl w:ilvl="0">
      <w:start w:val="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3F40B1F"/>
    <w:multiLevelType w:val="hybridMultilevel"/>
    <w:tmpl w:val="ABC2AA40"/>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23">
    <w:nsid w:val="587243B5"/>
    <w:multiLevelType w:val="hybridMultilevel"/>
    <w:tmpl w:val="86BAED3A"/>
    <w:lvl w:ilvl="0">
      <w:start w:val="1"/>
      <w:numFmt w:val="bullet"/>
      <w:lvlText w:val=""/>
      <w:lvlJc w:val="left"/>
      <w:pPr>
        <w:tabs>
          <w:tab w:val="num" w:pos="1455"/>
        </w:tabs>
        <w:ind w:left="1455" w:hanging="360"/>
      </w:pPr>
      <w:rPr>
        <w:rFonts w:ascii="Symbol" w:hAnsi="Symbol" w:hint="default"/>
      </w:rPr>
    </w:lvl>
    <w:lvl w:ilvl="1" w:tentative="1">
      <w:start w:val="1"/>
      <w:numFmt w:val="bullet"/>
      <w:lvlText w:val="o"/>
      <w:lvlJc w:val="left"/>
      <w:pPr>
        <w:tabs>
          <w:tab w:val="num" w:pos="2175"/>
        </w:tabs>
        <w:ind w:left="2175" w:hanging="360"/>
      </w:pPr>
      <w:rPr>
        <w:rFonts w:ascii="Courier New" w:hAnsi="Courier New" w:cs="Courier New" w:hint="default"/>
      </w:rPr>
    </w:lvl>
    <w:lvl w:ilvl="2" w:tentative="1">
      <w:start w:val="1"/>
      <w:numFmt w:val="bullet"/>
      <w:lvlText w:val=""/>
      <w:lvlJc w:val="left"/>
      <w:pPr>
        <w:tabs>
          <w:tab w:val="num" w:pos="2895"/>
        </w:tabs>
        <w:ind w:left="2895" w:hanging="360"/>
      </w:pPr>
      <w:rPr>
        <w:rFonts w:ascii="Wingdings" w:hAnsi="Wingdings" w:hint="default"/>
      </w:rPr>
    </w:lvl>
    <w:lvl w:ilvl="3" w:tentative="1">
      <w:start w:val="1"/>
      <w:numFmt w:val="bullet"/>
      <w:lvlText w:val=""/>
      <w:lvlJc w:val="left"/>
      <w:pPr>
        <w:tabs>
          <w:tab w:val="num" w:pos="3615"/>
        </w:tabs>
        <w:ind w:left="3615" w:hanging="360"/>
      </w:pPr>
      <w:rPr>
        <w:rFonts w:ascii="Symbol" w:hAnsi="Symbol" w:hint="default"/>
      </w:rPr>
    </w:lvl>
    <w:lvl w:ilvl="4" w:tentative="1">
      <w:start w:val="1"/>
      <w:numFmt w:val="bullet"/>
      <w:lvlText w:val="o"/>
      <w:lvlJc w:val="left"/>
      <w:pPr>
        <w:tabs>
          <w:tab w:val="num" w:pos="4335"/>
        </w:tabs>
        <w:ind w:left="4335" w:hanging="360"/>
      </w:pPr>
      <w:rPr>
        <w:rFonts w:ascii="Courier New" w:hAnsi="Courier New" w:cs="Courier New" w:hint="default"/>
      </w:rPr>
    </w:lvl>
    <w:lvl w:ilvl="5" w:tentative="1">
      <w:start w:val="1"/>
      <w:numFmt w:val="bullet"/>
      <w:lvlText w:val=""/>
      <w:lvlJc w:val="left"/>
      <w:pPr>
        <w:tabs>
          <w:tab w:val="num" w:pos="5055"/>
        </w:tabs>
        <w:ind w:left="5055" w:hanging="360"/>
      </w:pPr>
      <w:rPr>
        <w:rFonts w:ascii="Wingdings" w:hAnsi="Wingdings" w:hint="default"/>
      </w:rPr>
    </w:lvl>
    <w:lvl w:ilvl="6" w:tentative="1">
      <w:start w:val="1"/>
      <w:numFmt w:val="bullet"/>
      <w:lvlText w:val=""/>
      <w:lvlJc w:val="left"/>
      <w:pPr>
        <w:tabs>
          <w:tab w:val="num" w:pos="5775"/>
        </w:tabs>
        <w:ind w:left="5775" w:hanging="360"/>
      </w:pPr>
      <w:rPr>
        <w:rFonts w:ascii="Symbol" w:hAnsi="Symbol" w:hint="default"/>
      </w:rPr>
    </w:lvl>
    <w:lvl w:ilvl="7" w:tentative="1">
      <w:start w:val="1"/>
      <w:numFmt w:val="bullet"/>
      <w:lvlText w:val="o"/>
      <w:lvlJc w:val="left"/>
      <w:pPr>
        <w:tabs>
          <w:tab w:val="num" w:pos="6495"/>
        </w:tabs>
        <w:ind w:left="6495" w:hanging="360"/>
      </w:pPr>
      <w:rPr>
        <w:rFonts w:ascii="Courier New" w:hAnsi="Courier New" w:cs="Courier New" w:hint="default"/>
      </w:rPr>
    </w:lvl>
    <w:lvl w:ilvl="8" w:tentative="1">
      <w:start w:val="1"/>
      <w:numFmt w:val="bullet"/>
      <w:lvlText w:val=""/>
      <w:lvlJc w:val="left"/>
      <w:pPr>
        <w:tabs>
          <w:tab w:val="num" w:pos="7215"/>
        </w:tabs>
        <w:ind w:left="7215" w:hanging="360"/>
      </w:pPr>
      <w:rPr>
        <w:rFonts w:ascii="Wingdings" w:hAnsi="Wingdings" w:hint="default"/>
      </w:rPr>
    </w:lvl>
  </w:abstractNum>
  <w:abstractNum w:abstractNumId="24">
    <w:nsid w:val="600D25F1"/>
    <w:multiLevelType w:val="hybridMultilevel"/>
    <w:tmpl w:val="84C2A4B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1DD2704"/>
    <w:multiLevelType w:val="hybridMultilevel"/>
    <w:tmpl w:val="B12A3E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964698C"/>
    <w:multiLevelType w:val="hybridMultilevel"/>
    <w:tmpl w:val="BDE48B0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91A3AED"/>
    <w:multiLevelType w:val="hybridMultilevel"/>
    <w:tmpl w:val="2DB6F438"/>
    <w:lvl w:ilvl="0">
      <w:start w:val="18"/>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29463687">
    <w:abstractNumId w:val="0"/>
    <w:lvlOverride w:ilvl="0">
      <w:startOverride w:val="6"/>
      <w:lvl w:ilvl="0">
        <w:start w:val="6"/>
        <w:numFmt w:val="decimal"/>
        <w:pStyle w:val="Quick1"/>
        <w:lvlText w:val="%1."/>
        <w:lvlJc w:val="left"/>
      </w:lvl>
    </w:lvlOverride>
  </w:num>
  <w:num w:numId="2" w16cid:durableId="1359812621">
    <w:abstractNumId w:val="0"/>
    <w:lvlOverride w:ilvl="0">
      <w:startOverride w:val="9"/>
      <w:lvl w:ilvl="0">
        <w:start w:val="9"/>
        <w:numFmt w:val="decimal"/>
        <w:pStyle w:val="Quick1"/>
        <w:lvlText w:val="%1."/>
        <w:lvlJc w:val="left"/>
      </w:lvl>
    </w:lvlOverride>
  </w:num>
  <w:num w:numId="3" w16cid:durableId="162168490">
    <w:abstractNumId w:val="1"/>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719935438">
    <w:abstractNumId w:val="0"/>
    <w:lvlOverride w:ilvl="0">
      <w:startOverride w:val="13"/>
      <w:lvl w:ilvl="0">
        <w:start w:val="13"/>
        <w:numFmt w:val="decimal"/>
        <w:pStyle w:val="Quick1"/>
        <w:lvlText w:val="%1."/>
        <w:lvlJc w:val="left"/>
      </w:lvl>
    </w:lvlOverride>
  </w:num>
  <w:num w:numId="5" w16cid:durableId="1788432423">
    <w:abstractNumId w:val="0"/>
    <w:lvlOverride w:ilvl="0">
      <w:startOverride w:val="17"/>
      <w:lvl w:ilvl="0">
        <w:start w:val="17"/>
        <w:numFmt w:val="decimal"/>
        <w:pStyle w:val="Quick1"/>
        <w:lvlText w:val="%1."/>
        <w:lvlJc w:val="left"/>
      </w:lvl>
    </w:lvlOverride>
  </w:num>
  <w:num w:numId="6" w16cid:durableId="1719696639">
    <w:abstractNumId w:val="24"/>
  </w:num>
  <w:num w:numId="7" w16cid:durableId="622811142">
    <w:abstractNumId w:val="9"/>
  </w:num>
  <w:num w:numId="8" w16cid:durableId="680669745">
    <w:abstractNumId w:val="4"/>
  </w:num>
  <w:num w:numId="9" w16cid:durableId="264269442">
    <w:abstractNumId w:val="12"/>
  </w:num>
  <w:num w:numId="10" w16cid:durableId="1295526581">
    <w:abstractNumId w:val="26"/>
  </w:num>
  <w:num w:numId="11" w16cid:durableId="1136335731">
    <w:abstractNumId w:val="19"/>
  </w:num>
  <w:num w:numId="12" w16cid:durableId="289359011">
    <w:abstractNumId w:val="6"/>
  </w:num>
  <w:num w:numId="13" w16cid:durableId="1939168902">
    <w:abstractNumId w:val="2"/>
  </w:num>
  <w:num w:numId="14" w16cid:durableId="115293642">
    <w:abstractNumId w:val="10"/>
  </w:num>
  <w:num w:numId="15" w16cid:durableId="1286278628">
    <w:abstractNumId w:val="14"/>
  </w:num>
  <w:num w:numId="16" w16cid:durableId="1476752434">
    <w:abstractNumId w:val="8"/>
  </w:num>
  <w:num w:numId="17" w16cid:durableId="439689606">
    <w:abstractNumId w:val="23"/>
  </w:num>
  <w:num w:numId="18" w16cid:durableId="1935551797">
    <w:abstractNumId w:val="17"/>
  </w:num>
  <w:num w:numId="19" w16cid:durableId="278995032">
    <w:abstractNumId w:val="3"/>
  </w:num>
  <w:num w:numId="20" w16cid:durableId="1297831198">
    <w:abstractNumId w:val="15"/>
  </w:num>
  <w:num w:numId="21" w16cid:durableId="98721302">
    <w:abstractNumId w:val="25"/>
  </w:num>
  <w:num w:numId="22" w16cid:durableId="1020200789">
    <w:abstractNumId w:val="18"/>
  </w:num>
  <w:num w:numId="23" w16cid:durableId="744186024">
    <w:abstractNumId w:val="11"/>
  </w:num>
  <w:num w:numId="24" w16cid:durableId="94059806">
    <w:abstractNumId w:val="21"/>
  </w:num>
  <w:num w:numId="25" w16cid:durableId="184708282">
    <w:abstractNumId w:val="27"/>
  </w:num>
  <w:num w:numId="26" w16cid:durableId="927539759">
    <w:abstractNumId w:val="7"/>
  </w:num>
  <w:num w:numId="27" w16cid:durableId="928196017">
    <w:abstractNumId w:val="5"/>
  </w:num>
  <w:num w:numId="28" w16cid:durableId="248008627">
    <w:abstractNumId w:val="16"/>
  </w:num>
  <w:num w:numId="29" w16cid:durableId="1929725204">
    <w:abstractNumId w:val="13"/>
  </w:num>
  <w:num w:numId="30" w16cid:durableId="1444767150">
    <w:abstractNumId w:val="22"/>
  </w:num>
  <w:num w:numId="31" w16cid:durableId="8626657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56"/>
    <w:rsid w:val="00000314"/>
    <w:rsid w:val="00000BCF"/>
    <w:rsid w:val="000024F7"/>
    <w:rsid w:val="00004807"/>
    <w:rsid w:val="0000665F"/>
    <w:rsid w:val="000069F1"/>
    <w:rsid w:val="00006C8A"/>
    <w:rsid w:val="00007E03"/>
    <w:rsid w:val="0001029D"/>
    <w:rsid w:val="00010872"/>
    <w:rsid w:val="00010981"/>
    <w:rsid w:val="0001251D"/>
    <w:rsid w:val="00013E04"/>
    <w:rsid w:val="00022541"/>
    <w:rsid w:val="000237EA"/>
    <w:rsid w:val="00034969"/>
    <w:rsid w:val="00034D5A"/>
    <w:rsid w:val="00036A30"/>
    <w:rsid w:val="00036DFC"/>
    <w:rsid w:val="000373B0"/>
    <w:rsid w:val="00037AA6"/>
    <w:rsid w:val="000442E3"/>
    <w:rsid w:val="00045277"/>
    <w:rsid w:val="00046521"/>
    <w:rsid w:val="00052A9E"/>
    <w:rsid w:val="00053866"/>
    <w:rsid w:val="0005602E"/>
    <w:rsid w:val="000564BC"/>
    <w:rsid w:val="0005738E"/>
    <w:rsid w:val="0006333B"/>
    <w:rsid w:val="00072608"/>
    <w:rsid w:val="00076CC4"/>
    <w:rsid w:val="00083F7C"/>
    <w:rsid w:val="00087C4A"/>
    <w:rsid w:val="0009046A"/>
    <w:rsid w:val="00092EF9"/>
    <w:rsid w:val="00094E38"/>
    <w:rsid w:val="00097475"/>
    <w:rsid w:val="000A0E68"/>
    <w:rsid w:val="000A1C9C"/>
    <w:rsid w:val="000A2A97"/>
    <w:rsid w:val="000A54A9"/>
    <w:rsid w:val="000B18D8"/>
    <w:rsid w:val="000B45F4"/>
    <w:rsid w:val="000B7CDB"/>
    <w:rsid w:val="000C25B2"/>
    <w:rsid w:val="000C7DF1"/>
    <w:rsid w:val="000D01A1"/>
    <w:rsid w:val="000E1245"/>
    <w:rsid w:val="000E2BE2"/>
    <w:rsid w:val="000E3EDB"/>
    <w:rsid w:val="000E6A24"/>
    <w:rsid w:val="000F6DC4"/>
    <w:rsid w:val="001060AE"/>
    <w:rsid w:val="001070F4"/>
    <w:rsid w:val="00107F96"/>
    <w:rsid w:val="0011058B"/>
    <w:rsid w:val="00112548"/>
    <w:rsid w:val="00113184"/>
    <w:rsid w:val="00116FFD"/>
    <w:rsid w:val="00117CAD"/>
    <w:rsid w:val="00121BBC"/>
    <w:rsid w:val="0012203D"/>
    <w:rsid w:val="00122110"/>
    <w:rsid w:val="0012729A"/>
    <w:rsid w:val="00130A19"/>
    <w:rsid w:val="00130E62"/>
    <w:rsid w:val="00131238"/>
    <w:rsid w:val="00132DBB"/>
    <w:rsid w:val="00134382"/>
    <w:rsid w:val="0013643E"/>
    <w:rsid w:val="00140ECB"/>
    <w:rsid w:val="001455E6"/>
    <w:rsid w:val="001474BA"/>
    <w:rsid w:val="00150CB6"/>
    <w:rsid w:val="00153307"/>
    <w:rsid w:val="00154937"/>
    <w:rsid w:val="001549F5"/>
    <w:rsid w:val="00156561"/>
    <w:rsid w:val="00157F41"/>
    <w:rsid w:val="00163FFB"/>
    <w:rsid w:val="00172163"/>
    <w:rsid w:val="001763A3"/>
    <w:rsid w:val="00177B4C"/>
    <w:rsid w:val="001802F4"/>
    <w:rsid w:val="001804FB"/>
    <w:rsid w:val="00181A05"/>
    <w:rsid w:val="001838B8"/>
    <w:rsid w:val="0019386B"/>
    <w:rsid w:val="00193E59"/>
    <w:rsid w:val="00194A6A"/>
    <w:rsid w:val="00195423"/>
    <w:rsid w:val="001A10F5"/>
    <w:rsid w:val="001A66C1"/>
    <w:rsid w:val="001B17DF"/>
    <w:rsid w:val="001C189F"/>
    <w:rsid w:val="001C42E1"/>
    <w:rsid w:val="001C5194"/>
    <w:rsid w:val="001C53EE"/>
    <w:rsid w:val="001C70B7"/>
    <w:rsid w:val="001D2B9E"/>
    <w:rsid w:val="001D68F1"/>
    <w:rsid w:val="001D7CEC"/>
    <w:rsid w:val="001E0388"/>
    <w:rsid w:val="001E232B"/>
    <w:rsid w:val="001E2F87"/>
    <w:rsid w:val="001E4B85"/>
    <w:rsid w:val="001E6FC1"/>
    <w:rsid w:val="001F4CE7"/>
    <w:rsid w:val="001F5253"/>
    <w:rsid w:val="001F58B8"/>
    <w:rsid w:val="001F66FE"/>
    <w:rsid w:val="001F744B"/>
    <w:rsid w:val="0020034D"/>
    <w:rsid w:val="00207D70"/>
    <w:rsid w:val="00221637"/>
    <w:rsid w:val="00221C62"/>
    <w:rsid w:val="00226C91"/>
    <w:rsid w:val="00234CA8"/>
    <w:rsid w:val="00237D8C"/>
    <w:rsid w:val="00240C50"/>
    <w:rsid w:val="00242680"/>
    <w:rsid w:val="00246E54"/>
    <w:rsid w:val="00252E80"/>
    <w:rsid w:val="00255F02"/>
    <w:rsid w:val="00256F81"/>
    <w:rsid w:val="0026239F"/>
    <w:rsid w:val="00263C83"/>
    <w:rsid w:val="002653C9"/>
    <w:rsid w:val="002665E9"/>
    <w:rsid w:val="0027198A"/>
    <w:rsid w:val="00272CE6"/>
    <w:rsid w:val="00274758"/>
    <w:rsid w:val="002759BF"/>
    <w:rsid w:val="00276919"/>
    <w:rsid w:val="00283134"/>
    <w:rsid w:val="00284261"/>
    <w:rsid w:val="0028680D"/>
    <w:rsid w:val="002869E2"/>
    <w:rsid w:val="00287305"/>
    <w:rsid w:val="00291174"/>
    <w:rsid w:val="00293CAF"/>
    <w:rsid w:val="00294CA3"/>
    <w:rsid w:val="002971AC"/>
    <w:rsid w:val="002A1A79"/>
    <w:rsid w:val="002A1AEF"/>
    <w:rsid w:val="002A262B"/>
    <w:rsid w:val="002A5A91"/>
    <w:rsid w:val="002A77EF"/>
    <w:rsid w:val="002B0270"/>
    <w:rsid w:val="002B133D"/>
    <w:rsid w:val="002B17AE"/>
    <w:rsid w:val="002B3156"/>
    <w:rsid w:val="002B6BF0"/>
    <w:rsid w:val="002B6C6B"/>
    <w:rsid w:val="002C0358"/>
    <w:rsid w:val="002D1E98"/>
    <w:rsid w:val="002D24B9"/>
    <w:rsid w:val="002D4814"/>
    <w:rsid w:val="002D6444"/>
    <w:rsid w:val="002D6DC8"/>
    <w:rsid w:val="002E104F"/>
    <w:rsid w:val="002E2F49"/>
    <w:rsid w:val="002E66DD"/>
    <w:rsid w:val="002E7DF2"/>
    <w:rsid w:val="002F1C61"/>
    <w:rsid w:val="002F27AE"/>
    <w:rsid w:val="002F3619"/>
    <w:rsid w:val="002F371A"/>
    <w:rsid w:val="002F48D6"/>
    <w:rsid w:val="00300423"/>
    <w:rsid w:val="0030116A"/>
    <w:rsid w:val="00302655"/>
    <w:rsid w:val="00304962"/>
    <w:rsid w:val="003139F0"/>
    <w:rsid w:val="00314D26"/>
    <w:rsid w:val="00316088"/>
    <w:rsid w:val="00317A34"/>
    <w:rsid w:val="00322AC0"/>
    <w:rsid w:val="00322BE7"/>
    <w:rsid w:val="0033608E"/>
    <w:rsid w:val="00337812"/>
    <w:rsid w:val="0034181D"/>
    <w:rsid w:val="00342E47"/>
    <w:rsid w:val="00343058"/>
    <w:rsid w:val="003502FC"/>
    <w:rsid w:val="00350F8A"/>
    <w:rsid w:val="003512B9"/>
    <w:rsid w:val="00352A99"/>
    <w:rsid w:val="0035484D"/>
    <w:rsid w:val="00362B62"/>
    <w:rsid w:val="00364D86"/>
    <w:rsid w:val="00366217"/>
    <w:rsid w:val="0036796C"/>
    <w:rsid w:val="00371098"/>
    <w:rsid w:val="00372819"/>
    <w:rsid w:val="003737A0"/>
    <w:rsid w:val="0037720B"/>
    <w:rsid w:val="00384DA3"/>
    <w:rsid w:val="00386692"/>
    <w:rsid w:val="0039100D"/>
    <w:rsid w:val="0039276B"/>
    <w:rsid w:val="00393CF4"/>
    <w:rsid w:val="00394F6D"/>
    <w:rsid w:val="00396EF1"/>
    <w:rsid w:val="00397716"/>
    <w:rsid w:val="00397FEB"/>
    <w:rsid w:val="003A45EC"/>
    <w:rsid w:val="003A65DD"/>
    <w:rsid w:val="003B23DA"/>
    <w:rsid w:val="003C7743"/>
    <w:rsid w:val="003D329C"/>
    <w:rsid w:val="003D5942"/>
    <w:rsid w:val="003D71EA"/>
    <w:rsid w:val="003E090A"/>
    <w:rsid w:val="003E0E14"/>
    <w:rsid w:val="003E12C7"/>
    <w:rsid w:val="003E1CD0"/>
    <w:rsid w:val="003E22D6"/>
    <w:rsid w:val="003E24B7"/>
    <w:rsid w:val="003E366E"/>
    <w:rsid w:val="003E413D"/>
    <w:rsid w:val="003F1A8B"/>
    <w:rsid w:val="003F38B3"/>
    <w:rsid w:val="003F4BB0"/>
    <w:rsid w:val="003F4E7D"/>
    <w:rsid w:val="003F755D"/>
    <w:rsid w:val="004001DE"/>
    <w:rsid w:val="004009F0"/>
    <w:rsid w:val="00401FD2"/>
    <w:rsid w:val="004027FA"/>
    <w:rsid w:val="004029F6"/>
    <w:rsid w:val="00403914"/>
    <w:rsid w:val="00406896"/>
    <w:rsid w:val="0041425F"/>
    <w:rsid w:val="00415254"/>
    <w:rsid w:val="004155A1"/>
    <w:rsid w:val="00416AD2"/>
    <w:rsid w:val="00417788"/>
    <w:rsid w:val="00417D08"/>
    <w:rsid w:val="004221A4"/>
    <w:rsid w:val="004253E3"/>
    <w:rsid w:val="00425488"/>
    <w:rsid w:val="00431167"/>
    <w:rsid w:val="004346B8"/>
    <w:rsid w:val="004349DE"/>
    <w:rsid w:val="00435827"/>
    <w:rsid w:val="00440F44"/>
    <w:rsid w:val="00445B3F"/>
    <w:rsid w:val="00445C7B"/>
    <w:rsid w:val="004460B0"/>
    <w:rsid w:val="00447F19"/>
    <w:rsid w:val="00451388"/>
    <w:rsid w:val="004516A0"/>
    <w:rsid w:val="00451986"/>
    <w:rsid w:val="00452536"/>
    <w:rsid w:val="0045488E"/>
    <w:rsid w:val="004712B8"/>
    <w:rsid w:val="00474A70"/>
    <w:rsid w:val="00482A6C"/>
    <w:rsid w:val="004864E0"/>
    <w:rsid w:val="004917C1"/>
    <w:rsid w:val="00492437"/>
    <w:rsid w:val="00497128"/>
    <w:rsid w:val="004A2749"/>
    <w:rsid w:val="004A36CB"/>
    <w:rsid w:val="004B0598"/>
    <w:rsid w:val="004B2E58"/>
    <w:rsid w:val="004B6F4A"/>
    <w:rsid w:val="004B76F0"/>
    <w:rsid w:val="004C2E69"/>
    <w:rsid w:val="004D1B63"/>
    <w:rsid w:val="004D5B60"/>
    <w:rsid w:val="004D5C49"/>
    <w:rsid w:val="004D690D"/>
    <w:rsid w:val="004E02B5"/>
    <w:rsid w:val="004E0511"/>
    <w:rsid w:val="004E1FD3"/>
    <w:rsid w:val="004E2DF0"/>
    <w:rsid w:val="004E4518"/>
    <w:rsid w:val="004F0695"/>
    <w:rsid w:val="004F0AB6"/>
    <w:rsid w:val="004F15F6"/>
    <w:rsid w:val="004F22AE"/>
    <w:rsid w:val="004F33CF"/>
    <w:rsid w:val="004F7E57"/>
    <w:rsid w:val="00500F21"/>
    <w:rsid w:val="00507F11"/>
    <w:rsid w:val="00512F1A"/>
    <w:rsid w:val="00513926"/>
    <w:rsid w:val="00514D1D"/>
    <w:rsid w:val="005153E8"/>
    <w:rsid w:val="005175CC"/>
    <w:rsid w:val="00520132"/>
    <w:rsid w:val="00521A7E"/>
    <w:rsid w:val="005231B1"/>
    <w:rsid w:val="00523869"/>
    <w:rsid w:val="00527988"/>
    <w:rsid w:val="00532B3C"/>
    <w:rsid w:val="0054137D"/>
    <w:rsid w:val="005445BA"/>
    <w:rsid w:val="0054683B"/>
    <w:rsid w:val="005505D7"/>
    <w:rsid w:val="00551308"/>
    <w:rsid w:val="00552136"/>
    <w:rsid w:val="00552A75"/>
    <w:rsid w:val="00552EE7"/>
    <w:rsid w:val="005537A3"/>
    <w:rsid w:val="00553CA2"/>
    <w:rsid w:val="00554D1B"/>
    <w:rsid w:val="00556482"/>
    <w:rsid w:val="005638E0"/>
    <w:rsid w:val="00563BF6"/>
    <w:rsid w:val="00567075"/>
    <w:rsid w:val="00567E3F"/>
    <w:rsid w:val="005736B3"/>
    <w:rsid w:val="00575F29"/>
    <w:rsid w:val="00580E75"/>
    <w:rsid w:val="00586791"/>
    <w:rsid w:val="00586C50"/>
    <w:rsid w:val="005900EC"/>
    <w:rsid w:val="00592359"/>
    <w:rsid w:val="00593664"/>
    <w:rsid w:val="0059431E"/>
    <w:rsid w:val="005A5FA2"/>
    <w:rsid w:val="005B033B"/>
    <w:rsid w:val="005B42EB"/>
    <w:rsid w:val="005B436D"/>
    <w:rsid w:val="005B63D6"/>
    <w:rsid w:val="005C28E2"/>
    <w:rsid w:val="005C6EB3"/>
    <w:rsid w:val="005C6ED8"/>
    <w:rsid w:val="005D12DC"/>
    <w:rsid w:val="005D6222"/>
    <w:rsid w:val="005D67E3"/>
    <w:rsid w:val="005E03ED"/>
    <w:rsid w:val="005E2604"/>
    <w:rsid w:val="005E2811"/>
    <w:rsid w:val="005F1C27"/>
    <w:rsid w:val="005F4C6F"/>
    <w:rsid w:val="0060276D"/>
    <w:rsid w:val="006029B6"/>
    <w:rsid w:val="006065FD"/>
    <w:rsid w:val="00611EF8"/>
    <w:rsid w:val="006141D3"/>
    <w:rsid w:val="006163D5"/>
    <w:rsid w:val="006174A0"/>
    <w:rsid w:val="00617EC4"/>
    <w:rsid w:val="00620B41"/>
    <w:rsid w:val="006272D9"/>
    <w:rsid w:val="00630C56"/>
    <w:rsid w:val="006324FA"/>
    <w:rsid w:val="006351D3"/>
    <w:rsid w:val="00635717"/>
    <w:rsid w:val="00640D13"/>
    <w:rsid w:val="00644C18"/>
    <w:rsid w:val="00650070"/>
    <w:rsid w:val="00651BB4"/>
    <w:rsid w:val="00651FA1"/>
    <w:rsid w:val="006554D3"/>
    <w:rsid w:val="006610A7"/>
    <w:rsid w:val="00670F17"/>
    <w:rsid w:val="0067509E"/>
    <w:rsid w:val="00675D5C"/>
    <w:rsid w:val="006767A6"/>
    <w:rsid w:val="00676B76"/>
    <w:rsid w:val="00677CA8"/>
    <w:rsid w:val="00680094"/>
    <w:rsid w:val="00682A8A"/>
    <w:rsid w:val="00683317"/>
    <w:rsid w:val="006859CC"/>
    <w:rsid w:val="0069330F"/>
    <w:rsid w:val="006A0C1D"/>
    <w:rsid w:val="006A2855"/>
    <w:rsid w:val="006A30D2"/>
    <w:rsid w:val="006A7469"/>
    <w:rsid w:val="006A775D"/>
    <w:rsid w:val="006A7A00"/>
    <w:rsid w:val="006B4C0D"/>
    <w:rsid w:val="006B59C9"/>
    <w:rsid w:val="006B7377"/>
    <w:rsid w:val="006C0609"/>
    <w:rsid w:val="006C0B97"/>
    <w:rsid w:val="006C2E58"/>
    <w:rsid w:val="006C4915"/>
    <w:rsid w:val="006C5AFF"/>
    <w:rsid w:val="006C5E53"/>
    <w:rsid w:val="006C5FB8"/>
    <w:rsid w:val="006C6631"/>
    <w:rsid w:val="006D12AC"/>
    <w:rsid w:val="006D512D"/>
    <w:rsid w:val="006E1550"/>
    <w:rsid w:val="006E2C2C"/>
    <w:rsid w:val="006E4BA2"/>
    <w:rsid w:val="006F2881"/>
    <w:rsid w:val="006F2D93"/>
    <w:rsid w:val="006F3306"/>
    <w:rsid w:val="006F5D5E"/>
    <w:rsid w:val="0070225B"/>
    <w:rsid w:val="00703264"/>
    <w:rsid w:val="00715D00"/>
    <w:rsid w:val="00716352"/>
    <w:rsid w:val="007174B4"/>
    <w:rsid w:val="00726591"/>
    <w:rsid w:val="007300D9"/>
    <w:rsid w:val="00731373"/>
    <w:rsid w:val="00742A8C"/>
    <w:rsid w:val="00743767"/>
    <w:rsid w:val="00743A2C"/>
    <w:rsid w:val="0074799B"/>
    <w:rsid w:val="0076132E"/>
    <w:rsid w:val="00765228"/>
    <w:rsid w:val="0076693D"/>
    <w:rsid w:val="00766BE0"/>
    <w:rsid w:val="00767AAF"/>
    <w:rsid w:val="0077018B"/>
    <w:rsid w:val="007707CC"/>
    <w:rsid w:val="0078132F"/>
    <w:rsid w:val="00783E74"/>
    <w:rsid w:val="00783F48"/>
    <w:rsid w:val="0078548A"/>
    <w:rsid w:val="00785EED"/>
    <w:rsid w:val="00786468"/>
    <w:rsid w:val="0078662F"/>
    <w:rsid w:val="00786C08"/>
    <w:rsid w:val="00791A25"/>
    <w:rsid w:val="00791DF2"/>
    <w:rsid w:val="007934DB"/>
    <w:rsid w:val="00797973"/>
    <w:rsid w:val="007A3F27"/>
    <w:rsid w:val="007A45AC"/>
    <w:rsid w:val="007A679F"/>
    <w:rsid w:val="007B0D23"/>
    <w:rsid w:val="007B2370"/>
    <w:rsid w:val="007B267D"/>
    <w:rsid w:val="007B2FE8"/>
    <w:rsid w:val="007B37B8"/>
    <w:rsid w:val="007B595E"/>
    <w:rsid w:val="007C1530"/>
    <w:rsid w:val="007C26DF"/>
    <w:rsid w:val="007C2727"/>
    <w:rsid w:val="007C2A19"/>
    <w:rsid w:val="007D2CB7"/>
    <w:rsid w:val="007D6808"/>
    <w:rsid w:val="007D7AF5"/>
    <w:rsid w:val="007E10BB"/>
    <w:rsid w:val="007E1474"/>
    <w:rsid w:val="007E19D1"/>
    <w:rsid w:val="007F02F3"/>
    <w:rsid w:val="007F3CBA"/>
    <w:rsid w:val="007F407D"/>
    <w:rsid w:val="007F5391"/>
    <w:rsid w:val="00800085"/>
    <w:rsid w:val="00803E0C"/>
    <w:rsid w:val="00810F64"/>
    <w:rsid w:val="0081271E"/>
    <w:rsid w:val="0082022E"/>
    <w:rsid w:val="0082026C"/>
    <w:rsid w:val="008229B3"/>
    <w:rsid w:val="0082529D"/>
    <w:rsid w:val="00826AC1"/>
    <w:rsid w:val="008301DF"/>
    <w:rsid w:val="00831048"/>
    <w:rsid w:val="008340F4"/>
    <w:rsid w:val="008349FF"/>
    <w:rsid w:val="008353A6"/>
    <w:rsid w:val="00836FEE"/>
    <w:rsid w:val="00836FF9"/>
    <w:rsid w:val="00840D0E"/>
    <w:rsid w:val="008416C9"/>
    <w:rsid w:val="0084203B"/>
    <w:rsid w:val="00842371"/>
    <w:rsid w:val="008439DB"/>
    <w:rsid w:val="00850AB2"/>
    <w:rsid w:val="00851289"/>
    <w:rsid w:val="00852796"/>
    <w:rsid w:val="00852816"/>
    <w:rsid w:val="008559FC"/>
    <w:rsid w:val="00856D37"/>
    <w:rsid w:val="008617B8"/>
    <w:rsid w:val="00863181"/>
    <w:rsid w:val="0086750D"/>
    <w:rsid w:val="00872E7D"/>
    <w:rsid w:val="00882AA4"/>
    <w:rsid w:val="008860C7"/>
    <w:rsid w:val="0088775F"/>
    <w:rsid w:val="00891491"/>
    <w:rsid w:val="00892CDE"/>
    <w:rsid w:val="00895B6D"/>
    <w:rsid w:val="008970EB"/>
    <w:rsid w:val="008A058E"/>
    <w:rsid w:val="008A17E2"/>
    <w:rsid w:val="008A2E3D"/>
    <w:rsid w:val="008A584B"/>
    <w:rsid w:val="008A6667"/>
    <w:rsid w:val="008B0947"/>
    <w:rsid w:val="008B1D3F"/>
    <w:rsid w:val="008B2D37"/>
    <w:rsid w:val="008B5F3C"/>
    <w:rsid w:val="008B70C3"/>
    <w:rsid w:val="008C728B"/>
    <w:rsid w:val="008D22C6"/>
    <w:rsid w:val="008D3E2D"/>
    <w:rsid w:val="008D5B79"/>
    <w:rsid w:val="008D69CB"/>
    <w:rsid w:val="008D7849"/>
    <w:rsid w:val="008E13C9"/>
    <w:rsid w:val="008E3AB7"/>
    <w:rsid w:val="008E7227"/>
    <w:rsid w:val="008F0A92"/>
    <w:rsid w:val="008F51BB"/>
    <w:rsid w:val="008F66AC"/>
    <w:rsid w:val="00900153"/>
    <w:rsid w:val="0090038F"/>
    <w:rsid w:val="00901B75"/>
    <w:rsid w:val="00901EF6"/>
    <w:rsid w:val="0090421B"/>
    <w:rsid w:val="009067F3"/>
    <w:rsid w:val="00906D5E"/>
    <w:rsid w:val="00910D91"/>
    <w:rsid w:val="00921C65"/>
    <w:rsid w:val="00925CC5"/>
    <w:rsid w:val="00930DD7"/>
    <w:rsid w:val="00932775"/>
    <w:rsid w:val="00933FC3"/>
    <w:rsid w:val="00935927"/>
    <w:rsid w:val="00935B23"/>
    <w:rsid w:val="00940AC3"/>
    <w:rsid w:val="0094549A"/>
    <w:rsid w:val="00945951"/>
    <w:rsid w:val="00946F96"/>
    <w:rsid w:val="0095159F"/>
    <w:rsid w:val="00951CC0"/>
    <w:rsid w:val="009524BB"/>
    <w:rsid w:val="009551DB"/>
    <w:rsid w:val="009556D2"/>
    <w:rsid w:val="00971A70"/>
    <w:rsid w:val="00972BB7"/>
    <w:rsid w:val="00980104"/>
    <w:rsid w:val="00982982"/>
    <w:rsid w:val="00982E36"/>
    <w:rsid w:val="0098522A"/>
    <w:rsid w:val="009913A7"/>
    <w:rsid w:val="009915A2"/>
    <w:rsid w:val="009934B0"/>
    <w:rsid w:val="00993A07"/>
    <w:rsid w:val="00993D94"/>
    <w:rsid w:val="009942F8"/>
    <w:rsid w:val="00995CC4"/>
    <w:rsid w:val="00997526"/>
    <w:rsid w:val="009A0E50"/>
    <w:rsid w:val="009A14B7"/>
    <w:rsid w:val="009A3A1B"/>
    <w:rsid w:val="009A6AB0"/>
    <w:rsid w:val="009B1474"/>
    <w:rsid w:val="009B215B"/>
    <w:rsid w:val="009B36A8"/>
    <w:rsid w:val="009B3D5D"/>
    <w:rsid w:val="009B7CCD"/>
    <w:rsid w:val="009C4AB0"/>
    <w:rsid w:val="009D4C63"/>
    <w:rsid w:val="009D511B"/>
    <w:rsid w:val="009D5F02"/>
    <w:rsid w:val="009E3227"/>
    <w:rsid w:val="009E3C33"/>
    <w:rsid w:val="009E3CD7"/>
    <w:rsid w:val="009E588F"/>
    <w:rsid w:val="009E79CE"/>
    <w:rsid w:val="009F01C2"/>
    <w:rsid w:val="009F196D"/>
    <w:rsid w:val="009F270F"/>
    <w:rsid w:val="009F798F"/>
    <w:rsid w:val="009F7E6C"/>
    <w:rsid w:val="00A04290"/>
    <w:rsid w:val="00A1159D"/>
    <w:rsid w:val="00A12734"/>
    <w:rsid w:val="00A13473"/>
    <w:rsid w:val="00A14253"/>
    <w:rsid w:val="00A15330"/>
    <w:rsid w:val="00A21833"/>
    <w:rsid w:val="00A225BF"/>
    <w:rsid w:val="00A23C39"/>
    <w:rsid w:val="00A257C7"/>
    <w:rsid w:val="00A27844"/>
    <w:rsid w:val="00A308A2"/>
    <w:rsid w:val="00A31135"/>
    <w:rsid w:val="00A32C98"/>
    <w:rsid w:val="00A33E1B"/>
    <w:rsid w:val="00A347F6"/>
    <w:rsid w:val="00A443B3"/>
    <w:rsid w:val="00A45FE9"/>
    <w:rsid w:val="00A4636D"/>
    <w:rsid w:val="00A510A7"/>
    <w:rsid w:val="00A5314B"/>
    <w:rsid w:val="00A552DE"/>
    <w:rsid w:val="00A557A6"/>
    <w:rsid w:val="00A60237"/>
    <w:rsid w:val="00A63864"/>
    <w:rsid w:val="00A67525"/>
    <w:rsid w:val="00A70A38"/>
    <w:rsid w:val="00A71570"/>
    <w:rsid w:val="00A72CAF"/>
    <w:rsid w:val="00A73089"/>
    <w:rsid w:val="00A7409B"/>
    <w:rsid w:val="00A75DC6"/>
    <w:rsid w:val="00A75F72"/>
    <w:rsid w:val="00A805F1"/>
    <w:rsid w:val="00A808F4"/>
    <w:rsid w:val="00A862DF"/>
    <w:rsid w:val="00A86D9B"/>
    <w:rsid w:val="00A8732B"/>
    <w:rsid w:val="00A93F92"/>
    <w:rsid w:val="00AA097B"/>
    <w:rsid w:val="00AA58F7"/>
    <w:rsid w:val="00AB0687"/>
    <w:rsid w:val="00AB3C05"/>
    <w:rsid w:val="00AB54D3"/>
    <w:rsid w:val="00AD24DE"/>
    <w:rsid w:val="00AE134D"/>
    <w:rsid w:val="00AE1A92"/>
    <w:rsid w:val="00AE1D25"/>
    <w:rsid w:val="00AE5D4A"/>
    <w:rsid w:val="00AE6990"/>
    <w:rsid w:val="00AE6E34"/>
    <w:rsid w:val="00AF2999"/>
    <w:rsid w:val="00AF5F7D"/>
    <w:rsid w:val="00AF6F2D"/>
    <w:rsid w:val="00AF7D43"/>
    <w:rsid w:val="00B00718"/>
    <w:rsid w:val="00B036B3"/>
    <w:rsid w:val="00B03A3E"/>
    <w:rsid w:val="00B055C7"/>
    <w:rsid w:val="00B05DD4"/>
    <w:rsid w:val="00B155BF"/>
    <w:rsid w:val="00B165B9"/>
    <w:rsid w:val="00B1716D"/>
    <w:rsid w:val="00B2162E"/>
    <w:rsid w:val="00B22841"/>
    <w:rsid w:val="00B25000"/>
    <w:rsid w:val="00B2684C"/>
    <w:rsid w:val="00B321D2"/>
    <w:rsid w:val="00B3232D"/>
    <w:rsid w:val="00B33980"/>
    <w:rsid w:val="00B33F60"/>
    <w:rsid w:val="00B3572C"/>
    <w:rsid w:val="00B37551"/>
    <w:rsid w:val="00B401FB"/>
    <w:rsid w:val="00B405F8"/>
    <w:rsid w:val="00B50246"/>
    <w:rsid w:val="00B5211D"/>
    <w:rsid w:val="00B521A1"/>
    <w:rsid w:val="00B56175"/>
    <w:rsid w:val="00B605B1"/>
    <w:rsid w:val="00B6083E"/>
    <w:rsid w:val="00B60927"/>
    <w:rsid w:val="00B614BC"/>
    <w:rsid w:val="00B6441D"/>
    <w:rsid w:val="00B704BC"/>
    <w:rsid w:val="00B7726E"/>
    <w:rsid w:val="00B774F5"/>
    <w:rsid w:val="00B80C1A"/>
    <w:rsid w:val="00B831F1"/>
    <w:rsid w:val="00B85695"/>
    <w:rsid w:val="00B87ED5"/>
    <w:rsid w:val="00B90F81"/>
    <w:rsid w:val="00BA05D2"/>
    <w:rsid w:val="00BA3829"/>
    <w:rsid w:val="00BA3C97"/>
    <w:rsid w:val="00BA47F0"/>
    <w:rsid w:val="00BA5BA6"/>
    <w:rsid w:val="00BA69F4"/>
    <w:rsid w:val="00BA6C0D"/>
    <w:rsid w:val="00BB2F63"/>
    <w:rsid w:val="00BB61DC"/>
    <w:rsid w:val="00BB6EC3"/>
    <w:rsid w:val="00BB7000"/>
    <w:rsid w:val="00BB79BE"/>
    <w:rsid w:val="00BC00C8"/>
    <w:rsid w:val="00BC0E72"/>
    <w:rsid w:val="00BC2317"/>
    <w:rsid w:val="00BC235A"/>
    <w:rsid w:val="00BC281B"/>
    <w:rsid w:val="00BC6F88"/>
    <w:rsid w:val="00BD15A6"/>
    <w:rsid w:val="00BD37F1"/>
    <w:rsid w:val="00BD4A52"/>
    <w:rsid w:val="00BE0E0D"/>
    <w:rsid w:val="00BE44EF"/>
    <w:rsid w:val="00BE5727"/>
    <w:rsid w:val="00BE5B9A"/>
    <w:rsid w:val="00BE71AF"/>
    <w:rsid w:val="00BF5885"/>
    <w:rsid w:val="00BF5F00"/>
    <w:rsid w:val="00BF6C98"/>
    <w:rsid w:val="00BF703D"/>
    <w:rsid w:val="00C05400"/>
    <w:rsid w:val="00C05A89"/>
    <w:rsid w:val="00C05EAD"/>
    <w:rsid w:val="00C06D5A"/>
    <w:rsid w:val="00C06F50"/>
    <w:rsid w:val="00C14717"/>
    <w:rsid w:val="00C2626F"/>
    <w:rsid w:val="00C31187"/>
    <w:rsid w:val="00C3144C"/>
    <w:rsid w:val="00C31962"/>
    <w:rsid w:val="00C31C1D"/>
    <w:rsid w:val="00C337AA"/>
    <w:rsid w:val="00C36896"/>
    <w:rsid w:val="00C43061"/>
    <w:rsid w:val="00C439B9"/>
    <w:rsid w:val="00C45CA8"/>
    <w:rsid w:val="00C477A1"/>
    <w:rsid w:val="00C50239"/>
    <w:rsid w:val="00C5174D"/>
    <w:rsid w:val="00C5566C"/>
    <w:rsid w:val="00C61D49"/>
    <w:rsid w:val="00C62C7A"/>
    <w:rsid w:val="00C643BB"/>
    <w:rsid w:val="00C65A61"/>
    <w:rsid w:val="00C67546"/>
    <w:rsid w:val="00C67F83"/>
    <w:rsid w:val="00C7349C"/>
    <w:rsid w:val="00C7360E"/>
    <w:rsid w:val="00C746CB"/>
    <w:rsid w:val="00C81F2B"/>
    <w:rsid w:val="00C84AE2"/>
    <w:rsid w:val="00C86192"/>
    <w:rsid w:val="00C8728A"/>
    <w:rsid w:val="00C91CF9"/>
    <w:rsid w:val="00C95D30"/>
    <w:rsid w:val="00C96F88"/>
    <w:rsid w:val="00CA0AF6"/>
    <w:rsid w:val="00CA5C01"/>
    <w:rsid w:val="00CA7579"/>
    <w:rsid w:val="00CB0919"/>
    <w:rsid w:val="00CC022F"/>
    <w:rsid w:val="00CC4E59"/>
    <w:rsid w:val="00CC648C"/>
    <w:rsid w:val="00CC7259"/>
    <w:rsid w:val="00CD1180"/>
    <w:rsid w:val="00CD1589"/>
    <w:rsid w:val="00CD4A37"/>
    <w:rsid w:val="00CD5BDB"/>
    <w:rsid w:val="00CD6E80"/>
    <w:rsid w:val="00CE0C1B"/>
    <w:rsid w:val="00CE1271"/>
    <w:rsid w:val="00CE5906"/>
    <w:rsid w:val="00CF0F4F"/>
    <w:rsid w:val="00CF654B"/>
    <w:rsid w:val="00D10A8E"/>
    <w:rsid w:val="00D11181"/>
    <w:rsid w:val="00D11B60"/>
    <w:rsid w:val="00D1300D"/>
    <w:rsid w:val="00D138E0"/>
    <w:rsid w:val="00D22548"/>
    <w:rsid w:val="00D23629"/>
    <w:rsid w:val="00D23BCC"/>
    <w:rsid w:val="00D252A0"/>
    <w:rsid w:val="00D275EB"/>
    <w:rsid w:val="00D32AB0"/>
    <w:rsid w:val="00D33EBB"/>
    <w:rsid w:val="00D35CE4"/>
    <w:rsid w:val="00D40609"/>
    <w:rsid w:val="00D41280"/>
    <w:rsid w:val="00D43283"/>
    <w:rsid w:val="00D44D99"/>
    <w:rsid w:val="00D5215D"/>
    <w:rsid w:val="00D5284B"/>
    <w:rsid w:val="00D55AA3"/>
    <w:rsid w:val="00D563D1"/>
    <w:rsid w:val="00D57725"/>
    <w:rsid w:val="00D63A76"/>
    <w:rsid w:val="00D66660"/>
    <w:rsid w:val="00D71608"/>
    <w:rsid w:val="00D830C9"/>
    <w:rsid w:val="00D84D1E"/>
    <w:rsid w:val="00D84FD5"/>
    <w:rsid w:val="00D85B3B"/>
    <w:rsid w:val="00D8602C"/>
    <w:rsid w:val="00D90D1B"/>
    <w:rsid w:val="00D923BC"/>
    <w:rsid w:val="00D9254D"/>
    <w:rsid w:val="00D93E6F"/>
    <w:rsid w:val="00DA01F7"/>
    <w:rsid w:val="00DA28B5"/>
    <w:rsid w:val="00DA34E3"/>
    <w:rsid w:val="00DA57BE"/>
    <w:rsid w:val="00DA7A30"/>
    <w:rsid w:val="00DB54D9"/>
    <w:rsid w:val="00DB681B"/>
    <w:rsid w:val="00DB7191"/>
    <w:rsid w:val="00DC3CC1"/>
    <w:rsid w:val="00DC69D2"/>
    <w:rsid w:val="00DC6E86"/>
    <w:rsid w:val="00DC7ED8"/>
    <w:rsid w:val="00DD2E71"/>
    <w:rsid w:val="00DE1499"/>
    <w:rsid w:val="00DE4935"/>
    <w:rsid w:val="00DE536E"/>
    <w:rsid w:val="00DE577C"/>
    <w:rsid w:val="00DE5A49"/>
    <w:rsid w:val="00DE5CBC"/>
    <w:rsid w:val="00DF41FC"/>
    <w:rsid w:val="00E05DFB"/>
    <w:rsid w:val="00E10AD6"/>
    <w:rsid w:val="00E13C1A"/>
    <w:rsid w:val="00E1A4D6"/>
    <w:rsid w:val="00E25F15"/>
    <w:rsid w:val="00E260A0"/>
    <w:rsid w:val="00E30A0C"/>
    <w:rsid w:val="00E3159C"/>
    <w:rsid w:val="00E40C83"/>
    <w:rsid w:val="00E41381"/>
    <w:rsid w:val="00E42ECA"/>
    <w:rsid w:val="00E469E9"/>
    <w:rsid w:val="00E54A3A"/>
    <w:rsid w:val="00E57174"/>
    <w:rsid w:val="00E63B8F"/>
    <w:rsid w:val="00E64E69"/>
    <w:rsid w:val="00E67ADB"/>
    <w:rsid w:val="00E83215"/>
    <w:rsid w:val="00E856D1"/>
    <w:rsid w:val="00E870C8"/>
    <w:rsid w:val="00E87320"/>
    <w:rsid w:val="00E90EF1"/>
    <w:rsid w:val="00EA1F82"/>
    <w:rsid w:val="00EA4EC3"/>
    <w:rsid w:val="00EB26A3"/>
    <w:rsid w:val="00EC2C2D"/>
    <w:rsid w:val="00EC54C8"/>
    <w:rsid w:val="00EC5A1D"/>
    <w:rsid w:val="00ED08C3"/>
    <w:rsid w:val="00ED0F39"/>
    <w:rsid w:val="00ED3914"/>
    <w:rsid w:val="00ED74D8"/>
    <w:rsid w:val="00EE1F77"/>
    <w:rsid w:val="00EE28D8"/>
    <w:rsid w:val="00EE6325"/>
    <w:rsid w:val="00EE7047"/>
    <w:rsid w:val="00EF4145"/>
    <w:rsid w:val="00F0001E"/>
    <w:rsid w:val="00F00915"/>
    <w:rsid w:val="00F06FE5"/>
    <w:rsid w:val="00F12C46"/>
    <w:rsid w:val="00F16F31"/>
    <w:rsid w:val="00F20BD5"/>
    <w:rsid w:val="00F2228C"/>
    <w:rsid w:val="00F22C87"/>
    <w:rsid w:val="00F242DC"/>
    <w:rsid w:val="00F24743"/>
    <w:rsid w:val="00F26411"/>
    <w:rsid w:val="00F276D5"/>
    <w:rsid w:val="00F31E5C"/>
    <w:rsid w:val="00F34783"/>
    <w:rsid w:val="00F35796"/>
    <w:rsid w:val="00F40C4A"/>
    <w:rsid w:val="00F4322A"/>
    <w:rsid w:val="00F447D5"/>
    <w:rsid w:val="00F46BD4"/>
    <w:rsid w:val="00F47F0F"/>
    <w:rsid w:val="00F5234B"/>
    <w:rsid w:val="00F5666D"/>
    <w:rsid w:val="00F630A7"/>
    <w:rsid w:val="00F64330"/>
    <w:rsid w:val="00F64A5B"/>
    <w:rsid w:val="00F64A96"/>
    <w:rsid w:val="00F67024"/>
    <w:rsid w:val="00F765BB"/>
    <w:rsid w:val="00F768CD"/>
    <w:rsid w:val="00F84D94"/>
    <w:rsid w:val="00F86D33"/>
    <w:rsid w:val="00F919D0"/>
    <w:rsid w:val="00F91CE4"/>
    <w:rsid w:val="00F91FDF"/>
    <w:rsid w:val="00F9351C"/>
    <w:rsid w:val="00F939D5"/>
    <w:rsid w:val="00F93C54"/>
    <w:rsid w:val="00F95BA9"/>
    <w:rsid w:val="00F95DBE"/>
    <w:rsid w:val="00F96617"/>
    <w:rsid w:val="00F96A47"/>
    <w:rsid w:val="00FA6F77"/>
    <w:rsid w:val="00FA7580"/>
    <w:rsid w:val="00FB17D6"/>
    <w:rsid w:val="00FB38CC"/>
    <w:rsid w:val="00FC02F6"/>
    <w:rsid w:val="00FD3080"/>
    <w:rsid w:val="00FD44F6"/>
    <w:rsid w:val="00FD4DD3"/>
    <w:rsid w:val="00FE0677"/>
    <w:rsid w:val="00FE7C85"/>
    <w:rsid w:val="00FF0B96"/>
    <w:rsid w:val="00FF0E1E"/>
    <w:rsid w:val="00FF1CF0"/>
    <w:rsid w:val="00FF2026"/>
    <w:rsid w:val="00FF411B"/>
    <w:rsid w:val="01CF035C"/>
    <w:rsid w:val="0282114B"/>
    <w:rsid w:val="03DD4309"/>
    <w:rsid w:val="053FEB72"/>
    <w:rsid w:val="05EC2D4D"/>
    <w:rsid w:val="078A6B51"/>
    <w:rsid w:val="094CFF06"/>
    <w:rsid w:val="0982479A"/>
    <w:rsid w:val="0BFEA1BB"/>
    <w:rsid w:val="0C4C4FC7"/>
    <w:rsid w:val="0D700812"/>
    <w:rsid w:val="0DE82028"/>
    <w:rsid w:val="0EBE5CFA"/>
    <w:rsid w:val="0F2509C9"/>
    <w:rsid w:val="107EAE9D"/>
    <w:rsid w:val="111FC0EA"/>
    <w:rsid w:val="1141AF9E"/>
    <w:rsid w:val="1181F5BB"/>
    <w:rsid w:val="1258ACB5"/>
    <w:rsid w:val="12E5A69A"/>
    <w:rsid w:val="15433719"/>
    <w:rsid w:val="161BB1B2"/>
    <w:rsid w:val="18B7CED2"/>
    <w:rsid w:val="19B56054"/>
    <w:rsid w:val="19D62397"/>
    <w:rsid w:val="1B65B1BA"/>
    <w:rsid w:val="1FE9D1E9"/>
    <w:rsid w:val="2067F42C"/>
    <w:rsid w:val="20AFCABE"/>
    <w:rsid w:val="2143FC55"/>
    <w:rsid w:val="21D2A01F"/>
    <w:rsid w:val="23F0CBA7"/>
    <w:rsid w:val="292FBBC2"/>
    <w:rsid w:val="29321A0C"/>
    <w:rsid w:val="29A57878"/>
    <w:rsid w:val="2B36245D"/>
    <w:rsid w:val="2BACCA9A"/>
    <w:rsid w:val="2BB76190"/>
    <w:rsid w:val="2D307EDA"/>
    <w:rsid w:val="2D5331F1"/>
    <w:rsid w:val="308AD2B3"/>
    <w:rsid w:val="33448B05"/>
    <w:rsid w:val="33461CAB"/>
    <w:rsid w:val="338A00B3"/>
    <w:rsid w:val="33A763D8"/>
    <w:rsid w:val="33AC5C1D"/>
    <w:rsid w:val="34A595EE"/>
    <w:rsid w:val="366F9D3D"/>
    <w:rsid w:val="382F2285"/>
    <w:rsid w:val="3838E387"/>
    <w:rsid w:val="3878F9C4"/>
    <w:rsid w:val="38D3D3F7"/>
    <w:rsid w:val="395D5C33"/>
    <w:rsid w:val="39F5D985"/>
    <w:rsid w:val="3ADA4379"/>
    <w:rsid w:val="3B8E77B6"/>
    <w:rsid w:val="3BA598CE"/>
    <w:rsid w:val="3E9B080D"/>
    <w:rsid w:val="3F05261C"/>
    <w:rsid w:val="3F214991"/>
    <w:rsid w:val="4017B08D"/>
    <w:rsid w:val="409CD5E2"/>
    <w:rsid w:val="417B9113"/>
    <w:rsid w:val="4199B3B5"/>
    <w:rsid w:val="4348F506"/>
    <w:rsid w:val="4423211F"/>
    <w:rsid w:val="44D9BF8C"/>
    <w:rsid w:val="45385DD7"/>
    <w:rsid w:val="46E0F84C"/>
    <w:rsid w:val="47EAD297"/>
    <w:rsid w:val="4844D835"/>
    <w:rsid w:val="48B3F5E8"/>
    <w:rsid w:val="4ADB65FA"/>
    <w:rsid w:val="4B0739C7"/>
    <w:rsid w:val="4B13B95D"/>
    <w:rsid w:val="4B227359"/>
    <w:rsid w:val="4F310894"/>
    <w:rsid w:val="4F85C6E9"/>
    <w:rsid w:val="4FF5E47C"/>
    <w:rsid w:val="50FD3602"/>
    <w:rsid w:val="5199A263"/>
    <w:rsid w:val="519EABBD"/>
    <w:rsid w:val="5242E2CA"/>
    <w:rsid w:val="525AD82E"/>
    <w:rsid w:val="559278F0"/>
    <w:rsid w:val="572E4951"/>
    <w:rsid w:val="575B4370"/>
    <w:rsid w:val="5B85964A"/>
    <w:rsid w:val="5C532635"/>
    <w:rsid w:val="5E15D741"/>
    <w:rsid w:val="5EC17ADC"/>
    <w:rsid w:val="604FB9D6"/>
    <w:rsid w:val="60B30DCD"/>
    <w:rsid w:val="62358A77"/>
    <w:rsid w:val="64D90057"/>
    <w:rsid w:val="65B0DF45"/>
    <w:rsid w:val="65E5EB3E"/>
    <w:rsid w:val="66833750"/>
    <w:rsid w:val="67C2D933"/>
    <w:rsid w:val="680EFACF"/>
    <w:rsid w:val="681F07B1"/>
    <w:rsid w:val="69BAD812"/>
    <w:rsid w:val="6A503628"/>
    <w:rsid w:val="6A9CDC16"/>
    <w:rsid w:val="6B8F2ECB"/>
    <w:rsid w:val="6D4E7401"/>
    <w:rsid w:val="6DEE684F"/>
    <w:rsid w:val="6EAD31E1"/>
    <w:rsid w:val="6F78B047"/>
    <w:rsid w:val="71C5E9F7"/>
    <w:rsid w:val="73B36CE7"/>
    <w:rsid w:val="75857E65"/>
    <w:rsid w:val="75FA1F32"/>
    <w:rsid w:val="7601AF85"/>
    <w:rsid w:val="760E63CF"/>
    <w:rsid w:val="7692FF56"/>
    <w:rsid w:val="76D16F3A"/>
    <w:rsid w:val="76FC3013"/>
    <w:rsid w:val="77E94FF2"/>
    <w:rsid w:val="7883350C"/>
    <w:rsid w:val="79F511CF"/>
    <w:rsid w:val="7A3BB9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57DE63E2"/>
  <w15:chartTrackingRefBased/>
  <w15:docId w15:val="{257210C2-C5BA-416D-B211-3C4410AF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5"/>
      </w:numPr>
      <w:ind w:left="720" w:hanging="720"/>
    </w:pPr>
  </w:style>
  <w:style w:type="paragraph" w:customStyle="1" w:styleId="Level1">
    <w:name w:val="Level 1"/>
    <w:basedOn w:val="Normal"/>
    <w:pPr>
      <w:numPr>
        <w:numId w:val="3"/>
      </w:numPr>
      <w:ind w:left="720" w:hanging="720"/>
      <w:outlineLvl w:val="0"/>
    </w:pPr>
  </w:style>
  <w:style w:type="table" w:styleId="TableGrid">
    <w:name w:val="Table Grid"/>
    <w:basedOn w:val="TableNormal"/>
    <w:rsid w:val="00272CE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934DB"/>
    <w:rPr>
      <w:rFonts w:ascii="Tahoma" w:hAnsi="Tahoma" w:cs="Tahoma"/>
      <w:sz w:val="16"/>
      <w:szCs w:val="16"/>
    </w:rPr>
  </w:style>
  <w:style w:type="character" w:styleId="CommentReference">
    <w:name w:val="annotation reference"/>
    <w:semiHidden/>
    <w:rsid w:val="00F276D5"/>
    <w:rPr>
      <w:sz w:val="16"/>
      <w:szCs w:val="16"/>
    </w:rPr>
  </w:style>
  <w:style w:type="paragraph" w:styleId="CommentText">
    <w:name w:val="annotation text"/>
    <w:basedOn w:val="Normal"/>
    <w:link w:val="CommentTextChar"/>
    <w:rsid w:val="00F276D5"/>
    <w:rPr>
      <w:sz w:val="20"/>
      <w:szCs w:val="20"/>
    </w:rPr>
  </w:style>
  <w:style w:type="paragraph" w:styleId="CommentSubject">
    <w:name w:val="annotation subject"/>
    <w:basedOn w:val="CommentText"/>
    <w:next w:val="CommentText"/>
    <w:semiHidden/>
    <w:rsid w:val="00F276D5"/>
    <w:rPr>
      <w:b/>
      <w:bCs/>
    </w:rPr>
  </w:style>
  <w:style w:type="paragraph" w:styleId="ListParagraph">
    <w:name w:val="List Paragraph"/>
    <w:basedOn w:val="Normal"/>
    <w:uiPriority w:val="34"/>
    <w:qFormat/>
    <w:rsid w:val="00B90F81"/>
    <w:pPr>
      <w:ind w:left="720"/>
    </w:pPr>
  </w:style>
  <w:style w:type="character" w:customStyle="1" w:styleId="CommentTextChar">
    <w:name w:val="Comment Text Char"/>
    <w:link w:val="CommentText"/>
    <w:rsid w:val="00BE44EF"/>
    <w:rPr>
      <w:rFonts w:ascii="Courier" w:hAnsi="Courier"/>
    </w:rPr>
  </w:style>
  <w:style w:type="paragraph" w:customStyle="1" w:styleId="Style1">
    <w:name w:val="Style 1"/>
    <w:basedOn w:val="Normal"/>
    <w:rsid w:val="00E41381"/>
    <w:pPr>
      <w:widowControl/>
      <w:autoSpaceDE/>
      <w:autoSpaceDN/>
      <w:adjustRightInd/>
      <w:spacing w:after="216" w:line="252" w:lineRule="atLeast"/>
    </w:pPr>
    <w:rPr>
      <w:rFonts w:ascii="Times New Roman" w:hAnsi="Times New Roman"/>
      <w:color w:val="000000"/>
      <w:sz w:val="20"/>
      <w:szCs w:val="20"/>
    </w:rPr>
  </w:style>
  <w:style w:type="paragraph" w:customStyle="1" w:styleId="Style2">
    <w:name w:val="Style 2"/>
    <w:basedOn w:val="Normal"/>
    <w:rsid w:val="008B5F3C"/>
    <w:pPr>
      <w:widowControl/>
      <w:autoSpaceDE/>
      <w:autoSpaceDN/>
      <w:adjustRightInd/>
      <w:spacing w:after="216" w:line="264" w:lineRule="atLeast"/>
    </w:pPr>
    <w:rPr>
      <w:rFonts w:ascii="Times New Roman" w:hAnsi="Times New Roman"/>
      <w:color w:val="000000"/>
      <w:sz w:val="20"/>
      <w:szCs w:val="20"/>
    </w:rPr>
  </w:style>
  <w:style w:type="paragraph" w:styleId="Header">
    <w:name w:val="header"/>
    <w:basedOn w:val="Normal"/>
    <w:link w:val="HeaderChar"/>
    <w:uiPriority w:val="99"/>
    <w:rsid w:val="00B1716D"/>
    <w:pPr>
      <w:tabs>
        <w:tab w:val="center" w:pos="4680"/>
        <w:tab w:val="right" w:pos="9360"/>
      </w:tabs>
    </w:pPr>
  </w:style>
  <w:style w:type="character" w:customStyle="1" w:styleId="HeaderChar">
    <w:name w:val="Header Char"/>
    <w:link w:val="Header"/>
    <w:uiPriority w:val="99"/>
    <w:rsid w:val="00B1716D"/>
    <w:rPr>
      <w:rFonts w:ascii="Courier" w:hAnsi="Courier"/>
      <w:sz w:val="24"/>
      <w:szCs w:val="24"/>
    </w:rPr>
  </w:style>
  <w:style w:type="paragraph" w:styleId="Footer">
    <w:name w:val="footer"/>
    <w:basedOn w:val="Normal"/>
    <w:link w:val="FooterChar"/>
    <w:rsid w:val="00B1716D"/>
    <w:pPr>
      <w:tabs>
        <w:tab w:val="center" w:pos="4680"/>
        <w:tab w:val="right" w:pos="9360"/>
      </w:tabs>
    </w:pPr>
  </w:style>
  <w:style w:type="character" w:customStyle="1" w:styleId="FooterChar">
    <w:name w:val="Footer Char"/>
    <w:link w:val="Footer"/>
    <w:rsid w:val="00B1716D"/>
    <w:rPr>
      <w:rFonts w:ascii="Courier" w:hAnsi="Courier"/>
      <w:sz w:val="24"/>
      <w:szCs w:val="24"/>
    </w:rPr>
  </w:style>
  <w:style w:type="paragraph" w:styleId="Revision">
    <w:name w:val="Revision"/>
    <w:hidden/>
    <w:uiPriority w:val="99"/>
    <w:semiHidden/>
    <w:rsid w:val="00901EF6"/>
    <w:rPr>
      <w:rFonts w:ascii="Courier" w:hAnsi="Courier"/>
      <w:sz w:val="24"/>
      <w:szCs w:val="24"/>
    </w:rPr>
  </w:style>
  <w:style w:type="character" w:styleId="Hyperlink">
    <w:name w:val="Hyperlink"/>
    <w:rsid w:val="00901EF6"/>
    <w:rPr>
      <w:color w:val="0000FF"/>
      <w:u w:val="single"/>
    </w:rPr>
  </w:style>
  <w:style w:type="paragraph" w:styleId="FootnoteText">
    <w:name w:val="footnote text"/>
    <w:basedOn w:val="Normal"/>
    <w:link w:val="FootnoteTextChar"/>
    <w:rsid w:val="007B267D"/>
    <w:rPr>
      <w:sz w:val="20"/>
      <w:szCs w:val="20"/>
    </w:rPr>
  </w:style>
  <w:style w:type="character" w:customStyle="1" w:styleId="FootnoteTextChar">
    <w:name w:val="Footnote Text Char"/>
    <w:link w:val="FootnoteText"/>
    <w:rsid w:val="007B267D"/>
    <w:rPr>
      <w:rFonts w:ascii="Courier" w:hAnsi="Courier"/>
    </w:rPr>
  </w:style>
  <w:style w:type="character" w:styleId="UnresolvedMention">
    <w:name w:val="Unresolved Mention"/>
    <w:basedOn w:val="DefaultParagraphFont"/>
    <w:uiPriority w:val="99"/>
    <w:semiHidden/>
    <w:unhideWhenUsed/>
    <w:rsid w:val="000B7CDB"/>
    <w:rPr>
      <w:color w:val="605E5C"/>
      <w:shd w:val="clear" w:color="auto" w:fill="E1DFDD"/>
    </w:rPr>
  </w:style>
  <w:style w:type="character" w:styleId="FollowedHyperlink">
    <w:name w:val="FollowedHyperlink"/>
    <w:basedOn w:val="DefaultParagraphFont"/>
    <w:rsid w:val="000B7CDB"/>
    <w:rPr>
      <w:color w:val="954F72" w:themeColor="followedHyperlink"/>
      <w:u w:val="single"/>
    </w:rPr>
  </w:style>
  <w:style w:type="character" w:styleId="Mention">
    <w:name w:val="Mention"/>
    <w:basedOn w:val="DefaultParagraphFont"/>
    <w:uiPriority w:val="99"/>
    <w:unhideWhenUsed/>
    <w:rsid w:val="008D22C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ui.doleta.gov/unemploy/DataDownloads.asp"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ol.gov/agencies/eta/advisories/uipl-15-25%20" TargetMode="External" /><Relationship Id="rId9" Type="http://schemas.openxmlformats.org/officeDocument/2006/relationships/hyperlink" Target="https://www.dol.gov/sites/dolgov/files/ETA/advisories/UIPL/2023/UIPL%2013-23/UIPL%2013-2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c17d7b-3cfa-43b1-8bfc-43fa98d67c92" xsi:nil="true"/>
    <lcf76f155ced4ddcb4097134ff3c332f xmlns="4be19fb2-8623-4e5b-b7ef-6057f998f1d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22" ma:contentTypeDescription="Create a new document." ma:contentTypeScope="" ma:versionID="ebb632f94e0741bb7bb8a63bd005af2d">
  <xsd:schema xmlns:xsd="http://www.w3.org/2001/XMLSchema" xmlns:xs="http://www.w3.org/2001/XMLSchema" xmlns:p="http://schemas.microsoft.com/office/2006/metadata/properties" xmlns:ns2="4be19fb2-8623-4e5b-b7ef-6057f998f1db" xmlns:ns3="48c17d7b-3cfa-43b1-8bfc-43fa98d67c92" targetNamespace="http://schemas.microsoft.com/office/2006/metadata/properties" ma:root="true" ma:fieldsID="24a24738a4f330b966d96781916b5b2f" ns2:_="" ns3:_="">
    <xsd:import namespace="4be19fb2-8623-4e5b-b7ef-6057f998f1db"/>
    <xsd:import namespace="48c17d7b-3cfa-43b1-8bfc-43fa98d67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08a5a-60f6-464f-b866-54ace8d0bfd3}" ma:internalName="TaxCatchAll" ma:showField="CatchAllData" ma:web="48c17d7b-3cfa-43b1-8bfc-43fa98d67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CA43E6-EC58-4DF5-AD15-17DA269B09F0}">
  <ds:schemaRefs>
    <ds:schemaRef ds:uri="http://schemas.microsoft.com/office/2006/metadata/properties"/>
    <ds:schemaRef ds:uri="http://schemas.microsoft.com/office/infopath/2007/PartnerControls"/>
    <ds:schemaRef ds:uri="48c17d7b-3cfa-43b1-8bfc-43fa98d67c92"/>
    <ds:schemaRef ds:uri="4be19fb2-8623-4e5b-b7ef-6057f998f1db"/>
  </ds:schemaRefs>
</ds:datastoreItem>
</file>

<file path=customXml/itemProps2.xml><?xml version="1.0" encoding="utf-8"?>
<ds:datastoreItem xmlns:ds="http://schemas.openxmlformats.org/officeDocument/2006/customXml" ds:itemID="{B9ECB97D-783E-4815-90AF-E9821A8F29F7}">
  <ds:schemaRefs>
    <ds:schemaRef ds:uri="http://schemas.openxmlformats.org/officeDocument/2006/bibliography"/>
  </ds:schemaRefs>
</ds:datastoreItem>
</file>

<file path=customXml/itemProps3.xml><?xml version="1.0" encoding="utf-8"?>
<ds:datastoreItem xmlns:ds="http://schemas.openxmlformats.org/officeDocument/2006/customXml" ds:itemID="{CF94A168-8765-4DCC-99E3-0B5B9203D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19fb2-8623-4e5b-b7ef-6057f998f1db"/>
    <ds:schemaRef ds:uri="48c17d7b-3cfa-43b1-8bfc-43fa98d67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829F46-4C4E-4DF8-8DF4-E394DC241A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2353</Words>
  <Characters>13489</Characters>
  <Application>Microsoft Office Word</Application>
  <DocSecurity>0</DocSecurity>
  <Lines>337</Lines>
  <Paragraphs>142</Paragraphs>
  <ScaleCrop>false</ScaleCrop>
  <HeadingPairs>
    <vt:vector size="2" baseType="variant">
      <vt:variant>
        <vt:lpstr>Title</vt:lpstr>
      </vt:variant>
      <vt:variant>
        <vt:i4>1</vt:i4>
      </vt:variant>
    </vt:vector>
  </HeadingPairs>
  <TitlesOfParts>
    <vt:vector size="1" baseType="lpstr">
      <vt:lpstr>SUPPORTING STATEMENT FOR THE ETA 207,</vt:lpstr>
    </vt:vector>
  </TitlesOfParts>
  <Company>Employment &amp; Training Administration</Company>
  <LinksUpToDate>false</LinksUpToDate>
  <CharactersWithSpaces>15700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ETA 207,</dc:title>
  <dc:creator>eparker</dc:creator>
  <cp:lastModifiedBy>Gibson, Patrice A - ETA</cp:lastModifiedBy>
  <cp:revision>11</cp:revision>
  <cp:lastPrinted>2020-01-18T01:06:00Z</cp:lastPrinted>
  <dcterms:created xsi:type="dcterms:W3CDTF">2026-06-09T15:14:00Z</dcterms:created>
  <dcterms:modified xsi:type="dcterms:W3CDTF">2026-06-16T13:31:00Z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0x010100B3DED96637094D46A826941634BB370F</vt:lpwstr>
  </property>
  <property fmtid="{D5CDD505-2E9C-101B-9397-08002B2CF9AE}" pid="3" name="MediaServiceImageTags">
    <vt:lpwstr/>
  </property>
  <property fmtid="{D5CDD505-2E9C-101B-9397-08002B2CF9AE}" pid="4" name="MSIP_Label_5d78b2ef-7ec2-484b-9195-1d837d645e4c_ActionId">
    <vt:lpwstr>2be17e4c-e654-4b47-a2fd-11aa0ea4782b</vt:lpwstr>
  </property>
  <property fmtid="{D5CDD505-2E9C-101B-9397-08002B2CF9AE}" pid="5" name="MSIP_Label_5d78b2ef-7ec2-484b-9195-1d837d645e4c_ContentBits">
    <vt:lpwstr>0</vt:lpwstr>
  </property>
  <property fmtid="{D5CDD505-2E9C-101B-9397-08002B2CF9AE}" pid="6" name="MSIP_Label_5d78b2ef-7ec2-484b-9195-1d837d645e4c_Enabled">
    <vt:lpwstr>true</vt:lpwstr>
  </property>
  <property fmtid="{D5CDD505-2E9C-101B-9397-08002B2CF9AE}" pid="7" name="MSIP_Label_5d78b2ef-7ec2-484b-9195-1d837d645e4c_Method">
    <vt:lpwstr>Standard</vt:lpwstr>
  </property>
  <property fmtid="{D5CDD505-2E9C-101B-9397-08002B2CF9AE}" pid="8" name="MSIP_Label_5d78b2ef-7ec2-484b-9195-1d837d645e4c_Name">
    <vt:lpwstr>General</vt:lpwstr>
  </property>
  <property fmtid="{D5CDD505-2E9C-101B-9397-08002B2CF9AE}" pid="9" name="MSIP_Label_5d78b2ef-7ec2-484b-9195-1d837d645e4c_SetDate">
    <vt:lpwstr>2023-04-14T22:49:41Z</vt:lpwstr>
  </property>
  <property fmtid="{D5CDD505-2E9C-101B-9397-08002B2CF9AE}" pid="10" name="MSIP_Label_5d78b2ef-7ec2-484b-9195-1d837d645e4c_SiteId">
    <vt:lpwstr>75a63054-7204-4e0c-9126-adab971d4aca</vt:lpwstr>
  </property>
</Properties>
</file>