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4537" w:rsidP="0001370C" w14:paraId="581D6F3C" w14:textId="77777777">
      <w:pPr>
        <w:pStyle w:val="Heading1"/>
      </w:pPr>
      <w:r w:rsidRPr="009D7FA2">
        <w:t xml:space="preserve">SUPPORTING </w:t>
      </w:r>
      <w:r w:rsidRPr="0025704D">
        <w:t>STATEMENT</w:t>
      </w:r>
      <w:r w:rsidRPr="009D7FA2">
        <w:t xml:space="preserve"> FOR PAPERWORK REDUCTION ACT </w:t>
      </w:r>
      <w:r>
        <w:t xml:space="preserve">OF 1995: </w:t>
      </w:r>
    </w:p>
    <w:p w:rsidR="001E2AC5" w:rsidRPr="001E2AC5" w:rsidP="0001370C" w14:paraId="4E83BE01" w14:textId="42BE03AF">
      <w:pPr>
        <w:pStyle w:val="Heading1"/>
      </w:pPr>
      <w:r>
        <w:t>FIDUCIARY DUTIES IN SELECTING DESIGNATED INVESTMENT ALTERNATIVES</w:t>
      </w:r>
    </w:p>
    <w:p w:rsidR="003F4388" w:rsidP="003F4388" w14:paraId="793D0CB1" w14:textId="6EE19AA2"/>
    <w:p w:rsidR="00487F17" w:rsidP="00487F17" w14:paraId="642C5D95" w14:textId="1E67A50D">
      <w:pPr>
        <w:rPr>
          <w:b/>
          <w:bCs/>
        </w:rPr>
      </w:pPr>
      <w:r w:rsidRPr="00487F17">
        <w:rPr>
          <w:b/>
          <w:bCs/>
        </w:rPr>
        <w:t>This information collection request (ICR) seeks approval for</w:t>
      </w:r>
      <w:r w:rsidR="00BA46C1">
        <w:rPr>
          <w:b/>
          <w:bCs/>
        </w:rPr>
        <w:t xml:space="preserve"> a new control number</w:t>
      </w:r>
      <w:r w:rsidRPr="00487F17">
        <w:rPr>
          <w:b/>
          <w:bCs/>
        </w:rPr>
        <w:t xml:space="preserve">. </w:t>
      </w:r>
    </w:p>
    <w:p w:rsidR="00E049E3" w:rsidP="00487F17" w14:paraId="0FD91A1D" w14:textId="77777777">
      <w:pPr>
        <w:rPr>
          <w:b/>
          <w:bCs/>
        </w:rPr>
      </w:pPr>
    </w:p>
    <w:p w:rsidR="00E049E3" w:rsidRPr="00475430" w:rsidP="00E049E3" w14:paraId="6ABDDBB5" w14:textId="77777777">
      <w:pPr>
        <w:pStyle w:val="Heading2"/>
      </w:pPr>
      <w:r w:rsidRPr="00475430">
        <w:t>A</w:t>
      </w:r>
      <w:r w:rsidRPr="00475430">
        <w:t>.</w:t>
      </w:r>
      <w:r>
        <w:t xml:space="preserve"> </w:t>
      </w:r>
      <w:r w:rsidRPr="00475430">
        <w:tab/>
        <w:t>JUSTIFICATION</w:t>
      </w:r>
    </w:p>
    <w:p w:rsidR="001E2AC5" w:rsidP="00943AFF" w14:paraId="6BD19C5F" w14:textId="77777777"/>
    <w:p w:rsidR="000A5919" w:rsidRPr="0001370C" w:rsidP="008A681F" w14:paraId="0A8D1D72" w14:textId="4D9BC2CB">
      <w:pPr>
        <w:pStyle w:val="Heading3"/>
      </w:pPr>
      <w:r w:rsidRPr="0001370C">
        <w:t>Explain the circumstances that make the collection of information necessary.</w:t>
      </w:r>
      <w:r w:rsidRPr="0001370C" w:rsidR="009128E9">
        <w:t xml:space="preserve"> </w:t>
      </w:r>
      <w:r w:rsidRPr="00A42DC1">
        <w:t>Identify</w:t>
      </w:r>
      <w:r w:rsidRPr="0001370C">
        <w:t xml:space="preserve"> any legal or administrative requirements that necessitate the collection.</w:t>
      </w:r>
      <w:r w:rsidRPr="0001370C" w:rsidR="009128E9">
        <w:t xml:space="preserve"> </w:t>
      </w:r>
      <w:r w:rsidRPr="0001370C">
        <w:t>Attach a copy of the appropriate section of each statute and regulation mandating or authorizing the collection of information.</w:t>
      </w:r>
    </w:p>
    <w:p w:rsidR="000A5919" w:rsidP="005775A0" w14:paraId="62AF4FA4" w14:textId="77777777">
      <w:pPr>
        <w:autoSpaceDE w:val="0"/>
        <w:autoSpaceDN w:val="0"/>
        <w:ind w:left="720"/>
      </w:pPr>
    </w:p>
    <w:p w:rsidR="00DA7AE7" w:rsidP="005775A0" w14:paraId="3E2B919B" w14:textId="282C5526">
      <w:pPr>
        <w:autoSpaceDE w:val="0"/>
        <w:autoSpaceDN w:val="0"/>
        <w:ind w:left="720"/>
      </w:pPr>
      <w:r w:rsidRPr="0055437F">
        <w:t xml:space="preserve">On August 7, 2025, President Trump issued Executive Order 14330, </w:t>
      </w:r>
      <w:r w:rsidRPr="30AD9CF6">
        <w:rPr>
          <w:i/>
          <w:iCs/>
        </w:rPr>
        <w:t>Democratizing Access to Alternative Assets for 401(k) Investors</w:t>
      </w:r>
      <w:r w:rsidRPr="0055437F">
        <w:t>.</w:t>
      </w:r>
      <w:r>
        <w:rPr>
          <w:rStyle w:val="FootnoteReference"/>
        </w:rPr>
        <w:footnoteReference w:id="3"/>
      </w:r>
      <w:r>
        <w:t xml:space="preserve"> </w:t>
      </w:r>
      <w:r w:rsidRPr="0055437F" w:rsidR="00A500A5">
        <w:t>The Executive Order directed the Department to propose regulations or other guidance, including appropriately calibrated safe harbors, that clarify the ERISA fiduciary duties owed to plan participants when funds with alternative assets are made available as investment options.</w:t>
      </w:r>
      <w:r>
        <w:rPr>
          <w:rStyle w:val="FootnoteReference"/>
        </w:rPr>
        <w:footnoteReference w:id="4"/>
      </w:r>
      <w:r w:rsidR="004A75D0">
        <w:t xml:space="preserve"> </w:t>
      </w:r>
    </w:p>
    <w:p w:rsidR="00D37DB3" w:rsidP="005775A0" w14:paraId="0F504516" w14:textId="77777777">
      <w:pPr>
        <w:autoSpaceDE w:val="0"/>
        <w:autoSpaceDN w:val="0"/>
        <w:ind w:left="720"/>
      </w:pPr>
    </w:p>
    <w:p w:rsidR="00D37DB3" w:rsidRPr="0055437F" w:rsidP="00713DE4" w14:paraId="24CE2A5C" w14:textId="77777777">
      <w:pPr>
        <w:ind w:left="720"/>
      </w:pPr>
      <w:r w:rsidRPr="0055437F">
        <w:t>The Executive Order contains a definition of alternative assets which includes the following:</w:t>
      </w:r>
    </w:p>
    <w:p w:rsidR="00D37DB3" w:rsidRPr="0055437F" w:rsidP="00713DE4" w14:paraId="143BE39E" w14:textId="77777777">
      <w:pPr>
        <w:pStyle w:val="ListParagraph"/>
        <w:numPr>
          <w:ilvl w:val="0"/>
          <w:numId w:val="24"/>
        </w:numPr>
      </w:pPr>
      <w:r w:rsidRPr="0055437F">
        <w:t xml:space="preserve">private market investments, including direct and indirect interests in equity, debt, or other financial instruments that are not traded on public exchanges, including those where the managers of such investments, if applicable, seek to take an active role in the management of such </w:t>
      </w:r>
      <w:r w:rsidRPr="0055437F">
        <w:t>companies;</w:t>
      </w:r>
      <w:r w:rsidRPr="0055437F">
        <w:t xml:space="preserve"> </w:t>
      </w:r>
    </w:p>
    <w:p w:rsidR="00D37DB3" w:rsidRPr="0055437F" w:rsidP="00713DE4" w14:paraId="5897CFDB" w14:textId="77777777">
      <w:pPr>
        <w:pStyle w:val="ListParagraph"/>
        <w:numPr>
          <w:ilvl w:val="0"/>
          <w:numId w:val="24"/>
        </w:numPr>
      </w:pPr>
      <w:r w:rsidRPr="0055437F">
        <w:t xml:space="preserve">direct and indirect interests in real estate, including debt instruments secured by direct or indirect interests in real </w:t>
      </w:r>
      <w:r w:rsidRPr="0055437F">
        <w:t>estate;</w:t>
      </w:r>
      <w:r w:rsidRPr="0055437F">
        <w:t xml:space="preserve"> </w:t>
      </w:r>
    </w:p>
    <w:p w:rsidR="00D37DB3" w:rsidRPr="0055437F" w:rsidP="00713DE4" w14:paraId="530DEBE2" w14:textId="77777777">
      <w:pPr>
        <w:pStyle w:val="ListParagraph"/>
        <w:numPr>
          <w:ilvl w:val="0"/>
          <w:numId w:val="24"/>
        </w:numPr>
      </w:pPr>
      <w:r w:rsidRPr="0055437F">
        <w:t xml:space="preserve">holdings in actively managed investment vehicles that are investing in digital </w:t>
      </w:r>
      <w:r w:rsidRPr="0055437F">
        <w:t>assets;</w:t>
      </w:r>
      <w:r w:rsidRPr="0055437F">
        <w:t xml:space="preserve"> </w:t>
      </w:r>
    </w:p>
    <w:p w:rsidR="00D37DB3" w:rsidRPr="0055437F" w:rsidP="00713DE4" w14:paraId="581F2972" w14:textId="77777777">
      <w:pPr>
        <w:pStyle w:val="ListParagraph"/>
        <w:numPr>
          <w:ilvl w:val="0"/>
          <w:numId w:val="24"/>
        </w:numPr>
      </w:pPr>
      <w:r w:rsidRPr="0055437F">
        <w:t xml:space="preserve">direct and indirect investments in </w:t>
      </w:r>
      <w:r w:rsidRPr="0055437F">
        <w:t>commodities;</w:t>
      </w:r>
      <w:r w:rsidRPr="0055437F">
        <w:t xml:space="preserve"> </w:t>
      </w:r>
    </w:p>
    <w:p w:rsidR="00D37DB3" w:rsidRPr="0055437F" w:rsidP="00713DE4" w14:paraId="3E85ED48" w14:textId="77777777">
      <w:pPr>
        <w:pStyle w:val="ListParagraph"/>
        <w:numPr>
          <w:ilvl w:val="0"/>
          <w:numId w:val="24"/>
        </w:numPr>
      </w:pPr>
      <w:r w:rsidRPr="0055437F">
        <w:t xml:space="preserve">direct and indirect interests in projects financing infrastructure development; and </w:t>
      </w:r>
    </w:p>
    <w:p w:rsidR="00D37DB3" w:rsidP="00713DE4" w14:paraId="67B121A7" w14:textId="1189A8B2">
      <w:pPr>
        <w:pStyle w:val="ListParagraph"/>
        <w:numPr>
          <w:ilvl w:val="0"/>
          <w:numId w:val="24"/>
        </w:numPr>
      </w:pPr>
      <w:r w:rsidRPr="0055437F">
        <w:t>lifetime</w:t>
      </w:r>
      <w:r w:rsidRPr="0055437F">
        <w:t xml:space="preserve"> income investment strategies </w:t>
      </w:r>
      <w:r w:rsidRPr="0055437F">
        <w:t>including</w:t>
      </w:r>
      <w:r w:rsidRPr="0055437F">
        <w:t xml:space="preserve"> longevity risk-sharing pools.</w:t>
      </w:r>
      <w:r>
        <w:rPr>
          <w:rStyle w:val="FootnoteReference"/>
        </w:rPr>
        <w:footnoteReference w:id="5"/>
      </w:r>
    </w:p>
    <w:p w:rsidR="00DA7AE7" w:rsidP="00713DE4" w14:paraId="7A6D8BBA" w14:textId="77777777">
      <w:pPr>
        <w:ind w:left="720"/>
      </w:pPr>
    </w:p>
    <w:p w:rsidR="0070120D" w:rsidP="005775A0" w14:paraId="284423C5" w14:textId="72CAAFBB">
      <w:pPr>
        <w:autoSpaceDE w:val="0"/>
        <w:autoSpaceDN w:val="0"/>
        <w:ind w:left="720"/>
        <w:rPr>
          <w:bCs/>
        </w:rPr>
      </w:pPr>
      <w:r w:rsidRPr="0055437F">
        <w:t>Although the Executive Order directed the Department to focus guidance on fiduciary responsibilities in connection with offering an asset allocation fund that includes investments in alternative assets,</w:t>
      </w:r>
      <w:r>
        <w:t xml:space="preserve"> t</w:t>
      </w:r>
      <w:r w:rsidRPr="0055437F" w:rsidR="004A75D0">
        <w:t>he Department has decided to address in this proposal ERISA’s fiduciary duty of prudence with respect to the selection of any designated investment alternative</w:t>
      </w:r>
      <w:r>
        <w:t xml:space="preserve">. </w:t>
      </w:r>
      <w:r w:rsidR="00A44C5A">
        <w:t xml:space="preserve">The proposed rule </w:t>
      </w:r>
      <w:r w:rsidR="00BE2107">
        <w:t>reiterates</w:t>
      </w:r>
      <w:r w:rsidR="00961B9C">
        <w:t xml:space="preserve"> that in order</w:t>
      </w:r>
      <w:r w:rsidR="000223FD">
        <w:rPr>
          <w:bCs/>
        </w:rPr>
        <w:t xml:space="preserve"> to satisfy the duty of prudence </w:t>
      </w:r>
      <w:r w:rsidR="00961B9C">
        <w:rPr>
          <w:bCs/>
        </w:rPr>
        <w:t xml:space="preserve">under ERISA </w:t>
      </w:r>
      <w:r w:rsidR="000223FD">
        <w:rPr>
          <w:bCs/>
        </w:rPr>
        <w:t xml:space="preserve">when selecting a designated investment alternative, </w:t>
      </w:r>
      <w:r w:rsidR="00BE2107">
        <w:rPr>
          <w:bCs/>
        </w:rPr>
        <w:t>a</w:t>
      </w:r>
      <w:r w:rsidR="000223FD">
        <w:rPr>
          <w:bCs/>
        </w:rPr>
        <w:t xml:space="preserve"> plan fiduciary must follow a prudent process under which he gives appropriate consideration to those facts and circumstances that, given the scope of such fiduciary’s investment </w:t>
      </w:r>
      <w:r w:rsidR="000223FD">
        <w:rPr>
          <w:bCs/>
        </w:rPr>
        <w:t xml:space="preserve">responsibility or authority, the fiduciary knows or should know are relevant to the </w:t>
      </w:r>
      <w:r w:rsidR="000223FD">
        <w:rPr>
          <w:bCs/>
        </w:rPr>
        <w:t>particular designated</w:t>
      </w:r>
      <w:r w:rsidR="000223FD">
        <w:rPr>
          <w:bCs/>
        </w:rPr>
        <w:t xml:space="preserve"> investment alternative</w:t>
      </w:r>
      <w:r w:rsidR="00EF75E3">
        <w:rPr>
          <w:bCs/>
        </w:rPr>
        <w:t xml:space="preserve">. </w:t>
      </w:r>
    </w:p>
    <w:p w:rsidR="0054496C" w:rsidP="005775A0" w14:paraId="634C709D" w14:textId="77777777">
      <w:pPr>
        <w:autoSpaceDE w:val="0"/>
        <w:autoSpaceDN w:val="0"/>
        <w:ind w:left="720"/>
        <w:rPr>
          <w:bCs/>
        </w:rPr>
      </w:pPr>
    </w:p>
    <w:p w:rsidR="0054496C" w:rsidP="005775A0" w14:paraId="544AA82F" w14:textId="716F1063">
      <w:pPr>
        <w:autoSpaceDE w:val="0"/>
        <w:autoSpaceDN w:val="0"/>
        <w:ind w:left="720"/>
        <w:rPr>
          <w:bCs/>
        </w:rPr>
      </w:pPr>
      <w:r w:rsidRPr="002B3886">
        <w:rPr>
          <w:shd w:val="clear" w:color="auto" w:fill="FFFFFF"/>
        </w:rPr>
        <w:t xml:space="preserve">Paragraph (f) of the proposed regulation introduces a process-based safe harbor for plan fiduciaries to use when selecting designated investment alternatives. </w:t>
      </w:r>
      <w:r w:rsidR="00655EA6">
        <w:rPr>
          <w:shd w:val="clear" w:color="auto" w:fill="FFFFFF"/>
        </w:rPr>
        <w:t>P</w:t>
      </w:r>
      <w:r w:rsidRPr="002B3886">
        <w:rPr>
          <w:shd w:val="clear" w:color="auto" w:fill="FFFFFF"/>
        </w:rPr>
        <w:t xml:space="preserve">aragraph (f) identifies a non-exhaustive list of six factors for a plan fiduciary to objectively, thoroughly, and analytically consider and make determinations about when selecting designated investment alternatives for the plan menu. </w:t>
      </w:r>
      <w:r w:rsidR="000D2E5A">
        <w:rPr>
          <w:shd w:val="clear" w:color="auto" w:fill="FFFFFF"/>
        </w:rPr>
        <w:t xml:space="preserve">The six factors include: </w:t>
      </w:r>
      <w:r w:rsidRPr="001E294B" w:rsidR="000D2E5A">
        <w:rPr>
          <w:shd w:val="clear" w:color="auto" w:fill="FFFFFF"/>
        </w:rPr>
        <w:t>performance</w:t>
      </w:r>
      <w:r w:rsidR="000D2E5A">
        <w:rPr>
          <w:shd w:val="clear" w:color="auto" w:fill="FFFFFF"/>
        </w:rPr>
        <w:t xml:space="preserve">, </w:t>
      </w:r>
      <w:r w:rsidRPr="001E294B" w:rsidR="000D2E5A">
        <w:rPr>
          <w:shd w:val="clear" w:color="auto" w:fill="FFFFFF"/>
        </w:rPr>
        <w:t>fees</w:t>
      </w:r>
      <w:r w:rsidR="000D2E5A">
        <w:rPr>
          <w:shd w:val="clear" w:color="auto" w:fill="FFFFFF"/>
        </w:rPr>
        <w:t xml:space="preserve">, </w:t>
      </w:r>
      <w:r w:rsidRPr="001E294B" w:rsidR="000D2E5A">
        <w:rPr>
          <w:shd w:val="clear" w:color="auto" w:fill="FFFFFF"/>
        </w:rPr>
        <w:t>liquidity</w:t>
      </w:r>
      <w:r w:rsidR="000D2E5A">
        <w:rPr>
          <w:shd w:val="clear" w:color="auto" w:fill="FFFFFF"/>
        </w:rPr>
        <w:t xml:space="preserve">, </w:t>
      </w:r>
      <w:r w:rsidRPr="001E294B" w:rsidR="000D2E5A">
        <w:rPr>
          <w:shd w:val="clear" w:color="auto" w:fill="FFFFFF"/>
        </w:rPr>
        <w:t>valuation</w:t>
      </w:r>
      <w:r w:rsidR="000D2E5A">
        <w:rPr>
          <w:shd w:val="clear" w:color="auto" w:fill="FFFFFF"/>
        </w:rPr>
        <w:t>,</w:t>
      </w:r>
      <w:r w:rsidRPr="001E294B" w:rsidR="000D2E5A">
        <w:rPr>
          <w:shd w:val="clear" w:color="auto" w:fill="FFFFFF"/>
        </w:rPr>
        <w:t xml:space="preserve"> benchmarking</w:t>
      </w:r>
      <w:r w:rsidR="000D2E5A">
        <w:rPr>
          <w:shd w:val="clear" w:color="auto" w:fill="FFFFFF"/>
        </w:rPr>
        <w:t xml:space="preserve">, and </w:t>
      </w:r>
      <w:r w:rsidRPr="001E294B" w:rsidR="000D2E5A">
        <w:rPr>
          <w:shd w:val="clear" w:color="auto" w:fill="FFFFFF"/>
        </w:rPr>
        <w:t>the complexity of the designated investment alternative</w:t>
      </w:r>
      <w:r w:rsidR="00CE2922">
        <w:rPr>
          <w:shd w:val="clear" w:color="auto" w:fill="FFFFFF"/>
        </w:rPr>
        <w:t>.</w:t>
      </w:r>
    </w:p>
    <w:p w:rsidR="0054496C" w:rsidP="005775A0" w14:paraId="09B3E103" w14:textId="77777777">
      <w:pPr>
        <w:autoSpaceDE w:val="0"/>
        <w:autoSpaceDN w:val="0"/>
        <w:ind w:left="720"/>
      </w:pPr>
    </w:p>
    <w:p w:rsidR="00D33E57" w:rsidP="005775A0" w14:paraId="339F05EC" w14:textId="2FE8C646">
      <w:pPr>
        <w:autoSpaceDE w:val="0"/>
        <w:autoSpaceDN w:val="0"/>
        <w:ind w:left="720"/>
      </w:pPr>
      <w:r>
        <w:rPr>
          <w:shd w:val="clear" w:color="auto" w:fill="FFFFFF"/>
        </w:rPr>
        <w:t>Further, p</w:t>
      </w:r>
      <w:r w:rsidRPr="002B3886" w:rsidR="00837E27">
        <w:rPr>
          <w:shd w:val="clear" w:color="auto" w:fill="FFFFFF"/>
        </w:rPr>
        <w:t>aragraphs (g) through (l) of the proposal</w:t>
      </w:r>
      <w:r>
        <w:rPr>
          <w:shd w:val="clear" w:color="auto" w:fill="FFFFFF"/>
        </w:rPr>
        <w:t xml:space="preserve"> provide </w:t>
      </w:r>
      <w:r>
        <w:rPr>
          <w:bCs/>
        </w:rPr>
        <w:t>safe harbor examples demonstrating what it means for a fiduciary to be prudent</w:t>
      </w:r>
      <w:r w:rsidR="0000737B">
        <w:rPr>
          <w:bCs/>
        </w:rPr>
        <w:t xml:space="preserve"> in </w:t>
      </w:r>
      <w:r w:rsidR="00214CC8">
        <w:rPr>
          <w:bCs/>
        </w:rPr>
        <w:t>certain circumstances</w:t>
      </w:r>
      <w:r>
        <w:rPr>
          <w:bCs/>
        </w:rPr>
        <w:t>.</w:t>
      </w:r>
      <w:r w:rsidR="00063458">
        <w:rPr>
          <w:bCs/>
        </w:rPr>
        <w:t xml:space="preserve"> In several of the examples, p</w:t>
      </w:r>
      <w:r w:rsidR="009F756F">
        <w:t xml:space="preserve">lan fiduciaries </w:t>
      </w:r>
      <w:r w:rsidR="00306BA8">
        <w:t>may</w:t>
      </w:r>
      <w:r w:rsidR="009F756F">
        <w:t xml:space="preserve"> satisfy the consideration and determination requirements for certain factors by obtaining </w:t>
      </w:r>
      <w:r w:rsidRPr="007B5740" w:rsidR="009F756F">
        <w:t>written representation</w:t>
      </w:r>
      <w:r w:rsidR="009F756F">
        <w:t>s</w:t>
      </w:r>
      <w:r w:rsidRPr="007B5740" w:rsidR="009F756F">
        <w:t xml:space="preserve"> from a person responsible for managing the designated investment alternative and then reading and critically reviewing the representations</w:t>
      </w:r>
      <w:r w:rsidR="009F756F">
        <w:t xml:space="preserve">, </w:t>
      </w:r>
      <w:r w:rsidRPr="007B5740" w:rsidR="009F756F">
        <w:t>consulting a qualified professional if necessary</w:t>
      </w:r>
      <w:r w:rsidR="009F756F">
        <w:t xml:space="preserve">. </w:t>
      </w:r>
    </w:p>
    <w:p w:rsidR="00D33E57" w:rsidP="005775A0" w14:paraId="4929B171" w14:textId="77777777">
      <w:pPr>
        <w:autoSpaceDE w:val="0"/>
        <w:autoSpaceDN w:val="0"/>
        <w:ind w:left="720"/>
      </w:pPr>
    </w:p>
    <w:p w:rsidR="00FD0211" w:rsidP="005775A0" w14:paraId="40256C26" w14:textId="0507619D">
      <w:pPr>
        <w:autoSpaceDE w:val="0"/>
        <w:autoSpaceDN w:val="0"/>
        <w:ind w:left="720"/>
      </w:pPr>
      <w:r>
        <w:t xml:space="preserve">While the proposed regulation does not require all plan fiduciaries to </w:t>
      </w:r>
      <w:r w:rsidR="00AF3503">
        <w:t>obtain such written representations</w:t>
      </w:r>
      <w:r w:rsidR="00813F30">
        <w:t xml:space="preserve"> when selecting a designated investment alternative</w:t>
      </w:r>
      <w:r w:rsidR="008E1914">
        <w:t xml:space="preserve">, the </w:t>
      </w:r>
      <w:r w:rsidR="002D0F28">
        <w:t xml:space="preserve">safe harbor examples provided in the proposed regulation </w:t>
      </w:r>
      <w:r w:rsidR="00441618">
        <w:t>illustrate</w:t>
      </w:r>
      <w:r w:rsidR="002D0F28">
        <w:t xml:space="preserve"> how such written representations contribute to a prudent process </w:t>
      </w:r>
      <w:r w:rsidR="00B35C1A">
        <w:t xml:space="preserve">in selecting designated investment alternatives, </w:t>
      </w:r>
      <w:r w:rsidR="00A03A3E">
        <w:t>including</w:t>
      </w:r>
      <w:r w:rsidR="00B35C1A">
        <w:t xml:space="preserve"> those containing alternative assets.</w:t>
      </w:r>
      <w:r w:rsidR="00AF3503">
        <w:t xml:space="preserve"> </w:t>
      </w:r>
    </w:p>
    <w:p w:rsidR="00796BD6" w:rsidP="005775A0" w14:paraId="4823A7EC" w14:textId="77777777">
      <w:pPr>
        <w:autoSpaceDE w:val="0"/>
        <w:autoSpaceDN w:val="0"/>
        <w:ind w:left="720"/>
      </w:pPr>
    </w:p>
    <w:p w:rsidR="000A5919" w:rsidRPr="009D7FA2" w:rsidP="008A681F" w14:paraId="74D643A7" w14:textId="3E83EFCA">
      <w:pPr>
        <w:pStyle w:val="Heading3"/>
      </w:pPr>
      <w:bookmarkStart w:id="0" w:name="keyword"/>
      <w:bookmarkStart w:id="1" w:name="NTRULNG:726.36-1"/>
      <w:bookmarkStart w:id="2" w:name="lastkeyword"/>
      <w:bookmarkEnd w:id="0"/>
      <w:bookmarkEnd w:id="1"/>
      <w:bookmarkEnd w:id="2"/>
      <w:r w:rsidRPr="001E2AC5">
        <w:t>Indicate how, by whom, and for what purpose the information is to be used.</w:t>
      </w:r>
      <w:r w:rsidR="009128E9">
        <w:t xml:space="preserve"> </w:t>
      </w:r>
      <w:r w:rsidRPr="001E2AC5">
        <w:t>Except for a new collection, indicate the actual use the agency has made of the information received from the current collection.</w:t>
      </w:r>
    </w:p>
    <w:p w:rsidR="000A5919" w:rsidP="00A0695F" w14:paraId="5AEE5F25" w14:textId="77777777">
      <w:pPr>
        <w:autoSpaceDE w:val="0"/>
        <w:autoSpaceDN w:val="0"/>
        <w:ind w:left="720"/>
      </w:pPr>
    </w:p>
    <w:p w:rsidR="00B35C1A" w:rsidP="00A0695F" w14:paraId="36A885D4" w14:textId="100B25A7">
      <w:pPr>
        <w:autoSpaceDE w:val="0"/>
        <w:autoSpaceDN w:val="0"/>
        <w:ind w:left="720"/>
      </w:pPr>
      <w:r w:rsidRPr="009D7FA2">
        <w:rPr>
          <w:bCs/>
        </w:rPr>
        <w:t>The information collections under this ICR are not for the use of the Department or any other federal agenc</w:t>
      </w:r>
      <w:r w:rsidR="00C94B9A">
        <w:rPr>
          <w:bCs/>
        </w:rPr>
        <w:t>y, and t</w:t>
      </w:r>
      <w:r w:rsidRPr="009D7FA2" w:rsidR="00C94B9A">
        <w:rPr>
          <w:bCs/>
        </w:rPr>
        <w:t>he Department will not collect the information required to be disclosed.</w:t>
      </w:r>
      <w:r w:rsidR="007C11FE">
        <w:rPr>
          <w:bCs/>
        </w:rPr>
        <w:t xml:space="preserve"> </w:t>
      </w:r>
      <w:r w:rsidRPr="009D7FA2">
        <w:rPr>
          <w:bCs/>
        </w:rPr>
        <w:t xml:space="preserve">The information will be used by </w:t>
      </w:r>
      <w:r>
        <w:rPr>
          <w:bCs/>
        </w:rPr>
        <w:t>plan fiduciaries</w:t>
      </w:r>
      <w:r w:rsidRPr="009D7FA2">
        <w:rPr>
          <w:bCs/>
        </w:rPr>
        <w:t xml:space="preserve"> </w:t>
      </w:r>
      <w:r w:rsidR="00816559">
        <w:rPr>
          <w:bCs/>
        </w:rPr>
        <w:t>of</w:t>
      </w:r>
      <w:r w:rsidRPr="009D7FA2">
        <w:rPr>
          <w:bCs/>
        </w:rPr>
        <w:t xml:space="preserve"> ERISA-covered participant directed individual account plans to </w:t>
      </w:r>
      <w:r w:rsidR="00816559">
        <w:rPr>
          <w:bCs/>
        </w:rPr>
        <w:t>select designated investment alternatives</w:t>
      </w:r>
      <w:r w:rsidRPr="009D7FA2">
        <w:rPr>
          <w:bCs/>
        </w:rPr>
        <w:t>.</w:t>
      </w:r>
      <w:r>
        <w:rPr>
          <w:bCs/>
        </w:rPr>
        <w:t xml:space="preserve"> </w:t>
      </w:r>
    </w:p>
    <w:p w:rsidR="00B35C1A" w:rsidRPr="009D7FA2" w:rsidP="00A0695F" w14:paraId="2861415B" w14:textId="77777777">
      <w:pPr>
        <w:autoSpaceDE w:val="0"/>
        <w:autoSpaceDN w:val="0"/>
        <w:ind w:left="720"/>
      </w:pPr>
    </w:p>
    <w:p w:rsidR="000A5919" w:rsidRPr="001E2AC5" w:rsidP="008A681F" w14:paraId="61099C67" w14:textId="40D87732">
      <w:pPr>
        <w:pStyle w:val="Heading3"/>
      </w:pPr>
      <w:r w:rsidRPr="001E2AC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128E9">
        <w:t xml:space="preserve"> </w:t>
      </w:r>
      <w:r w:rsidRPr="001E2AC5">
        <w:t>Also describe any consideration for using information technology to reduce burden.</w:t>
      </w:r>
    </w:p>
    <w:p w:rsidR="000A5919" w:rsidRPr="009D7FA2" w:rsidP="00696580" w14:paraId="48C1F81B" w14:textId="77777777">
      <w:pPr>
        <w:autoSpaceDE w:val="0"/>
        <w:autoSpaceDN w:val="0"/>
        <w:ind w:left="720"/>
      </w:pPr>
    </w:p>
    <w:p w:rsidR="000A5919" w:rsidRPr="009D7FA2" w:rsidP="009F4537" w14:paraId="5457F1BC" w14:textId="77B7A24F">
      <w:pPr>
        <w:ind w:left="720"/>
      </w:pPr>
      <w:r>
        <w:t xml:space="preserve">The proposed rule </w:t>
      </w:r>
      <w:r w:rsidR="00632637">
        <w:t>does not</w:t>
      </w:r>
      <w:r w:rsidR="004D4182">
        <w:t xml:space="preserve"> require nor</w:t>
      </w:r>
      <w:r w:rsidR="00632637">
        <w:t xml:space="preserve"> preclude </w:t>
      </w:r>
      <w:r w:rsidR="00112888">
        <w:t xml:space="preserve">individuals </w:t>
      </w:r>
      <w:r w:rsidRPr="00112888" w:rsidR="00112888">
        <w:t>responsible for managing the designated investment alternative</w:t>
      </w:r>
      <w:r w:rsidR="00112888">
        <w:t xml:space="preserve"> from </w:t>
      </w:r>
      <w:r w:rsidR="004D4182">
        <w:t>sending any written representation through electronic means. As discussed in item</w:t>
      </w:r>
      <w:r w:rsidR="000D5DA4">
        <w:t>s 12 and 13, the Department has assumed that all written representations will be sent electronically.</w:t>
      </w:r>
    </w:p>
    <w:p w:rsidR="000A5919" w:rsidRPr="009D7FA2" w:rsidP="0076097B" w14:paraId="057B0F9B" w14:textId="77777777">
      <w:pPr>
        <w:autoSpaceDE w:val="0"/>
        <w:autoSpaceDN w:val="0"/>
      </w:pPr>
    </w:p>
    <w:p w:rsidR="000A5919" w:rsidRPr="001E2AC5" w:rsidP="008A681F" w14:paraId="5D12698D" w14:textId="7FEF94F0">
      <w:pPr>
        <w:pStyle w:val="Heading3"/>
      </w:pPr>
      <w:r w:rsidRPr="001E2AC5">
        <w:t>Describe efforts to identify duplication.</w:t>
      </w:r>
      <w:r w:rsidR="009128E9">
        <w:t xml:space="preserve"> </w:t>
      </w:r>
      <w:r w:rsidRPr="001E2AC5">
        <w:t>Show specifically why any similar information already available cannot be used or modified for use for the purposes described in Item 2 above.</w:t>
      </w:r>
    </w:p>
    <w:p w:rsidR="000A5919" w:rsidP="001C39BF" w14:paraId="26682190" w14:textId="77777777">
      <w:pPr>
        <w:autoSpaceDE w:val="0"/>
        <w:autoSpaceDN w:val="0"/>
        <w:ind w:left="720"/>
      </w:pPr>
    </w:p>
    <w:p w:rsidR="00617702" w:rsidRPr="009D7FA2" w:rsidP="001C39BF" w14:paraId="6A44C65C" w14:textId="542612C3">
      <w:pPr>
        <w:autoSpaceDE w:val="0"/>
        <w:autoSpaceDN w:val="0"/>
        <w:ind w:left="720"/>
      </w:pPr>
      <w:r w:rsidRPr="00617702">
        <w:t>The Department is not aware of any other rules that would duplicate, overlap, or be relevant to this proposal.</w:t>
      </w:r>
    </w:p>
    <w:p w:rsidR="000A5919" w:rsidRPr="009D7FA2" w:rsidP="001C39BF" w14:paraId="6ECDBF23" w14:textId="77777777">
      <w:pPr>
        <w:autoSpaceDE w:val="0"/>
        <w:autoSpaceDN w:val="0"/>
        <w:ind w:left="720"/>
      </w:pPr>
    </w:p>
    <w:p w:rsidR="000A5919" w:rsidRPr="001E2AC5" w:rsidP="008A681F" w14:paraId="662A9DF2" w14:textId="4CA15F32">
      <w:pPr>
        <w:pStyle w:val="Heading3"/>
      </w:pPr>
      <w:r w:rsidRPr="001E2AC5">
        <w:t>If the collection of information impacts small businesses or other small entities describe any methods used to minimize burden.</w:t>
      </w:r>
    </w:p>
    <w:p w:rsidR="000A5919" w:rsidP="00DF28C2" w14:paraId="0BFA2D0D" w14:textId="77777777">
      <w:pPr>
        <w:autoSpaceDE w:val="0"/>
        <w:autoSpaceDN w:val="0"/>
        <w:ind w:left="720"/>
      </w:pPr>
    </w:p>
    <w:p w:rsidR="00775523" w:rsidP="006441B7" w14:paraId="144121D5" w14:textId="1FA1CA06">
      <w:pPr>
        <w:autoSpaceDE w:val="0"/>
        <w:autoSpaceDN w:val="0"/>
        <w:ind w:left="720"/>
        <w:rPr>
          <w:highlight w:val="yellow"/>
        </w:rPr>
      </w:pPr>
      <w:r w:rsidRPr="00401101">
        <w:t>The safe</w:t>
      </w:r>
      <w:r w:rsidRPr="00401101">
        <w:t xml:space="preserve"> harbor examples </w:t>
      </w:r>
      <w:r w:rsidRPr="004915E2">
        <w:t xml:space="preserve">are designed to </w:t>
      </w:r>
      <w:r w:rsidRPr="004915E2" w:rsidR="00A12F34">
        <w:t>guide</w:t>
      </w:r>
      <w:r w:rsidRPr="004915E2">
        <w:t xml:space="preserve"> plan fiduciaries </w:t>
      </w:r>
      <w:r w:rsidRPr="004915E2" w:rsidR="00401101">
        <w:t>in</w:t>
      </w:r>
      <w:r w:rsidRPr="004915E2">
        <w:t xml:space="preserve"> giving appropriate consideration of all relevant factors when selecting a designated investment alternative.</w:t>
      </w:r>
      <w:r w:rsidRPr="004915E2" w:rsidR="00401101">
        <w:t xml:space="preserve"> </w:t>
      </w:r>
      <w:r w:rsidRPr="004915E2" w:rsidR="0091318B">
        <w:t>The Department believes that</w:t>
      </w:r>
      <w:r w:rsidR="00A03A3E">
        <w:t>, in the context of the proposal,</w:t>
      </w:r>
      <w:r w:rsidR="00650F2B">
        <w:t xml:space="preserve"> the usefulness of</w:t>
      </w:r>
      <w:r w:rsidR="00FB307A">
        <w:t xml:space="preserve"> written representation</w:t>
      </w:r>
      <w:r w:rsidR="00613231">
        <w:t>s</w:t>
      </w:r>
      <w:r w:rsidR="00FB307A">
        <w:t xml:space="preserve"> </w:t>
      </w:r>
      <w:r w:rsidR="00650F2B">
        <w:t xml:space="preserve">in contributing to a prudent process </w:t>
      </w:r>
      <w:r w:rsidR="00C61E1D">
        <w:t>could be esp</w:t>
      </w:r>
      <w:r w:rsidR="00B1311F">
        <w:t>ecially helpful for plans</w:t>
      </w:r>
      <w:r w:rsidRPr="004915E2" w:rsidR="0091318B">
        <w:t xml:space="preserve"> </w:t>
      </w:r>
      <w:r w:rsidR="00AE5FFC">
        <w:t>that are small</w:t>
      </w:r>
      <w:r w:rsidR="00F84FBF">
        <w:t xml:space="preserve"> </w:t>
      </w:r>
      <w:r w:rsidRPr="004915E2" w:rsidR="0091318B">
        <w:t>(or associated with small employers)</w:t>
      </w:r>
      <w:r w:rsidR="001340A4">
        <w:t>.</w:t>
      </w:r>
    </w:p>
    <w:p w:rsidR="000A5919" w:rsidRPr="009D7FA2" w:rsidP="00DF28C2" w14:paraId="0A8C4443" w14:textId="77777777">
      <w:pPr>
        <w:ind w:left="720"/>
      </w:pPr>
    </w:p>
    <w:p w:rsidR="000A5919" w:rsidRPr="001E2AC5" w:rsidP="008A681F" w14:paraId="422385D2" w14:textId="15333849">
      <w:pPr>
        <w:pStyle w:val="Heading3"/>
      </w:pPr>
      <w:r w:rsidRPr="001E2AC5">
        <w:t xml:space="preserve">Describe the </w:t>
      </w:r>
      <w:r w:rsidRPr="001E2AC5">
        <w:t>consequence</w:t>
      </w:r>
      <w:r w:rsidRPr="001E2AC5">
        <w:t xml:space="preserve"> </w:t>
      </w:r>
      <w:r w:rsidRPr="001E2AC5">
        <w:t>to</w:t>
      </w:r>
      <w:r w:rsidRPr="001E2AC5">
        <w:t xml:space="preserve"> Federal program or policy activities if the collection is not conducted or is conducted less frequently, as well as any technical or legal obstacles to reducing burden.</w:t>
      </w:r>
    </w:p>
    <w:p w:rsidR="000A5919" w:rsidP="00DF28C2" w14:paraId="67D1AE11" w14:textId="77777777">
      <w:pPr>
        <w:autoSpaceDE w:val="0"/>
        <w:autoSpaceDN w:val="0"/>
        <w:ind w:left="720"/>
      </w:pPr>
    </w:p>
    <w:p w:rsidR="009569EB" w:rsidP="00DF28C2" w14:paraId="631F50FA" w14:textId="1CD00D31">
      <w:pPr>
        <w:autoSpaceDE w:val="0"/>
        <w:autoSpaceDN w:val="0"/>
        <w:ind w:left="720"/>
      </w:pPr>
      <w:r>
        <w:t>T</w:t>
      </w:r>
      <w:r>
        <w:t>he safe harbor examples provided in the proposed regulation illustrate how obtaining written representations may contribute to a prudent process in selecting designated investment alternatives</w:t>
      </w:r>
      <w:r w:rsidRPr="00401101">
        <w:t xml:space="preserve">. </w:t>
      </w:r>
      <w:r>
        <w:t>The proposed regulation does not require plan fiduciaries to obtain written representations when selecting designated investment alternatives.</w:t>
      </w:r>
    </w:p>
    <w:p w:rsidR="001E2AC5" w:rsidP="001E2AC5" w14:paraId="6A472594" w14:textId="77777777">
      <w:pPr>
        <w:autoSpaceDE w:val="0"/>
        <w:autoSpaceDN w:val="0"/>
      </w:pPr>
    </w:p>
    <w:p w:rsidR="000A5919" w:rsidRPr="001E2AC5" w:rsidP="008A681F" w14:paraId="651DAD38" w14:textId="7853EEEE">
      <w:pPr>
        <w:pStyle w:val="Heading3"/>
      </w:pPr>
      <w:r w:rsidRPr="001E2AC5">
        <w:t>Explain any special circumstances that would cause an information collection to be conducted in a manner:</w:t>
      </w:r>
    </w:p>
    <w:p w:rsidR="000A5919" w:rsidRPr="001E2AC5" w:rsidP="001E2AC5" w14:paraId="3E8B3441" w14:textId="77777777">
      <w:pPr>
        <w:pStyle w:val="ListParagraph"/>
        <w:numPr>
          <w:ilvl w:val="0"/>
          <w:numId w:val="11"/>
        </w:numPr>
        <w:autoSpaceDE w:val="0"/>
        <w:autoSpaceDN w:val="0"/>
        <w:ind w:left="1440"/>
        <w:rPr>
          <w:b/>
          <w:bCs/>
        </w:rPr>
      </w:pPr>
      <w:r w:rsidRPr="001E2AC5">
        <w:rPr>
          <w:b/>
          <w:bCs/>
        </w:rPr>
        <w:t xml:space="preserve">requiring respondents to report information to the agency more often than </w:t>
      </w:r>
      <w:r w:rsidRPr="001E2AC5">
        <w:rPr>
          <w:b/>
          <w:bCs/>
        </w:rPr>
        <w:t>quarterly;</w:t>
      </w:r>
    </w:p>
    <w:p w:rsidR="000A5919" w:rsidRPr="001E2AC5" w:rsidP="001E2AC5" w14:paraId="7D608590" w14:textId="77777777">
      <w:pPr>
        <w:pStyle w:val="ListParagraph"/>
        <w:numPr>
          <w:ilvl w:val="0"/>
          <w:numId w:val="11"/>
        </w:numPr>
        <w:autoSpaceDE w:val="0"/>
        <w:autoSpaceDN w:val="0"/>
        <w:ind w:left="1440"/>
        <w:rPr>
          <w:b/>
          <w:bCs/>
        </w:rPr>
      </w:pPr>
      <w:r w:rsidRPr="001E2AC5">
        <w:rPr>
          <w:b/>
          <w:bCs/>
        </w:rPr>
        <w:t xml:space="preserve">requiring respondents to prepare a written response to a collection of information in fewer than 30 days after receipt of </w:t>
      </w:r>
      <w:r w:rsidRPr="001E2AC5">
        <w:rPr>
          <w:b/>
          <w:bCs/>
        </w:rPr>
        <w:t>it;</w:t>
      </w:r>
    </w:p>
    <w:p w:rsidR="000A5919" w:rsidRPr="001E2AC5" w:rsidP="001E2AC5" w14:paraId="7AF0F15A" w14:textId="77777777">
      <w:pPr>
        <w:pStyle w:val="ListParagraph"/>
        <w:numPr>
          <w:ilvl w:val="0"/>
          <w:numId w:val="11"/>
        </w:numPr>
        <w:autoSpaceDE w:val="0"/>
        <w:autoSpaceDN w:val="0"/>
        <w:ind w:left="1440"/>
        <w:rPr>
          <w:b/>
          <w:bCs/>
        </w:rPr>
      </w:pPr>
      <w:r w:rsidRPr="001E2AC5">
        <w:rPr>
          <w:b/>
          <w:bCs/>
        </w:rPr>
        <w:t xml:space="preserve">requiring respondents to submit more than an original and two copies of any </w:t>
      </w:r>
      <w:r w:rsidRPr="001E2AC5">
        <w:rPr>
          <w:b/>
          <w:bCs/>
        </w:rPr>
        <w:t>document;</w:t>
      </w:r>
    </w:p>
    <w:p w:rsidR="000A5919" w:rsidRPr="001E2AC5" w:rsidP="001E2AC5" w14:paraId="0867F645" w14:textId="77777777">
      <w:pPr>
        <w:pStyle w:val="ListParagraph"/>
        <w:numPr>
          <w:ilvl w:val="0"/>
          <w:numId w:val="11"/>
        </w:numPr>
        <w:autoSpaceDE w:val="0"/>
        <w:autoSpaceDN w:val="0"/>
        <w:ind w:left="1440"/>
        <w:rPr>
          <w:b/>
          <w:bCs/>
        </w:rPr>
      </w:pPr>
      <w:r w:rsidRPr="001E2AC5">
        <w:rPr>
          <w:b/>
          <w:bCs/>
        </w:rPr>
        <w:t xml:space="preserve">requiring respondents to retain records, other than health, medical, government contract, grant-in-aid, or tax records for more than three </w:t>
      </w:r>
      <w:r w:rsidRPr="001E2AC5">
        <w:rPr>
          <w:b/>
          <w:bCs/>
        </w:rPr>
        <w:t>years;</w:t>
      </w:r>
    </w:p>
    <w:p w:rsidR="000A5919" w:rsidRPr="001E2AC5" w:rsidP="001E2AC5" w14:paraId="175F7030" w14:textId="77777777">
      <w:pPr>
        <w:pStyle w:val="ListParagraph"/>
        <w:numPr>
          <w:ilvl w:val="0"/>
          <w:numId w:val="11"/>
        </w:numPr>
        <w:autoSpaceDE w:val="0"/>
        <w:autoSpaceDN w:val="0"/>
        <w:ind w:left="1440"/>
        <w:rPr>
          <w:b/>
          <w:bCs/>
        </w:rPr>
      </w:pPr>
      <w:r w:rsidRPr="001E2AC5">
        <w:rPr>
          <w:b/>
          <w:bCs/>
        </w:rPr>
        <w:t xml:space="preserve">in connection with a statistical survey, that is not designed to produce valid and reliable results that can be generalized to the universe of </w:t>
      </w:r>
      <w:r w:rsidRPr="001E2AC5">
        <w:rPr>
          <w:b/>
          <w:bCs/>
        </w:rPr>
        <w:t>study;</w:t>
      </w:r>
    </w:p>
    <w:p w:rsidR="000A5919" w:rsidRPr="001E2AC5" w:rsidP="001E2AC5" w14:paraId="435FA0FA" w14:textId="77777777">
      <w:pPr>
        <w:pStyle w:val="ListParagraph"/>
        <w:numPr>
          <w:ilvl w:val="0"/>
          <w:numId w:val="11"/>
        </w:numPr>
        <w:autoSpaceDE w:val="0"/>
        <w:autoSpaceDN w:val="0"/>
        <w:ind w:left="1440"/>
        <w:rPr>
          <w:b/>
          <w:bCs/>
        </w:rPr>
      </w:pPr>
      <w:r w:rsidRPr="001E2AC5">
        <w:rPr>
          <w:b/>
          <w:bCs/>
        </w:rPr>
        <w:t xml:space="preserve">requiring the use of a statistical data classification that has not been reviewed and approved by </w:t>
      </w:r>
      <w:r w:rsidRPr="001E2AC5">
        <w:rPr>
          <w:b/>
          <w:bCs/>
        </w:rPr>
        <w:t>OMB;</w:t>
      </w:r>
    </w:p>
    <w:p w:rsidR="000A5919" w:rsidRPr="001E2AC5" w:rsidP="001E2AC5" w14:paraId="46AF71DC" w14:textId="77777777">
      <w:pPr>
        <w:pStyle w:val="ListParagraph"/>
        <w:numPr>
          <w:ilvl w:val="0"/>
          <w:numId w:val="11"/>
        </w:numPr>
        <w:autoSpaceDE w:val="0"/>
        <w:autoSpaceDN w:val="0"/>
        <w:ind w:left="1440"/>
        <w:rPr>
          <w:b/>
          <w:bCs/>
        </w:rPr>
      </w:pPr>
      <w:r w:rsidRPr="001E2AC5">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1E2AC5" w:rsidP="001E2AC5" w14:paraId="53AFD2FF" w14:textId="77777777">
      <w:pPr>
        <w:pStyle w:val="ListParagraph"/>
        <w:numPr>
          <w:ilvl w:val="0"/>
          <w:numId w:val="11"/>
        </w:numPr>
        <w:autoSpaceDE w:val="0"/>
        <w:autoSpaceDN w:val="0"/>
        <w:ind w:left="1440"/>
        <w:rPr>
          <w:b/>
          <w:bCs/>
        </w:rPr>
      </w:pPr>
      <w:r w:rsidRPr="001E2AC5">
        <w:rPr>
          <w:b/>
          <w:bCs/>
        </w:rPr>
        <w:t xml:space="preserve">requiring respondents to submit proprietary trade </w:t>
      </w:r>
      <w:r w:rsidRPr="001E2AC5">
        <w:rPr>
          <w:b/>
          <w:bCs/>
        </w:rPr>
        <w:t>secret</w:t>
      </w:r>
      <w:r w:rsidRPr="001E2AC5">
        <w:rPr>
          <w:b/>
          <w:bCs/>
        </w:rPr>
        <w:t xml:space="preserve">, or other confidential information unless the agency can demonstrate that it has </w:t>
      </w:r>
      <w:r w:rsidRPr="001E2AC5">
        <w:rPr>
          <w:b/>
          <w:bCs/>
        </w:rPr>
        <w:t>instituted procedures to protect the information's confidentiality to the extent permitted by law.</w:t>
      </w:r>
    </w:p>
    <w:p w:rsidR="000A5919" w:rsidRPr="001E2AC5" w:rsidP="00D05A53" w14:paraId="1B3E64D2" w14:textId="77777777">
      <w:pPr>
        <w:autoSpaceDE w:val="0"/>
        <w:autoSpaceDN w:val="0"/>
        <w:ind w:left="720"/>
        <w:rPr>
          <w:b/>
          <w:bCs/>
        </w:rPr>
      </w:pPr>
    </w:p>
    <w:p w:rsidR="00CA7FB1" w:rsidRPr="009D7FA2" w:rsidP="00D05A53" w14:paraId="1D257EFF" w14:textId="789D75B4">
      <w:pPr>
        <w:autoSpaceDE w:val="0"/>
        <w:autoSpaceDN w:val="0"/>
        <w:ind w:left="720"/>
      </w:pPr>
      <w:r w:rsidRPr="00CA7FB1">
        <w:t>None of the special circumstances apply.</w:t>
      </w:r>
    </w:p>
    <w:p w:rsidR="000A5919" w:rsidRPr="009D7FA2" w:rsidP="00D05A53" w14:paraId="1790BD94" w14:textId="77777777">
      <w:pPr>
        <w:autoSpaceDE w:val="0"/>
        <w:autoSpaceDN w:val="0"/>
        <w:ind w:left="720"/>
      </w:pPr>
    </w:p>
    <w:p w:rsidR="000A5919" w:rsidRPr="001E2AC5" w:rsidP="008A681F" w14:paraId="26C58BF7" w14:textId="04C266D1">
      <w:pPr>
        <w:pStyle w:val="Heading3"/>
      </w:pPr>
      <w:r w:rsidRPr="001E2AC5">
        <w:t xml:space="preserve">If applicable, provide a copy and identify the date and page number of </w:t>
      </w:r>
      <w:r w:rsidRPr="001E2AC5">
        <w:t>publication</w:t>
      </w:r>
      <w:r w:rsidRPr="001E2AC5">
        <w:t xml:space="preserve"> in the Federal Register of the agency's notice, required by 5 CFR 1320.8(d), soliciting comments on the information collection prior to submission to OMB.</w:t>
      </w:r>
      <w:r w:rsidR="009128E9">
        <w:t xml:space="preserve"> </w:t>
      </w:r>
      <w:r w:rsidRPr="001E2AC5">
        <w:t>Summarize public comments received in response to that notice and describe actions taken by the agency in response to these comments.</w:t>
      </w:r>
      <w:r w:rsidR="009128E9">
        <w:t xml:space="preserve"> </w:t>
      </w:r>
      <w:r w:rsidRPr="001E2AC5">
        <w:t>Specifically address comments received on cost and hour burden.</w:t>
      </w:r>
    </w:p>
    <w:p w:rsidR="000A5919" w:rsidRPr="001E2AC5" w:rsidP="00D05A53" w14:paraId="03975B3A" w14:textId="77777777">
      <w:pPr>
        <w:autoSpaceDE w:val="0"/>
        <w:autoSpaceDN w:val="0"/>
        <w:ind w:left="720"/>
        <w:rPr>
          <w:b/>
          <w:bCs/>
        </w:rPr>
      </w:pPr>
    </w:p>
    <w:p w:rsidR="000A5919" w:rsidRPr="001E2AC5" w:rsidP="00D05A53" w14:paraId="60936109" w14:textId="77777777">
      <w:pPr>
        <w:autoSpaceDE w:val="0"/>
        <w:autoSpaceDN w:val="0"/>
        <w:ind w:left="720"/>
        <w:rPr>
          <w:b/>
          <w:bCs/>
        </w:rPr>
      </w:pPr>
      <w:r w:rsidRPr="001E2AC5">
        <w:rPr>
          <w:b/>
          <w:bCs/>
        </w:rPr>
        <w:t xml:space="preserve">Describe efforts to consult with </w:t>
      </w:r>
      <w:r w:rsidRPr="001E2AC5">
        <w:rPr>
          <w:b/>
          <w:bCs/>
        </w:rPr>
        <w:t>persons</w:t>
      </w:r>
      <w:r w:rsidRPr="001E2AC5">
        <w:rPr>
          <w:b/>
          <w:bCs/>
        </w:rPr>
        <w:t xml:space="preserve"> outside the agency to obtain their views on the availability of data, frequency of collection, the clarity of instructions and record keeping, disclosure, or reporting format (if any), and on the data elements to be recorded, disclosed, or reported.</w:t>
      </w:r>
    </w:p>
    <w:p w:rsidR="000A5919" w:rsidRPr="001E2AC5" w:rsidP="00D05A53" w14:paraId="10FE937A" w14:textId="77777777">
      <w:pPr>
        <w:autoSpaceDE w:val="0"/>
        <w:autoSpaceDN w:val="0"/>
        <w:ind w:left="720"/>
        <w:rPr>
          <w:b/>
          <w:bCs/>
        </w:rPr>
      </w:pPr>
    </w:p>
    <w:p w:rsidR="000A5919" w:rsidRPr="001E2AC5" w:rsidP="00D05A53" w14:paraId="116C76CE" w14:textId="5F735F2F">
      <w:pPr>
        <w:autoSpaceDE w:val="0"/>
        <w:autoSpaceDN w:val="0"/>
        <w:ind w:left="720"/>
        <w:rPr>
          <w:b/>
          <w:bCs/>
        </w:rPr>
      </w:pPr>
      <w:r w:rsidRPr="001E2AC5">
        <w:rPr>
          <w:b/>
          <w:bCs/>
        </w:rPr>
        <w:t>Consultation</w:t>
      </w:r>
      <w:r w:rsidRPr="001E2AC5">
        <w:rPr>
          <w:b/>
          <w:bCs/>
        </w:rPr>
        <w:t xml:space="preserve"> with representatives of those from whom information is to be obtained or those who must compile records should occur at least once every 3 years -- even if the collection of information activity is the same as in prior periods.</w:t>
      </w:r>
      <w:r w:rsidR="009128E9">
        <w:rPr>
          <w:b/>
          <w:bCs/>
        </w:rPr>
        <w:t xml:space="preserve"> </w:t>
      </w:r>
      <w:r w:rsidRPr="001E2AC5">
        <w:rPr>
          <w:b/>
          <w:bCs/>
        </w:rPr>
        <w:t>There may be circumstances that may preclude consultation in a specific situation.</w:t>
      </w:r>
      <w:r w:rsidR="009128E9">
        <w:rPr>
          <w:b/>
          <w:bCs/>
        </w:rPr>
        <w:t xml:space="preserve"> </w:t>
      </w:r>
      <w:r w:rsidRPr="001E2AC5">
        <w:rPr>
          <w:b/>
          <w:bCs/>
        </w:rPr>
        <w:t>These circumstances should be explained.</w:t>
      </w:r>
    </w:p>
    <w:p w:rsidR="000C5059" w:rsidP="000C5059" w14:paraId="04174812" w14:textId="77777777">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1487C" w:rsidRPr="00D36BC1" w:rsidP="0001487C" w14:paraId="61E88BF1" w14:textId="0BDF2896">
      <w:pPr>
        <w:ind w:left="720"/>
        <w:contextualSpacing/>
      </w:pPr>
      <w:r w:rsidRPr="00D36BC1">
        <w:t xml:space="preserve">In accordance with 5 CFR 1320.11, the proposed </w:t>
      </w:r>
      <w:r>
        <w:t xml:space="preserve">rule </w:t>
      </w:r>
      <w:r w:rsidRPr="00D36BC1">
        <w:t xml:space="preserve">provides the public with </w:t>
      </w:r>
      <w:r>
        <w:t>75</w:t>
      </w:r>
      <w:r w:rsidRPr="00D36BC1">
        <w:t xml:space="preserve"> days to comment on the information collection and burden estimates.</w:t>
      </w:r>
    </w:p>
    <w:p w:rsidR="001E2AC5" w:rsidRPr="001E2AC5" w:rsidP="001E2AC5" w14:paraId="78023D37" w14:textId="77777777">
      <w:pPr>
        <w:autoSpaceDE w:val="0"/>
        <w:autoSpaceDN w:val="0"/>
        <w:rPr>
          <w:b/>
          <w:bCs/>
        </w:rPr>
      </w:pPr>
    </w:p>
    <w:p w:rsidR="000A5919" w:rsidRPr="001E2AC5" w:rsidP="008A681F" w14:paraId="0C9103E3" w14:textId="1971DDE7">
      <w:pPr>
        <w:pStyle w:val="Heading3"/>
      </w:pPr>
      <w:r w:rsidRPr="001E2AC5">
        <w:t>Explain any decision to provide any payment or gift to respondents, other than remuneration of contractors or grantees.</w:t>
      </w:r>
    </w:p>
    <w:p w:rsidR="000A5919" w:rsidRPr="009D7FA2" w:rsidP="007427A1" w14:paraId="324ED769" w14:textId="77777777">
      <w:pPr>
        <w:autoSpaceDE w:val="0"/>
        <w:autoSpaceDN w:val="0"/>
        <w:ind w:left="720"/>
      </w:pPr>
    </w:p>
    <w:p w:rsidR="00CD1B53" w:rsidRPr="009D7FA2" w:rsidP="007427A1" w14:paraId="62AADBBA" w14:textId="21FD94DF">
      <w:pPr>
        <w:autoSpaceDE w:val="0"/>
        <w:autoSpaceDN w:val="0"/>
        <w:ind w:left="720"/>
      </w:pPr>
      <w:r w:rsidRPr="00CD1B53">
        <w:t>There are no payments or gifts to respondents</w:t>
      </w:r>
      <w:r>
        <w:t xml:space="preserve">. </w:t>
      </w:r>
    </w:p>
    <w:p w:rsidR="000A5919" w:rsidRPr="009D7FA2" w:rsidP="007427A1" w14:paraId="4C60B2BE" w14:textId="77777777">
      <w:pPr>
        <w:autoSpaceDE w:val="0"/>
        <w:autoSpaceDN w:val="0"/>
        <w:ind w:left="720"/>
      </w:pPr>
    </w:p>
    <w:p w:rsidR="000A5919" w:rsidRPr="001E2AC5" w:rsidP="008A681F" w14:paraId="34B5F539" w14:textId="149E308A">
      <w:pPr>
        <w:pStyle w:val="Heading3"/>
      </w:pPr>
      <w:r w:rsidRPr="001E2AC5">
        <w:t>Describe any assurance of confidentiality provided to respondents and the basis for the assurance in statute, regulation, or agency policy.</w:t>
      </w:r>
    </w:p>
    <w:p w:rsidR="000A5919" w:rsidRPr="009D7FA2" w:rsidP="007427A1" w14:paraId="438D4926" w14:textId="77777777">
      <w:pPr>
        <w:autoSpaceDE w:val="0"/>
        <w:autoSpaceDN w:val="0"/>
        <w:ind w:left="720"/>
      </w:pPr>
    </w:p>
    <w:p w:rsidR="00CD1B53" w:rsidRPr="009D7FA2" w:rsidP="007427A1" w14:paraId="487F90B1" w14:textId="258C48C4">
      <w:pPr>
        <w:autoSpaceDE w:val="0"/>
        <w:autoSpaceDN w:val="0"/>
        <w:ind w:left="720"/>
      </w:pPr>
      <w:r w:rsidRPr="00CD1B53">
        <w:t>No assurance of confidentiality has been provided.</w:t>
      </w:r>
    </w:p>
    <w:p w:rsidR="000A5919" w:rsidRPr="001E2AC5" w:rsidP="007427A1" w14:paraId="0106DF3D" w14:textId="77777777">
      <w:pPr>
        <w:autoSpaceDE w:val="0"/>
        <w:autoSpaceDN w:val="0"/>
        <w:ind w:left="720"/>
        <w:rPr>
          <w:b/>
          <w:bCs/>
        </w:rPr>
      </w:pPr>
    </w:p>
    <w:p w:rsidR="000A5919" w:rsidRPr="001E2AC5" w:rsidP="008A681F" w14:paraId="7FAEDA7C" w14:textId="5D2D6FA0">
      <w:pPr>
        <w:pStyle w:val="Heading3"/>
      </w:pPr>
      <w:r w:rsidRPr="001E2AC5">
        <w:t>Provide additional justification for any questions of a sensitive nature, such as sexual behavior and attitudes, religious beliefs, and other matters that are commonly considered private.</w:t>
      </w:r>
      <w:r w:rsidR="009128E9">
        <w:t xml:space="preserve"> </w:t>
      </w:r>
      <w:r w:rsidRPr="001E2AC5">
        <w:t xml:space="preserve">This justification should include the reasons why the agency considers the questions necessary, the specific uses to be made of the information, the explanation to be given to </w:t>
      </w:r>
      <w:r w:rsidRPr="001E2AC5">
        <w:t>persons</w:t>
      </w:r>
      <w:r w:rsidRPr="001E2AC5">
        <w:t xml:space="preserve"> from whom the information is requested, and any steps to be taken to obtain their consent.</w:t>
      </w:r>
    </w:p>
    <w:p w:rsidR="000A5919" w:rsidRPr="009D7FA2" w:rsidP="007427A1" w14:paraId="7200B125" w14:textId="77777777">
      <w:pPr>
        <w:autoSpaceDE w:val="0"/>
        <w:autoSpaceDN w:val="0"/>
        <w:ind w:left="720"/>
      </w:pPr>
    </w:p>
    <w:p w:rsidR="00CD1B53" w:rsidRPr="009D7FA2" w:rsidP="007427A1" w14:paraId="1A444B5E" w14:textId="7E9E3D67">
      <w:pPr>
        <w:autoSpaceDE w:val="0"/>
        <w:autoSpaceDN w:val="0"/>
        <w:ind w:left="720"/>
      </w:pPr>
      <w:r w:rsidRPr="00CD1B53">
        <w:t xml:space="preserve">There are no questions of a sensitive nature. </w:t>
      </w:r>
    </w:p>
    <w:p w:rsidR="000A5919" w:rsidRPr="009D7FA2" w:rsidP="007427A1" w14:paraId="42E1E489" w14:textId="77777777">
      <w:pPr>
        <w:autoSpaceDE w:val="0"/>
        <w:autoSpaceDN w:val="0"/>
        <w:ind w:left="720"/>
      </w:pPr>
    </w:p>
    <w:p w:rsidR="00FC7C55" w:rsidRPr="00A10642" w:rsidP="008A681F" w14:paraId="5089FEC9" w14:textId="35F523ED">
      <w:pPr>
        <w:pStyle w:val="Heading3"/>
      </w:pPr>
      <w:bookmarkStart w:id="3" w:name="_Hlk125027446"/>
      <w:r w:rsidRPr="00A10642">
        <w:t>Provide estimates of the hour burden of the collection of information.</w:t>
      </w:r>
      <w:r w:rsidR="009128E9">
        <w:t xml:space="preserve"> </w:t>
      </w:r>
      <w:r w:rsidRPr="00A10642">
        <w:t>The statement should: </w:t>
      </w:r>
    </w:p>
    <w:p w:rsidR="00FC7C55" w:rsidRPr="002A05ED" w:rsidP="002A05ED" w14:paraId="59005543" w14:textId="296262BE">
      <w:pPr>
        <w:numPr>
          <w:ilvl w:val="0"/>
          <w:numId w:val="15"/>
        </w:numPr>
        <w:tabs>
          <w:tab w:val="left" w:pos="-1440"/>
          <w:tab w:val="clear" w:pos="720"/>
          <w:tab w:val="num" w:pos="1440"/>
        </w:tabs>
        <w:ind w:left="1440"/>
        <w:rPr>
          <w:b/>
          <w:bCs/>
        </w:rPr>
      </w:pPr>
      <w:r w:rsidRPr="002A05ED">
        <w:rPr>
          <w:b/>
          <w:bCs/>
        </w:rPr>
        <w:t>Indicate the number of respondents, frequency of response, annual hour burden, and an explanation of how the burden was estimated.</w:t>
      </w:r>
      <w:r w:rsidRPr="002A05ED" w:rsidR="009128E9">
        <w:rPr>
          <w:b/>
          <w:bCs/>
        </w:rPr>
        <w:t xml:space="preserve"> </w:t>
      </w:r>
      <w:r w:rsidRPr="002A05ED">
        <w:rPr>
          <w:b/>
          <w:bCs/>
        </w:rPr>
        <w:t>Unless directed to do so, agencies should not conduct special surveys to obtain information on which to base hour burden estimates.</w:t>
      </w:r>
      <w:r w:rsidRPr="002A05ED" w:rsidR="009128E9">
        <w:rPr>
          <w:b/>
          <w:bCs/>
        </w:rPr>
        <w:t xml:space="preserve"> </w:t>
      </w:r>
      <w:r w:rsidRPr="002A05ED">
        <w:rPr>
          <w:b/>
          <w:bCs/>
        </w:rPr>
        <w:t>Consultation with a sample (fewer than 10) of potential respondents is desirable.</w:t>
      </w:r>
      <w:r w:rsidRPr="002A05ED" w:rsidR="009128E9">
        <w:rPr>
          <w:b/>
          <w:bCs/>
        </w:rPr>
        <w:t xml:space="preserve"> </w:t>
      </w:r>
      <w:r w:rsidRPr="002A05ED">
        <w:rPr>
          <w:b/>
          <w:bCs/>
        </w:rPr>
        <w:t>If the hour burden on respondents is expected to vary widely because of differences in activity, size, or complexity, show the range of estimated hour burden, and explain the reasons for the variance.</w:t>
      </w:r>
      <w:r w:rsidRPr="002A05ED" w:rsidR="009128E9">
        <w:rPr>
          <w:b/>
          <w:bCs/>
        </w:rPr>
        <w:t xml:space="preserve"> </w:t>
      </w:r>
      <w:r w:rsidRPr="002A05ED">
        <w:rPr>
          <w:b/>
          <w:bCs/>
        </w:rPr>
        <w:t>General</w:t>
      </w:r>
      <w:r w:rsidRPr="002A05ED">
        <w:rPr>
          <w:b/>
          <w:bCs/>
        </w:rPr>
        <w:t>, estimates should not include burden hours for customary and usual business practices. </w:t>
      </w:r>
    </w:p>
    <w:p w:rsidR="00FC7C55" w:rsidRPr="00A10642" w:rsidP="00FC7C55" w14:paraId="7CD3C8EC" w14:textId="77777777">
      <w:pPr>
        <w:numPr>
          <w:ilvl w:val="0"/>
          <w:numId w:val="15"/>
        </w:numPr>
        <w:tabs>
          <w:tab w:val="left" w:pos="-1440"/>
          <w:tab w:val="clear" w:pos="720"/>
          <w:tab w:val="num" w:pos="1440"/>
        </w:tabs>
        <w:ind w:left="1440"/>
        <w:rPr>
          <w:b/>
          <w:bCs/>
        </w:rPr>
      </w:pPr>
      <w:r w:rsidRPr="00A10642">
        <w:rPr>
          <w:b/>
          <w:bCs/>
        </w:rPr>
        <w:t>If this request for approval covers more than one form, provide separate hour burden estimates for each form. </w:t>
      </w:r>
    </w:p>
    <w:p w:rsidR="00FC7C55" w:rsidRPr="00A10642" w:rsidP="00FC7C55" w14:paraId="63D000EA" w14:textId="63BA934E">
      <w:pPr>
        <w:numPr>
          <w:ilvl w:val="0"/>
          <w:numId w:val="16"/>
        </w:numPr>
        <w:tabs>
          <w:tab w:val="left" w:pos="-1440"/>
          <w:tab w:val="clear" w:pos="720"/>
          <w:tab w:val="num" w:pos="1440"/>
        </w:tabs>
        <w:ind w:left="1440"/>
        <w:rPr>
          <w:b/>
          <w:bCs/>
        </w:rPr>
      </w:pPr>
      <w:r w:rsidRPr="00A10642">
        <w:rPr>
          <w:b/>
          <w:bCs/>
        </w:rPr>
        <w:t>Provide estimates of annualized cost to respondents for the hour burdens for collections of information, identifying and using appropriate wage rate categories.</w:t>
      </w:r>
      <w:r w:rsidR="009128E9">
        <w:rPr>
          <w:b/>
          <w:bCs/>
        </w:rPr>
        <w:t xml:space="preserve"> </w:t>
      </w:r>
      <w:r w:rsidRPr="00A10642">
        <w:rPr>
          <w:b/>
          <w:bCs/>
        </w:rPr>
        <w:t>The cost of contracting out or paying outside parties for information collection activities should not be included here.</w:t>
      </w:r>
      <w:r w:rsidR="009128E9">
        <w:rPr>
          <w:b/>
          <w:bCs/>
        </w:rPr>
        <w:t xml:space="preserve"> </w:t>
      </w:r>
      <w:r w:rsidRPr="00A10642">
        <w:rPr>
          <w:b/>
          <w:bCs/>
        </w:rPr>
        <w:t>Instead, this cost should be included in Item 14. </w:t>
      </w:r>
    </w:p>
    <w:bookmarkEnd w:id="3"/>
    <w:p w:rsidR="000A5919" w:rsidP="00E44B39" w14:paraId="139545ED" w14:textId="77777777">
      <w:pPr>
        <w:autoSpaceDE w:val="0"/>
        <w:autoSpaceDN w:val="0"/>
        <w:ind w:left="720"/>
      </w:pPr>
    </w:p>
    <w:p w:rsidR="00891922" w:rsidP="00713DE4" w14:paraId="15C80AFC" w14:textId="58A0F632">
      <w:pPr>
        <w:ind w:left="720"/>
      </w:pPr>
      <w:r>
        <w:t xml:space="preserve">The Department’s proposal and safe harbor </w:t>
      </w:r>
      <w:r w:rsidR="00CD06E4">
        <w:t>provides</w:t>
      </w:r>
      <w:r w:rsidR="00CD06E4">
        <w:t xml:space="preserve"> examples </w:t>
      </w:r>
      <w:r w:rsidR="00413991">
        <w:t>for how</w:t>
      </w:r>
      <w:r w:rsidR="00CD06E4">
        <w:t xml:space="preserve"> </w:t>
      </w:r>
      <w:r>
        <w:t xml:space="preserve">plan fiduciaries </w:t>
      </w:r>
      <w:r w:rsidR="00413991">
        <w:t>can</w:t>
      </w:r>
      <w:r>
        <w:t xml:space="preserve"> satisfy the consideration and determination requirements for certain factors by obtaining </w:t>
      </w:r>
      <w:r w:rsidRPr="007B5740">
        <w:t>written representation</w:t>
      </w:r>
      <w:r>
        <w:t>s</w:t>
      </w:r>
      <w:r w:rsidRPr="007B5740">
        <w:t xml:space="preserve"> from a person responsible for managing the designated investment alternative and then reading and critically reviewing the representations</w:t>
      </w:r>
      <w:r>
        <w:t xml:space="preserve">, </w:t>
      </w:r>
      <w:r w:rsidRPr="007B5740">
        <w:t>consulting a qualified professional if necessary</w:t>
      </w:r>
      <w:r>
        <w:t xml:space="preserve">. This is particularly true in cases where the </w:t>
      </w:r>
      <w:r w:rsidR="00F000EC">
        <w:t xml:space="preserve">plan </w:t>
      </w:r>
      <w:r>
        <w:t xml:space="preserve">fiduciary is considering information related to the liquidity or valuation of assets in the investment option being considered. </w:t>
      </w:r>
    </w:p>
    <w:p w:rsidR="00891922" w:rsidP="00713DE4" w14:paraId="77D2F5F1" w14:textId="77777777">
      <w:pPr>
        <w:ind w:left="720"/>
      </w:pPr>
    </w:p>
    <w:p w:rsidR="00385776" w:rsidP="00713DE4" w14:paraId="3ADCB3FD" w14:textId="721EA0F2">
      <w:pPr>
        <w:ind w:left="720"/>
      </w:pPr>
      <w:r>
        <w:t>W</w:t>
      </w:r>
      <w:r w:rsidR="002F3A63">
        <w:t xml:space="preserve">hile there are other avenues for </w:t>
      </w:r>
      <w:r w:rsidR="00891922">
        <w:t xml:space="preserve">the </w:t>
      </w:r>
      <w:r w:rsidR="002F3A63">
        <w:t xml:space="preserve">inclusion </w:t>
      </w:r>
      <w:r w:rsidR="00891922">
        <w:t xml:space="preserve">of alternative assets </w:t>
      </w:r>
      <w:r w:rsidR="002F3A63">
        <w:t>in defined contribution plans, the most likely method is by including them in target date funds or managed accounts.</w:t>
      </w:r>
    </w:p>
    <w:p w:rsidR="00D93BC9" w:rsidP="00713DE4" w14:paraId="3B79E187" w14:textId="77777777">
      <w:pPr>
        <w:ind w:left="720"/>
      </w:pPr>
    </w:p>
    <w:p w:rsidR="00D93BC9" w:rsidP="00713DE4" w14:paraId="6B80E234" w14:textId="3B53653A">
      <w:pPr>
        <w:ind w:left="720"/>
      </w:pPr>
      <w:r>
        <w:t xml:space="preserve">In 2023 there were approximately </w:t>
      </w:r>
      <w:r w:rsidRPr="00E20C81">
        <w:t>721,000</w:t>
      </w:r>
      <w:r>
        <w:t xml:space="preserve"> participant-directed individual account plans</w:t>
      </w:r>
      <w:r w:rsidR="00970088">
        <w:t>,</w:t>
      </w:r>
      <w:r>
        <w:rPr>
          <w:rStyle w:val="FootnoteReference"/>
        </w:rPr>
        <w:footnoteReference w:id="6"/>
      </w:r>
      <w:r>
        <w:t xml:space="preserve"> </w:t>
      </w:r>
      <w:r w:rsidR="00970088">
        <w:t>of which t</w:t>
      </w:r>
      <w:r>
        <w:t xml:space="preserve">he Department estimates approximately </w:t>
      </w:r>
      <w:r w:rsidR="00412F22">
        <w:t>47,333</w:t>
      </w:r>
      <w:r>
        <w:t xml:space="preserve"> </w:t>
      </w:r>
      <w:r w:rsidR="0066627F">
        <w:t xml:space="preserve">plans would add </w:t>
      </w:r>
      <w:r>
        <w:t xml:space="preserve">new target date series with alternative investments to </w:t>
      </w:r>
      <w:r w:rsidR="0066627F">
        <w:t xml:space="preserve">their </w:t>
      </w:r>
      <w:r>
        <w:t>plan menus.</w:t>
      </w:r>
      <w:r>
        <w:rPr>
          <w:rStyle w:val="FootnoteReference"/>
        </w:rPr>
        <w:footnoteReference w:id="7"/>
      </w:r>
      <w:r>
        <w:t xml:space="preserve"> </w:t>
      </w:r>
      <w:r w:rsidR="00AA4A07">
        <w:t xml:space="preserve">Since some plans adopting these target date funds with alternative investments are anticipated to add multiple series, the </w:t>
      </w:r>
      <w:r w:rsidR="006E5FB9">
        <w:t>D</w:t>
      </w:r>
      <w:r w:rsidR="00AA4A07">
        <w:t>epartment estimates that an estimated 51,307 funds would be added each year</w:t>
      </w:r>
      <w:r w:rsidR="006E5FB9">
        <w:t>.</w:t>
      </w:r>
      <w:r>
        <w:rPr>
          <w:rStyle w:val="FootnoteReference"/>
        </w:rPr>
        <w:footnoteReference w:id="8"/>
      </w:r>
    </w:p>
    <w:p w:rsidR="00385776" w:rsidP="00713DE4" w14:paraId="3BAB3D07" w14:textId="77777777">
      <w:pPr>
        <w:ind w:left="720"/>
      </w:pPr>
    </w:p>
    <w:p w:rsidR="002F3A63" w:rsidP="00713DE4" w14:paraId="594C141C" w14:textId="2A3B7CEB">
      <w:pPr>
        <w:tabs>
          <w:tab w:val="left" w:pos="720"/>
        </w:tabs>
        <w:ind w:left="720"/>
      </w:pPr>
      <w:r>
        <w:t xml:space="preserve">The Department also assumes that roughly half the time the investment options considered will </w:t>
      </w:r>
      <w:r w:rsidR="0073106A">
        <w:t xml:space="preserve">provide </w:t>
      </w:r>
      <w:r>
        <w:t xml:space="preserve">additional </w:t>
      </w:r>
      <w:r w:rsidR="0073106A">
        <w:t>written</w:t>
      </w:r>
      <w:r>
        <w:t xml:space="preserve"> information to ensure qualification for the safe harbor. The Department assumes that the analysis and communication would be </w:t>
      </w:r>
      <w:r>
        <w:t>similar to</w:t>
      </w:r>
      <w:r>
        <w:t xml:space="preserve"> current practices; however, a service provider would spend an additional 15 minutes gathering and organizing the pertinent information and then electronically send the information to the plan</w:t>
      </w:r>
      <w:r w:rsidR="005C5D3F">
        <w:t>.</w:t>
      </w:r>
      <w:r w:rsidR="00F80D9F">
        <w:t xml:space="preserve"> </w:t>
      </w:r>
      <w:r>
        <w:t xml:space="preserve">This results in an annual estimated cost of approximately $1.1 million. The estimation process of this potential annual cost is shown in Table </w:t>
      </w:r>
      <w:r w:rsidR="001D6FEC">
        <w:t>1</w:t>
      </w:r>
      <w:r>
        <w:t xml:space="preserve">. </w:t>
      </w:r>
    </w:p>
    <w:p w:rsidR="002F3A63" w:rsidRPr="00A51544" w:rsidP="002F3A63" w14:paraId="56AC64B1" w14:textId="77777777">
      <w:pPr>
        <w:keepNext/>
        <w:tabs>
          <w:tab w:val="left" w:pos="720"/>
        </w:tabs>
      </w:pPr>
    </w:p>
    <w:tbl>
      <w:tblPr>
        <w:tblStyle w:val="TableGrid"/>
        <w:tblW w:w="10532" w:type="dxa"/>
        <w:jc w:val="center"/>
        <w:tblBorders>
          <w:top w:val="none" w:sz="0" w:space="0" w:color="auto"/>
          <w:left w:val="none" w:sz="0" w:space="0" w:color="auto"/>
          <w:bottom w:val="none" w:sz="0" w:space="0" w:color="auto"/>
          <w:right w:val="none" w:sz="0" w:space="0" w:color="auto"/>
        </w:tblBorders>
        <w:tblLayout w:type="fixed"/>
        <w:tblLook w:val="04A0"/>
      </w:tblPr>
      <w:tblGrid>
        <w:gridCol w:w="1803"/>
        <w:gridCol w:w="1403"/>
        <w:gridCol w:w="1322"/>
        <w:gridCol w:w="1296"/>
        <w:gridCol w:w="1696"/>
        <w:gridCol w:w="1300"/>
        <w:gridCol w:w="1712"/>
      </w:tblGrid>
      <w:tr w14:paraId="3F58C00D" w14:textId="77777777" w:rsidTr="001D4D7B">
        <w:tblPrEx>
          <w:tblW w:w="10532" w:type="dxa"/>
          <w:jc w:val="center"/>
          <w:tblBorders>
            <w:top w:val="none" w:sz="0" w:space="0" w:color="auto"/>
            <w:left w:val="none" w:sz="0" w:space="0" w:color="auto"/>
            <w:bottom w:val="none" w:sz="0" w:space="0" w:color="auto"/>
            <w:right w:val="none" w:sz="0" w:space="0" w:color="auto"/>
          </w:tblBorders>
          <w:tblLayout w:type="fixed"/>
          <w:tblLook w:val="04A0"/>
        </w:tblPrEx>
        <w:trPr>
          <w:trHeight w:val="261"/>
          <w:tblHeader/>
          <w:jc w:val="center"/>
        </w:trPr>
        <w:tc>
          <w:tcPr>
            <w:tcW w:w="10532" w:type="dxa"/>
            <w:gridSpan w:val="7"/>
            <w:tcBorders>
              <w:bottom w:val="single" w:sz="12" w:space="0" w:color="auto"/>
            </w:tcBorders>
          </w:tcPr>
          <w:p w:rsidR="002F3A63" w:rsidRPr="00CA1AEA" w14:paraId="2E9FB112" w14:textId="16F98645">
            <w:pPr>
              <w:pStyle w:val="Table"/>
              <w:rPr>
                <w:rFonts w:cs="Times New Roman"/>
                <w:szCs w:val="24"/>
              </w:rPr>
            </w:pPr>
            <w:r w:rsidRPr="004B5464">
              <w:rPr>
                <w:szCs w:val="24"/>
              </w:rPr>
              <w:t xml:space="preserve">TABLE </w:t>
            </w:r>
            <w:r w:rsidRPr="004B5464" w:rsidR="002533D4">
              <w:rPr>
                <w:szCs w:val="24"/>
              </w:rPr>
              <w:t>1</w:t>
            </w:r>
            <w:r w:rsidRPr="004B5464">
              <w:rPr>
                <w:szCs w:val="24"/>
              </w:rPr>
              <w:t>.—</w:t>
            </w:r>
            <w:r w:rsidRPr="004B5464">
              <w:rPr>
                <w:i/>
                <w:iCs/>
                <w:szCs w:val="24"/>
              </w:rPr>
              <w:t>Estimate</w:t>
            </w:r>
            <w:r w:rsidRPr="002F3A63">
              <w:rPr>
                <w:i/>
                <w:iCs/>
                <w:szCs w:val="24"/>
              </w:rPr>
              <w:t xml:space="preserve"> of Change in Annual Documentation Costs</w:t>
            </w:r>
          </w:p>
        </w:tc>
      </w:tr>
      <w:tr w14:paraId="6366EAC3" w14:textId="77777777" w:rsidTr="00B03960">
        <w:tblPrEx>
          <w:tblW w:w="10532" w:type="dxa"/>
          <w:jc w:val="center"/>
          <w:tblLayout w:type="fixed"/>
          <w:tblLook w:val="04A0"/>
        </w:tblPrEx>
        <w:trPr>
          <w:trHeight w:val="1414"/>
          <w:tblHeader/>
          <w:jc w:val="center"/>
        </w:trPr>
        <w:tc>
          <w:tcPr>
            <w:tcW w:w="1803" w:type="dxa"/>
            <w:tcBorders>
              <w:top w:val="single" w:sz="12" w:space="0" w:color="auto"/>
            </w:tcBorders>
            <w:vAlign w:val="center"/>
          </w:tcPr>
          <w:p w:rsidR="002F3A63" w:rsidRPr="00CA1AEA" w:rsidP="00B03960" w14:paraId="4ACC9B9F" w14:textId="77777777">
            <w:pPr>
              <w:pStyle w:val="Table"/>
              <w:jc w:val="center"/>
              <w:rPr>
                <w:rFonts w:cs="Times New Roman"/>
                <w:szCs w:val="24"/>
              </w:rPr>
            </w:pPr>
            <w:r w:rsidRPr="00CA1AEA">
              <w:rPr>
                <w:szCs w:val="24"/>
              </w:rPr>
              <w:t>Professional Completing Action</w:t>
            </w:r>
          </w:p>
        </w:tc>
        <w:tc>
          <w:tcPr>
            <w:tcW w:w="1403" w:type="dxa"/>
            <w:tcBorders>
              <w:top w:val="single" w:sz="12" w:space="0" w:color="auto"/>
            </w:tcBorders>
            <w:vAlign w:val="center"/>
          </w:tcPr>
          <w:p w:rsidR="002F3A63" w:rsidRPr="00CA1AEA" w:rsidP="00B03960" w14:paraId="267B07FE" w14:textId="77777777">
            <w:pPr>
              <w:pStyle w:val="Table"/>
              <w:jc w:val="center"/>
              <w:rPr>
                <w:rFonts w:cs="Times New Roman"/>
                <w:szCs w:val="24"/>
              </w:rPr>
            </w:pPr>
            <w:r w:rsidRPr="00CA1AEA">
              <w:rPr>
                <w:szCs w:val="24"/>
              </w:rPr>
              <w:t>Hourly Cost of Professional</w:t>
            </w:r>
          </w:p>
        </w:tc>
        <w:tc>
          <w:tcPr>
            <w:tcW w:w="1322" w:type="dxa"/>
            <w:tcBorders>
              <w:top w:val="single" w:sz="12" w:space="0" w:color="auto"/>
            </w:tcBorders>
            <w:vAlign w:val="center"/>
          </w:tcPr>
          <w:p w:rsidR="002F3A63" w:rsidRPr="00CA1AEA" w:rsidP="00B03960" w14:paraId="58EE5DF5" w14:textId="77777777">
            <w:pPr>
              <w:pStyle w:val="Table"/>
              <w:jc w:val="center"/>
              <w:rPr>
                <w:rFonts w:cs="Times New Roman"/>
                <w:szCs w:val="24"/>
              </w:rPr>
            </w:pPr>
            <w:r w:rsidRPr="00CA1AEA">
              <w:rPr>
                <w:szCs w:val="24"/>
              </w:rPr>
              <w:t>Time per Occurrence</w:t>
            </w:r>
            <w:r w:rsidRPr="00CA1AEA">
              <w:rPr>
                <w:szCs w:val="24"/>
              </w:rPr>
              <w:br/>
              <w:t>(Hours)</w:t>
            </w:r>
          </w:p>
        </w:tc>
        <w:tc>
          <w:tcPr>
            <w:tcW w:w="1296" w:type="dxa"/>
            <w:tcBorders>
              <w:top w:val="single" w:sz="12" w:space="0" w:color="auto"/>
            </w:tcBorders>
            <w:vAlign w:val="center"/>
          </w:tcPr>
          <w:p w:rsidR="002F3A63" w:rsidRPr="00CA1AEA" w:rsidP="00B03960" w14:paraId="4B97732B" w14:textId="77777777">
            <w:pPr>
              <w:pStyle w:val="Table"/>
              <w:jc w:val="center"/>
              <w:rPr>
                <w:rFonts w:cs="Times New Roman"/>
                <w:szCs w:val="24"/>
              </w:rPr>
            </w:pPr>
            <w:r w:rsidRPr="00CA1AEA">
              <w:rPr>
                <w:szCs w:val="24"/>
              </w:rPr>
              <w:t>Participant Directed DC Plans Selecting a TDF with Alternative Assets</w:t>
            </w:r>
          </w:p>
        </w:tc>
        <w:tc>
          <w:tcPr>
            <w:tcW w:w="1696" w:type="dxa"/>
            <w:tcBorders>
              <w:top w:val="single" w:sz="12" w:space="0" w:color="auto"/>
            </w:tcBorders>
            <w:vAlign w:val="center"/>
          </w:tcPr>
          <w:p w:rsidR="002F3A63" w:rsidRPr="00CA1AEA" w:rsidP="00B03960" w14:paraId="0C2A196F" w14:textId="77777777">
            <w:pPr>
              <w:pStyle w:val="Table"/>
              <w:jc w:val="center"/>
              <w:rPr>
                <w:rFonts w:cs="Times New Roman"/>
                <w:szCs w:val="24"/>
              </w:rPr>
            </w:pPr>
            <w:r w:rsidRPr="00CA1AEA">
              <w:rPr>
                <w:szCs w:val="24"/>
              </w:rPr>
              <w:t>Proportion Requesting Additional Documentation</w:t>
            </w:r>
          </w:p>
        </w:tc>
        <w:tc>
          <w:tcPr>
            <w:tcW w:w="1300" w:type="dxa"/>
            <w:tcBorders>
              <w:top w:val="single" w:sz="12" w:space="0" w:color="auto"/>
            </w:tcBorders>
            <w:vAlign w:val="center"/>
          </w:tcPr>
          <w:p w:rsidR="002F3A63" w:rsidRPr="00CA1AEA" w:rsidP="00B03960" w14:paraId="461E5E83" w14:textId="77777777">
            <w:pPr>
              <w:pStyle w:val="Table"/>
              <w:jc w:val="center"/>
              <w:rPr>
                <w:rFonts w:cs="Times New Roman"/>
                <w:szCs w:val="24"/>
              </w:rPr>
            </w:pPr>
            <w:r w:rsidRPr="00CA1AEA">
              <w:rPr>
                <w:szCs w:val="24"/>
              </w:rPr>
              <w:t>Number of Plans Requiring Additional Documentation from Service Provider</w:t>
            </w:r>
          </w:p>
        </w:tc>
        <w:tc>
          <w:tcPr>
            <w:tcW w:w="1712" w:type="dxa"/>
            <w:tcBorders>
              <w:top w:val="single" w:sz="12" w:space="0" w:color="auto"/>
            </w:tcBorders>
            <w:vAlign w:val="center"/>
          </w:tcPr>
          <w:p w:rsidR="002F3A63" w:rsidRPr="00CA1AEA" w:rsidP="00B03960" w14:paraId="161CA15B" w14:textId="77777777">
            <w:pPr>
              <w:pStyle w:val="Table"/>
              <w:jc w:val="center"/>
              <w:rPr>
                <w:rFonts w:cs="Times New Roman"/>
                <w:szCs w:val="24"/>
              </w:rPr>
            </w:pPr>
            <w:r w:rsidRPr="00CA1AEA">
              <w:rPr>
                <w:szCs w:val="24"/>
              </w:rPr>
              <w:t>Total Cost</w:t>
            </w:r>
          </w:p>
        </w:tc>
      </w:tr>
      <w:tr w14:paraId="1EB6EDD2" w14:textId="77777777" w:rsidTr="000B7BA9">
        <w:tblPrEx>
          <w:tblW w:w="10532" w:type="dxa"/>
          <w:jc w:val="center"/>
          <w:tblLayout w:type="fixed"/>
          <w:tblLook w:val="04A0"/>
        </w:tblPrEx>
        <w:trPr>
          <w:trHeight w:val="517"/>
          <w:jc w:val="center"/>
        </w:trPr>
        <w:tc>
          <w:tcPr>
            <w:tcW w:w="1803" w:type="dxa"/>
            <w:tcBorders>
              <w:bottom w:val="single" w:sz="4" w:space="0" w:color="auto"/>
            </w:tcBorders>
            <w:vAlign w:val="center"/>
          </w:tcPr>
          <w:p w:rsidR="002F3A63" w:rsidRPr="00CA1AEA" w14:paraId="7E491859" w14:textId="77777777">
            <w:pPr>
              <w:pStyle w:val="Table"/>
              <w:rPr>
                <w:szCs w:val="24"/>
              </w:rPr>
            </w:pPr>
          </w:p>
        </w:tc>
        <w:tc>
          <w:tcPr>
            <w:tcW w:w="1403" w:type="dxa"/>
            <w:tcBorders>
              <w:bottom w:val="single" w:sz="4" w:space="0" w:color="auto"/>
            </w:tcBorders>
            <w:vAlign w:val="center"/>
          </w:tcPr>
          <w:p w:rsidR="002F3A63" w:rsidRPr="00CA1AEA" w:rsidP="00BA1E01" w14:paraId="5538028B" w14:textId="77777777">
            <w:pPr>
              <w:pStyle w:val="Table"/>
              <w:jc w:val="center"/>
              <w:rPr>
                <w:rFonts w:cs="Times New Roman"/>
                <w:szCs w:val="24"/>
              </w:rPr>
            </w:pPr>
            <w:r w:rsidRPr="00CA1AEA">
              <w:rPr>
                <w:szCs w:val="24"/>
              </w:rPr>
              <w:t>(a)</w:t>
            </w:r>
          </w:p>
        </w:tc>
        <w:tc>
          <w:tcPr>
            <w:tcW w:w="1322" w:type="dxa"/>
            <w:tcBorders>
              <w:bottom w:val="single" w:sz="4" w:space="0" w:color="auto"/>
            </w:tcBorders>
            <w:vAlign w:val="center"/>
          </w:tcPr>
          <w:p w:rsidR="002F3A63" w:rsidRPr="00CA1AEA" w:rsidP="00BA1E01" w14:paraId="60C68435" w14:textId="77777777">
            <w:pPr>
              <w:pStyle w:val="Table"/>
              <w:jc w:val="center"/>
              <w:rPr>
                <w:rFonts w:cs="Times New Roman"/>
                <w:szCs w:val="24"/>
              </w:rPr>
            </w:pPr>
            <w:r w:rsidRPr="00CA1AEA">
              <w:rPr>
                <w:szCs w:val="24"/>
              </w:rPr>
              <w:t>(b)</w:t>
            </w:r>
          </w:p>
        </w:tc>
        <w:tc>
          <w:tcPr>
            <w:tcW w:w="1296" w:type="dxa"/>
            <w:tcBorders>
              <w:bottom w:val="single" w:sz="4" w:space="0" w:color="auto"/>
            </w:tcBorders>
            <w:vAlign w:val="center"/>
          </w:tcPr>
          <w:p w:rsidR="002F3A63" w:rsidRPr="00CA1AEA" w:rsidP="00BA1E01" w14:paraId="3ACACCCE" w14:textId="77777777">
            <w:pPr>
              <w:pStyle w:val="Table"/>
              <w:jc w:val="center"/>
              <w:rPr>
                <w:rFonts w:cs="Times New Roman"/>
                <w:szCs w:val="24"/>
              </w:rPr>
            </w:pPr>
            <w:r w:rsidRPr="00CA1AEA">
              <w:rPr>
                <w:szCs w:val="24"/>
              </w:rPr>
              <w:t>(c)</w:t>
            </w:r>
          </w:p>
        </w:tc>
        <w:tc>
          <w:tcPr>
            <w:tcW w:w="1696" w:type="dxa"/>
            <w:tcBorders>
              <w:bottom w:val="single" w:sz="4" w:space="0" w:color="auto"/>
            </w:tcBorders>
            <w:vAlign w:val="center"/>
          </w:tcPr>
          <w:p w:rsidR="002F3A63" w:rsidRPr="00CA1AEA" w:rsidP="00BA1E01" w14:paraId="111FD5BA" w14:textId="77777777">
            <w:pPr>
              <w:pStyle w:val="Table"/>
              <w:jc w:val="center"/>
              <w:rPr>
                <w:rFonts w:cs="Times New Roman"/>
                <w:szCs w:val="24"/>
              </w:rPr>
            </w:pPr>
            <w:r w:rsidRPr="00CA1AEA">
              <w:rPr>
                <w:szCs w:val="24"/>
              </w:rPr>
              <w:t>(d)</w:t>
            </w:r>
          </w:p>
        </w:tc>
        <w:tc>
          <w:tcPr>
            <w:tcW w:w="1300" w:type="dxa"/>
            <w:tcBorders>
              <w:bottom w:val="single" w:sz="4" w:space="0" w:color="auto"/>
            </w:tcBorders>
            <w:vAlign w:val="center"/>
          </w:tcPr>
          <w:p w:rsidR="002F3A63" w:rsidRPr="00CA1AEA" w:rsidP="00BA1E01" w14:paraId="0D5700B6" w14:textId="77777777">
            <w:pPr>
              <w:pStyle w:val="Table"/>
              <w:jc w:val="center"/>
              <w:rPr>
                <w:rFonts w:cs="Times New Roman"/>
                <w:szCs w:val="24"/>
              </w:rPr>
            </w:pPr>
            <w:r w:rsidRPr="00CA1AEA">
              <w:rPr>
                <w:szCs w:val="24"/>
              </w:rPr>
              <w:t>(c x d) = e</w:t>
            </w:r>
          </w:p>
        </w:tc>
        <w:tc>
          <w:tcPr>
            <w:tcW w:w="1712" w:type="dxa"/>
            <w:tcBorders>
              <w:bottom w:val="single" w:sz="4" w:space="0" w:color="auto"/>
            </w:tcBorders>
            <w:vAlign w:val="center"/>
          </w:tcPr>
          <w:p w:rsidR="002F3A63" w:rsidRPr="00CA1AEA" w:rsidP="00BA1E01" w14:paraId="5DC30C2C" w14:textId="77777777">
            <w:pPr>
              <w:pStyle w:val="Table"/>
              <w:jc w:val="center"/>
              <w:rPr>
                <w:rFonts w:cs="Times New Roman"/>
                <w:szCs w:val="24"/>
              </w:rPr>
            </w:pPr>
            <w:r w:rsidRPr="00CA1AEA">
              <w:rPr>
                <w:szCs w:val="24"/>
              </w:rPr>
              <w:t>(a x b x e) = f</w:t>
            </w:r>
          </w:p>
        </w:tc>
      </w:tr>
      <w:tr w14:paraId="3AFA89CC" w14:textId="77777777" w:rsidTr="00B03960">
        <w:tblPrEx>
          <w:tblW w:w="10532" w:type="dxa"/>
          <w:jc w:val="center"/>
          <w:tblLayout w:type="fixed"/>
          <w:tblLook w:val="04A0"/>
        </w:tblPrEx>
        <w:trPr>
          <w:trHeight w:val="625"/>
          <w:jc w:val="center"/>
        </w:trPr>
        <w:tc>
          <w:tcPr>
            <w:tcW w:w="1803" w:type="dxa"/>
            <w:tcBorders>
              <w:top w:val="single" w:sz="4" w:space="0" w:color="auto"/>
              <w:bottom w:val="single" w:sz="12" w:space="0" w:color="auto"/>
            </w:tcBorders>
            <w:vAlign w:val="center"/>
          </w:tcPr>
          <w:p w:rsidR="002F3A63" w:rsidRPr="00CA1AEA" w14:paraId="6ACE521A" w14:textId="77777777">
            <w:pPr>
              <w:pStyle w:val="Table"/>
              <w:rPr>
                <w:rFonts w:cs="Times New Roman"/>
                <w:szCs w:val="24"/>
              </w:rPr>
            </w:pPr>
            <w:r w:rsidRPr="00CA1AEA">
              <w:rPr>
                <w:szCs w:val="24"/>
              </w:rPr>
              <w:t>Financial Analyst/Adviser</w:t>
            </w:r>
          </w:p>
        </w:tc>
        <w:tc>
          <w:tcPr>
            <w:tcW w:w="1403" w:type="dxa"/>
            <w:tcBorders>
              <w:top w:val="single" w:sz="4" w:space="0" w:color="auto"/>
              <w:bottom w:val="single" w:sz="12" w:space="0" w:color="auto"/>
            </w:tcBorders>
            <w:vAlign w:val="center"/>
          </w:tcPr>
          <w:p w:rsidR="002F3A63" w:rsidRPr="00CA1AEA" w:rsidP="00BA1E01" w14:paraId="08308DDC" w14:textId="36EFEEC1">
            <w:pPr>
              <w:pStyle w:val="Table"/>
              <w:jc w:val="center"/>
              <w:rPr>
                <w:rFonts w:cs="Times New Roman"/>
                <w:szCs w:val="24"/>
              </w:rPr>
            </w:pPr>
            <w:r w:rsidRPr="00CA1AEA">
              <w:rPr>
                <w:szCs w:val="24"/>
              </w:rPr>
              <w:t>$192.09</w:t>
            </w:r>
            <w:r w:rsidR="00EA6B94">
              <w:rPr>
                <w:szCs w:val="24"/>
              </w:rPr>
              <w:t xml:space="preserve"> </w:t>
            </w:r>
            <w:r w:rsidRPr="00EA6B94" w:rsidR="00EA6B94">
              <w:rPr>
                <w:szCs w:val="24"/>
                <w:vertAlign w:val="superscript"/>
              </w:rPr>
              <w:t>1</w:t>
            </w:r>
          </w:p>
        </w:tc>
        <w:tc>
          <w:tcPr>
            <w:tcW w:w="1322" w:type="dxa"/>
            <w:tcBorders>
              <w:top w:val="single" w:sz="4" w:space="0" w:color="auto"/>
              <w:bottom w:val="single" w:sz="12" w:space="0" w:color="auto"/>
            </w:tcBorders>
            <w:vAlign w:val="center"/>
          </w:tcPr>
          <w:p w:rsidR="002F3A63" w:rsidRPr="00CA1AEA" w:rsidP="00BA1E01" w14:paraId="49BEDF4D" w14:textId="4CFEAA07">
            <w:pPr>
              <w:pStyle w:val="Table"/>
              <w:jc w:val="center"/>
              <w:rPr>
                <w:rFonts w:cs="Times New Roman"/>
                <w:szCs w:val="24"/>
              </w:rPr>
            </w:pPr>
            <w:r w:rsidRPr="00CA1AEA">
              <w:rPr>
                <w:szCs w:val="24"/>
              </w:rPr>
              <w:t>1/4</w:t>
            </w:r>
          </w:p>
        </w:tc>
        <w:tc>
          <w:tcPr>
            <w:tcW w:w="1296" w:type="dxa"/>
            <w:tcBorders>
              <w:top w:val="single" w:sz="4" w:space="0" w:color="auto"/>
              <w:bottom w:val="single" w:sz="12" w:space="0" w:color="auto"/>
            </w:tcBorders>
            <w:vAlign w:val="center"/>
          </w:tcPr>
          <w:p w:rsidR="002F3A63" w:rsidRPr="00CA1AEA" w:rsidP="00BA1E01" w14:paraId="3A897785" w14:textId="77777777">
            <w:pPr>
              <w:pStyle w:val="Table"/>
              <w:jc w:val="center"/>
              <w:rPr>
                <w:rFonts w:cs="Times New Roman"/>
                <w:szCs w:val="24"/>
              </w:rPr>
            </w:pPr>
            <w:r w:rsidRPr="00CA1AEA">
              <w:rPr>
                <w:szCs w:val="24"/>
              </w:rPr>
              <w:t>47,333</w:t>
            </w:r>
          </w:p>
        </w:tc>
        <w:tc>
          <w:tcPr>
            <w:tcW w:w="1696" w:type="dxa"/>
            <w:tcBorders>
              <w:top w:val="single" w:sz="4" w:space="0" w:color="auto"/>
              <w:bottom w:val="single" w:sz="12" w:space="0" w:color="auto"/>
            </w:tcBorders>
            <w:vAlign w:val="center"/>
          </w:tcPr>
          <w:p w:rsidR="002F3A63" w:rsidRPr="00CA1AEA" w:rsidP="00BA1E01" w14:paraId="46BB0E65" w14:textId="77777777">
            <w:pPr>
              <w:pStyle w:val="Table"/>
              <w:jc w:val="center"/>
              <w:rPr>
                <w:rFonts w:cs="Times New Roman"/>
                <w:szCs w:val="24"/>
              </w:rPr>
            </w:pPr>
            <w:r w:rsidRPr="00CA1AEA">
              <w:rPr>
                <w:szCs w:val="24"/>
              </w:rPr>
              <w:t>50%</w:t>
            </w:r>
          </w:p>
        </w:tc>
        <w:tc>
          <w:tcPr>
            <w:tcW w:w="1300" w:type="dxa"/>
            <w:tcBorders>
              <w:top w:val="single" w:sz="4" w:space="0" w:color="auto"/>
              <w:bottom w:val="single" w:sz="12" w:space="0" w:color="auto"/>
            </w:tcBorders>
            <w:vAlign w:val="center"/>
          </w:tcPr>
          <w:p w:rsidR="002F3A63" w:rsidRPr="00CA1AEA" w:rsidP="00BA1E01" w14:paraId="112413CF" w14:textId="77777777">
            <w:pPr>
              <w:pStyle w:val="Table"/>
              <w:jc w:val="center"/>
              <w:rPr>
                <w:rFonts w:cs="Times New Roman"/>
                <w:szCs w:val="24"/>
              </w:rPr>
            </w:pPr>
            <w:r w:rsidRPr="00CA1AEA">
              <w:rPr>
                <w:szCs w:val="24"/>
              </w:rPr>
              <w:t>23,667</w:t>
            </w:r>
          </w:p>
        </w:tc>
        <w:tc>
          <w:tcPr>
            <w:tcW w:w="1712" w:type="dxa"/>
            <w:tcBorders>
              <w:top w:val="single" w:sz="4" w:space="0" w:color="auto"/>
              <w:bottom w:val="single" w:sz="12" w:space="0" w:color="auto"/>
            </w:tcBorders>
            <w:vAlign w:val="center"/>
          </w:tcPr>
          <w:p w:rsidR="002F3A63" w:rsidRPr="00CA1AEA" w:rsidP="00BA1E01" w14:paraId="30189AE1" w14:textId="77777777">
            <w:pPr>
              <w:pStyle w:val="Table"/>
              <w:jc w:val="center"/>
              <w:rPr>
                <w:rFonts w:cs="Times New Roman"/>
                <w:szCs w:val="24"/>
              </w:rPr>
            </w:pPr>
            <w:r w:rsidRPr="00CA1AEA">
              <w:rPr>
                <w:szCs w:val="24"/>
              </w:rPr>
              <w:t>$1,136,525</w:t>
            </w:r>
          </w:p>
        </w:tc>
      </w:tr>
    </w:tbl>
    <w:p w:rsidR="002F3A63" w:rsidP="005C4496" w14:paraId="38852BB4" w14:textId="0F9E6872">
      <w:pPr>
        <w:pBdr>
          <w:bottom w:val="single" w:sz="6" w:space="1" w:color="auto"/>
        </w:pBdr>
        <w:ind w:left="-540"/>
        <w:rPr>
          <w:sz w:val="20"/>
          <w:szCs w:val="20"/>
        </w:rPr>
      </w:pPr>
      <w:r w:rsidRPr="005C4496">
        <w:rPr>
          <w:sz w:val="20"/>
          <w:szCs w:val="20"/>
          <w:vertAlign w:val="superscript"/>
        </w:rPr>
        <w:t>1</w:t>
      </w:r>
      <w:r w:rsidRPr="005C4496">
        <w:rPr>
          <w:sz w:val="20"/>
          <w:szCs w:val="20"/>
        </w:rPr>
        <w:t xml:space="preserve"> Department calculation based on 2024 labor cost data and adjusted for inflation to reflect 2025 wages. For a description of the Department’s methodology for calculating wage rates, see Employee Benefits Security Administration, </w:t>
      </w:r>
      <w:r w:rsidRPr="005C4496">
        <w:rPr>
          <w:i/>
          <w:iCs/>
          <w:sz w:val="20"/>
          <w:szCs w:val="20"/>
        </w:rPr>
        <w:t>Labor Cost Inputs Used in the Employee Benefits Security Administration, Office of Policy and Research’s Regulatory Impact Analyses and Paperwork Reduction Act Burden Calculations,</w:t>
      </w:r>
      <w:r w:rsidRPr="005C4496">
        <w:rPr>
          <w:sz w:val="20"/>
          <w:szCs w:val="20"/>
        </w:rPr>
        <w:t xml:space="preserve"> Employee Benefits Security Administration</w:t>
      </w:r>
      <w:r w:rsidRPr="005C4496">
        <w:rPr>
          <w:i/>
          <w:iCs/>
          <w:sz w:val="20"/>
          <w:szCs w:val="20"/>
        </w:rPr>
        <w:t xml:space="preserve">, </w:t>
      </w:r>
      <w:r w:rsidRPr="005C4496">
        <w:rPr>
          <w:sz w:val="20"/>
          <w:szCs w:val="20"/>
        </w:rPr>
        <w:t>https://www.dol.gov/sites/dolgov/files/EBSA/laws-and-regulations/rules-and-regulations/technical-appendices/labor-cost-inputs-used-in-ebsa-opr-ria-and-pra-burden-calculations-june-2019.pdf.</w:t>
      </w:r>
    </w:p>
    <w:p w:rsidR="005C4496" w:rsidRPr="005C4496" w:rsidP="005C4496" w14:paraId="58FCEBC4" w14:textId="77777777">
      <w:pPr>
        <w:ind w:left="-540"/>
        <w:rPr>
          <w:sz w:val="20"/>
          <w:szCs w:val="20"/>
        </w:rPr>
      </w:pPr>
    </w:p>
    <w:p w:rsidR="00284610" w14:paraId="2506C7D8" w14:textId="0F8978B2">
      <w:pPr>
        <w:rPr>
          <w:b/>
        </w:rPr>
      </w:pPr>
    </w:p>
    <w:p w:rsidR="00512E8F" w:rsidP="00D25542" w14:paraId="0C263E0E" w14:textId="17C10A49">
      <w:pPr>
        <w:keepNext/>
        <w:autoSpaceDE w:val="0"/>
        <w:autoSpaceDN w:val="0"/>
        <w:ind w:left="-1170"/>
        <w:rPr>
          <w:sz w:val="22"/>
          <w:szCs w:val="22"/>
        </w:rPr>
      </w:pPr>
      <w:r w:rsidRPr="004A117C">
        <w:t xml:space="preserve">TABLE </w:t>
      </w:r>
      <w:r w:rsidR="00C732F1">
        <w:t>2</w:t>
      </w:r>
      <w:r w:rsidRPr="004A117C">
        <w:t>.—</w:t>
      </w:r>
      <w:r w:rsidRPr="009F4537" w:rsidR="007E180E">
        <w:rPr>
          <w:i/>
          <w:iCs/>
        </w:rPr>
        <w:t>Estimated Annualized Respondent Hour Burden and Equivalent Cost</w:t>
      </w:r>
      <w:r w:rsidRPr="009F4537" w:rsidR="00047BBB">
        <w:rPr>
          <w:i/>
          <w:iCs/>
        </w:rPr>
        <w:t xml:space="preserve"> of Hour Burden</w:t>
      </w:r>
    </w:p>
    <w:tbl>
      <w:tblPr>
        <w:tblW w:w="11448" w:type="dxa"/>
        <w:tblInd w:w="-1180" w:type="dxa"/>
        <w:tblLayout w:type="fixed"/>
        <w:tblLook w:val="04A0"/>
      </w:tblPr>
      <w:tblGrid>
        <w:gridCol w:w="2520"/>
        <w:gridCol w:w="1584"/>
        <w:gridCol w:w="1440"/>
        <w:gridCol w:w="1296"/>
        <w:gridCol w:w="1152"/>
        <w:gridCol w:w="1080"/>
        <w:gridCol w:w="1008"/>
        <w:gridCol w:w="1368"/>
      </w:tblGrid>
      <w:tr w14:paraId="704ED897" w14:textId="77777777" w:rsidTr="00D25542">
        <w:tblPrEx>
          <w:tblW w:w="11448" w:type="dxa"/>
          <w:tblInd w:w="-1180" w:type="dxa"/>
          <w:tblLayout w:type="fixed"/>
          <w:tblLook w:val="04A0"/>
        </w:tblPrEx>
        <w:trPr>
          <w:trHeight w:val="276"/>
          <w:tblHeader/>
        </w:trPr>
        <w:tc>
          <w:tcPr>
            <w:tcW w:w="2520" w:type="dxa"/>
            <w:vMerge w:val="restart"/>
            <w:tcBorders>
              <w:top w:val="single" w:sz="8" w:space="0" w:color="auto"/>
              <w:left w:val="single" w:sz="8" w:space="0" w:color="auto"/>
              <w:bottom w:val="single" w:sz="8" w:space="0" w:color="000000"/>
              <w:right w:val="nil"/>
            </w:tcBorders>
            <w:shd w:val="clear" w:color="000000" w:fill="ACB9CA"/>
            <w:vAlign w:val="center"/>
            <w:hideMark/>
          </w:tcPr>
          <w:p w:rsidR="00043D55" w:rsidRPr="00D25542" w:rsidP="00D25542" w14:paraId="275CB789" w14:textId="66F2D019">
            <w:pPr>
              <w:keepNext/>
              <w:jc w:val="center"/>
              <w:rPr>
                <w:b/>
                <w:bCs/>
                <w:color w:val="000000"/>
              </w:rPr>
            </w:pPr>
            <w:r w:rsidRPr="00D25542">
              <w:rPr>
                <w:b/>
                <w:bCs/>
                <w:color w:val="000000"/>
              </w:rPr>
              <w:t> Activities</w:t>
            </w:r>
          </w:p>
        </w:tc>
        <w:tc>
          <w:tcPr>
            <w:tcW w:w="1584"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D25542" w:rsidP="00BA1E01" w14:paraId="2AF9D93D" w14:textId="77777777">
            <w:pPr>
              <w:keepNext/>
              <w:jc w:val="center"/>
              <w:rPr>
                <w:b/>
                <w:bCs/>
                <w:color w:val="000000"/>
              </w:rPr>
            </w:pPr>
            <w:r w:rsidRPr="00D25542">
              <w:rPr>
                <w:b/>
                <w:bCs/>
                <w:color w:val="000000"/>
              </w:rPr>
              <w:t>No. of Respondents</w:t>
            </w:r>
          </w:p>
        </w:tc>
        <w:tc>
          <w:tcPr>
            <w:tcW w:w="1440" w:type="dxa"/>
            <w:vMerge w:val="restart"/>
            <w:tcBorders>
              <w:top w:val="single" w:sz="8" w:space="0" w:color="auto"/>
              <w:left w:val="nil"/>
              <w:bottom w:val="single" w:sz="8" w:space="0" w:color="000000"/>
              <w:right w:val="nil"/>
            </w:tcBorders>
            <w:shd w:val="clear" w:color="000000" w:fill="ACB9CA"/>
            <w:vAlign w:val="center"/>
            <w:hideMark/>
          </w:tcPr>
          <w:p w:rsidR="00043D55" w:rsidRPr="00D25542" w:rsidP="00BA1E01" w14:paraId="4E0FC42A" w14:textId="77777777">
            <w:pPr>
              <w:keepNext/>
              <w:jc w:val="center"/>
              <w:rPr>
                <w:b/>
                <w:bCs/>
                <w:color w:val="000000"/>
              </w:rPr>
            </w:pPr>
            <w:r w:rsidRPr="00D25542">
              <w:rPr>
                <w:b/>
                <w:bCs/>
                <w:color w:val="000000"/>
              </w:rPr>
              <w:t>No. of Responses per Respondent</w:t>
            </w:r>
          </w:p>
        </w:tc>
        <w:tc>
          <w:tcPr>
            <w:tcW w:w="1296" w:type="dxa"/>
            <w:vMerge w:val="restart"/>
            <w:tcBorders>
              <w:top w:val="single" w:sz="8" w:space="0" w:color="auto"/>
              <w:left w:val="single" w:sz="4" w:space="0" w:color="auto"/>
              <w:bottom w:val="single" w:sz="8" w:space="0" w:color="000000"/>
              <w:right w:val="nil"/>
            </w:tcBorders>
            <w:shd w:val="clear" w:color="000000" w:fill="ACB9CA"/>
            <w:vAlign w:val="center"/>
            <w:hideMark/>
          </w:tcPr>
          <w:p w:rsidR="00043D55" w:rsidRPr="00D25542" w:rsidP="00BA1E01" w14:paraId="4DE55247" w14:textId="77777777">
            <w:pPr>
              <w:keepNext/>
              <w:jc w:val="center"/>
              <w:rPr>
                <w:b/>
                <w:bCs/>
                <w:color w:val="000000"/>
              </w:rPr>
            </w:pPr>
            <w:r w:rsidRPr="00D25542">
              <w:rPr>
                <w:b/>
                <w:bCs/>
                <w:color w:val="000000"/>
              </w:rPr>
              <w:t>Total Responses</w:t>
            </w:r>
          </w:p>
        </w:tc>
        <w:tc>
          <w:tcPr>
            <w:tcW w:w="1152"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D25542" w:rsidP="00BA1E01" w14:paraId="71925185" w14:textId="60CD99C5">
            <w:pPr>
              <w:keepNext/>
              <w:jc w:val="center"/>
              <w:rPr>
                <w:b/>
                <w:bCs/>
                <w:color w:val="000000"/>
              </w:rPr>
            </w:pPr>
            <w:r w:rsidRPr="00D25542">
              <w:rPr>
                <w:b/>
                <w:bCs/>
                <w:color w:val="000000"/>
              </w:rPr>
              <w:t>Average Burden (Hours)</w:t>
            </w:r>
          </w:p>
        </w:tc>
        <w:tc>
          <w:tcPr>
            <w:tcW w:w="108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D25542" w:rsidP="00BA1E01" w14:paraId="154E5275" w14:textId="77777777">
            <w:pPr>
              <w:keepNext/>
              <w:jc w:val="center"/>
              <w:rPr>
                <w:b/>
                <w:bCs/>
                <w:color w:val="000000"/>
              </w:rPr>
            </w:pPr>
            <w:r w:rsidRPr="00D25542">
              <w:rPr>
                <w:b/>
                <w:bCs/>
                <w:color w:val="000000"/>
              </w:rPr>
              <w:t>Total Burden (Hours)</w:t>
            </w:r>
          </w:p>
        </w:tc>
        <w:tc>
          <w:tcPr>
            <w:tcW w:w="1008"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043D55" w:rsidRPr="00D25542" w:rsidP="00BA1E01" w14:paraId="78BDFEC9" w14:textId="4A91027E">
            <w:pPr>
              <w:keepNext/>
              <w:jc w:val="center"/>
              <w:rPr>
                <w:b/>
                <w:bCs/>
                <w:color w:val="000000"/>
              </w:rPr>
            </w:pPr>
            <w:r w:rsidRPr="00D25542">
              <w:rPr>
                <w:b/>
                <w:bCs/>
                <w:color w:val="000000"/>
              </w:rPr>
              <w:t>Wage Rates</w:t>
            </w:r>
          </w:p>
        </w:tc>
        <w:tc>
          <w:tcPr>
            <w:tcW w:w="1368" w:type="dxa"/>
            <w:vMerge w:val="restart"/>
            <w:tcBorders>
              <w:top w:val="single" w:sz="8" w:space="0" w:color="auto"/>
              <w:left w:val="nil"/>
              <w:bottom w:val="single" w:sz="8" w:space="0" w:color="000000"/>
              <w:right w:val="single" w:sz="8" w:space="0" w:color="auto"/>
            </w:tcBorders>
            <w:shd w:val="clear" w:color="000000" w:fill="ACB9CA"/>
            <w:vAlign w:val="center"/>
            <w:hideMark/>
          </w:tcPr>
          <w:p w:rsidR="00043D55" w:rsidRPr="00D25542" w:rsidP="00BA1E01" w14:paraId="2BE44C46" w14:textId="38197324">
            <w:pPr>
              <w:keepNext/>
              <w:jc w:val="center"/>
              <w:rPr>
                <w:b/>
                <w:bCs/>
                <w:color w:val="000000"/>
              </w:rPr>
            </w:pPr>
            <w:r w:rsidRPr="00D25542">
              <w:rPr>
                <w:b/>
                <w:bCs/>
                <w:color w:val="000000"/>
              </w:rPr>
              <w:t>Equivalent Cost</w:t>
            </w:r>
            <w:r w:rsidRPr="00D25542" w:rsidR="00047BBB">
              <w:rPr>
                <w:b/>
                <w:bCs/>
                <w:color w:val="000000"/>
              </w:rPr>
              <w:t xml:space="preserve"> of Hour Burden</w:t>
            </w:r>
          </w:p>
        </w:tc>
      </w:tr>
      <w:tr w14:paraId="4F39968C" w14:textId="77777777" w:rsidTr="00D25542">
        <w:tblPrEx>
          <w:tblW w:w="11448" w:type="dxa"/>
          <w:tblInd w:w="-1180" w:type="dxa"/>
          <w:tblLayout w:type="fixed"/>
          <w:tblLook w:val="04A0"/>
        </w:tblPrEx>
        <w:trPr>
          <w:trHeight w:val="276"/>
        </w:trPr>
        <w:tc>
          <w:tcPr>
            <w:tcW w:w="2520" w:type="dxa"/>
            <w:vMerge/>
            <w:tcBorders>
              <w:top w:val="single" w:sz="8" w:space="0" w:color="auto"/>
              <w:left w:val="single" w:sz="8" w:space="0" w:color="auto"/>
              <w:bottom w:val="single" w:sz="8" w:space="0" w:color="000000"/>
              <w:right w:val="nil"/>
            </w:tcBorders>
            <w:vAlign w:val="center"/>
            <w:hideMark/>
          </w:tcPr>
          <w:p w:rsidR="00043D55" w:rsidRPr="00D25542" w:rsidP="00D25542" w14:paraId="1BD81DC8" w14:textId="77777777">
            <w:pPr>
              <w:keepNext/>
              <w:rPr>
                <w:b/>
                <w:bCs/>
                <w:color w:val="000000"/>
              </w:rPr>
            </w:pPr>
          </w:p>
        </w:tc>
        <w:tc>
          <w:tcPr>
            <w:tcW w:w="1584"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4CFB3E1F" w14:textId="77777777">
            <w:pPr>
              <w:keepNext/>
              <w:jc w:val="center"/>
              <w:rPr>
                <w:b/>
                <w:bCs/>
                <w:color w:val="000000"/>
              </w:rPr>
            </w:pPr>
          </w:p>
        </w:tc>
        <w:tc>
          <w:tcPr>
            <w:tcW w:w="1440" w:type="dxa"/>
            <w:vMerge/>
            <w:tcBorders>
              <w:top w:val="single" w:sz="8" w:space="0" w:color="auto"/>
              <w:left w:val="nil"/>
              <w:bottom w:val="single" w:sz="8" w:space="0" w:color="000000"/>
              <w:right w:val="nil"/>
            </w:tcBorders>
            <w:vAlign w:val="center"/>
            <w:hideMark/>
          </w:tcPr>
          <w:p w:rsidR="00043D55" w:rsidRPr="00D25542" w:rsidP="00BA1E01" w14:paraId="5D8B1B81" w14:textId="77777777">
            <w:pPr>
              <w:keepNext/>
              <w:jc w:val="center"/>
              <w:rPr>
                <w:b/>
                <w:bCs/>
                <w:color w:val="000000"/>
              </w:rPr>
            </w:pPr>
          </w:p>
        </w:tc>
        <w:tc>
          <w:tcPr>
            <w:tcW w:w="1296" w:type="dxa"/>
            <w:vMerge/>
            <w:tcBorders>
              <w:top w:val="single" w:sz="8" w:space="0" w:color="auto"/>
              <w:left w:val="single" w:sz="4" w:space="0" w:color="auto"/>
              <w:bottom w:val="single" w:sz="8" w:space="0" w:color="000000"/>
              <w:right w:val="nil"/>
            </w:tcBorders>
            <w:vAlign w:val="center"/>
            <w:hideMark/>
          </w:tcPr>
          <w:p w:rsidR="00043D55" w:rsidRPr="00D25542" w:rsidP="00BA1E01" w14:paraId="3CAB0173" w14:textId="77777777">
            <w:pPr>
              <w:keepNext/>
              <w:jc w:val="center"/>
              <w:rPr>
                <w:b/>
                <w:bCs/>
                <w:color w:val="000000"/>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07636D9A" w14:textId="77777777">
            <w:pPr>
              <w:keepNext/>
              <w:jc w:val="center"/>
              <w:rPr>
                <w:b/>
                <w:bCs/>
                <w:color w:val="000000"/>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0C7051BD" w14:textId="77777777">
            <w:pPr>
              <w:keepNext/>
              <w:jc w:val="center"/>
              <w:rPr>
                <w:b/>
                <w:bCs/>
                <w:color w:val="000000"/>
              </w:rPr>
            </w:pPr>
          </w:p>
        </w:tc>
        <w:tc>
          <w:tcPr>
            <w:tcW w:w="1008"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4BFC7A41" w14:textId="77777777">
            <w:pPr>
              <w:keepNext/>
              <w:jc w:val="center"/>
              <w:rPr>
                <w:b/>
                <w:bCs/>
                <w:color w:val="000000"/>
              </w:rPr>
            </w:pPr>
          </w:p>
        </w:tc>
        <w:tc>
          <w:tcPr>
            <w:tcW w:w="1368" w:type="dxa"/>
            <w:vMerge/>
            <w:tcBorders>
              <w:top w:val="single" w:sz="8" w:space="0" w:color="auto"/>
              <w:left w:val="nil"/>
              <w:bottom w:val="single" w:sz="8" w:space="0" w:color="000000"/>
              <w:right w:val="single" w:sz="8" w:space="0" w:color="auto"/>
            </w:tcBorders>
            <w:vAlign w:val="center"/>
            <w:hideMark/>
          </w:tcPr>
          <w:p w:rsidR="00043D55" w:rsidRPr="00D25542" w:rsidP="00BA1E01" w14:paraId="2FEAEB1A" w14:textId="77777777">
            <w:pPr>
              <w:keepNext/>
              <w:jc w:val="center"/>
              <w:rPr>
                <w:b/>
                <w:bCs/>
                <w:color w:val="000000"/>
              </w:rPr>
            </w:pPr>
          </w:p>
        </w:tc>
      </w:tr>
      <w:tr w14:paraId="44E45A03" w14:textId="77777777" w:rsidTr="00D25542">
        <w:tblPrEx>
          <w:tblW w:w="11448" w:type="dxa"/>
          <w:tblInd w:w="-1180" w:type="dxa"/>
          <w:tblLayout w:type="fixed"/>
          <w:tblLook w:val="04A0"/>
        </w:tblPrEx>
        <w:trPr>
          <w:trHeight w:val="276"/>
        </w:trPr>
        <w:tc>
          <w:tcPr>
            <w:tcW w:w="2520" w:type="dxa"/>
            <w:vMerge/>
            <w:tcBorders>
              <w:top w:val="single" w:sz="8" w:space="0" w:color="auto"/>
              <w:left w:val="single" w:sz="8" w:space="0" w:color="auto"/>
              <w:bottom w:val="single" w:sz="8" w:space="0" w:color="000000"/>
              <w:right w:val="nil"/>
            </w:tcBorders>
            <w:vAlign w:val="center"/>
            <w:hideMark/>
          </w:tcPr>
          <w:p w:rsidR="00043D55" w:rsidRPr="00D25542" w:rsidP="00D25542" w14:paraId="6F514F53" w14:textId="77777777">
            <w:pPr>
              <w:keepNext/>
              <w:rPr>
                <w:b/>
                <w:bCs/>
                <w:color w:val="000000"/>
              </w:rPr>
            </w:pPr>
          </w:p>
        </w:tc>
        <w:tc>
          <w:tcPr>
            <w:tcW w:w="1584"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1D5D1485" w14:textId="77777777">
            <w:pPr>
              <w:keepNext/>
              <w:jc w:val="center"/>
              <w:rPr>
                <w:b/>
                <w:bCs/>
                <w:color w:val="000000"/>
              </w:rPr>
            </w:pPr>
          </w:p>
        </w:tc>
        <w:tc>
          <w:tcPr>
            <w:tcW w:w="1440" w:type="dxa"/>
            <w:vMerge/>
            <w:tcBorders>
              <w:top w:val="single" w:sz="8" w:space="0" w:color="auto"/>
              <w:left w:val="nil"/>
              <w:bottom w:val="single" w:sz="8" w:space="0" w:color="000000"/>
              <w:right w:val="nil"/>
            </w:tcBorders>
            <w:vAlign w:val="center"/>
            <w:hideMark/>
          </w:tcPr>
          <w:p w:rsidR="00043D55" w:rsidRPr="00D25542" w:rsidP="00BA1E01" w14:paraId="16E9056A" w14:textId="77777777">
            <w:pPr>
              <w:keepNext/>
              <w:jc w:val="center"/>
              <w:rPr>
                <w:b/>
                <w:bCs/>
                <w:color w:val="000000"/>
              </w:rPr>
            </w:pPr>
          </w:p>
        </w:tc>
        <w:tc>
          <w:tcPr>
            <w:tcW w:w="1296" w:type="dxa"/>
            <w:vMerge/>
            <w:tcBorders>
              <w:top w:val="single" w:sz="8" w:space="0" w:color="auto"/>
              <w:left w:val="single" w:sz="4" w:space="0" w:color="auto"/>
              <w:bottom w:val="single" w:sz="8" w:space="0" w:color="000000"/>
              <w:right w:val="nil"/>
            </w:tcBorders>
            <w:vAlign w:val="center"/>
            <w:hideMark/>
          </w:tcPr>
          <w:p w:rsidR="00043D55" w:rsidRPr="00D25542" w:rsidP="00BA1E01" w14:paraId="048177D9" w14:textId="77777777">
            <w:pPr>
              <w:keepNext/>
              <w:jc w:val="center"/>
              <w:rPr>
                <w:b/>
                <w:bCs/>
                <w:color w:val="000000"/>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75DF661E" w14:textId="77777777">
            <w:pPr>
              <w:keepNext/>
              <w:jc w:val="center"/>
              <w:rPr>
                <w:b/>
                <w:bCs/>
                <w:color w:val="000000"/>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165D8623" w14:textId="77777777">
            <w:pPr>
              <w:keepNext/>
              <w:jc w:val="center"/>
              <w:rPr>
                <w:b/>
                <w:bCs/>
                <w:color w:val="000000"/>
              </w:rPr>
            </w:pPr>
          </w:p>
        </w:tc>
        <w:tc>
          <w:tcPr>
            <w:tcW w:w="1008" w:type="dxa"/>
            <w:vMerge/>
            <w:tcBorders>
              <w:top w:val="single" w:sz="8" w:space="0" w:color="auto"/>
              <w:left w:val="single" w:sz="4" w:space="0" w:color="auto"/>
              <w:bottom w:val="single" w:sz="8" w:space="0" w:color="000000"/>
              <w:right w:val="single" w:sz="4" w:space="0" w:color="auto"/>
            </w:tcBorders>
            <w:vAlign w:val="center"/>
            <w:hideMark/>
          </w:tcPr>
          <w:p w:rsidR="00043D55" w:rsidRPr="00D25542" w:rsidP="00BA1E01" w14:paraId="1CEF9C4C" w14:textId="77777777">
            <w:pPr>
              <w:keepNext/>
              <w:jc w:val="center"/>
              <w:rPr>
                <w:b/>
                <w:bCs/>
                <w:color w:val="000000"/>
              </w:rPr>
            </w:pPr>
          </w:p>
        </w:tc>
        <w:tc>
          <w:tcPr>
            <w:tcW w:w="1368" w:type="dxa"/>
            <w:vMerge/>
            <w:tcBorders>
              <w:top w:val="single" w:sz="8" w:space="0" w:color="auto"/>
              <w:left w:val="nil"/>
              <w:bottom w:val="single" w:sz="8" w:space="0" w:color="000000"/>
              <w:right w:val="single" w:sz="8" w:space="0" w:color="auto"/>
            </w:tcBorders>
            <w:vAlign w:val="center"/>
            <w:hideMark/>
          </w:tcPr>
          <w:p w:rsidR="00043D55" w:rsidRPr="00D25542" w:rsidP="00BA1E01" w14:paraId="2F4BD033" w14:textId="77777777">
            <w:pPr>
              <w:keepNext/>
              <w:jc w:val="center"/>
              <w:rPr>
                <w:b/>
                <w:bCs/>
                <w:color w:val="000000"/>
              </w:rPr>
            </w:pPr>
          </w:p>
        </w:tc>
      </w:tr>
      <w:tr w14:paraId="6449E22D" w14:textId="77777777" w:rsidTr="00D25542">
        <w:tblPrEx>
          <w:tblW w:w="11448" w:type="dxa"/>
          <w:tblInd w:w="-1180" w:type="dxa"/>
          <w:tblLayout w:type="fixed"/>
          <w:tblLook w:val="04A0"/>
        </w:tblPrEx>
        <w:trPr>
          <w:trHeight w:val="20"/>
        </w:trPr>
        <w:tc>
          <w:tcPr>
            <w:tcW w:w="2520" w:type="dxa"/>
            <w:tcBorders>
              <w:top w:val="nil"/>
              <w:left w:val="single" w:sz="4" w:space="0" w:color="auto"/>
              <w:bottom w:val="single" w:sz="4" w:space="0" w:color="auto"/>
              <w:right w:val="single" w:sz="4" w:space="0" w:color="auto"/>
            </w:tcBorders>
            <w:hideMark/>
          </w:tcPr>
          <w:p w:rsidR="00C65A38" w:rsidRPr="00D25542" w:rsidP="00D25542" w14:paraId="075E0E85" w14:textId="48EC23C5">
            <w:pPr>
              <w:keepNext/>
              <w:rPr>
                <w:color w:val="000000"/>
              </w:rPr>
            </w:pPr>
            <w:r w:rsidRPr="00D25542">
              <w:t>Individuals responsible for managing the designated investment alternative gather</w:t>
            </w:r>
            <w:r w:rsidRPr="00D25542" w:rsidR="004B5464">
              <w:t xml:space="preserve"> and organiz</w:t>
            </w:r>
            <w:r w:rsidRPr="00D25542">
              <w:t>e</w:t>
            </w:r>
            <w:r w:rsidRPr="00D25542" w:rsidR="004B5464">
              <w:t xml:space="preserve"> the pertinent information </w:t>
            </w:r>
            <w:r w:rsidRPr="00D25542">
              <w:t xml:space="preserve">for the written representation </w:t>
            </w:r>
            <w:r w:rsidRPr="00D25542" w:rsidR="004B5464">
              <w:t>and electronically send the information to the plan</w:t>
            </w:r>
          </w:p>
        </w:tc>
        <w:tc>
          <w:tcPr>
            <w:tcW w:w="1584" w:type="dxa"/>
            <w:tcBorders>
              <w:top w:val="nil"/>
              <w:left w:val="nil"/>
              <w:bottom w:val="single" w:sz="4" w:space="0" w:color="auto"/>
              <w:right w:val="single" w:sz="4" w:space="0" w:color="auto"/>
            </w:tcBorders>
            <w:noWrap/>
            <w:hideMark/>
          </w:tcPr>
          <w:p w:rsidR="00C65A38" w:rsidRPr="00D25542" w:rsidP="00BA1E01" w14:paraId="3E5FA73C" w14:textId="4B9CC8A0">
            <w:pPr>
              <w:keepNext/>
              <w:jc w:val="center"/>
              <w:rPr>
                <w:color w:val="000000"/>
                <w:vertAlign w:val="superscript"/>
              </w:rPr>
            </w:pPr>
            <w:r w:rsidRPr="00D25542">
              <w:t>23,667</w:t>
            </w:r>
            <w:r w:rsidRPr="00D25542" w:rsidR="00AF4117">
              <w:t xml:space="preserve"> </w:t>
            </w:r>
            <w:r w:rsidRPr="00D25542" w:rsidR="00AF4117">
              <w:rPr>
                <w:vertAlign w:val="superscript"/>
              </w:rPr>
              <w:t>1</w:t>
            </w:r>
          </w:p>
        </w:tc>
        <w:tc>
          <w:tcPr>
            <w:tcW w:w="1440" w:type="dxa"/>
            <w:tcBorders>
              <w:top w:val="nil"/>
              <w:left w:val="nil"/>
              <w:bottom w:val="single" w:sz="4" w:space="0" w:color="auto"/>
              <w:right w:val="single" w:sz="4" w:space="0" w:color="auto"/>
            </w:tcBorders>
            <w:hideMark/>
          </w:tcPr>
          <w:p w:rsidR="00C65A38" w:rsidRPr="00D25542" w:rsidP="00BA1E01" w14:paraId="769F74FF" w14:textId="4F41AEE7">
            <w:pPr>
              <w:keepNext/>
              <w:jc w:val="center"/>
              <w:rPr>
                <w:color w:val="000000"/>
              </w:rPr>
            </w:pPr>
            <w:r w:rsidRPr="00D25542">
              <w:t>1</w:t>
            </w:r>
          </w:p>
        </w:tc>
        <w:tc>
          <w:tcPr>
            <w:tcW w:w="1296" w:type="dxa"/>
            <w:tcBorders>
              <w:top w:val="nil"/>
              <w:left w:val="nil"/>
              <w:bottom w:val="single" w:sz="4" w:space="0" w:color="auto"/>
              <w:right w:val="single" w:sz="4" w:space="0" w:color="auto"/>
            </w:tcBorders>
            <w:hideMark/>
          </w:tcPr>
          <w:p w:rsidR="00C65A38" w:rsidRPr="00D25542" w:rsidP="00BA1E01" w14:paraId="5E58506C" w14:textId="1CEA9F28">
            <w:pPr>
              <w:keepNext/>
              <w:jc w:val="center"/>
              <w:rPr>
                <w:color w:val="000000"/>
              </w:rPr>
            </w:pPr>
            <w:r w:rsidRPr="00D25542">
              <w:t>23,667</w:t>
            </w:r>
          </w:p>
        </w:tc>
        <w:tc>
          <w:tcPr>
            <w:tcW w:w="1152" w:type="dxa"/>
            <w:tcBorders>
              <w:top w:val="nil"/>
              <w:left w:val="nil"/>
              <w:bottom w:val="single" w:sz="4" w:space="0" w:color="auto"/>
              <w:right w:val="single" w:sz="4" w:space="0" w:color="auto"/>
            </w:tcBorders>
            <w:hideMark/>
          </w:tcPr>
          <w:p w:rsidR="00C65A38" w:rsidRPr="00D25542" w:rsidP="00BA1E01" w14:paraId="7D122DC0" w14:textId="4362FDFA">
            <w:pPr>
              <w:keepNext/>
              <w:jc w:val="center"/>
              <w:rPr>
                <w:color w:val="000000"/>
              </w:rPr>
            </w:pPr>
            <w:r w:rsidRPr="00D25542">
              <w:t>15</w:t>
            </w:r>
            <w:r w:rsidRPr="00D25542">
              <w:t>/60</w:t>
            </w:r>
          </w:p>
        </w:tc>
        <w:tc>
          <w:tcPr>
            <w:tcW w:w="1080" w:type="dxa"/>
            <w:tcBorders>
              <w:top w:val="nil"/>
              <w:left w:val="nil"/>
              <w:bottom w:val="single" w:sz="4" w:space="0" w:color="auto"/>
              <w:right w:val="single" w:sz="4" w:space="0" w:color="auto"/>
            </w:tcBorders>
            <w:hideMark/>
          </w:tcPr>
          <w:p w:rsidR="00C65A38" w:rsidRPr="00D25542" w:rsidP="00BA1E01" w14:paraId="3D721BE1" w14:textId="0EB14783">
            <w:pPr>
              <w:keepNext/>
              <w:jc w:val="center"/>
              <w:rPr>
                <w:color w:val="000000"/>
              </w:rPr>
            </w:pPr>
            <w:r w:rsidRPr="00D25542">
              <w:t>5,917</w:t>
            </w:r>
          </w:p>
        </w:tc>
        <w:tc>
          <w:tcPr>
            <w:tcW w:w="1008" w:type="dxa"/>
            <w:tcBorders>
              <w:top w:val="nil"/>
              <w:left w:val="nil"/>
              <w:bottom w:val="single" w:sz="4" w:space="0" w:color="auto"/>
              <w:right w:val="single" w:sz="4" w:space="0" w:color="auto"/>
            </w:tcBorders>
            <w:hideMark/>
          </w:tcPr>
          <w:p w:rsidR="00C65A38" w:rsidRPr="00D25542" w:rsidP="00BA1E01" w14:paraId="5DA46DC3" w14:textId="47B627C0">
            <w:pPr>
              <w:keepNext/>
              <w:jc w:val="center"/>
              <w:rPr>
                <w:color w:val="000000"/>
              </w:rPr>
            </w:pPr>
            <w:r w:rsidRPr="00D25542">
              <w:t>$</w:t>
            </w:r>
            <w:r w:rsidRPr="00D25542" w:rsidR="00514278">
              <w:t>192.09</w:t>
            </w:r>
          </w:p>
        </w:tc>
        <w:tc>
          <w:tcPr>
            <w:tcW w:w="1368" w:type="dxa"/>
            <w:tcBorders>
              <w:top w:val="nil"/>
              <w:left w:val="nil"/>
              <w:bottom w:val="single" w:sz="4" w:space="0" w:color="auto"/>
              <w:right w:val="single" w:sz="4" w:space="0" w:color="auto"/>
            </w:tcBorders>
            <w:hideMark/>
          </w:tcPr>
          <w:p w:rsidR="00C65A38" w:rsidRPr="00D25542" w:rsidP="00BA1E01" w14:paraId="0813C8AE" w14:textId="0AD3BBB3">
            <w:pPr>
              <w:keepNext/>
              <w:jc w:val="center"/>
              <w:rPr>
                <w:color w:val="000000"/>
              </w:rPr>
            </w:pPr>
            <w:r w:rsidRPr="00D25542">
              <w:t>$</w:t>
            </w:r>
            <w:r w:rsidRPr="00D25542" w:rsidR="009B0A6A">
              <w:t>1,136,524</w:t>
            </w:r>
          </w:p>
        </w:tc>
      </w:tr>
      <w:tr w14:paraId="32A4A312" w14:textId="77777777" w:rsidTr="00D25542">
        <w:tblPrEx>
          <w:tblW w:w="11448" w:type="dxa"/>
          <w:tblInd w:w="-1180" w:type="dxa"/>
          <w:tblLayout w:type="fixed"/>
          <w:tblLook w:val="04A0"/>
        </w:tblPrEx>
        <w:trPr>
          <w:trHeight w:val="20"/>
        </w:trPr>
        <w:tc>
          <w:tcPr>
            <w:tcW w:w="2520" w:type="dxa"/>
            <w:tcBorders>
              <w:top w:val="nil"/>
              <w:left w:val="single" w:sz="4" w:space="0" w:color="auto"/>
              <w:bottom w:val="single" w:sz="4" w:space="0" w:color="auto"/>
              <w:right w:val="single" w:sz="4" w:space="0" w:color="auto"/>
            </w:tcBorders>
            <w:hideMark/>
          </w:tcPr>
          <w:p w:rsidR="00C65A38" w:rsidRPr="00D25542" w:rsidP="00D25542" w14:paraId="4DFF0C1E" w14:textId="57A58379">
            <w:pPr>
              <w:keepNext/>
              <w:rPr>
                <w:color w:val="000000"/>
              </w:rPr>
            </w:pPr>
            <w:r w:rsidRPr="00D25542">
              <w:t>Total</w:t>
            </w:r>
          </w:p>
        </w:tc>
        <w:tc>
          <w:tcPr>
            <w:tcW w:w="1584" w:type="dxa"/>
            <w:tcBorders>
              <w:top w:val="nil"/>
              <w:left w:val="nil"/>
              <w:bottom w:val="single" w:sz="4" w:space="0" w:color="auto"/>
              <w:right w:val="single" w:sz="4" w:space="0" w:color="auto"/>
            </w:tcBorders>
            <w:noWrap/>
            <w:hideMark/>
          </w:tcPr>
          <w:p w:rsidR="00C65A38" w:rsidRPr="00D25542" w:rsidP="00BA1E01" w14:paraId="4C80B9C2" w14:textId="5D2F44BB">
            <w:pPr>
              <w:keepNext/>
              <w:jc w:val="center"/>
              <w:rPr>
                <w:color w:val="000000"/>
              </w:rPr>
            </w:pPr>
            <w:r w:rsidRPr="00D25542">
              <w:t>23,667</w:t>
            </w:r>
          </w:p>
        </w:tc>
        <w:tc>
          <w:tcPr>
            <w:tcW w:w="1440" w:type="dxa"/>
            <w:tcBorders>
              <w:top w:val="nil"/>
              <w:left w:val="nil"/>
              <w:bottom w:val="single" w:sz="4" w:space="0" w:color="auto"/>
              <w:right w:val="single" w:sz="4" w:space="0" w:color="auto"/>
            </w:tcBorders>
            <w:hideMark/>
          </w:tcPr>
          <w:p w:rsidR="00C65A38" w:rsidRPr="00D25542" w:rsidP="00BA1E01" w14:paraId="01631FAC" w14:textId="2675C309">
            <w:pPr>
              <w:keepNext/>
              <w:jc w:val="center"/>
              <w:rPr>
                <w:color w:val="000000"/>
              </w:rPr>
            </w:pPr>
            <w:r w:rsidRPr="00D25542">
              <w:rPr>
                <w:color w:val="000000"/>
              </w:rPr>
              <w:t>1</w:t>
            </w:r>
          </w:p>
        </w:tc>
        <w:tc>
          <w:tcPr>
            <w:tcW w:w="1296" w:type="dxa"/>
            <w:tcBorders>
              <w:top w:val="nil"/>
              <w:left w:val="nil"/>
              <w:bottom w:val="single" w:sz="4" w:space="0" w:color="auto"/>
              <w:right w:val="single" w:sz="4" w:space="0" w:color="auto"/>
            </w:tcBorders>
            <w:noWrap/>
            <w:hideMark/>
          </w:tcPr>
          <w:p w:rsidR="00C65A38" w:rsidRPr="00D25542" w:rsidP="00BA1E01" w14:paraId="52C2B4F1" w14:textId="4A716CFD">
            <w:pPr>
              <w:keepNext/>
              <w:jc w:val="center"/>
              <w:rPr>
                <w:color w:val="000000"/>
              </w:rPr>
            </w:pPr>
            <w:r w:rsidRPr="00D25542">
              <w:t>23,</w:t>
            </w:r>
            <w:r w:rsidRPr="00D25542" w:rsidR="00E3696D">
              <w:t>667</w:t>
            </w:r>
          </w:p>
        </w:tc>
        <w:tc>
          <w:tcPr>
            <w:tcW w:w="1152" w:type="dxa"/>
            <w:tcBorders>
              <w:top w:val="nil"/>
              <w:left w:val="nil"/>
              <w:bottom w:val="single" w:sz="4" w:space="0" w:color="auto"/>
              <w:right w:val="single" w:sz="4" w:space="0" w:color="auto"/>
            </w:tcBorders>
            <w:shd w:val="clear" w:color="auto" w:fill="000000" w:themeFill="text1"/>
            <w:noWrap/>
            <w:hideMark/>
          </w:tcPr>
          <w:p w:rsidR="00C65A38" w:rsidRPr="00D25542" w:rsidP="00BA1E01" w14:paraId="12A468E2" w14:textId="2279663D">
            <w:pPr>
              <w:keepNext/>
              <w:jc w:val="center"/>
              <w:rPr>
                <w:color w:val="000000"/>
              </w:rPr>
            </w:pPr>
          </w:p>
        </w:tc>
        <w:tc>
          <w:tcPr>
            <w:tcW w:w="1080" w:type="dxa"/>
            <w:tcBorders>
              <w:top w:val="nil"/>
              <w:left w:val="nil"/>
              <w:bottom w:val="single" w:sz="4" w:space="0" w:color="auto"/>
              <w:right w:val="single" w:sz="4" w:space="0" w:color="auto"/>
            </w:tcBorders>
            <w:noWrap/>
            <w:hideMark/>
          </w:tcPr>
          <w:p w:rsidR="00C65A38" w:rsidRPr="00D25542" w:rsidP="00BA1E01" w14:paraId="4858512F" w14:textId="70AD2C99">
            <w:pPr>
              <w:keepNext/>
              <w:jc w:val="center"/>
              <w:rPr>
                <w:color w:val="000000"/>
              </w:rPr>
            </w:pPr>
            <w:r w:rsidRPr="00D25542">
              <w:t>5,917</w:t>
            </w:r>
          </w:p>
        </w:tc>
        <w:tc>
          <w:tcPr>
            <w:tcW w:w="1008" w:type="dxa"/>
            <w:tcBorders>
              <w:top w:val="nil"/>
              <w:left w:val="nil"/>
              <w:bottom w:val="single" w:sz="4" w:space="0" w:color="auto"/>
              <w:right w:val="single" w:sz="4" w:space="0" w:color="auto"/>
            </w:tcBorders>
            <w:shd w:val="clear" w:color="auto" w:fill="000000" w:themeFill="text1"/>
            <w:noWrap/>
            <w:hideMark/>
          </w:tcPr>
          <w:p w:rsidR="00C65A38" w:rsidRPr="00D25542" w:rsidP="00BA1E01" w14:paraId="7F2F62EB" w14:textId="00BF14CA">
            <w:pPr>
              <w:keepNext/>
              <w:jc w:val="center"/>
              <w:rPr>
                <w:color w:val="000000"/>
              </w:rPr>
            </w:pPr>
          </w:p>
        </w:tc>
        <w:tc>
          <w:tcPr>
            <w:tcW w:w="1368" w:type="dxa"/>
            <w:tcBorders>
              <w:top w:val="nil"/>
              <w:left w:val="nil"/>
              <w:bottom w:val="single" w:sz="4" w:space="0" w:color="auto"/>
              <w:right w:val="single" w:sz="4" w:space="0" w:color="auto"/>
            </w:tcBorders>
            <w:noWrap/>
            <w:hideMark/>
          </w:tcPr>
          <w:p w:rsidR="00C65A38" w:rsidRPr="00D25542" w:rsidP="00BA1E01" w14:paraId="57F2D252" w14:textId="2EC34F7B">
            <w:pPr>
              <w:keepNext/>
              <w:jc w:val="center"/>
              <w:rPr>
                <w:color w:val="000000"/>
              </w:rPr>
            </w:pPr>
            <w:r w:rsidRPr="00D25542">
              <w:t>$</w:t>
            </w:r>
            <w:r w:rsidRPr="00D25542" w:rsidR="008C2A0D">
              <w:t>1,136,524</w:t>
            </w:r>
          </w:p>
        </w:tc>
      </w:tr>
    </w:tbl>
    <w:p w:rsidR="00105EA5" w:rsidRPr="00D25542" w:rsidP="00D25542" w14:paraId="66278778" w14:textId="1DEB1E24">
      <w:pPr>
        <w:keepNext/>
        <w:pBdr>
          <w:bottom w:val="single" w:sz="6" w:space="1" w:color="auto"/>
        </w:pBdr>
        <w:ind w:left="-1170" w:right="-630"/>
        <w:rPr>
          <w:sz w:val="20"/>
          <w:szCs w:val="20"/>
        </w:rPr>
      </w:pPr>
      <w:r w:rsidRPr="00D25542">
        <w:rPr>
          <w:sz w:val="20"/>
          <w:szCs w:val="20"/>
          <w:vertAlign w:val="superscript"/>
        </w:rPr>
        <w:t>1</w:t>
      </w:r>
      <w:r w:rsidRPr="00D25542" w:rsidR="002A2BBF">
        <w:rPr>
          <w:sz w:val="20"/>
          <w:szCs w:val="20"/>
          <w:vertAlign w:val="superscript"/>
        </w:rPr>
        <w:t xml:space="preserve"> </w:t>
      </w:r>
      <w:r w:rsidRPr="00D25542" w:rsidR="0060553E">
        <w:rPr>
          <w:sz w:val="20"/>
          <w:szCs w:val="20"/>
          <w:vertAlign w:val="superscript"/>
        </w:rPr>
        <w:tab/>
      </w:r>
      <w:r w:rsidRPr="00D25542" w:rsidR="002A2BBF">
        <w:rPr>
          <w:sz w:val="20"/>
          <w:szCs w:val="20"/>
        </w:rPr>
        <w:t>The number of respondents is calculated as</w:t>
      </w:r>
      <w:r w:rsidRPr="00D25542" w:rsidR="0060553E">
        <w:rPr>
          <w:sz w:val="20"/>
          <w:szCs w:val="20"/>
        </w:rPr>
        <w:t xml:space="preserve">: </w:t>
      </w:r>
      <w:r w:rsidRPr="00D25542">
        <w:rPr>
          <w:sz w:val="20"/>
          <w:szCs w:val="20"/>
        </w:rPr>
        <w:t>47,333</w:t>
      </w:r>
      <w:r w:rsidRPr="00D25542" w:rsidR="00721559">
        <w:rPr>
          <w:sz w:val="20"/>
          <w:szCs w:val="20"/>
        </w:rPr>
        <w:t xml:space="preserve"> plans</w:t>
      </w:r>
      <w:r w:rsidRPr="00D25542">
        <w:rPr>
          <w:sz w:val="20"/>
          <w:szCs w:val="20"/>
        </w:rPr>
        <w:t xml:space="preserve"> </w:t>
      </w:r>
      <w:r w:rsidRPr="00D25542" w:rsidR="001C6FC5">
        <w:rPr>
          <w:sz w:val="20"/>
          <w:szCs w:val="20"/>
        </w:rPr>
        <w:t>× 50%</w:t>
      </w:r>
      <w:r w:rsidRPr="00D25542" w:rsidR="00721559">
        <w:rPr>
          <w:sz w:val="20"/>
          <w:szCs w:val="20"/>
        </w:rPr>
        <w:t>.</w:t>
      </w:r>
    </w:p>
    <w:p w:rsidR="00D25542" w:rsidRPr="00771C9A" w:rsidP="00105EA5" w14:paraId="0896CBB4" w14:textId="77777777">
      <w:pPr>
        <w:ind w:left="-990" w:right="-630"/>
        <w:rPr>
          <w:sz w:val="20"/>
          <w:szCs w:val="20"/>
          <w:highlight w:val="yellow"/>
        </w:rPr>
      </w:pPr>
    </w:p>
    <w:p w:rsidR="00440957" w:rsidRPr="009F4537" w:rsidP="009F4537" w14:paraId="3A7A2034" w14:textId="77777777">
      <w:pPr>
        <w:ind w:left="-1080" w:right="-630" w:hanging="180"/>
        <w:rPr>
          <w:sz w:val="20"/>
          <w:szCs w:val="20"/>
        </w:rPr>
      </w:pPr>
    </w:p>
    <w:p w:rsidR="00537D32" w:rsidP="00537D32" w14:paraId="26F044F4" w14:textId="77777777">
      <w:pPr>
        <w:rPr>
          <w:rFonts w:ascii="Calibri" w:hAnsi="Calibri" w:cs="Calibri"/>
          <w:sz w:val="22"/>
          <w:szCs w:val="22"/>
        </w:rPr>
      </w:pPr>
    </w:p>
    <w:p w:rsidR="00537D32" w:rsidRPr="00DB1164" w:rsidP="008A681F" w14:paraId="3D96E820" w14:textId="0B967596">
      <w:pPr>
        <w:pStyle w:val="Heading3"/>
      </w:pPr>
      <w:bookmarkStart w:id="4" w:name="_Hlk125027474"/>
      <w:r w:rsidRPr="00DB1164">
        <w:t>Provide an estimate of the total annual cost burden to respondents or recordkeepers resulting from the collection of information.</w:t>
      </w:r>
      <w:r w:rsidR="009128E9">
        <w:t xml:space="preserve"> </w:t>
      </w:r>
      <w:r w:rsidRPr="00DB1164">
        <w:t>(Do not include the cost of any hour burden shown in Items 12 and 14).</w:t>
      </w:r>
      <w:r w:rsidR="009128E9">
        <w:t xml:space="preserve"> </w:t>
      </w:r>
    </w:p>
    <w:p w:rsidR="00537D32" w:rsidRPr="00537D32" w:rsidP="00537D32" w14:paraId="57CFF30B" w14:textId="1527CB3C">
      <w:pPr>
        <w:numPr>
          <w:ilvl w:val="0"/>
          <w:numId w:val="17"/>
        </w:numPr>
        <w:tabs>
          <w:tab w:val="clear" w:pos="720"/>
          <w:tab w:val="num" w:pos="1440"/>
        </w:tabs>
        <w:ind w:left="1440"/>
        <w:rPr>
          <w:b/>
          <w:bCs/>
          <w:szCs w:val="20"/>
        </w:rPr>
      </w:pPr>
      <w:r w:rsidRPr="00DB1164">
        <w:rPr>
          <w:b/>
          <w:bCs/>
          <w:szCs w:val="20"/>
        </w:rPr>
        <w:t>The cost estimate should be split into two components: (a) a total capital </w:t>
      </w:r>
      <w:r w:rsidRPr="00537D32">
        <w:rPr>
          <w:b/>
          <w:bCs/>
          <w:szCs w:val="20"/>
        </w:rPr>
        <w:t xml:space="preserve">and </w:t>
      </w:r>
      <w:r w:rsidRPr="00537D32">
        <w:rPr>
          <w:b/>
          <w:bCs/>
          <w:szCs w:val="20"/>
        </w:rPr>
        <w:t>start up</w:t>
      </w:r>
      <w:r w:rsidRPr="00537D32">
        <w:rPr>
          <w:b/>
          <w:bCs/>
          <w:szCs w:val="20"/>
        </w:rPr>
        <w:t xml:space="preserve"> cost component (annualized over its expected useful life); and (b) a total operation and maintenance and purchase of service component. The estimates should </w:t>
      </w:r>
      <w:r w:rsidRPr="00537D32">
        <w:rPr>
          <w:b/>
          <w:bCs/>
          <w:szCs w:val="20"/>
        </w:rPr>
        <w:t>take into account</w:t>
      </w:r>
      <w:r w:rsidRPr="00537D32">
        <w:rPr>
          <w:b/>
          <w:bCs/>
          <w:szCs w:val="20"/>
        </w:rPr>
        <w:t xml:space="preserve"> costs associated with generating, maintaining, and disclosing or providing the information.</w:t>
      </w:r>
      <w:r w:rsidR="009128E9">
        <w:rPr>
          <w:b/>
          <w:bCs/>
          <w:szCs w:val="20"/>
        </w:rPr>
        <w:t xml:space="preserve"> </w:t>
      </w:r>
      <w:r w:rsidRPr="00537D32">
        <w:rPr>
          <w:b/>
          <w:bCs/>
          <w:szCs w:val="20"/>
        </w:rPr>
        <w:t xml:space="preserve">Include descriptions of methods used to estimate major cost factors including system and technology acquisition, expected useful life of capital equipment, the discount rate(s), and the </w:t>
      </w:r>
      <w:r w:rsidRPr="00537D32">
        <w:rPr>
          <w:b/>
          <w:bCs/>
          <w:szCs w:val="20"/>
        </w:rPr>
        <w:t>time period</w:t>
      </w:r>
      <w:r w:rsidRPr="00537D32">
        <w:rPr>
          <w:b/>
          <w:bCs/>
          <w:szCs w:val="20"/>
        </w:rPr>
        <w:t xml:space="preserve"> over which costs will be incurred.</w:t>
      </w:r>
      <w:r w:rsidR="009128E9">
        <w:rPr>
          <w:b/>
          <w:bCs/>
          <w:szCs w:val="20"/>
        </w:rPr>
        <w:t xml:space="preserve"> </w:t>
      </w:r>
      <w:r w:rsidRPr="00537D32">
        <w:rPr>
          <w:b/>
          <w:bCs/>
          <w:szCs w:val="20"/>
        </w:rPr>
        <w:t>Capital and start-up costs include, among other items, preparations for collecting information such as purchasing computers and software; monitoring, sampling, drilling and testing equipment; and record storage facilities.</w:t>
      </w:r>
      <w:r w:rsidR="009128E9">
        <w:rPr>
          <w:b/>
          <w:bCs/>
          <w:szCs w:val="20"/>
        </w:rPr>
        <w:t xml:space="preserve"> </w:t>
      </w:r>
    </w:p>
    <w:p w:rsidR="00537D32" w:rsidRPr="00A37043" w:rsidP="00537D32" w14:paraId="5FABE362" w14:textId="5A4804AC">
      <w:pPr>
        <w:numPr>
          <w:ilvl w:val="0"/>
          <w:numId w:val="18"/>
        </w:numPr>
        <w:tabs>
          <w:tab w:val="clear" w:pos="720"/>
          <w:tab w:val="num" w:pos="1440"/>
        </w:tabs>
        <w:ind w:left="1440"/>
        <w:rPr>
          <w:b/>
          <w:bCs/>
          <w:szCs w:val="20"/>
        </w:rPr>
      </w:pPr>
      <w:r w:rsidRPr="00DB1164">
        <w:rPr>
          <w:b/>
          <w:bCs/>
          <w:szCs w:val="20"/>
        </w:rPr>
        <w:t>If cost estimates are expected to vary widely, agencies should present ranges of cost burdens and explain the reasons for the variance.</w:t>
      </w:r>
      <w:r w:rsidR="009128E9">
        <w:rPr>
          <w:b/>
          <w:bCs/>
          <w:szCs w:val="20"/>
        </w:rPr>
        <w:t xml:space="preserve"> </w:t>
      </w:r>
      <w:r w:rsidRPr="00DB1164">
        <w:rPr>
          <w:b/>
          <w:bCs/>
          <w:szCs w:val="20"/>
        </w:rPr>
        <w:t>The cost of purchasing or contracting out information collection services should be a part of this cost burden estimate.</w:t>
      </w:r>
      <w:r w:rsidR="009128E9">
        <w:rPr>
          <w:b/>
          <w:bCs/>
          <w:szCs w:val="20"/>
        </w:rPr>
        <w:t xml:space="preserve"> </w:t>
      </w:r>
      <w:r w:rsidRPr="00DB1164">
        <w:rPr>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37D32" w:rsidP="00537D32" w14:paraId="603F0024" w14:textId="1B4598BB">
      <w:pPr>
        <w:numPr>
          <w:ilvl w:val="0"/>
          <w:numId w:val="19"/>
        </w:numPr>
        <w:tabs>
          <w:tab w:val="clear" w:pos="720"/>
          <w:tab w:val="num" w:pos="1440"/>
        </w:tabs>
        <w:ind w:left="1440"/>
        <w:rPr>
          <w:b/>
          <w:bCs/>
          <w:szCs w:val="20"/>
        </w:rPr>
      </w:pPr>
      <w:r w:rsidRPr="00DB1164">
        <w:rPr>
          <w:b/>
          <w:bCs/>
          <w:szCs w:val="20"/>
        </w:rPr>
        <w:t xml:space="preserve">Generally, estimates should not include purchases of equipment or services, or portions thereof, made: (1) prior to October 1, 1995, (2) to achieve regulatory compliance with requirements not associated with the information </w:t>
      </w:r>
      <w:r w:rsidRPr="00DB1164">
        <w:rPr>
          <w:b/>
          <w:bCs/>
          <w:szCs w:val="20"/>
        </w:rPr>
        <w:t>collection, (3) for reasons other than to provide information or keep records for the government, or (4) as part of customary and usual business or private practices. </w:t>
      </w:r>
    </w:p>
    <w:p w:rsidR="007E180E" w:rsidRPr="00DB1164" w:rsidP="00043D55" w14:paraId="5800FD52" w14:textId="77777777">
      <w:pPr>
        <w:ind w:left="1440"/>
        <w:rPr>
          <w:b/>
          <w:bCs/>
          <w:szCs w:val="20"/>
        </w:rPr>
      </w:pPr>
    </w:p>
    <w:bookmarkEnd w:id="4"/>
    <w:p w:rsidR="00940CED" w:rsidP="00E44B39" w14:paraId="62DBBBD0" w14:textId="34765B09">
      <w:pPr>
        <w:ind w:left="720"/>
      </w:pPr>
      <w:r>
        <w:t xml:space="preserve">The Department expects that the ICRs </w:t>
      </w:r>
      <w:r>
        <w:t>would</w:t>
      </w:r>
      <w:r>
        <w:t xml:space="preserve"> be sent electronically through existing systems. As such, the Department does not expect there to be a cost burden associated with the proposed regulation.</w:t>
      </w:r>
    </w:p>
    <w:p w:rsidR="00644ABF" w:rsidRPr="00732BBF" w:rsidP="001154B1" w14:paraId="7608F0D3" w14:textId="77777777">
      <w:pPr>
        <w:autoSpaceDE w:val="0"/>
        <w:autoSpaceDN w:val="0"/>
        <w:rPr>
          <w:b/>
          <w:bCs/>
        </w:rPr>
      </w:pPr>
    </w:p>
    <w:p w:rsidR="000A5919" w:rsidRPr="00732BBF" w:rsidP="008A681F" w14:paraId="500BB5E7" w14:textId="1F61C722">
      <w:pPr>
        <w:pStyle w:val="Heading3"/>
      </w:pPr>
      <w:r w:rsidRPr="00732BBF">
        <w:t>Provide estimates of annualized cost to the Federal government.</w:t>
      </w:r>
      <w:r w:rsidR="009128E9">
        <w:t xml:space="preserve"> </w:t>
      </w:r>
      <w:r w:rsidRPr="00732BBF">
        <w:t xml:space="preserve">Also, provide a description of the method used to estimate cost, which should include quantification of hours, operational expenses (such as equipment, overhead, printing, and support staff), and any other </w:t>
      </w:r>
      <w:r w:rsidRPr="00732BBF">
        <w:t>expense</w:t>
      </w:r>
      <w:r w:rsidRPr="00732BBF">
        <w:t xml:space="preserve"> that would not have been incurred without this collection of information.</w:t>
      </w:r>
      <w:r w:rsidR="009128E9">
        <w:t xml:space="preserve"> </w:t>
      </w:r>
      <w:r w:rsidRPr="00732BBF">
        <w:t>Agencies also may aggregate cost estimates from Items 12, 13, and 14 in a single table.</w:t>
      </w:r>
    </w:p>
    <w:p w:rsidR="000A5919" w:rsidRPr="009D7FA2" w:rsidP="00E44B39" w14:paraId="6C4E4472" w14:textId="77777777">
      <w:pPr>
        <w:autoSpaceDE w:val="0"/>
        <w:autoSpaceDN w:val="0"/>
        <w:ind w:left="720"/>
      </w:pPr>
    </w:p>
    <w:p w:rsidR="000A5919" w:rsidRPr="009D7FA2" w:rsidP="00E44B39" w14:paraId="11A4A7FA" w14:textId="77777777">
      <w:pPr>
        <w:autoSpaceDE w:val="0"/>
        <w:autoSpaceDN w:val="0"/>
        <w:ind w:left="720"/>
      </w:pPr>
      <w:r w:rsidRPr="009D7FA2">
        <w:t>There is no cost to the Federal Government associated with this information collection.</w:t>
      </w:r>
    </w:p>
    <w:p w:rsidR="000A5919" w:rsidRPr="009D7FA2" w:rsidP="00E44B39" w14:paraId="74CCDE49" w14:textId="77777777">
      <w:pPr>
        <w:autoSpaceDE w:val="0"/>
        <w:autoSpaceDN w:val="0"/>
        <w:ind w:left="720"/>
      </w:pPr>
    </w:p>
    <w:p w:rsidR="000A5919" w:rsidRPr="00732BBF" w:rsidP="008A681F" w14:paraId="727886C2" w14:textId="1F59ADF7">
      <w:pPr>
        <w:pStyle w:val="Heading3"/>
      </w:pPr>
      <w:r w:rsidRPr="00732BBF">
        <w:t>Explain the reasons for any program changes or adjustments reported in Items 13 or 14.</w:t>
      </w:r>
    </w:p>
    <w:p w:rsidR="000A5919" w:rsidP="00E44B39" w14:paraId="14D6C494" w14:textId="0539678E">
      <w:pPr>
        <w:autoSpaceDE w:val="0"/>
        <w:autoSpaceDN w:val="0"/>
        <w:ind w:left="720"/>
      </w:pPr>
    </w:p>
    <w:p w:rsidR="00C950A0" w:rsidP="00E44B39" w14:paraId="04E36E15" w14:textId="3814F377">
      <w:pPr>
        <w:autoSpaceDE w:val="0"/>
        <w:autoSpaceDN w:val="0"/>
        <w:ind w:left="720"/>
      </w:pPr>
      <w:r>
        <w:t>This is a new collection of information.</w:t>
      </w:r>
    </w:p>
    <w:p w:rsidR="000A5919" w:rsidRPr="009D7FA2" w:rsidP="00732BBF" w14:paraId="23E5AE25" w14:textId="77777777">
      <w:pPr>
        <w:autoSpaceDE w:val="0"/>
        <w:autoSpaceDN w:val="0"/>
      </w:pPr>
    </w:p>
    <w:p w:rsidR="000A5919" w:rsidRPr="00732BBF" w:rsidP="008A681F" w14:paraId="3D568C98" w14:textId="0B1BAF0D">
      <w:pPr>
        <w:pStyle w:val="Heading3"/>
      </w:pPr>
      <w:r w:rsidRPr="00732BBF">
        <w:t>For collections of information whose results will be published, outline plans for tabulation, and publication.</w:t>
      </w:r>
      <w:r w:rsidR="009128E9">
        <w:t xml:space="preserve"> </w:t>
      </w:r>
      <w:r w:rsidRPr="00732BBF">
        <w:t>Address any complex analytical techniques that will be used.</w:t>
      </w:r>
      <w:r w:rsidR="009128E9">
        <w:t xml:space="preserve"> </w:t>
      </w:r>
      <w:r w:rsidRPr="00732BBF">
        <w:t>Provide the time schedule for the entire project, including beginning and ending dates of the collection of information, completion of report, publication dates, and other actions.</w:t>
      </w:r>
    </w:p>
    <w:p w:rsidR="000A5919" w:rsidRPr="009D7FA2" w:rsidP="00E44B39" w14:paraId="3C5C842D" w14:textId="77777777">
      <w:pPr>
        <w:autoSpaceDE w:val="0"/>
        <w:autoSpaceDN w:val="0"/>
        <w:ind w:left="720"/>
      </w:pPr>
    </w:p>
    <w:p w:rsidR="005C2077" w:rsidRPr="008823D6" w:rsidP="005C2077" w14:paraId="199F40ED" w14:textId="77777777">
      <w:pPr>
        <w:ind w:left="720"/>
      </w:pPr>
      <w:r w:rsidRPr="00EB039A">
        <w:t>This is not a collection of information for statistical use and there are no plans to publish the results of this collection.</w:t>
      </w:r>
    </w:p>
    <w:p w:rsidR="000A5919" w:rsidRPr="009D7FA2" w:rsidP="00E44B39" w14:paraId="08191C45" w14:textId="77777777">
      <w:pPr>
        <w:autoSpaceDE w:val="0"/>
        <w:autoSpaceDN w:val="0"/>
        <w:ind w:left="720"/>
      </w:pPr>
    </w:p>
    <w:p w:rsidR="000A5919" w:rsidRPr="00732BBF" w:rsidP="008A681F" w14:paraId="465E2828" w14:textId="76AA7878">
      <w:pPr>
        <w:pStyle w:val="Heading3"/>
      </w:pPr>
      <w:r w:rsidRPr="00732BBF">
        <w:t>If seeking approval to not display the expiration date for OMB approval of the information collection, explain the reasons that display would be inappropriate.</w:t>
      </w:r>
    </w:p>
    <w:p w:rsidR="00B52EF3" w:rsidP="00C817B0" w14:paraId="25375D00" w14:textId="77777777">
      <w:pPr>
        <w:autoSpaceDE w:val="0"/>
        <w:autoSpaceDN w:val="0"/>
        <w:ind w:left="720"/>
      </w:pPr>
    </w:p>
    <w:p w:rsidR="00D057D9" w:rsidP="00D057D9" w14:paraId="64498A90" w14:textId="77777777">
      <w:pPr>
        <w:ind w:left="720"/>
      </w:pPr>
      <w:r>
        <w:t>The collection of information will display a currently valid OMB control number with its expiration date.</w:t>
      </w:r>
    </w:p>
    <w:p w:rsidR="00B52EF3" w:rsidP="00C817B0" w14:paraId="4FF5BD62" w14:textId="77777777">
      <w:pPr>
        <w:autoSpaceDE w:val="0"/>
        <w:autoSpaceDN w:val="0"/>
        <w:ind w:left="720"/>
      </w:pPr>
    </w:p>
    <w:p w:rsidR="000A5919" w:rsidRPr="00732BBF" w:rsidP="008A681F" w14:paraId="216F3C55" w14:textId="47341139">
      <w:pPr>
        <w:pStyle w:val="Heading3"/>
      </w:pPr>
      <w:r w:rsidRPr="00732BBF">
        <w:t xml:space="preserve">Explain each exception to the </w:t>
      </w:r>
      <w:r w:rsidRPr="00C92D80" w:rsidR="005E5031">
        <w:t>topics of the certification statement identified in “Certification for Paperwork Reduction Act Submission.”</w:t>
      </w:r>
    </w:p>
    <w:p w:rsidR="000A5919" w:rsidRPr="009D7FA2" w:rsidP="002A0374" w14:paraId="436A59A7" w14:textId="77777777">
      <w:pPr>
        <w:autoSpaceDE w:val="0"/>
        <w:autoSpaceDN w:val="0"/>
        <w:ind w:left="720"/>
      </w:pPr>
    </w:p>
    <w:p w:rsidR="000A5919" w:rsidP="002A0374" w14:paraId="61FE2E2A" w14:textId="28D59D6C">
      <w:pPr>
        <w:autoSpaceDE w:val="0"/>
        <w:autoSpaceDN w:val="0"/>
        <w:ind w:left="720"/>
      </w:pPr>
      <w:r>
        <w:t xml:space="preserve">There are </w:t>
      </w:r>
      <w:r w:rsidRPr="009D7FA2">
        <w:t>no exceptions to the certification statement.</w:t>
      </w:r>
    </w:p>
    <w:p w:rsidR="00732BBF" w:rsidP="002A0374" w14:paraId="27347403" w14:textId="22534DF1">
      <w:pPr>
        <w:autoSpaceDE w:val="0"/>
        <w:autoSpaceDN w:val="0"/>
        <w:ind w:left="720"/>
      </w:pPr>
    </w:p>
    <w:p w:rsidR="00732BBF" w:rsidRPr="008A681F" w:rsidP="008A681F" w14:paraId="20D6C2CE" w14:textId="77777777">
      <w:pPr>
        <w:pStyle w:val="Heading2"/>
      </w:pPr>
      <w:r w:rsidRPr="008A681F">
        <w:t>B.</w:t>
      </w:r>
      <w:r w:rsidRPr="008A681F">
        <w:tab/>
        <w:t>COLLECTIONS OF INFORMATION EMPLOYING STATISTICAL METHODS</w:t>
      </w:r>
    </w:p>
    <w:p w:rsidR="00732BBF" w:rsidRPr="00EE7F17" w:rsidP="00732BBF" w14:paraId="69FC11B4" w14:textId="77777777">
      <w:pPr>
        <w:ind w:left="720"/>
      </w:pPr>
    </w:p>
    <w:p w:rsidR="00732BBF" w:rsidRPr="009D7FA2" w:rsidP="003E7F47" w14:paraId="70E1C886" w14:textId="4BEEAC3C">
      <w:pPr>
        <w:pStyle w:val="BodyText"/>
        <w:ind w:left="720"/>
      </w:pPr>
      <w:r w:rsidRPr="00732BBF">
        <w:rPr>
          <w:rFonts w:ascii="Times New Roman" w:hAnsi="Times New Roman"/>
        </w:rPr>
        <w:t>The use of statistical methods is not relevant to this collection of information.</w:t>
      </w:r>
    </w:p>
    <w:sectPr w:rsidSect="009F453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8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P="003D6F5D" w14:paraId="244A93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54C3" w14:paraId="5C080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P="00BC0E81" w14:paraId="603E8128" w14:textId="315256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B09">
      <w:rPr>
        <w:rStyle w:val="PageNumber"/>
        <w:noProof/>
      </w:rPr>
      <w:t>17</w:t>
    </w:r>
    <w:r>
      <w:rPr>
        <w:rStyle w:val="PageNumber"/>
      </w:rPr>
      <w:fldChar w:fldCharType="end"/>
    </w:r>
  </w:p>
  <w:p w:rsidR="008454C3" w:rsidP="00696580" w14:paraId="58EDB8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139" w14:paraId="6278D7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47E1" w14:paraId="35F73057" w14:textId="77777777">
      <w:r>
        <w:separator/>
      </w:r>
    </w:p>
  </w:footnote>
  <w:footnote w:type="continuationSeparator" w:id="1">
    <w:p w:rsidR="000947E1" w14:paraId="79BBE293" w14:textId="77777777">
      <w:r>
        <w:continuationSeparator/>
      </w:r>
    </w:p>
  </w:footnote>
  <w:footnote w:type="continuationNotice" w:id="2">
    <w:p w:rsidR="000947E1" w14:paraId="0EFBCF07" w14:textId="77777777"/>
  </w:footnote>
  <w:footnote w:id="3">
    <w:p w:rsidR="00436FE3" w:rsidRPr="00E202BA" w:rsidP="00436FE3" w14:paraId="0937009A" w14:textId="77777777">
      <w:pPr>
        <w:pStyle w:val="FootnoteText"/>
        <w:rPr>
          <w:b/>
        </w:rPr>
      </w:pPr>
      <w:r w:rsidRPr="00E202BA">
        <w:rPr>
          <w:rStyle w:val="FootnoteReference"/>
          <w:b/>
        </w:rPr>
        <w:footnoteRef/>
      </w:r>
      <w:r w:rsidRPr="00E202BA">
        <w:rPr>
          <w:b/>
        </w:rPr>
        <w:t xml:space="preserve"> </w:t>
      </w:r>
      <w:r w:rsidRPr="00C51815">
        <w:t>90 FR 38921 (August 12, 2025).</w:t>
      </w:r>
      <w:r w:rsidRPr="00E202BA">
        <w:rPr>
          <w:b/>
        </w:rPr>
        <w:t xml:space="preserve"> </w:t>
      </w:r>
    </w:p>
  </w:footnote>
  <w:footnote w:id="4">
    <w:p w:rsidR="00A500A5" w:rsidP="00A500A5" w14:paraId="420B32CC" w14:textId="77777777">
      <w:pPr>
        <w:pStyle w:val="FootnoteText"/>
      </w:pPr>
      <w:r>
        <w:rPr>
          <w:rStyle w:val="FootnoteReference"/>
        </w:rPr>
        <w:footnoteRef/>
      </w:r>
      <w:r>
        <w:t xml:space="preserve"> Pursuant to paragraph (d) of section 3 of the Executive Order, the Department consulted with the Department of the Treasury, the Securities and Exchange Commission, and the Pension Benefit Guaranty Corporation in developing this proposed regulation.</w:t>
      </w:r>
    </w:p>
  </w:footnote>
  <w:footnote w:id="5">
    <w:p w:rsidR="000653AE" w14:paraId="69195E2C" w14:textId="195AD0EA">
      <w:pPr>
        <w:pStyle w:val="FootnoteText"/>
      </w:pPr>
      <w:r>
        <w:rPr>
          <w:rStyle w:val="FootnoteReference"/>
        </w:rPr>
        <w:footnoteRef/>
      </w:r>
      <w:r>
        <w:t xml:space="preserve"> </w:t>
      </w:r>
      <w:r>
        <w:rPr>
          <w:i/>
          <w:iCs/>
        </w:rPr>
        <w:t>Id.</w:t>
      </w:r>
    </w:p>
  </w:footnote>
  <w:footnote w:id="6">
    <w:p w:rsidR="00983F8C" w:rsidP="00983F8C" w14:paraId="106CCFF6" w14:textId="77777777">
      <w:pPr>
        <w:pStyle w:val="FootnoteText"/>
      </w:pPr>
      <w:r>
        <w:rPr>
          <w:rStyle w:val="FootnoteReference"/>
        </w:rPr>
        <w:footnoteRef/>
      </w:r>
      <w:r>
        <w:t xml:space="preserve"> U.S. Department of Labor, EBSA, </w:t>
      </w:r>
      <w:r w:rsidRPr="00AA59F5">
        <w:rPr>
          <w:i/>
        </w:rPr>
        <w:t>Private Pension Plan Bulletin Abstract of 2023 Form 5500 Annual Reports</w:t>
      </w:r>
      <w:r>
        <w:t xml:space="preserve"> Table D5, </w:t>
      </w:r>
      <w:r w:rsidRPr="00A63AFA">
        <w:t>www.dol.gov/agencies/ebsa/researchers/statistics/retirement-bulletins/private-pension-plan</w:t>
      </w:r>
      <w:r>
        <w:t>,</w:t>
      </w:r>
      <w:r w:rsidRPr="0050319E">
        <w:t xml:space="preserve"> </w:t>
      </w:r>
      <w:r>
        <w:t xml:space="preserve">(September 3, 2024). EBSA tabulations. </w:t>
      </w:r>
    </w:p>
  </w:footnote>
  <w:footnote w:id="7">
    <w:p w:rsidR="00D93BC9" w:rsidP="00D93BC9" w14:paraId="31EBBC93" w14:textId="77777777">
      <w:pPr>
        <w:pStyle w:val="FootnoteText"/>
      </w:pPr>
      <w:r>
        <w:rPr>
          <w:rStyle w:val="FootnoteReference"/>
        </w:rPr>
        <w:footnoteRef/>
      </w:r>
      <w:r>
        <w:t xml:space="preserve"> EBSA tabulations of audited plans in the BrightScope database. </w:t>
      </w:r>
      <w:r>
        <w:rPr>
          <w:bCs/>
        </w:rPr>
        <w:t xml:space="preserve">Data is only available for </w:t>
      </w:r>
      <w:r w:rsidRPr="00BC0DD4">
        <w:t xml:space="preserve">large 401(k) plans that have filed a Form 5500 </w:t>
      </w:r>
      <w:r>
        <w:t xml:space="preserve">whose </w:t>
      </w:r>
      <w:r w:rsidRPr="00BC0DD4">
        <w:t>investment data has been captured</w:t>
      </w:r>
      <w:r>
        <w:t xml:space="preserve"> on the Schedule H’s attached Schedule of Assets. The estimate includes instances where plans adopt a new TDF to replace an existing TDF, instances where plans are adding another TDF to their menu, and instances where a newly formed plan offers a TDF on its menu.</w:t>
      </w:r>
    </w:p>
  </w:footnote>
  <w:footnote w:id="8">
    <w:p w:rsidR="00D93BC9" w:rsidRPr="00457695" w:rsidP="00D93BC9" w14:paraId="3BAE2094" w14:textId="77777777">
      <w:pPr>
        <w:pStyle w:val="FootnoteText"/>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139" w14:paraId="262EA0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RPr="001E2AC5" w:rsidP="001E2AC5" w14:paraId="5C4E9519" w14:textId="77777777">
    <w:pPr>
      <w:pStyle w:val="Header"/>
      <w:rPr>
        <w:b/>
        <w:bCs/>
        <w:sz w:val="20"/>
        <w:szCs w:val="20"/>
      </w:rPr>
    </w:pPr>
    <w:r w:rsidRPr="001E2AC5">
      <w:rPr>
        <w:b/>
        <w:bCs/>
        <w:sz w:val="20"/>
        <w:szCs w:val="20"/>
      </w:rPr>
      <w:t>Participant Level Fee Disclosure</w:t>
    </w:r>
  </w:p>
  <w:p w:rsidR="008454C3" w:rsidRPr="001E2AC5" w:rsidP="001E2AC5" w14:paraId="4DBACD07" w14:textId="32E7CA49">
    <w:pPr>
      <w:pStyle w:val="Header"/>
      <w:rPr>
        <w:b/>
        <w:bCs/>
        <w:sz w:val="20"/>
        <w:szCs w:val="20"/>
      </w:rPr>
    </w:pPr>
    <w:r w:rsidRPr="001E2AC5">
      <w:rPr>
        <w:b/>
        <w:bCs/>
        <w:sz w:val="20"/>
        <w:szCs w:val="20"/>
      </w:rPr>
      <w:t xml:space="preserve">OMB Number </w:t>
    </w:r>
    <w:r w:rsidR="00660C9A">
      <w:rPr>
        <w:b/>
        <w:bCs/>
        <w:sz w:val="20"/>
        <w:szCs w:val="20"/>
      </w:rPr>
      <w:t>1210-NEW</w:t>
    </w:r>
  </w:p>
  <w:p w:rsidR="001E2AC5" w:rsidRPr="001E2AC5" w:rsidP="001E2AC5" w14:paraId="06DB28AE" w14:textId="3211B568">
    <w:pPr>
      <w:pStyle w:val="Header"/>
      <w:rPr>
        <w:b/>
        <w:bCs/>
        <w:sz w:val="20"/>
        <w:szCs w:val="20"/>
      </w:rPr>
    </w:pPr>
    <w:r>
      <w:rPr>
        <w:b/>
        <w:bCs/>
        <w:sz w:val="20"/>
        <w:szCs w:val="20"/>
      </w:rPr>
      <w:t xml:space="preserve">OMB </w:t>
    </w:r>
    <w:r w:rsidRPr="001E2AC5">
      <w:rPr>
        <w:b/>
        <w:bCs/>
        <w:sz w:val="20"/>
        <w:szCs w:val="20"/>
      </w:rPr>
      <w:t xml:space="preserve">Expiration Date: </w:t>
    </w:r>
    <w:r w:rsidR="00DE0BBB">
      <w:rPr>
        <w:b/>
        <w:bCs/>
        <w:sz w:val="20"/>
        <w:szCs w:val="20"/>
      </w:rPr>
      <w:t>Not yet received</w:t>
    </w:r>
  </w:p>
  <w:p w:rsidR="008454C3" w:rsidRPr="00695EC5" w:rsidP="00695EC5" w14:paraId="63EB3D4A" w14:textId="77777777">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C3" w:rsidRPr="00A3255E" w:rsidP="00A3255E" w14:paraId="20FA3934" w14:textId="77777777">
    <w:pPr>
      <w:pStyle w:val="Header"/>
      <w:tabs>
        <w:tab w:val="left" w:pos="7092"/>
      </w:tabs>
      <w:rPr>
        <w:b/>
        <w:sz w:val="20"/>
        <w:szCs w:val="20"/>
      </w:rPr>
    </w:pPr>
  </w:p>
  <w:p w:rsidR="008454C3" w:rsidRPr="00A3255E" w:rsidP="00211D07" w14:paraId="3A71365D" w14:textId="77777777">
    <w:pPr>
      <w:pStyle w:val="Header"/>
      <w:tabs>
        <w:tab w:val="left" w:pos="7092"/>
      </w:tabs>
      <w:jc w:val="right"/>
      <w:rPr>
        <w:b/>
        <w:sz w:val="20"/>
        <w:szCs w:val="20"/>
      </w:rPr>
    </w:pPr>
    <w:r>
      <w:rPr>
        <w:b/>
        <w:sz w:val="20"/>
        <w:szCs w:val="20"/>
      </w:rPr>
      <w:t>Participant Level Fee Disclosure</w:t>
    </w:r>
  </w:p>
  <w:p w:rsidR="008454C3" w:rsidRPr="00A3255E" w:rsidP="00211D07" w14:paraId="243F69A6" w14:textId="77777777">
    <w:pPr>
      <w:pStyle w:val="Header"/>
      <w:tabs>
        <w:tab w:val="left" w:pos="7092"/>
      </w:tabs>
      <w:jc w:val="right"/>
      <w:rPr>
        <w:b/>
        <w:sz w:val="20"/>
        <w:szCs w:val="20"/>
      </w:rPr>
    </w:pPr>
    <w:r w:rsidRPr="00A3255E">
      <w:rPr>
        <w:b/>
        <w:sz w:val="20"/>
        <w:szCs w:val="20"/>
      </w:rPr>
      <w:t>OMB Number 1210-00</w:t>
    </w:r>
    <w:r>
      <w:rPr>
        <w:b/>
        <w:sz w:val="20"/>
        <w:szCs w:val="20"/>
      </w:rPr>
      <w:t>90</w:t>
    </w:r>
  </w:p>
  <w:p w:rsidR="008454C3" w:rsidRPr="007253BC" w:rsidP="00211D07" w14:paraId="2FC4D34E" w14:textId="77777777">
    <w:pPr>
      <w:pStyle w:val="Header"/>
      <w:tabs>
        <w:tab w:val="left" w:pos="7092"/>
      </w:tabs>
      <w:jc w:val="right"/>
      <w:rPr>
        <w:b/>
        <w:sz w:val="20"/>
        <w:szCs w:val="20"/>
      </w:rPr>
    </w:pPr>
    <w:r>
      <w:rPr>
        <w:b/>
        <w:sz w:val="20"/>
        <w:szCs w:val="20"/>
      </w:rPr>
      <w:t>October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77CF1"/>
    <w:multiLevelType w:val="hybridMultilevel"/>
    <w:tmpl w:val="D916D9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FE1078"/>
    <w:multiLevelType w:val="hybridMultilevel"/>
    <w:tmpl w:val="EFD20A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D8E1A0A"/>
    <w:multiLevelType w:val="hybridMultilevel"/>
    <w:tmpl w:val="587A9EF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9AC62CA"/>
    <w:multiLevelType w:val="hybridMultilevel"/>
    <w:tmpl w:val="6AD4A882"/>
    <w:lvl w:ilvl="0">
      <w:start w:val="7"/>
      <w:numFmt w:val="bullet"/>
      <w:lvlText w:val="•"/>
      <w:lvlJc w:val="left"/>
      <w:pPr>
        <w:ind w:left="3960" w:hanging="360"/>
      </w:pPr>
      <w:rPr>
        <w:rFonts w:ascii="Times New Roman" w:eastAsia="Times New Roman" w:hAnsi="Times New Roman" w:cs="Times New Roman"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6">
    <w:nsid w:val="2B870E78"/>
    <w:multiLevelType w:val="hybridMultilevel"/>
    <w:tmpl w:val="9C04E89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3F628B"/>
    <w:multiLevelType w:val="hybridMultilevel"/>
    <w:tmpl w:val="8CC4BD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6C161F"/>
    <w:multiLevelType w:val="hybridMultilevel"/>
    <w:tmpl w:val="DB8C06BC"/>
    <w:lvl w:ilvl="0">
      <w:start w:val="12"/>
      <w:numFmt w:val="decimal"/>
      <w:lvlText w:val="%1."/>
      <w:lvlJc w:val="left"/>
      <w:pPr>
        <w:tabs>
          <w:tab w:val="num" w:pos="1080"/>
        </w:tabs>
        <w:ind w:left="1080" w:hanging="720"/>
      </w:pPr>
      <w:rPr>
        <w:rFonts w:cs="Times New Roman"/>
        <w:i w:val="0"/>
        <w:sz w:val="24"/>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4B234E3F"/>
    <w:multiLevelType w:val="hybridMultilevel"/>
    <w:tmpl w:val="1C8451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B2D4621"/>
    <w:multiLevelType w:val="hybridMultilevel"/>
    <w:tmpl w:val="5F780C2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51695E09"/>
    <w:multiLevelType w:val="hybridMultilevel"/>
    <w:tmpl w:val="7922A2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2E6197B"/>
    <w:multiLevelType w:val="hybridMultilevel"/>
    <w:tmpl w:val="663EF7D0"/>
    <w:lvl w:ilvl="0">
      <w:start w:val="1"/>
      <w:numFmt w:val="decimal"/>
      <w:lvlText w:val="%1."/>
      <w:lvlJc w:val="left"/>
      <w:pPr>
        <w:ind w:left="360" w:hanging="360"/>
      </w:pPr>
      <w:rPr>
        <w:rFonts w:hint="default"/>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7DA1409"/>
    <w:multiLevelType w:val="hybridMultilevel"/>
    <w:tmpl w:val="825A2B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59601E9"/>
    <w:multiLevelType w:val="hybridMultilevel"/>
    <w:tmpl w:val="48C04BCC"/>
    <w:lvl w:ilvl="0">
      <w:start w:val="1"/>
      <w:numFmt w:val="decimal"/>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612F1A"/>
    <w:multiLevelType w:val="hybridMultilevel"/>
    <w:tmpl w:val="7D2A1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811D91"/>
    <w:multiLevelType w:val="hybridMultilevel"/>
    <w:tmpl w:val="1588722E"/>
    <w:lvl w:ilvl="0">
      <w:start w:val="1"/>
      <w:numFmt w:val="lowerLetter"/>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76A6271"/>
    <w:multiLevelType w:val="hybridMultilevel"/>
    <w:tmpl w:val="A0FC65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9C436A3"/>
    <w:multiLevelType w:val="hybridMultilevel"/>
    <w:tmpl w:val="4B84862A"/>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578751574">
    <w:abstractNumId w:val="14"/>
  </w:num>
  <w:num w:numId="2" w16cid:durableId="1545023862">
    <w:abstractNumId w:val="10"/>
  </w:num>
  <w:num w:numId="3" w16cid:durableId="726539687">
    <w:abstractNumId w:val="12"/>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393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133424">
    <w:abstractNumId w:val="12"/>
  </w:num>
  <w:num w:numId="6" w16cid:durableId="613824472">
    <w:abstractNumId w:val="6"/>
  </w:num>
  <w:num w:numId="7" w16cid:durableId="1075664419">
    <w:abstractNumId w:val="22"/>
  </w:num>
  <w:num w:numId="8" w16cid:durableId="295528350">
    <w:abstractNumId w:val="13"/>
  </w:num>
  <w:num w:numId="9" w16cid:durableId="1670255560">
    <w:abstractNumId w:val="17"/>
  </w:num>
  <w:num w:numId="10" w16cid:durableId="782531278">
    <w:abstractNumId w:val="16"/>
  </w:num>
  <w:num w:numId="11" w16cid:durableId="478964122">
    <w:abstractNumId w:val="5"/>
  </w:num>
  <w:num w:numId="12" w16cid:durableId="1055617317">
    <w:abstractNumId w:val="3"/>
  </w:num>
  <w:num w:numId="13" w16cid:durableId="2059619704">
    <w:abstractNumId w:val="15"/>
  </w:num>
  <w:num w:numId="14" w16cid:durableId="1538740379">
    <w:abstractNumId w:val="11"/>
  </w:num>
  <w:num w:numId="15" w16cid:durableId="376125024">
    <w:abstractNumId w:val="2"/>
  </w:num>
  <w:num w:numId="16" w16cid:durableId="1139374477">
    <w:abstractNumId w:val="8"/>
  </w:num>
  <w:num w:numId="17" w16cid:durableId="732241968">
    <w:abstractNumId w:val="1"/>
  </w:num>
  <w:num w:numId="18" w16cid:durableId="43798739">
    <w:abstractNumId w:val="7"/>
  </w:num>
  <w:num w:numId="19" w16cid:durableId="1691489506">
    <w:abstractNumId w:val="9"/>
  </w:num>
  <w:num w:numId="20" w16cid:durableId="1824733440">
    <w:abstractNumId w:val="0"/>
  </w:num>
  <w:num w:numId="21" w16cid:durableId="2048752834">
    <w:abstractNumId w:val="18"/>
  </w:num>
  <w:num w:numId="22" w16cid:durableId="1047605597">
    <w:abstractNumId w:val="21"/>
  </w:num>
  <w:num w:numId="23" w16cid:durableId="1669206996">
    <w:abstractNumId w:val="19"/>
  </w:num>
  <w:num w:numId="24" w16cid:durableId="672877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ED"/>
    <w:rsid w:val="00004C52"/>
    <w:rsid w:val="000050BA"/>
    <w:rsid w:val="0000737B"/>
    <w:rsid w:val="00007825"/>
    <w:rsid w:val="000113E7"/>
    <w:rsid w:val="00011EF9"/>
    <w:rsid w:val="00013034"/>
    <w:rsid w:val="00013461"/>
    <w:rsid w:val="0001370C"/>
    <w:rsid w:val="0001487C"/>
    <w:rsid w:val="00014B80"/>
    <w:rsid w:val="00017F0E"/>
    <w:rsid w:val="000220A8"/>
    <w:rsid w:val="000223FD"/>
    <w:rsid w:val="00024FEC"/>
    <w:rsid w:val="0002587A"/>
    <w:rsid w:val="00025A91"/>
    <w:rsid w:val="00025C27"/>
    <w:rsid w:val="00026801"/>
    <w:rsid w:val="00027FAF"/>
    <w:rsid w:val="000304EC"/>
    <w:rsid w:val="0003077F"/>
    <w:rsid w:val="000325EC"/>
    <w:rsid w:val="0003280D"/>
    <w:rsid w:val="00032C9C"/>
    <w:rsid w:val="00033417"/>
    <w:rsid w:val="000337BA"/>
    <w:rsid w:val="00034AEA"/>
    <w:rsid w:val="0003761C"/>
    <w:rsid w:val="00040C4D"/>
    <w:rsid w:val="00043D55"/>
    <w:rsid w:val="00044359"/>
    <w:rsid w:val="00044CDA"/>
    <w:rsid w:val="000468DA"/>
    <w:rsid w:val="000472A0"/>
    <w:rsid w:val="00047BBB"/>
    <w:rsid w:val="00050A54"/>
    <w:rsid w:val="0005146C"/>
    <w:rsid w:val="00052561"/>
    <w:rsid w:val="00052E48"/>
    <w:rsid w:val="00053292"/>
    <w:rsid w:val="000564BE"/>
    <w:rsid w:val="00056848"/>
    <w:rsid w:val="00057269"/>
    <w:rsid w:val="00057F0A"/>
    <w:rsid w:val="000608AC"/>
    <w:rsid w:val="00060B59"/>
    <w:rsid w:val="00063458"/>
    <w:rsid w:val="0006407D"/>
    <w:rsid w:val="000642B5"/>
    <w:rsid w:val="000653AE"/>
    <w:rsid w:val="00065427"/>
    <w:rsid w:val="000658BF"/>
    <w:rsid w:val="00072704"/>
    <w:rsid w:val="00072EE6"/>
    <w:rsid w:val="0007680E"/>
    <w:rsid w:val="000769EC"/>
    <w:rsid w:val="00076A9C"/>
    <w:rsid w:val="000770B7"/>
    <w:rsid w:val="00081D19"/>
    <w:rsid w:val="00081E2F"/>
    <w:rsid w:val="00081EB2"/>
    <w:rsid w:val="000825ED"/>
    <w:rsid w:val="000836E2"/>
    <w:rsid w:val="00085D03"/>
    <w:rsid w:val="00091756"/>
    <w:rsid w:val="000947E1"/>
    <w:rsid w:val="0009491F"/>
    <w:rsid w:val="00094BBA"/>
    <w:rsid w:val="00096F8D"/>
    <w:rsid w:val="000A05F8"/>
    <w:rsid w:val="000A0710"/>
    <w:rsid w:val="000A32E6"/>
    <w:rsid w:val="000A3381"/>
    <w:rsid w:val="000A5919"/>
    <w:rsid w:val="000A5B26"/>
    <w:rsid w:val="000A5B94"/>
    <w:rsid w:val="000A6482"/>
    <w:rsid w:val="000B070A"/>
    <w:rsid w:val="000B1501"/>
    <w:rsid w:val="000B2541"/>
    <w:rsid w:val="000B264A"/>
    <w:rsid w:val="000B45E6"/>
    <w:rsid w:val="000B5127"/>
    <w:rsid w:val="000B622E"/>
    <w:rsid w:val="000B69E9"/>
    <w:rsid w:val="000B76A0"/>
    <w:rsid w:val="000B7BA9"/>
    <w:rsid w:val="000C0260"/>
    <w:rsid w:val="000C1066"/>
    <w:rsid w:val="000C33E2"/>
    <w:rsid w:val="000C3A9B"/>
    <w:rsid w:val="000C47C3"/>
    <w:rsid w:val="000C5059"/>
    <w:rsid w:val="000C5905"/>
    <w:rsid w:val="000C7E75"/>
    <w:rsid w:val="000D098B"/>
    <w:rsid w:val="000D13F4"/>
    <w:rsid w:val="000D1723"/>
    <w:rsid w:val="000D203F"/>
    <w:rsid w:val="000D28B8"/>
    <w:rsid w:val="000D2E5A"/>
    <w:rsid w:val="000D5DA4"/>
    <w:rsid w:val="000D6026"/>
    <w:rsid w:val="000D74D4"/>
    <w:rsid w:val="000D7578"/>
    <w:rsid w:val="000D75F3"/>
    <w:rsid w:val="000E1596"/>
    <w:rsid w:val="000E2E14"/>
    <w:rsid w:val="000E3526"/>
    <w:rsid w:val="000E52B0"/>
    <w:rsid w:val="000E5E3E"/>
    <w:rsid w:val="000E60E8"/>
    <w:rsid w:val="000E634C"/>
    <w:rsid w:val="000F0319"/>
    <w:rsid w:val="000F1224"/>
    <w:rsid w:val="000F235D"/>
    <w:rsid w:val="000F4659"/>
    <w:rsid w:val="000F46FF"/>
    <w:rsid w:val="000F5836"/>
    <w:rsid w:val="001007D1"/>
    <w:rsid w:val="00102E36"/>
    <w:rsid w:val="00102ED2"/>
    <w:rsid w:val="00105EA5"/>
    <w:rsid w:val="00106BA1"/>
    <w:rsid w:val="00110936"/>
    <w:rsid w:val="00111927"/>
    <w:rsid w:val="00112888"/>
    <w:rsid w:val="00112DE9"/>
    <w:rsid w:val="001154B1"/>
    <w:rsid w:val="00116F98"/>
    <w:rsid w:val="001178B7"/>
    <w:rsid w:val="00121C69"/>
    <w:rsid w:val="00121F8A"/>
    <w:rsid w:val="00122E70"/>
    <w:rsid w:val="0012462B"/>
    <w:rsid w:val="00125042"/>
    <w:rsid w:val="00125864"/>
    <w:rsid w:val="00125B1A"/>
    <w:rsid w:val="001309F8"/>
    <w:rsid w:val="0013110D"/>
    <w:rsid w:val="001340A4"/>
    <w:rsid w:val="00136848"/>
    <w:rsid w:val="001374EA"/>
    <w:rsid w:val="00142928"/>
    <w:rsid w:val="00142ADA"/>
    <w:rsid w:val="00142C48"/>
    <w:rsid w:val="00142F98"/>
    <w:rsid w:val="00143011"/>
    <w:rsid w:val="00144CB9"/>
    <w:rsid w:val="00145B84"/>
    <w:rsid w:val="00146684"/>
    <w:rsid w:val="00146BDA"/>
    <w:rsid w:val="0014724F"/>
    <w:rsid w:val="00147B3A"/>
    <w:rsid w:val="00147B6B"/>
    <w:rsid w:val="001511C1"/>
    <w:rsid w:val="0015126F"/>
    <w:rsid w:val="0015335B"/>
    <w:rsid w:val="00157B6B"/>
    <w:rsid w:val="00160B71"/>
    <w:rsid w:val="001617C3"/>
    <w:rsid w:val="00163683"/>
    <w:rsid w:val="00165252"/>
    <w:rsid w:val="00165658"/>
    <w:rsid w:val="0017171B"/>
    <w:rsid w:val="00171A01"/>
    <w:rsid w:val="00173B42"/>
    <w:rsid w:val="00180AE9"/>
    <w:rsid w:val="00180B90"/>
    <w:rsid w:val="00180C22"/>
    <w:rsid w:val="00183798"/>
    <w:rsid w:val="001837CF"/>
    <w:rsid w:val="00183E40"/>
    <w:rsid w:val="001853E2"/>
    <w:rsid w:val="00185581"/>
    <w:rsid w:val="001910CB"/>
    <w:rsid w:val="00191382"/>
    <w:rsid w:val="001917A8"/>
    <w:rsid w:val="00191BA5"/>
    <w:rsid w:val="00192A9E"/>
    <w:rsid w:val="00193756"/>
    <w:rsid w:val="00194E86"/>
    <w:rsid w:val="00196CBD"/>
    <w:rsid w:val="00196F5E"/>
    <w:rsid w:val="001A252B"/>
    <w:rsid w:val="001A5206"/>
    <w:rsid w:val="001A53D1"/>
    <w:rsid w:val="001A5ED5"/>
    <w:rsid w:val="001A6CA8"/>
    <w:rsid w:val="001B161C"/>
    <w:rsid w:val="001B288B"/>
    <w:rsid w:val="001B2EC5"/>
    <w:rsid w:val="001B3FA9"/>
    <w:rsid w:val="001B4CF1"/>
    <w:rsid w:val="001B52C0"/>
    <w:rsid w:val="001B6F4F"/>
    <w:rsid w:val="001B7494"/>
    <w:rsid w:val="001C0C0F"/>
    <w:rsid w:val="001C2AFA"/>
    <w:rsid w:val="001C329E"/>
    <w:rsid w:val="001C39BF"/>
    <w:rsid w:val="001C4CF5"/>
    <w:rsid w:val="001C6FC5"/>
    <w:rsid w:val="001C7879"/>
    <w:rsid w:val="001D072A"/>
    <w:rsid w:val="001D13FD"/>
    <w:rsid w:val="001D32B5"/>
    <w:rsid w:val="001D3D4F"/>
    <w:rsid w:val="001D3EE3"/>
    <w:rsid w:val="001D4D7B"/>
    <w:rsid w:val="001D6FEC"/>
    <w:rsid w:val="001D7405"/>
    <w:rsid w:val="001D7E4C"/>
    <w:rsid w:val="001E024C"/>
    <w:rsid w:val="001E04A2"/>
    <w:rsid w:val="001E0DAA"/>
    <w:rsid w:val="001E2019"/>
    <w:rsid w:val="001E28D1"/>
    <w:rsid w:val="001E294B"/>
    <w:rsid w:val="001E2AC5"/>
    <w:rsid w:val="001E5261"/>
    <w:rsid w:val="001E6B26"/>
    <w:rsid w:val="001E76BA"/>
    <w:rsid w:val="001E7F17"/>
    <w:rsid w:val="001F0C9B"/>
    <w:rsid w:val="001F10C4"/>
    <w:rsid w:val="001F46F0"/>
    <w:rsid w:val="001F5146"/>
    <w:rsid w:val="001F5C91"/>
    <w:rsid w:val="001F75C0"/>
    <w:rsid w:val="001F7F30"/>
    <w:rsid w:val="00201D67"/>
    <w:rsid w:val="00201F45"/>
    <w:rsid w:val="00202018"/>
    <w:rsid w:val="00202960"/>
    <w:rsid w:val="00205951"/>
    <w:rsid w:val="002071DB"/>
    <w:rsid w:val="002074AC"/>
    <w:rsid w:val="002079BC"/>
    <w:rsid w:val="00207CF6"/>
    <w:rsid w:val="00207F9B"/>
    <w:rsid w:val="00210A7C"/>
    <w:rsid w:val="00211CA3"/>
    <w:rsid w:val="00211D07"/>
    <w:rsid w:val="00212A1A"/>
    <w:rsid w:val="00212F2D"/>
    <w:rsid w:val="00213518"/>
    <w:rsid w:val="00213D48"/>
    <w:rsid w:val="00214582"/>
    <w:rsid w:val="00214CC8"/>
    <w:rsid w:val="00216607"/>
    <w:rsid w:val="00220843"/>
    <w:rsid w:val="00221845"/>
    <w:rsid w:val="00223B4B"/>
    <w:rsid w:val="00226037"/>
    <w:rsid w:val="00232275"/>
    <w:rsid w:val="002347FC"/>
    <w:rsid w:val="00236A8D"/>
    <w:rsid w:val="002404B6"/>
    <w:rsid w:val="002412FE"/>
    <w:rsid w:val="00245649"/>
    <w:rsid w:val="00247F64"/>
    <w:rsid w:val="002533D4"/>
    <w:rsid w:val="002534AE"/>
    <w:rsid w:val="00254BE8"/>
    <w:rsid w:val="002569D0"/>
    <w:rsid w:val="0025704D"/>
    <w:rsid w:val="00257F46"/>
    <w:rsid w:val="002631F8"/>
    <w:rsid w:val="00264251"/>
    <w:rsid w:val="00266AD8"/>
    <w:rsid w:val="00266EB8"/>
    <w:rsid w:val="00270F8E"/>
    <w:rsid w:val="0027390A"/>
    <w:rsid w:val="00274127"/>
    <w:rsid w:val="002742FC"/>
    <w:rsid w:val="00275154"/>
    <w:rsid w:val="002766EA"/>
    <w:rsid w:val="00277733"/>
    <w:rsid w:val="002802A2"/>
    <w:rsid w:val="0028102C"/>
    <w:rsid w:val="00281F1A"/>
    <w:rsid w:val="00283EE1"/>
    <w:rsid w:val="002841ED"/>
    <w:rsid w:val="00284610"/>
    <w:rsid w:val="00285232"/>
    <w:rsid w:val="00285569"/>
    <w:rsid w:val="002871CF"/>
    <w:rsid w:val="00287B32"/>
    <w:rsid w:val="002904D8"/>
    <w:rsid w:val="0029396E"/>
    <w:rsid w:val="00293BB5"/>
    <w:rsid w:val="00295AC2"/>
    <w:rsid w:val="00296E47"/>
    <w:rsid w:val="002A0374"/>
    <w:rsid w:val="002A05ED"/>
    <w:rsid w:val="002A115D"/>
    <w:rsid w:val="002A2BBF"/>
    <w:rsid w:val="002A3429"/>
    <w:rsid w:val="002A3914"/>
    <w:rsid w:val="002A3FCD"/>
    <w:rsid w:val="002A4960"/>
    <w:rsid w:val="002A6213"/>
    <w:rsid w:val="002A632C"/>
    <w:rsid w:val="002B0679"/>
    <w:rsid w:val="002B0FC5"/>
    <w:rsid w:val="002B310A"/>
    <w:rsid w:val="002B3886"/>
    <w:rsid w:val="002B4C02"/>
    <w:rsid w:val="002B525C"/>
    <w:rsid w:val="002B6192"/>
    <w:rsid w:val="002C1760"/>
    <w:rsid w:val="002C1DB2"/>
    <w:rsid w:val="002C44DD"/>
    <w:rsid w:val="002C46DF"/>
    <w:rsid w:val="002C5B00"/>
    <w:rsid w:val="002C662F"/>
    <w:rsid w:val="002D0F28"/>
    <w:rsid w:val="002D0F56"/>
    <w:rsid w:val="002D1AC3"/>
    <w:rsid w:val="002D1E05"/>
    <w:rsid w:val="002D22C8"/>
    <w:rsid w:val="002D5D11"/>
    <w:rsid w:val="002D6FFB"/>
    <w:rsid w:val="002E08D8"/>
    <w:rsid w:val="002E1D29"/>
    <w:rsid w:val="002E3805"/>
    <w:rsid w:val="002E3BD3"/>
    <w:rsid w:val="002E3DFE"/>
    <w:rsid w:val="002E54DC"/>
    <w:rsid w:val="002E5EA0"/>
    <w:rsid w:val="002F17FB"/>
    <w:rsid w:val="002F1830"/>
    <w:rsid w:val="002F1A48"/>
    <w:rsid w:val="002F2CA2"/>
    <w:rsid w:val="002F3A63"/>
    <w:rsid w:val="002F477D"/>
    <w:rsid w:val="002F6C6A"/>
    <w:rsid w:val="00302878"/>
    <w:rsid w:val="0030454E"/>
    <w:rsid w:val="00305EC6"/>
    <w:rsid w:val="003068DF"/>
    <w:rsid w:val="00306BA8"/>
    <w:rsid w:val="00314796"/>
    <w:rsid w:val="00314D12"/>
    <w:rsid w:val="00316082"/>
    <w:rsid w:val="00316BAC"/>
    <w:rsid w:val="003210F7"/>
    <w:rsid w:val="00321BAA"/>
    <w:rsid w:val="0032350A"/>
    <w:rsid w:val="0032407A"/>
    <w:rsid w:val="00324133"/>
    <w:rsid w:val="00324FCD"/>
    <w:rsid w:val="00325F1A"/>
    <w:rsid w:val="0032712F"/>
    <w:rsid w:val="00327A0F"/>
    <w:rsid w:val="00334248"/>
    <w:rsid w:val="0033469F"/>
    <w:rsid w:val="00336020"/>
    <w:rsid w:val="00336CD8"/>
    <w:rsid w:val="00337680"/>
    <w:rsid w:val="003408FC"/>
    <w:rsid w:val="00341993"/>
    <w:rsid w:val="00342389"/>
    <w:rsid w:val="003431C3"/>
    <w:rsid w:val="003435DD"/>
    <w:rsid w:val="00343AF1"/>
    <w:rsid w:val="00343C75"/>
    <w:rsid w:val="003444E9"/>
    <w:rsid w:val="00345295"/>
    <w:rsid w:val="0034604C"/>
    <w:rsid w:val="00347702"/>
    <w:rsid w:val="003528EE"/>
    <w:rsid w:val="00355B2E"/>
    <w:rsid w:val="003627BE"/>
    <w:rsid w:val="003642B6"/>
    <w:rsid w:val="00364C9C"/>
    <w:rsid w:val="00366580"/>
    <w:rsid w:val="003676BF"/>
    <w:rsid w:val="00370782"/>
    <w:rsid w:val="00373BBA"/>
    <w:rsid w:val="00373D98"/>
    <w:rsid w:val="003746B1"/>
    <w:rsid w:val="00377E9F"/>
    <w:rsid w:val="00382CB6"/>
    <w:rsid w:val="00383977"/>
    <w:rsid w:val="00385566"/>
    <w:rsid w:val="00385776"/>
    <w:rsid w:val="00385853"/>
    <w:rsid w:val="00385ED6"/>
    <w:rsid w:val="00386CFB"/>
    <w:rsid w:val="00390462"/>
    <w:rsid w:val="003907C3"/>
    <w:rsid w:val="003928A7"/>
    <w:rsid w:val="00392D08"/>
    <w:rsid w:val="00395C91"/>
    <w:rsid w:val="00395D05"/>
    <w:rsid w:val="00397956"/>
    <w:rsid w:val="00397AA6"/>
    <w:rsid w:val="003A0D39"/>
    <w:rsid w:val="003A26C4"/>
    <w:rsid w:val="003A38FE"/>
    <w:rsid w:val="003A71CD"/>
    <w:rsid w:val="003A7238"/>
    <w:rsid w:val="003A7A21"/>
    <w:rsid w:val="003B0855"/>
    <w:rsid w:val="003B1146"/>
    <w:rsid w:val="003B3B65"/>
    <w:rsid w:val="003B4C9D"/>
    <w:rsid w:val="003B4DAB"/>
    <w:rsid w:val="003B690F"/>
    <w:rsid w:val="003B7803"/>
    <w:rsid w:val="003C0649"/>
    <w:rsid w:val="003C07A8"/>
    <w:rsid w:val="003C07B7"/>
    <w:rsid w:val="003C2932"/>
    <w:rsid w:val="003C505B"/>
    <w:rsid w:val="003C61D7"/>
    <w:rsid w:val="003C7ACE"/>
    <w:rsid w:val="003D020B"/>
    <w:rsid w:val="003D0B0A"/>
    <w:rsid w:val="003D18D5"/>
    <w:rsid w:val="003D49DA"/>
    <w:rsid w:val="003D6E87"/>
    <w:rsid w:val="003D6F5D"/>
    <w:rsid w:val="003E0362"/>
    <w:rsid w:val="003E0375"/>
    <w:rsid w:val="003E0ECD"/>
    <w:rsid w:val="003E113F"/>
    <w:rsid w:val="003E1250"/>
    <w:rsid w:val="003E1BF3"/>
    <w:rsid w:val="003E264C"/>
    <w:rsid w:val="003E32EF"/>
    <w:rsid w:val="003E40A1"/>
    <w:rsid w:val="003E6E30"/>
    <w:rsid w:val="003E7F47"/>
    <w:rsid w:val="003F038C"/>
    <w:rsid w:val="003F0BEB"/>
    <w:rsid w:val="003F214F"/>
    <w:rsid w:val="003F237A"/>
    <w:rsid w:val="003F315D"/>
    <w:rsid w:val="003F395B"/>
    <w:rsid w:val="003F4388"/>
    <w:rsid w:val="003F6F0C"/>
    <w:rsid w:val="00401101"/>
    <w:rsid w:val="004026DD"/>
    <w:rsid w:val="004027D7"/>
    <w:rsid w:val="00404C59"/>
    <w:rsid w:val="004109B0"/>
    <w:rsid w:val="00412F22"/>
    <w:rsid w:val="00413991"/>
    <w:rsid w:val="00413F49"/>
    <w:rsid w:val="004141A4"/>
    <w:rsid w:val="004163A1"/>
    <w:rsid w:val="00416C5A"/>
    <w:rsid w:val="0041743E"/>
    <w:rsid w:val="0041758E"/>
    <w:rsid w:val="004204E3"/>
    <w:rsid w:val="0042173F"/>
    <w:rsid w:val="00423F70"/>
    <w:rsid w:val="00425504"/>
    <w:rsid w:val="00425AB6"/>
    <w:rsid w:val="00426681"/>
    <w:rsid w:val="00426D7C"/>
    <w:rsid w:val="00426F0D"/>
    <w:rsid w:val="00427879"/>
    <w:rsid w:val="004314B0"/>
    <w:rsid w:val="00433139"/>
    <w:rsid w:val="004356B5"/>
    <w:rsid w:val="00436EE2"/>
    <w:rsid w:val="00436FE3"/>
    <w:rsid w:val="00437937"/>
    <w:rsid w:val="00440957"/>
    <w:rsid w:val="00441618"/>
    <w:rsid w:val="00442564"/>
    <w:rsid w:val="00443ED5"/>
    <w:rsid w:val="00445D79"/>
    <w:rsid w:val="00450625"/>
    <w:rsid w:val="00450911"/>
    <w:rsid w:val="00451142"/>
    <w:rsid w:val="00454B0D"/>
    <w:rsid w:val="00456892"/>
    <w:rsid w:val="00457347"/>
    <w:rsid w:val="00457695"/>
    <w:rsid w:val="00460952"/>
    <w:rsid w:val="0046639E"/>
    <w:rsid w:val="00466CB8"/>
    <w:rsid w:val="004673F7"/>
    <w:rsid w:val="004732C2"/>
    <w:rsid w:val="004739A1"/>
    <w:rsid w:val="004740E0"/>
    <w:rsid w:val="004748DB"/>
    <w:rsid w:val="00474A5F"/>
    <w:rsid w:val="00475185"/>
    <w:rsid w:val="00475429"/>
    <w:rsid w:val="00475430"/>
    <w:rsid w:val="00476261"/>
    <w:rsid w:val="004766C2"/>
    <w:rsid w:val="00476C1B"/>
    <w:rsid w:val="00476F53"/>
    <w:rsid w:val="004777A8"/>
    <w:rsid w:val="00480B3B"/>
    <w:rsid w:val="004815E1"/>
    <w:rsid w:val="00481870"/>
    <w:rsid w:val="00481BC6"/>
    <w:rsid w:val="00485EAE"/>
    <w:rsid w:val="004871EB"/>
    <w:rsid w:val="00487367"/>
    <w:rsid w:val="00487B0D"/>
    <w:rsid w:val="00487F17"/>
    <w:rsid w:val="004915E2"/>
    <w:rsid w:val="00492B85"/>
    <w:rsid w:val="00493092"/>
    <w:rsid w:val="004939E7"/>
    <w:rsid w:val="00494469"/>
    <w:rsid w:val="00494E4C"/>
    <w:rsid w:val="00495EA0"/>
    <w:rsid w:val="0049656E"/>
    <w:rsid w:val="0049758E"/>
    <w:rsid w:val="004978DF"/>
    <w:rsid w:val="004A117C"/>
    <w:rsid w:val="004A12B4"/>
    <w:rsid w:val="004A2E74"/>
    <w:rsid w:val="004A75D0"/>
    <w:rsid w:val="004B132E"/>
    <w:rsid w:val="004B2D52"/>
    <w:rsid w:val="004B2F41"/>
    <w:rsid w:val="004B33AB"/>
    <w:rsid w:val="004B366A"/>
    <w:rsid w:val="004B3BA8"/>
    <w:rsid w:val="004B4D5F"/>
    <w:rsid w:val="004B52E0"/>
    <w:rsid w:val="004B5464"/>
    <w:rsid w:val="004C024D"/>
    <w:rsid w:val="004C0305"/>
    <w:rsid w:val="004C1186"/>
    <w:rsid w:val="004C2669"/>
    <w:rsid w:val="004C2A84"/>
    <w:rsid w:val="004C51AA"/>
    <w:rsid w:val="004C6029"/>
    <w:rsid w:val="004C66D6"/>
    <w:rsid w:val="004C6907"/>
    <w:rsid w:val="004D1412"/>
    <w:rsid w:val="004D208A"/>
    <w:rsid w:val="004D2BCB"/>
    <w:rsid w:val="004D3676"/>
    <w:rsid w:val="004D3787"/>
    <w:rsid w:val="004D3BD8"/>
    <w:rsid w:val="004D4182"/>
    <w:rsid w:val="004D640C"/>
    <w:rsid w:val="004D73B2"/>
    <w:rsid w:val="004E38C7"/>
    <w:rsid w:val="004E3BC0"/>
    <w:rsid w:val="004E4875"/>
    <w:rsid w:val="004E6BFE"/>
    <w:rsid w:val="004E761F"/>
    <w:rsid w:val="004F2834"/>
    <w:rsid w:val="004F2FD7"/>
    <w:rsid w:val="004F4582"/>
    <w:rsid w:val="004F5AD5"/>
    <w:rsid w:val="004F62D3"/>
    <w:rsid w:val="004F64A6"/>
    <w:rsid w:val="004F70D4"/>
    <w:rsid w:val="004F77D3"/>
    <w:rsid w:val="0050319E"/>
    <w:rsid w:val="0050722B"/>
    <w:rsid w:val="00507688"/>
    <w:rsid w:val="005117F2"/>
    <w:rsid w:val="00512E8F"/>
    <w:rsid w:val="005135CC"/>
    <w:rsid w:val="00514278"/>
    <w:rsid w:val="00515DDC"/>
    <w:rsid w:val="00515F11"/>
    <w:rsid w:val="0051655B"/>
    <w:rsid w:val="005176E9"/>
    <w:rsid w:val="00520130"/>
    <w:rsid w:val="00521621"/>
    <w:rsid w:val="00521CFD"/>
    <w:rsid w:val="00522D3E"/>
    <w:rsid w:val="00523755"/>
    <w:rsid w:val="00524BB9"/>
    <w:rsid w:val="0052558C"/>
    <w:rsid w:val="00526360"/>
    <w:rsid w:val="00530848"/>
    <w:rsid w:val="00530E7E"/>
    <w:rsid w:val="00533100"/>
    <w:rsid w:val="0053439E"/>
    <w:rsid w:val="00534DEF"/>
    <w:rsid w:val="00535BEB"/>
    <w:rsid w:val="0053641D"/>
    <w:rsid w:val="00537D32"/>
    <w:rsid w:val="00537F9A"/>
    <w:rsid w:val="00540524"/>
    <w:rsid w:val="0054183F"/>
    <w:rsid w:val="00541D64"/>
    <w:rsid w:val="00542183"/>
    <w:rsid w:val="0054343A"/>
    <w:rsid w:val="005440BF"/>
    <w:rsid w:val="0054496C"/>
    <w:rsid w:val="00544B45"/>
    <w:rsid w:val="00544D58"/>
    <w:rsid w:val="0054502B"/>
    <w:rsid w:val="005509E8"/>
    <w:rsid w:val="00550C31"/>
    <w:rsid w:val="005518DF"/>
    <w:rsid w:val="005521AA"/>
    <w:rsid w:val="005529AE"/>
    <w:rsid w:val="00553076"/>
    <w:rsid w:val="0055437F"/>
    <w:rsid w:val="00554E08"/>
    <w:rsid w:val="00557FEB"/>
    <w:rsid w:val="00567B08"/>
    <w:rsid w:val="00567FA3"/>
    <w:rsid w:val="00571C52"/>
    <w:rsid w:val="005752C9"/>
    <w:rsid w:val="00576605"/>
    <w:rsid w:val="005775A0"/>
    <w:rsid w:val="00580355"/>
    <w:rsid w:val="00582ECC"/>
    <w:rsid w:val="00583806"/>
    <w:rsid w:val="00584BAC"/>
    <w:rsid w:val="00591E7A"/>
    <w:rsid w:val="0059284A"/>
    <w:rsid w:val="005938C6"/>
    <w:rsid w:val="00594B6C"/>
    <w:rsid w:val="00594D3F"/>
    <w:rsid w:val="00595579"/>
    <w:rsid w:val="005963F8"/>
    <w:rsid w:val="00596B5B"/>
    <w:rsid w:val="005A022C"/>
    <w:rsid w:val="005A19E0"/>
    <w:rsid w:val="005A2E68"/>
    <w:rsid w:val="005A54D0"/>
    <w:rsid w:val="005A59A3"/>
    <w:rsid w:val="005A658C"/>
    <w:rsid w:val="005A69B7"/>
    <w:rsid w:val="005A6A5F"/>
    <w:rsid w:val="005B0164"/>
    <w:rsid w:val="005B04DD"/>
    <w:rsid w:val="005B092F"/>
    <w:rsid w:val="005B10F6"/>
    <w:rsid w:val="005B13C7"/>
    <w:rsid w:val="005B4EF0"/>
    <w:rsid w:val="005B6438"/>
    <w:rsid w:val="005C0295"/>
    <w:rsid w:val="005C03FA"/>
    <w:rsid w:val="005C05FE"/>
    <w:rsid w:val="005C1904"/>
    <w:rsid w:val="005C2077"/>
    <w:rsid w:val="005C4496"/>
    <w:rsid w:val="005C5D3F"/>
    <w:rsid w:val="005C6AF5"/>
    <w:rsid w:val="005D1BAD"/>
    <w:rsid w:val="005D1D97"/>
    <w:rsid w:val="005D3FC3"/>
    <w:rsid w:val="005D58B0"/>
    <w:rsid w:val="005D5CC8"/>
    <w:rsid w:val="005D6115"/>
    <w:rsid w:val="005D6658"/>
    <w:rsid w:val="005E2E81"/>
    <w:rsid w:val="005E3830"/>
    <w:rsid w:val="005E38CC"/>
    <w:rsid w:val="005E4355"/>
    <w:rsid w:val="005E5031"/>
    <w:rsid w:val="005E5AB0"/>
    <w:rsid w:val="005F0EFC"/>
    <w:rsid w:val="005F0F23"/>
    <w:rsid w:val="005F383F"/>
    <w:rsid w:val="005F450F"/>
    <w:rsid w:val="005F4D97"/>
    <w:rsid w:val="005F69CC"/>
    <w:rsid w:val="006004E6"/>
    <w:rsid w:val="00603262"/>
    <w:rsid w:val="0060459F"/>
    <w:rsid w:val="0060553E"/>
    <w:rsid w:val="00606894"/>
    <w:rsid w:val="00607BE8"/>
    <w:rsid w:val="00607D6D"/>
    <w:rsid w:val="00610F7E"/>
    <w:rsid w:val="00611249"/>
    <w:rsid w:val="0061241E"/>
    <w:rsid w:val="00612F09"/>
    <w:rsid w:val="00613231"/>
    <w:rsid w:val="00615683"/>
    <w:rsid w:val="0061600F"/>
    <w:rsid w:val="006162F4"/>
    <w:rsid w:val="006165CD"/>
    <w:rsid w:val="00616FB8"/>
    <w:rsid w:val="00617702"/>
    <w:rsid w:val="00617B5B"/>
    <w:rsid w:val="00621B1A"/>
    <w:rsid w:val="00622B00"/>
    <w:rsid w:val="006232A2"/>
    <w:rsid w:val="0062336C"/>
    <w:rsid w:val="00625753"/>
    <w:rsid w:val="00627F3D"/>
    <w:rsid w:val="00630BD1"/>
    <w:rsid w:val="00632637"/>
    <w:rsid w:val="00635CE2"/>
    <w:rsid w:val="006402B1"/>
    <w:rsid w:val="00640758"/>
    <w:rsid w:val="006416D1"/>
    <w:rsid w:val="00642901"/>
    <w:rsid w:val="006441B7"/>
    <w:rsid w:val="00644ABF"/>
    <w:rsid w:val="00650DA1"/>
    <w:rsid w:val="00650F2B"/>
    <w:rsid w:val="00651784"/>
    <w:rsid w:val="006520D0"/>
    <w:rsid w:val="0065236F"/>
    <w:rsid w:val="006532AB"/>
    <w:rsid w:val="00654538"/>
    <w:rsid w:val="00655EA6"/>
    <w:rsid w:val="0065689C"/>
    <w:rsid w:val="0066056E"/>
    <w:rsid w:val="00660C9A"/>
    <w:rsid w:val="00661B51"/>
    <w:rsid w:val="00663352"/>
    <w:rsid w:val="006635E2"/>
    <w:rsid w:val="0066627F"/>
    <w:rsid w:val="00666C61"/>
    <w:rsid w:val="00666E2B"/>
    <w:rsid w:val="00666FD9"/>
    <w:rsid w:val="00670F4B"/>
    <w:rsid w:val="00674FCE"/>
    <w:rsid w:val="0067548A"/>
    <w:rsid w:val="006760D0"/>
    <w:rsid w:val="0068198E"/>
    <w:rsid w:val="00682D7B"/>
    <w:rsid w:val="00684AFC"/>
    <w:rsid w:val="006874EB"/>
    <w:rsid w:val="0069490E"/>
    <w:rsid w:val="00695EC5"/>
    <w:rsid w:val="00696580"/>
    <w:rsid w:val="00697F3E"/>
    <w:rsid w:val="00697FAA"/>
    <w:rsid w:val="006A002B"/>
    <w:rsid w:val="006A1052"/>
    <w:rsid w:val="006A38A2"/>
    <w:rsid w:val="006B106C"/>
    <w:rsid w:val="006B56B4"/>
    <w:rsid w:val="006B62A9"/>
    <w:rsid w:val="006C1DF5"/>
    <w:rsid w:val="006C3E83"/>
    <w:rsid w:val="006C5CB0"/>
    <w:rsid w:val="006C7DB5"/>
    <w:rsid w:val="006D2370"/>
    <w:rsid w:val="006D2771"/>
    <w:rsid w:val="006D28A5"/>
    <w:rsid w:val="006D4007"/>
    <w:rsid w:val="006D5FF5"/>
    <w:rsid w:val="006E44A6"/>
    <w:rsid w:val="006E4983"/>
    <w:rsid w:val="006E54BD"/>
    <w:rsid w:val="006E5FB9"/>
    <w:rsid w:val="006E6B86"/>
    <w:rsid w:val="006E75CC"/>
    <w:rsid w:val="006E7E49"/>
    <w:rsid w:val="006F365B"/>
    <w:rsid w:val="006F39A1"/>
    <w:rsid w:val="006F6334"/>
    <w:rsid w:val="0070120D"/>
    <w:rsid w:val="007064BA"/>
    <w:rsid w:val="007071E9"/>
    <w:rsid w:val="0071007D"/>
    <w:rsid w:val="007109AF"/>
    <w:rsid w:val="00711451"/>
    <w:rsid w:val="00713988"/>
    <w:rsid w:val="00713AED"/>
    <w:rsid w:val="00713DE4"/>
    <w:rsid w:val="0071413B"/>
    <w:rsid w:val="007147F9"/>
    <w:rsid w:val="00717695"/>
    <w:rsid w:val="007203FB"/>
    <w:rsid w:val="00720E21"/>
    <w:rsid w:val="007211B6"/>
    <w:rsid w:val="00721559"/>
    <w:rsid w:val="0072348A"/>
    <w:rsid w:val="007253BC"/>
    <w:rsid w:val="00725BBF"/>
    <w:rsid w:val="00726912"/>
    <w:rsid w:val="00730485"/>
    <w:rsid w:val="0073106A"/>
    <w:rsid w:val="0073128A"/>
    <w:rsid w:val="00731368"/>
    <w:rsid w:val="00732686"/>
    <w:rsid w:val="00732BBF"/>
    <w:rsid w:val="00732CCF"/>
    <w:rsid w:val="007357FA"/>
    <w:rsid w:val="00735806"/>
    <w:rsid w:val="0073671E"/>
    <w:rsid w:val="00736872"/>
    <w:rsid w:val="00736EBB"/>
    <w:rsid w:val="007376D6"/>
    <w:rsid w:val="00741A18"/>
    <w:rsid w:val="007427A1"/>
    <w:rsid w:val="0074331A"/>
    <w:rsid w:val="00745ED9"/>
    <w:rsid w:val="007467C3"/>
    <w:rsid w:val="0075237B"/>
    <w:rsid w:val="00752639"/>
    <w:rsid w:val="007533CA"/>
    <w:rsid w:val="00755692"/>
    <w:rsid w:val="00757463"/>
    <w:rsid w:val="007574D1"/>
    <w:rsid w:val="00757AE7"/>
    <w:rsid w:val="00757B89"/>
    <w:rsid w:val="0076097B"/>
    <w:rsid w:val="007612D2"/>
    <w:rsid w:val="007627D0"/>
    <w:rsid w:val="00763C5C"/>
    <w:rsid w:val="007641FF"/>
    <w:rsid w:val="00766F01"/>
    <w:rsid w:val="007672F0"/>
    <w:rsid w:val="00767884"/>
    <w:rsid w:val="007704EF"/>
    <w:rsid w:val="00771344"/>
    <w:rsid w:val="00771817"/>
    <w:rsid w:val="00771C9A"/>
    <w:rsid w:val="007732BE"/>
    <w:rsid w:val="00774DC6"/>
    <w:rsid w:val="00775523"/>
    <w:rsid w:val="0077558B"/>
    <w:rsid w:val="0077646D"/>
    <w:rsid w:val="007811F2"/>
    <w:rsid w:val="00781CB3"/>
    <w:rsid w:val="0078447F"/>
    <w:rsid w:val="00784895"/>
    <w:rsid w:val="00785A48"/>
    <w:rsid w:val="0079073D"/>
    <w:rsid w:val="00792EB3"/>
    <w:rsid w:val="007947AA"/>
    <w:rsid w:val="00795B09"/>
    <w:rsid w:val="00796BD6"/>
    <w:rsid w:val="007A0020"/>
    <w:rsid w:val="007A0507"/>
    <w:rsid w:val="007A0A3D"/>
    <w:rsid w:val="007A2061"/>
    <w:rsid w:val="007A24A8"/>
    <w:rsid w:val="007A2ED4"/>
    <w:rsid w:val="007A3573"/>
    <w:rsid w:val="007A4000"/>
    <w:rsid w:val="007A4593"/>
    <w:rsid w:val="007A5681"/>
    <w:rsid w:val="007A660A"/>
    <w:rsid w:val="007A7D86"/>
    <w:rsid w:val="007B08A3"/>
    <w:rsid w:val="007B0CAE"/>
    <w:rsid w:val="007B0F83"/>
    <w:rsid w:val="007B384B"/>
    <w:rsid w:val="007B5740"/>
    <w:rsid w:val="007B626C"/>
    <w:rsid w:val="007B6335"/>
    <w:rsid w:val="007B6B73"/>
    <w:rsid w:val="007B6C0A"/>
    <w:rsid w:val="007B744A"/>
    <w:rsid w:val="007B75B0"/>
    <w:rsid w:val="007B7F93"/>
    <w:rsid w:val="007C0083"/>
    <w:rsid w:val="007C0106"/>
    <w:rsid w:val="007C11FE"/>
    <w:rsid w:val="007C13E3"/>
    <w:rsid w:val="007C32D9"/>
    <w:rsid w:val="007C33CB"/>
    <w:rsid w:val="007C3B7C"/>
    <w:rsid w:val="007C6594"/>
    <w:rsid w:val="007C69E1"/>
    <w:rsid w:val="007C6E23"/>
    <w:rsid w:val="007D12BF"/>
    <w:rsid w:val="007D483E"/>
    <w:rsid w:val="007D48DA"/>
    <w:rsid w:val="007D496B"/>
    <w:rsid w:val="007D4F72"/>
    <w:rsid w:val="007D609D"/>
    <w:rsid w:val="007D7111"/>
    <w:rsid w:val="007D769B"/>
    <w:rsid w:val="007E0FB0"/>
    <w:rsid w:val="007E180E"/>
    <w:rsid w:val="007E2A49"/>
    <w:rsid w:val="007E35E5"/>
    <w:rsid w:val="007E48C7"/>
    <w:rsid w:val="007E48CC"/>
    <w:rsid w:val="007E5386"/>
    <w:rsid w:val="007E6AA4"/>
    <w:rsid w:val="007F00A4"/>
    <w:rsid w:val="007F1580"/>
    <w:rsid w:val="007F2282"/>
    <w:rsid w:val="007F2381"/>
    <w:rsid w:val="007F47E8"/>
    <w:rsid w:val="007F4A23"/>
    <w:rsid w:val="007F4DC9"/>
    <w:rsid w:val="007F67CD"/>
    <w:rsid w:val="007F7997"/>
    <w:rsid w:val="0080068D"/>
    <w:rsid w:val="00800B43"/>
    <w:rsid w:val="00801BCB"/>
    <w:rsid w:val="008040C9"/>
    <w:rsid w:val="00806EB6"/>
    <w:rsid w:val="0081005C"/>
    <w:rsid w:val="00810086"/>
    <w:rsid w:val="0081047F"/>
    <w:rsid w:val="008106C1"/>
    <w:rsid w:val="0081153E"/>
    <w:rsid w:val="00811D20"/>
    <w:rsid w:val="00813EA7"/>
    <w:rsid w:val="00813F30"/>
    <w:rsid w:val="00816559"/>
    <w:rsid w:val="008170B5"/>
    <w:rsid w:val="00817719"/>
    <w:rsid w:val="00820876"/>
    <w:rsid w:val="00822507"/>
    <w:rsid w:val="00822637"/>
    <w:rsid w:val="0082427F"/>
    <w:rsid w:val="008267DE"/>
    <w:rsid w:val="008278AC"/>
    <w:rsid w:val="00830D48"/>
    <w:rsid w:val="00833771"/>
    <w:rsid w:val="008338B3"/>
    <w:rsid w:val="00833A8A"/>
    <w:rsid w:val="00833BB5"/>
    <w:rsid w:val="00834C4C"/>
    <w:rsid w:val="00836C32"/>
    <w:rsid w:val="008377EC"/>
    <w:rsid w:val="00837E27"/>
    <w:rsid w:val="00841A25"/>
    <w:rsid w:val="00841A67"/>
    <w:rsid w:val="00844745"/>
    <w:rsid w:val="00844B36"/>
    <w:rsid w:val="008450AD"/>
    <w:rsid w:val="008454C3"/>
    <w:rsid w:val="00847E9E"/>
    <w:rsid w:val="00855239"/>
    <w:rsid w:val="00855388"/>
    <w:rsid w:val="008563F9"/>
    <w:rsid w:val="00856463"/>
    <w:rsid w:val="008565AD"/>
    <w:rsid w:val="00856863"/>
    <w:rsid w:val="008652F2"/>
    <w:rsid w:val="00866484"/>
    <w:rsid w:val="00871A97"/>
    <w:rsid w:val="00871B3F"/>
    <w:rsid w:val="00872678"/>
    <w:rsid w:val="00872D9D"/>
    <w:rsid w:val="00873372"/>
    <w:rsid w:val="00873B31"/>
    <w:rsid w:val="00874499"/>
    <w:rsid w:val="00874CD9"/>
    <w:rsid w:val="00875BCE"/>
    <w:rsid w:val="00875C57"/>
    <w:rsid w:val="0087609C"/>
    <w:rsid w:val="0087679D"/>
    <w:rsid w:val="0087757B"/>
    <w:rsid w:val="00877C29"/>
    <w:rsid w:val="008823D6"/>
    <w:rsid w:val="008827E1"/>
    <w:rsid w:val="008828DB"/>
    <w:rsid w:val="00883841"/>
    <w:rsid w:val="008871CD"/>
    <w:rsid w:val="00891922"/>
    <w:rsid w:val="00891AB2"/>
    <w:rsid w:val="00892337"/>
    <w:rsid w:val="00892ADB"/>
    <w:rsid w:val="00893413"/>
    <w:rsid w:val="008A0428"/>
    <w:rsid w:val="008A05DE"/>
    <w:rsid w:val="008A141F"/>
    <w:rsid w:val="008A1B41"/>
    <w:rsid w:val="008A212B"/>
    <w:rsid w:val="008A2B88"/>
    <w:rsid w:val="008A6135"/>
    <w:rsid w:val="008A672B"/>
    <w:rsid w:val="008A681F"/>
    <w:rsid w:val="008A73CB"/>
    <w:rsid w:val="008A7CC8"/>
    <w:rsid w:val="008B055A"/>
    <w:rsid w:val="008B1DBA"/>
    <w:rsid w:val="008B2682"/>
    <w:rsid w:val="008B3EAE"/>
    <w:rsid w:val="008B643B"/>
    <w:rsid w:val="008C08F6"/>
    <w:rsid w:val="008C13AC"/>
    <w:rsid w:val="008C167E"/>
    <w:rsid w:val="008C2A0D"/>
    <w:rsid w:val="008C2DCF"/>
    <w:rsid w:val="008C350F"/>
    <w:rsid w:val="008C35BA"/>
    <w:rsid w:val="008C3A27"/>
    <w:rsid w:val="008C3FAD"/>
    <w:rsid w:val="008C47FE"/>
    <w:rsid w:val="008C678E"/>
    <w:rsid w:val="008C7D89"/>
    <w:rsid w:val="008D2DB2"/>
    <w:rsid w:val="008D4B3C"/>
    <w:rsid w:val="008D4C36"/>
    <w:rsid w:val="008D595D"/>
    <w:rsid w:val="008D6BB7"/>
    <w:rsid w:val="008D6E35"/>
    <w:rsid w:val="008D7292"/>
    <w:rsid w:val="008E064F"/>
    <w:rsid w:val="008E100A"/>
    <w:rsid w:val="008E1914"/>
    <w:rsid w:val="008E4084"/>
    <w:rsid w:val="008E440F"/>
    <w:rsid w:val="008E6799"/>
    <w:rsid w:val="008E69A6"/>
    <w:rsid w:val="008F06B6"/>
    <w:rsid w:val="008F23A7"/>
    <w:rsid w:val="008F3A6A"/>
    <w:rsid w:val="008F3A7B"/>
    <w:rsid w:val="008F409B"/>
    <w:rsid w:val="008F5065"/>
    <w:rsid w:val="0090046D"/>
    <w:rsid w:val="00901D5D"/>
    <w:rsid w:val="00903521"/>
    <w:rsid w:val="00903796"/>
    <w:rsid w:val="00906587"/>
    <w:rsid w:val="009065B3"/>
    <w:rsid w:val="00906979"/>
    <w:rsid w:val="00906EFC"/>
    <w:rsid w:val="009074B8"/>
    <w:rsid w:val="009107B2"/>
    <w:rsid w:val="00912559"/>
    <w:rsid w:val="009128E9"/>
    <w:rsid w:val="00912A6C"/>
    <w:rsid w:val="0091318B"/>
    <w:rsid w:val="00914588"/>
    <w:rsid w:val="00914869"/>
    <w:rsid w:val="00916490"/>
    <w:rsid w:val="009165D8"/>
    <w:rsid w:val="00920AA0"/>
    <w:rsid w:val="00924EEC"/>
    <w:rsid w:val="00927B69"/>
    <w:rsid w:val="00931C63"/>
    <w:rsid w:val="00932D0D"/>
    <w:rsid w:val="0093432B"/>
    <w:rsid w:val="0093510F"/>
    <w:rsid w:val="00935AE6"/>
    <w:rsid w:val="00935CE4"/>
    <w:rsid w:val="00936E6B"/>
    <w:rsid w:val="0094077B"/>
    <w:rsid w:val="00940CED"/>
    <w:rsid w:val="00941012"/>
    <w:rsid w:val="00941470"/>
    <w:rsid w:val="00941C34"/>
    <w:rsid w:val="00943AFF"/>
    <w:rsid w:val="00946435"/>
    <w:rsid w:val="009478DD"/>
    <w:rsid w:val="00951B3C"/>
    <w:rsid w:val="00952CCA"/>
    <w:rsid w:val="0095588D"/>
    <w:rsid w:val="00956707"/>
    <w:rsid w:val="009569EB"/>
    <w:rsid w:val="00956EC3"/>
    <w:rsid w:val="00957F28"/>
    <w:rsid w:val="00960508"/>
    <w:rsid w:val="009613E1"/>
    <w:rsid w:val="00961B9C"/>
    <w:rsid w:val="00962743"/>
    <w:rsid w:val="00970088"/>
    <w:rsid w:val="00970250"/>
    <w:rsid w:val="00973729"/>
    <w:rsid w:val="00983450"/>
    <w:rsid w:val="00983F8C"/>
    <w:rsid w:val="009872AA"/>
    <w:rsid w:val="00987697"/>
    <w:rsid w:val="00987ED5"/>
    <w:rsid w:val="009910CE"/>
    <w:rsid w:val="009913AA"/>
    <w:rsid w:val="00992277"/>
    <w:rsid w:val="0099275A"/>
    <w:rsid w:val="00993D8A"/>
    <w:rsid w:val="00995938"/>
    <w:rsid w:val="00997E29"/>
    <w:rsid w:val="009A3509"/>
    <w:rsid w:val="009A3798"/>
    <w:rsid w:val="009A65D8"/>
    <w:rsid w:val="009B0111"/>
    <w:rsid w:val="009B09FB"/>
    <w:rsid w:val="009B0A6A"/>
    <w:rsid w:val="009B0E0B"/>
    <w:rsid w:val="009B22FD"/>
    <w:rsid w:val="009B2629"/>
    <w:rsid w:val="009B2B83"/>
    <w:rsid w:val="009B3503"/>
    <w:rsid w:val="009B39D1"/>
    <w:rsid w:val="009B6A0E"/>
    <w:rsid w:val="009B78F2"/>
    <w:rsid w:val="009C1471"/>
    <w:rsid w:val="009C31CD"/>
    <w:rsid w:val="009C4647"/>
    <w:rsid w:val="009C51D8"/>
    <w:rsid w:val="009C5C8E"/>
    <w:rsid w:val="009C6015"/>
    <w:rsid w:val="009C7D5A"/>
    <w:rsid w:val="009D0A6F"/>
    <w:rsid w:val="009D1BD0"/>
    <w:rsid w:val="009D24F3"/>
    <w:rsid w:val="009D3070"/>
    <w:rsid w:val="009D39ED"/>
    <w:rsid w:val="009D3CA7"/>
    <w:rsid w:val="009D432E"/>
    <w:rsid w:val="009D45FB"/>
    <w:rsid w:val="009D5F2B"/>
    <w:rsid w:val="009D663F"/>
    <w:rsid w:val="009D7FA2"/>
    <w:rsid w:val="009E0E69"/>
    <w:rsid w:val="009E4B35"/>
    <w:rsid w:val="009E796B"/>
    <w:rsid w:val="009E7F59"/>
    <w:rsid w:val="009F035E"/>
    <w:rsid w:val="009F0405"/>
    <w:rsid w:val="009F0673"/>
    <w:rsid w:val="009F0AB8"/>
    <w:rsid w:val="009F165D"/>
    <w:rsid w:val="009F1A46"/>
    <w:rsid w:val="009F4537"/>
    <w:rsid w:val="009F6A2E"/>
    <w:rsid w:val="009F756F"/>
    <w:rsid w:val="00A00A31"/>
    <w:rsid w:val="00A01D0D"/>
    <w:rsid w:val="00A0370C"/>
    <w:rsid w:val="00A03A3E"/>
    <w:rsid w:val="00A0695F"/>
    <w:rsid w:val="00A1035F"/>
    <w:rsid w:val="00A10642"/>
    <w:rsid w:val="00A12F34"/>
    <w:rsid w:val="00A141A5"/>
    <w:rsid w:val="00A151FD"/>
    <w:rsid w:val="00A16150"/>
    <w:rsid w:val="00A166FD"/>
    <w:rsid w:val="00A1693A"/>
    <w:rsid w:val="00A16A02"/>
    <w:rsid w:val="00A172C3"/>
    <w:rsid w:val="00A17902"/>
    <w:rsid w:val="00A22093"/>
    <w:rsid w:val="00A234F6"/>
    <w:rsid w:val="00A23D46"/>
    <w:rsid w:val="00A254C7"/>
    <w:rsid w:val="00A25E7A"/>
    <w:rsid w:val="00A26409"/>
    <w:rsid w:val="00A264BF"/>
    <w:rsid w:val="00A27E21"/>
    <w:rsid w:val="00A31316"/>
    <w:rsid w:val="00A320D4"/>
    <w:rsid w:val="00A3255E"/>
    <w:rsid w:val="00A32BDF"/>
    <w:rsid w:val="00A32C03"/>
    <w:rsid w:val="00A33C45"/>
    <w:rsid w:val="00A36D87"/>
    <w:rsid w:val="00A37043"/>
    <w:rsid w:val="00A40F4E"/>
    <w:rsid w:val="00A42609"/>
    <w:rsid w:val="00A4297A"/>
    <w:rsid w:val="00A42DC1"/>
    <w:rsid w:val="00A44C5A"/>
    <w:rsid w:val="00A45238"/>
    <w:rsid w:val="00A46E8F"/>
    <w:rsid w:val="00A500A5"/>
    <w:rsid w:val="00A51544"/>
    <w:rsid w:val="00A51D72"/>
    <w:rsid w:val="00A525C3"/>
    <w:rsid w:val="00A54179"/>
    <w:rsid w:val="00A545C9"/>
    <w:rsid w:val="00A5572D"/>
    <w:rsid w:val="00A63AFA"/>
    <w:rsid w:val="00A63ED9"/>
    <w:rsid w:val="00A64221"/>
    <w:rsid w:val="00A656B4"/>
    <w:rsid w:val="00A66C39"/>
    <w:rsid w:val="00A67DD4"/>
    <w:rsid w:val="00A7045E"/>
    <w:rsid w:val="00A72D43"/>
    <w:rsid w:val="00A73D4A"/>
    <w:rsid w:val="00A74DAE"/>
    <w:rsid w:val="00A77B5B"/>
    <w:rsid w:val="00A8047C"/>
    <w:rsid w:val="00A80EEF"/>
    <w:rsid w:val="00A82082"/>
    <w:rsid w:val="00A82122"/>
    <w:rsid w:val="00A8337E"/>
    <w:rsid w:val="00A85258"/>
    <w:rsid w:val="00A85492"/>
    <w:rsid w:val="00A85DB0"/>
    <w:rsid w:val="00A86432"/>
    <w:rsid w:val="00A8726F"/>
    <w:rsid w:val="00A87B63"/>
    <w:rsid w:val="00A90E06"/>
    <w:rsid w:val="00A92685"/>
    <w:rsid w:val="00A943FE"/>
    <w:rsid w:val="00A94B7B"/>
    <w:rsid w:val="00A950DA"/>
    <w:rsid w:val="00A97E4F"/>
    <w:rsid w:val="00AA04BF"/>
    <w:rsid w:val="00AA06B8"/>
    <w:rsid w:val="00AA2A5A"/>
    <w:rsid w:val="00AA3778"/>
    <w:rsid w:val="00AA4A07"/>
    <w:rsid w:val="00AA59F5"/>
    <w:rsid w:val="00AA60EC"/>
    <w:rsid w:val="00AA6B7B"/>
    <w:rsid w:val="00AB0CD6"/>
    <w:rsid w:val="00AB16F0"/>
    <w:rsid w:val="00AB1782"/>
    <w:rsid w:val="00AB225D"/>
    <w:rsid w:val="00AB3223"/>
    <w:rsid w:val="00AB3B1E"/>
    <w:rsid w:val="00AB5426"/>
    <w:rsid w:val="00AC19F7"/>
    <w:rsid w:val="00AC2692"/>
    <w:rsid w:val="00AD2F24"/>
    <w:rsid w:val="00AD306A"/>
    <w:rsid w:val="00AD3738"/>
    <w:rsid w:val="00AD5265"/>
    <w:rsid w:val="00AD687A"/>
    <w:rsid w:val="00AE1871"/>
    <w:rsid w:val="00AE4BC0"/>
    <w:rsid w:val="00AE5FFC"/>
    <w:rsid w:val="00AE689A"/>
    <w:rsid w:val="00AF15C4"/>
    <w:rsid w:val="00AF26DF"/>
    <w:rsid w:val="00AF2DE5"/>
    <w:rsid w:val="00AF3503"/>
    <w:rsid w:val="00AF3A51"/>
    <w:rsid w:val="00AF3D1F"/>
    <w:rsid w:val="00AF4117"/>
    <w:rsid w:val="00AF4F62"/>
    <w:rsid w:val="00B02837"/>
    <w:rsid w:val="00B03960"/>
    <w:rsid w:val="00B075ED"/>
    <w:rsid w:val="00B07A9B"/>
    <w:rsid w:val="00B1077B"/>
    <w:rsid w:val="00B109F2"/>
    <w:rsid w:val="00B10E5F"/>
    <w:rsid w:val="00B111B4"/>
    <w:rsid w:val="00B11243"/>
    <w:rsid w:val="00B1281B"/>
    <w:rsid w:val="00B12D29"/>
    <w:rsid w:val="00B1311F"/>
    <w:rsid w:val="00B13927"/>
    <w:rsid w:val="00B153E8"/>
    <w:rsid w:val="00B16C7F"/>
    <w:rsid w:val="00B2218C"/>
    <w:rsid w:val="00B231B0"/>
    <w:rsid w:val="00B23AAC"/>
    <w:rsid w:val="00B23AC9"/>
    <w:rsid w:val="00B353C9"/>
    <w:rsid w:val="00B35C1A"/>
    <w:rsid w:val="00B405C3"/>
    <w:rsid w:val="00B41744"/>
    <w:rsid w:val="00B418D8"/>
    <w:rsid w:val="00B4328A"/>
    <w:rsid w:val="00B436F2"/>
    <w:rsid w:val="00B470FA"/>
    <w:rsid w:val="00B47B16"/>
    <w:rsid w:val="00B52EF3"/>
    <w:rsid w:val="00B549F5"/>
    <w:rsid w:val="00B555C7"/>
    <w:rsid w:val="00B558F1"/>
    <w:rsid w:val="00B55FCF"/>
    <w:rsid w:val="00B623B2"/>
    <w:rsid w:val="00B626E6"/>
    <w:rsid w:val="00B6415F"/>
    <w:rsid w:val="00B669CD"/>
    <w:rsid w:val="00B67C0C"/>
    <w:rsid w:val="00B75A5A"/>
    <w:rsid w:val="00B810CE"/>
    <w:rsid w:val="00B82022"/>
    <w:rsid w:val="00B833F8"/>
    <w:rsid w:val="00B84027"/>
    <w:rsid w:val="00B86ABF"/>
    <w:rsid w:val="00B86B5E"/>
    <w:rsid w:val="00B87B98"/>
    <w:rsid w:val="00B90CEF"/>
    <w:rsid w:val="00B91714"/>
    <w:rsid w:val="00B92379"/>
    <w:rsid w:val="00B93199"/>
    <w:rsid w:val="00B94827"/>
    <w:rsid w:val="00BA0728"/>
    <w:rsid w:val="00BA1E01"/>
    <w:rsid w:val="00BA2DC0"/>
    <w:rsid w:val="00BA3D01"/>
    <w:rsid w:val="00BA46C1"/>
    <w:rsid w:val="00BA7075"/>
    <w:rsid w:val="00BB36B3"/>
    <w:rsid w:val="00BB398E"/>
    <w:rsid w:val="00BB4146"/>
    <w:rsid w:val="00BB4D08"/>
    <w:rsid w:val="00BB5CBA"/>
    <w:rsid w:val="00BC02AE"/>
    <w:rsid w:val="00BC045C"/>
    <w:rsid w:val="00BC0841"/>
    <w:rsid w:val="00BC0DAF"/>
    <w:rsid w:val="00BC0DD4"/>
    <w:rsid w:val="00BC0E81"/>
    <w:rsid w:val="00BC1AE7"/>
    <w:rsid w:val="00BC2862"/>
    <w:rsid w:val="00BC2F37"/>
    <w:rsid w:val="00BC343C"/>
    <w:rsid w:val="00BC3962"/>
    <w:rsid w:val="00BC3CF8"/>
    <w:rsid w:val="00BC4452"/>
    <w:rsid w:val="00BC4850"/>
    <w:rsid w:val="00BC6BFE"/>
    <w:rsid w:val="00BC7B20"/>
    <w:rsid w:val="00BD10D1"/>
    <w:rsid w:val="00BD26D7"/>
    <w:rsid w:val="00BD271A"/>
    <w:rsid w:val="00BD3531"/>
    <w:rsid w:val="00BD5E89"/>
    <w:rsid w:val="00BD5FA6"/>
    <w:rsid w:val="00BD646B"/>
    <w:rsid w:val="00BE18CD"/>
    <w:rsid w:val="00BE2107"/>
    <w:rsid w:val="00BE2EEA"/>
    <w:rsid w:val="00BE4300"/>
    <w:rsid w:val="00BE5872"/>
    <w:rsid w:val="00BE6EBD"/>
    <w:rsid w:val="00BF06C7"/>
    <w:rsid w:val="00BF0759"/>
    <w:rsid w:val="00BF126F"/>
    <w:rsid w:val="00BF379E"/>
    <w:rsid w:val="00BF4041"/>
    <w:rsid w:val="00BF487B"/>
    <w:rsid w:val="00BF4A73"/>
    <w:rsid w:val="00BF5763"/>
    <w:rsid w:val="00C01EDB"/>
    <w:rsid w:val="00C020B4"/>
    <w:rsid w:val="00C04FBA"/>
    <w:rsid w:val="00C05682"/>
    <w:rsid w:val="00C05E8A"/>
    <w:rsid w:val="00C073EF"/>
    <w:rsid w:val="00C07A00"/>
    <w:rsid w:val="00C12C62"/>
    <w:rsid w:val="00C1388B"/>
    <w:rsid w:val="00C1514B"/>
    <w:rsid w:val="00C16980"/>
    <w:rsid w:val="00C174B9"/>
    <w:rsid w:val="00C17E78"/>
    <w:rsid w:val="00C20FCA"/>
    <w:rsid w:val="00C229AC"/>
    <w:rsid w:val="00C22BB8"/>
    <w:rsid w:val="00C242E9"/>
    <w:rsid w:val="00C26834"/>
    <w:rsid w:val="00C41773"/>
    <w:rsid w:val="00C41944"/>
    <w:rsid w:val="00C423F4"/>
    <w:rsid w:val="00C43FB7"/>
    <w:rsid w:val="00C4472B"/>
    <w:rsid w:val="00C44B92"/>
    <w:rsid w:val="00C46771"/>
    <w:rsid w:val="00C50F9B"/>
    <w:rsid w:val="00C51815"/>
    <w:rsid w:val="00C54111"/>
    <w:rsid w:val="00C556C3"/>
    <w:rsid w:val="00C558C1"/>
    <w:rsid w:val="00C573A8"/>
    <w:rsid w:val="00C579FC"/>
    <w:rsid w:val="00C61E1D"/>
    <w:rsid w:val="00C623B9"/>
    <w:rsid w:val="00C643C2"/>
    <w:rsid w:val="00C64A58"/>
    <w:rsid w:val="00C65862"/>
    <w:rsid w:val="00C65A38"/>
    <w:rsid w:val="00C65F1E"/>
    <w:rsid w:val="00C732F1"/>
    <w:rsid w:val="00C735E8"/>
    <w:rsid w:val="00C740F8"/>
    <w:rsid w:val="00C75CB6"/>
    <w:rsid w:val="00C772C0"/>
    <w:rsid w:val="00C817B0"/>
    <w:rsid w:val="00C83F61"/>
    <w:rsid w:val="00C852FD"/>
    <w:rsid w:val="00C8738E"/>
    <w:rsid w:val="00C92C22"/>
    <w:rsid w:val="00C92D80"/>
    <w:rsid w:val="00C930FA"/>
    <w:rsid w:val="00C94AAC"/>
    <w:rsid w:val="00C94B9A"/>
    <w:rsid w:val="00C950A0"/>
    <w:rsid w:val="00C95C76"/>
    <w:rsid w:val="00CA05B9"/>
    <w:rsid w:val="00CA0FBA"/>
    <w:rsid w:val="00CA17A1"/>
    <w:rsid w:val="00CA1AEA"/>
    <w:rsid w:val="00CA22E7"/>
    <w:rsid w:val="00CA5FEC"/>
    <w:rsid w:val="00CA6868"/>
    <w:rsid w:val="00CA7267"/>
    <w:rsid w:val="00CA7FB1"/>
    <w:rsid w:val="00CC2AC0"/>
    <w:rsid w:val="00CC438E"/>
    <w:rsid w:val="00CC4669"/>
    <w:rsid w:val="00CD06E4"/>
    <w:rsid w:val="00CD15DF"/>
    <w:rsid w:val="00CD1B53"/>
    <w:rsid w:val="00CD1F67"/>
    <w:rsid w:val="00CD2185"/>
    <w:rsid w:val="00CD23F0"/>
    <w:rsid w:val="00CD2D3E"/>
    <w:rsid w:val="00CD39FF"/>
    <w:rsid w:val="00CE184F"/>
    <w:rsid w:val="00CE2682"/>
    <w:rsid w:val="00CE2922"/>
    <w:rsid w:val="00CE40C4"/>
    <w:rsid w:val="00CE4528"/>
    <w:rsid w:val="00CE4A1C"/>
    <w:rsid w:val="00CE552E"/>
    <w:rsid w:val="00CE5A00"/>
    <w:rsid w:val="00CE5A71"/>
    <w:rsid w:val="00CE6E71"/>
    <w:rsid w:val="00CE7090"/>
    <w:rsid w:val="00CE7A1D"/>
    <w:rsid w:val="00CE7F83"/>
    <w:rsid w:val="00CF0145"/>
    <w:rsid w:val="00CF0FF5"/>
    <w:rsid w:val="00D010B5"/>
    <w:rsid w:val="00D04A93"/>
    <w:rsid w:val="00D057D9"/>
    <w:rsid w:val="00D05A53"/>
    <w:rsid w:val="00D0652D"/>
    <w:rsid w:val="00D06B21"/>
    <w:rsid w:val="00D0746A"/>
    <w:rsid w:val="00D118C0"/>
    <w:rsid w:val="00D12556"/>
    <w:rsid w:val="00D12B36"/>
    <w:rsid w:val="00D149F5"/>
    <w:rsid w:val="00D1624F"/>
    <w:rsid w:val="00D16481"/>
    <w:rsid w:val="00D23BEC"/>
    <w:rsid w:val="00D25510"/>
    <w:rsid w:val="00D25542"/>
    <w:rsid w:val="00D2562F"/>
    <w:rsid w:val="00D2568B"/>
    <w:rsid w:val="00D26239"/>
    <w:rsid w:val="00D30F55"/>
    <w:rsid w:val="00D31EB8"/>
    <w:rsid w:val="00D3258E"/>
    <w:rsid w:val="00D32823"/>
    <w:rsid w:val="00D333F0"/>
    <w:rsid w:val="00D33E57"/>
    <w:rsid w:val="00D34853"/>
    <w:rsid w:val="00D34AB7"/>
    <w:rsid w:val="00D34CB4"/>
    <w:rsid w:val="00D35178"/>
    <w:rsid w:val="00D354FE"/>
    <w:rsid w:val="00D36BC1"/>
    <w:rsid w:val="00D37804"/>
    <w:rsid w:val="00D37CA5"/>
    <w:rsid w:val="00D37DB3"/>
    <w:rsid w:val="00D40228"/>
    <w:rsid w:val="00D40C2A"/>
    <w:rsid w:val="00D42B2B"/>
    <w:rsid w:val="00D43457"/>
    <w:rsid w:val="00D437C1"/>
    <w:rsid w:val="00D44DCD"/>
    <w:rsid w:val="00D44E87"/>
    <w:rsid w:val="00D54E79"/>
    <w:rsid w:val="00D567D8"/>
    <w:rsid w:val="00D605CB"/>
    <w:rsid w:val="00D63AA8"/>
    <w:rsid w:val="00D63F6C"/>
    <w:rsid w:val="00D6609D"/>
    <w:rsid w:val="00D674F6"/>
    <w:rsid w:val="00D73050"/>
    <w:rsid w:val="00D77417"/>
    <w:rsid w:val="00D774AA"/>
    <w:rsid w:val="00D80C0C"/>
    <w:rsid w:val="00D81527"/>
    <w:rsid w:val="00D816DF"/>
    <w:rsid w:val="00D823A1"/>
    <w:rsid w:val="00D82409"/>
    <w:rsid w:val="00D8548D"/>
    <w:rsid w:val="00D93BC9"/>
    <w:rsid w:val="00D97B2B"/>
    <w:rsid w:val="00DA15E1"/>
    <w:rsid w:val="00DA1A9E"/>
    <w:rsid w:val="00DA2DD5"/>
    <w:rsid w:val="00DA71D3"/>
    <w:rsid w:val="00DA7AE7"/>
    <w:rsid w:val="00DB1164"/>
    <w:rsid w:val="00DB3885"/>
    <w:rsid w:val="00DB60C5"/>
    <w:rsid w:val="00DC17FF"/>
    <w:rsid w:val="00DC2743"/>
    <w:rsid w:val="00DC4128"/>
    <w:rsid w:val="00DC4B9B"/>
    <w:rsid w:val="00DD08EE"/>
    <w:rsid w:val="00DD12EE"/>
    <w:rsid w:val="00DD333A"/>
    <w:rsid w:val="00DD35B1"/>
    <w:rsid w:val="00DD6334"/>
    <w:rsid w:val="00DD71FB"/>
    <w:rsid w:val="00DE0BBB"/>
    <w:rsid w:val="00DE16DC"/>
    <w:rsid w:val="00DE254D"/>
    <w:rsid w:val="00DE35BE"/>
    <w:rsid w:val="00DE681B"/>
    <w:rsid w:val="00DE7F87"/>
    <w:rsid w:val="00DF10E1"/>
    <w:rsid w:val="00DF28C2"/>
    <w:rsid w:val="00DF352C"/>
    <w:rsid w:val="00DF4236"/>
    <w:rsid w:val="00DF447A"/>
    <w:rsid w:val="00DF5B8F"/>
    <w:rsid w:val="00DF7C2A"/>
    <w:rsid w:val="00E02BC3"/>
    <w:rsid w:val="00E03972"/>
    <w:rsid w:val="00E03C3F"/>
    <w:rsid w:val="00E049E3"/>
    <w:rsid w:val="00E06141"/>
    <w:rsid w:val="00E070F9"/>
    <w:rsid w:val="00E07239"/>
    <w:rsid w:val="00E07667"/>
    <w:rsid w:val="00E10560"/>
    <w:rsid w:val="00E10A9D"/>
    <w:rsid w:val="00E10D19"/>
    <w:rsid w:val="00E12C27"/>
    <w:rsid w:val="00E12CB7"/>
    <w:rsid w:val="00E13558"/>
    <w:rsid w:val="00E146CD"/>
    <w:rsid w:val="00E14849"/>
    <w:rsid w:val="00E14D97"/>
    <w:rsid w:val="00E158CC"/>
    <w:rsid w:val="00E202BA"/>
    <w:rsid w:val="00E20C81"/>
    <w:rsid w:val="00E20CED"/>
    <w:rsid w:val="00E2120A"/>
    <w:rsid w:val="00E2196B"/>
    <w:rsid w:val="00E21C21"/>
    <w:rsid w:val="00E223A2"/>
    <w:rsid w:val="00E22661"/>
    <w:rsid w:val="00E24314"/>
    <w:rsid w:val="00E2454F"/>
    <w:rsid w:val="00E25EEF"/>
    <w:rsid w:val="00E300F8"/>
    <w:rsid w:val="00E301D4"/>
    <w:rsid w:val="00E332BF"/>
    <w:rsid w:val="00E34E35"/>
    <w:rsid w:val="00E3507D"/>
    <w:rsid w:val="00E3696D"/>
    <w:rsid w:val="00E36CAF"/>
    <w:rsid w:val="00E415C9"/>
    <w:rsid w:val="00E42521"/>
    <w:rsid w:val="00E44B39"/>
    <w:rsid w:val="00E45DE1"/>
    <w:rsid w:val="00E468D2"/>
    <w:rsid w:val="00E51A13"/>
    <w:rsid w:val="00E5260B"/>
    <w:rsid w:val="00E52946"/>
    <w:rsid w:val="00E548FE"/>
    <w:rsid w:val="00E54E8C"/>
    <w:rsid w:val="00E56596"/>
    <w:rsid w:val="00E57005"/>
    <w:rsid w:val="00E5752D"/>
    <w:rsid w:val="00E57F82"/>
    <w:rsid w:val="00E622E3"/>
    <w:rsid w:val="00E634F4"/>
    <w:rsid w:val="00E646CC"/>
    <w:rsid w:val="00E64D03"/>
    <w:rsid w:val="00E6618B"/>
    <w:rsid w:val="00E6627A"/>
    <w:rsid w:val="00E70D52"/>
    <w:rsid w:val="00E71539"/>
    <w:rsid w:val="00E7172D"/>
    <w:rsid w:val="00E71F9D"/>
    <w:rsid w:val="00E758AA"/>
    <w:rsid w:val="00E773EC"/>
    <w:rsid w:val="00E81589"/>
    <w:rsid w:val="00E823E1"/>
    <w:rsid w:val="00E825CB"/>
    <w:rsid w:val="00E840DA"/>
    <w:rsid w:val="00E844C7"/>
    <w:rsid w:val="00E846F0"/>
    <w:rsid w:val="00E85705"/>
    <w:rsid w:val="00E86068"/>
    <w:rsid w:val="00E92DC1"/>
    <w:rsid w:val="00E958C9"/>
    <w:rsid w:val="00E961AE"/>
    <w:rsid w:val="00E970FE"/>
    <w:rsid w:val="00E97846"/>
    <w:rsid w:val="00EA3B47"/>
    <w:rsid w:val="00EA3F59"/>
    <w:rsid w:val="00EA5C4D"/>
    <w:rsid w:val="00EA63C5"/>
    <w:rsid w:val="00EA6B94"/>
    <w:rsid w:val="00EA701D"/>
    <w:rsid w:val="00EA7468"/>
    <w:rsid w:val="00EB039A"/>
    <w:rsid w:val="00EB2330"/>
    <w:rsid w:val="00EB6578"/>
    <w:rsid w:val="00EB65BC"/>
    <w:rsid w:val="00EB748B"/>
    <w:rsid w:val="00EC17D2"/>
    <w:rsid w:val="00EC43FB"/>
    <w:rsid w:val="00EC5F6C"/>
    <w:rsid w:val="00EC6935"/>
    <w:rsid w:val="00ED0D12"/>
    <w:rsid w:val="00ED0DA5"/>
    <w:rsid w:val="00ED2774"/>
    <w:rsid w:val="00ED2923"/>
    <w:rsid w:val="00ED2F15"/>
    <w:rsid w:val="00ED5C2E"/>
    <w:rsid w:val="00ED7944"/>
    <w:rsid w:val="00EE0A75"/>
    <w:rsid w:val="00EE1117"/>
    <w:rsid w:val="00EE2755"/>
    <w:rsid w:val="00EE295A"/>
    <w:rsid w:val="00EE3405"/>
    <w:rsid w:val="00EE3771"/>
    <w:rsid w:val="00EE3B3A"/>
    <w:rsid w:val="00EE48C5"/>
    <w:rsid w:val="00EE4B5A"/>
    <w:rsid w:val="00EE5D2F"/>
    <w:rsid w:val="00EE6C40"/>
    <w:rsid w:val="00EE79A7"/>
    <w:rsid w:val="00EE7F17"/>
    <w:rsid w:val="00EF1C91"/>
    <w:rsid w:val="00EF5700"/>
    <w:rsid w:val="00EF75E3"/>
    <w:rsid w:val="00EF7FFE"/>
    <w:rsid w:val="00F000EC"/>
    <w:rsid w:val="00F034F0"/>
    <w:rsid w:val="00F04712"/>
    <w:rsid w:val="00F064A3"/>
    <w:rsid w:val="00F0736C"/>
    <w:rsid w:val="00F1004C"/>
    <w:rsid w:val="00F100C6"/>
    <w:rsid w:val="00F107AA"/>
    <w:rsid w:val="00F11543"/>
    <w:rsid w:val="00F13BB1"/>
    <w:rsid w:val="00F14755"/>
    <w:rsid w:val="00F15E0A"/>
    <w:rsid w:val="00F177A4"/>
    <w:rsid w:val="00F24FAB"/>
    <w:rsid w:val="00F25E68"/>
    <w:rsid w:val="00F2625F"/>
    <w:rsid w:val="00F262EE"/>
    <w:rsid w:val="00F265CD"/>
    <w:rsid w:val="00F26EED"/>
    <w:rsid w:val="00F3131C"/>
    <w:rsid w:val="00F32397"/>
    <w:rsid w:val="00F32669"/>
    <w:rsid w:val="00F3284F"/>
    <w:rsid w:val="00F37D31"/>
    <w:rsid w:val="00F402B3"/>
    <w:rsid w:val="00F40868"/>
    <w:rsid w:val="00F40B71"/>
    <w:rsid w:val="00F41B7E"/>
    <w:rsid w:val="00F47DBB"/>
    <w:rsid w:val="00F50B34"/>
    <w:rsid w:val="00F5157C"/>
    <w:rsid w:val="00F5277B"/>
    <w:rsid w:val="00F53E78"/>
    <w:rsid w:val="00F543D1"/>
    <w:rsid w:val="00F55416"/>
    <w:rsid w:val="00F600DC"/>
    <w:rsid w:val="00F60E13"/>
    <w:rsid w:val="00F62713"/>
    <w:rsid w:val="00F648BD"/>
    <w:rsid w:val="00F64ACF"/>
    <w:rsid w:val="00F65AA5"/>
    <w:rsid w:val="00F704FD"/>
    <w:rsid w:val="00F722E9"/>
    <w:rsid w:val="00F726FD"/>
    <w:rsid w:val="00F72B8E"/>
    <w:rsid w:val="00F73E2D"/>
    <w:rsid w:val="00F7686D"/>
    <w:rsid w:val="00F80D9F"/>
    <w:rsid w:val="00F80FC8"/>
    <w:rsid w:val="00F8224C"/>
    <w:rsid w:val="00F82D7D"/>
    <w:rsid w:val="00F843EC"/>
    <w:rsid w:val="00F84FBF"/>
    <w:rsid w:val="00F90032"/>
    <w:rsid w:val="00F9056B"/>
    <w:rsid w:val="00F96F18"/>
    <w:rsid w:val="00FA012C"/>
    <w:rsid w:val="00FA17EC"/>
    <w:rsid w:val="00FA1A22"/>
    <w:rsid w:val="00FA2B2A"/>
    <w:rsid w:val="00FA5A96"/>
    <w:rsid w:val="00FA774F"/>
    <w:rsid w:val="00FB030C"/>
    <w:rsid w:val="00FB24B6"/>
    <w:rsid w:val="00FB2F18"/>
    <w:rsid w:val="00FB307A"/>
    <w:rsid w:val="00FB4A74"/>
    <w:rsid w:val="00FB604E"/>
    <w:rsid w:val="00FC00C5"/>
    <w:rsid w:val="00FC1FB9"/>
    <w:rsid w:val="00FC52AA"/>
    <w:rsid w:val="00FC5B9E"/>
    <w:rsid w:val="00FC7C55"/>
    <w:rsid w:val="00FD0211"/>
    <w:rsid w:val="00FD0EF3"/>
    <w:rsid w:val="00FD1165"/>
    <w:rsid w:val="00FD4AFC"/>
    <w:rsid w:val="00FD731D"/>
    <w:rsid w:val="00FE08C9"/>
    <w:rsid w:val="00FE387E"/>
    <w:rsid w:val="00FE430F"/>
    <w:rsid w:val="00FE5ACF"/>
    <w:rsid w:val="00FF36E1"/>
    <w:rsid w:val="00FF46F5"/>
    <w:rsid w:val="00FF5A63"/>
    <w:rsid w:val="00FF5A91"/>
    <w:rsid w:val="00FF69C1"/>
    <w:rsid w:val="00FF6CAA"/>
    <w:rsid w:val="30AD9C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2E2033"/>
  <w15:docId w15:val="{201F2B29-F801-4BDB-A1EF-F9C70058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70C"/>
    <w:rPr>
      <w:sz w:val="24"/>
      <w:szCs w:val="24"/>
    </w:rPr>
  </w:style>
  <w:style w:type="paragraph" w:styleId="Heading1">
    <w:name w:val="heading 1"/>
    <w:basedOn w:val="Normal"/>
    <w:next w:val="Normal"/>
    <w:link w:val="Heading1Char"/>
    <w:qFormat/>
    <w:locked/>
    <w:rsid w:val="0025704D"/>
    <w:pPr>
      <w:autoSpaceDE w:val="0"/>
      <w:autoSpaceDN w:val="0"/>
      <w:jc w:val="center"/>
      <w:outlineLvl w:val="0"/>
    </w:pPr>
    <w:rPr>
      <w:b/>
      <w:bCs/>
    </w:rPr>
  </w:style>
  <w:style w:type="paragraph" w:styleId="Heading2">
    <w:name w:val="heading 2"/>
    <w:basedOn w:val="Normal"/>
    <w:next w:val="Normal"/>
    <w:link w:val="Heading2Char"/>
    <w:unhideWhenUsed/>
    <w:qFormat/>
    <w:locked/>
    <w:rsid w:val="008A681F"/>
    <w:pPr>
      <w:tabs>
        <w:tab w:val="left" w:pos="-1440"/>
      </w:tabs>
      <w:ind w:left="720" w:hanging="720"/>
      <w:outlineLvl w:val="1"/>
    </w:pPr>
    <w:rPr>
      <w:b/>
      <w:bCs/>
    </w:rPr>
  </w:style>
  <w:style w:type="paragraph" w:styleId="Heading3">
    <w:name w:val="heading 3"/>
    <w:basedOn w:val="Heading2"/>
    <w:next w:val="Normal"/>
    <w:link w:val="Heading3Char"/>
    <w:unhideWhenUsed/>
    <w:qFormat/>
    <w:locked/>
    <w:rsid w:val="008A681F"/>
    <w:pPr>
      <w:numPr>
        <w:numId w:val="21"/>
      </w:numPr>
      <w:ind w:hanging="720"/>
      <w:outlineLvl w:val="2"/>
    </w:pPr>
  </w:style>
  <w:style w:type="paragraph" w:styleId="Heading4">
    <w:name w:val="heading 4"/>
    <w:basedOn w:val="Normal"/>
    <w:next w:val="Normal"/>
    <w:link w:val="Heading4Char"/>
    <w:unhideWhenUsed/>
    <w:qFormat/>
    <w:locked/>
    <w:rsid w:val="00A85258"/>
    <w:pPr>
      <w:autoSpaceDE w:val="0"/>
      <w:autoSpaceDN w:val="0"/>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5A19E0"/>
    <w:rPr>
      <w:sz w:val="20"/>
      <w:szCs w:val="20"/>
    </w:rPr>
  </w:style>
  <w:style w:type="character" w:customStyle="1" w:styleId="FootnoteTextChar">
    <w:name w:val="Footnote Text Char"/>
    <w:aliases w:val="Char Char,Char18 Char,F1 Char,FT Char,Footnote Text - NEW Char,Footnote Text AG Char,Footnote Text Char Char Char,Footnote Text Char Char Char Char Char,Footnote Text Char1 Char Char Char,Footnote ak Char,Footnotes Char,Style 14 Char"/>
    <w:basedOn w:val="DefaultParagraphFont"/>
    <w:link w:val="FootnoteText"/>
    <w:uiPriority w:val="99"/>
    <w:locked/>
    <w:rPr>
      <w:rFonts w:cs="Times New Roman"/>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qFormat/>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semiHidden/>
    <w:rsid w:val="00E10560"/>
    <w:rPr>
      <w:rFonts w:cs="Times New Roman"/>
      <w:sz w:val="16"/>
      <w:szCs w:val="16"/>
    </w:rPr>
  </w:style>
  <w:style w:type="paragraph" w:styleId="CommentText">
    <w:name w:val="annotation text"/>
    <w:basedOn w:val="Normal"/>
    <w:link w:val="CommentTextChar"/>
    <w:semiHidden/>
    <w:rsid w:val="00E10560"/>
    <w:rPr>
      <w:sz w:val="20"/>
      <w:szCs w:val="20"/>
    </w:rPr>
  </w:style>
  <w:style w:type="character" w:customStyle="1" w:styleId="CommentTextChar">
    <w:name w:val="Comment Text Char"/>
    <w:basedOn w:val="DefaultParagraphFont"/>
    <w:link w:val="CommentText"/>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EB6"/>
    <w:rPr>
      <w:color w:val="605E5C"/>
      <w:shd w:val="clear" w:color="auto" w:fill="E1DFDD"/>
    </w:rPr>
  </w:style>
  <w:style w:type="character" w:styleId="FollowedHyperlink">
    <w:name w:val="FollowedHyperlink"/>
    <w:basedOn w:val="DefaultParagraphFont"/>
    <w:uiPriority w:val="99"/>
    <w:semiHidden/>
    <w:unhideWhenUsed/>
    <w:rsid w:val="00806EB6"/>
    <w:rPr>
      <w:color w:val="800080" w:themeColor="followedHyperlink"/>
      <w:u w:val="single"/>
    </w:rPr>
  </w:style>
  <w:style w:type="character" w:customStyle="1" w:styleId="Heading1Char">
    <w:name w:val="Heading 1 Char"/>
    <w:basedOn w:val="DefaultParagraphFont"/>
    <w:link w:val="Heading1"/>
    <w:rsid w:val="0025704D"/>
    <w:rPr>
      <w:b/>
      <w:bCs/>
      <w:sz w:val="24"/>
      <w:szCs w:val="24"/>
    </w:rPr>
  </w:style>
  <w:style w:type="character" w:customStyle="1" w:styleId="Heading2Char">
    <w:name w:val="Heading 2 Char"/>
    <w:basedOn w:val="DefaultParagraphFont"/>
    <w:link w:val="Heading2"/>
    <w:rsid w:val="008A681F"/>
    <w:rPr>
      <w:b/>
      <w:bCs/>
      <w:sz w:val="24"/>
      <w:szCs w:val="24"/>
    </w:rPr>
  </w:style>
  <w:style w:type="character" w:customStyle="1" w:styleId="Heading3Char">
    <w:name w:val="Heading 3 Char"/>
    <w:basedOn w:val="DefaultParagraphFont"/>
    <w:link w:val="Heading3"/>
    <w:rsid w:val="008A681F"/>
    <w:rPr>
      <w:b/>
      <w:bCs/>
      <w:sz w:val="24"/>
      <w:szCs w:val="24"/>
    </w:rPr>
  </w:style>
  <w:style w:type="character" w:customStyle="1" w:styleId="Heading4Char">
    <w:name w:val="Heading 4 Char"/>
    <w:basedOn w:val="DefaultParagraphFont"/>
    <w:link w:val="Heading4"/>
    <w:rsid w:val="00A85258"/>
    <w:rPr>
      <w:sz w:val="24"/>
      <w:szCs w:val="24"/>
      <w:u w:val="single"/>
    </w:rPr>
  </w:style>
  <w:style w:type="paragraph" w:styleId="NoSpacing">
    <w:name w:val="No Spacing"/>
    <w:uiPriority w:val="1"/>
    <w:qFormat/>
    <w:rsid w:val="00096F8D"/>
    <w:pPr>
      <w:keepNext/>
    </w:pPr>
    <w:rPr>
      <w:rFonts w:eastAsiaTheme="minorHAnsi" w:cs="Calibri"/>
      <w:color w:val="000000"/>
      <w:kern w:val="2"/>
      <w:sz w:val="24"/>
      <w:szCs w:val="24"/>
      <w14:ligatures w14:val="standardContextual"/>
    </w:rPr>
  </w:style>
  <w:style w:type="paragraph" w:customStyle="1" w:styleId="Table">
    <w:name w:val="Table"/>
    <w:next w:val="Normal"/>
    <w:link w:val="TableChar"/>
    <w:qFormat/>
    <w:rsid w:val="002F3A63"/>
    <w:pPr>
      <w:keepNext/>
    </w:pPr>
    <w:rPr>
      <w:rFonts w:eastAsiaTheme="minorHAnsi" w:cstheme="minorBidi"/>
      <w:color w:val="000000"/>
      <w:kern w:val="2"/>
      <w:sz w:val="24"/>
      <w:szCs w:val="20"/>
      <w14:ligatures w14:val="standardContextual"/>
    </w:rPr>
  </w:style>
  <w:style w:type="character" w:customStyle="1" w:styleId="TableChar">
    <w:name w:val="Table Char"/>
    <w:basedOn w:val="DefaultParagraphFont"/>
    <w:link w:val="Table"/>
    <w:rsid w:val="002F3A63"/>
    <w:rPr>
      <w:rFonts w:eastAsiaTheme="minorHAnsi" w:cstheme="minorBidi"/>
      <w:color w:val="000000"/>
      <w:kern w:val="2"/>
      <w:sz w:val="24"/>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527D9405-F3FE-49E5-873B-D888C3AE2828}">
  <ds:schemaRefs>
    <ds:schemaRef ds:uri="http://schemas.microsoft.com/sharepoint/v3/contenttype/forms"/>
  </ds:schemaRefs>
</ds:datastoreItem>
</file>

<file path=customXml/itemProps2.xml><?xml version="1.0" encoding="utf-8"?>
<ds:datastoreItem xmlns:ds="http://schemas.openxmlformats.org/officeDocument/2006/customXml" ds:itemID="{E54D569A-89F2-4313-A61F-AF93C0471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473A6-F2E5-4AE8-A96E-58F31F876462}">
  <ds:schemaRefs>
    <ds:schemaRef ds:uri="http://schemas.openxmlformats.org/officeDocument/2006/bibliography"/>
  </ds:schemaRefs>
</ds:datastoreItem>
</file>

<file path=customXml/itemProps4.xml><?xml version="1.0" encoding="utf-8"?>
<ds:datastoreItem xmlns:ds="http://schemas.openxmlformats.org/officeDocument/2006/customXml" ds:itemID="{929B5CE5-AB03-4EBA-934E-15E283135221}">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2730</Words>
  <Characters>16107</Characters>
  <Application>Microsoft Office Word</Application>
  <DocSecurity>0</DocSecurity>
  <Lines>413</Lines>
  <Paragraphs>137</Paragraphs>
  <ScaleCrop>false</ScaleCrop>
  <Company>EBSA</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Ackerman, Rebekah A - EBSA</cp:lastModifiedBy>
  <cp:revision>2</cp:revision>
  <cp:lastPrinted>2015-11-05T18:09:00Z</cp:lastPrinted>
  <dcterms:created xsi:type="dcterms:W3CDTF">2026-03-31T13:48:00Z</dcterms:created>
  <dcterms:modified xsi:type="dcterms:W3CDTF">2026-03-31T13:48:00Z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docLang">
    <vt:lpwstr>en</vt:lpwstr>
  </property>
  <property fmtid="{D5CDD505-2E9C-101B-9397-08002B2CF9AE}" pid="4" name="MediaServiceImageTags">
    <vt:lpwstr/>
  </property>
</Properties>
</file>