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67E8" w:rsidRPr="00A43E7F" w:rsidP="008D67E8" w14:paraId="6D29AC18" w14:textId="77777777">
      <w:pPr>
        <w:pStyle w:val="Heading1"/>
        <w:rPr>
          <w:rFonts w:ascii="Times New Roman" w:hAnsi="Times New Roman" w:cs="Times New Roman"/>
          <w:bCs/>
        </w:rPr>
      </w:pPr>
      <w:r w:rsidRPr="00A43E7F">
        <w:rPr>
          <w:rFonts w:ascii="Times New Roman" w:hAnsi="Times New Roman" w:cs="Times New Roman"/>
          <w:bCs/>
        </w:rPr>
        <w:t>SUPPORTING STATEMENT FOR</w:t>
      </w:r>
    </w:p>
    <w:p w:rsidR="008D67E8" w:rsidRPr="00A43E7F" w:rsidP="008D67E8" w14:paraId="72BBFB98" w14:textId="38DA200B">
      <w:pPr>
        <w:pStyle w:val="Heading1"/>
        <w:rPr>
          <w:rFonts w:ascii="Times New Roman" w:hAnsi="Times New Roman" w:cs="Times New Roman"/>
          <w:bCs/>
        </w:rPr>
      </w:pPr>
      <w:r w:rsidRPr="00A43E7F">
        <w:rPr>
          <w:rFonts w:ascii="Times New Roman" w:hAnsi="Times New Roman" w:cs="Times New Roman"/>
          <w:bCs/>
        </w:rPr>
        <w:t xml:space="preserve"> Employment Transition Model</w:t>
      </w:r>
    </w:p>
    <w:p w:rsidR="008D67E8" w:rsidRPr="00A43E7F" w:rsidP="008D67E8" w14:paraId="66124712" w14:textId="77777777">
      <w:pPr>
        <w:pStyle w:val="Heading1"/>
        <w:rPr>
          <w:rFonts w:ascii="Times New Roman" w:hAnsi="Times New Roman" w:cs="Times New Roman"/>
          <w:bCs/>
        </w:rPr>
      </w:pPr>
    </w:p>
    <w:p w:rsidR="00BE1574" w:rsidRPr="00A43E7F" w:rsidP="00BE1574" w14:paraId="7D16E202" w14:textId="228B0E74">
      <w:pPr>
        <w:pStyle w:val="NoSpacing"/>
        <w:jc w:val="center"/>
        <w:rPr>
          <w:rFonts w:ascii="Times New Roman" w:hAnsi="Times New Roman"/>
          <w:b/>
          <w:sz w:val="24"/>
          <w:szCs w:val="24"/>
        </w:rPr>
      </w:pPr>
      <w:r w:rsidRPr="00A43E7F">
        <w:rPr>
          <w:rFonts w:ascii="Times New Roman" w:hAnsi="Times New Roman"/>
          <w:bCs/>
        </w:rPr>
        <w:t xml:space="preserve">OMB CONTROL NO.: </w:t>
      </w:r>
      <w:r w:rsidRPr="00A43E7F">
        <w:rPr>
          <w:rFonts w:ascii="Times New Roman" w:hAnsi="Times New Roman"/>
          <w:b/>
          <w:sz w:val="24"/>
          <w:szCs w:val="24"/>
        </w:rPr>
        <w:t>1290-0NEW</w:t>
      </w:r>
    </w:p>
    <w:p w:rsidR="00BE1574" w:rsidP="00BE1574" w14:paraId="1B7A4A35" w14:textId="77777777">
      <w:pPr>
        <w:rPr>
          <w:rFonts w:asciiTheme="majorBidi" w:hAnsiTheme="majorBidi" w:cstheme="majorBidi"/>
          <w:sz w:val="24"/>
          <w:szCs w:val="24"/>
        </w:rPr>
      </w:pPr>
    </w:p>
    <w:p w:rsidR="00A43E7F" w:rsidP="00670F78" w14:paraId="3B6F217D" w14:textId="77777777">
      <w:pPr>
        <w:rPr>
          <w:rFonts w:asciiTheme="majorBidi" w:hAnsiTheme="majorBidi" w:cstheme="majorBidi"/>
          <w:sz w:val="24"/>
          <w:szCs w:val="24"/>
        </w:rPr>
      </w:pPr>
      <w:r w:rsidRPr="008D67E8">
        <w:rPr>
          <w:rFonts w:asciiTheme="majorBidi" w:hAnsiTheme="majorBidi" w:cstheme="majorBidi"/>
          <w:bCs/>
          <w:sz w:val="24"/>
          <w:szCs w:val="24"/>
        </w:rPr>
        <w:t>This is a new information collection request.</w:t>
      </w:r>
      <w:r w:rsidRPr="008D67E8">
        <w:rPr>
          <w:rFonts w:asciiTheme="majorBidi" w:hAnsiTheme="majorBidi" w:cstheme="majorBidi"/>
          <w:sz w:val="24"/>
          <w:szCs w:val="24"/>
        </w:rPr>
        <w:t xml:space="preserve"> </w:t>
      </w:r>
      <w:bookmarkStart w:id="0" w:name="A01"/>
    </w:p>
    <w:p w:rsidR="00C21243" w:rsidRPr="00A43E7F" w:rsidP="00670F78" w14:paraId="4BEE582B" w14:textId="27C49404">
      <w:pPr>
        <w:rPr>
          <w:rFonts w:ascii="Times New Roman" w:hAnsi="Times New Roman" w:cs="Times New Roman"/>
          <w:b/>
          <w:bCs/>
        </w:rPr>
      </w:pPr>
      <w:r w:rsidRPr="00A43E7F">
        <w:rPr>
          <w:rFonts w:ascii="Times New Roman" w:hAnsi="Times New Roman" w:cs="Times New Roman"/>
          <w:b/>
          <w:bCs/>
        </w:rPr>
        <w:t>A. JUSTIFICATION</w:t>
      </w:r>
    </w:p>
    <w:p w:rsidR="00BE1574" w:rsidRPr="005C1CDF" w:rsidP="005C1CDF" w14:paraId="11AE7CA0" w14:textId="0CA5B3C6">
      <w:pPr>
        <w:keepLines/>
        <w:tabs>
          <w:tab w:val="left" w:pos="360"/>
        </w:tabs>
        <w:spacing w:after="120" w:line="240" w:lineRule="auto"/>
        <w:rPr>
          <w:rFonts w:ascii="Times New Roman Bold" w:hAnsi="Times New Roman Bold"/>
          <w:b/>
          <w:bCs/>
        </w:rPr>
      </w:pPr>
      <w:r>
        <w:rPr>
          <w:rFonts w:ascii="Times New Roman Bold" w:hAnsi="Times New Roman Bold"/>
          <w:b/>
          <w:bCs/>
        </w:rPr>
        <w:t>A.1.</w:t>
      </w:r>
      <w:bookmarkEnd w:id="0"/>
      <w:r>
        <w:rPr>
          <w:rFonts w:ascii="Times New Roman Bold" w:hAnsi="Times New Roman Bold"/>
          <w:b/>
          <w:bCs/>
        </w:rPr>
        <w:t xml:space="preserve"> </w:t>
      </w:r>
      <w:r w:rsidRPr="005C1CDF">
        <w:rPr>
          <w:rFonts w:ascii="Times New Roman Bold" w:hAnsi="Times New Roman Bold"/>
          <w:b/>
          <w:bCs/>
        </w:rPr>
        <w:t xml:space="preserve">Explain the circumstances that make the collection of information necessary. Identify any legal or administrative requirements that necessitate the collection. </w:t>
      </w:r>
      <w:bookmarkStart w:id="1" w:name="_Hlk73637462"/>
      <w:r w:rsidRPr="005C1CDF">
        <w:rPr>
          <w:rFonts w:ascii="Times New Roman Bold" w:hAnsi="Times New Roman Bold"/>
          <w:b/>
          <w:bCs/>
        </w:rPr>
        <w:t>Attach a copy of the appropriate section of each statute and regulation mandating or authorizing the collection of information.</w:t>
      </w:r>
      <w:bookmarkEnd w:id="1"/>
    </w:p>
    <w:p w:rsidR="00A3402D" w:rsidRPr="00BE1574" w:rsidP="00A3402D" w14:paraId="27515357" w14:textId="5D509C31">
      <w:pPr>
        <w:rPr>
          <w:rFonts w:asciiTheme="majorBidi" w:hAnsiTheme="majorBidi" w:cstheme="majorBidi"/>
          <w:sz w:val="24"/>
          <w:szCs w:val="24"/>
        </w:rPr>
      </w:pPr>
      <w:r>
        <w:rPr>
          <w:rFonts w:asciiTheme="majorBidi" w:hAnsiTheme="majorBidi" w:cstheme="majorBidi"/>
          <w:sz w:val="24"/>
          <w:szCs w:val="24"/>
        </w:rPr>
        <w:t>The Department of Labor (</w:t>
      </w:r>
      <w:r w:rsidR="00127BB9">
        <w:rPr>
          <w:rFonts w:asciiTheme="majorBidi" w:hAnsiTheme="majorBidi" w:cstheme="majorBidi"/>
          <w:sz w:val="24"/>
          <w:szCs w:val="24"/>
        </w:rPr>
        <w:t>DOL</w:t>
      </w:r>
      <w:r>
        <w:rPr>
          <w:rFonts w:asciiTheme="majorBidi" w:hAnsiTheme="majorBidi" w:cstheme="majorBidi"/>
          <w:sz w:val="24"/>
          <w:szCs w:val="24"/>
        </w:rPr>
        <w:t>)</w:t>
      </w:r>
      <w:r w:rsidR="00127BB9">
        <w:rPr>
          <w:rFonts w:asciiTheme="majorBidi" w:hAnsiTheme="majorBidi" w:cstheme="majorBidi"/>
          <w:sz w:val="24"/>
          <w:szCs w:val="24"/>
        </w:rPr>
        <w:t xml:space="preserve"> </w:t>
      </w:r>
      <w:r w:rsidR="00007E2C">
        <w:rPr>
          <w:rFonts w:asciiTheme="majorBidi" w:hAnsiTheme="majorBidi" w:cstheme="majorBidi"/>
          <w:sz w:val="24"/>
          <w:szCs w:val="24"/>
        </w:rPr>
        <w:t>is funding</w:t>
      </w:r>
      <w:r w:rsidR="00127BB9">
        <w:rPr>
          <w:rFonts w:asciiTheme="majorBidi" w:hAnsiTheme="majorBidi" w:cstheme="majorBidi"/>
          <w:sz w:val="24"/>
          <w:szCs w:val="24"/>
        </w:rPr>
        <w:t xml:space="preserve"> </w:t>
      </w:r>
      <w:r w:rsidR="00F72641">
        <w:rPr>
          <w:rFonts w:asciiTheme="majorBidi" w:hAnsiTheme="majorBidi" w:cstheme="majorBidi"/>
          <w:sz w:val="24"/>
          <w:szCs w:val="24"/>
        </w:rPr>
        <w:t xml:space="preserve">a total </w:t>
      </w:r>
      <w:r w:rsidR="008567F2">
        <w:rPr>
          <w:rFonts w:asciiTheme="majorBidi" w:hAnsiTheme="majorBidi" w:cstheme="majorBidi"/>
          <w:sz w:val="24"/>
          <w:szCs w:val="24"/>
        </w:rPr>
        <w:t>of</w:t>
      </w:r>
      <w:r w:rsidRPr="00BE1574" w:rsidR="008567F2">
        <w:rPr>
          <w:rFonts w:asciiTheme="majorBidi" w:hAnsiTheme="majorBidi" w:cstheme="majorBidi"/>
          <w:sz w:val="24"/>
          <w:szCs w:val="24"/>
        </w:rPr>
        <w:t xml:space="preserve"> $</w:t>
      </w:r>
      <w:r w:rsidRPr="00BE1574" w:rsidR="00BE1574">
        <w:rPr>
          <w:rFonts w:asciiTheme="majorBidi" w:hAnsiTheme="majorBidi" w:cstheme="majorBidi"/>
          <w:sz w:val="24"/>
          <w:szCs w:val="24"/>
        </w:rPr>
        <w:t xml:space="preserve">67 million in grants to </w:t>
      </w:r>
      <w:r w:rsidR="002829F4">
        <w:rPr>
          <w:rFonts w:asciiTheme="majorBidi" w:hAnsiTheme="majorBidi" w:cstheme="majorBidi"/>
          <w:sz w:val="24"/>
          <w:szCs w:val="24"/>
        </w:rPr>
        <w:t xml:space="preserve">the </w:t>
      </w:r>
      <w:r w:rsidR="00950E2D">
        <w:rPr>
          <w:rFonts w:asciiTheme="majorBidi" w:hAnsiTheme="majorBidi" w:cstheme="majorBidi"/>
          <w:sz w:val="24"/>
          <w:szCs w:val="24"/>
        </w:rPr>
        <w:t xml:space="preserve">Kansas Department of Commerce and to </w:t>
      </w:r>
      <w:r w:rsidR="002829F4">
        <w:rPr>
          <w:rFonts w:asciiTheme="majorBidi" w:hAnsiTheme="majorBidi" w:cstheme="majorBidi"/>
          <w:sz w:val="24"/>
          <w:szCs w:val="24"/>
        </w:rPr>
        <w:t>state</w:t>
      </w:r>
      <w:r w:rsidRPr="00BE1574" w:rsidR="00BE1574">
        <w:rPr>
          <w:rFonts w:asciiTheme="majorBidi" w:hAnsiTheme="majorBidi" w:cstheme="majorBidi"/>
          <w:sz w:val="24"/>
          <w:szCs w:val="24"/>
        </w:rPr>
        <w:t xml:space="preserve"> workforce agencies</w:t>
      </w:r>
      <w:r w:rsidR="00950E2D">
        <w:rPr>
          <w:rFonts w:asciiTheme="majorBidi" w:hAnsiTheme="majorBidi" w:cstheme="majorBidi"/>
          <w:sz w:val="24"/>
          <w:szCs w:val="24"/>
        </w:rPr>
        <w:t xml:space="preserve"> in Connecticut, Minnesota, and New York</w:t>
      </w:r>
      <w:r w:rsidRPr="00BE1574" w:rsidR="00BE1574">
        <w:rPr>
          <w:rFonts w:asciiTheme="majorBidi" w:hAnsiTheme="majorBidi" w:cstheme="majorBidi"/>
          <w:sz w:val="24"/>
          <w:szCs w:val="24"/>
        </w:rPr>
        <w:t xml:space="preserve">. </w:t>
      </w:r>
      <w:r w:rsidRPr="00520A5A" w:rsidR="00520A5A">
        <w:rPr>
          <w:rFonts w:asciiTheme="majorBidi" w:hAnsiTheme="majorBidi" w:cstheme="majorBidi"/>
          <w:sz w:val="24"/>
          <w:szCs w:val="24"/>
        </w:rPr>
        <w:t>The purpose of the grant is to help youth and young adults with disabilities (Y&amp;YAD), ages 14 to 24, who are eligible for Workforce Innovation and Opportunity Act (WIOA) Title I services, successfully transition into the workforce. Y&amp;YAD often face significant challenges during th</w:t>
      </w:r>
      <w:r w:rsidR="00520A5A">
        <w:rPr>
          <w:rFonts w:asciiTheme="majorBidi" w:hAnsiTheme="majorBidi" w:cstheme="majorBidi"/>
          <w:sz w:val="24"/>
          <w:szCs w:val="24"/>
        </w:rPr>
        <w:t>eir</w:t>
      </w:r>
      <w:r w:rsidRPr="00520A5A" w:rsidR="00520A5A">
        <w:rPr>
          <w:rFonts w:asciiTheme="majorBidi" w:hAnsiTheme="majorBidi" w:cstheme="majorBidi"/>
          <w:sz w:val="24"/>
          <w:szCs w:val="24"/>
        </w:rPr>
        <w:t xml:space="preserve"> transition</w:t>
      </w:r>
      <w:r w:rsidR="00520A5A">
        <w:rPr>
          <w:rFonts w:asciiTheme="majorBidi" w:hAnsiTheme="majorBidi" w:cstheme="majorBidi"/>
          <w:sz w:val="24"/>
          <w:szCs w:val="24"/>
        </w:rPr>
        <w:t xml:space="preserve"> to employment</w:t>
      </w:r>
      <w:r w:rsidRPr="00520A5A" w:rsidR="00520A5A">
        <w:rPr>
          <w:rFonts w:asciiTheme="majorBidi" w:hAnsiTheme="majorBidi" w:cstheme="majorBidi"/>
          <w:sz w:val="24"/>
          <w:szCs w:val="24"/>
        </w:rPr>
        <w:t xml:space="preserve"> and the grant is designed to address those barriers.</w:t>
      </w:r>
      <w:r w:rsidR="008D0624">
        <w:rPr>
          <w:rFonts w:asciiTheme="majorBidi" w:hAnsiTheme="majorBidi" w:cstheme="majorBidi"/>
          <w:sz w:val="24"/>
          <w:szCs w:val="24"/>
        </w:rPr>
        <w:t xml:space="preserve"> </w:t>
      </w:r>
      <w:r w:rsidRPr="00BE1574" w:rsidR="00BE1574">
        <w:rPr>
          <w:rFonts w:asciiTheme="majorBidi" w:hAnsiTheme="majorBidi" w:cstheme="majorBidi"/>
          <w:sz w:val="24"/>
          <w:szCs w:val="24"/>
        </w:rPr>
        <w:t>The ETM Demonstration gave five-year grants to these state</w:t>
      </w:r>
      <w:r w:rsidR="006D209B">
        <w:rPr>
          <w:rFonts w:asciiTheme="majorBidi" w:hAnsiTheme="majorBidi" w:cstheme="majorBidi"/>
          <w:sz w:val="24"/>
          <w:szCs w:val="24"/>
        </w:rPr>
        <w:t>s</w:t>
      </w:r>
      <w:r w:rsidRPr="00BE1574" w:rsidR="00BE1574">
        <w:rPr>
          <w:rFonts w:asciiTheme="majorBidi" w:hAnsiTheme="majorBidi" w:cstheme="majorBidi"/>
          <w:sz w:val="24"/>
          <w:szCs w:val="24"/>
        </w:rPr>
        <w:t xml:space="preserve"> to</w:t>
      </w:r>
      <w:r w:rsidR="00AB48E0">
        <w:rPr>
          <w:rFonts w:asciiTheme="majorBidi" w:hAnsiTheme="majorBidi" w:cstheme="majorBidi"/>
          <w:sz w:val="24"/>
          <w:szCs w:val="24"/>
        </w:rPr>
        <w:t>:</w:t>
      </w:r>
      <w:r w:rsidRPr="00BE1574" w:rsidR="00BE1574">
        <w:rPr>
          <w:rFonts w:asciiTheme="majorBidi" w:hAnsiTheme="majorBidi" w:cstheme="majorBidi"/>
          <w:sz w:val="24"/>
          <w:szCs w:val="24"/>
        </w:rPr>
        <w:t xml:space="preserve"> (1) identify, develop, and scale evidence-based strategies that improve </w:t>
      </w:r>
      <w:r w:rsidR="008A2031">
        <w:rPr>
          <w:rFonts w:asciiTheme="majorBidi" w:hAnsiTheme="majorBidi" w:cstheme="majorBidi"/>
          <w:sz w:val="24"/>
          <w:szCs w:val="24"/>
        </w:rPr>
        <w:t xml:space="preserve">work-related </w:t>
      </w:r>
      <w:r w:rsidRPr="00BE1574" w:rsidR="00BE1574">
        <w:rPr>
          <w:rFonts w:asciiTheme="majorBidi" w:hAnsiTheme="majorBidi" w:cstheme="majorBidi"/>
          <w:sz w:val="24"/>
          <w:szCs w:val="24"/>
        </w:rPr>
        <w:t>outcomes among Y&amp;YAD</w:t>
      </w:r>
      <w:r w:rsidR="00AB48E0">
        <w:rPr>
          <w:rFonts w:asciiTheme="majorBidi" w:hAnsiTheme="majorBidi" w:cstheme="majorBidi"/>
          <w:sz w:val="24"/>
          <w:szCs w:val="24"/>
        </w:rPr>
        <w:t xml:space="preserve">; </w:t>
      </w:r>
      <w:r w:rsidRPr="00BE1574" w:rsidR="00BE1574">
        <w:rPr>
          <w:rFonts w:asciiTheme="majorBidi" w:hAnsiTheme="majorBidi" w:cstheme="majorBidi"/>
          <w:sz w:val="24"/>
          <w:szCs w:val="24"/>
        </w:rPr>
        <w:t xml:space="preserve">and (2) increase states’ capacity to create innovative employment strategies for </w:t>
      </w:r>
      <w:r w:rsidR="002D7981">
        <w:rPr>
          <w:rFonts w:asciiTheme="majorBidi" w:hAnsiTheme="majorBidi" w:cstheme="majorBidi"/>
          <w:sz w:val="24"/>
          <w:szCs w:val="24"/>
        </w:rPr>
        <w:t>them</w:t>
      </w:r>
      <w:r w:rsidRPr="00BE1574" w:rsidR="00BE1574">
        <w:rPr>
          <w:rFonts w:asciiTheme="majorBidi" w:hAnsiTheme="majorBidi" w:cstheme="majorBidi"/>
          <w:sz w:val="24"/>
          <w:szCs w:val="24"/>
        </w:rPr>
        <w:t xml:space="preserve"> </w:t>
      </w:r>
      <w:r w:rsidRPr="00BE1574" w:rsidR="00127BB9">
        <w:rPr>
          <w:rFonts w:asciiTheme="majorBidi" w:hAnsiTheme="majorBidi" w:cstheme="majorBidi"/>
          <w:sz w:val="24"/>
          <w:szCs w:val="24"/>
        </w:rPr>
        <w:t xml:space="preserve">and their families. </w:t>
      </w:r>
    </w:p>
    <w:p w:rsidR="00B23BF0" w:rsidP="00885DEE" w14:paraId="5A5815E0" w14:textId="625FC950">
      <w:pPr>
        <w:pStyle w:val="BodyText"/>
        <w:rPr>
          <w:rFonts w:asciiTheme="majorBidi" w:hAnsiTheme="majorBidi" w:cstheme="majorBidi"/>
          <w:sz w:val="24"/>
          <w:szCs w:val="24"/>
        </w:rPr>
      </w:pPr>
      <w:r w:rsidRPr="00A3402D">
        <w:rPr>
          <w:rFonts w:eastAsia="Calibri"/>
          <w:sz w:val="24"/>
          <w:szCs w:val="24"/>
        </w:rPr>
        <w:t xml:space="preserve">The </w:t>
      </w:r>
      <w:r w:rsidR="00E0090C">
        <w:rPr>
          <w:rFonts w:eastAsia="Calibri"/>
          <w:sz w:val="24"/>
        </w:rPr>
        <w:t xml:space="preserve">overarching </w:t>
      </w:r>
      <w:r w:rsidRPr="00A3402D">
        <w:rPr>
          <w:rFonts w:eastAsia="Calibri"/>
          <w:sz w:val="24"/>
        </w:rPr>
        <w:t>object</w:t>
      </w:r>
      <w:r w:rsidR="003B630B">
        <w:rPr>
          <w:rFonts w:eastAsia="Calibri"/>
          <w:sz w:val="24"/>
        </w:rPr>
        <w:t>ive</w:t>
      </w:r>
      <w:r w:rsidRPr="00A3402D">
        <w:rPr>
          <w:rFonts w:eastAsia="Calibri"/>
          <w:sz w:val="24"/>
        </w:rPr>
        <w:t xml:space="preserve"> of the grants is to </w:t>
      </w:r>
      <w:r w:rsidRPr="00885DEE" w:rsidR="00885DEE">
        <w:rPr>
          <w:rFonts w:eastAsia="Calibri"/>
          <w:sz w:val="24"/>
        </w:rPr>
        <w:t xml:space="preserve">inform program oversight, </w:t>
      </w:r>
      <w:r w:rsidR="00885DEE">
        <w:rPr>
          <w:rFonts w:eastAsia="Calibri"/>
          <w:sz w:val="24"/>
        </w:rPr>
        <w:t xml:space="preserve">provide </w:t>
      </w:r>
      <w:r w:rsidRPr="00885DEE" w:rsidR="00885DEE">
        <w:rPr>
          <w:rFonts w:eastAsia="Calibri"/>
          <w:sz w:val="24"/>
        </w:rPr>
        <w:t xml:space="preserve">technical assistance, and </w:t>
      </w:r>
      <w:r w:rsidR="00DF547E">
        <w:rPr>
          <w:rFonts w:eastAsia="Calibri"/>
          <w:sz w:val="24"/>
        </w:rPr>
        <w:t xml:space="preserve">generate </w:t>
      </w:r>
      <w:r w:rsidRPr="00885DEE" w:rsidR="00885DEE">
        <w:rPr>
          <w:rFonts w:eastAsia="Calibri"/>
          <w:sz w:val="24"/>
        </w:rPr>
        <w:t xml:space="preserve">evidence </w:t>
      </w:r>
      <w:r w:rsidRPr="00A3402D">
        <w:rPr>
          <w:rFonts w:eastAsia="Calibri"/>
          <w:sz w:val="24"/>
        </w:rPr>
        <w:t>by</w:t>
      </w:r>
      <w:r w:rsidRPr="00A11845" w:rsidR="00A11845">
        <w:t xml:space="preserve"> </w:t>
      </w:r>
      <w:r w:rsidRPr="00A11845" w:rsidR="00A11845">
        <w:rPr>
          <w:rFonts w:eastAsia="Calibri"/>
          <w:sz w:val="24"/>
          <w:szCs w:val="24"/>
        </w:rPr>
        <w:t>implementing a direct employment-based service intervention for young people with disabilities</w:t>
      </w:r>
      <w:r w:rsidR="00643A10">
        <w:rPr>
          <w:rFonts w:eastAsia="Calibri"/>
          <w:sz w:val="24"/>
          <w:szCs w:val="24"/>
        </w:rPr>
        <w:t>, with the ultimate goal of</w:t>
      </w:r>
      <w:r w:rsidR="00496808">
        <w:rPr>
          <w:rFonts w:eastAsia="Calibri"/>
          <w:sz w:val="24"/>
          <w:szCs w:val="24"/>
        </w:rPr>
        <w:t xml:space="preserve"> </w:t>
      </w:r>
      <w:r w:rsidRPr="00A11845" w:rsidR="00A11845">
        <w:rPr>
          <w:rFonts w:eastAsia="Calibri"/>
          <w:sz w:val="24"/>
          <w:szCs w:val="24"/>
        </w:rPr>
        <w:t>improv</w:t>
      </w:r>
      <w:r w:rsidR="00643A10">
        <w:rPr>
          <w:rFonts w:eastAsia="Calibri"/>
          <w:sz w:val="24"/>
          <w:szCs w:val="24"/>
        </w:rPr>
        <w:t>ing</w:t>
      </w:r>
      <w:r w:rsidRPr="00A11845" w:rsidR="00A11845">
        <w:rPr>
          <w:rFonts w:eastAsia="Calibri"/>
          <w:sz w:val="24"/>
          <w:szCs w:val="24"/>
        </w:rPr>
        <w:t xml:space="preserve"> labor force participation and </w:t>
      </w:r>
      <w:r w:rsidRPr="00A11845" w:rsidR="00496808">
        <w:rPr>
          <w:rFonts w:eastAsia="Calibri"/>
          <w:sz w:val="24"/>
          <w:szCs w:val="24"/>
        </w:rPr>
        <w:t>reduc</w:t>
      </w:r>
      <w:r w:rsidR="00496808">
        <w:rPr>
          <w:rFonts w:eastAsia="Calibri"/>
          <w:sz w:val="24"/>
          <w:szCs w:val="24"/>
        </w:rPr>
        <w:t>ing</w:t>
      </w:r>
      <w:r w:rsidRPr="00A11845" w:rsidR="00496808">
        <w:rPr>
          <w:rFonts w:eastAsia="Calibri"/>
          <w:sz w:val="24"/>
          <w:szCs w:val="24"/>
        </w:rPr>
        <w:t xml:space="preserve"> </w:t>
      </w:r>
      <w:r w:rsidRPr="00A11845" w:rsidR="00A11845">
        <w:rPr>
          <w:rFonts w:eastAsia="Calibri"/>
          <w:sz w:val="24"/>
          <w:szCs w:val="24"/>
        </w:rPr>
        <w:t>reliance on disability income benefits. This is important to the country and economy. ETM grantees are implementing new</w:t>
      </w:r>
      <w:r w:rsidR="00C87682">
        <w:rPr>
          <w:rFonts w:eastAsia="Calibri"/>
          <w:sz w:val="24"/>
          <w:szCs w:val="24"/>
        </w:rPr>
        <w:t xml:space="preserve"> strategies </w:t>
      </w:r>
      <w:r w:rsidR="002A4767">
        <w:rPr>
          <w:rFonts w:eastAsia="Calibri"/>
          <w:sz w:val="24"/>
          <w:szCs w:val="24"/>
        </w:rPr>
        <w:t>informed by</w:t>
      </w:r>
      <w:r w:rsidR="00C87682">
        <w:rPr>
          <w:rFonts w:eastAsia="Calibri"/>
          <w:sz w:val="24"/>
          <w:szCs w:val="24"/>
        </w:rPr>
        <w:t xml:space="preserve"> </w:t>
      </w:r>
      <w:r w:rsidR="0084020A">
        <w:rPr>
          <w:rFonts w:eastAsia="Calibri"/>
          <w:sz w:val="24"/>
          <w:szCs w:val="24"/>
        </w:rPr>
        <w:t>evidence from previous studies</w:t>
      </w:r>
      <w:r w:rsidRPr="00A11845" w:rsidR="00A11845">
        <w:rPr>
          <w:rFonts w:eastAsia="Calibri"/>
          <w:sz w:val="24"/>
          <w:szCs w:val="24"/>
        </w:rPr>
        <w:t xml:space="preserve"> to increase the employment, post-secondary education, and economic independence of Y&amp;YAD. The demonstration builds </w:t>
      </w:r>
      <w:r w:rsidR="00AB48E0">
        <w:rPr>
          <w:rFonts w:eastAsia="Calibri"/>
          <w:sz w:val="24"/>
          <w:szCs w:val="24"/>
        </w:rPr>
        <w:t>up</w:t>
      </w:r>
      <w:r w:rsidRPr="00A11845" w:rsidR="00A11845">
        <w:rPr>
          <w:rFonts w:eastAsia="Calibri"/>
          <w:sz w:val="24"/>
          <w:szCs w:val="24"/>
        </w:rPr>
        <w:t>on lessons learned from past projects designed to reduce the reliance of Y&amp;YAD on Supplemental Security Income (SSI) and other disability benefits.</w:t>
      </w:r>
    </w:p>
    <w:p w:rsidR="00AF5D6A" w:rsidP="00E526D3" w14:paraId="719B16C3" w14:textId="540228A2">
      <w:pPr>
        <w:rPr>
          <w:rFonts w:asciiTheme="majorBidi" w:hAnsiTheme="majorBidi" w:cstheme="majorBidi"/>
          <w:sz w:val="24"/>
          <w:szCs w:val="24"/>
        </w:rPr>
      </w:pPr>
      <w:r>
        <w:rPr>
          <w:rFonts w:asciiTheme="majorBidi" w:hAnsiTheme="majorBidi" w:cstheme="majorBidi"/>
          <w:sz w:val="24"/>
          <w:szCs w:val="24"/>
        </w:rPr>
        <w:t>DOL needs data on program implementation and Y&amp;YAD outcomes to monitor grant performance</w:t>
      </w:r>
      <w:r w:rsidR="00E526D3">
        <w:rPr>
          <w:rFonts w:asciiTheme="majorBidi" w:hAnsiTheme="majorBidi" w:cstheme="majorBidi"/>
          <w:sz w:val="24"/>
          <w:szCs w:val="24"/>
        </w:rPr>
        <w:t xml:space="preserve"> </w:t>
      </w:r>
      <w:r w:rsidRPr="00E526D3" w:rsidR="00E526D3">
        <w:rPr>
          <w:rFonts w:asciiTheme="majorBidi" w:hAnsiTheme="majorBidi" w:cstheme="majorBidi"/>
          <w:sz w:val="24"/>
          <w:szCs w:val="24"/>
        </w:rPr>
        <w:t>and measure the effectiveness of innovative practice</w:t>
      </w:r>
      <w:r w:rsidR="00E526D3">
        <w:rPr>
          <w:rFonts w:asciiTheme="majorBidi" w:hAnsiTheme="majorBidi" w:cstheme="majorBidi"/>
          <w:sz w:val="24"/>
          <w:szCs w:val="24"/>
        </w:rPr>
        <w:t>s</w:t>
      </w:r>
      <w:r>
        <w:rPr>
          <w:rFonts w:asciiTheme="majorBidi" w:hAnsiTheme="majorBidi" w:cstheme="majorBidi"/>
          <w:sz w:val="24"/>
          <w:szCs w:val="24"/>
        </w:rPr>
        <w:t>. These d</w:t>
      </w:r>
      <w:r w:rsidR="00AD3918">
        <w:rPr>
          <w:rFonts w:asciiTheme="majorBidi" w:hAnsiTheme="majorBidi" w:cstheme="majorBidi"/>
          <w:sz w:val="24"/>
          <w:szCs w:val="24"/>
        </w:rPr>
        <w:t xml:space="preserve">ata are necessary for ensuring that grantees are </w:t>
      </w:r>
      <w:r w:rsidR="00C44865">
        <w:rPr>
          <w:rFonts w:asciiTheme="majorBidi" w:hAnsiTheme="majorBidi" w:cstheme="majorBidi"/>
          <w:sz w:val="24"/>
          <w:szCs w:val="24"/>
        </w:rPr>
        <w:t xml:space="preserve">held accountable for </w:t>
      </w:r>
      <w:r w:rsidR="00544921">
        <w:rPr>
          <w:rFonts w:asciiTheme="majorBidi" w:hAnsiTheme="majorBidi" w:cstheme="majorBidi"/>
          <w:sz w:val="24"/>
          <w:szCs w:val="24"/>
        </w:rPr>
        <w:t xml:space="preserve">achieving their </w:t>
      </w:r>
      <w:r w:rsidR="00C44865">
        <w:rPr>
          <w:rFonts w:asciiTheme="majorBidi" w:hAnsiTheme="majorBidi" w:cstheme="majorBidi"/>
          <w:sz w:val="24"/>
          <w:szCs w:val="24"/>
        </w:rPr>
        <w:t>program</w:t>
      </w:r>
      <w:r w:rsidR="00544921">
        <w:rPr>
          <w:rFonts w:asciiTheme="majorBidi" w:hAnsiTheme="majorBidi" w:cstheme="majorBidi"/>
          <w:sz w:val="24"/>
          <w:szCs w:val="24"/>
        </w:rPr>
        <w:t>s’</w:t>
      </w:r>
      <w:r w:rsidR="00C44865">
        <w:rPr>
          <w:rFonts w:asciiTheme="majorBidi" w:hAnsiTheme="majorBidi" w:cstheme="majorBidi"/>
          <w:sz w:val="24"/>
          <w:szCs w:val="24"/>
        </w:rPr>
        <w:t xml:space="preserve"> goals</w:t>
      </w:r>
      <w:r w:rsidR="00544921">
        <w:rPr>
          <w:rFonts w:asciiTheme="majorBidi" w:hAnsiTheme="majorBidi" w:cstheme="majorBidi"/>
          <w:sz w:val="24"/>
          <w:szCs w:val="24"/>
        </w:rPr>
        <w:t xml:space="preserve"> and objectives </w:t>
      </w:r>
      <w:r w:rsidR="002F5CAC">
        <w:rPr>
          <w:rFonts w:asciiTheme="majorBidi" w:hAnsiTheme="majorBidi" w:cstheme="majorBidi"/>
          <w:sz w:val="24"/>
          <w:szCs w:val="24"/>
        </w:rPr>
        <w:t>as stated in their grant application, including the number of Y&amp;YAD served over time, the types of services provided, and the</w:t>
      </w:r>
      <w:r w:rsidR="00250CD5">
        <w:rPr>
          <w:rFonts w:asciiTheme="majorBidi" w:hAnsiTheme="majorBidi" w:cstheme="majorBidi"/>
          <w:sz w:val="24"/>
          <w:szCs w:val="24"/>
        </w:rPr>
        <w:t xml:space="preserve"> </w:t>
      </w:r>
      <w:r w:rsidR="009F4C79">
        <w:rPr>
          <w:rFonts w:asciiTheme="majorBidi" w:hAnsiTheme="majorBidi" w:cstheme="majorBidi"/>
          <w:sz w:val="24"/>
          <w:szCs w:val="24"/>
        </w:rPr>
        <w:t xml:space="preserve">economic </w:t>
      </w:r>
      <w:r w:rsidR="00A22F62">
        <w:rPr>
          <w:rFonts w:asciiTheme="majorBidi" w:hAnsiTheme="majorBidi" w:cstheme="majorBidi"/>
          <w:sz w:val="24"/>
          <w:szCs w:val="24"/>
        </w:rPr>
        <w:t>self-sufficiency</w:t>
      </w:r>
      <w:r w:rsidR="009F4C79">
        <w:rPr>
          <w:rFonts w:asciiTheme="majorBidi" w:hAnsiTheme="majorBidi" w:cstheme="majorBidi"/>
          <w:sz w:val="24"/>
          <w:szCs w:val="24"/>
        </w:rPr>
        <w:t xml:space="preserve"> </w:t>
      </w:r>
      <w:r w:rsidR="00250CD5">
        <w:rPr>
          <w:rFonts w:asciiTheme="majorBidi" w:hAnsiTheme="majorBidi" w:cstheme="majorBidi"/>
          <w:sz w:val="24"/>
          <w:szCs w:val="24"/>
        </w:rPr>
        <w:t xml:space="preserve">outcomes of </w:t>
      </w:r>
      <w:r w:rsidR="009F4C79">
        <w:rPr>
          <w:rFonts w:asciiTheme="majorBidi" w:hAnsiTheme="majorBidi" w:cstheme="majorBidi"/>
          <w:sz w:val="24"/>
          <w:szCs w:val="24"/>
        </w:rPr>
        <w:t xml:space="preserve">participating </w:t>
      </w:r>
      <w:r w:rsidR="00250CD5">
        <w:rPr>
          <w:rFonts w:asciiTheme="majorBidi" w:hAnsiTheme="majorBidi" w:cstheme="majorBidi"/>
          <w:sz w:val="24"/>
          <w:szCs w:val="24"/>
        </w:rPr>
        <w:t>Y&amp;YAD.</w:t>
      </w:r>
    </w:p>
    <w:p w:rsidR="00141279" w:rsidP="00BE1574" w14:paraId="513B681D" w14:textId="6CEA3CB2">
      <w:pPr>
        <w:rPr>
          <w:rFonts w:asciiTheme="majorBidi" w:hAnsiTheme="majorBidi" w:cstheme="majorBidi"/>
          <w:sz w:val="24"/>
          <w:szCs w:val="24"/>
        </w:rPr>
      </w:pPr>
      <w:r>
        <w:rPr>
          <w:rFonts w:asciiTheme="majorBidi" w:hAnsiTheme="majorBidi" w:cstheme="majorBidi"/>
          <w:sz w:val="24"/>
          <w:szCs w:val="24"/>
        </w:rPr>
        <w:t>To not just</w:t>
      </w:r>
      <w:r w:rsidR="00FA4106">
        <w:rPr>
          <w:rFonts w:asciiTheme="majorBidi" w:hAnsiTheme="majorBidi" w:cstheme="majorBidi"/>
          <w:sz w:val="24"/>
          <w:szCs w:val="24"/>
        </w:rPr>
        <w:t xml:space="preserve"> monitor </w:t>
      </w:r>
      <w:r>
        <w:rPr>
          <w:rFonts w:asciiTheme="majorBidi" w:hAnsiTheme="majorBidi" w:cstheme="majorBidi"/>
          <w:sz w:val="24"/>
          <w:szCs w:val="24"/>
        </w:rPr>
        <w:t xml:space="preserve">but also support </w:t>
      </w:r>
      <w:r w:rsidR="00FA4106">
        <w:rPr>
          <w:rFonts w:asciiTheme="majorBidi" w:hAnsiTheme="majorBidi" w:cstheme="majorBidi"/>
          <w:sz w:val="24"/>
          <w:szCs w:val="24"/>
        </w:rPr>
        <w:t xml:space="preserve">grantee performance, </w:t>
      </w:r>
      <w:r w:rsidR="007B5728">
        <w:rPr>
          <w:rFonts w:asciiTheme="majorBidi" w:hAnsiTheme="majorBidi" w:cstheme="majorBidi"/>
          <w:sz w:val="24"/>
          <w:szCs w:val="24"/>
        </w:rPr>
        <w:t>DOL</w:t>
      </w:r>
      <w:r w:rsidR="004D3EB8">
        <w:rPr>
          <w:rFonts w:asciiTheme="majorBidi" w:hAnsiTheme="majorBidi" w:cstheme="majorBidi"/>
          <w:sz w:val="24"/>
          <w:szCs w:val="24"/>
        </w:rPr>
        <w:t xml:space="preserve"> engaged a technical assistance provider, Manhattan Strategy Group, who will use </w:t>
      </w:r>
      <w:r w:rsidR="00701D3D">
        <w:rPr>
          <w:rFonts w:asciiTheme="majorBidi" w:hAnsiTheme="majorBidi" w:cstheme="majorBidi"/>
          <w:sz w:val="24"/>
          <w:szCs w:val="24"/>
        </w:rPr>
        <w:t xml:space="preserve">ETM data </w:t>
      </w:r>
      <w:r w:rsidR="00090B03">
        <w:rPr>
          <w:rFonts w:asciiTheme="majorBidi" w:hAnsiTheme="majorBidi" w:cstheme="majorBidi"/>
          <w:sz w:val="24"/>
          <w:szCs w:val="24"/>
        </w:rPr>
        <w:t xml:space="preserve">to monitor </w:t>
      </w:r>
      <w:r w:rsidR="00701D3D">
        <w:rPr>
          <w:rFonts w:asciiTheme="majorBidi" w:hAnsiTheme="majorBidi" w:cstheme="majorBidi"/>
          <w:sz w:val="24"/>
          <w:szCs w:val="24"/>
        </w:rPr>
        <w:t xml:space="preserve">ongoing program activities and </w:t>
      </w:r>
      <w:r w:rsidR="00D22C01">
        <w:rPr>
          <w:rFonts w:asciiTheme="majorBidi" w:hAnsiTheme="majorBidi" w:cstheme="majorBidi"/>
          <w:sz w:val="24"/>
          <w:szCs w:val="24"/>
        </w:rPr>
        <w:t>Y&amp;YAD outcomes</w:t>
      </w:r>
      <w:r w:rsidR="004D3EB8">
        <w:rPr>
          <w:rFonts w:asciiTheme="majorBidi" w:hAnsiTheme="majorBidi" w:cstheme="majorBidi"/>
          <w:sz w:val="24"/>
          <w:szCs w:val="24"/>
        </w:rPr>
        <w:t xml:space="preserve"> to tailor their supports for</w:t>
      </w:r>
      <w:r w:rsidR="00A17A67">
        <w:rPr>
          <w:rFonts w:asciiTheme="majorBidi" w:hAnsiTheme="majorBidi" w:cstheme="majorBidi"/>
          <w:sz w:val="24"/>
          <w:szCs w:val="24"/>
        </w:rPr>
        <w:t xml:space="preserve"> the ETM programs and staff. </w:t>
      </w:r>
      <w:r w:rsidR="00D22C01">
        <w:rPr>
          <w:rFonts w:asciiTheme="majorBidi" w:hAnsiTheme="majorBidi" w:cstheme="majorBidi"/>
          <w:sz w:val="24"/>
          <w:szCs w:val="24"/>
        </w:rPr>
        <w:t xml:space="preserve">Insights from ETM data will </w:t>
      </w:r>
      <w:r w:rsidR="00967146">
        <w:rPr>
          <w:rFonts w:asciiTheme="majorBidi" w:hAnsiTheme="majorBidi" w:cstheme="majorBidi"/>
          <w:sz w:val="24"/>
          <w:szCs w:val="24"/>
        </w:rPr>
        <w:t xml:space="preserve">allow </w:t>
      </w:r>
      <w:r w:rsidR="00A17A67">
        <w:rPr>
          <w:rFonts w:asciiTheme="majorBidi" w:hAnsiTheme="majorBidi" w:cstheme="majorBidi"/>
          <w:sz w:val="24"/>
          <w:szCs w:val="24"/>
        </w:rPr>
        <w:t xml:space="preserve">Manhattan Strategy Group </w:t>
      </w:r>
      <w:r w:rsidR="00967146">
        <w:rPr>
          <w:rFonts w:asciiTheme="majorBidi" w:hAnsiTheme="majorBidi" w:cstheme="majorBidi"/>
          <w:sz w:val="24"/>
          <w:szCs w:val="24"/>
        </w:rPr>
        <w:t>to</w:t>
      </w:r>
      <w:r w:rsidR="00777FCF">
        <w:rPr>
          <w:rFonts w:asciiTheme="majorBidi" w:hAnsiTheme="majorBidi" w:cstheme="majorBidi"/>
          <w:sz w:val="24"/>
          <w:szCs w:val="24"/>
        </w:rPr>
        <w:t xml:space="preserve"> help grantees use resources in cost-effective ways</w:t>
      </w:r>
      <w:r w:rsidR="0028612A">
        <w:rPr>
          <w:rFonts w:asciiTheme="majorBidi" w:hAnsiTheme="majorBidi" w:cstheme="majorBidi"/>
          <w:sz w:val="24"/>
          <w:szCs w:val="24"/>
        </w:rPr>
        <w:t xml:space="preserve">, </w:t>
      </w:r>
      <w:r w:rsidR="00777FCF">
        <w:rPr>
          <w:rFonts w:asciiTheme="majorBidi" w:hAnsiTheme="majorBidi" w:cstheme="majorBidi"/>
          <w:sz w:val="24"/>
          <w:szCs w:val="24"/>
        </w:rPr>
        <w:t>optimize their delivery of services</w:t>
      </w:r>
      <w:r w:rsidR="004F0254">
        <w:rPr>
          <w:rFonts w:asciiTheme="majorBidi" w:hAnsiTheme="majorBidi" w:cstheme="majorBidi"/>
          <w:sz w:val="24"/>
          <w:szCs w:val="24"/>
        </w:rPr>
        <w:t xml:space="preserve">, and ultimately </w:t>
      </w:r>
      <w:r w:rsidR="0010263A">
        <w:rPr>
          <w:rFonts w:asciiTheme="majorBidi" w:hAnsiTheme="majorBidi" w:cstheme="majorBidi"/>
          <w:sz w:val="24"/>
          <w:szCs w:val="24"/>
        </w:rPr>
        <w:t>promote economic self-sufficiency among Y&amp;YAD</w:t>
      </w:r>
      <w:r w:rsidR="001053A4">
        <w:rPr>
          <w:rFonts w:asciiTheme="majorBidi" w:hAnsiTheme="majorBidi" w:cstheme="majorBidi"/>
          <w:sz w:val="24"/>
          <w:szCs w:val="24"/>
        </w:rPr>
        <w:t>, reducing reliance on public benefits</w:t>
      </w:r>
      <w:r w:rsidR="00967146">
        <w:rPr>
          <w:rFonts w:asciiTheme="majorBidi" w:hAnsiTheme="majorBidi" w:cstheme="majorBidi"/>
          <w:sz w:val="24"/>
          <w:szCs w:val="24"/>
        </w:rPr>
        <w:t>.</w:t>
      </w:r>
    </w:p>
    <w:p w:rsidR="00BE1574" w:rsidRPr="00BE1574" w:rsidP="00BE1574" w14:paraId="3E11352C" w14:textId="12E88CAC">
      <w:pPr>
        <w:rPr>
          <w:rFonts w:asciiTheme="majorBidi" w:hAnsiTheme="majorBidi" w:cstheme="majorBidi"/>
          <w:sz w:val="24"/>
          <w:szCs w:val="24"/>
        </w:rPr>
      </w:pPr>
      <w:r>
        <w:rPr>
          <w:rFonts w:asciiTheme="majorBidi" w:hAnsiTheme="majorBidi" w:cstheme="majorBidi"/>
          <w:sz w:val="24"/>
          <w:szCs w:val="24"/>
        </w:rPr>
        <w:t xml:space="preserve">The data requested </w:t>
      </w:r>
      <w:r w:rsidR="00E11CA6">
        <w:rPr>
          <w:rFonts w:asciiTheme="majorBidi" w:hAnsiTheme="majorBidi" w:cstheme="majorBidi"/>
          <w:sz w:val="24"/>
          <w:szCs w:val="24"/>
        </w:rPr>
        <w:t>are</w:t>
      </w:r>
      <w:r w:rsidR="006D0B3D">
        <w:rPr>
          <w:rFonts w:asciiTheme="majorBidi" w:hAnsiTheme="majorBidi" w:cstheme="majorBidi"/>
          <w:sz w:val="24"/>
          <w:szCs w:val="24"/>
        </w:rPr>
        <w:t xml:space="preserve"> also necessary to assess the effectiveness of the ETM demonstration </w:t>
      </w:r>
      <w:r w:rsidR="001E5B0F">
        <w:rPr>
          <w:rFonts w:asciiTheme="majorBidi" w:hAnsiTheme="majorBidi" w:cstheme="majorBidi"/>
          <w:sz w:val="24"/>
          <w:szCs w:val="24"/>
        </w:rPr>
        <w:t xml:space="preserve">in achieving </w:t>
      </w:r>
      <w:r w:rsidR="00E52AAC">
        <w:rPr>
          <w:rFonts w:asciiTheme="majorBidi" w:hAnsiTheme="majorBidi" w:cstheme="majorBidi"/>
          <w:sz w:val="24"/>
          <w:szCs w:val="24"/>
        </w:rPr>
        <w:t xml:space="preserve">its goals of </w:t>
      </w:r>
      <w:r>
        <w:rPr>
          <w:rFonts w:asciiTheme="majorBidi" w:hAnsiTheme="majorBidi" w:cstheme="majorBidi"/>
          <w:sz w:val="24"/>
          <w:szCs w:val="24"/>
        </w:rPr>
        <w:t xml:space="preserve">improving employment transitions for Y&amp;YAD. </w:t>
      </w:r>
      <w:r w:rsidRPr="00BE1574" w:rsidR="00636E5A">
        <w:rPr>
          <w:rFonts w:asciiTheme="majorBidi" w:hAnsiTheme="majorBidi" w:cstheme="majorBidi"/>
          <w:sz w:val="24"/>
          <w:szCs w:val="24"/>
        </w:rPr>
        <w:t xml:space="preserve">In 2023, </w:t>
      </w:r>
      <w:r w:rsidR="003E3AC2">
        <w:rPr>
          <w:rFonts w:asciiTheme="majorBidi" w:hAnsiTheme="majorBidi" w:cstheme="majorBidi"/>
          <w:sz w:val="24"/>
          <w:szCs w:val="24"/>
        </w:rPr>
        <w:t>DOL</w:t>
      </w:r>
      <w:r w:rsidRPr="00BE1574" w:rsidR="00636E5A">
        <w:rPr>
          <w:rFonts w:asciiTheme="majorBidi" w:hAnsiTheme="majorBidi" w:cstheme="majorBidi"/>
          <w:sz w:val="24"/>
          <w:szCs w:val="24"/>
        </w:rPr>
        <w:t xml:space="preserve"> </w:t>
      </w:r>
      <w:r w:rsidR="00636E5A">
        <w:rPr>
          <w:rFonts w:asciiTheme="majorBidi" w:hAnsiTheme="majorBidi" w:cstheme="majorBidi"/>
          <w:sz w:val="24"/>
          <w:szCs w:val="24"/>
        </w:rPr>
        <w:t>engaged</w:t>
      </w:r>
      <w:r w:rsidRPr="00BE1574" w:rsidR="00636E5A">
        <w:rPr>
          <w:rFonts w:asciiTheme="majorBidi" w:hAnsiTheme="majorBidi" w:cstheme="majorBidi"/>
          <w:sz w:val="24"/>
          <w:szCs w:val="24"/>
        </w:rPr>
        <w:t xml:space="preserve"> Abt Global and its partners to </w:t>
      </w:r>
      <w:r w:rsidR="00172E6C">
        <w:rPr>
          <w:rFonts w:asciiTheme="majorBidi" w:hAnsiTheme="majorBidi" w:cstheme="majorBidi"/>
          <w:sz w:val="24"/>
          <w:szCs w:val="24"/>
        </w:rPr>
        <w:t>evaluate</w:t>
      </w:r>
      <w:r w:rsidRPr="00BE1574" w:rsidR="00636E5A">
        <w:rPr>
          <w:rFonts w:asciiTheme="majorBidi" w:hAnsiTheme="majorBidi" w:cstheme="majorBidi"/>
          <w:sz w:val="24"/>
          <w:szCs w:val="24"/>
        </w:rPr>
        <w:t xml:space="preserve"> the ETM demonstration. The evaluation will analyze the four grantees’ programs to build evidence </w:t>
      </w:r>
      <w:r w:rsidR="00172E6C">
        <w:rPr>
          <w:rFonts w:asciiTheme="majorBidi" w:hAnsiTheme="majorBidi" w:cstheme="majorBidi"/>
          <w:sz w:val="24"/>
          <w:szCs w:val="24"/>
        </w:rPr>
        <w:t xml:space="preserve">on effective </w:t>
      </w:r>
      <w:r w:rsidRPr="00BE1574" w:rsidR="00636E5A">
        <w:rPr>
          <w:rFonts w:asciiTheme="majorBidi" w:hAnsiTheme="majorBidi" w:cstheme="majorBidi"/>
          <w:sz w:val="24"/>
          <w:szCs w:val="24"/>
        </w:rPr>
        <w:t xml:space="preserve">strategies </w:t>
      </w:r>
      <w:r w:rsidR="006426F1">
        <w:rPr>
          <w:rFonts w:asciiTheme="majorBidi" w:hAnsiTheme="majorBidi" w:cstheme="majorBidi"/>
          <w:sz w:val="24"/>
          <w:szCs w:val="24"/>
        </w:rPr>
        <w:t>that</w:t>
      </w:r>
      <w:r w:rsidRPr="00BE1574" w:rsidR="006426F1">
        <w:rPr>
          <w:rFonts w:asciiTheme="majorBidi" w:hAnsiTheme="majorBidi" w:cstheme="majorBidi"/>
          <w:sz w:val="24"/>
          <w:szCs w:val="24"/>
        </w:rPr>
        <w:t xml:space="preserve"> </w:t>
      </w:r>
      <w:r w:rsidRPr="00BE1574" w:rsidR="00636E5A">
        <w:rPr>
          <w:rFonts w:asciiTheme="majorBidi" w:hAnsiTheme="majorBidi" w:cstheme="majorBidi"/>
          <w:sz w:val="24"/>
          <w:szCs w:val="24"/>
        </w:rPr>
        <w:t xml:space="preserve">enable Y&amp;YAD </w:t>
      </w:r>
      <w:r w:rsidR="006426F1">
        <w:rPr>
          <w:rFonts w:asciiTheme="majorBidi" w:hAnsiTheme="majorBidi" w:cstheme="majorBidi"/>
          <w:sz w:val="24"/>
          <w:szCs w:val="24"/>
        </w:rPr>
        <w:t xml:space="preserve">in </w:t>
      </w:r>
      <w:r w:rsidR="00472B64">
        <w:rPr>
          <w:rFonts w:asciiTheme="majorBidi" w:hAnsiTheme="majorBidi" w:cstheme="majorBidi"/>
          <w:sz w:val="24"/>
          <w:szCs w:val="24"/>
        </w:rPr>
        <w:t xml:space="preserve">successfully </w:t>
      </w:r>
      <w:r w:rsidR="006426F1">
        <w:rPr>
          <w:rFonts w:asciiTheme="majorBidi" w:hAnsiTheme="majorBidi" w:cstheme="majorBidi"/>
          <w:sz w:val="24"/>
          <w:szCs w:val="24"/>
        </w:rPr>
        <w:t xml:space="preserve">transitioning </w:t>
      </w:r>
      <w:r w:rsidRPr="00BE1574" w:rsidR="00636E5A">
        <w:rPr>
          <w:rFonts w:asciiTheme="majorBidi" w:hAnsiTheme="majorBidi" w:cstheme="majorBidi"/>
          <w:sz w:val="24"/>
          <w:szCs w:val="24"/>
        </w:rPr>
        <w:t xml:space="preserve">into the workforce </w:t>
      </w:r>
      <w:r w:rsidR="00472B64">
        <w:rPr>
          <w:rFonts w:asciiTheme="majorBidi" w:hAnsiTheme="majorBidi" w:cstheme="majorBidi"/>
          <w:sz w:val="24"/>
          <w:szCs w:val="24"/>
        </w:rPr>
        <w:t xml:space="preserve">and </w:t>
      </w:r>
      <w:r w:rsidR="00147344">
        <w:rPr>
          <w:rFonts w:asciiTheme="majorBidi" w:hAnsiTheme="majorBidi" w:cstheme="majorBidi"/>
          <w:sz w:val="24"/>
          <w:szCs w:val="24"/>
        </w:rPr>
        <w:t xml:space="preserve">to </w:t>
      </w:r>
      <w:r w:rsidRPr="00BE1574" w:rsidR="00636E5A">
        <w:rPr>
          <w:rFonts w:asciiTheme="majorBidi" w:hAnsiTheme="majorBidi" w:cstheme="majorBidi"/>
          <w:sz w:val="24"/>
          <w:szCs w:val="24"/>
        </w:rPr>
        <w:t>inform future practice and policy at DOL.</w:t>
      </w:r>
      <w:r w:rsidR="008A0FFD">
        <w:rPr>
          <w:rFonts w:asciiTheme="majorBidi" w:hAnsiTheme="majorBidi" w:cstheme="majorBidi"/>
          <w:sz w:val="24"/>
          <w:szCs w:val="24"/>
        </w:rPr>
        <w:t xml:space="preserve"> </w:t>
      </w:r>
      <w:r w:rsidR="00792B1A">
        <w:rPr>
          <w:rFonts w:asciiTheme="majorBidi" w:hAnsiTheme="majorBidi" w:cstheme="majorBidi"/>
          <w:sz w:val="24"/>
          <w:szCs w:val="24"/>
        </w:rPr>
        <w:t>DOL</w:t>
      </w:r>
      <w:r w:rsidRPr="00BE1574" w:rsidR="00792B1A">
        <w:rPr>
          <w:rFonts w:asciiTheme="majorBidi" w:hAnsiTheme="majorBidi" w:cstheme="majorBidi"/>
          <w:sz w:val="24"/>
          <w:szCs w:val="24"/>
        </w:rPr>
        <w:t xml:space="preserve"> </w:t>
      </w:r>
      <w:r w:rsidRPr="00BE1574" w:rsidR="00A36D52">
        <w:rPr>
          <w:rFonts w:asciiTheme="majorBidi" w:hAnsiTheme="majorBidi" w:cstheme="majorBidi"/>
          <w:sz w:val="24"/>
          <w:szCs w:val="24"/>
        </w:rPr>
        <w:t xml:space="preserve">and other federal agencies have pursued numerous initiatives to improve transition outcomes for Y&amp;YAD. </w:t>
      </w:r>
      <w:r w:rsidR="000C677F">
        <w:rPr>
          <w:rFonts w:asciiTheme="majorBidi" w:hAnsiTheme="majorBidi" w:cstheme="majorBidi"/>
          <w:sz w:val="24"/>
          <w:szCs w:val="24"/>
        </w:rPr>
        <w:t>R</w:t>
      </w:r>
      <w:r w:rsidR="008A0FFD">
        <w:rPr>
          <w:rFonts w:asciiTheme="majorBidi" w:hAnsiTheme="majorBidi" w:cstheme="majorBidi"/>
          <w:sz w:val="24"/>
          <w:szCs w:val="24"/>
        </w:rPr>
        <w:t>ecent evidence</w:t>
      </w:r>
      <w:r w:rsidR="000C677F">
        <w:rPr>
          <w:rFonts w:asciiTheme="majorBidi" w:hAnsiTheme="majorBidi" w:cstheme="majorBidi"/>
          <w:sz w:val="24"/>
          <w:szCs w:val="24"/>
        </w:rPr>
        <w:t xml:space="preserve">, for example from the PROMISE Demonstration, </w:t>
      </w:r>
      <w:r w:rsidR="00C96812">
        <w:rPr>
          <w:rFonts w:asciiTheme="majorBidi" w:hAnsiTheme="majorBidi" w:cstheme="majorBidi"/>
          <w:sz w:val="24"/>
          <w:szCs w:val="24"/>
        </w:rPr>
        <w:t>highlight</w:t>
      </w:r>
      <w:r w:rsidR="00C61269">
        <w:rPr>
          <w:rFonts w:asciiTheme="majorBidi" w:hAnsiTheme="majorBidi" w:cstheme="majorBidi"/>
          <w:sz w:val="24"/>
          <w:szCs w:val="24"/>
        </w:rPr>
        <w:t>s</w:t>
      </w:r>
      <w:r w:rsidR="00C96812">
        <w:rPr>
          <w:rFonts w:asciiTheme="majorBidi" w:hAnsiTheme="majorBidi" w:cstheme="majorBidi"/>
          <w:sz w:val="24"/>
          <w:szCs w:val="24"/>
        </w:rPr>
        <w:t xml:space="preserve"> that, to date, there are still evidence gaps</w:t>
      </w:r>
      <w:r w:rsidRPr="00BE1574" w:rsidR="00D2762E">
        <w:rPr>
          <w:rFonts w:asciiTheme="majorBidi" w:hAnsiTheme="majorBidi" w:cstheme="majorBidi"/>
          <w:sz w:val="24"/>
          <w:szCs w:val="24"/>
        </w:rPr>
        <w:t xml:space="preserve"> (Honeycutt &amp; Peterik, 2023; Mazzotti et al., 2021).</w:t>
      </w:r>
      <w:r w:rsidR="00454054">
        <w:rPr>
          <w:rFonts w:asciiTheme="majorBidi" w:hAnsiTheme="majorBidi" w:cstheme="majorBidi"/>
          <w:sz w:val="24"/>
          <w:szCs w:val="24"/>
        </w:rPr>
        <w:t xml:space="preserve"> </w:t>
      </w:r>
      <w:r w:rsidR="00264BFF">
        <w:rPr>
          <w:rFonts w:asciiTheme="majorBidi" w:hAnsiTheme="majorBidi" w:cstheme="majorBidi"/>
          <w:sz w:val="24"/>
          <w:szCs w:val="24"/>
        </w:rPr>
        <w:t xml:space="preserve">For example, PROMISE focused on youth receiving SSI, which provides benefits only to </w:t>
      </w:r>
      <w:r w:rsidR="00A65F49">
        <w:rPr>
          <w:rFonts w:asciiTheme="majorBidi" w:hAnsiTheme="majorBidi" w:cstheme="majorBidi"/>
          <w:sz w:val="24"/>
          <w:szCs w:val="24"/>
        </w:rPr>
        <w:t>low</w:t>
      </w:r>
      <w:r w:rsidR="00B31A2F">
        <w:rPr>
          <w:rFonts w:asciiTheme="majorBidi" w:hAnsiTheme="majorBidi" w:cstheme="majorBidi"/>
          <w:sz w:val="24"/>
          <w:szCs w:val="24"/>
        </w:rPr>
        <w:t>-</w:t>
      </w:r>
      <w:r w:rsidR="00A65F49">
        <w:rPr>
          <w:rFonts w:asciiTheme="majorBidi" w:hAnsiTheme="majorBidi" w:cstheme="majorBidi"/>
          <w:sz w:val="24"/>
          <w:szCs w:val="24"/>
        </w:rPr>
        <w:t xml:space="preserve">income </w:t>
      </w:r>
      <w:r w:rsidR="00264BFF">
        <w:rPr>
          <w:rFonts w:asciiTheme="majorBidi" w:hAnsiTheme="majorBidi" w:cstheme="majorBidi"/>
          <w:sz w:val="24"/>
          <w:szCs w:val="24"/>
        </w:rPr>
        <w:t xml:space="preserve">youth </w:t>
      </w:r>
      <w:r w:rsidR="0064064D">
        <w:rPr>
          <w:rFonts w:asciiTheme="majorBidi" w:hAnsiTheme="majorBidi" w:cstheme="majorBidi"/>
          <w:sz w:val="24"/>
          <w:szCs w:val="24"/>
        </w:rPr>
        <w:t>with disabilities</w:t>
      </w:r>
      <w:r w:rsidR="00264BFF">
        <w:rPr>
          <w:rFonts w:asciiTheme="majorBidi" w:hAnsiTheme="majorBidi" w:cstheme="majorBidi"/>
          <w:sz w:val="24"/>
          <w:szCs w:val="24"/>
        </w:rPr>
        <w:t xml:space="preserve"> that result in marked and severe functional limitations, so it is not clear </w:t>
      </w:r>
      <w:r w:rsidR="003107CE">
        <w:rPr>
          <w:rFonts w:asciiTheme="majorBidi" w:hAnsiTheme="majorBidi" w:cstheme="majorBidi"/>
          <w:sz w:val="24"/>
          <w:szCs w:val="24"/>
        </w:rPr>
        <w:t>whether and how similar services would help a broader group of WIOA Title 1</w:t>
      </w:r>
      <w:r w:rsidR="00BF76A8">
        <w:rPr>
          <w:rFonts w:asciiTheme="majorBidi" w:hAnsiTheme="majorBidi" w:cstheme="majorBidi"/>
          <w:sz w:val="24"/>
          <w:szCs w:val="24"/>
        </w:rPr>
        <w:t xml:space="preserve"> </w:t>
      </w:r>
      <w:r w:rsidR="00251F83">
        <w:rPr>
          <w:rFonts w:asciiTheme="majorBidi" w:hAnsiTheme="majorBidi" w:cstheme="majorBidi"/>
          <w:sz w:val="24"/>
          <w:szCs w:val="24"/>
        </w:rPr>
        <w:t>eligible</w:t>
      </w:r>
      <w:r w:rsidR="003107CE">
        <w:rPr>
          <w:rFonts w:asciiTheme="majorBidi" w:hAnsiTheme="majorBidi" w:cstheme="majorBidi"/>
          <w:sz w:val="24"/>
          <w:szCs w:val="24"/>
        </w:rPr>
        <w:t xml:space="preserve"> Y&amp;YAD. </w:t>
      </w:r>
      <w:r w:rsidR="00454054">
        <w:rPr>
          <w:rFonts w:asciiTheme="majorBidi" w:hAnsiTheme="majorBidi" w:cstheme="majorBidi"/>
          <w:sz w:val="24"/>
          <w:szCs w:val="24"/>
        </w:rPr>
        <w:t xml:space="preserve">As the ETM grantees implement </w:t>
      </w:r>
      <w:r w:rsidR="00374A61">
        <w:rPr>
          <w:rFonts w:asciiTheme="majorBidi" w:hAnsiTheme="majorBidi" w:cstheme="majorBidi"/>
          <w:sz w:val="24"/>
          <w:szCs w:val="24"/>
        </w:rPr>
        <w:t xml:space="preserve">and </w:t>
      </w:r>
      <w:r w:rsidR="00D31F75">
        <w:rPr>
          <w:rFonts w:asciiTheme="majorBidi" w:hAnsiTheme="majorBidi" w:cstheme="majorBidi"/>
          <w:sz w:val="24"/>
          <w:szCs w:val="24"/>
        </w:rPr>
        <w:t xml:space="preserve">refine current </w:t>
      </w:r>
      <w:r w:rsidR="00374A61">
        <w:rPr>
          <w:rFonts w:asciiTheme="majorBidi" w:hAnsiTheme="majorBidi" w:cstheme="majorBidi"/>
          <w:sz w:val="24"/>
          <w:szCs w:val="24"/>
        </w:rPr>
        <w:t xml:space="preserve">best practices, data from their programs and </w:t>
      </w:r>
      <w:r w:rsidR="00C36459">
        <w:rPr>
          <w:rFonts w:asciiTheme="majorBidi" w:hAnsiTheme="majorBidi" w:cstheme="majorBidi"/>
          <w:sz w:val="24"/>
          <w:szCs w:val="24"/>
        </w:rPr>
        <w:t>participants</w:t>
      </w:r>
      <w:r w:rsidR="00374A61">
        <w:rPr>
          <w:rFonts w:asciiTheme="majorBidi" w:hAnsiTheme="majorBidi" w:cstheme="majorBidi"/>
          <w:sz w:val="24"/>
          <w:szCs w:val="24"/>
        </w:rPr>
        <w:t xml:space="preserve"> will </w:t>
      </w:r>
      <w:r w:rsidR="00C36459">
        <w:rPr>
          <w:rFonts w:asciiTheme="majorBidi" w:hAnsiTheme="majorBidi" w:cstheme="majorBidi"/>
          <w:sz w:val="24"/>
          <w:szCs w:val="24"/>
        </w:rPr>
        <w:t xml:space="preserve">help fill these evidence gaps and provide </w:t>
      </w:r>
      <w:r w:rsidR="00BC3920">
        <w:rPr>
          <w:rFonts w:asciiTheme="majorBidi" w:hAnsiTheme="majorBidi" w:cstheme="majorBidi"/>
          <w:sz w:val="24"/>
          <w:szCs w:val="24"/>
        </w:rPr>
        <w:t xml:space="preserve">new insights to state and local </w:t>
      </w:r>
      <w:r w:rsidR="00E273CB">
        <w:rPr>
          <w:rFonts w:asciiTheme="majorBidi" w:hAnsiTheme="majorBidi" w:cstheme="majorBidi"/>
          <w:sz w:val="24"/>
          <w:szCs w:val="24"/>
        </w:rPr>
        <w:t xml:space="preserve">policymakers seeking to </w:t>
      </w:r>
      <w:r w:rsidR="00C06657">
        <w:rPr>
          <w:rFonts w:asciiTheme="majorBidi" w:hAnsiTheme="majorBidi" w:cstheme="majorBidi"/>
          <w:sz w:val="24"/>
          <w:szCs w:val="24"/>
        </w:rPr>
        <w:t xml:space="preserve">develop and </w:t>
      </w:r>
      <w:r w:rsidR="00E273CB">
        <w:rPr>
          <w:rFonts w:asciiTheme="majorBidi" w:hAnsiTheme="majorBidi" w:cstheme="majorBidi"/>
          <w:sz w:val="24"/>
          <w:szCs w:val="24"/>
        </w:rPr>
        <w:t>promote</w:t>
      </w:r>
      <w:r w:rsidR="003C4F1A">
        <w:rPr>
          <w:rFonts w:asciiTheme="majorBidi" w:hAnsiTheme="majorBidi" w:cstheme="majorBidi"/>
          <w:sz w:val="24"/>
          <w:szCs w:val="24"/>
        </w:rPr>
        <w:t xml:space="preserve"> Y&amp;YAD economic</w:t>
      </w:r>
      <w:r w:rsidR="00E273CB">
        <w:rPr>
          <w:rFonts w:asciiTheme="majorBidi" w:hAnsiTheme="majorBidi" w:cstheme="majorBidi"/>
          <w:sz w:val="24"/>
          <w:szCs w:val="24"/>
        </w:rPr>
        <w:t xml:space="preserve"> </w:t>
      </w:r>
      <w:r w:rsidR="003C4F1A">
        <w:rPr>
          <w:rFonts w:asciiTheme="majorBidi" w:hAnsiTheme="majorBidi" w:cstheme="majorBidi"/>
          <w:sz w:val="24"/>
          <w:szCs w:val="24"/>
        </w:rPr>
        <w:t>self-sufficien</w:t>
      </w:r>
      <w:r w:rsidR="00E273CB">
        <w:rPr>
          <w:rFonts w:asciiTheme="majorBidi" w:hAnsiTheme="majorBidi" w:cstheme="majorBidi"/>
          <w:sz w:val="24"/>
          <w:szCs w:val="24"/>
        </w:rPr>
        <w:t>cy</w:t>
      </w:r>
      <w:r w:rsidR="003C4F1A">
        <w:rPr>
          <w:rFonts w:asciiTheme="majorBidi" w:hAnsiTheme="majorBidi" w:cstheme="majorBidi"/>
          <w:sz w:val="24"/>
          <w:szCs w:val="24"/>
        </w:rPr>
        <w:t xml:space="preserve"> and reduce reliance on public benefits.</w:t>
      </w:r>
    </w:p>
    <w:p w:rsidR="00BE1574" w:rsidRPr="00BE1574" w:rsidP="00BE1574" w14:paraId="4B6FFF50" w14:textId="02FB26F4">
      <w:pPr>
        <w:rPr>
          <w:rFonts w:asciiTheme="majorBidi" w:hAnsiTheme="majorBidi" w:cstheme="majorBidi"/>
          <w:sz w:val="24"/>
          <w:szCs w:val="24"/>
        </w:rPr>
      </w:pPr>
      <w:r w:rsidRPr="00BE1574">
        <w:rPr>
          <w:rFonts w:asciiTheme="majorBidi" w:hAnsiTheme="majorBidi" w:cstheme="majorBidi"/>
          <w:sz w:val="24"/>
          <w:szCs w:val="24"/>
        </w:rPr>
        <w:t xml:space="preserve"> </w:t>
      </w:r>
    </w:p>
    <w:p w:rsidR="00BE1574" w:rsidRPr="00BE1574" w:rsidP="00BE1574" w14:paraId="22A26ED0" w14:textId="77777777">
      <w:pPr>
        <w:rPr>
          <w:rFonts w:asciiTheme="majorBidi" w:hAnsiTheme="majorBidi" w:cstheme="majorBidi"/>
          <w:b/>
          <w:bCs/>
          <w:i/>
          <w:iCs/>
          <w:sz w:val="24"/>
          <w:szCs w:val="24"/>
        </w:rPr>
      </w:pPr>
      <w:r w:rsidRPr="00BE1574">
        <w:rPr>
          <w:rFonts w:asciiTheme="majorBidi" w:hAnsiTheme="majorBidi" w:cstheme="majorBidi"/>
          <w:b/>
          <w:bCs/>
          <w:i/>
          <w:iCs/>
          <w:sz w:val="24"/>
          <w:szCs w:val="24"/>
        </w:rPr>
        <w:t xml:space="preserve">Legal or Administrative Requirements that Necessitate the Collection </w:t>
      </w:r>
    </w:p>
    <w:p w:rsidR="00BE1574" w:rsidRPr="00BE1574" w:rsidP="00336AD8" w14:paraId="4C81F7BB" w14:textId="33A5D578">
      <w:pPr>
        <w:rPr>
          <w:rFonts w:asciiTheme="majorBidi" w:hAnsiTheme="majorBidi" w:cstheme="majorBidi"/>
          <w:sz w:val="24"/>
          <w:szCs w:val="24"/>
        </w:rPr>
      </w:pPr>
      <w:r>
        <w:rPr>
          <w:rFonts w:asciiTheme="majorBidi" w:hAnsiTheme="majorBidi" w:cstheme="majorBidi"/>
          <w:sz w:val="24"/>
          <w:szCs w:val="24"/>
        </w:rPr>
        <w:t xml:space="preserve">There </w:t>
      </w:r>
      <w:r w:rsidRPr="00336AD8" w:rsidR="00336AD8">
        <w:rPr>
          <w:rFonts w:asciiTheme="majorBidi" w:hAnsiTheme="majorBidi" w:cstheme="majorBidi"/>
          <w:sz w:val="24"/>
          <w:szCs w:val="24"/>
        </w:rPr>
        <w:t>is no specific statutory or regulatory requirement that mandates this information collection. However, the collection is authorized and necessary for administration of the ETM grants and for DOL’s evaluation</w:t>
      </w:r>
      <w:r w:rsidR="005A0D78">
        <w:rPr>
          <w:rFonts w:asciiTheme="majorBidi" w:hAnsiTheme="majorBidi" w:cstheme="majorBidi"/>
          <w:sz w:val="24"/>
          <w:szCs w:val="24"/>
        </w:rPr>
        <w:t>.</w:t>
      </w:r>
      <w:r w:rsidRPr="00C319BD" w:rsidR="00C319BD">
        <w:rPr>
          <w:rFonts w:asciiTheme="majorBidi" w:hAnsiTheme="majorBidi" w:cstheme="majorBidi"/>
          <w:sz w:val="24"/>
          <w:szCs w:val="24"/>
        </w:rPr>
        <w:t xml:space="preserve"> </w:t>
      </w:r>
      <w:r w:rsidR="00C319BD">
        <w:rPr>
          <w:rFonts w:asciiTheme="majorBidi" w:hAnsiTheme="majorBidi" w:cstheme="majorBidi"/>
          <w:sz w:val="24"/>
          <w:szCs w:val="24"/>
        </w:rPr>
        <w:t>As a condition of the grants all ETM awardees are required to participate in the evaluation.</w:t>
      </w:r>
      <w:r w:rsidRPr="00A011BC" w:rsidR="00A011BC">
        <w:t xml:space="preserve"> </w:t>
      </w:r>
      <w:r w:rsidRPr="00A011BC" w:rsidR="00A011BC">
        <w:rPr>
          <w:rFonts w:asciiTheme="majorBidi" w:hAnsiTheme="majorBidi" w:cstheme="majorBidi"/>
          <w:sz w:val="24"/>
          <w:szCs w:val="24"/>
        </w:rPr>
        <w:t>DOL is undertaking this collection at the agency’s discretion to help make America more prosperous and save taxpayer dollars by generating evidence on support</w:t>
      </w:r>
      <w:r w:rsidR="00AE6CFD">
        <w:rPr>
          <w:rFonts w:asciiTheme="majorBidi" w:hAnsiTheme="majorBidi" w:cstheme="majorBidi"/>
          <w:sz w:val="24"/>
          <w:szCs w:val="24"/>
        </w:rPr>
        <w:t>s designed to help</w:t>
      </w:r>
      <w:r w:rsidRPr="00A011BC" w:rsidR="00A011BC">
        <w:rPr>
          <w:rFonts w:asciiTheme="majorBidi" w:hAnsiTheme="majorBidi" w:cstheme="majorBidi"/>
          <w:sz w:val="24"/>
          <w:szCs w:val="24"/>
        </w:rPr>
        <w:t xml:space="preserve"> Y&amp;YAD transition to </w:t>
      </w:r>
      <w:r w:rsidR="002864ED">
        <w:rPr>
          <w:rFonts w:asciiTheme="majorBidi" w:hAnsiTheme="majorBidi" w:cstheme="majorBidi"/>
          <w:sz w:val="24"/>
          <w:szCs w:val="24"/>
        </w:rPr>
        <w:t>employment</w:t>
      </w:r>
      <w:r w:rsidRPr="00A011BC" w:rsidR="00A011BC">
        <w:rPr>
          <w:rFonts w:asciiTheme="majorBidi" w:hAnsiTheme="majorBidi" w:cstheme="majorBidi"/>
          <w:sz w:val="24"/>
          <w:szCs w:val="24"/>
        </w:rPr>
        <w:t xml:space="preserve">. This evidence will </w:t>
      </w:r>
      <w:r w:rsidR="00CE5870">
        <w:rPr>
          <w:rFonts w:asciiTheme="majorBidi" w:hAnsiTheme="majorBidi" w:cstheme="majorBidi"/>
          <w:sz w:val="24"/>
          <w:szCs w:val="24"/>
        </w:rPr>
        <w:t xml:space="preserve">enable state and local agencies, as well as DOL, </w:t>
      </w:r>
      <w:r w:rsidR="00A54F82">
        <w:rPr>
          <w:rFonts w:asciiTheme="majorBidi" w:hAnsiTheme="majorBidi" w:cstheme="majorBidi"/>
          <w:sz w:val="24"/>
          <w:szCs w:val="24"/>
        </w:rPr>
        <w:t xml:space="preserve">to </w:t>
      </w:r>
      <w:r w:rsidR="00735374">
        <w:rPr>
          <w:rFonts w:asciiTheme="majorBidi" w:hAnsiTheme="majorBidi" w:cstheme="majorBidi"/>
          <w:sz w:val="24"/>
          <w:szCs w:val="24"/>
        </w:rPr>
        <w:t>more efficiently use</w:t>
      </w:r>
      <w:r w:rsidR="002864ED">
        <w:rPr>
          <w:rFonts w:asciiTheme="majorBidi" w:hAnsiTheme="majorBidi" w:cstheme="majorBidi"/>
          <w:sz w:val="24"/>
          <w:szCs w:val="24"/>
        </w:rPr>
        <w:t xml:space="preserve"> </w:t>
      </w:r>
      <w:r w:rsidR="00735374">
        <w:rPr>
          <w:rFonts w:asciiTheme="majorBidi" w:hAnsiTheme="majorBidi" w:cstheme="majorBidi"/>
          <w:sz w:val="24"/>
          <w:szCs w:val="24"/>
        </w:rPr>
        <w:t xml:space="preserve">available </w:t>
      </w:r>
      <w:r w:rsidR="009A6CB5">
        <w:rPr>
          <w:rFonts w:asciiTheme="majorBidi" w:hAnsiTheme="majorBidi" w:cstheme="majorBidi"/>
          <w:sz w:val="24"/>
          <w:szCs w:val="24"/>
        </w:rPr>
        <w:t xml:space="preserve">resources to </w:t>
      </w:r>
      <w:r w:rsidR="002864ED">
        <w:rPr>
          <w:rFonts w:asciiTheme="majorBidi" w:hAnsiTheme="majorBidi" w:cstheme="majorBidi"/>
          <w:sz w:val="24"/>
          <w:szCs w:val="24"/>
        </w:rPr>
        <w:t>deliver future workforce services for Y&amp;YAD.</w:t>
      </w:r>
      <w:r w:rsidRPr="00A011BC" w:rsidR="002864ED">
        <w:rPr>
          <w:rFonts w:asciiTheme="majorBidi" w:hAnsiTheme="majorBidi" w:cstheme="majorBidi"/>
          <w:sz w:val="24"/>
          <w:szCs w:val="24"/>
        </w:rPr>
        <w:t xml:space="preserve"> </w:t>
      </w:r>
      <w:r w:rsidRPr="00BE1574">
        <w:rPr>
          <w:rFonts w:asciiTheme="majorBidi" w:hAnsiTheme="majorBidi" w:cstheme="majorBidi"/>
          <w:sz w:val="24"/>
          <w:szCs w:val="24"/>
        </w:rPr>
        <w:t xml:space="preserve"> This is consistent with </w:t>
      </w:r>
      <w:r>
        <w:rPr>
          <w:rFonts w:asciiTheme="majorBidi" w:hAnsiTheme="majorBidi" w:cstheme="majorBidi"/>
          <w:sz w:val="24"/>
          <w:szCs w:val="24"/>
        </w:rPr>
        <w:t>t</w:t>
      </w:r>
      <w:r w:rsidRPr="00BE1574">
        <w:rPr>
          <w:rFonts w:asciiTheme="majorBidi" w:hAnsiTheme="majorBidi" w:cstheme="majorBidi"/>
          <w:sz w:val="24"/>
          <w:szCs w:val="24"/>
        </w:rPr>
        <w:t xml:space="preserve">he Foundations for Evidence-Based Policymaking Act of 2018, as well as guidance issued by OMB under OMB M-20-12 and OMB M-21-27. </w:t>
      </w:r>
    </w:p>
    <w:p w:rsidR="00A867E7" w:rsidP="00BE1574" w14:paraId="05AFAFB1" w14:textId="131AF5EA">
      <w:pPr>
        <w:rPr>
          <w:rFonts w:asciiTheme="majorBidi" w:hAnsiTheme="majorBidi" w:cstheme="majorBidi"/>
          <w:sz w:val="24"/>
          <w:szCs w:val="24"/>
        </w:rPr>
      </w:pPr>
      <w:r w:rsidRPr="00BE1574">
        <w:rPr>
          <w:rFonts w:asciiTheme="majorBidi" w:hAnsiTheme="majorBidi" w:cstheme="majorBidi"/>
          <w:sz w:val="24"/>
          <w:szCs w:val="24"/>
        </w:rPr>
        <w:t xml:space="preserve">The </w:t>
      </w:r>
      <w:r w:rsidR="00CF4D07">
        <w:rPr>
          <w:rFonts w:asciiTheme="majorBidi" w:hAnsiTheme="majorBidi" w:cstheme="majorBidi"/>
          <w:sz w:val="24"/>
          <w:szCs w:val="24"/>
        </w:rPr>
        <w:t>DOL</w:t>
      </w:r>
      <w:r w:rsidRPr="00BE1574">
        <w:rPr>
          <w:rFonts w:asciiTheme="majorBidi" w:hAnsiTheme="majorBidi" w:cstheme="majorBidi"/>
          <w:sz w:val="24"/>
          <w:szCs w:val="24"/>
        </w:rPr>
        <w:t xml:space="preserve"> Funding Opportunity Announcement for the ETM grants (FOA-ODEP-23-12) </w:t>
      </w:r>
      <w:r w:rsidR="0020371D">
        <w:rPr>
          <w:rFonts w:asciiTheme="majorBidi" w:hAnsiTheme="majorBidi" w:cstheme="majorBidi"/>
          <w:sz w:val="24"/>
          <w:szCs w:val="24"/>
        </w:rPr>
        <w:t>demonstrated</w:t>
      </w:r>
      <w:r w:rsidRPr="00BE1574" w:rsidR="0020371D">
        <w:rPr>
          <w:rFonts w:asciiTheme="majorBidi" w:hAnsiTheme="majorBidi" w:cstheme="majorBidi"/>
          <w:sz w:val="24"/>
          <w:szCs w:val="24"/>
        </w:rPr>
        <w:t xml:space="preserve"> </w:t>
      </w:r>
      <w:r w:rsidRPr="00BE1574">
        <w:rPr>
          <w:rFonts w:asciiTheme="majorBidi" w:hAnsiTheme="majorBidi" w:cstheme="majorBidi"/>
          <w:sz w:val="24"/>
          <w:szCs w:val="24"/>
        </w:rPr>
        <w:t xml:space="preserve">DOL’s </w:t>
      </w:r>
      <w:r w:rsidR="0020371D">
        <w:rPr>
          <w:rFonts w:asciiTheme="majorBidi" w:hAnsiTheme="majorBidi" w:cstheme="majorBidi"/>
          <w:sz w:val="24"/>
          <w:szCs w:val="24"/>
        </w:rPr>
        <w:t>interest</w:t>
      </w:r>
      <w:r w:rsidR="004044C6">
        <w:rPr>
          <w:rFonts w:asciiTheme="majorBidi" w:hAnsiTheme="majorBidi" w:cstheme="majorBidi"/>
          <w:sz w:val="24"/>
          <w:szCs w:val="24"/>
        </w:rPr>
        <w:t xml:space="preserve"> in</w:t>
      </w:r>
      <w:r w:rsidRPr="00BE1574">
        <w:rPr>
          <w:rFonts w:asciiTheme="majorBidi" w:hAnsiTheme="majorBidi" w:cstheme="majorBidi"/>
          <w:sz w:val="24"/>
          <w:szCs w:val="24"/>
        </w:rPr>
        <w:t xml:space="preserve"> develop</w:t>
      </w:r>
      <w:r w:rsidR="004044C6">
        <w:rPr>
          <w:rFonts w:asciiTheme="majorBidi" w:hAnsiTheme="majorBidi" w:cstheme="majorBidi"/>
          <w:sz w:val="24"/>
          <w:szCs w:val="24"/>
        </w:rPr>
        <w:t>ing</w:t>
      </w:r>
      <w:r w:rsidRPr="00BE1574">
        <w:rPr>
          <w:rFonts w:asciiTheme="majorBidi" w:hAnsiTheme="majorBidi" w:cstheme="majorBidi"/>
          <w:sz w:val="24"/>
          <w:szCs w:val="24"/>
        </w:rPr>
        <w:t xml:space="preserve"> rigorous evidence on approaches that work for serving </w:t>
      </w:r>
      <w:r w:rsidR="00FB71A3">
        <w:rPr>
          <w:rFonts w:asciiTheme="majorBidi" w:hAnsiTheme="majorBidi" w:cstheme="majorBidi"/>
          <w:sz w:val="24"/>
          <w:szCs w:val="24"/>
        </w:rPr>
        <w:t>Y&amp;YAD</w:t>
      </w:r>
      <w:r w:rsidRPr="00BE1574">
        <w:rPr>
          <w:rFonts w:asciiTheme="majorBidi" w:hAnsiTheme="majorBidi" w:cstheme="majorBidi"/>
          <w:sz w:val="24"/>
          <w:szCs w:val="24"/>
        </w:rPr>
        <w:t>.</w:t>
      </w:r>
    </w:p>
    <w:p w:rsidR="00F54C13" w:rsidP="00F54C13" w14:paraId="2BBF4C91" w14:textId="57FF7AFD">
      <w:pPr>
        <w:rPr>
          <w:rFonts w:asciiTheme="majorBidi" w:hAnsiTheme="majorBidi" w:cstheme="majorBidi"/>
          <w:sz w:val="24"/>
          <w:szCs w:val="24"/>
        </w:rPr>
      </w:pPr>
      <w:r w:rsidRPr="00F54C13">
        <w:rPr>
          <w:rFonts w:asciiTheme="majorBidi" w:hAnsiTheme="majorBidi" w:cstheme="majorBidi"/>
          <w:sz w:val="24"/>
          <w:szCs w:val="24"/>
        </w:rPr>
        <w:t>ODEP’s statutory authority is 29 U.S. Code § 557b, and th</w:t>
      </w:r>
      <w:r>
        <w:rPr>
          <w:rFonts w:asciiTheme="majorBidi" w:hAnsiTheme="majorBidi" w:cstheme="majorBidi"/>
          <w:sz w:val="24"/>
          <w:szCs w:val="24"/>
        </w:rPr>
        <w:t xml:space="preserve">e </w:t>
      </w:r>
      <w:r w:rsidRPr="00F54C13">
        <w:rPr>
          <w:rFonts w:asciiTheme="majorBidi" w:hAnsiTheme="majorBidi" w:cstheme="majorBidi"/>
          <w:sz w:val="24"/>
          <w:szCs w:val="24"/>
        </w:rPr>
        <w:t xml:space="preserve">evaluation contract is “furthering the objective of eliminating barriers to the training and employment of people with disabilities.” The evaluator, together with the TA provider, is supporting </w:t>
      </w:r>
      <w:r w:rsidR="00775950">
        <w:rPr>
          <w:rFonts w:asciiTheme="majorBidi" w:hAnsiTheme="majorBidi" w:cstheme="majorBidi"/>
          <w:sz w:val="24"/>
          <w:szCs w:val="24"/>
        </w:rPr>
        <w:t>ODEP’s</w:t>
      </w:r>
      <w:r w:rsidRPr="00F54C13">
        <w:rPr>
          <w:rFonts w:asciiTheme="majorBidi" w:hAnsiTheme="majorBidi" w:cstheme="majorBidi"/>
          <w:sz w:val="24"/>
          <w:szCs w:val="24"/>
        </w:rPr>
        <w:t xml:space="preserve"> research and demonstration project</w:t>
      </w:r>
      <w:r w:rsidR="00080C22">
        <w:rPr>
          <w:rFonts w:asciiTheme="majorBidi" w:hAnsiTheme="majorBidi" w:cstheme="majorBidi"/>
          <w:sz w:val="24"/>
          <w:szCs w:val="24"/>
        </w:rPr>
        <w:t xml:space="preserve"> which is funded from DOL’s appropriation</w:t>
      </w:r>
      <w:r w:rsidRPr="00F54C13">
        <w:rPr>
          <w:rFonts w:asciiTheme="majorBidi" w:hAnsiTheme="majorBidi" w:cstheme="majorBidi"/>
          <w:sz w:val="24"/>
          <w:szCs w:val="24"/>
        </w:rPr>
        <w:t>.</w:t>
      </w:r>
    </w:p>
    <w:p w:rsidR="00BE1574" w:rsidRPr="00946B35" w:rsidP="00D95F0F" w14:paraId="5115D635" w14:textId="3BB3C1FE">
      <w:pPr>
        <w:pStyle w:val="ListParagraph"/>
        <w:ind w:left="0"/>
        <w:rPr>
          <w:rFonts w:ascii="Times New Roman" w:hAnsi="Times New Roman" w:cs="Times New Roman"/>
          <w:b/>
          <w:bCs/>
        </w:rPr>
      </w:pPr>
      <w:bookmarkStart w:id="2" w:name="A02"/>
      <w:r>
        <w:rPr>
          <w:rFonts w:ascii="Times New Roman" w:hAnsi="Times New Roman" w:cs="Times New Roman"/>
          <w:b/>
          <w:bCs/>
        </w:rPr>
        <w:t>A.2.</w:t>
      </w:r>
      <w:bookmarkEnd w:id="2"/>
      <w:r>
        <w:rPr>
          <w:rFonts w:ascii="Times New Roman" w:hAnsi="Times New Roman" w:cs="Times New Roman"/>
          <w:b/>
          <w:bCs/>
        </w:rPr>
        <w:t xml:space="preserve"> </w:t>
      </w:r>
      <w:r w:rsidRPr="00946B35">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p>
    <w:p w:rsidR="00181549" w:rsidP="001635A2" w14:paraId="210D6027" w14:textId="77777777">
      <w:pPr>
        <w:rPr>
          <w:rFonts w:asciiTheme="majorBidi" w:hAnsiTheme="majorBidi" w:cstheme="majorBidi"/>
          <w:sz w:val="24"/>
          <w:szCs w:val="24"/>
        </w:rPr>
      </w:pPr>
      <w:r>
        <w:rPr>
          <w:rFonts w:asciiTheme="majorBidi" w:hAnsiTheme="majorBidi" w:cstheme="majorBidi"/>
          <w:sz w:val="24"/>
          <w:szCs w:val="24"/>
        </w:rPr>
        <w:t>The three main uses for the information to be collected are:</w:t>
      </w:r>
    </w:p>
    <w:p w:rsidR="00181549" w:rsidRPr="00DD5622" w:rsidP="001635A2" w14:paraId="66E1AF72" w14:textId="21000E02">
      <w:pPr>
        <w:rPr>
          <w:rFonts w:ascii="Times New Roman" w:hAnsi="Times New Roman" w:cs="Times New Roman"/>
          <w:sz w:val="24"/>
          <w:szCs w:val="24"/>
        </w:rPr>
      </w:pPr>
      <w:r w:rsidRPr="00FB5F48">
        <w:rPr>
          <w:rFonts w:asciiTheme="majorBidi" w:hAnsiTheme="majorBidi" w:cstheme="majorBidi"/>
          <w:i/>
          <w:iCs/>
          <w:sz w:val="24"/>
          <w:szCs w:val="24"/>
        </w:rPr>
        <w:t>Program monitoring</w:t>
      </w:r>
      <w:r>
        <w:rPr>
          <w:rFonts w:asciiTheme="majorBidi" w:hAnsiTheme="majorBidi" w:cstheme="majorBidi"/>
          <w:sz w:val="24"/>
          <w:szCs w:val="24"/>
        </w:rPr>
        <w:t xml:space="preserve">: </w:t>
      </w:r>
      <w:r w:rsidR="0024169E">
        <w:rPr>
          <w:rFonts w:asciiTheme="majorBidi" w:hAnsiTheme="majorBidi" w:cstheme="majorBidi"/>
          <w:sz w:val="24"/>
          <w:szCs w:val="24"/>
        </w:rPr>
        <w:t>DOL</w:t>
      </w:r>
      <w:r>
        <w:rPr>
          <w:rFonts w:asciiTheme="majorBidi" w:hAnsiTheme="majorBidi" w:cstheme="majorBidi"/>
          <w:sz w:val="24"/>
          <w:szCs w:val="24"/>
        </w:rPr>
        <w:t xml:space="preserve"> need</w:t>
      </w:r>
      <w:r w:rsidR="00DE2C61">
        <w:rPr>
          <w:rFonts w:asciiTheme="majorBidi" w:hAnsiTheme="majorBidi" w:cstheme="majorBidi"/>
          <w:sz w:val="24"/>
          <w:szCs w:val="24"/>
        </w:rPr>
        <w:t>s</w:t>
      </w:r>
      <w:r>
        <w:rPr>
          <w:rFonts w:asciiTheme="majorBidi" w:hAnsiTheme="majorBidi" w:cstheme="majorBidi"/>
          <w:sz w:val="24"/>
          <w:szCs w:val="24"/>
        </w:rPr>
        <w:t xml:space="preserve"> data on program implementation and Y&amp;YAD outcomes to monitor grant performance. These data are necessary </w:t>
      </w:r>
      <w:r w:rsidR="002F56D6">
        <w:rPr>
          <w:rFonts w:asciiTheme="majorBidi" w:hAnsiTheme="majorBidi" w:cstheme="majorBidi"/>
          <w:sz w:val="24"/>
          <w:szCs w:val="24"/>
        </w:rPr>
        <w:t>to</w:t>
      </w:r>
      <w:r>
        <w:rPr>
          <w:rFonts w:asciiTheme="majorBidi" w:hAnsiTheme="majorBidi" w:cstheme="majorBidi"/>
          <w:sz w:val="24"/>
          <w:szCs w:val="24"/>
        </w:rPr>
        <w:t xml:space="preserve"> ensur</w:t>
      </w:r>
      <w:r w:rsidR="002F56D6">
        <w:rPr>
          <w:rFonts w:asciiTheme="majorBidi" w:hAnsiTheme="majorBidi" w:cstheme="majorBidi"/>
          <w:sz w:val="24"/>
          <w:szCs w:val="24"/>
        </w:rPr>
        <w:t>e</w:t>
      </w:r>
      <w:r>
        <w:rPr>
          <w:rFonts w:asciiTheme="majorBidi" w:hAnsiTheme="majorBidi" w:cstheme="majorBidi"/>
          <w:sz w:val="24"/>
          <w:szCs w:val="24"/>
        </w:rPr>
        <w:t xml:space="preserve"> that grantees are held accountable for achieving their programs’ goals and </w:t>
      </w:r>
      <w:r w:rsidRPr="00DD5622">
        <w:rPr>
          <w:rFonts w:ascii="Times New Roman" w:hAnsi="Times New Roman" w:cs="Times New Roman"/>
          <w:sz w:val="24"/>
          <w:szCs w:val="24"/>
        </w:rPr>
        <w:t>objectives as stated in their grant application</w:t>
      </w:r>
      <w:r w:rsidRPr="00DD5622" w:rsidR="00DD5622">
        <w:rPr>
          <w:rFonts w:ascii="Times New Roman" w:hAnsi="Times New Roman" w:cs="Times New Roman"/>
          <w:sz w:val="24"/>
          <w:szCs w:val="24"/>
        </w:rPr>
        <w:t>. The ETM program is being carefully studied to ensure taxpayer dollars are being used effectively and that the program delivers real results for American youth and their families.</w:t>
      </w:r>
    </w:p>
    <w:p w:rsidR="00141FB0" w:rsidP="001635A2" w14:paraId="4E628C2F" w14:textId="1C0C6D8D">
      <w:pPr>
        <w:rPr>
          <w:rFonts w:asciiTheme="majorBidi" w:hAnsiTheme="majorBidi" w:cstheme="majorBidi"/>
          <w:sz w:val="24"/>
          <w:szCs w:val="24"/>
        </w:rPr>
      </w:pPr>
      <w:r>
        <w:rPr>
          <w:rFonts w:asciiTheme="majorBidi" w:hAnsiTheme="majorBidi" w:cstheme="majorBidi"/>
          <w:i/>
          <w:iCs/>
          <w:sz w:val="24"/>
          <w:szCs w:val="24"/>
        </w:rPr>
        <w:t>Technical assistance</w:t>
      </w:r>
      <w:r w:rsidR="00D126FC">
        <w:rPr>
          <w:rFonts w:asciiTheme="majorBidi" w:hAnsiTheme="majorBidi" w:cstheme="majorBidi"/>
          <w:i/>
          <w:iCs/>
          <w:sz w:val="24"/>
          <w:szCs w:val="24"/>
        </w:rPr>
        <w:t xml:space="preserve"> (“TA”)</w:t>
      </w:r>
      <w:r>
        <w:rPr>
          <w:rFonts w:asciiTheme="majorBidi" w:hAnsiTheme="majorBidi" w:cstheme="majorBidi"/>
          <w:i/>
          <w:iCs/>
          <w:sz w:val="24"/>
          <w:szCs w:val="24"/>
        </w:rPr>
        <w:t xml:space="preserve">: </w:t>
      </w:r>
      <w:r w:rsidR="00283E4B">
        <w:rPr>
          <w:rFonts w:asciiTheme="majorBidi" w:hAnsiTheme="majorBidi" w:cstheme="majorBidi"/>
          <w:sz w:val="24"/>
          <w:szCs w:val="24"/>
        </w:rPr>
        <w:t>DOL</w:t>
      </w:r>
      <w:r>
        <w:rPr>
          <w:rFonts w:asciiTheme="majorBidi" w:hAnsiTheme="majorBidi" w:cstheme="majorBidi"/>
          <w:sz w:val="24"/>
          <w:szCs w:val="24"/>
        </w:rPr>
        <w:t xml:space="preserve"> engaged a technical assistance provider who will help grantees use resources in cost-effective ways, optimize their delivery of services, and ultimately promote economic self-sufficiency among Y&amp;YAD, reducing reliance on public benefits.</w:t>
      </w:r>
    </w:p>
    <w:p w:rsidR="00B0580A" w:rsidRPr="00C65712" w:rsidP="006F1A18" w14:paraId="00211568" w14:textId="48C0727F">
      <w:pPr>
        <w:rPr>
          <w:rFonts w:ascii="Times New Roman" w:hAnsi="Times New Roman" w:cs="Times New Roman"/>
          <w:sz w:val="24"/>
          <w:szCs w:val="24"/>
        </w:rPr>
      </w:pPr>
      <w:r>
        <w:rPr>
          <w:rFonts w:asciiTheme="majorBidi" w:hAnsiTheme="majorBidi" w:cstheme="majorBidi"/>
          <w:i/>
          <w:iCs/>
          <w:sz w:val="24"/>
          <w:szCs w:val="24"/>
        </w:rPr>
        <w:t xml:space="preserve">Evaluation: </w:t>
      </w:r>
      <w:r w:rsidR="00283E4B">
        <w:rPr>
          <w:rFonts w:asciiTheme="majorBidi" w:hAnsiTheme="majorBidi" w:cstheme="majorBidi"/>
          <w:sz w:val="24"/>
          <w:szCs w:val="24"/>
        </w:rPr>
        <w:t>DOL</w:t>
      </w:r>
      <w:r w:rsidR="00E1149D">
        <w:rPr>
          <w:rFonts w:asciiTheme="majorBidi" w:hAnsiTheme="majorBidi" w:cstheme="majorBidi"/>
          <w:sz w:val="24"/>
          <w:szCs w:val="24"/>
        </w:rPr>
        <w:t xml:space="preserve"> engaged an evaluator to </w:t>
      </w:r>
      <w:r w:rsidRPr="00BE1574" w:rsidR="00E1149D">
        <w:rPr>
          <w:rFonts w:asciiTheme="majorBidi" w:hAnsiTheme="majorBidi" w:cstheme="majorBidi"/>
          <w:sz w:val="24"/>
          <w:szCs w:val="24"/>
        </w:rPr>
        <w:t xml:space="preserve">analyze the four grantees’ programs to build evidence </w:t>
      </w:r>
      <w:r w:rsidR="00E1149D">
        <w:rPr>
          <w:rFonts w:asciiTheme="majorBidi" w:hAnsiTheme="majorBidi" w:cstheme="majorBidi"/>
          <w:sz w:val="24"/>
          <w:szCs w:val="24"/>
        </w:rPr>
        <w:t xml:space="preserve">on effective </w:t>
      </w:r>
      <w:r w:rsidRPr="00BE1574" w:rsidR="00E1149D">
        <w:rPr>
          <w:rFonts w:asciiTheme="majorBidi" w:hAnsiTheme="majorBidi" w:cstheme="majorBidi"/>
          <w:sz w:val="24"/>
          <w:szCs w:val="24"/>
        </w:rPr>
        <w:t xml:space="preserve">strategies to </w:t>
      </w:r>
      <w:r w:rsidRPr="00800005" w:rsidR="00E1149D">
        <w:rPr>
          <w:rFonts w:ascii="Times New Roman" w:hAnsi="Times New Roman" w:cs="Times New Roman"/>
          <w:sz w:val="24"/>
          <w:szCs w:val="24"/>
        </w:rPr>
        <w:t xml:space="preserve">enable Y&amp;YAD </w:t>
      </w:r>
      <w:r w:rsidR="00F00F81">
        <w:rPr>
          <w:rFonts w:ascii="Times New Roman" w:hAnsi="Times New Roman" w:cs="Times New Roman"/>
          <w:sz w:val="24"/>
          <w:szCs w:val="24"/>
        </w:rPr>
        <w:t xml:space="preserve">to </w:t>
      </w:r>
      <w:r w:rsidRPr="00C65712" w:rsidR="00E1149D">
        <w:rPr>
          <w:rFonts w:ascii="Times New Roman" w:hAnsi="Times New Roman" w:cs="Times New Roman"/>
          <w:sz w:val="24"/>
          <w:szCs w:val="24"/>
        </w:rPr>
        <w:t>transition successfully into the workforce and inform future practice and policy at DOL.</w:t>
      </w:r>
      <w:r w:rsidRPr="00C65712" w:rsidR="00DD5622">
        <w:rPr>
          <w:rFonts w:ascii="Times New Roman" w:hAnsi="Times New Roman" w:cs="Times New Roman"/>
          <w:sz w:val="24"/>
          <w:szCs w:val="24"/>
        </w:rPr>
        <w:t xml:space="preserve"> </w:t>
      </w:r>
      <w:r w:rsidRPr="00C65712" w:rsidR="00800005">
        <w:rPr>
          <w:rFonts w:ascii="Times New Roman" w:hAnsi="Times New Roman" w:cs="Times New Roman"/>
          <w:sz w:val="24"/>
          <w:szCs w:val="24"/>
        </w:rPr>
        <w:t>The evaluation</w:t>
      </w:r>
      <w:r w:rsidRPr="00C65712" w:rsidR="00DD5622">
        <w:rPr>
          <w:rFonts w:ascii="Times New Roman" w:hAnsi="Times New Roman" w:cs="Times New Roman"/>
          <w:sz w:val="24"/>
          <w:szCs w:val="24"/>
        </w:rPr>
        <w:t xml:space="preserve"> will describe how ETM grantees design and deliver services and what outcomes ETM participants achieve.</w:t>
      </w:r>
      <w:r w:rsidRPr="00C65712">
        <w:rPr>
          <w:rFonts w:ascii="Times New Roman" w:hAnsi="Times New Roman" w:cs="Times New Roman"/>
          <w:sz w:val="24"/>
          <w:szCs w:val="24"/>
        </w:rPr>
        <w:t xml:space="preserve"> The evaluation includes (1) an implementation study that will </w:t>
      </w:r>
      <w:r w:rsidR="006B6572">
        <w:rPr>
          <w:rFonts w:ascii="Times New Roman" w:hAnsi="Times New Roman" w:cs="Times New Roman"/>
          <w:sz w:val="24"/>
          <w:szCs w:val="24"/>
        </w:rPr>
        <w:t xml:space="preserve">qualitatively </w:t>
      </w:r>
      <w:r w:rsidRPr="00C65712">
        <w:rPr>
          <w:rFonts w:ascii="Times New Roman" w:hAnsi="Times New Roman" w:cs="Times New Roman"/>
          <w:sz w:val="24"/>
          <w:szCs w:val="24"/>
        </w:rPr>
        <w:t>describe how ETM grantees design and deliver services; (2) an outcomes study that</w:t>
      </w:r>
      <w:r w:rsidR="00C4449B">
        <w:rPr>
          <w:rFonts w:ascii="Times New Roman" w:hAnsi="Times New Roman" w:cs="Times New Roman"/>
          <w:sz w:val="24"/>
          <w:szCs w:val="24"/>
        </w:rPr>
        <w:t xml:space="preserve"> will</w:t>
      </w:r>
      <w:r w:rsidRPr="00C65712">
        <w:rPr>
          <w:rFonts w:ascii="Times New Roman" w:hAnsi="Times New Roman" w:cs="Times New Roman"/>
          <w:sz w:val="24"/>
          <w:szCs w:val="24"/>
        </w:rPr>
        <w:t xml:space="preserve"> </w:t>
      </w:r>
      <w:r w:rsidR="006B6572">
        <w:rPr>
          <w:rFonts w:ascii="Times New Roman" w:hAnsi="Times New Roman" w:cs="Times New Roman"/>
          <w:sz w:val="24"/>
          <w:szCs w:val="24"/>
        </w:rPr>
        <w:t xml:space="preserve">descriptively </w:t>
      </w:r>
      <w:r w:rsidR="008E3D4E">
        <w:rPr>
          <w:rFonts w:ascii="Times New Roman" w:hAnsi="Times New Roman" w:cs="Times New Roman"/>
          <w:sz w:val="24"/>
          <w:szCs w:val="24"/>
        </w:rPr>
        <w:t>outline</w:t>
      </w:r>
      <w:r w:rsidRPr="00C65712" w:rsidR="008E3D4E">
        <w:rPr>
          <w:rFonts w:ascii="Times New Roman" w:hAnsi="Times New Roman" w:cs="Times New Roman"/>
          <w:sz w:val="24"/>
          <w:szCs w:val="24"/>
        </w:rPr>
        <w:t xml:space="preserve"> </w:t>
      </w:r>
      <w:r w:rsidRPr="00C65712" w:rsidR="006F1A18">
        <w:rPr>
          <w:rFonts w:ascii="Times New Roman" w:hAnsi="Times New Roman" w:cs="Times New Roman"/>
          <w:sz w:val="24"/>
          <w:szCs w:val="24"/>
        </w:rPr>
        <w:t>how ETM participants engage in the workforce and with postsecondary education and training, and (3) a</w:t>
      </w:r>
      <w:r w:rsidRPr="00C65712">
        <w:rPr>
          <w:rFonts w:ascii="Times New Roman" w:hAnsi="Times New Roman" w:cs="Times New Roman"/>
          <w:sz w:val="24"/>
          <w:szCs w:val="24"/>
        </w:rPr>
        <w:t xml:space="preserve"> Customer Experience Study </w:t>
      </w:r>
      <w:r w:rsidR="00EC0992">
        <w:rPr>
          <w:rFonts w:ascii="Times New Roman" w:hAnsi="Times New Roman" w:cs="Times New Roman"/>
          <w:sz w:val="24"/>
          <w:szCs w:val="24"/>
        </w:rPr>
        <w:t xml:space="preserve">that </w:t>
      </w:r>
      <w:r w:rsidRPr="00C65712">
        <w:rPr>
          <w:rFonts w:ascii="Times New Roman" w:hAnsi="Times New Roman" w:cs="Times New Roman"/>
          <w:sz w:val="24"/>
          <w:szCs w:val="24"/>
        </w:rPr>
        <w:t xml:space="preserve">will </w:t>
      </w:r>
      <w:r w:rsidR="00653798">
        <w:rPr>
          <w:rFonts w:ascii="Times New Roman" w:hAnsi="Times New Roman" w:cs="Times New Roman"/>
          <w:sz w:val="24"/>
          <w:szCs w:val="24"/>
        </w:rPr>
        <w:t xml:space="preserve">qualitatively </w:t>
      </w:r>
      <w:r w:rsidRPr="00C65712">
        <w:rPr>
          <w:rFonts w:ascii="Times New Roman" w:hAnsi="Times New Roman" w:cs="Times New Roman"/>
          <w:sz w:val="24"/>
          <w:szCs w:val="24"/>
        </w:rPr>
        <w:t xml:space="preserve">describe customers' experiences participating in ETM and examine strengths and areas of opportunity for the ETM program from multiple perspectives. </w:t>
      </w:r>
      <w:r w:rsidRPr="00C65712" w:rsidR="00C30FF4">
        <w:rPr>
          <w:rFonts w:ascii="Times New Roman" w:hAnsi="Times New Roman" w:cs="Times New Roman"/>
          <w:sz w:val="24"/>
          <w:szCs w:val="24"/>
        </w:rPr>
        <w:t>DOL’s research questions for the evaluation are presented in Exhibit A</w:t>
      </w:r>
      <w:r w:rsidR="00E200CC">
        <w:rPr>
          <w:rFonts w:ascii="Times New Roman" w:hAnsi="Times New Roman" w:cs="Times New Roman"/>
          <w:sz w:val="24"/>
          <w:szCs w:val="24"/>
        </w:rPr>
        <w:t>.</w:t>
      </w:r>
      <w:r w:rsidRPr="00C65712" w:rsidR="00C30FF4">
        <w:rPr>
          <w:rFonts w:ascii="Times New Roman" w:hAnsi="Times New Roman" w:cs="Times New Roman"/>
          <w:sz w:val="24"/>
          <w:szCs w:val="24"/>
        </w:rPr>
        <w:t xml:space="preserve">1. </w:t>
      </w:r>
    </w:p>
    <w:p w:rsidR="00C30FF4" w:rsidRPr="00C30FF4" w:rsidP="006F1A18" w14:paraId="27CFA58E" w14:textId="74E2BE01">
      <w:pPr>
        <w:rPr>
          <w:b/>
          <w:bCs/>
          <w:sz w:val="24"/>
          <w:szCs w:val="24"/>
        </w:rPr>
      </w:pPr>
      <w:r>
        <w:rPr>
          <w:b/>
          <w:bCs/>
          <w:sz w:val="24"/>
          <w:szCs w:val="24"/>
        </w:rPr>
        <w:t>Exhibit A</w:t>
      </w:r>
      <w:r w:rsidR="00E200CC">
        <w:rPr>
          <w:b/>
          <w:bCs/>
          <w:sz w:val="24"/>
          <w:szCs w:val="24"/>
        </w:rPr>
        <w:t>.</w:t>
      </w:r>
      <w:r>
        <w:rPr>
          <w:b/>
          <w:bCs/>
          <w:sz w:val="24"/>
          <w:szCs w:val="24"/>
        </w:rPr>
        <w:t>1</w:t>
      </w:r>
      <w:r w:rsidR="007521AD">
        <w:rPr>
          <w:b/>
          <w:bCs/>
          <w:sz w:val="24"/>
          <w:szCs w:val="24"/>
        </w:rPr>
        <w:t>:</w:t>
      </w:r>
      <w:r w:rsidR="00994536">
        <w:rPr>
          <w:b/>
          <w:bCs/>
          <w:sz w:val="24"/>
          <w:szCs w:val="24"/>
        </w:rPr>
        <w:t xml:space="preserve"> Evaluation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7290"/>
      </w:tblGrid>
      <w:tr w14:paraId="0060A69C" w14:textId="77777777" w:rsidTr="00DA79A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2065" w:type="dxa"/>
            <w:shd w:val="clear" w:color="auto" w:fill="595959" w:themeFill="text1" w:themeFillTint="A6"/>
          </w:tcPr>
          <w:p w:rsidR="00C30FF4" w:rsidRPr="00817076" w14:paraId="32BE73F1" w14:textId="77777777">
            <w:pPr>
              <w:pStyle w:val="TableColumnHeaderLeft"/>
              <w:keepNext/>
              <w:rPr>
                <w:color w:val="FFFFFF" w:themeColor="background1"/>
              </w:rPr>
            </w:pPr>
            <w:r w:rsidRPr="00817076">
              <w:rPr>
                <w:color w:val="FFFFFF" w:themeColor="background1"/>
              </w:rPr>
              <w:t>Domain</w:t>
            </w:r>
          </w:p>
        </w:tc>
        <w:tc>
          <w:tcPr>
            <w:tcW w:w="7290" w:type="dxa"/>
            <w:shd w:val="clear" w:color="auto" w:fill="595959" w:themeFill="text1" w:themeFillTint="A6"/>
          </w:tcPr>
          <w:p w:rsidR="00C30FF4" w:rsidRPr="00817076" w14:paraId="4F72C0F0" w14:textId="77777777">
            <w:pPr>
              <w:pStyle w:val="TableColumnHeader"/>
              <w:keepNext/>
            </w:pPr>
            <w:r w:rsidRPr="00817076">
              <w:t>Research Question</w:t>
            </w:r>
          </w:p>
        </w:tc>
      </w:tr>
      <w:tr w14:paraId="1A8C2AE4" w14:textId="77777777">
        <w:tblPrEx>
          <w:tblW w:w="9355" w:type="dxa"/>
          <w:tblLook w:val="04A0"/>
        </w:tblPrEx>
        <w:trPr>
          <w:trHeight w:val="20"/>
        </w:trPr>
        <w:tc>
          <w:tcPr>
            <w:tcW w:w="2065" w:type="dxa"/>
          </w:tcPr>
          <w:p w:rsidR="00C30FF4" w:rsidRPr="000A3135" w14:paraId="16E465F9" w14:textId="504A5077">
            <w:pPr>
              <w:pStyle w:val="TableText"/>
              <w:rPr>
                <w:rFonts w:asciiTheme="majorBidi" w:hAnsiTheme="majorBidi" w:cstheme="majorBidi"/>
                <w:b/>
                <w:sz w:val="22"/>
                <w:szCs w:val="22"/>
              </w:rPr>
            </w:pPr>
            <w:r w:rsidRPr="000A3135">
              <w:rPr>
                <w:rFonts w:asciiTheme="majorBidi" w:hAnsiTheme="majorBidi" w:cstheme="majorBidi"/>
                <w:b/>
                <w:sz w:val="22"/>
                <w:szCs w:val="22"/>
              </w:rPr>
              <w:t>Engage Participants</w:t>
            </w:r>
          </w:p>
        </w:tc>
        <w:tc>
          <w:tcPr>
            <w:tcW w:w="7290" w:type="dxa"/>
          </w:tcPr>
          <w:p w:rsidR="00C30FF4" w:rsidRPr="000A3135" w14:paraId="5328B6E2" w14:textId="2A1F7E22">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are the characteristics of the population served by </w:t>
            </w:r>
            <w:r w:rsidR="00A355BD">
              <w:rPr>
                <w:rFonts w:asciiTheme="majorBidi" w:hAnsiTheme="majorBidi" w:cstheme="majorBidi"/>
                <w:sz w:val="22"/>
                <w:szCs w:val="22"/>
              </w:rPr>
              <w:t>Employment Transition Model (</w:t>
            </w:r>
            <w:r w:rsidRPr="000A3135">
              <w:rPr>
                <w:rFonts w:asciiTheme="majorBidi" w:hAnsiTheme="majorBidi" w:cstheme="majorBidi"/>
                <w:sz w:val="22"/>
                <w:szCs w:val="22"/>
              </w:rPr>
              <w:t>ETM</w:t>
            </w:r>
            <w:r w:rsidR="00A355BD">
              <w:rPr>
                <w:rFonts w:asciiTheme="majorBidi" w:hAnsiTheme="majorBidi" w:cstheme="majorBidi"/>
                <w:sz w:val="22"/>
                <w:szCs w:val="22"/>
              </w:rPr>
              <w:t>)</w:t>
            </w:r>
            <w:r w:rsidRPr="000A3135">
              <w:rPr>
                <w:rFonts w:asciiTheme="majorBidi" w:hAnsiTheme="majorBidi" w:cstheme="majorBidi"/>
                <w:sz w:val="22"/>
                <w:szCs w:val="22"/>
              </w:rPr>
              <w:t xml:space="preserve"> grantees?</w:t>
            </w:r>
          </w:p>
          <w:p w:rsidR="00C30FF4" w:rsidRPr="000A3135" w14:paraId="5BFCD180" w14:textId="19ABEF0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are ETM participants' expectations of </w:t>
            </w:r>
            <w:r w:rsidR="00B85AA0">
              <w:rPr>
                <w:rFonts w:asciiTheme="majorBidi" w:hAnsiTheme="majorBidi" w:cstheme="majorBidi"/>
                <w:sz w:val="22"/>
                <w:szCs w:val="22"/>
              </w:rPr>
              <w:t>employment and education</w:t>
            </w:r>
            <w:r w:rsidRPr="000A3135">
              <w:rPr>
                <w:rFonts w:asciiTheme="majorBidi" w:hAnsiTheme="majorBidi" w:cstheme="majorBidi"/>
                <w:sz w:val="22"/>
                <w:szCs w:val="22"/>
              </w:rPr>
              <w:t xml:space="preserve"> success and do these expectations differ based on demographic and geographic characteristics?</w:t>
            </w:r>
          </w:p>
          <w:p w:rsidR="00C30FF4" w:rsidRPr="000A3135" w14:paraId="0CFDFFE8" w14:textId="175D355E">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barriers do ETM participants experience when seeking</w:t>
            </w:r>
            <w:r w:rsidR="00415F67">
              <w:rPr>
                <w:rFonts w:asciiTheme="majorBidi" w:hAnsiTheme="majorBidi" w:cstheme="majorBidi"/>
                <w:sz w:val="22"/>
                <w:szCs w:val="22"/>
              </w:rPr>
              <w:t xml:space="preserve"> </w:t>
            </w:r>
            <w:r w:rsidRPr="45350FCA" w:rsidR="540F3FC3">
              <w:rPr>
                <w:rFonts w:asciiTheme="majorBidi" w:hAnsiTheme="majorBidi" w:cstheme="majorBidi"/>
                <w:sz w:val="22"/>
                <w:szCs w:val="22"/>
              </w:rPr>
              <w:t>ETM</w:t>
            </w:r>
            <w:r w:rsidRPr="000A3135">
              <w:rPr>
                <w:rFonts w:asciiTheme="majorBidi" w:hAnsiTheme="majorBidi" w:cstheme="majorBidi"/>
                <w:sz w:val="22"/>
                <w:szCs w:val="22"/>
              </w:rPr>
              <w:t xml:space="preserve"> services?</w:t>
            </w:r>
          </w:p>
          <w:p w:rsidR="00C30FF4" w:rsidRPr="000A3135" w14:paraId="030CBBC5" w14:textId="608DE510">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strategies do ETM grantees use to address barriers that participants may face when seeking services?</w:t>
            </w:r>
          </w:p>
        </w:tc>
      </w:tr>
      <w:tr w14:paraId="14B137E3" w14:textId="77777777">
        <w:tblPrEx>
          <w:tblW w:w="9355" w:type="dxa"/>
          <w:tblLook w:val="04A0"/>
        </w:tblPrEx>
        <w:trPr>
          <w:trHeight w:val="20"/>
        </w:trPr>
        <w:tc>
          <w:tcPr>
            <w:tcW w:w="2065" w:type="dxa"/>
          </w:tcPr>
          <w:p w:rsidR="00C30FF4" w:rsidRPr="000A3135" w14:paraId="0E563AC2" w14:textId="77777777">
            <w:pPr>
              <w:pStyle w:val="TableText"/>
              <w:rPr>
                <w:rFonts w:asciiTheme="majorBidi" w:hAnsiTheme="majorBidi" w:cstheme="majorBidi"/>
                <w:b/>
                <w:sz w:val="22"/>
                <w:szCs w:val="22"/>
              </w:rPr>
            </w:pPr>
            <w:r w:rsidRPr="000A3135">
              <w:rPr>
                <w:rFonts w:asciiTheme="majorBidi" w:hAnsiTheme="majorBidi" w:cstheme="majorBidi"/>
                <w:b/>
                <w:sz w:val="22"/>
                <w:szCs w:val="22"/>
              </w:rPr>
              <w:t>Increase Capacity Through a Consortium of Partners</w:t>
            </w:r>
          </w:p>
        </w:tc>
        <w:tc>
          <w:tcPr>
            <w:tcW w:w="7290" w:type="dxa"/>
          </w:tcPr>
          <w:p w:rsidR="00C30FF4" w:rsidRPr="000A3135" w14:paraId="1D18EB5C" w14:textId="4BB09E19">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are </w:t>
            </w:r>
            <w:r w:rsidR="00B82FFC">
              <w:rPr>
                <w:rFonts w:asciiTheme="majorBidi" w:hAnsiTheme="majorBidi" w:cstheme="majorBidi"/>
                <w:sz w:val="22"/>
                <w:szCs w:val="22"/>
              </w:rPr>
              <w:t xml:space="preserve">the </w:t>
            </w:r>
            <w:r w:rsidRPr="000A3135">
              <w:rPr>
                <w:rFonts w:asciiTheme="majorBidi" w:hAnsiTheme="majorBidi" w:cstheme="majorBidi"/>
                <w:sz w:val="22"/>
                <w:szCs w:val="22"/>
              </w:rPr>
              <w:t>roles and responsibilities of individuals and organizations engaged in delivering the ETM project for each grantee?</w:t>
            </w:r>
          </w:p>
          <w:p w:rsidR="00C30FF4" w:rsidRPr="000A3135" w14:paraId="6009FBD1"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Which types of partners are most actively involved in supporting ETM participants? </w:t>
            </w:r>
          </w:p>
          <w:p w:rsidR="00C30FF4" w:rsidRPr="000A3135" w14:paraId="7A0E6121"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How do the type of partners and their roles change over time?</w:t>
            </w:r>
          </w:p>
        </w:tc>
      </w:tr>
      <w:tr w14:paraId="36F9F566" w14:textId="77777777">
        <w:tblPrEx>
          <w:tblW w:w="9355" w:type="dxa"/>
          <w:tblLook w:val="04A0"/>
        </w:tblPrEx>
        <w:trPr>
          <w:trHeight w:val="20"/>
        </w:trPr>
        <w:tc>
          <w:tcPr>
            <w:tcW w:w="2065" w:type="dxa"/>
          </w:tcPr>
          <w:p w:rsidR="00C30FF4" w:rsidRPr="000A3135" w14:paraId="6DB9AD8B" w14:textId="77777777">
            <w:pPr>
              <w:pStyle w:val="TableText"/>
              <w:rPr>
                <w:rFonts w:asciiTheme="majorBidi" w:hAnsiTheme="majorBidi" w:cstheme="majorBidi"/>
                <w:b/>
                <w:sz w:val="22"/>
                <w:szCs w:val="22"/>
              </w:rPr>
            </w:pPr>
            <w:r w:rsidRPr="000A3135">
              <w:rPr>
                <w:rFonts w:asciiTheme="majorBidi" w:hAnsiTheme="majorBidi" w:cstheme="majorBidi"/>
                <w:b/>
                <w:sz w:val="22"/>
                <w:szCs w:val="22"/>
              </w:rPr>
              <w:t>Deliver Coordinated Services</w:t>
            </w:r>
          </w:p>
        </w:tc>
        <w:tc>
          <w:tcPr>
            <w:tcW w:w="7290" w:type="dxa"/>
          </w:tcPr>
          <w:p w:rsidR="00C30FF4" w:rsidRPr="000A3135" w14:paraId="0743A28A"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are the core strategies of each of the ETM grantees?</w:t>
            </w:r>
          </w:p>
          <w:p w:rsidR="00C30FF4" w:rsidRPr="000A3135" w14:paraId="48BF311E"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Over time, are the core service strategies of ETM grantees implemented as designed and, if not, what adaptations were made?</w:t>
            </w:r>
          </w:p>
          <w:p w:rsidR="00C30FF4" w:rsidRPr="000A3135" w14:paraId="69CC3372" w14:textId="430DECB4">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strategies do sites use specifically to engage Y&amp;YAD </w:t>
            </w:r>
            <w:r>
              <w:rPr>
                <w:rFonts w:asciiTheme="majorBidi" w:hAnsiTheme="majorBidi" w:cstheme="majorBidi"/>
                <w:sz w:val="22"/>
                <w:szCs w:val="22"/>
              </w:rPr>
              <w:t>who are WIOA eligible</w:t>
            </w:r>
            <w:r w:rsidRPr="000A3135">
              <w:rPr>
                <w:rFonts w:asciiTheme="majorBidi" w:hAnsiTheme="majorBidi" w:cstheme="majorBidi"/>
                <w:sz w:val="22"/>
                <w:szCs w:val="22"/>
              </w:rPr>
              <w:t xml:space="preserve">? </w:t>
            </w:r>
          </w:p>
          <w:p w:rsidR="00C30FF4" w:rsidRPr="000A3135" w14:paraId="59DE9DAA"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Do certain program components and services have higher take-up rates than others?</w:t>
            </w:r>
          </w:p>
          <w:p w:rsidR="00C30FF4" w:rsidRPr="000A3135" w14:paraId="4C536942"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parts of the transition process do participants and their families view as “successful, good, or smooth” and which parts do they not?</w:t>
            </w:r>
          </w:p>
        </w:tc>
      </w:tr>
      <w:tr w14:paraId="23633D4B" w14:textId="77777777">
        <w:tblPrEx>
          <w:tblW w:w="9355" w:type="dxa"/>
          <w:tblLook w:val="04A0"/>
        </w:tblPrEx>
        <w:trPr>
          <w:trHeight w:val="20"/>
        </w:trPr>
        <w:tc>
          <w:tcPr>
            <w:tcW w:w="2065" w:type="dxa"/>
          </w:tcPr>
          <w:p w:rsidR="00C30FF4" w:rsidRPr="000A3135" w14:paraId="2E481D87" w14:textId="77777777">
            <w:pPr>
              <w:pStyle w:val="TableText"/>
              <w:rPr>
                <w:rFonts w:asciiTheme="majorBidi" w:hAnsiTheme="majorBidi" w:cstheme="majorBidi"/>
                <w:b/>
                <w:sz w:val="22"/>
                <w:szCs w:val="22"/>
              </w:rPr>
            </w:pPr>
            <w:r w:rsidRPr="000A3135">
              <w:rPr>
                <w:rFonts w:asciiTheme="majorBidi" w:hAnsiTheme="majorBidi" w:cstheme="majorBidi"/>
                <w:b/>
                <w:sz w:val="22"/>
                <w:szCs w:val="22"/>
              </w:rPr>
              <w:t>Achieve Participant Outcomes</w:t>
            </w:r>
          </w:p>
        </w:tc>
        <w:tc>
          <w:tcPr>
            <w:tcW w:w="7290" w:type="dxa"/>
          </w:tcPr>
          <w:p w:rsidR="00C30FF4" w:rsidRPr="000A3135" w14:paraId="1FA184DC" w14:textId="21CA7D3B">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education, training, and credentialing outcomes do ETM participants achieve and how do these vary by sub</w:t>
            </w:r>
            <w:r>
              <w:rPr>
                <w:rFonts w:asciiTheme="majorBidi" w:hAnsiTheme="majorBidi" w:cstheme="majorBidi"/>
                <w:sz w:val="22"/>
                <w:szCs w:val="22"/>
              </w:rPr>
              <w:t>populations</w:t>
            </w:r>
            <w:r w:rsidRPr="000A3135">
              <w:rPr>
                <w:rFonts w:asciiTheme="majorBidi" w:hAnsiTheme="majorBidi" w:cstheme="majorBidi"/>
                <w:sz w:val="22"/>
                <w:szCs w:val="22"/>
              </w:rPr>
              <w:t>?</w:t>
            </w:r>
          </w:p>
          <w:p w:rsidR="00C30FF4" w:rsidRPr="000A3135" w14:paraId="1272A3F9" w14:textId="63E9D204">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employment, earnings, and career advancement outcomes do ETM participants achieve and how do these vary by sub</w:t>
            </w:r>
            <w:r>
              <w:rPr>
                <w:rFonts w:asciiTheme="majorBidi" w:hAnsiTheme="majorBidi" w:cstheme="majorBidi"/>
                <w:sz w:val="22"/>
                <w:szCs w:val="22"/>
              </w:rPr>
              <w:t>populations</w:t>
            </w:r>
            <w:r w:rsidRPr="000A3135">
              <w:rPr>
                <w:rFonts w:asciiTheme="majorBidi" w:hAnsiTheme="majorBidi" w:cstheme="majorBidi"/>
                <w:sz w:val="22"/>
                <w:szCs w:val="22"/>
              </w:rPr>
              <w:t>?</w:t>
            </w:r>
          </w:p>
          <w:p w:rsidR="00C30FF4" w:rsidRPr="000A3135" w14:paraId="530935D6"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Beyond traditional measures, such as employment rates and earnings, what additional outcomes do participants and grantees consider important indicators of progress toward career goals?</w:t>
            </w:r>
          </w:p>
        </w:tc>
      </w:tr>
      <w:tr w14:paraId="20C0B30D" w14:textId="77777777" w:rsidTr="00150F21">
        <w:tblPrEx>
          <w:tblW w:w="9355" w:type="dxa"/>
          <w:tblLook w:val="04A0"/>
        </w:tblPrEx>
        <w:trPr>
          <w:trHeight w:val="2510"/>
        </w:trPr>
        <w:tc>
          <w:tcPr>
            <w:tcW w:w="2065" w:type="dxa"/>
          </w:tcPr>
          <w:p w:rsidR="00C30FF4" w:rsidRPr="000A3135" w14:paraId="313324F6" w14:textId="77777777">
            <w:pPr>
              <w:pStyle w:val="TableText"/>
              <w:rPr>
                <w:rFonts w:asciiTheme="majorBidi" w:hAnsiTheme="majorBidi" w:cstheme="majorBidi"/>
                <w:b/>
                <w:sz w:val="22"/>
                <w:szCs w:val="22"/>
              </w:rPr>
            </w:pPr>
            <w:r w:rsidRPr="000A3135">
              <w:rPr>
                <w:rFonts w:asciiTheme="majorBidi" w:hAnsiTheme="majorBidi" w:cstheme="majorBidi"/>
                <w:b/>
                <w:sz w:val="22"/>
                <w:szCs w:val="22"/>
              </w:rPr>
              <w:t>Explore, Scale and Sustain Promising Practices</w:t>
            </w:r>
          </w:p>
        </w:tc>
        <w:tc>
          <w:tcPr>
            <w:tcW w:w="7290" w:type="dxa"/>
          </w:tcPr>
          <w:p w:rsidR="00C30FF4" w:rsidRPr="000A3135" w14:paraId="121DCC7C" w14:textId="7339C9E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strategies </w:t>
            </w:r>
            <w:r w:rsidR="000B6D5D">
              <w:rPr>
                <w:rFonts w:asciiTheme="majorBidi" w:hAnsiTheme="majorBidi" w:cstheme="majorBidi"/>
                <w:sz w:val="22"/>
                <w:szCs w:val="22"/>
              </w:rPr>
              <w:t>are associated with higher</w:t>
            </w:r>
            <w:r w:rsidRPr="000A3135">
              <w:rPr>
                <w:rFonts w:asciiTheme="majorBidi" w:hAnsiTheme="majorBidi" w:cstheme="majorBidi"/>
                <w:sz w:val="22"/>
                <w:szCs w:val="22"/>
              </w:rPr>
              <w:t xml:space="preserve"> participant engagement, and how do these vary </w:t>
            </w:r>
            <w:r w:rsidR="001967B0">
              <w:rPr>
                <w:rFonts w:asciiTheme="majorBidi" w:hAnsiTheme="majorBidi" w:cstheme="majorBidi"/>
                <w:sz w:val="22"/>
                <w:szCs w:val="22"/>
              </w:rPr>
              <w:t>by</w:t>
            </w:r>
            <w:r w:rsidRPr="000A3135">
              <w:rPr>
                <w:rFonts w:asciiTheme="majorBidi" w:hAnsiTheme="majorBidi" w:cstheme="majorBidi"/>
                <w:sz w:val="22"/>
                <w:szCs w:val="22"/>
              </w:rPr>
              <w:t xml:space="preserve"> sub</w:t>
            </w:r>
            <w:r>
              <w:rPr>
                <w:rFonts w:asciiTheme="majorBidi" w:hAnsiTheme="majorBidi" w:cstheme="majorBidi"/>
                <w:sz w:val="22"/>
                <w:szCs w:val="22"/>
              </w:rPr>
              <w:t>populations</w:t>
            </w:r>
            <w:r w:rsidRPr="000A3135">
              <w:rPr>
                <w:rFonts w:asciiTheme="majorBidi" w:hAnsiTheme="majorBidi" w:cstheme="majorBidi"/>
                <w:sz w:val="22"/>
                <w:szCs w:val="22"/>
              </w:rPr>
              <w:t>?</w:t>
            </w:r>
          </w:p>
          <w:p w:rsidR="00C30FF4" w:rsidRPr="000A3135" w14:paraId="1C3A5FBB" w14:textId="0B0386BA">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 xml:space="preserve">What strategies </w:t>
            </w:r>
            <w:r w:rsidR="00D648FC">
              <w:rPr>
                <w:rFonts w:asciiTheme="majorBidi" w:hAnsiTheme="majorBidi" w:cstheme="majorBidi"/>
                <w:sz w:val="22"/>
                <w:szCs w:val="22"/>
              </w:rPr>
              <w:t>are viewed as</w:t>
            </w:r>
            <w:r w:rsidRPr="000A3135" w:rsidR="00D648FC">
              <w:rPr>
                <w:rFonts w:asciiTheme="majorBidi" w:hAnsiTheme="majorBidi" w:cstheme="majorBidi"/>
                <w:sz w:val="22"/>
                <w:szCs w:val="22"/>
              </w:rPr>
              <w:t xml:space="preserve"> </w:t>
            </w:r>
            <w:r w:rsidRPr="000A3135">
              <w:rPr>
                <w:rFonts w:asciiTheme="majorBidi" w:hAnsiTheme="majorBidi" w:cstheme="majorBidi"/>
                <w:sz w:val="22"/>
                <w:szCs w:val="22"/>
              </w:rPr>
              <w:t>promising to increase preparation for and access to high-demand, high-wage jobs among participants?</w:t>
            </w:r>
          </w:p>
          <w:p w:rsidR="00C30FF4" w:rsidRPr="000A3135" w14:paraId="067742A2"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Are there ideal times during the transition from school to workforce that Y&amp;YAD should be actively engaged to provide assistance?</w:t>
            </w:r>
          </w:p>
          <w:p w:rsidR="00C30FF4" w:rsidRPr="000A3135" w14:paraId="5137D53D"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Across ETM grantees, what practices or models may warrant additional focus and possible scale, and what are associated potential challenges?</w:t>
            </w:r>
          </w:p>
          <w:p w:rsidR="00C30FF4" w:rsidRPr="000A3135" w14:paraId="65FC727B" w14:textId="77777777">
            <w:pPr>
              <w:pStyle w:val="TableText"/>
              <w:numPr>
                <w:ilvl w:val="0"/>
                <w:numId w:val="2"/>
              </w:numPr>
              <w:spacing w:before="20" w:after="20" w:line="240" w:lineRule="auto"/>
              <w:ind w:left="288" w:hanging="288"/>
              <w:rPr>
                <w:rFonts w:asciiTheme="majorBidi" w:hAnsiTheme="majorBidi" w:cstheme="majorBidi"/>
                <w:sz w:val="22"/>
                <w:szCs w:val="22"/>
              </w:rPr>
            </w:pPr>
            <w:r w:rsidRPr="000A3135">
              <w:rPr>
                <w:rFonts w:asciiTheme="majorBidi" w:hAnsiTheme="majorBidi" w:cstheme="majorBidi"/>
                <w:sz w:val="22"/>
                <w:szCs w:val="22"/>
              </w:rPr>
              <w:t>What strategies do grantees use to sustain promising practices and models?</w:t>
            </w:r>
          </w:p>
        </w:tc>
      </w:tr>
    </w:tbl>
    <w:p w:rsidR="00C30FF4" w:rsidRPr="006F1A18" w:rsidP="006F1A18" w14:paraId="57E0F35A" w14:textId="77777777">
      <w:pPr>
        <w:rPr>
          <w:rFonts w:ascii="Times New Roman" w:hAnsi="Times New Roman" w:cs="Times New Roman"/>
          <w:sz w:val="24"/>
          <w:szCs w:val="24"/>
        </w:rPr>
      </w:pPr>
    </w:p>
    <w:p w:rsidR="00423440" w:rsidRPr="000A3135" w:rsidP="00423440" w14:paraId="43C6041F" w14:textId="77777777">
      <w:pPr>
        <w:pStyle w:val="BodyText"/>
        <w:rPr>
          <w:b/>
          <w:bCs/>
          <w:i/>
          <w:iCs/>
        </w:rPr>
      </w:pPr>
      <w:r w:rsidRPr="000A3135">
        <w:rPr>
          <w:b/>
          <w:bCs/>
          <w:i/>
          <w:iCs/>
        </w:rPr>
        <w:t>Users of Data</w:t>
      </w:r>
    </w:p>
    <w:p w:rsidR="003378C7" w:rsidP="00423440" w14:paraId="417273AE" w14:textId="77777777">
      <w:pPr>
        <w:rPr>
          <w:rFonts w:asciiTheme="majorBidi" w:hAnsiTheme="majorBidi" w:cstheme="majorBidi"/>
          <w:sz w:val="24"/>
          <w:szCs w:val="24"/>
        </w:rPr>
      </w:pPr>
      <w:r>
        <w:rPr>
          <w:rFonts w:asciiTheme="majorBidi" w:hAnsiTheme="majorBidi" w:cstheme="majorBidi"/>
          <w:sz w:val="24"/>
          <w:szCs w:val="24"/>
        </w:rPr>
        <w:t xml:space="preserve">ETM </w:t>
      </w:r>
      <w:r w:rsidRPr="000A3135">
        <w:rPr>
          <w:rFonts w:asciiTheme="majorBidi" w:hAnsiTheme="majorBidi" w:cstheme="majorBidi"/>
          <w:sz w:val="24"/>
          <w:szCs w:val="24"/>
        </w:rPr>
        <w:t xml:space="preserve">is a significant DOL investment to </w:t>
      </w:r>
      <w:r>
        <w:rPr>
          <w:rFonts w:asciiTheme="majorBidi" w:hAnsiTheme="majorBidi" w:cstheme="majorBidi"/>
          <w:sz w:val="24"/>
          <w:szCs w:val="24"/>
        </w:rPr>
        <w:t xml:space="preserve">help WIOA-eligible Y&amp;YAD transition into the workforce. </w:t>
      </w:r>
      <w:r w:rsidRPr="000A3135">
        <w:rPr>
          <w:rFonts w:asciiTheme="majorBidi" w:hAnsiTheme="majorBidi" w:cstheme="majorBidi"/>
          <w:sz w:val="24"/>
          <w:szCs w:val="24"/>
        </w:rPr>
        <w:t>Immediate users of data collected will be</w:t>
      </w:r>
      <w:r w:rsidR="00431E2E">
        <w:rPr>
          <w:rFonts w:asciiTheme="majorBidi" w:hAnsiTheme="majorBidi" w:cstheme="majorBidi"/>
          <w:sz w:val="24"/>
          <w:szCs w:val="24"/>
        </w:rPr>
        <w:t xml:space="preserve">: </w:t>
      </w:r>
    </w:p>
    <w:p w:rsidR="00C65712" w:rsidP="00423440" w14:paraId="57512865" w14:textId="18B7E62A">
      <w:pPr>
        <w:rPr>
          <w:rFonts w:ascii="Times New Roman" w:hAnsi="Times New Roman" w:cs="Times New Roman"/>
          <w:sz w:val="24"/>
          <w:szCs w:val="24"/>
        </w:rPr>
      </w:pPr>
      <w:r>
        <w:rPr>
          <w:rFonts w:asciiTheme="majorBidi" w:hAnsiTheme="majorBidi" w:cstheme="majorBidi"/>
          <w:sz w:val="24"/>
          <w:szCs w:val="24"/>
        </w:rPr>
        <w:t xml:space="preserve">ODEP who will monitor grantees’ performance </w:t>
      </w:r>
      <w:r w:rsidR="003378C7">
        <w:rPr>
          <w:rFonts w:asciiTheme="majorBidi" w:hAnsiTheme="majorBidi" w:cstheme="majorBidi"/>
          <w:sz w:val="24"/>
          <w:szCs w:val="24"/>
        </w:rPr>
        <w:t xml:space="preserve">and hold them accountable for achieving their programs’ goals and </w:t>
      </w:r>
      <w:r w:rsidRPr="00DD5622" w:rsidR="003378C7">
        <w:rPr>
          <w:rFonts w:ascii="Times New Roman" w:hAnsi="Times New Roman" w:cs="Times New Roman"/>
          <w:sz w:val="24"/>
          <w:szCs w:val="24"/>
        </w:rPr>
        <w:t>objectives as stated in their grant application.</w:t>
      </w:r>
    </w:p>
    <w:p w:rsidR="003378C7" w:rsidP="00423440" w14:paraId="0D9A4BA0" w14:textId="0E909A63">
      <w:pPr>
        <w:rPr>
          <w:rFonts w:asciiTheme="majorBidi" w:hAnsiTheme="majorBidi" w:cstheme="majorBidi"/>
          <w:sz w:val="24"/>
          <w:szCs w:val="24"/>
        </w:rPr>
      </w:pPr>
      <w:r>
        <w:rPr>
          <w:rFonts w:ascii="Times New Roman" w:hAnsi="Times New Roman" w:cs="Times New Roman"/>
          <w:sz w:val="24"/>
          <w:szCs w:val="24"/>
        </w:rPr>
        <w:t>Manhattan Strategy Group, the technical assistance provider</w:t>
      </w:r>
      <w:r w:rsidR="008A7EB5">
        <w:rPr>
          <w:rFonts w:ascii="Times New Roman" w:hAnsi="Times New Roman" w:cs="Times New Roman"/>
          <w:sz w:val="24"/>
          <w:szCs w:val="24"/>
        </w:rPr>
        <w:t>,</w:t>
      </w:r>
      <w:r>
        <w:rPr>
          <w:rFonts w:ascii="Times New Roman" w:hAnsi="Times New Roman" w:cs="Times New Roman"/>
          <w:sz w:val="24"/>
          <w:szCs w:val="24"/>
        </w:rPr>
        <w:t xml:space="preserve"> will </w:t>
      </w:r>
      <w:r w:rsidR="006559D1">
        <w:rPr>
          <w:rFonts w:ascii="Times New Roman" w:hAnsi="Times New Roman" w:cs="Times New Roman"/>
          <w:sz w:val="24"/>
          <w:szCs w:val="24"/>
        </w:rPr>
        <w:t>reference the data to better</w:t>
      </w:r>
      <w:r w:rsidR="006559D1">
        <w:rPr>
          <w:rFonts w:asciiTheme="majorBidi" w:hAnsiTheme="majorBidi" w:cstheme="majorBidi"/>
          <w:sz w:val="24"/>
          <w:szCs w:val="24"/>
        </w:rPr>
        <w:t xml:space="preserve"> help </w:t>
      </w:r>
      <w:r w:rsidR="004E784A">
        <w:rPr>
          <w:rFonts w:asciiTheme="majorBidi" w:hAnsiTheme="majorBidi" w:cstheme="majorBidi"/>
          <w:sz w:val="24"/>
          <w:szCs w:val="24"/>
        </w:rPr>
        <w:t xml:space="preserve">the </w:t>
      </w:r>
      <w:r w:rsidR="006559D1">
        <w:rPr>
          <w:rFonts w:asciiTheme="majorBidi" w:hAnsiTheme="majorBidi" w:cstheme="majorBidi"/>
          <w:sz w:val="24"/>
          <w:szCs w:val="24"/>
        </w:rPr>
        <w:t>grantees use resources in cost-effective ways.</w:t>
      </w:r>
    </w:p>
    <w:p w:rsidR="00423440" w:rsidP="005534FD" w14:paraId="1E98F43A" w14:textId="0FEB41DE">
      <w:pPr>
        <w:rPr>
          <w:rFonts w:asciiTheme="majorBidi" w:hAnsiTheme="majorBidi" w:cstheme="majorBidi"/>
          <w:sz w:val="24"/>
          <w:szCs w:val="24"/>
        </w:rPr>
      </w:pPr>
      <w:r>
        <w:rPr>
          <w:rFonts w:asciiTheme="majorBidi" w:hAnsiTheme="majorBidi" w:cstheme="majorBidi"/>
          <w:sz w:val="24"/>
          <w:szCs w:val="24"/>
        </w:rPr>
        <w:t>Abt Global</w:t>
      </w:r>
      <w:r w:rsidR="005874A1">
        <w:rPr>
          <w:rFonts w:asciiTheme="majorBidi" w:hAnsiTheme="majorBidi" w:cstheme="majorBidi"/>
          <w:sz w:val="24"/>
          <w:szCs w:val="24"/>
        </w:rPr>
        <w:t xml:space="preserve">, </w:t>
      </w:r>
      <w:r>
        <w:rPr>
          <w:rFonts w:asciiTheme="majorBidi" w:hAnsiTheme="majorBidi" w:cstheme="majorBidi"/>
          <w:sz w:val="24"/>
          <w:szCs w:val="24"/>
        </w:rPr>
        <w:t xml:space="preserve">its </w:t>
      </w:r>
      <w:r w:rsidRPr="000A3135">
        <w:rPr>
          <w:rFonts w:asciiTheme="majorBidi" w:hAnsiTheme="majorBidi" w:cstheme="majorBidi"/>
          <w:sz w:val="24"/>
          <w:szCs w:val="24"/>
        </w:rPr>
        <w:t xml:space="preserve">evaluation </w:t>
      </w:r>
      <w:r>
        <w:rPr>
          <w:rFonts w:asciiTheme="majorBidi" w:hAnsiTheme="majorBidi" w:cstheme="majorBidi"/>
          <w:sz w:val="24"/>
          <w:szCs w:val="24"/>
        </w:rPr>
        <w:t>partners</w:t>
      </w:r>
      <w:r w:rsidRPr="000A3135">
        <w:rPr>
          <w:rFonts w:asciiTheme="majorBidi" w:hAnsiTheme="majorBidi" w:cstheme="majorBidi"/>
          <w:sz w:val="24"/>
          <w:szCs w:val="24"/>
        </w:rPr>
        <w:t xml:space="preserve">, </w:t>
      </w:r>
      <w:r w:rsidR="008A7EB5">
        <w:rPr>
          <w:rFonts w:asciiTheme="majorBidi" w:hAnsiTheme="majorBidi" w:cstheme="majorBidi"/>
          <w:sz w:val="24"/>
          <w:szCs w:val="24"/>
        </w:rPr>
        <w:t>and DOL</w:t>
      </w:r>
      <w:r w:rsidR="005F238C">
        <w:rPr>
          <w:rFonts w:asciiTheme="majorBidi" w:hAnsiTheme="majorBidi" w:cstheme="majorBidi"/>
          <w:sz w:val="24"/>
          <w:szCs w:val="24"/>
        </w:rPr>
        <w:t>,</w:t>
      </w:r>
      <w:r w:rsidRPr="000A3135">
        <w:rPr>
          <w:rFonts w:asciiTheme="majorBidi" w:hAnsiTheme="majorBidi" w:cstheme="majorBidi"/>
          <w:sz w:val="24"/>
          <w:szCs w:val="24"/>
        </w:rPr>
        <w:t xml:space="preserve"> will use the data to describe how the grants are being implemented</w:t>
      </w:r>
      <w:r>
        <w:rPr>
          <w:rFonts w:asciiTheme="majorBidi" w:hAnsiTheme="majorBidi" w:cstheme="majorBidi"/>
          <w:sz w:val="24"/>
          <w:szCs w:val="24"/>
        </w:rPr>
        <w:t xml:space="preserve"> and </w:t>
      </w:r>
      <w:r w:rsidRPr="005534FD" w:rsidR="005534FD">
        <w:rPr>
          <w:rFonts w:asciiTheme="majorBidi" w:hAnsiTheme="majorBidi" w:cstheme="majorBidi"/>
          <w:sz w:val="24"/>
          <w:szCs w:val="24"/>
        </w:rPr>
        <w:t>which implementation models are associated with stronger participant outcomes</w:t>
      </w:r>
      <w:r w:rsidR="00863878">
        <w:rPr>
          <w:rFonts w:asciiTheme="majorBidi" w:hAnsiTheme="majorBidi" w:cstheme="majorBidi"/>
          <w:sz w:val="24"/>
          <w:szCs w:val="24"/>
        </w:rPr>
        <w:t>.</w:t>
      </w:r>
    </w:p>
    <w:p w:rsidR="009B20E5" w:rsidRPr="00FB5F48" w:rsidP="00BE1574" w14:paraId="6CF590A5" w14:textId="29652314">
      <w:pPr>
        <w:pStyle w:val="BodyText"/>
        <w:rPr>
          <w:rFonts w:asciiTheme="majorBidi" w:hAnsiTheme="majorBidi" w:cstheme="majorBidi"/>
          <w:b/>
          <w:bCs/>
          <w:sz w:val="24"/>
          <w:szCs w:val="24"/>
        </w:rPr>
      </w:pPr>
      <w:bookmarkStart w:id="3" w:name="_Toc309811812"/>
      <w:bookmarkStart w:id="4" w:name="_Toc402459887"/>
      <w:bookmarkStart w:id="5" w:name="_Toc405270806"/>
      <w:r w:rsidRPr="00FB5F48">
        <w:rPr>
          <w:rFonts w:asciiTheme="majorBidi" w:hAnsiTheme="majorBidi" w:cstheme="majorBidi"/>
          <w:b/>
          <w:bCs/>
          <w:sz w:val="24"/>
          <w:szCs w:val="24"/>
        </w:rPr>
        <w:t>Purpose and Justification of Data Collection</w:t>
      </w:r>
    </w:p>
    <w:p w:rsidR="009B20E5" w:rsidP="009B20E5" w14:paraId="0F5BDAC7" w14:textId="3BD97AEF">
      <w:pPr>
        <w:pStyle w:val="BodyText"/>
        <w:rPr>
          <w:rFonts w:asciiTheme="majorBidi" w:hAnsiTheme="majorBidi" w:cstheme="majorBidi"/>
          <w:sz w:val="24"/>
          <w:szCs w:val="24"/>
        </w:rPr>
      </w:pPr>
      <w:r w:rsidRPr="00564790">
        <w:rPr>
          <w:rFonts w:asciiTheme="majorBidi" w:hAnsiTheme="majorBidi" w:cstheme="majorBidi"/>
          <w:sz w:val="24"/>
          <w:szCs w:val="24"/>
        </w:rPr>
        <w:t>Exhibit</w:t>
      </w:r>
      <w:r>
        <w:rPr>
          <w:rFonts w:asciiTheme="majorBidi" w:hAnsiTheme="majorBidi" w:cstheme="majorBidi"/>
          <w:sz w:val="24"/>
          <w:szCs w:val="24"/>
        </w:rPr>
        <w:t xml:space="preserve"> A.</w:t>
      </w:r>
      <w:r w:rsidR="00994536">
        <w:rPr>
          <w:rFonts w:asciiTheme="majorBidi" w:hAnsiTheme="majorBidi" w:cstheme="majorBidi"/>
          <w:sz w:val="24"/>
          <w:szCs w:val="24"/>
        </w:rPr>
        <w:t>2</w:t>
      </w:r>
      <w:r w:rsidRPr="002C1AF6">
        <w:rPr>
          <w:rFonts w:asciiTheme="majorBidi" w:hAnsiTheme="majorBidi" w:cstheme="majorBidi"/>
          <w:sz w:val="24"/>
          <w:szCs w:val="24"/>
        </w:rPr>
        <w:t xml:space="preserve"> lists key information about </w:t>
      </w:r>
      <w:r>
        <w:rPr>
          <w:rFonts w:asciiTheme="majorBidi" w:hAnsiTheme="majorBidi" w:cstheme="majorBidi"/>
          <w:sz w:val="24"/>
          <w:szCs w:val="24"/>
        </w:rPr>
        <w:t>each data collection component</w:t>
      </w:r>
      <w:r w:rsidRPr="002C1AF6">
        <w:rPr>
          <w:rFonts w:asciiTheme="majorBidi" w:hAnsiTheme="majorBidi" w:cstheme="majorBidi"/>
          <w:sz w:val="24"/>
          <w:szCs w:val="24"/>
        </w:rPr>
        <w:t xml:space="preserve">, its content, and </w:t>
      </w:r>
      <w:r>
        <w:rPr>
          <w:rFonts w:asciiTheme="majorBidi" w:hAnsiTheme="majorBidi" w:cstheme="majorBidi"/>
          <w:sz w:val="24"/>
          <w:szCs w:val="24"/>
        </w:rPr>
        <w:t xml:space="preserve">its </w:t>
      </w:r>
      <w:r w:rsidRPr="002C1AF6">
        <w:rPr>
          <w:rFonts w:asciiTheme="majorBidi" w:hAnsiTheme="majorBidi" w:cstheme="majorBidi"/>
          <w:sz w:val="24"/>
          <w:szCs w:val="24"/>
        </w:rPr>
        <w:t>reason or purpose.</w:t>
      </w:r>
    </w:p>
    <w:bookmarkEnd w:id="3"/>
    <w:bookmarkEnd w:id="4"/>
    <w:bookmarkEnd w:id="5"/>
    <w:p w:rsidR="00BE1574" w:rsidRPr="007521AD" w:rsidP="00FB5F48" w14:paraId="34F277D7" w14:textId="39A01B68">
      <w:pPr>
        <w:rPr>
          <w:sz w:val="24"/>
          <w:szCs w:val="24"/>
        </w:rPr>
      </w:pPr>
      <w:r w:rsidRPr="007521AD">
        <w:rPr>
          <w:b/>
          <w:bCs/>
          <w:sz w:val="24"/>
          <w:szCs w:val="24"/>
        </w:rPr>
        <w:t>Exhibit A.</w:t>
      </w:r>
      <w:r w:rsidRPr="007521AD" w:rsidR="00994536">
        <w:rPr>
          <w:b/>
          <w:bCs/>
          <w:sz w:val="24"/>
          <w:szCs w:val="24"/>
        </w:rPr>
        <w:t>2</w:t>
      </w:r>
      <w:r w:rsidRPr="007521AD" w:rsidR="007521AD">
        <w:rPr>
          <w:b/>
          <w:bCs/>
          <w:sz w:val="24"/>
          <w:szCs w:val="24"/>
        </w:rPr>
        <w:t>:</w:t>
      </w:r>
      <w:r w:rsidRPr="007521AD" w:rsidR="005E22D0">
        <w:rPr>
          <w:b/>
          <w:bCs/>
          <w:sz w:val="24"/>
          <w:szCs w:val="24"/>
        </w:rPr>
        <w:t xml:space="preserve"> </w:t>
      </w:r>
      <w:r w:rsidRPr="007521AD" w:rsidR="003B2A5A">
        <w:rPr>
          <w:b/>
          <w:bCs/>
          <w:sz w:val="24"/>
          <w:szCs w:val="24"/>
        </w:rPr>
        <w:t>Instrument</w:t>
      </w:r>
      <w:r w:rsidRPr="007521AD" w:rsidR="009B20E5">
        <w:rPr>
          <w:rFonts w:asciiTheme="majorBidi" w:hAnsiTheme="majorBidi" w:cstheme="majorBidi"/>
          <w:b/>
          <w:bCs/>
          <w:sz w:val="28"/>
          <w:szCs w:val="28"/>
        </w:rPr>
        <w:t xml:space="preserve"> </w:t>
      </w:r>
      <w:r w:rsidRPr="007521AD" w:rsidR="009B20E5">
        <w:rPr>
          <w:b/>
          <w:bCs/>
          <w:sz w:val="24"/>
          <w:szCs w:val="24"/>
        </w:rPr>
        <w:t>Justification Chart</w:t>
      </w:r>
    </w:p>
    <w:tbl>
      <w:tblPr>
        <w:tblStyle w:val="TableGrid"/>
        <w:tblW w:w="9540" w:type="dxa"/>
        <w:tblLayout w:type="fixed"/>
        <w:tblLook w:val="04A0"/>
      </w:tblPr>
      <w:tblGrid>
        <w:gridCol w:w="2313"/>
        <w:gridCol w:w="3470"/>
        <w:gridCol w:w="3650"/>
        <w:gridCol w:w="107"/>
      </w:tblGrid>
      <w:tr w14:paraId="00EFCF80" w14:textId="77777777" w:rsidTr="008B7276">
        <w:tblPrEx>
          <w:tblW w:w="9540" w:type="dxa"/>
          <w:tblLayout w:type="fixed"/>
          <w:tblLook w:val="04A0"/>
        </w:tblPrEx>
        <w:trPr>
          <w:tblHeader/>
        </w:trPr>
        <w:tc>
          <w:tcPr>
            <w:tcW w:w="2338" w:type="dxa"/>
            <w:shd w:val="clear" w:color="auto" w:fill="595959" w:themeFill="text1" w:themeFillTint="A6"/>
          </w:tcPr>
          <w:p w:rsidR="00BE1574" w:rsidRPr="00D95F0F" w:rsidP="00D95F0F" w14:paraId="54EC3677" w14:textId="40B1464F">
            <w:pPr>
              <w:pStyle w:val="BodyText"/>
              <w:keepNext/>
              <w:rPr>
                <w:b/>
                <w:bCs/>
                <w:color w:val="FFFFFF" w:themeColor="background1"/>
                <w:sz w:val="24"/>
                <w:szCs w:val="24"/>
              </w:rPr>
            </w:pPr>
            <w:r>
              <w:rPr>
                <w:b/>
                <w:bCs/>
                <w:color w:val="FFFFFF" w:themeColor="background1"/>
                <w:sz w:val="24"/>
                <w:szCs w:val="24"/>
              </w:rPr>
              <w:t>I</w:t>
            </w:r>
            <w:r w:rsidR="00883E0D">
              <w:rPr>
                <w:b/>
                <w:bCs/>
                <w:color w:val="FFFFFF" w:themeColor="background1"/>
                <w:sz w:val="24"/>
                <w:szCs w:val="24"/>
              </w:rPr>
              <w:t>nstrument or Data Form</w:t>
            </w:r>
          </w:p>
        </w:tc>
        <w:tc>
          <w:tcPr>
            <w:tcW w:w="3510" w:type="dxa"/>
            <w:shd w:val="clear" w:color="auto" w:fill="595959" w:themeFill="text1" w:themeFillTint="A6"/>
          </w:tcPr>
          <w:p w:rsidR="00BE1574" w:rsidRPr="00D95F0F" w:rsidP="00D95F0F" w14:paraId="04F25863" w14:textId="77777777">
            <w:pPr>
              <w:pStyle w:val="BodyText"/>
              <w:keepNext/>
              <w:rPr>
                <w:b/>
                <w:bCs/>
                <w:color w:val="FFFFFF" w:themeColor="background1"/>
                <w:sz w:val="24"/>
                <w:szCs w:val="24"/>
              </w:rPr>
            </w:pPr>
            <w:r w:rsidRPr="00D95F0F">
              <w:rPr>
                <w:b/>
                <w:bCs/>
                <w:color w:val="FFFFFF" w:themeColor="background1"/>
                <w:sz w:val="24"/>
                <w:szCs w:val="24"/>
              </w:rPr>
              <w:t>Content and Structure</w:t>
            </w:r>
          </w:p>
        </w:tc>
        <w:tc>
          <w:tcPr>
            <w:tcW w:w="3692" w:type="dxa"/>
            <w:gridSpan w:val="2"/>
            <w:shd w:val="clear" w:color="auto" w:fill="595959" w:themeFill="text1" w:themeFillTint="A6"/>
          </w:tcPr>
          <w:p w:rsidR="00BE1574" w:rsidRPr="00D95F0F" w:rsidP="00D95F0F" w14:paraId="603589AE" w14:textId="0D590D0D">
            <w:pPr>
              <w:pStyle w:val="BodyText"/>
              <w:keepNext/>
              <w:rPr>
                <w:b/>
                <w:bCs/>
                <w:color w:val="FFFFFF" w:themeColor="background1"/>
                <w:sz w:val="24"/>
                <w:szCs w:val="24"/>
              </w:rPr>
            </w:pPr>
            <w:r w:rsidRPr="00D95F0F">
              <w:rPr>
                <w:b/>
                <w:bCs/>
                <w:color w:val="FFFFFF" w:themeColor="background1"/>
                <w:sz w:val="24"/>
                <w:szCs w:val="24"/>
              </w:rPr>
              <w:t>Purpose/Use</w:t>
            </w:r>
          </w:p>
        </w:tc>
      </w:tr>
      <w:tr w14:paraId="036BC297" w14:textId="77777777" w:rsidTr="008B7276">
        <w:tblPrEx>
          <w:tblW w:w="9540" w:type="dxa"/>
          <w:tblLayout w:type="fixed"/>
          <w:tblLook w:val="04A0"/>
        </w:tblPrEx>
        <w:tc>
          <w:tcPr>
            <w:tcW w:w="2338" w:type="dxa"/>
            <w:shd w:val="clear" w:color="auto" w:fill="BFBFBF" w:themeFill="background1" w:themeFillShade="BF"/>
          </w:tcPr>
          <w:p w:rsidR="00BE1574" w:rsidRPr="007521AD" w:rsidP="00D95F0F" w14:paraId="0AF81B93" w14:textId="6BE32C79">
            <w:pPr>
              <w:pStyle w:val="BodyText"/>
              <w:keepNext/>
              <w:rPr>
                <w:rFonts w:asciiTheme="majorBidi" w:hAnsiTheme="majorBidi" w:cstheme="majorBidi"/>
                <w:b/>
                <w:bCs/>
                <w:sz w:val="22"/>
                <w:szCs w:val="22"/>
              </w:rPr>
            </w:pPr>
            <w:r w:rsidRPr="007521AD">
              <w:rPr>
                <w:rFonts w:asciiTheme="majorBidi" w:hAnsiTheme="majorBidi" w:cstheme="majorBidi"/>
                <w:b/>
                <w:szCs w:val="22"/>
              </w:rPr>
              <w:t>Program Data</w:t>
            </w:r>
          </w:p>
        </w:tc>
        <w:tc>
          <w:tcPr>
            <w:tcW w:w="3510" w:type="dxa"/>
            <w:shd w:val="clear" w:color="auto" w:fill="BFBFBF" w:themeFill="background1" w:themeFillShade="BF"/>
          </w:tcPr>
          <w:p w:rsidR="00BE1574" w:rsidRPr="007521AD" w:rsidP="00D95F0F" w14:paraId="6B46811C" w14:textId="77777777">
            <w:pPr>
              <w:pStyle w:val="BodyText"/>
              <w:keepNext/>
              <w:rPr>
                <w:rFonts w:asciiTheme="majorBidi" w:hAnsiTheme="majorBidi" w:cstheme="majorBidi"/>
                <w:b/>
                <w:bCs/>
                <w:sz w:val="22"/>
                <w:szCs w:val="22"/>
              </w:rPr>
            </w:pPr>
          </w:p>
        </w:tc>
        <w:tc>
          <w:tcPr>
            <w:tcW w:w="3692" w:type="dxa"/>
            <w:gridSpan w:val="2"/>
            <w:shd w:val="clear" w:color="auto" w:fill="BFBFBF" w:themeFill="background1" w:themeFillShade="BF"/>
          </w:tcPr>
          <w:p w:rsidR="00BE1574" w:rsidRPr="007521AD" w:rsidP="00D95F0F" w14:paraId="0AD4090C" w14:textId="77777777">
            <w:pPr>
              <w:pStyle w:val="BodyText"/>
              <w:keepNext/>
              <w:rPr>
                <w:rFonts w:asciiTheme="majorBidi" w:hAnsiTheme="majorBidi" w:cstheme="majorBidi"/>
                <w:b/>
                <w:bCs/>
                <w:sz w:val="22"/>
                <w:szCs w:val="22"/>
              </w:rPr>
            </w:pPr>
          </w:p>
        </w:tc>
      </w:tr>
      <w:tr w14:paraId="1668DE57" w14:textId="77777777" w:rsidTr="008B7276">
        <w:tblPrEx>
          <w:tblW w:w="9540" w:type="dxa"/>
          <w:tblLayout w:type="fixed"/>
          <w:tblLook w:val="04A0"/>
        </w:tblPrEx>
        <w:tc>
          <w:tcPr>
            <w:tcW w:w="2338" w:type="dxa"/>
            <w:tcBorders>
              <w:bottom w:val="single" w:sz="4" w:space="0" w:color="auto"/>
            </w:tcBorders>
          </w:tcPr>
          <w:p w:rsidR="00BE1574" w:rsidRPr="007521AD" w14:paraId="5814DB4B" w14:textId="3D4083DF">
            <w:pPr>
              <w:pStyle w:val="BodyText"/>
              <w:rPr>
                <w:rFonts w:asciiTheme="majorBidi" w:hAnsiTheme="majorBidi" w:cstheme="majorBidi"/>
                <w:sz w:val="22"/>
                <w:szCs w:val="22"/>
              </w:rPr>
            </w:pPr>
            <w:r w:rsidRPr="007521AD">
              <w:rPr>
                <w:rFonts w:asciiTheme="majorBidi" w:hAnsiTheme="majorBidi" w:cstheme="majorBidi"/>
                <w:szCs w:val="22"/>
              </w:rPr>
              <w:t xml:space="preserve">Baseline </w:t>
            </w:r>
            <w:r w:rsidR="00693027">
              <w:rPr>
                <w:rFonts w:asciiTheme="majorBidi" w:hAnsiTheme="majorBidi" w:cstheme="majorBidi"/>
                <w:szCs w:val="22"/>
              </w:rPr>
              <w:t xml:space="preserve">Intake Data </w:t>
            </w:r>
            <w:r w:rsidRPr="007521AD">
              <w:rPr>
                <w:rFonts w:asciiTheme="majorBidi" w:hAnsiTheme="majorBidi" w:cstheme="majorBidi"/>
                <w:szCs w:val="22"/>
              </w:rPr>
              <w:t xml:space="preserve">from </w:t>
            </w:r>
            <w:r w:rsidR="00094ECF">
              <w:rPr>
                <w:rFonts w:asciiTheme="majorBidi" w:hAnsiTheme="majorBidi" w:cstheme="majorBidi"/>
                <w:szCs w:val="22"/>
              </w:rPr>
              <w:t>Employment Transition Model (</w:t>
            </w:r>
            <w:r w:rsidRPr="007521AD">
              <w:rPr>
                <w:rFonts w:asciiTheme="majorBidi" w:hAnsiTheme="majorBidi" w:cstheme="majorBidi"/>
                <w:szCs w:val="22"/>
              </w:rPr>
              <w:t>ETM</w:t>
            </w:r>
            <w:r w:rsidR="00094ECF">
              <w:rPr>
                <w:rFonts w:asciiTheme="majorBidi" w:hAnsiTheme="majorBidi" w:cstheme="majorBidi"/>
                <w:szCs w:val="22"/>
              </w:rPr>
              <w:t>)</w:t>
            </w:r>
            <w:r w:rsidRPr="007521AD">
              <w:rPr>
                <w:rFonts w:asciiTheme="majorBidi" w:hAnsiTheme="majorBidi" w:cstheme="majorBidi"/>
                <w:szCs w:val="22"/>
              </w:rPr>
              <w:t xml:space="preserve"> </w:t>
            </w:r>
            <w:r w:rsidR="00571B27">
              <w:rPr>
                <w:rFonts w:asciiTheme="majorBidi" w:hAnsiTheme="majorBidi" w:cstheme="majorBidi"/>
                <w:szCs w:val="22"/>
              </w:rPr>
              <w:t>Y</w:t>
            </w:r>
            <w:r w:rsidRPr="007521AD">
              <w:rPr>
                <w:rFonts w:asciiTheme="majorBidi" w:hAnsiTheme="majorBidi" w:cstheme="majorBidi"/>
                <w:szCs w:val="22"/>
              </w:rPr>
              <w:t>outh (</w:t>
            </w:r>
            <w:r w:rsidR="006A50D9">
              <w:rPr>
                <w:rFonts w:asciiTheme="majorBidi" w:hAnsiTheme="majorBidi" w:cstheme="majorBidi"/>
                <w:szCs w:val="22"/>
              </w:rPr>
              <w:t xml:space="preserve">Section D.1 of </w:t>
            </w:r>
            <w:r w:rsidRPr="007521AD">
              <w:rPr>
                <w:rFonts w:asciiTheme="majorBidi" w:hAnsiTheme="majorBidi" w:cstheme="majorBidi"/>
                <w:szCs w:val="22"/>
              </w:rPr>
              <w:t>Attachment</w:t>
            </w:r>
            <w:r w:rsidRPr="007521AD" w:rsidR="00F33B88">
              <w:rPr>
                <w:rFonts w:asciiTheme="majorBidi" w:hAnsiTheme="majorBidi" w:cstheme="majorBidi"/>
                <w:szCs w:val="22"/>
              </w:rPr>
              <w:t xml:space="preserve"> A</w:t>
            </w:r>
            <w:r w:rsidRPr="007521AD" w:rsidR="00150F21">
              <w:rPr>
                <w:rFonts w:asciiTheme="majorBidi" w:hAnsiTheme="majorBidi" w:cstheme="majorBidi"/>
                <w:szCs w:val="22"/>
              </w:rPr>
              <w:t>.1</w:t>
            </w:r>
            <w:r w:rsidRPr="007521AD">
              <w:rPr>
                <w:rFonts w:asciiTheme="majorBidi" w:hAnsiTheme="majorBidi" w:cstheme="majorBidi"/>
                <w:szCs w:val="22"/>
              </w:rPr>
              <w:t>)</w:t>
            </w:r>
          </w:p>
        </w:tc>
        <w:tc>
          <w:tcPr>
            <w:tcW w:w="3510" w:type="dxa"/>
            <w:tcBorders>
              <w:bottom w:val="single" w:sz="4" w:space="0" w:color="auto"/>
            </w:tcBorders>
          </w:tcPr>
          <w:p w:rsidR="003D68C3" w:rsidRPr="007521AD" w:rsidP="003D68C3" w14:paraId="332DAE2E" w14:textId="238D33E1">
            <w:pPr>
              <w:pStyle w:val="BodyText"/>
              <w:rPr>
                <w:rFonts w:asciiTheme="majorBidi" w:hAnsiTheme="majorBidi" w:cstheme="majorBidi"/>
                <w:sz w:val="22"/>
                <w:szCs w:val="22"/>
              </w:rPr>
            </w:pPr>
            <w:r w:rsidRPr="007521AD">
              <w:rPr>
                <w:rFonts w:asciiTheme="majorBidi" w:hAnsiTheme="majorBidi" w:cstheme="majorBidi"/>
                <w:szCs w:val="22"/>
              </w:rPr>
              <w:t xml:space="preserve">Baseline </w:t>
            </w:r>
            <w:r w:rsidRPr="007521AD" w:rsidR="00596ECD">
              <w:rPr>
                <w:rFonts w:asciiTheme="majorBidi" w:hAnsiTheme="majorBidi" w:cstheme="majorBidi"/>
                <w:szCs w:val="22"/>
              </w:rPr>
              <w:t>information</w:t>
            </w:r>
            <w:r w:rsidRPr="007521AD">
              <w:rPr>
                <w:rFonts w:asciiTheme="majorBidi" w:hAnsiTheme="majorBidi" w:cstheme="majorBidi"/>
                <w:szCs w:val="22"/>
              </w:rPr>
              <w:t xml:space="preserve"> </w:t>
            </w:r>
            <w:r w:rsidRPr="007521AD" w:rsidR="00596ECD">
              <w:rPr>
                <w:rFonts w:asciiTheme="majorBidi" w:hAnsiTheme="majorBidi" w:cstheme="majorBidi"/>
                <w:szCs w:val="22"/>
              </w:rPr>
              <w:t xml:space="preserve">will be </w:t>
            </w:r>
            <w:r w:rsidRPr="007521AD">
              <w:rPr>
                <w:rFonts w:asciiTheme="majorBidi" w:hAnsiTheme="majorBidi" w:cstheme="majorBidi"/>
                <w:szCs w:val="22"/>
              </w:rPr>
              <w:t>collected once at program intake and include</w:t>
            </w:r>
            <w:r w:rsidRPr="007521AD" w:rsidR="00596ECD">
              <w:rPr>
                <w:rFonts w:asciiTheme="majorBidi" w:hAnsiTheme="majorBidi" w:cstheme="majorBidi"/>
                <w:szCs w:val="22"/>
              </w:rPr>
              <w:t>s</w:t>
            </w:r>
            <w:r w:rsidRPr="007521AD">
              <w:rPr>
                <w:rFonts w:asciiTheme="majorBidi" w:hAnsiTheme="majorBidi" w:cstheme="majorBidi"/>
                <w:szCs w:val="22"/>
              </w:rPr>
              <w:t xml:space="preserve"> detailed demographic, educational, employment, disability, and benefit </w:t>
            </w:r>
            <w:r w:rsidRPr="007521AD">
              <w:rPr>
                <w:rFonts w:asciiTheme="majorBidi" w:hAnsiTheme="majorBidi" w:cstheme="majorBidi"/>
                <w:szCs w:val="22"/>
              </w:rPr>
              <w:t>receipt information</w:t>
            </w:r>
            <w:r w:rsidRPr="007521AD" w:rsidR="00B679AF">
              <w:rPr>
                <w:rFonts w:asciiTheme="majorBidi" w:hAnsiTheme="majorBidi" w:cstheme="majorBidi"/>
                <w:szCs w:val="22"/>
              </w:rPr>
              <w:t>,</w:t>
            </w:r>
            <w:r w:rsidRPr="007521AD">
              <w:rPr>
                <w:rFonts w:asciiTheme="majorBidi" w:hAnsiTheme="majorBidi" w:cstheme="majorBidi"/>
                <w:szCs w:val="22"/>
              </w:rPr>
              <w:t xml:space="preserve"> </w:t>
            </w:r>
            <w:r w:rsidRPr="007521AD" w:rsidR="00B679AF">
              <w:rPr>
                <w:rFonts w:asciiTheme="majorBidi" w:hAnsiTheme="majorBidi" w:cstheme="majorBidi"/>
                <w:szCs w:val="22"/>
              </w:rPr>
              <w:t xml:space="preserve">as well as </w:t>
            </w:r>
            <w:r w:rsidRPr="007521AD">
              <w:rPr>
                <w:rFonts w:asciiTheme="majorBidi" w:hAnsiTheme="majorBidi" w:cstheme="majorBidi"/>
                <w:szCs w:val="22"/>
              </w:rPr>
              <w:t>personally identifiable information (PII) such as name, S</w:t>
            </w:r>
            <w:r w:rsidRPr="007521AD" w:rsidR="00BC40B4">
              <w:rPr>
                <w:rFonts w:asciiTheme="majorBidi" w:hAnsiTheme="majorBidi" w:cstheme="majorBidi"/>
                <w:szCs w:val="22"/>
              </w:rPr>
              <w:t xml:space="preserve">ocial </w:t>
            </w:r>
            <w:r w:rsidRPr="007521AD">
              <w:rPr>
                <w:rFonts w:asciiTheme="majorBidi" w:hAnsiTheme="majorBidi" w:cstheme="majorBidi"/>
                <w:szCs w:val="22"/>
              </w:rPr>
              <w:t>S</w:t>
            </w:r>
            <w:r w:rsidRPr="007521AD" w:rsidR="00BC40B4">
              <w:rPr>
                <w:rFonts w:asciiTheme="majorBidi" w:hAnsiTheme="majorBidi" w:cstheme="majorBidi"/>
                <w:szCs w:val="22"/>
              </w:rPr>
              <w:t xml:space="preserve">ecurity </w:t>
            </w:r>
            <w:r w:rsidRPr="007521AD">
              <w:rPr>
                <w:rFonts w:asciiTheme="majorBidi" w:hAnsiTheme="majorBidi" w:cstheme="majorBidi"/>
                <w:szCs w:val="22"/>
              </w:rPr>
              <w:t>N</w:t>
            </w:r>
            <w:r w:rsidRPr="007521AD" w:rsidR="00BC40B4">
              <w:rPr>
                <w:rFonts w:asciiTheme="majorBidi" w:hAnsiTheme="majorBidi" w:cstheme="majorBidi"/>
                <w:szCs w:val="22"/>
              </w:rPr>
              <w:t>umber</w:t>
            </w:r>
            <w:r w:rsidRPr="007521AD">
              <w:rPr>
                <w:rFonts w:asciiTheme="majorBidi" w:hAnsiTheme="majorBidi" w:cstheme="majorBidi"/>
                <w:szCs w:val="22"/>
              </w:rPr>
              <w:t>, and contact details.</w:t>
            </w:r>
          </w:p>
        </w:tc>
        <w:tc>
          <w:tcPr>
            <w:tcW w:w="3692" w:type="dxa"/>
            <w:gridSpan w:val="2"/>
            <w:tcBorders>
              <w:bottom w:val="single" w:sz="4" w:space="0" w:color="auto"/>
            </w:tcBorders>
          </w:tcPr>
          <w:p w:rsidR="00C2546F" w:rsidRPr="007521AD" w:rsidP="00D95F0F" w14:paraId="0AAE4EC4" w14:textId="44BA3DEA">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 xml:space="preserve">Enable grantees to report enrollment and track outcomes by </w:t>
            </w:r>
            <w:r w:rsidRPr="007521AD" w:rsidR="00C42A0C">
              <w:rPr>
                <w:rFonts w:asciiTheme="majorBidi" w:hAnsiTheme="majorBidi" w:cstheme="majorBidi"/>
                <w:szCs w:val="22"/>
              </w:rPr>
              <w:t>participant subpopulation</w:t>
            </w:r>
            <w:r w:rsidRPr="007521AD" w:rsidR="00C131C8">
              <w:rPr>
                <w:rFonts w:asciiTheme="majorBidi" w:hAnsiTheme="majorBidi" w:cstheme="majorBidi"/>
                <w:szCs w:val="22"/>
              </w:rPr>
              <w:t xml:space="preserve"> (program monitoring)</w:t>
            </w:r>
          </w:p>
          <w:p w:rsidR="00C2546F" w:rsidRPr="007521AD" w:rsidP="00D95F0F" w14:paraId="1F82DC47" w14:textId="46DE1E18">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Optimize</w:t>
            </w:r>
            <w:r w:rsidRPr="007521AD" w:rsidR="00E84DBD">
              <w:rPr>
                <w:rFonts w:asciiTheme="majorBidi" w:hAnsiTheme="majorBidi" w:cstheme="majorBidi"/>
                <w:szCs w:val="22"/>
              </w:rPr>
              <w:t xml:space="preserve"> service planning and participant segmentation by grantees</w:t>
            </w:r>
            <w:r w:rsidR="00162781">
              <w:rPr>
                <w:rFonts w:asciiTheme="majorBidi" w:hAnsiTheme="majorBidi" w:cstheme="majorBidi"/>
                <w:szCs w:val="22"/>
              </w:rPr>
              <w:t xml:space="preserve"> </w:t>
            </w:r>
            <w:r w:rsidR="00107BB4">
              <w:rPr>
                <w:rFonts w:asciiTheme="majorBidi" w:hAnsiTheme="majorBidi" w:cstheme="majorBidi"/>
                <w:szCs w:val="22"/>
              </w:rPr>
              <w:t>(</w:t>
            </w:r>
            <w:r w:rsidR="00162781">
              <w:rPr>
                <w:rFonts w:asciiTheme="majorBidi" w:hAnsiTheme="majorBidi" w:cstheme="majorBidi"/>
                <w:szCs w:val="22"/>
              </w:rPr>
              <w:t>Technical Assistan</w:t>
            </w:r>
            <w:r w:rsidR="00107BB4">
              <w:rPr>
                <w:rFonts w:asciiTheme="majorBidi" w:hAnsiTheme="majorBidi" w:cstheme="majorBidi"/>
                <w:szCs w:val="22"/>
              </w:rPr>
              <w:t>ce</w:t>
            </w:r>
            <w:r w:rsidRPr="007521AD" w:rsidR="00C131C8">
              <w:rPr>
                <w:rFonts w:asciiTheme="majorBidi" w:hAnsiTheme="majorBidi" w:cstheme="majorBidi"/>
                <w:szCs w:val="22"/>
              </w:rPr>
              <w:t xml:space="preserve"> </w:t>
            </w:r>
            <w:r w:rsidR="00107BB4">
              <w:rPr>
                <w:rFonts w:asciiTheme="majorBidi" w:hAnsiTheme="majorBidi" w:cstheme="majorBidi"/>
                <w:szCs w:val="22"/>
              </w:rPr>
              <w:t xml:space="preserve"> - </w:t>
            </w:r>
            <w:r w:rsidRPr="007521AD" w:rsidR="00C131C8">
              <w:rPr>
                <w:rFonts w:asciiTheme="majorBidi" w:hAnsiTheme="majorBidi" w:cstheme="majorBidi"/>
                <w:szCs w:val="22"/>
              </w:rPr>
              <w:t>TA)</w:t>
            </w:r>
            <w:r w:rsidRPr="007521AD" w:rsidR="00E84DBD">
              <w:rPr>
                <w:rFonts w:asciiTheme="majorBidi" w:hAnsiTheme="majorBidi" w:cstheme="majorBidi"/>
                <w:szCs w:val="22"/>
              </w:rPr>
              <w:t xml:space="preserve"> </w:t>
            </w:r>
          </w:p>
          <w:p w:rsidR="00CE5F3C" w:rsidRPr="007521AD" w:rsidP="00FB5F48" w14:paraId="7A7FDDB2" w14:textId="7CC8C0F2">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Conduct sub</w:t>
            </w:r>
            <w:r w:rsidRPr="007521AD" w:rsidR="008F0B94">
              <w:rPr>
                <w:rFonts w:asciiTheme="majorBidi" w:hAnsiTheme="majorBidi" w:cstheme="majorBidi"/>
                <w:szCs w:val="22"/>
              </w:rPr>
              <w:t>population</w:t>
            </w:r>
            <w:r w:rsidRPr="007521AD">
              <w:rPr>
                <w:rFonts w:asciiTheme="majorBidi" w:hAnsiTheme="majorBidi" w:cstheme="majorBidi"/>
                <w:szCs w:val="22"/>
              </w:rPr>
              <w:t xml:space="preserve"> analyses</w:t>
            </w:r>
            <w:r w:rsidRPr="007521AD" w:rsidR="00BB22F2">
              <w:rPr>
                <w:rFonts w:asciiTheme="majorBidi" w:hAnsiTheme="majorBidi" w:cstheme="majorBidi"/>
                <w:szCs w:val="22"/>
              </w:rPr>
              <w:t xml:space="preserve">, </w:t>
            </w:r>
            <w:r w:rsidRPr="007521AD" w:rsidR="00121F91">
              <w:rPr>
                <w:rFonts w:asciiTheme="majorBidi" w:hAnsiTheme="majorBidi" w:cstheme="majorBidi"/>
                <w:szCs w:val="22"/>
              </w:rPr>
              <w:t>descri</w:t>
            </w:r>
            <w:r w:rsidRPr="007521AD">
              <w:rPr>
                <w:rFonts w:asciiTheme="majorBidi" w:hAnsiTheme="majorBidi" w:cstheme="majorBidi"/>
                <w:szCs w:val="22"/>
              </w:rPr>
              <w:t>be</w:t>
            </w:r>
            <w:r w:rsidRPr="007521AD" w:rsidR="00121F91">
              <w:rPr>
                <w:rFonts w:asciiTheme="majorBidi" w:hAnsiTheme="majorBidi" w:cstheme="majorBidi"/>
                <w:szCs w:val="22"/>
              </w:rPr>
              <w:t xml:space="preserve"> </w:t>
            </w:r>
            <w:r w:rsidRPr="007521AD">
              <w:rPr>
                <w:rFonts w:asciiTheme="majorBidi" w:hAnsiTheme="majorBidi" w:cstheme="majorBidi"/>
                <w:szCs w:val="22"/>
              </w:rPr>
              <w:t>initial characteristics of ETM participants</w:t>
            </w:r>
            <w:r w:rsidRPr="007521AD" w:rsidR="00BB22F2">
              <w:rPr>
                <w:rFonts w:asciiTheme="majorBidi" w:hAnsiTheme="majorBidi" w:cstheme="majorBidi"/>
                <w:szCs w:val="22"/>
              </w:rPr>
              <w:t xml:space="preserve">, and link to </w:t>
            </w:r>
            <w:r w:rsidRPr="007521AD" w:rsidR="007E0825">
              <w:rPr>
                <w:rFonts w:asciiTheme="majorBidi" w:hAnsiTheme="majorBidi" w:cstheme="majorBidi"/>
                <w:szCs w:val="22"/>
              </w:rPr>
              <w:t>external outcomes data sources</w:t>
            </w:r>
            <w:r w:rsidRPr="007521AD" w:rsidR="00B37744">
              <w:rPr>
                <w:rFonts w:asciiTheme="majorBidi" w:hAnsiTheme="majorBidi" w:cstheme="majorBidi"/>
                <w:szCs w:val="22"/>
              </w:rPr>
              <w:t xml:space="preserve"> (evaluati</w:t>
            </w:r>
            <w:r w:rsidRPr="007521AD" w:rsidR="00C131C8">
              <w:rPr>
                <w:rFonts w:asciiTheme="majorBidi" w:hAnsiTheme="majorBidi" w:cstheme="majorBidi"/>
                <w:szCs w:val="22"/>
              </w:rPr>
              <w:t>on)</w:t>
            </w:r>
            <w:r w:rsidRPr="007521AD">
              <w:rPr>
                <w:rFonts w:asciiTheme="majorBidi" w:hAnsiTheme="majorBidi" w:cstheme="majorBidi"/>
                <w:szCs w:val="22"/>
              </w:rPr>
              <w:t xml:space="preserve"> </w:t>
            </w:r>
          </w:p>
        </w:tc>
      </w:tr>
      <w:tr w14:paraId="03B5815B" w14:textId="77777777" w:rsidTr="008B7276">
        <w:tblPrEx>
          <w:tblW w:w="9540" w:type="dxa"/>
          <w:tblLayout w:type="fixed"/>
          <w:tblLook w:val="04A0"/>
        </w:tblPrEx>
        <w:tc>
          <w:tcPr>
            <w:tcW w:w="2338" w:type="dxa"/>
            <w:tcBorders>
              <w:top w:val="single" w:sz="4" w:space="0" w:color="auto"/>
              <w:bottom w:val="single" w:sz="4" w:space="0" w:color="auto"/>
            </w:tcBorders>
          </w:tcPr>
          <w:p w:rsidR="00BE1574" w:rsidRPr="007521AD" w14:paraId="50268001" w14:textId="2E971BAF">
            <w:pPr>
              <w:pStyle w:val="BodyText"/>
              <w:rPr>
                <w:rFonts w:asciiTheme="majorBidi" w:hAnsiTheme="majorBidi" w:cstheme="majorBidi"/>
                <w:sz w:val="22"/>
                <w:szCs w:val="22"/>
              </w:rPr>
            </w:pPr>
            <w:r w:rsidRPr="007521AD">
              <w:rPr>
                <w:rFonts w:asciiTheme="majorBidi" w:hAnsiTheme="majorBidi" w:cstheme="majorBidi"/>
                <w:szCs w:val="22"/>
              </w:rPr>
              <w:t xml:space="preserve">Youth </w:t>
            </w:r>
            <w:r w:rsidR="00CC191E">
              <w:rPr>
                <w:rFonts w:asciiTheme="majorBidi" w:hAnsiTheme="majorBidi" w:cstheme="majorBidi"/>
                <w:szCs w:val="22"/>
              </w:rPr>
              <w:t>R</w:t>
            </w:r>
            <w:r w:rsidRPr="007521AD">
              <w:rPr>
                <w:rFonts w:asciiTheme="majorBidi" w:hAnsiTheme="majorBidi" w:cstheme="majorBidi"/>
                <w:szCs w:val="22"/>
              </w:rPr>
              <w:t xml:space="preserve">eferral </w:t>
            </w:r>
            <w:r w:rsidR="00CC191E">
              <w:rPr>
                <w:rFonts w:asciiTheme="majorBidi" w:hAnsiTheme="majorBidi" w:cstheme="majorBidi"/>
                <w:szCs w:val="22"/>
              </w:rPr>
              <w:t>I</w:t>
            </w:r>
            <w:r w:rsidRPr="007521AD">
              <w:rPr>
                <w:rFonts w:asciiTheme="majorBidi" w:hAnsiTheme="majorBidi" w:cstheme="majorBidi"/>
                <w:szCs w:val="22"/>
              </w:rPr>
              <w:t xml:space="preserve">nformation </w:t>
            </w:r>
            <w:r w:rsidR="00CC191E">
              <w:rPr>
                <w:rFonts w:asciiTheme="majorBidi" w:hAnsiTheme="majorBidi" w:cstheme="majorBidi"/>
                <w:szCs w:val="22"/>
              </w:rPr>
              <w:t>C</w:t>
            </w:r>
            <w:r w:rsidRPr="007521AD">
              <w:rPr>
                <w:rFonts w:asciiTheme="majorBidi" w:hAnsiTheme="majorBidi" w:cstheme="majorBidi"/>
                <w:szCs w:val="22"/>
              </w:rPr>
              <w:t xml:space="preserve">ompleted by ETM and </w:t>
            </w:r>
            <w:r w:rsidR="00CC191E">
              <w:rPr>
                <w:rFonts w:asciiTheme="majorBidi" w:hAnsiTheme="majorBidi" w:cstheme="majorBidi"/>
                <w:szCs w:val="22"/>
              </w:rPr>
              <w:t>P</w:t>
            </w:r>
            <w:r w:rsidRPr="007521AD">
              <w:rPr>
                <w:rFonts w:asciiTheme="majorBidi" w:hAnsiTheme="majorBidi" w:cstheme="majorBidi"/>
                <w:szCs w:val="22"/>
              </w:rPr>
              <w:t xml:space="preserve">artner </w:t>
            </w:r>
            <w:r w:rsidR="00CC191E">
              <w:rPr>
                <w:rFonts w:asciiTheme="majorBidi" w:hAnsiTheme="majorBidi" w:cstheme="majorBidi"/>
                <w:szCs w:val="22"/>
              </w:rPr>
              <w:t>S</w:t>
            </w:r>
            <w:r w:rsidRPr="007521AD">
              <w:rPr>
                <w:rFonts w:asciiTheme="majorBidi" w:hAnsiTheme="majorBidi" w:cstheme="majorBidi"/>
                <w:szCs w:val="22"/>
              </w:rPr>
              <w:t>taff (</w:t>
            </w:r>
            <w:r w:rsidR="006A50D9">
              <w:rPr>
                <w:rFonts w:asciiTheme="majorBidi" w:hAnsiTheme="majorBidi" w:cstheme="majorBidi"/>
                <w:szCs w:val="22"/>
              </w:rPr>
              <w:t>Section D.2-D.</w:t>
            </w:r>
            <w:r w:rsidR="00BE2324">
              <w:rPr>
                <w:rFonts w:asciiTheme="majorBidi" w:hAnsiTheme="majorBidi" w:cstheme="majorBidi"/>
                <w:szCs w:val="22"/>
              </w:rPr>
              <w:t>8</w:t>
            </w:r>
            <w:r w:rsidR="006A50D9">
              <w:rPr>
                <w:rFonts w:asciiTheme="majorBidi" w:hAnsiTheme="majorBidi" w:cstheme="majorBidi"/>
                <w:szCs w:val="22"/>
              </w:rPr>
              <w:t xml:space="preserve"> of </w:t>
            </w:r>
            <w:r w:rsidRPr="007521AD">
              <w:rPr>
                <w:rFonts w:asciiTheme="majorBidi" w:hAnsiTheme="majorBidi" w:cstheme="majorBidi"/>
                <w:szCs w:val="22"/>
              </w:rPr>
              <w:t>Attachment</w:t>
            </w:r>
            <w:r w:rsidRPr="007521AD" w:rsidR="00F33B88">
              <w:rPr>
                <w:rFonts w:asciiTheme="majorBidi" w:hAnsiTheme="majorBidi" w:cstheme="majorBidi"/>
                <w:szCs w:val="22"/>
              </w:rPr>
              <w:t xml:space="preserve"> A</w:t>
            </w:r>
            <w:r w:rsidRPr="007521AD" w:rsidR="007E0825">
              <w:rPr>
                <w:rFonts w:asciiTheme="majorBidi" w:hAnsiTheme="majorBidi" w:cstheme="majorBidi"/>
                <w:szCs w:val="22"/>
              </w:rPr>
              <w:t>.1</w:t>
            </w:r>
            <w:r w:rsidRPr="007521AD">
              <w:rPr>
                <w:rFonts w:asciiTheme="majorBidi" w:hAnsiTheme="majorBidi" w:cstheme="majorBidi"/>
                <w:szCs w:val="22"/>
              </w:rPr>
              <w:t>)</w:t>
            </w:r>
          </w:p>
        </w:tc>
        <w:tc>
          <w:tcPr>
            <w:tcW w:w="3510" w:type="dxa"/>
            <w:tcBorders>
              <w:top w:val="single" w:sz="4" w:space="0" w:color="auto"/>
              <w:bottom w:val="single" w:sz="4" w:space="0" w:color="auto"/>
            </w:tcBorders>
          </w:tcPr>
          <w:p w:rsidR="00C550F9" w:rsidRPr="007521AD" w:rsidP="00C550F9" w14:paraId="70097C61" w14:textId="538E8158">
            <w:pPr>
              <w:pStyle w:val="BodyText"/>
              <w:rPr>
                <w:rFonts w:asciiTheme="majorBidi" w:hAnsiTheme="majorBidi" w:cstheme="majorBidi"/>
                <w:sz w:val="22"/>
                <w:szCs w:val="22"/>
              </w:rPr>
            </w:pPr>
            <w:r w:rsidRPr="007521AD">
              <w:rPr>
                <w:rFonts w:asciiTheme="majorBidi" w:hAnsiTheme="majorBidi" w:cstheme="majorBidi"/>
                <w:szCs w:val="22"/>
              </w:rPr>
              <w:t xml:space="preserve">Referral </w:t>
            </w:r>
            <w:r w:rsidRPr="007521AD" w:rsidR="008E1421">
              <w:rPr>
                <w:rFonts w:asciiTheme="majorBidi" w:hAnsiTheme="majorBidi" w:cstheme="majorBidi"/>
                <w:szCs w:val="22"/>
              </w:rPr>
              <w:t xml:space="preserve">information </w:t>
            </w:r>
            <w:r w:rsidRPr="007521AD" w:rsidR="0074718C">
              <w:rPr>
                <w:rFonts w:asciiTheme="majorBidi" w:hAnsiTheme="majorBidi" w:cstheme="majorBidi"/>
                <w:szCs w:val="22"/>
              </w:rPr>
              <w:t>will be</w:t>
            </w:r>
            <w:r w:rsidRPr="007521AD">
              <w:rPr>
                <w:rFonts w:asciiTheme="majorBidi" w:hAnsiTheme="majorBidi" w:cstheme="majorBidi"/>
                <w:szCs w:val="22"/>
              </w:rPr>
              <w:t xml:space="preserve"> collected by ETM grantee or partner staff </w:t>
            </w:r>
            <w:r w:rsidRPr="007521AD" w:rsidR="008E1421">
              <w:rPr>
                <w:rFonts w:asciiTheme="majorBidi" w:hAnsiTheme="majorBidi" w:cstheme="majorBidi"/>
                <w:szCs w:val="22"/>
              </w:rPr>
              <w:t>once at program intake</w:t>
            </w:r>
            <w:r w:rsidRPr="007521AD" w:rsidR="00E82FD8">
              <w:rPr>
                <w:rFonts w:asciiTheme="majorBidi" w:hAnsiTheme="majorBidi" w:cstheme="majorBidi"/>
                <w:szCs w:val="22"/>
              </w:rPr>
              <w:t xml:space="preserve">. This information includes </w:t>
            </w:r>
            <w:r w:rsidRPr="007521AD">
              <w:rPr>
                <w:rFonts w:asciiTheme="majorBidi" w:hAnsiTheme="majorBidi" w:cstheme="majorBidi"/>
                <w:szCs w:val="22"/>
              </w:rPr>
              <w:t>the referring agency</w:t>
            </w:r>
            <w:r w:rsidRPr="007521AD" w:rsidR="00B95219">
              <w:rPr>
                <w:rFonts w:asciiTheme="majorBidi" w:hAnsiTheme="majorBidi" w:cstheme="majorBidi"/>
                <w:szCs w:val="22"/>
              </w:rPr>
              <w:t xml:space="preserve"> </w:t>
            </w:r>
            <w:r w:rsidRPr="007521AD" w:rsidR="00806261">
              <w:rPr>
                <w:rFonts w:asciiTheme="majorBidi" w:hAnsiTheme="majorBidi" w:cstheme="majorBidi"/>
                <w:szCs w:val="22"/>
              </w:rPr>
              <w:t>and</w:t>
            </w:r>
            <w:r w:rsidRPr="007521AD">
              <w:rPr>
                <w:rFonts w:asciiTheme="majorBidi" w:hAnsiTheme="majorBidi" w:cstheme="majorBidi"/>
                <w:szCs w:val="22"/>
              </w:rPr>
              <w:t xml:space="preserve"> referral date</w:t>
            </w:r>
            <w:r w:rsidRPr="007521AD" w:rsidR="00806261">
              <w:rPr>
                <w:rFonts w:asciiTheme="majorBidi" w:hAnsiTheme="majorBidi" w:cstheme="majorBidi"/>
                <w:szCs w:val="22"/>
              </w:rPr>
              <w:t>.</w:t>
            </w:r>
            <w:r w:rsidRPr="007521AD">
              <w:rPr>
                <w:rFonts w:asciiTheme="majorBidi" w:hAnsiTheme="majorBidi" w:cstheme="majorBidi"/>
                <w:szCs w:val="22"/>
              </w:rPr>
              <w:t xml:space="preserve"> </w:t>
            </w:r>
            <w:r w:rsidRPr="007521AD" w:rsidR="00EB77B3">
              <w:rPr>
                <w:rFonts w:asciiTheme="majorBidi" w:hAnsiTheme="majorBidi" w:cstheme="majorBidi"/>
                <w:szCs w:val="22"/>
              </w:rPr>
              <w:t>(</w:t>
            </w:r>
            <w:r w:rsidRPr="007521AD" w:rsidR="00906F27">
              <w:rPr>
                <w:rFonts w:asciiTheme="majorBidi" w:hAnsiTheme="majorBidi" w:cstheme="majorBidi"/>
                <w:szCs w:val="22"/>
              </w:rPr>
              <w:t>Agency codes will be</w:t>
            </w:r>
            <w:r w:rsidRPr="007521AD">
              <w:rPr>
                <w:rFonts w:asciiTheme="majorBidi" w:hAnsiTheme="majorBidi" w:cstheme="majorBidi"/>
                <w:szCs w:val="22"/>
              </w:rPr>
              <w:t xml:space="preserve"> linked to specific service domains </w:t>
            </w:r>
            <w:r w:rsidRPr="007521AD" w:rsidR="00906F27">
              <w:rPr>
                <w:rFonts w:asciiTheme="majorBidi" w:hAnsiTheme="majorBidi" w:cstheme="majorBidi"/>
                <w:szCs w:val="22"/>
              </w:rPr>
              <w:t xml:space="preserve">such as </w:t>
            </w:r>
            <w:r w:rsidRPr="007521AD">
              <w:rPr>
                <w:rFonts w:asciiTheme="majorBidi" w:hAnsiTheme="majorBidi" w:cstheme="majorBidi"/>
                <w:szCs w:val="22"/>
              </w:rPr>
              <w:t xml:space="preserve">education, employment, </w:t>
            </w:r>
            <w:r w:rsidRPr="007521AD" w:rsidR="00E25A86">
              <w:rPr>
                <w:rFonts w:asciiTheme="majorBidi" w:hAnsiTheme="majorBidi" w:cstheme="majorBidi"/>
                <w:szCs w:val="22"/>
              </w:rPr>
              <w:t xml:space="preserve">and </w:t>
            </w:r>
            <w:r w:rsidRPr="007521AD">
              <w:rPr>
                <w:rFonts w:asciiTheme="majorBidi" w:hAnsiTheme="majorBidi" w:cstheme="majorBidi"/>
                <w:szCs w:val="22"/>
              </w:rPr>
              <w:t>health</w:t>
            </w:r>
            <w:r w:rsidRPr="007521AD" w:rsidR="00906F27">
              <w:rPr>
                <w:rFonts w:asciiTheme="majorBidi" w:hAnsiTheme="majorBidi" w:cstheme="majorBidi"/>
                <w:szCs w:val="22"/>
              </w:rPr>
              <w:t>.</w:t>
            </w:r>
            <w:r w:rsidRPr="007521AD">
              <w:rPr>
                <w:rFonts w:asciiTheme="majorBidi" w:hAnsiTheme="majorBidi" w:cstheme="majorBidi"/>
                <w:szCs w:val="22"/>
              </w:rPr>
              <w:t>)</w:t>
            </w:r>
          </w:p>
        </w:tc>
        <w:tc>
          <w:tcPr>
            <w:tcW w:w="3692" w:type="dxa"/>
            <w:gridSpan w:val="2"/>
            <w:tcBorders>
              <w:top w:val="single" w:sz="4" w:space="0" w:color="auto"/>
              <w:bottom w:val="single" w:sz="4" w:space="0" w:color="auto"/>
            </w:tcBorders>
          </w:tcPr>
          <w:p w:rsidR="00E50FE3" w:rsidRPr="007521AD" w:rsidP="00FB5F48" w14:paraId="03F1ED45" w14:textId="477AC511">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Track i</w:t>
            </w:r>
            <w:r w:rsidRPr="007521AD" w:rsidR="00E92B6C">
              <w:rPr>
                <w:rFonts w:asciiTheme="majorBidi" w:hAnsiTheme="majorBidi" w:cstheme="majorBidi"/>
                <w:szCs w:val="22"/>
              </w:rPr>
              <w:t>mplementation fidelity and partnership efficacy (program monitoring and TA)</w:t>
            </w:r>
          </w:p>
          <w:p w:rsidR="008005AE" w:rsidRPr="007521AD" w:rsidP="00FB5F48" w14:paraId="0F72D574" w14:textId="0CC56742">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Describe p</w:t>
            </w:r>
            <w:r w:rsidRPr="007521AD" w:rsidR="00E50FE3">
              <w:rPr>
                <w:rFonts w:asciiTheme="majorBidi" w:hAnsiTheme="majorBidi" w:cstheme="majorBidi"/>
                <w:szCs w:val="22"/>
              </w:rPr>
              <w:t xml:space="preserve">athways into ETM </w:t>
            </w:r>
            <w:r w:rsidRPr="007521AD">
              <w:rPr>
                <w:rFonts w:asciiTheme="majorBidi" w:hAnsiTheme="majorBidi" w:cstheme="majorBidi"/>
                <w:szCs w:val="22"/>
              </w:rPr>
              <w:t xml:space="preserve">and integration of services </w:t>
            </w:r>
            <w:r w:rsidRPr="007521AD" w:rsidR="00E50FE3">
              <w:rPr>
                <w:rFonts w:asciiTheme="majorBidi" w:hAnsiTheme="majorBidi" w:cstheme="majorBidi"/>
                <w:szCs w:val="22"/>
              </w:rPr>
              <w:t>(TA and evaluation)</w:t>
            </w:r>
          </w:p>
          <w:p w:rsidR="00EB2A3D" w:rsidRPr="007521AD" w:rsidP="00FB5F48" w14:paraId="36F58329" w14:textId="24449B22">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Assess the strength and timeliness of cross-agency collaboration and measure systems-level change (evaluation).</w:t>
            </w:r>
          </w:p>
        </w:tc>
      </w:tr>
      <w:tr w14:paraId="616D5CD0" w14:textId="77777777" w:rsidTr="008B7276">
        <w:tblPrEx>
          <w:tblW w:w="9540" w:type="dxa"/>
          <w:tblLayout w:type="fixed"/>
          <w:tblLook w:val="04A0"/>
        </w:tblPrEx>
        <w:tc>
          <w:tcPr>
            <w:tcW w:w="2338" w:type="dxa"/>
            <w:tcBorders>
              <w:top w:val="single" w:sz="4" w:space="0" w:color="auto"/>
            </w:tcBorders>
          </w:tcPr>
          <w:p w:rsidR="00BE1574" w:rsidRPr="007521AD" w14:paraId="65304225" w14:textId="6D366622">
            <w:pPr>
              <w:pStyle w:val="BodyText"/>
              <w:rPr>
                <w:rFonts w:asciiTheme="majorBidi" w:hAnsiTheme="majorBidi" w:cstheme="majorBidi"/>
                <w:sz w:val="22"/>
                <w:szCs w:val="22"/>
              </w:rPr>
            </w:pPr>
            <w:r w:rsidRPr="007521AD">
              <w:rPr>
                <w:rFonts w:asciiTheme="majorBidi" w:hAnsiTheme="majorBidi" w:cstheme="majorBidi"/>
                <w:szCs w:val="22"/>
              </w:rPr>
              <w:t>Service Receipt Data for ETM Youth (</w:t>
            </w:r>
            <w:r w:rsidR="006A50D9">
              <w:rPr>
                <w:rFonts w:asciiTheme="majorBidi" w:hAnsiTheme="majorBidi" w:cstheme="majorBidi"/>
                <w:szCs w:val="22"/>
              </w:rPr>
              <w:t xml:space="preserve">Section D.2-D.9 of </w:t>
            </w:r>
            <w:r w:rsidRPr="007521AD">
              <w:rPr>
                <w:rFonts w:asciiTheme="majorBidi" w:hAnsiTheme="majorBidi" w:cstheme="majorBidi"/>
                <w:szCs w:val="22"/>
              </w:rPr>
              <w:t>Attachment</w:t>
            </w:r>
            <w:r w:rsidRPr="007521AD" w:rsidR="00F33B88">
              <w:rPr>
                <w:rFonts w:asciiTheme="majorBidi" w:hAnsiTheme="majorBidi" w:cstheme="majorBidi"/>
                <w:szCs w:val="22"/>
              </w:rPr>
              <w:t xml:space="preserve"> A</w:t>
            </w:r>
            <w:r w:rsidRPr="007521AD" w:rsidR="00E25A86">
              <w:rPr>
                <w:rFonts w:asciiTheme="majorBidi" w:hAnsiTheme="majorBidi" w:cstheme="majorBidi"/>
                <w:szCs w:val="22"/>
              </w:rPr>
              <w:t>.1</w:t>
            </w:r>
            <w:r w:rsidRPr="007521AD">
              <w:rPr>
                <w:rFonts w:asciiTheme="majorBidi" w:hAnsiTheme="majorBidi" w:cstheme="majorBidi"/>
                <w:szCs w:val="22"/>
              </w:rPr>
              <w:t>)</w:t>
            </w:r>
          </w:p>
        </w:tc>
        <w:tc>
          <w:tcPr>
            <w:tcW w:w="3510" w:type="dxa"/>
            <w:tcBorders>
              <w:top w:val="single" w:sz="4" w:space="0" w:color="auto"/>
            </w:tcBorders>
          </w:tcPr>
          <w:p w:rsidR="00BE0F11" w:rsidRPr="007521AD" w14:paraId="0766673A" w14:textId="0816367E">
            <w:pPr>
              <w:pStyle w:val="BodyText"/>
              <w:rPr>
                <w:rFonts w:asciiTheme="majorBidi" w:hAnsiTheme="majorBidi" w:cstheme="majorBidi"/>
                <w:sz w:val="22"/>
                <w:szCs w:val="22"/>
              </w:rPr>
            </w:pPr>
            <w:r w:rsidRPr="007521AD">
              <w:rPr>
                <w:rFonts w:asciiTheme="majorBidi" w:hAnsiTheme="majorBidi" w:cstheme="majorBidi"/>
                <w:szCs w:val="22"/>
              </w:rPr>
              <w:t>These data are collected quarterly and include detailed records of services received by ETM youth, such as case management sessions, supportive services (e.g., transportation</w:t>
            </w:r>
            <w:r w:rsidRPr="007521AD" w:rsidR="003E7A99">
              <w:rPr>
                <w:rFonts w:asciiTheme="majorBidi" w:hAnsiTheme="majorBidi" w:cstheme="majorBidi"/>
                <w:szCs w:val="22"/>
              </w:rPr>
              <w:t xml:space="preserve"> or </w:t>
            </w:r>
            <w:r w:rsidRPr="007521AD">
              <w:rPr>
                <w:rFonts w:asciiTheme="majorBidi" w:hAnsiTheme="majorBidi" w:cstheme="majorBidi"/>
                <w:szCs w:val="22"/>
              </w:rPr>
              <w:t>housing), education/training participation, work-based learning, and employment supports. Data are structured using numeric counts, date fields, and categorical codes</w:t>
            </w:r>
            <w:r w:rsidRPr="007521AD" w:rsidR="003E7A99">
              <w:rPr>
                <w:rFonts w:asciiTheme="majorBidi" w:hAnsiTheme="majorBidi" w:cstheme="majorBidi"/>
                <w:szCs w:val="22"/>
              </w:rPr>
              <w:t>.</w:t>
            </w:r>
          </w:p>
        </w:tc>
        <w:tc>
          <w:tcPr>
            <w:tcW w:w="3692" w:type="dxa"/>
            <w:gridSpan w:val="2"/>
            <w:tcBorders>
              <w:top w:val="single" w:sz="4" w:space="0" w:color="auto"/>
            </w:tcBorders>
          </w:tcPr>
          <w:p w:rsidR="00D126FC" w:rsidRPr="007521AD" w:rsidP="00987C8A" w14:paraId="51A61C6F" w14:textId="52250774">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Track</w:t>
            </w:r>
            <w:r w:rsidRPr="007521AD" w:rsidR="003E7A99">
              <w:rPr>
                <w:rFonts w:asciiTheme="majorBidi" w:hAnsiTheme="majorBidi" w:cstheme="majorBidi"/>
                <w:szCs w:val="22"/>
              </w:rPr>
              <w:t xml:space="preserve"> </w:t>
            </w:r>
            <w:r w:rsidRPr="007521AD">
              <w:rPr>
                <w:rFonts w:asciiTheme="majorBidi" w:hAnsiTheme="majorBidi" w:cstheme="majorBidi"/>
                <w:szCs w:val="22"/>
              </w:rPr>
              <w:t>fidelity to the ETM model</w:t>
            </w:r>
            <w:r w:rsidRPr="007521AD" w:rsidR="00CD35AF">
              <w:rPr>
                <w:rFonts w:asciiTheme="majorBidi" w:hAnsiTheme="majorBidi" w:cstheme="majorBidi"/>
                <w:szCs w:val="22"/>
              </w:rPr>
              <w:t>, program dosage and participant engagement</w:t>
            </w:r>
            <w:r w:rsidRPr="007521AD">
              <w:rPr>
                <w:rFonts w:asciiTheme="majorBidi" w:hAnsiTheme="majorBidi" w:cstheme="majorBidi"/>
                <w:szCs w:val="22"/>
              </w:rPr>
              <w:t xml:space="preserve"> (program monitoring</w:t>
            </w:r>
            <w:r w:rsidRPr="007521AD" w:rsidR="00CD35AF">
              <w:rPr>
                <w:rFonts w:asciiTheme="majorBidi" w:hAnsiTheme="majorBidi" w:cstheme="majorBidi"/>
                <w:szCs w:val="22"/>
              </w:rPr>
              <w:t xml:space="preserve"> and TA</w:t>
            </w:r>
            <w:r w:rsidRPr="007521AD">
              <w:rPr>
                <w:rFonts w:asciiTheme="majorBidi" w:hAnsiTheme="majorBidi" w:cstheme="majorBidi"/>
                <w:szCs w:val="22"/>
              </w:rPr>
              <w:t>)</w:t>
            </w:r>
          </w:p>
          <w:p w:rsidR="007A5AF7" w:rsidRPr="007521AD" w:rsidP="00987C8A" w14:paraId="4431F37C" w14:textId="32C21BCA">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I</w:t>
            </w:r>
            <w:r w:rsidRPr="007521AD" w:rsidR="003E7A99">
              <w:rPr>
                <w:rFonts w:asciiTheme="majorBidi" w:hAnsiTheme="majorBidi" w:cstheme="majorBidi"/>
                <w:szCs w:val="22"/>
              </w:rPr>
              <w:t>dentify service gaps</w:t>
            </w:r>
            <w:r w:rsidRPr="007521AD">
              <w:rPr>
                <w:rFonts w:asciiTheme="majorBidi" w:hAnsiTheme="majorBidi" w:cstheme="majorBidi"/>
                <w:szCs w:val="22"/>
              </w:rPr>
              <w:t xml:space="preserve"> and </w:t>
            </w:r>
            <w:r w:rsidRPr="007521AD" w:rsidR="003E7A99">
              <w:rPr>
                <w:rFonts w:asciiTheme="majorBidi" w:hAnsiTheme="majorBidi" w:cstheme="majorBidi"/>
                <w:szCs w:val="22"/>
              </w:rPr>
              <w:t>inform resource allocation</w:t>
            </w:r>
            <w:r w:rsidRPr="007521AD">
              <w:rPr>
                <w:rFonts w:asciiTheme="majorBidi" w:hAnsiTheme="majorBidi" w:cstheme="majorBidi"/>
                <w:szCs w:val="22"/>
              </w:rPr>
              <w:t xml:space="preserve"> (TA)</w:t>
            </w:r>
          </w:p>
          <w:p w:rsidR="003E7A99" w:rsidRPr="007521AD" w:rsidP="00987C8A" w14:paraId="7E92D11E" w14:textId="2DF4CF47">
            <w:pPr>
              <w:pStyle w:val="BodyText"/>
              <w:numPr>
                <w:ilvl w:val="0"/>
                <w:numId w:val="18"/>
              </w:numPr>
              <w:spacing w:after="0"/>
              <w:ind w:left="216" w:hanging="216"/>
              <w:rPr>
                <w:rFonts w:asciiTheme="majorBidi" w:hAnsiTheme="majorBidi" w:cstheme="majorBidi"/>
                <w:sz w:val="22"/>
                <w:szCs w:val="22"/>
              </w:rPr>
            </w:pPr>
            <w:r w:rsidRPr="007521AD">
              <w:rPr>
                <w:rFonts w:asciiTheme="majorBidi" w:hAnsiTheme="majorBidi" w:cstheme="majorBidi"/>
                <w:szCs w:val="22"/>
              </w:rPr>
              <w:t>Assess which interventions are most associated with positive outcomes (evaluation)</w:t>
            </w:r>
          </w:p>
        </w:tc>
      </w:tr>
      <w:tr w14:paraId="6C88B6DA" w14:textId="77777777" w:rsidTr="008B7276">
        <w:tblPrEx>
          <w:tblW w:w="9540" w:type="dxa"/>
          <w:tblLayout w:type="fixed"/>
          <w:tblLook w:val="04A0"/>
        </w:tblPrEx>
        <w:tc>
          <w:tcPr>
            <w:tcW w:w="2338" w:type="dxa"/>
            <w:shd w:val="clear" w:color="auto" w:fill="BFBFBF" w:themeFill="background1" w:themeFillShade="BF"/>
          </w:tcPr>
          <w:p w:rsidR="00BE1574" w:rsidRPr="007521AD" w14:paraId="3B8E8D93" w14:textId="77777777">
            <w:pPr>
              <w:pStyle w:val="BodyText"/>
              <w:rPr>
                <w:rFonts w:asciiTheme="majorBidi" w:hAnsiTheme="majorBidi" w:cstheme="majorBidi"/>
                <w:b/>
                <w:bCs/>
                <w:sz w:val="22"/>
                <w:szCs w:val="22"/>
              </w:rPr>
            </w:pPr>
            <w:r w:rsidRPr="007521AD">
              <w:rPr>
                <w:rFonts w:asciiTheme="majorBidi" w:hAnsiTheme="majorBidi" w:cstheme="majorBidi"/>
                <w:b/>
                <w:szCs w:val="22"/>
              </w:rPr>
              <w:t>Implementation data</w:t>
            </w:r>
          </w:p>
        </w:tc>
        <w:tc>
          <w:tcPr>
            <w:tcW w:w="3510" w:type="dxa"/>
            <w:shd w:val="clear" w:color="auto" w:fill="BFBFBF" w:themeFill="background1" w:themeFillShade="BF"/>
          </w:tcPr>
          <w:p w:rsidR="00BE1574" w:rsidRPr="007521AD" w14:paraId="66DA1D76" w14:textId="77777777">
            <w:pPr>
              <w:pStyle w:val="BodyText"/>
              <w:rPr>
                <w:rFonts w:asciiTheme="majorBidi" w:hAnsiTheme="majorBidi" w:cstheme="majorBidi"/>
                <w:b/>
                <w:bCs/>
                <w:sz w:val="22"/>
                <w:szCs w:val="22"/>
              </w:rPr>
            </w:pPr>
          </w:p>
        </w:tc>
        <w:tc>
          <w:tcPr>
            <w:tcW w:w="3692" w:type="dxa"/>
            <w:gridSpan w:val="2"/>
            <w:shd w:val="clear" w:color="auto" w:fill="BFBFBF" w:themeFill="background1" w:themeFillShade="BF"/>
          </w:tcPr>
          <w:p w:rsidR="00BE1574" w:rsidRPr="007521AD" w14:paraId="58A928A2" w14:textId="77777777">
            <w:pPr>
              <w:pStyle w:val="BodyText"/>
              <w:rPr>
                <w:rFonts w:asciiTheme="majorBidi" w:hAnsiTheme="majorBidi" w:cstheme="majorBidi"/>
                <w:b/>
                <w:bCs/>
                <w:sz w:val="22"/>
                <w:szCs w:val="22"/>
              </w:rPr>
            </w:pPr>
          </w:p>
        </w:tc>
      </w:tr>
      <w:tr w14:paraId="116AA8D6" w14:textId="77777777" w:rsidTr="008B7276">
        <w:tblPrEx>
          <w:tblW w:w="9540" w:type="dxa"/>
          <w:tblLayout w:type="fixed"/>
          <w:tblLook w:val="04A0"/>
        </w:tblPrEx>
        <w:tc>
          <w:tcPr>
            <w:tcW w:w="2338" w:type="dxa"/>
            <w:shd w:val="clear" w:color="auto" w:fill="EAEAEA"/>
          </w:tcPr>
          <w:p w:rsidR="00BE1574" w:rsidRPr="007521AD" w14:paraId="53DBA787" w14:textId="77777777">
            <w:pPr>
              <w:pStyle w:val="BodyText"/>
              <w:rPr>
                <w:rFonts w:asciiTheme="majorBidi" w:hAnsiTheme="majorBidi" w:cstheme="majorBidi"/>
                <w:b/>
                <w:bCs/>
                <w:i/>
                <w:iCs/>
                <w:sz w:val="22"/>
                <w:szCs w:val="22"/>
              </w:rPr>
            </w:pPr>
            <w:r w:rsidRPr="007521AD">
              <w:rPr>
                <w:rFonts w:asciiTheme="majorBidi" w:hAnsiTheme="majorBidi" w:cstheme="majorBidi"/>
                <w:b/>
                <w:i/>
                <w:szCs w:val="22"/>
              </w:rPr>
              <w:t>Implementation Activities</w:t>
            </w:r>
          </w:p>
        </w:tc>
        <w:tc>
          <w:tcPr>
            <w:tcW w:w="3510" w:type="dxa"/>
            <w:shd w:val="clear" w:color="auto" w:fill="EAEAEA"/>
          </w:tcPr>
          <w:p w:rsidR="00BE1574" w:rsidRPr="007521AD" w14:paraId="2CB6DA42" w14:textId="77777777">
            <w:pPr>
              <w:pStyle w:val="BodyText"/>
              <w:rPr>
                <w:rFonts w:asciiTheme="majorBidi" w:hAnsiTheme="majorBidi" w:cstheme="majorBidi"/>
                <w:sz w:val="22"/>
                <w:szCs w:val="22"/>
              </w:rPr>
            </w:pPr>
          </w:p>
        </w:tc>
        <w:tc>
          <w:tcPr>
            <w:tcW w:w="3692" w:type="dxa"/>
            <w:gridSpan w:val="2"/>
            <w:shd w:val="clear" w:color="auto" w:fill="EAEAEA"/>
          </w:tcPr>
          <w:p w:rsidR="00BE1574" w:rsidRPr="007521AD" w14:paraId="7DDFE53F" w14:textId="77777777">
            <w:pPr>
              <w:pStyle w:val="BodyText"/>
              <w:rPr>
                <w:rFonts w:asciiTheme="majorBidi" w:hAnsiTheme="majorBidi" w:cstheme="majorBidi"/>
                <w:sz w:val="22"/>
                <w:szCs w:val="22"/>
              </w:rPr>
            </w:pPr>
          </w:p>
        </w:tc>
      </w:tr>
      <w:tr w14:paraId="0DD1EBE4" w14:textId="77777777" w:rsidTr="008B7276">
        <w:tblPrEx>
          <w:tblW w:w="9540" w:type="dxa"/>
          <w:tblLayout w:type="fixed"/>
          <w:tblLook w:val="04A0"/>
        </w:tblPrEx>
        <w:tc>
          <w:tcPr>
            <w:tcW w:w="2338" w:type="dxa"/>
            <w:tcBorders>
              <w:bottom w:val="single" w:sz="4" w:space="0" w:color="auto"/>
            </w:tcBorders>
          </w:tcPr>
          <w:p w:rsidR="00BE1574" w:rsidRPr="007521AD" w:rsidP="245065BE" w14:paraId="43DBD277" w14:textId="44857BE9">
            <w:pPr>
              <w:pStyle w:val="BodyText"/>
              <w:rPr>
                <w:rFonts w:asciiTheme="majorBidi" w:hAnsiTheme="majorBidi" w:cstheme="majorBidi"/>
                <w:sz w:val="22"/>
                <w:szCs w:val="22"/>
              </w:rPr>
            </w:pPr>
            <w:r w:rsidRPr="007521AD">
              <w:rPr>
                <w:rFonts w:asciiTheme="majorBidi" w:hAnsiTheme="majorBidi" w:cstheme="majorBidi"/>
              </w:rPr>
              <w:t>Semi-</w:t>
            </w:r>
            <w:r w:rsidR="00CC191E">
              <w:rPr>
                <w:rFonts w:asciiTheme="majorBidi" w:hAnsiTheme="majorBidi" w:cstheme="majorBidi"/>
              </w:rPr>
              <w:t>S</w:t>
            </w:r>
            <w:r w:rsidRPr="007521AD">
              <w:rPr>
                <w:rFonts w:asciiTheme="majorBidi" w:hAnsiTheme="majorBidi" w:cstheme="majorBidi"/>
              </w:rPr>
              <w:t xml:space="preserve">tructured </w:t>
            </w:r>
            <w:r w:rsidR="00CC191E">
              <w:rPr>
                <w:rFonts w:asciiTheme="majorBidi" w:hAnsiTheme="majorBidi" w:cstheme="majorBidi"/>
              </w:rPr>
              <w:t>I</w:t>
            </w:r>
            <w:r w:rsidRPr="007521AD">
              <w:rPr>
                <w:rFonts w:asciiTheme="majorBidi" w:hAnsiTheme="majorBidi" w:cstheme="majorBidi"/>
              </w:rPr>
              <w:t xml:space="preserve">nterviews with </w:t>
            </w:r>
            <w:r w:rsidR="00CC191E">
              <w:rPr>
                <w:rFonts w:asciiTheme="majorBidi" w:hAnsiTheme="majorBidi" w:cstheme="majorBidi"/>
              </w:rPr>
              <w:t>P</w:t>
            </w:r>
            <w:r w:rsidRPr="007521AD">
              <w:rPr>
                <w:rFonts w:asciiTheme="majorBidi" w:hAnsiTheme="majorBidi" w:cstheme="majorBidi"/>
              </w:rPr>
              <w:t xml:space="preserve">roject </w:t>
            </w:r>
            <w:r w:rsidR="00CC191E">
              <w:rPr>
                <w:rFonts w:asciiTheme="majorBidi" w:hAnsiTheme="majorBidi" w:cstheme="majorBidi"/>
              </w:rPr>
              <w:t>D</w:t>
            </w:r>
            <w:r w:rsidRPr="007521AD">
              <w:rPr>
                <w:rFonts w:asciiTheme="majorBidi" w:hAnsiTheme="majorBidi" w:cstheme="majorBidi"/>
              </w:rPr>
              <w:t xml:space="preserve">irectors (Attachment </w:t>
            </w:r>
            <w:r w:rsidRPr="007521AD" w:rsidR="00F33B88">
              <w:rPr>
                <w:rFonts w:asciiTheme="majorBidi" w:hAnsiTheme="majorBidi" w:cstheme="majorBidi"/>
              </w:rPr>
              <w:t>B</w:t>
            </w:r>
            <w:r w:rsidRPr="007521AD" w:rsidR="12D21877">
              <w:rPr>
                <w:rFonts w:asciiTheme="majorBidi" w:hAnsiTheme="majorBidi" w:cstheme="majorBidi"/>
              </w:rPr>
              <w:t>.1</w:t>
            </w:r>
            <w:r w:rsidRPr="007521AD" w:rsidR="00F33B88">
              <w:rPr>
                <w:rFonts w:asciiTheme="majorBidi" w:hAnsiTheme="majorBidi" w:cstheme="majorBidi"/>
              </w:rPr>
              <w:t>)</w:t>
            </w:r>
          </w:p>
        </w:tc>
        <w:tc>
          <w:tcPr>
            <w:tcW w:w="3510" w:type="dxa"/>
            <w:tcBorders>
              <w:bottom w:val="single" w:sz="4" w:space="0" w:color="auto"/>
            </w:tcBorders>
          </w:tcPr>
          <w:p w:rsidR="00BE1574" w:rsidRPr="007521AD" w14:paraId="6325E5F6" w14:textId="73E216A0">
            <w:pPr>
              <w:pStyle w:val="BodyText"/>
              <w:rPr>
                <w:rFonts w:asciiTheme="majorBidi" w:hAnsiTheme="majorBidi" w:cstheme="majorBidi"/>
                <w:sz w:val="22"/>
                <w:szCs w:val="22"/>
              </w:rPr>
            </w:pPr>
            <w:r w:rsidRPr="007521AD">
              <w:rPr>
                <w:rFonts w:asciiTheme="majorBidi" w:hAnsiTheme="majorBidi" w:cstheme="majorBidi"/>
                <w:szCs w:val="22"/>
              </w:rPr>
              <w:t>Semi-structured interviews (in person</w:t>
            </w:r>
            <w:r w:rsidR="005271BD">
              <w:rPr>
                <w:rFonts w:asciiTheme="majorBidi" w:hAnsiTheme="majorBidi" w:cstheme="majorBidi"/>
                <w:szCs w:val="22"/>
              </w:rPr>
              <w:t xml:space="preserve"> during site visit</w:t>
            </w:r>
            <w:r w:rsidRPr="007521AD">
              <w:rPr>
                <w:rFonts w:asciiTheme="majorBidi" w:hAnsiTheme="majorBidi" w:cstheme="majorBidi"/>
                <w:szCs w:val="22"/>
              </w:rPr>
              <w:t xml:space="preserve"> or virtual)</w:t>
            </w:r>
            <w:r w:rsidRPr="007521AD" w:rsidR="5FA3B761">
              <w:rPr>
                <w:rFonts w:asciiTheme="majorBidi" w:hAnsiTheme="majorBidi" w:cstheme="majorBidi"/>
                <w:szCs w:val="22"/>
              </w:rPr>
              <w:t xml:space="preserve"> </w:t>
            </w:r>
            <w:r w:rsidRPr="007521AD" w:rsidR="18DA5D6D">
              <w:rPr>
                <w:rFonts w:asciiTheme="majorBidi" w:hAnsiTheme="majorBidi" w:cstheme="majorBidi"/>
                <w:szCs w:val="22"/>
              </w:rPr>
              <w:t xml:space="preserve">to explore </w:t>
            </w:r>
            <w:r w:rsidRPr="007521AD" w:rsidR="5FA3B761">
              <w:rPr>
                <w:rFonts w:asciiTheme="majorBidi" w:hAnsiTheme="majorBidi" w:cstheme="majorBidi"/>
                <w:szCs w:val="22"/>
              </w:rPr>
              <w:t>strategies and challenges across sites o</w:t>
            </w:r>
            <w:r w:rsidRPr="007521AD" w:rsidR="68F79052">
              <w:rPr>
                <w:rFonts w:asciiTheme="majorBidi" w:hAnsiTheme="majorBidi" w:cstheme="majorBidi"/>
                <w:szCs w:val="22"/>
              </w:rPr>
              <w:t xml:space="preserve">n topics including </w:t>
            </w:r>
            <w:r w:rsidRPr="007521AD" w:rsidR="5FA3B761">
              <w:rPr>
                <w:rFonts w:asciiTheme="majorBidi" w:hAnsiTheme="majorBidi" w:cstheme="majorBidi"/>
                <w:szCs w:val="22"/>
              </w:rPr>
              <w:t>engaging participants</w:t>
            </w:r>
            <w:r w:rsidRPr="007521AD" w:rsidR="31FA01F9">
              <w:rPr>
                <w:rFonts w:asciiTheme="majorBidi" w:hAnsiTheme="majorBidi" w:cstheme="majorBidi"/>
                <w:szCs w:val="22"/>
              </w:rPr>
              <w:t>, increasing capacity, delivering services, achieving outcomes, and scaling/sustaining ETM services.</w:t>
            </w:r>
          </w:p>
        </w:tc>
        <w:tc>
          <w:tcPr>
            <w:tcW w:w="3692" w:type="dxa"/>
            <w:gridSpan w:val="2"/>
            <w:tcBorders>
              <w:bottom w:val="single" w:sz="4" w:space="0" w:color="auto"/>
            </w:tcBorders>
          </w:tcPr>
          <w:p w:rsidR="006D7599" w:rsidRPr="00987C8A" w:rsidP="00987C8A" w14:paraId="40A74FF1" w14:textId="77777777">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 xml:space="preserve">Describe </w:t>
            </w:r>
            <w:r w:rsidRPr="007521AD" w:rsidR="31FA01F9">
              <w:rPr>
                <w:rFonts w:asciiTheme="majorBidi" w:hAnsiTheme="majorBidi" w:cstheme="majorBidi"/>
                <w:szCs w:val="22"/>
              </w:rPr>
              <w:t>project implementation</w:t>
            </w:r>
            <w:r w:rsidRPr="007521AD">
              <w:rPr>
                <w:rFonts w:asciiTheme="majorBidi" w:hAnsiTheme="majorBidi" w:cstheme="majorBidi"/>
                <w:szCs w:val="22"/>
              </w:rPr>
              <w:t xml:space="preserve"> strategies</w:t>
            </w:r>
            <w:r w:rsidRPr="007521AD" w:rsidR="31FA01F9">
              <w:rPr>
                <w:rFonts w:asciiTheme="majorBidi" w:hAnsiTheme="majorBidi" w:cstheme="majorBidi"/>
                <w:szCs w:val="22"/>
              </w:rPr>
              <w:t xml:space="preserve"> at the grantee/state level</w:t>
            </w:r>
            <w:r w:rsidRPr="007521AD">
              <w:rPr>
                <w:rFonts w:asciiTheme="majorBidi" w:hAnsiTheme="majorBidi" w:cstheme="majorBidi"/>
                <w:szCs w:val="22"/>
              </w:rPr>
              <w:t xml:space="preserve"> (evaluation)</w:t>
            </w:r>
          </w:p>
          <w:p w:rsidR="00BE1574" w:rsidRPr="00987C8A" w:rsidP="00987C8A" w14:paraId="3FF3FA30" w14:textId="7651F169">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P</w:t>
            </w:r>
            <w:r w:rsidRPr="007521AD" w:rsidR="31FA01F9">
              <w:rPr>
                <w:rFonts w:asciiTheme="majorBidi" w:hAnsiTheme="majorBidi" w:cstheme="majorBidi"/>
                <w:szCs w:val="22"/>
              </w:rPr>
              <w:t>rovide context for observed outcomes</w:t>
            </w:r>
            <w:r w:rsidRPr="007521AD">
              <w:rPr>
                <w:rFonts w:asciiTheme="majorBidi" w:hAnsiTheme="majorBidi" w:cstheme="majorBidi"/>
                <w:szCs w:val="22"/>
              </w:rPr>
              <w:t xml:space="preserve"> (evaluation)</w:t>
            </w:r>
          </w:p>
        </w:tc>
      </w:tr>
      <w:tr w14:paraId="5995939E" w14:textId="77777777" w:rsidTr="008B7276">
        <w:tblPrEx>
          <w:tblW w:w="9540" w:type="dxa"/>
          <w:tblLayout w:type="fixed"/>
          <w:tblLook w:val="04A0"/>
        </w:tblPrEx>
        <w:tc>
          <w:tcPr>
            <w:tcW w:w="2338" w:type="dxa"/>
            <w:tcBorders>
              <w:top w:val="single" w:sz="4" w:space="0" w:color="auto"/>
              <w:bottom w:val="single" w:sz="4" w:space="0" w:color="auto"/>
            </w:tcBorders>
          </w:tcPr>
          <w:p w:rsidR="00BE1574" w:rsidRPr="007521AD" w:rsidP="245065BE" w14:paraId="4953453F" w14:textId="6C6386A6">
            <w:pPr>
              <w:pStyle w:val="BodyText"/>
              <w:rPr>
                <w:rFonts w:asciiTheme="majorBidi" w:hAnsiTheme="majorBidi" w:cstheme="majorBidi"/>
                <w:sz w:val="22"/>
                <w:szCs w:val="22"/>
              </w:rPr>
            </w:pPr>
            <w:r w:rsidRPr="007521AD">
              <w:rPr>
                <w:rFonts w:asciiTheme="majorBidi" w:hAnsiTheme="majorBidi" w:cstheme="majorBidi"/>
              </w:rPr>
              <w:t>Semi-</w:t>
            </w:r>
            <w:r w:rsidR="00881A1E">
              <w:rPr>
                <w:rFonts w:asciiTheme="majorBidi" w:hAnsiTheme="majorBidi" w:cstheme="majorBidi"/>
              </w:rPr>
              <w:t>S</w:t>
            </w:r>
            <w:r w:rsidRPr="007521AD" w:rsidR="00881A1E">
              <w:rPr>
                <w:rFonts w:asciiTheme="majorBidi" w:hAnsiTheme="majorBidi" w:cstheme="majorBidi"/>
              </w:rPr>
              <w:t xml:space="preserve">tructured </w:t>
            </w:r>
            <w:r w:rsidR="00881A1E">
              <w:rPr>
                <w:rFonts w:asciiTheme="majorBidi" w:hAnsiTheme="majorBidi" w:cstheme="majorBidi"/>
              </w:rPr>
              <w:t>I</w:t>
            </w:r>
            <w:r w:rsidRPr="007521AD">
              <w:rPr>
                <w:rFonts w:asciiTheme="majorBidi" w:hAnsiTheme="majorBidi" w:cstheme="majorBidi"/>
              </w:rPr>
              <w:t xml:space="preserve">nterviews with ETM </w:t>
            </w:r>
            <w:r w:rsidR="00881A1E">
              <w:rPr>
                <w:rFonts w:asciiTheme="majorBidi" w:hAnsiTheme="majorBidi" w:cstheme="majorBidi"/>
              </w:rPr>
              <w:t>L</w:t>
            </w:r>
            <w:r w:rsidRPr="007521AD">
              <w:rPr>
                <w:rFonts w:asciiTheme="majorBidi" w:hAnsiTheme="majorBidi" w:cstheme="majorBidi"/>
              </w:rPr>
              <w:t xml:space="preserve">ocal </w:t>
            </w:r>
            <w:r w:rsidR="00881A1E">
              <w:rPr>
                <w:rFonts w:asciiTheme="majorBidi" w:hAnsiTheme="majorBidi" w:cstheme="majorBidi"/>
              </w:rPr>
              <w:t>S</w:t>
            </w:r>
            <w:r w:rsidRPr="007521AD">
              <w:rPr>
                <w:rFonts w:asciiTheme="majorBidi" w:hAnsiTheme="majorBidi" w:cstheme="majorBidi"/>
              </w:rPr>
              <w:t xml:space="preserve">ite </w:t>
            </w:r>
            <w:r w:rsidR="00881A1E">
              <w:rPr>
                <w:rFonts w:asciiTheme="majorBidi" w:hAnsiTheme="majorBidi" w:cstheme="majorBidi"/>
              </w:rPr>
              <w:t>A</w:t>
            </w:r>
            <w:r w:rsidRPr="007521AD">
              <w:rPr>
                <w:rFonts w:asciiTheme="majorBidi" w:hAnsiTheme="majorBidi" w:cstheme="majorBidi"/>
              </w:rPr>
              <w:t xml:space="preserve">dministrators (Attachment </w:t>
            </w:r>
            <w:r w:rsidRPr="007521AD" w:rsidR="00F33B88">
              <w:rPr>
                <w:rFonts w:asciiTheme="majorBidi" w:hAnsiTheme="majorBidi" w:cstheme="majorBidi"/>
              </w:rPr>
              <w:t>B</w:t>
            </w:r>
            <w:r w:rsidRPr="007521AD" w:rsidR="55490475">
              <w:rPr>
                <w:rFonts w:asciiTheme="majorBidi" w:hAnsiTheme="majorBidi" w:cstheme="majorBidi"/>
              </w:rPr>
              <w:t>.2</w:t>
            </w:r>
            <w:r w:rsidRPr="007521AD" w:rsidR="00F33B88">
              <w:rPr>
                <w:rFonts w:asciiTheme="majorBidi" w:hAnsiTheme="majorBidi" w:cstheme="majorBidi"/>
              </w:rPr>
              <w:t>)</w:t>
            </w:r>
          </w:p>
        </w:tc>
        <w:tc>
          <w:tcPr>
            <w:tcW w:w="3510" w:type="dxa"/>
            <w:tcBorders>
              <w:top w:val="single" w:sz="4" w:space="0" w:color="auto"/>
              <w:bottom w:val="single" w:sz="4" w:space="0" w:color="auto"/>
            </w:tcBorders>
          </w:tcPr>
          <w:p w:rsidR="00BE1574" w:rsidRPr="007521AD" w14:paraId="1A945D4D" w14:textId="7B334430">
            <w:pPr>
              <w:pStyle w:val="BodyText"/>
              <w:rPr>
                <w:rFonts w:asciiTheme="majorBidi" w:hAnsiTheme="majorBidi" w:cstheme="majorBidi"/>
                <w:sz w:val="22"/>
                <w:szCs w:val="22"/>
              </w:rPr>
            </w:pPr>
            <w:r w:rsidRPr="007521AD">
              <w:rPr>
                <w:rFonts w:asciiTheme="majorBidi" w:hAnsiTheme="majorBidi" w:cstheme="majorBidi"/>
                <w:szCs w:val="22"/>
              </w:rPr>
              <w:t xml:space="preserve">Semi-structured interviews (in person </w:t>
            </w:r>
            <w:r w:rsidR="005271BD">
              <w:rPr>
                <w:rFonts w:asciiTheme="majorBidi" w:hAnsiTheme="majorBidi" w:cstheme="majorBidi"/>
                <w:szCs w:val="22"/>
              </w:rPr>
              <w:t>during site visit</w:t>
            </w:r>
            <w:r w:rsidRPr="007521AD" w:rsidR="005271BD">
              <w:rPr>
                <w:rFonts w:asciiTheme="majorBidi" w:hAnsiTheme="majorBidi" w:cstheme="majorBidi"/>
                <w:szCs w:val="22"/>
              </w:rPr>
              <w:t xml:space="preserve"> </w:t>
            </w:r>
            <w:r w:rsidRPr="007521AD">
              <w:rPr>
                <w:rFonts w:asciiTheme="majorBidi" w:hAnsiTheme="majorBidi" w:cstheme="majorBidi"/>
                <w:szCs w:val="22"/>
              </w:rPr>
              <w:t xml:space="preserve">or virtual) to explore </w:t>
            </w:r>
            <w:r w:rsidRPr="007521AD" w:rsidR="13101AA6">
              <w:rPr>
                <w:rFonts w:asciiTheme="majorBidi" w:hAnsiTheme="majorBidi" w:cstheme="majorBidi"/>
                <w:szCs w:val="22"/>
              </w:rPr>
              <w:t xml:space="preserve">strategies and challenges </w:t>
            </w:r>
            <w:r w:rsidRPr="007521AD" w:rsidR="351999CA">
              <w:rPr>
                <w:rFonts w:asciiTheme="majorBidi" w:hAnsiTheme="majorBidi" w:cstheme="majorBidi"/>
                <w:szCs w:val="22"/>
              </w:rPr>
              <w:t xml:space="preserve">at a specific </w:t>
            </w:r>
            <w:r w:rsidRPr="007521AD" w:rsidR="13101AA6">
              <w:rPr>
                <w:rFonts w:asciiTheme="majorBidi" w:hAnsiTheme="majorBidi" w:cstheme="majorBidi"/>
                <w:szCs w:val="22"/>
              </w:rPr>
              <w:t>site on topics including engaging participants, increasing capacity, delivering services, achieving outcomes, and scaling/sustaining ETM services.</w:t>
            </w:r>
          </w:p>
        </w:tc>
        <w:tc>
          <w:tcPr>
            <w:tcW w:w="3692" w:type="dxa"/>
            <w:gridSpan w:val="2"/>
            <w:tcBorders>
              <w:top w:val="single" w:sz="4" w:space="0" w:color="auto"/>
              <w:bottom w:val="single" w:sz="4" w:space="0" w:color="auto"/>
            </w:tcBorders>
          </w:tcPr>
          <w:p w:rsidR="00797417" w:rsidRPr="007521AD" w:rsidP="00987C8A" w14:paraId="50E1275A" w14:textId="77777777">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Describe project implementation strategies at the grantee/state level (evaluation)</w:t>
            </w:r>
          </w:p>
          <w:p w:rsidR="00BE1574" w:rsidRPr="007521AD" w:rsidP="00987C8A" w14:paraId="48CC1D87" w14:textId="5C6EA187">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Provide context for observed outcomes (evaluation)</w:t>
            </w:r>
          </w:p>
        </w:tc>
      </w:tr>
      <w:tr w14:paraId="472CE0A7" w14:textId="77777777" w:rsidTr="008B7276">
        <w:tblPrEx>
          <w:tblW w:w="9540" w:type="dxa"/>
          <w:tblLayout w:type="fixed"/>
          <w:tblLook w:val="04A0"/>
        </w:tblPrEx>
        <w:tc>
          <w:tcPr>
            <w:tcW w:w="2338" w:type="dxa"/>
            <w:tcBorders>
              <w:top w:val="single" w:sz="4" w:space="0" w:color="auto"/>
            </w:tcBorders>
          </w:tcPr>
          <w:p w:rsidR="00BE1574" w:rsidRPr="007521AD" w:rsidP="245065BE" w14:paraId="5A4CEA7D" w14:textId="6D3607C3">
            <w:pPr>
              <w:pStyle w:val="BodyText"/>
              <w:rPr>
                <w:rFonts w:asciiTheme="majorBidi" w:hAnsiTheme="majorBidi" w:cstheme="majorBidi"/>
                <w:sz w:val="22"/>
                <w:szCs w:val="22"/>
              </w:rPr>
            </w:pPr>
            <w:r w:rsidRPr="007521AD">
              <w:rPr>
                <w:rFonts w:asciiTheme="majorBidi" w:hAnsiTheme="majorBidi" w:cstheme="majorBidi"/>
              </w:rPr>
              <w:t>Semi-</w:t>
            </w:r>
            <w:r w:rsidR="00881A1E">
              <w:rPr>
                <w:rFonts w:asciiTheme="majorBidi" w:hAnsiTheme="majorBidi" w:cstheme="majorBidi"/>
              </w:rPr>
              <w:t>S</w:t>
            </w:r>
            <w:r w:rsidRPr="007521AD" w:rsidR="00881A1E">
              <w:rPr>
                <w:rFonts w:asciiTheme="majorBidi" w:hAnsiTheme="majorBidi" w:cstheme="majorBidi"/>
              </w:rPr>
              <w:t xml:space="preserve">tructured </w:t>
            </w:r>
            <w:r w:rsidR="00881A1E">
              <w:rPr>
                <w:rFonts w:asciiTheme="majorBidi" w:hAnsiTheme="majorBidi" w:cstheme="majorBidi"/>
              </w:rPr>
              <w:t>I</w:t>
            </w:r>
            <w:r w:rsidRPr="007521AD">
              <w:rPr>
                <w:rFonts w:asciiTheme="majorBidi" w:hAnsiTheme="majorBidi" w:cstheme="majorBidi"/>
              </w:rPr>
              <w:t xml:space="preserve">nterviews with ETM </w:t>
            </w:r>
            <w:r w:rsidR="00881A1E">
              <w:rPr>
                <w:rFonts w:asciiTheme="majorBidi" w:hAnsiTheme="majorBidi" w:cstheme="majorBidi"/>
              </w:rPr>
              <w:t>C</w:t>
            </w:r>
            <w:r w:rsidRPr="007521AD">
              <w:rPr>
                <w:rFonts w:asciiTheme="majorBidi" w:hAnsiTheme="majorBidi" w:cstheme="majorBidi"/>
              </w:rPr>
              <w:t xml:space="preserve">ase </w:t>
            </w:r>
            <w:r w:rsidR="00881A1E">
              <w:rPr>
                <w:rFonts w:asciiTheme="majorBidi" w:hAnsiTheme="majorBidi" w:cstheme="majorBidi"/>
              </w:rPr>
              <w:t>M</w:t>
            </w:r>
            <w:r w:rsidRPr="007521AD">
              <w:rPr>
                <w:rFonts w:asciiTheme="majorBidi" w:hAnsiTheme="majorBidi" w:cstheme="majorBidi"/>
              </w:rPr>
              <w:t>anagers (Attachment</w:t>
            </w:r>
            <w:r w:rsidRPr="007521AD" w:rsidR="00B304E0">
              <w:rPr>
                <w:rFonts w:asciiTheme="majorBidi" w:hAnsiTheme="majorBidi" w:cstheme="majorBidi"/>
              </w:rPr>
              <w:t xml:space="preserve"> B</w:t>
            </w:r>
            <w:r w:rsidRPr="007521AD" w:rsidR="33004417">
              <w:rPr>
                <w:rFonts w:asciiTheme="majorBidi" w:hAnsiTheme="majorBidi" w:cstheme="majorBidi"/>
              </w:rPr>
              <w:t>.3</w:t>
            </w:r>
            <w:r w:rsidRPr="007521AD" w:rsidR="00B304E0">
              <w:rPr>
                <w:rFonts w:asciiTheme="majorBidi" w:hAnsiTheme="majorBidi" w:cstheme="majorBidi"/>
              </w:rPr>
              <w:t>)</w:t>
            </w:r>
          </w:p>
        </w:tc>
        <w:tc>
          <w:tcPr>
            <w:tcW w:w="3510" w:type="dxa"/>
            <w:tcBorders>
              <w:top w:val="single" w:sz="4" w:space="0" w:color="auto"/>
            </w:tcBorders>
          </w:tcPr>
          <w:p w:rsidR="00BE1574" w:rsidRPr="007521AD" w:rsidP="7BEF6B4E" w14:paraId="53CCB24C" w14:textId="4B6ED24B">
            <w:pPr>
              <w:pStyle w:val="BodyText"/>
              <w:rPr>
                <w:rFonts w:asciiTheme="majorBidi" w:hAnsiTheme="majorBidi" w:cstheme="majorBidi"/>
                <w:sz w:val="22"/>
                <w:szCs w:val="22"/>
              </w:rPr>
            </w:pPr>
            <w:r w:rsidRPr="007521AD">
              <w:rPr>
                <w:rFonts w:asciiTheme="majorBidi" w:hAnsiTheme="majorBidi" w:cstheme="majorBidi"/>
                <w:szCs w:val="22"/>
              </w:rPr>
              <w:t>Semi-structured interviews (in person</w:t>
            </w:r>
            <w:r w:rsidR="005271BD">
              <w:rPr>
                <w:rFonts w:asciiTheme="majorBidi" w:hAnsiTheme="majorBidi" w:cstheme="majorBidi"/>
                <w:szCs w:val="22"/>
              </w:rPr>
              <w:t xml:space="preserve"> during site visit</w:t>
            </w:r>
            <w:r w:rsidRPr="007521AD">
              <w:rPr>
                <w:rFonts w:asciiTheme="majorBidi" w:hAnsiTheme="majorBidi" w:cstheme="majorBidi"/>
                <w:szCs w:val="22"/>
              </w:rPr>
              <w:t xml:space="preserve"> or virtual) to explore strategies and challenges at a specific site</w:t>
            </w:r>
            <w:r w:rsidRPr="007521AD" w:rsidR="16950EAD">
              <w:rPr>
                <w:rFonts w:asciiTheme="majorBidi" w:hAnsiTheme="majorBidi" w:cstheme="majorBidi"/>
                <w:szCs w:val="22"/>
              </w:rPr>
              <w:t xml:space="preserve"> on topics including engaging participants, increasing capacity, delivering services, achieving outcomes, and scaling/sustaining ETM services.</w:t>
            </w:r>
          </w:p>
        </w:tc>
        <w:tc>
          <w:tcPr>
            <w:tcW w:w="3692" w:type="dxa"/>
            <w:gridSpan w:val="2"/>
            <w:tcBorders>
              <w:top w:val="single" w:sz="4" w:space="0" w:color="auto"/>
            </w:tcBorders>
          </w:tcPr>
          <w:p w:rsidR="00797417" w:rsidRPr="007521AD" w:rsidP="00C11923" w14:paraId="46CFFD68" w14:textId="77777777">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Describe project implementation strategies at the grantee/state level (evaluation)</w:t>
            </w:r>
          </w:p>
          <w:p w:rsidR="00BE1574" w:rsidRPr="007521AD" w:rsidP="00C11923" w14:paraId="6EE0F53C" w14:textId="1B379F86">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Provide context for observed outcomes (evaluation)</w:t>
            </w:r>
          </w:p>
        </w:tc>
      </w:tr>
      <w:tr w14:paraId="40CD65A9" w14:textId="77777777" w:rsidTr="008B7276">
        <w:tblPrEx>
          <w:tblW w:w="9540" w:type="dxa"/>
          <w:tblLayout w:type="fixed"/>
          <w:tblLook w:val="04A0"/>
        </w:tblPrEx>
        <w:tc>
          <w:tcPr>
            <w:tcW w:w="2338" w:type="dxa"/>
            <w:shd w:val="clear" w:color="auto" w:fill="EAEAEA"/>
          </w:tcPr>
          <w:p w:rsidR="00BE1574" w:rsidRPr="007521AD" w14:paraId="1FB34933" w14:textId="77777777">
            <w:pPr>
              <w:pStyle w:val="BodyText"/>
              <w:rPr>
                <w:rFonts w:asciiTheme="majorBidi" w:hAnsiTheme="majorBidi" w:cstheme="majorBidi"/>
                <w:b/>
                <w:bCs/>
                <w:i/>
                <w:iCs/>
                <w:sz w:val="22"/>
                <w:szCs w:val="22"/>
              </w:rPr>
            </w:pPr>
            <w:r w:rsidRPr="007521AD">
              <w:rPr>
                <w:rFonts w:asciiTheme="majorBidi" w:hAnsiTheme="majorBidi" w:cstheme="majorBidi"/>
                <w:b/>
                <w:i/>
                <w:szCs w:val="22"/>
              </w:rPr>
              <w:t>Partnering Activities</w:t>
            </w:r>
          </w:p>
        </w:tc>
        <w:tc>
          <w:tcPr>
            <w:tcW w:w="3510" w:type="dxa"/>
            <w:shd w:val="clear" w:color="auto" w:fill="EAEAEA"/>
          </w:tcPr>
          <w:p w:rsidR="00BE1574" w:rsidRPr="007521AD" w14:paraId="3C0BFDE6" w14:textId="77777777">
            <w:pPr>
              <w:pStyle w:val="BodyText"/>
              <w:rPr>
                <w:rFonts w:asciiTheme="majorBidi" w:hAnsiTheme="majorBidi" w:cstheme="majorBidi"/>
                <w:sz w:val="22"/>
                <w:szCs w:val="22"/>
              </w:rPr>
            </w:pPr>
          </w:p>
        </w:tc>
        <w:tc>
          <w:tcPr>
            <w:tcW w:w="3692" w:type="dxa"/>
            <w:gridSpan w:val="2"/>
            <w:shd w:val="clear" w:color="auto" w:fill="EAEAEA"/>
          </w:tcPr>
          <w:p w:rsidR="00BE1574" w:rsidRPr="007521AD" w14:paraId="33182843" w14:textId="77777777">
            <w:pPr>
              <w:pStyle w:val="BodyText"/>
              <w:rPr>
                <w:rFonts w:asciiTheme="majorBidi" w:hAnsiTheme="majorBidi" w:cstheme="majorBidi"/>
                <w:sz w:val="22"/>
                <w:szCs w:val="22"/>
              </w:rPr>
            </w:pPr>
          </w:p>
        </w:tc>
      </w:tr>
      <w:tr w14:paraId="5AA6F127" w14:textId="77777777" w:rsidTr="008B7276">
        <w:tblPrEx>
          <w:tblW w:w="9540" w:type="dxa"/>
          <w:tblLayout w:type="fixed"/>
          <w:tblLook w:val="04A0"/>
        </w:tblPrEx>
        <w:trPr>
          <w:gridAfter w:val="1"/>
          <w:wAfter w:w="108" w:type="dxa"/>
        </w:trPr>
        <w:tc>
          <w:tcPr>
            <w:tcW w:w="2338" w:type="dxa"/>
            <w:tcBorders>
              <w:bottom w:val="single" w:sz="4" w:space="0" w:color="auto"/>
            </w:tcBorders>
          </w:tcPr>
          <w:p w:rsidR="00BE1574" w:rsidRPr="007521AD" w14:paraId="22C1DDA3" w14:textId="61EF8A80">
            <w:pPr>
              <w:pStyle w:val="BodyText"/>
              <w:rPr>
                <w:rFonts w:asciiTheme="majorBidi" w:hAnsiTheme="majorBidi" w:cstheme="majorBidi"/>
                <w:sz w:val="22"/>
                <w:szCs w:val="22"/>
              </w:rPr>
            </w:pPr>
            <w:r w:rsidRPr="007521AD">
              <w:rPr>
                <w:rFonts w:asciiTheme="majorBidi" w:hAnsiTheme="majorBidi" w:cstheme="majorBidi"/>
                <w:szCs w:val="22"/>
              </w:rPr>
              <w:t>Partner</w:t>
            </w:r>
            <w:r w:rsidR="00DE5253">
              <w:rPr>
                <w:rFonts w:asciiTheme="majorBidi" w:hAnsiTheme="majorBidi" w:cstheme="majorBidi"/>
                <w:szCs w:val="22"/>
              </w:rPr>
              <w:t>ing</w:t>
            </w:r>
            <w:r w:rsidR="001F66E6">
              <w:rPr>
                <w:rFonts w:asciiTheme="majorBidi" w:hAnsiTheme="majorBidi" w:cstheme="majorBidi"/>
                <w:szCs w:val="22"/>
              </w:rPr>
              <w:t xml:space="preserve"> List</w:t>
            </w:r>
            <w:r w:rsidRPr="007521AD">
              <w:rPr>
                <w:rFonts w:asciiTheme="majorBidi" w:hAnsiTheme="majorBidi" w:cstheme="majorBidi"/>
                <w:szCs w:val="22"/>
              </w:rPr>
              <w:t xml:space="preserve"> (Attachment</w:t>
            </w:r>
            <w:r w:rsidRPr="007521AD" w:rsidR="00B304E0">
              <w:rPr>
                <w:rFonts w:asciiTheme="majorBidi" w:hAnsiTheme="majorBidi" w:cstheme="majorBidi"/>
                <w:szCs w:val="22"/>
              </w:rPr>
              <w:t xml:space="preserve"> C</w:t>
            </w:r>
            <w:r w:rsidRPr="007521AD" w:rsidR="00DE1485">
              <w:rPr>
                <w:rFonts w:asciiTheme="majorBidi" w:hAnsiTheme="majorBidi" w:cstheme="majorBidi"/>
                <w:szCs w:val="22"/>
              </w:rPr>
              <w:t>.1</w:t>
            </w:r>
            <w:r w:rsidRPr="007521AD">
              <w:rPr>
                <w:rFonts w:asciiTheme="majorBidi" w:hAnsiTheme="majorBidi" w:cstheme="majorBidi"/>
                <w:szCs w:val="22"/>
              </w:rPr>
              <w:t>)</w:t>
            </w:r>
          </w:p>
        </w:tc>
        <w:tc>
          <w:tcPr>
            <w:tcW w:w="3510" w:type="dxa"/>
            <w:tcBorders>
              <w:bottom w:val="single" w:sz="4" w:space="0" w:color="auto"/>
            </w:tcBorders>
          </w:tcPr>
          <w:p w:rsidR="00BE1574" w:rsidRPr="007521AD" w14:paraId="02607682" w14:textId="3DA1441D">
            <w:pPr>
              <w:pStyle w:val="BodyText"/>
              <w:rPr>
                <w:rFonts w:asciiTheme="majorBidi" w:hAnsiTheme="majorBidi" w:cstheme="majorBidi"/>
                <w:sz w:val="22"/>
                <w:szCs w:val="22"/>
              </w:rPr>
            </w:pPr>
            <w:r>
              <w:rPr>
                <w:rFonts w:asciiTheme="majorBidi" w:hAnsiTheme="majorBidi" w:cstheme="majorBidi"/>
                <w:szCs w:val="22"/>
              </w:rPr>
              <w:t>Local Workforce Development Board (</w:t>
            </w:r>
            <w:r w:rsidRPr="007521AD" w:rsidR="00DE23A2">
              <w:rPr>
                <w:rFonts w:asciiTheme="majorBidi" w:hAnsiTheme="majorBidi" w:cstheme="majorBidi"/>
                <w:szCs w:val="22"/>
              </w:rPr>
              <w:t>LWDB</w:t>
            </w:r>
            <w:r>
              <w:rPr>
                <w:rFonts w:asciiTheme="majorBidi" w:hAnsiTheme="majorBidi" w:cstheme="majorBidi"/>
                <w:szCs w:val="22"/>
              </w:rPr>
              <w:t>)</w:t>
            </w:r>
            <w:r w:rsidRPr="007521AD" w:rsidR="00DE23A2">
              <w:rPr>
                <w:rFonts w:asciiTheme="majorBidi" w:hAnsiTheme="majorBidi" w:cstheme="majorBidi"/>
                <w:szCs w:val="22"/>
              </w:rPr>
              <w:t xml:space="preserve"> administrative leads (with assistance from </w:t>
            </w:r>
            <w:r w:rsidRPr="007521AD" w:rsidR="00AF4120">
              <w:rPr>
                <w:rFonts w:asciiTheme="majorBidi" w:hAnsiTheme="majorBidi" w:cstheme="majorBidi"/>
                <w:szCs w:val="22"/>
              </w:rPr>
              <w:t xml:space="preserve">program staff) will complete </w:t>
            </w:r>
            <w:r w:rsidRPr="007521AD" w:rsidR="00A22B35">
              <w:rPr>
                <w:rFonts w:asciiTheme="majorBidi" w:hAnsiTheme="majorBidi" w:cstheme="majorBidi"/>
                <w:szCs w:val="22"/>
              </w:rPr>
              <w:t>a listing document in an Excel workbook</w:t>
            </w:r>
            <w:r w:rsidRPr="007521AD" w:rsidR="003653FF">
              <w:rPr>
                <w:rFonts w:asciiTheme="majorBidi" w:hAnsiTheme="majorBidi" w:cstheme="majorBidi"/>
                <w:szCs w:val="22"/>
              </w:rPr>
              <w:t xml:space="preserve"> that includes controlled input cells and data validation.</w:t>
            </w:r>
          </w:p>
        </w:tc>
        <w:tc>
          <w:tcPr>
            <w:tcW w:w="3692" w:type="dxa"/>
            <w:tcBorders>
              <w:bottom w:val="single" w:sz="4" w:space="0" w:color="auto"/>
            </w:tcBorders>
          </w:tcPr>
          <w:p w:rsidR="000766E5" w:rsidRPr="007521AD" w:rsidP="008B7276" w14:paraId="6F553B8F" w14:textId="4701CD8A">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Track grantees’ choices of partners and their partnering strategy (</w:t>
            </w:r>
            <w:r w:rsidRPr="007521AD" w:rsidR="007F7888">
              <w:rPr>
                <w:rFonts w:asciiTheme="majorBidi" w:hAnsiTheme="majorBidi" w:cstheme="majorBidi"/>
                <w:szCs w:val="22"/>
              </w:rPr>
              <w:t>evaluation</w:t>
            </w:r>
            <w:r w:rsidRPr="007521AD">
              <w:rPr>
                <w:rFonts w:asciiTheme="majorBidi" w:hAnsiTheme="majorBidi" w:cstheme="majorBidi"/>
                <w:szCs w:val="22"/>
              </w:rPr>
              <w:t>)</w:t>
            </w:r>
          </w:p>
          <w:p w:rsidR="00BE1574" w:rsidRPr="007521AD" w14:paraId="49AF06DC" w14:textId="47FD735D">
            <w:pPr>
              <w:pStyle w:val="BodyText"/>
              <w:rPr>
                <w:rFonts w:asciiTheme="majorBidi" w:hAnsiTheme="majorBidi" w:cstheme="majorBidi"/>
                <w:sz w:val="22"/>
                <w:szCs w:val="22"/>
              </w:rPr>
            </w:pPr>
          </w:p>
        </w:tc>
      </w:tr>
      <w:tr w14:paraId="5D72B331" w14:textId="77777777" w:rsidTr="008B7276">
        <w:tblPrEx>
          <w:tblW w:w="9540" w:type="dxa"/>
          <w:tblLayout w:type="fixed"/>
          <w:tblLook w:val="04A0"/>
        </w:tblPrEx>
        <w:trPr>
          <w:gridAfter w:val="1"/>
          <w:wAfter w:w="108" w:type="dxa"/>
        </w:trPr>
        <w:tc>
          <w:tcPr>
            <w:tcW w:w="2338" w:type="dxa"/>
            <w:tcBorders>
              <w:top w:val="single" w:sz="4" w:space="0" w:color="auto"/>
              <w:bottom w:val="single" w:sz="4" w:space="0" w:color="auto"/>
            </w:tcBorders>
          </w:tcPr>
          <w:p w:rsidR="00BE1574" w:rsidRPr="007521AD" w14:paraId="517E3DBC" w14:textId="641FD766">
            <w:pPr>
              <w:pStyle w:val="BodyText"/>
              <w:rPr>
                <w:rFonts w:asciiTheme="majorBidi" w:hAnsiTheme="majorBidi" w:cstheme="majorBidi"/>
                <w:sz w:val="22"/>
                <w:szCs w:val="22"/>
              </w:rPr>
            </w:pPr>
            <w:r w:rsidRPr="007521AD">
              <w:rPr>
                <w:rFonts w:asciiTheme="majorBidi" w:hAnsiTheme="majorBidi" w:cstheme="majorBidi"/>
                <w:szCs w:val="22"/>
              </w:rPr>
              <w:t>Semi-</w:t>
            </w:r>
            <w:r w:rsidR="00881A1E">
              <w:rPr>
                <w:rFonts w:asciiTheme="majorBidi" w:hAnsiTheme="majorBidi" w:cstheme="majorBidi"/>
                <w:szCs w:val="22"/>
              </w:rPr>
              <w:t>S</w:t>
            </w:r>
            <w:r w:rsidRPr="007521AD">
              <w:rPr>
                <w:rFonts w:asciiTheme="majorBidi" w:hAnsiTheme="majorBidi" w:cstheme="majorBidi"/>
                <w:szCs w:val="22"/>
              </w:rPr>
              <w:t xml:space="preserve">tructured </w:t>
            </w:r>
            <w:r w:rsidRPr="00F13EFF" w:rsidR="00F13EFF">
              <w:rPr>
                <w:rFonts w:asciiTheme="majorBidi" w:hAnsiTheme="majorBidi" w:cstheme="majorBidi"/>
                <w:szCs w:val="22"/>
              </w:rPr>
              <w:t xml:space="preserve">Interviews with ETM Local Site Administrators on Partnering Activities </w:t>
            </w:r>
            <w:r w:rsidRPr="007521AD">
              <w:rPr>
                <w:rFonts w:asciiTheme="majorBidi" w:hAnsiTheme="majorBidi" w:cstheme="majorBidi"/>
                <w:szCs w:val="22"/>
              </w:rPr>
              <w:t>(Attachment</w:t>
            </w:r>
            <w:r w:rsidRPr="007521AD" w:rsidR="00B304E0">
              <w:rPr>
                <w:rFonts w:asciiTheme="majorBidi" w:hAnsiTheme="majorBidi" w:cstheme="majorBidi"/>
                <w:szCs w:val="22"/>
              </w:rPr>
              <w:t xml:space="preserve"> C</w:t>
            </w:r>
            <w:r w:rsidRPr="007521AD" w:rsidR="00DE1485">
              <w:rPr>
                <w:rFonts w:asciiTheme="majorBidi" w:hAnsiTheme="majorBidi" w:cstheme="majorBidi"/>
                <w:szCs w:val="22"/>
              </w:rPr>
              <w:t>.2</w:t>
            </w:r>
            <w:r w:rsidRPr="007521AD">
              <w:rPr>
                <w:rFonts w:asciiTheme="majorBidi" w:hAnsiTheme="majorBidi" w:cstheme="majorBidi"/>
                <w:szCs w:val="22"/>
              </w:rPr>
              <w:t>)</w:t>
            </w:r>
          </w:p>
        </w:tc>
        <w:tc>
          <w:tcPr>
            <w:tcW w:w="3510" w:type="dxa"/>
            <w:tcBorders>
              <w:top w:val="single" w:sz="4" w:space="0" w:color="auto"/>
              <w:bottom w:val="single" w:sz="4" w:space="0" w:color="auto"/>
            </w:tcBorders>
          </w:tcPr>
          <w:p w:rsidR="00BE1574" w:rsidRPr="007521AD" w14:paraId="73132398" w14:textId="613F8C47">
            <w:pPr>
              <w:pStyle w:val="BodyText"/>
              <w:rPr>
                <w:rFonts w:asciiTheme="majorBidi" w:hAnsiTheme="majorBidi" w:cstheme="majorBidi"/>
                <w:sz w:val="22"/>
                <w:szCs w:val="22"/>
              </w:rPr>
            </w:pPr>
            <w:r w:rsidRPr="007521AD">
              <w:rPr>
                <w:rFonts w:asciiTheme="majorBidi" w:hAnsiTheme="majorBidi" w:cstheme="majorBidi"/>
                <w:szCs w:val="22"/>
              </w:rPr>
              <w:t>I</w:t>
            </w:r>
            <w:r w:rsidRPr="007521AD" w:rsidR="00B12A98">
              <w:rPr>
                <w:rFonts w:asciiTheme="majorBidi" w:hAnsiTheme="majorBidi" w:cstheme="majorBidi"/>
                <w:szCs w:val="22"/>
              </w:rPr>
              <w:t xml:space="preserve">nterviews with </w:t>
            </w:r>
            <w:r w:rsidRPr="007521AD" w:rsidR="003653FF">
              <w:rPr>
                <w:rFonts w:asciiTheme="majorBidi" w:hAnsiTheme="majorBidi" w:cstheme="majorBidi"/>
                <w:szCs w:val="22"/>
              </w:rPr>
              <w:t xml:space="preserve">LWDB administrative leads and relevant program staff will </w:t>
            </w:r>
            <w:r w:rsidRPr="007521AD">
              <w:rPr>
                <w:rFonts w:asciiTheme="majorBidi" w:hAnsiTheme="majorBidi" w:cstheme="majorBidi"/>
                <w:szCs w:val="22"/>
              </w:rPr>
              <w:t xml:space="preserve">be web based and will </w:t>
            </w:r>
            <w:r w:rsidRPr="007521AD" w:rsidR="003653FF">
              <w:rPr>
                <w:rFonts w:asciiTheme="majorBidi" w:hAnsiTheme="majorBidi" w:cstheme="majorBidi"/>
                <w:szCs w:val="22"/>
              </w:rPr>
              <w:t xml:space="preserve">use data from the </w:t>
            </w:r>
            <w:r w:rsidRPr="007521AD" w:rsidR="00716FEC">
              <w:rPr>
                <w:rFonts w:asciiTheme="majorBidi" w:hAnsiTheme="majorBidi" w:cstheme="majorBidi"/>
                <w:szCs w:val="22"/>
              </w:rPr>
              <w:t>listing document to ask follow</w:t>
            </w:r>
            <w:r w:rsidRPr="007521AD" w:rsidR="00AA2182">
              <w:rPr>
                <w:rFonts w:asciiTheme="majorBidi" w:hAnsiTheme="majorBidi" w:cstheme="majorBidi"/>
                <w:szCs w:val="22"/>
              </w:rPr>
              <w:t>-</w:t>
            </w:r>
            <w:r w:rsidRPr="007521AD" w:rsidR="00716FEC">
              <w:rPr>
                <w:rFonts w:asciiTheme="majorBidi" w:hAnsiTheme="majorBidi" w:cstheme="majorBidi"/>
                <w:szCs w:val="22"/>
              </w:rPr>
              <w:t>up questions about specific relationships</w:t>
            </w:r>
            <w:r w:rsidRPr="007521AD" w:rsidR="009B5E34">
              <w:rPr>
                <w:rFonts w:asciiTheme="majorBidi" w:hAnsiTheme="majorBidi" w:cstheme="majorBidi"/>
                <w:szCs w:val="22"/>
              </w:rPr>
              <w:t xml:space="preserve"> among partners</w:t>
            </w:r>
            <w:r w:rsidRPr="007521AD" w:rsidR="003B5D1E">
              <w:rPr>
                <w:rFonts w:asciiTheme="majorBidi" w:hAnsiTheme="majorBidi" w:cstheme="majorBidi"/>
                <w:szCs w:val="22"/>
              </w:rPr>
              <w:t>. Questions will explore contributions of partnerships to the delivery of ETM services.</w:t>
            </w:r>
          </w:p>
        </w:tc>
        <w:tc>
          <w:tcPr>
            <w:tcW w:w="3692" w:type="dxa"/>
            <w:tcBorders>
              <w:top w:val="single" w:sz="4" w:space="0" w:color="auto"/>
              <w:bottom w:val="single" w:sz="4" w:space="0" w:color="auto"/>
            </w:tcBorders>
          </w:tcPr>
          <w:p w:rsidR="00BE1574" w:rsidRPr="008B7276" w:rsidP="008B7276" w14:paraId="4049774E" w14:textId="6393995D">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 xml:space="preserve">Provide insight into </w:t>
            </w:r>
            <w:r w:rsidRPr="007521AD" w:rsidR="001E243A">
              <w:rPr>
                <w:rFonts w:asciiTheme="majorBidi" w:hAnsiTheme="majorBidi" w:cstheme="majorBidi"/>
                <w:szCs w:val="22"/>
              </w:rPr>
              <w:t>how the</w:t>
            </w:r>
            <w:r w:rsidRPr="007521AD">
              <w:rPr>
                <w:rFonts w:asciiTheme="majorBidi" w:hAnsiTheme="majorBidi" w:cstheme="majorBidi"/>
                <w:szCs w:val="22"/>
              </w:rPr>
              <w:t xml:space="preserve"> partners</w:t>
            </w:r>
            <w:r w:rsidRPr="007521AD" w:rsidR="001E243A">
              <w:rPr>
                <w:rFonts w:asciiTheme="majorBidi" w:hAnsiTheme="majorBidi" w:cstheme="majorBidi"/>
                <w:szCs w:val="22"/>
              </w:rPr>
              <w:t xml:space="preserve"> serve the </w:t>
            </w:r>
            <w:r w:rsidRPr="007521AD">
              <w:rPr>
                <w:rFonts w:asciiTheme="majorBidi" w:hAnsiTheme="majorBidi" w:cstheme="majorBidi"/>
                <w:szCs w:val="22"/>
              </w:rPr>
              <w:t>participants</w:t>
            </w:r>
            <w:r w:rsidRPr="007521AD" w:rsidR="001E243A">
              <w:rPr>
                <w:rFonts w:asciiTheme="majorBidi" w:hAnsiTheme="majorBidi" w:cstheme="majorBidi"/>
                <w:szCs w:val="22"/>
              </w:rPr>
              <w:t xml:space="preserve">, </w:t>
            </w:r>
            <w:r w:rsidRPr="007521AD">
              <w:rPr>
                <w:rFonts w:asciiTheme="majorBidi" w:hAnsiTheme="majorBidi" w:cstheme="majorBidi"/>
                <w:szCs w:val="22"/>
              </w:rPr>
              <w:t xml:space="preserve">their </w:t>
            </w:r>
            <w:r w:rsidRPr="007521AD" w:rsidR="001E243A">
              <w:rPr>
                <w:rFonts w:asciiTheme="majorBidi" w:hAnsiTheme="majorBidi" w:cstheme="majorBidi"/>
                <w:szCs w:val="22"/>
              </w:rPr>
              <w:t>challenges</w:t>
            </w:r>
            <w:r w:rsidRPr="007521AD">
              <w:rPr>
                <w:rFonts w:asciiTheme="majorBidi" w:hAnsiTheme="majorBidi" w:cstheme="majorBidi"/>
                <w:szCs w:val="22"/>
              </w:rPr>
              <w:t xml:space="preserve"> and</w:t>
            </w:r>
            <w:r w:rsidRPr="007521AD" w:rsidR="001E243A">
              <w:rPr>
                <w:rFonts w:asciiTheme="majorBidi" w:hAnsiTheme="majorBidi" w:cstheme="majorBidi"/>
                <w:szCs w:val="22"/>
              </w:rPr>
              <w:t xml:space="preserve"> </w:t>
            </w:r>
            <w:r w:rsidRPr="007521AD">
              <w:rPr>
                <w:rFonts w:asciiTheme="majorBidi" w:hAnsiTheme="majorBidi" w:cstheme="majorBidi"/>
                <w:szCs w:val="22"/>
              </w:rPr>
              <w:t xml:space="preserve">their </w:t>
            </w:r>
            <w:r w:rsidRPr="007521AD" w:rsidR="001E243A">
              <w:rPr>
                <w:rFonts w:asciiTheme="majorBidi" w:hAnsiTheme="majorBidi" w:cstheme="majorBidi"/>
                <w:szCs w:val="22"/>
              </w:rPr>
              <w:t>successes</w:t>
            </w:r>
            <w:r w:rsidRPr="007521AD">
              <w:rPr>
                <w:rFonts w:asciiTheme="majorBidi" w:hAnsiTheme="majorBidi" w:cstheme="majorBidi"/>
                <w:szCs w:val="22"/>
              </w:rPr>
              <w:t xml:space="preserve"> </w:t>
            </w:r>
            <w:r w:rsidRPr="007521AD" w:rsidR="007F7888">
              <w:rPr>
                <w:rFonts w:asciiTheme="majorBidi" w:hAnsiTheme="majorBidi" w:cstheme="majorBidi"/>
                <w:szCs w:val="22"/>
              </w:rPr>
              <w:t>(evaluation)</w:t>
            </w:r>
          </w:p>
        </w:tc>
      </w:tr>
      <w:tr w14:paraId="55B27AE0" w14:textId="77777777" w:rsidTr="008B7276">
        <w:tblPrEx>
          <w:tblW w:w="9540" w:type="dxa"/>
          <w:tblLayout w:type="fixed"/>
          <w:tblLook w:val="04A0"/>
        </w:tblPrEx>
        <w:tc>
          <w:tcPr>
            <w:tcW w:w="2338" w:type="dxa"/>
            <w:tcBorders>
              <w:top w:val="single" w:sz="4" w:space="0" w:color="auto"/>
              <w:bottom w:val="single" w:sz="4" w:space="0" w:color="auto"/>
            </w:tcBorders>
            <w:shd w:val="clear" w:color="auto" w:fill="E8E8E8" w:themeFill="background2"/>
          </w:tcPr>
          <w:p w:rsidR="00BE1574" w:rsidRPr="007521AD" w14:paraId="14514010" w14:textId="5A2C48AF">
            <w:pPr>
              <w:pStyle w:val="BodyText"/>
              <w:rPr>
                <w:rFonts w:asciiTheme="majorBidi" w:hAnsiTheme="majorBidi" w:cstheme="majorBidi"/>
                <w:b/>
                <w:bCs/>
                <w:i/>
                <w:iCs/>
                <w:sz w:val="22"/>
                <w:szCs w:val="22"/>
              </w:rPr>
            </w:pPr>
            <w:r w:rsidRPr="007521AD">
              <w:rPr>
                <w:rFonts w:asciiTheme="majorBidi" w:hAnsiTheme="majorBidi" w:cstheme="majorBidi"/>
                <w:b/>
                <w:i/>
                <w:szCs w:val="22"/>
              </w:rPr>
              <w:t>ETM Program Experiences</w:t>
            </w:r>
          </w:p>
        </w:tc>
        <w:tc>
          <w:tcPr>
            <w:tcW w:w="3510" w:type="dxa"/>
            <w:tcBorders>
              <w:top w:val="single" w:sz="4" w:space="0" w:color="auto"/>
              <w:bottom w:val="single" w:sz="4" w:space="0" w:color="auto"/>
            </w:tcBorders>
            <w:shd w:val="clear" w:color="auto" w:fill="E8E8E8" w:themeFill="background2"/>
          </w:tcPr>
          <w:p w:rsidR="00BE1574" w:rsidRPr="007521AD" w14:paraId="0C135073" w14:textId="77777777">
            <w:pPr>
              <w:pStyle w:val="BodyText"/>
              <w:rPr>
                <w:rFonts w:asciiTheme="majorBidi" w:hAnsiTheme="majorBidi" w:cstheme="majorBidi"/>
                <w:b/>
                <w:bCs/>
                <w:i/>
                <w:iCs/>
                <w:sz w:val="22"/>
                <w:szCs w:val="22"/>
              </w:rPr>
            </w:pPr>
          </w:p>
        </w:tc>
        <w:tc>
          <w:tcPr>
            <w:tcW w:w="3692" w:type="dxa"/>
            <w:gridSpan w:val="2"/>
            <w:tcBorders>
              <w:top w:val="single" w:sz="4" w:space="0" w:color="auto"/>
              <w:bottom w:val="single" w:sz="4" w:space="0" w:color="auto"/>
            </w:tcBorders>
            <w:shd w:val="clear" w:color="auto" w:fill="E8E8E8" w:themeFill="background2"/>
          </w:tcPr>
          <w:p w:rsidR="00BE1574" w:rsidRPr="007521AD" w14:paraId="5C020CD0" w14:textId="77777777">
            <w:pPr>
              <w:pStyle w:val="BodyText"/>
              <w:rPr>
                <w:rFonts w:asciiTheme="majorBidi" w:hAnsiTheme="majorBidi" w:cstheme="majorBidi"/>
                <w:b/>
                <w:bCs/>
                <w:i/>
                <w:iCs/>
                <w:sz w:val="22"/>
                <w:szCs w:val="22"/>
              </w:rPr>
            </w:pPr>
          </w:p>
        </w:tc>
      </w:tr>
      <w:tr w14:paraId="32244E3F" w14:textId="77777777" w:rsidTr="008B7276">
        <w:tblPrEx>
          <w:tblW w:w="9540" w:type="dxa"/>
          <w:tblLayout w:type="fixed"/>
          <w:tblLook w:val="04A0"/>
        </w:tblPrEx>
        <w:tc>
          <w:tcPr>
            <w:tcW w:w="2338" w:type="dxa"/>
            <w:tcBorders>
              <w:top w:val="single" w:sz="4" w:space="0" w:color="auto"/>
              <w:bottom w:val="single" w:sz="4" w:space="0" w:color="auto"/>
            </w:tcBorders>
          </w:tcPr>
          <w:p w:rsidR="00BE1574" w:rsidRPr="007521AD" w14:paraId="3B20D21F" w14:textId="73728A5F">
            <w:pPr>
              <w:pStyle w:val="BodyText"/>
              <w:rPr>
                <w:rFonts w:asciiTheme="majorBidi" w:hAnsiTheme="majorBidi" w:cstheme="majorBidi"/>
                <w:sz w:val="22"/>
                <w:szCs w:val="22"/>
              </w:rPr>
            </w:pPr>
            <w:r w:rsidRPr="007521AD">
              <w:rPr>
                <w:rFonts w:asciiTheme="majorBidi" w:hAnsiTheme="majorBidi" w:cstheme="majorBidi"/>
                <w:szCs w:val="22"/>
              </w:rPr>
              <w:t>Semi-</w:t>
            </w:r>
            <w:r w:rsidR="00881A1E">
              <w:rPr>
                <w:rFonts w:asciiTheme="majorBidi" w:hAnsiTheme="majorBidi" w:cstheme="majorBidi"/>
                <w:szCs w:val="22"/>
              </w:rPr>
              <w:t>S</w:t>
            </w:r>
            <w:r w:rsidRPr="007521AD">
              <w:rPr>
                <w:rFonts w:asciiTheme="majorBidi" w:hAnsiTheme="majorBidi" w:cstheme="majorBidi"/>
                <w:szCs w:val="22"/>
              </w:rPr>
              <w:t xml:space="preserve">tructured </w:t>
            </w:r>
            <w:r w:rsidR="00881A1E">
              <w:rPr>
                <w:rFonts w:asciiTheme="majorBidi" w:hAnsiTheme="majorBidi" w:cstheme="majorBidi"/>
                <w:szCs w:val="22"/>
              </w:rPr>
              <w:t>I</w:t>
            </w:r>
            <w:r w:rsidRPr="007521AD">
              <w:rPr>
                <w:rFonts w:asciiTheme="majorBidi" w:hAnsiTheme="majorBidi" w:cstheme="majorBidi"/>
                <w:szCs w:val="22"/>
              </w:rPr>
              <w:t xml:space="preserve">nterviews with ETM </w:t>
            </w:r>
            <w:r w:rsidR="00881A1E">
              <w:rPr>
                <w:rFonts w:asciiTheme="majorBidi" w:hAnsiTheme="majorBidi" w:cstheme="majorBidi"/>
                <w:szCs w:val="22"/>
              </w:rPr>
              <w:t>Y</w:t>
            </w:r>
            <w:r w:rsidRPr="007521AD">
              <w:rPr>
                <w:rFonts w:asciiTheme="majorBidi" w:hAnsiTheme="majorBidi" w:cstheme="majorBidi"/>
                <w:szCs w:val="22"/>
              </w:rPr>
              <w:t xml:space="preserve">outh (Attachment </w:t>
            </w:r>
            <w:r w:rsidRPr="007521AD" w:rsidR="00B304E0">
              <w:rPr>
                <w:rFonts w:asciiTheme="majorBidi" w:hAnsiTheme="majorBidi" w:cstheme="majorBidi"/>
                <w:szCs w:val="22"/>
              </w:rPr>
              <w:t>D.1</w:t>
            </w:r>
            <w:r w:rsidRPr="007521AD" w:rsidR="00557C97">
              <w:rPr>
                <w:rFonts w:asciiTheme="majorBidi" w:hAnsiTheme="majorBidi" w:cstheme="majorBidi"/>
                <w:szCs w:val="22"/>
              </w:rPr>
              <w:t>)</w:t>
            </w:r>
          </w:p>
        </w:tc>
        <w:tc>
          <w:tcPr>
            <w:tcW w:w="3510" w:type="dxa"/>
            <w:tcBorders>
              <w:top w:val="single" w:sz="4" w:space="0" w:color="auto"/>
              <w:bottom w:val="single" w:sz="4" w:space="0" w:color="auto"/>
            </w:tcBorders>
          </w:tcPr>
          <w:p w:rsidR="00BE1574" w:rsidRPr="007521AD" w14:paraId="7529B491" w14:textId="68EAA95D">
            <w:pPr>
              <w:pStyle w:val="BodyText"/>
              <w:rPr>
                <w:rFonts w:asciiTheme="majorBidi" w:hAnsiTheme="majorBidi" w:cstheme="majorBidi"/>
                <w:sz w:val="22"/>
                <w:szCs w:val="22"/>
              </w:rPr>
            </w:pPr>
            <w:r w:rsidRPr="007521AD">
              <w:rPr>
                <w:rFonts w:asciiTheme="majorBidi" w:hAnsiTheme="majorBidi" w:cstheme="majorBidi"/>
                <w:szCs w:val="22"/>
              </w:rPr>
              <w:t>Interviews with ETM participants will include topics, such as their satisfaction with ETM services; relationships with their youth coordinators; employment goals; experiences with employment and work-based learning; and their overall transition from high school to employment or higher education (if applicable), among others.</w:t>
            </w:r>
            <w:r w:rsidRPr="007521AD" w:rsidR="23BE57CA">
              <w:rPr>
                <w:rFonts w:asciiTheme="majorBidi" w:hAnsiTheme="majorBidi" w:cstheme="majorBidi"/>
                <w:szCs w:val="22"/>
              </w:rPr>
              <w:t xml:space="preserve"> These will be conducted in person</w:t>
            </w:r>
            <w:r w:rsidR="004B6CEE">
              <w:rPr>
                <w:rFonts w:asciiTheme="majorBidi" w:hAnsiTheme="majorBidi" w:cstheme="majorBidi"/>
                <w:szCs w:val="22"/>
              </w:rPr>
              <w:t xml:space="preserve"> during site visit</w:t>
            </w:r>
            <w:r w:rsidR="00175A81">
              <w:rPr>
                <w:rFonts w:asciiTheme="majorBidi" w:hAnsiTheme="majorBidi" w:cstheme="majorBidi"/>
                <w:szCs w:val="22"/>
              </w:rPr>
              <w:t>s</w:t>
            </w:r>
            <w:r w:rsidRPr="007521AD" w:rsidR="23BE57CA">
              <w:rPr>
                <w:rFonts w:asciiTheme="majorBidi" w:hAnsiTheme="majorBidi" w:cstheme="majorBidi"/>
                <w:szCs w:val="22"/>
              </w:rPr>
              <w:t xml:space="preserve"> and virtually.</w:t>
            </w:r>
          </w:p>
        </w:tc>
        <w:tc>
          <w:tcPr>
            <w:tcW w:w="3692" w:type="dxa"/>
            <w:gridSpan w:val="2"/>
            <w:tcBorders>
              <w:top w:val="single" w:sz="4" w:space="0" w:color="auto"/>
              <w:bottom w:val="single" w:sz="4" w:space="0" w:color="auto"/>
            </w:tcBorders>
          </w:tcPr>
          <w:p w:rsidR="006B5575" w:rsidRPr="007521AD" w:rsidP="008B7276" w14:paraId="6D616CA2" w14:textId="6886D64D">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 xml:space="preserve">Ensure </w:t>
            </w:r>
            <w:r w:rsidRPr="007521AD" w:rsidR="00880D62">
              <w:rPr>
                <w:rFonts w:asciiTheme="majorBidi" w:hAnsiTheme="majorBidi" w:cstheme="majorBidi"/>
                <w:szCs w:val="22"/>
              </w:rPr>
              <w:t xml:space="preserve">representation of participant experience and perspective in </w:t>
            </w:r>
            <w:r w:rsidRPr="007521AD">
              <w:rPr>
                <w:rFonts w:asciiTheme="majorBidi" w:hAnsiTheme="majorBidi" w:cstheme="majorBidi"/>
                <w:szCs w:val="22"/>
              </w:rPr>
              <w:t xml:space="preserve">the </w:t>
            </w:r>
            <w:r w:rsidRPr="007521AD" w:rsidR="00CF0025">
              <w:rPr>
                <w:rFonts w:asciiTheme="majorBidi" w:hAnsiTheme="majorBidi" w:cstheme="majorBidi"/>
                <w:szCs w:val="22"/>
              </w:rPr>
              <w:t>descriptive</w:t>
            </w:r>
            <w:r w:rsidRPr="007521AD">
              <w:rPr>
                <w:rFonts w:asciiTheme="majorBidi" w:hAnsiTheme="majorBidi" w:cstheme="majorBidi"/>
                <w:szCs w:val="22"/>
              </w:rPr>
              <w:t xml:space="preserve"> study of ETM (evaluation)</w:t>
            </w:r>
          </w:p>
          <w:p w:rsidR="00BE1574" w:rsidRPr="008B7276" w:rsidP="008B7276" w14:paraId="5C011F8D" w14:textId="3675EED8">
            <w:pPr>
              <w:pStyle w:val="BodyText"/>
              <w:spacing w:after="0"/>
              <w:ind w:left="216"/>
              <w:rPr>
                <w:rFonts w:asciiTheme="majorBidi" w:hAnsiTheme="majorBidi" w:cstheme="majorBidi"/>
                <w:szCs w:val="22"/>
              </w:rPr>
            </w:pPr>
          </w:p>
        </w:tc>
      </w:tr>
      <w:tr w14:paraId="06992178" w14:textId="77777777" w:rsidTr="008B7276">
        <w:tblPrEx>
          <w:tblW w:w="9540" w:type="dxa"/>
          <w:tblLayout w:type="fixed"/>
          <w:tblLook w:val="04A0"/>
        </w:tblPrEx>
        <w:tc>
          <w:tcPr>
            <w:tcW w:w="2338" w:type="dxa"/>
            <w:tcBorders>
              <w:top w:val="single" w:sz="4" w:space="0" w:color="auto"/>
              <w:bottom w:val="single" w:sz="4" w:space="0" w:color="auto"/>
            </w:tcBorders>
          </w:tcPr>
          <w:p w:rsidR="00BE1574" w:rsidRPr="007521AD" w14:paraId="35DAA18D" w14:textId="4E462EA9">
            <w:pPr>
              <w:pStyle w:val="BodyText"/>
              <w:rPr>
                <w:rFonts w:asciiTheme="majorBidi" w:hAnsiTheme="majorBidi" w:cstheme="majorBidi"/>
                <w:sz w:val="22"/>
                <w:szCs w:val="22"/>
              </w:rPr>
            </w:pPr>
            <w:r w:rsidRPr="007521AD">
              <w:rPr>
                <w:rFonts w:asciiTheme="majorBidi" w:hAnsiTheme="majorBidi" w:cstheme="majorBidi"/>
                <w:szCs w:val="22"/>
              </w:rPr>
              <w:t>Semi-</w:t>
            </w:r>
            <w:r w:rsidR="00881A1E">
              <w:rPr>
                <w:rFonts w:asciiTheme="majorBidi" w:hAnsiTheme="majorBidi" w:cstheme="majorBidi"/>
                <w:szCs w:val="22"/>
              </w:rPr>
              <w:t>S</w:t>
            </w:r>
            <w:r w:rsidRPr="007521AD">
              <w:rPr>
                <w:rFonts w:asciiTheme="majorBidi" w:hAnsiTheme="majorBidi" w:cstheme="majorBidi"/>
                <w:szCs w:val="22"/>
              </w:rPr>
              <w:t xml:space="preserve">tructured </w:t>
            </w:r>
            <w:r w:rsidR="00881A1E">
              <w:rPr>
                <w:rFonts w:asciiTheme="majorBidi" w:hAnsiTheme="majorBidi" w:cstheme="majorBidi"/>
                <w:szCs w:val="22"/>
              </w:rPr>
              <w:t>I</w:t>
            </w:r>
            <w:r w:rsidRPr="007521AD" w:rsidR="00AC760E">
              <w:rPr>
                <w:rFonts w:asciiTheme="majorBidi" w:hAnsiTheme="majorBidi" w:cstheme="majorBidi"/>
                <w:szCs w:val="22"/>
              </w:rPr>
              <w:t>nterviews with</w:t>
            </w:r>
            <w:r w:rsidRPr="007521AD">
              <w:rPr>
                <w:rFonts w:asciiTheme="majorBidi" w:hAnsiTheme="majorBidi" w:cstheme="majorBidi"/>
                <w:szCs w:val="22"/>
              </w:rPr>
              <w:t xml:space="preserve"> </w:t>
            </w:r>
            <w:r w:rsidR="00881A1E">
              <w:rPr>
                <w:rFonts w:asciiTheme="majorBidi" w:hAnsiTheme="majorBidi" w:cstheme="majorBidi"/>
                <w:szCs w:val="22"/>
              </w:rPr>
              <w:t>P</w:t>
            </w:r>
            <w:r w:rsidRPr="007521AD">
              <w:rPr>
                <w:rFonts w:asciiTheme="majorBidi" w:hAnsiTheme="majorBidi" w:cstheme="majorBidi"/>
                <w:szCs w:val="22"/>
              </w:rPr>
              <w:t xml:space="preserve">arents and </w:t>
            </w:r>
            <w:r w:rsidR="00881A1E">
              <w:rPr>
                <w:rFonts w:asciiTheme="majorBidi" w:hAnsiTheme="majorBidi" w:cstheme="majorBidi"/>
                <w:szCs w:val="22"/>
              </w:rPr>
              <w:t>G</w:t>
            </w:r>
            <w:r w:rsidRPr="007521AD">
              <w:rPr>
                <w:rFonts w:asciiTheme="majorBidi" w:hAnsiTheme="majorBidi" w:cstheme="majorBidi"/>
                <w:szCs w:val="22"/>
              </w:rPr>
              <w:t xml:space="preserve">uardians of ETM </w:t>
            </w:r>
            <w:r w:rsidR="00881A1E">
              <w:rPr>
                <w:rFonts w:asciiTheme="majorBidi" w:hAnsiTheme="majorBidi" w:cstheme="majorBidi"/>
                <w:szCs w:val="22"/>
              </w:rPr>
              <w:t>Y</w:t>
            </w:r>
            <w:r w:rsidRPr="007521AD">
              <w:rPr>
                <w:rFonts w:asciiTheme="majorBidi" w:hAnsiTheme="majorBidi" w:cstheme="majorBidi"/>
                <w:szCs w:val="22"/>
              </w:rPr>
              <w:t>outh (Attachment</w:t>
            </w:r>
            <w:r w:rsidRPr="007521AD" w:rsidR="00557C97">
              <w:rPr>
                <w:rFonts w:asciiTheme="majorBidi" w:hAnsiTheme="majorBidi" w:cstheme="majorBidi"/>
                <w:szCs w:val="22"/>
              </w:rPr>
              <w:t xml:space="preserve"> D.2)</w:t>
            </w:r>
          </w:p>
        </w:tc>
        <w:tc>
          <w:tcPr>
            <w:tcW w:w="3510" w:type="dxa"/>
            <w:tcBorders>
              <w:top w:val="single" w:sz="4" w:space="0" w:color="auto"/>
              <w:bottom w:val="single" w:sz="4" w:space="0" w:color="auto"/>
            </w:tcBorders>
          </w:tcPr>
          <w:p w:rsidR="00BE1574" w:rsidRPr="007521AD" w14:paraId="1F746FD2" w14:textId="6558A0BE">
            <w:pPr>
              <w:pStyle w:val="BodyText"/>
              <w:rPr>
                <w:rFonts w:asciiTheme="majorBidi" w:hAnsiTheme="majorBidi" w:cstheme="majorBidi"/>
                <w:sz w:val="22"/>
                <w:szCs w:val="22"/>
              </w:rPr>
            </w:pPr>
            <w:r w:rsidRPr="007521AD">
              <w:rPr>
                <w:rFonts w:asciiTheme="majorBidi" w:hAnsiTheme="majorBidi" w:cstheme="majorBidi"/>
                <w:szCs w:val="22"/>
              </w:rPr>
              <w:t xml:space="preserve">Interviews with </w:t>
            </w:r>
            <w:r w:rsidRPr="007521AD" w:rsidR="00AE0AF2">
              <w:rPr>
                <w:rFonts w:asciiTheme="majorBidi" w:hAnsiTheme="majorBidi" w:cstheme="majorBidi"/>
                <w:szCs w:val="22"/>
              </w:rPr>
              <w:t>family members (parents/guardians) of ETM participants</w:t>
            </w:r>
            <w:r w:rsidRPr="007521AD" w:rsidR="00E74AB4">
              <w:rPr>
                <w:rFonts w:asciiTheme="majorBidi" w:hAnsiTheme="majorBidi" w:cstheme="majorBidi"/>
                <w:szCs w:val="22"/>
              </w:rPr>
              <w:t xml:space="preserve"> will include topics, such as satisfaction with services received for their ETM youth; changes in (quality of) coordination of services; relationships with ETM staff; and family engagement </w:t>
            </w:r>
            <w:r w:rsidRPr="007521AD" w:rsidR="00E74AB4">
              <w:rPr>
                <w:rFonts w:asciiTheme="majorBidi" w:hAnsiTheme="majorBidi" w:cstheme="majorBidi"/>
                <w:szCs w:val="22"/>
              </w:rPr>
              <w:t>opportunities. The protocol also includes questions about whether family members would recommend ETM to others and the programmatic improvements they would suggest.</w:t>
            </w:r>
            <w:r w:rsidRPr="007521AD" w:rsidR="1EE4D64C">
              <w:rPr>
                <w:rFonts w:asciiTheme="majorBidi" w:hAnsiTheme="majorBidi" w:cstheme="majorBidi"/>
                <w:szCs w:val="22"/>
              </w:rPr>
              <w:t xml:space="preserve"> These will be conducted virtually.</w:t>
            </w:r>
          </w:p>
        </w:tc>
        <w:tc>
          <w:tcPr>
            <w:tcW w:w="3692" w:type="dxa"/>
            <w:gridSpan w:val="2"/>
            <w:tcBorders>
              <w:top w:val="single" w:sz="4" w:space="0" w:color="auto"/>
              <w:bottom w:val="single" w:sz="4" w:space="0" w:color="auto"/>
            </w:tcBorders>
          </w:tcPr>
          <w:p w:rsidR="00CF0025" w:rsidRPr="007521AD" w:rsidP="008B7276" w14:paraId="391B89A7" w14:textId="42F42CC6">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Ensure representation of parent/guardian experience and perspective in the descriptive study of ETM (evaluation)</w:t>
            </w:r>
          </w:p>
          <w:p w:rsidR="00BE1574" w:rsidRPr="008B7276" w:rsidP="008B7276" w14:paraId="50F29DB6" w14:textId="014DDDB2">
            <w:pPr>
              <w:pStyle w:val="BodyText"/>
              <w:spacing w:after="0"/>
              <w:ind w:left="216"/>
              <w:rPr>
                <w:rFonts w:asciiTheme="majorBidi" w:hAnsiTheme="majorBidi" w:cstheme="majorBidi"/>
                <w:szCs w:val="22"/>
              </w:rPr>
            </w:pPr>
          </w:p>
        </w:tc>
      </w:tr>
      <w:tr w14:paraId="1D2530D2" w14:textId="77777777" w:rsidTr="008B7276">
        <w:tblPrEx>
          <w:tblW w:w="9540" w:type="dxa"/>
          <w:tblLayout w:type="fixed"/>
          <w:tblLook w:val="04A0"/>
        </w:tblPrEx>
        <w:tc>
          <w:tcPr>
            <w:tcW w:w="2338" w:type="dxa"/>
            <w:tcBorders>
              <w:top w:val="single" w:sz="4" w:space="0" w:color="auto"/>
            </w:tcBorders>
          </w:tcPr>
          <w:p w:rsidR="00BE1574" w:rsidRPr="007521AD" w14:paraId="3BA59D9C" w14:textId="47FB7AF3">
            <w:pPr>
              <w:pStyle w:val="BodyText"/>
              <w:rPr>
                <w:rFonts w:asciiTheme="majorBidi" w:hAnsiTheme="majorBidi" w:cstheme="majorBidi"/>
                <w:sz w:val="22"/>
                <w:szCs w:val="22"/>
              </w:rPr>
            </w:pPr>
            <w:r w:rsidRPr="007521AD">
              <w:rPr>
                <w:rFonts w:asciiTheme="majorBidi" w:hAnsiTheme="majorBidi" w:cstheme="majorBidi"/>
                <w:szCs w:val="22"/>
              </w:rPr>
              <w:t>Semi-</w:t>
            </w:r>
            <w:r w:rsidR="002275C8">
              <w:rPr>
                <w:rFonts w:asciiTheme="majorBidi" w:hAnsiTheme="majorBidi" w:cstheme="majorBidi"/>
                <w:szCs w:val="22"/>
              </w:rPr>
              <w:t>S</w:t>
            </w:r>
            <w:r w:rsidRPr="007521AD">
              <w:rPr>
                <w:rFonts w:asciiTheme="majorBidi" w:hAnsiTheme="majorBidi" w:cstheme="majorBidi"/>
                <w:szCs w:val="22"/>
              </w:rPr>
              <w:t xml:space="preserve">tructured </w:t>
            </w:r>
            <w:r w:rsidR="002275C8">
              <w:rPr>
                <w:rFonts w:asciiTheme="majorBidi" w:hAnsiTheme="majorBidi" w:cstheme="majorBidi"/>
                <w:szCs w:val="22"/>
              </w:rPr>
              <w:t>I</w:t>
            </w:r>
            <w:r w:rsidRPr="007521AD">
              <w:rPr>
                <w:rFonts w:asciiTheme="majorBidi" w:hAnsiTheme="majorBidi" w:cstheme="majorBidi"/>
                <w:szCs w:val="22"/>
              </w:rPr>
              <w:t xml:space="preserve">nterviews with </w:t>
            </w:r>
            <w:r w:rsidR="002275C8">
              <w:rPr>
                <w:rFonts w:asciiTheme="majorBidi" w:hAnsiTheme="majorBidi" w:cstheme="majorBidi"/>
                <w:szCs w:val="22"/>
              </w:rPr>
              <w:t>E</w:t>
            </w:r>
            <w:r w:rsidRPr="007521AD">
              <w:rPr>
                <w:rFonts w:asciiTheme="majorBidi" w:hAnsiTheme="majorBidi" w:cstheme="majorBidi"/>
                <w:szCs w:val="22"/>
              </w:rPr>
              <w:t>mployers (Attachment</w:t>
            </w:r>
            <w:r w:rsidRPr="007521AD" w:rsidR="00557C97">
              <w:rPr>
                <w:rFonts w:asciiTheme="majorBidi" w:hAnsiTheme="majorBidi" w:cstheme="majorBidi"/>
                <w:szCs w:val="22"/>
              </w:rPr>
              <w:t xml:space="preserve"> D.3)</w:t>
            </w:r>
          </w:p>
        </w:tc>
        <w:tc>
          <w:tcPr>
            <w:tcW w:w="3510" w:type="dxa"/>
            <w:tcBorders>
              <w:top w:val="single" w:sz="4" w:space="0" w:color="auto"/>
            </w:tcBorders>
          </w:tcPr>
          <w:p w:rsidR="00BE1574" w:rsidRPr="007521AD" w14:paraId="5B9C392B" w14:textId="3B29622D">
            <w:pPr>
              <w:pStyle w:val="BodyText"/>
              <w:rPr>
                <w:rFonts w:asciiTheme="majorBidi" w:hAnsiTheme="majorBidi" w:cstheme="majorBidi"/>
                <w:sz w:val="22"/>
                <w:szCs w:val="22"/>
              </w:rPr>
            </w:pPr>
            <w:r w:rsidRPr="007521AD">
              <w:rPr>
                <w:rFonts w:asciiTheme="majorBidi" w:hAnsiTheme="majorBidi" w:cstheme="majorBidi"/>
                <w:szCs w:val="22"/>
              </w:rPr>
              <w:t xml:space="preserve">Employers </w:t>
            </w:r>
            <w:r w:rsidRPr="007521AD" w:rsidR="1FDE0C7B">
              <w:rPr>
                <w:rFonts w:asciiTheme="majorBidi" w:hAnsiTheme="majorBidi" w:cstheme="majorBidi"/>
                <w:szCs w:val="22"/>
              </w:rPr>
              <w:t xml:space="preserve">partnering with an ETM program and providing </w:t>
            </w:r>
            <w:r w:rsidRPr="007521AD" w:rsidR="3A6B5C17">
              <w:rPr>
                <w:rFonts w:asciiTheme="majorBidi" w:hAnsiTheme="majorBidi" w:cstheme="majorBidi"/>
                <w:szCs w:val="22"/>
              </w:rPr>
              <w:t xml:space="preserve">employment opportunities to ETM youth </w:t>
            </w:r>
            <w:r w:rsidRPr="007521AD">
              <w:rPr>
                <w:rFonts w:asciiTheme="majorBidi" w:hAnsiTheme="majorBidi" w:cstheme="majorBidi"/>
                <w:szCs w:val="22"/>
              </w:rPr>
              <w:t>will engage in semi-structured interviews</w:t>
            </w:r>
            <w:r w:rsidRPr="007521AD" w:rsidR="24D0CBAD">
              <w:rPr>
                <w:rFonts w:asciiTheme="majorBidi" w:hAnsiTheme="majorBidi" w:cstheme="majorBidi"/>
                <w:szCs w:val="22"/>
              </w:rPr>
              <w:t>, which will include questions o</w:t>
            </w:r>
            <w:r w:rsidRPr="007521AD" w:rsidR="7D33D491">
              <w:rPr>
                <w:rFonts w:asciiTheme="majorBidi" w:hAnsiTheme="majorBidi" w:cstheme="majorBidi"/>
                <w:szCs w:val="22"/>
              </w:rPr>
              <w:t xml:space="preserve">n the employer’s partnership with the ETM program, </w:t>
            </w:r>
            <w:r w:rsidRPr="007521AD" w:rsidR="7258286F">
              <w:rPr>
                <w:rFonts w:asciiTheme="majorBidi" w:hAnsiTheme="majorBidi" w:cstheme="majorBidi"/>
                <w:szCs w:val="22"/>
              </w:rPr>
              <w:t xml:space="preserve">the employer’s experience </w:t>
            </w:r>
            <w:r w:rsidRPr="007521AD" w:rsidR="6B11D722">
              <w:rPr>
                <w:rFonts w:asciiTheme="majorBidi" w:hAnsiTheme="majorBidi" w:cstheme="majorBidi"/>
                <w:szCs w:val="22"/>
              </w:rPr>
              <w:t xml:space="preserve">hiring and working with ETM youth, and </w:t>
            </w:r>
            <w:r w:rsidRPr="007521AD" w:rsidR="5ED4DD33">
              <w:rPr>
                <w:rFonts w:asciiTheme="majorBidi" w:hAnsiTheme="majorBidi" w:cstheme="majorBidi"/>
                <w:szCs w:val="22"/>
              </w:rPr>
              <w:t xml:space="preserve">the employer’s business goals </w:t>
            </w:r>
            <w:r w:rsidRPr="007521AD" w:rsidR="57D6D48F">
              <w:rPr>
                <w:rFonts w:asciiTheme="majorBidi" w:hAnsiTheme="majorBidi" w:cstheme="majorBidi"/>
                <w:szCs w:val="22"/>
              </w:rPr>
              <w:t>through</w:t>
            </w:r>
            <w:r w:rsidRPr="007521AD" w:rsidR="5ED4DD33">
              <w:rPr>
                <w:rFonts w:asciiTheme="majorBidi" w:hAnsiTheme="majorBidi" w:cstheme="majorBidi"/>
                <w:szCs w:val="22"/>
              </w:rPr>
              <w:t xml:space="preserve"> </w:t>
            </w:r>
            <w:r w:rsidRPr="007521AD" w:rsidR="070397FC">
              <w:rPr>
                <w:rFonts w:asciiTheme="majorBidi" w:hAnsiTheme="majorBidi" w:cstheme="majorBidi"/>
                <w:szCs w:val="22"/>
              </w:rPr>
              <w:t>this partnership</w:t>
            </w:r>
            <w:r w:rsidRPr="007521AD" w:rsidR="5ED4DD33">
              <w:rPr>
                <w:rFonts w:asciiTheme="majorBidi" w:hAnsiTheme="majorBidi" w:cstheme="majorBidi"/>
                <w:szCs w:val="22"/>
              </w:rPr>
              <w:t>.</w:t>
            </w:r>
            <w:r w:rsidRPr="007521AD" w:rsidR="24D0CBAD">
              <w:rPr>
                <w:rFonts w:asciiTheme="majorBidi" w:hAnsiTheme="majorBidi" w:cstheme="majorBidi"/>
                <w:szCs w:val="22"/>
              </w:rPr>
              <w:t xml:space="preserve"> </w:t>
            </w:r>
            <w:r w:rsidRPr="007521AD" w:rsidR="06A96D71">
              <w:rPr>
                <w:rFonts w:asciiTheme="majorBidi" w:hAnsiTheme="majorBidi" w:cstheme="majorBidi"/>
                <w:szCs w:val="22"/>
              </w:rPr>
              <w:t xml:space="preserve">The evaluation team will conduct these interviews </w:t>
            </w:r>
            <w:r w:rsidRPr="007521AD" w:rsidR="6D8B5E65">
              <w:rPr>
                <w:rFonts w:asciiTheme="majorBidi" w:hAnsiTheme="majorBidi" w:cstheme="majorBidi"/>
                <w:szCs w:val="22"/>
              </w:rPr>
              <w:t>in person</w:t>
            </w:r>
            <w:r w:rsidR="004B6CEE">
              <w:rPr>
                <w:rFonts w:asciiTheme="majorBidi" w:hAnsiTheme="majorBidi" w:cstheme="majorBidi"/>
                <w:szCs w:val="22"/>
              </w:rPr>
              <w:t xml:space="preserve"> during site visit</w:t>
            </w:r>
            <w:r w:rsidRPr="007521AD" w:rsidR="6D8B5E65">
              <w:rPr>
                <w:rFonts w:asciiTheme="majorBidi" w:hAnsiTheme="majorBidi" w:cstheme="majorBidi"/>
                <w:szCs w:val="22"/>
              </w:rPr>
              <w:t xml:space="preserve"> or </w:t>
            </w:r>
            <w:r w:rsidRPr="007521AD" w:rsidR="7B9FDA70">
              <w:rPr>
                <w:rFonts w:asciiTheme="majorBidi" w:hAnsiTheme="majorBidi" w:cstheme="majorBidi"/>
                <w:szCs w:val="22"/>
              </w:rPr>
              <w:t>virtually.</w:t>
            </w:r>
          </w:p>
        </w:tc>
        <w:tc>
          <w:tcPr>
            <w:tcW w:w="3692" w:type="dxa"/>
            <w:gridSpan w:val="2"/>
            <w:tcBorders>
              <w:top w:val="single" w:sz="4" w:space="0" w:color="auto"/>
            </w:tcBorders>
          </w:tcPr>
          <w:p w:rsidR="00BE1574" w:rsidRPr="004971C2" w:rsidP="004971C2" w14:paraId="134A1C1D" w14:textId="023F1272">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I</w:t>
            </w:r>
            <w:r w:rsidRPr="007521AD" w:rsidR="75D7D799">
              <w:rPr>
                <w:rFonts w:asciiTheme="majorBidi" w:hAnsiTheme="majorBidi" w:cstheme="majorBidi"/>
                <w:szCs w:val="22"/>
              </w:rPr>
              <w:t xml:space="preserve">nform </w:t>
            </w:r>
            <w:r w:rsidRPr="007521AD" w:rsidR="1DD588B1">
              <w:rPr>
                <w:rFonts w:asciiTheme="majorBidi" w:hAnsiTheme="majorBidi" w:cstheme="majorBidi"/>
                <w:szCs w:val="22"/>
              </w:rPr>
              <w:t>the core components of ETM service delivery</w:t>
            </w:r>
            <w:r w:rsidRPr="007521AD">
              <w:rPr>
                <w:rFonts w:asciiTheme="majorBidi" w:hAnsiTheme="majorBidi" w:cstheme="majorBidi"/>
                <w:szCs w:val="22"/>
              </w:rPr>
              <w:t xml:space="preserve"> and </w:t>
            </w:r>
            <w:r w:rsidRPr="007521AD" w:rsidR="530818C1">
              <w:rPr>
                <w:rFonts w:asciiTheme="majorBidi" w:hAnsiTheme="majorBidi" w:cstheme="majorBidi"/>
                <w:szCs w:val="22"/>
              </w:rPr>
              <w:t>strengths and areas for improvement</w:t>
            </w:r>
            <w:r w:rsidRPr="007521AD" w:rsidR="73CE107F">
              <w:rPr>
                <w:rFonts w:asciiTheme="majorBidi" w:hAnsiTheme="majorBidi" w:cstheme="majorBidi"/>
                <w:szCs w:val="22"/>
              </w:rPr>
              <w:t xml:space="preserve"> from the perspectives of employers</w:t>
            </w:r>
            <w:r w:rsidRPr="007521AD">
              <w:rPr>
                <w:rFonts w:asciiTheme="majorBidi" w:hAnsiTheme="majorBidi" w:cstheme="majorBidi"/>
                <w:szCs w:val="22"/>
              </w:rPr>
              <w:t xml:space="preserve"> (evaluation)</w:t>
            </w:r>
          </w:p>
        </w:tc>
      </w:tr>
      <w:tr w14:paraId="5CEA59B8" w14:textId="77777777" w:rsidTr="008B7276">
        <w:tblPrEx>
          <w:tblW w:w="9540" w:type="dxa"/>
          <w:tblLayout w:type="fixed"/>
          <w:tblLook w:val="04A0"/>
        </w:tblPrEx>
        <w:tc>
          <w:tcPr>
            <w:tcW w:w="2338" w:type="dxa"/>
            <w:shd w:val="clear" w:color="auto" w:fill="BFBFBF" w:themeFill="background1" w:themeFillShade="BF"/>
          </w:tcPr>
          <w:p w:rsidR="00BE1574" w:rsidRPr="007521AD" w14:paraId="5CA3ECC3" w14:textId="77777777">
            <w:pPr>
              <w:pStyle w:val="BodyText"/>
              <w:rPr>
                <w:rFonts w:asciiTheme="majorBidi" w:hAnsiTheme="majorBidi" w:cstheme="majorBidi"/>
                <w:b/>
                <w:bCs/>
                <w:sz w:val="22"/>
                <w:szCs w:val="22"/>
              </w:rPr>
            </w:pPr>
            <w:r w:rsidRPr="007521AD">
              <w:rPr>
                <w:rFonts w:asciiTheme="majorBidi" w:hAnsiTheme="majorBidi" w:cstheme="majorBidi"/>
                <w:b/>
                <w:szCs w:val="22"/>
              </w:rPr>
              <w:t>Outcome Data</w:t>
            </w:r>
          </w:p>
        </w:tc>
        <w:tc>
          <w:tcPr>
            <w:tcW w:w="3510" w:type="dxa"/>
            <w:shd w:val="clear" w:color="auto" w:fill="BFBFBF" w:themeFill="background1" w:themeFillShade="BF"/>
          </w:tcPr>
          <w:p w:rsidR="00BE1574" w:rsidRPr="007521AD" w14:paraId="17BEE1B7" w14:textId="77777777">
            <w:pPr>
              <w:pStyle w:val="BodyText"/>
              <w:rPr>
                <w:rFonts w:asciiTheme="majorBidi" w:hAnsiTheme="majorBidi" w:cstheme="majorBidi"/>
                <w:b/>
                <w:bCs/>
                <w:sz w:val="22"/>
                <w:szCs w:val="22"/>
              </w:rPr>
            </w:pPr>
          </w:p>
        </w:tc>
        <w:tc>
          <w:tcPr>
            <w:tcW w:w="3692" w:type="dxa"/>
            <w:gridSpan w:val="2"/>
            <w:shd w:val="clear" w:color="auto" w:fill="BFBFBF" w:themeFill="background1" w:themeFillShade="BF"/>
          </w:tcPr>
          <w:p w:rsidR="00BE1574" w:rsidRPr="007521AD" w14:paraId="10E5DA0A" w14:textId="77777777">
            <w:pPr>
              <w:pStyle w:val="BodyText"/>
              <w:rPr>
                <w:rFonts w:asciiTheme="majorBidi" w:hAnsiTheme="majorBidi" w:cstheme="majorBidi"/>
                <w:b/>
                <w:bCs/>
                <w:sz w:val="22"/>
                <w:szCs w:val="22"/>
              </w:rPr>
            </w:pPr>
          </w:p>
        </w:tc>
      </w:tr>
      <w:tr w14:paraId="2C5F3E79" w14:textId="77777777" w:rsidTr="008B7276">
        <w:tblPrEx>
          <w:tblW w:w="9540" w:type="dxa"/>
          <w:tblLayout w:type="fixed"/>
          <w:tblLook w:val="04A0"/>
        </w:tblPrEx>
        <w:tc>
          <w:tcPr>
            <w:tcW w:w="2338" w:type="dxa"/>
            <w:shd w:val="clear" w:color="auto" w:fill="EAEAEA"/>
          </w:tcPr>
          <w:p w:rsidR="00BE1574" w:rsidRPr="007521AD" w14:paraId="2580C881" w14:textId="2BA02A0A">
            <w:pPr>
              <w:pStyle w:val="BodyText"/>
              <w:rPr>
                <w:rFonts w:asciiTheme="majorBidi" w:hAnsiTheme="majorBidi" w:cstheme="majorBidi"/>
                <w:b/>
                <w:bCs/>
                <w:i/>
                <w:iCs/>
                <w:sz w:val="22"/>
                <w:szCs w:val="22"/>
              </w:rPr>
            </w:pPr>
            <w:r w:rsidRPr="007521AD">
              <w:rPr>
                <w:rFonts w:asciiTheme="majorBidi" w:hAnsiTheme="majorBidi" w:cstheme="majorBidi"/>
                <w:b/>
                <w:i/>
                <w:szCs w:val="22"/>
              </w:rPr>
              <w:t>Customer Satisfaction</w:t>
            </w:r>
          </w:p>
        </w:tc>
        <w:tc>
          <w:tcPr>
            <w:tcW w:w="3510" w:type="dxa"/>
            <w:shd w:val="clear" w:color="auto" w:fill="EAEAEA"/>
          </w:tcPr>
          <w:p w:rsidR="00BE1574" w:rsidRPr="007521AD" w14:paraId="5898BC7A" w14:textId="77777777">
            <w:pPr>
              <w:pStyle w:val="BodyText"/>
              <w:rPr>
                <w:rFonts w:asciiTheme="majorBidi" w:hAnsiTheme="majorBidi" w:cstheme="majorBidi"/>
                <w:b/>
                <w:bCs/>
                <w:i/>
                <w:iCs/>
                <w:sz w:val="22"/>
                <w:szCs w:val="22"/>
              </w:rPr>
            </w:pPr>
          </w:p>
        </w:tc>
        <w:tc>
          <w:tcPr>
            <w:tcW w:w="3692" w:type="dxa"/>
            <w:gridSpan w:val="2"/>
            <w:shd w:val="clear" w:color="auto" w:fill="EAEAEA"/>
          </w:tcPr>
          <w:p w:rsidR="00BE1574" w:rsidRPr="007521AD" w14:paraId="76837653" w14:textId="77777777">
            <w:pPr>
              <w:pStyle w:val="BodyText"/>
              <w:rPr>
                <w:rFonts w:asciiTheme="majorBidi" w:hAnsiTheme="majorBidi" w:cstheme="majorBidi"/>
                <w:b/>
                <w:bCs/>
                <w:i/>
                <w:iCs/>
                <w:sz w:val="22"/>
                <w:szCs w:val="22"/>
              </w:rPr>
            </w:pPr>
          </w:p>
        </w:tc>
      </w:tr>
      <w:tr w14:paraId="39A3DA0B" w14:textId="77777777" w:rsidTr="008B7276">
        <w:tblPrEx>
          <w:tblW w:w="9540" w:type="dxa"/>
          <w:tblLayout w:type="fixed"/>
          <w:tblLook w:val="04A0"/>
        </w:tblPrEx>
        <w:tc>
          <w:tcPr>
            <w:tcW w:w="2338" w:type="dxa"/>
            <w:tcBorders>
              <w:bottom w:val="single" w:sz="4" w:space="0" w:color="auto"/>
            </w:tcBorders>
          </w:tcPr>
          <w:p w:rsidR="00BE1574" w:rsidRPr="007521AD" w14:paraId="5CEC6639" w14:textId="027C4D14">
            <w:pPr>
              <w:pStyle w:val="BodyText"/>
              <w:rPr>
                <w:rFonts w:asciiTheme="majorBidi" w:hAnsiTheme="majorBidi" w:cstheme="majorBidi"/>
                <w:sz w:val="22"/>
                <w:szCs w:val="22"/>
              </w:rPr>
            </w:pPr>
            <w:r w:rsidRPr="007521AD">
              <w:rPr>
                <w:rFonts w:asciiTheme="majorBidi" w:hAnsiTheme="majorBidi" w:cstheme="majorBidi"/>
                <w:szCs w:val="22"/>
              </w:rPr>
              <w:t xml:space="preserve">Satisfaction </w:t>
            </w:r>
            <w:r w:rsidR="002275C8">
              <w:rPr>
                <w:rFonts w:asciiTheme="majorBidi" w:hAnsiTheme="majorBidi" w:cstheme="majorBidi"/>
                <w:szCs w:val="22"/>
              </w:rPr>
              <w:t>D</w:t>
            </w:r>
            <w:r w:rsidRPr="007521AD">
              <w:rPr>
                <w:rFonts w:asciiTheme="majorBidi" w:hAnsiTheme="majorBidi" w:cstheme="majorBidi"/>
                <w:szCs w:val="22"/>
              </w:rPr>
              <w:t xml:space="preserve">ata from ETM </w:t>
            </w:r>
            <w:r w:rsidR="002275C8">
              <w:rPr>
                <w:rFonts w:asciiTheme="majorBidi" w:hAnsiTheme="majorBidi" w:cstheme="majorBidi"/>
                <w:szCs w:val="22"/>
              </w:rPr>
              <w:t>Y</w:t>
            </w:r>
            <w:r w:rsidRPr="007521AD">
              <w:rPr>
                <w:rFonts w:asciiTheme="majorBidi" w:hAnsiTheme="majorBidi" w:cstheme="majorBidi"/>
                <w:szCs w:val="22"/>
              </w:rPr>
              <w:t>outh (Attachment</w:t>
            </w:r>
            <w:r w:rsidRPr="007521AD" w:rsidR="009740C8">
              <w:rPr>
                <w:rFonts w:asciiTheme="majorBidi" w:hAnsiTheme="majorBidi" w:cstheme="majorBidi"/>
                <w:szCs w:val="22"/>
              </w:rPr>
              <w:t xml:space="preserve"> </w:t>
            </w:r>
            <w:r w:rsidRPr="007521AD" w:rsidR="00C9217F">
              <w:rPr>
                <w:rFonts w:asciiTheme="majorBidi" w:hAnsiTheme="majorBidi" w:cstheme="majorBidi"/>
                <w:szCs w:val="22"/>
              </w:rPr>
              <w:t>E.1</w:t>
            </w:r>
            <w:r w:rsidRPr="007521AD" w:rsidR="009740C8">
              <w:rPr>
                <w:rFonts w:asciiTheme="majorBidi" w:hAnsiTheme="majorBidi" w:cstheme="majorBidi"/>
                <w:szCs w:val="22"/>
              </w:rPr>
              <w:t>)</w:t>
            </w:r>
            <w:r w:rsidRPr="007521AD">
              <w:rPr>
                <w:rFonts w:asciiTheme="majorBidi" w:hAnsiTheme="majorBidi" w:cstheme="majorBidi"/>
                <w:szCs w:val="22"/>
              </w:rPr>
              <w:t xml:space="preserve"> </w:t>
            </w:r>
          </w:p>
        </w:tc>
        <w:tc>
          <w:tcPr>
            <w:tcW w:w="3510" w:type="dxa"/>
            <w:tcBorders>
              <w:bottom w:val="single" w:sz="4" w:space="0" w:color="auto"/>
            </w:tcBorders>
          </w:tcPr>
          <w:p w:rsidR="00BE1574" w:rsidRPr="007521AD" w:rsidP="00BF2DFF" w14:paraId="741A705F" w14:textId="2312E8DC">
            <w:pPr>
              <w:pStyle w:val="BodyText"/>
              <w:rPr>
                <w:rFonts w:asciiTheme="majorBidi" w:hAnsiTheme="majorBidi" w:cstheme="majorBidi"/>
                <w:sz w:val="22"/>
                <w:szCs w:val="22"/>
              </w:rPr>
            </w:pPr>
            <w:r w:rsidRPr="007521AD">
              <w:rPr>
                <w:rFonts w:asciiTheme="majorBidi" w:hAnsiTheme="majorBidi" w:cstheme="majorBidi"/>
                <w:szCs w:val="22"/>
              </w:rPr>
              <w:t>Youth satisfaction data include measures of satisfaction with communication and support for employment transition, collected either annually or at program exit.</w:t>
            </w:r>
          </w:p>
        </w:tc>
        <w:tc>
          <w:tcPr>
            <w:tcW w:w="3692" w:type="dxa"/>
            <w:gridSpan w:val="2"/>
            <w:tcBorders>
              <w:bottom w:val="single" w:sz="4" w:space="0" w:color="auto"/>
            </w:tcBorders>
          </w:tcPr>
          <w:p w:rsidR="00BE1574" w:rsidRPr="004971C2" w:rsidP="004971C2" w14:paraId="3555DA48" w14:textId="49522224">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A</w:t>
            </w:r>
            <w:r w:rsidRPr="007521AD" w:rsidR="0081789E">
              <w:rPr>
                <w:rFonts w:asciiTheme="majorBidi" w:hAnsiTheme="majorBidi" w:cstheme="majorBidi"/>
                <w:szCs w:val="22"/>
              </w:rPr>
              <w:t>ssess the quality of program delivery from the youth perspective and inform continuous quality improvement (CQI) efforts to enhance service effectiveness</w:t>
            </w:r>
            <w:r w:rsidRPr="007521AD">
              <w:rPr>
                <w:rFonts w:asciiTheme="majorBidi" w:hAnsiTheme="majorBidi" w:cstheme="majorBidi"/>
                <w:szCs w:val="22"/>
              </w:rPr>
              <w:t xml:space="preserve">  (TA)</w:t>
            </w:r>
          </w:p>
        </w:tc>
      </w:tr>
      <w:tr w14:paraId="277D0AF5" w14:textId="77777777" w:rsidTr="008B7276">
        <w:tblPrEx>
          <w:tblW w:w="9540" w:type="dxa"/>
          <w:tblLayout w:type="fixed"/>
          <w:tblLook w:val="04A0"/>
        </w:tblPrEx>
        <w:tc>
          <w:tcPr>
            <w:tcW w:w="2338" w:type="dxa"/>
            <w:tcBorders>
              <w:top w:val="single" w:sz="4" w:space="0" w:color="auto"/>
            </w:tcBorders>
          </w:tcPr>
          <w:p w:rsidR="00BE1574" w:rsidRPr="007521AD" w14:paraId="5DF0A253" w14:textId="70AEBEB4">
            <w:pPr>
              <w:pStyle w:val="BodyText"/>
              <w:rPr>
                <w:rFonts w:asciiTheme="majorBidi" w:hAnsiTheme="majorBidi" w:cstheme="majorBidi"/>
                <w:sz w:val="22"/>
                <w:szCs w:val="22"/>
              </w:rPr>
            </w:pPr>
            <w:r w:rsidRPr="007521AD">
              <w:rPr>
                <w:rFonts w:asciiTheme="majorBidi" w:hAnsiTheme="majorBidi" w:cstheme="majorBidi"/>
                <w:szCs w:val="22"/>
              </w:rPr>
              <w:t xml:space="preserve">Satisfaction </w:t>
            </w:r>
            <w:r w:rsidR="002275C8">
              <w:rPr>
                <w:rFonts w:asciiTheme="majorBidi" w:hAnsiTheme="majorBidi" w:cstheme="majorBidi"/>
                <w:szCs w:val="22"/>
              </w:rPr>
              <w:t>D</w:t>
            </w:r>
            <w:r w:rsidRPr="007521AD">
              <w:rPr>
                <w:rFonts w:asciiTheme="majorBidi" w:hAnsiTheme="majorBidi" w:cstheme="majorBidi"/>
                <w:szCs w:val="22"/>
              </w:rPr>
              <w:t xml:space="preserve">ata from </w:t>
            </w:r>
            <w:r w:rsidR="002275C8">
              <w:rPr>
                <w:rFonts w:asciiTheme="majorBidi" w:hAnsiTheme="majorBidi" w:cstheme="majorBidi"/>
                <w:szCs w:val="22"/>
              </w:rPr>
              <w:t>F</w:t>
            </w:r>
            <w:r w:rsidRPr="007521AD">
              <w:rPr>
                <w:rFonts w:asciiTheme="majorBidi" w:hAnsiTheme="majorBidi" w:cstheme="majorBidi"/>
                <w:szCs w:val="22"/>
              </w:rPr>
              <w:t>amilies of ETM Youth (Attachment</w:t>
            </w:r>
            <w:r w:rsidRPr="007521AD" w:rsidR="009740C8">
              <w:rPr>
                <w:rFonts w:asciiTheme="majorBidi" w:hAnsiTheme="majorBidi" w:cstheme="majorBidi"/>
                <w:szCs w:val="22"/>
              </w:rPr>
              <w:t xml:space="preserve"> </w:t>
            </w:r>
            <w:r w:rsidRPr="007521AD" w:rsidR="00C9217F">
              <w:rPr>
                <w:rFonts w:asciiTheme="majorBidi" w:hAnsiTheme="majorBidi" w:cstheme="majorBidi"/>
                <w:szCs w:val="22"/>
              </w:rPr>
              <w:t>E.1</w:t>
            </w:r>
            <w:r w:rsidRPr="007521AD" w:rsidR="009740C8">
              <w:rPr>
                <w:rFonts w:asciiTheme="majorBidi" w:hAnsiTheme="majorBidi" w:cstheme="majorBidi"/>
                <w:szCs w:val="22"/>
              </w:rPr>
              <w:t>)</w:t>
            </w:r>
          </w:p>
        </w:tc>
        <w:tc>
          <w:tcPr>
            <w:tcW w:w="3510" w:type="dxa"/>
            <w:tcBorders>
              <w:top w:val="single" w:sz="4" w:space="0" w:color="auto"/>
            </w:tcBorders>
          </w:tcPr>
          <w:p w:rsidR="00BE1574" w:rsidRPr="007521AD" w:rsidP="0081789E" w14:paraId="73902B2F" w14:textId="749F7F2B">
            <w:pPr>
              <w:pStyle w:val="BodyText"/>
              <w:rPr>
                <w:rFonts w:asciiTheme="majorBidi" w:hAnsiTheme="majorBidi" w:cstheme="majorBidi"/>
                <w:sz w:val="22"/>
                <w:szCs w:val="22"/>
              </w:rPr>
            </w:pPr>
            <w:r w:rsidRPr="007521AD">
              <w:rPr>
                <w:rFonts w:asciiTheme="majorBidi" w:hAnsiTheme="majorBidi" w:cstheme="majorBidi"/>
                <w:szCs w:val="22"/>
              </w:rPr>
              <w:t>Family satisfaction data capture feedback on communication and support for employment transition, and is collected on an annual basis.</w:t>
            </w:r>
          </w:p>
        </w:tc>
        <w:tc>
          <w:tcPr>
            <w:tcW w:w="3692" w:type="dxa"/>
            <w:gridSpan w:val="2"/>
            <w:tcBorders>
              <w:top w:val="single" w:sz="4" w:space="0" w:color="auto"/>
            </w:tcBorders>
          </w:tcPr>
          <w:p w:rsidR="00BE1574" w:rsidRPr="004971C2" w:rsidP="004971C2" w14:paraId="7CD58C87" w14:textId="6405D89A">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 xml:space="preserve">Assess </w:t>
            </w:r>
            <w:r w:rsidRPr="007521AD" w:rsidR="00834405">
              <w:rPr>
                <w:rFonts w:asciiTheme="majorBidi" w:hAnsiTheme="majorBidi" w:cstheme="majorBidi"/>
                <w:szCs w:val="22"/>
              </w:rPr>
              <w:t>how well the program engages and supports families of youth participants, contributing to program refinement and improved outcomes through CQI.</w:t>
            </w:r>
          </w:p>
        </w:tc>
      </w:tr>
      <w:tr w14:paraId="3411A4A2" w14:textId="77777777" w:rsidTr="008B7276">
        <w:tblPrEx>
          <w:tblW w:w="9540" w:type="dxa"/>
          <w:tblLayout w:type="fixed"/>
          <w:tblLook w:val="04A0"/>
        </w:tblPrEx>
        <w:tc>
          <w:tcPr>
            <w:tcW w:w="2338" w:type="dxa"/>
            <w:tcBorders>
              <w:top w:val="single" w:sz="4" w:space="0" w:color="auto"/>
            </w:tcBorders>
            <w:vAlign w:val="center"/>
          </w:tcPr>
          <w:p w:rsidR="008F2643" w:rsidRPr="007521AD" w:rsidP="008F2643" w14:paraId="0F4309E2" w14:textId="21F91FEC">
            <w:pPr>
              <w:pStyle w:val="BodyText"/>
              <w:rPr>
                <w:rFonts w:asciiTheme="majorBidi" w:hAnsiTheme="majorBidi" w:cstheme="majorBidi"/>
                <w:szCs w:val="22"/>
              </w:rPr>
            </w:pPr>
            <w:r w:rsidRPr="007521AD">
              <w:rPr>
                <w:rFonts w:asciiTheme="majorBidi" w:hAnsiTheme="majorBidi" w:cstheme="majorBidi"/>
              </w:rPr>
              <w:t xml:space="preserve">Satisfaction </w:t>
            </w:r>
            <w:r w:rsidR="002275C8">
              <w:rPr>
                <w:rFonts w:asciiTheme="majorBidi" w:hAnsiTheme="majorBidi" w:cstheme="majorBidi"/>
              </w:rPr>
              <w:t>D</w:t>
            </w:r>
            <w:r w:rsidRPr="007521AD">
              <w:rPr>
                <w:rFonts w:asciiTheme="majorBidi" w:hAnsiTheme="majorBidi" w:cstheme="majorBidi"/>
              </w:rPr>
              <w:t xml:space="preserve">ata from ETM </w:t>
            </w:r>
            <w:r w:rsidR="002275C8">
              <w:rPr>
                <w:rFonts w:asciiTheme="majorBidi" w:hAnsiTheme="majorBidi" w:cstheme="majorBidi"/>
              </w:rPr>
              <w:t>E</w:t>
            </w:r>
            <w:r w:rsidRPr="007521AD">
              <w:rPr>
                <w:rFonts w:asciiTheme="majorBidi" w:hAnsiTheme="majorBidi" w:cstheme="majorBidi"/>
              </w:rPr>
              <w:t>mployers</w:t>
            </w:r>
            <w:r w:rsidRPr="007521AD" w:rsidR="00C9217F">
              <w:rPr>
                <w:rFonts w:asciiTheme="majorBidi" w:hAnsiTheme="majorBidi" w:cstheme="majorBidi"/>
              </w:rPr>
              <w:t xml:space="preserve"> </w:t>
            </w:r>
            <w:r w:rsidRPr="007521AD" w:rsidR="00C9217F">
              <w:rPr>
                <w:rFonts w:asciiTheme="majorBidi" w:hAnsiTheme="majorBidi" w:cstheme="majorBidi"/>
                <w:szCs w:val="22"/>
              </w:rPr>
              <w:t>(Attachment E.1)</w:t>
            </w:r>
          </w:p>
        </w:tc>
        <w:tc>
          <w:tcPr>
            <w:tcW w:w="3510" w:type="dxa"/>
            <w:tcBorders>
              <w:top w:val="single" w:sz="4" w:space="0" w:color="auto"/>
            </w:tcBorders>
          </w:tcPr>
          <w:p w:rsidR="008F2643" w:rsidRPr="007521AD" w:rsidP="008F2643" w14:paraId="19DEE497" w14:textId="4B1B17CA">
            <w:pPr>
              <w:pStyle w:val="BodyText"/>
              <w:rPr>
                <w:rFonts w:asciiTheme="majorBidi" w:hAnsiTheme="majorBidi" w:cstheme="majorBidi"/>
                <w:szCs w:val="22"/>
              </w:rPr>
            </w:pPr>
            <w:r w:rsidRPr="007521AD">
              <w:rPr>
                <w:rFonts w:asciiTheme="majorBidi" w:hAnsiTheme="majorBidi" w:cstheme="majorBidi"/>
                <w:szCs w:val="22"/>
              </w:rPr>
              <w:t xml:space="preserve">Employer partner satisfaction data </w:t>
            </w:r>
            <w:r w:rsidRPr="007521AD" w:rsidR="00A04A86">
              <w:rPr>
                <w:rFonts w:asciiTheme="majorBidi" w:hAnsiTheme="majorBidi" w:cstheme="majorBidi"/>
                <w:szCs w:val="22"/>
              </w:rPr>
              <w:t xml:space="preserve">capture </w:t>
            </w:r>
            <w:r w:rsidRPr="007521AD" w:rsidR="00F20BC4">
              <w:rPr>
                <w:rFonts w:asciiTheme="majorBidi" w:hAnsiTheme="majorBidi" w:cstheme="majorBidi"/>
                <w:szCs w:val="22"/>
              </w:rPr>
              <w:t>satisfaction with ETM communication, supports, and services.</w:t>
            </w:r>
          </w:p>
        </w:tc>
        <w:tc>
          <w:tcPr>
            <w:tcW w:w="3692" w:type="dxa"/>
            <w:gridSpan w:val="2"/>
            <w:tcBorders>
              <w:top w:val="single" w:sz="4" w:space="0" w:color="auto"/>
            </w:tcBorders>
          </w:tcPr>
          <w:p w:rsidR="008F2643" w:rsidRPr="007521AD" w:rsidP="004971C2" w14:paraId="16F44542" w14:textId="1C9EC89C">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 xml:space="preserve">Assess </w:t>
            </w:r>
            <w:r w:rsidRPr="007521AD" w:rsidR="00130CC7">
              <w:rPr>
                <w:rFonts w:asciiTheme="majorBidi" w:hAnsiTheme="majorBidi" w:cstheme="majorBidi"/>
                <w:szCs w:val="22"/>
              </w:rPr>
              <w:t xml:space="preserve">the quality of program delivery from the employer perspective and inform </w:t>
            </w:r>
            <w:r w:rsidRPr="007521AD" w:rsidR="003E5A3D">
              <w:rPr>
                <w:rFonts w:asciiTheme="majorBidi" w:hAnsiTheme="majorBidi" w:cstheme="majorBidi"/>
                <w:szCs w:val="22"/>
              </w:rPr>
              <w:t>CQI efforts to enhance service effectiveness (TA)</w:t>
            </w:r>
          </w:p>
        </w:tc>
      </w:tr>
      <w:tr w14:paraId="5143A9E9" w14:textId="77777777" w:rsidTr="008B7276">
        <w:tblPrEx>
          <w:tblW w:w="9540" w:type="dxa"/>
          <w:tblLayout w:type="fixed"/>
          <w:tblLook w:val="04A0"/>
        </w:tblPrEx>
        <w:tc>
          <w:tcPr>
            <w:tcW w:w="2338" w:type="dxa"/>
            <w:tcBorders>
              <w:top w:val="single" w:sz="4" w:space="0" w:color="auto"/>
            </w:tcBorders>
            <w:vAlign w:val="center"/>
          </w:tcPr>
          <w:p w:rsidR="003E5A3D" w:rsidRPr="007521AD" w:rsidP="003E5A3D" w14:paraId="2AC53238" w14:textId="2899FB4E">
            <w:pPr>
              <w:pStyle w:val="BodyText"/>
              <w:rPr>
                <w:rFonts w:asciiTheme="majorBidi" w:hAnsiTheme="majorBidi" w:cstheme="majorBidi"/>
                <w:szCs w:val="22"/>
              </w:rPr>
            </w:pPr>
            <w:r w:rsidRPr="007521AD">
              <w:rPr>
                <w:rFonts w:asciiTheme="majorBidi" w:hAnsiTheme="majorBidi" w:cstheme="majorBidi"/>
              </w:rPr>
              <w:t xml:space="preserve">Satisfaction </w:t>
            </w:r>
            <w:r w:rsidR="002275C8">
              <w:rPr>
                <w:rFonts w:asciiTheme="majorBidi" w:hAnsiTheme="majorBidi" w:cstheme="majorBidi"/>
              </w:rPr>
              <w:t>D</w:t>
            </w:r>
            <w:r w:rsidRPr="007521AD">
              <w:rPr>
                <w:rFonts w:asciiTheme="majorBidi" w:hAnsiTheme="majorBidi" w:cstheme="majorBidi"/>
              </w:rPr>
              <w:t xml:space="preserve">ata from </w:t>
            </w:r>
            <w:r w:rsidR="002275C8">
              <w:rPr>
                <w:rFonts w:asciiTheme="majorBidi" w:hAnsiTheme="majorBidi" w:cstheme="majorBidi"/>
              </w:rPr>
              <w:t>P</w:t>
            </w:r>
            <w:r w:rsidRPr="007521AD">
              <w:rPr>
                <w:rFonts w:asciiTheme="majorBidi" w:hAnsiTheme="majorBidi" w:cstheme="majorBidi"/>
              </w:rPr>
              <w:t xml:space="preserve">roject </w:t>
            </w:r>
            <w:r w:rsidR="002275C8">
              <w:rPr>
                <w:rFonts w:asciiTheme="majorBidi" w:hAnsiTheme="majorBidi" w:cstheme="majorBidi"/>
              </w:rPr>
              <w:t>P</w:t>
            </w:r>
            <w:r w:rsidRPr="007521AD">
              <w:rPr>
                <w:rFonts w:asciiTheme="majorBidi" w:hAnsiTheme="majorBidi" w:cstheme="majorBidi"/>
              </w:rPr>
              <w:t xml:space="preserve">artners </w:t>
            </w:r>
            <w:r w:rsidRPr="007521AD">
              <w:rPr>
                <w:rFonts w:asciiTheme="majorBidi" w:hAnsiTheme="majorBidi" w:cstheme="majorBidi"/>
                <w:szCs w:val="22"/>
              </w:rPr>
              <w:t>(Attachment E.1)</w:t>
            </w:r>
          </w:p>
        </w:tc>
        <w:tc>
          <w:tcPr>
            <w:tcW w:w="3510" w:type="dxa"/>
            <w:tcBorders>
              <w:top w:val="single" w:sz="4" w:space="0" w:color="auto"/>
            </w:tcBorders>
          </w:tcPr>
          <w:p w:rsidR="003E5A3D" w:rsidRPr="007521AD" w:rsidP="003E5A3D" w14:paraId="6A245B11" w14:textId="7F7283C1">
            <w:pPr>
              <w:pStyle w:val="BodyText"/>
              <w:rPr>
                <w:rFonts w:asciiTheme="majorBidi" w:hAnsiTheme="majorBidi" w:cstheme="majorBidi"/>
                <w:szCs w:val="22"/>
              </w:rPr>
            </w:pPr>
            <w:r w:rsidRPr="007521AD">
              <w:rPr>
                <w:rFonts w:asciiTheme="majorBidi" w:hAnsiTheme="majorBidi" w:cstheme="majorBidi"/>
                <w:szCs w:val="22"/>
              </w:rPr>
              <w:t xml:space="preserve">Project partner satisfaction data capture satisfaction with ETM communication, supports, and </w:t>
            </w:r>
            <w:r w:rsidRPr="007521AD" w:rsidR="0083015D">
              <w:rPr>
                <w:rFonts w:asciiTheme="majorBidi" w:hAnsiTheme="majorBidi" w:cstheme="majorBidi"/>
                <w:szCs w:val="22"/>
              </w:rPr>
              <w:t>training</w:t>
            </w:r>
            <w:r w:rsidRPr="007521AD">
              <w:rPr>
                <w:rFonts w:asciiTheme="majorBidi" w:hAnsiTheme="majorBidi" w:cstheme="majorBidi"/>
                <w:szCs w:val="22"/>
              </w:rPr>
              <w:t>.</w:t>
            </w:r>
          </w:p>
        </w:tc>
        <w:tc>
          <w:tcPr>
            <w:tcW w:w="3692" w:type="dxa"/>
            <w:gridSpan w:val="2"/>
            <w:tcBorders>
              <w:top w:val="single" w:sz="4" w:space="0" w:color="auto"/>
            </w:tcBorders>
          </w:tcPr>
          <w:p w:rsidR="003E5A3D" w:rsidRPr="007521AD" w:rsidP="004971C2" w14:paraId="0FC69B62" w14:textId="69F969FB">
            <w:pPr>
              <w:pStyle w:val="BodyText"/>
              <w:numPr>
                <w:ilvl w:val="0"/>
                <w:numId w:val="18"/>
              </w:numPr>
              <w:spacing w:after="0"/>
              <w:ind w:left="216" w:hanging="216"/>
              <w:rPr>
                <w:rFonts w:asciiTheme="majorBidi" w:hAnsiTheme="majorBidi" w:cstheme="majorBidi"/>
                <w:szCs w:val="22"/>
              </w:rPr>
            </w:pPr>
            <w:r w:rsidRPr="007521AD">
              <w:rPr>
                <w:rFonts w:asciiTheme="majorBidi" w:hAnsiTheme="majorBidi" w:cstheme="majorBidi"/>
                <w:szCs w:val="22"/>
              </w:rPr>
              <w:t>Assess the quality of program delivery from the project partner perspective and inform CQI efforts to enhance service effectiveness (TA)</w:t>
            </w:r>
          </w:p>
        </w:tc>
      </w:tr>
      <w:tr w14:paraId="657110D2" w14:textId="77777777" w:rsidTr="008B7276">
        <w:tblPrEx>
          <w:tblW w:w="9540" w:type="dxa"/>
          <w:tblLayout w:type="fixed"/>
          <w:tblLook w:val="04A0"/>
        </w:tblPrEx>
        <w:tc>
          <w:tcPr>
            <w:tcW w:w="2338" w:type="dxa"/>
            <w:shd w:val="clear" w:color="auto" w:fill="EAEAEA"/>
          </w:tcPr>
          <w:p w:rsidR="003E5A3D" w:rsidRPr="000E624F" w:rsidP="003E5A3D" w14:paraId="031A32D9" w14:textId="38EC77FC">
            <w:pPr>
              <w:pStyle w:val="BodyText"/>
              <w:rPr>
                <w:rFonts w:asciiTheme="majorBidi" w:hAnsiTheme="majorBidi" w:cstheme="majorBidi"/>
                <w:b/>
                <w:bCs/>
                <w:i/>
                <w:iCs/>
                <w:sz w:val="22"/>
                <w:szCs w:val="22"/>
                <w:vertAlign w:val="superscript"/>
              </w:rPr>
            </w:pPr>
            <w:r w:rsidRPr="007521AD">
              <w:rPr>
                <w:rFonts w:asciiTheme="majorBidi" w:hAnsiTheme="majorBidi" w:cstheme="majorBidi"/>
                <w:b/>
                <w:i/>
                <w:szCs w:val="22"/>
              </w:rPr>
              <w:t>Education and Employment Outcomes</w:t>
            </w:r>
            <w:r w:rsidR="000E624F">
              <w:rPr>
                <w:rFonts w:asciiTheme="majorBidi" w:hAnsiTheme="majorBidi" w:cstheme="majorBidi"/>
                <w:b/>
                <w:i/>
                <w:szCs w:val="22"/>
                <w:vertAlign w:val="superscript"/>
              </w:rPr>
              <w:t>a</w:t>
            </w:r>
          </w:p>
        </w:tc>
        <w:tc>
          <w:tcPr>
            <w:tcW w:w="3510" w:type="dxa"/>
            <w:shd w:val="clear" w:color="auto" w:fill="EAEAEA"/>
          </w:tcPr>
          <w:p w:rsidR="003E5A3D" w:rsidRPr="007521AD" w:rsidP="003E5A3D" w14:paraId="1F1D5A25" w14:textId="77777777">
            <w:pPr>
              <w:pStyle w:val="BodyText"/>
              <w:rPr>
                <w:rFonts w:asciiTheme="majorBidi" w:hAnsiTheme="majorBidi" w:cstheme="majorBidi"/>
                <w:b/>
                <w:bCs/>
                <w:i/>
                <w:iCs/>
                <w:sz w:val="22"/>
                <w:szCs w:val="22"/>
              </w:rPr>
            </w:pPr>
          </w:p>
        </w:tc>
        <w:tc>
          <w:tcPr>
            <w:tcW w:w="3692" w:type="dxa"/>
            <w:gridSpan w:val="2"/>
            <w:shd w:val="clear" w:color="auto" w:fill="EAEAEA"/>
          </w:tcPr>
          <w:p w:rsidR="003E5A3D" w:rsidRPr="007521AD" w:rsidP="003E5A3D" w14:paraId="4417F078" w14:textId="77777777">
            <w:pPr>
              <w:pStyle w:val="BodyText"/>
              <w:rPr>
                <w:rFonts w:asciiTheme="majorBidi" w:hAnsiTheme="majorBidi" w:cstheme="majorBidi"/>
                <w:b/>
                <w:bCs/>
                <w:i/>
                <w:iCs/>
                <w:sz w:val="22"/>
                <w:szCs w:val="22"/>
              </w:rPr>
            </w:pPr>
          </w:p>
        </w:tc>
      </w:tr>
      <w:tr w14:paraId="62744880" w14:textId="77777777" w:rsidTr="008B7276">
        <w:tblPrEx>
          <w:tblW w:w="9540" w:type="dxa"/>
          <w:tblLayout w:type="fixed"/>
          <w:tblLook w:val="04A0"/>
        </w:tblPrEx>
        <w:tc>
          <w:tcPr>
            <w:tcW w:w="2338" w:type="dxa"/>
            <w:tcBorders>
              <w:top w:val="single" w:sz="4" w:space="0" w:color="auto"/>
              <w:bottom w:val="single" w:sz="4" w:space="0" w:color="auto"/>
            </w:tcBorders>
            <w:shd w:val="clear" w:color="auto" w:fill="FFFFFF" w:themeFill="background1"/>
          </w:tcPr>
          <w:p w:rsidR="003E5A3D" w:rsidRPr="007521AD" w:rsidP="003E5A3D" w14:paraId="24253A8C" w14:textId="2AE84750">
            <w:pPr>
              <w:pStyle w:val="BodyText"/>
              <w:rPr>
                <w:rFonts w:asciiTheme="majorBidi" w:hAnsiTheme="majorBidi" w:cstheme="majorBidi"/>
                <w:sz w:val="22"/>
                <w:szCs w:val="22"/>
              </w:rPr>
            </w:pPr>
            <w:r w:rsidRPr="007521AD">
              <w:rPr>
                <w:rFonts w:asciiTheme="majorBidi" w:hAnsiTheme="majorBidi" w:cstheme="majorBidi"/>
                <w:szCs w:val="22"/>
              </w:rPr>
              <w:t xml:space="preserve">Information on </w:t>
            </w:r>
            <w:r w:rsidR="002275C8">
              <w:rPr>
                <w:rFonts w:asciiTheme="majorBidi" w:hAnsiTheme="majorBidi" w:cstheme="majorBidi"/>
                <w:szCs w:val="22"/>
              </w:rPr>
              <w:t>O</w:t>
            </w:r>
            <w:r w:rsidRPr="007521AD">
              <w:rPr>
                <w:rFonts w:asciiTheme="majorBidi" w:hAnsiTheme="majorBidi" w:cstheme="majorBidi"/>
                <w:szCs w:val="22"/>
              </w:rPr>
              <w:t xml:space="preserve">utcomes </w:t>
            </w:r>
            <w:r w:rsidR="002275C8">
              <w:rPr>
                <w:rFonts w:asciiTheme="majorBidi" w:hAnsiTheme="majorBidi" w:cstheme="majorBidi"/>
                <w:szCs w:val="22"/>
              </w:rPr>
              <w:t>R</w:t>
            </w:r>
            <w:r w:rsidRPr="007521AD">
              <w:rPr>
                <w:rFonts w:asciiTheme="majorBidi" w:hAnsiTheme="majorBidi" w:cstheme="majorBidi"/>
                <w:szCs w:val="22"/>
              </w:rPr>
              <w:t>ecorded by ETM and</w:t>
            </w:r>
            <w:r w:rsidR="004C1CDD">
              <w:rPr>
                <w:rFonts w:asciiTheme="majorBidi" w:hAnsiTheme="majorBidi" w:cstheme="majorBidi"/>
                <w:szCs w:val="22"/>
              </w:rPr>
              <w:t xml:space="preserve"> American Job Center</w:t>
            </w:r>
            <w:r w:rsidRPr="007521AD">
              <w:rPr>
                <w:rFonts w:asciiTheme="majorBidi" w:hAnsiTheme="majorBidi" w:cstheme="majorBidi"/>
                <w:szCs w:val="22"/>
              </w:rPr>
              <w:t xml:space="preserve"> </w:t>
            </w:r>
            <w:r w:rsidR="004C1CDD">
              <w:rPr>
                <w:rFonts w:asciiTheme="majorBidi" w:hAnsiTheme="majorBidi" w:cstheme="majorBidi"/>
                <w:szCs w:val="22"/>
              </w:rPr>
              <w:t>(</w:t>
            </w:r>
            <w:r w:rsidRPr="007521AD">
              <w:rPr>
                <w:rFonts w:asciiTheme="majorBidi" w:hAnsiTheme="majorBidi" w:cstheme="majorBidi"/>
                <w:szCs w:val="22"/>
              </w:rPr>
              <w:t>AJC</w:t>
            </w:r>
            <w:r w:rsidR="004C1CDD">
              <w:rPr>
                <w:rFonts w:asciiTheme="majorBidi" w:hAnsiTheme="majorBidi" w:cstheme="majorBidi"/>
                <w:szCs w:val="22"/>
              </w:rPr>
              <w:t>)</w:t>
            </w:r>
            <w:r w:rsidRPr="007521AD">
              <w:rPr>
                <w:rFonts w:asciiTheme="majorBidi" w:hAnsiTheme="majorBidi" w:cstheme="majorBidi"/>
                <w:szCs w:val="22"/>
              </w:rPr>
              <w:t xml:space="preserve"> </w:t>
            </w:r>
            <w:r w:rsidR="002275C8">
              <w:rPr>
                <w:rFonts w:asciiTheme="majorBidi" w:hAnsiTheme="majorBidi" w:cstheme="majorBidi"/>
                <w:szCs w:val="22"/>
              </w:rPr>
              <w:t>S</w:t>
            </w:r>
            <w:r w:rsidRPr="007521AD">
              <w:rPr>
                <w:rFonts w:asciiTheme="majorBidi" w:hAnsiTheme="majorBidi" w:cstheme="majorBidi"/>
                <w:szCs w:val="22"/>
              </w:rPr>
              <w:t>taff (</w:t>
            </w:r>
            <w:r w:rsidRPr="00963AD7" w:rsidR="00963AD7">
              <w:rPr>
                <w:rFonts w:asciiTheme="majorBidi" w:hAnsiTheme="majorBidi" w:cstheme="majorBidi"/>
                <w:szCs w:val="22"/>
              </w:rPr>
              <w:t>Sections D.2-D.9 of Attachment A.1</w:t>
            </w:r>
            <w:r w:rsidRPr="007521AD">
              <w:rPr>
                <w:rFonts w:asciiTheme="majorBidi" w:hAnsiTheme="majorBidi" w:cstheme="majorBidi"/>
                <w:szCs w:val="22"/>
              </w:rPr>
              <w:t>)</w:t>
            </w:r>
          </w:p>
        </w:tc>
        <w:tc>
          <w:tcPr>
            <w:tcW w:w="3510" w:type="dxa"/>
            <w:tcBorders>
              <w:top w:val="single" w:sz="4" w:space="0" w:color="auto"/>
              <w:bottom w:val="single" w:sz="4" w:space="0" w:color="auto"/>
            </w:tcBorders>
            <w:shd w:val="clear" w:color="auto" w:fill="FFFFFF" w:themeFill="background1"/>
          </w:tcPr>
          <w:p w:rsidR="003E5A3D" w:rsidRPr="007521AD" w:rsidP="003E5A3D" w14:paraId="4343D790" w14:textId="6CC2C313">
            <w:pPr>
              <w:pStyle w:val="BodyText"/>
              <w:rPr>
                <w:rFonts w:asciiTheme="majorBidi" w:hAnsiTheme="majorBidi" w:cstheme="majorBidi"/>
                <w:sz w:val="22"/>
                <w:szCs w:val="22"/>
              </w:rPr>
            </w:pPr>
            <w:r w:rsidRPr="007521AD">
              <w:rPr>
                <w:rFonts w:asciiTheme="majorBidi" w:hAnsiTheme="majorBidi" w:cstheme="majorBidi"/>
                <w:szCs w:val="22"/>
              </w:rPr>
              <w:t xml:space="preserve">Outcome data recorded by ETM and AJC staff include standardized fields such as employment status, service receipt, and postsecondary enrollment, captured through </w:t>
            </w:r>
            <w:r w:rsidR="0011629A">
              <w:rPr>
                <w:rFonts w:asciiTheme="majorBidi" w:hAnsiTheme="majorBidi" w:cstheme="majorBidi"/>
                <w:szCs w:val="22"/>
              </w:rPr>
              <w:t>Participant Individual Record Layout (</w:t>
            </w:r>
            <w:r w:rsidRPr="007521AD">
              <w:rPr>
                <w:rFonts w:asciiTheme="majorBidi" w:hAnsiTheme="majorBidi" w:cstheme="majorBidi"/>
                <w:szCs w:val="22"/>
              </w:rPr>
              <w:t>PIRL</w:t>
            </w:r>
            <w:r w:rsidR="0011629A">
              <w:rPr>
                <w:rFonts w:asciiTheme="majorBidi" w:hAnsiTheme="majorBidi" w:cstheme="majorBidi"/>
                <w:szCs w:val="22"/>
              </w:rPr>
              <w:t>)</w:t>
            </w:r>
            <w:r w:rsidRPr="007521AD">
              <w:rPr>
                <w:rFonts w:asciiTheme="majorBidi" w:hAnsiTheme="majorBidi" w:cstheme="majorBidi"/>
                <w:szCs w:val="22"/>
              </w:rPr>
              <w:t>-like record layouts and aligned with DOL reporting formats.</w:t>
            </w:r>
          </w:p>
        </w:tc>
        <w:tc>
          <w:tcPr>
            <w:tcW w:w="3692" w:type="dxa"/>
            <w:gridSpan w:val="2"/>
            <w:tcBorders>
              <w:top w:val="single" w:sz="4" w:space="0" w:color="auto"/>
              <w:bottom w:val="single" w:sz="4" w:space="0" w:color="auto"/>
            </w:tcBorders>
            <w:shd w:val="clear" w:color="auto" w:fill="FFFFFF" w:themeFill="background1"/>
          </w:tcPr>
          <w:p w:rsidR="003E5A3D" w:rsidRPr="007521AD" w:rsidP="00BD5300" w14:paraId="0E90AD44" w14:textId="468C16D1">
            <w:pPr>
              <w:pStyle w:val="BodyText"/>
              <w:numPr>
                <w:ilvl w:val="0"/>
                <w:numId w:val="32"/>
              </w:numPr>
              <w:spacing w:after="0"/>
              <w:rPr>
                <w:rFonts w:asciiTheme="majorBidi" w:hAnsiTheme="majorBidi" w:cstheme="majorBidi"/>
                <w:szCs w:val="22"/>
              </w:rPr>
            </w:pPr>
            <w:r w:rsidRPr="007521AD">
              <w:rPr>
                <w:rFonts w:asciiTheme="majorBidi" w:hAnsiTheme="majorBidi" w:cstheme="majorBidi"/>
                <w:szCs w:val="22"/>
              </w:rPr>
              <w:t>Monitor participant progress and support continuous quality improvement (TA)</w:t>
            </w:r>
          </w:p>
          <w:p w:rsidR="003E5A3D" w:rsidRPr="007521AD" w:rsidP="00BD5300" w14:paraId="1CB18CD3" w14:textId="38BC60B0">
            <w:pPr>
              <w:pStyle w:val="BodyText"/>
              <w:numPr>
                <w:ilvl w:val="0"/>
                <w:numId w:val="32"/>
              </w:numPr>
              <w:spacing w:after="0"/>
              <w:rPr>
                <w:rFonts w:asciiTheme="majorBidi" w:hAnsiTheme="majorBidi" w:cstheme="majorBidi"/>
                <w:szCs w:val="22"/>
              </w:rPr>
            </w:pPr>
            <w:r w:rsidRPr="007521AD">
              <w:rPr>
                <w:rFonts w:asciiTheme="majorBidi" w:hAnsiTheme="majorBidi" w:cstheme="majorBidi"/>
                <w:szCs w:val="22"/>
              </w:rPr>
              <w:t xml:space="preserve">Provide outcome data not available in </w:t>
            </w:r>
            <w:r w:rsidR="00A2386B">
              <w:rPr>
                <w:rFonts w:asciiTheme="majorBidi" w:hAnsiTheme="majorBidi" w:cstheme="majorBidi"/>
                <w:szCs w:val="22"/>
              </w:rPr>
              <w:t>National Directory of New Hires (</w:t>
            </w:r>
            <w:r w:rsidRPr="007521AD">
              <w:rPr>
                <w:rFonts w:asciiTheme="majorBidi" w:hAnsiTheme="majorBidi" w:cstheme="majorBidi"/>
                <w:szCs w:val="22"/>
              </w:rPr>
              <w:t>NDNH</w:t>
            </w:r>
            <w:r w:rsidR="00A2386B">
              <w:rPr>
                <w:rFonts w:asciiTheme="majorBidi" w:hAnsiTheme="majorBidi" w:cstheme="majorBidi"/>
                <w:szCs w:val="22"/>
              </w:rPr>
              <w:t>)</w:t>
            </w:r>
            <w:r w:rsidRPr="007521AD">
              <w:rPr>
                <w:rFonts w:asciiTheme="majorBidi" w:hAnsiTheme="majorBidi" w:cstheme="majorBidi"/>
                <w:szCs w:val="22"/>
              </w:rPr>
              <w:t xml:space="preserve"> and</w:t>
            </w:r>
            <w:r w:rsidR="00A2386B">
              <w:rPr>
                <w:rFonts w:asciiTheme="majorBidi" w:hAnsiTheme="majorBidi" w:cstheme="majorBidi"/>
                <w:szCs w:val="22"/>
              </w:rPr>
              <w:t xml:space="preserve"> National Student Clearinghouse</w:t>
            </w:r>
            <w:r w:rsidRPr="007521AD">
              <w:rPr>
                <w:rFonts w:asciiTheme="majorBidi" w:hAnsiTheme="majorBidi" w:cstheme="majorBidi"/>
                <w:szCs w:val="22"/>
              </w:rPr>
              <w:t xml:space="preserve"> </w:t>
            </w:r>
            <w:r w:rsidR="00A2386B">
              <w:rPr>
                <w:rFonts w:asciiTheme="majorBidi" w:hAnsiTheme="majorBidi" w:cstheme="majorBidi"/>
                <w:szCs w:val="22"/>
              </w:rPr>
              <w:t>(</w:t>
            </w:r>
            <w:r w:rsidRPr="007521AD">
              <w:rPr>
                <w:rFonts w:asciiTheme="majorBidi" w:hAnsiTheme="majorBidi" w:cstheme="majorBidi"/>
                <w:szCs w:val="22"/>
              </w:rPr>
              <w:t>NSC</w:t>
            </w:r>
            <w:r w:rsidR="00A2386B">
              <w:rPr>
                <w:rFonts w:asciiTheme="majorBidi" w:hAnsiTheme="majorBidi" w:cstheme="majorBidi"/>
                <w:szCs w:val="22"/>
              </w:rPr>
              <w:t>)</w:t>
            </w:r>
            <w:r w:rsidRPr="007521AD">
              <w:rPr>
                <w:rFonts w:asciiTheme="majorBidi" w:hAnsiTheme="majorBidi" w:cstheme="majorBidi"/>
                <w:szCs w:val="22"/>
              </w:rPr>
              <w:t xml:space="preserve"> datasets (evaluation)</w:t>
            </w:r>
          </w:p>
        </w:tc>
      </w:tr>
    </w:tbl>
    <w:p w:rsidR="008C70A4" w:rsidRPr="00BE34F8" w:rsidP="000A3135" w14:paraId="234CBAA3" w14:textId="077DC13B">
      <w:pPr>
        <w:pStyle w:val="BodyText"/>
        <w:rPr>
          <w:sz w:val="18"/>
          <w:szCs w:val="18"/>
        </w:rPr>
      </w:pPr>
      <w:r w:rsidRPr="00BE34F8">
        <w:rPr>
          <w:rFonts w:asciiTheme="majorBidi" w:hAnsiTheme="majorBidi" w:cstheme="majorBidi"/>
          <w:sz w:val="18"/>
          <w:szCs w:val="18"/>
        </w:rPr>
        <w:t xml:space="preserve">Note: (a). Additional data collection activities are not associated with </w:t>
      </w:r>
      <w:r w:rsidRPr="00BE34F8" w:rsidR="00DA69AA">
        <w:rPr>
          <w:rFonts w:asciiTheme="majorBidi" w:hAnsiTheme="majorBidi" w:cstheme="majorBidi"/>
          <w:sz w:val="18"/>
          <w:szCs w:val="18"/>
        </w:rPr>
        <w:t xml:space="preserve">response </w:t>
      </w:r>
      <w:r w:rsidRPr="00BE34F8">
        <w:rPr>
          <w:rFonts w:asciiTheme="majorBidi" w:hAnsiTheme="majorBidi" w:cstheme="majorBidi"/>
          <w:sz w:val="18"/>
          <w:szCs w:val="18"/>
        </w:rPr>
        <w:t>burden because they relate to the use of federal administrative datasets and thus they are not a part of this clearance request. Specifically, the evaluation will use NDNH data to study participants’ employment trajectories during and after program participation. The NDNHA data will include quarterly indicators of employment status and UI-covered earnings, for ETM participants, matched via Social Security Number. The evaluation will also use data from NSC on postsecondary enrollment history, institution type, field of study, and degree or certificate completion, matched using Social Security Number.</w:t>
      </w:r>
    </w:p>
    <w:p w:rsidR="008C70A4" w:rsidP="000A3135" w14:paraId="1DC5D889" w14:textId="77777777">
      <w:pPr>
        <w:pStyle w:val="BodyText"/>
      </w:pPr>
    </w:p>
    <w:p w:rsidR="000A3135" w:rsidRPr="00F97561" w:rsidP="000A3135" w14:paraId="17016A1F" w14:textId="51A0B829">
      <w:pPr>
        <w:pStyle w:val="BodyText"/>
      </w:pPr>
      <w:r w:rsidRPr="00F97561">
        <w:t>Note</w:t>
      </w:r>
      <w:r>
        <w:t xml:space="preserve"> that program documents</w:t>
      </w:r>
      <w:r w:rsidR="00B9205F">
        <w:t xml:space="preserve"> from grantees</w:t>
      </w:r>
      <w:r>
        <w:t xml:space="preserve"> </w:t>
      </w:r>
      <w:r w:rsidR="00B9205F">
        <w:t>will be collected but are not subject to OMB clearance.</w:t>
      </w:r>
    </w:p>
    <w:p w:rsidR="00E66215" w:rsidRPr="00C25A05" w:rsidP="00C25A05" w14:paraId="6627833C" w14:textId="27C762A7">
      <w:pPr>
        <w:rPr>
          <w:rFonts w:asciiTheme="majorBidi" w:hAnsiTheme="majorBidi" w:cstheme="majorBidi"/>
          <w:b/>
          <w:bCs/>
          <w:sz w:val="24"/>
          <w:szCs w:val="24"/>
        </w:rPr>
      </w:pPr>
      <w:bookmarkStart w:id="6" w:name="A03"/>
      <w:r>
        <w:rPr>
          <w:rFonts w:asciiTheme="majorBidi" w:hAnsiTheme="majorBidi" w:cstheme="majorBidi"/>
          <w:b/>
          <w:bCs/>
          <w:sz w:val="24"/>
          <w:szCs w:val="24"/>
        </w:rPr>
        <w:t>A.</w:t>
      </w:r>
      <w:r w:rsidR="00C25A05">
        <w:rPr>
          <w:rFonts w:asciiTheme="majorBidi" w:hAnsiTheme="majorBidi" w:cstheme="majorBidi"/>
          <w:b/>
          <w:bCs/>
          <w:sz w:val="24"/>
          <w:szCs w:val="24"/>
        </w:rPr>
        <w:t>3.</w:t>
      </w:r>
      <w:bookmarkEnd w:id="6"/>
      <w:r w:rsidR="00C25A05">
        <w:rPr>
          <w:rFonts w:asciiTheme="majorBidi" w:hAnsiTheme="majorBidi" w:cstheme="majorBidi"/>
          <w:b/>
          <w:bCs/>
          <w:sz w:val="24"/>
          <w:szCs w:val="24"/>
        </w:rPr>
        <w:t xml:space="preserve"> </w:t>
      </w:r>
      <w:r w:rsidRPr="00C25A05">
        <w:rPr>
          <w:rFonts w:asciiTheme="majorBidi" w:hAnsiTheme="majorBidi" w:cstheme="majorBidi"/>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66215" w:rsidP="005F625A" w14:paraId="57648A4D" w14:textId="19BB5919">
      <w:pPr>
        <w:rPr>
          <w:rFonts w:ascii="Times New Roman" w:hAnsi="Times New Roman"/>
          <w:sz w:val="24"/>
          <w:szCs w:val="24"/>
        </w:rPr>
      </w:pPr>
      <w:r w:rsidRPr="00E056D6">
        <w:rPr>
          <w:rFonts w:ascii="Times New Roman" w:hAnsi="Times New Roman"/>
          <w:sz w:val="24"/>
          <w:szCs w:val="24"/>
        </w:rPr>
        <w:t>All</w:t>
      </w:r>
      <w:r w:rsidR="0011223C">
        <w:rPr>
          <w:rFonts w:ascii="Times New Roman" w:hAnsi="Times New Roman"/>
          <w:sz w:val="24"/>
          <w:szCs w:val="24"/>
        </w:rPr>
        <w:t xml:space="preserve"> </w:t>
      </w:r>
      <w:r w:rsidR="00613513">
        <w:rPr>
          <w:rFonts w:ascii="Times New Roman" w:hAnsi="Times New Roman"/>
          <w:sz w:val="24"/>
          <w:szCs w:val="24"/>
        </w:rPr>
        <w:t xml:space="preserve">ETM </w:t>
      </w:r>
      <w:r w:rsidR="006501CE">
        <w:rPr>
          <w:rFonts w:ascii="Times New Roman" w:hAnsi="Times New Roman"/>
          <w:sz w:val="24"/>
          <w:szCs w:val="24"/>
        </w:rPr>
        <w:t>participant</w:t>
      </w:r>
      <w:r w:rsidR="0011223C">
        <w:rPr>
          <w:rFonts w:ascii="Times New Roman" w:hAnsi="Times New Roman"/>
          <w:sz w:val="24"/>
          <w:szCs w:val="24"/>
        </w:rPr>
        <w:t xml:space="preserve"> data</w:t>
      </w:r>
      <w:r w:rsidRPr="00E056D6">
        <w:rPr>
          <w:rFonts w:ascii="Times New Roman" w:hAnsi="Times New Roman"/>
          <w:sz w:val="24"/>
          <w:szCs w:val="24"/>
        </w:rPr>
        <w:t xml:space="preserve"> </w:t>
      </w:r>
      <w:r w:rsidR="0011223C">
        <w:rPr>
          <w:rFonts w:ascii="Times New Roman" w:hAnsi="Times New Roman"/>
          <w:sz w:val="24"/>
          <w:szCs w:val="24"/>
        </w:rPr>
        <w:t xml:space="preserve">(i.e., </w:t>
      </w:r>
      <w:r w:rsidR="001F194C">
        <w:rPr>
          <w:rFonts w:ascii="Times New Roman" w:hAnsi="Times New Roman"/>
          <w:sz w:val="24"/>
          <w:szCs w:val="24"/>
        </w:rPr>
        <w:t>Baseline I</w:t>
      </w:r>
      <w:r w:rsidRPr="00E056D6" w:rsidR="001F194C">
        <w:rPr>
          <w:rFonts w:ascii="Times New Roman" w:hAnsi="Times New Roman"/>
          <w:sz w:val="24"/>
          <w:szCs w:val="24"/>
        </w:rPr>
        <w:t xml:space="preserve">ntake </w:t>
      </w:r>
      <w:r w:rsidR="001F194C">
        <w:rPr>
          <w:rFonts w:ascii="Times New Roman" w:hAnsi="Times New Roman"/>
          <w:sz w:val="24"/>
          <w:szCs w:val="24"/>
        </w:rPr>
        <w:t>D</w:t>
      </w:r>
      <w:r w:rsidRPr="00E056D6" w:rsidR="001F194C">
        <w:rPr>
          <w:rFonts w:ascii="Times New Roman" w:hAnsi="Times New Roman"/>
          <w:sz w:val="24"/>
          <w:szCs w:val="24"/>
        </w:rPr>
        <w:t>ata</w:t>
      </w:r>
      <w:r w:rsidRPr="00E056D6">
        <w:rPr>
          <w:rFonts w:ascii="Times New Roman" w:hAnsi="Times New Roman"/>
          <w:sz w:val="24"/>
          <w:szCs w:val="24"/>
        </w:rPr>
        <w:t xml:space="preserve">, </w:t>
      </w:r>
      <w:r w:rsidR="001F194C">
        <w:rPr>
          <w:rFonts w:ascii="Times New Roman" w:hAnsi="Times New Roman"/>
          <w:sz w:val="24"/>
          <w:szCs w:val="24"/>
        </w:rPr>
        <w:t>S</w:t>
      </w:r>
      <w:r w:rsidRPr="00E056D6" w:rsidR="001F194C">
        <w:rPr>
          <w:rFonts w:ascii="Times New Roman" w:hAnsi="Times New Roman"/>
          <w:sz w:val="24"/>
          <w:szCs w:val="24"/>
        </w:rPr>
        <w:t xml:space="preserve">ervice </w:t>
      </w:r>
      <w:r w:rsidR="001F194C">
        <w:rPr>
          <w:rFonts w:ascii="Times New Roman" w:hAnsi="Times New Roman"/>
          <w:sz w:val="24"/>
          <w:szCs w:val="24"/>
        </w:rPr>
        <w:t>R</w:t>
      </w:r>
      <w:r w:rsidRPr="00E056D6" w:rsidR="001F194C">
        <w:rPr>
          <w:rFonts w:ascii="Times New Roman" w:hAnsi="Times New Roman"/>
          <w:sz w:val="24"/>
          <w:szCs w:val="24"/>
        </w:rPr>
        <w:t xml:space="preserve">eceipt </w:t>
      </w:r>
      <w:r w:rsidR="0092297E">
        <w:rPr>
          <w:rFonts w:ascii="Times New Roman" w:hAnsi="Times New Roman"/>
          <w:sz w:val="24"/>
          <w:szCs w:val="24"/>
        </w:rPr>
        <w:t>D</w:t>
      </w:r>
      <w:r w:rsidRPr="00E056D6" w:rsidR="0092297E">
        <w:rPr>
          <w:rFonts w:ascii="Times New Roman" w:hAnsi="Times New Roman"/>
          <w:sz w:val="24"/>
          <w:szCs w:val="24"/>
        </w:rPr>
        <w:t>ata</w:t>
      </w:r>
      <w:r w:rsidR="00CB117C">
        <w:rPr>
          <w:rFonts w:ascii="Times New Roman" w:hAnsi="Times New Roman"/>
          <w:sz w:val="24"/>
          <w:szCs w:val="24"/>
        </w:rPr>
        <w:t>)</w:t>
      </w:r>
      <w:r w:rsidRPr="00E056D6" w:rsidR="00D8791E">
        <w:rPr>
          <w:rFonts w:ascii="Times New Roman" w:hAnsi="Times New Roman"/>
          <w:sz w:val="24"/>
          <w:szCs w:val="24"/>
        </w:rPr>
        <w:t xml:space="preserve"> and</w:t>
      </w:r>
      <w:r w:rsidRPr="00E056D6">
        <w:rPr>
          <w:rFonts w:ascii="Times New Roman" w:hAnsi="Times New Roman"/>
          <w:sz w:val="24"/>
          <w:szCs w:val="24"/>
        </w:rPr>
        <w:t xml:space="preserve"> </w:t>
      </w:r>
      <w:r w:rsidR="00613513">
        <w:rPr>
          <w:rFonts w:ascii="Times New Roman" w:hAnsi="Times New Roman"/>
          <w:sz w:val="24"/>
          <w:szCs w:val="24"/>
        </w:rPr>
        <w:t xml:space="preserve">ETM </w:t>
      </w:r>
      <w:r w:rsidR="008B0F31">
        <w:rPr>
          <w:rFonts w:ascii="Times New Roman" w:hAnsi="Times New Roman"/>
          <w:sz w:val="24"/>
          <w:szCs w:val="24"/>
        </w:rPr>
        <w:t>staff</w:t>
      </w:r>
      <w:r w:rsidR="00CB117C">
        <w:rPr>
          <w:rFonts w:ascii="Times New Roman" w:hAnsi="Times New Roman"/>
          <w:sz w:val="24"/>
          <w:szCs w:val="24"/>
        </w:rPr>
        <w:t>-</w:t>
      </w:r>
      <w:r w:rsidR="008B0F31">
        <w:rPr>
          <w:rFonts w:ascii="Times New Roman" w:hAnsi="Times New Roman"/>
          <w:sz w:val="24"/>
          <w:szCs w:val="24"/>
        </w:rPr>
        <w:t xml:space="preserve">generated </w:t>
      </w:r>
      <w:r w:rsidRPr="00E056D6">
        <w:rPr>
          <w:rFonts w:ascii="Times New Roman" w:hAnsi="Times New Roman"/>
          <w:sz w:val="24"/>
          <w:szCs w:val="24"/>
        </w:rPr>
        <w:t xml:space="preserve">outcome data </w:t>
      </w:r>
      <w:r w:rsidR="00682054">
        <w:rPr>
          <w:rFonts w:ascii="Times New Roman" w:hAnsi="Times New Roman"/>
          <w:sz w:val="24"/>
          <w:szCs w:val="24"/>
        </w:rPr>
        <w:t xml:space="preserve">may </w:t>
      </w:r>
      <w:r w:rsidRPr="00E056D6">
        <w:rPr>
          <w:rFonts w:ascii="Times New Roman" w:hAnsi="Times New Roman"/>
          <w:sz w:val="24"/>
          <w:szCs w:val="24"/>
        </w:rPr>
        <w:t>be integrated into grantees</w:t>
      </w:r>
      <w:r w:rsidR="00430379">
        <w:rPr>
          <w:rFonts w:ascii="Times New Roman" w:hAnsi="Times New Roman"/>
          <w:sz w:val="24"/>
          <w:szCs w:val="24"/>
        </w:rPr>
        <w:t>’</w:t>
      </w:r>
      <w:r w:rsidRPr="00E056D6">
        <w:rPr>
          <w:rFonts w:ascii="Times New Roman" w:hAnsi="Times New Roman"/>
          <w:sz w:val="24"/>
          <w:szCs w:val="24"/>
        </w:rPr>
        <w:t xml:space="preserve"> existing management information sy</w:t>
      </w:r>
      <w:r w:rsidRPr="00E056D6" w:rsidR="00F1126A">
        <w:rPr>
          <w:rFonts w:ascii="Times New Roman" w:hAnsi="Times New Roman"/>
          <w:sz w:val="24"/>
          <w:szCs w:val="24"/>
        </w:rPr>
        <w:t xml:space="preserve">stems </w:t>
      </w:r>
      <w:r w:rsidRPr="00E056D6" w:rsidR="001843C3">
        <w:rPr>
          <w:rFonts w:ascii="Times New Roman" w:hAnsi="Times New Roman"/>
          <w:sz w:val="24"/>
          <w:szCs w:val="24"/>
        </w:rPr>
        <w:t xml:space="preserve">(MIS) </w:t>
      </w:r>
      <w:r w:rsidRPr="00E056D6" w:rsidR="00F1126A">
        <w:rPr>
          <w:rFonts w:ascii="Times New Roman" w:hAnsi="Times New Roman"/>
          <w:sz w:val="24"/>
          <w:szCs w:val="24"/>
        </w:rPr>
        <w:t xml:space="preserve">to reduce burden on administrators, demonstration staff, and </w:t>
      </w:r>
      <w:r w:rsidRPr="00E056D6" w:rsidR="009A2934">
        <w:rPr>
          <w:rFonts w:ascii="Times New Roman" w:hAnsi="Times New Roman"/>
          <w:sz w:val="24"/>
          <w:szCs w:val="24"/>
        </w:rPr>
        <w:t xml:space="preserve">participants. This will make data collection seamless and a part of regular case management </w:t>
      </w:r>
      <w:r w:rsidRPr="00E056D6" w:rsidR="00BE3BA8">
        <w:rPr>
          <w:rFonts w:ascii="Times New Roman" w:hAnsi="Times New Roman"/>
          <w:sz w:val="24"/>
          <w:szCs w:val="24"/>
        </w:rPr>
        <w:t xml:space="preserve">updates. </w:t>
      </w:r>
      <w:r w:rsidR="00AD6885">
        <w:rPr>
          <w:rFonts w:ascii="Times New Roman" w:hAnsi="Times New Roman"/>
          <w:sz w:val="24"/>
          <w:szCs w:val="24"/>
        </w:rPr>
        <w:t>Participant data</w:t>
      </w:r>
      <w:r w:rsidR="00091715">
        <w:rPr>
          <w:rFonts w:ascii="Times New Roman" w:hAnsi="Times New Roman"/>
          <w:sz w:val="24"/>
          <w:szCs w:val="24"/>
        </w:rPr>
        <w:t xml:space="preserve"> </w:t>
      </w:r>
      <w:r w:rsidR="00AD6885">
        <w:rPr>
          <w:rFonts w:ascii="Times New Roman" w:hAnsi="Times New Roman"/>
          <w:sz w:val="24"/>
          <w:szCs w:val="24"/>
        </w:rPr>
        <w:t xml:space="preserve">collected by grantees </w:t>
      </w:r>
      <w:r w:rsidR="00091715">
        <w:rPr>
          <w:rFonts w:ascii="Times New Roman" w:hAnsi="Times New Roman"/>
          <w:sz w:val="24"/>
          <w:szCs w:val="24"/>
        </w:rPr>
        <w:t xml:space="preserve">will be submitted </w:t>
      </w:r>
      <w:r w:rsidR="00357B08">
        <w:rPr>
          <w:rFonts w:ascii="Times New Roman" w:hAnsi="Times New Roman"/>
          <w:sz w:val="24"/>
          <w:szCs w:val="24"/>
        </w:rPr>
        <w:t>electronically to DOL quarterly</w:t>
      </w:r>
      <w:r w:rsidR="0037607B">
        <w:rPr>
          <w:rFonts w:ascii="Times New Roman" w:hAnsi="Times New Roman"/>
          <w:sz w:val="24"/>
          <w:szCs w:val="24"/>
        </w:rPr>
        <w:t xml:space="preserve"> </w:t>
      </w:r>
      <w:r w:rsidR="000E1219">
        <w:rPr>
          <w:rFonts w:ascii="Times New Roman" w:hAnsi="Times New Roman"/>
          <w:sz w:val="24"/>
          <w:szCs w:val="24"/>
        </w:rPr>
        <w:t>as specified in</w:t>
      </w:r>
      <w:r w:rsidR="0037607B">
        <w:rPr>
          <w:rFonts w:ascii="Times New Roman" w:hAnsi="Times New Roman"/>
          <w:sz w:val="24"/>
          <w:szCs w:val="24"/>
        </w:rPr>
        <w:t xml:space="preserve"> the ODEP-developed </w:t>
      </w:r>
      <w:r w:rsidRPr="005F625A" w:rsidR="005F625A">
        <w:rPr>
          <w:rFonts w:ascii="Times New Roman" w:hAnsi="Times New Roman"/>
          <w:sz w:val="24"/>
          <w:szCs w:val="24"/>
        </w:rPr>
        <w:t>Quarterly Progress Report</w:t>
      </w:r>
      <w:r w:rsidR="005F625A">
        <w:rPr>
          <w:rFonts w:ascii="Times New Roman" w:hAnsi="Times New Roman"/>
          <w:sz w:val="24"/>
          <w:szCs w:val="24"/>
        </w:rPr>
        <w:t xml:space="preserve">: </w:t>
      </w:r>
      <w:r w:rsidRPr="005F625A" w:rsidR="005F625A">
        <w:rPr>
          <w:rFonts w:ascii="Times New Roman" w:hAnsi="Times New Roman"/>
          <w:sz w:val="24"/>
          <w:szCs w:val="24"/>
        </w:rPr>
        <w:t>Appendix A</w:t>
      </w:r>
      <w:r w:rsidR="005F625A">
        <w:rPr>
          <w:rFonts w:ascii="Times New Roman" w:hAnsi="Times New Roman"/>
          <w:sz w:val="24"/>
          <w:szCs w:val="24"/>
        </w:rPr>
        <w:t>.</w:t>
      </w:r>
    </w:p>
    <w:p w:rsidR="006501CE" w:rsidP="005F625A" w14:paraId="7C077174" w14:textId="5089E6EE">
      <w:pPr>
        <w:rPr>
          <w:rFonts w:asciiTheme="majorBidi" w:hAnsiTheme="majorBidi" w:cstheme="majorBidi"/>
          <w:sz w:val="24"/>
          <w:szCs w:val="24"/>
        </w:rPr>
      </w:pPr>
      <w:r>
        <w:rPr>
          <w:rFonts w:asciiTheme="majorBidi" w:hAnsiTheme="majorBidi" w:cstheme="majorBidi"/>
          <w:sz w:val="24"/>
          <w:szCs w:val="24"/>
        </w:rPr>
        <w:t>Interviews regarding implementation activities</w:t>
      </w:r>
      <w:r w:rsidR="00E4662B">
        <w:rPr>
          <w:rFonts w:asciiTheme="majorBidi" w:hAnsiTheme="majorBidi" w:cstheme="majorBidi"/>
          <w:sz w:val="24"/>
          <w:szCs w:val="24"/>
        </w:rPr>
        <w:t xml:space="preserve"> may be conducted via teleconference, based on the grantees’ preferences. Interviews regarding partnering activities will be conducted via teleconference</w:t>
      </w:r>
      <w:r w:rsidR="0055418F">
        <w:rPr>
          <w:rFonts w:asciiTheme="majorBidi" w:hAnsiTheme="majorBidi" w:cstheme="majorBidi"/>
          <w:sz w:val="24"/>
          <w:szCs w:val="24"/>
        </w:rPr>
        <w:t xml:space="preserve">. </w:t>
      </w:r>
      <w:r w:rsidR="00DC77A9">
        <w:rPr>
          <w:rFonts w:asciiTheme="majorBidi" w:hAnsiTheme="majorBidi" w:cstheme="majorBidi"/>
          <w:sz w:val="24"/>
          <w:szCs w:val="24"/>
        </w:rPr>
        <w:t xml:space="preserve">For the </w:t>
      </w:r>
      <w:r w:rsidR="00BF4F5C">
        <w:rPr>
          <w:rFonts w:asciiTheme="majorBidi" w:hAnsiTheme="majorBidi" w:cstheme="majorBidi"/>
          <w:sz w:val="24"/>
          <w:szCs w:val="24"/>
        </w:rPr>
        <w:t xml:space="preserve">Customer </w:t>
      </w:r>
      <w:r w:rsidR="00DC77A9">
        <w:rPr>
          <w:rFonts w:asciiTheme="majorBidi" w:hAnsiTheme="majorBidi" w:cstheme="majorBidi"/>
          <w:sz w:val="24"/>
          <w:szCs w:val="24"/>
        </w:rPr>
        <w:t xml:space="preserve">Experiences study, </w:t>
      </w:r>
      <w:r w:rsidR="00E96B36">
        <w:rPr>
          <w:rFonts w:asciiTheme="majorBidi" w:hAnsiTheme="majorBidi" w:cstheme="majorBidi"/>
          <w:sz w:val="24"/>
          <w:szCs w:val="24"/>
        </w:rPr>
        <w:t xml:space="preserve">all </w:t>
      </w:r>
      <w:r w:rsidR="005858AA">
        <w:rPr>
          <w:rFonts w:asciiTheme="majorBidi" w:hAnsiTheme="majorBidi" w:cstheme="majorBidi"/>
          <w:sz w:val="24"/>
          <w:szCs w:val="24"/>
        </w:rPr>
        <w:t>interviews</w:t>
      </w:r>
      <w:r w:rsidR="005A6CA9">
        <w:rPr>
          <w:rFonts w:asciiTheme="majorBidi" w:hAnsiTheme="majorBidi" w:cstheme="majorBidi"/>
          <w:sz w:val="24"/>
          <w:szCs w:val="24"/>
        </w:rPr>
        <w:t xml:space="preserve"> (participant, parent/guardian, employer)</w:t>
      </w:r>
      <w:r w:rsidR="005858AA">
        <w:rPr>
          <w:rFonts w:asciiTheme="majorBidi" w:hAnsiTheme="majorBidi" w:cstheme="majorBidi"/>
          <w:sz w:val="24"/>
          <w:szCs w:val="24"/>
        </w:rPr>
        <w:t xml:space="preserve"> </w:t>
      </w:r>
      <w:r w:rsidR="00E96B36">
        <w:rPr>
          <w:rFonts w:asciiTheme="majorBidi" w:hAnsiTheme="majorBidi" w:cstheme="majorBidi"/>
          <w:sz w:val="24"/>
          <w:szCs w:val="24"/>
        </w:rPr>
        <w:t>will be conducted</w:t>
      </w:r>
      <w:r w:rsidR="00DF1BDC">
        <w:rPr>
          <w:rFonts w:asciiTheme="majorBidi" w:hAnsiTheme="majorBidi" w:cstheme="majorBidi"/>
          <w:sz w:val="24"/>
          <w:szCs w:val="24"/>
        </w:rPr>
        <w:t xml:space="preserve"> either</w:t>
      </w:r>
      <w:r w:rsidR="00E96B36">
        <w:rPr>
          <w:rFonts w:asciiTheme="majorBidi" w:hAnsiTheme="majorBidi" w:cstheme="majorBidi"/>
          <w:sz w:val="24"/>
          <w:szCs w:val="24"/>
        </w:rPr>
        <w:t xml:space="preserve"> virtual</w:t>
      </w:r>
      <w:r w:rsidR="005A6CA9">
        <w:rPr>
          <w:rFonts w:asciiTheme="majorBidi" w:hAnsiTheme="majorBidi" w:cstheme="majorBidi"/>
          <w:sz w:val="24"/>
          <w:szCs w:val="24"/>
        </w:rPr>
        <w:t>ly or in person during a site visit</w:t>
      </w:r>
      <w:r w:rsidR="00DC77A9">
        <w:rPr>
          <w:rFonts w:asciiTheme="majorBidi" w:hAnsiTheme="majorBidi" w:cstheme="majorBidi"/>
          <w:sz w:val="24"/>
          <w:szCs w:val="24"/>
        </w:rPr>
        <w:t>, based on the respondents’ preferences</w:t>
      </w:r>
      <w:r w:rsidR="005858AA">
        <w:rPr>
          <w:rFonts w:asciiTheme="majorBidi" w:hAnsiTheme="majorBidi" w:cstheme="majorBidi"/>
          <w:sz w:val="24"/>
          <w:szCs w:val="24"/>
        </w:rPr>
        <w:t>.</w:t>
      </w:r>
      <w:r w:rsidR="007358BE">
        <w:rPr>
          <w:rFonts w:asciiTheme="majorBidi" w:hAnsiTheme="majorBidi" w:cstheme="majorBidi"/>
          <w:sz w:val="24"/>
          <w:szCs w:val="24"/>
        </w:rPr>
        <w:t xml:space="preserve"> If respondents agree to being recorded, their interview will be electronically recorded for efficient text/data processing and analysis (they will also have the option to be interviewed but not recorded, in which case the team will take notes electronically).</w:t>
      </w:r>
    </w:p>
    <w:p w:rsidR="0067472B" w:rsidRPr="00E056D6" w:rsidP="005F625A" w14:paraId="1949BD0A" w14:textId="5D586014">
      <w:pPr>
        <w:rPr>
          <w:rFonts w:asciiTheme="majorBidi" w:hAnsiTheme="majorBidi" w:cstheme="majorBidi"/>
          <w:sz w:val="24"/>
          <w:szCs w:val="24"/>
        </w:rPr>
      </w:pPr>
      <w:r>
        <w:rPr>
          <w:rFonts w:asciiTheme="majorBidi" w:hAnsiTheme="majorBidi" w:cstheme="majorBidi"/>
          <w:sz w:val="24"/>
          <w:szCs w:val="24"/>
        </w:rPr>
        <w:t xml:space="preserve">Customer satisfaction surveys will be </w:t>
      </w:r>
      <w:r w:rsidR="006B50C3">
        <w:rPr>
          <w:rFonts w:asciiTheme="majorBidi" w:hAnsiTheme="majorBidi" w:cstheme="majorBidi"/>
          <w:sz w:val="24"/>
          <w:szCs w:val="24"/>
        </w:rPr>
        <w:t>administered</w:t>
      </w:r>
      <w:r>
        <w:rPr>
          <w:rFonts w:asciiTheme="majorBidi" w:hAnsiTheme="majorBidi" w:cstheme="majorBidi"/>
          <w:sz w:val="24"/>
          <w:szCs w:val="24"/>
        </w:rPr>
        <w:t xml:space="preserve"> as anonymous surveys distributed by the grantees to the </w:t>
      </w:r>
      <w:r w:rsidR="005B7681">
        <w:rPr>
          <w:rFonts w:asciiTheme="majorBidi" w:hAnsiTheme="majorBidi" w:cstheme="majorBidi"/>
          <w:sz w:val="24"/>
          <w:szCs w:val="24"/>
        </w:rPr>
        <w:t xml:space="preserve">respondent. </w:t>
      </w:r>
      <w:r w:rsidR="00BF0B09">
        <w:rPr>
          <w:rFonts w:asciiTheme="majorBidi" w:hAnsiTheme="majorBidi" w:cstheme="majorBidi"/>
          <w:sz w:val="24"/>
          <w:szCs w:val="24"/>
        </w:rPr>
        <w:t xml:space="preserve">The collection of this information </w:t>
      </w:r>
      <w:r w:rsidR="005C1ACE">
        <w:rPr>
          <w:rFonts w:asciiTheme="majorBidi" w:hAnsiTheme="majorBidi" w:cstheme="majorBidi"/>
          <w:sz w:val="24"/>
          <w:szCs w:val="24"/>
        </w:rPr>
        <w:t xml:space="preserve">may be compiled </w:t>
      </w:r>
      <w:r w:rsidR="00206A06">
        <w:rPr>
          <w:rFonts w:asciiTheme="majorBidi" w:hAnsiTheme="majorBidi" w:cstheme="majorBidi"/>
          <w:sz w:val="24"/>
          <w:szCs w:val="24"/>
        </w:rPr>
        <w:t xml:space="preserve">via an online format </w:t>
      </w:r>
      <w:r w:rsidR="005C1ACE">
        <w:rPr>
          <w:rFonts w:asciiTheme="majorBidi" w:hAnsiTheme="majorBidi" w:cstheme="majorBidi"/>
          <w:sz w:val="24"/>
          <w:szCs w:val="24"/>
        </w:rPr>
        <w:t xml:space="preserve">that </w:t>
      </w:r>
      <w:r w:rsidR="00206A06">
        <w:rPr>
          <w:rFonts w:asciiTheme="majorBidi" w:hAnsiTheme="majorBidi" w:cstheme="majorBidi"/>
          <w:sz w:val="24"/>
          <w:szCs w:val="24"/>
        </w:rPr>
        <w:t>will enable efficient tabulation of findings and support reporting to DOL.</w:t>
      </w:r>
      <w:r w:rsidR="00A83D94">
        <w:rPr>
          <w:rFonts w:asciiTheme="majorBidi" w:hAnsiTheme="majorBidi" w:cstheme="majorBidi"/>
          <w:sz w:val="24"/>
          <w:szCs w:val="24"/>
        </w:rPr>
        <w:t xml:space="preserve"> Additional survey </w:t>
      </w:r>
      <w:r w:rsidR="00515DCC">
        <w:rPr>
          <w:rFonts w:asciiTheme="majorBidi" w:hAnsiTheme="majorBidi" w:cstheme="majorBidi"/>
          <w:sz w:val="24"/>
          <w:szCs w:val="24"/>
        </w:rPr>
        <w:t xml:space="preserve">formats and submission methods will be provided by the grantee </w:t>
      </w:r>
      <w:r w:rsidR="00093567">
        <w:rPr>
          <w:rFonts w:asciiTheme="majorBidi" w:hAnsiTheme="majorBidi" w:cstheme="majorBidi"/>
          <w:sz w:val="24"/>
          <w:szCs w:val="24"/>
        </w:rPr>
        <w:t>for</w:t>
      </w:r>
      <w:r w:rsidR="00515DCC">
        <w:rPr>
          <w:rFonts w:asciiTheme="majorBidi" w:hAnsiTheme="majorBidi" w:cstheme="majorBidi"/>
          <w:sz w:val="24"/>
          <w:szCs w:val="24"/>
        </w:rPr>
        <w:t xml:space="preserve"> ETM respondents</w:t>
      </w:r>
      <w:r w:rsidR="00093567">
        <w:rPr>
          <w:rFonts w:asciiTheme="majorBidi" w:hAnsiTheme="majorBidi" w:cstheme="majorBidi"/>
          <w:sz w:val="24"/>
          <w:szCs w:val="24"/>
        </w:rPr>
        <w:t>.</w:t>
      </w:r>
    </w:p>
    <w:p w:rsidR="00D83B44" w:rsidRPr="00E37A88" w:rsidP="00E37A88" w14:paraId="00D73904" w14:textId="146A4719">
      <w:pPr>
        <w:rPr>
          <w:rFonts w:asciiTheme="majorBidi" w:hAnsiTheme="majorBidi" w:cstheme="majorBidi"/>
          <w:b/>
          <w:bCs/>
          <w:sz w:val="24"/>
          <w:szCs w:val="24"/>
        </w:rPr>
      </w:pPr>
      <w:bookmarkStart w:id="7" w:name="A04"/>
      <w:r>
        <w:rPr>
          <w:rFonts w:asciiTheme="majorBidi" w:hAnsiTheme="majorBidi" w:cstheme="majorBidi"/>
          <w:b/>
          <w:bCs/>
          <w:sz w:val="24"/>
          <w:szCs w:val="24"/>
        </w:rPr>
        <w:t>A.</w:t>
      </w:r>
      <w:r w:rsidRPr="00C25A05" w:rsidR="00924225">
        <w:rPr>
          <w:rFonts w:asciiTheme="majorBidi" w:hAnsiTheme="majorBidi" w:cstheme="majorBidi"/>
          <w:b/>
          <w:bCs/>
          <w:sz w:val="24"/>
          <w:szCs w:val="24"/>
        </w:rPr>
        <w:t>4.</w:t>
      </w:r>
      <w:bookmarkEnd w:id="7"/>
      <w:r w:rsidRPr="00C25A05" w:rsidR="00924225">
        <w:rPr>
          <w:rFonts w:asciiTheme="majorBidi" w:hAnsiTheme="majorBidi" w:cstheme="majorBidi"/>
          <w:b/>
          <w:bCs/>
          <w:sz w:val="24"/>
          <w:szCs w:val="24"/>
        </w:rPr>
        <w:t xml:space="preserve">  Describe efforts to identify duplication.  Show specifically why any similar information already available cannot be used or modified for use for the purposes described in Item A.2 above.</w:t>
      </w:r>
    </w:p>
    <w:p w:rsidR="009D4E8B" w:rsidRPr="00E056D6" w:rsidP="00C0115D" w14:paraId="37BF6FD5" w14:textId="7107A5C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Pr>
          <w:rFonts w:ascii="Times New Roman" w:hAnsi="Times New Roman"/>
          <w:sz w:val="24"/>
          <w:szCs w:val="24"/>
        </w:rPr>
        <w:t xml:space="preserve">The program </w:t>
      </w:r>
      <w:r w:rsidR="006E68B2">
        <w:rPr>
          <w:rFonts w:ascii="Times New Roman" w:hAnsi="Times New Roman"/>
          <w:sz w:val="24"/>
          <w:szCs w:val="24"/>
        </w:rPr>
        <w:t xml:space="preserve">and outcomes </w:t>
      </w:r>
      <w:r>
        <w:rPr>
          <w:rFonts w:ascii="Times New Roman" w:hAnsi="Times New Roman"/>
          <w:sz w:val="24"/>
          <w:szCs w:val="24"/>
        </w:rPr>
        <w:t xml:space="preserve">data </w:t>
      </w:r>
      <w:r w:rsidR="005056E6">
        <w:rPr>
          <w:rFonts w:ascii="Times New Roman" w:hAnsi="Times New Roman"/>
          <w:sz w:val="24"/>
          <w:szCs w:val="24"/>
        </w:rPr>
        <w:t xml:space="preserve">collected </w:t>
      </w:r>
      <w:r w:rsidR="00966DC6">
        <w:rPr>
          <w:rFonts w:ascii="Times New Roman" w:hAnsi="Times New Roman"/>
          <w:sz w:val="24"/>
          <w:szCs w:val="24"/>
        </w:rPr>
        <w:t xml:space="preserve">under the </w:t>
      </w:r>
      <w:r w:rsidRPr="005F625A" w:rsidR="00966DC6">
        <w:rPr>
          <w:rFonts w:ascii="Times New Roman" w:hAnsi="Times New Roman"/>
          <w:sz w:val="24"/>
          <w:szCs w:val="24"/>
        </w:rPr>
        <w:t>Quarterly Progress Report</w:t>
      </w:r>
      <w:r w:rsidR="00966DC6">
        <w:rPr>
          <w:rFonts w:ascii="Times New Roman" w:hAnsi="Times New Roman"/>
          <w:sz w:val="24"/>
          <w:szCs w:val="24"/>
        </w:rPr>
        <w:t xml:space="preserve">: </w:t>
      </w:r>
      <w:r w:rsidRPr="005F625A" w:rsidR="00966DC6">
        <w:rPr>
          <w:rFonts w:ascii="Times New Roman" w:hAnsi="Times New Roman"/>
          <w:sz w:val="24"/>
          <w:szCs w:val="24"/>
        </w:rPr>
        <w:t>Appendix A</w:t>
      </w:r>
      <w:r w:rsidR="00966DC6">
        <w:rPr>
          <w:rFonts w:ascii="Times New Roman" w:hAnsi="Times New Roman"/>
          <w:sz w:val="24"/>
          <w:szCs w:val="24"/>
        </w:rPr>
        <w:t xml:space="preserve"> contain 132 individual </w:t>
      </w:r>
      <w:r w:rsidR="00A07987">
        <w:rPr>
          <w:rFonts w:ascii="Times New Roman" w:hAnsi="Times New Roman"/>
          <w:sz w:val="24"/>
          <w:szCs w:val="24"/>
        </w:rPr>
        <w:t xml:space="preserve">data points. In an effort to reduce duplication and burden, </w:t>
      </w:r>
      <w:r w:rsidR="00F369B8">
        <w:rPr>
          <w:rFonts w:ascii="Times New Roman" w:hAnsi="Times New Roman"/>
          <w:sz w:val="24"/>
          <w:szCs w:val="24"/>
        </w:rPr>
        <w:t>the majority of the elements (</w:t>
      </w:r>
      <w:r w:rsidR="002C2F97">
        <w:rPr>
          <w:rFonts w:ascii="Times New Roman" w:hAnsi="Times New Roman"/>
          <w:sz w:val="24"/>
          <w:szCs w:val="24"/>
        </w:rPr>
        <w:t>89 elements, representing 67 percent of all the elements</w:t>
      </w:r>
      <w:r w:rsidR="00D90D7C">
        <w:rPr>
          <w:rFonts w:ascii="Times New Roman" w:hAnsi="Times New Roman"/>
          <w:sz w:val="24"/>
          <w:szCs w:val="24"/>
        </w:rPr>
        <w:t xml:space="preserve"> from the QPR</w:t>
      </w:r>
      <w:r w:rsidR="002C2F97">
        <w:rPr>
          <w:rFonts w:ascii="Times New Roman" w:hAnsi="Times New Roman"/>
          <w:sz w:val="24"/>
          <w:szCs w:val="24"/>
        </w:rPr>
        <w:t xml:space="preserve">) are </w:t>
      </w:r>
      <w:r w:rsidR="00AF2849">
        <w:rPr>
          <w:rFonts w:ascii="Times New Roman" w:hAnsi="Times New Roman"/>
          <w:sz w:val="24"/>
          <w:szCs w:val="24"/>
        </w:rPr>
        <w:t>either exact</w:t>
      </w:r>
      <w:r w:rsidR="008416BB">
        <w:rPr>
          <w:rFonts w:ascii="Times New Roman" w:hAnsi="Times New Roman"/>
          <w:sz w:val="24"/>
          <w:szCs w:val="24"/>
        </w:rPr>
        <w:t xml:space="preserve"> Participant Individual Record Layout</w:t>
      </w:r>
      <w:r w:rsidR="00AF2849">
        <w:rPr>
          <w:rFonts w:ascii="Times New Roman" w:hAnsi="Times New Roman"/>
          <w:sz w:val="24"/>
          <w:szCs w:val="24"/>
        </w:rPr>
        <w:t xml:space="preserve"> </w:t>
      </w:r>
      <w:r w:rsidR="0011629A">
        <w:rPr>
          <w:rFonts w:ascii="Times New Roman" w:hAnsi="Times New Roman"/>
          <w:sz w:val="24"/>
          <w:szCs w:val="24"/>
        </w:rPr>
        <w:t>(</w:t>
      </w:r>
      <w:r w:rsidR="00AF2849">
        <w:rPr>
          <w:rFonts w:ascii="Times New Roman" w:hAnsi="Times New Roman"/>
          <w:sz w:val="24"/>
          <w:szCs w:val="24"/>
        </w:rPr>
        <w:t>PIRL</w:t>
      </w:r>
      <w:r w:rsidR="0011629A">
        <w:rPr>
          <w:rFonts w:ascii="Times New Roman" w:hAnsi="Times New Roman"/>
          <w:sz w:val="24"/>
          <w:szCs w:val="24"/>
        </w:rPr>
        <w:t>)</w:t>
      </w:r>
      <w:r w:rsidR="00AF2849">
        <w:rPr>
          <w:rFonts w:ascii="Times New Roman" w:hAnsi="Times New Roman"/>
          <w:sz w:val="24"/>
          <w:szCs w:val="24"/>
        </w:rPr>
        <w:t xml:space="preserve"> data elements or slight modifications of PIRL elements</w:t>
      </w:r>
      <w:r w:rsidR="00332C30">
        <w:rPr>
          <w:rFonts w:ascii="Times New Roman" w:hAnsi="Times New Roman"/>
          <w:sz w:val="24"/>
          <w:szCs w:val="24"/>
        </w:rPr>
        <w:t xml:space="preserve"> from OMB control number </w:t>
      </w:r>
      <w:r w:rsidRPr="00332C30" w:rsidR="00332C30">
        <w:rPr>
          <w:rFonts w:ascii="Times New Roman" w:hAnsi="Times New Roman"/>
          <w:sz w:val="24"/>
          <w:szCs w:val="24"/>
        </w:rPr>
        <w:t>1205-0521</w:t>
      </w:r>
      <w:r w:rsidR="00AF2849">
        <w:rPr>
          <w:rFonts w:ascii="Times New Roman" w:hAnsi="Times New Roman"/>
          <w:sz w:val="24"/>
          <w:szCs w:val="24"/>
        </w:rPr>
        <w:t>.</w:t>
      </w:r>
      <w:r>
        <w:rPr>
          <w:rStyle w:val="FootnoteReference"/>
          <w:rFonts w:ascii="Times New Roman" w:hAnsi="Times New Roman"/>
          <w:sz w:val="24"/>
          <w:szCs w:val="24"/>
        </w:rPr>
        <w:footnoteReference w:id="2"/>
      </w:r>
      <w:r w:rsidR="00AF2849">
        <w:rPr>
          <w:rFonts w:ascii="Times New Roman" w:hAnsi="Times New Roman"/>
          <w:sz w:val="24"/>
          <w:szCs w:val="24"/>
        </w:rPr>
        <w:t xml:space="preserve"> An additional </w:t>
      </w:r>
      <w:r w:rsidR="00FE5553">
        <w:rPr>
          <w:rFonts w:ascii="Times New Roman" w:hAnsi="Times New Roman"/>
          <w:sz w:val="24"/>
          <w:szCs w:val="24"/>
        </w:rPr>
        <w:t>3</w:t>
      </w:r>
      <w:r w:rsidR="00825C3B">
        <w:rPr>
          <w:rFonts w:ascii="Times New Roman" w:hAnsi="Times New Roman"/>
          <w:sz w:val="24"/>
          <w:szCs w:val="24"/>
        </w:rPr>
        <w:t xml:space="preserve"> elements are collected under the </w:t>
      </w:r>
      <w:r w:rsidR="001B6AD6">
        <w:rPr>
          <w:rFonts w:ascii="Times New Roman" w:hAnsi="Times New Roman"/>
          <w:sz w:val="24"/>
          <w:szCs w:val="24"/>
        </w:rPr>
        <w:t>Rehabilitation Services Administration (</w:t>
      </w:r>
      <w:r w:rsidR="00825C3B">
        <w:rPr>
          <w:rFonts w:ascii="Times New Roman" w:hAnsi="Times New Roman"/>
          <w:sz w:val="24"/>
          <w:szCs w:val="24"/>
        </w:rPr>
        <w:t>RSA</w:t>
      </w:r>
      <w:r w:rsidR="001B6AD6">
        <w:rPr>
          <w:rFonts w:ascii="Times New Roman" w:hAnsi="Times New Roman"/>
          <w:sz w:val="24"/>
          <w:szCs w:val="24"/>
        </w:rPr>
        <w:t>)</w:t>
      </w:r>
      <w:r w:rsidR="00825C3B">
        <w:rPr>
          <w:rFonts w:ascii="Times New Roman" w:hAnsi="Times New Roman"/>
          <w:sz w:val="24"/>
          <w:szCs w:val="24"/>
        </w:rPr>
        <w:t>-911 data schema</w:t>
      </w:r>
      <w:r>
        <w:rPr>
          <w:rStyle w:val="FootnoteReference"/>
          <w:rFonts w:ascii="Times New Roman" w:hAnsi="Times New Roman"/>
          <w:sz w:val="24"/>
          <w:szCs w:val="24"/>
        </w:rPr>
        <w:footnoteReference w:id="3"/>
      </w:r>
      <w:r w:rsidR="00825C3B">
        <w:rPr>
          <w:rFonts w:ascii="Times New Roman" w:hAnsi="Times New Roman"/>
          <w:sz w:val="24"/>
          <w:szCs w:val="24"/>
        </w:rPr>
        <w:t xml:space="preserve">. </w:t>
      </w:r>
      <w:r w:rsidR="008801AB">
        <w:rPr>
          <w:rFonts w:ascii="Times New Roman" w:hAnsi="Times New Roman"/>
          <w:sz w:val="24"/>
          <w:szCs w:val="24"/>
        </w:rPr>
        <w:t>The r</w:t>
      </w:r>
      <w:r w:rsidR="000B746D">
        <w:rPr>
          <w:rFonts w:ascii="Times New Roman" w:hAnsi="Times New Roman"/>
          <w:sz w:val="24"/>
          <w:szCs w:val="24"/>
        </w:rPr>
        <w:t xml:space="preserve">emaining items </w:t>
      </w:r>
      <w:r w:rsidR="008801AB">
        <w:rPr>
          <w:rFonts w:ascii="Times New Roman" w:hAnsi="Times New Roman"/>
          <w:sz w:val="24"/>
          <w:szCs w:val="24"/>
        </w:rPr>
        <w:t xml:space="preserve">in the Quarterly Progress Report </w:t>
      </w:r>
      <w:r w:rsidR="000B746D">
        <w:rPr>
          <w:rFonts w:ascii="Times New Roman" w:hAnsi="Times New Roman"/>
          <w:sz w:val="24"/>
          <w:szCs w:val="24"/>
        </w:rPr>
        <w:t>are data that have not been collected before</w:t>
      </w:r>
      <w:r w:rsidR="008801AB">
        <w:rPr>
          <w:rFonts w:ascii="Times New Roman" w:hAnsi="Times New Roman"/>
          <w:sz w:val="24"/>
          <w:szCs w:val="24"/>
        </w:rPr>
        <w:t xml:space="preserve"> and are either specific to </w:t>
      </w:r>
      <w:r w:rsidR="008B1B45">
        <w:rPr>
          <w:rFonts w:ascii="Times New Roman" w:hAnsi="Times New Roman"/>
          <w:sz w:val="24"/>
          <w:szCs w:val="24"/>
        </w:rPr>
        <w:t>ETM program monitoring or</w:t>
      </w:r>
      <w:r w:rsidR="000B746D">
        <w:rPr>
          <w:rFonts w:ascii="Times New Roman" w:hAnsi="Times New Roman"/>
          <w:sz w:val="24"/>
          <w:szCs w:val="24"/>
        </w:rPr>
        <w:t xml:space="preserve"> augment </w:t>
      </w:r>
      <w:r w:rsidR="008B1B45">
        <w:rPr>
          <w:rFonts w:ascii="Times New Roman" w:hAnsi="Times New Roman"/>
          <w:sz w:val="24"/>
          <w:szCs w:val="24"/>
        </w:rPr>
        <w:t xml:space="preserve">outcome </w:t>
      </w:r>
      <w:r w:rsidR="008801AB">
        <w:rPr>
          <w:rFonts w:ascii="Times New Roman" w:hAnsi="Times New Roman"/>
          <w:sz w:val="24"/>
          <w:szCs w:val="24"/>
        </w:rPr>
        <w:t>data not already available on external administrative datasets (</w:t>
      </w:r>
      <w:r w:rsidRPr="00E056D6" w:rsidR="008801AB">
        <w:rPr>
          <w:rFonts w:ascii="Times New Roman" w:hAnsi="Times New Roman"/>
          <w:sz w:val="24"/>
          <w:szCs w:val="24"/>
        </w:rPr>
        <w:t>National Directory of New Hires data and National Student Clearinghouse data</w:t>
      </w:r>
      <w:r w:rsidR="008801AB">
        <w:rPr>
          <w:rFonts w:ascii="Times New Roman" w:hAnsi="Times New Roman"/>
          <w:sz w:val="24"/>
          <w:szCs w:val="24"/>
        </w:rPr>
        <w:t>) which provide information on earnings and educational outcomes</w:t>
      </w:r>
      <w:r w:rsidR="008B1B45">
        <w:rPr>
          <w:rFonts w:ascii="Times New Roman" w:hAnsi="Times New Roman"/>
          <w:sz w:val="24"/>
          <w:szCs w:val="24"/>
        </w:rPr>
        <w:t>.</w:t>
      </w:r>
      <w:r w:rsidR="00C62B8E">
        <w:rPr>
          <w:rFonts w:ascii="Times New Roman" w:hAnsi="Times New Roman"/>
          <w:sz w:val="24"/>
          <w:szCs w:val="24"/>
        </w:rPr>
        <w:t xml:space="preserve"> </w:t>
      </w:r>
      <w:r w:rsidR="002F03AF">
        <w:rPr>
          <w:rFonts w:ascii="Times New Roman" w:hAnsi="Times New Roman"/>
          <w:sz w:val="24"/>
          <w:szCs w:val="24"/>
        </w:rPr>
        <w:t xml:space="preserve">The Quarterly Progress Report includes a data element for quarterly earnings, and while this information is duplicative with the </w:t>
      </w:r>
      <w:r w:rsidR="00CF7882">
        <w:rPr>
          <w:rFonts w:ascii="Times New Roman" w:hAnsi="Times New Roman"/>
          <w:sz w:val="24"/>
          <w:szCs w:val="24"/>
        </w:rPr>
        <w:t>National Directory of New Hires (</w:t>
      </w:r>
      <w:r w:rsidR="002F03AF">
        <w:rPr>
          <w:rFonts w:ascii="Times New Roman" w:hAnsi="Times New Roman"/>
          <w:sz w:val="24"/>
          <w:szCs w:val="24"/>
        </w:rPr>
        <w:t>NDNH</w:t>
      </w:r>
      <w:r w:rsidR="00CF7882">
        <w:rPr>
          <w:rFonts w:ascii="Times New Roman" w:hAnsi="Times New Roman"/>
          <w:sz w:val="24"/>
          <w:szCs w:val="24"/>
        </w:rPr>
        <w:t>)</w:t>
      </w:r>
      <w:r w:rsidR="002F03AF">
        <w:rPr>
          <w:rFonts w:ascii="Times New Roman" w:hAnsi="Times New Roman"/>
          <w:sz w:val="24"/>
          <w:szCs w:val="24"/>
        </w:rPr>
        <w:t xml:space="preserve"> dataset, </w:t>
      </w:r>
      <w:r w:rsidR="00287250">
        <w:rPr>
          <w:rFonts w:ascii="Times New Roman" w:hAnsi="Times New Roman"/>
          <w:sz w:val="24"/>
          <w:szCs w:val="24"/>
        </w:rPr>
        <w:t>the grantees</w:t>
      </w:r>
      <w:r w:rsidR="00C0791D">
        <w:rPr>
          <w:rFonts w:ascii="Times New Roman" w:hAnsi="Times New Roman"/>
          <w:sz w:val="24"/>
          <w:szCs w:val="24"/>
        </w:rPr>
        <w:t xml:space="preserve"> can provide the quarterly earnings data sooner, allowing the Technical Assistance team to offer more up-to-date information</w:t>
      </w:r>
      <w:r w:rsidR="00E3385C">
        <w:rPr>
          <w:rFonts w:ascii="Times New Roman" w:hAnsi="Times New Roman"/>
          <w:sz w:val="24"/>
          <w:szCs w:val="24"/>
        </w:rPr>
        <w:t xml:space="preserve"> and </w:t>
      </w:r>
      <w:r w:rsidR="00C0791D">
        <w:rPr>
          <w:rFonts w:ascii="Times New Roman" w:hAnsi="Times New Roman"/>
          <w:sz w:val="24"/>
          <w:szCs w:val="24"/>
        </w:rPr>
        <w:t xml:space="preserve">insights on program improvement. </w:t>
      </w:r>
      <w:r w:rsidR="008B1B45">
        <w:rPr>
          <w:rFonts w:ascii="Times New Roman" w:hAnsi="Times New Roman"/>
          <w:sz w:val="24"/>
          <w:szCs w:val="24"/>
        </w:rPr>
        <w:t xml:space="preserve"> </w:t>
      </w:r>
      <w:r w:rsidR="002B12D2">
        <w:rPr>
          <w:rFonts w:ascii="Times New Roman" w:hAnsi="Times New Roman"/>
          <w:sz w:val="24"/>
          <w:szCs w:val="24"/>
        </w:rPr>
        <w:t xml:space="preserve">The Quarterly Progress Report also provides employment information not available in the NDNH dataset: </w:t>
      </w:r>
      <w:r w:rsidR="008B1B45">
        <w:rPr>
          <w:rFonts w:ascii="Times New Roman" w:hAnsi="Times New Roman"/>
          <w:sz w:val="24"/>
          <w:szCs w:val="24"/>
        </w:rPr>
        <w:t xml:space="preserve">the nature of employment (for example, supported employment), </w:t>
      </w:r>
      <w:r w:rsidR="002B12D2">
        <w:rPr>
          <w:rFonts w:ascii="Times New Roman" w:hAnsi="Times New Roman"/>
          <w:sz w:val="24"/>
          <w:szCs w:val="24"/>
        </w:rPr>
        <w:t xml:space="preserve">earnings from </w:t>
      </w:r>
      <w:r w:rsidR="008B1B45">
        <w:rPr>
          <w:rFonts w:ascii="Times New Roman" w:hAnsi="Times New Roman"/>
          <w:sz w:val="24"/>
          <w:szCs w:val="24"/>
        </w:rPr>
        <w:t>employment without</w:t>
      </w:r>
      <w:r w:rsidR="00C0115D">
        <w:rPr>
          <w:rFonts w:ascii="Times New Roman" w:hAnsi="Times New Roman"/>
          <w:sz w:val="24"/>
          <w:szCs w:val="24"/>
        </w:rPr>
        <w:t xml:space="preserve"> </w:t>
      </w:r>
      <w:r w:rsidRPr="00C0115D" w:rsidR="00C0115D">
        <w:rPr>
          <w:rFonts w:ascii="Times New Roman" w:hAnsi="Times New Roman"/>
          <w:sz w:val="24"/>
          <w:szCs w:val="24"/>
        </w:rPr>
        <w:t>Old</w:t>
      </w:r>
      <w:r w:rsidR="00C0115D">
        <w:rPr>
          <w:rFonts w:ascii="Times New Roman" w:hAnsi="Times New Roman"/>
          <w:sz w:val="24"/>
          <w:szCs w:val="24"/>
        </w:rPr>
        <w:t>-</w:t>
      </w:r>
      <w:r w:rsidRPr="00C0115D" w:rsidR="00C0115D">
        <w:rPr>
          <w:rFonts w:ascii="Times New Roman" w:hAnsi="Times New Roman"/>
          <w:sz w:val="24"/>
          <w:szCs w:val="24"/>
        </w:rPr>
        <w:t>Age, Survivors, and Disability Insurance</w:t>
      </w:r>
      <w:r w:rsidR="008B1B45">
        <w:rPr>
          <w:rFonts w:ascii="Times New Roman" w:hAnsi="Times New Roman"/>
          <w:sz w:val="24"/>
          <w:szCs w:val="24"/>
        </w:rPr>
        <w:t xml:space="preserve"> </w:t>
      </w:r>
      <w:r w:rsidR="00C0115D">
        <w:rPr>
          <w:rFonts w:ascii="Times New Roman" w:hAnsi="Times New Roman"/>
          <w:sz w:val="24"/>
          <w:szCs w:val="24"/>
        </w:rPr>
        <w:t>(</w:t>
      </w:r>
      <w:r w:rsidR="008B1B45">
        <w:rPr>
          <w:rFonts w:ascii="Times New Roman" w:hAnsi="Times New Roman"/>
          <w:sz w:val="24"/>
          <w:szCs w:val="24"/>
        </w:rPr>
        <w:t>OASDI</w:t>
      </w:r>
      <w:r w:rsidR="00C0115D">
        <w:rPr>
          <w:rFonts w:ascii="Times New Roman" w:hAnsi="Times New Roman"/>
          <w:sz w:val="24"/>
          <w:szCs w:val="24"/>
        </w:rPr>
        <w:t>)</w:t>
      </w:r>
      <w:r w:rsidR="008B1B45">
        <w:rPr>
          <w:rFonts w:ascii="Times New Roman" w:hAnsi="Times New Roman"/>
          <w:sz w:val="24"/>
          <w:szCs w:val="24"/>
        </w:rPr>
        <w:t>- tax</w:t>
      </w:r>
      <w:r w:rsidR="002B12D2">
        <w:rPr>
          <w:rFonts w:ascii="Times New Roman" w:hAnsi="Times New Roman"/>
          <w:sz w:val="24"/>
          <w:szCs w:val="24"/>
        </w:rPr>
        <w:t>able</w:t>
      </w:r>
      <w:r w:rsidR="008B1B45">
        <w:rPr>
          <w:rFonts w:ascii="Times New Roman" w:hAnsi="Times New Roman"/>
          <w:sz w:val="24"/>
          <w:szCs w:val="24"/>
        </w:rPr>
        <w:t xml:space="preserve"> earnings (for example unpaid internships), and hourly wages and hours worked. </w:t>
      </w:r>
      <w:r w:rsidR="00E37A88">
        <w:rPr>
          <w:rFonts w:ascii="Times New Roman" w:hAnsi="Times New Roman"/>
          <w:sz w:val="24"/>
          <w:szCs w:val="24"/>
        </w:rPr>
        <w:t xml:space="preserve">Similarly, the Quarterly Progress Report provides post-secondary education outcomes that are not observable in the NSC. </w:t>
      </w:r>
      <w:r w:rsidR="008B1B45">
        <w:rPr>
          <w:rFonts w:ascii="Times New Roman" w:hAnsi="Times New Roman"/>
          <w:sz w:val="24"/>
          <w:szCs w:val="24"/>
        </w:rPr>
        <w:t>The National Student Clearinghouse does not include all educational/vocational programs and does not include programs that are not post-secondary programs.</w:t>
      </w:r>
    </w:p>
    <w:p w:rsidR="008061DB" w:rsidRPr="00E056D6" w:rsidP="00262678" w14:paraId="39C49E70" w14:textId="7B69641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E056D6">
        <w:rPr>
          <w:rFonts w:ascii="Times New Roman" w:hAnsi="Times New Roman"/>
          <w:sz w:val="24"/>
          <w:szCs w:val="24"/>
        </w:rPr>
        <w:t xml:space="preserve">Qualitative data that we request in this PRA package has not been collected before and is not collected in other formats or through other means. In regard to the </w:t>
      </w:r>
      <w:r w:rsidR="007E26AB">
        <w:rPr>
          <w:rFonts w:ascii="Times New Roman" w:hAnsi="Times New Roman"/>
          <w:sz w:val="24"/>
          <w:szCs w:val="24"/>
        </w:rPr>
        <w:t>information collection request</w:t>
      </w:r>
      <w:r w:rsidRPr="00E056D6">
        <w:rPr>
          <w:rFonts w:ascii="Times New Roman" w:hAnsi="Times New Roman"/>
          <w:sz w:val="24"/>
          <w:szCs w:val="24"/>
        </w:rPr>
        <w:t xml:space="preserve"> for the </w:t>
      </w:r>
      <w:r w:rsidRPr="00E056D6" w:rsidR="00D70BA5">
        <w:rPr>
          <w:rFonts w:ascii="Times New Roman" w:hAnsi="Times New Roman"/>
          <w:sz w:val="24"/>
          <w:szCs w:val="24"/>
        </w:rPr>
        <w:t>implementation and customer experience study</w:t>
      </w:r>
      <w:r w:rsidRPr="00E056D6">
        <w:rPr>
          <w:rFonts w:ascii="Times New Roman" w:hAnsi="Times New Roman"/>
          <w:sz w:val="24"/>
          <w:szCs w:val="24"/>
        </w:rPr>
        <w:t>, grantees currently submit narrative quarterly reports to DOL, but these do not provide sufficient detail across implementation study topics or include input of partners</w:t>
      </w:r>
      <w:r w:rsidRPr="00E056D6" w:rsidR="0092262A">
        <w:rPr>
          <w:rFonts w:ascii="Times New Roman" w:hAnsi="Times New Roman"/>
          <w:sz w:val="24"/>
          <w:szCs w:val="24"/>
        </w:rPr>
        <w:t xml:space="preserve">, </w:t>
      </w:r>
      <w:r w:rsidRPr="00E056D6" w:rsidR="007A52AD">
        <w:rPr>
          <w:rFonts w:ascii="Times New Roman" w:hAnsi="Times New Roman"/>
          <w:sz w:val="24"/>
          <w:szCs w:val="24"/>
        </w:rPr>
        <w:t>participants</w:t>
      </w:r>
      <w:r w:rsidRPr="00E056D6" w:rsidR="0092262A">
        <w:rPr>
          <w:rFonts w:ascii="Times New Roman" w:hAnsi="Times New Roman"/>
          <w:sz w:val="24"/>
          <w:szCs w:val="24"/>
        </w:rPr>
        <w:t>,</w:t>
      </w:r>
      <w:r w:rsidRPr="00E056D6">
        <w:rPr>
          <w:rFonts w:ascii="Times New Roman" w:hAnsi="Times New Roman"/>
          <w:sz w:val="24"/>
          <w:szCs w:val="24"/>
        </w:rPr>
        <w:t xml:space="preserve"> and employers. These quarterly narrative reports are also not </w:t>
      </w:r>
      <w:r w:rsidR="00A507B6">
        <w:rPr>
          <w:rFonts w:ascii="Times New Roman" w:hAnsi="Times New Roman"/>
          <w:sz w:val="24"/>
          <w:szCs w:val="24"/>
        </w:rPr>
        <w:t>comprehensive</w:t>
      </w:r>
      <w:r w:rsidRPr="00E056D6" w:rsidR="00A507B6">
        <w:rPr>
          <w:rFonts w:ascii="Times New Roman" w:hAnsi="Times New Roman"/>
          <w:sz w:val="24"/>
          <w:szCs w:val="24"/>
        </w:rPr>
        <w:t xml:space="preserve"> </w:t>
      </w:r>
      <w:r w:rsidRPr="00E056D6">
        <w:rPr>
          <w:rFonts w:ascii="Times New Roman" w:hAnsi="Times New Roman"/>
          <w:sz w:val="24"/>
          <w:szCs w:val="24"/>
        </w:rPr>
        <w:t xml:space="preserve">of the full scope of partner and employer data relevant to grant-funded activities. </w:t>
      </w:r>
      <w:r w:rsidR="000665B4">
        <w:rPr>
          <w:rFonts w:ascii="Times New Roman" w:hAnsi="Times New Roman"/>
          <w:sz w:val="24"/>
          <w:szCs w:val="24"/>
        </w:rPr>
        <w:t xml:space="preserve">The </w:t>
      </w:r>
      <w:r w:rsidR="00351C58">
        <w:rPr>
          <w:rFonts w:ascii="Times New Roman" w:hAnsi="Times New Roman"/>
          <w:sz w:val="24"/>
          <w:szCs w:val="24"/>
        </w:rPr>
        <w:t>customer experience instruments are designed to collect relevant information for the evaluation</w:t>
      </w:r>
      <w:r w:rsidR="00262678">
        <w:rPr>
          <w:rFonts w:ascii="Times New Roman" w:hAnsi="Times New Roman"/>
          <w:sz w:val="24"/>
          <w:szCs w:val="24"/>
        </w:rPr>
        <w:t xml:space="preserve">. </w:t>
      </w:r>
    </w:p>
    <w:p w:rsidR="0083689E" w:rsidRPr="00211BB3" w:rsidP="00211BB3" w14:paraId="47CAE558" w14:textId="1BC8B902">
      <w:pPr>
        <w:rPr>
          <w:rFonts w:asciiTheme="majorBidi" w:hAnsiTheme="majorBidi" w:cstheme="majorBidi"/>
          <w:b/>
          <w:bCs/>
          <w:sz w:val="24"/>
          <w:szCs w:val="24"/>
        </w:rPr>
      </w:pPr>
      <w:bookmarkStart w:id="8" w:name="A05"/>
      <w:r>
        <w:rPr>
          <w:rFonts w:asciiTheme="majorBidi" w:hAnsiTheme="majorBidi" w:cstheme="majorBidi"/>
          <w:b/>
          <w:bCs/>
          <w:sz w:val="24"/>
          <w:szCs w:val="24"/>
        </w:rPr>
        <w:t>A.</w:t>
      </w:r>
      <w:r w:rsidRPr="00211BB3">
        <w:rPr>
          <w:rFonts w:asciiTheme="majorBidi" w:hAnsiTheme="majorBidi" w:cstheme="majorBidi"/>
          <w:b/>
          <w:bCs/>
          <w:sz w:val="24"/>
          <w:szCs w:val="24"/>
        </w:rPr>
        <w:t>5.</w:t>
      </w:r>
      <w:bookmarkEnd w:id="8"/>
      <w:r w:rsidRPr="00946B35">
        <w:rPr>
          <w:rFonts w:asciiTheme="majorBidi" w:hAnsiTheme="majorBidi" w:cstheme="majorBidi"/>
          <w:b/>
          <w:bCs/>
          <w:sz w:val="24"/>
          <w:szCs w:val="24"/>
        </w:rPr>
        <w:t xml:space="preserve">  </w:t>
      </w:r>
      <w:r w:rsidRPr="00211BB3">
        <w:rPr>
          <w:rFonts w:asciiTheme="majorBidi" w:hAnsiTheme="majorBidi" w:cstheme="majorBidi"/>
          <w:b/>
          <w:bCs/>
          <w:sz w:val="24"/>
          <w:szCs w:val="24"/>
        </w:rPr>
        <w:t>If the collection of information impacts small businesses or other small entities, describe any methods used to minimize burden.</w:t>
      </w:r>
    </w:p>
    <w:p w:rsidR="008043D0" w:rsidP="3286AA9B" w14:paraId="3C628F6E" w14:textId="624850A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3286AA9B">
        <w:rPr>
          <w:rFonts w:ascii="Times New Roman" w:hAnsi="Times New Roman"/>
          <w:sz w:val="24"/>
          <w:szCs w:val="24"/>
        </w:rPr>
        <w:t xml:space="preserve">The involvement of small businesses or </w:t>
      </w:r>
      <w:r w:rsidRPr="000F630F">
        <w:rPr>
          <w:rFonts w:ascii="Times New Roman" w:hAnsi="Times New Roman"/>
          <w:sz w:val="24"/>
          <w:szCs w:val="24"/>
        </w:rPr>
        <w:t>other small entities</w:t>
      </w:r>
      <w:r w:rsidRPr="00AD5838">
        <w:rPr>
          <w:rFonts w:ascii="Times New Roman" w:hAnsi="Times New Roman"/>
          <w:sz w:val="24"/>
          <w:szCs w:val="24"/>
        </w:rPr>
        <w:t xml:space="preserve"> is</w:t>
      </w:r>
      <w:r w:rsidRPr="3286AA9B">
        <w:rPr>
          <w:rFonts w:ascii="Times New Roman" w:hAnsi="Times New Roman"/>
          <w:sz w:val="24"/>
          <w:szCs w:val="24"/>
        </w:rPr>
        <w:t xml:space="preserve"> expected to be limited. For the Customer Experience study, grantees may conduct outreach </w:t>
      </w:r>
      <w:r w:rsidR="00F96B84">
        <w:rPr>
          <w:rFonts w:ascii="Times New Roman" w:hAnsi="Times New Roman"/>
          <w:sz w:val="24"/>
          <w:szCs w:val="24"/>
        </w:rPr>
        <w:t xml:space="preserve">about interviews </w:t>
      </w:r>
      <w:r w:rsidRPr="3286AA9B">
        <w:rPr>
          <w:rFonts w:ascii="Times New Roman" w:hAnsi="Times New Roman"/>
          <w:sz w:val="24"/>
          <w:szCs w:val="24"/>
        </w:rPr>
        <w:t>to</w:t>
      </w:r>
      <w:r w:rsidR="00F96B84">
        <w:rPr>
          <w:rFonts w:ascii="Times New Roman" w:hAnsi="Times New Roman"/>
          <w:sz w:val="24"/>
          <w:szCs w:val="24"/>
        </w:rPr>
        <w:t xml:space="preserve"> employers, whose size will depend upon which businesses </w:t>
      </w:r>
      <w:r w:rsidRPr="009416FB" w:rsidR="009416FB">
        <w:rPr>
          <w:rFonts w:ascii="Times New Roman" w:hAnsi="Times New Roman"/>
          <w:sz w:val="24"/>
          <w:szCs w:val="24"/>
        </w:rPr>
        <w:t>provide work-based learning, apprenticeships, and other paid employment or on the job training opportunities for ETM participants</w:t>
      </w:r>
      <w:r w:rsidR="00F96B84">
        <w:rPr>
          <w:rFonts w:ascii="Times New Roman" w:hAnsi="Times New Roman"/>
          <w:sz w:val="24"/>
          <w:szCs w:val="24"/>
        </w:rPr>
        <w:t xml:space="preserve">. </w:t>
      </w:r>
      <w:r w:rsidR="00262678">
        <w:rPr>
          <w:rFonts w:ascii="Times New Roman" w:hAnsi="Times New Roman"/>
          <w:sz w:val="24"/>
          <w:szCs w:val="24"/>
        </w:rPr>
        <w:t>These employers</w:t>
      </w:r>
      <w:r w:rsidR="00C12B26">
        <w:rPr>
          <w:rFonts w:ascii="Times New Roman" w:hAnsi="Times New Roman"/>
          <w:sz w:val="24"/>
          <w:szCs w:val="24"/>
        </w:rPr>
        <w:t>, some of whom may be small businesses,</w:t>
      </w:r>
      <w:r w:rsidRPr="3286AA9B" w:rsidR="00262678">
        <w:rPr>
          <w:rFonts w:ascii="Times New Roman" w:hAnsi="Times New Roman"/>
          <w:sz w:val="24"/>
          <w:szCs w:val="24"/>
        </w:rPr>
        <w:t xml:space="preserve"> </w:t>
      </w:r>
      <w:r w:rsidRPr="3286AA9B">
        <w:rPr>
          <w:rFonts w:ascii="Times New Roman" w:hAnsi="Times New Roman"/>
          <w:sz w:val="24"/>
          <w:szCs w:val="24"/>
        </w:rPr>
        <w:t>can choose to engage</w:t>
      </w:r>
      <w:r w:rsidRPr="3286AA9B" w:rsidR="000E221A">
        <w:rPr>
          <w:rFonts w:ascii="Times New Roman" w:hAnsi="Times New Roman"/>
          <w:sz w:val="24"/>
          <w:szCs w:val="24"/>
        </w:rPr>
        <w:t xml:space="preserve"> </w:t>
      </w:r>
      <w:r w:rsidR="007C259D">
        <w:rPr>
          <w:rFonts w:ascii="Times New Roman" w:hAnsi="Times New Roman"/>
          <w:sz w:val="24"/>
          <w:szCs w:val="24"/>
        </w:rPr>
        <w:t>or not engage</w:t>
      </w:r>
      <w:r w:rsidRPr="3286AA9B" w:rsidR="000E221A">
        <w:rPr>
          <w:rFonts w:ascii="Times New Roman" w:hAnsi="Times New Roman"/>
          <w:sz w:val="24"/>
          <w:szCs w:val="24"/>
        </w:rPr>
        <w:t xml:space="preserve"> with the study</w:t>
      </w:r>
      <w:r w:rsidRPr="3286AA9B">
        <w:rPr>
          <w:rFonts w:ascii="Times New Roman" w:hAnsi="Times New Roman"/>
          <w:sz w:val="24"/>
          <w:szCs w:val="24"/>
        </w:rPr>
        <w:t xml:space="preserve">. For the interviews, no information will be collected without their voluntary consent. Discussions with small businesses or employers would be limited to </w:t>
      </w:r>
      <w:r w:rsidR="00C42AF0">
        <w:rPr>
          <w:rFonts w:ascii="Times New Roman" w:hAnsi="Times New Roman"/>
          <w:sz w:val="24"/>
          <w:szCs w:val="24"/>
        </w:rPr>
        <w:t>60</w:t>
      </w:r>
      <w:r w:rsidRPr="3286AA9B" w:rsidR="00C42AF0">
        <w:rPr>
          <w:rFonts w:ascii="Times New Roman" w:hAnsi="Times New Roman"/>
          <w:sz w:val="24"/>
          <w:szCs w:val="24"/>
        </w:rPr>
        <w:t xml:space="preserve"> </w:t>
      </w:r>
      <w:r w:rsidRPr="3286AA9B">
        <w:rPr>
          <w:rFonts w:ascii="Times New Roman" w:hAnsi="Times New Roman"/>
          <w:sz w:val="24"/>
          <w:szCs w:val="24"/>
        </w:rPr>
        <w:t xml:space="preserve">minutes. </w:t>
      </w:r>
      <w:r w:rsidR="00B034FE">
        <w:rPr>
          <w:rFonts w:ascii="Times New Roman" w:hAnsi="Times New Roman"/>
          <w:sz w:val="24"/>
          <w:szCs w:val="24"/>
        </w:rPr>
        <w:t>A total of 20 employers will be interviewed.</w:t>
      </w:r>
    </w:p>
    <w:p w:rsidR="00C474DE" w:rsidRPr="00C474DE" w:rsidP="00C474DE" w14:paraId="1C7A3144" w14:textId="259D56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C474DE">
        <w:rPr>
          <w:rFonts w:ascii="Times New Roman" w:hAnsi="Times New Roman"/>
          <w:sz w:val="24"/>
          <w:szCs w:val="24"/>
        </w:rPr>
        <w:t xml:space="preserve">Some ETM program operators and referring agencies may </w:t>
      </w:r>
      <w:r w:rsidR="001832CF">
        <w:rPr>
          <w:rFonts w:ascii="Times New Roman" w:hAnsi="Times New Roman"/>
          <w:sz w:val="24"/>
          <w:szCs w:val="24"/>
        </w:rPr>
        <w:t>qualify as a</w:t>
      </w:r>
      <w:r w:rsidRPr="00C474DE">
        <w:rPr>
          <w:rFonts w:ascii="Times New Roman" w:hAnsi="Times New Roman"/>
          <w:sz w:val="24"/>
          <w:szCs w:val="24"/>
        </w:rPr>
        <w:t xml:space="preserve"> small</w:t>
      </w:r>
      <w:r w:rsidR="001832CF">
        <w:rPr>
          <w:rFonts w:ascii="Times New Roman" w:hAnsi="Times New Roman"/>
          <w:sz w:val="24"/>
          <w:szCs w:val="24"/>
        </w:rPr>
        <w:t xml:space="preserve"> entity</w:t>
      </w:r>
      <w:r w:rsidRPr="00C474DE">
        <w:rPr>
          <w:rFonts w:ascii="Times New Roman" w:hAnsi="Times New Roman"/>
          <w:sz w:val="24"/>
          <w:szCs w:val="24"/>
        </w:rPr>
        <w:t>. The data collection plan is designed to minimize burden on these entities by using technology, as described in Section A.3, and avoiding duplication, as described in Section A.4.</w:t>
      </w:r>
    </w:p>
    <w:p w:rsidR="00C474DE" w:rsidRPr="00E056D6" w:rsidP="3286AA9B" w14:paraId="67BCF98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BE1574" w:rsidRPr="00A34B50" w:rsidP="00161076" w14:paraId="71B9FA64" w14:textId="2F364599">
      <w:pPr>
        <w:rPr>
          <w:rFonts w:asciiTheme="majorBidi" w:hAnsiTheme="majorBidi" w:cstheme="majorBidi"/>
          <w:b/>
          <w:bCs/>
          <w:sz w:val="24"/>
          <w:szCs w:val="24"/>
        </w:rPr>
      </w:pPr>
      <w:bookmarkStart w:id="9" w:name="A06"/>
      <w:r>
        <w:rPr>
          <w:rFonts w:asciiTheme="majorBidi" w:hAnsiTheme="majorBidi" w:cstheme="majorBidi"/>
          <w:b/>
          <w:bCs/>
          <w:sz w:val="24"/>
          <w:szCs w:val="24"/>
        </w:rPr>
        <w:t>A.</w:t>
      </w:r>
      <w:r w:rsidRPr="00A34B50" w:rsidR="00161076">
        <w:rPr>
          <w:rFonts w:asciiTheme="majorBidi" w:hAnsiTheme="majorBidi" w:cstheme="majorBidi"/>
          <w:b/>
          <w:bCs/>
          <w:sz w:val="24"/>
          <w:szCs w:val="24"/>
        </w:rPr>
        <w:t>6.</w:t>
      </w:r>
      <w:bookmarkEnd w:id="9"/>
      <w:r w:rsidRPr="00A34B50" w:rsidR="00161076">
        <w:rPr>
          <w:rFonts w:asciiTheme="majorBidi" w:hAnsiTheme="majorBidi" w:cstheme="majorBidi"/>
          <w:b/>
          <w:bCs/>
          <w:sz w:val="24"/>
          <w:szCs w:val="24"/>
        </w:rPr>
        <w:t xml:space="preserve">  Describe the consequence to federal program or policy activities if the collection is not conducted or is conducted less frequently, as well as any technical or legal obstacles to reducing burden.</w:t>
      </w:r>
    </w:p>
    <w:p w:rsidR="002F3B2A" w:rsidP="00683D7A" w14:paraId="31137861" w14:textId="71CD1C6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Pr>
          <w:rFonts w:ascii="Times New Roman" w:hAnsi="Times New Roman"/>
          <w:b/>
          <w:bCs/>
          <w:sz w:val="24"/>
          <w:szCs w:val="24"/>
        </w:rPr>
        <w:t>ETM Program Experiences</w:t>
      </w:r>
      <w:r w:rsidRPr="005F4F84" w:rsidR="005F4F84">
        <w:rPr>
          <w:rFonts w:ascii="Times New Roman" w:hAnsi="Times New Roman"/>
          <w:b/>
          <w:bCs/>
          <w:sz w:val="24"/>
          <w:szCs w:val="24"/>
        </w:rPr>
        <w:t xml:space="preserve"> (Interviews with </w:t>
      </w:r>
      <w:r w:rsidR="009F5DE6">
        <w:rPr>
          <w:rFonts w:ascii="Times New Roman" w:hAnsi="Times New Roman"/>
          <w:b/>
          <w:bCs/>
          <w:sz w:val="24"/>
          <w:szCs w:val="24"/>
        </w:rPr>
        <w:t>Y</w:t>
      </w:r>
      <w:r w:rsidRPr="005F4F84" w:rsidR="005F4F84">
        <w:rPr>
          <w:rFonts w:ascii="Times New Roman" w:hAnsi="Times New Roman"/>
          <w:b/>
          <w:bCs/>
          <w:sz w:val="24"/>
          <w:szCs w:val="24"/>
        </w:rPr>
        <w:t xml:space="preserve">outh, </w:t>
      </w:r>
      <w:r w:rsidR="009F5DE6">
        <w:rPr>
          <w:rFonts w:ascii="Times New Roman" w:hAnsi="Times New Roman"/>
          <w:b/>
          <w:bCs/>
          <w:sz w:val="24"/>
          <w:szCs w:val="24"/>
        </w:rPr>
        <w:t>P</w:t>
      </w:r>
      <w:r w:rsidRPr="005F4F84" w:rsidR="009F5DE6">
        <w:rPr>
          <w:rFonts w:ascii="Times New Roman" w:hAnsi="Times New Roman"/>
          <w:b/>
          <w:bCs/>
          <w:sz w:val="24"/>
          <w:szCs w:val="24"/>
        </w:rPr>
        <w:t>arents</w:t>
      </w:r>
      <w:r w:rsidRPr="005F4F84" w:rsidR="005F4F84">
        <w:rPr>
          <w:rFonts w:ascii="Times New Roman" w:hAnsi="Times New Roman"/>
          <w:b/>
          <w:bCs/>
          <w:sz w:val="24"/>
          <w:szCs w:val="24"/>
        </w:rPr>
        <w:t>/</w:t>
      </w:r>
      <w:r w:rsidR="009F5DE6">
        <w:rPr>
          <w:rFonts w:ascii="Times New Roman" w:hAnsi="Times New Roman"/>
          <w:b/>
          <w:bCs/>
          <w:sz w:val="24"/>
          <w:szCs w:val="24"/>
        </w:rPr>
        <w:t>G</w:t>
      </w:r>
      <w:r w:rsidRPr="005F4F84" w:rsidR="009F5DE6">
        <w:rPr>
          <w:rFonts w:ascii="Times New Roman" w:hAnsi="Times New Roman"/>
          <w:b/>
          <w:bCs/>
          <w:sz w:val="24"/>
          <w:szCs w:val="24"/>
        </w:rPr>
        <w:t>uardians</w:t>
      </w:r>
      <w:r w:rsidRPr="005F4F84" w:rsidR="005F4F84">
        <w:rPr>
          <w:rFonts w:ascii="Times New Roman" w:hAnsi="Times New Roman"/>
          <w:b/>
          <w:bCs/>
          <w:sz w:val="24"/>
          <w:szCs w:val="24"/>
        </w:rPr>
        <w:t xml:space="preserve">, </w:t>
      </w:r>
      <w:r w:rsidR="009F5DE6">
        <w:rPr>
          <w:rFonts w:ascii="Times New Roman" w:hAnsi="Times New Roman"/>
          <w:b/>
          <w:bCs/>
          <w:sz w:val="24"/>
          <w:szCs w:val="24"/>
        </w:rPr>
        <w:t>E</w:t>
      </w:r>
      <w:r w:rsidRPr="005F4F84" w:rsidR="009F5DE6">
        <w:rPr>
          <w:rFonts w:ascii="Times New Roman" w:hAnsi="Times New Roman"/>
          <w:b/>
          <w:bCs/>
          <w:sz w:val="24"/>
          <w:szCs w:val="24"/>
        </w:rPr>
        <w:t>mployer</w:t>
      </w:r>
      <w:r w:rsidRPr="005F4F84" w:rsidR="005F4F84">
        <w:rPr>
          <w:rFonts w:ascii="Times New Roman" w:hAnsi="Times New Roman"/>
          <w:b/>
          <w:bCs/>
          <w:sz w:val="24"/>
          <w:szCs w:val="24"/>
        </w:rPr>
        <w:t>) (Attachments D.1-D.3</w:t>
      </w:r>
      <w:r w:rsidR="00800B20">
        <w:rPr>
          <w:rFonts w:ascii="Times New Roman" w:hAnsi="Times New Roman"/>
          <w:b/>
          <w:bCs/>
          <w:sz w:val="24"/>
          <w:szCs w:val="24"/>
        </w:rPr>
        <w:t>)</w:t>
      </w:r>
      <w:r w:rsidRPr="008B7276" w:rsidR="00DF2D4B">
        <w:rPr>
          <w:rFonts w:ascii="Times New Roman" w:hAnsi="Times New Roman"/>
          <w:b/>
          <w:bCs/>
          <w:sz w:val="24"/>
          <w:szCs w:val="24"/>
        </w:rPr>
        <w:t xml:space="preserve">: </w:t>
      </w:r>
      <w:r w:rsidRPr="00683D7A" w:rsidR="003C66F0">
        <w:rPr>
          <w:rFonts w:ascii="Times New Roman" w:hAnsi="Times New Roman"/>
          <w:sz w:val="24"/>
          <w:szCs w:val="24"/>
        </w:rPr>
        <w:t xml:space="preserve">The </w:t>
      </w:r>
      <w:r w:rsidRPr="00683D7A" w:rsidR="00471751">
        <w:rPr>
          <w:rFonts w:ascii="Times New Roman" w:hAnsi="Times New Roman"/>
          <w:sz w:val="24"/>
          <w:szCs w:val="24"/>
        </w:rPr>
        <w:t xml:space="preserve">participant interviews, </w:t>
      </w:r>
      <w:r w:rsidR="009E363C">
        <w:rPr>
          <w:rFonts w:ascii="Times New Roman" w:hAnsi="Times New Roman"/>
          <w:sz w:val="24"/>
          <w:szCs w:val="24"/>
        </w:rPr>
        <w:t>parent/guardian interviews</w:t>
      </w:r>
      <w:r w:rsidRPr="00683D7A" w:rsidR="00471751">
        <w:rPr>
          <w:rFonts w:ascii="Times New Roman" w:hAnsi="Times New Roman"/>
          <w:sz w:val="24"/>
          <w:szCs w:val="24"/>
        </w:rPr>
        <w:t xml:space="preserve">, </w:t>
      </w:r>
      <w:r w:rsidRPr="00683D7A" w:rsidR="003C66F0">
        <w:rPr>
          <w:rFonts w:ascii="Times New Roman" w:hAnsi="Times New Roman"/>
          <w:sz w:val="24"/>
          <w:szCs w:val="24"/>
        </w:rPr>
        <w:t xml:space="preserve">and employer </w:t>
      </w:r>
      <w:r w:rsidRPr="00683D7A" w:rsidR="00244A28">
        <w:rPr>
          <w:rFonts w:ascii="Times New Roman" w:hAnsi="Times New Roman"/>
          <w:sz w:val="24"/>
          <w:szCs w:val="24"/>
        </w:rPr>
        <w:t xml:space="preserve">interviews </w:t>
      </w:r>
      <w:r w:rsidRPr="00683D7A" w:rsidR="003C66F0">
        <w:rPr>
          <w:rFonts w:ascii="Times New Roman" w:hAnsi="Times New Roman"/>
          <w:sz w:val="24"/>
          <w:szCs w:val="24"/>
        </w:rPr>
        <w:t>are each a one-time data collection activity</w:t>
      </w:r>
      <w:r>
        <w:rPr>
          <w:rFonts w:ascii="Times New Roman" w:hAnsi="Times New Roman"/>
          <w:sz w:val="24"/>
          <w:szCs w:val="24"/>
        </w:rPr>
        <w:t xml:space="preserve">. </w:t>
      </w:r>
      <w:r w:rsidR="00980513">
        <w:rPr>
          <w:rFonts w:ascii="Times New Roman" w:hAnsi="Times New Roman"/>
          <w:sz w:val="24"/>
          <w:szCs w:val="24"/>
        </w:rPr>
        <w:t>Th</w:t>
      </w:r>
      <w:r w:rsidR="00115AC6">
        <w:rPr>
          <w:rFonts w:ascii="Times New Roman" w:hAnsi="Times New Roman"/>
          <w:sz w:val="24"/>
          <w:szCs w:val="24"/>
        </w:rPr>
        <w:t>ese</w:t>
      </w:r>
      <w:r>
        <w:rPr>
          <w:rFonts w:ascii="Times New Roman" w:hAnsi="Times New Roman"/>
          <w:sz w:val="24"/>
          <w:szCs w:val="24"/>
        </w:rPr>
        <w:t xml:space="preserve"> would be critical to understanding the experiences and perspectives of the people most impacted by the programs – the participants, their families, and their employers. Without these data, the study team can only speculate about participant, family, and employer experiences rather than conduct a comprehensive and useful analysis. </w:t>
      </w:r>
    </w:p>
    <w:p w:rsidR="00994B41" w:rsidRPr="00683D7A" w:rsidP="00FD28C8" w14:paraId="4D81176A" w14:textId="603E191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B63B96">
        <w:rPr>
          <w:rFonts w:ascii="Times New Roman" w:hAnsi="Times New Roman"/>
          <w:b/>
          <w:bCs/>
          <w:sz w:val="24"/>
          <w:szCs w:val="24"/>
        </w:rPr>
        <w:t xml:space="preserve">Implementation </w:t>
      </w:r>
      <w:r w:rsidR="003254EE">
        <w:rPr>
          <w:rFonts w:ascii="Times New Roman" w:hAnsi="Times New Roman"/>
          <w:b/>
          <w:bCs/>
          <w:sz w:val="24"/>
          <w:szCs w:val="24"/>
        </w:rPr>
        <w:t xml:space="preserve">and Partnering </w:t>
      </w:r>
      <w:r w:rsidRPr="00B63B96">
        <w:rPr>
          <w:rFonts w:ascii="Times New Roman" w:hAnsi="Times New Roman"/>
          <w:b/>
          <w:bCs/>
          <w:sz w:val="24"/>
          <w:szCs w:val="24"/>
        </w:rPr>
        <w:t>Activities</w:t>
      </w:r>
      <w:r w:rsidR="009F5DE6">
        <w:rPr>
          <w:rFonts w:ascii="Times New Roman" w:hAnsi="Times New Roman"/>
          <w:b/>
          <w:bCs/>
          <w:sz w:val="24"/>
          <w:szCs w:val="24"/>
        </w:rPr>
        <w:t xml:space="preserve"> </w:t>
      </w:r>
      <w:r>
        <w:rPr>
          <w:rFonts w:ascii="Times New Roman" w:hAnsi="Times New Roman"/>
          <w:b/>
          <w:bCs/>
          <w:sz w:val="24"/>
          <w:szCs w:val="24"/>
        </w:rPr>
        <w:t>(</w:t>
      </w:r>
      <w:r w:rsidRPr="008B7276" w:rsidR="0022103D">
        <w:rPr>
          <w:rFonts w:ascii="Times New Roman" w:hAnsi="Times New Roman"/>
          <w:b/>
          <w:bCs/>
          <w:sz w:val="24"/>
          <w:szCs w:val="24"/>
        </w:rPr>
        <w:t>Semi-</w:t>
      </w:r>
      <w:r w:rsidR="009F5DE6">
        <w:rPr>
          <w:rFonts w:ascii="Times New Roman" w:hAnsi="Times New Roman"/>
          <w:b/>
          <w:bCs/>
          <w:sz w:val="24"/>
          <w:szCs w:val="24"/>
        </w:rPr>
        <w:t>S</w:t>
      </w:r>
      <w:r w:rsidRPr="008B7276" w:rsidR="0022103D">
        <w:rPr>
          <w:rFonts w:ascii="Times New Roman" w:hAnsi="Times New Roman"/>
          <w:b/>
          <w:bCs/>
          <w:sz w:val="24"/>
          <w:szCs w:val="24"/>
        </w:rPr>
        <w:t xml:space="preserve">tructured </w:t>
      </w:r>
      <w:r w:rsidR="009F5DE6">
        <w:rPr>
          <w:rFonts w:ascii="Times New Roman" w:hAnsi="Times New Roman"/>
          <w:b/>
          <w:bCs/>
          <w:sz w:val="24"/>
          <w:szCs w:val="24"/>
        </w:rPr>
        <w:t>I</w:t>
      </w:r>
      <w:r w:rsidRPr="008B7276" w:rsidR="009F5DE6">
        <w:rPr>
          <w:rFonts w:ascii="Times New Roman" w:hAnsi="Times New Roman"/>
          <w:b/>
          <w:bCs/>
          <w:sz w:val="24"/>
          <w:szCs w:val="24"/>
        </w:rPr>
        <w:t xml:space="preserve">nterviews </w:t>
      </w:r>
      <w:r w:rsidRPr="008B7276" w:rsidR="0022103D">
        <w:rPr>
          <w:rFonts w:ascii="Times New Roman" w:hAnsi="Times New Roman"/>
          <w:b/>
          <w:bCs/>
          <w:sz w:val="24"/>
          <w:szCs w:val="24"/>
        </w:rPr>
        <w:t>with</w:t>
      </w:r>
      <w:r w:rsidRPr="008B7276" w:rsidR="00A21750">
        <w:rPr>
          <w:rFonts w:ascii="Times New Roman" w:hAnsi="Times New Roman"/>
          <w:b/>
          <w:bCs/>
          <w:sz w:val="24"/>
          <w:szCs w:val="24"/>
        </w:rPr>
        <w:t xml:space="preserve"> </w:t>
      </w:r>
      <w:r w:rsidR="009F5DE6">
        <w:rPr>
          <w:rFonts w:ascii="Times New Roman" w:hAnsi="Times New Roman"/>
          <w:b/>
          <w:bCs/>
          <w:sz w:val="24"/>
          <w:szCs w:val="24"/>
        </w:rPr>
        <w:t>P</w:t>
      </w:r>
      <w:r w:rsidRPr="008B7276" w:rsidR="009F5DE6">
        <w:rPr>
          <w:rFonts w:ascii="Times New Roman" w:hAnsi="Times New Roman"/>
          <w:b/>
          <w:bCs/>
          <w:sz w:val="24"/>
          <w:szCs w:val="24"/>
        </w:rPr>
        <w:t xml:space="preserve">roject </w:t>
      </w:r>
      <w:r w:rsidRPr="009F5DE6" w:rsidR="009F5DE6">
        <w:rPr>
          <w:rFonts w:ascii="Times New Roman" w:hAnsi="Times New Roman"/>
          <w:b/>
          <w:bCs/>
          <w:sz w:val="24"/>
          <w:szCs w:val="24"/>
        </w:rPr>
        <w:t>D</w:t>
      </w:r>
      <w:r w:rsidRPr="009F5DE6" w:rsidR="00A21750">
        <w:rPr>
          <w:rFonts w:ascii="Times New Roman" w:hAnsi="Times New Roman"/>
          <w:b/>
          <w:bCs/>
          <w:sz w:val="24"/>
          <w:szCs w:val="24"/>
        </w:rPr>
        <w:t xml:space="preserve">irectors, </w:t>
      </w:r>
      <w:r w:rsidRPr="009F5DE6" w:rsidR="009F5DE6">
        <w:rPr>
          <w:rFonts w:ascii="Times New Roman" w:hAnsi="Times New Roman"/>
          <w:b/>
          <w:bCs/>
          <w:sz w:val="24"/>
          <w:szCs w:val="24"/>
        </w:rPr>
        <w:t>L</w:t>
      </w:r>
      <w:r w:rsidRPr="008B7276" w:rsidR="00A21750">
        <w:rPr>
          <w:rFonts w:ascii="Times New Roman" w:hAnsi="Times New Roman"/>
          <w:b/>
          <w:bCs/>
          <w:sz w:val="24"/>
          <w:szCs w:val="24"/>
        </w:rPr>
        <w:t xml:space="preserve">ocal </w:t>
      </w:r>
      <w:r w:rsidRPr="009F5DE6" w:rsidR="009F5DE6">
        <w:rPr>
          <w:rFonts w:ascii="Times New Roman" w:hAnsi="Times New Roman"/>
          <w:b/>
          <w:bCs/>
          <w:sz w:val="24"/>
          <w:szCs w:val="24"/>
        </w:rPr>
        <w:t>Site Administrators</w:t>
      </w:r>
      <w:r w:rsidRPr="008B7276" w:rsidR="00A21750">
        <w:rPr>
          <w:rFonts w:ascii="Times New Roman" w:hAnsi="Times New Roman"/>
          <w:b/>
          <w:bCs/>
          <w:sz w:val="24"/>
          <w:szCs w:val="24"/>
        </w:rPr>
        <w:t xml:space="preserve">, and </w:t>
      </w:r>
      <w:r w:rsidRPr="009F5DE6" w:rsidR="009F5DE6">
        <w:rPr>
          <w:rFonts w:ascii="Times New Roman" w:hAnsi="Times New Roman"/>
          <w:b/>
          <w:bCs/>
          <w:sz w:val="24"/>
          <w:szCs w:val="24"/>
        </w:rPr>
        <w:t>Case Managers</w:t>
      </w:r>
      <w:r w:rsidR="00154AC3">
        <w:rPr>
          <w:rFonts w:ascii="Times New Roman" w:hAnsi="Times New Roman"/>
          <w:b/>
          <w:bCs/>
          <w:sz w:val="24"/>
          <w:szCs w:val="24"/>
        </w:rPr>
        <w:t xml:space="preserve">, and </w:t>
      </w:r>
      <w:r w:rsidRPr="009F5DE6" w:rsidR="009F5DE6">
        <w:rPr>
          <w:rFonts w:ascii="Times New Roman" w:hAnsi="Times New Roman"/>
          <w:b/>
          <w:bCs/>
          <w:sz w:val="24"/>
          <w:szCs w:val="24"/>
        </w:rPr>
        <w:t>Partnering List</w:t>
      </w:r>
      <w:r>
        <w:rPr>
          <w:rFonts w:ascii="Times New Roman" w:hAnsi="Times New Roman"/>
          <w:b/>
          <w:bCs/>
          <w:sz w:val="24"/>
          <w:szCs w:val="24"/>
        </w:rPr>
        <w:t>) (</w:t>
      </w:r>
      <w:r w:rsidRPr="00670F78" w:rsidR="00B42CEB">
        <w:rPr>
          <w:rFonts w:asciiTheme="majorBidi" w:hAnsiTheme="majorBidi" w:cstheme="majorBidi"/>
          <w:b/>
          <w:bCs/>
          <w:sz w:val="24"/>
          <w:szCs w:val="24"/>
        </w:rPr>
        <w:t>Attachments B.1-B.3</w:t>
      </w:r>
      <w:r w:rsidRPr="00670F78" w:rsidR="00205C54">
        <w:rPr>
          <w:rFonts w:asciiTheme="majorBidi" w:hAnsiTheme="majorBidi" w:cstheme="majorBidi"/>
          <w:b/>
          <w:bCs/>
          <w:sz w:val="24"/>
          <w:szCs w:val="24"/>
        </w:rPr>
        <w:t xml:space="preserve"> and C.1-C.2</w:t>
      </w:r>
      <w:r w:rsidRPr="00670F78" w:rsidR="00B42CEB">
        <w:rPr>
          <w:rFonts w:asciiTheme="majorBidi" w:hAnsiTheme="majorBidi" w:cstheme="majorBidi"/>
          <w:b/>
          <w:bCs/>
          <w:sz w:val="24"/>
          <w:szCs w:val="24"/>
        </w:rPr>
        <w:t>)</w:t>
      </w:r>
      <w:r w:rsidRPr="00A21750" w:rsidR="00A21750">
        <w:rPr>
          <w:rFonts w:ascii="Times New Roman" w:hAnsi="Times New Roman"/>
          <w:b/>
          <w:bCs/>
          <w:sz w:val="24"/>
          <w:szCs w:val="24"/>
        </w:rPr>
        <w:t>:</w:t>
      </w:r>
      <w:r w:rsidR="00A21750">
        <w:rPr>
          <w:rFonts w:ascii="Times New Roman" w:hAnsi="Times New Roman"/>
          <w:sz w:val="24"/>
          <w:szCs w:val="24"/>
        </w:rPr>
        <w:t xml:space="preserve"> </w:t>
      </w:r>
      <w:r w:rsidRPr="00683D7A" w:rsidR="00A21750">
        <w:rPr>
          <w:rFonts w:ascii="Times New Roman" w:hAnsi="Times New Roman"/>
          <w:sz w:val="24"/>
          <w:szCs w:val="24"/>
        </w:rPr>
        <w:t>Implementation</w:t>
      </w:r>
      <w:r w:rsidRPr="00683D7A" w:rsidR="003C66F0">
        <w:rPr>
          <w:rFonts w:ascii="Times New Roman" w:hAnsi="Times New Roman"/>
          <w:sz w:val="24"/>
          <w:szCs w:val="24"/>
        </w:rPr>
        <w:t xml:space="preserve"> study interviews </w:t>
      </w:r>
      <w:r w:rsidR="00514A43">
        <w:rPr>
          <w:rFonts w:ascii="Times New Roman" w:hAnsi="Times New Roman"/>
          <w:sz w:val="24"/>
          <w:szCs w:val="24"/>
        </w:rPr>
        <w:t xml:space="preserve">and the </w:t>
      </w:r>
      <w:r w:rsidR="005F19FB">
        <w:rPr>
          <w:rFonts w:ascii="Times New Roman" w:hAnsi="Times New Roman"/>
          <w:sz w:val="24"/>
          <w:szCs w:val="24"/>
        </w:rPr>
        <w:t>P</w:t>
      </w:r>
      <w:r w:rsidR="00DC5F00">
        <w:rPr>
          <w:rFonts w:ascii="Times New Roman" w:hAnsi="Times New Roman"/>
          <w:sz w:val="24"/>
          <w:szCs w:val="24"/>
        </w:rPr>
        <w:t>artner</w:t>
      </w:r>
      <w:r w:rsidR="005F19FB">
        <w:rPr>
          <w:rFonts w:ascii="Times New Roman" w:hAnsi="Times New Roman"/>
          <w:sz w:val="24"/>
          <w:szCs w:val="24"/>
        </w:rPr>
        <w:t>ing activities</w:t>
      </w:r>
      <w:r w:rsidR="00514A43">
        <w:rPr>
          <w:rFonts w:ascii="Times New Roman" w:hAnsi="Times New Roman"/>
          <w:sz w:val="24"/>
          <w:szCs w:val="24"/>
        </w:rPr>
        <w:t xml:space="preserve"> </w:t>
      </w:r>
      <w:r w:rsidRPr="00683D7A" w:rsidR="003C66F0">
        <w:rPr>
          <w:rFonts w:ascii="Times New Roman" w:hAnsi="Times New Roman"/>
          <w:sz w:val="24"/>
          <w:szCs w:val="24"/>
        </w:rPr>
        <w:t>will occur twice</w:t>
      </w:r>
      <w:r w:rsidRPr="00683D7A" w:rsidR="002A054C">
        <w:rPr>
          <w:rFonts w:ascii="Times New Roman" w:hAnsi="Times New Roman"/>
          <w:sz w:val="24"/>
          <w:szCs w:val="24"/>
        </w:rPr>
        <w:t xml:space="preserve">, </w:t>
      </w:r>
      <w:r w:rsidRPr="00683D7A" w:rsidR="003C66F0">
        <w:rPr>
          <w:rFonts w:ascii="Times New Roman" w:hAnsi="Times New Roman"/>
          <w:sz w:val="24"/>
          <w:szCs w:val="24"/>
        </w:rPr>
        <w:t>once at the beginning of implementation</w:t>
      </w:r>
      <w:r w:rsidRPr="00683D7A" w:rsidR="00244A28">
        <w:rPr>
          <w:rFonts w:ascii="Times New Roman" w:hAnsi="Times New Roman"/>
          <w:sz w:val="24"/>
          <w:szCs w:val="24"/>
        </w:rPr>
        <w:t xml:space="preserve"> and once near the end</w:t>
      </w:r>
      <w:r w:rsidRPr="00683D7A" w:rsidR="008632C7">
        <w:rPr>
          <w:rFonts w:ascii="Times New Roman" w:hAnsi="Times New Roman"/>
          <w:sz w:val="24"/>
          <w:szCs w:val="24"/>
        </w:rPr>
        <w:t xml:space="preserve">. </w:t>
      </w:r>
      <w:r w:rsidRPr="00683D7A" w:rsidR="003C66F0">
        <w:rPr>
          <w:rFonts w:ascii="Times New Roman" w:hAnsi="Times New Roman"/>
          <w:sz w:val="24"/>
          <w:szCs w:val="24"/>
        </w:rPr>
        <w:t xml:space="preserve">Each </w:t>
      </w:r>
      <w:r w:rsidR="005A02CF">
        <w:rPr>
          <w:rFonts w:ascii="Times New Roman" w:hAnsi="Times New Roman"/>
          <w:sz w:val="24"/>
          <w:szCs w:val="24"/>
        </w:rPr>
        <w:t xml:space="preserve">semi-structured </w:t>
      </w:r>
      <w:r w:rsidRPr="00683D7A" w:rsidR="002A054C">
        <w:rPr>
          <w:rFonts w:ascii="Times New Roman" w:hAnsi="Times New Roman"/>
          <w:sz w:val="24"/>
          <w:szCs w:val="24"/>
        </w:rPr>
        <w:t xml:space="preserve">implementation interview </w:t>
      </w:r>
      <w:r w:rsidRPr="00683D7A" w:rsidR="003C66F0">
        <w:rPr>
          <w:rFonts w:ascii="Times New Roman" w:hAnsi="Times New Roman"/>
          <w:sz w:val="24"/>
          <w:szCs w:val="24"/>
        </w:rPr>
        <w:t xml:space="preserve">will systematically document how the grant-funded programs operate. The data collected through </w:t>
      </w:r>
      <w:r w:rsidR="00604D93">
        <w:rPr>
          <w:rFonts w:ascii="Times New Roman" w:hAnsi="Times New Roman"/>
          <w:sz w:val="24"/>
          <w:szCs w:val="24"/>
        </w:rPr>
        <w:t>these semi-structured interviews</w:t>
      </w:r>
      <w:r w:rsidRPr="00683D7A" w:rsidR="003C66F0">
        <w:rPr>
          <w:rFonts w:ascii="Times New Roman" w:hAnsi="Times New Roman"/>
          <w:sz w:val="24"/>
          <w:szCs w:val="24"/>
        </w:rPr>
        <w:t xml:space="preserve"> will provide the federal government with information on how grantees used federal funds to</w:t>
      </w:r>
      <w:r w:rsidRPr="00683D7A" w:rsidR="00F748A8">
        <w:rPr>
          <w:rFonts w:ascii="Times New Roman" w:hAnsi="Times New Roman"/>
          <w:sz w:val="24"/>
          <w:szCs w:val="24"/>
        </w:rPr>
        <w:t xml:space="preserve"> implement</w:t>
      </w:r>
      <w:r w:rsidRPr="00683D7A" w:rsidR="00185911">
        <w:rPr>
          <w:rFonts w:ascii="Times New Roman" w:hAnsi="Times New Roman"/>
          <w:sz w:val="24"/>
          <w:szCs w:val="24"/>
        </w:rPr>
        <w:t xml:space="preserve"> their program</w:t>
      </w:r>
      <w:r w:rsidRPr="00683D7A" w:rsidR="003C66F0">
        <w:rPr>
          <w:rFonts w:ascii="Times New Roman" w:hAnsi="Times New Roman"/>
          <w:sz w:val="24"/>
          <w:szCs w:val="24"/>
        </w:rPr>
        <w:t xml:space="preserve">. </w:t>
      </w:r>
      <w:r w:rsidRPr="00683D7A">
        <w:rPr>
          <w:rFonts w:ascii="Times New Roman" w:hAnsi="Times New Roman"/>
          <w:sz w:val="24"/>
          <w:szCs w:val="24"/>
        </w:rPr>
        <w:t xml:space="preserve">Follow-up interviews with grantee staff in the final year of their grant’s period of performance will capture information on significant changes to program operations and components since the </w:t>
      </w:r>
      <w:r w:rsidRPr="00683D7A" w:rsidR="00185911">
        <w:rPr>
          <w:rFonts w:ascii="Times New Roman" w:hAnsi="Times New Roman"/>
          <w:sz w:val="24"/>
          <w:szCs w:val="24"/>
        </w:rPr>
        <w:t xml:space="preserve">first </w:t>
      </w:r>
      <w:r w:rsidR="008E6ACD">
        <w:rPr>
          <w:rFonts w:ascii="Times New Roman" w:hAnsi="Times New Roman"/>
          <w:sz w:val="24"/>
          <w:szCs w:val="24"/>
        </w:rPr>
        <w:t>interview</w:t>
      </w:r>
      <w:r w:rsidRPr="00683D7A">
        <w:rPr>
          <w:rFonts w:ascii="Times New Roman" w:hAnsi="Times New Roman"/>
          <w:sz w:val="24"/>
          <w:szCs w:val="24"/>
        </w:rPr>
        <w:t>, document implementation lessons, and discuss the extent to which services and partnerships will be sustained after the grant ends.</w:t>
      </w:r>
      <w:r w:rsidRPr="00683D7A" w:rsidR="00263396">
        <w:rPr>
          <w:rFonts w:ascii="Times New Roman" w:hAnsi="Times New Roman"/>
          <w:sz w:val="24"/>
          <w:szCs w:val="24"/>
        </w:rPr>
        <w:t xml:space="preserve"> Without the </w:t>
      </w:r>
      <w:r w:rsidR="006267AC">
        <w:rPr>
          <w:rFonts w:ascii="Times New Roman" w:hAnsi="Times New Roman"/>
          <w:sz w:val="24"/>
          <w:szCs w:val="24"/>
        </w:rPr>
        <w:t xml:space="preserve">site </w:t>
      </w:r>
      <w:r w:rsidRPr="00683D7A" w:rsidR="00263396">
        <w:rPr>
          <w:rFonts w:ascii="Times New Roman" w:hAnsi="Times New Roman"/>
          <w:sz w:val="24"/>
          <w:szCs w:val="24"/>
        </w:rPr>
        <w:t>visits</w:t>
      </w:r>
      <w:r w:rsidR="006267AC">
        <w:rPr>
          <w:rFonts w:ascii="Times New Roman" w:hAnsi="Times New Roman"/>
          <w:sz w:val="24"/>
          <w:szCs w:val="24"/>
        </w:rPr>
        <w:t xml:space="preserve"> and interviews</w:t>
      </w:r>
      <w:r w:rsidRPr="00683D7A" w:rsidR="00263396">
        <w:rPr>
          <w:rFonts w:ascii="Times New Roman" w:hAnsi="Times New Roman"/>
          <w:sz w:val="24"/>
          <w:szCs w:val="24"/>
        </w:rPr>
        <w:t>, the evaluation team would not be able to</w:t>
      </w:r>
      <w:r w:rsidR="00226BF5">
        <w:rPr>
          <w:rFonts w:ascii="Times New Roman" w:hAnsi="Times New Roman"/>
          <w:sz w:val="24"/>
          <w:szCs w:val="24"/>
        </w:rPr>
        <w:t xml:space="preserve"> document the </w:t>
      </w:r>
      <w:r w:rsidR="006F6475">
        <w:rPr>
          <w:rFonts w:ascii="Times New Roman" w:hAnsi="Times New Roman"/>
          <w:sz w:val="24"/>
          <w:szCs w:val="24"/>
        </w:rPr>
        <w:t xml:space="preserve">initial partners and </w:t>
      </w:r>
      <w:r w:rsidR="005F462D">
        <w:rPr>
          <w:rFonts w:ascii="Times New Roman" w:hAnsi="Times New Roman"/>
          <w:sz w:val="24"/>
          <w:szCs w:val="24"/>
        </w:rPr>
        <w:t>design used to launch the ETM demonstrations, to</w:t>
      </w:r>
      <w:r w:rsidRPr="00683D7A" w:rsidR="00263396">
        <w:rPr>
          <w:rFonts w:ascii="Times New Roman" w:hAnsi="Times New Roman"/>
          <w:sz w:val="24"/>
          <w:szCs w:val="24"/>
        </w:rPr>
        <w:t xml:space="preserve"> capture the evolving nature of program services, plans for program sustainability, or document challenges and their solutions. </w:t>
      </w:r>
    </w:p>
    <w:p w:rsidR="00386CEC" w:rsidP="00994B41" w14:paraId="56083ECC" w14:textId="0014E1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Pr>
          <w:rFonts w:ascii="Times New Roman" w:hAnsi="Times New Roman"/>
          <w:b/>
          <w:bCs/>
          <w:sz w:val="24"/>
          <w:szCs w:val="24"/>
        </w:rPr>
        <w:t>Program Data (</w:t>
      </w:r>
      <w:r w:rsidRPr="008B7276" w:rsidR="005A42A8">
        <w:rPr>
          <w:rFonts w:ascii="Times New Roman" w:hAnsi="Times New Roman"/>
          <w:b/>
          <w:bCs/>
          <w:sz w:val="24"/>
          <w:szCs w:val="24"/>
        </w:rPr>
        <w:t xml:space="preserve">Baseline </w:t>
      </w:r>
      <w:r w:rsidR="00693027">
        <w:rPr>
          <w:rFonts w:ascii="Times New Roman" w:hAnsi="Times New Roman"/>
          <w:b/>
          <w:bCs/>
          <w:sz w:val="24"/>
          <w:szCs w:val="24"/>
        </w:rPr>
        <w:t>Intake Data</w:t>
      </w:r>
      <w:r w:rsidRPr="008B7276" w:rsidR="005A42A8">
        <w:rPr>
          <w:rFonts w:ascii="Times New Roman" w:hAnsi="Times New Roman"/>
          <w:b/>
          <w:bCs/>
          <w:sz w:val="24"/>
          <w:szCs w:val="24"/>
        </w:rPr>
        <w:t xml:space="preserve">, Youth </w:t>
      </w:r>
      <w:r w:rsidRPr="008B7276" w:rsidR="00C77CEB">
        <w:rPr>
          <w:rFonts w:ascii="Times New Roman" w:hAnsi="Times New Roman"/>
          <w:b/>
          <w:bCs/>
          <w:sz w:val="24"/>
          <w:szCs w:val="24"/>
        </w:rPr>
        <w:t xml:space="preserve">Referral, and Service </w:t>
      </w:r>
      <w:r w:rsidR="002B6EB2">
        <w:rPr>
          <w:rFonts w:ascii="Times New Roman" w:hAnsi="Times New Roman"/>
          <w:b/>
          <w:bCs/>
          <w:sz w:val="24"/>
          <w:szCs w:val="24"/>
        </w:rPr>
        <w:t>R</w:t>
      </w:r>
      <w:r w:rsidRPr="008B7276" w:rsidR="00C77CEB">
        <w:rPr>
          <w:rFonts w:ascii="Times New Roman" w:hAnsi="Times New Roman"/>
          <w:b/>
          <w:bCs/>
          <w:sz w:val="24"/>
          <w:szCs w:val="24"/>
        </w:rPr>
        <w:t>eceipt Data</w:t>
      </w:r>
      <w:r>
        <w:rPr>
          <w:rFonts w:ascii="Times New Roman" w:hAnsi="Times New Roman"/>
          <w:b/>
          <w:bCs/>
          <w:sz w:val="24"/>
          <w:szCs w:val="24"/>
        </w:rPr>
        <w:t>)</w:t>
      </w:r>
      <w:r w:rsidR="00EF6766">
        <w:rPr>
          <w:rFonts w:ascii="Times New Roman" w:hAnsi="Times New Roman"/>
          <w:b/>
          <w:bCs/>
          <w:sz w:val="24"/>
          <w:szCs w:val="24"/>
        </w:rPr>
        <w:t xml:space="preserve"> </w:t>
      </w:r>
      <w:r>
        <w:rPr>
          <w:rFonts w:ascii="Times New Roman" w:hAnsi="Times New Roman"/>
          <w:b/>
          <w:bCs/>
          <w:sz w:val="24"/>
          <w:szCs w:val="24"/>
        </w:rPr>
        <w:t>(</w:t>
      </w:r>
      <w:r w:rsidRPr="00670F78" w:rsidR="00EF6766">
        <w:rPr>
          <w:rFonts w:asciiTheme="majorBidi" w:hAnsiTheme="majorBidi" w:cstheme="majorBidi"/>
          <w:b/>
          <w:bCs/>
          <w:sz w:val="24"/>
          <w:szCs w:val="24"/>
        </w:rPr>
        <w:t xml:space="preserve">Section D.1 </w:t>
      </w:r>
      <w:r w:rsidRPr="00670F78">
        <w:rPr>
          <w:rFonts w:asciiTheme="majorBidi" w:hAnsiTheme="majorBidi" w:cstheme="majorBidi"/>
          <w:b/>
          <w:bCs/>
          <w:sz w:val="24"/>
          <w:szCs w:val="24"/>
        </w:rPr>
        <w:t xml:space="preserve">and Sections D.2-D.9 </w:t>
      </w:r>
      <w:r w:rsidRPr="00670F78" w:rsidR="00EF6766">
        <w:rPr>
          <w:rFonts w:asciiTheme="majorBidi" w:hAnsiTheme="majorBidi" w:cstheme="majorBidi"/>
          <w:b/>
          <w:bCs/>
          <w:sz w:val="24"/>
          <w:szCs w:val="24"/>
        </w:rPr>
        <w:t>of Attachment A.1</w:t>
      </w:r>
      <w:r w:rsidRPr="00320D54" w:rsidR="00EF6766">
        <w:rPr>
          <w:rFonts w:asciiTheme="majorBidi" w:hAnsiTheme="majorBidi" w:cstheme="majorBidi"/>
          <w:b/>
          <w:bCs/>
          <w:szCs w:val="24"/>
        </w:rPr>
        <w:t>)</w:t>
      </w:r>
      <w:r w:rsidRPr="008B7276" w:rsidR="00EF6766">
        <w:rPr>
          <w:rFonts w:ascii="Times New Roman" w:hAnsi="Times New Roman"/>
          <w:b/>
          <w:bCs/>
          <w:sz w:val="24"/>
          <w:szCs w:val="24"/>
        </w:rPr>
        <w:t xml:space="preserve">: </w:t>
      </w:r>
      <w:r w:rsidR="004E7867">
        <w:rPr>
          <w:rFonts w:ascii="Times New Roman" w:hAnsi="Times New Roman"/>
          <w:sz w:val="24"/>
          <w:szCs w:val="24"/>
        </w:rPr>
        <w:t>The quarterly progress report will capture</w:t>
      </w:r>
      <w:r w:rsidR="00BA58A8">
        <w:rPr>
          <w:rFonts w:ascii="Times New Roman" w:hAnsi="Times New Roman"/>
          <w:sz w:val="24"/>
          <w:szCs w:val="24"/>
        </w:rPr>
        <w:t xml:space="preserve"> the </w:t>
      </w:r>
      <w:r w:rsidR="00410177">
        <w:rPr>
          <w:rFonts w:ascii="Times New Roman" w:hAnsi="Times New Roman"/>
          <w:sz w:val="24"/>
          <w:szCs w:val="24"/>
        </w:rPr>
        <w:t>Baseline Intake</w:t>
      </w:r>
      <w:r w:rsidR="00BA58A8">
        <w:rPr>
          <w:rFonts w:ascii="Times New Roman" w:hAnsi="Times New Roman"/>
          <w:sz w:val="24"/>
          <w:szCs w:val="24"/>
        </w:rPr>
        <w:t xml:space="preserve">, </w:t>
      </w:r>
      <w:r w:rsidR="00410177">
        <w:rPr>
          <w:rFonts w:ascii="Times New Roman" w:hAnsi="Times New Roman"/>
          <w:sz w:val="24"/>
          <w:szCs w:val="24"/>
        </w:rPr>
        <w:t>Youth Referral</w:t>
      </w:r>
      <w:r w:rsidR="00BA58A8">
        <w:rPr>
          <w:rFonts w:ascii="Times New Roman" w:hAnsi="Times New Roman"/>
          <w:sz w:val="24"/>
          <w:szCs w:val="24"/>
        </w:rPr>
        <w:t xml:space="preserve">, and </w:t>
      </w:r>
      <w:r w:rsidR="00410177">
        <w:rPr>
          <w:rFonts w:ascii="Times New Roman" w:hAnsi="Times New Roman"/>
          <w:sz w:val="24"/>
          <w:szCs w:val="24"/>
        </w:rPr>
        <w:t>Service Receipt D</w:t>
      </w:r>
      <w:r w:rsidR="0014688B">
        <w:rPr>
          <w:rFonts w:ascii="Times New Roman" w:hAnsi="Times New Roman"/>
          <w:sz w:val="24"/>
          <w:szCs w:val="24"/>
        </w:rPr>
        <w:t>ata</w:t>
      </w:r>
      <w:r w:rsidR="00ED2AB0">
        <w:rPr>
          <w:rFonts w:ascii="Times New Roman" w:hAnsi="Times New Roman"/>
          <w:sz w:val="24"/>
          <w:szCs w:val="24"/>
        </w:rPr>
        <w:t xml:space="preserve"> for</w:t>
      </w:r>
      <w:r w:rsidR="004E7867">
        <w:rPr>
          <w:rFonts w:ascii="Times New Roman" w:hAnsi="Times New Roman"/>
          <w:sz w:val="24"/>
          <w:szCs w:val="24"/>
        </w:rPr>
        <w:t xml:space="preserve"> youth actively receiving services </w:t>
      </w:r>
      <w:r w:rsidR="004E7867">
        <w:rPr>
          <w:rFonts w:ascii="Times New Roman" w:hAnsi="Times New Roman"/>
          <w:sz w:val="24"/>
          <w:szCs w:val="24"/>
        </w:rPr>
        <w:t>over time</w:t>
      </w:r>
      <w:r>
        <w:rPr>
          <w:rFonts w:ascii="Times New Roman" w:hAnsi="Times New Roman"/>
          <w:sz w:val="24"/>
          <w:szCs w:val="24"/>
        </w:rPr>
        <w:t>. If these data were not collected or collected less frequently</w:t>
      </w:r>
      <w:r w:rsidR="00FD5874">
        <w:rPr>
          <w:rFonts w:ascii="Times New Roman" w:hAnsi="Times New Roman"/>
          <w:sz w:val="24"/>
          <w:szCs w:val="24"/>
        </w:rPr>
        <w:t xml:space="preserve">, analysis could not differentiate youth who received services for a </w:t>
      </w:r>
      <w:r w:rsidR="00641428">
        <w:rPr>
          <w:rFonts w:ascii="Times New Roman" w:hAnsi="Times New Roman"/>
          <w:sz w:val="24"/>
          <w:szCs w:val="24"/>
        </w:rPr>
        <w:t>short period of time from those that received services for a long period of time. Without information</w:t>
      </w:r>
      <w:r w:rsidR="00A67278">
        <w:rPr>
          <w:rFonts w:ascii="Times New Roman" w:hAnsi="Times New Roman"/>
          <w:sz w:val="24"/>
          <w:szCs w:val="24"/>
        </w:rPr>
        <w:t xml:space="preserve"> on the </w:t>
      </w:r>
      <w:r w:rsidR="00914599">
        <w:rPr>
          <w:rFonts w:ascii="Times New Roman" w:hAnsi="Times New Roman"/>
          <w:sz w:val="24"/>
          <w:szCs w:val="24"/>
        </w:rPr>
        <w:t>services youth receive</w:t>
      </w:r>
      <w:r w:rsidR="00641428">
        <w:rPr>
          <w:rFonts w:ascii="Times New Roman" w:hAnsi="Times New Roman"/>
          <w:sz w:val="24"/>
          <w:szCs w:val="24"/>
        </w:rPr>
        <w:t xml:space="preserve">, </w:t>
      </w:r>
      <w:r w:rsidR="00914599">
        <w:rPr>
          <w:rFonts w:ascii="Times New Roman" w:hAnsi="Times New Roman"/>
          <w:sz w:val="24"/>
          <w:szCs w:val="24"/>
        </w:rPr>
        <w:t>the data team are not able to analyze outcomes for specific subpopulations of youth and for specific types of service receipt.</w:t>
      </w:r>
      <w:r w:rsidR="0073643E">
        <w:rPr>
          <w:rFonts w:ascii="Times New Roman" w:hAnsi="Times New Roman"/>
          <w:sz w:val="24"/>
          <w:szCs w:val="24"/>
        </w:rPr>
        <w:t xml:space="preserve"> Without the PII contained in these data, the data team would not be able to pull other administrative data (from the National Directory of New Hires and National Student Clearinghouse) so that it may be</w:t>
      </w:r>
      <w:r w:rsidR="00DD681A">
        <w:rPr>
          <w:rFonts w:ascii="Times New Roman" w:hAnsi="Times New Roman"/>
          <w:sz w:val="24"/>
          <w:szCs w:val="24"/>
        </w:rPr>
        <w:t xml:space="preserve"> used as the primary measures of outcomes in the Outcomes Study. Finally, </w:t>
      </w:r>
      <w:r w:rsidR="000A109C">
        <w:rPr>
          <w:rFonts w:ascii="Times New Roman" w:hAnsi="Times New Roman"/>
          <w:sz w:val="24"/>
          <w:szCs w:val="24"/>
        </w:rPr>
        <w:t xml:space="preserve">DOL </w:t>
      </w:r>
      <w:r w:rsidR="00786440">
        <w:rPr>
          <w:rFonts w:ascii="Times New Roman" w:hAnsi="Times New Roman"/>
          <w:sz w:val="24"/>
          <w:szCs w:val="24"/>
        </w:rPr>
        <w:t>and MSG would be unable to monitor grantee progress and engage in CQI without this information.</w:t>
      </w:r>
    </w:p>
    <w:p w:rsidR="00386CEC" w:rsidP="00994B41" w14:paraId="4F17F47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F83E03" w:rsidRPr="00E056D6" w:rsidP="00AA0DAA" w14:paraId="04C7D63C" w14:textId="70988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bookmarkStart w:id="10" w:name="A07"/>
      <w:r>
        <w:rPr>
          <w:rFonts w:ascii="Times New Roman" w:hAnsi="Times New Roman"/>
          <w:b/>
          <w:bCs/>
          <w:sz w:val="24"/>
          <w:szCs w:val="24"/>
        </w:rPr>
        <w:t>A.</w:t>
      </w:r>
      <w:r w:rsidRPr="00E056D6">
        <w:rPr>
          <w:rFonts w:ascii="Times New Roman" w:hAnsi="Times New Roman"/>
          <w:b/>
          <w:bCs/>
          <w:sz w:val="24"/>
          <w:szCs w:val="24"/>
        </w:rPr>
        <w:t>7.</w:t>
      </w:r>
      <w:bookmarkEnd w:id="10"/>
      <w:r w:rsidRPr="00E056D6">
        <w:rPr>
          <w:rFonts w:ascii="Times New Roman" w:hAnsi="Times New Roman"/>
          <w:b/>
          <w:bCs/>
          <w:sz w:val="24"/>
          <w:szCs w:val="24"/>
        </w:rPr>
        <w:t xml:space="preserve">  Explain any special circumstances that would cause an information collection to be conducted in a manner:</w:t>
      </w:r>
    </w:p>
    <w:p w:rsidR="00F83E03" w:rsidRPr="00E056D6" w:rsidP="00AA0DAA" w14:paraId="1E2C41B7" w14:textId="3E8E2F88">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requiring respondents to report information to the agency more often than quarterly;</w:t>
      </w:r>
    </w:p>
    <w:p w:rsidR="00F83E03" w:rsidRPr="00E056D6" w:rsidP="00AA0DAA" w14:paraId="4CEF1414" w14:textId="4B5F6743">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requiring respondents to prepare a written response to a collection of information in fewer than 30 days after receipt of it;</w:t>
      </w:r>
    </w:p>
    <w:p w:rsidR="00F83E03" w:rsidRPr="00E056D6" w:rsidP="00AA0DAA" w14:paraId="1E03A7B6" w14:textId="590F3EA2">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requiring respondents to submit more than an original and two copies of any document;</w:t>
      </w:r>
    </w:p>
    <w:p w:rsidR="00F83E03" w:rsidRPr="00E056D6" w:rsidP="00AA0DAA" w14:paraId="4526DD1D" w14:textId="5B0C01FF">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requiring respondents to retain records, other than health, medical, government contract, grant-in-aid, or tax records for more than three years;</w:t>
      </w:r>
    </w:p>
    <w:p w:rsidR="00F83E03" w:rsidRPr="00E056D6" w:rsidP="00AA0DAA" w14:paraId="5CC66B4E" w14:textId="686AD32F">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in connection with a statistical survey, that is not designed to produce valid and reliable results that can be generalized to the universe of study;</w:t>
      </w:r>
    </w:p>
    <w:p w:rsidR="00F83E03" w:rsidRPr="00E056D6" w:rsidP="00AA0DAA" w14:paraId="43C6980D" w14:textId="39616307">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requiring the use of statistical data classification that has not been reviewed and approved by OMB;</w:t>
      </w:r>
    </w:p>
    <w:p w:rsidR="00F83E03" w:rsidRPr="00E056D6" w:rsidP="00AA0DAA" w14:paraId="5E829EE6" w14:textId="231A1956">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056D6">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83E03" w:rsidRPr="00E056D6" w:rsidP="00AA0DAA" w14:paraId="5416BA17" w14:textId="77777777">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056D6">
        <w:rPr>
          <w:b/>
          <w:bCs/>
        </w:rPr>
        <w:t>requiring respondents to submit proprietary trade secret, or other confidential information unless the agency can demonstrate that it has instituted procedures to protect the information's confidentially to the extent permitted by law.</w:t>
      </w:r>
    </w:p>
    <w:p w:rsidR="00753B35" w:rsidRPr="00E056D6" w:rsidP="00D75875" w14:paraId="4886CEB9" w14:textId="77777777">
      <w:pPr>
        <w:rPr>
          <w:rFonts w:asciiTheme="majorBidi" w:hAnsiTheme="majorBidi" w:cstheme="majorBidi"/>
          <w:b/>
          <w:bCs/>
          <w:sz w:val="24"/>
          <w:szCs w:val="24"/>
        </w:rPr>
      </w:pPr>
    </w:p>
    <w:p w:rsidR="00D75875" w:rsidRPr="00E056D6" w:rsidP="00D75875" w14:paraId="560B49E6" w14:textId="22FFC073">
      <w:pPr>
        <w:rPr>
          <w:rFonts w:asciiTheme="majorBidi" w:hAnsiTheme="majorBidi" w:cstheme="majorBidi"/>
          <w:sz w:val="24"/>
          <w:szCs w:val="24"/>
        </w:rPr>
      </w:pPr>
      <w:r w:rsidRPr="00E056D6">
        <w:rPr>
          <w:rFonts w:asciiTheme="majorBidi" w:hAnsiTheme="majorBidi" w:cstheme="majorBidi"/>
          <w:sz w:val="24"/>
          <w:szCs w:val="24"/>
        </w:rPr>
        <w:t>There are no special circumstances for the proposed data collection efforts.</w:t>
      </w:r>
    </w:p>
    <w:p w:rsidR="00753B35" w:rsidP="00D75875" w14:paraId="131DFB6B" w14:textId="77777777">
      <w:pPr>
        <w:rPr>
          <w:rFonts w:asciiTheme="majorBidi" w:hAnsiTheme="majorBidi" w:cstheme="majorBidi"/>
          <w:b/>
          <w:bCs/>
          <w:sz w:val="24"/>
          <w:szCs w:val="24"/>
        </w:rPr>
      </w:pPr>
    </w:p>
    <w:p w:rsidR="00D75875" w:rsidRPr="00D75875" w:rsidP="00D75875" w14:paraId="0D95EADF" w14:textId="4881CD4B">
      <w:pPr>
        <w:rPr>
          <w:rFonts w:asciiTheme="majorBidi" w:hAnsiTheme="majorBidi" w:cstheme="majorBidi"/>
          <w:b/>
          <w:bCs/>
          <w:sz w:val="24"/>
          <w:szCs w:val="24"/>
        </w:rPr>
      </w:pPr>
      <w:bookmarkStart w:id="11" w:name="A08"/>
      <w:r>
        <w:rPr>
          <w:rFonts w:asciiTheme="majorBidi" w:hAnsiTheme="majorBidi" w:cstheme="majorBidi"/>
          <w:b/>
          <w:bCs/>
          <w:sz w:val="24"/>
          <w:szCs w:val="24"/>
        </w:rPr>
        <w:t>A.</w:t>
      </w:r>
      <w:r w:rsidRPr="00D75875">
        <w:rPr>
          <w:rFonts w:asciiTheme="majorBidi" w:hAnsiTheme="majorBidi" w:cstheme="majorBidi"/>
          <w:b/>
          <w:bCs/>
          <w:sz w:val="24"/>
          <w:szCs w:val="24"/>
        </w:rPr>
        <w:t>8.</w:t>
      </w:r>
      <w:bookmarkEnd w:id="11"/>
      <w:r w:rsidRPr="00D75875">
        <w:rPr>
          <w:rFonts w:asciiTheme="majorBidi" w:hAnsiTheme="majorBidi" w:cstheme="majorBidi"/>
          <w:b/>
          <w:bCs/>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7495" w:rsidRPr="001B7495" w:rsidP="00E76D4B" w14:paraId="12903922" w14:textId="753989B0">
      <w:pPr>
        <w:spacing w:after="0" w:line="240" w:lineRule="auto"/>
        <w:rPr>
          <w:rFonts w:ascii="Times New Roman" w:eastAsia="Times New Roman" w:hAnsi="Times New Roman" w:cs="Times New Roman"/>
          <w:sz w:val="24"/>
          <w:szCs w:val="24"/>
        </w:rPr>
      </w:pPr>
      <w:r w:rsidRPr="000F630F">
        <w:rPr>
          <w:rFonts w:ascii="Times New Roman" w:eastAsia="Times New Roman" w:hAnsi="Times New Roman" w:cs="Times New Roman"/>
          <w:sz w:val="24"/>
          <w:szCs w:val="24"/>
        </w:rPr>
        <w:t xml:space="preserve">In accordance with the Paperwork Reduction Act of 1995 (Pub. L. 104-13) and Office of Management and Budget (OMB) regulations at 5 CFR Part 1320 (60 FR 44978, August 29, 1995), CEO published a notice in the </w:t>
      </w:r>
      <w:r w:rsidRPr="008B7276">
        <w:rPr>
          <w:rFonts w:ascii="Times New Roman" w:hAnsi="Times New Roman"/>
          <w:b/>
          <w:sz w:val="24"/>
        </w:rPr>
        <w:t>Federal Register</w:t>
      </w:r>
      <w:r w:rsidRPr="000F630F">
        <w:rPr>
          <w:rFonts w:ascii="Times New Roman" w:eastAsia="Times New Roman" w:hAnsi="Times New Roman" w:cs="Times New Roman"/>
          <w:sz w:val="24"/>
          <w:szCs w:val="24"/>
        </w:rPr>
        <w:t xml:space="preserve"> announcing the agency’s intention to request an OMB review of the overarching generic clearance for </w:t>
      </w:r>
      <w:r w:rsidRPr="000F630F" w:rsidR="009569FB">
        <w:rPr>
          <w:rFonts w:ascii="Times New Roman" w:eastAsia="Times New Roman" w:hAnsi="Times New Roman" w:cs="Times New Roman"/>
          <w:sz w:val="24"/>
          <w:szCs w:val="24"/>
        </w:rPr>
        <w:t>the collection of data about the Employment Transition Model Demonstration and Evaluation</w:t>
      </w:r>
      <w:r w:rsidRPr="000E624F">
        <w:rPr>
          <w:rFonts w:ascii="Times New Roman" w:eastAsia="Times New Roman" w:hAnsi="Times New Roman" w:cs="Times New Roman"/>
          <w:sz w:val="24"/>
          <w:szCs w:val="24"/>
        </w:rPr>
        <w:t xml:space="preserve">. </w:t>
      </w:r>
      <w:r w:rsidRPr="000F630F">
        <w:rPr>
          <w:rFonts w:ascii="Times New Roman" w:eastAsia="Times New Roman" w:hAnsi="Times New Roman" w:cs="Times New Roman"/>
          <w:sz w:val="24"/>
          <w:szCs w:val="24"/>
        </w:rPr>
        <w:t xml:space="preserve">The 60-day notice </w:t>
      </w:r>
      <w:r w:rsidR="00334AF3">
        <w:rPr>
          <w:rFonts w:ascii="Times New Roman" w:eastAsia="Times New Roman" w:hAnsi="Times New Roman" w:cs="Times New Roman"/>
          <w:sz w:val="24"/>
          <w:szCs w:val="24"/>
        </w:rPr>
        <w:t>(</w:t>
      </w:r>
      <w:r w:rsidRPr="000F630F" w:rsidR="001B638E">
        <w:rPr>
          <w:rFonts w:ascii="Times New Roman" w:eastAsia="Times New Roman" w:hAnsi="Times New Roman" w:cs="Times New Roman"/>
          <w:sz w:val="24"/>
          <w:szCs w:val="24"/>
        </w:rPr>
        <w:t xml:space="preserve">90 </w:t>
      </w:r>
      <w:r w:rsidRPr="000F630F">
        <w:rPr>
          <w:rFonts w:ascii="Times New Roman" w:eastAsia="Times New Roman" w:hAnsi="Times New Roman" w:cs="Times New Roman"/>
          <w:sz w:val="24"/>
          <w:szCs w:val="24"/>
        </w:rPr>
        <w:t xml:space="preserve">FR </w:t>
      </w:r>
      <w:r w:rsidRPr="000F630F" w:rsidR="001B638E">
        <w:rPr>
          <w:rFonts w:ascii="Times New Roman" w:eastAsia="Times New Roman" w:hAnsi="Times New Roman" w:cs="Times New Roman"/>
          <w:sz w:val="24"/>
          <w:szCs w:val="24"/>
        </w:rPr>
        <w:t>45257</w:t>
      </w:r>
      <w:r w:rsidR="00334AF3">
        <w:rPr>
          <w:rFonts w:ascii="Times New Roman" w:eastAsia="Times New Roman" w:hAnsi="Times New Roman" w:cs="Times New Roman"/>
          <w:sz w:val="24"/>
          <w:szCs w:val="24"/>
        </w:rPr>
        <w:t>)</w:t>
      </w:r>
      <w:r w:rsidRPr="000F630F" w:rsidR="001B638E">
        <w:rPr>
          <w:rFonts w:ascii="Times New Roman" w:eastAsia="Times New Roman" w:hAnsi="Times New Roman" w:cs="Times New Roman"/>
          <w:sz w:val="24"/>
          <w:szCs w:val="24"/>
        </w:rPr>
        <w:t xml:space="preserve"> </w:t>
      </w:r>
      <w:r w:rsidRPr="000F630F">
        <w:rPr>
          <w:rFonts w:ascii="Times New Roman" w:eastAsia="Times New Roman" w:hAnsi="Times New Roman" w:cs="Times New Roman"/>
          <w:sz w:val="24"/>
          <w:szCs w:val="24"/>
        </w:rPr>
        <w:t xml:space="preserve">to solicit public comments was published in the </w:t>
      </w:r>
      <w:r w:rsidRPr="008B7276">
        <w:rPr>
          <w:rFonts w:ascii="Times New Roman" w:hAnsi="Times New Roman"/>
          <w:b/>
          <w:sz w:val="24"/>
        </w:rPr>
        <w:t>Federal Register</w:t>
      </w:r>
      <w:r w:rsidRPr="000F630F">
        <w:rPr>
          <w:rFonts w:ascii="Times New Roman" w:eastAsia="Times New Roman" w:hAnsi="Times New Roman" w:cs="Times New Roman"/>
          <w:sz w:val="24"/>
          <w:szCs w:val="24"/>
        </w:rPr>
        <w:t xml:space="preserve"> on </w:t>
      </w:r>
      <w:r w:rsidRPr="000F630F" w:rsidR="00F0564E">
        <w:rPr>
          <w:rFonts w:ascii="Times New Roman" w:eastAsia="Times New Roman" w:hAnsi="Times New Roman" w:cs="Times New Roman"/>
          <w:sz w:val="24"/>
          <w:szCs w:val="24"/>
        </w:rPr>
        <w:t>September 19,</w:t>
      </w:r>
      <w:r w:rsidRPr="000F630F">
        <w:rPr>
          <w:rFonts w:ascii="Times New Roman" w:eastAsia="Times New Roman" w:hAnsi="Times New Roman" w:cs="Times New Roman"/>
          <w:sz w:val="24"/>
          <w:szCs w:val="24"/>
        </w:rPr>
        <w:t xml:space="preserve"> 202</w:t>
      </w:r>
      <w:r w:rsidRPr="000F630F" w:rsidR="00F0564E">
        <w:rPr>
          <w:rFonts w:ascii="Times New Roman" w:eastAsia="Times New Roman" w:hAnsi="Times New Roman" w:cs="Times New Roman"/>
          <w:sz w:val="24"/>
          <w:szCs w:val="24"/>
        </w:rPr>
        <w:t>5</w:t>
      </w:r>
      <w:r w:rsidRPr="000F630F">
        <w:rPr>
          <w:rFonts w:ascii="Times New Roman" w:eastAsia="Times New Roman" w:hAnsi="Times New Roman" w:cs="Times New Roman"/>
          <w:sz w:val="24"/>
          <w:szCs w:val="24"/>
        </w:rPr>
        <w:t xml:space="preserve">. </w:t>
      </w:r>
      <w:r w:rsidRPr="000E624F">
        <w:rPr>
          <w:rFonts w:ascii="Times New Roman" w:eastAsia="Times New Roman" w:hAnsi="Times New Roman" w:cs="Times New Roman"/>
          <w:sz w:val="24"/>
          <w:szCs w:val="24"/>
        </w:rPr>
        <w:t xml:space="preserve">During the notice and comment period, </w:t>
      </w:r>
      <w:r w:rsidRPr="000E624F" w:rsidR="001A6230">
        <w:rPr>
          <w:rFonts w:ascii="Times New Roman" w:eastAsia="Times New Roman" w:hAnsi="Times New Roman" w:cs="Times New Roman"/>
          <w:sz w:val="24"/>
          <w:szCs w:val="24"/>
        </w:rPr>
        <w:t>one</w:t>
      </w:r>
      <w:r w:rsidRPr="000E624F">
        <w:rPr>
          <w:rFonts w:ascii="Times New Roman" w:eastAsia="Times New Roman" w:hAnsi="Times New Roman" w:cs="Times New Roman"/>
          <w:sz w:val="24"/>
          <w:szCs w:val="24"/>
        </w:rPr>
        <w:t xml:space="preserve"> substantive comment</w:t>
      </w:r>
      <w:r w:rsidRPr="000E624F" w:rsidR="001A6230">
        <w:rPr>
          <w:rFonts w:ascii="Times New Roman" w:eastAsia="Times New Roman" w:hAnsi="Times New Roman" w:cs="Times New Roman"/>
          <w:sz w:val="24"/>
          <w:szCs w:val="24"/>
        </w:rPr>
        <w:t xml:space="preserve"> was </w:t>
      </w:r>
      <w:r w:rsidRPr="000E624F">
        <w:rPr>
          <w:rFonts w:ascii="Times New Roman" w:eastAsia="Times New Roman" w:hAnsi="Times New Roman" w:cs="Times New Roman"/>
          <w:sz w:val="24"/>
          <w:szCs w:val="24"/>
        </w:rPr>
        <w:t>received.</w:t>
      </w:r>
      <w:r w:rsidRPr="001B7495">
        <w:rPr>
          <w:rFonts w:ascii="Times New Roman" w:eastAsia="Times New Roman" w:hAnsi="Times New Roman" w:cs="Times New Roman"/>
          <w:sz w:val="24"/>
          <w:szCs w:val="24"/>
        </w:rPr>
        <w:t xml:space="preserve"> </w:t>
      </w:r>
    </w:p>
    <w:p w:rsidR="00D75875" w:rsidP="00E76D4B" w14:paraId="4B6020C9" w14:textId="77777777">
      <w:pPr>
        <w:spacing w:after="0" w:line="240" w:lineRule="auto"/>
        <w:rPr>
          <w:rFonts w:asciiTheme="majorBidi" w:hAnsiTheme="majorBidi" w:cstheme="majorBidi"/>
          <w:b/>
          <w:bCs/>
          <w:sz w:val="24"/>
          <w:szCs w:val="24"/>
        </w:rPr>
      </w:pPr>
    </w:p>
    <w:p w:rsidR="00E76D4B" w:rsidRPr="00E76D4B" w:rsidP="00E76D4B" w14:paraId="02ADE23F" w14:textId="77777777">
      <w:pPr>
        <w:spacing w:after="0" w:line="240" w:lineRule="auto"/>
        <w:rPr>
          <w:rFonts w:asciiTheme="majorBidi" w:hAnsiTheme="majorBidi" w:cstheme="majorBidi"/>
          <w:i/>
          <w:iCs/>
          <w:sz w:val="24"/>
          <w:szCs w:val="24"/>
        </w:rPr>
      </w:pPr>
      <w:r w:rsidRPr="00E76D4B">
        <w:rPr>
          <w:rFonts w:asciiTheme="majorBidi" w:hAnsiTheme="majorBidi" w:cstheme="majorBidi"/>
          <w:i/>
          <w:iCs/>
          <w:sz w:val="24"/>
          <w:szCs w:val="24"/>
        </w:rPr>
        <w:t>Summary of Public Comment</w:t>
      </w:r>
    </w:p>
    <w:p w:rsidR="00E76D4B" w:rsidRPr="00E76D4B" w:rsidP="00E76D4B" w14:paraId="63CD2A48" w14:textId="77777777">
      <w:pPr>
        <w:spacing w:after="0" w:line="240" w:lineRule="auto"/>
        <w:rPr>
          <w:rFonts w:asciiTheme="majorBidi" w:hAnsiTheme="majorBidi" w:cstheme="majorBidi"/>
          <w:sz w:val="24"/>
          <w:szCs w:val="24"/>
        </w:rPr>
      </w:pPr>
    </w:p>
    <w:p w:rsidR="00E76D4B" w:rsidRPr="00E76D4B" w:rsidP="00E76D4B" w14:paraId="50DBEA1E" w14:textId="77777777">
      <w:pPr>
        <w:spacing w:after="0" w:line="240" w:lineRule="auto"/>
        <w:rPr>
          <w:rFonts w:asciiTheme="majorBidi" w:hAnsiTheme="majorBidi" w:cstheme="majorBidi"/>
          <w:sz w:val="24"/>
          <w:szCs w:val="24"/>
        </w:rPr>
      </w:pPr>
      <w:r w:rsidRPr="00E76D4B">
        <w:rPr>
          <w:rFonts w:asciiTheme="majorBidi" w:hAnsiTheme="majorBidi" w:cstheme="majorBidi"/>
          <w:sz w:val="24"/>
          <w:szCs w:val="24"/>
        </w:rPr>
        <w:t>One comment was received from an Employment Transition Model (ETM) demonstration grant recipient expressing concerns about the estimated hour and cost burden, particularly related to intake data collection and data system requirements. The commenter noted that the estimated time for intake data collection (23 minutes) understated actual staff experience, which they reported averages approximately 40 minutes due to the number of required data elements and the inclusion of data elements not currently captured in existing systems. The commenter also raised concerns about the time and costs associated with modifying management information systems, developing manual data entry tools, and revising data sharing agreements with partner agencies. In addition, the commenter noted that staff time related to program implementation activities and associated data entry was not reflected in the burden estimates.</w:t>
      </w:r>
    </w:p>
    <w:p w:rsidR="00E76D4B" w:rsidRPr="00E76D4B" w:rsidP="00E76D4B" w14:paraId="1FB16933" w14:textId="77777777">
      <w:pPr>
        <w:spacing w:after="0" w:line="240" w:lineRule="auto"/>
        <w:rPr>
          <w:rFonts w:asciiTheme="majorBidi" w:hAnsiTheme="majorBidi" w:cstheme="majorBidi"/>
          <w:sz w:val="24"/>
          <w:szCs w:val="24"/>
        </w:rPr>
      </w:pPr>
    </w:p>
    <w:p w:rsidR="00E76D4B" w:rsidRPr="00E76D4B" w:rsidP="00E76D4B" w14:paraId="741D9D5F" w14:textId="77777777">
      <w:pPr>
        <w:spacing w:after="0" w:line="240" w:lineRule="auto"/>
        <w:rPr>
          <w:rFonts w:asciiTheme="majorBidi" w:hAnsiTheme="majorBidi" w:cstheme="majorBidi"/>
          <w:i/>
          <w:iCs/>
          <w:sz w:val="24"/>
          <w:szCs w:val="24"/>
        </w:rPr>
      </w:pPr>
      <w:r w:rsidRPr="00E76D4B">
        <w:rPr>
          <w:rFonts w:asciiTheme="majorBidi" w:hAnsiTheme="majorBidi" w:cstheme="majorBidi"/>
          <w:i/>
          <w:iCs/>
          <w:sz w:val="24"/>
          <w:szCs w:val="24"/>
        </w:rPr>
        <w:t>Agency Response</w:t>
      </w:r>
    </w:p>
    <w:p w:rsidR="00E76D4B" w:rsidRPr="00E76D4B" w:rsidP="00E76D4B" w14:paraId="2F2B292B" w14:textId="77777777">
      <w:pPr>
        <w:spacing w:after="0" w:line="240" w:lineRule="auto"/>
        <w:rPr>
          <w:rFonts w:asciiTheme="majorBidi" w:hAnsiTheme="majorBidi" w:cstheme="majorBidi"/>
          <w:sz w:val="24"/>
          <w:szCs w:val="24"/>
        </w:rPr>
      </w:pPr>
    </w:p>
    <w:p w:rsidR="001A6230" w:rsidP="004D43C7" w14:paraId="68F420D0" w14:textId="478D9904">
      <w:pPr>
        <w:spacing w:after="0" w:line="240" w:lineRule="auto"/>
        <w:rPr>
          <w:rFonts w:asciiTheme="majorBidi" w:hAnsiTheme="majorBidi" w:cstheme="majorBidi"/>
          <w:sz w:val="24"/>
          <w:szCs w:val="24"/>
        </w:rPr>
      </w:pPr>
      <w:r w:rsidRPr="00E76D4B">
        <w:rPr>
          <w:rFonts w:asciiTheme="majorBidi" w:hAnsiTheme="majorBidi" w:cstheme="majorBidi"/>
          <w:sz w:val="24"/>
          <w:szCs w:val="24"/>
        </w:rPr>
        <w:t xml:space="preserve">The agency acknowledges the commenter’s feedback regarding intake data collection and data system considerations. After review, the agency clarified that the PRA burden estimates reflect evaluation-related data collection activities only and do not include routine program implementation or service delivery activities, which are outside the scope of this information collection. </w:t>
      </w:r>
      <w:r w:rsidRPr="007B743B">
        <w:rPr>
          <w:rFonts w:asciiTheme="majorBidi" w:hAnsiTheme="majorBidi" w:cstheme="majorBidi"/>
          <w:sz w:val="24"/>
          <w:szCs w:val="24"/>
        </w:rPr>
        <w:t xml:space="preserve">The agency reviewed intake burden assumptions </w:t>
      </w:r>
      <w:r w:rsidR="00E427ED">
        <w:rPr>
          <w:rFonts w:asciiTheme="majorBidi" w:hAnsiTheme="majorBidi" w:cstheme="majorBidi"/>
          <w:sz w:val="24"/>
          <w:szCs w:val="24"/>
        </w:rPr>
        <w:t xml:space="preserve">and </w:t>
      </w:r>
      <w:r w:rsidR="003F13EC">
        <w:rPr>
          <w:rFonts w:asciiTheme="majorBidi" w:hAnsiTheme="majorBidi" w:cstheme="majorBidi"/>
          <w:sz w:val="24"/>
          <w:szCs w:val="24"/>
        </w:rPr>
        <w:t>clarified</w:t>
      </w:r>
      <w:r w:rsidR="00E427ED">
        <w:rPr>
          <w:rFonts w:asciiTheme="majorBidi" w:hAnsiTheme="majorBidi" w:cstheme="majorBidi"/>
          <w:sz w:val="24"/>
          <w:szCs w:val="24"/>
        </w:rPr>
        <w:t xml:space="preserve"> that this PRA burden estimate reflects new burden created by the ETM demonstration</w:t>
      </w:r>
      <w:r w:rsidR="00524557">
        <w:rPr>
          <w:rFonts w:asciiTheme="majorBidi" w:hAnsiTheme="majorBidi" w:cstheme="majorBidi"/>
          <w:sz w:val="24"/>
          <w:szCs w:val="24"/>
        </w:rPr>
        <w:t xml:space="preserve">. </w:t>
      </w:r>
      <w:r w:rsidR="00731BC2">
        <w:rPr>
          <w:rFonts w:asciiTheme="majorBidi" w:hAnsiTheme="majorBidi" w:cstheme="majorBidi"/>
          <w:sz w:val="24"/>
          <w:szCs w:val="24"/>
        </w:rPr>
        <w:t>Seventy</w:t>
      </w:r>
      <w:r w:rsidR="00434094">
        <w:rPr>
          <w:rFonts w:asciiTheme="majorBidi" w:hAnsiTheme="majorBidi" w:cstheme="majorBidi"/>
          <w:sz w:val="24"/>
          <w:szCs w:val="24"/>
        </w:rPr>
        <w:t>-five percent of the intake items</w:t>
      </w:r>
      <w:r w:rsidR="00615731">
        <w:rPr>
          <w:rFonts w:asciiTheme="majorBidi" w:hAnsiTheme="majorBidi" w:cstheme="majorBidi"/>
          <w:sz w:val="24"/>
          <w:szCs w:val="24"/>
        </w:rPr>
        <w:t xml:space="preserve"> (</w:t>
      </w:r>
      <w:r w:rsidR="008553F3">
        <w:rPr>
          <w:rFonts w:asciiTheme="majorBidi" w:hAnsiTheme="majorBidi" w:cstheme="majorBidi"/>
          <w:sz w:val="24"/>
          <w:szCs w:val="24"/>
        </w:rPr>
        <w:t xml:space="preserve">41 of the 55 items </w:t>
      </w:r>
      <w:r w:rsidR="004C48C1">
        <w:rPr>
          <w:rFonts w:asciiTheme="majorBidi" w:hAnsiTheme="majorBidi" w:cstheme="majorBidi"/>
          <w:sz w:val="24"/>
          <w:szCs w:val="24"/>
        </w:rPr>
        <w:t>in the Baseline Intake Data collection</w:t>
      </w:r>
      <w:r w:rsidR="00E260CC">
        <w:rPr>
          <w:rFonts w:asciiTheme="majorBidi" w:hAnsiTheme="majorBidi" w:cstheme="majorBidi"/>
          <w:sz w:val="24"/>
          <w:szCs w:val="24"/>
        </w:rPr>
        <w:t xml:space="preserve"> under Section D.1 of Attachment A.1)</w:t>
      </w:r>
      <w:r w:rsidR="000D1235">
        <w:rPr>
          <w:rFonts w:asciiTheme="majorBidi" w:hAnsiTheme="majorBidi" w:cstheme="majorBidi"/>
          <w:sz w:val="24"/>
          <w:szCs w:val="24"/>
        </w:rPr>
        <w:t xml:space="preserve"> </w:t>
      </w:r>
      <w:r w:rsidR="000A609E">
        <w:rPr>
          <w:rFonts w:asciiTheme="majorBidi" w:hAnsiTheme="majorBidi" w:cstheme="majorBidi"/>
          <w:sz w:val="24"/>
          <w:szCs w:val="24"/>
        </w:rPr>
        <w:t xml:space="preserve">and </w:t>
      </w:r>
      <w:r w:rsidR="00123ABF">
        <w:rPr>
          <w:rFonts w:asciiTheme="majorBidi" w:hAnsiTheme="majorBidi" w:cstheme="majorBidi"/>
          <w:sz w:val="24"/>
          <w:szCs w:val="24"/>
        </w:rPr>
        <w:t>fifty-eight</w:t>
      </w:r>
      <w:r w:rsidR="000A609E">
        <w:rPr>
          <w:rFonts w:asciiTheme="majorBidi" w:hAnsiTheme="majorBidi" w:cstheme="majorBidi"/>
          <w:sz w:val="24"/>
          <w:szCs w:val="24"/>
        </w:rPr>
        <w:t xml:space="preserve"> percent </w:t>
      </w:r>
      <w:r w:rsidR="00123ABF">
        <w:rPr>
          <w:rFonts w:asciiTheme="majorBidi" w:hAnsiTheme="majorBidi" w:cstheme="majorBidi"/>
          <w:sz w:val="24"/>
          <w:szCs w:val="24"/>
        </w:rPr>
        <w:t>(48 of the 86 items</w:t>
      </w:r>
      <w:r w:rsidR="00E260CC">
        <w:rPr>
          <w:rFonts w:asciiTheme="majorBidi" w:hAnsiTheme="majorBidi" w:cstheme="majorBidi"/>
          <w:sz w:val="24"/>
          <w:szCs w:val="24"/>
        </w:rPr>
        <w:t xml:space="preserve"> in the </w:t>
      </w:r>
      <w:r w:rsidR="003E7DE6">
        <w:rPr>
          <w:rFonts w:asciiTheme="majorBidi" w:hAnsiTheme="majorBidi" w:cstheme="majorBidi"/>
          <w:sz w:val="24"/>
          <w:szCs w:val="24"/>
        </w:rPr>
        <w:t>service data collection of Sections D.2-D.9 of Attachment A.1</w:t>
      </w:r>
      <w:r w:rsidR="0071464C">
        <w:rPr>
          <w:rFonts w:asciiTheme="majorBidi" w:hAnsiTheme="majorBidi" w:cstheme="majorBidi"/>
          <w:sz w:val="24"/>
          <w:szCs w:val="24"/>
        </w:rPr>
        <w:t xml:space="preserve">) </w:t>
      </w:r>
      <w:r w:rsidR="000A609E">
        <w:rPr>
          <w:rFonts w:asciiTheme="majorBidi" w:hAnsiTheme="majorBidi" w:cstheme="majorBidi"/>
          <w:sz w:val="24"/>
          <w:szCs w:val="24"/>
        </w:rPr>
        <w:t xml:space="preserve">of the </w:t>
      </w:r>
      <w:r w:rsidR="0044378B">
        <w:rPr>
          <w:rFonts w:asciiTheme="majorBidi" w:hAnsiTheme="majorBidi" w:cstheme="majorBidi"/>
          <w:sz w:val="24"/>
          <w:szCs w:val="24"/>
        </w:rPr>
        <w:t>remaining quarterly</w:t>
      </w:r>
      <w:r w:rsidR="00F70022">
        <w:rPr>
          <w:rFonts w:asciiTheme="majorBidi" w:hAnsiTheme="majorBidi" w:cstheme="majorBidi"/>
          <w:sz w:val="24"/>
          <w:szCs w:val="24"/>
        </w:rPr>
        <w:t xml:space="preserve"> data fields</w:t>
      </w:r>
      <w:r w:rsidR="0044378B">
        <w:rPr>
          <w:rFonts w:asciiTheme="majorBidi" w:hAnsiTheme="majorBidi" w:cstheme="majorBidi"/>
          <w:sz w:val="24"/>
          <w:szCs w:val="24"/>
        </w:rPr>
        <w:t xml:space="preserve"> </w:t>
      </w:r>
      <w:r w:rsidR="00F70022">
        <w:rPr>
          <w:rFonts w:asciiTheme="majorBidi" w:hAnsiTheme="majorBidi" w:cstheme="majorBidi"/>
          <w:sz w:val="24"/>
          <w:szCs w:val="24"/>
        </w:rPr>
        <w:t xml:space="preserve">have their burden already accounted </w:t>
      </w:r>
      <w:r w:rsidR="004C1433">
        <w:rPr>
          <w:rFonts w:asciiTheme="majorBidi" w:hAnsiTheme="majorBidi" w:cstheme="majorBidi"/>
          <w:sz w:val="24"/>
          <w:szCs w:val="24"/>
        </w:rPr>
        <w:t xml:space="preserve">for under the </w:t>
      </w:r>
      <w:r w:rsidR="00392A9E">
        <w:rPr>
          <w:rFonts w:asciiTheme="majorBidi" w:hAnsiTheme="majorBidi" w:cstheme="majorBidi"/>
          <w:sz w:val="24"/>
          <w:szCs w:val="24"/>
        </w:rPr>
        <w:t>P</w:t>
      </w:r>
      <w:r w:rsidRPr="557F3D8A" w:rsidR="24239A13">
        <w:rPr>
          <w:rFonts w:asciiTheme="majorBidi" w:hAnsiTheme="majorBidi" w:cstheme="majorBidi"/>
          <w:sz w:val="24"/>
          <w:szCs w:val="24"/>
        </w:rPr>
        <w:t>IR</w:t>
      </w:r>
      <w:r w:rsidR="00392A9E">
        <w:rPr>
          <w:rFonts w:asciiTheme="majorBidi" w:hAnsiTheme="majorBidi" w:cstheme="majorBidi"/>
          <w:sz w:val="24"/>
          <w:szCs w:val="24"/>
        </w:rPr>
        <w:t>L information collection request</w:t>
      </w:r>
      <w:r w:rsidR="004C1433">
        <w:rPr>
          <w:rFonts w:asciiTheme="majorBidi" w:hAnsiTheme="majorBidi" w:cstheme="majorBidi"/>
          <w:sz w:val="24"/>
          <w:szCs w:val="24"/>
        </w:rPr>
        <w:t xml:space="preserve"> (</w:t>
      </w:r>
      <w:r w:rsidR="00D24968">
        <w:rPr>
          <w:rFonts w:asciiTheme="majorBidi" w:hAnsiTheme="majorBidi" w:cstheme="majorBidi"/>
          <w:sz w:val="24"/>
          <w:szCs w:val="24"/>
        </w:rPr>
        <w:t>OMB Control Number 1205-0521).</w:t>
      </w:r>
      <w:r w:rsidR="0034789F">
        <w:rPr>
          <w:rFonts w:asciiTheme="majorBidi" w:hAnsiTheme="majorBidi" w:cstheme="majorBidi"/>
          <w:sz w:val="24"/>
          <w:szCs w:val="24"/>
        </w:rPr>
        <w:t xml:space="preserve"> </w:t>
      </w:r>
      <w:r w:rsidRPr="00E76D4B">
        <w:rPr>
          <w:rFonts w:asciiTheme="majorBidi" w:hAnsiTheme="majorBidi" w:cstheme="majorBidi"/>
          <w:sz w:val="24"/>
          <w:szCs w:val="24"/>
        </w:rPr>
        <w:t>With respect to MIS modifications and data sharing agreements, the agency determined that these activities represent one-time or infrequent administrative costs that vary by grantee and are addressed qualitatively under Item A.13 rather than as hour burden. The agency has updated the Supporting Statement to provide additional clarification and transparency regarding burden assumptions and cost considerations.</w:t>
      </w:r>
    </w:p>
    <w:p w:rsidR="00F35BFD" w:rsidRPr="00E76D4B" w:rsidP="00E76D4B" w14:paraId="5540B219" w14:textId="77777777">
      <w:pPr>
        <w:spacing w:after="0" w:line="240" w:lineRule="auto"/>
        <w:rPr>
          <w:rFonts w:asciiTheme="majorBidi" w:hAnsiTheme="majorBidi" w:cstheme="majorBidi"/>
          <w:sz w:val="24"/>
          <w:szCs w:val="24"/>
        </w:rPr>
      </w:pPr>
    </w:p>
    <w:p w:rsidR="00D75875" w:rsidRPr="00D75875" w:rsidP="00230BE3" w14:paraId="63A6FF94" w14:textId="4E2431E0">
      <w:pPr>
        <w:rPr>
          <w:rFonts w:asciiTheme="majorBidi" w:hAnsiTheme="majorBidi" w:cstheme="majorBidi"/>
          <w:b/>
          <w:bCs/>
          <w:sz w:val="24"/>
          <w:szCs w:val="24"/>
        </w:rPr>
      </w:pPr>
      <w:r w:rsidRPr="00D75875">
        <w:rPr>
          <w:rFonts w:asciiTheme="majorBidi" w:hAnsiTheme="majorBidi" w:cstheme="majorBidi"/>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C97B53">
        <w:rPr>
          <w:rFonts w:asciiTheme="majorBidi" w:hAnsiTheme="majorBidi" w:cstheme="majorBidi"/>
          <w:b/>
          <w:bCs/>
          <w:sz w:val="24"/>
          <w:szCs w:val="24"/>
        </w:rPr>
        <w:t xml:space="preserve"> </w:t>
      </w:r>
      <w:r w:rsidRPr="00C97B53" w:rsidR="00C97B53">
        <w:rPr>
          <w:rFonts w:asciiTheme="majorBidi" w:hAnsiTheme="majorBidi" w:cstheme="majorBidi"/>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C97B53" w:rsidR="00C97B53">
        <w:rPr>
          <w:rFonts w:asciiTheme="majorBidi" w:hAnsiTheme="majorBidi" w:cstheme="majorBidi"/>
          <w:b/>
          <w:bCs/>
          <w:sz w:val="24"/>
          <w:szCs w:val="24"/>
        </w:rPr>
        <w:t>circumstances that may preclude consultation in a specific situation. These circumstances should be explained</w:t>
      </w:r>
      <w:r w:rsidR="00C97B53">
        <w:rPr>
          <w:rFonts w:asciiTheme="majorBidi" w:hAnsiTheme="majorBidi" w:cstheme="majorBidi"/>
          <w:b/>
          <w:bCs/>
          <w:sz w:val="24"/>
          <w:szCs w:val="24"/>
        </w:rPr>
        <w:t>.</w:t>
      </w:r>
    </w:p>
    <w:p w:rsidR="009317A9" w:rsidP="00FF073F" w14:paraId="46E21F45" w14:textId="5D9A343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E056D6">
        <w:rPr>
          <w:rFonts w:ascii="Times New Roman" w:hAnsi="Times New Roman"/>
          <w:sz w:val="24"/>
          <w:szCs w:val="24"/>
        </w:rPr>
        <w:t xml:space="preserve">Consultation on the research design and data needs is being coordinated by the </w:t>
      </w:r>
      <w:r w:rsidRPr="00E056D6" w:rsidR="00A84B76">
        <w:rPr>
          <w:rFonts w:ascii="Times New Roman" w:hAnsi="Times New Roman"/>
          <w:sz w:val="24"/>
          <w:szCs w:val="24"/>
        </w:rPr>
        <w:t xml:space="preserve">evaluation </w:t>
      </w:r>
      <w:r w:rsidRPr="00E056D6">
        <w:rPr>
          <w:rFonts w:ascii="Times New Roman" w:hAnsi="Times New Roman"/>
          <w:sz w:val="24"/>
          <w:szCs w:val="24"/>
        </w:rPr>
        <w:t xml:space="preserve">team and involves discussions with experts. The purpose of consultation with outside experts is to ensure the technical soundness of the study and the relevance of study findings </w:t>
      </w:r>
      <w:r w:rsidR="002612FD">
        <w:rPr>
          <w:rFonts w:ascii="Times New Roman" w:hAnsi="Times New Roman"/>
          <w:sz w:val="24"/>
          <w:szCs w:val="24"/>
        </w:rPr>
        <w:t>as well as</w:t>
      </w:r>
      <w:r w:rsidRPr="00E056D6" w:rsidR="002612FD">
        <w:rPr>
          <w:rFonts w:ascii="Times New Roman" w:hAnsi="Times New Roman"/>
          <w:sz w:val="24"/>
          <w:szCs w:val="24"/>
        </w:rPr>
        <w:t xml:space="preserve"> </w:t>
      </w:r>
      <w:r w:rsidRPr="00E056D6">
        <w:rPr>
          <w:rFonts w:ascii="Times New Roman" w:hAnsi="Times New Roman"/>
          <w:sz w:val="24"/>
          <w:szCs w:val="24"/>
        </w:rPr>
        <w:t>to verify the importance, relevance, and accessibility of the information sought in the study.</w:t>
      </w:r>
    </w:p>
    <w:p w:rsidR="009317A9" w:rsidP="00A47884" w14:paraId="1B633164" w14:textId="75A089E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0E624F">
        <w:rPr>
          <w:rFonts w:ascii="Times New Roman" w:hAnsi="Times New Roman"/>
          <w:sz w:val="24"/>
          <w:szCs w:val="24"/>
        </w:rPr>
        <w:t xml:space="preserve">Exhibit </w:t>
      </w:r>
      <w:r w:rsidRPr="000E624F" w:rsidR="000E624F">
        <w:rPr>
          <w:rFonts w:ascii="Times New Roman" w:hAnsi="Times New Roman"/>
          <w:sz w:val="24"/>
          <w:szCs w:val="24"/>
        </w:rPr>
        <w:t>A.3</w:t>
      </w:r>
      <w:r>
        <w:rPr>
          <w:rFonts w:ascii="Times New Roman" w:hAnsi="Times New Roman"/>
          <w:sz w:val="24"/>
          <w:szCs w:val="24"/>
        </w:rPr>
        <w:t xml:space="preserve"> lists members of the </w:t>
      </w:r>
      <w:r w:rsidR="007F2F6C">
        <w:rPr>
          <w:rFonts w:ascii="Times New Roman" w:hAnsi="Times New Roman"/>
          <w:sz w:val="24"/>
          <w:szCs w:val="24"/>
        </w:rPr>
        <w:t xml:space="preserve">TA and evaluation teams who </w:t>
      </w:r>
      <w:r w:rsidRPr="00E056D6">
        <w:rPr>
          <w:rFonts w:ascii="Times New Roman" w:hAnsi="Times New Roman"/>
          <w:sz w:val="24"/>
          <w:szCs w:val="24"/>
        </w:rPr>
        <w:t>were consulted in developing the design, the data collection plan, and the forms for which clearance is requested</w:t>
      </w:r>
      <w:r w:rsidR="007F2F6C">
        <w:rPr>
          <w:rFonts w:ascii="Times New Roman" w:hAnsi="Times New Roman"/>
          <w:sz w:val="24"/>
          <w:szCs w:val="24"/>
        </w:rPr>
        <w:t>.</w:t>
      </w:r>
    </w:p>
    <w:p w:rsidR="007F2F6C" w:rsidRPr="000E624F" w:rsidP="00A47884" w14:paraId="4E015782" w14:textId="7C24B1AC">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eastAsiaTheme="minorHAnsi" w:cstheme="minorBidi"/>
          <w:b/>
          <w:bCs/>
          <w:sz w:val="24"/>
          <w:szCs w:val="24"/>
        </w:rPr>
      </w:pPr>
      <w:r w:rsidRPr="000E624F">
        <w:rPr>
          <w:rFonts w:ascii="Times New Roman" w:hAnsi="Times New Roman"/>
          <w:b/>
          <w:bCs/>
          <w:sz w:val="24"/>
          <w:szCs w:val="24"/>
        </w:rPr>
        <w:t xml:space="preserve">Exhibit </w:t>
      </w:r>
      <w:r w:rsidRPr="000E624F" w:rsidR="000E624F">
        <w:rPr>
          <w:rFonts w:ascii="Times New Roman" w:hAnsi="Times New Roman"/>
          <w:b/>
          <w:bCs/>
          <w:sz w:val="24"/>
          <w:szCs w:val="24"/>
        </w:rPr>
        <w:t>A.3:</w:t>
      </w:r>
      <w:r w:rsidRPr="000E624F">
        <w:rPr>
          <w:rFonts w:ascii="Times New Roman" w:hAnsi="Times New Roman"/>
          <w:b/>
          <w:bCs/>
          <w:sz w:val="24"/>
          <w:szCs w:val="24"/>
        </w:rPr>
        <w:t xml:space="preserve"> </w:t>
      </w:r>
      <w:r w:rsidRPr="000E624F" w:rsidR="001535B7">
        <w:rPr>
          <w:rFonts w:ascii="Times New Roman" w:hAnsi="Times New Roman"/>
          <w:b/>
          <w:bCs/>
          <w:sz w:val="24"/>
          <w:szCs w:val="24"/>
        </w:rPr>
        <w:t>Individuals Consulted Outside the Agency</w:t>
      </w:r>
    </w:p>
    <w:tbl>
      <w:tblPr>
        <w:tblStyle w:val="TableGrid"/>
        <w:tblW w:w="0" w:type="auto"/>
        <w:tblLayout w:type="fixed"/>
        <w:tblLook w:val="04A0"/>
      </w:tblPr>
      <w:tblGrid>
        <w:gridCol w:w="3500"/>
        <w:gridCol w:w="4860"/>
      </w:tblGrid>
      <w:tr w14:paraId="0CC65ACE" w14:textId="77777777" w:rsidTr="000F630F">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Mar>
              <w:left w:w="43" w:type="dxa"/>
              <w:right w:w="43" w:type="dxa"/>
            </w:tcMar>
          </w:tcPr>
          <w:p w:rsidR="009317A9" w:rsidRPr="000F630F" w14:paraId="476A7B4E" w14:textId="77777777">
            <w:pPr>
              <w:spacing w:before="60" w:after="60" w:line="264" w:lineRule="auto"/>
              <w:jc w:val="center"/>
              <w:rPr>
                <w:b/>
                <w:bCs/>
                <w:color w:val="FFFFFF" w:themeColor="background1"/>
                <w:sz w:val="18"/>
                <w:szCs w:val="18"/>
              </w:rPr>
            </w:pPr>
            <w:r w:rsidRPr="000F630F">
              <w:rPr>
                <w:b/>
                <w:bCs/>
                <w:color w:val="FFFFFF" w:themeColor="background1"/>
                <w:sz w:val="18"/>
                <w:szCs w:val="18"/>
              </w:rPr>
              <w:t>Name</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Mar>
              <w:left w:w="43" w:type="dxa"/>
              <w:right w:w="43" w:type="dxa"/>
            </w:tcMar>
          </w:tcPr>
          <w:p w:rsidR="009317A9" w:rsidRPr="000F630F" w14:paraId="5B093F18" w14:textId="2AD66D6F">
            <w:pPr>
              <w:spacing w:before="60" w:after="60" w:line="264" w:lineRule="auto"/>
              <w:jc w:val="center"/>
              <w:rPr>
                <w:b/>
                <w:bCs/>
                <w:color w:val="FFFFFF" w:themeColor="background1"/>
                <w:sz w:val="18"/>
                <w:szCs w:val="18"/>
              </w:rPr>
            </w:pPr>
            <w:r w:rsidRPr="000F630F">
              <w:rPr>
                <w:b/>
                <w:bCs/>
                <w:color w:val="FFFFFF" w:themeColor="background1"/>
                <w:sz w:val="18"/>
                <w:szCs w:val="18"/>
              </w:rPr>
              <w:t xml:space="preserve">Role in </w:t>
            </w:r>
            <w:r w:rsidRPr="000F630F" w:rsidR="007F2F6C">
              <w:rPr>
                <w:b/>
                <w:bCs/>
                <w:color w:val="FFFFFF" w:themeColor="background1"/>
                <w:sz w:val="18"/>
                <w:szCs w:val="18"/>
              </w:rPr>
              <w:t>ETM</w:t>
            </w:r>
          </w:p>
        </w:tc>
      </w:tr>
      <w:tr w14:paraId="3573323D" w14:textId="77777777" w:rsidTr="000F630F">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left w:w="43" w:type="dxa"/>
              <w:right w:w="43" w:type="dxa"/>
            </w:tcMar>
          </w:tcPr>
          <w:p w:rsidR="007F2F6C" w:rsidRPr="00B86133" w14:paraId="64354369" w14:textId="4032ADF2">
            <w:pPr>
              <w:spacing w:before="60" w:after="60" w:line="264" w:lineRule="auto"/>
              <w:rPr>
                <w:b/>
                <w:bCs/>
                <w:sz w:val="18"/>
                <w:szCs w:val="18"/>
              </w:rPr>
            </w:pPr>
            <w:r>
              <w:rPr>
                <w:b/>
                <w:bCs/>
                <w:sz w:val="18"/>
                <w:szCs w:val="18"/>
              </w:rPr>
              <w:t xml:space="preserve">TA </w:t>
            </w:r>
            <w:r w:rsidRPr="00B86133">
              <w:rPr>
                <w:b/>
                <w:bCs/>
                <w:sz w:val="18"/>
                <w:szCs w:val="18"/>
              </w:rPr>
              <w:t>Team</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left w:w="43" w:type="dxa"/>
              <w:right w:w="43" w:type="dxa"/>
            </w:tcMar>
          </w:tcPr>
          <w:p w:rsidR="007F2F6C" w:rsidRPr="00B86133" w14:paraId="6A681179" w14:textId="77777777">
            <w:pPr>
              <w:spacing w:before="60" w:after="60" w:line="264" w:lineRule="auto"/>
              <w:rPr>
                <w:b/>
                <w:bCs/>
                <w:sz w:val="18"/>
                <w:szCs w:val="18"/>
              </w:rPr>
            </w:pPr>
          </w:p>
        </w:tc>
      </w:tr>
      <w:tr w14:paraId="18D51628"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84054A" w14:paraId="48F4FA73" w14:textId="1540CB44">
            <w:pPr>
              <w:spacing w:before="60" w:after="60" w:line="264" w:lineRule="auto"/>
              <w:rPr>
                <w:sz w:val="18"/>
                <w:szCs w:val="18"/>
              </w:rPr>
            </w:pPr>
            <w:r w:rsidRPr="0084054A">
              <w:rPr>
                <w:sz w:val="18"/>
                <w:szCs w:val="18"/>
              </w:rPr>
              <w:t>Anne Chamberlain</w:t>
            </w:r>
            <w:r>
              <w:rPr>
                <w:sz w:val="18"/>
                <w:szCs w:val="18"/>
              </w:rPr>
              <w:t xml:space="preserve"> (MSG)</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84054A" w14:paraId="7938F327" w14:textId="58C5C09D">
            <w:pPr>
              <w:spacing w:before="60" w:after="60" w:line="264" w:lineRule="auto"/>
              <w:rPr>
                <w:sz w:val="18"/>
                <w:szCs w:val="18"/>
              </w:rPr>
            </w:pPr>
            <w:r>
              <w:rPr>
                <w:sz w:val="18"/>
                <w:szCs w:val="18"/>
              </w:rPr>
              <w:t>Project Director</w:t>
            </w:r>
          </w:p>
        </w:tc>
      </w:tr>
      <w:tr w14:paraId="79A0A907"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F87E83" w:rsidRPr="00027F1C" w14:paraId="45378851" w14:textId="0270C087">
            <w:pPr>
              <w:spacing w:before="60" w:after="60" w:line="264" w:lineRule="auto"/>
              <w:rPr>
                <w:sz w:val="18"/>
                <w:szCs w:val="18"/>
              </w:rPr>
            </w:pPr>
            <w:r w:rsidRPr="00027F1C">
              <w:rPr>
                <w:sz w:val="18"/>
                <w:szCs w:val="18"/>
              </w:rPr>
              <w:t xml:space="preserve">Melissa Zervos </w:t>
            </w:r>
            <w:r>
              <w:rPr>
                <w:sz w:val="18"/>
                <w:szCs w:val="18"/>
                <w:lang w:val="es-ES"/>
              </w:rPr>
              <w:t>(MSG)</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F87E83" w:rsidRPr="00027F1C" w14:paraId="7E756B41" w14:textId="62402F96">
            <w:pPr>
              <w:spacing w:before="60" w:after="60" w:line="264" w:lineRule="auto"/>
              <w:rPr>
                <w:sz w:val="18"/>
                <w:szCs w:val="18"/>
              </w:rPr>
            </w:pPr>
            <w:r>
              <w:rPr>
                <w:sz w:val="18"/>
                <w:szCs w:val="18"/>
              </w:rPr>
              <w:t>Project Manager</w:t>
            </w:r>
          </w:p>
        </w:tc>
      </w:tr>
      <w:tr w14:paraId="058BC46E" w14:textId="77777777" w:rsidTr="000F630F">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left w:w="43" w:type="dxa"/>
              <w:right w:w="43" w:type="dxa"/>
            </w:tcMar>
          </w:tcPr>
          <w:p w:rsidR="007F2F6C" w:rsidRPr="000F630F" w14:paraId="78E7B454" w14:textId="03017BDF">
            <w:pPr>
              <w:spacing w:before="60" w:after="60" w:line="264" w:lineRule="auto"/>
              <w:rPr>
                <w:b/>
                <w:bCs/>
                <w:sz w:val="18"/>
                <w:szCs w:val="18"/>
              </w:rPr>
            </w:pPr>
            <w:r w:rsidRPr="000F630F">
              <w:rPr>
                <w:b/>
                <w:bCs/>
                <w:sz w:val="18"/>
                <w:szCs w:val="18"/>
              </w:rPr>
              <w:t>Evaluation Team</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left w:w="43" w:type="dxa"/>
              <w:right w:w="43" w:type="dxa"/>
            </w:tcMar>
          </w:tcPr>
          <w:p w:rsidR="007F2F6C" w:rsidRPr="000F630F" w14:paraId="6BFDE01E" w14:textId="783F8A98">
            <w:pPr>
              <w:spacing w:before="60" w:after="60" w:line="264" w:lineRule="auto"/>
              <w:rPr>
                <w:b/>
                <w:bCs/>
                <w:sz w:val="18"/>
                <w:szCs w:val="18"/>
              </w:rPr>
            </w:pPr>
          </w:p>
        </w:tc>
      </w:tr>
      <w:tr w14:paraId="289F8D97"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30965792" w14:textId="75F879FC">
            <w:pPr>
              <w:spacing w:before="60" w:after="60" w:line="264" w:lineRule="auto"/>
              <w:rPr>
                <w:sz w:val="18"/>
                <w:szCs w:val="18"/>
              </w:rPr>
            </w:pPr>
            <w:r>
              <w:rPr>
                <w:sz w:val="18"/>
                <w:szCs w:val="18"/>
              </w:rPr>
              <w:t xml:space="preserve">Hassan </w:t>
            </w:r>
            <w:r w:rsidR="00EF32FC">
              <w:rPr>
                <w:sz w:val="18"/>
                <w:szCs w:val="18"/>
              </w:rPr>
              <w:t>Enayati</w:t>
            </w:r>
            <w:r w:rsidR="00520FB8">
              <w:rPr>
                <w:sz w:val="18"/>
                <w:szCs w:val="18"/>
              </w:rPr>
              <w:t xml:space="preserve">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12AA4180" w14:textId="77777777">
            <w:pPr>
              <w:spacing w:before="60" w:after="60" w:line="264" w:lineRule="auto"/>
              <w:rPr>
                <w:sz w:val="18"/>
                <w:szCs w:val="18"/>
              </w:rPr>
            </w:pPr>
            <w:r w:rsidRPr="01975223">
              <w:rPr>
                <w:sz w:val="18"/>
                <w:szCs w:val="18"/>
              </w:rPr>
              <w:t>Project Director</w:t>
            </w:r>
          </w:p>
        </w:tc>
      </w:tr>
      <w:tr w14:paraId="47350B62"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14:paraId="30094FC5" w14:textId="4890C5F3">
            <w:pPr>
              <w:spacing w:before="60" w:after="60" w:line="264" w:lineRule="auto"/>
              <w:rPr>
                <w:sz w:val="18"/>
                <w:szCs w:val="18"/>
              </w:rPr>
            </w:pPr>
            <w:r>
              <w:rPr>
                <w:sz w:val="18"/>
                <w:szCs w:val="18"/>
              </w:rPr>
              <w:t>Tresa Kappil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rsidRPr="01975223" w14:paraId="7045F781" w14:textId="4940E14A">
            <w:pPr>
              <w:spacing w:before="60" w:after="60" w:line="264" w:lineRule="auto"/>
              <w:rPr>
                <w:sz w:val="18"/>
                <w:szCs w:val="18"/>
              </w:rPr>
            </w:pPr>
            <w:r>
              <w:rPr>
                <w:sz w:val="18"/>
                <w:szCs w:val="18"/>
              </w:rPr>
              <w:t>Deputy Project Director</w:t>
            </w:r>
          </w:p>
        </w:tc>
      </w:tr>
      <w:tr w14:paraId="1FAD1E06"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0C079547" w14:textId="7574B6A4">
            <w:pPr>
              <w:spacing w:before="60" w:after="60" w:line="264" w:lineRule="auto"/>
              <w:rPr>
                <w:sz w:val="18"/>
                <w:szCs w:val="18"/>
              </w:rPr>
            </w:pPr>
            <w:r>
              <w:rPr>
                <w:sz w:val="18"/>
                <w:szCs w:val="18"/>
              </w:rPr>
              <w:t>David Wittenberg (Westat)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19F679D8" w14:textId="77777777">
            <w:pPr>
              <w:spacing w:before="60" w:after="60" w:line="264" w:lineRule="auto"/>
              <w:rPr>
                <w:sz w:val="18"/>
                <w:szCs w:val="18"/>
              </w:rPr>
            </w:pPr>
            <w:r>
              <w:rPr>
                <w:sz w:val="18"/>
                <w:szCs w:val="18"/>
              </w:rPr>
              <w:t>Co-</w:t>
            </w:r>
            <w:r w:rsidRPr="01975223">
              <w:rPr>
                <w:sz w:val="18"/>
                <w:szCs w:val="18"/>
              </w:rPr>
              <w:t>Principal Investigator</w:t>
            </w:r>
          </w:p>
        </w:tc>
      </w:tr>
      <w:tr w14:paraId="2B41ECC8"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4F659BC1" w14:textId="76635D4E">
            <w:pPr>
              <w:spacing w:before="60" w:after="60" w:line="264" w:lineRule="auto"/>
              <w:rPr>
                <w:sz w:val="18"/>
                <w:szCs w:val="18"/>
              </w:rPr>
            </w:pPr>
            <w:r>
              <w:rPr>
                <w:sz w:val="18"/>
                <w:szCs w:val="18"/>
              </w:rPr>
              <w:t>Kelli Crane (University of Mar</w:t>
            </w:r>
            <w:r w:rsidR="00802795">
              <w:rPr>
                <w:sz w:val="18"/>
                <w:szCs w:val="18"/>
              </w:rPr>
              <w:t>y</w:t>
            </w:r>
            <w:r>
              <w:rPr>
                <w:sz w:val="18"/>
                <w:szCs w:val="18"/>
              </w:rPr>
              <w:t>land)</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08151136" w14:textId="77777777">
            <w:pPr>
              <w:spacing w:before="60" w:after="60" w:line="264" w:lineRule="auto"/>
              <w:rPr>
                <w:sz w:val="18"/>
                <w:szCs w:val="18"/>
              </w:rPr>
            </w:pPr>
            <w:r w:rsidRPr="01975223">
              <w:rPr>
                <w:sz w:val="18"/>
                <w:szCs w:val="18"/>
              </w:rPr>
              <w:t xml:space="preserve">Co-Principal Investigator </w:t>
            </w:r>
          </w:p>
        </w:tc>
      </w:tr>
      <w:tr w14:paraId="620E8573"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1B2575EC" w14:textId="7189702C">
            <w:pPr>
              <w:tabs>
                <w:tab w:val="right" w:pos="2680"/>
              </w:tabs>
              <w:spacing w:before="60" w:after="60" w:line="264" w:lineRule="auto"/>
              <w:rPr>
                <w:sz w:val="18"/>
                <w:szCs w:val="18"/>
              </w:rPr>
            </w:pPr>
            <w:r>
              <w:rPr>
                <w:sz w:val="18"/>
                <w:szCs w:val="18"/>
              </w:rPr>
              <w:t>Michelle Wood (Abt Global</w:t>
            </w:r>
            <w:r w:rsidR="000E6CA3">
              <w:rPr>
                <w:sz w:val="18"/>
                <w:szCs w:val="18"/>
              </w:rPr>
              <w:t>, retired</w:t>
            </w:r>
            <w:r>
              <w:rPr>
                <w:sz w:val="18"/>
                <w:szCs w:val="18"/>
              </w:rPr>
              <w: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07299A3B" w14:textId="77777777">
            <w:pPr>
              <w:spacing w:before="60" w:after="60" w:line="264" w:lineRule="auto"/>
              <w:rPr>
                <w:sz w:val="18"/>
                <w:szCs w:val="18"/>
              </w:rPr>
            </w:pPr>
            <w:r w:rsidRPr="01975223">
              <w:rPr>
                <w:sz w:val="18"/>
                <w:szCs w:val="18"/>
              </w:rPr>
              <w:t>Project Quality Advisor</w:t>
            </w:r>
          </w:p>
        </w:tc>
      </w:tr>
      <w:tr w14:paraId="6A126B44"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62227992" w14:textId="7E543F57">
            <w:pPr>
              <w:spacing w:before="60" w:after="60" w:line="264" w:lineRule="auto"/>
              <w:rPr>
                <w:sz w:val="18"/>
                <w:szCs w:val="18"/>
              </w:rPr>
            </w:pPr>
            <w:r>
              <w:rPr>
                <w:sz w:val="18"/>
                <w:szCs w:val="18"/>
              </w:rPr>
              <w:t xml:space="preserve">Emily </w:t>
            </w:r>
            <w:r w:rsidR="000C670A">
              <w:rPr>
                <w:sz w:val="18"/>
                <w:szCs w:val="18"/>
              </w:rPr>
              <w:t>Appel-Newby</w:t>
            </w:r>
            <w:r w:rsidR="00520FB8">
              <w:rPr>
                <w:sz w:val="18"/>
                <w:szCs w:val="18"/>
              </w:rPr>
              <w:t xml:space="preserve"> (Westat)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5F9ECC59" w14:textId="77777777">
            <w:pPr>
              <w:spacing w:before="60" w:after="60" w:line="264" w:lineRule="auto"/>
              <w:rPr>
                <w:sz w:val="18"/>
                <w:szCs w:val="18"/>
              </w:rPr>
            </w:pPr>
            <w:r w:rsidRPr="01975223">
              <w:rPr>
                <w:sz w:val="18"/>
                <w:szCs w:val="18"/>
              </w:rPr>
              <w:t>Implementation Study Lead</w:t>
            </w:r>
          </w:p>
        </w:tc>
      </w:tr>
      <w:tr w14:paraId="65051C9B"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rsidRPr="01975223" w14:paraId="5FA9EFFC" w14:textId="2B1E02F2">
            <w:pPr>
              <w:spacing w:before="60" w:after="60" w:line="264" w:lineRule="auto"/>
              <w:rPr>
                <w:sz w:val="18"/>
                <w:szCs w:val="18"/>
              </w:rPr>
            </w:pPr>
            <w:r>
              <w:rPr>
                <w:sz w:val="18"/>
                <w:szCs w:val="18"/>
              </w:rPr>
              <w:t>Judy Geyer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rsidRPr="01975223" w14:paraId="1568800D" w14:textId="1189F0B1">
            <w:pPr>
              <w:spacing w:before="60" w:after="60" w:line="264" w:lineRule="auto"/>
              <w:rPr>
                <w:sz w:val="18"/>
                <w:szCs w:val="18"/>
              </w:rPr>
            </w:pPr>
            <w:r>
              <w:rPr>
                <w:sz w:val="18"/>
                <w:szCs w:val="18"/>
              </w:rPr>
              <w:t>Outcome Study Lead</w:t>
            </w:r>
          </w:p>
        </w:tc>
      </w:tr>
      <w:tr w14:paraId="0EFFB8A5"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102754C2" w14:textId="0828AD53">
            <w:pPr>
              <w:spacing w:before="60" w:after="60" w:line="264" w:lineRule="auto"/>
              <w:rPr>
                <w:sz w:val="18"/>
                <w:szCs w:val="18"/>
              </w:rPr>
            </w:pPr>
            <w:r>
              <w:rPr>
                <w:sz w:val="18"/>
                <w:szCs w:val="18"/>
              </w:rPr>
              <w:t>Heinrich Hock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14:paraId="4FEB3FE9" w14:textId="5CFF6C0D">
            <w:pPr>
              <w:spacing w:before="60" w:after="60" w:line="264" w:lineRule="auto"/>
              <w:rPr>
                <w:sz w:val="18"/>
                <w:szCs w:val="18"/>
              </w:rPr>
            </w:pPr>
            <w:r w:rsidRPr="01975223">
              <w:rPr>
                <w:sz w:val="18"/>
                <w:szCs w:val="18"/>
              </w:rPr>
              <w:t>Project Quality Advisor</w:t>
            </w:r>
          </w:p>
        </w:tc>
      </w:tr>
      <w:tr w14:paraId="2A7C1F75"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rsidRPr="01975223" w14:paraId="035B541B" w14:textId="4FC28716">
            <w:pPr>
              <w:spacing w:before="60" w:after="60" w:line="264" w:lineRule="auto"/>
              <w:rPr>
                <w:sz w:val="18"/>
                <w:szCs w:val="18"/>
              </w:rPr>
            </w:pPr>
            <w:r w:rsidRPr="245065BE">
              <w:rPr>
                <w:sz w:val="18"/>
                <w:szCs w:val="18"/>
              </w:rPr>
              <w:t>Blake Do</w:t>
            </w:r>
            <w:r w:rsidRPr="245065BE" w:rsidR="4369C48D">
              <w:rPr>
                <w:sz w:val="18"/>
                <w:szCs w:val="18"/>
              </w:rPr>
              <w:t>h</w:t>
            </w:r>
            <w:r w:rsidRPr="245065BE">
              <w:rPr>
                <w:sz w:val="18"/>
                <w:szCs w:val="18"/>
              </w:rPr>
              <w:t>rn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9317A9" w:rsidRPr="01975223" w14:paraId="61B65231" w14:textId="6DE89D2A">
            <w:pPr>
              <w:spacing w:before="60" w:after="60" w:line="264" w:lineRule="auto"/>
              <w:rPr>
                <w:sz w:val="18"/>
                <w:szCs w:val="18"/>
              </w:rPr>
            </w:pPr>
            <w:r>
              <w:rPr>
                <w:sz w:val="18"/>
                <w:szCs w:val="18"/>
              </w:rPr>
              <w:t>Customer Experience Study</w:t>
            </w:r>
            <w:r w:rsidR="007D44A9">
              <w:rPr>
                <w:sz w:val="18"/>
                <w:szCs w:val="18"/>
              </w:rPr>
              <w:t xml:space="preserve"> Co-lead</w:t>
            </w:r>
          </w:p>
        </w:tc>
      </w:tr>
      <w:tr w14:paraId="3CA93FAE"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0603C8" w:rsidRPr="245065BE" w14:paraId="1145E2FB" w14:textId="28CFC234">
            <w:pPr>
              <w:spacing w:before="60" w:after="60" w:line="264" w:lineRule="auto"/>
              <w:rPr>
                <w:sz w:val="18"/>
                <w:szCs w:val="18"/>
              </w:rPr>
            </w:pPr>
            <w:r>
              <w:rPr>
                <w:sz w:val="18"/>
                <w:szCs w:val="18"/>
              </w:rPr>
              <w:t>Annaka Paradis</w:t>
            </w:r>
            <w:r w:rsidR="00371BCE">
              <w:rPr>
                <w:sz w:val="18"/>
                <w:szCs w:val="18"/>
              </w:rPr>
              <w:t xml:space="preserve"> (Westat)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0603C8" w14:paraId="41217C45" w14:textId="2CD6231E">
            <w:pPr>
              <w:spacing w:before="60" w:after="60" w:line="264" w:lineRule="auto"/>
              <w:rPr>
                <w:sz w:val="18"/>
                <w:szCs w:val="18"/>
              </w:rPr>
            </w:pPr>
            <w:r>
              <w:rPr>
                <w:sz w:val="18"/>
                <w:szCs w:val="18"/>
              </w:rPr>
              <w:t>Customer Experience Study Co-lead</w:t>
            </w:r>
          </w:p>
        </w:tc>
      </w:tr>
      <w:tr w14:paraId="5D8936E1"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13718C" w14:paraId="7AC4E5C4" w14:textId="3365FF23">
            <w:pPr>
              <w:spacing w:before="60" w:after="60" w:line="264" w:lineRule="auto"/>
              <w:rPr>
                <w:sz w:val="18"/>
                <w:szCs w:val="18"/>
              </w:rPr>
            </w:pPr>
            <w:r>
              <w:rPr>
                <w:sz w:val="18"/>
                <w:szCs w:val="18"/>
              </w:rPr>
              <w:t>M</w:t>
            </w:r>
            <w:r w:rsidRPr="000472AE">
              <w:rPr>
                <w:sz w:val="18"/>
                <w:szCs w:val="18"/>
              </w:rPr>
              <w:t>onirah</w:t>
            </w:r>
            <w:r w:rsidR="001C4EDF">
              <w:rPr>
                <w:sz w:val="18"/>
                <w:szCs w:val="18"/>
              </w:rPr>
              <w:t xml:space="preserve"> </w:t>
            </w:r>
            <w:r w:rsidR="00D908DB">
              <w:rPr>
                <w:sz w:val="18"/>
                <w:szCs w:val="18"/>
              </w:rPr>
              <w:t>Al-</w:t>
            </w:r>
            <w:r>
              <w:rPr>
                <w:sz w:val="18"/>
                <w:szCs w:val="18"/>
              </w:rPr>
              <w:t>A</w:t>
            </w:r>
            <w:r w:rsidRPr="000472AE">
              <w:rPr>
                <w:sz w:val="18"/>
                <w:szCs w:val="18"/>
              </w:rPr>
              <w:t>bdulmunem</w:t>
            </w:r>
            <w:r w:rsidR="007D44A9">
              <w:rPr>
                <w:sz w:val="18"/>
                <w:szCs w:val="18"/>
              </w:rPr>
              <w:t xml:space="preserve"> (</w:t>
            </w:r>
            <w:r w:rsidR="007C621A">
              <w:rPr>
                <w:sz w:val="18"/>
                <w:szCs w:val="18"/>
              </w:rPr>
              <w:t xml:space="preserve">formerly at </w:t>
            </w:r>
            <w:r w:rsidR="007D44A9">
              <w:rPr>
                <w:sz w:val="18"/>
                <w:szCs w:val="18"/>
              </w:rPr>
              <w:t>Westat)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13718C" w14:paraId="6EAF7E32" w14:textId="65E5DA58">
            <w:pPr>
              <w:spacing w:before="60" w:after="60" w:line="264" w:lineRule="auto"/>
              <w:rPr>
                <w:sz w:val="18"/>
                <w:szCs w:val="18"/>
              </w:rPr>
            </w:pPr>
            <w:r>
              <w:rPr>
                <w:sz w:val="18"/>
                <w:szCs w:val="18"/>
              </w:rPr>
              <w:t xml:space="preserve">Former </w:t>
            </w:r>
            <w:r w:rsidR="007D44A9">
              <w:rPr>
                <w:sz w:val="18"/>
                <w:szCs w:val="18"/>
              </w:rPr>
              <w:t>Customer Experience Study Co-lead</w:t>
            </w:r>
          </w:p>
        </w:tc>
      </w:tr>
      <w:tr w14:paraId="347C4327"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1346A6" w14:paraId="4AE7FFF6" w14:textId="0B174C02">
            <w:pPr>
              <w:spacing w:before="60" w:after="60" w:line="264" w:lineRule="auto"/>
              <w:rPr>
                <w:sz w:val="18"/>
                <w:szCs w:val="18"/>
              </w:rPr>
            </w:pPr>
            <w:r>
              <w:rPr>
                <w:sz w:val="18"/>
                <w:szCs w:val="18"/>
              </w:rPr>
              <w:t>Tamara Daley</w:t>
            </w:r>
            <w:r w:rsidR="00AF06C9">
              <w:rPr>
                <w:sz w:val="18"/>
                <w:szCs w:val="18"/>
              </w:rPr>
              <w:t xml:space="preserve"> (Abt Global)</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1346A6" w14:paraId="415351F7" w14:textId="4DE10C28">
            <w:pPr>
              <w:spacing w:before="60" w:after="60" w:line="264" w:lineRule="auto"/>
              <w:rPr>
                <w:sz w:val="18"/>
                <w:szCs w:val="18"/>
              </w:rPr>
            </w:pPr>
            <w:r>
              <w:rPr>
                <w:sz w:val="18"/>
                <w:szCs w:val="18"/>
              </w:rPr>
              <w:t>Partner</w:t>
            </w:r>
            <w:r w:rsidR="00402B9C">
              <w:rPr>
                <w:sz w:val="18"/>
                <w:szCs w:val="18"/>
              </w:rPr>
              <w:t xml:space="preserve">ing Activities </w:t>
            </w:r>
            <w:r>
              <w:rPr>
                <w:sz w:val="18"/>
                <w:szCs w:val="18"/>
              </w:rPr>
              <w:t>Co-lead</w:t>
            </w:r>
          </w:p>
        </w:tc>
      </w:tr>
      <w:tr w14:paraId="5EA8501F"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F80EAF" w14:paraId="3988D9DB" w14:textId="57CFF4AC">
            <w:pPr>
              <w:spacing w:before="60" w:after="60" w:line="264" w:lineRule="auto"/>
              <w:rPr>
                <w:sz w:val="18"/>
                <w:szCs w:val="18"/>
              </w:rPr>
            </w:pPr>
            <w:r>
              <w:rPr>
                <w:sz w:val="18"/>
                <w:szCs w:val="18"/>
              </w:rPr>
              <w:t>Laura Owens (TransCen)</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F80EAF" w14:paraId="521A868A" w14:textId="237D4525">
            <w:pPr>
              <w:spacing w:before="60" w:after="60" w:line="264" w:lineRule="auto"/>
              <w:rPr>
                <w:sz w:val="18"/>
                <w:szCs w:val="18"/>
              </w:rPr>
            </w:pPr>
            <w:r>
              <w:rPr>
                <w:sz w:val="18"/>
                <w:szCs w:val="18"/>
              </w:rPr>
              <w:t>Sub</w:t>
            </w:r>
            <w:r w:rsidR="00BE263D">
              <w:rPr>
                <w:sz w:val="18"/>
                <w:szCs w:val="18"/>
              </w:rPr>
              <w:t>ject Matter Expert</w:t>
            </w:r>
            <w:r w:rsidR="0069542F">
              <w:rPr>
                <w:sz w:val="18"/>
                <w:szCs w:val="18"/>
              </w:rPr>
              <w:t xml:space="preserve"> Consultant</w:t>
            </w:r>
          </w:p>
        </w:tc>
      </w:tr>
      <w:tr w14:paraId="41C23BCC"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rsidP="005C280C" w14:paraId="5FF44FD4" w14:textId="57DEECE2">
            <w:pPr>
              <w:spacing w:before="60" w:after="60" w:line="264" w:lineRule="auto"/>
              <w:rPr>
                <w:sz w:val="18"/>
                <w:szCs w:val="18"/>
              </w:rPr>
            </w:pPr>
            <w:r w:rsidRPr="00084B51">
              <w:rPr>
                <w:sz w:val="18"/>
                <w:szCs w:val="18"/>
              </w:rPr>
              <w:t>Valerie Mazzotti</w:t>
            </w:r>
            <w:r>
              <w:rPr>
                <w:sz w:val="18"/>
                <w:szCs w:val="18"/>
              </w:rPr>
              <w:t xml:space="preserve"> (</w:t>
            </w:r>
            <w:r w:rsidRPr="005C280C">
              <w:rPr>
                <w:sz w:val="18"/>
                <w:szCs w:val="18"/>
              </w:rPr>
              <w:t>University of Kansas</w:t>
            </w:r>
            <w:r>
              <w:rPr>
                <w:sz w:val="18"/>
                <w:szCs w:val="18"/>
              </w:rPr>
              <w: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rsidP="005C280C" w14:paraId="3AA75DB2" w14:textId="76503A33">
            <w:pPr>
              <w:spacing w:before="60" w:after="60" w:line="264" w:lineRule="auto"/>
              <w:rPr>
                <w:sz w:val="18"/>
                <w:szCs w:val="18"/>
              </w:rPr>
            </w:pPr>
            <w:r>
              <w:rPr>
                <w:sz w:val="18"/>
                <w:szCs w:val="18"/>
              </w:rPr>
              <w:t>Subject Matter Expert Consultant</w:t>
            </w:r>
          </w:p>
        </w:tc>
      </w:tr>
      <w:tr w14:paraId="6E7A0C70" w14:textId="77777777" w:rsidTr="245065BE">
        <w:tblPrEx>
          <w:tblW w:w="0" w:type="auto"/>
          <w:tblLayout w:type="fixed"/>
          <w:tblLook w:val="04A0"/>
        </w:tblPrEx>
        <w:trPr>
          <w:trHeight w:val="300"/>
        </w:trPr>
        <w:tc>
          <w:tcPr>
            <w:tcW w:w="350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rsidP="005C280C" w14:paraId="18E2DEDC" w14:textId="5C603238">
            <w:pPr>
              <w:spacing w:before="60" w:after="60" w:line="264" w:lineRule="auto"/>
              <w:rPr>
                <w:sz w:val="18"/>
                <w:szCs w:val="18"/>
              </w:rPr>
            </w:pPr>
            <w:r w:rsidRPr="00F87561">
              <w:rPr>
                <w:sz w:val="18"/>
                <w:szCs w:val="18"/>
              </w:rPr>
              <w:t>Karrie Shogren</w:t>
            </w:r>
            <w:r>
              <w:rPr>
                <w:sz w:val="18"/>
                <w:szCs w:val="18"/>
              </w:rPr>
              <w:t xml:space="preserve"> (</w:t>
            </w:r>
            <w:r w:rsidRPr="005C280C">
              <w:rPr>
                <w:sz w:val="18"/>
                <w:szCs w:val="18"/>
              </w:rPr>
              <w:t>University of Kansas</w:t>
            </w:r>
            <w:r>
              <w:rPr>
                <w:sz w:val="18"/>
                <w:szCs w:val="18"/>
              </w:rPr>
              <w:t>)</w:t>
            </w:r>
          </w:p>
        </w:tc>
        <w:tc>
          <w:tcPr>
            <w:tcW w:w="486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43" w:type="dxa"/>
              <w:right w:w="43" w:type="dxa"/>
            </w:tcMar>
          </w:tcPr>
          <w:p w:rsidR="005C280C" w:rsidP="005C280C" w14:paraId="528C6135" w14:textId="7D01085C">
            <w:pPr>
              <w:spacing w:before="60" w:after="60" w:line="264" w:lineRule="auto"/>
              <w:rPr>
                <w:sz w:val="18"/>
                <w:szCs w:val="18"/>
              </w:rPr>
            </w:pPr>
            <w:r>
              <w:rPr>
                <w:sz w:val="18"/>
                <w:szCs w:val="18"/>
              </w:rPr>
              <w:t>Subject Matter Expert Consultant</w:t>
            </w:r>
          </w:p>
        </w:tc>
      </w:tr>
    </w:tbl>
    <w:p w:rsidR="009317A9" w:rsidP="009317A9" w14:paraId="76CF966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normaltextrun"/>
          <w:rFonts w:eastAsiaTheme="minorHAnsi"/>
          <w:color w:val="000000" w:themeColor="text1"/>
        </w:rPr>
      </w:pPr>
    </w:p>
    <w:p w:rsidR="006E072F" w:rsidP="0029650A" w14:paraId="3A0D41AF" w14:textId="0A6105A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Pr>
          <w:rFonts w:ascii="Times New Roman" w:hAnsi="Times New Roman"/>
          <w:sz w:val="24"/>
          <w:szCs w:val="24"/>
        </w:rPr>
        <w:t>Additionally,</w:t>
      </w:r>
      <w:r w:rsidRPr="557F3D8A">
        <w:rPr>
          <w:rFonts w:ascii="Times New Roman" w:hAnsi="Times New Roman"/>
          <w:sz w:val="24"/>
          <w:szCs w:val="24"/>
        </w:rPr>
        <w:t xml:space="preserve"> </w:t>
      </w:r>
      <w:r w:rsidRPr="557F3D8A" w:rsidR="57261EC5">
        <w:rPr>
          <w:rFonts w:ascii="Times New Roman" w:hAnsi="Times New Roman"/>
          <w:sz w:val="24"/>
          <w:szCs w:val="24"/>
        </w:rPr>
        <w:t>the</w:t>
      </w:r>
      <w:r>
        <w:rPr>
          <w:rFonts w:ascii="Times New Roman" w:hAnsi="Times New Roman"/>
          <w:sz w:val="24"/>
          <w:szCs w:val="24"/>
        </w:rPr>
        <w:t xml:space="preserve"> </w:t>
      </w:r>
      <w:r w:rsidRPr="006E072F">
        <w:rPr>
          <w:rFonts w:ascii="Times New Roman" w:hAnsi="Times New Roman"/>
          <w:sz w:val="24"/>
          <w:szCs w:val="24"/>
        </w:rPr>
        <w:t>evaluation team convened Technical Working Groups</w:t>
      </w:r>
      <w:r w:rsidR="005D65C5">
        <w:rPr>
          <w:rFonts w:ascii="Times New Roman" w:hAnsi="Times New Roman"/>
          <w:sz w:val="24"/>
          <w:szCs w:val="24"/>
        </w:rPr>
        <w:t xml:space="preserve">, </w:t>
      </w:r>
      <w:r w:rsidRPr="006E072F">
        <w:rPr>
          <w:rFonts w:ascii="Times New Roman" w:hAnsi="Times New Roman"/>
          <w:sz w:val="24"/>
          <w:szCs w:val="24"/>
        </w:rPr>
        <w:t>comprised of six research, evaluation, and service provider experts</w:t>
      </w:r>
      <w:r w:rsidR="005D65C5">
        <w:rPr>
          <w:rFonts w:ascii="Times New Roman" w:hAnsi="Times New Roman"/>
          <w:sz w:val="24"/>
          <w:szCs w:val="24"/>
        </w:rPr>
        <w:t xml:space="preserve"> </w:t>
      </w:r>
      <w:r w:rsidR="0029650A">
        <w:rPr>
          <w:rFonts w:ascii="Times New Roman" w:hAnsi="Times New Roman"/>
          <w:sz w:val="24"/>
          <w:szCs w:val="24"/>
        </w:rPr>
        <w:t xml:space="preserve">(TWG 1) </w:t>
      </w:r>
      <w:r w:rsidR="005D65C5">
        <w:rPr>
          <w:rFonts w:ascii="Times New Roman" w:hAnsi="Times New Roman"/>
          <w:sz w:val="24"/>
          <w:szCs w:val="24"/>
        </w:rPr>
        <w:t xml:space="preserve">as well as </w:t>
      </w:r>
      <w:r w:rsidRPr="006E072F">
        <w:rPr>
          <w:rFonts w:ascii="Times New Roman" w:hAnsi="Times New Roman"/>
          <w:sz w:val="24"/>
          <w:szCs w:val="24"/>
        </w:rPr>
        <w:t>four Y&amp;YAD</w:t>
      </w:r>
      <w:r w:rsidR="0029650A">
        <w:rPr>
          <w:rFonts w:ascii="Times New Roman" w:hAnsi="Times New Roman"/>
          <w:sz w:val="24"/>
          <w:szCs w:val="24"/>
        </w:rPr>
        <w:t xml:space="preserve"> (TWG 2)</w:t>
      </w:r>
      <w:r w:rsidR="00BE2ED5">
        <w:rPr>
          <w:rFonts w:ascii="Times New Roman" w:hAnsi="Times New Roman"/>
          <w:sz w:val="24"/>
          <w:szCs w:val="24"/>
        </w:rPr>
        <w:t>, to discuss the research design</w:t>
      </w:r>
      <w:r w:rsidR="00A40E3E">
        <w:rPr>
          <w:rFonts w:ascii="Times New Roman" w:hAnsi="Times New Roman"/>
          <w:sz w:val="24"/>
          <w:szCs w:val="24"/>
        </w:rPr>
        <w:t>, data instruments, and protocols.</w:t>
      </w:r>
      <w:r w:rsidR="00F96847">
        <w:rPr>
          <w:rFonts w:ascii="Times New Roman" w:hAnsi="Times New Roman"/>
          <w:sz w:val="24"/>
          <w:szCs w:val="24"/>
        </w:rPr>
        <w:t xml:space="preserve"> </w:t>
      </w:r>
      <w:r w:rsidRPr="0029650A" w:rsidR="0029650A">
        <w:rPr>
          <w:rFonts w:ascii="Times New Roman" w:hAnsi="Times New Roman"/>
          <w:sz w:val="24"/>
          <w:szCs w:val="24"/>
        </w:rPr>
        <w:t>TWG</w:t>
      </w:r>
      <w:r w:rsidR="00427BBC">
        <w:rPr>
          <w:rFonts w:ascii="Times New Roman" w:hAnsi="Times New Roman"/>
          <w:sz w:val="24"/>
          <w:szCs w:val="24"/>
        </w:rPr>
        <w:t xml:space="preserve"> </w:t>
      </w:r>
      <w:r w:rsidRPr="0029650A" w:rsidR="0029650A">
        <w:rPr>
          <w:rFonts w:ascii="Times New Roman" w:hAnsi="Times New Roman"/>
          <w:sz w:val="24"/>
          <w:szCs w:val="24"/>
        </w:rPr>
        <w:t>1 received a draft of the design report, which included details about the implementation, outcomes, and customer experience studies, as well as the corresponding protocols. TWG</w:t>
      </w:r>
      <w:r w:rsidR="00427BBC">
        <w:rPr>
          <w:rFonts w:ascii="Times New Roman" w:hAnsi="Times New Roman"/>
          <w:sz w:val="24"/>
          <w:szCs w:val="24"/>
        </w:rPr>
        <w:t xml:space="preserve"> </w:t>
      </w:r>
      <w:r w:rsidRPr="0029650A" w:rsidR="0029650A">
        <w:rPr>
          <w:rFonts w:ascii="Times New Roman" w:hAnsi="Times New Roman"/>
          <w:sz w:val="24"/>
          <w:szCs w:val="24"/>
        </w:rPr>
        <w:t>2 received the</w:t>
      </w:r>
      <w:r w:rsidR="00FC5FF8">
        <w:rPr>
          <w:rFonts w:ascii="Times New Roman" w:hAnsi="Times New Roman"/>
          <w:sz w:val="24"/>
          <w:szCs w:val="24"/>
        </w:rPr>
        <w:t xml:space="preserve"> protocols for </w:t>
      </w:r>
      <w:r w:rsidR="00126F57">
        <w:rPr>
          <w:rFonts w:ascii="Times New Roman" w:hAnsi="Times New Roman"/>
          <w:sz w:val="24"/>
          <w:szCs w:val="24"/>
        </w:rPr>
        <w:t>S</w:t>
      </w:r>
      <w:r w:rsidRPr="00FC5FF8" w:rsidR="00FC5FF8">
        <w:rPr>
          <w:rFonts w:ascii="Times New Roman" w:hAnsi="Times New Roman"/>
          <w:sz w:val="24"/>
          <w:szCs w:val="24"/>
        </w:rPr>
        <w:t>emi-</w:t>
      </w:r>
      <w:r w:rsidR="00126F57">
        <w:rPr>
          <w:rFonts w:ascii="Times New Roman" w:hAnsi="Times New Roman"/>
          <w:sz w:val="24"/>
          <w:szCs w:val="24"/>
        </w:rPr>
        <w:t>S</w:t>
      </w:r>
      <w:r w:rsidRPr="00FC5FF8" w:rsidR="00126F57">
        <w:rPr>
          <w:rFonts w:ascii="Times New Roman" w:hAnsi="Times New Roman"/>
          <w:sz w:val="24"/>
          <w:szCs w:val="24"/>
        </w:rPr>
        <w:t xml:space="preserve">tructured </w:t>
      </w:r>
      <w:r w:rsidR="00126F57">
        <w:rPr>
          <w:rFonts w:ascii="Times New Roman" w:hAnsi="Times New Roman"/>
          <w:sz w:val="24"/>
          <w:szCs w:val="24"/>
        </w:rPr>
        <w:t>I</w:t>
      </w:r>
      <w:r w:rsidRPr="00FC5FF8" w:rsidR="00126F57">
        <w:rPr>
          <w:rFonts w:ascii="Times New Roman" w:hAnsi="Times New Roman"/>
          <w:sz w:val="24"/>
          <w:szCs w:val="24"/>
        </w:rPr>
        <w:t xml:space="preserve">nterviews </w:t>
      </w:r>
      <w:r w:rsidRPr="00FC5FF8" w:rsidR="00FC5FF8">
        <w:rPr>
          <w:rFonts w:ascii="Times New Roman" w:hAnsi="Times New Roman"/>
          <w:sz w:val="24"/>
          <w:szCs w:val="24"/>
        </w:rPr>
        <w:t xml:space="preserve">with </w:t>
      </w:r>
      <w:r w:rsidR="00151580">
        <w:rPr>
          <w:rFonts w:ascii="Times New Roman" w:hAnsi="Times New Roman"/>
          <w:sz w:val="24"/>
          <w:szCs w:val="24"/>
        </w:rPr>
        <w:t xml:space="preserve">ETM </w:t>
      </w:r>
      <w:r w:rsidR="00126F57">
        <w:rPr>
          <w:rFonts w:ascii="Times New Roman" w:hAnsi="Times New Roman"/>
          <w:sz w:val="24"/>
          <w:szCs w:val="24"/>
        </w:rPr>
        <w:t>Y</w:t>
      </w:r>
      <w:r w:rsidR="00B70C6F">
        <w:rPr>
          <w:rFonts w:ascii="Times New Roman" w:hAnsi="Times New Roman"/>
          <w:sz w:val="24"/>
          <w:szCs w:val="24"/>
        </w:rPr>
        <w:t xml:space="preserve">outh and </w:t>
      </w:r>
      <w:r w:rsidR="00151580">
        <w:rPr>
          <w:rFonts w:ascii="Times New Roman" w:hAnsi="Times New Roman"/>
          <w:sz w:val="24"/>
          <w:szCs w:val="24"/>
        </w:rPr>
        <w:t>S</w:t>
      </w:r>
      <w:r w:rsidRPr="00FC5FF8" w:rsidR="00151580">
        <w:rPr>
          <w:rFonts w:ascii="Times New Roman" w:hAnsi="Times New Roman"/>
          <w:sz w:val="24"/>
          <w:szCs w:val="24"/>
        </w:rPr>
        <w:t>emi-</w:t>
      </w:r>
      <w:r w:rsidR="00151580">
        <w:rPr>
          <w:rFonts w:ascii="Times New Roman" w:hAnsi="Times New Roman"/>
          <w:sz w:val="24"/>
          <w:szCs w:val="24"/>
        </w:rPr>
        <w:t>S</w:t>
      </w:r>
      <w:r w:rsidRPr="00FC5FF8" w:rsidR="00151580">
        <w:rPr>
          <w:rFonts w:ascii="Times New Roman" w:hAnsi="Times New Roman"/>
          <w:sz w:val="24"/>
          <w:szCs w:val="24"/>
        </w:rPr>
        <w:t xml:space="preserve">tructured </w:t>
      </w:r>
      <w:r w:rsidR="00151580">
        <w:rPr>
          <w:rFonts w:ascii="Times New Roman" w:hAnsi="Times New Roman"/>
          <w:sz w:val="24"/>
          <w:szCs w:val="24"/>
        </w:rPr>
        <w:t>I</w:t>
      </w:r>
      <w:r w:rsidRPr="00FC5FF8" w:rsidR="00151580">
        <w:rPr>
          <w:rFonts w:ascii="Times New Roman" w:hAnsi="Times New Roman"/>
          <w:sz w:val="24"/>
          <w:szCs w:val="24"/>
        </w:rPr>
        <w:t xml:space="preserve">nterviews with </w:t>
      </w:r>
      <w:r w:rsidR="00126F57">
        <w:rPr>
          <w:rFonts w:ascii="Times New Roman" w:hAnsi="Times New Roman"/>
          <w:sz w:val="24"/>
          <w:szCs w:val="24"/>
        </w:rPr>
        <w:t>P</w:t>
      </w:r>
      <w:r w:rsidRPr="00FC5FF8" w:rsidR="00126F57">
        <w:rPr>
          <w:rFonts w:ascii="Times New Roman" w:hAnsi="Times New Roman"/>
          <w:sz w:val="24"/>
          <w:szCs w:val="24"/>
        </w:rPr>
        <w:t>arents</w:t>
      </w:r>
      <w:r w:rsidR="00DE077A">
        <w:rPr>
          <w:rFonts w:ascii="Times New Roman" w:hAnsi="Times New Roman"/>
          <w:sz w:val="24"/>
          <w:szCs w:val="24"/>
        </w:rPr>
        <w:t xml:space="preserve"> and </w:t>
      </w:r>
      <w:r w:rsidR="00126F57">
        <w:rPr>
          <w:rFonts w:ascii="Times New Roman" w:hAnsi="Times New Roman"/>
          <w:sz w:val="24"/>
          <w:szCs w:val="24"/>
        </w:rPr>
        <w:t>G</w:t>
      </w:r>
      <w:r w:rsidRPr="00FC5FF8" w:rsidR="00126F57">
        <w:rPr>
          <w:rFonts w:ascii="Times New Roman" w:hAnsi="Times New Roman"/>
          <w:sz w:val="24"/>
          <w:szCs w:val="24"/>
        </w:rPr>
        <w:t xml:space="preserve">uardians </w:t>
      </w:r>
      <w:r w:rsidRPr="00FC5FF8" w:rsidR="00FC5FF8">
        <w:rPr>
          <w:rFonts w:ascii="Times New Roman" w:hAnsi="Times New Roman"/>
          <w:sz w:val="24"/>
          <w:szCs w:val="24"/>
        </w:rPr>
        <w:t xml:space="preserve">of ETM </w:t>
      </w:r>
      <w:r w:rsidR="00126F57">
        <w:rPr>
          <w:rFonts w:ascii="Times New Roman" w:hAnsi="Times New Roman"/>
          <w:sz w:val="24"/>
          <w:szCs w:val="24"/>
        </w:rPr>
        <w:t>Y</w:t>
      </w:r>
      <w:r w:rsidRPr="00FC5FF8" w:rsidR="00FC5FF8">
        <w:rPr>
          <w:rFonts w:ascii="Times New Roman" w:hAnsi="Times New Roman"/>
          <w:sz w:val="24"/>
          <w:szCs w:val="24"/>
        </w:rPr>
        <w:t>outh</w:t>
      </w:r>
      <w:r w:rsidRPr="0029650A" w:rsidR="0029650A">
        <w:rPr>
          <w:rFonts w:ascii="Times New Roman" w:hAnsi="Times New Roman"/>
          <w:sz w:val="24"/>
          <w:szCs w:val="24"/>
        </w:rPr>
        <w:t xml:space="preserve">, as well as five questions to consider before the meeting. </w:t>
      </w:r>
      <w:r w:rsidR="00630592">
        <w:rPr>
          <w:rFonts w:ascii="Times New Roman" w:hAnsi="Times New Roman"/>
          <w:sz w:val="24"/>
          <w:szCs w:val="24"/>
        </w:rPr>
        <w:t xml:space="preserve">Based on the specific </w:t>
      </w:r>
      <w:r w:rsidR="004154E5">
        <w:rPr>
          <w:rFonts w:ascii="Times New Roman" w:hAnsi="Times New Roman"/>
          <w:sz w:val="24"/>
          <w:szCs w:val="24"/>
        </w:rPr>
        <w:t xml:space="preserve">written and verbal </w:t>
      </w:r>
      <w:r w:rsidR="00630592">
        <w:rPr>
          <w:rFonts w:ascii="Times New Roman" w:hAnsi="Times New Roman"/>
          <w:sz w:val="24"/>
          <w:szCs w:val="24"/>
        </w:rPr>
        <w:t>recommendations of both TWGs</w:t>
      </w:r>
      <w:r w:rsidR="004154E5">
        <w:rPr>
          <w:rFonts w:ascii="Times New Roman" w:hAnsi="Times New Roman"/>
          <w:sz w:val="24"/>
          <w:szCs w:val="24"/>
        </w:rPr>
        <w:t xml:space="preserve"> resulting </w:t>
      </w:r>
      <w:r w:rsidR="00B57168">
        <w:rPr>
          <w:rFonts w:ascii="Times New Roman" w:hAnsi="Times New Roman"/>
          <w:sz w:val="24"/>
          <w:szCs w:val="24"/>
        </w:rPr>
        <w:t>from meetings held November 13 and 19, 2024</w:t>
      </w:r>
      <w:r w:rsidR="00630592">
        <w:rPr>
          <w:rFonts w:ascii="Times New Roman" w:hAnsi="Times New Roman"/>
          <w:sz w:val="24"/>
          <w:szCs w:val="24"/>
        </w:rPr>
        <w:t xml:space="preserve">, the evaluation team submitted a detailed memo to DOL and made updates to </w:t>
      </w:r>
      <w:r w:rsidR="00F206A6">
        <w:rPr>
          <w:rFonts w:ascii="Times New Roman" w:hAnsi="Times New Roman"/>
          <w:sz w:val="24"/>
          <w:szCs w:val="24"/>
        </w:rPr>
        <w:t xml:space="preserve">the design report and </w:t>
      </w:r>
      <w:r w:rsidR="00870E46">
        <w:rPr>
          <w:rFonts w:ascii="Times New Roman" w:hAnsi="Times New Roman"/>
          <w:sz w:val="24"/>
          <w:szCs w:val="24"/>
        </w:rPr>
        <w:t xml:space="preserve">protocols to reflect the feedback in December 2024. </w:t>
      </w:r>
      <w:r w:rsidR="00D86DA6">
        <w:rPr>
          <w:rFonts w:ascii="Times New Roman" w:hAnsi="Times New Roman"/>
          <w:sz w:val="24"/>
          <w:szCs w:val="24"/>
        </w:rPr>
        <w:t xml:space="preserve"> </w:t>
      </w:r>
      <w:r w:rsidR="00D52FCD">
        <w:rPr>
          <w:rFonts w:ascii="Times New Roman" w:hAnsi="Times New Roman"/>
          <w:sz w:val="24"/>
          <w:szCs w:val="24"/>
        </w:rPr>
        <w:t xml:space="preserve">The TWGs will reconvene in late 2026 or early 2027 to provide feedback on interpreting results from the implementation and customer experience data.  </w:t>
      </w:r>
    </w:p>
    <w:p w:rsidR="00642429" w:rsidRPr="00642429" w:rsidP="00642429" w14:paraId="5B611918" w14:textId="0559B0B0">
      <w:pPr>
        <w:rPr>
          <w:rFonts w:asciiTheme="majorBidi" w:hAnsiTheme="majorBidi" w:cstheme="majorBidi"/>
          <w:b/>
          <w:bCs/>
          <w:sz w:val="24"/>
          <w:szCs w:val="24"/>
        </w:rPr>
      </w:pPr>
      <w:bookmarkStart w:id="12" w:name="A09"/>
      <w:r w:rsidRPr="000F630F">
        <w:rPr>
          <w:rFonts w:ascii="Times New Roman" w:hAnsi="Times New Roman"/>
          <w:b/>
          <w:bCs/>
          <w:sz w:val="24"/>
          <w:szCs w:val="24"/>
        </w:rPr>
        <w:t>A.</w:t>
      </w:r>
      <w:r w:rsidRPr="00642429">
        <w:rPr>
          <w:rFonts w:asciiTheme="majorBidi" w:hAnsiTheme="majorBidi" w:cstheme="majorBidi"/>
          <w:b/>
          <w:bCs/>
          <w:sz w:val="24"/>
          <w:szCs w:val="24"/>
        </w:rPr>
        <w:t>9.</w:t>
      </w:r>
      <w:bookmarkEnd w:id="12"/>
      <w:r w:rsidRPr="00642429">
        <w:rPr>
          <w:rFonts w:asciiTheme="majorBidi" w:hAnsiTheme="majorBidi" w:cstheme="majorBidi"/>
          <w:b/>
          <w:bCs/>
          <w:sz w:val="24"/>
          <w:szCs w:val="24"/>
        </w:rPr>
        <w:t xml:space="preserve">  </w:t>
      </w:r>
      <w:r w:rsidRPr="008E0196">
        <w:rPr>
          <w:rFonts w:asciiTheme="majorBidi" w:hAnsiTheme="majorBidi" w:cstheme="majorBidi"/>
          <w:b/>
          <w:bCs/>
          <w:sz w:val="24"/>
          <w:szCs w:val="24"/>
        </w:rPr>
        <w:t>Explain</w:t>
      </w:r>
      <w:r w:rsidRPr="00642429">
        <w:rPr>
          <w:rFonts w:asciiTheme="majorBidi" w:hAnsiTheme="majorBidi" w:cstheme="majorBidi"/>
          <w:b/>
          <w:bCs/>
          <w:sz w:val="24"/>
          <w:szCs w:val="24"/>
        </w:rPr>
        <w:t xml:space="preserve"> any decision to provide any payments or gifts to respondents, other than remuneration of contractors or grantees.</w:t>
      </w:r>
    </w:p>
    <w:p w:rsidR="002010ED" w:rsidRPr="002010ED" w:rsidP="00122347" w14:paraId="3649407E" w14:textId="7E32BC26">
      <w:pPr>
        <w:rPr>
          <w:rFonts w:asciiTheme="majorBidi" w:hAnsiTheme="majorBidi" w:cstheme="majorBidi"/>
          <w:sz w:val="24"/>
          <w:szCs w:val="24"/>
        </w:rPr>
      </w:pPr>
      <w:r w:rsidRPr="002010ED">
        <w:rPr>
          <w:rFonts w:asciiTheme="majorBidi" w:hAnsiTheme="majorBidi" w:cstheme="majorBidi"/>
          <w:sz w:val="24"/>
          <w:szCs w:val="24"/>
        </w:rPr>
        <w:t>Participating grantee staff, partners and employers will not receive payment. There is no payment associated with the grantee, partner</w:t>
      </w:r>
      <w:r w:rsidR="00A40314">
        <w:rPr>
          <w:rFonts w:asciiTheme="majorBidi" w:hAnsiTheme="majorBidi" w:cstheme="majorBidi"/>
          <w:sz w:val="24"/>
          <w:szCs w:val="24"/>
        </w:rPr>
        <w:t xml:space="preserve"> survey</w:t>
      </w:r>
      <w:r w:rsidRPr="002010ED">
        <w:rPr>
          <w:rFonts w:asciiTheme="majorBidi" w:hAnsiTheme="majorBidi" w:cstheme="majorBidi"/>
          <w:sz w:val="24"/>
          <w:szCs w:val="24"/>
        </w:rPr>
        <w:t xml:space="preserve">, or employer </w:t>
      </w:r>
      <w:r w:rsidR="00A40314">
        <w:rPr>
          <w:rFonts w:asciiTheme="majorBidi" w:hAnsiTheme="majorBidi" w:cstheme="majorBidi"/>
          <w:sz w:val="24"/>
          <w:szCs w:val="24"/>
        </w:rPr>
        <w:t>interviews</w:t>
      </w:r>
      <w:r w:rsidRPr="002010ED">
        <w:rPr>
          <w:rFonts w:asciiTheme="majorBidi" w:hAnsiTheme="majorBidi" w:cstheme="majorBidi"/>
          <w:sz w:val="24"/>
          <w:szCs w:val="24"/>
        </w:rPr>
        <w:t xml:space="preserve"> or implementation study site visits for any grant program. </w:t>
      </w:r>
    </w:p>
    <w:p w:rsidR="00642429" w:rsidRPr="002010ED" w:rsidP="006206C0" w14:paraId="370C8EC0" w14:textId="19FABD88">
      <w:pPr>
        <w:rPr>
          <w:rFonts w:asciiTheme="majorBidi" w:hAnsiTheme="majorBidi" w:cstheme="majorBidi"/>
          <w:sz w:val="24"/>
          <w:szCs w:val="24"/>
        </w:rPr>
      </w:pPr>
      <w:r>
        <w:rPr>
          <w:rFonts w:asciiTheme="majorBidi" w:hAnsiTheme="majorBidi" w:cstheme="majorBidi"/>
          <w:sz w:val="24"/>
          <w:szCs w:val="24"/>
        </w:rPr>
        <w:t xml:space="preserve">The evaluation team will provide </w:t>
      </w:r>
      <w:r w:rsidR="00C12A37">
        <w:rPr>
          <w:rFonts w:asciiTheme="majorBidi" w:hAnsiTheme="majorBidi" w:cstheme="majorBidi"/>
          <w:sz w:val="24"/>
          <w:szCs w:val="24"/>
        </w:rPr>
        <w:t xml:space="preserve">ETM participants </w:t>
      </w:r>
      <w:r w:rsidRPr="0F91882C" w:rsidR="1448C160">
        <w:rPr>
          <w:rFonts w:asciiTheme="majorBidi" w:hAnsiTheme="majorBidi" w:cstheme="majorBidi"/>
          <w:sz w:val="24"/>
          <w:szCs w:val="24"/>
        </w:rPr>
        <w:t xml:space="preserve">and </w:t>
      </w:r>
      <w:r w:rsidRPr="0E3A0FEC" w:rsidR="1448C160">
        <w:rPr>
          <w:rFonts w:asciiTheme="majorBidi" w:hAnsiTheme="majorBidi" w:cstheme="majorBidi"/>
          <w:sz w:val="24"/>
          <w:szCs w:val="24"/>
        </w:rPr>
        <w:t>parents/guardians</w:t>
      </w:r>
      <w:r w:rsidRPr="0F91882C" w:rsidR="747F2604">
        <w:rPr>
          <w:rFonts w:asciiTheme="majorBidi" w:hAnsiTheme="majorBidi" w:cstheme="majorBidi"/>
          <w:sz w:val="24"/>
          <w:szCs w:val="24"/>
        </w:rPr>
        <w:t xml:space="preserve"> </w:t>
      </w:r>
      <w:r w:rsidR="00C12A37">
        <w:rPr>
          <w:rFonts w:asciiTheme="majorBidi" w:hAnsiTheme="majorBidi" w:cstheme="majorBidi"/>
          <w:sz w:val="24"/>
          <w:szCs w:val="24"/>
        </w:rPr>
        <w:t xml:space="preserve">$50 as a token of appreciation for participating in interviews. </w:t>
      </w:r>
      <w:r w:rsidRPr="002010ED" w:rsidR="002010ED">
        <w:rPr>
          <w:rFonts w:asciiTheme="majorBidi" w:hAnsiTheme="majorBidi" w:cstheme="majorBidi"/>
          <w:sz w:val="24"/>
          <w:szCs w:val="24"/>
        </w:rPr>
        <w:t xml:space="preserve"> </w:t>
      </w:r>
      <w:r w:rsidR="00C004C8">
        <w:rPr>
          <w:rFonts w:asciiTheme="majorBidi" w:hAnsiTheme="majorBidi" w:cstheme="majorBidi"/>
          <w:sz w:val="24"/>
          <w:szCs w:val="24"/>
        </w:rPr>
        <w:t>O</w:t>
      </w:r>
      <w:r w:rsidRPr="00C004C8" w:rsidR="00C004C8">
        <w:rPr>
          <w:rFonts w:asciiTheme="majorBidi" w:hAnsiTheme="majorBidi" w:cstheme="majorBidi"/>
          <w:sz w:val="24"/>
          <w:szCs w:val="24"/>
        </w:rPr>
        <w:t>ffering a</w:t>
      </w:r>
      <w:r w:rsidR="00BD4FDB">
        <w:rPr>
          <w:rFonts w:asciiTheme="majorBidi" w:hAnsiTheme="majorBidi" w:cstheme="majorBidi"/>
          <w:sz w:val="24"/>
          <w:szCs w:val="24"/>
        </w:rPr>
        <w:t xml:space="preserve">n </w:t>
      </w:r>
      <w:r w:rsidRPr="00C004C8" w:rsidR="00C004C8">
        <w:rPr>
          <w:rFonts w:asciiTheme="majorBidi" w:hAnsiTheme="majorBidi" w:cstheme="majorBidi"/>
          <w:sz w:val="24"/>
          <w:szCs w:val="24"/>
        </w:rPr>
        <w:t xml:space="preserve">incentive is a longstanding practice in program evaluation </w:t>
      </w:r>
      <w:r w:rsidRPr="00C004C8" w:rsidR="00635F6F">
        <w:rPr>
          <w:rFonts w:asciiTheme="majorBidi" w:hAnsiTheme="majorBidi" w:cstheme="majorBidi"/>
          <w:sz w:val="24"/>
          <w:szCs w:val="24"/>
        </w:rPr>
        <w:t>studies, in</w:t>
      </w:r>
      <w:r w:rsidRPr="00C004C8" w:rsidR="00C004C8">
        <w:rPr>
          <w:rFonts w:asciiTheme="majorBidi" w:hAnsiTheme="majorBidi" w:cstheme="majorBidi"/>
          <w:sz w:val="24"/>
          <w:szCs w:val="24"/>
        </w:rPr>
        <w:t xml:space="preserve"> part as a gesture of appreciation and in part because it facilitates cooperation and improves responsiveness to requests to participate. </w:t>
      </w:r>
      <w:r w:rsidRPr="00754784" w:rsidR="00754784">
        <w:rPr>
          <w:rFonts w:asciiTheme="majorBidi" w:hAnsiTheme="majorBidi" w:cstheme="majorBidi"/>
          <w:sz w:val="24"/>
          <w:szCs w:val="24"/>
        </w:rPr>
        <w:t>Decades of research indicate monetary incentives increase response rates without compromising data quality (Grauenhorst et al., 2016; Mercer et al. 2015; Sundstrom et al., 2016; Singer and Ye 2013; Laguilles et al., 2011; de Leeuw and de Heer 2002; Singer and Kulka 2000).</w:t>
      </w:r>
      <w:r w:rsidR="00C215E5">
        <w:rPr>
          <w:rFonts w:asciiTheme="majorBidi" w:hAnsiTheme="majorBidi" w:cstheme="majorBidi"/>
          <w:sz w:val="24"/>
          <w:szCs w:val="24"/>
        </w:rPr>
        <w:t xml:space="preserve"> </w:t>
      </w:r>
      <w:r w:rsidRPr="00C215E5" w:rsidR="00C215E5">
        <w:rPr>
          <w:rFonts w:asciiTheme="majorBidi" w:hAnsiTheme="majorBidi" w:cstheme="majorBidi"/>
          <w:sz w:val="24"/>
          <w:szCs w:val="24"/>
        </w:rPr>
        <w:t>The incentive is intended to offset the estimated time burden and reduce barriers to participation</w:t>
      </w:r>
      <w:r w:rsidR="00D56AB9">
        <w:rPr>
          <w:rFonts w:asciiTheme="majorBidi" w:hAnsiTheme="majorBidi" w:cstheme="majorBidi"/>
          <w:sz w:val="24"/>
          <w:szCs w:val="24"/>
        </w:rPr>
        <w:t>.</w:t>
      </w:r>
      <w:r w:rsidR="00472B70">
        <w:rPr>
          <w:rFonts w:asciiTheme="majorBidi" w:hAnsiTheme="majorBidi" w:cstheme="majorBidi"/>
          <w:sz w:val="24"/>
          <w:szCs w:val="24"/>
        </w:rPr>
        <w:t xml:space="preserve"> </w:t>
      </w:r>
      <w:r w:rsidR="004B42FC">
        <w:rPr>
          <w:rFonts w:asciiTheme="majorBidi" w:hAnsiTheme="majorBidi" w:cstheme="majorBidi"/>
          <w:sz w:val="24"/>
          <w:szCs w:val="24"/>
        </w:rPr>
        <w:t>T</w:t>
      </w:r>
      <w:r w:rsidRPr="00C215E5" w:rsidR="00C215E5">
        <w:rPr>
          <w:rFonts w:asciiTheme="majorBidi" w:hAnsiTheme="majorBidi" w:cstheme="majorBidi"/>
          <w:sz w:val="24"/>
          <w:szCs w:val="24"/>
        </w:rPr>
        <w:t xml:space="preserve">he proposed amount is designed to improve response rates and reduce nonresponse bias, thereby supporting the collection of reliable and high-quality data from the targeted respondent population. Agency experience and prior OMB-approved </w:t>
      </w:r>
      <w:r w:rsidRPr="557F3D8A" w:rsidR="61D89651">
        <w:rPr>
          <w:rFonts w:asciiTheme="majorBidi" w:hAnsiTheme="majorBidi" w:cstheme="majorBidi"/>
          <w:sz w:val="24"/>
          <w:szCs w:val="24"/>
        </w:rPr>
        <w:t xml:space="preserve">information </w:t>
      </w:r>
      <w:r w:rsidRPr="557F3D8A" w:rsidR="00C215E5">
        <w:rPr>
          <w:rFonts w:asciiTheme="majorBidi" w:hAnsiTheme="majorBidi" w:cstheme="majorBidi"/>
          <w:sz w:val="24"/>
          <w:szCs w:val="24"/>
        </w:rPr>
        <w:t>collection</w:t>
      </w:r>
      <w:r w:rsidRPr="557F3D8A" w:rsidR="2843081E">
        <w:rPr>
          <w:rFonts w:asciiTheme="majorBidi" w:hAnsiTheme="majorBidi" w:cstheme="majorBidi"/>
          <w:sz w:val="24"/>
          <w:szCs w:val="24"/>
        </w:rPr>
        <w:t xml:space="preserve"> request</w:t>
      </w:r>
      <w:r w:rsidRPr="557F3D8A" w:rsidR="00C215E5">
        <w:rPr>
          <w:rFonts w:asciiTheme="majorBidi" w:hAnsiTheme="majorBidi" w:cstheme="majorBidi"/>
          <w:sz w:val="24"/>
          <w:szCs w:val="24"/>
        </w:rPr>
        <w:t>s</w:t>
      </w:r>
      <w:r w:rsidRPr="00C215E5" w:rsidR="00C215E5">
        <w:rPr>
          <w:rFonts w:asciiTheme="majorBidi" w:hAnsiTheme="majorBidi" w:cstheme="majorBidi"/>
          <w:sz w:val="24"/>
          <w:szCs w:val="24"/>
        </w:rPr>
        <w:t xml:space="preserve"> indicate that incentives at this level are effective in encouraging participation without being coercive.</w:t>
      </w:r>
    </w:p>
    <w:p w:rsidR="00642429" w:rsidRPr="00642429" w:rsidP="00642429" w14:paraId="77CD3E34" w14:textId="77777777">
      <w:pPr>
        <w:rPr>
          <w:rFonts w:asciiTheme="majorBidi" w:hAnsiTheme="majorBidi" w:cstheme="majorBidi"/>
          <w:b/>
          <w:bCs/>
          <w:sz w:val="24"/>
          <w:szCs w:val="24"/>
        </w:rPr>
      </w:pPr>
    </w:p>
    <w:p w:rsidR="00642429" w:rsidRPr="00642429" w:rsidP="00642429" w14:paraId="17D844A8" w14:textId="07084A4A">
      <w:pPr>
        <w:rPr>
          <w:rFonts w:asciiTheme="majorBidi" w:hAnsiTheme="majorBidi" w:cstheme="majorBidi"/>
          <w:b/>
          <w:bCs/>
          <w:sz w:val="24"/>
          <w:szCs w:val="24"/>
        </w:rPr>
      </w:pPr>
      <w:bookmarkStart w:id="13" w:name="A10"/>
      <w:r>
        <w:rPr>
          <w:rFonts w:asciiTheme="majorBidi" w:hAnsiTheme="majorBidi" w:cstheme="majorBidi"/>
          <w:b/>
          <w:bCs/>
          <w:sz w:val="24"/>
          <w:szCs w:val="24"/>
        </w:rPr>
        <w:t>A.</w:t>
      </w:r>
      <w:r w:rsidRPr="00642429">
        <w:rPr>
          <w:rFonts w:asciiTheme="majorBidi" w:hAnsiTheme="majorBidi" w:cstheme="majorBidi"/>
          <w:b/>
          <w:bCs/>
          <w:sz w:val="24"/>
          <w:szCs w:val="24"/>
        </w:rPr>
        <w:t>10.</w:t>
      </w:r>
      <w:bookmarkEnd w:id="13"/>
      <w:r w:rsidRPr="00642429">
        <w:rPr>
          <w:rFonts w:asciiTheme="majorBidi" w:hAnsiTheme="majorBidi" w:cstheme="majorBidi"/>
          <w:b/>
          <w:bCs/>
          <w:sz w:val="24"/>
          <w:szCs w:val="24"/>
        </w:rPr>
        <w:t xml:space="preserve">  Describe any assurance of confidentiality provided to respondents and the basis for the assurance in statute, regulation, or agency policy.</w:t>
      </w:r>
    </w:p>
    <w:p w:rsidR="002739E1" w:rsidP="00712DB6" w14:paraId="426E21B0" w14:textId="4D4337D5">
      <w:pPr>
        <w:widowControl w:val="0"/>
        <w:autoSpaceDE w:val="0"/>
        <w:autoSpaceDN w:val="0"/>
        <w:adjustRightInd w:val="0"/>
        <w:spacing w:after="0" w:line="240" w:lineRule="auto"/>
        <w:rPr>
          <w:rFonts w:ascii="Times New Roman" w:eastAsia="Times New Roman" w:hAnsi="Times New Roman" w:cs="Times New Roman"/>
          <w:sz w:val="24"/>
          <w:szCs w:val="24"/>
        </w:rPr>
      </w:pPr>
      <w:r w:rsidRPr="00491E5F">
        <w:rPr>
          <w:rFonts w:ascii="Times New Roman" w:eastAsia="Times New Roman" w:hAnsi="Times New Roman" w:cs="Times New Roman"/>
          <w:sz w:val="24"/>
          <w:szCs w:val="24"/>
        </w:rPr>
        <w:t xml:space="preserve">As specified in the contract, the Contractor shall protect respondent privacy to the extent permitted by law and will comply with all Federal and Departmental regulations for private information. </w:t>
      </w:r>
      <w:r w:rsidRPr="00491E5F" w:rsidR="00491E5F">
        <w:rPr>
          <w:rFonts w:ascii="Times New Roman" w:eastAsia="Times New Roman" w:hAnsi="Times New Roman" w:cs="Times New Roman"/>
          <w:sz w:val="24"/>
          <w:szCs w:val="24"/>
        </w:rPr>
        <w:t xml:space="preserve">Information collected will be kept private to the extent permitted by law. </w:t>
      </w:r>
      <w:r w:rsidRPr="00280CE5" w:rsidR="00280CE5">
        <w:rPr>
          <w:rFonts w:ascii="Times New Roman" w:eastAsia="Times New Roman" w:hAnsi="Times New Roman" w:cs="Times New Roman"/>
          <w:sz w:val="24"/>
          <w:szCs w:val="24"/>
        </w:rPr>
        <w:t>This information collection will be conducted in accordance with the Privacy Act of 1974 (5 U.S.C. § 552a) and applicable federal policies governing the protection of personally identifiable information (PII).</w:t>
      </w:r>
    </w:p>
    <w:p w:rsidR="008961C4" w:rsidRPr="008961C4" w:rsidP="00712DB6" w14:paraId="0DE8A41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8961C4" w:rsidRPr="008961C4" w:rsidP="008961C4" w14:paraId="0012CFE7" w14:textId="736C3D19">
      <w:pPr>
        <w:widowControl w:val="0"/>
        <w:autoSpaceDE w:val="0"/>
        <w:autoSpaceDN w:val="0"/>
        <w:adjustRightInd w:val="0"/>
        <w:spacing w:after="0" w:line="240" w:lineRule="auto"/>
        <w:rPr>
          <w:rFonts w:ascii="Times New Roman" w:eastAsia="Times New Roman" w:hAnsi="Times New Roman" w:cs="Times New Roman"/>
          <w:sz w:val="24"/>
          <w:szCs w:val="24"/>
        </w:rPr>
      </w:pPr>
      <w:r w:rsidRPr="008961C4">
        <w:rPr>
          <w:rFonts w:ascii="Times New Roman" w:eastAsia="Times New Roman" w:hAnsi="Times New Roman" w:cs="Times New Roman"/>
          <w:sz w:val="24"/>
          <w:szCs w:val="24"/>
        </w:rPr>
        <w:t>Information collected under this effort will be used only for the purposes described in this Information Collection Request and will not be disclosed in identifiable form except as permitted by the Privacy Act and other applicable federal laws and regulations. All data will be handled in a manner that limits access to authorized personnel with a need to know and will be safeguarded using appropriate administrative, technical, and physical security controls.</w:t>
      </w:r>
    </w:p>
    <w:p w:rsidR="00712DB6" w:rsidP="00712DB6" w14:paraId="1428742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C154E" w:rsidP="005C154E" w14:paraId="7AD4C1B7" w14:textId="460950B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C65">
        <w:rPr>
          <w:rFonts w:eastAsia="Times New Roman" w:asciiTheme="majorBidi" w:hAnsiTheme="majorBidi" w:cstheme="majorBidi"/>
          <w:sz w:val="24"/>
          <w:szCs w:val="24"/>
        </w:rPr>
        <w:t>Each grantee</w:t>
      </w:r>
      <w:r w:rsidR="00953C65">
        <w:rPr>
          <w:rFonts w:eastAsia="Times New Roman" w:asciiTheme="majorBidi" w:hAnsiTheme="majorBidi" w:cstheme="majorBidi"/>
          <w:sz w:val="24"/>
          <w:szCs w:val="24"/>
        </w:rPr>
        <w:t xml:space="preserve"> or partner staff member</w:t>
      </w:r>
      <w:r w:rsidRPr="00953C65">
        <w:rPr>
          <w:rFonts w:eastAsia="Times New Roman" w:asciiTheme="majorBidi" w:hAnsiTheme="majorBidi" w:cstheme="majorBidi"/>
          <w:sz w:val="24"/>
          <w:szCs w:val="24"/>
        </w:rPr>
        <w:t xml:space="preserve">, employer, </w:t>
      </w:r>
      <w:r w:rsidRPr="00953C65" w:rsidR="00A40314">
        <w:rPr>
          <w:rFonts w:eastAsia="Times New Roman" w:asciiTheme="majorBidi" w:hAnsiTheme="majorBidi" w:cstheme="majorBidi"/>
          <w:sz w:val="24"/>
          <w:szCs w:val="24"/>
        </w:rPr>
        <w:t xml:space="preserve">participant, or family member </w:t>
      </w:r>
      <w:r w:rsidRPr="00953C65">
        <w:rPr>
          <w:rFonts w:eastAsia="Times New Roman" w:asciiTheme="majorBidi" w:hAnsiTheme="majorBidi" w:cstheme="majorBidi"/>
          <w:sz w:val="24"/>
          <w:szCs w:val="24"/>
        </w:rPr>
        <w:t xml:space="preserve">will provide consent prior to </w:t>
      </w:r>
      <w:r w:rsidRPr="00953C65" w:rsidR="00A40314">
        <w:rPr>
          <w:rFonts w:eastAsia="Times New Roman" w:asciiTheme="majorBidi" w:hAnsiTheme="majorBidi" w:cstheme="majorBidi"/>
          <w:sz w:val="24"/>
          <w:szCs w:val="24"/>
        </w:rPr>
        <w:t>data collection</w:t>
      </w:r>
      <w:r w:rsidRPr="00953C65">
        <w:rPr>
          <w:rFonts w:eastAsia="Times New Roman" w:asciiTheme="majorBidi" w:hAnsiTheme="majorBidi" w:cstheme="majorBidi"/>
          <w:sz w:val="24"/>
          <w:szCs w:val="24"/>
        </w:rPr>
        <w:t xml:space="preserve">. </w:t>
      </w:r>
      <w:r w:rsidRPr="00953C65" w:rsidR="009319B9">
        <w:rPr>
          <w:rFonts w:eastAsia="Times New Roman" w:asciiTheme="majorBidi" w:hAnsiTheme="majorBidi" w:cstheme="majorBidi"/>
          <w:sz w:val="24"/>
          <w:szCs w:val="24"/>
        </w:rPr>
        <w:t xml:space="preserve">The </w:t>
      </w:r>
      <w:r w:rsidR="009319B9">
        <w:rPr>
          <w:rFonts w:eastAsia="Times New Roman" w:asciiTheme="majorBidi" w:hAnsiTheme="majorBidi" w:cstheme="majorBidi"/>
          <w:sz w:val="24"/>
          <w:szCs w:val="24"/>
        </w:rPr>
        <w:t xml:space="preserve">informed </w:t>
      </w:r>
      <w:r w:rsidRPr="00953C65" w:rsidR="009319B9">
        <w:rPr>
          <w:rFonts w:eastAsia="Times New Roman" w:asciiTheme="majorBidi" w:hAnsiTheme="majorBidi" w:cstheme="majorBidi"/>
          <w:sz w:val="24"/>
          <w:szCs w:val="24"/>
        </w:rPr>
        <w:t xml:space="preserve">consent process will also include assurances that the interviews are voluntary, that the respondent can decline to answer questions, and that they can end the interview at any time. Respondents will be informed of all planned uses of data. </w:t>
      </w:r>
      <w:r w:rsidRPr="00953C65">
        <w:rPr>
          <w:rFonts w:eastAsia="Times New Roman" w:asciiTheme="majorBidi" w:hAnsiTheme="majorBidi" w:cstheme="majorBidi"/>
          <w:sz w:val="24"/>
          <w:szCs w:val="24"/>
        </w:rPr>
        <w:t xml:space="preserve">Respondents will be assured that their responses will be kept private to the extent allowed by law and will not be shared with anyone outside of the evaluation team in a manner that would allow respondent identification unless the evaluation team is legally ordered otherwise. </w:t>
      </w:r>
      <w:r w:rsidRPr="002739E1">
        <w:rPr>
          <w:rFonts w:ascii="Times New Roman" w:eastAsia="Times New Roman" w:hAnsi="Times New Roman" w:cs="Times New Roman"/>
          <w:sz w:val="24"/>
          <w:szCs w:val="24"/>
        </w:rPr>
        <w:t xml:space="preserve">None of the </w:t>
      </w:r>
      <w:r w:rsidRPr="003925B1">
        <w:rPr>
          <w:rFonts w:ascii="Times New Roman" w:eastAsia="Times New Roman" w:hAnsi="Times New Roman" w:cs="Times New Roman"/>
          <w:sz w:val="24"/>
          <w:szCs w:val="24"/>
        </w:rPr>
        <w:t xml:space="preserve">respondents that participate in interviews will be identified in any report or publication of this study or its results. </w:t>
      </w:r>
      <w:r w:rsidRPr="00683D7A">
        <w:rPr>
          <w:rFonts w:ascii="Times New Roman" w:hAnsi="Times New Roman"/>
          <w:sz w:val="24"/>
          <w:szCs w:val="24"/>
        </w:rPr>
        <w:t>Electronic versions of site visitor notes will be stored on a password protected drive set up by the IT departments at Abt and each of the subcontractors involved with this evaluation. Access to this drive will be limited to research staff members who are working on the project and have signed the non-disclosure agreement.</w:t>
      </w:r>
      <w:r w:rsidRPr="2EAE2FAC">
        <w:rPr>
          <w:rFonts w:ascii="Times New Roman" w:hAnsi="Times New Roman"/>
        </w:rPr>
        <w:t xml:space="preserve"> </w:t>
      </w:r>
    </w:p>
    <w:p w:rsidR="00D82CFE" w:rsidRPr="00683D7A" w:rsidP="008E25FC" w14:paraId="68E5DD3B" w14:textId="5184D529">
      <w:pPr>
        <w:widowControl w:val="0"/>
        <w:autoSpaceDE w:val="0"/>
        <w:autoSpaceDN w:val="0"/>
        <w:adjustRightInd w:val="0"/>
        <w:spacing w:after="0" w:line="240" w:lineRule="auto"/>
        <w:rPr>
          <w:rFonts w:eastAsia="Times New Roman" w:asciiTheme="majorBidi" w:hAnsiTheme="majorBidi" w:cstheme="majorBidi"/>
          <w:strike/>
          <w:sz w:val="24"/>
          <w:szCs w:val="24"/>
        </w:rPr>
      </w:pPr>
      <w:r>
        <w:rPr>
          <w:rFonts w:eastAsia="Times New Roman" w:asciiTheme="majorBidi" w:hAnsiTheme="majorBidi" w:cstheme="majorBidi"/>
          <w:sz w:val="24"/>
          <w:szCs w:val="24"/>
        </w:rPr>
        <w:t>Partner staff members will be referred to the evaluat</w:t>
      </w:r>
      <w:r w:rsidR="00C26A7B">
        <w:rPr>
          <w:rFonts w:eastAsia="Times New Roman" w:asciiTheme="majorBidi" w:hAnsiTheme="majorBidi" w:cstheme="majorBidi"/>
          <w:sz w:val="24"/>
          <w:szCs w:val="24"/>
        </w:rPr>
        <w:t>ion team by the grantee. The grantee will share partner’s names</w:t>
      </w:r>
      <w:r w:rsidR="005E65E5">
        <w:rPr>
          <w:rFonts w:eastAsia="Times New Roman" w:asciiTheme="majorBidi" w:hAnsiTheme="majorBidi" w:cstheme="majorBidi"/>
          <w:sz w:val="24"/>
          <w:szCs w:val="24"/>
        </w:rPr>
        <w:t xml:space="preserve"> as well as non-personal contact information</w:t>
      </w:r>
      <w:r w:rsidR="00654938">
        <w:rPr>
          <w:rFonts w:eastAsia="Times New Roman" w:asciiTheme="majorBidi" w:hAnsiTheme="majorBidi" w:cstheme="majorBidi"/>
          <w:sz w:val="24"/>
          <w:szCs w:val="24"/>
        </w:rPr>
        <w:t xml:space="preserve"> like</w:t>
      </w:r>
      <w:r w:rsidR="00C26A7B">
        <w:rPr>
          <w:rFonts w:eastAsia="Times New Roman" w:asciiTheme="majorBidi" w:hAnsiTheme="majorBidi" w:cstheme="majorBidi"/>
          <w:sz w:val="24"/>
          <w:szCs w:val="24"/>
        </w:rPr>
        <w:t xml:space="preserve"> </w:t>
      </w:r>
      <w:r w:rsidR="005E65E5">
        <w:rPr>
          <w:rFonts w:eastAsia="Times New Roman" w:asciiTheme="majorBidi" w:hAnsiTheme="majorBidi" w:cstheme="majorBidi"/>
          <w:sz w:val="24"/>
          <w:szCs w:val="24"/>
        </w:rPr>
        <w:t xml:space="preserve">work </w:t>
      </w:r>
      <w:r w:rsidR="00C26A7B">
        <w:rPr>
          <w:rFonts w:eastAsia="Times New Roman" w:asciiTheme="majorBidi" w:hAnsiTheme="majorBidi" w:cstheme="majorBidi"/>
          <w:sz w:val="24"/>
          <w:szCs w:val="24"/>
        </w:rPr>
        <w:t xml:space="preserve">title, work email address, and work telephone number. </w:t>
      </w:r>
    </w:p>
    <w:p w:rsidR="00D82CFE" w:rsidP="002739E1" w14:paraId="224EAE2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836928" w:rsidRPr="000E624F" w:rsidP="009D6FC9" w14:paraId="2F055A75" w14:textId="0E4ECC9B">
      <w:pPr>
        <w:widowControl w:val="0"/>
        <w:autoSpaceDE w:val="0"/>
        <w:autoSpaceDN w:val="0"/>
        <w:adjustRightInd w:val="0"/>
        <w:spacing w:after="0" w:line="240" w:lineRule="auto"/>
        <w:rPr>
          <w:rFonts w:ascii="Times New Roman" w:eastAsia="Times New Roman" w:hAnsi="Times New Roman" w:cs="Times New Roman"/>
          <w:sz w:val="24"/>
          <w:szCs w:val="24"/>
        </w:rPr>
      </w:pPr>
      <w:r w:rsidRPr="002739E1">
        <w:rPr>
          <w:rFonts w:ascii="Times New Roman" w:eastAsia="Times New Roman" w:hAnsi="Times New Roman" w:cs="Times New Roman"/>
          <w:sz w:val="24"/>
          <w:szCs w:val="24"/>
        </w:rPr>
        <w:t xml:space="preserve">All findings </w:t>
      </w:r>
      <w:r w:rsidR="00D82CFE">
        <w:rPr>
          <w:rFonts w:ascii="Times New Roman" w:eastAsia="Times New Roman" w:hAnsi="Times New Roman" w:cs="Times New Roman"/>
          <w:sz w:val="24"/>
          <w:szCs w:val="24"/>
        </w:rPr>
        <w:t xml:space="preserve">on outcomes for participants </w:t>
      </w:r>
      <w:r w:rsidRPr="002739E1">
        <w:rPr>
          <w:rFonts w:ascii="Times New Roman" w:eastAsia="Times New Roman" w:hAnsi="Times New Roman" w:cs="Times New Roman"/>
          <w:sz w:val="24"/>
          <w:szCs w:val="24"/>
        </w:rPr>
        <w:t>will be presented at the aggregate level</w:t>
      </w:r>
      <w:r w:rsidR="00D82CFE">
        <w:rPr>
          <w:rFonts w:ascii="Times New Roman" w:eastAsia="Times New Roman" w:hAnsi="Times New Roman" w:cs="Times New Roman"/>
          <w:sz w:val="24"/>
          <w:szCs w:val="24"/>
        </w:rPr>
        <w:t xml:space="preserve">. </w:t>
      </w:r>
      <w:r w:rsidRPr="002739E1" w:rsidR="00662DCF">
        <w:rPr>
          <w:rFonts w:ascii="Times New Roman" w:eastAsia="Times New Roman" w:hAnsi="Times New Roman" w:cs="Times New Roman"/>
          <w:sz w:val="24"/>
          <w:szCs w:val="24"/>
        </w:rPr>
        <w:t>A</w:t>
      </w:r>
      <w:r w:rsidRPr="002739E1">
        <w:rPr>
          <w:rFonts w:ascii="Times New Roman" w:eastAsia="Times New Roman" w:hAnsi="Times New Roman" w:cs="Times New Roman"/>
          <w:sz w:val="24"/>
          <w:szCs w:val="24"/>
        </w:rPr>
        <w:t>ccess to any data with identifying information will be limited only to</w:t>
      </w:r>
      <w:r w:rsidR="009D6FC9">
        <w:rPr>
          <w:rFonts w:ascii="Times New Roman" w:eastAsia="Times New Roman" w:hAnsi="Times New Roman" w:cs="Times New Roman"/>
          <w:sz w:val="24"/>
          <w:szCs w:val="24"/>
        </w:rPr>
        <w:t xml:space="preserve"> </w:t>
      </w:r>
      <w:r w:rsidR="003C34AD">
        <w:rPr>
          <w:rFonts w:ascii="Times New Roman" w:eastAsia="Times New Roman" w:hAnsi="Times New Roman" w:cs="Times New Roman"/>
          <w:sz w:val="24"/>
          <w:szCs w:val="24"/>
        </w:rPr>
        <w:t>select DOL data support staff and</w:t>
      </w:r>
      <w:r w:rsidRPr="002739E1">
        <w:rPr>
          <w:rFonts w:ascii="Times New Roman" w:eastAsia="Times New Roman" w:hAnsi="Times New Roman" w:cs="Times New Roman"/>
          <w:sz w:val="24"/>
          <w:szCs w:val="24"/>
        </w:rPr>
        <w:t xml:space="preserve"> </w:t>
      </w:r>
      <w:r w:rsidRPr="002739E1" w:rsidR="00662DCF">
        <w:rPr>
          <w:rFonts w:ascii="Times New Roman" w:eastAsia="Times New Roman" w:hAnsi="Times New Roman" w:cs="Times New Roman"/>
          <w:sz w:val="24"/>
          <w:szCs w:val="24"/>
        </w:rPr>
        <w:t>evaluation</w:t>
      </w:r>
      <w:r w:rsidRPr="002739E1">
        <w:rPr>
          <w:rFonts w:ascii="Times New Roman" w:eastAsia="Times New Roman" w:hAnsi="Times New Roman" w:cs="Times New Roman"/>
          <w:sz w:val="24"/>
          <w:szCs w:val="24"/>
        </w:rPr>
        <w:t xml:space="preserve"> staff directly working on the </w:t>
      </w:r>
      <w:r w:rsidR="00A55F97">
        <w:rPr>
          <w:rFonts w:ascii="Times New Roman" w:eastAsia="Times New Roman" w:hAnsi="Times New Roman" w:cs="Times New Roman"/>
          <w:sz w:val="24"/>
          <w:szCs w:val="24"/>
        </w:rPr>
        <w:t>outcomes analysis</w:t>
      </w:r>
      <w:r w:rsidR="003C34AD">
        <w:rPr>
          <w:rFonts w:ascii="Times New Roman" w:eastAsia="Times New Roman" w:hAnsi="Times New Roman" w:cs="Times New Roman"/>
          <w:sz w:val="24"/>
          <w:szCs w:val="24"/>
        </w:rPr>
        <w:t>. Access</w:t>
      </w:r>
      <w:r w:rsidRPr="002739E1">
        <w:rPr>
          <w:rFonts w:ascii="Times New Roman" w:eastAsia="Times New Roman" w:hAnsi="Times New Roman" w:cs="Times New Roman"/>
          <w:sz w:val="24"/>
          <w:szCs w:val="24"/>
        </w:rPr>
        <w:t xml:space="preserve"> will require special usernames and </w:t>
      </w:r>
      <w:r w:rsidRPr="000E624F">
        <w:rPr>
          <w:rFonts w:ascii="Times New Roman" w:eastAsia="Times New Roman" w:hAnsi="Times New Roman" w:cs="Times New Roman"/>
          <w:sz w:val="24"/>
          <w:szCs w:val="24"/>
        </w:rPr>
        <w:t>passwords</w:t>
      </w:r>
      <w:r w:rsidRPr="000E624F" w:rsidR="00427EBE">
        <w:rPr>
          <w:rFonts w:ascii="Times New Roman" w:eastAsia="Times New Roman" w:hAnsi="Times New Roman" w:cs="Times New Roman"/>
          <w:sz w:val="24"/>
          <w:szCs w:val="24"/>
        </w:rPr>
        <w:t xml:space="preserve"> using a DOL-issued laptop</w:t>
      </w:r>
      <w:r w:rsidRPr="000E624F">
        <w:rPr>
          <w:rFonts w:ascii="Times New Roman" w:eastAsia="Times New Roman" w:hAnsi="Times New Roman" w:cs="Times New Roman"/>
          <w:sz w:val="24"/>
          <w:szCs w:val="24"/>
        </w:rPr>
        <w:t xml:space="preserve">. </w:t>
      </w:r>
    </w:p>
    <w:p w:rsidR="00945532" w:rsidRPr="000E624F" w:rsidP="00491E5F" w14:paraId="5F5BD971" w14:textId="0820334B">
      <w:pPr>
        <w:widowControl w:val="0"/>
        <w:autoSpaceDE w:val="0"/>
        <w:autoSpaceDN w:val="0"/>
        <w:adjustRightInd w:val="0"/>
        <w:spacing w:after="0" w:line="240" w:lineRule="auto"/>
        <w:rPr>
          <w:rFonts w:ascii="Times New Roman" w:eastAsia="Times New Roman" w:hAnsi="Times New Roman" w:cs="Times New Roman"/>
          <w:sz w:val="24"/>
          <w:szCs w:val="24"/>
        </w:rPr>
      </w:pPr>
    </w:p>
    <w:p w:rsidR="00491E5F" w:rsidRPr="00491E5F" w:rsidP="00491E5F" w14:paraId="6557EA0C" w14:textId="150F3671">
      <w:pPr>
        <w:widowControl w:val="0"/>
        <w:autoSpaceDE w:val="0"/>
        <w:autoSpaceDN w:val="0"/>
        <w:adjustRightInd w:val="0"/>
        <w:spacing w:after="0" w:line="240" w:lineRule="auto"/>
        <w:rPr>
          <w:rFonts w:ascii="Times New Roman" w:eastAsia="Times New Roman" w:hAnsi="Times New Roman" w:cs="Times New Roman"/>
          <w:sz w:val="24"/>
          <w:szCs w:val="24"/>
        </w:rPr>
      </w:pPr>
      <w:r w:rsidRPr="000E624F">
        <w:rPr>
          <w:rFonts w:ascii="Times New Roman" w:eastAsia="Times New Roman" w:hAnsi="Times New Roman" w:cs="Times New Roman"/>
          <w:sz w:val="24"/>
          <w:szCs w:val="24"/>
        </w:rPr>
        <w:t xml:space="preserve">The Contractor has developed a Data </w:t>
      </w:r>
      <w:r w:rsidRPr="000E624F" w:rsidR="00F75A00">
        <w:rPr>
          <w:rFonts w:ascii="Times New Roman" w:eastAsia="Times New Roman" w:hAnsi="Times New Roman" w:cs="Times New Roman"/>
          <w:sz w:val="24"/>
          <w:szCs w:val="24"/>
        </w:rPr>
        <w:t>Security</w:t>
      </w:r>
      <w:r w:rsidRPr="000E624F">
        <w:rPr>
          <w:rFonts w:ascii="Times New Roman" w:eastAsia="Times New Roman" w:hAnsi="Times New Roman" w:cs="Times New Roman"/>
          <w:sz w:val="24"/>
          <w:szCs w:val="24"/>
        </w:rPr>
        <w:t xml:space="preserve"> Plan that assesses all protections of respondents’ personally identifiable information. The Contractor shall ensure that all of its employees, subcontractors (at all tiers), and employees of each subcontractor, who perform work</w:t>
      </w:r>
      <w:r w:rsidRPr="000E624F" w:rsidR="00D03AC6">
        <w:rPr>
          <w:rFonts w:ascii="Times New Roman" w:eastAsia="Times New Roman" w:hAnsi="Times New Roman" w:cs="Times New Roman"/>
          <w:sz w:val="24"/>
          <w:szCs w:val="24"/>
        </w:rPr>
        <w:t xml:space="preserve"> with</w:t>
      </w:r>
      <w:r w:rsidRPr="000E624F" w:rsidR="00C86539">
        <w:rPr>
          <w:rFonts w:ascii="Times New Roman" w:eastAsia="Times New Roman" w:hAnsi="Times New Roman" w:cs="Times New Roman"/>
          <w:sz w:val="24"/>
          <w:szCs w:val="24"/>
        </w:rPr>
        <w:t xml:space="preserve"> individual-level data</w:t>
      </w:r>
      <w:r w:rsidRPr="000E624F">
        <w:rPr>
          <w:rFonts w:ascii="Times New Roman" w:eastAsia="Times New Roman" w:hAnsi="Times New Roman" w:cs="Times New Roman"/>
          <w:sz w:val="24"/>
          <w:szCs w:val="24"/>
        </w:rPr>
        <w:t xml:space="preserve"> under this contract/subcontract, are trained on data privacy issues and comply with the above requirements.</w:t>
      </w:r>
      <w:r w:rsidRPr="00491E5F">
        <w:rPr>
          <w:rFonts w:ascii="Times New Roman" w:eastAsia="Times New Roman" w:hAnsi="Times New Roman" w:cs="Times New Roman"/>
          <w:sz w:val="24"/>
          <w:szCs w:val="24"/>
        </w:rPr>
        <w:t xml:space="preserve"> </w:t>
      </w:r>
      <w:r w:rsidR="0068198A">
        <w:rPr>
          <w:rFonts w:ascii="Times New Roman" w:eastAsia="Times New Roman" w:hAnsi="Times New Roman" w:cs="Times New Roman"/>
          <w:sz w:val="24"/>
          <w:szCs w:val="24"/>
        </w:rPr>
        <w:t>All evaluation staff</w:t>
      </w:r>
      <w:r w:rsidR="00D30C80">
        <w:rPr>
          <w:rFonts w:ascii="Times New Roman" w:eastAsia="Times New Roman" w:hAnsi="Times New Roman" w:cs="Times New Roman"/>
          <w:sz w:val="24"/>
          <w:szCs w:val="24"/>
        </w:rPr>
        <w:t xml:space="preserve"> </w:t>
      </w:r>
      <w:r w:rsidR="00926310">
        <w:rPr>
          <w:rFonts w:ascii="Times New Roman" w:eastAsia="Times New Roman" w:hAnsi="Times New Roman" w:cs="Times New Roman"/>
          <w:sz w:val="24"/>
          <w:szCs w:val="24"/>
        </w:rPr>
        <w:t xml:space="preserve">and contractors signed </w:t>
      </w:r>
      <w:r w:rsidR="00A054AA">
        <w:rPr>
          <w:rFonts w:ascii="Times New Roman" w:eastAsia="Times New Roman" w:hAnsi="Times New Roman" w:cs="Times New Roman"/>
          <w:sz w:val="24"/>
          <w:szCs w:val="24"/>
        </w:rPr>
        <w:t xml:space="preserve">a </w:t>
      </w:r>
      <w:r w:rsidR="00B56256">
        <w:rPr>
          <w:rFonts w:ascii="Times New Roman" w:eastAsia="Times New Roman" w:hAnsi="Times New Roman" w:cs="Times New Roman"/>
          <w:sz w:val="24"/>
          <w:szCs w:val="24"/>
        </w:rPr>
        <w:t>Confidentiality/Non-Disclosure Agreement regarding this contracted work.</w:t>
      </w:r>
    </w:p>
    <w:p w:rsidR="00491E5F" w:rsidRPr="00491E5F" w:rsidP="00491E5F" w14:paraId="2C335EB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642429" w:rsidRPr="00642429" w:rsidP="00642429" w14:paraId="39CD26BD" w14:textId="77777777">
      <w:pPr>
        <w:rPr>
          <w:rFonts w:asciiTheme="majorBidi" w:hAnsiTheme="majorBidi" w:cstheme="majorBidi"/>
          <w:b/>
          <w:bCs/>
          <w:sz w:val="24"/>
          <w:szCs w:val="24"/>
        </w:rPr>
      </w:pPr>
    </w:p>
    <w:p w:rsidR="00642429" w:rsidRPr="00642429" w:rsidP="00642429" w14:paraId="0E53F94E" w14:textId="5C14E4A3">
      <w:pPr>
        <w:rPr>
          <w:rFonts w:asciiTheme="majorBidi" w:hAnsiTheme="majorBidi" w:cstheme="majorBidi"/>
          <w:b/>
          <w:bCs/>
          <w:sz w:val="24"/>
          <w:szCs w:val="24"/>
        </w:rPr>
      </w:pPr>
      <w:bookmarkStart w:id="14" w:name="A11"/>
      <w:r>
        <w:rPr>
          <w:rFonts w:asciiTheme="majorBidi" w:hAnsiTheme="majorBidi" w:cstheme="majorBidi"/>
          <w:b/>
          <w:bCs/>
          <w:sz w:val="24"/>
          <w:szCs w:val="24"/>
        </w:rPr>
        <w:t>A.</w:t>
      </w:r>
      <w:r w:rsidRPr="00642429">
        <w:rPr>
          <w:rFonts w:asciiTheme="majorBidi" w:hAnsiTheme="majorBidi" w:cstheme="majorBidi"/>
          <w:b/>
          <w:bCs/>
          <w:sz w:val="24"/>
          <w:szCs w:val="24"/>
        </w:rPr>
        <w:t>11.</w:t>
      </w:r>
      <w:bookmarkEnd w:id="14"/>
      <w:r w:rsidRPr="00642429">
        <w:rPr>
          <w:rFonts w:asciiTheme="majorBidi" w:hAnsiTheme="majorBidi" w:cstheme="majorBidi"/>
          <w:b/>
          <w:bCs/>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3A0A" w:rsidRPr="009B3A0A" w:rsidP="009B3A0A" w14:paraId="52D073A7" w14:textId="5ED92312">
      <w:pPr>
        <w:rPr>
          <w:rFonts w:asciiTheme="majorBidi" w:hAnsiTheme="majorBidi" w:cstheme="majorBidi"/>
          <w:sz w:val="24"/>
          <w:szCs w:val="24"/>
        </w:rPr>
      </w:pPr>
      <w:r w:rsidRPr="009B3A0A">
        <w:rPr>
          <w:rFonts w:asciiTheme="majorBidi" w:hAnsiTheme="majorBidi" w:cstheme="majorBidi"/>
          <w:sz w:val="24"/>
          <w:szCs w:val="24"/>
        </w:rPr>
        <w:t>This collection includes questions on disability status</w:t>
      </w:r>
      <w:r>
        <w:rPr>
          <w:rFonts w:asciiTheme="majorBidi" w:hAnsiTheme="majorBidi" w:cstheme="majorBidi"/>
          <w:sz w:val="24"/>
          <w:szCs w:val="24"/>
        </w:rPr>
        <w:t xml:space="preserve">, disability </w:t>
      </w:r>
      <w:r w:rsidRPr="009B3A0A">
        <w:rPr>
          <w:rFonts w:asciiTheme="majorBidi" w:hAnsiTheme="majorBidi" w:cstheme="majorBidi"/>
          <w:sz w:val="24"/>
          <w:szCs w:val="24"/>
        </w:rPr>
        <w:t>type</w:t>
      </w:r>
      <w:r>
        <w:rPr>
          <w:rFonts w:asciiTheme="majorBidi" w:hAnsiTheme="majorBidi" w:cstheme="majorBidi"/>
          <w:sz w:val="24"/>
          <w:szCs w:val="24"/>
        </w:rPr>
        <w:t xml:space="preserve"> and self-reported health</w:t>
      </w:r>
      <w:r w:rsidRPr="009B3A0A">
        <w:rPr>
          <w:rFonts w:asciiTheme="majorBidi" w:hAnsiTheme="majorBidi" w:cstheme="majorBidi"/>
          <w:sz w:val="24"/>
          <w:szCs w:val="24"/>
        </w:rPr>
        <w:t xml:space="preserve">, which are considered sensitive health-related information. Collecting this information is essential to the purpose of the demonstration, which seeks to identify which services best support </w:t>
      </w:r>
      <w:r w:rsidR="008B7466">
        <w:rPr>
          <w:rFonts w:asciiTheme="majorBidi" w:hAnsiTheme="majorBidi" w:cstheme="majorBidi"/>
          <w:sz w:val="24"/>
          <w:szCs w:val="24"/>
        </w:rPr>
        <w:t>Y&amp;YAD</w:t>
      </w:r>
      <w:r w:rsidRPr="009B3A0A">
        <w:rPr>
          <w:rFonts w:asciiTheme="majorBidi" w:hAnsiTheme="majorBidi" w:cstheme="majorBidi"/>
          <w:sz w:val="24"/>
          <w:szCs w:val="24"/>
        </w:rPr>
        <w:t xml:space="preserve"> in successfully transitioning to employment. Without these data, the evaluation could not determine whether the services tested are effective for specific groups of youth, nor assess whether outcomes vary by disability type.</w:t>
      </w:r>
    </w:p>
    <w:p w:rsidR="009B3A0A" w:rsidP="009B3A0A" w14:paraId="21F1B5F8" w14:textId="19312BA1">
      <w:pPr>
        <w:rPr>
          <w:rFonts w:asciiTheme="majorBidi" w:hAnsiTheme="majorBidi" w:cstheme="majorBidi"/>
          <w:sz w:val="24"/>
          <w:szCs w:val="24"/>
        </w:rPr>
      </w:pPr>
      <w:r w:rsidRPr="009B3A0A">
        <w:rPr>
          <w:rFonts w:asciiTheme="majorBidi" w:hAnsiTheme="majorBidi" w:cstheme="majorBidi"/>
          <w:sz w:val="24"/>
          <w:szCs w:val="24"/>
        </w:rPr>
        <w:t>The information will be used only for research and evaluation purposes. Individual responses will be kept</w:t>
      </w:r>
      <w:r w:rsidR="00DF524F">
        <w:rPr>
          <w:rFonts w:asciiTheme="majorBidi" w:hAnsiTheme="majorBidi" w:cstheme="majorBidi"/>
          <w:sz w:val="24"/>
          <w:szCs w:val="24"/>
        </w:rPr>
        <w:t xml:space="preserve"> private</w:t>
      </w:r>
      <w:r w:rsidRPr="009B3A0A">
        <w:rPr>
          <w:rFonts w:asciiTheme="majorBidi" w:hAnsiTheme="majorBidi" w:cstheme="majorBidi"/>
          <w:sz w:val="24"/>
          <w:szCs w:val="24"/>
        </w:rPr>
        <w:t xml:space="preserve"> and reported only in aggregated form. Prior to participation, </w:t>
      </w:r>
      <w:r w:rsidR="0096269D">
        <w:rPr>
          <w:rFonts w:asciiTheme="majorBidi" w:hAnsiTheme="majorBidi" w:cstheme="majorBidi"/>
          <w:sz w:val="24"/>
          <w:szCs w:val="24"/>
        </w:rPr>
        <w:t>participants</w:t>
      </w:r>
      <w:r w:rsidRPr="009B3A0A">
        <w:rPr>
          <w:rFonts w:asciiTheme="majorBidi" w:hAnsiTheme="majorBidi" w:cstheme="majorBidi"/>
          <w:sz w:val="24"/>
          <w:szCs w:val="24"/>
        </w:rPr>
        <w:t xml:space="preserve"> and their parents/guardians (as applicable) will be informed that</w:t>
      </w:r>
      <w:r w:rsidR="004505BD">
        <w:rPr>
          <w:rFonts w:asciiTheme="majorBidi" w:hAnsiTheme="majorBidi" w:cstheme="majorBidi"/>
          <w:sz w:val="24"/>
          <w:szCs w:val="24"/>
        </w:rPr>
        <w:t xml:space="preserve"> the ETM program focuses on providing services to individuals with disabilities</w:t>
      </w:r>
      <w:r w:rsidR="00D00090">
        <w:rPr>
          <w:rFonts w:asciiTheme="majorBidi" w:hAnsiTheme="majorBidi" w:cstheme="majorBidi"/>
          <w:sz w:val="24"/>
          <w:szCs w:val="24"/>
        </w:rPr>
        <w:t>, so having an eligible disability must be recorded</w:t>
      </w:r>
      <w:r w:rsidR="00AE1193">
        <w:rPr>
          <w:rFonts w:asciiTheme="majorBidi" w:hAnsiTheme="majorBidi" w:cstheme="majorBidi"/>
          <w:sz w:val="24"/>
          <w:szCs w:val="24"/>
        </w:rPr>
        <w:t xml:space="preserve"> at baseline</w:t>
      </w:r>
      <w:r w:rsidR="00184A86">
        <w:rPr>
          <w:rFonts w:asciiTheme="majorBidi" w:hAnsiTheme="majorBidi" w:cstheme="majorBidi"/>
          <w:sz w:val="24"/>
          <w:szCs w:val="24"/>
        </w:rPr>
        <w:t>. They will also be informed</w:t>
      </w:r>
      <w:r w:rsidRPr="009B3A0A">
        <w:rPr>
          <w:rFonts w:asciiTheme="majorBidi" w:hAnsiTheme="majorBidi" w:cstheme="majorBidi"/>
          <w:sz w:val="24"/>
          <w:szCs w:val="24"/>
        </w:rPr>
        <w:t xml:space="preserve"> that data will be safeguarded consistent with federal privacy and security standards. Informed consent procedures will include a plain-language explanation of why the data are being collected, how they will be used, and the protections in place to prevent unauthorized disclosure.</w:t>
      </w:r>
    </w:p>
    <w:p w:rsidR="0057594A" w:rsidP="009B3A0A" w14:paraId="34CBF45C" w14:textId="77777777">
      <w:pPr>
        <w:rPr>
          <w:rFonts w:asciiTheme="majorBidi" w:hAnsiTheme="majorBidi" w:cstheme="majorBidi"/>
          <w:sz w:val="24"/>
          <w:szCs w:val="24"/>
        </w:rPr>
      </w:pPr>
      <w:r w:rsidRPr="00C85D36">
        <w:rPr>
          <w:rFonts w:asciiTheme="majorBidi" w:hAnsiTheme="majorBidi" w:cstheme="majorBidi"/>
          <w:sz w:val="24"/>
          <w:szCs w:val="24"/>
        </w:rPr>
        <w:t xml:space="preserve">Some questions in the interview may touch on topics that are commonly considered private or sensitive, such as personal experiences, family circumstances, or financial matters. These questions are necessary to understand participants’ experiences in the ETM program, including potential barriers to employment and program engagement, and to inform program improvement. </w:t>
      </w:r>
      <w:r w:rsidR="00FE2B99">
        <w:rPr>
          <w:rFonts w:asciiTheme="majorBidi" w:hAnsiTheme="majorBidi" w:cstheme="majorBidi"/>
          <w:sz w:val="24"/>
          <w:szCs w:val="24"/>
        </w:rPr>
        <w:t xml:space="preserve">For this reason, the evaluation team needs access to these </w:t>
      </w:r>
      <w:r>
        <w:rPr>
          <w:rFonts w:asciiTheme="majorBidi" w:hAnsiTheme="majorBidi" w:cstheme="majorBidi"/>
          <w:sz w:val="24"/>
          <w:szCs w:val="24"/>
        </w:rPr>
        <w:t xml:space="preserve">sensitive data. </w:t>
      </w:r>
    </w:p>
    <w:p w:rsidR="00CB6337" w:rsidP="000B573D" w14:paraId="0AB21BBE" w14:textId="7BA8A602">
      <w:pPr>
        <w:rPr>
          <w:rFonts w:asciiTheme="majorBidi" w:hAnsiTheme="majorBidi" w:cstheme="majorBidi"/>
          <w:sz w:val="24"/>
          <w:szCs w:val="24"/>
        </w:rPr>
      </w:pPr>
      <w:r>
        <w:rPr>
          <w:rFonts w:asciiTheme="majorBidi" w:hAnsiTheme="majorBidi" w:cstheme="majorBidi"/>
          <w:sz w:val="24"/>
          <w:szCs w:val="24"/>
        </w:rPr>
        <w:t xml:space="preserve">A set of </w:t>
      </w:r>
      <w:r w:rsidR="004B22E3">
        <w:rPr>
          <w:rFonts w:asciiTheme="majorBidi" w:hAnsiTheme="majorBidi" w:cstheme="majorBidi"/>
          <w:sz w:val="24"/>
          <w:szCs w:val="24"/>
        </w:rPr>
        <w:t xml:space="preserve">10 items </w:t>
      </w:r>
      <w:r w:rsidR="00E53349">
        <w:rPr>
          <w:rFonts w:asciiTheme="majorBidi" w:hAnsiTheme="majorBidi" w:cstheme="majorBidi"/>
          <w:sz w:val="24"/>
          <w:szCs w:val="24"/>
        </w:rPr>
        <w:t xml:space="preserve">from A.1 </w:t>
      </w:r>
      <w:r w:rsidR="00843695">
        <w:rPr>
          <w:rFonts w:asciiTheme="majorBidi" w:hAnsiTheme="majorBidi" w:cstheme="majorBidi"/>
          <w:sz w:val="24"/>
          <w:szCs w:val="24"/>
        </w:rPr>
        <w:t xml:space="preserve">have been identified as required by the evaluation team for either direct analysis or </w:t>
      </w:r>
      <w:r w:rsidR="00B93F23">
        <w:rPr>
          <w:rFonts w:asciiTheme="majorBidi" w:hAnsiTheme="majorBidi" w:cstheme="majorBidi"/>
          <w:sz w:val="24"/>
          <w:szCs w:val="24"/>
        </w:rPr>
        <w:t xml:space="preserve">needed for </w:t>
      </w:r>
      <w:r w:rsidR="006354CF">
        <w:rPr>
          <w:rFonts w:asciiTheme="majorBidi" w:hAnsiTheme="majorBidi" w:cstheme="majorBidi"/>
          <w:sz w:val="24"/>
          <w:szCs w:val="24"/>
        </w:rPr>
        <w:t>m</w:t>
      </w:r>
      <w:r w:rsidR="00767EC3">
        <w:rPr>
          <w:rFonts w:asciiTheme="majorBidi" w:hAnsiTheme="majorBidi" w:cstheme="majorBidi"/>
          <w:sz w:val="24"/>
          <w:szCs w:val="24"/>
        </w:rPr>
        <w:t xml:space="preserve">atching records to </w:t>
      </w:r>
      <w:r w:rsidR="009B7EBB">
        <w:rPr>
          <w:rFonts w:asciiTheme="majorBidi" w:hAnsiTheme="majorBidi" w:cstheme="majorBidi"/>
          <w:sz w:val="24"/>
          <w:szCs w:val="24"/>
        </w:rPr>
        <w:t>O</w:t>
      </w:r>
      <w:r w:rsidR="00767EC3">
        <w:rPr>
          <w:rFonts w:asciiTheme="majorBidi" w:hAnsiTheme="majorBidi" w:cstheme="majorBidi"/>
          <w:sz w:val="24"/>
          <w:szCs w:val="24"/>
        </w:rPr>
        <w:t xml:space="preserve">utcome </w:t>
      </w:r>
      <w:r w:rsidR="009B7EBB">
        <w:rPr>
          <w:rFonts w:asciiTheme="majorBidi" w:hAnsiTheme="majorBidi" w:cstheme="majorBidi"/>
          <w:sz w:val="24"/>
          <w:szCs w:val="24"/>
        </w:rPr>
        <w:t xml:space="preserve">Data </w:t>
      </w:r>
      <w:r w:rsidR="00767EC3">
        <w:rPr>
          <w:rFonts w:asciiTheme="majorBidi" w:hAnsiTheme="majorBidi" w:cstheme="majorBidi"/>
          <w:sz w:val="24"/>
          <w:szCs w:val="24"/>
        </w:rPr>
        <w:t>sources</w:t>
      </w:r>
      <w:r w:rsidR="005E6BD2">
        <w:rPr>
          <w:rFonts w:asciiTheme="majorBidi" w:hAnsiTheme="majorBidi" w:cstheme="majorBidi"/>
          <w:sz w:val="24"/>
          <w:szCs w:val="24"/>
        </w:rPr>
        <w:t xml:space="preserve"> but not required by the ODEP and TA team. Those items are:</w:t>
      </w:r>
      <w:r w:rsidR="000B573D">
        <w:rPr>
          <w:rFonts w:asciiTheme="majorBidi" w:hAnsiTheme="majorBidi" w:cstheme="majorBidi"/>
          <w:sz w:val="24"/>
          <w:szCs w:val="24"/>
        </w:rPr>
        <w:t xml:space="preserve"> </w:t>
      </w:r>
      <w:r w:rsidRPr="000B573D" w:rsidR="000B573D">
        <w:rPr>
          <w:rFonts w:asciiTheme="majorBidi" w:hAnsiTheme="majorBidi" w:cstheme="majorBidi"/>
          <w:sz w:val="24"/>
          <w:szCs w:val="24"/>
        </w:rPr>
        <w:t>Unique Individual Identifier (WIOA)</w:t>
      </w:r>
      <w:r w:rsidR="000B573D">
        <w:rPr>
          <w:rFonts w:asciiTheme="majorBidi" w:hAnsiTheme="majorBidi" w:cstheme="majorBidi"/>
          <w:sz w:val="24"/>
          <w:szCs w:val="24"/>
        </w:rPr>
        <w:t xml:space="preserve">; </w:t>
      </w:r>
      <w:r w:rsidRPr="000B573D" w:rsidR="000B573D">
        <w:rPr>
          <w:rFonts w:asciiTheme="majorBidi" w:hAnsiTheme="majorBidi" w:cstheme="majorBidi"/>
          <w:sz w:val="24"/>
          <w:szCs w:val="24"/>
        </w:rPr>
        <w:t>Unique Individual Identifier (non-WIOA)</w:t>
      </w:r>
      <w:r w:rsidR="000B573D">
        <w:rPr>
          <w:rFonts w:asciiTheme="majorBidi" w:hAnsiTheme="majorBidi" w:cstheme="majorBidi"/>
          <w:sz w:val="24"/>
          <w:szCs w:val="24"/>
        </w:rPr>
        <w:t xml:space="preserve">; </w:t>
      </w:r>
      <w:r w:rsidRPr="000B573D" w:rsidR="000B573D">
        <w:rPr>
          <w:rFonts w:asciiTheme="majorBidi" w:hAnsiTheme="majorBidi" w:cstheme="majorBidi"/>
          <w:sz w:val="24"/>
          <w:szCs w:val="24"/>
        </w:rPr>
        <w:t>ETM Participant’s Full Name</w:t>
      </w:r>
      <w:r w:rsidR="000B573D">
        <w:rPr>
          <w:rFonts w:asciiTheme="majorBidi" w:hAnsiTheme="majorBidi" w:cstheme="majorBidi"/>
          <w:sz w:val="24"/>
          <w:szCs w:val="24"/>
        </w:rPr>
        <w:t xml:space="preserve">; </w:t>
      </w:r>
      <w:r w:rsidRPr="000B573D" w:rsidR="000B573D">
        <w:rPr>
          <w:rFonts w:asciiTheme="majorBidi" w:hAnsiTheme="majorBidi" w:cstheme="majorBidi"/>
          <w:sz w:val="24"/>
          <w:szCs w:val="24"/>
        </w:rPr>
        <w:t>Participant’s Social Security Number (SSN)</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Phone Number (preferred contact)</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Email Address</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Physical Residence / Mailing Address</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Zip Code of Residence</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Date of Birth</w:t>
      </w:r>
      <w:r w:rsidR="00105DEF">
        <w:rPr>
          <w:rFonts w:asciiTheme="majorBidi" w:hAnsiTheme="majorBidi" w:cstheme="majorBidi"/>
          <w:sz w:val="24"/>
          <w:szCs w:val="24"/>
        </w:rPr>
        <w:t xml:space="preserve">; </w:t>
      </w:r>
      <w:r w:rsidRPr="000B573D" w:rsidR="000B573D">
        <w:rPr>
          <w:rFonts w:asciiTheme="majorBidi" w:hAnsiTheme="majorBidi" w:cstheme="majorBidi"/>
          <w:sz w:val="24"/>
          <w:szCs w:val="24"/>
        </w:rPr>
        <w:t>Health Status</w:t>
      </w:r>
      <w:r w:rsidR="00105DEF">
        <w:rPr>
          <w:rFonts w:asciiTheme="majorBidi" w:hAnsiTheme="majorBidi" w:cstheme="majorBidi"/>
          <w:sz w:val="24"/>
          <w:szCs w:val="24"/>
        </w:rPr>
        <w:t xml:space="preserve">. </w:t>
      </w:r>
      <w:r w:rsidR="00E2570E">
        <w:rPr>
          <w:rFonts w:asciiTheme="majorBidi" w:hAnsiTheme="majorBidi" w:cstheme="majorBidi"/>
          <w:sz w:val="24"/>
          <w:szCs w:val="24"/>
        </w:rPr>
        <w:t xml:space="preserve">The WIOA and non-WIOA </w:t>
      </w:r>
      <w:r w:rsidR="00AE27B8">
        <w:rPr>
          <w:rFonts w:asciiTheme="majorBidi" w:hAnsiTheme="majorBidi" w:cstheme="majorBidi"/>
          <w:sz w:val="24"/>
          <w:szCs w:val="24"/>
        </w:rPr>
        <w:t xml:space="preserve">individual identifiers will be masked </w:t>
      </w:r>
      <w:r w:rsidR="001C75F9">
        <w:rPr>
          <w:rFonts w:asciiTheme="majorBidi" w:hAnsiTheme="majorBidi" w:cstheme="majorBidi"/>
          <w:sz w:val="24"/>
          <w:szCs w:val="24"/>
        </w:rPr>
        <w:t xml:space="preserve">with a random study identifier. </w:t>
      </w:r>
      <w:r w:rsidR="00CA71FC">
        <w:rPr>
          <w:rFonts w:asciiTheme="majorBidi" w:hAnsiTheme="majorBidi" w:cstheme="majorBidi"/>
          <w:sz w:val="24"/>
          <w:szCs w:val="24"/>
        </w:rPr>
        <w:t xml:space="preserve">The </w:t>
      </w:r>
      <w:r w:rsidR="002E1969">
        <w:rPr>
          <w:rFonts w:asciiTheme="majorBidi" w:hAnsiTheme="majorBidi" w:cstheme="majorBidi"/>
          <w:sz w:val="24"/>
          <w:szCs w:val="24"/>
        </w:rPr>
        <w:t>ZIP</w:t>
      </w:r>
      <w:r w:rsidR="00CA71FC">
        <w:rPr>
          <w:rFonts w:asciiTheme="majorBidi" w:hAnsiTheme="majorBidi" w:cstheme="majorBidi"/>
          <w:sz w:val="24"/>
          <w:szCs w:val="24"/>
        </w:rPr>
        <w:t xml:space="preserve"> code and date of birth will be recoded</w:t>
      </w:r>
      <w:r w:rsidR="004F56E2">
        <w:rPr>
          <w:rFonts w:asciiTheme="majorBidi" w:hAnsiTheme="majorBidi" w:cstheme="majorBidi"/>
          <w:sz w:val="24"/>
          <w:szCs w:val="24"/>
        </w:rPr>
        <w:t xml:space="preserve"> as </w:t>
      </w:r>
      <w:r w:rsidR="002E1969">
        <w:rPr>
          <w:rFonts w:asciiTheme="majorBidi" w:hAnsiTheme="majorBidi" w:cstheme="majorBidi"/>
          <w:sz w:val="24"/>
          <w:szCs w:val="24"/>
        </w:rPr>
        <w:t xml:space="preserve">a 3-digit ZIP </w:t>
      </w:r>
      <w:r w:rsidR="00CE38C8">
        <w:rPr>
          <w:rFonts w:asciiTheme="majorBidi" w:hAnsiTheme="majorBidi" w:cstheme="majorBidi"/>
          <w:sz w:val="24"/>
          <w:szCs w:val="24"/>
        </w:rPr>
        <w:t xml:space="preserve">and </w:t>
      </w:r>
      <w:r w:rsidR="003211F7">
        <w:rPr>
          <w:rFonts w:asciiTheme="majorBidi" w:hAnsiTheme="majorBidi" w:cstheme="majorBidi"/>
          <w:sz w:val="24"/>
          <w:szCs w:val="24"/>
        </w:rPr>
        <w:t xml:space="preserve">age in years, respectively. </w:t>
      </w:r>
      <w:r w:rsidR="00BC3699">
        <w:rPr>
          <w:rFonts w:asciiTheme="majorBidi" w:hAnsiTheme="majorBidi" w:cstheme="majorBidi"/>
          <w:sz w:val="24"/>
          <w:szCs w:val="24"/>
        </w:rPr>
        <w:t xml:space="preserve">The </w:t>
      </w:r>
      <w:r>
        <w:rPr>
          <w:rFonts w:asciiTheme="majorBidi" w:hAnsiTheme="majorBidi" w:cstheme="majorBidi"/>
          <w:sz w:val="24"/>
          <w:szCs w:val="24"/>
        </w:rPr>
        <w:t>remaining six items will be stripped from the ODEP/TA data file.</w:t>
      </w:r>
    </w:p>
    <w:p w:rsidR="00C85D36" w:rsidRPr="009B3A0A" w:rsidP="00DE5A9D" w14:paraId="3965014C" w14:textId="4EE1B8D3">
      <w:pPr>
        <w:rPr>
          <w:rFonts w:asciiTheme="majorBidi" w:hAnsiTheme="majorBidi" w:cstheme="majorBidi"/>
          <w:sz w:val="24"/>
          <w:szCs w:val="24"/>
        </w:rPr>
      </w:pPr>
      <w:r w:rsidRPr="00C85D36">
        <w:rPr>
          <w:rFonts w:asciiTheme="majorBidi" w:hAnsiTheme="majorBidi" w:cstheme="majorBidi"/>
          <w:sz w:val="24"/>
          <w:szCs w:val="24"/>
        </w:rPr>
        <w:t>Before the interview, participants (or parents/guardians for youth under 18) will receive an informed consent document that clearly explains the purpose of the study, the types of questions to be asked, and how</w:t>
      </w:r>
      <w:r w:rsidR="008631D1">
        <w:rPr>
          <w:rFonts w:asciiTheme="majorBidi" w:hAnsiTheme="majorBidi" w:cstheme="majorBidi"/>
          <w:sz w:val="24"/>
          <w:szCs w:val="24"/>
        </w:rPr>
        <w:t xml:space="preserve"> privacy</w:t>
      </w:r>
      <w:r w:rsidRPr="00C85D36">
        <w:rPr>
          <w:rFonts w:asciiTheme="majorBidi" w:hAnsiTheme="majorBidi" w:cstheme="majorBidi"/>
          <w:sz w:val="24"/>
          <w:szCs w:val="24"/>
        </w:rPr>
        <w:t xml:space="preserve"> will be protected. During the interview, participants will be reminded that they may decline to answer any question that makes them uncomfortable, without penalty. This approach ensures that participation is voluntary and respects individual boundaries while allowing the collection of meaningful data.</w:t>
      </w:r>
      <w:r w:rsidR="00DE5A9D">
        <w:rPr>
          <w:rFonts w:asciiTheme="majorBidi" w:hAnsiTheme="majorBidi" w:cstheme="majorBidi"/>
          <w:sz w:val="24"/>
          <w:szCs w:val="24"/>
        </w:rPr>
        <w:t xml:space="preserve"> S</w:t>
      </w:r>
      <w:r w:rsidRPr="00DE5A9D" w:rsidR="00DE5A9D">
        <w:rPr>
          <w:rFonts w:asciiTheme="majorBidi" w:hAnsiTheme="majorBidi" w:cstheme="majorBidi"/>
          <w:sz w:val="24"/>
          <w:szCs w:val="24"/>
        </w:rPr>
        <w:t xml:space="preserve">ince </w:t>
      </w:r>
      <w:r w:rsidR="009C269C">
        <w:rPr>
          <w:rFonts w:asciiTheme="majorBidi" w:hAnsiTheme="majorBidi" w:cstheme="majorBidi"/>
          <w:sz w:val="24"/>
          <w:szCs w:val="24"/>
        </w:rPr>
        <w:t>many of the</w:t>
      </w:r>
      <w:r w:rsidRPr="00DE5A9D" w:rsidR="00DE5A9D">
        <w:rPr>
          <w:rFonts w:asciiTheme="majorBidi" w:hAnsiTheme="majorBidi" w:cstheme="majorBidi"/>
          <w:sz w:val="24"/>
          <w:szCs w:val="24"/>
        </w:rPr>
        <w:t xml:space="preserve"> elements </w:t>
      </w:r>
      <w:r w:rsidR="009C269C">
        <w:rPr>
          <w:rFonts w:asciiTheme="majorBidi" w:hAnsiTheme="majorBidi" w:cstheme="majorBidi"/>
          <w:sz w:val="24"/>
          <w:szCs w:val="24"/>
        </w:rPr>
        <w:t xml:space="preserve">in Attachment A.1 </w:t>
      </w:r>
      <w:r w:rsidRPr="00DE5A9D" w:rsidR="00DE5A9D">
        <w:rPr>
          <w:rFonts w:asciiTheme="majorBidi" w:hAnsiTheme="majorBidi" w:cstheme="majorBidi"/>
          <w:sz w:val="24"/>
          <w:szCs w:val="24"/>
        </w:rPr>
        <w:t xml:space="preserve">are part of the PIRL data collection, ETM staff who collect these data will additionally follow required protocols as specified </w:t>
      </w:r>
      <w:r w:rsidR="002E44DA">
        <w:rPr>
          <w:rFonts w:asciiTheme="majorBidi" w:hAnsiTheme="majorBidi" w:cstheme="majorBidi"/>
          <w:sz w:val="24"/>
          <w:szCs w:val="24"/>
        </w:rPr>
        <w:t xml:space="preserve">under </w:t>
      </w:r>
      <w:r w:rsidRPr="002E44DA" w:rsidR="002E44DA">
        <w:rPr>
          <w:rFonts w:asciiTheme="majorBidi" w:hAnsiTheme="majorBidi" w:cstheme="majorBidi"/>
          <w:sz w:val="24"/>
          <w:szCs w:val="24"/>
        </w:rPr>
        <w:t xml:space="preserve">DOL’s </w:t>
      </w:r>
      <w:r w:rsidR="002E44DA">
        <w:rPr>
          <w:rFonts w:asciiTheme="majorBidi" w:hAnsiTheme="majorBidi" w:cstheme="majorBidi"/>
          <w:sz w:val="24"/>
          <w:szCs w:val="24"/>
        </w:rPr>
        <w:t>PIRL</w:t>
      </w:r>
      <w:r w:rsidRPr="002E44DA" w:rsidR="002E44DA">
        <w:rPr>
          <w:rFonts w:asciiTheme="majorBidi" w:hAnsiTheme="majorBidi" w:cstheme="majorBidi"/>
          <w:sz w:val="24"/>
          <w:szCs w:val="24"/>
        </w:rPr>
        <w:t xml:space="preserve"> performance reporting requirements</w:t>
      </w:r>
      <w:r w:rsidR="002E44DA">
        <w:rPr>
          <w:rFonts w:asciiTheme="majorBidi" w:hAnsiTheme="majorBidi" w:cstheme="majorBidi"/>
          <w:sz w:val="24"/>
          <w:szCs w:val="24"/>
        </w:rPr>
        <w:t>.</w:t>
      </w:r>
    </w:p>
    <w:p w:rsidR="00642429" w:rsidRPr="00642429" w:rsidP="00642429" w14:paraId="16CE1D20" w14:textId="77777777">
      <w:pPr>
        <w:rPr>
          <w:rFonts w:asciiTheme="majorBidi" w:hAnsiTheme="majorBidi" w:cstheme="majorBidi"/>
          <w:b/>
          <w:bCs/>
          <w:sz w:val="24"/>
          <w:szCs w:val="24"/>
        </w:rPr>
      </w:pPr>
    </w:p>
    <w:p w:rsidR="00642429" w:rsidRPr="00642429" w:rsidP="00642429" w14:paraId="7C401CDA" w14:textId="21762B86">
      <w:pPr>
        <w:rPr>
          <w:rFonts w:asciiTheme="majorBidi" w:hAnsiTheme="majorBidi" w:cstheme="majorBidi"/>
          <w:b/>
          <w:bCs/>
          <w:sz w:val="24"/>
          <w:szCs w:val="24"/>
        </w:rPr>
      </w:pPr>
      <w:bookmarkStart w:id="15" w:name="A12"/>
      <w:r>
        <w:rPr>
          <w:rFonts w:asciiTheme="majorBidi" w:hAnsiTheme="majorBidi" w:cstheme="majorBidi"/>
          <w:b/>
          <w:bCs/>
          <w:sz w:val="24"/>
          <w:szCs w:val="24"/>
        </w:rPr>
        <w:t>A.</w:t>
      </w:r>
      <w:r w:rsidRPr="00642429">
        <w:rPr>
          <w:rFonts w:asciiTheme="majorBidi" w:hAnsiTheme="majorBidi" w:cstheme="majorBidi"/>
          <w:b/>
          <w:bCs/>
          <w:sz w:val="24"/>
          <w:szCs w:val="24"/>
        </w:rPr>
        <w:t>12.</w:t>
      </w:r>
      <w:bookmarkEnd w:id="15"/>
      <w:r w:rsidRPr="00642429">
        <w:rPr>
          <w:rFonts w:asciiTheme="majorBidi" w:hAnsiTheme="majorBidi" w:cstheme="majorBidi"/>
          <w:b/>
          <w:bCs/>
          <w:sz w:val="24"/>
          <w:szCs w:val="24"/>
        </w:rPr>
        <w:t xml:space="preserve">  Provide estimates of the hour burden of the collection of information.  The statement should:</w:t>
      </w:r>
    </w:p>
    <w:p w:rsidR="00642429" w:rsidRPr="00642429" w:rsidP="00642429" w14:paraId="429FDB4B" w14:textId="77777777">
      <w:pPr>
        <w:rPr>
          <w:rFonts w:asciiTheme="majorBidi" w:hAnsiTheme="majorBidi" w:cstheme="majorBidi"/>
          <w:b/>
          <w:bCs/>
          <w:sz w:val="24"/>
          <w:szCs w:val="24"/>
        </w:rPr>
      </w:pPr>
    </w:p>
    <w:p w:rsidR="00CD0AB6" w:rsidP="00E30445" w14:paraId="121BE0F4" w14:textId="0005D87F">
      <w:pPr>
        <w:rPr>
          <w:rFonts w:asciiTheme="majorBidi" w:hAnsiTheme="majorBidi" w:cstheme="majorBidi"/>
          <w:b/>
          <w:bCs/>
          <w:sz w:val="24"/>
          <w:szCs w:val="24"/>
        </w:rPr>
      </w:pPr>
      <w:r w:rsidRPr="00642429">
        <w:rPr>
          <w:rFonts w:asciiTheme="majorBidi" w:hAnsiTheme="majorBidi" w:cstheme="majorBidi"/>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w:t>
      </w:r>
      <w:r w:rsidRPr="00642429">
        <w:rPr>
          <w:rFonts w:asciiTheme="majorBidi" w:hAnsiTheme="majorBidi" w:cstheme="majorBidi"/>
          <w:b/>
          <w:bCs/>
          <w:sz w:val="24"/>
          <w:szCs w:val="24"/>
        </w:rPr>
        <w:t>size, or complexity, show the range of estimated hour burden, and explain the reasons for the variance.  General, estimates should not include burden hours for customary and usual business practices.</w:t>
      </w:r>
    </w:p>
    <w:p w:rsidR="00E83EE9" w:rsidRPr="00E83EE9" w:rsidP="00E83EE9" w14:paraId="7E799C2E" w14:textId="5E3C3DCB">
      <w:pPr>
        <w:rPr>
          <w:rFonts w:asciiTheme="majorBidi" w:hAnsiTheme="majorBidi" w:cstheme="majorBidi"/>
          <w:sz w:val="24"/>
          <w:szCs w:val="24"/>
        </w:rPr>
      </w:pPr>
      <w:r w:rsidRPr="000E624F">
        <w:rPr>
          <w:rFonts w:asciiTheme="majorBidi" w:hAnsiTheme="majorBidi" w:cstheme="majorBidi"/>
          <w:sz w:val="24"/>
          <w:szCs w:val="24"/>
        </w:rPr>
        <w:t xml:space="preserve">Exhibit </w:t>
      </w:r>
      <w:r w:rsidRPr="000E624F" w:rsidR="000E624F">
        <w:rPr>
          <w:rFonts w:asciiTheme="majorBidi" w:hAnsiTheme="majorBidi" w:cstheme="majorBidi"/>
          <w:sz w:val="24"/>
          <w:szCs w:val="24"/>
        </w:rPr>
        <w:t>A.4</w:t>
      </w:r>
      <w:r w:rsidRPr="000E624F">
        <w:rPr>
          <w:rFonts w:asciiTheme="majorBidi" w:hAnsiTheme="majorBidi" w:cstheme="majorBidi"/>
          <w:sz w:val="24"/>
          <w:szCs w:val="24"/>
        </w:rPr>
        <w:t xml:space="preserve"> summarizes reporting burden on respondents for the data collections included in this PRA clearance request over the next three years. The estimated hour burden for these study data collections is </w:t>
      </w:r>
      <w:r w:rsidR="000630E4">
        <w:rPr>
          <w:rFonts w:asciiTheme="majorBidi" w:hAnsiTheme="majorBidi" w:cstheme="majorBidi"/>
          <w:sz w:val="24"/>
          <w:szCs w:val="24"/>
        </w:rPr>
        <w:t>4,</w:t>
      </w:r>
      <w:r w:rsidR="001C2CB4">
        <w:rPr>
          <w:rFonts w:asciiTheme="majorBidi" w:hAnsiTheme="majorBidi" w:cstheme="majorBidi"/>
          <w:sz w:val="24"/>
          <w:szCs w:val="24"/>
        </w:rPr>
        <w:t>673</w:t>
      </w:r>
      <w:r w:rsidRPr="000E624F">
        <w:rPr>
          <w:rFonts w:asciiTheme="majorBidi" w:hAnsiTheme="majorBidi" w:cstheme="majorBidi"/>
          <w:sz w:val="24"/>
          <w:szCs w:val="24"/>
        </w:rPr>
        <w:t xml:space="preserve"> hours over three years, or an average of </w:t>
      </w:r>
      <w:r w:rsidRPr="000E624F" w:rsidR="00857A2E">
        <w:rPr>
          <w:rFonts w:asciiTheme="majorBidi" w:hAnsiTheme="majorBidi" w:cstheme="majorBidi"/>
          <w:sz w:val="24"/>
          <w:szCs w:val="24"/>
        </w:rPr>
        <w:t>1,</w:t>
      </w:r>
      <w:r w:rsidR="00847478">
        <w:rPr>
          <w:rFonts w:asciiTheme="majorBidi" w:hAnsiTheme="majorBidi" w:cstheme="majorBidi"/>
          <w:sz w:val="24"/>
          <w:szCs w:val="24"/>
        </w:rPr>
        <w:t>558</w:t>
      </w:r>
      <w:r w:rsidRPr="000E624F">
        <w:rPr>
          <w:rFonts w:asciiTheme="majorBidi" w:hAnsiTheme="majorBidi" w:cstheme="majorBidi"/>
          <w:sz w:val="24"/>
          <w:szCs w:val="24"/>
        </w:rPr>
        <w:t xml:space="preserve"> hours per year. The estimated total burden cost is $</w:t>
      </w:r>
      <w:r w:rsidR="005B4F80">
        <w:rPr>
          <w:rFonts w:asciiTheme="majorBidi" w:hAnsiTheme="majorBidi" w:cstheme="majorBidi"/>
          <w:sz w:val="24"/>
          <w:szCs w:val="24"/>
        </w:rPr>
        <w:t>131,836.20</w:t>
      </w:r>
      <w:r w:rsidRPr="000E624F">
        <w:rPr>
          <w:rFonts w:asciiTheme="majorBidi" w:hAnsiTheme="majorBidi" w:cstheme="majorBidi"/>
          <w:sz w:val="24"/>
          <w:szCs w:val="24"/>
        </w:rPr>
        <w:t xml:space="preserve">, or </w:t>
      </w:r>
      <w:r w:rsidRPr="000E624F" w:rsidR="00A912CB">
        <w:rPr>
          <w:rFonts w:asciiTheme="majorBidi" w:hAnsiTheme="majorBidi" w:cstheme="majorBidi"/>
          <w:sz w:val="24"/>
          <w:szCs w:val="24"/>
        </w:rPr>
        <w:t>$</w:t>
      </w:r>
      <w:r w:rsidR="00FB6580">
        <w:rPr>
          <w:rFonts w:asciiTheme="majorBidi" w:hAnsiTheme="majorBidi" w:cstheme="majorBidi"/>
          <w:sz w:val="24"/>
          <w:szCs w:val="24"/>
        </w:rPr>
        <w:t>43,945.40</w:t>
      </w:r>
      <w:r w:rsidRPr="000E624F" w:rsidR="00A912CB">
        <w:rPr>
          <w:rFonts w:asciiTheme="majorBidi" w:hAnsiTheme="majorBidi" w:cstheme="majorBidi"/>
          <w:sz w:val="24"/>
          <w:szCs w:val="24"/>
        </w:rPr>
        <w:t xml:space="preserve"> </w:t>
      </w:r>
      <w:r w:rsidRPr="000E624F">
        <w:rPr>
          <w:rFonts w:asciiTheme="majorBidi" w:hAnsiTheme="majorBidi" w:cstheme="majorBidi"/>
          <w:sz w:val="24"/>
          <w:szCs w:val="24"/>
        </w:rPr>
        <w:t>per year.</w:t>
      </w:r>
      <w:r w:rsidRPr="00E83EE9">
        <w:rPr>
          <w:rFonts w:asciiTheme="majorBidi" w:hAnsiTheme="majorBidi" w:cstheme="majorBidi"/>
          <w:sz w:val="24"/>
          <w:szCs w:val="24"/>
        </w:rPr>
        <w:t xml:space="preserve"> </w:t>
      </w:r>
    </w:p>
    <w:p w:rsidR="00642429" w:rsidRPr="00642429" w:rsidP="00E30445" w14:paraId="4ADD5C22" w14:textId="33ACF627">
      <w:pPr>
        <w:rPr>
          <w:rFonts w:asciiTheme="majorBidi" w:hAnsiTheme="majorBidi" w:cstheme="majorBidi"/>
          <w:b/>
          <w:bCs/>
          <w:sz w:val="24"/>
          <w:szCs w:val="24"/>
        </w:rPr>
      </w:pPr>
      <w:r>
        <w:rPr>
          <w:rFonts w:asciiTheme="majorBidi" w:hAnsiTheme="majorBidi" w:cstheme="majorBidi"/>
          <w:b/>
          <w:bCs/>
          <w:sz w:val="24"/>
          <w:szCs w:val="24"/>
        </w:rPr>
        <w:t xml:space="preserve">Exhibit </w:t>
      </w:r>
      <w:r w:rsidR="000E624F">
        <w:rPr>
          <w:rFonts w:asciiTheme="majorBidi" w:hAnsiTheme="majorBidi" w:cstheme="majorBidi"/>
          <w:b/>
          <w:bCs/>
          <w:sz w:val="24"/>
          <w:szCs w:val="24"/>
        </w:rPr>
        <w:t>A.4:</w:t>
      </w:r>
      <w:r>
        <w:rPr>
          <w:rFonts w:asciiTheme="majorBidi" w:hAnsiTheme="majorBidi" w:cstheme="majorBidi"/>
          <w:b/>
          <w:bCs/>
          <w:sz w:val="24"/>
          <w:szCs w:val="24"/>
        </w:rPr>
        <w:t xml:space="preserve"> </w:t>
      </w:r>
      <w:r w:rsidR="000C576D">
        <w:rPr>
          <w:rFonts w:asciiTheme="majorBidi" w:hAnsiTheme="majorBidi" w:cstheme="majorBidi"/>
          <w:b/>
          <w:bCs/>
          <w:sz w:val="24"/>
          <w:szCs w:val="24"/>
        </w:rPr>
        <w:t>Estimated Annual Burden Hours</w:t>
      </w:r>
    </w:p>
    <w:tbl>
      <w:tblPr>
        <w:tblpPr w:leftFromText="180" w:rightFromText="180" w:vertAnchor="text" w:tblpY="1"/>
        <w:tblOverlap w:val="never"/>
        <w:tblW w:w="10255" w:type="dxa"/>
        <w:tblLayout w:type="fixed"/>
        <w:tblLook w:val="04A0"/>
      </w:tblPr>
      <w:tblGrid>
        <w:gridCol w:w="1795"/>
        <w:gridCol w:w="1350"/>
        <w:gridCol w:w="1350"/>
        <w:gridCol w:w="1170"/>
        <w:gridCol w:w="1170"/>
        <w:gridCol w:w="1170"/>
        <w:gridCol w:w="990"/>
        <w:gridCol w:w="1260"/>
      </w:tblGrid>
      <w:tr w14:paraId="736C757E" w14:textId="77777777" w:rsidTr="005D66CE">
        <w:tblPrEx>
          <w:tblW w:w="10255" w:type="dxa"/>
          <w:tblLayout w:type="fixed"/>
          <w:tblLook w:val="04A0"/>
        </w:tblPrEx>
        <w:trPr>
          <w:trHeight w:val="1400"/>
          <w:tblHeader/>
        </w:trPr>
        <w:tc>
          <w:tcPr>
            <w:tcW w:w="1795"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rsidR="00E66664" w:rsidRPr="000F630F" w14:paraId="5085AC25" w14:textId="77777777">
            <w:pPr>
              <w:spacing w:after="0" w:line="240" w:lineRule="auto"/>
              <w:jc w:val="center"/>
              <w:rPr>
                <w:rFonts w:ascii="Times New Roman" w:eastAsia="Times New Roman" w:hAnsi="Times New Roman" w:cs="Times New Roman"/>
                <w:b/>
                <w:bCs/>
                <w:color w:val="FFFFFF" w:themeColor="background1"/>
              </w:rPr>
            </w:pPr>
            <w:r w:rsidRPr="000F630F">
              <w:rPr>
                <w:rFonts w:ascii="Times New Roman" w:eastAsia="Times New Roman" w:hAnsi="Times New Roman" w:cs="Times New Roman"/>
                <w:b/>
                <w:bCs/>
                <w:color w:val="FFFFFF" w:themeColor="background1"/>
              </w:rPr>
              <w:t>Data Type and Source</w:t>
            </w:r>
          </w:p>
        </w:tc>
        <w:tc>
          <w:tcPr>
            <w:tcW w:w="135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3329F477" w14:textId="7BFB2F89">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Number of Respondents</w:t>
            </w:r>
          </w:p>
        </w:tc>
        <w:tc>
          <w:tcPr>
            <w:tcW w:w="135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6B9437B8" w14:textId="6E5B9DE4">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Number of Responses Per Respondent</w:t>
            </w:r>
          </w:p>
        </w:tc>
        <w:tc>
          <w:tcPr>
            <w:tcW w:w="117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302A7A6B" w14:textId="4BC52F3C">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Total Number of Responses</w:t>
            </w:r>
          </w:p>
        </w:tc>
        <w:tc>
          <w:tcPr>
            <w:tcW w:w="117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68A715FD" w14:textId="77777777">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Average Burden Hours Per Response </w:t>
            </w:r>
          </w:p>
        </w:tc>
        <w:tc>
          <w:tcPr>
            <w:tcW w:w="117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6D0370CF" w14:textId="66B1F0EE">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Estimated Burden Hours</w:t>
            </w:r>
          </w:p>
        </w:tc>
        <w:tc>
          <w:tcPr>
            <w:tcW w:w="99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rsidP="005D66CE" w14:paraId="380BB69A" w14:textId="5374B606">
            <w:pPr>
              <w:spacing w:after="0" w:line="240" w:lineRule="auto"/>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 xml:space="preserve"> Hourly Wage</w:t>
            </w:r>
          </w:p>
        </w:tc>
        <w:tc>
          <w:tcPr>
            <w:tcW w:w="1260"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rsidR="00E66664" w:rsidRPr="000F630F" w14:paraId="34690019" w14:textId="77777777">
            <w:pPr>
              <w:spacing w:after="0" w:line="240" w:lineRule="auto"/>
              <w:jc w:val="center"/>
              <w:rPr>
                <w:rFonts w:ascii="Times New Roman" w:eastAsia="Times New Roman" w:hAnsi="Times New Roman" w:cs="Times New Roman"/>
                <w:color w:val="FFFFFF" w:themeColor="background1"/>
              </w:rPr>
            </w:pPr>
            <w:r w:rsidRPr="000F630F">
              <w:rPr>
                <w:rFonts w:ascii="Times New Roman" w:eastAsia="Times New Roman" w:hAnsi="Times New Roman" w:cs="Times New Roman"/>
                <w:color w:val="FFFFFF" w:themeColor="background1"/>
              </w:rPr>
              <w:t>Annualized Cost</w:t>
            </w:r>
          </w:p>
        </w:tc>
      </w:tr>
      <w:tr w14:paraId="5CB3DC24" w14:textId="77777777" w:rsidTr="005D66CE">
        <w:tblPrEx>
          <w:tblW w:w="10255" w:type="dxa"/>
          <w:tblLayout w:type="fixed"/>
          <w:tblLook w:val="04A0"/>
        </w:tblPrEx>
        <w:trPr>
          <w:trHeight w:val="290"/>
        </w:trPr>
        <w:tc>
          <w:tcPr>
            <w:tcW w:w="17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66664" w:rsidRPr="00E66664" w14:paraId="0F10ABC0" w14:textId="3AD593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Program</w:t>
            </w:r>
            <w:r w:rsidRPr="00E66664">
              <w:rPr>
                <w:rFonts w:ascii="Times New Roman" w:eastAsia="Times New Roman" w:hAnsi="Times New Roman" w:cs="Times New Roman"/>
                <w:b/>
                <w:bCs/>
                <w:color w:val="000000"/>
              </w:rPr>
              <w:t xml:space="preserve"> Data</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0D999EE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59718F3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7490B4A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6E7066C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6923CBF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1D549D5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52241D6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3E5FA20F"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E66664" w:rsidRPr="00E66664" w14:paraId="08777C7C" w14:textId="0FF588A6">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Baseline </w:t>
            </w:r>
            <w:r w:rsidR="00B72920">
              <w:rPr>
                <w:rFonts w:ascii="Times New Roman" w:eastAsia="Times New Roman" w:hAnsi="Times New Roman" w:cs="Times New Roman"/>
                <w:color w:val="000000"/>
              </w:rPr>
              <w:t xml:space="preserve">Intake Data </w:t>
            </w:r>
            <w:r w:rsidRPr="00E66664">
              <w:rPr>
                <w:rFonts w:ascii="Times New Roman" w:eastAsia="Times New Roman" w:hAnsi="Times New Roman" w:cs="Times New Roman"/>
                <w:color w:val="000000"/>
              </w:rPr>
              <w:t xml:space="preserve">from ETM </w:t>
            </w:r>
            <w:r w:rsidR="0000207B">
              <w:rPr>
                <w:rFonts w:ascii="Times New Roman" w:eastAsia="Times New Roman" w:hAnsi="Times New Roman" w:cs="Times New Roman"/>
                <w:color w:val="000000"/>
              </w:rPr>
              <w:t>Y</w:t>
            </w:r>
            <w:r w:rsidRPr="00E66664">
              <w:rPr>
                <w:rFonts w:ascii="Times New Roman" w:eastAsia="Times New Roman" w:hAnsi="Times New Roman" w:cs="Times New Roman"/>
                <w:color w:val="000000"/>
              </w:rPr>
              <w:t>outh</w:t>
            </w:r>
          </w:p>
        </w:tc>
        <w:tc>
          <w:tcPr>
            <w:tcW w:w="1350" w:type="dxa"/>
            <w:tcBorders>
              <w:top w:val="nil"/>
              <w:left w:val="nil"/>
              <w:bottom w:val="single" w:sz="4" w:space="0" w:color="auto"/>
              <w:right w:val="single" w:sz="4" w:space="0" w:color="auto"/>
            </w:tcBorders>
            <w:vAlign w:val="center"/>
            <w:hideMark/>
          </w:tcPr>
          <w:p w:rsidR="00E66664" w:rsidRPr="00E66664" w14:paraId="6AEF4995"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898</w:t>
            </w:r>
            <w:r w:rsidRPr="00E66664">
              <w:rPr>
                <w:rFonts w:ascii="Times New Roman" w:eastAsia="Times New Roman" w:hAnsi="Times New Roman" w:cs="Times New Roman"/>
                <w:color w:val="000000"/>
                <w:vertAlign w:val="superscript"/>
              </w:rPr>
              <w:t>a</w:t>
            </w:r>
          </w:p>
        </w:tc>
        <w:tc>
          <w:tcPr>
            <w:tcW w:w="1350" w:type="dxa"/>
            <w:tcBorders>
              <w:top w:val="nil"/>
              <w:left w:val="nil"/>
              <w:bottom w:val="single" w:sz="4" w:space="0" w:color="auto"/>
              <w:right w:val="single" w:sz="4" w:space="0" w:color="auto"/>
            </w:tcBorders>
            <w:vAlign w:val="center"/>
            <w:hideMark/>
          </w:tcPr>
          <w:p w:rsidR="00E66664" w:rsidRPr="00E66664" w14:paraId="78E6BD3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E66664" w:rsidRPr="00E66664" w14:paraId="46F6740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898</w:t>
            </w:r>
          </w:p>
        </w:tc>
        <w:tc>
          <w:tcPr>
            <w:tcW w:w="1170" w:type="dxa"/>
            <w:tcBorders>
              <w:top w:val="nil"/>
              <w:left w:val="nil"/>
              <w:bottom w:val="single" w:sz="4" w:space="0" w:color="auto"/>
              <w:right w:val="single" w:sz="4" w:space="0" w:color="auto"/>
            </w:tcBorders>
            <w:vAlign w:val="center"/>
            <w:hideMark/>
          </w:tcPr>
          <w:p w:rsidR="00E66664" w:rsidRPr="00E66664" w14:paraId="77CED4AF"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0.38</w:t>
            </w:r>
          </w:p>
        </w:tc>
        <w:tc>
          <w:tcPr>
            <w:tcW w:w="1170" w:type="dxa"/>
            <w:tcBorders>
              <w:top w:val="nil"/>
              <w:left w:val="nil"/>
              <w:bottom w:val="single" w:sz="4" w:space="0" w:color="auto"/>
              <w:right w:val="single" w:sz="4" w:space="0" w:color="auto"/>
            </w:tcBorders>
            <w:vAlign w:val="center"/>
            <w:hideMark/>
          </w:tcPr>
          <w:p w:rsidR="00E66664" w:rsidRPr="00E66664" w14:paraId="54C2461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341.24</w:t>
            </w:r>
          </w:p>
        </w:tc>
        <w:tc>
          <w:tcPr>
            <w:tcW w:w="990" w:type="dxa"/>
            <w:tcBorders>
              <w:top w:val="nil"/>
              <w:left w:val="nil"/>
              <w:bottom w:val="single" w:sz="4" w:space="0" w:color="auto"/>
              <w:right w:val="single" w:sz="4" w:space="0" w:color="auto"/>
            </w:tcBorders>
            <w:vAlign w:val="center"/>
            <w:hideMark/>
          </w:tcPr>
          <w:p w:rsidR="00E66664" w:rsidRPr="00623C72" w14:paraId="3C07DEC3" w14:textId="74750882">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w:t>
            </w:r>
            <w:r w:rsidR="00DA7AA5">
              <w:rPr>
                <w:rFonts w:ascii="Times New Roman" w:eastAsia="Times New Roman" w:hAnsi="Times New Roman" w:cs="Times New Roman"/>
                <w:color w:val="000000"/>
              </w:rPr>
              <w:t>12.7</w:t>
            </w:r>
            <w:r w:rsidR="00DE4105">
              <w:rPr>
                <w:rFonts w:ascii="Times New Roman" w:eastAsia="Times New Roman" w:hAnsi="Times New Roman" w:cs="Times New Roman"/>
                <w:color w:val="000000"/>
              </w:rPr>
              <w:t>2</w:t>
            </w:r>
            <w:r w:rsidR="00623C72">
              <w:rPr>
                <w:rFonts w:ascii="Times New Roman" w:eastAsia="Times New Roman" w:hAnsi="Times New Roman" w:cs="Times New Roman"/>
                <w:color w:val="000000"/>
                <w:vertAlign w:val="superscript"/>
              </w:rPr>
              <w:t>b</w:t>
            </w:r>
          </w:p>
        </w:tc>
        <w:tc>
          <w:tcPr>
            <w:tcW w:w="1260" w:type="dxa"/>
            <w:tcBorders>
              <w:top w:val="nil"/>
              <w:left w:val="nil"/>
              <w:bottom w:val="single" w:sz="4" w:space="0" w:color="auto"/>
              <w:right w:val="single" w:sz="4" w:space="0" w:color="auto"/>
            </w:tcBorders>
            <w:noWrap/>
            <w:vAlign w:val="center"/>
            <w:hideMark/>
          </w:tcPr>
          <w:p w:rsidR="00E66664" w:rsidRPr="00E66664" w14:paraId="14F9A2BA" w14:textId="15B55332">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4F45C9">
              <w:rPr>
                <w:rFonts w:ascii="Times New Roman" w:eastAsia="Times New Roman" w:hAnsi="Times New Roman" w:cs="Times New Roman"/>
                <w:color w:val="000000"/>
              </w:rPr>
              <w:t>4,340.57</w:t>
            </w:r>
          </w:p>
        </w:tc>
      </w:tr>
      <w:tr w14:paraId="77709189" w14:textId="77777777" w:rsidTr="005D66CE">
        <w:tblPrEx>
          <w:tblW w:w="10255" w:type="dxa"/>
          <w:tblLayout w:type="fixed"/>
          <w:tblLook w:val="04A0"/>
        </w:tblPrEx>
        <w:trPr>
          <w:trHeight w:val="1500"/>
        </w:trPr>
        <w:tc>
          <w:tcPr>
            <w:tcW w:w="1795" w:type="dxa"/>
            <w:tcBorders>
              <w:top w:val="nil"/>
              <w:left w:val="single" w:sz="4" w:space="0" w:color="auto"/>
              <w:bottom w:val="single" w:sz="4" w:space="0" w:color="auto"/>
              <w:right w:val="single" w:sz="4" w:space="0" w:color="auto"/>
            </w:tcBorders>
            <w:vAlign w:val="center"/>
            <w:hideMark/>
          </w:tcPr>
          <w:p w:rsidR="00E66664" w:rsidRPr="00E66664" w14:paraId="2479D187" w14:textId="42703D8A">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Youth </w:t>
            </w:r>
            <w:r w:rsidR="004E0C50">
              <w:rPr>
                <w:rFonts w:ascii="Times New Roman" w:eastAsia="Times New Roman" w:hAnsi="Times New Roman" w:cs="Times New Roman"/>
                <w:color w:val="000000"/>
              </w:rPr>
              <w:t>R</w:t>
            </w:r>
            <w:r w:rsidRPr="00E66664">
              <w:rPr>
                <w:rFonts w:ascii="Times New Roman" w:eastAsia="Times New Roman" w:hAnsi="Times New Roman" w:cs="Times New Roman"/>
                <w:color w:val="000000"/>
              </w:rPr>
              <w:t xml:space="preserve">eferral </w:t>
            </w:r>
            <w:r w:rsidR="004E0C50">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nformation </w:t>
            </w:r>
            <w:r w:rsidR="004E0C50">
              <w:rPr>
                <w:rFonts w:ascii="Times New Roman" w:eastAsia="Times New Roman" w:hAnsi="Times New Roman" w:cs="Times New Roman"/>
                <w:color w:val="000000"/>
              </w:rPr>
              <w:t>C</w:t>
            </w:r>
            <w:r w:rsidRPr="00E66664">
              <w:rPr>
                <w:rFonts w:ascii="Times New Roman" w:eastAsia="Times New Roman" w:hAnsi="Times New Roman" w:cs="Times New Roman"/>
                <w:color w:val="000000"/>
              </w:rPr>
              <w:t xml:space="preserve">ompleted by ETM and </w:t>
            </w:r>
            <w:r w:rsidR="004E0C50">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 xml:space="preserve">artner </w:t>
            </w:r>
            <w:r w:rsidR="004E0C50">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taff</w:t>
            </w:r>
          </w:p>
        </w:tc>
        <w:tc>
          <w:tcPr>
            <w:tcW w:w="1350" w:type="dxa"/>
            <w:tcBorders>
              <w:top w:val="nil"/>
              <w:left w:val="nil"/>
              <w:bottom w:val="single" w:sz="4" w:space="0" w:color="auto"/>
              <w:right w:val="single" w:sz="4" w:space="0" w:color="auto"/>
            </w:tcBorders>
            <w:vAlign w:val="center"/>
            <w:hideMark/>
          </w:tcPr>
          <w:p w:rsidR="00E66664" w:rsidRPr="00957393" w14:paraId="7067FB96" w14:textId="567F9245">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93</w:t>
            </w:r>
            <w:r w:rsidR="00957393">
              <w:rPr>
                <w:rFonts w:ascii="Times New Roman" w:eastAsia="Times New Roman" w:hAnsi="Times New Roman" w:cs="Times New Roman"/>
                <w:color w:val="000000"/>
                <w:vertAlign w:val="superscript"/>
              </w:rPr>
              <w:t>c</w:t>
            </w:r>
          </w:p>
        </w:tc>
        <w:tc>
          <w:tcPr>
            <w:tcW w:w="1350" w:type="dxa"/>
            <w:tcBorders>
              <w:top w:val="nil"/>
              <w:left w:val="nil"/>
              <w:bottom w:val="single" w:sz="4" w:space="0" w:color="auto"/>
              <w:right w:val="single" w:sz="4" w:space="0" w:color="auto"/>
            </w:tcBorders>
            <w:vAlign w:val="center"/>
            <w:hideMark/>
          </w:tcPr>
          <w:p w:rsidR="00E66664" w:rsidRPr="00E66664" w14:paraId="602B97A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10</w:t>
            </w:r>
          </w:p>
        </w:tc>
        <w:tc>
          <w:tcPr>
            <w:tcW w:w="1170" w:type="dxa"/>
            <w:tcBorders>
              <w:top w:val="nil"/>
              <w:left w:val="nil"/>
              <w:bottom w:val="single" w:sz="4" w:space="0" w:color="auto"/>
              <w:right w:val="single" w:sz="4" w:space="0" w:color="auto"/>
            </w:tcBorders>
            <w:vAlign w:val="center"/>
            <w:hideMark/>
          </w:tcPr>
          <w:p w:rsidR="00E66664" w:rsidRPr="00E66664" w14:paraId="036522A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930</w:t>
            </w:r>
          </w:p>
        </w:tc>
        <w:tc>
          <w:tcPr>
            <w:tcW w:w="1170" w:type="dxa"/>
            <w:tcBorders>
              <w:top w:val="nil"/>
              <w:left w:val="nil"/>
              <w:bottom w:val="single" w:sz="4" w:space="0" w:color="auto"/>
              <w:right w:val="single" w:sz="4" w:space="0" w:color="auto"/>
            </w:tcBorders>
            <w:vAlign w:val="center"/>
            <w:hideMark/>
          </w:tcPr>
          <w:p w:rsidR="00E66664" w:rsidRPr="00E66664" w14:paraId="59EF43B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0.07</w:t>
            </w:r>
          </w:p>
        </w:tc>
        <w:tc>
          <w:tcPr>
            <w:tcW w:w="1170" w:type="dxa"/>
            <w:tcBorders>
              <w:top w:val="nil"/>
              <w:left w:val="nil"/>
              <w:bottom w:val="single" w:sz="4" w:space="0" w:color="auto"/>
              <w:right w:val="single" w:sz="4" w:space="0" w:color="auto"/>
            </w:tcBorders>
            <w:vAlign w:val="center"/>
            <w:hideMark/>
          </w:tcPr>
          <w:p w:rsidR="00E66664" w:rsidRPr="00E66664" w14:paraId="4B05EEF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65.1</w:t>
            </w:r>
          </w:p>
        </w:tc>
        <w:tc>
          <w:tcPr>
            <w:tcW w:w="990" w:type="dxa"/>
            <w:tcBorders>
              <w:top w:val="nil"/>
              <w:left w:val="nil"/>
              <w:bottom w:val="single" w:sz="4" w:space="0" w:color="auto"/>
              <w:right w:val="single" w:sz="4" w:space="0" w:color="auto"/>
            </w:tcBorders>
            <w:vAlign w:val="center"/>
            <w:hideMark/>
          </w:tcPr>
          <w:p w:rsidR="00E66664" w:rsidRPr="00A658CB" w14:paraId="3DAE577F" w14:textId="0B0518A9">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$34.38</w:t>
            </w:r>
            <w:r w:rsidR="00A658CB">
              <w:rPr>
                <w:rFonts w:ascii="Times New Roman" w:eastAsia="Times New Roman" w:hAnsi="Times New Roman" w:cs="Times New Roman"/>
                <w:color w:val="000000"/>
                <w:vertAlign w:val="superscript"/>
              </w:rPr>
              <w:t>d</w:t>
            </w:r>
          </w:p>
        </w:tc>
        <w:tc>
          <w:tcPr>
            <w:tcW w:w="1260" w:type="dxa"/>
            <w:tcBorders>
              <w:top w:val="nil"/>
              <w:left w:val="nil"/>
              <w:bottom w:val="single" w:sz="4" w:space="0" w:color="auto"/>
              <w:right w:val="single" w:sz="4" w:space="0" w:color="auto"/>
            </w:tcBorders>
            <w:noWrap/>
            <w:vAlign w:val="center"/>
            <w:hideMark/>
          </w:tcPr>
          <w:p w:rsidR="00E66664" w:rsidRPr="00E66664" w14:paraId="645F791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$2,238.14</w:t>
            </w:r>
          </w:p>
        </w:tc>
      </w:tr>
      <w:tr w14:paraId="79F0ABF2"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E66664" w:rsidRPr="000F630F" w14:paraId="5E4ABCD9" w14:textId="77777777">
            <w:pPr>
              <w:spacing w:after="0" w:line="240" w:lineRule="auto"/>
              <w:jc w:val="center"/>
              <w:rPr>
                <w:rFonts w:ascii="Times New Roman" w:eastAsia="Times New Roman" w:hAnsi="Times New Roman" w:cs="Times New Roman"/>
                <w:color w:val="000000"/>
              </w:rPr>
            </w:pPr>
            <w:r w:rsidRPr="000F630F">
              <w:rPr>
                <w:rFonts w:ascii="Times New Roman" w:eastAsia="Times New Roman" w:hAnsi="Times New Roman" w:cs="Times New Roman"/>
                <w:color w:val="000000"/>
              </w:rPr>
              <w:t>Service Receipt Data for ETM Youth</w:t>
            </w:r>
          </w:p>
        </w:tc>
        <w:tc>
          <w:tcPr>
            <w:tcW w:w="1350" w:type="dxa"/>
            <w:tcBorders>
              <w:top w:val="nil"/>
              <w:left w:val="nil"/>
              <w:bottom w:val="single" w:sz="4" w:space="0" w:color="auto"/>
              <w:right w:val="single" w:sz="4" w:space="0" w:color="auto"/>
            </w:tcBorders>
            <w:vAlign w:val="center"/>
            <w:hideMark/>
          </w:tcPr>
          <w:p w:rsidR="00E66664" w:rsidRPr="00A33656" w14:paraId="743BB1F0" w14:textId="07F3089E">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155</w:t>
            </w:r>
            <w:r w:rsidR="00A33656">
              <w:rPr>
                <w:rFonts w:ascii="Times New Roman" w:eastAsia="Times New Roman" w:hAnsi="Times New Roman" w:cs="Times New Roman"/>
                <w:color w:val="000000"/>
                <w:vertAlign w:val="superscript"/>
              </w:rPr>
              <w:t>e</w:t>
            </w:r>
          </w:p>
        </w:tc>
        <w:tc>
          <w:tcPr>
            <w:tcW w:w="1350" w:type="dxa"/>
            <w:tcBorders>
              <w:top w:val="nil"/>
              <w:left w:val="nil"/>
              <w:bottom w:val="single" w:sz="4" w:space="0" w:color="auto"/>
              <w:right w:val="single" w:sz="4" w:space="0" w:color="auto"/>
            </w:tcBorders>
            <w:vAlign w:val="center"/>
            <w:hideMark/>
          </w:tcPr>
          <w:p w:rsidR="00E66664" w:rsidRPr="00E66664" w14:paraId="31262D9D"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33</w:t>
            </w:r>
          </w:p>
        </w:tc>
        <w:tc>
          <w:tcPr>
            <w:tcW w:w="1170" w:type="dxa"/>
            <w:tcBorders>
              <w:top w:val="nil"/>
              <w:left w:val="nil"/>
              <w:bottom w:val="single" w:sz="4" w:space="0" w:color="auto"/>
              <w:right w:val="single" w:sz="4" w:space="0" w:color="auto"/>
            </w:tcBorders>
            <w:vAlign w:val="center"/>
            <w:hideMark/>
          </w:tcPr>
          <w:p w:rsidR="00E66664" w:rsidRPr="00E66664" w14:paraId="20B0A96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5,115</w:t>
            </w:r>
          </w:p>
        </w:tc>
        <w:tc>
          <w:tcPr>
            <w:tcW w:w="1170" w:type="dxa"/>
            <w:tcBorders>
              <w:top w:val="nil"/>
              <w:left w:val="nil"/>
              <w:bottom w:val="single" w:sz="4" w:space="0" w:color="auto"/>
              <w:right w:val="single" w:sz="4" w:space="0" w:color="auto"/>
            </w:tcBorders>
            <w:vAlign w:val="center"/>
            <w:hideMark/>
          </w:tcPr>
          <w:p w:rsidR="00E66664" w:rsidRPr="00E66664" w14:paraId="345F3480" w14:textId="6845605B">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w:t>
            </w:r>
            <w:r w:rsidR="008D34EB">
              <w:rPr>
                <w:rFonts w:ascii="Times New Roman" w:eastAsia="Times New Roman" w:hAnsi="Times New Roman" w:cs="Times New Roman"/>
                <w:color w:val="000000"/>
              </w:rPr>
              <w:t>14</w:t>
            </w:r>
          </w:p>
        </w:tc>
        <w:tc>
          <w:tcPr>
            <w:tcW w:w="1170" w:type="dxa"/>
            <w:tcBorders>
              <w:top w:val="nil"/>
              <w:left w:val="nil"/>
              <w:bottom w:val="single" w:sz="4" w:space="0" w:color="auto"/>
              <w:right w:val="single" w:sz="4" w:space="0" w:color="auto"/>
            </w:tcBorders>
            <w:vAlign w:val="center"/>
            <w:hideMark/>
          </w:tcPr>
          <w:p w:rsidR="00E66664" w:rsidRPr="00E66664" w14:paraId="436DDDCE" w14:textId="488E6FE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716.10</w:t>
            </w:r>
          </w:p>
        </w:tc>
        <w:tc>
          <w:tcPr>
            <w:tcW w:w="990" w:type="dxa"/>
            <w:tcBorders>
              <w:top w:val="nil"/>
              <w:left w:val="nil"/>
              <w:bottom w:val="single" w:sz="4" w:space="0" w:color="auto"/>
              <w:right w:val="single" w:sz="4" w:space="0" w:color="auto"/>
            </w:tcBorders>
            <w:vAlign w:val="center"/>
            <w:hideMark/>
          </w:tcPr>
          <w:p w:rsidR="00E66664" w:rsidRPr="00A33656" w14:paraId="68E2F05D" w14:textId="3575EC32">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$34.38</w:t>
            </w:r>
            <w:r w:rsidR="00A33656">
              <w:rPr>
                <w:rFonts w:ascii="Times New Roman" w:eastAsia="Times New Roman" w:hAnsi="Times New Roman" w:cs="Times New Roman"/>
                <w:color w:val="000000"/>
                <w:vertAlign w:val="superscript"/>
              </w:rPr>
              <w:t>d</w:t>
            </w:r>
          </w:p>
        </w:tc>
        <w:tc>
          <w:tcPr>
            <w:tcW w:w="1260" w:type="dxa"/>
            <w:tcBorders>
              <w:top w:val="nil"/>
              <w:left w:val="nil"/>
              <w:bottom w:val="single" w:sz="4" w:space="0" w:color="auto"/>
              <w:right w:val="single" w:sz="4" w:space="0" w:color="auto"/>
            </w:tcBorders>
            <w:noWrap/>
            <w:vAlign w:val="center"/>
            <w:hideMark/>
          </w:tcPr>
          <w:p w:rsidR="00E66664" w:rsidRPr="00E66664" w14:paraId="652C1964" w14:textId="1B68D461">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8D34EB">
              <w:rPr>
                <w:rFonts w:ascii="Times New Roman" w:eastAsia="Times New Roman" w:hAnsi="Times New Roman" w:cs="Times New Roman"/>
                <w:color w:val="000000"/>
              </w:rPr>
              <w:t>24,619.52</w:t>
            </w:r>
          </w:p>
        </w:tc>
      </w:tr>
      <w:tr w14:paraId="1DADD7F0" w14:textId="77777777" w:rsidTr="005D66CE">
        <w:tblPrEx>
          <w:tblW w:w="10255" w:type="dxa"/>
          <w:tblLayout w:type="fixed"/>
          <w:tblLook w:val="04A0"/>
        </w:tblPrEx>
        <w:trPr>
          <w:trHeight w:val="560"/>
        </w:trPr>
        <w:tc>
          <w:tcPr>
            <w:tcW w:w="17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66664" w:rsidRPr="00E66664" w14:paraId="3FA60D24" w14:textId="7777777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Implementation Data</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6052F1B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690F2EC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06825E7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526EAA5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E66664" w:rsidRPr="00E66664" w14:paraId="7A8A6EE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BFBFBF" w:themeFill="background1" w:themeFillShade="BF"/>
            <w:noWrap/>
            <w:vAlign w:val="center"/>
            <w:hideMark/>
          </w:tcPr>
          <w:p w:rsidR="00E66664" w:rsidRPr="00E66664" w14:paraId="2BCE5C55"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BFBFBF" w:themeFill="background1" w:themeFillShade="BF"/>
            <w:noWrap/>
            <w:vAlign w:val="center"/>
            <w:hideMark/>
          </w:tcPr>
          <w:p w:rsidR="00E66664" w:rsidRPr="00E66664" w14:paraId="26B8E17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044BB195" w14:textId="77777777" w:rsidTr="005D66CE">
        <w:tblPrEx>
          <w:tblW w:w="10255" w:type="dxa"/>
          <w:tblLayout w:type="fixed"/>
          <w:tblLook w:val="04A0"/>
        </w:tblPrEx>
        <w:trPr>
          <w:trHeight w:val="560"/>
        </w:trPr>
        <w:tc>
          <w:tcPr>
            <w:tcW w:w="1795" w:type="dxa"/>
            <w:tcBorders>
              <w:top w:val="nil"/>
              <w:left w:val="single" w:sz="4" w:space="0" w:color="auto"/>
              <w:bottom w:val="single" w:sz="4" w:space="0" w:color="auto"/>
              <w:right w:val="single" w:sz="4" w:space="0" w:color="auto"/>
            </w:tcBorders>
            <w:shd w:val="clear" w:color="auto" w:fill="EAEAEA"/>
            <w:vAlign w:val="center"/>
            <w:hideMark/>
          </w:tcPr>
          <w:p w:rsidR="00E66664" w:rsidRPr="00E66664" w14:paraId="3141DFE4" w14:textId="77777777">
            <w:pPr>
              <w:spacing w:after="0" w:line="240" w:lineRule="auto"/>
              <w:jc w:val="center"/>
              <w:rPr>
                <w:rFonts w:ascii="Times New Roman" w:eastAsia="Times New Roman" w:hAnsi="Times New Roman" w:cs="Times New Roman"/>
                <w:b/>
                <w:bCs/>
                <w:i/>
                <w:iCs/>
                <w:color w:val="000000"/>
              </w:rPr>
            </w:pPr>
            <w:r w:rsidRPr="00E66664">
              <w:rPr>
                <w:rFonts w:ascii="Times New Roman" w:eastAsia="Times New Roman" w:hAnsi="Times New Roman" w:cs="Times New Roman"/>
                <w:b/>
                <w:bCs/>
                <w:i/>
                <w:iCs/>
                <w:color w:val="000000"/>
              </w:rPr>
              <w:t>Implementation Activities</w:t>
            </w:r>
          </w:p>
        </w:tc>
        <w:tc>
          <w:tcPr>
            <w:tcW w:w="1350" w:type="dxa"/>
            <w:tcBorders>
              <w:top w:val="nil"/>
              <w:left w:val="nil"/>
              <w:bottom w:val="single" w:sz="4" w:space="0" w:color="auto"/>
              <w:right w:val="single" w:sz="4" w:space="0" w:color="auto"/>
            </w:tcBorders>
            <w:shd w:val="clear" w:color="auto" w:fill="EAEAEA"/>
            <w:vAlign w:val="center"/>
            <w:hideMark/>
          </w:tcPr>
          <w:p w:rsidR="00E66664" w:rsidRPr="00E66664" w14:paraId="4736EF2A"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EAEAEA"/>
            <w:vAlign w:val="center"/>
            <w:hideMark/>
          </w:tcPr>
          <w:p w:rsidR="00E66664" w:rsidRPr="00E66664" w14:paraId="2182071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E66664" w:rsidRPr="00E66664" w14:paraId="14568EE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E66664" w:rsidRPr="00E66664" w14:paraId="57B487A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E66664" w:rsidRPr="00E66664" w14:paraId="43C444A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EAEAEA"/>
            <w:noWrap/>
            <w:vAlign w:val="center"/>
            <w:hideMark/>
          </w:tcPr>
          <w:p w:rsidR="00E66664" w:rsidRPr="00E66664" w14:paraId="5B8A2BE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EAEAEA"/>
            <w:noWrap/>
            <w:vAlign w:val="center"/>
            <w:hideMark/>
          </w:tcPr>
          <w:p w:rsidR="00E66664" w:rsidRPr="00E66664" w14:paraId="5EC3457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171D371F" w14:textId="77777777" w:rsidTr="005D66CE">
        <w:tblPrEx>
          <w:tblW w:w="10255" w:type="dxa"/>
          <w:tblLayout w:type="fixed"/>
          <w:tblLook w:val="04A0"/>
        </w:tblPrEx>
        <w:trPr>
          <w:trHeight w:val="450"/>
        </w:trPr>
        <w:tc>
          <w:tcPr>
            <w:tcW w:w="1795" w:type="dxa"/>
            <w:vMerge w:val="restart"/>
            <w:tcBorders>
              <w:top w:val="nil"/>
              <w:left w:val="single" w:sz="4" w:space="0" w:color="auto"/>
              <w:bottom w:val="single" w:sz="4" w:space="0" w:color="000000"/>
              <w:right w:val="single" w:sz="4" w:space="0" w:color="auto"/>
            </w:tcBorders>
            <w:vAlign w:val="center"/>
            <w:hideMark/>
          </w:tcPr>
          <w:p w:rsidR="00E66664" w:rsidRPr="00E66664" w14:paraId="66E85713" w14:textId="604EB936">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00207B">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4E0C50">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t>
            </w:r>
            <w:r w:rsidR="0000207B">
              <w:rPr>
                <w:rFonts w:ascii="Times New Roman" w:eastAsia="Times New Roman" w:hAnsi="Times New Roman" w:cs="Times New Roman"/>
                <w:color w:val="000000"/>
              </w:rPr>
              <w:t>w</w:t>
            </w:r>
            <w:r w:rsidRPr="00E66664">
              <w:rPr>
                <w:rFonts w:ascii="Times New Roman" w:eastAsia="Times New Roman" w:hAnsi="Times New Roman" w:cs="Times New Roman"/>
                <w:color w:val="000000"/>
              </w:rPr>
              <w:t xml:space="preserve">ith </w:t>
            </w:r>
            <w:r w:rsidR="004E0C50">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 xml:space="preserve">roject </w:t>
            </w:r>
            <w:r w:rsidR="004E0C50">
              <w:rPr>
                <w:rFonts w:ascii="Times New Roman" w:eastAsia="Times New Roman" w:hAnsi="Times New Roman" w:cs="Times New Roman"/>
                <w:color w:val="000000"/>
              </w:rPr>
              <w:t>D</w:t>
            </w:r>
            <w:r w:rsidRPr="00E66664">
              <w:rPr>
                <w:rFonts w:ascii="Times New Roman" w:eastAsia="Times New Roman" w:hAnsi="Times New Roman" w:cs="Times New Roman"/>
                <w:color w:val="000000"/>
              </w:rPr>
              <w:t>irectors</w:t>
            </w:r>
          </w:p>
        </w:tc>
        <w:tc>
          <w:tcPr>
            <w:tcW w:w="1350" w:type="dxa"/>
            <w:vMerge w:val="restart"/>
            <w:tcBorders>
              <w:top w:val="nil"/>
              <w:left w:val="single" w:sz="4" w:space="0" w:color="auto"/>
              <w:bottom w:val="single" w:sz="4" w:space="0" w:color="auto"/>
              <w:right w:val="single" w:sz="4" w:space="0" w:color="auto"/>
            </w:tcBorders>
            <w:vAlign w:val="center"/>
            <w:hideMark/>
          </w:tcPr>
          <w:p w:rsidR="00E66664" w:rsidRPr="001C6568" w14:paraId="7A616BB6" w14:textId="7E6D7AD1">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3</w:t>
            </w:r>
            <w:r w:rsidR="0036764F">
              <w:rPr>
                <w:rFonts w:ascii="Times New Roman" w:eastAsia="Times New Roman" w:hAnsi="Times New Roman" w:cs="Times New Roman"/>
                <w:color w:val="000000"/>
                <w:vertAlign w:val="superscript"/>
              </w:rPr>
              <w:t>f</w:t>
            </w:r>
          </w:p>
        </w:tc>
        <w:tc>
          <w:tcPr>
            <w:tcW w:w="1350" w:type="dxa"/>
            <w:vMerge w:val="restart"/>
            <w:tcBorders>
              <w:top w:val="nil"/>
              <w:left w:val="single" w:sz="4" w:space="0" w:color="auto"/>
              <w:bottom w:val="single" w:sz="4" w:space="0" w:color="auto"/>
              <w:right w:val="single" w:sz="4" w:space="0" w:color="auto"/>
            </w:tcBorders>
            <w:vAlign w:val="center"/>
            <w:hideMark/>
          </w:tcPr>
          <w:p w:rsidR="00E66664" w:rsidRPr="00E66664" w14:paraId="066E0FF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E66664" w:rsidRPr="00E66664" w14:paraId="4767517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w:t>
            </w:r>
          </w:p>
        </w:tc>
        <w:tc>
          <w:tcPr>
            <w:tcW w:w="1170" w:type="dxa"/>
            <w:vMerge w:val="restart"/>
            <w:tcBorders>
              <w:top w:val="nil"/>
              <w:left w:val="single" w:sz="4" w:space="0" w:color="auto"/>
              <w:bottom w:val="single" w:sz="4" w:space="0" w:color="auto"/>
              <w:right w:val="single" w:sz="4" w:space="0" w:color="auto"/>
            </w:tcBorders>
            <w:vAlign w:val="center"/>
            <w:hideMark/>
          </w:tcPr>
          <w:p w:rsidR="00E66664" w:rsidRPr="00E66664" w14:paraId="61AD412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1.5</w:t>
            </w:r>
          </w:p>
        </w:tc>
        <w:tc>
          <w:tcPr>
            <w:tcW w:w="1170" w:type="dxa"/>
            <w:vMerge w:val="restart"/>
            <w:tcBorders>
              <w:top w:val="nil"/>
              <w:left w:val="single" w:sz="4" w:space="0" w:color="auto"/>
              <w:bottom w:val="single" w:sz="4" w:space="0" w:color="auto"/>
              <w:right w:val="single" w:sz="4" w:space="0" w:color="auto"/>
            </w:tcBorders>
            <w:vAlign w:val="center"/>
            <w:hideMark/>
          </w:tcPr>
          <w:p w:rsidR="00E66664" w:rsidRPr="00E66664" w14:paraId="4EA9903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4.5</w:t>
            </w:r>
          </w:p>
        </w:tc>
        <w:tc>
          <w:tcPr>
            <w:tcW w:w="990" w:type="dxa"/>
            <w:vMerge w:val="restart"/>
            <w:tcBorders>
              <w:top w:val="nil"/>
              <w:left w:val="single" w:sz="4" w:space="0" w:color="auto"/>
              <w:bottom w:val="single" w:sz="4" w:space="0" w:color="auto"/>
              <w:right w:val="single" w:sz="4" w:space="0" w:color="auto"/>
            </w:tcBorders>
            <w:noWrap/>
            <w:vAlign w:val="center"/>
            <w:hideMark/>
          </w:tcPr>
          <w:p w:rsidR="00E66664" w:rsidRPr="00624D7B" w14:paraId="5A0DA0E2" w14:textId="36FBE968">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$41.39</w:t>
            </w:r>
            <w:r w:rsidR="00624D7B">
              <w:rPr>
                <w:rFonts w:ascii="Times New Roman" w:eastAsia="Times New Roman" w:hAnsi="Times New Roman" w:cs="Times New Roman"/>
                <w:color w:val="000000"/>
                <w:vertAlign w:val="superscript"/>
              </w:rPr>
              <w:t>g</w:t>
            </w:r>
          </w:p>
        </w:tc>
        <w:tc>
          <w:tcPr>
            <w:tcW w:w="1260" w:type="dxa"/>
            <w:vMerge w:val="restart"/>
            <w:tcBorders>
              <w:top w:val="nil"/>
              <w:left w:val="single" w:sz="4" w:space="0" w:color="auto"/>
              <w:bottom w:val="single" w:sz="4" w:space="0" w:color="000000"/>
              <w:right w:val="single" w:sz="4" w:space="0" w:color="auto"/>
            </w:tcBorders>
            <w:noWrap/>
            <w:vAlign w:val="center"/>
            <w:hideMark/>
          </w:tcPr>
          <w:p w:rsidR="00E66664" w:rsidRPr="00E66664" w14:paraId="57E1EC52" w14:textId="2E961758">
            <w:pPr>
              <w:spacing w:after="0" w:line="240" w:lineRule="auto"/>
              <w:jc w:val="center"/>
              <w:rPr>
                <w:rFonts w:ascii="Times New Roman" w:eastAsia="Times New Roman" w:hAnsi="Times New Roman" w:cs="Times New Roman"/>
                <w:color w:val="000000"/>
              </w:rPr>
            </w:pPr>
            <w:r w:rsidRPr="00590165">
              <w:rPr>
                <w:rFonts w:ascii="Times New Roman" w:eastAsia="Times New Roman" w:hAnsi="Times New Roman" w:cs="Times New Roman"/>
                <w:color w:val="000000"/>
              </w:rPr>
              <w:t>$186.26</w:t>
            </w:r>
          </w:p>
        </w:tc>
      </w:tr>
      <w:tr w14:paraId="6F7E0A48" w14:textId="77777777" w:rsidTr="005D66CE">
        <w:tblPrEx>
          <w:tblW w:w="10255" w:type="dxa"/>
          <w:tblLayout w:type="fixed"/>
          <w:tblLook w:val="04A0"/>
        </w:tblPrEx>
        <w:trPr>
          <w:trHeight w:val="580"/>
        </w:trPr>
        <w:tc>
          <w:tcPr>
            <w:tcW w:w="1795" w:type="dxa"/>
            <w:vMerge/>
            <w:tcBorders>
              <w:top w:val="nil"/>
              <w:left w:val="single" w:sz="4" w:space="0" w:color="auto"/>
              <w:bottom w:val="single" w:sz="4" w:space="0" w:color="000000"/>
              <w:right w:val="single" w:sz="4" w:space="0" w:color="auto"/>
            </w:tcBorders>
            <w:vAlign w:val="center"/>
            <w:hideMark/>
          </w:tcPr>
          <w:p w:rsidR="00D0348D" w:rsidRPr="00E66664" w14:paraId="0F33885C"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4702F276"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571C65D1"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777AF1AB"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429618CB"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1341FE56" w14:textId="77777777">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D0348D" w:rsidRPr="00E66664" w14:paraId="65C6F3DE" w14:textId="77777777">
            <w:pPr>
              <w:spacing w:after="0" w:line="240" w:lineRule="auto"/>
              <w:rPr>
                <w:rFonts w:ascii="Times New Roman" w:eastAsia="Times New Roman" w:hAnsi="Times New Roman"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D0348D" w:rsidRPr="00E66664" w14:paraId="1C86888E" w14:textId="77777777">
            <w:pPr>
              <w:spacing w:after="0" w:line="240" w:lineRule="auto"/>
              <w:rPr>
                <w:rFonts w:ascii="Times New Roman" w:eastAsia="Times New Roman" w:hAnsi="Times New Roman" w:cs="Times New Roman"/>
                <w:color w:val="000000"/>
              </w:rPr>
            </w:pPr>
          </w:p>
        </w:tc>
      </w:tr>
      <w:tr w14:paraId="5CC855A0" w14:textId="77777777" w:rsidTr="005D66CE">
        <w:tblPrEx>
          <w:tblW w:w="10255" w:type="dxa"/>
          <w:tblLayout w:type="fixed"/>
          <w:tblLook w:val="04A0"/>
        </w:tblPrEx>
        <w:trPr>
          <w:trHeight w:val="450"/>
        </w:trPr>
        <w:tc>
          <w:tcPr>
            <w:tcW w:w="1795" w:type="dxa"/>
            <w:vMerge w:val="restart"/>
            <w:tcBorders>
              <w:top w:val="nil"/>
              <w:left w:val="single" w:sz="4" w:space="0" w:color="auto"/>
              <w:bottom w:val="single" w:sz="4" w:space="0" w:color="000000"/>
              <w:right w:val="single" w:sz="4" w:space="0" w:color="auto"/>
            </w:tcBorders>
            <w:vAlign w:val="center"/>
            <w:hideMark/>
          </w:tcPr>
          <w:p w:rsidR="00D0348D" w:rsidRPr="00E66664" w14:paraId="6DA07E02" w14:textId="6F190904">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00207B">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00207B">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ETM </w:t>
            </w:r>
            <w:r w:rsidR="0000207B">
              <w:rPr>
                <w:rFonts w:ascii="Times New Roman" w:eastAsia="Times New Roman" w:hAnsi="Times New Roman" w:cs="Times New Roman"/>
                <w:color w:val="000000"/>
              </w:rPr>
              <w:t>L</w:t>
            </w:r>
            <w:r w:rsidRPr="00E66664">
              <w:rPr>
                <w:rFonts w:ascii="Times New Roman" w:eastAsia="Times New Roman" w:hAnsi="Times New Roman" w:cs="Times New Roman"/>
                <w:color w:val="000000"/>
              </w:rPr>
              <w:t xml:space="preserve">ocal </w:t>
            </w:r>
            <w:r w:rsidR="0000207B">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ite </w:t>
            </w:r>
            <w:r w:rsidR="0000207B">
              <w:rPr>
                <w:rFonts w:ascii="Times New Roman" w:eastAsia="Times New Roman" w:hAnsi="Times New Roman" w:cs="Times New Roman"/>
                <w:color w:val="000000"/>
              </w:rPr>
              <w:t>A</w:t>
            </w:r>
            <w:r w:rsidRPr="00E66664">
              <w:rPr>
                <w:rFonts w:ascii="Times New Roman" w:eastAsia="Times New Roman" w:hAnsi="Times New Roman" w:cs="Times New Roman"/>
                <w:color w:val="000000"/>
              </w:rPr>
              <w:t>dministrators</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624D7B" w14:paraId="410F0D4F" w14:textId="2BEB7D6C">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6</w:t>
            </w:r>
            <w:r w:rsidR="00624D7B">
              <w:rPr>
                <w:rFonts w:ascii="Times New Roman" w:eastAsia="Times New Roman" w:hAnsi="Times New Roman" w:cs="Times New Roman"/>
                <w:color w:val="000000"/>
                <w:vertAlign w:val="superscript"/>
              </w:rPr>
              <w:t>h</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E66664" w14:paraId="797E6FD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029519F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6</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2D110B3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01E72C1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6</w:t>
            </w:r>
          </w:p>
        </w:tc>
        <w:tc>
          <w:tcPr>
            <w:tcW w:w="990" w:type="dxa"/>
            <w:vMerge w:val="restart"/>
            <w:tcBorders>
              <w:top w:val="nil"/>
              <w:left w:val="single" w:sz="4" w:space="0" w:color="auto"/>
              <w:bottom w:val="single" w:sz="4" w:space="0" w:color="auto"/>
              <w:right w:val="single" w:sz="4" w:space="0" w:color="auto"/>
            </w:tcBorders>
            <w:noWrap/>
            <w:vAlign w:val="center"/>
            <w:hideMark/>
          </w:tcPr>
          <w:p w:rsidR="00D0348D" w:rsidRPr="00624D7B" w14:paraId="1C929425" w14:textId="0D93B7AA">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$41.39</w:t>
            </w:r>
            <w:r w:rsidR="00624D7B">
              <w:rPr>
                <w:rFonts w:ascii="Times New Roman" w:eastAsia="Times New Roman" w:hAnsi="Times New Roman" w:cs="Times New Roman"/>
                <w:color w:val="000000"/>
                <w:vertAlign w:val="superscript"/>
              </w:rPr>
              <w:t>g</w:t>
            </w:r>
          </w:p>
        </w:tc>
        <w:tc>
          <w:tcPr>
            <w:tcW w:w="1260" w:type="dxa"/>
            <w:vMerge w:val="restart"/>
            <w:tcBorders>
              <w:top w:val="nil"/>
              <w:left w:val="single" w:sz="4" w:space="0" w:color="auto"/>
              <w:bottom w:val="single" w:sz="4" w:space="0" w:color="000000"/>
              <w:right w:val="single" w:sz="4" w:space="0" w:color="auto"/>
            </w:tcBorders>
            <w:noWrap/>
            <w:vAlign w:val="center"/>
            <w:hideMark/>
          </w:tcPr>
          <w:p w:rsidR="00D0348D" w:rsidRPr="00E66664" w14:paraId="3E4A0E9C" w14:textId="4F0A5C31">
            <w:pPr>
              <w:spacing w:after="0" w:line="240" w:lineRule="auto"/>
              <w:jc w:val="center"/>
              <w:rPr>
                <w:rFonts w:ascii="Times New Roman" w:eastAsia="Times New Roman" w:hAnsi="Times New Roman" w:cs="Times New Roman"/>
                <w:color w:val="000000"/>
              </w:rPr>
            </w:pPr>
            <w:r w:rsidRPr="00590165">
              <w:rPr>
                <w:rFonts w:ascii="Times New Roman" w:eastAsia="Times New Roman" w:hAnsi="Times New Roman" w:cs="Times New Roman"/>
                <w:color w:val="000000"/>
              </w:rPr>
              <w:t>$248.34</w:t>
            </w:r>
          </w:p>
        </w:tc>
      </w:tr>
      <w:tr w14:paraId="48AFB7F6" w14:textId="77777777" w:rsidTr="005D66CE">
        <w:tblPrEx>
          <w:tblW w:w="10255" w:type="dxa"/>
          <w:tblLayout w:type="fixed"/>
          <w:tblLook w:val="04A0"/>
        </w:tblPrEx>
        <w:trPr>
          <w:trHeight w:val="710"/>
        </w:trPr>
        <w:tc>
          <w:tcPr>
            <w:tcW w:w="1795" w:type="dxa"/>
            <w:vMerge/>
            <w:tcBorders>
              <w:top w:val="nil"/>
              <w:left w:val="single" w:sz="4" w:space="0" w:color="auto"/>
              <w:bottom w:val="single" w:sz="4" w:space="0" w:color="000000"/>
              <w:right w:val="single" w:sz="4" w:space="0" w:color="auto"/>
            </w:tcBorders>
            <w:vAlign w:val="center"/>
            <w:hideMark/>
          </w:tcPr>
          <w:p w:rsidR="00D0348D" w:rsidRPr="00E66664" w14:paraId="0C89BE42"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1B54A95E"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19F24841"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7ECA9590"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3CD8BF1B"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62284A25" w14:textId="77777777">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D0348D" w:rsidRPr="00E66664" w14:paraId="3EB15764" w14:textId="77777777">
            <w:pPr>
              <w:spacing w:after="0" w:line="240" w:lineRule="auto"/>
              <w:rPr>
                <w:rFonts w:ascii="Times New Roman" w:eastAsia="Times New Roman" w:hAnsi="Times New Roman"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D0348D" w:rsidRPr="00E66664" w14:paraId="34726B06" w14:textId="77777777">
            <w:pPr>
              <w:spacing w:after="0" w:line="240" w:lineRule="auto"/>
              <w:rPr>
                <w:rFonts w:ascii="Times New Roman" w:eastAsia="Times New Roman" w:hAnsi="Times New Roman" w:cs="Times New Roman"/>
                <w:color w:val="000000"/>
              </w:rPr>
            </w:pPr>
          </w:p>
        </w:tc>
      </w:tr>
      <w:tr w14:paraId="5E293D3E" w14:textId="77777777" w:rsidTr="005D66CE">
        <w:tblPrEx>
          <w:tblW w:w="10255" w:type="dxa"/>
          <w:tblLayout w:type="fixed"/>
          <w:tblLook w:val="04A0"/>
        </w:tblPrEx>
        <w:trPr>
          <w:trHeight w:val="450"/>
        </w:trPr>
        <w:tc>
          <w:tcPr>
            <w:tcW w:w="1795" w:type="dxa"/>
            <w:vMerge w:val="restart"/>
            <w:tcBorders>
              <w:top w:val="nil"/>
              <w:left w:val="single" w:sz="4" w:space="0" w:color="auto"/>
              <w:bottom w:val="single" w:sz="4" w:space="0" w:color="000000"/>
              <w:right w:val="single" w:sz="4" w:space="0" w:color="auto"/>
            </w:tcBorders>
            <w:vAlign w:val="center"/>
            <w:hideMark/>
          </w:tcPr>
          <w:p w:rsidR="00D0348D" w:rsidRPr="00E66664" w14:paraId="00D258D1" w14:textId="2144CBB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00207B">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00207B">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ETM </w:t>
            </w:r>
            <w:r w:rsidR="0000207B">
              <w:rPr>
                <w:rFonts w:ascii="Times New Roman" w:eastAsia="Times New Roman" w:hAnsi="Times New Roman" w:cs="Times New Roman"/>
                <w:color w:val="000000"/>
              </w:rPr>
              <w:t>C</w:t>
            </w:r>
            <w:r w:rsidRPr="00E66664">
              <w:rPr>
                <w:rFonts w:ascii="Times New Roman" w:eastAsia="Times New Roman" w:hAnsi="Times New Roman" w:cs="Times New Roman"/>
                <w:color w:val="000000"/>
              </w:rPr>
              <w:t xml:space="preserve">ase </w:t>
            </w:r>
            <w:r w:rsidR="0000207B">
              <w:rPr>
                <w:rFonts w:ascii="Times New Roman" w:eastAsia="Times New Roman" w:hAnsi="Times New Roman" w:cs="Times New Roman"/>
                <w:color w:val="000000"/>
              </w:rPr>
              <w:t>M</w:t>
            </w:r>
            <w:r w:rsidRPr="00E66664">
              <w:rPr>
                <w:rFonts w:ascii="Times New Roman" w:eastAsia="Times New Roman" w:hAnsi="Times New Roman" w:cs="Times New Roman"/>
                <w:color w:val="000000"/>
              </w:rPr>
              <w:t xml:space="preserve">anagers </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7776F7" w14:paraId="20A603B3" w14:textId="49D9BCE4">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16</w:t>
            </w:r>
            <w:r w:rsidR="007776F7">
              <w:rPr>
                <w:rFonts w:ascii="Times New Roman" w:eastAsia="Times New Roman" w:hAnsi="Times New Roman" w:cs="Times New Roman"/>
                <w:color w:val="000000"/>
                <w:vertAlign w:val="superscript"/>
              </w:rPr>
              <w:t>i</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E66664" w14:paraId="1BE89F3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4631581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16</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6E0C33CA"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652BC9F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16</w:t>
            </w:r>
          </w:p>
        </w:tc>
        <w:tc>
          <w:tcPr>
            <w:tcW w:w="990" w:type="dxa"/>
            <w:vMerge w:val="restart"/>
            <w:tcBorders>
              <w:top w:val="nil"/>
              <w:left w:val="single" w:sz="4" w:space="0" w:color="auto"/>
              <w:bottom w:val="single" w:sz="4" w:space="0" w:color="auto"/>
              <w:right w:val="single" w:sz="4" w:space="0" w:color="auto"/>
            </w:tcBorders>
            <w:noWrap/>
            <w:vAlign w:val="center"/>
            <w:hideMark/>
          </w:tcPr>
          <w:p w:rsidR="00D0348D" w:rsidRPr="00E66664" w14:paraId="5BEFCCB0" w14:textId="7377B552">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$34.38</w:t>
            </w:r>
            <w:r w:rsidR="007776F7">
              <w:rPr>
                <w:rFonts w:ascii="Times New Roman" w:eastAsia="Times New Roman" w:hAnsi="Times New Roman" w:cs="Times New Roman"/>
                <w:color w:val="000000"/>
                <w:vertAlign w:val="superscript"/>
              </w:rPr>
              <w:t>d</w:t>
            </w:r>
          </w:p>
        </w:tc>
        <w:tc>
          <w:tcPr>
            <w:tcW w:w="1260" w:type="dxa"/>
            <w:vMerge w:val="restart"/>
            <w:tcBorders>
              <w:top w:val="nil"/>
              <w:left w:val="single" w:sz="4" w:space="0" w:color="auto"/>
              <w:bottom w:val="single" w:sz="4" w:space="0" w:color="000000"/>
              <w:right w:val="single" w:sz="4" w:space="0" w:color="auto"/>
            </w:tcBorders>
            <w:noWrap/>
            <w:vAlign w:val="center"/>
            <w:hideMark/>
          </w:tcPr>
          <w:p w:rsidR="00D0348D" w:rsidRPr="00E66664" w14:paraId="198C727A" w14:textId="5B7F99BE">
            <w:pPr>
              <w:spacing w:after="0" w:line="240" w:lineRule="auto"/>
              <w:jc w:val="center"/>
              <w:rPr>
                <w:rFonts w:ascii="Times New Roman" w:eastAsia="Times New Roman" w:hAnsi="Times New Roman" w:cs="Times New Roman"/>
                <w:color w:val="000000"/>
              </w:rPr>
            </w:pPr>
            <w:r w:rsidRPr="00590165">
              <w:rPr>
                <w:rFonts w:ascii="Times New Roman" w:eastAsia="Times New Roman" w:hAnsi="Times New Roman" w:cs="Times New Roman"/>
                <w:color w:val="000000"/>
              </w:rPr>
              <w:t>$550.08</w:t>
            </w:r>
          </w:p>
        </w:tc>
      </w:tr>
      <w:tr w14:paraId="21F58CB1" w14:textId="77777777" w:rsidTr="005D66CE">
        <w:tblPrEx>
          <w:tblW w:w="10255" w:type="dxa"/>
          <w:tblLayout w:type="fixed"/>
          <w:tblLook w:val="04A0"/>
        </w:tblPrEx>
        <w:trPr>
          <w:trHeight w:val="560"/>
        </w:trPr>
        <w:tc>
          <w:tcPr>
            <w:tcW w:w="1795" w:type="dxa"/>
            <w:vMerge/>
            <w:tcBorders>
              <w:top w:val="nil"/>
              <w:left w:val="single" w:sz="4" w:space="0" w:color="auto"/>
              <w:bottom w:val="single" w:sz="4" w:space="0" w:color="000000"/>
              <w:right w:val="single" w:sz="4" w:space="0" w:color="auto"/>
            </w:tcBorders>
            <w:vAlign w:val="center"/>
            <w:hideMark/>
          </w:tcPr>
          <w:p w:rsidR="00D0348D" w:rsidRPr="00E66664" w14:paraId="6F1F5E25"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216B9D7D"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38859B8D"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78AD5393"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2C6C2910"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4C700BA0" w14:textId="77777777">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D0348D" w:rsidRPr="00E66664" w14:paraId="017AD78A" w14:textId="77777777">
            <w:pPr>
              <w:spacing w:after="0" w:line="240" w:lineRule="auto"/>
              <w:rPr>
                <w:rFonts w:ascii="Times New Roman" w:eastAsia="Times New Roman" w:hAnsi="Times New Roman"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D0348D" w:rsidRPr="00E66664" w14:paraId="60AB7783" w14:textId="77777777">
            <w:pPr>
              <w:spacing w:after="0" w:line="240" w:lineRule="auto"/>
              <w:rPr>
                <w:rFonts w:ascii="Times New Roman" w:eastAsia="Times New Roman" w:hAnsi="Times New Roman" w:cs="Times New Roman"/>
                <w:color w:val="000000"/>
              </w:rPr>
            </w:pPr>
          </w:p>
        </w:tc>
      </w:tr>
      <w:tr w14:paraId="40CA4304"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shd w:val="clear" w:color="auto" w:fill="EAEAEA"/>
            <w:vAlign w:val="center"/>
            <w:hideMark/>
          </w:tcPr>
          <w:p w:rsidR="00D0348D" w:rsidRPr="00E66664" w14:paraId="58E70912" w14:textId="6747E95F">
            <w:pPr>
              <w:spacing w:after="0" w:line="240" w:lineRule="auto"/>
              <w:jc w:val="center"/>
              <w:rPr>
                <w:rFonts w:ascii="Times New Roman" w:eastAsia="Times New Roman" w:hAnsi="Times New Roman" w:cs="Times New Roman"/>
                <w:b/>
                <w:bCs/>
                <w:i/>
                <w:iCs/>
                <w:color w:val="000000"/>
              </w:rPr>
            </w:pPr>
            <w:r w:rsidRPr="00E66664">
              <w:rPr>
                <w:rFonts w:ascii="Times New Roman" w:eastAsia="Times New Roman" w:hAnsi="Times New Roman" w:cs="Times New Roman"/>
                <w:b/>
                <w:bCs/>
                <w:i/>
                <w:iCs/>
                <w:color w:val="000000"/>
              </w:rPr>
              <w:t>Partner</w:t>
            </w:r>
            <w:r w:rsidR="00E10C90">
              <w:rPr>
                <w:rFonts w:ascii="Times New Roman" w:eastAsia="Times New Roman" w:hAnsi="Times New Roman" w:cs="Times New Roman"/>
                <w:b/>
                <w:bCs/>
                <w:i/>
                <w:iCs/>
                <w:color w:val="000000"/>
              </w:rPr>
              <w:t>ing</w:t>
            </w:r>
            <w:r w:rsidRPr="00E66664">
              <w:rPr>
                <w:rFonts w:ascii="Times New Roman" w:eastAsia="Times New Roman" w:hAnsi="Times New Roman" w:cs="Times New Roman"/>
                <w:b/>
                <w:bCs/>
                <w:i/>
                <w:iCs/>
                <w:color w:val="000000"/>
              </w:rPr>
              <w:t xml:space="preserve"> Activities</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3253E23D"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571B0AD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437AA06F"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5269981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37FD8FEA"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EAEAEA"/>
            <w:noWrap/>
            <w:vAlign w:val="center"/>
            <w:hideMark/>
          </w:tcPr>
          <w:p w:rsidR="00D0348D" w:rsidRPr="00E66664" w14:paraId="1586D5C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EAEAEA"/>
            <w:noWrap/>
            <w:vAlign w:val="center"/>
            <w:hideMark/>
          </w:tcPr>
          <w:p w:rsidR="00D0348D" w:rsidRPr="00E66664" w14:paraId="70C32D7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5FD39D37"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2A79BFE1" w14:textId="472AD815">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Partner</w:t>
            </w:r>
            <w:r w:rsidR="00E10C90">
              <w:rPr>
                <w:rFonts w:ascii="Times New Roman" w:eastAsia="Times New Roman" w:hAnsi="Times New Roman" w:cs="Times New Roman"/>
                <w:color w:val="000000"/>
              </w:rPr>
              <w:t>ing</w:t>
            </w:r>
            <w:r w:rsidRPr="00E66664">
              <w:rPr>
                <w:rFonts w:ascii="Times New Roman" w:eastAsia="Times New Roman" w:hAnsi="Times New Roman" w:cs="Times New Roman"/>
                <w:color w:val="000000"/>
              </w:rPr>
              <w:t xml:space="preserve"> </w:t>
            </w:r>
            <w:r w:rsidR="005A7CA3">
              <w:rPr>
                <w:rFonts w:ascii="Times New Roman" w:eastAsia="Times New Roman" w:hAnsi="Times New Roman" w:cs="Times New Roman"/>
                <w:color w:val="000000"/>
              </w:rPr>
              <w:t>L</w:t>
            </w:r>
            <w:r w:rsidRPr="00E66664">
              <w:rPr>
                <w:rFonts w:ascii="Times New Roman" w:eastAsia="Times New Roman" w:hAnsi="Times New Roman" w:cs="Times New Roman"/>
                <w:color w:val="000000"/>
              </w:rPr>
              <w:t xml:space="preserve">ist for ETM </w:t>
            </w:r>
            <w:r w:rsidR="005A7CA3">
              <w:rPr>
                <w:rFonts w:ascii="Times New Roman" w:eastAsia="Times New Roman" w:hAnsi="Times New Roman" w:cs="Times New Roman"/>
                <w:color w:val="000000"/>
              </w:rPr>
              <w:t>L</w:t>
            </w:r>
            <w:r w:rsidRPr="00E66664">
              <w:rPr>
                <w:rFonts w:ascii="Times New Roman" w:eastAsia="Times New Roman" w:hAnsi="Times New Roman" w:cs="Times New Roman"/>
                <w:color w:val="000000"/>
              </w:rPr>
              <w:t xml:space="preserve">ocal </w:t>
            </w:r>
            <w:r w:rsidR="005A7CA3">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ite </w:t>
            </w:r>
            <w:r w:rsidR="005A7CA3">
              <w:rPr>
                <w:rFonts w:ascii="Times New Roman" w:eastAsia="Times New Roman" w:hAnsi="Times New Roman" w:cs="Times New Roman"/>
                <w:color w:val="000000"/>
              </w:rPr>
              <w:t>A</w:t>
            </w:r>
            <w:r w:rsidRPr="00E66664">
              <w:rPr>
                <w:rFonts w:ascii="Times New Roman" w:eastAsia="Times New Roman" w:hAnsi="Times New Roman" w:cs="Times New Roman"/>
                <w:color w:val="000000"/>
              </w:rPr>
              <w:t>dministrators</w:t>
            </w:r>
          </w:p>
        </w:tc>
        <w:tc>
          <w:tcPr>
            <w:tcW w:w="1350" w:type="dxa"/>
            <w:tcBorders>
              <w:top w:val="nil"/>
              <w:left w:val="nil"/>
              <w:bottom w:val="single" w:sz="4" w:space="0" w:color="auto"/>
              <w:right w:val="single" w:sz="4" w:space="0" w:color="auto"/>
            </w:tcBorders>
            <w:vAlign w:val="center"/>
            <w:hideMark/>
          </w:tcPr>
          <w:p w:rsidR="00D0348D" w:rsidRPr="00581BF1" w14:paraId="1BC2E2E6" w14:textId="2557D1E5">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13</w:t>
            </w:r>
            <w:r w:rsidR="00581BF1">
              <w:rPr>
                <w:rFonts w:ascii="Times New Roman" w:eastAsia="Times New Roman" w:hAnsi="Times New Roman" w:cs="Times New Roman"/>
                <w:color w:val="000000"/>
                <w:vertAlign w:val="superscript"/>
              </w:rPr>
              <w:t>j</w:t>
            </w:r>
          </w:p>
        </w:tc>
        <w:tc>
          <w:tcPr>
            <w:tcW w:w="1350" w:type="dxa"/>
            <w:tcBorders>
              <w:top w:val="nil"/>
              <w:left w:val="nil"/>
              <w:bottom w:val="single" w:sz="4" w:space="0" w:color="auto"/>
              <w:right w:val="single" w:sz="4" w:space="0" w:color="auto"/>
            </w:tcBorders>
            <w:vAlign w:val="center"/>
            <w:hideMark/>
          </w:tcPr>
          <w:p w:rsidR="00D0348D" w:rsidRPr="00E66664" w14:paraId="1E8741F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45FA3AE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13</w:t>
            </w:r>
          </w:p>
        </w:tc>
        <w:tc>
          <w:tcPr>
            <w:tcW w:w="1170" w:type="dxa"/>
            <w:tcBorders>
              <w:top w:val="nil"/>
              <w:left w:val="nil"/>
              <w:bottom w:val="single" w:sz="4" w:space="0" w:color="auto"/>
              <w:right w:val="single" w:sz="4" w:space="0" w:color="auto"/>
            </w:tcBorders>
            <w:vAlign w:val="center"/>
            <w:hideMark/>
          </w:tcPr>
          <w:p w:rsidR="00D0348D" w:rsidRPr="00E66664" w14:paraId="2BB1B2A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5B1EFC7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13</w:t>
            </w:r>
          </w:p>
        </w:tc>
        <w:tc>
          <w:tcPr>
            <w:tcW w:w="990" w:type="dxa"/>
            <w:tcBorders>
              <w:top w:val="nil"/>
              <w:left w:val="nil"/>
              <w:bottom w:val="single" w:sz="4" w:space="0" w:color="auto"/>
              <w:right w:val="single" w:sz="4" w:space="0" w:color="auto"/>
            </w:tcBorders>
            <w:vAlign w:val="center"/>
            <w:hideMark/>
          </w:tcPr>
          <w:p w:rsidR="00D0348D" w:rsidRPr="008A563D" w14:paraId="4EC7641A" w14:textId="23B5AA7E">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color w:val="000000"/>
              </w:rPr>
              <w:t>$41.39</w:t>
            </w:r>
            <w:r w:rsidR="008A563D">
              <w:rPr>
                <w:rFonts w:ascii="Times New Roman" w:eastAsia="Times New Roman" w:hAnsi="Times New Roman" w:cs="Times New Roman"/>
                <w:color w:val="000000"/>
                <w:vertAlign w:val="superscript"/>
              </w:rPr>
              <w:t>g</w:t>
            </w:r>
          </w:p>
        </w:tc>
        <w:tc>
          <w:tcPr>
            <w:tcW w:w="1260" w:type="dxa"/>
            <w:tcBorders>
              <w:top w:val="nil"/>
              <w:left w:val="nil"/>
              <w:bottom w:val="single" w:sz="4" w:space="0" w:color="auto"/>
              <w:right w:val="single" w:sz="4" w:space="0" w:color="auto"/>
            </w:tcBorders>
            <w:noWrap/>
            <w:vAlign w:val="center"/>
            <w:hideMark/>
          </w:tcPr>
          <w:p w:rsidR="00D0348D" w:rsidRPr="00E66664" w14:paraId="5258063F"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$538.07</w:t>
            </w:r>
          </w:p>
        </w:tc>
      </w:tr>
      <w:tr w14:paraId="530C3EBD" w14:textId="77777777" w:rsidTr="005D66CE">
        <w:tblPrEx>
          <w:tblW w:w="10255" w:type="dxa"/>
          <w:tblLayout w:type="fixed"/>
          <w:tblLook w:val="04A0"/>
        </w:tblPrEx>
        <w:trPr>
          <w:trHeight w:val="1960"/>
        </w:trPr>
        <w:tc>
          <w:tcPr>
            <w:tcW w:w="1795" w:type="dxa"/>
            <w:tcBorders>
              <w:top w:val="nil"/>
              <w:left w:val="single" w:sz="4" w:space="0" w:color="auto"/>
              <w:bottom w:val="single" w:sz="4" w:space="0" w:color="auto"/>
              <w:right w:val="single" w:sz="4" w:space="0" w:color="auto"/>
            </w:tcBorders>
            <w:vAlign w:val="center"/>
            <w:hideMark/>
          </w:tcPr>
          <w:p w:rsidR="00D0348D" w:rsidRPr="00E66664" w14:paraId="544320BE" w14:textId="0E7BC98D">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5A7CA3">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5A7CA3">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ETM </w:t>
            </w:r>
            <w:r w:rsidR="005A7CA3">
              <w:rPr>
                <w:rFonts w:ascii="Times New Roman" w:eastAsia="Times New Roman" w:hAnsi="Times New Roman" w:cs="Times New Roman"/>
                <w:color w:val="000000"/>
              </w:rPr>
              <w:t>L</w:t>
            </w:r>
            <w:r w:rsidRPr="00E66664">
              <w:rPr>
                <w:rFonts w:ascii="Times New Roman" w:eastAsia="Times New Roman" w:hAnsi="Times New Roman" w:cs="Times New Roman"/>
                <w:color w:val="000000"/>
              </w:rPr>
              <w:t xml:space="preserve">ocal </w:t>
            </w:r>
            <w:r w:rsidR="005A7CA3">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ite </w:t>
            </w:r>
            <w:r w:rsidR="005A7CA3">
              <w:rPr>
                <w:rFonts w:ascii="Times New Roman" w:eastAsia="Times New Roman" w:hAnsi="Times New Roman" w:cs="Times New Roman"/>
                <w:color w:val="000000"/>
              </w:rPr>
              <w:t>A</w:t>
            </w:r>
            <w:r w:rsidRPr="00E66664">
              <w:rPr>
                <w:rFonts w:ascii="Times New Roman" w:eastAsia="Times New Roman" w:hAnsi="Times New Roman" w:cs="Times New Roman"/>
                <w:color w:val="000000"/>
              </w:rPr>
              <w:t>dministrators on</w:t>
            </w:r>
            <w:r>
              <w:rPr>
                <w:rFonts w:ascii="Times New Roman" w:eastAsia="Times New Roman" w:hAnsi="Times New Roman" w:cs="Times New Roman"/>
                <w:color w:val="000000"/>
              </w:rPr>
              <w:t xml:space="preserve"> </w:t>
            </w:r>
            <w:r w:rsidR="005A7CA3">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artner</w:t>
            </w:r>
            <w:r w:rsidR="00C026D4">
              <w:rPr>
                <w:rFonts w:ascii="Times New Roman" w:eastAsia="Times New Roman" w:hAnsi="Times New Roman" w:cs="Times New Roman"/>
                <w:color w:val="000000"/>
              </w:rPr>
              <w:t>ing</w:t>
            </w:r>
            <w:r w:rsidRPr="00E66664">
              <w:rPr>
                <w:rFonts w:ascii="Times New Roman" w:eastAsia="Times New Roman" w:hAnsi="Times New Roman" w:cs="Times New Roman"/>
                <w:color w:val="000000"/>
              </w:rPr>
              <w:t xml:space="preserve"> </w:t>
            </w:r>
            <w:r w:rsidR="005A7CA3">
              <w:rPr>
                <w:rFonts w:ascii="Times New Roman" w:eastAsia="Times New Roman" w:hAnsi="Times New Roman" w:cs="Times New Roman"/>
                <w:color w:val="000000"/>
              </w:rPr>
              <w:t>A</w:t>
            </w:r>
            <w:r w:rsidRPr="00E66664">
              <w:rPr>
                <w:rFonts w:ascii="Times New Roman" w:eastAsia="Times New Roman" w:hAnsi="Times New Roman" w:cs="Times New Roman"/>
                <w:color w:val="000000"/>
              </w:rPr>
              <w:t xml:space="preserve">ctivities  </w:t>
            </w:r>
          </w:p>
        </w:tc>
        <w:tc>
          <w:tcPr>
            <w:tcW w:w="1350" w:type="dxa"/>
            <w:tcBorders>
              <w:top w:val="nil"/>
              <w:left w:val="nil"/>
              <w:bottom w:val="single" w:sz="4" w:space="0" w:color="auto"/>
              <w:right w:val="single" w:sz="4" w:space="0" w:color="auto"/>
            </w:tcBorders>
            <w:vAlign w:val="center"/>
            <w:hideMark/>
          </w:tcPr>
          <w:p w:rsidR="00D0348D" w:rsidRPr="00141090" w14:paraId="2E4C0A17" w14:textId="109BCF63">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13</w:t>
            </w:r>
            <w:r w:rsidR="00141090">
              <w:rPr>
                <w:rFonts w:ascii="Times New Roman" w:eastAsia="Times New Roman" w:hAnsi="Times New Roman" w:cs="Times New Roman"/>
                <w:color w:val="000000"/>
                <w:vertAlign w:val="superscript"/>
              </w:rPr>
              <w:t>k</w:t>
            </w:r>
          </w:p>
        </w:tc>
        <w:tc>
          <w:tcPr>
            <w:tcW w:w="1350" w:type="dxa"/>
            <w:tcBorders>
              <w:top w:val="nil"/>
              <w:left w:val="nil"/>
              <w:bottom w:val="single" w:sz="4" w:space="0" w:color="auto"/>
              <w:right w:val="single" w:sz="4" w:space="0" w:color="auto"/>
            </w:tcBorders>
            <w:vAlign w:val="center"/>
            <w:hideMark/>
          </w:tcPr>
          <w:p w:rsidR="00D0348D" w:rsidRPr="00E66664" w14:paraId="362BF1D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4EEA9F8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13</w:t>
            </w:r>
          </w:p>
        </w:tc>
        <w:tc>
          <w:tcPr>
            <w:tcW w:w="1170" w:type="dxa"/>
            <w:tcBorders>
              <w:top w:val="nil"/>
              <w:left w:val="nil"/>
              <w:bottom w:val="single" w:sz="4" w:space="0" w:color="auto"/>
              <w:right w:val="single" w:sz="4" w:space="0" w:color="auto"/>
            </w:tcBorders>
            <w:vAlign w:val="center"/>
            <w:hideMark/>
          </w:tcPr>
          <w:p w:rsidR="00D0348D" w:rsidRPr="00E66664" w14:paraId="19F5C0C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03F14C8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13</w:t>
            </w:r>
          </w:p>
        </w:tc>
        <w:tc>
          <w:tcPr>
            <w:tcW w:w="990" w:type="dxa"/>
            <w:tcBorders>
              <w:top w:val="nil"/>
              <w:left w:val="nil"/>
              <w:bottom w:val="single" w:sz="4" w:space="0" w:color="auto"/>
              <w:right w:val="single" w:sz="4" w:space="0" w:color="auto"/>
            </w:tcBorders>
            <w:vAlign w:val="center"/>
            <w:hideMark/>
          </w:tcPr>
          <w:p w:rsidR="00D0348D" w:rsidRPr="00E66664" w14:paraId="5B111C99" w14:textId="0B5A6A22">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$41.39</w:t>
            </w:r>
            <w:r w:rsidR="008A563D">
              <w:rPr>
                <w:rFonts w:ascii="Times New Roman" w:eastAsia="Times New Roman" w:hAnsi="Times New Roman" w:cs="Times New Roman"/>
                <w:color w:val="000000"/>
                <w:vertAlign w:val="superscript"/>
              </w:rPr>
              <w:t>g</w:t>
            </w:r>
          </w:p>
        </w:tc>
        <w:tc>
          <w:tcPr>
            <w:tcW w:w="1260" w:type="dxa"/>
            <w:tcBorders>
              <w:top w:val="nil"/>
              <w:left w:val="nil"/>
              <w:bottom w:val="single" w:sz="4" w:space="0" w:color="auto"/>
              <w:right w:val="single" w:sz="4" w:space="0" w:color="auto"/>
            </w:tcBorders>
            <w:noWrap/>
            <w:vAlign w:val="center"/>
            <w:hideMark/>
          </w:tcPr>
          <w:p w:rsidR="00D0348D" w:rsidRPr="00E66664" w14:paraId="3A82FFB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$538.07</w:t>
            </w:r>
          </w:p>
        </w:tc>
      </w:tr>
      <w:tr w14:paraId="62CDB48F" w14:textId="77777777" w:rsidTr="005D66CE">
        <w:tblPrEx>
          <w:tblW w:w="10255" w:type="dxa"/>
          <w:tblLayout w:type="fixed"/>
          <w:tblLook w:val="04A0"/>
        </w:tblPrEx>
        <w:trPr>
          <w:trHeight w:val="560"/>
        </w:trPr>
        <w:tc>
          <w:tcPr>
            <w:tcW w:w="1795" w:type="dxa"/>
            <w:tcBorders>
              <w:top w:val="nil"/>
              <w:left w:val="single" w:sz="4" w:space="0" w:color="auto"/>
              <w:bottom w:val="single" w:sz="4" w:space="0" w:color="auto"/>
              <w:right w:val="single" w:sz="4" w:space="0" w:color="auto"/>
            </w:tcBorders>
            <w:shd w:val="clear" w:color="auto" w:fill="EAEAEA"/>
            <w:vAlign w:val="center"/>
            <w:hideMark/>
          </w:tcPr>
          <w:p w:rsidR="00D0348D" w:rsidRPr="00E66664" w14:paraId="17CFBDF7" w14:textId="77777777">
            <w:pPr>
              <w:spacing w:after="0" w:line="240" w:lineRule="auto"/>
              <w:jc w:val="center"/>
              <w:rPr>
                <w:rFonts w:ascii="Times New Roman" w:eastAsia="Times New Roman" w:hAnsi="Times New Roman" w:cs="Times New Roman"/>
                <w:b/>
                <w:bCs/>
                <w:i/>
                <w:iCs/>
                <w:color w:val="000000"/>
              </w:rPr>
            </w:pPr>
            <w:r w:rsidRPr="00E66664">
              <w:rPr>
                <w:rFonts w:ascii="Times New Roman" w:eastAsia="Times New Roman" w:hAnsi="Times New Roman" w:cs="Times New Roman"/>
                <w:b/>
                <w:bCs/>
                <w:i/>
                <w:iCs/>
                <w:color w:val="000000"/>
              </w:rPr>
              <w:t xml:space="preserve">ETM Program Experiences </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17B7766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74457CA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28CBA72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27D740B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07DB121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EAEAEA"/>
            <w:vAlign w:val="center"/>
            <w:hideMark/>
          </w:tcPr>
          <w:p w:rsidR="00D0348D" w:rsidRPr="00E66664" w14:paraId="7A50B84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EAEAEA"/>
            <w:noWrap/>
            <w:vAlign w:val="center"/>
            <w:hideMark/>
          </w:tcPr>
          <w:p w:rsidR="00D0348D" w:rsidRPr="00E66664" w14:paraId="05B9FB5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22C633A0" w14:textId="77777777" w:rsidTr="005D66CE">
        <w:tblPrEx>
          <w:tblW w:w="10255" w:type="dxa"/>
          <w:tblLayout w:type="fixed"/>
          <w:tblLook w:val="04A0"/>
        </w:tblPrEx>
        <w:trPr>
          <w:trHeight w:val="450"/>
        </w:trPr>
        <w:tc>
          <w:tcPr>
            <w:tcW w:w="1795" w:type="dxa"/>
            <w:vMerge w:val="restart"/>
            <w:tcBorders>
              <w:top w:val="nil"/>
              <w:left w:val="single" w:sz="4" w:space="0" w:color="auto"/>
              <w:bottom w:val="single" w:sz="4" w:space="0" w:color="000000"/>
              <w:right w:val="single" w:sz="4" w:space="0" w:color="auto"/>
            </w:tcBorders>
            <w:vAlign w:val="center"/>
            <w:hideMark/>
          </w:tcPr>
          <w:p w:rsidR="00D0348D" w:rsidRPr="00E66664" w14:paraId="0894C737" w14:textId="3BAA5001">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5A7CA3">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5A7CA3">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ETM </w:t>
            </w:r>
            <w:r w:rsidR="005A7CA3">
              <w:rPr>
                <w:rFonts w:ascii="Times New Roman" w:eastAsia="Times New Roman" w:hAnsi="Times New Roman" w:cs="Times New Roman"/>
                <w:color w:val="000000"/>
              </w:rPr>
              <w:t>Y</w:t>
            </w:r>
            <w:r w:rsidRPr="00E66664">
              <w:rPr>
                <w:rFonts w:ascii="Times New Roman" w:eastAsia="Times New Roman" w:hAnsi="Times New Roman" w:cs="Times New Roman"/>
                <w:color w:val="000000"/>
              </w:rPr>
              <w:t>outh</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C2187C" w14:paraId="4EAB46B9" w14:textId="03465CB2">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27</w:t>
            </w:r>
            <w:r w:rsidR="00C2187C">
              <w:rPr>
                <w:rFonts w:ascii="Times New Roman" w:eastAsia="Times New Roman" w:hAnsi="Times New Roman" w:cs="Times New Roman"/>
                <w:color w:val="000000"/>
                <w:vertAlign w:val="superscript"/>
              </w:rPr>
              <w:t>l</w:t>
            </w:r>
          </w:p>
        </w:tc>
        <w:tc>
          <w:tcPr>
            <w:tcW w:w="1350" w:type="dxa"/>
            <w:vMerge w:val="restart"/>
            <w:tcBorders>
              <w:top w:val="nil"/>
              <w:left w:val="single" w:sz="4" w:space="0" w:color="auto"/>
              <w:bottom w:val="single" w:sz="4" w:space="0" w:color="auto"/>
              <w:right w:val="single" w:sz="4" w:space="0" w:color="auto"/>
            </w:tcBorders>
            <w:vAlign w:val="center"/>
            <w:hideMark/>
          </w:tcPr>
          <w:p w:rsidR="00D0348D" w:rsidRPr="00E66664" w14:paraId="1BC4F47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6DE310C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27</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3B06BDAA"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vMerge w:val="restart"/>
            <w:tcBorders>
              <w:top w:val="nil"/>
              <w:left w:val="single" w:sz="4" w:space="0" w:color="auto"/>
              <w:bottom w:val="single" w:sz="4" w:space="0" w:color="auto"/>
              <w:right w:val="single" w:sz="4" w:space="0" w:color="auto"/>
            </w:tcBorders>
            <w:vAlign w:val="center"/>
            <w:hideMark/>
          </w:tcPr>
          <w:p w:rsidR="00D0348D" w:rsidRPr="00E66664" w14:paraId="0CA6FED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27</w:t>
            </w:r>
          </w:p>
        </w:tc>
        <w:tc>
          <w:tcPr>
            <w:tcW w:w="990" w:type="dxa"/>
            <w:vMerge w:val="restart"/>
            <w:tcBorders>
              <w:top w:val="nil"/>
              <w:left w:val="single" w:sz="4" w:space="0" w:color="auto"/>
              <w:bottom w:val="single" w:sz="4" w:space="0" w:color="auto"/>
              <w:right w:val="single" w:sz="4" w:space="0" w:color="auto"/>
            </w:tcBorders>
            <w:noWrap/>
            <w:vAlign w:val="center"/>
            <w:hideMark/>
          </w:tcPr>
          <w:p w:rsidR="00D0348D" w:rsidRPr="00C2187C" w14:paraId="7D8B875F" w14:textId="752B402B">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w:t>
            </w:r>
            <w:r w:rsidR="00623C72">
              <w:rPr>
                <w:rFonts w:ascii="Times New Roman" w:eastAsia="Times New Roman" w:hAnsi="Times New Roman" w:cs="Times New Roman"/>
                <w:color w:val="000000"/>
              </w:rPr>
              <w:t>12.72</w:t>
            </w:r>
            <w:r w:rsidR="00C2187C">
              <w:rPr>
                <w:rFonts w:ascii="Times New Roman" w:eastAsia="Times New Roman" w:hAnsi="Times New Roman" w:cs="Times New Roman"/>
                <w:color w:val="000000"/>
                <w:vertAlign w:val="superscript"/>
              </w:rPr>
              <w:t>b</w:t>
            </w:r>
          </w:p>
        </w:tc>
        <w:tc>
          <w:tcPr>
            <w:tcW w:w="1260" w:type="dxa"/>
            <w:vMerge w:val="restart"/>
            <w:tcBorders>
              <w:top w:val="nil"/>
              <w:left w:val="single" w:sz="4" w:space="0" w:color="auto"/>
              <w:bottom w:val="single" w:sz="4" w:space="0" w:color="000000"/>
              <w:right w:val="single" w:sz="4" w:space="0" w:color="auto"/>
            </w:tcBorders>
            <w:noWrap/>
            <w:vAlign w:val="center"/>
            <w:hideMark/>
          </w:tcPr>
          <w:p w:rsidR="00D0348D" w:rsidRPr="00E66664" w14:paraId="6CD53EB8" w14:textId="1749A1F1">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2B760A">
              <w:rPr>
                <w:rFonts w:ascii="Times New Roman" w:eastAsia="Times New Roman" w:hAnsi="Times New Roman" w:cs="Times New Roman"/>
                <w:color w:val="000000"/>
              </w:rPr>
              <w:t>343.44</w:t>
            </w:r>
          </w:p>
        </w:tc>
      </w:tr>
      <w:tr w14:paraId="7B98FF57" w14:textId="77777777" w:rsidTr="005D66CE">
        <w:tblPrEx>
          <w:tblW w:w="10255" w:type="dxa"/>
          <w:tblLayout w:type="fixed"/>
          <w:tblLook w:val="04A0"/>
        </w:tblPrEx>
        <w:trPr>
          <w:trHeight w:val="710"/>
        </w:trPr>
        <w:tc>
          <w:tcPr>
            <w:tcW w:w="1795" w:type="dxa"/>
            <w:vMerge/>
            <w:tcBorders>
              <w:top w:val="nil"/>
              <w:left w:val="single" w:sz="4" w:space="0" w:color="auto"/>
              <w:bottom w:val="single" w:sz="4" w:space="0" w:color="000000"/>
              <w:right w:val="single" w:sz="4" w:space="0" w:color="auto"/>
            </w:tcBorders>
            <w:vAlign w:val="center"/>
            <w:hideMark/>
          </w:tcPr>
          <w:p w:rsidR="00D0348D" w:rsidRPr="00E66664" w14:paraId="28B74B9B"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1ADC41EB"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D0348D" w:rsidRPr="00E66664" w14:paraId="0ED9883A"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4A4BC0DB"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57327CB4"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D0348D" w:rsidRPr="00E66664" w14:paraId="46E6FBDA" w14:textId="77777777">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D0348D" w:rsidRPr="00E66664" w14:paraId="2658BAB4" w14:textId="77777777">
            <w:pPr>
              <w:spacing w:after="0" w:line="240" w:lineRule="auto"/>
              <w:rPr>
                <w:rFonts w:ascii="Times New Roman" w:eastAsia="Times New Roman" w:hAnsi="Times New Roman" w:cs="Times New Roman"/>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D0348D" w:rsidRPr="00E66664" w14:paraId="34FF636F" w14:textId="77777777">
            <w:pPr>
              <w:spacing w:after="0" w:line="240" w:lineRule="auto"/>
              <w:rPr>
                <w:rFonts w:ascii="Times New Roman" w:eastAsia="Times New Roman" w:hAnsi="Times New Roman" w:cs="Times New Roman"/>
                <w:color w:val="000000"/>
              </w:rPr>
            </w:pPr>
          </w:p>
        </w:tc>
      </w:tr>
      <w:tr w14:paraId="0136BEBE"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4AB9C8E3" w14:textId="701C1C5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Semi-</w:t>
            </w:r>
            <w:r w:rsidR="005A7CA3">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tructured </w:t>
            </w:r>
            <w:r w:rsidR="005A7CA3">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w:t>
            </w:r>
            <w:r w:rsidR="005A7CA3">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arents</w:t>
            </w:r>
            <w:r w:rsidR="00DE077A">
              <w:rPr>
                <w:rFonts w:ascii="Times New Roman" w:eastAsia="Times New Roman" w:hAnsi="Times New Roman" w:cs="Times New Roman"/>
                <w:color w:val="000000"/>
              </w:rPr>
              <w:t xml:space="preserve"> and </w:t>
            </w:r>
            <w:r w:rsidR="005A7CA3">
              <w:rPr>
                <w:rFonts w:ascii="Times New Roman" w:eastAsia="Times New Roman" w:hAnsi="Times New Roman" w:cs="Times New Roman"/>
                <w:color w:val="000000"/>
              </w:rPr>
              <w:t>G</w:t>
            </w:r>
            <w:r w:rsidRPr="00E66664">
              <w:rPr>
                <w:rFonts w:ascii="Times New Roman" w:eastAsia="Times New Roman" w:hAnsi="Times New Roman" w:cs="Times New Roman"/>
                <w:color w:val="000000"/>
              </w:rPr>
              <w:t xml:space="preserve">uardians of ETM </w:t>
            </w:r>
            <w:r w:rsidR="005A7CA3">
              <w:rPr>
                <w:rFonts w:ascii="Times New Roman" w:eastAsia="Times New Roman" w:hAnsi="Times New Roman" w:cs="Times New Roman"/>
                <w:color w:val="000000"/>
              </w:rPr>
              <w:t>Y</w:t>
            </w:r>
            <w:r w:rsidRPr="00E66664">
              <w:rPr>
                <w:rFonts w:ascii="Times New Roman" w:eastAsia="Times New Roman" w:hAnsi="Times New Roman" w:cs="Times New Roman"/>
                <w:color w:val="000000"/>
              </w:rPr>
              <w:t>outh</w:t>
            </w:r>
          </w:p>
        </w:tc>
        <w:tc>
          <w:tcPr>
            <w:tcW w:w="1350" w:type="dxa"/>
            <w:tcBorders>
              <w:top w:val="nil"/>
              <w:left w:val="nil"/>
              <w:bottom w:val="single" w:sz="4" w:space="0" w:color="auto"/>
              <w:right w:val="single" w:sz="4" w:space="0" w:color="auto"/>
            </w:tcBorders>
            <w:vAlign w:val="center"/>
            <w:hideMark/>
          </w:tcPr>
          <w:p w:rsidR="00D0348D" w:rsidRPr="00C2187C" w14:paraId="545C8002" w14:textId="5F0F11DC">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22</w:t>
            </w:r>
            <w:r w:rsidR="00C2187C">
              <w:rPr>
                <w:rFonts w:ascii="Times New Roman" w:eastAsia="Times New Roman" w:hAnsi="Times New Roman" w:cs="Times New Roman"/>
                <w:color w:val="000000"/>
                <w:vertAlign w:val="superscript"/>
              </w:rPr>
              <w:t>m</w:t>
            </w:r>
          </w:p>
        </w:tc>
        <w:tc>
          <w:tcPr>
            <w:tcW w:w="1350" w:type="dxa"/>
            <w:tcBorders>
              <w:top w:val="nil"/>
              <w:left w:val="nil"/>
              <w:bottom w:val="single" w:sz="4" w:space="0" w:color="auto"/>
              <w:right w:val="single" w:sz="4" w:space="0" w:color="auto"/>
            </w:tcBorders>
            <w:vAlign w:val="center"/>
            <w:hideMark/>
          </w:tcPr>
          <w:p w:rsidR="00D0348D" w:rsidRPr="00E66664" w14:paraId="7BA7BAD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6CB8D74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22</w:t>
            </w:r>
          </w:p>
        </w:tc>
        <w:tc>
          <w:tcPr>
            <w:tcW w:w="1170" w:type="dxa"/>
            <w:tcBorders>
              <w:top w:val="nil"/>
              <w:left w:val="nil"/>
              <w:bottom w:val="single" w:sz="4" w:space="0" w:color="auto"/>
              <w:right w:val="single" w:sz="4" w:space="0" w:color="auto"/>
            </w:tcBorders>
            <w:vAlign w:val="center"/>
            <w:hideMark/>
          </w:tcPr>
          <w:p w:rsidR="002B760A" w:rsidRPr="000F630F" w14:paraId="0A287A2B" w14:textId="05878BC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170" w:type="dxa"/>
            <w:tcBorders>
              <w:top w:val="nil"/>
              <w:left w:val="nil"/>
              <w:bottom w:val="single" w:sz="4" w:space="0" w:color="auto"/>
              <w:right w:val="single" w:sz="4" w:space="0" w:color="auto"/>
            </w:tcBorders>
            <w:vAlign w:val="center"/>
            <w:hideMark/>
          </w:tcPr>
          <w:p w:rsidR="00D0348D" w:rsidRPr="000F630F" w14:paraId="4DE38B54" w14:textId="3C0A16A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990" w:type="dxa"/>
            <w:tcBorders>
              <w:top w:val="nil"/>
              <w:left w:val="nil"/>
              <w:bottom w:val="single" w:sz="4" w:space="0" w:color="auto"/>
              <w:right w:val="single" w:sz="4" w:space="0" w:color="auto"/>
            </w:tcBorders>
            <w:noWrap/>
            <w:vAlign w:val="center"/>
            <w:hideMark/>
          </w:tcPr>
          <w:p w:rsidR="00D0348D" w:rsidRPr="007D0368" w14:paraId="2D64E8D6" w14:textId="6BEA05A4">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$32.66</w:t>
            </w:r>
            <w:r w:rsidR="007D0368">
              <w:rPr>
                <w:rFonts w:ascii="Times New Roman" w:eastAsia="Times New Roman" w:hAnsi="Times New Roman" w:cs="Times New Roman"/>
                <w:color w:val="000000"/>
                <w:vertAlign w:val="superscript"/>
              </w:rPr>
              <w:t>n</w:t>
            </w:r>
          </w:p>
        </w:tc>
        <w:tc>
          <w:tcPr>
            <w:tcW w:w="1260" w:type="dxa"/>
            <w:tcBorders>
              <w:top w:val="nil"/>
              <w:left w:val="nil"/>
              <w:bottom w:val="single" w:sz="4" w:space="0" w:color="auto"/>
              <w:right w:val="single" w:sz="4" w:space="0" w:color="auto"/>
            </w:tcBorders>
            <w:noWrap/>
            <w:vAlign w:val="center"/>
            <w:hideMark/>
          </w:tcPr>
          <w:p w:rsidR="00D0348D" w:rsidRPr="00E66664" w14:paraId="134532FC" w14:textId="6A14DAB3">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261B80">
              <w:rPr>
                <w:rFonts w:ascii="Times New Roman" w:eastAsia="Times New Roman" w:hAnsi="Times New Roman" w:cs="Times New Roman"/>
                <w:color w:val="000000"/>
              </w:rPr>
              <w:t>1,077.78</w:t>
            </w:r>
          </w:p>
        </w:tc>
      </w:tr>
      <w:tr w14:paraId="67BCD7D9"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2C4023E4" w14:textId="4805E34A">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Semi-</w:t>
            </w:r>
            <w:r w:rsidR="005A7CA3">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 xml:space="preserve">tructured </w:t>
            </w:r>
            <w:r w:rsidR="00CA470E">
              <w:rPr>
                <w:rFonts w:ascii="Times New Roman" w:eastAsia="Times New Roman" w:hAnsi="Times New Roman" w:cs="Times New Roman"/>
                <w:color w:val="000000"/>
              </w:rPr>
              <w:t>I</w:t>
            </w:r>
            <w:r w:rsidRPr="00E66664">
              <w:rPr>
                <w:rFonts w:ascii="Times New Roman" w:eastAsia="Times New Roman" w:hAnsi="Times New Roman" w:cs="Times New Roman"/>
                <w:color w:val="000000"/>
              </w:rPr>
              <w:t xml:space="preserve">nterviews with </w:t>
            </w:r>
            <w:r w:rsidR="00CA470E">
              <w:rPr>
                <w:rFonts w:ascii="Times New Roman" w:eastAsia="Times New Roman" w:hAnsi="Times New Roman" w:cs="Times New Roman"/>
                <w:color w:val="000000"/>
              </w:rPr>
              <w:t>E</w:t>
            </w:r>
            <w:r w:rsidRPr="00E66664">
              <w:rPr>
                <w:rFonts w:ascii="Times New Roman" w:eastAsia="Times New Roman" w:hAnsi="Times New Roman" w:cs="Times New Roman"/>
                <w:color w:val="000000"/>
              </w:rPr>
              <w:t>mployers</w:t>
            </w:r>
          </w:p>
        </w:tc>
        <w:tc>
          <w:tcPr>
            <w:tcW w:w="1350" w:type="dxa"/>
            <w:tcBorders>
              <w:top w:val="nil"/>
              <w:left w:val="nil"/>
              <w:bottom w:val="single" w:sz="4" w:space="0" w:color="auto"/>
              <w:right w:val="single" w:sz="4" w:space="0" w:color="auto"/>
            </w:tcBorders>
            <w:vAlign w:val="center"/>
            <w:hideMark/>
          </w:tcPr>
          <w:p w:rsidR="00D0348D" w:rsidRPr="007D0368" w14:paraId="33ADA365" w14:textId="73FF3A90">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7</w:t>
            </w:r>
            <w:r w:rsidR="007D0368">
              <w:rPr>
                <w:rFonts w:ascii="Times New Roman" w:eastAsia="Times New Roman" w:hAnsi="Times New Roman" w:cs="Times New Roman"/>
                <w:color w:val="000000"/>
                <w:vertAlign w:val="superscript"/>
              </w:rPr>
              <w:t>o</w:t>
            </w:r>
          </w:p>
        </w:tc>
        <w:tc>
          <w:tcPr>
            <w:tcW w:w="1350" w:type="dxa"/>
            <w:tcBorders>
              <w:top w:val="nil"/>
              <w:left w:val="nil"/>
              <w:bottom w:val="single" w:sz="4" w:space="0" w:color="auto"/>
              <w:right w:val="single" w:sz="4" w:space="0" w:color="auto"/>
            </w:tcBorders>
            <w:vAlign w:val="center"/>
            <w:hideMark/>
          </w:tcPr>
          <w:p w:rsidR="00D0348D" w:rsidRPr="00E66664" w14:paraId="2762163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78FA5CB5"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7</w:t>
            </w:r>
          </w:p>
        </w:tc>
        <w:tc>
          <w:tcPr>
            <w:tcW w:w="1170" w:type="dxa"/>
            <w:tcBorders>
              <w:top w:val="nil"/>
              <w:left w:val="nil"/>
              <w:bottom w:val="single" w:sz="4" w:space="0" w:color="auto"/>
              <w:right w:val="single" w:sz="4" w:space="0" w:color="auto"/>
            </w:tcBorders>
            <w:vAlign w:val="center"/>
            <w:hideMark/>
          </w:tcPr>
          <w:p w:rsidR="00D0348D" w:rsidRPr="00E66664" w14:paraId="37C37A7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613DD5E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7</w:t>
            </w:r>
          </w:p>
        </w:tc>
        <w:tc>
          <w:tcPr>
            <w:tcW w:w="990" w:type="dxa"/>
            <w:tcBorders>
              <w:top w:val="nil"/>
              <w:left w:val="nil"/>
              <w:bottom w:val="single" w:sz="4" w:space="0" w:color="auto"/>
              <w:right w:val="single" w:sz="4" w:space="0" w:color="auto"/>
            </w:tcBorders>
            <w:vAlign w:val="center"/>
            <w:hideMark/>
          </w:tcPr>
          <w:p w:rsidR="00D0348D" w:rsidRPr="007D0368" w14:paraId="1C442BB5" w14:textId="3EB89EFC">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$77.15</w:t>
            </w:r>
            <w:r w:rsidR="007D0368">
              <w:rPr>
                <w:rFonts w:ascii="Times New Roman" w:eastAsia="Times New Roman" w:hAnsi="Times New Roman" w:cs="Times New Roman"/>
                <w:color w:val="000000"/>
                <w:vertAlign w:val="superscript"/>
              </w:rPr>
              <w:t>p</w:t>
            </w:r>
          </w:p>
        </w:tc>
        <w:tc>
          <w:tcPr>
            <w:tcW w:w="1260" w:type="dxa"/>
            <w:tcBorders>
              <w:top w:val="nil"/>
              <w:left w:val="nil"/>
              <w:bottom w:val="single" w:sz="4" w:space="0" w:color="auto"/>
              <w:right w:val="single" w:sz="4" w:space="0" w:color="auto"/>
            </w:tcBorders>
            <w:noWrap/>
            <w:vAlign w:val="center"/>
            <w:hideMark/>
          </w:tcPr>
          <w:p w:rsidR="00D0348D" w:rsidRPr="00E66664" w14:paraId="7E4D6CF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$540.05</w:t>
            </w:r>
          </w:p>
        </w:tc>
      </w:tr>
      <w:tr w14:paraId="0CE034E1" w14:textId="77777777" w:rsidTr="005D66CE">
        <w:tblPrEx>
          <w:tblW w:w="10255" w:type="dxa"/>
          <w:tblLayout w:type="fixed"/>
          <w:tblLook w:val="04A0"/>
        </w:tblPrEx>
        <w:trPr>
          <w:trHeight w:val="290"/>
        </w:trPr>
        <w:tc>
          <w:tcPr>
            <w:tcW w:w="17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0348D" w:rsidRPr="00E66664" w14:paraId="52B1A0A2" w14:textId="7777777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Outcome Data</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D0348D" w:rsidRPr="00E66664" w14:paraId="036C49E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BFBFBF" w:themeFill="background1" w:themeFillShade="BF"/>
            <w:vAlign w:val="center"/>
            <w:hideMark/>
          </w:tcPr>
          <w:p w:rsidR="00D0348D" w:rsidRPr="00E66664" w14:paraId="6C5C281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D0348D" w:rsidRPr="00E66664" w14:paraId="2679E56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D0348D" w:rsidRPr="00E66664" w14:paraId="2D62500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D0348D" w:rsidRPr="00E66664" w14:paraId="2FA3D09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BFBFBF" w:themeFill="background1" w:themeFillShade="BF"/>
            <w:noWrap/>
            <w:vAlign w:val="center"/>
            <w:hideMark/>
          </w:tcPr>
          <w:p w:rsidR="00D0348D" w:rsidRPr="00E66664" w14:paraId="3A85FA5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BFBFBF" w:themeFill="background1" w:themeFillShade="BF"/>
            <w:noWrap/>
            <w:vAlign w:val="center"/>
            <w:hideMark/>
          </w:tcPr>
          <w:p w:rsidR="00D0348D" w:rsidRPr="00E66664" w14:paraId="40E27C8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48BD2360" w14:textId="77777777" w:rsidTr="005D66CE">
        <w:tblPrEx>
          <w:tblW w:w="10255" w:type="dxa"/>
          <w:tblLayout w:type="fixed"/>
          <w:tblLook w:val="04A0"/>
        </w:tblPrEx>
        <w:trPr>
          <w:trHeight w:val="560"/>
        </w:trPr>
        <w:tc>
          <w:tcPr>
            <w:tcW w:w="1795" w:type="dxa"/>
            <w:tcBorders>
              <w:top w:val="nil"/>
              <w:left w:val="single" w:sz="4" w:space="0" w:color="auto"/>
              <w:bottom w:val="single" w:sz="4" w:space="0" w:color="auto"/>
              <w:right w:val="single" w:sz="4" w:space="0" w:color="auto"/>
            </w:tcBorders>
            <w:shd w:val="clear" w:color="auto" w:fill="EAEAEA"/>
            <w:vAlign w:val="center"/>
            <w:hideMark/>
          </w:tcPr>
          <w:p w:rsidR="00D0348D" w:rsidRPr="00E66664" w14:paraId="10594195" w14:textId="77777777">
            <w:pPr>
              <w:spacing w:after="0" w:line="240" w:lineRule="auto"/>
              <w:jc w:val="center"/>
              <w:rPr>
                <w:rFonts w:ascii="Times New Roman" w:eastAsia="Times New Roman" w:hAnsi="Times New Roman" w:cs="Times New Roman"/>
                <w:b/>
                <w:bCs/>
                <w:i/>
                <w:iCs/>
                <w:color w:val="000000"/>
              </w:rPr>
            </w:pPr>
            <w:r w:rsidRPr="00E66664">
              <w:rPr>
                <w:rFonts w:ascii="Times New Roman" w:eastAsia="Times New Roman" w:hAnsi="Times New Roman" w:cs="Times New Roman"/>
                <w:b/>
                <w:bCs/>
                <w:i/>
                <w:iCs/>
                <w:color w:val="000000"/>
              </w:rPr>
              <w:t>Customer Satisfaction </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4B359A3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EAEAEA"/>
            <w:vAlign w:val="center"/>
            <w:hideMark/>
          </w:tcPr>
          <w:p w:rsidR="00D0348D" w:rsidRPr="00E66664" w14:paraId="626911F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73E2BAC5"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5C23FE7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EAEAEA"/>
            <w:vAlign w:val="center"/>
            <w:hideMark/>
          </w:tcPr>
          <w:p w:rsidR="00D0348D" w:rsidRPr="00E66664" w14:paraId="6BE51E06"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EAEAEA"/>
            <w:noWrap/>
            <w:vAlign w:val="center"/>
            <w:hideMark/>
          </w:tcPr>
          <w:p w:rsidR="00D0348D" w:rsidRPr="00E66664" w14:paraId="4FBDB860"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EAEAEA"/>
            <w:noWrap/>
            <w:vAlign w:val="center"/>
            <w:hideMark/>
          </w:tcPr>
          <w:p w:rsidR="00D0348D" w:rsidRPr="00E66664" w14:paraId="3C571FC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70CC5E7E" w14:textId="77777777" w:rsidTr="005D66CE">
        <w:tblPrEx>
          <w:tblW w:w="10255" w:type="dxa"/>
          <w:tblLayout w:type="fixed"/>
          <w:tblLook w:val="04A0"/>
        </w:tblPrEx>
        <w:trPr>
          <w:trHeight w:val="560"/>
        </w:trPr>
        <w:tc>
          <w:tcPr>
            <w:tcW w:w="1795" w:type="dxa"/>
            <w:tcBorders>
              <w:top w:val="nil"/>
              <w:left w:val="single" w:sz="4" w:space="0" w:color="auto"/>
              <w:bottom w:val="single" w:sz="4" w:space="0" w:color="auto"/>
              <w:right w:val="single" w:sz="4" w:space="0" w:color="auto"/>
            </w:tcBorders>
            <w:vAlign w:val="center"/>
            <w:hideMark/>
          </w:tcPr>
          <w:p w:rsidR="00D0348D" w:rsidRPr="00E66664" w14:paraId="1B02F943" w14:textId="40202378">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Satisfaction </w:t>
            </w:r>
            <w:r w:rsidR="00CA470E">
              <w:rPr>
                <w:rFonts w:ascii="Times New Roman" w:eastAsia="Times New Roman" w:hAnsi="Times New Roman" w:cs="Times New Roman"/>
                <w:color w:val="000000"/>
              </w:rPr>
              <w:t>D</w:t>
            </w:r>
            <w:r w:rsidRPr="00E66664">
              <w:rPr>
                <w:rFonts w:ascii="Times New Roman" w:eastAsia="Times New Roman" w:hAnsi="Times New Roman" w:cs="Times New Roman"/>
                <w:color w:val="000000"/>
              </w:rPr>
              <w:t xml:space="preserve">ata from ETM </w:t>
            </w:r>
            <w:r w:rsidR="00CA470E">
              <w:rPr>
                <w:rFonts w:ascii="Times New Roman" w:eastAsia="Times New Roman" w:hAnsi="Times New Roman" w:cs="Times New Roman"/>
                <w:color w:val="000000"/>
              </w:rPr>
              <w:t>Y</w:t>
            </w:r>
            <w:r w:rsidRPr="00E66664">
              <w:rPr>
                <w:rFonts w:ascii="Times New Roman" w:eastAsia="Times New Roman" w:hAnsi="Times New Roman" w:cs="Times New Roman"/>
                <w:color w:val="000000"/>
              </w:rPr>
              <w:t>outh</w:t>
            </w:r>
          </w:p>
        </w:tc>
        <w:tc>
          <w:tcPr>
            <w:tcW w:w="1350" w:type="dxa"/>
            <w:tcBorders>
              <w:top w:val="nil"/>
              <w:left w:val="nil"/>
              <w:bottom w:val="single" w:sz="4" w:space="0" w:color="auto"/>
              <w:right w:val="single" w:sz="4" w:space="0" w:color="auto"/>
            </w:tcBorders>
            <w:vAlign w:val="center"/>
            <w:hideMark/>
          </w:tcPr>
          <w:p w:rsidR="00D0348D" w:rsidRPr="00F633D0" w14:paraId="5C213B95" w14:textId="72745092">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1,197</w:t>
            </w:r>
            <w:r w:rsidR="00F633D0">
              <w:rPr>
                <w:rFonts w:ascii="Times New Roman" w:eastAsia="Times New Roman" w:hAnsi="Times New Roman" w:cs="Times New Roman"/>
                <w:color w:val="000000"/>
                <w:vertAlign w:val="superscript"/>
              </w:rPr>
              <w:t>q</w:t>
            </w:r>
          </w:p>
        </w:tc>
        <w:tc>
          <w:tcPr>
            <w:tcW w:w="1350" w:type="dxa"/>
            <w:tcBorders>
              <w:top w:val="nil"/>
              <w:left w:val="nil"/>
              <w:bottom w:val="single" w:sz="4" w:space="0" w:color="auto"/>
              <w:right w:val="single" w:sz="4" w:space="0" w:color="auto"/>
            </w:tcBorders>
            <w:vAlign w:val="center"/>
            <w:hideMark/>
          </w:tcPr>
          <w:p w:rsidR="00D0348D" w:rsidRPr="00E66664" w14:paraId="01F79E78"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1387252F"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1,197</w:t>
            </w:r>
          </w:p>
        </w:tc>
        <w:tc>
          <w:tcPr>
            <w:tcW w:w="1170" w:type="dxa"/>
            <w:tcBorders>
              <w:top w:val="nil"/>
              <w:left w:val="nil"/>
              <w:bottom w:val="single" w:sz="4" w:space="0" w:color="auto"/>
              <w:right w:val="single" w:sz="4" w:space="0" w:color="auto"/>
            </w:tcBorders>
            <w:vAlign w:val="center"/>
            <w:hideMark/>
          </w:tcPr>
          <w:p w:rsidR="00D0348D" w:rsidRPr="00E66664" w14:paraId="42AA296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0.08</w:t>
            </w:r>
          </w:p>
        </w:tc>
        <w:tc>
          <w:tcPr>
            <w:tcW w:w="1170" w:type="dxa"/>
            <w:tcBorders>
              <w:top w:val="nil"/>
              <w:left w:val="nil"/>
              <w:bottom w:val="single" w:sz="4" w:space="0" w:color="auto"/>
              <w:right w:val="single" w:sz="4" w:space="0" w:color="auto"/>
            </w:tcBorders>
            <w:vAlign w:val="center"/>
            <w:hideMark/>
          </w:tcPr>
          <w:p w:rsidR="00D0348D" w:rsidRPr="00E66664" w14:paraId="1503678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95.76</w:t>
            </w:r>
          </w:p>
        </w:tc>
        <w:tc>
          <w:tcPr>
            <w:tcW w:w="990" w:type="dxa"/>
            <w:tcBorders>
              <w:top w:val="nil"/>
              <w:left w:val="nil"/>
              <w:bottom w:val="single" w:sz="4" w:space="0" w:color="auto"/>
              <w:right w:val="single" w:sz="4" w:space="0" w:color="auto"/>
            </w:tcBorders>
            <w:vAlign w:val="center"/>
            <w:hideMark/>
          </w:tcPr>
          <w:p w:rsidR="00D0348D" w:rsidRPr="00D92109" w14:paraId="3EA688D8" w14:textId="3D16F5A5">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w:t>
            </w:r>
            <w:r w:rsidR="0014003A">
              <w:rPr>
                <w:rFonts w:ascii="Times New Roman" w:eastAsia="Times New Roman" w:hAnsi="Times New Roman" w:cs="Times New Roman"/>
                <w:color w:val="000000"/>
              </w:rPr>
              <w:t>12.</w:t>
            </w:r>
            <w:r w:rsidR="00DD3915">
              <w:rPr>
                <w:rFonts w:ascii="Times New Roman" w:eastAsia="Times New Roman" w:hAnsi="Times New Roman" w:cs="Times New Roman"/>
                <w:color w:val="000000"/>
              </w:rPr>
              <w:t>72</w:t>
            </w:r>
            <w:r w:rsidR="00D92109">
              <w:rPr>
                <w:rFonts w:ascii="Times New Roman" w:eastAsia="Times New Roman" w:hAnsi="Times New Roman" w:cs="Times New Roman"/>
                <w:color w:val="000000"/>
                <w:vertAlign w:val="superscript"/>
              </w:rPr>
              <w:t>b</w:t>
            </w:r>
          </w:p>
        </w:tc>
        <w:tc>
          <w:tcPr>
            <w:tcW w:w="1260" w:type="dxa"/>
            <w:tcBorders>
              <w:top w:val="nil"/>
              <w:left w:val="nil"/>
              <w:bottom w:val="single" w:sz="4" w:space="0" w:color="auto"/>
              <w:right w:val="single" w:sz="4" w:space="0" w:color="auto"/>
            </w:tcBorders>
            <w:noWrap/>
            <w:vAlign w:val="center"/>
            <w:hideMark/>
          </w:tcPr>
          <w:p w:rsidR="00D0348D" w:rsidRPr="00E66664" w14:paraId="15DC9D2A" w14:textId="34DA9502">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DD3915">
              <w:rPr>
                <w:rFonts w:ascii="Times New Roman" w:eastAsia="Times New Roman" w:hAnsi="Times New Roman" w:cs="Times New Roman"/>
                <w:color w:val="000000"/>
              </w:rPr>
              <w:t>1,218.07</w:t>
            </w:r>
          </w:p>
        </w:tc>
      </w:tr>
      <w:tr w14:paraId="292E701C"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6B51ECA0" w14:textId="4D975805">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Satisfaction </w:t>
            </w:r>
            <w:r w:rsidR="00CA470E">
              <w:rPr>
                <w:rFonts w:ascii="Times New Roman" w:eastAsia="Times New Roman" w:hAnsi="Times New Roman" w:cs="Times New Roman"/>
                <w:color w:val="000000"/>
              </w:rPr>
              <w:t>D</w:t>
            </w:r>
            <w:r w:rsidRPr="00E66664">
              <w:rPr>
                <w:rFonts w:ascii="Times New Roman" w:eastAsia="Times New Roman" w:hAnsi="Times New Roman" w:cs="Times New Roman"/>
                <w:color w:val="000000"/>
              </w:rPr>
              <w:t xml:space="preserve">ata from </w:t>
            </w:r>
            <w:r w:rsidR="00CA470E">
              <w:rPr>
                <w:rFonts w:ascii="Times New Roman" w:eastAsia="Times New Roman" w:hAnsi="Times New Roman" w:cs="Times New Roman"/>
                <w:color w:val="000000"/>
              </w:rPr>
              <w:t>F</w:t>
            </w:r>
            <w:r w:rsidRPr="00E66664">
              <w:rPr>
                <w:rFonts w:ascii="Times New Roman" w:eastAsia="Times New Roman" w:hAnsi="Times New Roman" w:cs="Times New Roman"/>
                <w:color w:val="000000"/>
              </w:rPr>
              <w:t xml:space="preserve">amilies of ETM </w:t>
            </w:r>
            <w:r w:rsidR="00CA470E">
              <w:rPr>
                <w:rFonts w:ascii="Times New Roman" w:eastAsia="Times New Roman" w:hAnsi="Times New Roman" w:cs="Times New Roman"/>
                <w:color w:val="000000"/>
              </w:rPr>
              <w:t>Y</w:t>
            </w:r>
            <w:r w:rsidRPr="00E66664">
              <w:rPr>
                <w:rFonts w:ascii="Times New Roman" w:eastAsia="Times New Roman" w:hAnsi="Times New Roman" w:cs="Times New Roman"/>
                <w:color w:val="000000"/>
              </w:rPr>
              <w:t xml:space="preserve">outh </w:t>
            </w:r>
          </w:p>
        </w:tc>
        <w:tc>
          <w:tcPr>
            <w:tcW w:w="1350" w:type="dxa"/>
            <w:tcBorders>
              <w:top w:val="nil"/>
              <w:left w:val="nil"/>
              <w:bottom w:val="single" w:sz="4" w:space="0" w:color="auto"/>
              <w:right w:val="single" w:sz="4" w:space="0" w:color="auto"/>
            </w:tcBorders>
            <w:vAlign w:val="center"/>
            <w:hideMark/>
          </w:tcPr>
          <w:p w:rsidR="00D0348D" w:rsidRPr="00D92109" w14:paraId="40EFA2D9" w14:textId="73BC96C5">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1,197</w:t>
            </w:r>
            <w:r w:rsidR="00D92109">
              <w:rPr>
                <w:rFonts w:ascii="Times New Roman" w:eastAsia="Times New Roman" w:hAnsi="Times New Roman" w:cs="Times New Roman"/>
                <w:color w:val="000000"/>
                <w:vertAlign w:val="superscript"/>
              </w:rPr>
              <w:t>r</w:t>
            </w:r>
          </w:p>
        </w:tc>
        <w:tc>
          <w:tcPr>
            <w:tcW w:w="1350" w:type="dxa"/>
            <w:tcBorders>
              <w:top w:val="nil"/>
              <w:left w:val="nil"/>
              <w:bottom w:val="single" w:sz="4" w:space="0" w:color="auto"/>
              <w:right w:val="single" w:sz="4" w:space="0" w:color="auto"/>
            </w:tcBorders>
            <w:vAlign w:val="center"/>
            <w:hideMark/>
          </w:tcPr>
          <w:p w:rsidR="00D0348D" w:rsidRPr="00E66664" w14:paraId="444727E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78D20D1F"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1,197</w:t>
            </w:r>
          </w:p>
        </w:tc>
        <w:tc>
          <w:tcPr>
            <w:tcW w:w="1170" w:type="dxa"/>
            <w:tcBorders>
              <w:top w:val="nil"/>
              <w:left w:val="nil"/>
              <w:bottom w:val="single" w:sz="4" w:space="0" w:color="auto"/>
              <w:right w:val="single" w:sz="4" w:space="0" w:color="auto"/>
            </w:tcBorders>
            <w:vAlign w:val="center"/>
            <w:hideMark/>
          </w:tcPr>
          <w:p w:rsidR="00D0348D" w:rsidRPr="00E66664" w14:paraId="2D4E606A"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0.08</w:t>
            </w:r>
          </w:p>
        </w:tc>
        <w:tc>
          <w:tcPr>
            <w:tcW w:w="1170" w:type="dxa"/>
            <w:tcBorders>
              <w:top w:val="nil"/>
              <w:left w:val="nil"/>
              <w:bottom w:val="single" w:sz="4" w:space="0" w:color="auto"/>
              <w:right w:val="single" w:sz="4" w:space="0" w:color="auto"/>
            </w:tcBorders>
            <w:vAlign w:val="center"/>
            <w:hideMark/>
          </w:tcPr>
          <w:p w:rsidR="00D0348D" w:rsidRPr="00E66664" w14:paraId="32D5899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95.76</w:t>
            </w:r>
          </w:p>
        </w:tc>
        <w:tc>
          <w:tcPr>
            <w:tcW w:w="990" w:type="dxa"/>
            <w:tcBorders>
              <w:top w:val="nil"/>
              <w:left w:val="nil"/>
              <w:bottom w:val="single" w:sz="4" w:space="0" w:color="auto"/>
              <w:right w:val="single" w:sz="4" w:space="0" w:color="auto"/>
            </w:tcBorders>
            <w:vAlign w:val="center"/>
            <w:hideMark/>
          </w:tcPr>
          <w:p w:rsidR="00D0348D" w:rsidRPr="00D92109" w14:paraId="450D3456" w14:textId="039B313D">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$32.66</w:t>
            </w:r>
            <w:r w:rsidR="00D92109">
              <w:rPr>
                <w:rFonts w:ascii="Times New Roman" w:eastAsia="Times New Roman" w:hAnsi="Times New Roman" w:cs="Times New Roman"/>
                <w:color w:val="000000"/>
                <w:vertAlign w:val="superscript"/>
              </w:rPr>
              <w:t>n</w:t>
            </w:r>
          </w:p>
        </w:tc>
        <w:tc>
          <w:tcPr>
            <w:tcW w:w="1260" w:type="dxa"/>
            <w:tcBorders>
              <w:top w:val="nil"/>
              <w:left w:val="nil"/>
              <w:bottom w:val="single" w:sz="4" w:space="0" w:color="auto"/>
              <w:right w:val="single" w:sz="4" w:space="0" w:color="auto"/>
            </w:tcBorders>
            <w:noWrap/>
            <w:vAlign w:val="center"/>
            <w:hideMark/>
          </w:tcPr>
          <w:p w:rsidR="00D0348D" w:rsidRPr="00E66664" w14:paraId="269D9B1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$3,127.52</w:t>
            </w:r>
          </w:p>
        </w:tc>
      </w:tr>
      <w:tr w14:paraId="7A151623"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758FB8C9" w14:textId="42931779">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Satisfaction </w:t>
            </w:r>
            <w:r w:rsidR="00CA470E">
              <w:rPr>
                <w:rFonts w:ascii="Times New Roman" w:eastAsia="Times New Roman" w:hAnsi="Times New Roman" w:cs="Times New Roman"/>
                <w:color w:val="000000"/>
              </w:rPr>
              <w:t>D</w:t>
            </w:r>
            <w:r w:rsidRPr="00E66664">
              <w:rPr>
                <w:rFonts w:ascii="Times New Roman" w:eastAsia="Times New Roman" w:hAnsi="Times New Roman" w:cs="Times New Roman"/>
                <w:color w:val="000000"/>
              </w:rPr>
              <w:t xml:space="preserve">ata from ETM </w:t>
            </w:r>
            <w:r w:rsidR="00CA470E">
              <w:rPr>
                <w:rFonts w:ascii="Times New Roman" w:eastAsia="Times New Roman" w:hAnsi="Times New Roman" w:cs="Times New Roman"/>
                <w:color w:val="000000"/>
              </w:rPr>
              <w:t>E</w:t>
            </w:r>
            <w:r w:rsidRPr="00E66664">
              <w:rPr>
                <w:rFonts w:ascii="Times New Roman" w:eastAsia="Times New Roman" w:hAnsi="Times New Roman" w:cs="Times New Roman"/>
                <w:color w:val="000000"/>
              </w:rPr>
              <w:t>mployers</w:t>
            </w:r>
          </w:p>
        </w:tc>
        <w:tc>
          <w:tcPr>
            <w:tcW w:w="1350" w:type="dxa"/>
            <w:tcBorders>
              <w:top w:val="nil"/>
              <w:left w:val="nil"/>
              <w:bottom w:val="single" w:sz="4" w:space="0" w:color="auto"/>
              <w:right w:val="single" w:sz="4" w:space="0" w:color="auto"/>
            </w:tcBorders>
            <w:vAlign w:val="center"/>
            <w:hideMark/>
          </w:tcPr>
          <w:p w:rsidR="00D0348D" w:rsidRPr="00D92109" w14:paraId="25B0F653" w14:textId="40932DF1">
            <w:pPr>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32</w:t>
            </w:r>
            <w:r w:rsidR="00D92109">
              <w:rPr>
                <w:rFonts w:ascii="Times New Roman" w:eastAsia="Times New Roman" w:hAnsi="Times New Roman" w:cs="Times New Roman"/>
                <w:color w:val="000000"/>
                <w:vertAlign w:val="superscript"/>
              </w:rPr>
              <w:t>s</w:t>
            </w:r>
          </w:p>
        </w:tc>
        <w:tc>
          <w:tcPr>
            <w:tcW w:w="1350" w:type="dxa"/>
            <w:tcBorders>
              <w:top w:val="nil"/>
              <w:left w:val="nil"/>
              <w:bottom w:val="single" w:sz="4" w:space="0" w:color="auto"/>
              <w:right w:val="single" w:sz="4" w:space="0" w:color="auto"/>
            </w:tcBorders>
            <w:vAlign w:val="center"/>
            <w:hideMark/>
          </w:tcPr>
          <w:p w:rsidR="00D0348D" w:rsidRPr="00E66664" w14:paraId="10E69902"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7988A6CF" w14:textId="6956439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170" w:type="dxa"/>
            <w:tcBorders>
              <w:top w:val="nil"/>
              <w:left w:val="nil"/>
              <w:bottom w:val="single" w:sz="4" w:space="0" w:color="auto"/>
              <w:right w:val="single" w:sz="4" w:space="0" w:color="auto"/>
            </w:tcBorders>
            <w:vAlign w:val="center"/>
            <w:hideMark/>
          </w:tcPr>
          <w:p w:rsidR="00D0348D" w:rsidRPr="00E66664" w14:paraId="0A743F2D"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0.08</w:t>
            </w:r>
          </w:p>
        </w:tc>
        <w:tc>
          <w:tcPr>
            <w:tcW w:w="1170" w:type="dxa"/>
            <w:tcBorders>
              <w:top w:val="nil"/>
              <w:left w:val="nil"/>
              <w:bottom w:val="single" w:sz="4" w:space="0" w:color="auto"/>
              <w:right w:val="single" w:sz="4" w:space="0" w:color="auto"/>
            </w:tcBorders>
            <w:vAlign w:val="center"/>
            <w:hideMark/>
          </w:tcPr>
          <w:p w:rsidR="00D0348D" w:rsidRPr="00E66664" w14:paraId="28A84B16" w14:textId="2D6B541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2.56</w:t>
            </w:r>
          </w:p>
        </w:tc>
        <w:tc>
          <w:tcPr>
            <w:tcW w:w="990" w:type="dxa"/>
            <w:tcBorders>
              <w:top w:val="nil"/>
              <w:left w:val="nil"/>
              <w:bottom w:val="single" w:sz="4" w:space="0" w:color="auto"/>
              <w:right w:val="single" w:sz="4" w:space="0" w:color="auto"/>
            </w:tcBorders>
            <w:vAlign w:val="center"/>
            <w:hideMark/>
          </w:tcPr>
          <w:p w:rsidR="00D0348D" w:rsidRPr="00D92109" w14:paraId="5B554523" w14:textId="0FFD4DB7">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$77.15</w:t>
            </w:r>
            <w:r w:rsidR="00D92109">
              <w:rPr>
                <w:rFonts w:ascii="Times New Roman" w:eastAsia="Times New Roman" w:hAnsi="Times New Roman" w:cs="Times New Roman"/>
                <w:color w:val="000000"/>
                <w:vertAlign w:val="superscript"/>
              </w:rPr>
              <w:t>p</w:t>
            </w:r>
          </w:p>
        </w:tc>
        <w:tc>
          <w:tcPr>
            <w:tcW w:w="1260" w:type="dxa"/>
            <w:tcBorders>
              <w:top w:val="nil"/>
              <w:left w:val="nil"/>
              <w:bottom w:val="single" w:sz="4" w:space="0" w:color="auto"/>
              <w:right w:val="single" w:sz="4" w:space="0" w:color="auto"/>
            </w:tcBorders>
            <w:noWrap/>
            <w:vAlign w:val="center"/>
            <w:hideMark/>
          </w:tcPr>
          <w:p w:rsidR="00D0348D" w:rsidRPr="00E66664" w14:paraId="714A27C1" w14:textId="0986C41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1E7182">
              <w:rPr>
                <w:rFonts w:ascii="Times New Roman" w:eastAsia="Times New Roman" w:hAnsi="Times New Roman" w:cs="Times New Roman"/>
                <w:color w:val="000000"/>
              </w:rPr>
              <w:t>197.50</w:t>
            </w:r>
          </w:p>
        </w:tc>
      </w:tr>
      <w:tr w14:paraId="48BCD12A"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E66664" w14:paraId="15FF3640" w14:textId="66D14246">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Satisfaction </w:t>
            </w:r>
            <w:r w:rsidR="00CA470E">
              <w:rPr>
                <w:rFonts w:ascii="Times New Roman" w:eastAsia="Times New Roman" w:hAnsi="Times New Roman" w:cs="Times New Roman"/>
                <w:color w:val="000000"/>
              </w:rPr>
              <w:t>D</w:t>
            </w:r>
            <w:r w:rsidRPr="00E66664">
              <w:rPr>
                <w:rFonts w:ascii="Times New Roman" w:eastAsia="Times New Roman" w:hAnsi="Times New Roman" w:cs="Times New Roman"/>
                <w:color w:val="000000"/>
              </w:rPr>
              <w:t xml:space="preserve">ata from ETM </w:t>
            </w:r>
            <w:r w:rsidR="00CA470E">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 xml:space="preserve">roject </w:t>
            </w:r>
            <w:r w:rsidR="00CA470E">
              <w:rPr>
                <w:rFonts w:ascii="Times New Roman" w:eastAsia="Times New Roman" w:hAnsi="Times New Roman" w:cs="Times New Roman"/>
                <w:color w:val="000000"/>
              </w:rPr>
              <w:t>P</w:t>
            </w:r>
            <w:r w:rsidRPr="00E66664">
              <w:rPr>
                <w:rFonts w:ascii="Times New Roman" w:eastAsia="Times New Roman" w:hAnsi="Times New Roman" w:cs="Times New Roman"/>
                <w:color w:val="000000"/>
              </w:rPr>
              <w:t>artners</w:t>
            </w:r>
          </w:p>
        </w:tc>
        <w:tc>
          <w:tcPr>
            <w:tcW w:w="1350" w:type="dxa"/>
            <w:tcBorders>
              <w:top w:val="nil"/>
              <w:left w:val="nil"/>
              <w:bottom w:val="single" w:sz="4" w:space="0" w:color="auto"/>
              <w:right w:val="single" w:sz="4" w:space="0" w:color="auto"/>
            </w:tcBorders>
            <w:vAlign w:val="center"/>
            <w:hideMark/>
          </w:tcPr>
          <w:p w:rsidR="00D0348D" w:rsidRPr="00D92109" w14:paraId="7AD100B3" w14:textId="121D5AE2">
            <w:pPr>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40</w:t>
            </w:r>
            <w:r w:rsidR="00D92109">
              <w:rPr>
                <w:rFonts w:ascii="Times New Roman" w:eastAsia="Times New Roman" w:hAnsi="Times New Roman" w:cs="Times New Roman"/>
                <w:color w:val="000000"/>
                <w:vertAlign w:val="superscript"/>
              </w:rPr>
              <w:t>t</w:t>
            </w:r>
          </w:p>
        </w:tc>
        <w:tc>
          <w:tcPr>
            <w:tcW w:w="1350" w:type="dxa"/>
            <w:tcBorders>
              <w:top w:val="nil"/>
              <w:left w:val="nil"/>
              <w:bottom w:val="single" w:sz="4" w:space="0" w:color="auto"/>
              <w:right w:val="single" w:sz="4" w:space="0" w:color="auto"/>
            </w:tcBorders>
            <w:vAlign w:val="center"/>
            <w:hideMark/>
          </w:tcPr>
          <w:p w:rsidR="00D0348D" w:rsidRPr="00E66664" w14:paraId="3F14CFDC"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w:t>
            </w:r>
          </w:p>
        </w:tc>
        <w:tc>
          <w:tcPr>
            <w:tcW w:w="1170" w:type="dxa"/>
            <w:tcBorders>
              <w:top w:val="nil"/>
              <w:left w:val="nil"/>
              <w:bottom w:val="single" w:sz="4" w:space="0" w:color="auto"/>
              <w:right w:val="single" w:sz="4" w:space="0" w:color="auto"/>
            </w:tcBorders>
            <w:vAlign w:val="center"/>
            <w:hideMark/>
          </w:tcPr>
          <w:p w:rsidR="00D0348D" w:rsidRPr="00E66664" w14:paraId="1C76F614" w14:textId="0B34503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70" w:type="dxa"/>
            <w:tcBorders>
              <w:top w:val="nil"/>
              <w:left w:val="nil"/>
              <w:bottom w:val="single" w:sz="4" w:space="0" w:color="auto"/>
              <w:right w:val="single" w:sz="4" w:space="0" w:color="auto"/>
            </w:tcBorders>
            <w:vAlign w:val="center"/>
            <w:hideMark/>
          </w:tcPr>
          <w:p w:rsidR="00D0348D" w:rsidRPr="00E66664" w14:paraId="1ACB17DD"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0.08</w:t>
            </w:r>
          </w:p>
        </w:tc>
        <w:tc>
          <w:tcPr>
            <w:tcW w:w="1170" w:type="dxa"/>
            <w:tcBorders>
              <w:top w:val="nil"/>
              <w:left w:val="nil"/>
              <w:bottom w:val="single" w:sz="4" w:space="0" w:color="auto"/>
              <w:right w:val="single" w:sz="4" w:space="0" w:color="auto"/>
            </w:tcBorders>
            <w:vAlign w:val="center"/>
            <w:hideMark/>
          </w:tcPr>
          <w:p w:rsidR="00D0348D" w:rsidRPr="00E66664" w14:paraId="7C5F2E68" w14:textId="53A9C7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990" w:type="dxa"/>
            <w:tcBorders>
              <w:top w:val="nil"/>
              <w:left w:val="nil"/>
              <w:bottom w:val="single" w:sz="4" w:space="0" w:color="auto"/>
              <w:right w:val="single" w:sz="4" w:space="0" w:color="auto"/>
            </w:tcBorders>
            <w:vAlign w:val="center"/>
            <w:hideMark/>
          </w:tcPr>
          <w:p w:rsidR="00D0348D" w:rsidRPr="00E66664" w14:paraId="6A8443AA" w14:textId="69100899">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$34.38</w:t>
            </w:r>
            <w:r w:rsidR="007776F7">
              <w:rPr>
                <w:rFonts w:ascii="Times New Roman" w:eastAsia="Times New Roman" w:hAnsi="Times New Roman" w:cs="Times New Roman"/>
                <w:color w:val="000000"/>
                <w:vertAlign w:val="superscript"/>
              </w:rPr>
              <w:t>d</w:t>
            </w:r>
          </w:p>
        </w:tc>
        <w:tc>
          <w:tcPr>
            <w:tcW w:w="1260" w:type="dxa"/>
            <w:tcBorders>
              <w:top w:val="nil"/>
              <w:left w:val="nil"/>
              <w:bottom w:val="single" w:sz="4" w:space="0" w:color="auto"/>
              <w:right w:val="single" w:sz="4" w:space="0" w:color="auto"/>
            </w:tcBorders>
            <w:noWrap/>
            <w:vAlign w:val="center"/>
            <w:hideMark/>
          </w:tcPr>
          <w:p w:rsidR="00D0348D" w:rsidRPr="00E66664" w14:paraId="6F24C292" w14:textId="49E3F3A1">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w:t>
            </w:r>
            <w:r w:rsidR="005031D8">
              <w:rPr>
                <w:rFonts w:ascii="Times New Roman" w:eastAsia="Times New Roman" w:hAnsi="Times New Roman" w:cs="Times New Roman"/>
                <w:color w:val="000000"/>
              </w:rPr>
              <w:t>110.02</w:t>
            </w:r>
          </w:p>
        </w:tc>
      </w:tr>
      <w:tr w14:paraId="42AAD9AA" w14:textId="77777777" w:rsidTr="005D66CE">
        <w:tblPrEx>
          <w:tblW w:w="10255" w:type="dxa"/>
          <w:tblLayout w:type="fixed"/>
          <w:tblLook w:val="04A0"/>
        </w:tblPrEx>
        <w:trPr>
          <w:trHeight w:val="450"/>
        </w:trPr>
        <w:tc>
          <w:tcPr>
            <w:tcW w:w="1795" w:type="dxa"/>
            <w:vMerge w:val="restart"/>
            <w:tcBorders>
              <w:top w:val="nil"/>
              <w:left w:val="single" w:sz="4" w:space="0" w:color="auto"/>
              <w:bottom w:val="single" w:sz="4" w:space="0" w:color="000000"/>
              <w:right w:val="single" w:sz="4" w:space="0" w:color="auto"/>
            </w:tcBorders>
            <w:shd w:val="clear" w:color="auto" w:fill="EAEAEA"/>
            <w:vAlign w:val="center"/>
            <w:hideMark/>
          </w:tcPr>
          <w:p w:rsidR="00D0348D" w:rsidRPr="00E66664" w14:paraId="0EB1194B" w14:textId="04E8650E">
            <w:pPr>
              <w:spacing w:after="0" w:line="240" w:lineRule="auto"/>
              <w:jc w:val="center"/>
              <w:rPr>
                <w:rFonts w:ascii="Times New Roman" w:eastAsia="Times New Roman" w:hAnsi="Times New Roman" w:cs="Times New Roman"/>
                <w:b/>
                <w:bCs/>
                <w:i/>
                <w:iCs/>
                <w:color w:val="000000"/>
              </w:rPr>
            </w:pPr>
            <w:r w:rsidRPr="00E66664">
              <w:rPr>
                <w:rFonts w:ascii="Times New Roman" w:eastAsia="Times New Roman" w:hAnsi="Times New Roman" w:cs="Times New Roman"/>
                <w:b/>
                <w:bCs/>
                <w:i/>
                <w:iCs/>
                <w:color w:val="000000"/>
              </w:rPr>
              <w:t>Employment and Education Outcomes</w:t>
            </w:r>
          </w:p>
        </w:tc>
        <w:tc>
          <w:tcPr>
            <w:tcW w:w="1350" w:type="dxa"/>
            <w:vMerge w:val="restart"/>
            <w:tcBorders>
              <w:top w:val="nil"/>
              <w:left w:val="single" w:sz="4" w:space="0" w:color="auto"/>
              <w:bottom w:val="single" w:sz="4" w:space="0" w:color="auto"/>
              <w:right w:val="single" w:sz="4" w:space="0" w:color="auto"/>
            </w:tcBorders>
            <w:shd w:val="clear" w:color="auto" w:fill="EAEAEA"/>
            <w:vAlign w:val="center"/>
            <w:hideMark/>
          </w:tcPr>
          <w:p w:rsidR="00D0348D" w:rsidRPr="00E66664" w14:paraId="3B240E5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350" w:type="dxa"/>
            <w:vMerge w:val="restart"/>
            <w:tcBorders>
              <w:top w:val="nil"/>
              <w:left w:val="single" w:sz="4" w:space="0" w:color="auto"/>
              <w:bottom w:val="single" w:sz="4" w:space="0" w:color="auto"/>
              <w:right w:val="single" w:sz="4" w:space="0" w:color="auto"/>
            </w:tcBorders>
            <w:shd w:val="clear" w:color="auto" w:fill="EAEAEA"/>
            <w:vAlign w:val="center"/>
            <w:hideMark/>
          </w:tcPr>
          <w:p w:rsidR="00D0348D" w:rsidRPr="00E66664" w14:paraId="7146ED01"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vMerge w:val="restart"/>
            <w:tcBorders>
              <w:top w:val="nil"/>
              <w:left w:val="single" w:sz="4" w:space="0" w:color="auto"/>
              <w:bottom w:val="single" w:sz="4" w:space="0" w:color="auto"/>
              <w:right w:val="single" w:sz="4" w:space="0" w:color="auto"/>
            </w:tcBorders>
            <w:shd w:val="clear" w:color="auto" w:fill="EAEAEA"/>
            <w:vAlign w:val="center"/>
            <w:hideMark/>
          </w:tcPr>
          <w:p w:rsidR="00D0348D" w:rsidRPr="00E66664" w14:paraId="48FF318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vMerge w:val="restart"/>
            <w:tcBorders>
              <w:top w:val="nil"/>
              <w:left w:val="single" w:sz="4" w:space="0" w:color="auto"/>
              <w:bottom w:val="single" w:sz="4" w:space="0" w:color="auto"/>
              <w:right w:val="single" w:sz="4" w:space="0" w:color="auto"/>
            </w:tcBorders>
            <w:shd w:val="clear" w:color="auto" w:fill="EAEAEA"/>
            <w:vAlign w:val="center"/>
            <w:hideMark/>
          </w:tcPr>
          <w:p w:rsidR="00D0348D" w:rsidRPr="00E66664" w14:paraId="011CE78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170" w:type="dxa"/>
            <w:vMerge w:val="restart"/>
            <w:tcBorders>
              <w:top w:val="nil"/>
              <w:left w:val="single" w:sz="4" w:space="0" w:color="auto"/>
              <w:bottom w:val="single" w:sz="4" w:space="0" w:color="auto"/>
              <w:right w:val="single" w:sz="4" w:space="0" w:color="auto"/>
            </w:tcBorders>
            <w:shd w:val="clear" w:color="auto" w:fill="EAEAEA"/>
            <w:vAlign w:val="center"/>
            <w:hideMark/>
          </w:tcPr>
          <w:p w:rsidR="00D0348D" w:rsidRPr="00E66664" w14:paraId="4CEB292B"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990" w:type="dxa"/>
            <w:vMerge w:val="restart"/>
            <w:tcBorders>
              <w:top w:val="nil"/>
              <w:left w:val="single" w:sz="4" w:space="0" w:color="auto"/>
              <w:bottom w:val="single" w:sz="4" w:space="0" w:color="000000"/>
              <w:right w:val="single" w:sz="4" w:space="0" w:color="auto"/>
            </w:tcBorders>
            <w:shd w:val="clear" w:color="auto" w:fill="EAEAEA"/>
            <w:noWrap/>
            <w:vAlign w:val="center"/>
            <w:hideMark/>
          </w:tcPr>
          <w:p w:rsidR="00D0348D" w:rsidRPr="00E66664" w14:paraId="74972B83"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vMerge w:val="restart"/>
            <w:tcBorders>
              <w:top w:val="nil"/>
              <w:left w:val="single" w:sz="4" w:space="0" w:color="auto"/>
              <w:bottom w:val="single" w:sz="4" w:space="0" w:color="000000"/>
              <w:right w:val="single" w:sz="4" w:space="0" w:color="auto"/>
            </w:tcBorders>
            <w:shd w:val="clear" w:color="auto" w:fill="EAEAEA"/>
            <w:noWrap/>
            <w:vAlign w:val="center"/>
            <w:hideMark/>
          </w:tcPr>
          <w:p w:rsidR="00D0348D" w:rsidRPr="00E66664" w14:paraId="666D448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r>
      <w:tr w14:paraId="0330F27A" w14:textId="77777777" w:rsidTr="005D66CE">
        <w:tblPrEx>
          <w:tblW w:w="10255" w:type="dxa"/>
          <w:tblLayout w:type="fixed"/>
          <w:tblLook w:val="04A0"/>
        </w:tblPrEx>
        <w:trPr>
          <w:trHeight w:val="590"/>
        </w:trPr>
        <w:tc>
          <w:tcPr>
            <w:tcW w:w="1795" w:type="dxa"/>
            <w:vMerge/>
            <w:tcBorders>
              <w:top w:val="nil"/>
              <w:left w:val="single" w:sz="4" w:space="0" w:color="auto"/>
              <w:bottom w:val="single" w:sz="4" w:space="0" w:color="000000"/>
              <w:right w:val="single" w:sz="4" w:space="0" w:color="auto"/>
            </w:tcBorders>
            <w:shd w:val="clear" w:color="auto" w:fill="EAEAEA"/>
            <w:vAlign w:val="center"/>
            <w:hideMark/>
          </w:tcPr>
          <w:p w:rsidR="00D0348D" w:rsidRPr="00E66664" w14:paraId="2F6D2B98" w14:textId="77777777">
            <w:pPr>
              <w:spacing w:after="0" w:line="240" w:lineRule="auto"/>
              <w:rPr>
                <w:rFonts w:ascii="Times New Roman" w:eastAsia="Times New Roman" w:hAnsi="Times New Roman" w:cs="Times New Roman"/>
                <w:b/>
                <w:bCs/>
                <w:i/>
                <w:iCs/>
                <w:color w:val="000000"/>
              </w:rPr>
            </w:pPr>
          </w:p>
        </w:tc>
        <w:tc>
          <w:tcPr>
            <w:tcW w:w="1350" w:type="dxa"/>
            <w:vMerge/>
            <w:tcBorders>
              <w:top w:val="nil"/>
              <w:left w:val="single" w:sz="4" w:space="0" w:color="auto"/>
              <w:bottom w:val="single" w:sz="4" w:space="0" w:color="auto"/>
              <w:right w:val="single" w:sz="4" w:space="0" w:color="auto"/>
            </w:tcBorders>
            <w:shd w:val="clear" w:color="auto" w:fill="EAEAEA"/>
            <w:vAlign w:val="center"/>
            <w:hideMark/>
          </w:tcPr>
          <w:p w:rsidR="00D0348D" w:rsidRPr="00E66664" w14:paraId="0A2E4216" w14:textId="77777777">
            <w:pPr>
              <w:spacing w:after="0" w:line="240" w:lineRule="auto"/>
              <w:rPr>
                <w:rFonts w:ascii="Times New Roman" w:eastAsia="Times New Roman" w:hAnsi="Times New Roman" w:cs="Times New Roman"/>
                <w:color w:val="000000"/>
              </w:rPr>
            </w:pPr>
          </w:p>
        </w:tc>
        <w:tc>
          <w:tcPr>
            <w:tcW w:w="1350" w:type="dxa"/>
            <w:vMerge/>
            <w:tcBorders>
              <w:top w:val="nil"/>
              <w:left w:val="single" w:sz="4" w:space="0" w:color="auto"/>
              <w:bottom w:val="single" w:sz="4" w:space="0" w:color="auto"/>
              <w:right w:val="single" w:sz="4" w:space="0" w:color="auto"/>
            </w:tcBorders>
            <w:shd w:val="clear" w:color="auto" w:fill="EAEAEA"/>
            <w:vAlign w:val="center"/>
            <w:hideMark/>
          </w:tcPr>
          <w:p w:rsidR="00D0348D" w:rsidRPr="00E66664" w14:paraId="2BA9EDA1"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shd w:val="clear" w:color="auto" w:fill="EAEAEA"/>
            <w:vAlign w:val="center"/>
            <w:hideMark/>
          </w:tcPr>
          <w:p w:rsidR="00D0348D" w:rsidRPr="00E66664" w14:paraId="310E16B3"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shd w:val="clear" w:color="auto" w:fill="EAEAEA"/>
            <w:vAlign w:val="center"/>
            <w:hideMark/>
          </w:tcPr>
          <w:p w:rsidR="00D0348D" w:rsidRPr="00E66664" w14:paraId="0489A95F" w14:textId="77777777">
            <w:pPr>
              <w:spacing w:after="0" w:line="240" w:lineRule="auto"/>
              <w:rPr>
                <w:rFonts w:ascii="Times New Roman" w:eastAsia="Times New Roman" w:hAnsi="Times New Roman" w:cs="Times New Roman"/>
                <w:color w:val="000000"/>
              </w:rPr>
            </w:pPr>
          </w:p>
        </w:tc>
        <w:tc>
          <w:tcPr>
            <w:tcW w:w="1170" w:type="dxa"/>
            <w:vMerge/>
            <w:tcBorders>
              <w:top w:val="nil"/>
              <w:left w:val="single" w:sz="4" w:space="0" w:color="auto"/>
              <w:bottom w:val="single" w:sz="4" w:space="0" w:color="auto"/>
              <w:right w:val="single" w:sz="4" w:space="0" w:color="auto"/>
            </w:tcBorders>
            <w:shd w:val="clear" w:color="auto" w:fill="EAEAEA"/>
            <w:vAlign w:val="center"/>
            <w:hideMark/>
          </w:tcPr>
          <w:p w:rsidR="00D0348D" w:rsidRPr="00E66664" w14:paraId="30335AE8" w14:textId="77777777">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000000"/>
              <w:right w:val="single" w:sz="4" w:space="0" w:color="auto"/>
            </w:tcBorders>
            <w:shd w:val="clear" w:color="auto" w:fill="EAEAEA"/>
            <w:vAlign w:val="center"/>
            <w:hideMark/>
          </w:tcPr>
          <w:p w:rsidR="00D0348D" w:rsidRPr="00E66664" w14:paraId="3D33555E" w14:textId="77777777">
            <w:pPr>
              <w:spacing w:after="0" w:line="240" w:lineRule="auto"/>
              <w:rPr>
                <w:rFonts w:ascii="Times New Roman" w:eastAsia="Times New Roman" w:hAnsi="Times New Roman" w:cs="Times New Roman"/>
                <w:color w:val="000000"/>
              </w:rPr>
            </w:pPr>
          </w:p>
        </w:tc>
        <w:tc>
          <w:tcPr>
            <w:tcW w:w="1260" w:type="dxa"/>
            <w:vMerge/>
            <w:tcBorders>
              <w:top w:val="nil"/>
              <w:left w:val="single" w:sz="4" w:space="0" w:color="auto"/>
              <w:bottom w:val="single" w:sz="4" w:space="0" w:color="000000"/>
              <w:right w:val="single" w:sz="4" w:space="0" w:color="auto"/>
            </w:tcBorders>
            <w:shd w:val="clear" w:color="auto" w:fill="EAEAEA"/>
            <w:vAlign w:val="center"/>
            <w:hideMark/>
          </w:tcPr>
          <w:p w:rsidR="00D0348D" w:rsidRPr="00E66664" w14:paraId="755EBDE1" w14:textId="77777777">
            <w:pPr>
              <w:spacing w:after="0" w:line="240" w:lineRule="auto"/>
              <w:rPr>
                <w:rFonts w:ascii="Times New Roman" w:eastAsia="Times New Roman" w:hAnsi="Times New Roman" w:cs="Times New Roman"/>
                <w:color w:val="000000"/>
              </w:rPr>
            </w:pPr>
          </w:p>
        </w:tc>
      </w:tr>
      <w:tr w14:paraId="596C3D9C" w14:textId="77777777" w:rsidTr="005D66CE">
        <w:tblPrEx>
          <w:tblW w:w="10255" w:type="dxa"/>
          <w:tblLayout w:type="fixed"/>
          <w:tblLook w:val="04A0"/>
        </w:tblPrEx>
        <w:trPr>
          <w:trHeight w:val="840"/>
        </w:trPr>
        <w:tc>
          <w:tcPr>
            <w:tcW w:w="1795" w:type="dxa"/>
            <w:tcBorders>
              <w:top w:val="nil"/>
              <w:left w:val="single" w:sz="4" w:space="0" w:color="auto"/>
              <w:bottom w:val="single" w:sz="4" w:space="0" w:color="auto"/>
              <w:right w:val="single" w:sz="4" w:space="0" w:color="auto"/>
            </w:tcBorders>
            <w:vAlign w:val="center"/>
            <w:hideMark/>
          </w:tcPr>
          <w:p w:rsidR="00D0348D" w:rsidRPr="002A1B0C" w14:paraId="07D2F4B6" w14:textId="6854802F">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 xml:space="preserve">Information on </w:t>
            </w:r>
            <w:r w:rsidR="00CA470E">
              <w:rPr>
                <w:rFonts w:ascii="Times New Roman" w:eastAsia="Times New Roman" w:hAnsi="Times New Roman" w:cs="Times New Roman"/>
                <w:color w:val="000000"/>
              </w:rPr>
              <w:t>O</w:t>
            </w:r>
            <w:r w:rsidRPr="002A1B0C">
              <w:rPr>
                <w:rFonts w:ascii="Times New Roman" w:eastAsia="Times New Roman" w:hAnsi="Times New Roman" w:cs="Times New Roman"/>
                <w:color w:val="000000"/>
              </w:rPr>
              <w:t xml:space="preserve">utcomes from ETM </w:t>
            </w:r>
            <w:r w:rsidR="00CA470E">
              <w:rPr>
                <w:rFonts w:ascii="Times New Roman" w:eastAsia="Times New Roman" w:hAnsi="Times New Roman" w:cs="Times New Roman"/>
                <w:color w:val="000000"/>
              </w:rPr>
              <w:t>Y</w:t>
            </w:r>
            <w:r w:rsidRPr="002A1B0C">
              <w:rPr>
                <w:rFonts w:ascii="Times New Roman" w:eastAsia="Times New Roman" w:hAnsi="Times New Roman" w:cs="Times New Roman"/>
                <w:color w:val="000000"/>
              </w:rPr>
              <w:t xml:space="preserve">outh </w:t>
            </w:r>
          </w:p>
        </w:tc>
        <w:tc>
          <w:tcPr>
            <w:tcW w:w="1350" w:type="dxa"/>
            <w:tcBorders>
              <w:top w:val="nil"/>
              <w:left w:val="nil"/>
              <w:bottom w:val="single" w:sz="4" w:space="0" w:color="auto"/>
              <w:right w:val="single" w:sz="4" w:space="0" w:color="auto"/>
            </w:tcBorders>
            <w:vAlign w:val="center"/>
            <w:hideMark/>
          </w:tcPr>
          <w:p w:rsidR="00D0348D" w:rsidRPr="002A1B0C" w14:paraId="43029B0C" w14:textId="4206D40D">
            <w:pPr>
              <w:spacing w:after="0" w:line="240" w:lineRule="auto"/>
              <w:jc w:val="center"/>
              <w:rPr>
                <w:rFonts w:ascii="Times New Roman" w:eastAsia="Times New Roman" w:hAnsi="Times New Roman" w:cs="Times New Roman"/>
                <w:color w:val="000000"/>
                <w:vertAlign w:val="superscript"/>
              </w:rPr>
            </w:pPr>
            <w:r w:rsidRPr="002A1B0C">
              <w:rPr>
                <w:rFonts w:ascii="Times New Roman" w:eastAsia="Times New Roman" w:hAnsi="Times New Roman" w:cs="Times New Roman"/>
                <w:color w:val="000000"/>
              </w:rPr>
              <w:t>240</w:t>
            </w:r>
            <w:r w:rsidRPr="002A1B0C" w:rsidR="005837CD">
              <w:rPr>
                <w:rFonts w:ascii="Times New Roman" w:eastAsia="Times New Roman" w:hAnsi="Times New Roman" w:cs="Times New Roman"/>
                <w:color w:val="000000"/>
                <w:vertAlign w:val="superscript"/>
              </w:rPr>
              <w:t>u</w:t>
            </w:r>
          </w:p>
        </w:tc>
        <w:tc>
          <w:tcPr>
            <w:tcW w:w="1350" w:type="dxa"/>
            <w:tcBorders>
              <w:top w:val="nil"/>
              <w:left w:val="nil"/>
              <w:bottom w:val="single" w:sz="4" w:space="0" w:color="auto"/>
              <w:right w:val="single" w:sz="4" w:space="0" w:color="auto"/>
            </w:tcBorders>
            <w:vAlign w:val="center"/>
            <w:hideMark/>
          </w:tcPr>
          <w:p w:rsidR="00D0348D" w:rsidRPr="002A1B0C" w14:paraId="5602FD48" w14:textId="77777777">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3</w:t>
            </w:r>
          </w:p>
        </w:tc>
        <w:tc>
          <w:tcPr>
            <w:tcW w:w="1170" w:type="dxa"/>
            <w:tcBorders>
              <w:top w:val="nil"/>
              <w:left w:val="nil"/>
              <w:bottom w:val="single" w:sz="4" w:space="0" w:color="auto"/>
              <w:right w:val="single" w:sz="4" w:space="0" w:color="auto"/>
            </w:tcBorders>
            <w:vAlign w:val="center"/>
            <w:hideMark/>
          </w:tcPr>
          <w:p w:rsidR="00D0348D" w:rsidRPr="002A1B0C" w14:paraId="4BBB8D38" w14:textId="77777777">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720</w:t>
            </w:r>
          </w:p>
        </w:tc>
        <w:tc>
          <w:tcPr>
            <w:tcW w:w="1170" w:type="dxa"/>
            <w:tcBorders>
              <w:top w:val="nil"/>
              <w:left w:val="nil"/>
              <w:bottom w:val="single" w:sz="4" w:space="0" w:color="auto"/>
              <w:right w:val="single" w:sz="4" w:space="0" w:color="auto"/>
            </w:tcBorders>
            <w:vAlign w:val="center"/>
            <w:hideMark/>
          </w:tcPr>
          <w:p w:rsidR="00D0348D" w:rsidRPr="002A1B0C" w14:paraId="752583EB" w14:textId="77777777">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0.07</w:t>
            </w:r>
          </w:p>
        </w:tc>
        <w:tc>
          <w:tcPr>
            <w:tcW w:w="1170" w:type="dxa"/>
            <w:tcBorders>
              <w:top w:val="nil"/>
              <w:left w:val="nil"/>
              <w:bottom w:val="single" w:sz="4" w:space="0" w:color="auto"/>
              <w:right w:val="single" w:sz="4" w:space="0" w:color="auto"/>
            </w:tcBorders>
            <w:vAlign w:val="center"/>
            <w:hideMark/>
          </w:tcPr>
          <w:p w:rsidR="00D0348D" w:rsidRPr="002A1B0C" w14:paraId="3B42C1C3" w14:textId="5EF7BEB2">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50.4</w:t>
            </w:r>
          </w:p>
        </w:tc>
        <w:tc>
          <w:tcPr>
            <w:tcW w:w="990" w:type="dxa"/>
            <w:tcBorders>
              <w:top w:val="nil"/>
              <w:left w:val="nil"/>
              <w:bottom w:val="single" w:sz="4" w:space="0" w:color="auto"/>
              <w:right w:val="single" w:sz="4" w:space="0" w:color="auto"/>
            </w:tcBorders>
            <w:vAlign w:val="center"/>
            <w:hideMark/>
          </w:tcPr>
          <w:p w:rsidR="00D0348D" w:rsidRPr="002A1B0C" w14:paraId="0B102531" w14:textId="60458DD9">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$34.38</w:t>
            </w:r>
            <w:r w:rsidRPr="002A1B0C" w:rsidR="007776F7">
              <w:rPr>
                <w:rFonts w:ascii="Times New Roman" w:eastAsia="Times New Roman" w:hAnsi="Times New Roman" w:cs="Times New Roman"/>
                <w:color w:val="000000"/>
                <w:vertAlign w:val="superscript"/>
              </w:rPr>
              <w:t>d</w:t>
            </w:r>
          </w:p>
        </w:tc>
        <w:tc>
          <w:tcPr>
            <w:tcW w:w="1260" w:type="dxa"/>
            <w:tcBorders>
              <w:top w:val="nil"/>
              <w:left w:val="nil"/>
              <w:bottom w:val="single" w:sz="4" w:space="0" w:color="auto"/>
              <w:right w:val="single" w:sz="4" w:space="0" w:color="auto"/>
            </w:tcBorders>
            <w:noWrap/>
            <w:vAlign w:val="center"/>
            <w:hideMark/>
          </w:tcPr>
          <w:p w:rsidR="00D0348D" w:rsidRPr="002A1B0C" w14:paraId="056F89FE" w14:textId="615BA53A">
            <w:pPr>
              <w:spacing w:after="0" w:line="240" w:lineRule="auto"/>
              <w:jc w:val="center"/>
              <w:rPr>
                <w:rFonts w:ascii="Times New Roman" w:eastAsia="Times New Roman" w:hAnsi="Times New Roman" w:cs="Times New Roman"/>
                <w:color w:val="000000"/>
              </w:rPr>
            </w:pPr>
            <w:r w:rsidRPr="002A1B0C">
              <w:rPr>
                <w:rFonts w:ascii="Times New Roman" w:eastAsia="Times New Roman" w:hAnsi="Times New Roman" w:cs="Times New Roman"/>
                <w:color w:val="000000"/>
              </w:rPr>
              <w:t>$1732.75</w:t>
            </w:r>
          </w:p>
        </w:tc>
      </w:tr>
      <w:tr w14:paraId="5DBC89B3" w14:textId="77777777" w:rsidTr="005D66CE">
        <w:tblPrEx>
          <w:tblW w:w="10255" w:type="dxa"/>
          <w:tblLayout w:type="fixed"/>
          <w:tblLook w:val="04A0"/>
        </w:tblPrEx>
        <w:trPr>
          <w:trHeight w:val="1120"/>
        </w:trPr>
        <w:tc>
          <w:tcPr>
            <w:tcW w:w="1795" w:type="dxa"/>
            <w:tcBorders>
              <w:top w:val="nil"/>
              <w:left w:val="single" w:sz="4" w:space="0" w:color="auto"/>
              <w:bottom w:val="single" w:sz="4" w:space="0" w:color="auto"/>
              <w:right w:val="single" w:sz="4" w:space="0" w:color="auto"/>
            </w:tcBorders>
            <w:vAlign w:val="center"/>
            <w:hideMark/>
          </w:tcPr>
          <w:p w:rsidR="00D0348D" w:rsidRPr="00E66664" w14:paraId="28847618" w14:textId="6F78DD2E">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xml:space="preserve">Information on </w:t>
            </w:r>
            <w:r w:rsidR="00CA470E">
              <w:rPr>
                <w:rFonts w:ascii="Times New Roman" w:eastAsia="Times New Roman" w:hAnsi="Times New Roman" w:cs="Times New Roman"/>
                <w:color w:val="000000"/>
              </w:rPr>
              <w:t>O</w:t>
            </w:r>
            <w:r w:rsidRPr="00E66664">
              <w:rPr>
                <w:rFonts w:ascii="Times New Roman" w:eastAsia="Times New Roman" w:hAnsi="Times New Roman" w:cs="Times New Roman"/>
                <w:color w:val="000000"/>
              </w:rPr>
              <w:t xml:space="preserve">utcomes </w:t>
            </w:r>
            <w:r w:rsidR="00CA470E">
              <w:rPr>
                <w:rFonts w:ascii="Times New Roman" w:eastAsia="Times New Roman" w:hAnsi="Times New Roman" w:cs="Times New Roman"/>
                <w:color w:val="000000"/>
              </w:rPr>
              <w:t>R</w:t>
            </w:r>
            <w:r w:rsidRPr="00E66664">
              <w:rPr>
                <w:rFonts w:ascii="Times New Roman" w:eastAsia="Times New Roman" w:hAnsi="Times New Roman" w:cs="Times New Roman"/>
                <w:color w:val="000000"/>
              </w:rPr>
              <w:t xml:space="preserve">ecorded by ETM and AJC </w:t>
            </w:r>
            <w:r w:rsidR="00CA470E">
              <w:rPr>
                <w:rFonts w:ascii="Times New Roman" w:eastAsia="Times New Roman" w:hAnsi="Times New Roman" w:cs="Times New Roman"/>
                <w:color w:val="000000"/>
              </w:rPr>
              <w:t>S</w:t>
            </w:r>
            <w:r w:rsidRPr="00E66664">
              <w:rPr>
                <w:rFonts w:ascii="Times New Roman" w:eastAsia="Times New Roman" w:hAnsi="Times New Roman" w:cs="Times New Roman"/>
                <w:color w:val="000000"/>
              </w:rPr>
              <w:t>taff</w:t>
            </w:r>
          </w:p>
        </w:tc>
        <w:tc>
          <w:tcPr>
            <w:tcW w:w="1350" w:type="dxa"/>
            <w:tcBorders>
              <w:top w:val="nil"/>
              <w:left w:val="nil"/>
              <w:bottom w:val="single" w:sz="4" w:space="0" w:color="auto"/>
              <w:right w:val="single" w:sz="4" w:space="0" w:color="auto"/>
            </w:tcBorders>
            <w:vAlign w:val="center"/>
            <w:hideMark/>
          </w:tcPr>
          <w:p w:rsidR="00D0348D" w:rsidRPr="00443199" w14:paraId="7CB34A2F" w14:textId="009B5AB0">
            <w:pPr>
              <w:spacing w:after="0" w:line="240" w:lineRule="auto"/>
              <w:jc w:val="center"/>
              <w:rPr>
                <w:rFonts w:ascii="Times New Roman" w:eastAsia="Times New Roman" w:hAnsi="Times New Roman" w:cs="Times New Roman"/>
                <w:color w:val="000000"/>
                <w:vertAlign w:val="superscript"/>
              </w:rPr>
            </w:pPr>
            <w:r w:rsidRPr="00E66664">
              <w:rPr>
                <w:rFonts w:ascii="Times New Roman" w:eastAsia="Times New Roman" w:hAnsi="Times New Roman" w:cs="Times New Roman"/>
                <w:color w:val="000000"/>
              </w:rPr>
              <w:t>81</w:t>
            </w:r>
            <w:r w:rsidR="00443199">
              <w:rPr>
                <w:rFonts w:ascii="Times New Roman" w:eastAsia="Times New Roman" w:hAnsi="Times New Roman" w:cs="Times New Roman"/>
                <w:color w:val="000000"/>
                <w:vertAlign w:val="superscript"/>
              </w:rPr>
              <w:t>v</w:t>
            </w:r>
          </w:p>
        </w:tc>
        <w:tc>
          <w:tcPr>
            <w:tcW w:w="1350" w:type="dxa"/>
            <w:tcBorders>
              <w:top w:val="nil"/>
              <w:left w:val="nil"/>
              <w:bottom w:val="single" w:sz="4" w:space="0" w:color="auto"/>
              <w:right w:val="single" w:sz="4" w:space="0" w:color="auto"/>
            </w:tcBorders>
            <w:vAlign w:val="center"/>
            <w:hideMark/>
          </w:tcPr>
          <w:p w:rsidR="00D0348D" w:rsidRPr="00E66664" w14:paraId="0531FA9E"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12</w:t>
            </w:r>
          </w:p>
        </w:tc>
        <w:tc>
          <w:tcPr>
            <w:tcW w:w="1170" w:type="dxa"/>
            <w:tcBorders>
              <w:top w:val="nil"/>
              <w:left w:val="nil"/>
              <w:bottom w:val="single" w:sz="4" w:space="0" w:color="auto"/>
              <w:right w:val="single" w:sz="4" w:space="0" w:color="auto"/>
            </w:tcBorders>
            <w:vAlign w:val="center"/>
            <w:hideMark/>
          </w:tcPr>
          <w:p w:rsidR="00D0348D" w:rsidRPr="00E66664" w14:paraId="6968378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972</w:t>
            </w:r>
          </w:p>
        </w:tc>
        <w:tc>
          <w:tcPr>
            <w:tcW w:w="1170" w:type="dxa"/>
            <w:tcBorders>
              <w:top w:val="nil"/>
              <w:left w:val="nil"/>
              <w:bottom w:val="single" w:sz="4" w:space="0" w:color="auto"/>
              <w:right w:val="single" w:sz="4" w:space="0" w:color="auto"/>
            </w:tcBorders>
            <w:vAlign w:val="center"/>
            <w:hideMark/>
          </w:tcPr>
          <w:p w:rsidR="00D0348D" w:rsidRPr="00E66664" w14:paraId="5E26C507"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0.07</w:t>
            </w:r>
          </w:p>
        </w:tc>
        <w:tc>
          <w:tcPr>
            <w:tcW w:w="1170" w:type="dxa"/>
            <w:tcBorders>
              <w:top w:val="nil"/>
              <w:left w:val="nil"/>
              <w:bottom w:val="single" w:sz="4" w:space="0" w:color="auto"/>
              <w:right w:val="single" w:sz="4" w:space="0" w:color="auto"/>
            </w:tcBorders>
            <w:vAlign w:val="center"/>
            <w:hideMark/>
          </w:tcPr>
          <w:p w:rsidR="00D0348D" w:rsidRPr="00E66664" w14:paraId="106183F9"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68.04</w:t>
            </w:r>
          </w:p>
        </w:tc>
        <w:tc>
          <w:tcPr>
            <w:tcW w:w="990" w:type="dxa"/>
            <w:tcBorders>
              <w:top w:val="nil"/>
              <w:left w:val="nil"/>
              <w:bottom w:val="single" w:sz="4" w:space="0" w:color="auto"/>
              <w:right w:val="single" w:sz="4" w:space="0" w:color="auto"/>
            </w:tcBorders>
            <w:vAlign w:val="center"/>
            <w:hideMark/>
          </w:tcPr>
          <w:p w:rsidR="00D0348D" w:rsidRPr="00E66664" w14:paraId="0810A68D" w14:textId="535047A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$34.38</w:t>
            </w:r>
            <w:r w:rsidR="007776F7">
              <w:rPr>
                <w:rFonts w:ascii="Times New Roman" w:eastAsia="Times New Roman" w:hAnsi="Times New Roman" w:cs="Times New Roman"/>
                <w:color w:val="000000"/>
                <w:vertAlign w:val="superscript"/>
              </w:rPr>
              <w:t>d</w:t>
            </w:r>
          </w:p>
        </w:tc>
        <w:tc>
          <w:tcPr>
            <w:tcW w:w="1260" w:type="dxa"/>
            <w:tcBorders>
              <w:top w:val="nil"/>
              <w:left w:val="nil"/>
              <w:bottom w:val="single" w:sz="4" w:space="0" w:color="auto"/>
              <w:right w:val="single" w:sz="4" w:space="0" w:color="auto"/>
            </w:tcBorders>
            <w:noWrap/>
            <w:vAlign w:val="center"/>
            <w:hideMark/>
          </w:tcPr>
          <w:p w:rsidR="00D0348D" w:rsidRPr="00E66664" w14:paraId="01D22074"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$2,339.22</w:t>
            </w:r>
          </w:p>
        </w:tc>
      </w:tr>
      <w:tr w14:paraId="09425707" w14:textId="77777777" w:rsidTr="005D66CE">
        <w:tblPrEx>
          <w:tblW w:w="10255" w:type="dxa"/>
          <w:tblLayout w:type="fixed"/>
          <w:tblLook w:val="04A0"/>
        </w:tblPrEx>
        <w:trPr>
          <w:trHeight w:val="330"/>
        </w:trPr>
        <w:tc>
          <w:tcPr>
            <w:tcW w:w="1795" w:type="dxa"/>
            <w:tcBorders>
              <w:top w:val="nil"/>
              <w:left w:val="single" w:sz="4" w:space="0" w:color="auto"/>
              <w:bottom w:val="single" w:sz="4" w:space="0" w:color="auto"/>
              <w:right w:val="single" w:sz="4" w:space="0" w:color="auto"/>
            </w:tcBorders>
            <w:vAlign w:val="center"/>
            <w:hideMark/>
          </w:tcPr>
          <w:p w:rsidR="00D0348D" w:rsidRPr="00E66664" w14:paraId="24FB7205" w14:textId="7777777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Total</w:t>
            </w:r>
          </w:p>
        </w:tc>
        <w:tc>
          <w:tcPr>
            <w:tcW w:w="1350" w:type="dxa"/>
            <w:tcBorders>
              <w:top w:val="nil"/>
              <w:left w:val="nil"/>
              <w:bottom w:val="single" w:sz="4" w:space="0" w:color="auto"/>
              <w:right w:val="single" w:sz="4" w:space="0" w:color="auto"/>
            </w:tcBorders>
            <w:vAlign w:val="center"/>
            <w:hideMark/>
          </w:tcPr>
          <w:p w:rsidR="00D0348D" w:rsidRPr="00443199" w14:paraId="5D51E30F" w14:textId="490633FD">
            <w:pPr>
              <w:spacing w:after="0" w:line="240" w:lineRule="auto"/>
              <w:jc w:val="center"/>
              <w:rPr>
                <w:rFonts w:ascii="Times New Roman" w:eastAsia="Times New Roman" w:hAnsi="Times New Roman" w:cs="Times New Roman"/>
                <w:b/>
                <w:bCs/>
                <w:color w:val="000000"/>
                <w:vertAlign w:val="superscript"/>
              </w:rPr>
            </w:pPr>
            <w:r w:rsidRPr="00E66664">
              <w:rPr>
                <w:rFonts w:ascii="Times New Roman" w:eastAsia="Times New Roman" w:hAnsi="Times New Roman" w:cs="Times New Roman"/>
                <w:b/>
                <w:bCs/>
                <w:color w:val="000000"/>
              </w:rPr>
              <w:t>4,</w:t>
            </w:r>
            <w:r w:rsidR="002A1B0C">
              <w:rPr>
                <w:rFonts w:ascii="Times New Roman" w:eastAsia="Times New Roman" w:hAnsi="Times New Roman" w:cs="Times New Roman"/>
                <w:b/>
                <w:bCs/>
                <w:color w:val="000000"/>
              </w:rPr>
              <w:t>040</w:t>
            </w:r>
            <w:r w:rsidR="00443199">
              <w:rPr>
                <w:rFonts w:ascii="Times New Roman" w:eastAsia="Times New Roman" w:hAnsi="Times New Roman" w:cs="Times New Roman"/>
                <w:b/>
                <w:bCs/>
                <w:color w:val="000000"/>
                <w:vertAlign w:val="superscript"/>
              </w:rPr>
              <w:t>w</w:t>
            </w:r>
          </w:p>
        </w:tc>
        <w:tc>
          <w:tcPr>
            <w:tcW w:w="1350" w:type="dxa"/>
            <w:tcBorders>
              <w:top w:val="nil"/>
              <w:left w:val="nil"/>
              <w:bottom w:val="single" w:sz="4" w:space="0" w:color="auto"/>
              <w:right w:val="single" w:sz="4" w:space="0" w:color="auto"/>
            </w:tcBorders>
            <w:shd w:val="clear" w:color="auto" w:fill="000000" w:themeFill="text1"/>
            <w:vAlign w:val="center"/>
            <w:hideMark/>
          </w:tcPr>
          <w:p w:rsidR="00D0348D" w:rsidRPr="00E66664" w14:paraId="2980ADF6" w14:textId="7777777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 </w:t>
            </w:r>
          </w:p>
        </w:tc>
        <w:tc>
          <w:tcPr>
            <w:tcW w:w="1170" w:type="dxa"/>
            <w:tcBorders>
              <w:top w:val="nil"/>
              <w:left w:val="nil"/>
              <w:bottom w:val="single" w:sz="4" w:space="0" w:color="auto"/>
              <w:right w:val="single" w:sz="4" w:space="0" w:color="auto"/>
            </w:tcBorders>
            <w:vAlign w:val="center"/>
            <w:hideMark/>
          </w:tcPr>
          <w:p w:rsidR="00D0348D" w:rsidRPr="00E66664" w14:paraId="489E8557" w14:textId="0E055C36">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11,</w:t>
            </w:r>
            <w:r w:rsidR="002A1B0C">
              <w:rPr>
                <w:rFonts w:ascii="Times New Roman" w:eastAsia="Times New Roman" w:hAnsi="Times New Roman" w:cs="Times New Roman"/>
                <w:b/>
                <w:bCs/>
                <w:color w:val="000000"/>
              </w:rPr>
              <w:t>208</w:t>
            </w:r>
          </w:p>
        </w:tc>
        <w:tc>
          <w:tcPr>
            <w:tcW w:w="1170" w:type="dxa"/>
            <w:tcBorders>
              <w:top w:val="nil"/>
              <w:left w:val="nil"/>
              <w:bottom w:val="single" w:sz="4" w:space="0" w:color="auto"/>
              <w:right w:val="single" w:sz="4" w:space="0" w:color="auto"/>
            </w:tcBorders>
            <w:shd w:val="clear" w:color="auto" w:fill="000000" w:themeFill="text1"/>
            <w:vAlign w:val="center"/>
            <w:hideMark/>
          </w:tcPr>
          <w:p w:rsidR="00D0348D" w:rsidRPr="00E66664" w14:paraId="046E45AF" w14:textId="7777777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 </w:t>
            </w:r>
          </w:p>
        </w:tc>
        <w:tc>
          <w:tcPr>
            <w:tcW w:w="1170" w:type="dxa"/>
            <w:tcBorders>
              <w:top w:val="nil"/>
              <w:left w:val="nil"/>
              <w:bottom w:val="single" w:sz="4" w:space="0" w:color="auto"/>
              <w:right w:val="single" w:sz="4" w:space="0" w:color="auto"/>
            </w:tcBorders>
            <w:vAlign w:val="center"/>
            <w:hideMark/>
          </w:tcPr>
          <w:p w:rsidR="00D0348D" w:rsidRPr="00E66664" w14:paraId="1573ED58" w14:textId="23825E27">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1,</w:t>
            </w:r>
            <w:r w:rsidR="002A1B0C">
              <w:rPr>
                <w:rFonts w:ascii="Times New Roman" w:eastAsia="Times New Roman" w:hAnsi="Times New Roman" w:cs="Times New Roman"/>
                <w:b/>
                <w:bCs/>
                <w:color w:val="000000"/>
              </w:rPr>
              <w:t>558</w:t>
            </w:r>
          </w:p>
        </w:tc>
        <w:tc>
          <w:tcPr>
            <w:tcW w:w="990" w:type="dxa"/>
            <w:tcBorders>
              <w:top w:val="nil"/>
              <w:left w:val="nil"/>
              <w:bottom w:val="single" w:sz="4" w:space="0" w:color="auto"/>
              <w:right w:val="single" w:sz="4" w:space="0" w:color="auto"/>
            </w:tcBorders>
            <w:shd w:val="clear" w:color="auto" w:fill="000000" w:themeFill="text1"/>
            <w:noWrap/>
            <w:vAlign w:val="center"/>
            <w:hideMark/>
          </w:tcPr>
          <w:p w:rsidR="00D0348D" w:rsidRPr="00E66664" w14:paraId="1B65073D" w14:textId="77777777">
            <w:pPr>
              <w:spacing w:after="0" w:line="240" w:lineRule="auto"/>
              <w:jc w:val="center"/>
              <w:rPr>
                <w:rFonts w:ascii="Times New Roman" w:eastAsia="Times New Roman" w:hAnsi="Times New Roman" w:cs="Times New Roman"/>
                <w:color w:val="000000"/>
              </w:rPr>
            </w:pPr>
            <w:r w:rsidRPr="00E6666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noWrap/>
            <w:vAlign w:val="center"/>
            <w:hideMark/>
          </w:tcPr>
          <w:p w:rsidR="00D0348D" w:rsidRPr="00E66664" w14:paraId="0DD36077" w14:textId="4DD8BFB5">
            <w:pPr>
              <w:spacing w:after="0" w:line="240" w:lineRule="auto"/>
              <w:jc w:val="center"/>
              <w:rPr>
                <w:rFonts w:ascii="Times New Roman" w:eastAsia="Times New Roman" w:hAnsi="Times New Roman" w:cs="Times New Roman"/>
                <w:b/>
                <w:bCs/>
                <w:color w:val="000000"/>
              </w:rPr>
            </w:pPr>
            <w:r w:rsidRPr="00E66664">
              <w:rPr>
                <w:rFonts w:ascii="Times New Roman" w:eastAsia="Times New Roman" w:hAnsi="Times New Roman" w:cs="Times New Roman"/>
                <w:b/>
                <w:bCs/>
                <w:color w:val="000000"/>
              </w:rPr>
              <w:t>$</w:t>
            </w:r>
            <w:r w:rsidR="002A1B0C">
              <w:rPr>
                <w:rFonts w:ascii="Times New Roman" w:eastAsia="Times New Roman" w:hAnsi="Times New Roman" w:cs="Times New Roman"/>
                <w:b/>
                <w:bCs/>
                <w:color w:val="000000"/>
              </w:rPr>
              <w:t>43,945</w:t>
            </w:r>
            <w:r w:rsidR="000B7C74">
              <w:rPr>
                <w:rFonts w:ascii="Times New Roman" w:eastAsia="Times New Roman" w:hAnsi="Times New Roman" w:cs="Times New Roman"/>
                <w:b/>
                <w:bCs/>
                <w:color w:val="000000"/>
              </w:rPr>
              <w:t>.</w:t>
            </w:r>
            <w:r w:rsidR="0024273C">
              <w:rPr>
                <w:rFonts w:ascii="Times New Roman" w:eastAsia="Times New Roman" w:hAnsi="Times New Roman" w:cs="Times New Roman"/>
                <w:b/>
                <w:bCs/>
                <w:color w:val="000000"/>
              </w:rPr>
              <w:t>40</w:t>
            </w:r>
          </w:p>
        </w:tc>
      </w:tr>
    </w:tbl>
    <w:p w:rsidR="003B7A2D" w:rsidP="0007376F" w14:paraId="6E6EC740" w14:textId="24270CAB">
      <w:pPr>
        <w:spacing w:after="0" w:line="240" w:lineRule="auto"/>
        <w:contextualSpacing/>
        <w:rPr>
          <w:rFonts w:asciiTheme="majorBidi" w:hAnsiTheme="majorBidi" w:cstheme="majorBidi"/>
          <w:sz w:val="18"/>
          <w:szCs w:val="18"/>
        </w:rPr>
      </w:pPr>
      <w:r>
        <w:rPr>
          <w:rFonts w:asciiTheme="majorBidi" w:hAnsiTheme="majorBidi" w:cstheme="majorBidi"/>
          <w:sz w:val="18"/>
          <w:szCs w:val="18"/>
        </w:rPr>
        <w:br w:type="textWrapping" w:clear="all"/>
      </w:r>
      <w:r w:rsidRPr="1E427709" w:rsidR="00127BB9">
        <w:rPr>
          <w:rFonts w:asciiTheme="majorBidi" w:hAnsiTheme="majorBidi" w:cstheme="majorBidi"/>
          <w:sz w:val="18"/>
          <w:szCs w:val="18"/>
        </w:rPr>
        <w:t xml:space="preserve">General: </w:t>
      </w:r>
      <w:r w:rsidR="00127BB9">
        <w:rPr>
          <w:rFonts w:asciiTheme="majorBidi" w:hAnsiTheme="majorBidi" w:cstheme="majorBidi"/>
          <w:sz w:val="18"/>
          <w:szCs w:val="18"/>
        </w:rPr>
        <w:t xml:space="preserve">The estimates in this table </w:t>
      </w:r>
      <w:r w:rsidR="00741D7E">
        <w:rPr>
          <w:rFonts w:asciiTheme="majorBidi" w:hAnsiTheme="majorBidi" w:cstheme="majorBidi"/>
          <w:sz w:val="18"/>
          <w:szCs w:val="18"/>
        </w:rPr>
        <w:t xml:space="preserve">describe the burden created by </w:t>
      </w:r>
      <w:r w:rsidR="00A26632">
        <w:rPr>
          <w:rFonts w:asciiTheme="majorBidi" w:hAnsiTheme="majorBidi" w:cstheme="majorBidi"/>
          <w:sz w:val="18"/>
          <w:szCs w:val="18"/>
        </w:rPr>
        <w:t xml:space="preserve">the efforts to </w:t>
      </w:r>
      <w:r w:rsidR="00A26632">
        <w:rPr>
          <w:rFonts w:asciiTheme="majorBidi" w:hAnsiTheme="majorBidi" w:cstheme="majorBidi"/>
          <w:sz w:val="18"/>
          <w:szCs w:val="18"/>
        </w:rPr>
        <w:t>collection</w:t>
      </w:r>
      <w:r w:rsidR="00A26632">
        <w:rPr>
          <w:rFonts w:asciiTheme="majorBidi" w:hAnsiTheme="majorBidi" w:cstheme="majorBidi"/>
          <w:sz w:val="18"/>
          <w:szCs w:val="18"/>
        </w:rPr>
        <w:t xml:space="preserve"> data </w:t>
      </w:r>
      <w:r w:rsidR="008674EC">
        <w:rPr>
          <w:rFonts w:asciiTheme="majorBidi" w:hAnsiTheme="majorBidi" w:cstheme="majorBidi"/>
          <w:sz w:val="18"/>
          <w:szCs w:val="18"/>
        </w:rPr>
        <w:t xml:space="preserve">for the ETM demonstrations. </w:t>
      </w:r>
      <w:r w:rsidR="00FC6929">
        <w:rPr>
          <w:rFonts w:asciiTheme="majorBidi" w:hAnsiTheme="majorBidi" w:cstheme="majorBidi"/>
          <w:sz w:val="18"/>
          <w:szCs w:val="18"/>
        </w:rPr>
        <w:t xml:space="preserve">A significant portion of the data </w:t>
      </w:r>
      <w:r w:rsidR="00C1233F">
        <w:rPr>
          <w:rFonts w:asciiTheme="majorBidi" w:hAnsiTheme="majorBidi" w:cstheme="majorBidi"/>
          <w:sz w:val="18"/>
          <w:szCs w:val="18"/>
        </w:rPr>
        <w:t>requested by DOL from the grantees</w:t>
      </w:r>
      <w:r w:rsidR="00CE6DDD">
        <w:rPr>
          <w:rFonts w:asciiTheme="majorBidi" w:hAnsiTheme="majorBidi" w:cstheme="majorBidi"/>
          <w:sz w:val="18"/>
          <w:szCs w:val="18"/>
        </w:rPr>
        <w:t xml:space="preserve"> in Attachment A.1 </w:t>
      </w:r>
      <w:r w:rsidR="006645CC">
        <w:rPr>
          <w:rFonts w:asciiTheme="majorBidi" w:hAnsiTheme="majorBidi" w:cstheme="majorBidi"/>
          <w:sz w:val="18"/>
          <w:szCs w:val="18"/>
        </w:rPr>
        <w:t>already has its burden accounted for under the PIRL data collection, OMB</w:t>
      </w:r>
      <w:r w:rsidR="00DF68EF">
        <w:rPr>
          <w:rFonts w:asciiTheme="majorBidi" w:hAnsiTheme="majorBidi" w:cstheme="majorBidi"/>
          <w:sz w:val="18"/>
          <w:szCs w:val="18"/>
        </w:rPr>
        <w:t xml:space="preserve"> Control Number 1205-0521.</w:t>
      </w:r>
      <w:r w:rsidR="005A3AA3">
        <w:rPr>
          <w:rFonts w:asciiTheme="majorBidi" w:hAnsiTheme="majorBidi" w:cstheme="majorBidi"/>
          <w:sz w:val="18"/>
          <w:szCs w:val="18"/>
        </w:rPr>
        <w:t xml:space="preserve"> Thus, the</w:t>
      </w:r>
      <w:r w:rsidR="005D5DD3">
        <w:rPr>
          <w:rFonts w:asciiTheme="majorBidi" w:hAnsiTheme="majorBidi" w:cstheme="majorBidi"/>
          <w:sz w:val="18"/>
          <w:szCs w:val="18"/>
        </w:rPr>
        <w:t xml:space="preserve"> burden estimates related to data collection </w:t>
      </w:r>
      <w:r w:rsidR="00D41B79">
        <w:rPr>
          <w:rFonts w:asciiTheme="majorBidi" w:hAnsiTheme="majorBidi" w:cstheme="majorBidi"/>
          <w:sz w:val="18"/>
          <w:szCs w:val="18"/>
        </w:rPr>
        <w:t xml:space="preserve">associated with the elements of Attachment A.1 </w:t>
      </w:r>
      <w:r w:rsidR="00BD31A8">
        <w:rPr>
          <w:rFonts w:asciiTheme="majorBidi" w:hAnsiTheme="majorBidi" w:cstheme="majorBidi"/>
          <w:sz w:val="18"/>
          <w:szCs w:val="18"/>
        </w:rPr>
        <w:t xml:space="preserve">focus on the non-PIRL </w:t>
      </w:r>
      <w:r w:rsidR="009672FD">
        <w:rPr>
          <w:rFonts w:asciiTheme="majorBidi" w:hAnsiTheme="majorBidi" w:cstheme="majorBidi"/>
          <w:sz w:val="18"/>
          <w:szCs w:val="18"/>
        </w:rPr>
        <w:t xml:space="preserve">elements: </w:t>
      </w:r>
      <w:r w:rsidR="006021CC">
        <w:rPr>
          <w:rFonts w:asciiTheme="majorBidi" w:hAnsiTheme="majorBidi" w:cstheme="majorBidi"/>
          <w:sz w:val="18"/>
          <w:szCs w:val="18"/>
        </w:rPr>
        <w:t>1</w:t>
      </w:r>
      <w:r w:rsidR="00580961">
        <w:rPr>
          <w:rFonts w:asciiTheme="majorBidi" w:hAnsiTheme="majorBidi" w:cstheme="majorBidi"/>
          <w:sz w:val="18"/>
          <w:szCs w:val="18"/>
        </w:rPr>
        <w:t>3</w:t>
      </w:r>
      <w:r w:rsidR="006021CC">
        <w:rPr>
          <w:rFonts w:asciiTheme="majorBidi" w:hAnsiTheme="majorBidi" w:cstheme="majorBidi"/>
          <w:sz w:val="18"/>
          <w:szCs w:val="18"/>
        </w:rPr>
        <w:t xml:space="preserve"> of the </w:t>
      </w:r>
      <w:r w:rsidR="00B54A4D">
        <w:rPr>
          <w:rFonts w:asciiTheme="majorBidi" w:hAnsiTheme="majorBidi" w:cstheme="majorBidi"/>
          <w:sz w:val="18"/>
          <w:szCs w:val="18"/>
        </w:rPr>
        <w:t>49</w:t>
      </w:r>
      <w:r w:rsidR="006021CC">
        <w:rPr>
          <w:rFonts w:asciiTheme="majorBidi" w:hAnsiTheme="majorBidi" w:cstheme="majorBidi"/>
          <w:sz w:val="18"/>
          <w:szCs w:val="18"/>
        </w:rPr>
        <w:t xml:space="preserve"> elements </w:t>
      </w:r>
      <w:r w:rsidR="000136E3">
        <w:rPr>
          <w:rFonts w:asciiTheme="majorBidi" w:hAnsiTheme="majorBidi" w:cstheme="majorBidi"/>
          <w:sz w:val="18"/>
          <w:szCs w:val="18"/>
        </w:rPr>
        <w:t xml:space="preserve">in the baseline data collection and </w:t>
      </w:r>
      <w:r w:rsidR="009B614F">
        <w:rPr>
          <w:rFonts w:asciiTheme="majorBidi" w:hAnsiTheme="majorBidi" w:cstheme="majorBidi"/>
          <w:sz w:val="18"/>
          <w:szCs w:val="18"/>
        </w:rPr>
        <w:t xml:space="preserve">38 of the 86 elements in the </w:t>
      </w:r>
      <w:r w:rsidR="00C90694">
        <w:rPr>
          <w:rFonts w:asciiTheme="majorBidi" w:hAnsiTheme="majorBidi" w:cstheme="majorBidi"/>
          <w:sz w:val="18"/>
          <w:szCs w:val="18"/>
        </w:rPr>
        <w:t xml:space="preserve">referral and service receipt data </w:t>
      </w:r>
      <w:r w:rsidR="007D657D">
        <w:rPr>
          <w:rFonts w:asciiTheme="majorBidi" w:hAnsiTheme="majorBidi" w:cstheme="majorBidi"/>
          <w:sz w:val="18"/>
          <w:szCs w:val="18"/>
        </w:rPr>
        <w:t>collection</w:t>
      </w:r>
      <w:r w:rsidR="00C90694">
        <w:rPr>
          <w:rFonts w:asciiTheme="majorBidi" w:hAnsiTheme="majorBidi" w:cstheme="majorBidi"/>
          <w:sz w:val="18"/>
          <w:szCs w:val="18"/>
        </w:rPr>
        <w:t>.</w:t>
      </w:r>
      <w:r w:rsidR="007D657D">
        <w:rPr>
          <w:rFonts w:asciiTheme="majorBidi" w:hAnsiTheme="majorBidi" w:cstheme="majorBidi"/>
          <w:sz w:val="18"/>
          <w:szCs w:val="18"/>
        </w:rPr>
        <w:t xml:space="preserve"> See Attachment A.1 for element specific </w:t>
      </w:r>
      <w:r w:rsidR="00082BA5">
        <w:rPr>
          <w:rFonts w:asciiTheme="majorBidi" w:hAnsiTheme="majorBidi" w:cstheme="majorBidi"/>
          <w:sz w:val="18"/>
          <w:szCs w:val="18"/>
        </w:rPr>
        <w:t>details on PIRL status.</w:t>
      </w:r>
      <w:r w:rsidR="00DD02CB">
        <w:rPr>
          <w:rFonts w:asciiTheme="majorBidi" w:hAnsiTheme="majorBidi" w:cstheme="majorBidi"/>
          <w:sz w:val="18"/>
          <w:szCs w:val="18"/>
        </w:rPr>
        <w:t xml:space="preserve"> There are four total data elements</w:t>
      </w:r>
      <w:r w:rsidR="00F8661F">
        <w:rPr>
          <w:rFonts w:asciiTheme="majorBidi" w:hAnsiTheme="majorBidi" w:cstheme="majorBidi"/>
          <w:sz w:val="18"/>
          <w:szCs w:val="18"/>
        </w:rPr>
        <w:t xml:space="preserve"> listed in Attachment A.1 that have the status “Modified PIRL.”</w:t>
      </w:r>
      <w:r w:rsidR="00445715">
        <w:rPr>
          <w:rFonts w:asciiTheme="majorBidi" w:hAnsiTheme="majorBidi" w:cstheme="majorBidi"/>
          <w:sz w:val="18"/>
          <w:szCs w:val="18"/>
        </w:rPr>
        <w:t xml:space="preserve"> The</w:t>
      </w:r>
      <w:r w:rsidR="001A5604">
        <w:rPr>
          <w:rFonts w:asciiTheme="majorBidi" w:hAnsiTheme="majorBidi" w:cstheme="majorBidi"/>
          <w:sz w:val="18"/>
          <w:szCs w:val="18"/>
        </w:rPr>
        <w:t>se items</w:t>
      </w:r>
      <w:r w:rsidR="00FA154A">
        <w:rPr>
          <w:rFonts w:asciiTheme="majorBidi" w:hAnsiTheme="majorBidi" w:cstheme="majorBidi"/>
          <w:sz w:val="18"/>
          <w:szCs w:val="18"/>
        </w:rPr>
        <w:t xml:space="preserve"> have the same </w:t>
      </w:r>
      <w:r w:rsidR="00711ED0">
        <w:rPr>
          <w:rFonts w:asciiTheme="majorBidi" w:hAnsiTheme="majorBidi" w:cstheme="majorBidi"/>
          <w:sz w:val="18"/>
          <w:szCs w:val="18"/>
        </w:rPr>
        <w:t>data option set as their corresponding PIRL element</w:t>
      </w:r>
      <w:r w:rsidR="0091311E">
        <w:rPr>
          <w:rFonts w:asciiTheme="majorBidi" w:hAnsiTheme="majorBidi" w:cstheme="majorBidi"/>
          <w:sz w:val="18"/>
          <w:szCs w:val="18"/>
        </w:rPr>
        <w:t xml:space="preserve"> but may have a</w:t>
      </w:r>
      <w:r w:rsidR="005A47B8">
        <w:rPr>
          <w:rFonts w:asciiTheme="majorBidi" w:hAnsiTheme="majorBidi" w:cstheme="majorBidi"/>
          <w:sz w:val="18"/>
          <w:szCs w:val="18"/>
        </w:rPr>
        <w:t>n abbreviated element description</w:t>
      </w:r>
      <w:r w:rsidR="00277081">
        <w:rPr>
          <w:rFonts w:asciiTheme="majorBidi" w:hAnsiTheme="majorBidi" w:cstheme="majorBidi"/>
          <w:sz w:val="18"/>
          <w:szCs w:val="18"/>
        </w:rPr>
        <w:t xml:space="preserve">, allow for response by proxy, </w:t>
      </w:r>
      <w:r w:rsidR="00883FF5">
        <w:rPr>
          <w:rFonts w:asciiTheme="majorBidi" w:hAnsiTheme="majorBidi" w:cstheme="majorBidi"/>
          <w:sz w:val="18"/>
          <w:szCs w:val="18"/>
        </w:rPr>
        <w:t xml:space="preserve">or </w:t>
      </w:r>
      <w:r w:rsidR="004C02FA">
        <w:rPr>
          <w:rFonts w:asciiTheme="majorBidi" w:hAnsiTheme="majorBidi" w:cstheme="majorBidi"/>
          <w:sz w:val="18"/>
          <w:szCs w:val="18"/>
        </w:rPr>
        <w:t>specify that enrollment refers to ETM enrollment.</w:t>
      </w:r>
    </w:p>
    <w:p w:rsidR="00D41F4A" w:rsidRPr="00167644" w:rsidP="0007376F" w14:paraId="02E7E69D" w14:textId="0F3F673C">
      <w:pPr>
        <w:spacing w:after="0" w:line="240" w:lineRule="auto"/>
        <w:contextualSpacing/>
        <w:rPr>
          <w:rFonts w:asciiTheme="majorBidi" w:hAnsiTheme="majorBidi" w:cstheme="majorBidi"/>
          <w:sz w:val="18"/>
          <w:szCs w:val="18"/>
        </w:rPr>
      </w:pPr>
      <w:r w:rsidRPr="1E427709">
        <w:rPr>
          <w:rFonts w:asciiTheme="majorBidi" w:hAnsiTheme="majorBidi" w:cstheme="majorBidi"/>
          <w:sz w:val="18"/>
          <w:szCs w:val="18"/>
        </w:rPr>
        <w:t>The table reports integer values for the annual number of respondents and responses. In cases when underlying assumptions about totals over the three-year period</w:t>
      </w:r>
      <w:r>
        <w:t xml:space="preserve"> </w:t>
      </w:r>
      <w:r w:rsidRPr="1E427709">
        <w:rPr>
          <w:rFonts w:asciiTheme="majorBidi" w:hAnsiTheme="majorBidi" w:cstheme="majorBidi"/>
          <w:sz w:val="18"/>
          <w:szCs w:val="18"/>
        </w:rPr>
        <w:t>covered by PRA clearance resulted in a fractional count of respondents per year, that count was rounded upward to the nearest integer.</w:t>
      </w:r>
      <w:r>
        <w:rPr>
          <w:rFonts w:asciiTheme="majorBidi" w:hAnsiTheme="majorBidi" w:cstheme="majorBidi"/>
          <w:sz w:val="18"/>
          <w:szCs w:val="18"/>
        </w:rPr>
        <w:t xml:space="preserve"> </w:t>
      </w:r>
      <w:r w:rsidR="00AC2415">
        <w:rPr>
          <w:rFonts w:asciiTheme="majorBidi" w:hAnsiTheme="majorBidi" w:cstheme="majorBidi"/>
          <w:sz w:val="18"/>
          <w:szCs w:val="18"/>
        </w:rPr>
        <w:t xml:space="preserve">For example, </w:t>
      </w:r>
      <w:r w:rsidR="00F95D2A">
        <w:rPr>
          <w:rFonts w:asciiTheme="majorBidi" w:hAnsiTheme="majorBidi" w:cstheme="majorBidi"/>
          <w:sz w:val="18"/>
          <w:szCs w:val="18"/>
        </w:rPr>
        <w:t>footnote</w:t>
      </w:r>
      <w:r w:rsidR="001E5AAE">
        <w:rPr>
          <w:rFonts w:asciiTheme="majorBidi" w:hAnsiTheme="majorBidi" w:cstheme="majorBidi"/>
          <w:sz w:val="18"/>
          <w:szCs w:val="18"/>
        </w:rPr>
        <w:t xml:space="preserve"> </w:t>
      </w:r>
      <w:r w:rsidR="005770BB">
        <w:rPr>
          <w:rFonts w:asciiTheme="majorBidi" w:hAnsiTheme="majorBidi" w:cstheme="majorBidi"/>
          <w:sz w:val="18"/>
          <w:szCs w:val="18"/>
        </w:rPr>
        <w:t>f</w:t>
      </w:r>
      <w:r w:rsidR="001E5AAE">
        <w:rPr>
          <w:rFonts w:asciiTheme="majorBidi" w:hAnsiTheme="majorBidi" w:cstheme="majorBidi"/>
          <w:sz w:val="18"/>
          <w:szCs w:val="18"/>
        </w:rPr>
        <w:t xml:space="preserve"> </w:t>
      </w:r>
      <w:r w:rsidR="00DF1CA6">
        <w:rPr>
          <w:rFonts w:asciiTheme="majorBidi" w:hAnsiTheme="majorBidi" w:cstheme="majorBidi"/>
          <w:color w:val="000000"/>
          <w:sz w:val="18"/>
          <w:szCs w:val="18"/>
        </w:rPr>
        <w:t>a</w:t>
      </w:r>
      <w:r w:rsidRPr="000B29AC" w:rsidR="00DF1CA6">
        <w:rPr>
          <w:rFonts w:asciiTheme="majorBidi" w:hAnsiTheme="majorBidi" w:cstheme="majorBidi"/>
          <w:color w:val="000000"/>
          <w:sz w:val="18"/>
          <w:szCs w:val="18"/>
        </w:rPr>
        <w:t xml:space="preserve">ssumes interviews with </w:t>
      </w:r>
      <w:r w:rsidRPr="000B29AC" w:rsidR="005770BB">
        <w:rPr>
          <w:rFonts w:asciiTheme="majorBidi" w:hAnsiTheme="majorBidi" w:cstheme="majorBidi"/>
          <w:color w:val="000000"/>
          <w:sz w:val="18"/>
          <w:szCs w:val="18"/>
        </w:rPr>
        <w:t>the</w:t>
      </w:r>
      <w:r w:rsidRPr="000B29AC" w:rsidR="00DF1CA6">
        <w:rPr>
          <w:rFonts w:asciiTheme="majorBidi" w:hAnsiTheme="majorBidi" w:cstheme="majorBidi"/>
          <w:color w:val="000000"/>
          <w:sz w:val="18"/>
          <w:szCs w:val="18"/>
        </w:rPr>
        <w:t xml:space="preserve"> four </w:t>
      </w:r>
      <w:r w:rsidRPr="000B29AC" w:rsidR="005770BB">
        <w:rPr>
          <w:rFonts w:asciiTheme="majorBidi" w:hAnsiTheme="majorBidi" w:cstheme="majorBidi"/>
          <w:color w:val="000000"/>
          <w:sz w:val="18"/>
          <w:szCs w:val="18"/>
        </w:rPr>
        <w:t>ETM project directors</w:t>
      </w:r>
      <w:r w:rsidRPr="000B29AC" w:rsidR="00DF1CA6">
        <w:rPr>
          <w:rFonts w:asciiTheme="majorBidi" w:hAnsiTheme="majorBidi" w:cstheme="majorBidi"/>
          <w:color w:val="000000"/>
          <w:sz w:val="18"/>
          <w:szCs w:val="18"/>
        </w:rPr>
        <w:t>, twice during data collection period</w:t>
      </w:r>
      <w:r w:rsidR="00DF1CA6">
        <w:rPr>
          <w:rFonts w:asciiTheme="majorBidi" w:hAnsiTheme="majorBidi" w:cstheme="majorBidi"/>
          <w:color w:val="000000"/>
          <w:sz w:val="18"/>
          <w:szCs w:val="18"/>
        </w:rPr>
        <w:t>. This means that the annual number of respondents will be</w:t>
      </w:r>
      <w:r w:rsidR="001E5AAE">
        <w:rPr>
          <w:rFonts w:asciiTheme="majorBidi" w:hAnsiTheme="majorBidi" w:cstheme="majorBidi"/>
          <w:color w:val="000000"/>
          <w:sz w:val="18"/>
          <w:szCs w:val="18"/>
        </w:rPr>
        <w:t xml:space="preserve"> </w:t>
      </w:r>
      <w:r w:rsidR="00EE5FDB">
        <w:rPr>
          <w:rFonts w:asciiTheme="majorBidi" w:hAnsiTheme="majorBidi" w:cstheme="majorBidi"/>
          <w:color w:val="000000"/>
          <w:sz w:val="18"/>
          <w:szCs w:val="18"/>
        </w:rPr>
        <w:t>(</w:t>
      </w:r>
      <w:r w:rsidR="00FF3860">
        <w:rPr>
          <w:rFonts w:asciiTheme="majorBidi" w:hAnsiTheme="majorBidi" w:cstheme="majorBidi"/>
          <w:color w:val="000000"/>
          <w:sz w:val="18"/>
          <w:szCs w:val="18"/>
        </w:rPr>
        <w:t>4*2</w:t>
      </w:r>
      <w:r w:rsidR="00EE5FDB">
        <w:rPr>
          <w:rFonts w:asciiTheme="majorBidi" w:hAnsiTheme="majorBidi" w:cstheme="majorBidi"/>
          <w:color w:val="000000"/>
          <w:sz w:val="18"/>
          <w:szCs w:val="18"/>
        </w:rPr>
        <w:t>)/3</w:t>
      </w:r>
      <w:r w:rsidR="00DF1CA6">
        <w:rPr>
          <w:rFonts w:asciiTheme="majorBidi" w:hAnsiTheme="majorBidi" w:cstheme="majorBidi"/>
          <w:color w:val="000000"/>
          <w:sz w:val="18"/>
          <w:szCs w:val="18"/>
        </w:rPr>
        <w:t xml:space="preserve"> </w:t>
      </w:r>
      <w:r w:rsidR="0048344E">
        <w:rPr>
          <w:rFonts w:asciiTheme="majorBidi" w:hAnsiTheme="majorBidi" w:cstheme="majorBidi"/>
          <w:color w:val="000000"/>
          <w:sz w:val="18"/>
          <w:szCs w:val="18"/>
        </w:rPr>
        <w:t xml:space="preserve">= </w:t>
      </w:r>
      <w:r w:rsidR="00717955">
        <w:rPr>
          <w:rFonts w:asciiTheme="majorBidi" w:hAnsiTheme="majorBidi" w:cstheme="majorBidi"/>
          <w:color w:val="000000"/>
          <w:sz w:val="18"/>
          <w:szCs w:val="18"/>
        </w:rPr>
        <w:t>2.67</w:t>
      </w:r>
      <w:r w:rsidR="00DF1CA6">
        <w:rPr>
          <w:rFonts w:asciiTheme="majorBidi" w:hAnsiTheme="majorBidi" w:cstheme="majorBidi"/>
          <w:color w:val="000000"/>
          <w:sz w:val="18"/>
          <w:szCs w:val="18"/>
        </w:rPr>
        <w:t xml:space="preserve"> </w:t>
      </w:r>
      <w:r w:rsidR="00D55DBF">
        <w:rPr>
          <w:rFonts w:asciiTheme="majorBidi" w:hAnsiTheme="majorBidi" w:cstheme="majorBidi"/>
          <w:color w:val="000000"/>
          <w:sz w:val="18"/>
          <w:szCs w:val="18"/>
        </w:rPr>
        <w:t>which is rounded</w:t>
      </w:r>
      <w:r w:rsidR="00DF1CA6">
        <w:rPr>
          <w:rFonts w:asciiTheme="majorBidi" w:hAnsiTheme="majorBidi" w:cstheme="majorBidi"/>
          <w:color w:val="000000"/>
          <w:sz w:val="18"/>
          <w:szCs w:val="18"/>
        </w:rPr>
        <w:t xml:space="preserve"> </w:t>
      </w:r>
      <w:r w:rsidR="00BC003D">
        <w:rPr>
          <w:rFonts w:asciiTheme="majorBidi" w:hAnsiTheme="majorBidi" w:cstheme="majorBidi"/>
          <w:color w:val="000000"/>
          <w:sz w:val="18"/>
          <w:szCs w:val="18"/>
        </w:rPr>
        <w:t>up to 3.</w:t>
      </w:r>
      <w:r w:rsidR="00AA176C">
        <w:rPr>
          <w:rFonts w:asciiTheme="majorBidi" w:hAnsiTheme="majorBidi" w:cstheme="majorBidi"/>
          <w:color w:val="000000"/>
          <w:sz w:val="18"/>
          <w:szCs w:val="18"/>
        </w:rPr>
        <w:t xml:space="preserve"> </w:t>
      </w:r>
      <w:r>
        <w:rPr>
          <w:rFonts w:asciiTheme="majorBidi" w:hAnsiTheme="majorBidi" w:cstheme="majorBidi"/>
          <w:sz w:val="18"/>
          <w:szCs w:val="18"/>
        </w:rPr>
        <w:t>When the estimated average burden hours is less than one, the table reports the value as the fraction of 60 minutes.</w:t>
      </w:r>
      <w:r w:rsidR="00072B69">
        <w:rPr>
          <w:rFonts w:asciiTheme="majorBidi" w:hAnsiTheme="majorBidi" w:cstheme="majorBidi"/>
          <w:sz w:val="18"/>
          <w:szCs w:val="18"/>
        </w:rPr>
        <w:t xml:space="preserve"> </w:t>
      </w:r>
      <w:r w:rsidR="009432C9">
        <w:rPr>
          <w:rFonts w:asciiTheme="majorBidi" w:hAnsiTheme="majorBidi" w:cstheme="majorBidi"/>
          <w:sz w:val="18"/>
          <w:szCs w:val="18"/>
        </w:rPr>
        <w:t>A</w:t>
      </w:r>
      <w:r w:rsidR="00072B69">
        <w:rPr>
          <w:rFonts w:asciiTheme="majorBidi" w:hAnsiTheme="majorBidi" w:cstheme="majorBidi"/>
          <w:sz w:val="18"/>
          <w:szCs w:val="18"/>
        </w:rPr>
        <w:t xml:space="preserve">mounts in the annualized cost </w:t>
      </w:r>
      <w:r w:rsidR="006D1DCA">
        <w:rPr>
          <w:rFonts w:asciiTheme="majorBidi" w:hAnsiTheme="majorBidi" w:cstheme="majorBidi"/>
          <w:sz w:val="18"/>
          <w:szCs w:val="18"/>
        </w:rPr>
        <w:t>column have been rounded to the nearest cent.</w:t>
      </w:r>
      <w:r w:rsidR="001534C5">
        <w:rPr>
          <w:rFonts w:asciiTheme="majorBidi" w:hAnsiTheme="majorBidi" w:cstheme="majorBidi"/>
          <w:sz w:val="18"/>
          <w:szCs w:val="18"/>
        </w:rPr>
        <w:t xml:space="preserve"> </w:t>
      </w:r>
    </w:p>
    <w:p w:rsidR="00510548" w:rsidRPr="0031485E" w:rsidP="00683D7A" w14:paraId="56B3518B" w14:textId="0E683288">
      <w:pPr>
        <w:spacing w:after="0" w:line="240" w:lineRule="auto"/>
        <w:rPr>
          <w:rFonts w:asciiTheme="majorBidi" w:hAnsiTheme="majorBidi" w:cstheme="majorBidi"/>
          <w:sz w:val="18"/>
          <w:szCs w:val="18"/>
        </w:rPr>
      </w:pPr>
      <w:r>
        <w:rPr>
          <w:rFonts w:asciiTheme="majorBidi" w:hAnsiTheme="majorBidi" w:cstheme="majorBidi"/>
          <w:sz w:val="18"/>
          <w:szCs w:val="18"/>
        </w:rPr>
        <w:t>a. A</w:t>
      </w:r>
      <w:r w:rsidRPr="0031485E">
        <w:rPr>
          <w:rFonts w:asciiTheme="majorBidi" w:hAnsiTheme="majorBidi" w:cstheme="majorBidi"/>
          <w:sz w:val="18"/>
          <w:szCs w:val="18"/>
        </w:rPr>
        <w:t xml:space="preserve">ssumes approximately </w:t>
      </w:r>
      <w:r>
        <w:rPr>
          <w:rFonts w:asciiTheme="majorBidi" w:hAnsiTheme="majorBidi" w:cstheme="majorBidi"/>
          <w:sz w:val="18"/>
          <w:szCs w:val="18"/>
        </w:rPr>
        <w:t>2,6</w:t>
      </w:r>
      <w:r w:rsidR="00C244DA">
        <w:rPr>
          <w:rFonts w:asciiTheme="majorBidi" w:hAnsiTheme="majorBidi" w:cstheme="majorBidi"/>
          <w:sz w:val="18"/>
          <w:szCs w:val="18"/>
        </w:rPr>
        <w:t>9</w:t>
      </w:r>
      <w:r>
        <w:rPr>
          <w:rFonts w:asciiTheme="majorBidi" w:hAnsiTheme="majorBidi" w:cstheme="majorBidi"/>
          <w:sz w:val="18"/>
          <w:szCs w:val="18"/>
        </w:rPr>
        <w:t>2</w:t>
      </w:r>
      <w:r w:rsidRPr="0031485E">
        <w:rPr>
          <w:rFonts w:asciiTheme="majorBidi" w:hAnsiTheme="majorBidi" w:cstheme="majorBidi"/>
          <w:sz w:val="18"/>
          <w:szCs w:val="18"/>
        </w:rPr>
        <w:t xml:space="preserve"> youth </w:t>
      </w:r>
      <w:r>
        <w:rPr>
          <w:rFonts w:asciiTheme="majorBidi" w:hAnsiTheme="majorBidi" w:cstheme="majorBidi"/>
          <w:sz w:val="18"/>
          <w:szCs w:val="18"/>
        </w:rPr>
        <w:t xml:space="preserve">enrolled in </w:t>
      </w:r>
      <w:r w:rsidRPr="0031485E">
        <w:rPr>
          <w:rFonts w:asciiTheme="majorBidi" w:hAnsiTheme="majorBidi" w:cstheme="majorBidi"/>
          <w:sz w:val="18"/>
          <w:szCs w:val="18"/>
        </w:rPr>
        <w:t xml:space="preserve">ETM over </w:t>
      </w:r>
      <w:r>
        <w:rPr>
          <w:rFonts w:asciiTheme="majorBidi" w:hAnsiTheme="majorBidi" w:cstheme="majorBidi"/>
          <w:sz w:val="18"/>
          <w:szCs w:val="18"/>
        </w:rPr>
        <w:t xml:space="preserve">the </w:t>
      </w:r>
      <w:r w:rsidRPr="0031485E">
        <w:rPr>
          <w:rFonts w:asciiTheme="majorBidi" w:hAnsiTheme="majorBidi" w:cstheme="majorBidi"/>
          <w:sz w:val="18"/>
          <w:szCs w:val="18"/>
        </w:rPr>
        <w:t>three-year demonstration period</w:t>
      </w:r>
      <w:r>
        <w:rPr>
          <w:rFonts w:asciiTheme="majorBidi" w:hAnsiTheme="majorBidi" w:cstheme="majorBidi"/>
          <w:sz w:val="18"/>
          <w:szCs w:val="18"/>
        </w:rPr>
        <w:t xml:space="preserve"> </w:t>
      </w:r>
      <w:r w:rsidRPr="0031485E">
        <w:rPr>
          <w:rFonts w:asciiTheme="majorBidi" w:hAnsiTheme="majorBidi" w:cstheme="majorBidi"/>
          <w:sz w:val="18"/>
          <w:szCs w:val="18"/>
        </w:rPr>
        <w:t>across all four grantees</w:t>
      </w:r>
      <w:r w:rsidR="00184501">
        <w:rPr>
          <w:rFonts w:asciiTheme="majorBidi" w:hAnsiTheme="majorBidi" w:cstheme="majorBidi"/>
          <w:sz w:val="18"/>
          <w:szCs w:val="18"/>
        </w:rPr>
        <w:t>.</w:t>
      </w:r>
    </w:p>
    <w:p w:rsidR="00957393" w:rsidRPr="00167644" w:rsidP="00957393" w14:paraId="5B9D0EE9" w14:textId="4E6734B1">
      <w:pPr>
        <w:spacing w:after="0" w:line="240" w:lineRule="auto"/>
        <w:contextualSpacing/>
        <w:rPr>
          <w:rFonts w:asciiTheme="majorBidi" w:hAnsiTheme="majorBidi" w:cstheme="majorBidi"/>
          <w:color w:val="000000"/>
          <w:sz w:val="18"/>
          <w:szCs w:val="18"/>
        </w:rPr>
      </w:pPr>
      <w:r>
        <w:rPr>
          <w:rFonts w:asciiTheme="majorBidi" w:hAnsiTheme="majorBidi" w:cstheme="majorBidi"/>
          <w:color w:val="000000"/>
          <w:sz w:val="18"/>
          <w:szCs w:val="18"/>
        </w:rPr>
        <w:t xml:space="preserve">b. The mean hourly wage for ETM grant participants was calculated using </w:t>
      </w:r>
      <w:r w:rsidR="001B400B">
        <w:rPr>
          <w:rFonts w:asciiTheme="majorBidi" w:hAnsiTheme="majorBidi" w:cstheme="majorBidi"/>
          <w:color w:val="000000"/>
          <w:sz w:val="18"/>
          <w:szCs w:val="18"/>
        </w:rPr>
        <w:t>a weighted average of the state mini</w:t>
      </w:r>
      <w:r w:rsidR="006F7FB9">
        <w:rPr>
          <w:rFonts w:asciiTheme="majorBidi" w:hAnsiTheme="majorBidi" w:cstheme="majorBidi"/>
          <w:color w:val="000000"/>
          <w:sz w:val="18"/>
          <w:szCs w:val="18"/>
        </w:rPr>
        <w:t>mum wages across all four grantees</w:t>
      </w:r>
      <w:r>
        <w:rPr>
          <w:rFonts w:asciiTheme="majorBidi" w:hAnsiTheme="majorBidi" w:cstheme="majorBidi"/>
          <w:color w:val="000000"/>
          <w:sz w:val="18"/>
          <w:szCs w:val="18"/>
        </w:rPr>
        <w:t>.</w:t>
      </w:r>
      <w:r w:rsidR="004C2D2C">
        <w:rPr>
          <w:rFonts w:asciiTheme="majorBidi" w:hAnsiTheme="majorBidi" w:cstheme="majorBidi"/>
          <w:color w:val="000000"/>
          <w:sz w:val="18"/>
          <w:szCs w:val="18"/>
        </w:rPr>
        <w:t xml:space="preserve"> Weights were based on the total number of </w:t>
      </w:r>
      <w:r w:rsidR="00883DC1">
        <w:rPr>
          <w:rFonts w:asciiTheme="majorBidi" w:hAnsiTheme="majorBidi" w:cstheme="majorBidi"/>
          <w:color w:val="000000"/>
          <w:sz w:val="18"/>
          <w:szCs w:val="18"/>
        </w:rPr>
        <w:t xml:space="preserve">youth </w:t>
      </w:r>
      <w:r w:rsidR="00657B79">
        <w:rPr>
          <w:rFonts w:asciiTheme="majorBidi" w:hAnsiTheme="majorBidi" w:cstheme="majorBidi"/>
          <w:color w:val="000000"/>
          <w:sz w:val="18"/>
          <w:szCs w:val="18"/>
        </w:rPr>
        <w:t>across each grantee</w:t>
      </w:r>
      <w:r w:rsidR="009E3B9E">
        <w:rPr>
          <w:rFonts w:asciiTheme="majorBidi" w:hAnsiTheme="majorBidi" w:cstheme="majorBidi"/>
          <w:color w:val="000000"/>
          <w:sz w:val="18"/>
          <w:szCs w:val="18"/>
        </w:rPr>
        <w:t>.</w:t>
      </w:r>
      <w:r>
        <w:rPr>
          <w:rFonts w:asciiTheme="majorBidi" w:hAnsiTheme="majorBidi" w:cstheme="majorBidi"/>
          <w:color w:val="000000"/>
          <w:sz w:val="18"/>
          <w:szCs w:val="18"/>
        </w:rPr>
        <w:t xml:space="preserve"> </w:t>
      </w:r>
    </w:p>
    <w:p w:rsidR="00510548" w:rsidP="00683D7A" w14:paraId="384C23BA" w14:textId="5F057DDD">
      <w:pPr>
        <w:spacing w:after="0" w:line="240" w:lineRule="auto"/>
        <w:rPr>
          <w:rFonts w:asciiTheme="majorBidi" w:hAnsiTheme="majorBidi" w:cstheme="majorBidi"/>
          <w:sz w:val="18"/>
          <w:szCs w:val="18"/>
        </w:rPr>
      </w:pPr>
      <w:r>
        <w:rPr>
          <w:rFonts w:asciiTheme="majorBidi" w:hAnsiTheme="majorBidi" w:cstheme="majorBidi"/>
          <w:sz w:val="18"/>
          <w:szCs w:val="18"/>
        </w:rPr>
        <w:t>c</w:t>
      </w:r>
      <w:r w:rsidRPr="0031485E">
        <w:rPr>
          <w:rFonts w:asciiTheme="majorBidi" w:hAnsiTheme="majorBidi" w:cstheme="majorBidi"/>
          <w:sz w:val="18"/>
          <w:szCs w:val="18"/>
        </w:rPr>
        <w:t xml:space="preserve">. </w:t>
      </w:r>
      <w:r>
        <w:rPr>
          <w:rFonts w:asciiTheme="majorBidi" w:hAnsiTheme="majorBidi" w:cstheme="majorBidi"/>
          <w:sz w:val="18"/>
          <w:szCs w:val="18"/>
        </w:rPr>
        <w:t>A</w:t>
      </w:r>
      <w:r w:rsidRPr="0031485E">
        <w:rPr>
          <w:rFonts w:asciiTheme="majorBidi" w:hAnsiTheme="majorBidi" w:cstheme="majorBidi"/>
          <w:sz w:val="18"/>
          <w:szCs w:val="18"/>
        </w:rPr>
        <w:t xml:space="preserve">ssumes ETM </w:t>
      </w:r>
      <w:r>
        <w:rPr>
          <w:rFonts w:asciiTheme="majorBidi" w:hAnsiTheme="majorBidi" w:cstheme="majorBidi"/>
          <w:sz w:val="18"/>
          <w:szCs w:val="18"/>
        </w:rPr>
        <w:t xml:space="preserve">grantee </w:t>
      </w:r>
      <w:r w:rsidRPr="0031485E">
        <w:rPr>
          <w:rFonts w:asciiTheme="majorBidi" w:hAnsiTheme="majorBidi" w:cstheme="majorBidi"/>
          <w:sz w:val="18"/>
          <w:szCs w:val="18"/>
        </w:rPr>
        <w:t xml:space="preserve">and partner staff will record information about referral pathways for all </w:t>
      </w:r>
      <w:r>
        <w:rPr>
          <w:rFonts w:asciiTheme="majorBidi" w:hAnsiTheme="majorBidi" w:cstheme="majorBidi"/>
          <w:sz w:val="18"/>
          <w:szCs w:val="18"/>
        </w:rPr>
        <w:t xml:space="preserve">ETM </w:t>
      </w:r>
      <w:r w:rsidRPr="0031485E">
        <w:rPr>
          <w:rFonts w:asciiTheme="majorBidi" w:hAnsiTheme="majorBidi" w:cstheme="majorBidi"/>
          <w:sz w:val="18"/>
          <w:szCs w:val="18"/>
        </w:rPr>
        <w:t>youth</w:t>
      </w:r>
      <w:r w:rsidR="00184501">
        <w:rPr>
          <w:rFonts w:asciiTheme="majorBidi" w:hAnsiTheme="majorBidi" w:cstheme="majorBidi"/>
          <w:sz w:val="18"/>
          <w:szCs w:val="18"/>
        </w:rPr>
        <w:t>.</w:t>
      </w:r>
      <w:r w:rsidRPr="0031485E">
        <w:rPr>
          <w:rFonts w:asciiTheme="majorBidi" w:hAnsiTheme="majorBidi" w:cstheme="majorBidi"/>
          <w:sz w:val="18"/>
          <w:szCs w:val="18"/>
        </w:rPr>
        <w:t xml:space="preserve"> </w:t>
      </w:r>
    </w:p>
    <w:p w:rsidR="00A658CB" w:rsidP="00A658CB" w14:paraId="70BF49FB" w14:textId="4DEE1998">
      <w:pPr>
        <w:spacing w:after="0" w:line="240" w:lineRule="auto"/>
        <w:rPr>
          <w:rFonts w:ascii="Times New Roman" w:hAnsi="Times New Roman"/>
        </w:rPr>
      </w:pPr>
      <w:r>
        <w:rPr>
          <w:rFonts w:asciiTheme="majorBidi" w:hAnsiTheme="majorBidi" w:cstheme="majorBidi"/>
          <w:color w:val="000000"/>
          <w:sz w:val="18"/>
          <w:szCs w:val="18"/>
        </w:rPr>
        <w:t>d</w:t>
      </w:r>
      <w:r w:rsidRPr="00683D7A">
        <w:rPr>
          <w:rFonts w:asciiTheme="majorBidi" w:hAnsiTheme="majorBidi" w:cstheme="majorBidi"/>
          <w:color w:val="000000"/>
          <w:sz w:val="18"/>
          <w:szCs w:val="18"/>
        </w:rPr>
        <w:t>.</w:t>
      </w:r>
      <w:r>
        <w:rPr>
          <w:rFonts w:asciiTheme="majorBidi" w:hAnsiTheme="majorBidi" w:cstheme="majorBidi"/>
          <w:color w:val="000000"/>
          <w:sz w:val="18"/>
          <w:szCs w:val="18"/>
        </w:rPr>
        <w:t xml:space="preserve"> </w:t>
      </w:r>
      <w:r w:rsidRPr="0019777A">
        <w:rPr>
          <w:rFonts w:asciiTheme="majorBidi" w:hAnsiTheme="majorBidi" w:cstheme="majorBidi"/>
          <w:sz w:val="18"/>
          <w:szCs w:val="18"/>
        </w:rPr>
        <w:t>The mean hourly wage for ETM Grantee Staff was calculated based on information from the Bureau of Labor Statistics; May 2024 National Industry-Specific Occupational Employment and Wage Estimates found at</w:t>
      </w:r>
      <w:r w:rsidRPr="0BC7FEA6">
        <w:rPr>
          <w:rFonts w:ascii="Times New Roman" w:hAnsi="Times New Roman"/>
          <w:sz w:val="18"/>
          <w:szCs w:val="18"/>
        </w:rPr>
        <w:t xml:space="preserve"> </w:t>
      </w:r>
      <w:hyperlink r:id="rId9" w:anchor="ind">
        <w:r w:rsidRPr="0BC7FEA6">
          <w:rPr>
            <w:rStyle w:val="Hyperlink"/>
            <w:rFonts w:ascii="Times New Roman" w:hAnsi="Times New Roman"/>
            <w:sz w:val="18"/>
            <w:szCs w:val="18"/>
          </w:rPr>
          <w:t>Community and Social Service Occupations (bls.gov)</w:t>
        </w:r>
      </w:hyperlink>
      <w:r w:rsidRPr="0BC7FEA6">
        <w:rPr>
          <w:rFonts w:ascii="Times New Roman" w:hAnsi="Times New Roman"/>
          <w:sz w:val="18"/>
          <w:szCs w:val="18"/>
        </w:rPr>
        <w:t xml:space="preserve"> Community and Social Service Occupations. (SOC code-21</w:t>
      </w:r>
      <w:r>
        <w:rPr>
          <w:rFonts w:ascii="Times New Roman" w:hAnsi="Times New Roman"/>
          <w:sz w:val="18"/>
          <w:szCs w:val="18"/>
        </w:rPr>
        <w:t>-1012</w:t>
      </w:r>
      <w:r w:rsidRPr="0BC7FEA6">
        <w:rPr>
          <w:rFonts w:ascii="Times New Roman" w:hAnsi="Times New Roman"/>
          <w:sz w:val="18"/>
          <w:szCs w:val="18"/>
        </w:rPr>
        <w:t>) $</w:t>
      </w:r>
      <w:r>
        <w:rPr>
          <w:rFonts w:ascii="Times New Roman" w:hAnsi="Times New Roman"/>
          <w:sz w:val="18"/>
          <w:szCs w:val="18"/>
        </w:rPr>
        <w:t>34.38</w:t>
      </w:r>
      <w:r w:rsidRPr="0BC7FEA6">
        <w:rPr>
          <w:rFonts w:ascii="Times New Roman" w:hAnsi="Times New Roman"/>
        </w:rPr>
        <w:t>.</w:t>
      </w:r>
    </w:p>
    <w:p w:rsidR="00510548" w:rsidP="001C6568" w14:paraId="5C03756E" w14:textId="0C6ECAE8">
      <w:pPr>
        <w:spacing w:after="0" w:line="240" w:lineRule="auto"/>
        <w:rPr>
          <w:rFonts w:asciiTheme="majorBidi" w:hAnsiTheme="majorBidi" w:cstheme="majorBidi"/>
          <w:color w:val="000000"/>
          <w:sz w:val="18"/>
          <w:szCs w:val="18"/>
        </w:rPr>
      </w:pPr>
      <w:r w:rsidRPr="001C6568">
        <w:rPr>
          <w:rFonts w:ascii="Times New Roman" w:hAnsi="Times New Roman"/>
          <w:sz w:val="18"/>
          <w:szCs w:val="18"/>
        </w:rPr>
        <w:t>e</w:t>
      </w:r>
      <w:r w:rsidRPr="001C6568">
        <w:rPr>
          <w:rFonts w:asciiTheme="majorBidi" w:hAnsiTheme="majorBidi" w:cstheme="majorBidi"/>
          <w:color w:val="000000"/>
          <w:sz w:val="18"/>
          <w:szCs w:val="18"/>
        </w:rPr>
        <w:t>.</w:t>
      </w:r>
      <w:r w:rsidRPr="009841C7">
        <w:rPr>
          <w:rFonts w:asciiTheme="majorBidi" w:hAnsiTheme="majorBidi" w:cstheme="majorBidi"/>
          <w:color w:val="000000"/>
          <w:sz w:val="18"/>
          <w:szCs w:val="18"/>
        </w:rPr>
        <w:t xml:space="preserve"> Assumes that (i) ETM grantee and partner staff will collect service-receipt data for </w:t>
      </w:r>
      <w:r>
        <w:rPr>
          <w:rFonts w:asciiTheme="majorBidi" w:hAnsiTheme="majorBidi" w:cstheme="majorBidi"/>
          <w:color w:val="000000"/>
          <w:sz w:val="18"/>
          <w:szCs w:val="18"/>
        </w:rPr>
        <w:t xml:space="preserve">all </w:t>
      </w:r>
      <w:r w:rsidRPr="009841C7">
        <w:rPr>
          <w:rFonts w:asciiTheme="majorBidi" w:hAnsiTheme="majorBidi" w:cstheme="majorBidi"/>
          <w:color w:val="000000"/>
          <w:sz w:val="18"/>
          <w:szCs w:val="18"/>
        </w:rPr>
        <w:t xml:space="preserve">ETM </w:t>
      </w:r>
      <w:r>
        <w:rPr>
          <w:rFonts w:asciiTheme="majorBidi" w:hAnsiTheme="majorBidi" w:cstheme="majorBidi"/>
          <w:color w:val="000000"/>
          <w:sz w:val="18"/>
          <w:szCs w:val="18"/>
        </w:rPr>
        <w:t>youth</w:t>
      </w:r>
      <w:r w:rsidRPr="009841C7">
        <w:rPr>
          <w:rFonts w:asciiTheme="majorBidi" w:hAnsiTheme="majorBidi" w:cstheme="majorBidi"/>
          <w:color w:val="000000"/>
          <w:sz w:val="18"/>
          <w:szCs w:val="18"/>
        </w:rPr>
        <w:t xml:space="preserve">, (ii) an equal number of youth will be </w:t>
      </w:r>
      <w:r>
        <w:rPr>
          <w:rFonts w:asciiTheme="majorBidi" w:hAnsiTheme="majorBidi" w:cstheme="majorBidi"/>
          <w:color w:val="000000"/>
          <w:sz w:val="18"/>
          <w:szCs w:val="18"/>
        </w:rPr>
        <w:t xml:space="preserve">enrolled </w:t>
      </w:r>
      <w:r w:rsidRPr="009841C7">
        <w:rPr>
          <w:rFonts w:asciiTheme="majorBidi" w:hAnsiTheme="majorBidi" w:cstheme="majorBidi"/>
          <w:color w:val="000000"/>
          <w:sz w:val="18"/>
          <w:szCs w:val="18"/>
        </w:rPr>
        <w:t xml:space="preserve">each year, (iii) the data will be recorded quarterly between when youth </w:t>
      </w:r>
      <w:r>
        <w:rPr>
          <w:rFonts w:asciiTheme="majorBidi" w:hAnsiTheme="majorBidi" w:cstheme="majorBidi"/>
          <w:color w:val="000000"/>
          <w:sz w:val="18"/>
          <w:szCs w:val="18"/>
        </w:rPr>
        <w:t xml:space="preserve">enroll </w:t>
      </w:r>
      <w:r w:rsidRPr="009841C7">
        <w:rPr>
          <w:rFonts w:asciiTheme="majorBidi" w:hAnsiTheme="majorBidi" w:cstheme="majorBidi"/>
          <w:color w:val="000000"/>
          <w:sz w:val="18"/>
          <w:szCs w:val="18"/>
        </w:rPr>
        <w:t>and when they exit from ETM or the end of the three-year period covered by PRA clearance (whichever comes first), (iv) and the average length of participation in ETM will be two years.</w:t>
      </w:r>
    </w:p>
    <w:p w:rsidR="00510548" w:rsidRPr="00167644" w:rsidP="00683D7A" w14:paraId="0BBCD528" w14:textId="2891B321">
      <w:pPr>
        <w:spacing w:after="0" w:line="240" w:lineRule="auto"/>
        <w:contextualSpacing/>
        <w:rPr>
          <w:rFonts w:asciiTheme="majorBidi" w:hAnsiTheme="majorBidi" w:cstheme="majorBidi"/>
          <w:color w:val="000000"/>
          <w:sz w:val="18"/>
          <w:szCs w:val="18"/>
        </w:rPr>
      </w:pPr>
      <w:r>
        <w:rPr>
          <w:rFonts w:asciiTheme="majorBidi" w:hAnsiTheme="majorBidi" w:cstheme="majorBidi"/>
          <w:color w:val="000000"/>
          <w:sz w:val="18"/>
          <w:szCs w:val="18"/>
        </w:rPr>
        <w:t>f</w:t>
      </w:r>
      <w:r w:rsidRPr="000B29AC">
        <w:rPr>
          <w:rFonts w:asciiTheme="majorBidi" w:hAnsiTheme="majorBidi" w:cstheme="majorBidi"/>
          <w:color w:val="000000"/>
          <w:sz w:val="18"/>
          <w:szCs w:val="18"/>
        </w:rPr>
        <w:t>. Assumes interviews with the four ETM project directors, twice during data collection period</w:t>
      </w:r>
      <w:r w:rsidR="00184501">
        <w:rPr>
          <w:rFonts w:asciiTheme="majorBidi" w:hAnsiTheme="majorBidi" w:cstheme="majorBidi"/>
          <w:color w:val="000000"/>
          <w:sz w:val="18"/>
          <w:szCs w:val="18"/>
        </w:rPr>
        <w:t>.</w:t>
      </w:r>
    </w:p>
    <w:p w:rsidR="00624D7B" w:rsidP="00624D7B" w14:paraId="2B93BFFF" w14:textId="5D878530">
      <w:pPr>
        <w:spacing w:after="0" w:line="240" w:lineRule="auto"/>
        <w:rPr>
          <w:rFonts w:ascii="Times New Roman" w:hAnsi="Times New Roman"/>
        </w:rPr>
      </w:pPr>
      <w:r>
        <w:rPr>
          <w:rFonts w:asciiTheme="majorBidi" w:hAnsiTheme="majorBidi" w:cstheme="majorBidi"/>
          <w:color w:val="000000"/>
          <w:sz w:val="18"/>
          <w:szCs w:val="18"/>
        </w:rPr>
        <w:t>g.</w:t>
      </w:r>
      <w:r>
        <w:rPr>
          <w:rFonts w:ascii="Times New Roman" w:hAnsi="Times New Roman"/>
          <w:sz w:val="18"/>
          <w:szCs w:val="18"/>
        </w:rPr>
        <w:t xml:space="preserve"> </w:t>
      </w:r>
      <w:r w:rsidRPr="0BC7FEA6">
        <w:rPr>
          <w:rFonts w:ascii="Times New Roman" w:hAnsi="Times New Roman"/>
          <w:sz w:val="18"/>
          <w:szCs w:val="18"/>
        </w:rPr>
        <w:t xml:space="preserve">The mean hourly wage for </w:t>
      </w:r>
      <w:r>
        <w:rPr>
          <w:rFonts w:ascii="Times New Roman" w:hAnsi="Times New Roman"/>
          <w:sz w:val="18"/>
          <w:szCs w:val="18"/>
        </w:rPr>
        <w:t>project directors</w:t>
      </w:r>
      <w:r w:rsidRPr="0BC7FEA6">
        <w:rPr>
          <w:rFonts w:ascii="Times New Roman" w:hAnsi="Times New Roman"/>
          <w:sz w:val="18"/>
          <w:szCs w:val="18"/>
        </w:rPr>
        <w:t xml:space="preserve"> was calculated based on information from the Bureau of Labor Statistics; May </w:t>
      </w:r>
      <w:r w:rsidRPr="0BC7FEA6" w:rsidR="001F7510">
        <w:rPr>
          <w:rFonts w:ascii="Times New Roman" w:hAnsi="Times New Roman"/>
          <w:sz w:val="18"/>
          <w:szCs w:val="18"/>
        </w:rPr>
        <w:t>202</w:t>
      </w:r>
      <w:r w:rsidR="001F7510">
        <w:rPr>
          <w:rFonts w:ascii="Times New Roman" w:hAnsi="Times New Roman"/>
          <w:sz w:val="18"/>
          <w:szCs w:val="18"/>
        </w:rPr>
        <w:t>4</w:t>
      </w:r>
      <w:r w:rsidRPr="0BC7FEA6" w:rsidR="001F7510">
        <w:rPr>
          <w:rFonts w:ascii="Times New Roman" w:hAnsi="Times New Roman"/>
          <w:sz w:val="18"/>
          <w:szCs w:val="18"/>
        </w:rPr>
        <w:t xml:space="preserve"> </w:t>
      </w:r>
      <w:r w:rsidRPr="0BC7FEA6">
        <w:rPr>
          <w:rFonts w:ascii="Times New Roman" w:hAnsi="Times New Roman"/>
          <w:sz w:val="18"/>
          <w:szCs w:val="18"/>
        </w:rPr>
        <w:t xml:space="preserve">National Industry-Specific Occupational Employment and Wage Estimates found at </w:t>
      </w:r>
      <w:hyperlink r:id="rId10">
        <w:r w:rsidRPr="0BC7FEA6">
          <w:rPr>
            <w:rStyle w:val="Hyperlink"/>
            <w:rFonts w:ascii="Times New Roman" w:hAnsi="Times New Roman"/>
            <w:sz w:val="18"/>
            <w:szCs w:val="18"/>
          </w:rPr>
          <w:t>Social and Community Service Managers (bls.gov)</w:t>
        </w:r>
      </w:hyperlink>
      <w:r w:rsidRPr="0BC7FEA6">
        <w:rPr>
          <w:rFonts w:ascii="Times New Roman" w:hAnsi="Times New Roman"/>
          <w:sz w:val="18"/>
          <w:szCs w:val="18"/>
        </w:rPr>
        <w:t xml:space="preserve"> Social and Community Service Managers. (SOC code-119151) $4</w:t>
      </w:r>
      <w:r>
        <w:rPr>
          <w:rFonts w:ascii="Times New Roman" w:hAnsi="Times New Roman"/>
          <w:sz w:val="18"/>
          <w:szCs w:val="18"/>
        </w:rPr>
        <w:t>1</w:t>
      </w:r>
      <w:r w:rsidRPr="0BC7FEA6">
        <w:rPr>
          <w:rFonts w:ascii="Times New Roman" w:hAnsi="Times New Roman"/>
          <w:sz w:val="18"/>
          <w:szCs w:val="18"/>
        </w:rPr>
        <w:t>.</w:t>
      </w:r>
      <w:r>
        <w:rPr>
          <w:rFonts w:ascii="Times New Roman" w:hAnsi="Times New Roman"/>
          <w:sz w:val="18"/>
          <w:szCs w:val="18"/>
        </w:rPr>
        <w:t>39</w:t>
      </w:r>
      <w:r w:rsidRPr="0BC7FEA6">
        <w:rPr>
          <w:rFonts w:ascii="Times New Roman" w:hAnsi="Times New Roman"/>
        </w:rPr>
        <w:t>.</w:t>
      </w:r>
    </w:p>
    <w:p w:rsidR="00510548" w:rsidP="00683D7A" w14:paraId="664A0AFD" w14:textId="04C67420">
      <w:pPr>
        <w:spacing w:after="0" w:line="240" w:lineRule="auto"/>
        <w:contextualSpacing/>
        <w:rPr>
          <w:rFonts w:asciiTheme="majorBidi" w:hAnsiTheme="majorBidi" w:cstheme="majorBidi"/>
          <w:color w:val="000000"/>
          <w:sz w:val="18"/>
          <w:szCs w:val="18"/>
        </w:rPr>
      </w:pPr>
      <w:r>
        <w:rPr>
          <w:rFonts w:asciiTheme="majorBidi" w:hAnsiTheme="majorBidi" w:cstheme="majorBidi"/>
          <w:color w:val="000000"/>
          <w:sz w:val="18"/>
          <w:szCs w:val="18"/>
        </w:rPr>
        <w:t>h</w:t>
      </w:r>
      <w:r w:rsidRPr="000B29AC">
        <w:rPr>
          <w:rFonts w:asciiTheme="majorBidi" w:hAnsiTheme="majorBidi" w:cstheme="majorBidi"/>
          <w:color w:val="000000"/>
          <w:sz w:val="18"/>
          <w:szCs w:val="18"/>
        </w:rPr>
        <w:t xml:space="preserve">. Assumes interviews with </w:t>
      </w:r>
      <w:r w:rsidR="005E1D74">
        <w:rPr>
          <w:rFonts w:asciiTheme="majorBidi" w:hAnsiTheme="majorBidi" w:cstheme="majorBidi"/>
          <w:color w:val="000000"/>
          <w:sz w:val="18"/>
          <w:szCs w:val="18"/>
        </w:rPr>
        <w:t xml:space="preserve">a total of </w:t>
      </w:r>
      <w:r w:rsidRPr="000B29AC">
        <w:rPr>
          <w:rFonts w:asciiTheme="majorBidi" w:hAnsiTheme="majorBidi" w:cstheme="majorBidi"/>
          <w:color w:val="000000"/>
          <w:sz w:val="18"/>
          <w:szCs w:val="18"/>
        </w:rPr>
        <w:t xml:space="preserve">16 ETM local site administrators </w:t>
      </w:r>
      <w:r w:rsidR="009122C5">
        <w:rPr>
          <w:rFonts w:asciiTheme="majorBidi" w:hAnsiTheme="majorBidi" w:cstheme="majorBidi"/>
          <w:color w:val="000000"/>
          <w:sz w:val="18"/>
          <w:szCs w:val="18"/>
        </w:rPr>
        <w:t>across</w:t>
      </w:r>
      <w:r w:rsidRPr="000B29AC" w:rsidR="009122C5">
        <w:rPr>
          <w:rFonts w:asciiTheme="majorBidi" w:hAnsiTheme="majorBidi" w:cstheme="majorBidi"/>
          <w:color w:val="000000"/>
          <w:sz w:val="18"/>
          <w:szCs w:val="18"/>
        </w:rPr>
        <w:t xml:space="preserve"> </w:t>
      </w:r>
      <w:r w:rsidRPr="000B29AC">
        <w:rPr>
          <w:rFonts w:asciiTheme="majorBidi" w:hAnsiTheme="majorBidi" w:cstheme="majorBidi"/>
          <w:color w:val="000000"/>
          <w:sz w:val="18"/>
          <w:szCs w:val="18"/>
        </w:rPr>
        <w:t>all four grantees,</w:t>
      </w:r>
      <w:r w:rsidR="005B5EB7">
        <w:rPr>
          <w:rFonts w:asciiTheme="majorBidi" w:hAnsiTheme="majorBidi" w:cstheme="majorBidi"/>
          <w:color w:val="000000"/>
          <w:sz w:val="18"/>
          <w:szCs w:val="18"/>
        </w:rPr>
        <w:t xml:space="preserve"> resulting from</w:t>
      </w:r>
      <w:r w:rsidRPr="000B29AC">
        <w:rPr>
          <w:rFonts w:asciiTheme="majorBidi" w:hAnsiTheme="majorBidi" w:cstheme="majorBidi"/>
          <w:color w:val="000000"/>
          <w:sz w:val="18"/>
          <w:szCs w:val="18"/>
        </w:rPr>
        <w:t xml:space="preserve"> t</w:t>
      </w:r>
      <w:r w:rsidR="005B5EB7">
        <w:rPr>
          <w:rFonts w:asciiTheme="majorBidi" w:hAnsiTheme="majorBidi" w:cstheme="majorBidi"/>
          <w:color w:val="000000"/>
          <w:sz w:val="18"/>
          <w:szCs w:val="18"/>
        </w:rPr>
        <w:t>wo</w:t>
      </w:r>
      <w:r w:rsidRPr="000B29AC">
        <w:rPr>
          <w:rFonts w:asciiTheme="majorBidi" w:hAnsiTheme="majorBidi" w:cstheme="majorBidi"/>
          <w:color w:val="000000"/>
          <w:sz w:val="18"/>
          <w:szCs w:val="18"/>
        </w:rPr>
        <w:t xml:space="preserve"> </w:t>
      </w:r>
      <w:r w:rsidR="00282F1D">
        <w:rPr>
          <w:rFonts w:asciiTheme="majorBidi" w:hAnsiTheme="majorBidi" w:cstheme="majorBidi"/>
          <w:color w:val="000000"/>
          <w:sz w:val="18"/>
          <w:szCs w:val="18"/>
        </w:rPr>
        <w:t>rounds of site visits</w:t>
      </w:r>
      <w:r w:rsidRPr="000B29AC">
        <w:rPr>
          <w:rFonts w:asciiTheme="majorBidi" w:hAnsiTheme="majorBidi" w:cstheme="majorBidi"/>
          <w:color w:val="000000"/>
          <w:sz w:val="18"/>
          <w:szCs w:val="18"/>
        </w:rPr>
        <w:t xml:space="preserve"> </w:t>
      </w:r>
      <w:r w:rsidR="00D56510">
        <w:rPr>
          <w:rFonts w:asciiTheme="majorBidi" w:hAnsiTheme="majorBidi" w:cstheme="majorBidi"/>
          <w:color w:val="000000"/>
          <w:sz w:val="18"/>
          <w:szCs w:val="18"/>
        </w:rPr>
        <w:t xml:space="preserve">during </w:t>
      </w:r>
      <w:r w:rsidRPr="000B29AC">
        <w:rPr>
          <w:rFonts w:asciiTheme="majorBidi" w:hAnsiTheme="majorBidi" w:cstheme="majorBidi"/>
          <w:color w:val="000000"/>
          <w:sz w:val="18"/>
          <w:szCs w:val="18"/>
        </w:rPr>
        <w:t>data collection period</w:t>
      </w:r>
      <w:r>
        <w:rPr>
          <w:rFonts w:asciiTheme="majorBidi" w:hAnsiTheme="majorBidi" w:cstheme="majorBidi"/>
          <w:color w:val="000000"/>
          <w:sz w:val="18"/>
          <w:szCs w:val="18"/>
        </w:rPr>
        <w:t>.</w:t>
      </w:r>
      <w:r w:rsidR="00B064C3">
        <w:rPr>
          <w:rFonts w:asciiTheme="majorBidi" w:hAnsiTheme="majorBidi" w:cstheme="majorBidi"/>
          <w:color w:val="000000"/>
          <w:sz w:val="18"/>
          <w:szCs w:val="18"/>
        </w:rPr>
        <w:t xml:space="preserve"> In each round, 8 local site administrators will be interviewed.</w:t>
      </w:r>
    </w:p>
    <w:p w:rsidR="00282F1D" w:rsidP="00282F1D" w14:paraId="005F3FA3" w14:textId="36D130F8">
      <w:pPr>
        <w:spacing w:after="0" w:line="240" w:lineRule="auto"/>
        <w:contextualSpacing/>
        <w:rPr>
          <w:rFonts w:asciiTheme="majorBidi" w:hAnsiTheme="majorBidi" w:cstheme="majorBidi"/>
          <w:color w:val="000000"/>
          <w:sz w:val="18"/>
          <w:szCs w:val="18"/>
        </w:rPr>
      </w:pPr>
      <w:r>
        <w:rPr>
          <w:rFonts w:asciiTheme="majorBidi" w:hAnsiTheme="majorBidi" w:cstheme="majorBidi"/>
          <w:sz w:val="18"/>
          <w:szCs w:val="18"/>
        </w:rPr>
        <w:t>i</w:t>
      </w:r>
      <w:r w:rsidRPr="008D0729" w:rsidR="00510548">
        <w:rPr>
          <w:rFonts w:asciiTheme="majorBidi" w:hAnsiTheme="majorBidi" w:cstheme="majorBidi"/>
          <w:sz w:val="18"/>
          <w:szCs w:val="18"/>
        </w:rPr>
        <w:t xml:space="preserve">. Assumes interviews with </w:t>
      </w:r>
      <w:r>
        <w:rPr>
          <w:rFonts w:asciiTheme="majorBidi" w:hAnsiTheme="majorBidi" w:cstheme="majorBidi"/>
          <w:sz w:val="18"/>
          <w:szCs w:val="18"/>
        </w:rPr>
        <w:t xml:space="preserve">a total of </w:t>
      </w:r>
      <w:r w:rsidRPr="008D0729" w:rsidR="00510548">
        <w:rPr>
          <w:rFonts w:asciiTheme="majorBidi" w:hAnsiTheme="majorBidi" w:cstheme="majorBidi"/>
          <w:sz w:val="18"/>
          <w:szCs w:val="18"/>
        </w:rPr>
        <w:t xml:space="preserve">48 ETM case managers across all four grantees, </w:t>
      </w:r>
      <w:r>
        <w:rPr>
          <w:rFonts w:asciiTheme="majorBidi" w:hAnsiTheme="majorBidi" w:cstheme="majorBidi"/>
          <w:color w:val="000000"/>
          <w:sz w:val="18"/>
          <w:szCs w:val="18"/>
        </w:rPr>
        <w:t>resulting from</w:t>
      </w:r>
      <w:r w:rsidRPr="000B29AC">
        <w:rPr>
          <w:rFonts w:asciiTheme="majorBidi" w:hAnsiTheme="majorBidi" w:cstheme="majorBidi"/>
          <w:color w:val="000000"/>
          <w:sz w:val="18"/>
          <w:szCs w:val="18"/>
        </w:rPr>
        <w:t xml:space="preserve"> t</w:t>
      </w:r>
      <w:r>
        <w:rPr>
          <w:rFonts w:asciiTheme="majorBidi" w:hAnsiTheme="majorBidi" w:cstheme="majorBidi"/>
          <w:color w:val="000000"/>
          <w:sz w:val="18"/>
          <w:szCs w:val="18"/>
        </w:rPr>
        <w:t>wo</w:t>
      </w:r>
      <w:r w:rsidRPr="000B29AC">
        <w:rPr>
          <w:rFonts w:asciiTheme="majorBidi" w:hAnsiTheme="majorBidi" w:cstheme="majorBidi"/>
          <w:color w:val="000000"/>
          <w:sz w:val="18"/>
          <w:szCs w:val="18"/>
        </w:rPr>
        <w:t xml:space="preserve"> </w:t>
      </w:r>
      <w:r>
        <w:rPr>
          <w:rFonts w:asciiTheme="majorBidi" w:hAnsiTheme="majorBidi" w:cstheme="majorBidi"/>
          <w:color w:val="000000"/>
          <w:sz w:val="18"/>
          <w:szCs w:val="18"/>
        </w:rPr>
        <w:t>rounds of site visits</w:t>
      </w:r>
      <w:r w:rsidRPr="000B29AC">
        <w:rPr>
          <w:rFonts w:asciiTheme="majorBidi" w:hAnsiTheme="majorBidi" w:cstheme="majorBidi"/>
          <w:color w:val="000000"/>
          <w:sz w:val="18"/>
          <w:szCs w:val="18"/>
        </w:rPr>
        <w:t xml:space="preserve"> </w:t>
      </w:r>
      <w:r w:rsidR="00D56510">
        <w:rPr>
          <w:rFonts w:asciiTheme="majorBidi" w:hAnsiTheme="majorBidi" w:cstheme="majorBidi"/>
          <w:color w:val="000000"/>
          <w:sz w:val="18"/>
          <w:szCs w:val="18"/>
        </w:rPr>
        <w:t xml:space="preserve">during </w:t>
      </w:r>
      <w:r w:rsidRPr="000B29AC">
        <w:rPr>
          <w:rFonts w:asciiTheme="majorBidi" w:hAnsiTheme="majorBidi" w:cstheme="majorBidi"/>
          <w:color w:val="000000"/>
          <w:sz w:val="18"/>
          <w:szCs w:val="18"/>
        </w:rPr>
        <w:t>data collection period</w:t>
      </w:r>
      <w:r>
        <w:rPr>
          <w:rFonts w:asciiTheme="majorBidi" w:hAnsiTheme="majorBidi" w:cstheme="majorBidi"/>
          <w:color w:val="000000"/>
          <w:sz w:val="18"/>
          <w:szCs w:val="18"/>
        </w:rPr>
        <w:t>.</w:t>
      </w:r>
      <w:r w:rsidRPr="00A57630" w:rsidR="00A57630">
        <w:rPr>
          <w:rFonts w:asciiTheme="majorBidi" w:hAnsiTheme="majorBidi" w:cstheme="majorBidi"/>
          <w:color w:val="000000"/>
          <w:sz w:val="18"/>
          <w:szCs w:val="18"/>
        </w:rPr>
        <w:t xml:space="preserve"> </w:t>
      </w:r>
      <w:r w:rsidR="00A57630">
        <w:rPr>
          <w:rFonts w:asciiTheme="majorBidi" w:hAnsiTheme="majorBidi" w:cstheme="majorBidi"/>
          <w:color w:val="000000"/>
          <w:sz w:val="18"/>
          <w:szCs w:val="18"/>
        </w:rPr>
        <w:t xml:space="preserve">In each round, 24 </w:t>
      </w:r>
      <w:r w:rsidR="00664244">
        <w:rPr>
          <w:rFonts w:asciiTheme="majorBidi" w:hAnsiTheme="majorBidi" w:cstheme="majorBidi"/>
          <w:color w:val="000000"/>
          <w:sz w:val="18"/>
          <w:szCs w:val="18"/>
        </w:rPr>
        <w:t>case managers</w:t>
      </w:r>
      <w:r w:rsidR="00A57630">
        <w:rPr>
          <w:rFonts w:asciiTheme="majorBidi" w:hAnsiTheme="majorBidi" w:cstheme="majorBidi"/>
          <w:color w:val="000000"/>
          <w:sz w:val="18"/>
          <w:szCs w:val="18"/>
        </w:rPr>
        <w:t xml:space="preserve"> will be interviewed.</w:t>
      </w:r>
    </w:p>
    <w:p w:rsidR="00510548" w:rsidP="00282F1D" w14:paraId="7715B124" w14:textId="66806030">
      <w:pPr>
        <w:spacing w:after="0" w:line="240" w:lineRule="auto"/>
        <w:rPr>
          <w:rFonts w:asciiTheme="majorBidi" w:hAnsiTheme="majorBidi" w:cstheme="majorBidi"/>
          <w:sz w:val="18"/>
          <w:szCs w:val="18"/>
        </w:rPr>
      </w:pPr>
      <w:r>
        <w:rPr>
          <w:rFonts w:asciiTheme="majorBidi" w:hAnsiTheme="majorBidi" w:cstheme="majorBidi"/>
          <w:sz w:val="18"/>
          <w:szCs w:val="18"/>
        </w:rPr>
        <w:t>j</w:t>
      </w:r>
      <w:r w:rsidRPr="008D0729">
        <w:rPr>
          <w:rFonts w:asciiTheme="majorBidi" w:hAnsiTheme="majorBidi" w:cstheme="majorBidi"/>
          <w:sz w:val="18"/>
          <w:szCs w:val="18"/>
        </w:rPr>
        <w:t xml:space="preserve">. </w:t>
      </w:r>
      <w:r w:rsidRPr="008D0729" w:rsidR="0030132A">
        <w:rPr>
          <w:rFonts w:asciiTheme="majorBidi" w:hAnsiTheme="majorBidi" w:cstheme="majorBidi"/>
          <w:sz w:val="18"/>
          <w:szCs w:val="18"/>
        </w:rPr>
        <w:t xml:space="preserve">Assumes </w:t>
      </w:r>
      <w:r w:rsidR="00925679">
        <w:rPr>
          <w:rFonts w:asciiTheme="majorBidi" w:hAnsiTheme="majorBidi" w:cstheme="majorBidi"/>
          <w:sz w:val="18"/>
          <w:szCs w:val="18"/>
        </w:rPr>
        <w:t xml:space="preserve">a total of 38 </w:t>
      </w:r>
      <w:r w:rsidR="00942284">
        <w:rPr>
          <w:rFonts w:asciiTheme="majorBidi" w:hAnsiTheme="majorBidi" w:cstheme="majorBidi"/>
          <w:sz w:val="18"/>
          <w:szCs w:val="18"/>
        </w:rPr>
        <w:t xml:space="preserve">interviews with </w:t>
      </w:r>
      <w:r w:rsidR="00925679">
        <w:rPr>
          <w:rFonts w:asciiTheme="majorBidi" w:hAnsiTheme="majorBidi" w:cstheme="majorBidi"/>
          <w:sz w:val="18"/>
          <w:szCs w:val="18"/>
        </w:rPr>
        <w:t xml:space="preserve">ETM </w:t>
      </w:r>
      <w:r w:rsidRPr="008D0729" w:rsidR="00794B10">
        <w:rPr>
          <w:rFonts w:asciiTheme="majorBidi" w:hAnsiTheme="majorBidi" w:cstheme="majorBidi"/>
          <w:sz w:val="18"/>
          <w:szCs w:val="18"/>
        </w:rPr>
        <w:t>local site administrators</w:t>
      </w:r>
      <w:r w:rsidR="00925679">
        <w:rPr>
          <w:rFonts w:asciiTheme="majorBidi" w:hAnsiTheme="majorBidi" w:cstheme="majorBidi"/>
          <w:sz w:val="18"/>
          <w:szCs w:val="18"/>
        </w:rPr>
        <w:t xml:space="preserve"> </w:t>
      </w:r>
      <w:r w:rsidRPr="008D0729" w:rsidR="0030132A">
        <w:rPr>
          <w:rFonts w:asciiTheme="majorBidi" w:hAnsiTheme="majorBidi" w:cstheme="majorBidi"/>
          <w:sz w:val="18"/>
          <w:szCs w:val="18"/>
        </w:rPr>
        <w:t xml:space="preserve">across all four grantees, </w:t>
      </w:r>
      <w:r w:rsidR="0030132A">
        <w:rPr>
          <w:rFonts w:asciiTheme="majorBidi" w:hAnsiTheme="majorBidi" w:cstheme="majorBidi"/>
          <w:color w:val="000000"/>
          <w:sz w:val="18"/>
          <w:szCs w:val="18"/>
        </w:rPr>
        <w:t>resulting from</w:t>
      </w:r>
      <w:r w:rsidRPr="000B29AC" w:rsidR="0030132A">
        <w:rPr>
          <w:rFonts w:asciiTheme="majorBidi" w:hAnsiTheme="majorBidi" w:cstheme="majorBidi"/>
          <w:color w:val="000000"/>
          <w:sz w:val="18"/>
          <w:szCs w:val="18"/>
        </w:rPr>
        <w:t xml:space="preserve"> t</w:t>
      </w:r>
      <w:r w:rsidR="0030132A">
        <w:rPr>
          <w:rFonts w:asciiTheme="majorBidi" w:hAnsiTheme="majorBidi" w:cstheme="majorBidi"/>
          <w:color w:val="000000"/>
          <w:sz w:val="18"/>
          <w:szCs w:val="18"/>
        </w:rPr>
        <w:t>wo</w:t>
      </w:r>
      <w:r w:rsidRPr="000B29AC" w:rsidR="0030132A">
        <w:rPr>
          <w:rFonts w:asciiTheme="majorBidi" w:hAnsiTheme="majorBidi" w:cstheme="majorBidi"/>
          <w:color w:val="000000"/>
          <w:sz w:val="18"/>
          <w:szCs w:val="18"/>
        </w:rPr>
        <w:t xml:space="preserve"> </w:t>
      </w:r>
      <w:r w:rsidR="0030132A">
        <w:rPr>
          <w:rFonts w:asciiTheme="majorBidi" w:hAnsiTheme="majorBidi" w:cstheme="majorBidi"/>
          <w:color w:val="000000"/>
          <w:sz w:val="18"/>
          <w:szCs w:val="18"/>
        </w:rPr>
        <w:t xml:space="preserve">rounds of </w:t>
      </w:r>
      <w:r w:rsidRPr="000B29AC" w:rsidR="0030132A">
        <w:rPr>
          <w:rFonts w:asciiTheme="majorBidi" w:hAnsiTheme="majorBidi" w:cstheme="majorBidi"/>
          <w:color w:val="000000"/>
          <w:sz w:val="18"/>
          <w:szCs w:val="18"/>
        </w:rPr>
        <w:t xml:space="preserve">data collection </w:t>
      </w:r>
      <w:r w:rsidR="00F37596">
        <w:rPr>
          <w:rFonts w:asciiTheme="majorBidi" w:hAnsiTheme="majorBidi" w:cstheme="majorBidi"/>
          <w:color w:val="000000"/>
          <w:sz w:val="18"/>
          <w:szCs w:val="18"/>
        </w:rPr>
        <w:t xml:space="preserve">(19 </w:t>
      </w:r>
      <w:r w:rsidR="004205F3">
        <w:rPr>
          <w:rFonts w:asciiTheme="majorBidi" w:hAnsiTheme="majorBidi" w:cstheme="majorBidi"/>
          <w:color w:val="000000"/>
          <w:sz w:val="18"/>
          <w:szCs w:val="18"/>
        </w:rPr>
        <w:t xml:space="preserve">unique </w:t>
      </w:r>
      <w:r w:rsidR="00F37596">
        <w:rPr>
          <w:rFonts w:asciiTheme="majorBidi" w:hAnsiTheme="majorBidi" w:cstheme="majorBidi"/>
          <w:color w:val="000000"/>
          <w:sz w:val="18"/>
          <w:szCs w:val="18"/>
        </w:rPr>
        <w:t xml:space="preserve">ETM </w:t>
      </w:r>
      <w:r w:rsidRPr="008D0729" w:rsidR="00794B10">
        <w:rPr>
          <w:rFonts w:asciiTheme="majorBidi" w:hAnsiTheme="majorBidi" w:cstheme="majorBidi"/>
          <w:sz w:val="18"/>
          <w:szCs w:val="18"/>
        </w:rPr>
        <w:t>local site administrators</w:t>
      </w:r>
      <w:r w:rsidR="00794B10">
        <w:rPr>
          <w:rFonts w:asciiTheme="majorBidi" w:hAnsiTheme="majorBidi" w:cstheme="majorBidi"/>
          <w:sz w:val="18"/>
          <w:szCs w:val="18"/>
        </w:rPr>
        <w:t xml:space="preserve"> will be interviewed twice during the data collection period)</w:t>
      </w:r>
      <w:r w:rsidR="0030132A">
        <w:rPr>
          <w:rFonts w:asciiTheme="majorBidi" w:hAnsiTheme="majorBidi" w:cstheme="majorBidi"/>
          <w:color w:val="000000"/>
          <w:sz w:val="18"/>
          <w:szCs w:val="18"/>
        </w:rPr>
        <w:t>.</w:t>
      </w:r>
    </w:p>
    <w:p w:rsidR="00510548" w:rsidP="00141090" w14:paraId="1639A4F2" w14:textId="503C0B78">
      <w:pPr>
        <w:spacing w:after="0" w:line="240" w:lineRule="auto"/>
        <w:rPr>
          <w:rFonts w:asciiTheme="majorBidi" w:hAnsiTheme="majorBidi" w:cstheme="majorBidi"/>
          <w:color w:val="000000"/>
          <w:sz w:val="18"/>
          <w:szCs w:val="18"/>
        </w:rPr>
      </w:pPr>
      <w:r>
        <w:rPr>
          <w:rFonts w:asciiTheme="majorBidi" w:hAnsiTheme="majorBidi" w:cstheme="majorBidi"/>
          <w:sz w:val="18"/>
          <w:szCs w:val="18"/>
        </w:rPr>
        <w:t>k</w:t>
      </w:r>
      <w:r w:rsidRPr="00E047DF">
        <w:rPr>
          <w:rFonts w:asciiTheme="majorBidi" w:hAnsiTheme="majorBidi" w:cstheme="majorBidi"/>
          <w:color w:val="000000"/>
          <w:sz w:val="18"/>
          <w:szCs w:val="18"/>
        </w:rPr>
        <w:t xml:space="preserve">. </w:t>
      </w:r>
      <w:r w:rsidRPr="008D0729" w:rsidR="00D84F0D">
        <w:rPr>
          <w:rFonts w:asciiTheme="majorBidi" w:hAnsiTheme="majorBidi" w:cstheme="majorBidi"/>
          <w:sz w:val="18"/>
          <w:szCs w:val="18"/>
        </w:rPr>
        <w:t xml:space="preserve">Assumes </w:t>
      </w:r>
      <w:r w:rsidR="00D84F0D">
        <w:rPr>
          <w:rFonts w:asciiTheme="majorBidi" w:hAnsiTheme="majorBidi" w:cstheme="majorBidi"/>
          <w:sz w:val="18"/>
          <w:szCs w:val="18"/>
        </w:rPr>
        <w:t xml:space="preserve">a total of 38 </w:t>
      </w:r>
      <w:r w:rsidR="00942284">
        <w:rPr>
          <w:rFonts w:asciiTheme="majorBidi" w:hAnsiTheme="majorBidi" w:cstheme="majorBidi"/>
          <w:sz w:val="18"/>
          <w:szCs w:val="18"/>
        </w:rPr>
        <w:t xml:space="preserve">interviews with </w:t>
      </w:r>
      <w:r w:rsidR="00D84F0D">
        <w:rPr>
          <w:rFonts w:asciiTheme="majorBidi" w:hAnsiTheme="majorBidi" w:cstheme="majorBidi"/>
          <w:sz w:val="18"/>
          <w:szCs w:val="18"/>
        </w:rPr>
        <w:t xml:space="preserve">ETM </w:t>
      </w:r>
      <w:r w:rsidRPr="008D0729" w:rsidR="00D84F0D">
        <w:rPr>
          <w:rFonts w:asciiTheme="majorBidi" w:hAnsiTheme="majorBidi" w:cstheme="majorBidi"/>
          <w:sz w:val="18"/>
          <w:szCs w:val="18"/>
        </w:rPr>
        <w:t>local site administrators</w:t>
      </w:r>
      <w:r w:rsidR="00D84F0D">
        <w:rPr>
          <w:rFonts w:asciiTheme="majorBidi" w:hAnsiTheme="majorBidi" w:cstheme="majorBidi"/>
          <w:sz w:val="18"/>
          <w:szCs w:val="18"/>
        </w:rPr>
        <w:t xml:space="preserve"> </w:t>
      </w:r>
      <w:r w:rsidRPr="008D0729" w:rsidR="00D84F0D">
        <w:rPr>
          <w:rFonts w:asciiTheme="majorBidi" w:hAnsiTheme="majorBidi" w:cstheme="majorBidi"/>
          <w:sz w:val="18"/>
          <w:szCs w:val="18"/>
        </w:rPr>
        <w:t xml:space="preserve">across all four grantees, </w:t>
      </w:r>
      <w:r w:rsidR="00D84F0D">
        <w:rPr>
          <w:rFonts w:asciiTheme="majorBidi" w:hAnsiTheme="majorBidi" w:cstheme="majorBidi"/>
          <w:color w:val="000000"/>
          <w:sz w:val="18"/>
          <w:szCs w:val="18"/>
        </w:rPr>
        <w:t>resulting from</w:t>
      </w:r>
      <w:r w:rsidRPr="000B29AC" w:rsidR="00D84F0D">
        <w:rPr>
          <w:rFonts w:asciiTheme="majorBidi" w:hAnsiTheme="majorBidi" w:cstheme="majorBidi"/>
          <w:color w:val="000000"/>
          <w:sz w:val="18"/>
          <w:szCs w:val="18"/>
        </w:rPr>
        <w:t xml:space="preserve"> t</w:t>
      </w:r>
      <w:r w:rsidR="00D84F0D">
        <w:rPr>
          <w:rFonts w:asciiTheme="majorBidi" w:hAnsiTheme="majorBidi" w:cstheme="majorBidi"/>
          <w:color w:val="000000"/>
          <w:sz w:val="18"/>
          <w:szCs w:val="18"/>
        </w:rPr>
        <w:t>wo</w:t>
      </w:r>
      <w:r w:rsidRPr="000B29AC" w:rsidR="00D84F0D">
        <w:rPr>
          <w:rFonts w:asciiTheme="majorBidi" w:hAnsiTheme="majorBidi" w:cstheme="majorBidi"/>
          <w:color w:val="000000"/>
          <w:sz w:val="18"/>
          <w:szCs w:val="18"/>
        </w:rPr>
        <w:t xml:space="preserve"> </w:t>
      </w:r>
      <w:r w:rsidR="00D84F0D">
        <w:rPr>
          <w:rFonts w:asciiTheme="majorBidi" w:hAnsiTheme="majorBidi" w:cstheme="majorBidi"/>
          <w:color w:val="000000"/>
          <w:sz w:val="18"/>
          <w:szCs w:val="18"/>
        </w:rPr>
        <w:t xml:space="preserve">rounds of </w:t>
      </w:r>
      <w:r w:rsidRPr="000B29AC" w:rsidR="00D84F0D">
        <w:rPr>
          <w:rFonts w:asciiTheme="majorBidi" w:hAnsiTheme="majorBidi" w:cstheme="majorBidi"/>
          <w:color w:val="000000"/>
          <w:sz w:val="18"/>
          <w:szCs w:val="18"/>
        </w:rPr>
        <w:t xml:space="preserve">data collection </w:t>
      </w:r>
      <w:r w:rsidR="00D84F0D">
        <w:rPr>
          <w:rFonts w:asciiTheme="majorBidi" w:hAnsiTheme="majorBidi" w:cstheme="majorBidi"/>
          <w:color w:val="000000"/>
          <w:sz w:val="18"/>
          <w:szCs w:val="18"/>
        </w:rPr>
        <w:t xml:space="preserve">(19 </w:t>
      </w:r>
      <w:r w:rsidR="004205F3">
        <w:rPr>
          <w:rFonts w:asciiTheme="majorBidi" w:hAnsiTheme="majorBidi" w:cstheme="majorBidi"/>
          <w:color w:val="000000"/>
          <w:sz w:val="18"/>
          <w:szCs w:val="18"/>
        </w:rPr>
        <w:t xml:space="preserve">unique </w:t>
      </w:r>
      <w:r w:rsidR="00D84F0D">
        <w:rPr>
          <w:rFonts w:asciiTheme="majorBidi" w:hAnsiTheme="majorBidi" w:cstheme="majorBidi"/>
          <w:color w:val="000000"/>
          <w:sz w:val="18"/>
          <w:szCs w:val="18"/>
        </w:rPr>
        <w:t xml:space="preserve">ETM </w:t>
      </w:r>
      <w:r w:rsidRPr="008D0729" w:rsidR="00D84F0D">
        <w:rPr>
          <w:rFonts w:asciiTheme="majorBidi" w:hAnsiTheme="majorBidi" w:cstheme="majorBidi"/>
          <w:sz w:val="18"/>
          <w:szCs w:val="18"/>
        </w:rPr>
        <w:t>local site administrators</w:t>
      </w:r>
      <w:r w:rsidR="00D84F0D">
        <w:rPr>
          <w:rFonts w:asciiTheme="majorBidi" w:hAnsiTheme="majorBidi" w:cstheme="majorBidi"/>
          <w:sz w:val="18"/>
          <w:szCs w:val="18"/>
        </w:rPr>
        <w:t xml:space="preserve"> will be interviewed twice during the data collection period)</w:t>
      </w:r>
      <w:r w:rsidR="00D84F0D">
        <w:rPr>
          <w:rFonts w:asciiTheme="majorBidi" w:hAnsiTheme="majorBidi" w:cstheme="majorBidi"/>
          <w:color w:val="000000"/>
          <w:sz w:val="18"/>
          <w:szCs w:val="18"/>
        </w:rPr>
        <w:t>.</w:t>
      </w:r>
    </w:p>
    <w:p w:rsidR="00510548" w:rsidP="00C2187C" w14:paraId="3C799CEC" w14:textId="22926691">
      <w:pPr>
        <w:spacing w:after="0" w:line="240" w:lineRule="auto"/>
        <w:rPr>
          <w:rFonts w:asciiTheme="majorBidi" w:hAnsiTheme="majorBidi" w:cstheme="majorBidi"/>
          <w:sz w:val="18"/>
          <w:szCs w:val="18"/>
        </w:rPr>
      </w:pPr>
      <w:r>
        <w:rPr>
          <w:rFonts w:asciiTheme="majorBidi" w:hAnsiTheme="majorBidi" w:cstheme="majorBidi"/>
          <w:color w:val="000000"/>
          <w:sz w:val="18"/>
          <w:szCs w:val="18"/>
        </w:rPr>
        <w:t>l</w:t>
      </w:r>
      <w:r w:rsidRPr="008D0729">
        <w:rPr>
          <w:rFonts w:asciiTheme="majorBidi" w:hAnsiTheme="majorBidi" w:cstheme="majorBidi"/>
          <w:sz w:val="18"/>
          <w:szCs w:val="18"/>
        </w:rPr>
        <w:t>. Assumes 80 interviews across four grantees</w:t>
      </w:r>
      <w:r>
        <w:rPr>
          <w:rFonts w:asciiTheme="majorBidi" w:hAnsiTheme="majorBidi" w:cstheme="majorBidi"/>
          <w:sz w:val="18"/>
          <w:szCs w:val="18"/>
        </w:rPr>
        <w:t xml:space="preserve"> once during data collection period.</w:t>
      </w:r>
    </w:p>
    <w:p w:rsidR="00510548" w:rsidP="00C2187C" w14:paraId="2085EEBD" w14:textId="298D8767">
      <w:pPr>
        <w:spacing w:after="0" w:line="240" w:lineRule="auto"/>
        <w:rPr>
          <w:rFonts w:asciiTheme="majorBidi" w:hAnsiTheme="majorBidi" w:cstheme="majorBidi"/>
          <w:sz w:val="18"/>
          <w:szCs w:val="18"/>
        </w:rPr>
      </w:pPr>
      <w:r w:rsidRPr="0045251A">
        <w:rPr>
          <w:rFonts w:asciiTheme="majorBidi" w:hAnsiTheme="majorBidi" w:cstheme="majorBidi"/>
          <w:sz w:val="18"/>
          <w:szCs w:val="18"/>
        </w:rPr>
        <w:t xml:space="preserve">m. </w:t>
      </w:r>
      <w:r w:rsidRPr="0045251A" w:rsidR="006C1929">
        <w:rPr>
          <w:rFonts w:asciiTheme="majorBidi" w:hAnsiTheme="majorBidi" w:cstheme="majorBidi"/>
          <w:sz w:val="18"/>
          <w:szCs w:val="18"/>
        </w:rPr>
        <w:t xml:space="preserve">Assumes </w:t>
      </w:r>
      <w:r w:rsidRPr="0045251A">
        <w:rPr>
          <w:rFonts w:asciiTheme="majorBidi" w:hAnsiTheme="majorBidi" w:cstheme="majorBidi"/>
          <w:sz w:val="18"/>
          <w:szCs w:val="18"/>
        </w:rPr>
        <w:t xml:space="preserve">up to </w:t>
      </w:r>
      <w:r w:rsidRPr="0045251A" w:rsidR="009937CD">
        <w:rPr>
          <w:rFonts w:asciiTheme="majorBidi" w:hAnsiTheme="majorBidi" w:cstheme="majorBidi"/>
          <w:sz w:val="18"/>
          <w:szCs w:val="18"/>
        </w:rPr>
        <w:t>64 interviews</w:t>
      </w:r>
      <w:r w:rsidRPr="0045251A">
        <w:rPr>
          <w:rFonts w:asciiTheme="majorBidi" w:hAnsiTheme="majorBidi" w:cstheme="majorBidi"/>
          <w:sz w:val="18"/>
          <w:szCs w:val="18"/>
        </w:rPr>
        <w:t xml:space="preserve"> </w:t>
      </w:r>
      <w:r w:rsidRPr="0045251A" w:rsidR="0045251A">
        <w:rPr>
          <w:rFonts w:asciiTheme="majorBidi" w:hAnsiTheme="majorBidi" w:cstheme="majorBidi"/>
          <w:sz w:val="18"/>
          <w:szCs w:val="18"/>
        </w:rPr>
        <w:t xml:space="preserve">across four grantees </w:t>
      </w:r>
      <w:r w:rsidRPr="0045251A" w:rsidR="006C1929">
        <w:rPr>
          <w:rFonts w:asciiTheme="majorBidi" w:hAnsiTheme="majorBidi" w:cstheme="majorBidi"/>
          <w:sz w:val="18"/>
          <w:szCs w:val="18"/>
        </w:rPr>
        <w:t>once during</w:t>
      </w:r>
      <w:r w:rsidRPr="0045251A">
        <w:rPr>
          <w:rFonts w:asciiTheme="majorBidi" w:hAnsiTheme="majorBidi" w:cstheme="majorBidi"/>
          <w:sz w:val="18"/>
          <w:szCs w:val="18"/>
        </w:rPr>
        <w:t xml:space="preserve"> data collection period.</w:t>
      </w:r>
    </w:p>
    <w:p w:rsidR="007D0368" w:rsidP="007D0368" w14:paraId="1C95A3AC" w14:textId="5A12ED58">
      <w:pPr>
        <w:spacing w:after="0"/>
        <w:rPr>
          <w:rFonts w:ascii="Times New Roman" w:hAnsi="Times New Roman"/>
          <w:color w:val="000000" w:themeColor="text1"/>
          <w:sz w:val="18"/>
          <w:szCs w:val="18"/>
        </w:rPr>
      </w:pPr>
      <w:r>
        <w:rPr>
          <w:rFonts w:asciiTheme="majorBidi" w:hAnsiTheme="majorBidi" w:cstheme="majorBidi"/>
          <w:sz w:val="18"/>
          <w:szCs w:val="18"/>
        </w:rPr>
        <w:t>n</w:t>
      </w:r>
      <w:r>
        <w:rPr>
          <w:rFonts w:ascii="Times New Roman" w:hAnsi="Times New Roman"/>
          <w:sz w:val="18"/>
          <w:szCs w:val="18"/>
        </w:rPr>
        <w:t xml:space="preserve">. </w:t>
      </w:r>
      <w:r w:rsidRPr="00F36D80">
        <w:rPr>
          <w:rFonts w:ascii="Times New Roman" w:hAnsi="Times New Roman"/>
          <w:sz w:val="18"/>
          <w:szCs w:val="18"/>
        </w:rPr>
        <w:t xml:space="preserve">The mean hourly wage for </w:t>
      </w:r>
      <w:r>
        <w:rPr>
          <w:rFonts w:ascii="Times New Roman" w:hAnsi="Times New Roman"/>
          <w:sz w:val="18"/>
          <w:szCs w:val="18"/>
        </w:rPr>
        <w:t>parents/guardians of ETM youth</w:t>
      </w:r>
      <w:r w:rsidRPr="00F36D80">
        <w:rPr>
          <w:rFonts w:ascii="Times New Roman" w:hAnsi="Times New Roman"/>
          <w:sz w:val="18"/>
          <w:szCs w:val="18"/>
        </w:rPr>
        <w:t xml:space="preserve"> was calculated based on information from the Bureau of Labor Statistics; May 202</w:t>
      </w:r>
      <w:r>
        <w:rPr>
          <w:rFonts w:ascii="Times New Roman" w:hAnsi="Times New Roman"/>
          <w:sz w:val="18"/>
          <w:szCs w:val="18"/>
        </w:rPr>
        <w:t>4</w:t>
      </w:r>
      <w:r w:rsidRPr="00F36D80">
        <w:rPr>
          <w:rFonts w:ascii="Times New Roman" w:hAnsi="Times New Roman"/>
          <w:sz w:val="18"/>
          <w:szCs w:val="18"/>
        </w:rPr>
        <w:t xml:space="preserve"> National Industry-Specific Occupational Employment and Wage Estimates found at </w:t>
      </w:r>
      <w:hyperlink r:id="rId11" w:anchor="/industry/000000" w:history="1">
        <w:r w:rsidRPr="00F36D80">
          <w:rPr>
            <w:rStyle w:val="Hyperlink"/>
            <w:rFonts w:ascii="Times New Roman" w:hAnsi="Times New Roman"/>
            <w:sz w:val="18"/>
            <w:szCs w:val="18"/>
          </w:rPr>
          <w:t>Occupational Employment and Wage Statistics</w:t>
        </w:r>
      </w:hyperlink>
      <w:r>
        <w:rPr>
          <w:rFonts w:ascii="Times New Roman" w:hAnsi="Times New Roman"/>
          <w:color w:val="000000" w:themeColor="text1"/>
          <w:sz w:val="18"/>
          <w:szCs w:val="18"/>
        </w:rPr>
        <w:t xml:space="preserve"> all occupations (SOC code-00-0000) $32.66.</w:t>
      </w:r>
    </w:p>
    <w:p w:rsidR="00510548" w:rsidP="007D0368" w14:paraId="4D249CCE" w14:textId="42EA7A3C">
      <w:pPr>
        <w:spacing w:after="0"/>
        <w:rPr>
          <w:rFonts w:asciiTheme="majorBidi" w:hAnsiTheme="majorBidi" w:cstheme="majorBidi"/>
          <w:sz w:val="18"/>
          <w:szCs w:val="18"/>
        </w:rPr>
      </w:pPr>
      <w:r>
        <w:rPr>
          <w:rFonts w:ascii="Times New Roman" w:hAnsi="Times New Roman"/>
          <w:color w:val="000000" w:themeColor="text1"/>
          <w:sz w:val="18"/>
          <w:szCs w:val="18"/>
        </w:rPr>
        <w:t>o</w:t>
      </w:r>
      <w:r w:rsidRPr="008D0729">
        <w:rPr>
          <w:rFonts w:asciiTheme="majorBidi" w:hAnsiTheme="majorBidi" w:cstheme="majorBidi"/>
          <w:sz w:val="18"/>
          <w:szCs w:val="18"/>
        </w:rPr>
        <w:t xml:space="preserve">. Assumes interviews with </w:t>
      </w:r>
      <w:r>
        <w:rPr>
          <w:rFonts w:asciiTheme="majorBidi" w:hAnsiTheme="majorBidi" w:cstheme="majorBidi"/>
          <w:sz w:val="18"/>
          <w:szCs w:val="18"/>
        </w:rPr>
        <w:t>20</w:t>
      </w:r>
      <w:r w:rsidRPr="008D0729">
        <w:rPr>
          <w:rFonts w:asciiTheme="majorBidi" w:hAnsiTheme="majorBidi" w:cstheme="majorBidi"/>
          <w:sz w:val="18"/>
          <w:szCs w:val="18"/>
        </w:rPr>
        <w:t xml:space="preserve"> employers across four grantees, </w:t>
      </w:r>
      <w:r>
        <w:rPr>
          <w:rFonts w:asciiTheme="majorBidi" w:hAnsiTheme="majorBidi" w:cstheme="majorBidi"/>
          <w:sz w:val="18"/>
          <w:szCs w:val="18"/>
        </w:rPr>
        <w:t>once</w:t>
      </w:r>
      <w:r w:rsidRPr="008D0729">
        <w:rPr>
          <w:rFonts w:asciiTheme="majorBidi" w:hAnsiTheme="majorBidi" w:cstheme="majorBidi"/>
          <w:sz w:val="18"/>
          <w:szCs w:val="18"/>
        </w:rPr>
        <w:t xml:space="preserve"> during data collection period</w:t>
      </w:r>
      <w:r>
        <w:rPr>
          <w:rFonts w:asciiTheme="majorBidi" w:hAnsiTheme="majorBidi" w:cstheme="majorBidi"/>
          <w:sz w:val="18"/>
          <w:szCs w:val="18"/>
        </w:rPr>
        <w:t>.</w:t>
      </w:r>
    </w:p>
    <w:p w:rsidR="007D0368" w:rsidP="007D0368" w14:paraId="33E999E3" w14:textId="52B0DF9D">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rPr>
      </w:pPr>
      <w:r>
        <w:rPr>
          <w:rFonts w:asciiTheme="majorBidi" w:hAnsiTheme="majorBidi" w:cstheme="majorBidi"/>
          <w:sz w:val="18"/>
          <w:szCs w:val="18"/>
        </w:rPr>
        <w:t>p</w:t>
      </w:r>
      <w:r>
        <w:rPr>
          <w:rFonts w:ascii="Times New Roman" w:hAnsi="Times New Roman"/>
          <w:sz w:val="18"/>
          <w:szCs w:val="18"/>
        </w:rPr>
        <w:t xml:space="preserve">. </w:t>
      </w:r>
      <w:r w:rsidRPr="00F36D80">
        <w:rPr>
          <w:rFonts w:ascii="Times New Roman" w:hAnsi="Times New Roman"/>
          <w:sz w:val="18"/>
          <w:szCs w:val="18"/>
        </w:rPr>
        <w:t xml:space="preserve">The mean hourly wage for </w:t>
      </w:r>
      <w:r>
        <w:rPr>
          <w:rFonts w:ascii="Times New Roman" w:hAnsi="Times New Roman"/>
          <w:sz w:val="18"/>
          <w:szCs w:val="18"/>
        </w:rPr>
        <w:t>employer partners</w:t>
      </w:r>
      <w:r w:rsidRPr="00F36D80">
        <w:rPr>
          <w:rFonts w:ascii="Times New Roman" w:hAnsi="Times New Roman"/>
          <w:sz w:val="18"/>
          <w:szCs w:val="18"/>
        </w:rPr>
        <w:t xml:space="preserve"> was calculated based on information from the Bureau of Labor Statistics; May 202</w:t>
      </w:r>
      <w:r>
        <w:rPr>
          <w:rFonts w:ascii="Times New Roman" w:hAnsi="Times New Roman"/>
          <w:sz w:val="18"/>
          <w:szCs w:val="18"/>
        </w:rPr>
        <w:t>4</w:t>
      </w:r>
      <w:r w:rsidRPr="00F36D80">
        <w:rPr>
          <w:rFonts w:ascii="Times New Roman" w:hAnsi="Times New Roman"/>
          <w:sz w:val="18"/>
          <w:szCs w:val="18"/>
        </w:rPr>
        <w:t xml:space="preserve"> National Industry-Specific Occupational Employment and Wage Estimates found at</w:t>
      </w:r>
      <w:r>
        <w:rPr>
          <w:rFonts w:ascii="Times New Roman" w:hAnsi="Times New Roman"/>
          <w:sz w:val="18"/>
          <w:szCs w:val="18"/>
        </w:rPr>
        <w:t xml:space="preserve"> </w:t>
      </w:r>
      <w:hyperlink r:id="rId11" w:anchor="/industry/000000" w:history="1">
        <w:r w:rsidRPr="00F36D80">
          <w:rPr>
            <w:rStyle w:val="Hyperlink"/>
            <w:rFonts w:ascii="Times New Roman" w:hAnsi="Times New Roman"/>
            <w:sz w:val="18"/>
            <w:szCs w:val="18"/>
          </w:rPr>
          <w:t>Occupational Employment and Wage Statistics</w:t>
        </w:r>
      </w:hyperlink>
      <w:r>
        <w:rPr>
          <w:rFonts w:ascii="Tahoma" w:hAnsi="Tahoma" w:cs="Tahoma"/>
          <w:b/>
          <w:bCs/>
          <w:color w:val="333333"/>
          <w:sz w:val="21"/>
          <w:szCs w:val="21"/>
          <w:shd w:val="clear" w:color="auto" w:fill="EEEEEE"/>
        </w:rPr>
        <w:t xml:space="preserve"> </w:t>
      </w:r>
      <w:r w:rsidRPr="00EC004C">
        <w:rPr>
          <w:rFonts w:ascii="Times New Roman" w:hAnsi="Times New Roman"/>
          <w:sz w:val="18"/>
          <w:szCs w:val="18"/>
        </w:rPr>
        <w:t xml:space="preserve">Human Resources Managers (11-3121) </w:t>
      </w:r>
      <w:r>
        <w:rPr>
          <w:rFonts w:ascii="Times New Roman" w:hAnsi="Times New Roman"/>
          <w:sz w:val="18"/>
          <w:szCs w:val="18"/>
        </w:rPr>
        <w:t>$</w:t>
      </w:r>
      <w:r w:rsidRPr="00EC004C">
        <w:rPr>
          <w:rFonts w:ascii="Times New Roman" w:hAnsi="Times New Roman"/>
          <w:sz w:val="18"/>
          <w:szCs w:val="18"/>
        </w:rPr>
        <w:t>77.15</w:t>
      </w:r>
      <w:r w:rsidR="00297471">
        <w:rPr>
          <w:rFonts w:ascii="Times New Roman" w:hAnsi="Times New Roman"/>
          <w:sz w:val="18"/>
          <w:szCs w:val="18"/>
        </w:rPr>
        <w:t>.</w:t>
      </w:r>
    </w:p>
    <w:p w:rsidR="00510548" w:rsidP="00F633D0" w14:paraId="10A06401" w14:textId="35736239">
      <w:pPr>
        <w:spacing w:after="0"/>
        <w:rPr>
          <w:rFonts w:asciiTheme="majorBidi" w:hAnsiTheme="majorBidi" w:cstheme="majorBidi"/>
          <w:sz w:val="18"/>
          <w:szCs w:val="18"/>
        </w:rPr>
      </w:pPr>
      <w:r>
        <w:rPr>
          <w:rFonts w:asciiTheme="majorBidi" w:hAnsiTheme="majorBidi" w:cstheme="majorBidi"/>
          <w:sz w:val="18"/>
          <w:szCs w:val="18"/>
        </w:rPr>
        <w:t>q</w:t>
      </w:r>
      <w:r w:rsidRPr="008D0729">
        <w:rPr>
          <w:rFonts w:asciiTheme="majorBidi" w:hAnsiTheme="majorBidi" w:cstheme="majorBidi"/>
          <w:sz w:val="18"/>
          <w:szCs w:val="18"/>
        </w:rPr>
        <w:t>.</w:t>
      </w:r>
      <w:r>
        <w:rPr>
          <w:rFonts w:asciiTheme="majorBidi" w:hAnsiTheme="majorBidi" w:cstheme="majorBidi"/>
          <w:sz w:val="18"/>
          <w:szCs w:val="18"/>
        </w:rPr>
        <w:t xml:space="preserve"> </w:t>
      </w:r>
      <w:r w:rsidRPr="008D0729">
        <w:rPr>
          <w:rFonts w:asciiTheme="majorBidi" w:hAnsiTheme="majorBidi" w:cstheme="majorBidi"/>
          <w:sz w:val="18"/>
          <w:szCs w:val="18"/>
        </w:rPr>
        <w:t>Assumes satisfaction questions will be asked annually, and 80 percent of youth will respond. Additionally assumes that a two-year average period of youth participation in ETM, resulting in up to two responses from two thirds of youth and at most one response from one third youth during the three-year period covered by PRA clearance.</w:t>
      </w:r>
    </w:p>
    <w:p w:rsidR="00510548" w:rsidP="00D92109" w14:paraId="742933AE" w14:textId="79A128E0">
      <w:pPr>
        <w:spacing w:after="0"/>
        <w:rPr>
          <w:rFonts w:asciiTheme="majorBidi" w:hAnsiTheme="majorBidi" w:cstheme="majorBidi"/>
          <w:sz w:val="18"/>
          <w:szCs w:val="18"/>
        </w:rPr>
      </w:pPr>
      <w:r>
        <w:rPr>
          <w:rFonts w:asciiTheme="majorBidi" w:hAnsiTheme="majorBidi" w:cstheme="majorBidi"/>
          <w:sz w:val="18"/>
          <w:szCs w:val="18"/>
        </w:rPr>
        <w:t>r</w:t>
      </w:r>
      <w:r w:rsidRPr="008D0729">
        <w:rPr>
          <w:rFonts w:asciiTheme="majorBidi" w:hAnsiTheme="majorBidi" w:cstheme="majorBidi"/>
          <w:sz w:val="18"/>
          <w:szCs w:val="18"/>
        </w:rPr>
        <w:t>. Assumes satisfaction questions will be asked annually, and 80 percent of families will respond. Additionally assumes that a two-year average period of youth participation in ETM, resulting in up to two responses from two thirds of families and at most one response from one third families during the three-year period covered by PRA clearance.</w:t>
      </w:r>
    </w:p>
    <w:p w:rsidR="00510548" w:rsidP="00D92109" w14:paraId="6BB098B0" w14:textId="54960243">
      <w:pPr>
        <w:spacing w:after="0"/>
        <w:rPr>
          <w:rFonts w:asciiTheme="majorBidi" w:hAnsiTheme="majorBidi" w:cstheme="majorBidi"/>
          <w:color w:val="000000"/>
          <w:sz w:val="18"/>
          <w:szCs w:val="18"/>
        </w:rPr>
      </w:pPr>
      <w:r>
        <w:rPr>
          <w:rFonts w:asciiTheme="majorBidi" w:hAnsiTheme="majorBidi" w:cstheme="majorBidi"/>
          <w:sz w:val="18"/>
          <w:szCs w:val="18"/>
        </w:rPr>
        <w:t>s</w:t>
      </w:r>
      <w:r w:rsidRPr="008757EE">
        <w:rPr>
          <w:rFonts w:asciiTheme="majorBidi" w:hAnsiTheme="majorBidi" w:cstheme="majorBidi"/>
          <w:color w:val="000000"/>
          <w:sz w:val="18"/>
          <w:szCs w:val="18"/>
        </w:rPr>
        <w:t xml:space="preserve">. </w:t>
      </w:r>
      <w:r w:rsidRPr="007F0E2E">
        <w:rPr>
          <w:rFonts w:asciiTheme="majorBidi" w:hAnsiTheme="majorBidi" w:cstheme="majorBidi"/>
          <w:color w:val="000000"/>
          <w:sz w:val="18"/>
          <w:szCs w:val="18"/>
        </w:rPr>
        <w:t>Assumes satisfaction questions will be asked annually, and 80 percent of employers will respond. Additionally assumes an average of 8 employer partners across 4 sites (32 employers)</w:t>
      </w:r>
      <w:r>
        <w:rPr>
          <w:rFonts w:asciiTheme="majorBidi" w:hAnsiTheme="majorBidi" w:cstheme="majorBidi"/>
          <w:color w:val="000000"/>
          <w:sz w:val="18"/>
          <w:szCs w:val="18"/>
        </w:rPr>
        <w:t xml:space="preserve"> responding to </w:t>
      </w:r>
      <w:r w:rsidR="00003A7C">
        <w:rPr>
          <w:rFonts w:asciiTheme="majorBidi" w:hAnsiTheme="majorBidi" w:cstheme="majorBidi"/>
          <w:color w:val="000000"/>
          <w:sz w:val="18"/>
          <w:szCs w:val="18"/>
        </w:rPr>
        <w:t xml:space="preserve">annual </w:t>
      </w:r>
      <w:r>
        <w:rPr>
          <w:rFonts w:asciiTheme="majorBidi" w:hAnsiTheme="majorBidi" w:cstheme="majorBidi"/>
          <w:color w:val="000000"/>
          <w:sz w:val="18"/>
          <w:szCs w:val="18"/>
        </w:rPr>
        <w:t>surveys</w:t>
      </w:r>
      <w:r w:rsidRPr="007F0E2E">
        <w:rPr>
          <w:rFonts w:asciiTheme="majorBidi" w:hAnsiTheme="majorBidi" w:cstheme="majorBidi"/>
          <w:color w:val="000000"/>
          <w:sz w:val="18"/>
          <w:szCs w:val="18"/>
        </w:rPr>
        <w:t>, all of which will remain throughout the three-year-period covered by the PRA clearance</w:t>
      </w:r>
      <w:r>
        <w:rPr>
          <w:rFonts w:asciiTheme="majorBidi" w:hAnsiTheme="majorBidi" w:cstheme="majorBidi"/>
          <w:color w:val="000000"/>
          <w:sz w:val="18"/>
          <w:szCs w:val="18"/>
        </w:rPr>
        <w:t>.</w:t>
      </w:r>
    </w:p>
    <w:p w:rsidR="00510548" w:rsidP="00D92109" w14:paraId="70DE8927" w14:textId="19E1A2E7">
      <w:pPr>
        <w:spacing w:after="0"/>
        <w:rPr>
          <w:rFonts w:asciiTheme="majorBidi" w:hAnsiTheme="majorBidi" w:cstheme="majorBidi"/>
          <w:color w:val="000000"/>
          <w:sz w:val="18"/>
          <w:szCs w:val="18"/>
        </w:rPr>
      </w:pPr>
      <w:r>
        <w:rPr>
          <w:rFonts w:asciiTheme="majorBidi" w:hAnsiTheme="majorBidi" w:cstheme="majorBidi"/>
          <w:color w:val="000000"/>
          <w:sz w:val="18"/>
          <w:szCs w:val="18"/>
        </w:rPr>
        <w:t xml:space="preserve">t. </w:t>
      </w:r>
      <w:r w:rsidRPr="008C0064">
        <w:rPr>
          <w:rFonts w:asciiTheme="majorBidi" w:hAnsiTheme="majorBidi" w:cstheme="majorBidi"/>
          <w:color w:val="000000"/>
          <w:sz w:val="18"/>
          <w:szCs w:val="18"/>
        </w:rPr>
        <w:t xml:space="preserve">Assumes satisfaction questions will be asked </w:t>
      </w:r>
      <w:r w:rsidR="00C67E2F">
        <w:rPr>
          <w:rFonts w:asciiTheme="majorBidi" w:hAnsiTheme="majorBidi" w:cstheme="majorBidi"/>
          <w:color w:val="000000"/>
          <w:sz w:val="18"/>
          <w:szCs w:val="18"/>
        </w:rPr>
        <w:t>annually</w:t>
      </w:r>
      <w:r w:rsidRPr="008C0064">
        <w:rPr>
          <w:rFonts w:asciiTheme="majorBidi" w:hAnsiTheme="majorBidi" w:cstheme="majorBidi"/>
          <w:color w:val="000000"/>
          <w:sz w:val="18"/>
          <w:szCs w:val="18"/>
        </w:rPr>
        <w:t>, and 80 percent of project partners will respond</w:t>
      </w:r>
      <w:r>
        <w:rPr>
          <w:rFonts w:asciiTheme="majorBidi" w:hAnsiTheme="majorBidi" w:cstheme="majorBidi"/>
          <w:color w:val="000000"/>
          <w:sz w:val="18"/>
          <w:szCs w:val="18"/>
        </w:rPr>
        <w:t>.</w:t>
      </w:r>
      <w:r w:rsidRPr="008C0064">
        <w:rPr>
          <w:rFonts w:asciiTheme="majorBidi" w:hAnsiTheme="majorBidi" w:cstheme="majorBidi"/>
          <w:color w:val="000000"/>
          <w:sz w:val="18"/>
          <w:szCs w:val="18"/>
        </w:rPr>
        <w:t xml:space="preserve"> Additionally assumes </w:t>
      </w:r>
      <w:r>
        <w:rPr>
          <w:rFonts w:asciiTheme="majorBidi" w:hAnsiTheme="majorBidi" w:cstheme="majorBidi"/>
          <w:color w:val="000000"/>
          <w:sz w:val="18"/>
          <w:szCs w:val="18"/>
        </w:rPr>
        <w:t xml:space="preserve">an average of 10 employer partners across 4 sites, (40 partners), and that </w:t>
      </w:r>
      <w:r w:rsidRPr="008C0064">
        <w:rPr>
          <w:rFonts w:asciiTheme="majorBidi" w:hAnsiTheme="majorBidi" w:cstheme="majorBidi"/>
          <w:color w:val="000000"/>
          <w:sz w:val="18"/>
          <w:szCs w:val="18"/>
        </w:rPr>
        <w:t>all initial project partners</w:t>
      </w:r>
      <w:r>
        <w:rPr>
          <w:rFonts w:asciiTheme="majorBidi" w:hAnsiTheme="majorBidi" w:cstheme="majorBidi"/>
          <w:color w:val="000000"/>
          <w:sz w:val="18"/>
          <w:szCs w:val="18"/>
        </w:rPr>
        <w:t xml:space="preserve"> </w:t>
      </w:r>
      <w:r w:rsidRPr="008C0064">
        <w:rPr>
          <w:rFonts w:asciiTheme="majorBidi" w:hAnsiTheme="majorBidi" w:cstheme="majorBidi"/>
          <w:color w:val="000000"/>
          <w:sz w:val="18"/>
          <w:szCs w:val="18"/>
        </w:rPr>
        <w:t xml:space="preserve">will remain </w:t>
      </w:r>
      <w:r>
        <w:rPr>
          <w:rFonts w:asciiTheme="majorBidi" w:hAnsiTheme="majorBidi" w:cstheme="majorBidi"/>
          <w:color w:val="000000"/>
          <w:sz w:val="18"/>
          <w:szCs w:val="18"/>
        </w:rPr>
        <w:t xml:space="preserve">on the project </w:t>
      </w:r>
      <w:r w:rsidRPr="008C0064">
        <w:rPr>
          <w:rFonts w:asciiTheme="majorBidi" w:hAnsiTheme="majorBidi" w:cstheme="majorBidi"/>
          <w:color w:val="000000"/>
          <w:sz w:val="18"/>
          <w:szCs w:val="18"/>
        </w:rPr>
        <w:t xml:space="preserve">during the three-year period covered by PRA clearance. </w:t>
      </w:r>
      <w:r>
        <w:rPr>
          <w:rFonts w:asciiTheme="majorBidi" w:hAnsiTheme="majorBidi" w:cstheme="majorBidi"/>
          <w:color w:val="000000"/>
          <w:sz w:val="18"/>
          <w:szCs w:val="18"/>
        </w:rPr>
        <w:t xml:space="preserve"> Project partners include, but are not limited to: </w:t>
      </w:r>
      <w:r w:rsidRPr="00DE1415">
        <w:rPr>
          <w:rFonts w:asciiTheme="majorBidi" w:hAnsiTheme="majorBidi" w:cstheme="majorBidi"/>
          <w:color w:val="000000"/>
          <w:sz w:val="18"/>
          <w:szCs w:val="18"/>
        </w:rPr>
        <w:t>Youth agencies and service providers;</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Disability agencies and service providers;</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Local health and mental health agencies and providers;</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Parent organizations and service providers;</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K-12 local education agenc</w:t>
      </w:r>
      <w:r>
        <w:rPr>
          <w:rFonts w:asciiTheme="majorBidi" w:hAnsiTheme="majorBidi" w:cstheme="majorBidi"/>
          <w:color w:val="000000"/>
          <w:sz w:val="18"/>
          <w:szCs w:val="18"/>
        </w:rPr>
        <w:t xml:space="preserve">ies; </w:t>
      </w:r>
      <w:r w:rsidRPr="00DE1415">
        <w:rPr>
          <w:rFonts w:asciiTheme="majorBidi" w:hAnsiTheme="majorBidi" w:cstheme="majorBidi"/>
          <w:color w:val="000000"/>
          <w:sz w:val="18"/>
          <w:szCs w:val="18"/>
        </w:rPr>
        <w:t>American Job Centers (sometimes known as One-Stop Career Centers);</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One or more community college(s), technical institution(s), four-year colleges/universities, or other education partners that can provide education and training activities; and</w:t>
      </w:r>
      <w:r>
        <w:rPr>
          <w:rFonts w:asciiTheme="majorBidi" w:hAnsiTheme="majorBidi" w:cstheme="majorBidi"/>
          <w:color w:val="000000"/>
          <w:sz w:val="18"/>
          <w:szCs w:val="18"/>
        </w:rPr>
        <w:t xml:space="preserve"> </w:t>
      </w:r>
      <w:r w:rsidRPr="00DE1415">
        <w:rPr>
          <w:rFonts w:asciiTheme="majorBidi" w:hAnsiTheme="majorBidi" w:cstheme="majorBidi"/>
          <w:color w:val="000000"/>
          <w:sz w:val="18"/>
          <w:szCs w:val="18"/>
        </w:rPr>
        <w:t>One or more business or industry partners (such as business membership associations or Chambers of Commerce) that will participate in defining the program strategies and goals and be actively involved in participating in funded project activities</w:t>
      </w:r>
      <w:r>
        <w:rPr>
          <w:rFonts w:asciiTheme="majorBidi" w:hAnsiTheme="majorBidi" w:cstheme="majorBidi"/>
          <w:color w:val="000000"/>
          <w:sz w:val="18"/>
          <w:szCs w:val="18"/>
        </w:rPr>
        <w:t>.</w:t>
      </w:r>
    </w:p>
    <w:p w:rsidR="00510548" w:rsidP="005837CD" w14:paraId="244088B1" w14:textId="3323E839">
      <w:pPr>
        <w:spacing w:after="0" w:line="240" w:lineRule="auto"/>
        <w:contextualSpacing/>
        <w:rPr>
          <w:rFonts w:asciiTheme="majorBidi" w:hAnsiTheme="majorBidi" w:cstheme="majorBidi"/>
          <w:color w:val="000000"/>
          <w:sz w:val="18"/>
          <w:szCs w:val="18"/>
        </w:rPr>
      </w:pPr>
      <w:r>
        <w:rPr>
          <w:rFonts w:asciiTheme="majorBidi" w:hAnsiTheme="majorBidi" w:cstheme="majorBidi"/>
          <w:color w:val="000000"/>
          <w:sz w:val="18"/>
          <w:szCs w:val="18"/>
        </w:rPr>
        <w:t xml:space="preserve">u. </w:t>
      </w:r>
      <w:r w:rsidRPr="008757EE">
        <w:rPr>
          <w:rFonts w:asciiTheme="majorBidi" w:hAnsiTheme="majorBidi" w:cstheme="majorBidi"/>
          <w:color w:val="000000"/>
          <w:sz w:val="18"/>
          <w:szCs w:val="18"/>
        </w:rPr>
        <w:t xml:space="preserve">Assumes employment </w:t>
      </w:r>
      <w:r>
        <w:rPr>
          <w:rFonts w:asciiTheme="majorBidi" w:hAnsiTheme="majorBidi" w:cstheme="majorBidi"/>
          <w:color w:val="000000"/>
          <w:sz w:val="18"/>
          <w:szCs w:val="18"/>
        </w:rPr>
        <w:t xml:space="preserve">and education </w:t>
      </w:r>
      <w:r w:rsidRPr="008757EE">
        <w:rPr>
          <w:rFonts w:asciiTheme="majorBidi" w:hAnsiTheme="majorBidi" w:cstheme="majorBidi"/>
          <w:color w:val="000000"/>
          <w:sz w:val="18"/>
          <w:szCs w:val="18"/>
        </w:rPr>
        <w:t xml:space="preserve">information will be collected during the year after youth exit from services, 33 percent of ETM </w:t>
      </w:r>
      <w:r>
        <w:rPr>
          <w:rFonts w:asciiTheme="majorBidi" w:hAnsiTheme="majorBidi" w:cstheme="majorBidi"/>
          <w:color w:val="000000"/>
          <w:sz w:val="18"/>
          <w:szCs w:val="18"/>
        </w:rPr>
        <w:t xml:space="preserve">youth </w:t>
      </w:r>
      <w:r w:rsidRPr="008757EE">
        <w:rPr>
          <w:rFonts w:asciiTheme="majorBidi" w:hAnsiTheme="majorBidi" w:cstheme="majorBidi"/>
          <w:color w:val="000000"/>
          <w:sz w:val="18"/>
          <w:szCs w:val="18"/>
        </w:rPr>
        <w:t>will reach the end of the first post-service year during the three-year period covered by PRA clearance, and 80 percent of youth will respond to requests for information.</w:t>
      </w:r>
    </w:p>
    <w:p w:rsidR="00510548" w:rsidP="00443199" w14:paraId="5AC8BAF3" w14:textId="517AFBED">
      <w:pPr>
        <w:spacing w:after="0" w:line="240" w:lineRule="auto"/>
        <w:contextualSpacing/>
        <w:rPr>
          <w:rFonts w:asciiTheme="majorBidi" w:hAnsiTheme="majorBidi" w:cstheme="majorBidi"/>
          <w:sz w:val="18"/>
          <w:szCs w:val="18"/>
        </w:rPr>
      </w:pPr>
      <w:r>
        <w:rPr>
          <w:rFonts w:asciiTheme="majorBidi" w:hAnsiTheme="majorBidi" w:cstheme="majorBidi"/>
          <w:color w:val="000000"/>
          <w:sz w:val="18"/>
          <w:szCs w:val="18"/>
        </w:rPr>
        <w:t>v</w:t>
      </w:r>
      <w:r w:rsidRPr="008D0729">
        <w:rPr>
          <w:rFonts w:asciiTheme="majorBidi" w:hAnsiTheme="majorBidi" w:cstheme="majorBidi"/>
          <w:sz w:val="18"/>
          <w:szCs w:val="18"/>
        </w:rPr>
        <w:t xml:space="preserve">. Assumes that ETM and AJC staff will obtain and record information on employment </w:t>
      </w:r>
      <w:r>
        <w:rPr>
          <w:rFonts w:asciiTheme="majorBidi" w:hAnsiTheme="majorBidi" w:cstheme="majorBidi"/>
          <w:sz w:val="18"/>
          <w:szCs w:val="18"/>
        </w:rPr>
        <w:t xml:space="preserve">and education </w:t>
      </w:r>
      <w:r w:rsidRPr="008D0729">
        <w:rPr>
          <w:rFonts w:asciiTheme="majorBidi" w:hAnsiTheme="majorBidi" w:cstheme="majorBidi"/>
          <w:sz w:val="18"/>
          <w:szCs w:val="18"/>
        </w:rPr>
        <w:t xml:space="preserve">for an approximately equal number </w:t>
      </w:r>
      <w:r>
        <w:rPr>
          <w:rFonts w:asciiTheme="majorBidi" w:hAnsiTheme="majorBidi" w:cstheme="majorBidi"/>
          <w:sz w:val="18"/>
          <w:szCs w:val="18"/>
        </w:rPr>
        <w:t xml:space="preserve">of </w:t>
      </w:r>
      <w:r w:rsidRPr="008D0729">
        <w:rPr>
          <w:rFonts w:asciiTheme="majorBidi" w:hAnsiTheme="majorBidi" w:cstheme="majorBidi"/>
          <w:sz w:val="18"/>
          <w:szCs w:val="18"/>
        </w:rPr>
        <w:t xml:space="preserve">youth during the year after youth exit from services, 33 percent of </w:t>
      </w:r>
      <w:r>
        <w:rPr>
          <w:rFonts w:asciiTheme="majorBidi" w:hAnsiTheme="majorBidi" w:cstheme="majorBidi"/>
          <w:sz w:val="18"/>
          <w:szCs w:val="18"/>
        </w:rPr>
        <w:t>ETM youth</w:t>
      </w:r>
      <w:r w:rsidRPr="008D0729">
        <w:rPr>
          <w:rFonts w:asciiTheme="majorBidi" w:hAnsiTheme="majorBidi" w:cstheme="majorBidi"/>
          <w:sz w:val="18"/>
          <w:szCs w:val="18"/>
        </w:rPr>
        <w:t xml:space="preserve"> will reach the end of the first post-service year during the three-year period covered by PRA clearance, 80 percent of these youth will respond to requests for information, and staff will obtain administrative data for 100 percent of the youth.</w:t>
      </w:r>
    </w:p>
    <w:p w:rsidR="00642429" w:rsidRPr="00642429" w:rsidP="00642429" w14:paraId="5A40659B" w14:textId="599AADEF">
      <w:pPr>
        <w:rPr>
          <w:rFonts w:asciiTheme="majorBidi" w:hAnsiTheme="majorBidi" w:cstheme="majorBidi"/>
          <w:b/>
          <w:bCs/>
          <w:sz w:val="24"/>
          <w:szCs w:val="24"/>
        </w:rPr>
      </w:pPr>
      <w:r>
        <w:rPr>
          <w:rFonts w:asciiTheme="majorBidi" w:hAnsiTheme="majorBidi" w:cstheme="majorBidi"/>
          <w:sz w:val="18"/>
          <w:szCs w:val="18"/>
        </w:rPr>
        <w:t>w</w:t>
      </w:r>
      <w:r w:rsidRPr="007A61E1" w:rsidR="00510548">
        <w:rPr>
          <w:rFonts w:asciiTheme="majorBidi" w:hAnsiTheme="majorBidi" w:cstheme="majorBidi"/>
          <w:color w:val="000000"/>
          <w:sz w:val="18"/>
          <w:szCs w:val="18"/>
        </w:rPr>
        <w:t>. The total annual number of respondents is a sum of the rows in the table above and does not adjust for potential overlap between respondent groups across rows.</w:t>
      </w:r>
      <w:r w:rsidR="006E3277">
        <w:rPr>
          <w:rFonts w:asciiTheme="majorBidi" w:hAnsiTheme="majorBidi" w:cstheme="majorBidi"/>
          <w:color w:val="000000"/>
          <w:sz w:val="18"/>
          <w:szCs w:val="18"/>
        </w:rPr>
        <w:t xml:space="preserve"> The estimated number of </w:t>
      </w:r>
      <w:r w:rsidR="008C32ED">
        <w:rPr>
          <w:rFonts w:asciiTheme="majorBidi" w:hAnsiTheme="majorBidi" w:cstheme="majorBidi"/>
          <w:color w:val="000000"/>
          <w:sz w:val="18"/>
          <w:szCs w:val="18"/>
        </w:rPr>
        <w:t>unique total respondents across the duration of the data collection period is 3,0</w:t>
      </w:r>
      <w:r w:rsidR="001A40D1">
        <w:rPr>
          <w:rFonts w:asciiTheme="majorBidi" w:hAnsiTheme="majorBidi" w:cstheme="majorBidi"/>
          <w:color w:val="000000"/>
          <w:sz w:val="18"/>
          <w:szCs w:val="18"/>
        </w:rPr>
        <w:t>5</w:t>
      </w:r>
      <w:r w:rsidR="008C32ED">
        <w:rPr>
          <w:rFonts w:asciiTheme="majorBidi" w:hAnsiTheme="majorBidi" w:cstheme="majorBidi"/>
          <w:color w:val="000000"/>
          <w:sz w:val="18"/>
          <w:szCs w:val="18"/>
        </w:rPr>
        <w:t>4</w:t>
      </w:r>
      <w:r w:rsidR="00167BAA">
        <w:rPr>
          <w:rFonts w:asciiTheme="majorBidi" w:hAnsiTheme="majorBidi" w:cstheme="majorBidi"/>
          <w:color w:val="000000"/>
          <w:sz w:val="18"/>
          <w:szCs w:val="18"/>
        </w:rPr>
        <w:t xml:space="preserve">, resulting from </w:t>
      </w:r>
      <w:r w:rsidR="00116B74">
        <w:rPr>
          <w:rFonts w:asciiTheme="majorBidi" w:hAnsiTheme="majorBidi" w:cstheme="majorBidi"/>
          <w:color w:val="000000"/>
          <w:sz w:val="18"/>
          <w:szCs w:val="18"/>
        </w:rPr>
        <w:t>2,</w:t>
      </w:r>
      <w:r w:rsidR="00B070DC">
        <w:rPr>
          <w:rFonts w:asciiTheme="majorBidi" w:hAnsiTheme="majorBidi" w:cstheme="majorBidi"/>
          <w:color w:val="000000"/>
          <w:sz w:val="18"/>
          <w:szCs w:val="18"/>
        </w:rPr>
        <w:t>692 youth</w:t>
      </w:r>
      <w:r w:rsidR="00DB7FA3">
        <w:rPr>
          <w:rFonts w:asciiTheme="majorBidi" w:hAnsiTheme="majorBidi" w:cstheme="majorBidi"/>
          <w:color w:val="000000"/>
          <w:sz w:val="18"/>
          <w:szCs w:val="18"/>
        </w:rPr>
        <w:t>,</w:t>
      </w:r>
      <w:r w:rsidR="00C076B7">
        <w:rPr>
          <w:rFonts w:asciiTheme="majorBidi" w:hAnsiTheme="majorBidi" w:cstheme="majorBidi"/>
          <w:color w:val="000000"/>
          <w:sz w:val="18"/>
          <w:szCs w:val="18"/>
        </w:rPr>
        <w:t xml:space="preserve"> 64 parents/guardians,</w:t>
      </w:r>
      <w:r w:rsidR="001127DC">
        <w:rPr>
          <w:rFonts w:asciiTheme="majorBidi" w:hAnsiTheme="majorBidi" w:cstheme="majorBidi"/>
          <w:color w:val="000000"/>
          <w:sz w:val="18"/>
          <w:szCs w:val="18"/>
        </w:rPr>
        <w:t xml:space="preserve"> 226 ETM staff, </w:t>
      </w:r>
      <w:r w:rsidR="00261BDB">
        <w:rPr>
          <w:rFonts w:asciiTheme="majorBidi" w:hAnsiTheme="majorBidi" w:cstheme="majorBidi"/>
          <w:color w:val="000000"/>
          <w:sz w:val="18"/>
          <w:szCs w:val="18"/>
        </w:rPr>
        <w:t xml:space="preserve">32 employers, and 40 </w:t>
      </w:r>
      <w:r w:rsidR="008D03EC">
        <w:rPr>
          <w:rFonts w:asciiTheme="majorBidi" w:hAnsiTheme="majorBidi" w:cstheme="majorBidi"/>
          <w:color w:val="000000"/>
          <w:sz w:val="18"/>
          <w:szCs w:val="18"/>
        </w:rPr>
        <w:t>ETM project partners</w:t>
      </w:r>
      <w:r w:rsidR="008C32ED">
        <w:rPr>
          <w:rFonts w:asciiTheme="majorBidi" w:hAnsiTheme="majorBidi" w:cstheme="majorBidi"/>
          <w:color w:val="000000"/>
          <w:sz w:val="18"/>
          <w:szCs w:val="18"/>
        </w:rPr>
        <w:t>.</w:t>
      </w:r>
    </w:p>
    <w:p w:rsidR="00642429" w:rsidRPr="00642429" w:rsidP="00642429" w14:paraId="7386E178" w14:textId="77777777">
      <w:pPr>
        <w:rPr>
          <w:rFonts w:asciiTheme="majorBidi" w:hAnsiTheme="majorBidi" w:cstheme="majorBidi"/>
          <w:b/>
          <w:bCs/>
          <w:sz w:val="24"/>
          <w:szCs w:val="24"/>
        </w:rPr>
      </w:pPr>
    </w:p>
    <w:p w:rsidR="00642429" w:rsidRPr="00642429" w:rsidP="00642429" w14:paraId="1884A398" w14:textId="6A006B14">
      <w:pPr>
        <w:rPr>
          <w:rFonts w:asciiTheme="majorBidi" w:hAnsiTheme="majorBidi" w:cstheme="majorBidi"/>
          <w:b/>
          <w:bCs/>
          <w:sz w:val="24"/>
          <w:szCs w:val="24"/>
        </w:rPr>
      </w:pPr>
      <w:bookmarkStart w:id="16" w:name="A13"/>
      <w:r>
        <w:rPr>
          <w:rFonts w:asciiTheme="majorBidi" w:hAnsiTheme="majorBidi" w:cstheme="majorBidi"/>
          <w:b/>
          <w:bCs/>
          <w:sz w:val="24"/>
          <w:szCs w:val="24"/>
        </w:rPr>
        <w:t>A.</w:t>
      </w:r>
      <w:r w:rsidRPr="00642429">
        <w:rPr>
          <w:rFonts w:asciiTheme="majorBidi" w:hAnsiTheme="majorBidi" w:cstheme="majorBidi"/>
          <w:b/>
          <w:bCs/>
          <w:sz w:val="24"/>
          <w:szCs w:val="24"/>
        </w:rPr>
        <w:t>13.</w:t>
      </w:r>
      <w:bookmarkEnd w:id="16"/>
      <w:r w:rsidRPr="00642429">
        <w:rPr>
          <w:rFonts w:asciiTheme="majorBidi" w:hAnsiTheme="majorBidi" w:cstheme="majorBidi"/>
          <w:b/>
          <w:bCs/>
          <w:sz w:val="24"/>
          <w:szCs w:val="24"/>
        </w:rPr>
        <w:t xml:space="preserve">  Provide an estimate of the total annual cost burden to respondents or recordkeepers resulting from the collection of information.  (Do not include the cost of any hour burden shown in Items 12 and 14).</w:t>
      </w:r>
    </w:p>
    <w:p w:rsidR="00312567" w:rsidRPr="00312567" w:rsidP="00312567" w14:paraId="797552C8" w14:textId="77777777">
      <w:pPr>
        <w:rPr>
          <w:rFonts w:asciiTheme="majorBidi" w:hAnsiTheme="majorBidi" w:cstheme="majorBidi"/>
          <w:sz w:val="24"/>
          <w:szCs w:val="24"/>
        </w:rPr>
      </w:pPr>
      <w:r w:rsidRPr="00312567">
        <w:rPr>
          <w:rFonts w:asciiTheme="majorBidi" w:hAnsiTheme="majorBidi" w:cstheme="majorBidi"/>
          <w:sz w:val="24"/>
          <w:szCs w:val="24"/>
        </w:rPr>
        <w:t xml:space="preserve">Grantees may incur limited one-time costs to modify existing Management Information Systems (MIS) to capture additional data elements required for this collection. Adding the non-PIRL - primarily binary or multichoice - elements to an existing system typically requires updates to database tables, data entry interfaces, validation rules, reporting functions, and system testing. Assuming vendor rates range from $250 to $350 per hour, vendor overhead of 15 percent, and </w:t>
      </w:r>
      <w:r w:rsidRPr="00312567">
        <w:rPr>
          <w:rFonts w:asciiTheme="majorBidi" w:hAnsiTheme="majorBidi" w:cstheme="majorBidi"/>
          <w:sz w:val="24"/>
          <w:szCs w:val="24"/>
        </w:rPr>
        <w:t>hours per field range from 1 to 4 hours, the estimated one-time modification costs range approximately from $18,000 to $72,000 per grantee, depending on existing system architecture and vendor arrangements.</w:t>
      </w:r>
    </w:p>
    <w:p w:rsidR="00312567" w:rsidRPr="00312567" w:rsidP="00312567" w14:paraId="24F5BF1D" w14:textId="3F77DCAC">
      <w:pPr>
        <w:rPr>
          <w:rFonts w:asciiTheme="majorBidi" w:hAnsiTheme="majorBidi" w:cstheme="majorBidi"/>
          <w:sz w:val="24"/>
          <w:szCs w:val="24"/>
        </w:rPr>
      </w:pPr>
      <w:r w:rsidRPr="00312567">
        <w:rPr>
          <w:rFonts w:asciiTheme="majorBidi" w:hAnsiTheme="majorBidi" w:cstheme="majorBidi"/>
          <w:sz w:val="24"/>
          <w:szCs w:val="24"/>
        </w:rPr>
        <w:t>Consistent with PRA guidance, these one-time costs are annualized over the three-year approval period, resulting in an estimated annual cost burden of approximately $</w:t>
      </w:r>
      <w:r w:rsidR="004F2EE7">
        <w:rPr>
          <w:rFonts w:asciiTheme="majorBidi" w:hAnsiTheme="majorBidi" w:cstheme="majorBidi"/>
          <w:sz w:val="24"/>
          <w:szCs w:val="24"/>
        </w:rPr>
        <w:t>15</w:t>
      </w:r>
      <w:r w:rsidRPr="00312567">
        <w:rPr>
          <w:rFonts w:asciiTheme="majorBidi" w:hAnsiTheme="majorBidi" w:cstheme="majorBidi"/>
          <w:sz w:val="24"/>
          <w:szCs w:val="24"/>
        </w:rPr>
        <w:t>,000 per grantee.</w:t>
      </w:r>
      <w:r w:rsidR="005A68FD">
        <w:rPr>
          <w:rFonts w:asciiTheme="majorBidi" w:hAnsiTheme="majorBidi" w:cstheme="majorBidi"/>
          <w:sz w:val="24"/>
          <w:szCs w:val="24"/>
        </w:rPr>
        <w:t xml:space="preserve"> These costs are </w:t>
      </w:r>
      <w:r w:rsidR="007F5B64">
        <w:rPr>
          <w:rFonts w:asciiTheme="majorBidi" w:hAnsiTheme="majorBidi" w:cstheme="majorBidi"/>
          <w:sz w:val="24"/>
          <w:szCs w:val="24"/>
        </w:rPr>
        <w:t>associated with and equally distri</w:t>
      </w:r>
      <w:r w:rsidR="00891FB3">
        <w:rPr>
          <w:rFonts w:asciiTheme="majorBidi" w:hAnsiTheme="majorBidi" w:cstheme="majorBidi"/>
          <w:sz w:val="24"/>
          <w:szCs w:val="24"/>
        </w:rPr>
        <w:t xml:space="preserve">buted with the </w:t>
      </w:r>
      <w:r w:rsidR="00445FCC">
        <w:rPr>
          <w:rFonts w:asciiTheme="majorBidi" w:hAnsiTheme="majorBidi" w:cstheme="majorBidi"/>
          <w:sz w:val="24"/>
          <w:szCs w:val="24"/>
        </w:rPr>
        <w:t>P</w:t>
      </w:r>
      <w:r w:rsidR="00891FB3">
        <w:rPr>
          <w:rFonts w:asciiTheme="majorBidi" w:hAnsiTheme="majorBidi" w:cstheme="majorBidi"/>
          <w:sz w:val="24"/>
          <w:szCs w:val="24"/>
        </w:rPr>
        <w:t xml:space="preserve">rogram </w:t>
      </w:r>
      <w:r w:rsidR="00445FCC">
        <w:rPr>
          <w:rFonts w:asciiTheme="majorBidi" w:hAnsiTheme="majorBidi" w:cstheme="majorBidi"/>
          <w:sz w:val="24"/>
          <w:szCs w:val="24"/>
        </w:rPr>
        <w:t xml:space="preserve">Data collection: </w:t>
      </w:r>
      <w:r w:rsidRPr="00C9435E" w:rsidR="00C9435E">
        <w:rPr>
          <w:rFonts w:asciiTheme="majorBidi" w:hAnsiTheme="majorBidi" w:cstheme="majorBidi"/>
          <w:sz w:val="24"/>
          <w:szCs w:val="24"/>
        </w:rPr>
        <w:t>Baseline Intake Data from ETM Youth; Youth Referral Information Completed by ETM and Partner Staff; and Service Receipt Data for ETM Youth</w:t>
      </w:r>
      <w:r w:rsidR="00C9435E">
        <w:rPr>
          <w:rFonts w:asciiTheme="majorBidi" w:hAnsiTheme="majorBidi" w:cstheme="majorBidi"/>
          <w:sz w:val="24"/>
          <w:szCs w:val="24"/>
        </w:rPr>
        <w:t>.</w:t>
      </w:r>
      <w:r w:rsidRPr="00312567">
        <w:rPr>
          <w:rFonts w:asciiTheme="majorBidi" w:hAnsiTheme="majorBidi" w:cstheme="majorBidi"/>
          <w:sz w:val="24"/>
          <w:szCs w:val="24"/>
        </w:rPr>
        <w:t xml:space="preserve"> No additional ongoing recordkeeping costs beyond normal program operations are anticipated.</w:t>
      </w:r>
    </w:p>
    <w:p w:rsidR="00312567" w:rsidP="00642429" w14:paraId="38ECC01A" w14:textId="77777777">
      <w:pPr>
        <w:rPr>
          <w:rFonts w:asciiTheme="majorBidi" w:hAnsiTheme="majorBidi" w:cstheme="majorBidi"/>
          <w:sz w:val="24"/>
          <w:szCs w:val="24"/>
        </w:rPr>
      </w:pPr>
    </w:p>
    <w:p w:rsidR="00642429" w:rsidP="00642429" w14:paraId="3B4BB250" w14:textId="5B54BAC7">
      <w:pPr>
        <w:rPr>
          <w:rFonts w:asciiTheme="majorBidi" w:hAnsiTheme="majorBidi" w:cstheme="majorBidi"/>
          <w:b/>
          <w:bCs/>
          <w:sz w:val="24"/>
          <w:szCs w:val="24"/>
        </w:rPr>
      </w:pPr>
      <w:bookmarkStart w:id="17" w:name="A14"/>
      <w:r>
        <w:rPr>
          <w:rFonts w:asciiTheme="majorBidi" w:hAnsiTheme="majorBidi" w:cstheme="majorBidi"/>
          <w:b/>
          <w:bCs/>
          <w:sz w:val="24"/>
          <w:szCs w:val="24"/>
        </w:rPr>
        <w:t>A.</w:t>
      </w:r>
      <w:r w:rsidRPr="00642429">
        <w:rPr>
          <w:rFonts w:asciiTheme="majorBidi" w:hAnsiTheme="majorBidi" w:cstheme="majorBidi"/>
          <w:b/>
          <w:bCs/>
          <w:sz w:val="24"/>
          <w:szCs w:val="24"/>
        </w:rPr>
        <w:t>14.</w:t>
      </w:r>
      <w:bookmarkEnd w:id="17"/>
      <w:r w:rsidRPr="00642429">
        <w:rPr>
          <w:rFonts w:asciiTheme="majorBidi" w:hAnsiTheme="majorBidi" w:cstheme="majorBidi"/>
          <w:b/>
          <w:bCs/>
          <w:sz w:val="24"/>
          <w:szCs w:val="24"/>
        </w:rPr>
        <w:t xml:space="preserve">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2B5BBD" w:rsidRPr="0014041C" w:rsidP="002B5BBD" w14:paraId="098D1DB3" w14:textId="3DB24B2A">
      <w:pPr>
        <w:pStyle w:val="NormalSS"/>
        <w:spacing w:after="0"/>
        <w:ind w:firstLine="0"/>
      </w:pPr>
      <w:r w:rsidRPr="005C45D4">
        <w:rPr>
          <w:szCs w:val="24"/>
        </w:rPr>
        <w:t xml:space="preserve">The total </w:t>
      </w:r>
      <w:r>
        <w:rPr>
          <w:szCs w:val="24"/>
        </w:rPr>
        <w:t xml:space="preserve">cost to the Federal government </w:t>
      </w:r>
      <w:bookmarkStart w:id="18" w:name="_Hlk150863002"/>
      <w:r>
        <w:rPr>
          <w:szCs w:val="24"/>
        </w:rPr>
        <w:t xml:space="preserve">over </w:t>
      </w:r>
      <w:r w:rsidR="0044508B">
        <w:rPr>
          <w:szCs w:val="24"/>
        </w:rPr>
        <w:t>five</w:t>
      </w:r>
      <w:r>
        <w:rPr>
          <w:szCs w:val="24"/>
        </w:rPr>
        <w:t xml:space="preserve"> years is $</w:t>
      </w:r>
      <w:bookmarkEnd w:id="18"/>
      <w:r w:rsidR="0044508B">
        <w:rPr>
          <w:szCs w:val="24"/>
        </w:rPr>
        <w:t>3,</w:t>
      </w:r>
      <w:r w:rsidR="00F8369E">
        <w:rPr>
          <w:szCs w:val="24"/>
        </w:rPr>
        <w:t>868</w:t>
      </w:r>
      <w:r w:rsidR="0044508B">
        <w:rPr>
          <w:szCs w:val="24"/>
        </w:rPr>
        <w:t>,</w:t>
      </w:r>
      <w:r w:rsidR="00F8369E">
        <w:rPr>
          <w:szCs w:val="24"/>
        </w:rPr>
        <w:t>485</w:t>
      </w:r>
      <w:r>
        <w:rPr>
          <w:szCs w:val="24"/>
        </w:rPr>
        <w:t xml:space="preserve">, an </w:t>
      </w:r>
      <w:r w:rsidRPr="005C45D4">
        <w:rPr>
          <w:szCs w:val="24"/>
        </w:rPr>
        <w:t xml:space="preserve">annualized cost to the federal government is </w:t>
      </w:r>
      <w:r>
        <w:rPr>
          <w:rFonts w:cstheme="minorHAnsi"/>
          <w:bCs/>
        </w:rPr>
        <w:t>$</w:t>
      </w:r>
      <w:r w:rsidR="00F8369E">
        <w:rPr>
          <w:rFonts w:cstheme="minorHAnsi"/>
          <w:bCs/>
        </w:rPr>
        <w:t>773,697</w:t>
      </w:r>
      <w:r>
        <w:rPr>
          <w:rFonts w:cstheme="minorHAnsi"/>
          <w:bCs/>
        </w:rPr>
        <w:t>.</w:t>
      </w:r>
      <w:r w:rsidRPr="0014041C">
        <w:t xml:space="preserve"> Costs result from the following two categories: </w:t>
      </w:r>
    </w:p>
    <w:p w:rsidR="002B5BBD" w:rsidRPr="0014041C" w:rsidP="002B5BBD" w14:paraId="05B90398" w14:textId="77777777">
      <w:pPr>
        <w:pStyle w:val="NormalSS"/>
        <w:spacing w:after="0"/>
      </w:pPr>
    </w:p>
    <w:p w:rsidR="002B5BBD" w:rsidRPr="0014041C" w:rsidP="002B5BBD" w14:paraId="25CB8E1A" w14:textId="6D82B77E">
      <w:pPr>
        <w:pStyle w:val="NormalSS"/>
        <w:numPr>
          <w:ilvl w:val="0"/>
          <w:numId w:val="15"/>
        </w:numPr>
        <w:spacing w:after="0"/>
      </w:pPr>
      <w:r w:rsidRPr="0014041C">
        <w:t xml:space="preserve">The annualized cost to the federal government for the evaluation contractor, </w:t>
      </w:r>
      <w:r w:rsidR="0011067B">
        <w:t xml:space="preserve">Abt Global </w:t>
      </w:r>
      <w:r w:rsidRPr="0014041C">
        <w:t>and its partners (</w:t>
      </w:r>
      <w:r w:rsidRPr="0014041C">
        <w:rPr>
          <w:rFonts w:cstheme="minorHAnsi"/>
          <w:bCs/>
        </w:rPr>
        <w:t xml:space="preserve">Contract Number: </w:t>
      </w:r>
      <w:r w:rsidRPr="00596FEA">
        <w:rPr>
          <w:rFonts w:cstheme="minorHAnsi"/>
          <w:bCs/>
        </w:rPr>
        <w:t>DOL #1605DC-18-A-003</w:t>
      </w:r>
      <w:r w:rsidR="0011067B">
        <w:rPr>
          <w:rFonts w:cstheme="minorHAnsi"/>
          <w:bCs/>
        </w:rPr>
        <w:t>7</w:t>
      </w:r>
      <w:r w:rsidRPr="00596FEA">
        <w:rPr>
          <w:rFonts w:cstheme="minorHAnsi"/>
          <w:bCs/>
        </w:rPr>
        <w:t>/1605C2-</w:t>
      </w:r>
      <w:r w:rsidR="0011067B">
        <w:rPr>
          <w:rFonts w:cstheme="minorHAnsi"/>
          <w:bCs/>
        </w:rPr>
        <w:t>23</w:t>
      </w:r>
      <w:r w:rsidRPr="00596FEA">
        <w:rPr>
          <w:rFonts w:cstheme="minorHAnsi"/>
          <w:bCs/>
        </w:rPr>
        <w:t>-F-0002</w:t>
      </w:r>
      <w:r w:rsidR="0011067B">
        <w:rPr>
          <w:rFonts w:cstheme="minorHAnsi"/>
          <w:bCs/>
        </w:rPr>
        <w:t>8</w:t>
      </w:r>
      <w:r w:rsidRPr="0014041C">
        <w:rPr>
          <w:color w:val="1A1818"/>
          <w:szCs w:val="21"/>
          <w:lang w:val="en"/>
        </w:rPr>
        <w:t>, to carry out this evaluation is $</w:t>
      </w:r>
      <w:r w:rsidR="00AC0B86">
        <w:rPr>
          <w:color w:val="1A1818"/>
          <w:szCs w:val="21"/>
          <w:lang w:val="en"/>
        </w:rPr>
        <w:t>759,997</w:t>
      </w:r>
      <w:r w:rsidRPr="0014041C">
        <w:rPr>
          <w:color w:val="1A1818"/>
          <w:szCs w:val="21"/>
          <w:lang w:val="en"/>
        </w:rPr>
        <w:t xml:space="preserve">. </w:t>
      </w:r>
    </w:p>
    <w:p w:rsidR="002B5BBD" w:rsidRPr="00B538E3" w:rsidP="002B5BBD" w14:paraId="0D17318C" w14:textId="77777777">
      <w:pPr>
        <w:pStyle w:val="NormalSS"/>
        <w:spacing w:after="0"/>
        <w:ind w:left="792" w:firstLine="0"/>
      </w:pPr>
    </w:p>
    <w:p w:rsidR="002B5BBD" w:rsidRPr="00B538E3" w:rsidP="008E5428" w14:paraId="4DD480E1" w14:textId="70DED1AD">
      <w:pPr>
        <w:pStyle w:val="NormalSS"/>
        <w:numPr>
          <w:ilvl w:val="0"/>
          <w:numId w:val="15"/>
        </w:numPr>
        <w:spacing w:after="0"/>
      </w:pPr>
      <w:r w:rsidRPr="00B538E3">
        <w:t>The annualized cost for federal technical staff to oversee the evaluation is $</w:t>
      </w:r>
      <w:r w:rsidR="005608FD">
        <w:rPr>
          <w:rStyle w:val="normaltextrun"/>
          <w:color w:val="000000"/>
          <w:shd w:val="clear" w:color="auto" w:fill="FFFFFF"/>
        </w:rPr>
        <w:t>13,70</w:t>
      </w:r>
      <w:r w:rsidR="00506FCD">
        <w:rPr>
          <w:rStyle w:val="normaltextrun"/>
          <w:color w:val="000000"/>
          <w:shd w:val="clear" w:color="auto" w:fill="FFFFFF"/>
        </w:rPr>
        <w:t>0</w:t>
      </w:r>
      <w:r w:rsidRPr="00B538E3">
        <w:t xml:space="preserve">. This is calculated by the following: an annual level of effort of </w:t>
      </w:r>
      <w:r>
        <w:t>200</w:t>
      </w:r>
      <w:r w:rsidRPr="00B538E3">
        <w:t xml:space="preserve"> hours for one Washington, DC-based Federal GS-14 step </w:t>
      </w:r>
      <w:r>
        <w:t>1</w:t>
      </w:r>
      <w:r w:rsidRPr="00B538E3">
        <w:t xml:space="preserve"> employee earning $</w:t>
      </w:r>
      <w:r w:rsidR="00440745">
        <w:t>68.50</w:t>
      </w:r>
      <w:r w:rsidRPr="00B538E3">
        <w:t xml:space="preserve"> per hour. (See Office of Personnel Management 20</w:t>
      </w:r>
      <w:r>
        <w:t>2</w:t>
      </w:r>
      <w:r w:rsidR="00440745">
        <w:t>5</w:t>
      </w:r>
      <w:r w:rsidRPr="00B538E3">
        <w:t xml:space="preserve"> Hourly Salary Table at </w:t>
      </w:r>
      <w:hyperlink r:id="rId12" w:history="1">
        <w:r w:rsidRPr="00C85A45" w:rsidR="008E5428">
          <w:rPr>
            <w:rStyle w:val="Hyperlink"/>
          </w:rPr>
          <w:t>https://www.opm.gov/policy-data-oversight/pay-leave/salaries-wages/salary-tables/pdf/2025/DCB.pdf</w:t>
        </w:r>
      </w:hyperlink>
      <w:r w:rsidRPr="008E5428">
        <w:rPr>
          <w:rFonts w:cstheme="minorHAnsi"/>
          <w:bCs/>
        </w:rPr>
        <w:t>) Therefore, the annualized cost is 200 hours x $6</w:t>
      </w:r>
      <w:r w:rsidR="008E5428">
        <w:rPr>
          <w:rFonts w:cstheme="minorHAnsi"/>
          <w:bCs/>
        </w:rPr>
        <w:t>8</w:t>
      </w:r>
      <w:r w:rsidRPr="008E5428">
        <w:rPr>
          <w:rFonts w:cstheme="minorHAnsi"/>
          <w:bCs/>
        </w:rPr>
        <w:t>.</w:t>
      </w:r>
      <w:r w:rsidR="008E5428">
        <w:rPr>
          <w:rFonts w:cstheme="minorHAnsi"/>
          <w:bCs/>
        </w:rPr>
        <w:t>50</w:t>
      </w:r>
      <w:r w:rsidRPr="008E5428">
        <w:rPr>
          <w:rFonts w:cstheme="minorHAnsi"/>
          <w:bCs/>
        </w:rPr>
        <w:t>= $</w:t>
      </w:r>
      <w:r w:rsidR="005608FD">
        <w:rPr>
          <w:rStyle w:val="normaltextrun"/>
          <w:color w:val="000000"/>
          <w:shd w:val="clear" w:color="auto" w:fill="FFFFFF"/>
        </w:rPr>
        <w:t>13,700</w:t>
      </w:r>
      <w:r w:rsidRPr="008E5428">
        <w:rPr>
          <w:rFonts w:cstheme="minorHAnsi"/>
          <w:bCs/>
        </w:rPr>
        <w:t xml:space="preserve">. </w:t>
      </w:r>
    </w:p>
    <w:p w:rsidR="002B5BBD" w:rsidRPr="00B538E3" w:rsidP="002B5BBD" w14:paraId="6C611A57" w14:textId="77777777">
      <w:pPr>
        <w:pStyle w:val="NormalSS"/>
        <w:spacing w:after="0"/>
        <w:ind w:left="792" w:firstLine="0"/>
      </w:pPr>
    </w:p>
    <w:p w:rsidR="002B5BBD" w:rsidP="002B5BBD" w14:paraId="643C7D4E" w14:textId="56A52BDD">
      <w:pPr>
        <w:pStyle w:val="NormalSS"/>
        <w:spacing w:after="0"/>
        <w:ind w:firstLine="0"/>
      </w:pPr>
      <w:r w:rsidRPr="00B538E3">
        <w:rPr>
          <w:rFonts w:cstheme="minorHAnsi"/>
          <w:bCs/>
        </w:rPr>
        <w:t>The total annualized cost to the federal government is</w:t>
      </w:r>
      <w:r>
        <w:rPr>
          <w:rFonts w:cstheme="minorHAnsi"/>
          <w:bCs/>
        </w:rPr>
        <w:t xml:space="preserve"> $</w:t>
      </w:r>
      <w:r w:rsidR="00F8369E">
        <w:rPr>
          <w:rFonts w:cstheme="minorHAnsi"/>
          <w:bCs/>
        </w:rPr>
        <w:t>773,697</w:t>
      </w:r>
      <w:r w:rsidRPr="00B538E3">
        <w:rPr>
          <w:rFonts w:cstheme="minorHAnsi"/>
          <w:bCs/>
        </w:rPr>
        <w:t xml:space="preserve"> ($</w:t>
      </w:r>
      <w:r w:rsidR="00F8369E">
        <w:rPr>
          <w:rFonts w:cstheme="minorHAnsi"/>
          <w:bCs/>
        </w:rPr>
        <w:t>759</w:t>
      </w:r>
      <w:r>
        <w:rPr>
          <w:rFonts w:cstheme="minorHAnsi"/>
          <w:bCs/>
        </w:rPr>
        <w:t>,</w:t>
      </w:r>
      <w:r w:rsidR="008F14A9">
        <w:rPr>
          <w:rFonts w:cstheme="minorHAnsi"/>
          <w:bCs/>
        </w:rPr>
        <w:t>997</w:t>
      </w:r>
      <w:r>
        <w:rPr>
          <w:rFonts w:cstheme="minorHAnsi"/>
          <w:bCs/>
        </w:rPr>
        <w:t xml:space="preserve"> +</w:t>
      </w:r>
      <w:r w:rsidRPr="00B538E3">
        <w:rPr>
          <w:rFonts w:cstheme="minorHAnsi"/>
          <w:bCs/>
        </w:rPr>
        <w:t xml:space="preserve"> $</w:t>
      </w:r>
      <w:r w:rsidR="008F14A9">
        <w:rPr>
          <w:rFonts w:cstheme="minorHAnsi"/>
          <w:bCs/>
        </w:rPr>
        <w:t>13</w:t>
      </w:r>
      <w:r>
        <w:rPr>
          <w:rFonts w:cstheme="minorHAnsi"/>
          <w:bCs/>
        </w:rPr>
        <w:t>,</w:t>
      </w:r>
      <w:r w:rsidR="008F14A9">
        <w:rPr>
          <w:rFonts w:cstheme="minorHAnsi"/>
          <w:bCs/>
        </w:rPr>
        <w:t>700</w:t>
      </w:r>
      <w:r>
        <w:rPr>
          <w:rFonts w:cstheme="minorHAnsi"/>
          <w:bCs/>
        </w:rPr>
        <w:t>)</w:t>
      </w:r>
      <w:r w:rsidRPr="00B538E3">
        <w:rPr>
          <w:rFonts w:cstheme="minorHAnsi"/>
          <w:bCs/>
        </w:rPr>
        <w:t>.</w:t>
      </w:r>
    </w:p>
    <w:p w:rsidR="00642429" w:rsidRPr="00642429" w:rsidP="00642429" w14:paraId="635E9DBE" w14:textId="6A822170">
      <w:pPr>
        <w:rPr>
          <w:rFonts w:asciiTheme="majorBidi" w:hAnsiTheme="majorBidi" w:cstheme="majorBidi"/>
          <w:b/>
          <w:bCs/>
          <w:sz w:val="24"/>
          <w:szCs w:val="24"/>
        </w:rPr>
      </w:pPr>
    </w:p>
    <w:p w:rsidR="00642429" w:rsidRPr="00642429" w:rsidP="00642429" w14:paraId="3FD66228" w14:textId="627C1BB9">
      <w:pPr>
        <w:rPr>
          <w:rFonts w:asciiTheme="majorBidi" w:hAnsiTheme="majorBidi" w:cstheme="majorBidi"/>
          <w:b/>
          <w:bCs/>
          <w:sz w:val="24"/>
          <w:szCs w:val="24"/>
        </w:rPr>
      </w:pPr>
      <w:bookmarkStart w:id="19" w:name="A15"/>
      <w:r>
        <w:rPr>
          <w:rFonts w:asciiTheme="majorBidi" w:hAnsiTheme="majorBidi" w:cstheme="majorBidi"/>
          <w:b/>
          <w:bCs/>
          <w:sz w:val="24"/>
          <w:szCs w:val="24"/>
        </w:rPr>
        <w:t>A.</w:t>
      </w:r>
      <w:r w:rsidRPr="00642429">
        <w:rPr>
          <w:rFonts w:asciiTheme="majorBidi" w:hAnsiTheme="majorBidi" w:cstheme="majorBidi"/>
          <w:b/>
          <w:bCs/>
          <w:sz w:val="24"/>
          <w:szCs w:val="24"/>
        </w:rPr>
        <w:t>15.</w:t>
      </w:r>
      <w:bookmarkEnd w:id="19"/>
      <w:r w:rsidRPr="00642429">
        <w:rPr>
          <w:rFonts w:asciiTheme="majorBidi" w:hAnsiTheme="majorBidi" w:cstheme="majorBidi"/>
          <w:b/>
          <w:bCs/>
          <w:sz w:val="24"/>
          <w:szCs w:val="24"/>
        </w:rPr>
        <w:tab/>
        <w:t>Explain the reasons for any program changes or adjustments.</w:t>
      </w:r>
    </w:p>
    <w:p w:rsidR="00642429" w:rsidRPr="00ED2D2A" w:rsidP="00642429" w14:paraId="1E807419" w14:textId="4558D876">
      <w:pPr>
        <w:rPr>
          <w:rFonts w:asciiTheme="majorBidi" w:hAnsiTheme="majorBidi" w:cstheme="majorBidi"/>
          <w:sz w:val="24"/>
          <w:szCs w:val="24"/>
        </w:rPr>
      </w:pPr>
      <w:r>
        <w:rPr>
          <w:rFonts w:asciiTheme="majorBidi" w:hAnsiTheme="majorBidi" w:cstheme="majorBidi"/>
          <w:sz w:val="24"/>
          <w:szCs w:val="24"/>
        </w:rPr>
        <w:t>This is a new information collection.</w:t>
      </w:r>
    </w:p>
    <w:p w:rsidR="00642429" w:rsidRPr="00642429" w:rsidP="00642429" w14:paraId="40F29536" w14:textId="77777777">
      <w:pPr>
        <w:rPr>
          <w:rFonts w:asciiTheme="majorBidi" w:hAnsiTheme="majorBidi" w:cstheme="majorBidi"/>
          <w:b/>
          <w:bCs/>
          <w:sz w:val="24"/>
          <w:szCs w:val="24"/>
        </w:rPr>
      </w:pPr>
    </w:p>
    <w:p w:rsidR="00642429" w:rsidRPr="00642429" w:rsidP="00642429" w14:paraId="3552FFF3" w14:textId="5585CCA8">
      <w:pPr>
        <w:rPr>
          <w:rFonts w:asciiTheme="majorBidi" w:hAnsiTheme="majorBidi" w:cstheme="majorBidi"/>
          <w:b/>
          <w:bCs/>
          <w:sz w:val="24"/>
          <w:szCs w:val="24"/>
        </w:rPr>
      </w:pPr>
      <w:bookmarkStart w:id="20" w:name="A16"/>
      <w:r>
        <w:rPr>
          <w:rFonts w:asciiTheme="majorBidi" w:hAnsiTheme="majorBidi" w:cstheme="majorBidi"/>
          <w:b/>
          <w:bCs/>
          <w:sz w:val="24"/>
          <w:szCs w:val="24"/>
        </w:rPr>
        <w:t>A.</w:t>
      </w:r>
      <w:r w:rsidRPr="00642429">
        <w:rPr>
          <w:rFonts w:asciiTheme="majorBidi" w:hAnsiTheme="majorBidi" w:cstheme="majorBidi"/>
          <w:b/>
          <w:bCs/>
          <w:sz w:val="24"/>
          <w:szCs w:val="24"/>
        </w:rPr>
        <w:t>16.</w:t>
      </w:r>
      <w:bookmarkEnd w:id="20"/>
      <w:r w:rsidRPr="00642429">
        <w:rPr>
          <w:rFonts w:asciiTheme="majorBidi" w:hAnsiTheme="majorBidi" w:cstheme="majorBidi"/>
          <w:b/>
          <w:bCs/>
          <w:sz w:val="24"/>
          <w:szCs w:val="24"/>
        </w:rPr>
        <w:t xml:space="preserve"> For collections of </w:t>
      </w:r>
      <w:r w:rsidRPr="00FC059C">
        <w:rPr>
          <w:rFonts w:asciiTheme="majorBidi" w:hAnsiTheme="majorBidi" w:cstheme="majorBidi"/>
          <w:b/>
          <w:bCs/>
          <w:sz w:val="24"/>
          <w:szCs w:val="24"/>
        </w:rPr>
        <w:t xml:space="preserve">information whose results will be published, outline plans for tabulations, and publication.  </w:t>
      </w:r>
      <w:r w:rsidRPr="000F630F">
        <w:rPr>
          <w:rFonts w:asciiTheme="majorBidi" w:hAnsiTheme="majorBidi" w:cstheme="majorBidi"/>
          <w:b/>
          <w:bCs/>
          <w:sz w:val="24"/>
          <w:szCs w:val="24"/>
        </w:rPr>
        <w:t>Address any complex analytical techniques that will be used.</w:t>
      </w:r>
      <w:r w:rsidRPr="00FC059C">
        <w:rPr>
          <w:rFonts w:asciiTheme="majorBidi" w:hAnsiTheme="majorBidi" w:cstheme="majorBidi"/>
          <w:b/>
          <w:bCs/>
          <w:sz w:val="24"/>
          <w:szCs w:val="24"/>
        </w:rPr>
        <w:t xml:space="preserve">  Provide the time schedule for the entire</w:t>
      </w:r>
      <w:r w:rsidRPr="00642429">
        <w:rPr>
          <w:rFonts w:asciiTheme="majorBidi" w:hAnsiTheme="majorBidi" w:cstheme="majorBidi"/>
          <w:b/>
          <w:bCs/>
          <w:sz w:val="24"/>
          <w:szCs w:val="24"/>
        </w:rPr>
        <w:t xml:space="preserve"> project, including beginning and ending dates of the collection of information, completion of report, publication dates, and other actions.</w:t>
      </w:r>
    </w:p>
    <w:p w:rsidR="004B5FF0" w:rsidP="004B5FF0" w14:paraId="1F84B122" w14:textId="2A184A61">
      <w:pPr>
        <w:pStyle w:val="BodyText"/>
      </w:pPr>
      <w:r>
        <w:rPr>
          <w:b/>
          <w:bCs/>
          <w:i/>
          <w:iCs/>
        </w:rPr>
        <w:t>Planned Analyses</w:t>
      </w:r>
      <w:r w:rsidRPr="00FA2B76" w:rsidR="00327776">
        <w:rPr>
          <w:b/>
          <w:bCs/>
          <w:i/>
          <w:iCs/>
        </w:rPr>
        <w:t>.</w:t>
      </w:r>
      <w:r>
        <w:rPr>
          <w:b/>
          <w:bCs/>
          <w:i/>
          <w:iCs/>
        </w:rPr>
        <w:t xml:space="preserve"> </w:t>
      </w:r>
      <w:r w:rsidRPr="004B5FF0">
        <w:t>The evaluation will use both quantitative and qualitative methods to address research questions across five domains: engaging participants, increasing capacity, delivering coordinated services, achieving outcomes, and scaling promising practices.</w:t>
      </w:r>
    </w:p>
    <w:p w:rsidR="004B5FF0" w:rsidRPr="004B5FF0" w:rsidP="004B5FF0" w14:paraId="0B18D74F" w14:textId="38D0060B">
      <w:pPr>
        <w:pStyle w:val="BodyText"/>
        <w:spacing w:after="0"/>
      </w:pPr>
      <w:r w:rsidRPr="004B5FF0">
        <w:t>Descriptive Analysis: We will compute simple descriptive statistics (means, medians, percentages) for participant characteristics, service receipt, and outcomes using PIRL and program MIS data. These analyses will be disaggregated by subpopulations (e.g., disability type, age group, geographic region).</w:t>
      </w:r>
    </w:p>
    <w:p w:rsidR="004B5FF0" w:rsidRPr="004B5FF0" w:rsidP="004B5FF0" w14:paraId="0C1793A5" w14:textId="77777777">
      <w:pPr>
        <w:pStyle w:val="BodyText"/>
        <w:spacing w:after="0"/>
      </w:pPr>
    </w:p>
    <w:p w:rsidR="004B5FF0" w:rsidRPr="004B5FF0" w:rsidP="004B5FF0" w14:paraId="7F87E5F2" w14:textId="77777777">
      <w:pPr>
        <w:pStyle w:val="BodyText"/>
        <w:spacing w:after="0"/>
      </w:pPr>
      <w:r w:rsidRPr="004B5FF0">
        <w:t>Administrative Data Analysis: Employment and earnings outcomes will be measured using NDNH data, and postsecondary education outcomes using NSC data. We will calculate quarterly employment rates, job retention, and credential attainment.</w:t>
      </w:r>
    </w:p>
    <w:p w:rsidR="004B5FF0" w:rsidRPr="004B5FF0" w:rsidP="004B5FF0" w14:paraId="1E7F1E4E" w14:textId="77777777">
      <w:pPr>
        <w:pStyle w:val="BodyText"/>
        <w:spacing w:after="0"/>
      </w:pPr>
    </w:p>
    <w:p w:rsidR="004B5FF0" w:rsidRPr="004B5FF0" w:rsidP="00C5596B" w14:paraId="0DBA4924" w14:textId="5022F9A3">
      <w:pPr>
        <w:pStyle w:val="BodyText"/>
        <w:spacing w:after="0"/>
      </w:pPr>
      <w:r w:rsidRPr="004B5FF0">
        <w:t xml:space="preserve">Regression Modeling: Multivariate regression models will be used to examine associations between participant characteristics and outcomes, controlling for confounding factors. For continuous outcomes (e.g., earnings), we will use ordinary least squares (OLS); for binary outcomes (e.g., employment status), logistic regression will be applied. Where appropriate, we will incorporate inverse probability weighting to </w:t>
      </w:r>
      <w:r w:rsidR="00A8393E">
        <w:t>reduce</w:t>
      </w:r>
      <w:r w:rsidRPr="004B5FF0" w:rsidR="00A8393E">
        <w:t xml:space="preserve"> </w:t>
      </w:r>
      <w:r w:rsidRPr="004B5FF0">
        <w:t xml:space="preserve"> selection bias</w:t>
      </w:r>
      <w:r w:rsidR="00401884">
        <w:t xml:space="preserve"> by observed</w:t>
      </w:r>
      <w:r w:rsidR="00C5596B">
        <w:t xml:space="preserve"> covariates</w:t>
      </w:r>
      <w:r w:rsidRPr="004B5FF0">
        <w:t xml:space="preserve"> and nonresponse</w:t>
      </w:r>
      <w:r w:rsidR="00621CA7">
        <w:t>, however, analysis will remain descriptive</w:t>
      </w:r>
      <w:r w:rsidRPr="004B5FF0">
        <w:t>.</w:t>
      </w:r>
    </w:p>
    <w:p w:rsidR="004B5FF0" w:rsidRPr="004B5FF0" w:rsidP="004B5FF0" w14:paraId="50CEB069" w14:textId="77777777">
      <w:pPr>
        <w:pStyle w:val="BodyText"/>
        <w:spacing w:after="0"/>
      </w:pPr>
    </w:p>
    <w:p w:rsidR="00327776" w:rsidP="00954720" w14:paraId="191209CE" w14:textId="68CFBC20">
      <w:pPr>
        <w:pStyle w:val="BodyText"/>
        <w:spacing w:after="0"/>
      </w:pPr>
      <w:r w:rsidRPr="004B5FF0">
        <w:t xml:space="preserve">Qualitative Analysis: Interviews </w:t>
      </w:r>
      <w:r w:rsidR="008A15DA">
        <w:t>data</w:t>
      </w:r>
      <w:r w:rsidRPr="004B5FF0">
        <w:t xml:space="preserve"> will be transcribed and coded using</w:t>
      </w:r>
      <w:r w:rsidR="00954720">
        <w:t xml:space="preserve"> a </w:t>
      </w:r>
      <w:r w:rsidRPr="00954720" w:rsidR="00954720">
        <w:t>qualitative data analysis</w:t>
      </w:r>
      <w:r w:rsidR="00954720">
        <w:t xml:space="preserve"> like</w:t>
      </w:r>
      <w:r w:rsidRPr="004B5FF0">
        <w:t xml:space="preserve"> </w:t>
      </w:r>
      <w:r w:rsidR="001F692D">
        <w:t>Dedoose</w:t>
      </w:r>
      <w:r w:rsidR="00954720">
        <w:t xml:space="preserve"> or Nvivo</w:t>
      </w:r>
      <w:r w:rsidRPr="004B5FF0">
        <w:t>. We will apply a structured coding scheme aligned with research domains and refine it iteratively. Thematic analysis will identify barriers, facilitators, and promising practices. We will also develop customer journey maps to visualize participant experiences.</w:t>
      </w:r>
    </w:p>
    <w:p w:rsidR="004B5FF0" w:rsidRPr="004B5FF0" w:rsidP="004B5FF0" w14:paraId="715A48C9" w14:textId="77777777">
      <w:pPr>
        <w:pStyle w:val="BodyText"/>
        <w:spacing w:after="0"/>
      </w:pPr>
    </w:p>
    <w:p w:rsidR="0020300A" w:rsidP="00EC73AB" w14:paraId="3440B24A" w14:textId="017DF3C3">
      <w:pPr>
        <w:pStyle w:val="BodyText"/>
        <w:rPr>
          <w:spacing w:val="-4"/>
        </w:rPr>
      </w:pPr>
      <w:r w:rsidRPr="000F630F">
        <w:rPr>
          <w:b/>
          <w:bCs/>
          <w:i/>
          <w:iCs/>
        </w:rPr>
        <w:t>Project Schedule.</w:t>
      </w:r>
      <w:r>
        <w:t xml:space="preserve"> </w:t>
      </w:r>
      <w:r w:rsidR="00786411">
        <w:t xml:space="preserve">Data collection will begin in </w:t>
      </w:r>
      <w:r w:rsidR="000241B1">
        <w:t xml:space="preserve">Q2 of </w:t>
      </w:r>
      <w:r w:rsidR="0061520B">
        <w:t>calendar year (</w:t>
      </w:r>
      <w:r w:rsidR="000241B1">
        <w:t>CY</w:t>
      </w:r>
      <w:r w:rsidR="0061520B">
        <w:t xml:space="preserve">) </w:t>
      </w:r>
      <w:r w:rsidR="00786411">
        <w:t>202</w:t>
      </w:r>
      <w:r w:rsidR="000241B1">
        <w:t>6</w:t>
      </w:r>
      <w:r w:rsidR="00786411">
        <w:t xml:space="preserve"> and will end in </w:t>
      </w:r>
      <w:r w:rsidR="00735E9A">
        <w:t xml:space="preserve">Q4 </w:t>
      </w:r>
      <w:r w:rsidR="00EC73AB">
        <w:t>of CY</w:t>
      </w:r>
      <w:r w:rsidR="0061520B">
        <w:t xml:space="preserve"> </w:t>
      </w:r>
      <w:r w:rsidR="00786411">
        <w:t>202</w:t>
      </w:r>
      <w:r w:rsidR="00EC73AB">
        <w:t>8</w:t>
      </w:r>
      <w:r w:rsidR="00786411">
        <w:t xml:space="preserve">.  After data collection, data will be presented in summary formats, tables, charts, and graphs to illustrate the results.  Several briefs </w:t>
      </w:r>
      <w:r w:rsidR="00903820">
        <w:t xml:space="preserve">and reports </w:t>
      </w:r>
      <w:r w:rsidR="00786411">
        <w:t>will be developed based on interim finding</w:t>
      </w:r>
      <w:r w:rsidR="00EC73AB">
        <w:t>s</w:t>
      </w:r>
      <w:r w:rsidR="00786411">
        <w:t>.</w:t>
      </w:r>
      <w:r w:rsidR="00EC73AB">
        <w:t xml:space="preserve"> </w:t>
      </w:r>
      <w:r>
        <w:rPr>
          <w:spacing w:val="-4"/>
        </w:rPr>
        <w:t xml:space="preserve">In addition, we will </w:t>
      </w:r>
      <w:r w:rsidRPr="00931ED7">
        <w:t xml:space="preserve">prepare a restricted-use data file containing all available data fields obtained during the project (subject to data use restrictions) </w:t>
      </w:r>
      <w:r>
        <w:t xml:space="preserve">and a corresponding codebook </w:t>
      </w:r>
      <w:r w:rsidRPr="00931ED7">
        <w:t>for use by other researchers</w:t>
      </w:r>
      <w:r>
        <w:t>.</w:t>
      </w:r>
      <w:r>
        <w:rPr>
          <w:spacing w:val="-4"/>
        </w:rPr>
        <w:t xml:space="preserve"> </w:t>
      </w:r>
      <w:r w:rsidR="006810BD">
        <w:t>The following exhibit</w:t>
      </w:r>
      <w:r w:rsidRPr="00817076" w:rsidR="006810BD">
        <w:t xml:space="preserve"> </w:t>
      </w:r>
      <w:r w:rsidR="006810BD">
        <w:t xml:space="preserve">presents </w:t>
      </w:r>
      <w:r w:rsidRPr="00817076" w:rsidR="006810BD">
        <w:t xml:space="preserve">the </w:t>
      </w:r>
      <w:r w:rsidR="006810BD">
        <w:rPr>
          <w:spacing w:val="-4"/>
        </w:rPr>
        <w:t>approximate completion dates for data collection and reporting activities.</w:t>
      </w:r>
    </w:p>
    <w:p w:rsidR="00AD5838" w:rsidP="00EC73AB" w14:paraId="0CABE7C6" w14:textId="77777777">
      <w:pPr>
        <w:pStyle w:val="BodyText"/>
        <w:rPr>
          <w:spacing w:val="-4"/>
        </w:rPr>
      </w:pPr>
    </w:p>
    <w:p w:rsidR="0020300A" w:rsidRPr="00BC4F2A" w:rsidP="0020300A" w14:paraId="310491F5" w14:textId="50B1B0EE">
      <w:pPr>
        <w:pStyle w:val="Caption"/>
        <w:keepLines/>
      </w:pPr>
      <w:r>
        <w:t xml:space="preserve">Exhibit A.5 </w:t>
      </w:r>
      <w:r w:rsidR="003A4199">
        <w:t xml:space="preserve">Data Collection and </w:t>
      </w:r>
      <w:r w:rsidRPr="00BC4F2A">
        <w:t>Report</w:t>
      </w:r>
      <w:r w:rsidR="003A4199">
        <w:t>ing</w:t>
      </w:r>
      <w:r w:rsidRPr="00BC4F2A">
        <w:t xml:space="preserve"> Schedule </w:t>
      </w:r>
    </w:p>
    <w:tbl>
      <w:tblPr>
        <w:tblW w:w="491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5"/>
        <w:gridCol w:w="5412"/>
      </w:tblGrid>
      <w:tr w14:paraId="203A63F1" w14:textId="77777777" w:rsidTr="000F630F">
        <w:tblPrEx>
          <w:tblW w:w="491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6"/>
        </w:trPr>
        <w:tc>
          <w:tcPr>
            <w:tcW w:w="2058" w:type="pct"/>
            <w:shd w:val="clear" w:color="auto" w:fill="595959" w:themeFill="text1" w:themeFillTint="A6"/>
          </w:tcPr>
          <w:p w:rsidR="00136CF8" w:rsidRPr="00817076" w14:paraId="0E043976" w14:textId="5A709265">
            <w:pPr>
              <w:pStyle w:val="TH-TableHeading"/>
              <w:keepNext/>
              <w:keepLines/>
              <w:jc w:val="left"/>
              <w:rPr>
                <w:rFonts w:ascii="Arial Narrow" w:hAnsi="Arial Narrow" w:cs="Calibri"/>
                <w:bCs/>
                <w:color w:val="FFFFFF" w:themeColor="background1"/>
              </w:rPr>
            </w:pPr>
            <w:r>
              <w:rPr>
                <w:rFonts w:ascii="Arial Narrow" w:hAnsi="Arial Narrow" w:cs="Calibri"/>
                <w:bCs/>
                <w:color w:val="FFFFFF" w:themeColor="background1"/>
              </w:rPr>
              <w:t>Activity</w:t>
            </w:r>
          </w:p>
        </w:tc>
        <w:tc>
          <w:tcPr>
            <w:tcW w:w="2942" w:type="pct"/>
            <w:shd w:val="clear" w:color="auto" w:fill="595959" w:themeFill="text1" w:themeFillTint="A6"/>
          </w:tcPr>
          <w:p w:rsidR="00136CF8" w:rsidRPr="00817076" w14:paraId="531D25A7" w14:textId="2BAD033C">
            <w:pPr>
              <w:pStyle w:val="TB-TableBullet"/>
              <w:keepNext/>
              <w:keepLines/>
              <w:numPr>
                <w:ilvl w:val="0"/>
                <w:numId w:val="0"/>
              </w:numPr>
              <w:ind w:left="144" w:hanging="144"/>
              <w:rPr>
                <w:rFonts w:ascii="Arial Narrow" w:hAnsi="Arial Narrow"/>
                <w:b/>
                <w:bCs/>
                <w:color w:val="FFFFFF" w:themeColor="background1"/>
              </w:rPr>
            </w:pPr>
            <w:r w:rsidRPr="00817076">
              <w:rPr>
                <w:rFonts w:ascii="Arial Narrow" w:hAnsi="Arial Narrow"/>
                <w:b/>
                <w:bCs/>
                <w:color w:val="FFFFFF" w:themeColor="background1"/>
              </w:rPr>
              <w:t>Approximate Tim</w:t>
            </w:r>
            <w:r w:rsidR="003A4199">
              <w:rPr>
                <w:rFonts w:ascii="Arial Narrow" w:hAnsi="Arial Narrow"/>
                <w:b/>
                <w:bCs/>
                <w:color w:val="FFFFFF" w:themeColor="background1"/>
              </w:rPr>
              <w:t>ing</w:t>
            </w:r>
          </w:p>
        </w:tc>
      </w:tr>
      <w:tr w14:paraId="4B1742AC" w14:textId="77777777" w:rsidTr="000F630F">
        <w:tblPrEx>
          <w:tblW w:w="4918" w:type="pct"/>
          <w:tblInd w:w="-10" w:type="dxa"/>
          <w:tblLook w:val="04A0"/>
        </w:tblPrEx>
        <w:tc>
          <w:tcPr>
            <w:tcW w:w="5000" w:type="pct"/>
            <w:gridSpan w:val="2"/>
            <w:shd w:val="clear" w:color="auto" w:fill="BFBFBF" w:themeFill="background1" w:themeFillShade="BF"/>
            <w:vAlign w:val="center"/>
          </w:tcPr>
          <w:p w:rsidR="00136CF8" w:rsidRPr="00112009" w14:paraId="160B5060" w14:textId="09D97288">
            <w:pPr>
              <w:pStyle w:val="TB-TableBullet"/>
              <w:keepNext/>
              <w:keepLines/>
              <w:numPr>
                <w:ilvl w:val="0"/>
                <w:numId w:val="0"/>
              </w:numPr>
              <w:ind w:left="144" w:hanging="144"/>
              <w:rPr>
                <w:rFonts w:ascii="Arial Narrow" w:eastAsia="Calibri" w:hAnsi="Arial Narrow"/>
                <w:b/>
                <w:bCs/>
                <w:color w:val="auto"/>
              </w:rPr>
            </w:pPr>
            <w:r>
              <w:rPr>
                <w:rFonts w:ascii="Arial Narrow" w:hAnsi="Arial Narrow"/>
                <w:b/>
                <w:bCs/>
                <w:color w:val="auto"/>
              </w:rPr>
              <w:t xml:space="preserve">Program </w:t>
            </w:r>
            <w:r w:rsidR="009A081F">
              <w:rPr>
                <w:rFonts w:ascii="Arial Narrow" w:hAnsi="Arial Narrow"/>
                <w:b/>
                <w:bCs/>
                <w:color w:val="auto"/>
              </w:rPr>
              <w:t>Data</w:t>
            </w:r>
          </w:p>
        </w:tc>
      </w:tr>
      <w:tr w14:paraId="1673B802" w14:textId="77777777" w:rsidTr="3286AA9B">
        <w:tblPrEx>
          <w:tblW w:w="4918" w:type="pct"/>
          <w:tblInd w:w="-10" w:type="dxa"/>
          <w:tblLook w:val="04A0"/>
        </w:tblPrEx>
        <w:tc>
          <w:tcPr>
            <w:tcW w:w="2058" w:type="pct"/>
            <w:shd w:val="clear" w:color="auto" w:fill="FFFFFF" w:themeFill="background1"/>
            <w:vAlign w:val="center"/>
          </w:tcPr>
          <w:p w:rsidR="00136CF8" w:rsidRPr="00817076" w14:paraId="5665AB7B" w14:textId="0ACA30C4">
            <w:pPr>
              <w:pStyle w:val="TX-TableText"/>
              <w:keepNext/>
              <w:keepLines/>
              <w:rPr>
                <w:rFonts w:ascii="Arial Narrow" w:hAnsi="Arial Narrow" w:cs="Calibri"/>
                <w:color w:val="auto"/>
              </w:rPr>
            </w:pPr>
            <w:r>
              <w:rPr>
                <w:rFonts w:ascii="Arial Narrow" w:hAnsi="Arial Narrow" w:cs="Calibri"/>
                <w:color w:val="auto"/>
              </w:rPr>
              <w:t xml:space="preserve">Baseline </w:t>
            </w:r>
            <w:r w:rsidR="003A3015">
              <w:rPr>
                <w:rFonts w:ascii="Arial Narrow" w:hAnsi="Arial Narrow" w:cs="Calibri"/>
                <w:color w:val="auto"/>
              </w:rPr>
              <w:t xml:space="preserve">Intake Data </w:t>
            </w:r>
            <w:r>
              <w:rPr>
                <w:rFonts w:ascii="Arial Narrow" w:hAnsi="Arial Narrow" w:cs="Calibri"/>
                <w:color w:val="auto"/>
              </w:rPr>
              <w:t xml:space="preserve">from ETM </w:t>
            </w:r>
            <w:r w:rsidR="00CA470E">
              <w:rPr>
                <w:rFonts w:ascii="Arial Narrow" w:hAnsi="Arial Narrow" w:cs="Calibri"/>
                <w:color w:val="auto"/>
              </w:rPr>
              <w:t>Y</w:t>
            </w:r>
            <w:r>
              <w:rPr>
                <w:rFonts w:ascii="Arial Narrow" w:hAnsi="Arial Narrow" w:cs="Calibri"/>
                <w:color w:val="auto"/>
              </w:rPr>
              <w:t>outh</w:t>
            </w:r>
            <w:r w:rsidR="00054A81">
              <w:rPr>
                <w:rFonts w:ascii="Arial Narrow" w:hAnsi="Arial Narrow" w:cs="Calibri"/>
                <w:color w:val="auto"/>
              </w:rPr>
              <w:t xml:space="preserve"> </w:t>
            </w:r>
            <w:r w:rsidRPr="00054A81" w:rsidR="00054A81">
              <w:rPr>
                <w:rFonts w:ascii="Arial Narrow" w:hAnsi="Arial Narrow" w:cs="Calibri"/>
                <w:color w:val="auto"/>
              </w:rPr>
              <w:t>(Section D.1 of Attachment A.1)</w:t>
            </w:r>
          </w:p>
        </w:tc>
        <w:tc>
          <w:tcPr>
            <w:tcW w:w="2942" w:type="pct"/>
            <w:vAlign w:val="center"/>
          </w:tcPr>
          <w:p w:rsidR="00136CF8" w:rsidRPr="008228C8" w14:paraId="15707636" w14:textId="4332AE0D">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w:t>
            </w:r>
            <w:r w:rsidRPr="008228C8" w:rsidR="005F1D95">
              <w:rPr>
                <w:rFonts w:ascii="Arial Narrow" w:eastAsia="Calibri" w:hAnsi="Arial Narrow"/>
                <w:color w:val="auto"/>
              </w:rPr>
              <w:t>2</w:t>
            </w:r>
            <w:r w:rsidR="001F6D65">
              <w:rPr>
                <w:rFonts w:ascii="Arial Narrow" w:eastAsia="Calibri" w:hAnsi="Arial Narrow"/>
                <w:color w:val="auto"/>
              </w:rPr>
              <w:t>,</w:t>
            </w:r>
            <w:r w:rsidRPr="008228C8">
              <w:rPr>
                <w:rFonts w:ascii="Arial Narrow" w:eastAsia="Calibri" w:hAnsi="Arial Narrow"/>
                <w:color w:val="auto"/>
              </w:rPr>
              <w:t xml:space="preserve"> </w:t>
            </w:r>
            <w:r w:rsidRPr="008228C8" w:rsidR="00B011B7">
              <w:rPr>
                <w:rFonts w:ascii="Arial Narrow" w:hAnsi="Arial Narrow"/>
                <w:color w:val="auto"/>
              </w:rPr>
              <w:t>CY</w:t>
            </w:r>
            <w:r w:rsidRPr="008228C8">
              <w:rPr>
                <w:rFonts w:ascii="Arial Narrow" w:eastAsia="Calibri" w:hAnsi="Arial Narrow"/>
                <w:color w:val="auto"/>
              </w:rPr>
              <w:t>202</w:t>
            </w:r>
            <w:r w:rsidRPr="008228C8" w:rsidR="005F1D95">
              <w:rPr>
                <w:rFonts w:ascii="Arial Narrow" w:eastAsia="Calibri" w:hAnsi="Arial Narrow"/>
                <w:color w:val="auto"/>
              </w:rPr>
              <w:t>6</w:t>
            </w:r>
            <w:r w:rsidR="001F6D65">
              <w:rPr>
                <w:rFonts w:ascii="Arial Narrow" w:eastAsia="Calibri" w:hAnsi="Arial Narrow"/>
                <w:color w:val="auto"/>
              </w:rPr>
              <w:t xml:space="preserve"> </w:t>
            </w:r>
            <w:r w:rsidRPr="008228C8">
              <w:rPr>
                <w:rFonts w:ascii="Arial Narrow" w:eastAsia="Calibri" w:hAnsi="Arial Narrow"/>
                <w:color w:val="auto"/>
              </w:rPr>
              <w:t>-</w:t>
            </w:r>
            <w:r w:rsidR="001F6D65">
              <w:rPr>
                <w:rFonts w:ascii="Arial Narrow" w:eastAsia="Calibri" w:hAnsi="Arial Narrow"/>
                <w:color w:val="auto"/>
              </w:rPr>
              <w:t xml:space="preserve"> </w:t>
            </w:r>
            <w:r w:rsidRPr="008228C8" w:rsidR="001B7EAC">
              <w:rPr>
                <w:rFonts w:ascii="Arial Narrow" w:eastAsia="Calibri" w:hAnsi="Arial Narrow"/>
                <w:color w:val="auto"/>
              </w:rPr>
              <w:t>Q</w:t>
            </w:r>
            <w:r w:rsidR="001B7EAC">
              <w:rPr>
                <w:rFonts w:ascii="Arial Narrow" w:eastAsia="Calibri" w:hAnsi="Arial Narrow"/>
                <w:color w:val="auto"/>
              </w:rPr>
              <w:t>3</w:t>
            </w:r>
            <w:r w:rsidR="001F6D65">
              <w:rPr>
                <w:rFonts w:ascii="Arial Narrow" w:eastAsia="Calibri" w:hAnsi="Arial Narrow"/>
                <w:color w:val="auto"/>
              </w:rPr>
              <w:t>,</w:t>
            </w:r>
            <w:r w:rsidRPr="008228C8">
              <w:rPr>
                <w:rFonts w:ascii="Arial Narrow" w:eastAsia="Calibri" w:hAnsi="Arial Narrow"/>
                <w:color w:val="auto"/>
              </w:rPr>
              <w:t xml:space="preserve"> </w:t>
            </w:r>
            <w:r w:rsidRPr="008228C8" w:rsidR="00B011B7">
              <w:rPr>
                <w:rFonts w:ascii="Arial Narrow" w:hAnsi="Arial Narrow"/>
                <w:color w:val="auto"/>
              </w:rPr>
              <w:t>CY</w:t>
            </w:r>
            <w:r w:rsidRPr="008228C8">
              <w:rPr>
                <w:rFonts w:ascii="Arial Narrow" w:eastAsia="Calibri" w:hAnsi="Arial Narrow"/>
                <w:color w:val="auto"/>
              </w:rPr>
              <w:t xml:space="preserve">2028 </w:t>
            </w:r>
          </w:p>
        </w:tc>
      </w:tr>
      <w:tr w14:paraId="31A4A16C" w14:textId="77777777" w:rsidTr="3286AA9B">
        <w:tblPrEx>
          <w:tblW w:w="4918" w:type="pct"/>
          <w:tblInd w:w="-10" w:type="dxa"/>
          <w:tblLook w:val="04A0"/>
        </w:tblPrEx>
        <w:tc>
          <w:tcPr>
            <w:tcW w:w="2058" w:type="pct"/>
            <w:shd w:val="clear" w:color="auto" w:fill="FFFFFF" w:themeFill="background1"/>
            <w:vAlign w:val="center"/>
          </w:tcPr>
          <w:p w:rsidR="00136CF8" w:rsidRPr="00817076" w14:paraId="7066D5A7" w14:textId="391B1474">
            <w:pPr>
              <w:pStyle w:val="TX-TableText"/>
              <w:keepNext/>
              <w:keepLines/>
              <w:rPr>
                <w:rFonts w:ascii="Arial Narrow" w:hAnsi="Arial Narrow" w:cs="Calibri"/>
                <w:color w:val="auto"/>
              </w:rPr>
            </w:pPr>
            <w:r>
              <w:rPr>
                <w:rFonts w:ascii="Arial Narrow" w:hAnsi="Arial Narrow" w:cs="Calibri"/>
                <w:color w:val="auto"/>
              </w:rPr>
              <w:t xml:space="preserve">Youth </w:t>
            </w:r>
            <w:r w:rsidR="007C7053">
              <w:rPr>
                <w:rFonts w:ascii="Arial Narrow" w:hAnsi="Arial Narrow" w:cs="Calibri"/>
                <w:color w:val="auto"/>
              </w:rPr>
              <w:t>R</w:t>
            </w:r>
            <w:r>
              <w:rPr>
                <w:rFonts w:ascii="Arial Narrow" w:hAnsi="Arial Narrow" w:cs="Calibri"/>
                <w:color w:val="auto"/>
              </w:rPr>
              <w:t xml:space="preserve">eferral </w:t>
            </w:r>
            <w:r w:rsidR="007C7053">
              <w:rPr>
                <w:rFonts w:ascii="Arial Narrow" w:hAnsi="Arial Narrow" w:cs="Calibri"/>
                <w:color w:val="auto"/>
              </w:rPr>
              <w:t>I</w:t>
            </w:r>
            <w:r>
              <w:rPr>
                <w:rFonts w:ascii="Arial Narrow" w:hAnsi="Arial Narrow" w:cs="Calibri"/>
                <w:color w:val="auto"/>
              </w:rPr>
              <w:t xml:space="preserve">nformation </w:t>
            </w:r>
            <w:r w:rsidR="007C7053">
              <w:rPr>
                <w:rFonts w:ascii="Arial Narrow" w:hAnsi="Arial Narrow" w:cs="Calibri"/>
                <w:color w:val="auto"/>
              </w:rPr>
              <w:t>C</w:t>
            </w:r>
            <w:r>
              <w:rPr>
                <w:rFonts w:ascii="Arial Narrow" w:hAnsi="Arial Narrow" w:cs="Calibri"/>
                <w:color w:val="auto"/>
              </w:rPr>
              <w:t xml:space="preserve">ompleted by ETM and </w:t>
            </w:r>
            <w:r w:rsidR="007C7053">
              <w:rPr>
                <w:rFonts w:ascii="Arial Narrow" w:hAnsi="Arial Narrow" w:cs="Calibri"/>
                <w:color w:val="auto"/>
              </w:rPr>
              <w:t>P</w:t>
            </w:r>
            <w:r>
              <w:rPr>
                <w:rFonts w:ascii="Arial Narrow" w:hAnsi="Arial Narrow" w:cs="Calibri"/>
                <w:color w:val="auto"/>
              </w:rPr>
              <w:t xml:space="preserve">artner </w:t>
            </w:r>
            <w:r w:rsidR="007C7053">
              <w:rPr>
                <w:rFonts w:ascii="Arial Narrow" w:hAnsi="Arial Narrow" w:cs="Calibri"/>
                <w:color w:val="auto"/>
              </w:rPr>
              <w:t>S</w:t>
            </w:r>
            <w:r>
              <w:rPr>
                <w:rFonts w:ascii="Arial Narrow" w:hAnsi="Arial Narrow" w:cs="Calibri"/>
                <w:color w:val="auto"/>
              </w:rPr>
              <w:t>taff</w:t>
            </w:r>
            <w:r w:rsidR="00976DD1">
              <w:rPr>
                <w:rFonts w:ascii="Arial Narrow" w:hAnsi="Arial Narrow" w:cs="Calibri"/>
                <w:color w:val="auto"/>
              </w:rPr>
              <w:t xml:space="preserve"> </w:t>
            </w:r>
            <w:r w:rsidRPr="00976DD1" w:rsidR="00976DD1">
              <w:rPr>
                <w:rFonts w:ascii="Arial Narrow" w:hAnsi="Arial Narrow" w:cs="Calibri"/>
                <w:color w:val="auto"/>
              </w:rPr>
              <w:t>(Sections D.2-D.9 of Attachment A.1)</w:t>
            </w:r>
          </w:p>
        </w:tc>
        <w:tc>
          <w:tcPr>
            <w:tcW w:w="2942" w:type="pct"/>
            <w:vAlign w:val="center"/>
          </w:tcPr>
          <w:p w:rsidR="00136CF8" w:rsidRPr="008228C8" w14:paraId="341F58F6" w14:textId="0F080527">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w:t>
            </w:r>
            <w:r w:rsidRPr="008228C8" w:rsidR="005F1D95">
              <w:rPr>
                <w:rFonts w:ascii="Arial Narrow" w:eastAsia="Calibri" w:hAnsi="Arial Narrow"/>
                <w:color w:val="auto"/>
              </w:rPr>
              <w:t>2</w:t>
            </w:r>
            <w:r w:rsidR="001F6D65">
              <w:rPr>
                <w:rFonts w:ascii="Arial Narrow" w:eastAsia="Calibri" w:hAnsi="Arial Narrow"/>
                <w:color w:val="auto"/>
              </w:rPr>
              <w:t>,</w:t>
            </w:r>
            <w:r w:rsidRPr="008228C8">
              <w:rPr>
                <w:rFonts w:ascii="Arial Narrow" w:eastAsia="Calibri" w:hAnsi="Arial Narrow"/>
                <w:color w:val="auto"/>
              </w:rPr>
              <w:t xml:space="preserve"> </w:t>
            </w:r>
            <w:r w:rsidRPr="008228C8" w:rsidR="00B011B7">
              <w:rPr>
                <w:rFonts w:ascii="Arial Narrow" w:hAnsi="Arial Narrow"/>
                <w:color w:val="auto"/>
              </w:rPr>
              <w:t>CY</w:t>
            </w:r>
            <w:r w:rsidRPr="008228C8">
              <w:rPr>
                <w:rFonts w:ascii="Arial Narrow" w:eastAsia="Calibri" w:hAnsi="Arial Narrow"/>
                <w:color w:val="auto"/>
              </w:rPr>
              <w:t>202</w:t>
            </w:r>
            <w:r w:rsidRPr="008228C8" w:rsidR="005F1D95">
              <w:rPr>
                <w:rFonts w:ascii="Arial Narrow" w:eastAsia="Calibri" w:hAnsi="Arial Narrow"/>
                <w:color w:val="auto"/>
              </w:rPr>
              <w:t>6</w:t>
            </w:r>
            <w:r w:rsidR="001F6D65">
              <w:rPr>
                <w:rFonts w:ascii="Arial Narrow" w:eastAsia="Calibri" w:hAnsi="Arial Narrow"/>
                <w:color w:val="auto"/>
              </w:rPr>
              <w:t xml:space="preserve"> </w:t>
            </w:r>
            <w:r w:rsidRPr="008228C8">
              <w:rPr>
                <w:rFonts w:ascii="Arial Narrow" w:eastAsia="Calibri" w:hAnsi="Arial Narrow"/>
                <w:color w:val="auto"/>
              </w:rPr>
              <w:t>-</w:t>
            </w:r>
            <w:r w:rsidR="001F6D65">
              <w:rPr>
                <w:rFonts w:ascii="Arial Narrow" w:eastAsia="Calibri" w:hAnsi="Arial Narrow"/>
                <w:color w:val="auto"/>
              </w:rPr>
              <w:t xml:space="preserve"> </w:t>
            </w:r>
            <w:r w:rsidRPr="008228C8" w:rsidR="001B7EAC">
              <w:rPr>
                <w:rFonts w:ascii="Arial Narrow" w:eastAsia="Calibri" w:hAnsi="Arial Narrow"/>
                <w:color w:val="auto"/>
              </w:rPr>
              <w:t>Q</w:t>
            </w:r>
            <w:r w:rsidR="001B7EAC">
              <w:rPr>
                <w:rFonts w:ascii="Arial Narrow" w:eastAsia="Calibri" w:hAnsi="Arial Narrow"/>
                <w:color w:val="auto"/>
              </w:rPr>
              <w:t>3</w:t>
            </w:r>
            <w:r w:rsidR="001F6D65">
              <w:rPr>
                <w:rFonts w:ascii="Arial Narrow" w:eastAsia="Calibri" w:hAnsi="Arial Narrow"/>
                <w:color w:val="auto"/>
              </w:rPr>
              <w:t>,</w:t>
            </w:r>
            <w:r w:rsidRPr="008228C8">
              <w:rPr>
                <w:rFonts w:ascii="Arial Narrow" w:eastAsia="Calibri" w:hAnsi="Arial Narrow"/>
                <w:color w:val="auto"/>
              </w:rPr>
              <w:t xml:space="preserve"> </w:t>
            </w:r>
            <w:r w:rsidRPr="008228C8" w:rsidR="00B011B7">
              <w:rPr>
                <w:rFonts w:ascii="Arial Narrow" w:hAnsi="Arial Narrow"/>
                <w:color w:val="auto"/>
              </w:rPr>
              <w:t>CY</w:t>
            </w:r>
            <w:r w:rsidRPr="008228C8">
              <w:rPr>
                <w:rFonts w:ascii="Arial Narrow" w:eastAsia="Calibri" w:hAnsi="Arial Narrow"/>
                <w:color w:val="auto"/>
              </w:rPr>
              <w:t xml:space="preserve">2028 </w:t>
            </w:r>
          </w:p>
        </w:tc>
      </w:tr>
      <w:tr w14:paraId="2202CE71" w14:textId="77777777" w:rsidTr="3286AA9B">
        <w:tblPrEx>
          <w:tblW w:w="4918" w:type="pct"/>
          <w:tblInd w:w="-10" w:type="dxa"/>
          <w:tblLook w:val="04A0"/>
        </w:tblPrEx>
        <w:tc>
          <w:tcPr>
            <w:tcW w:w="2058" w:type="pct"/>
            <w:shd w:val="clear" w:color="auto" w:fill="FFFFFF" w:themeFill="background1"/>
            <w:vAlign w:val="center"/>
          </w:tcPr>
          <w:p w:rsidR="00097053" w:rsidP="00097053" w14:paraId="5F5EC79A" w14:textId="41BA6A35">
            <w:pPr>
              <w:pStyle w:val="TX-TableText"/>
              <w:keepNext/>
              <w:keepLines/>
              <w:rPr>
                <w:rFonts w:ascii="Arial Narrow" w:hAnsi="Arial Narrow" w:cs="Calibri"/>
                <w:color w:val="auto"/>
              </w:rPr>
            </w:pPr>
            <w:r w:rsidRPr="00097053">
              <w:rPr>
                <w:rFonts w:ascii="Arial Narrow" w:hAnsi="Arial Narrow" w:cs="Calibri"/>
                <w:color w:val="auto"/>
              </w:rPr>
              <w:t>Service Receipt Data for ETM Youth</w:t>
            </w:r>
            <w:r w:rsidR="00976DD1">
              <w:rPr>
                <w:rFonts w:ascii="Arial Narrow" w:hAnsi="Arial Narrow" w:cs="Calibri"/>
                <w:color w:val="auto"/>
              </w:rPr>
              <w:t xml:space="preserve"> </w:t>
            </w:r>
            <w:r w:rsidRPr="00976DD1" w:rsidR="00976DD1">
              <w:rPr>
                <w:rFonts w:ascii="Arial Narrow" w:hAnsi="Arial Narrow" w:cs="Calibri"/>
                <w:color w:val="auto"/>
              </w:rPr>
              <w:t>(Sections D.2-D.9 of Attachment A.1)</w:t>
            </w:r>
          </w:p>
        </w:tc>
        <w:tc>
          <w:tcPr>
            <w:tcW w:w="2942" w:type="pct"/>
            <w:vAlign w:val="center"/>
          </w:tcPr>
          <w:p w:rsidR="00097053" w:rsidRPr="008228C8" w:rsidP="00097053" w14:paraId="521C47FE" w14:textId="53989A31">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sidR="001F6D65">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sidR="001F6D65">
              <w:rPr>
                <w:rFonts w:ascii="Arial Narrow" w:eastAsia="Calibri" w:hAnsi="Arial Narrow"/>
                <w:color w:val="auto"/>
              </w:rPr>
              <w:t xml:space="preserve"> </w:t>
            </w:r>
            <w:r w:rsidRPr="008228C8">
              <w:rPr>
                <w:rFonts w:ascii="Arial Narrow" w:eastAsia="Calibri" w:hAnsi="Arial Narrow"/>
                <w:color w:val="auto"/>
              </w:rPr>
              <w:t>-</w:t>
            </w:r>
            <w:r w:rsidR="001F6D65">
              <w:rPr>
                <w:rFonts w:ascii="Arial Narrow" w:eastAsia="Calibri" w:hAnsi="Arial Narrow"/>
                <w:color w:val="auto"/>
              </w:rPr>
              <w:t xml:space="preserve"> </w:t>
            </w:r>
            <w:r w:rsidRPr="008228C8" w:rsidR="001B7EAC">
              <w:rPr>
                <w:rFonts w:ascii="Arial Narrow" w:eastAsia="Calibri" w:hAnsi="Arial Narrow"/>
                <w:color w:val="auto"/>
              </w:rPr>
              <w:t>Q</w:t>
            </w:r>
            <w:r w:rsidR="001B7EAC">
              <w:rPr>
                <w:rFonts w:ascii="Arial Narrow" w:eastAsia="Calibri" w:hAnsi="Arial Narrow"/>
                <w:color w:val="auto"/>
              </w:rPr>
              <w:t>3</w:t>
            </w:r>
            <w:r w:rsidR="001F6D65">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r w14:paraId="6F65D228" w14:textId="77777777" w:rsidTr="000F630F">
        <w:tblPrEx>
          <w:tblW w:w="4918" w:type="pct"/>
          <w:tblInd w:w="-10" w:type="dxa"/>
          <w:tblLook w:val="04A0"/>
        </w:tblPrEx>
        <w:tc>
          <w:tcPr>
            <w:tcW w:w="5000" w:type="pct"/>
            <w:gridSpan w:val="2"/>
            <w:shd w:val="clear" w:color="auto" w:fill="BFBFBF" w:themeFill="background1" w:themeFillShade="BF"/>
            <w:vAlign w:val="center"/>
          </w:tcPr>
          <w:p w:rsidR="00097053" w:rsidRPr="000F630F" w:rsidP="00097053" w14:paraId="510607CB" w14:textId="5763E005">
            <w:pPr>
              <w:pStyle w:val="TB-TableBullet"/>
              <w:keepNext/>
              <w:keepLines/>
              <w:numPr>
                <w:ilvl w:val="0"/>
                <w:numId w:val="0"/>
              </w:numPr>
              <w:ind w:left="144" w:hanging="144"/>
              <w:rPr>
                <w:rFonts w:ascii="Arial Narrow" w:hAnsi="Arial Narrow"/>
                <w:b/>
                <w:color w:val="auto"/>
              </w:rPr>
            </w:pPr>
            <w:r>
              <w:rPr>
                <w:rFonts w:ascii="Arial Narrow" w:hAnsi="Arial Narrow"/>
                <w:b/>
                <w:color w:val="auto"/>
              </w:rPr>
              <w:t>Imple</w:t>
            </w:r>
            <w:r w:rsidR="005A0586">
              <w:rPr>
                <w:rFonts w:ascii="Arial Narrow" w:hAnsi="Arial Narrow"/>
                <w:b/>
                <w:color w:val="auto"/>
              </w:rPr>
              <w:t>mentation Data</w:t>
            </w:r>
          </w:p>
        </w:tc>
      </w:tr>
      <w:tr w14:paraId="215E4284" w14:textId="77777777" w:rsidTr="009758AD">
        <w:tblPrEx>
          <w:tblW w:w="4918" w:type="pct"/>
          <w:tblInd w:w="-10" w:type="dxa"/>
          <w:tblLook w:val="04A0"/>
        </w:tblPrEx>
        <w:tc>
          <w:tcPr>
            <w:tcW w:w="5000" w:type="pct"/>
            <w:gridSpan w:val="2"/>
            <w:shd w:val="clear" w:color="auto" w:fill="E8E8E8" w:themeFill="background2"/>
            <w:vAlign w:val="center"/>
          </w:tcPr>
          <w:p w:rsidR="005A0586" w:rsidRPr="00DD107D" w:rsidP="00097053" w14:paraId="6D4F96EF" w14:textId="7C8D5F31">
            <w:pPr>
              <w:pStyle w:val="TB-TableBullet"/>
              <w:keepNext/>
              <w:keepLines/>
              <w:numPr>
                <w:ilvl w:val="0"/>
                <w:numId w:val="0"/>
              </w:numPr>
              <w:ind w:left="144" w:hanging="144"/>
              <w:rPr>
                <w:rFonts w:ascii="Arial Narrow" w:hAnsi="Arial Narrow"/>
                <w:b/>
                <w:i/>
                <w:iCs/>
                <w:color w:val="auto"/>
              </w:rPr>
            </w:pPr>
            <w:r w:rsidRPr="00DD107D">
              <w:rPr>
                <w:rFonts w:ascii="Arial Narrow" w:hAnsi="Arial Narrow"/>
                <w:b/>
                <w:i/>
                <w:iCs/>
                <w:color w:val="auto"/>
              </w:rPr>
              <w:t>Implementation Activities</w:t>
            </w:r>
          </w:p>
        </w:tc>
      </w:tr>
      <w:tr w14:paraId="7ED4379E" w14:textId="77777777" w:rsidTr="3286AA9B">
        <w:tblPrEx>
          <w:tblW w:w="4918" w:type="pct"/>
          <w:tblInd w:w="-10" w:type="dxa"/>
          <w:tblLook w:val="04A0"/>
        </w:tblPrEx>
        <w:tc>
          <w:tcPr>
            <w:tcW w:w="2058" w:type="pct"/>
            <w:shd w:val="clear" w:color="auto" w:fill="FFFFFF" w:themeFill="background1"/>
            <w:vAlign w:val="center"/>
          </w:tcPr>
          <w:p w:rsidR="00053D73" w:rsidRPr="00E01027" w:rsidP="00097053" w14:paraId="1516EE32" w14:textId="14314AA9">
            <w:pPr>
              <w:pStyle w:val="TX-TableText"/>
              <w:keepNext/>
              <w:keepLines/>
              <w:rPr>
                <w:rFonts w:ascii="Arial Narrow" w:hAnsi="Arial Narrow" w:cs="Calibri"/>
                <w:color w:val="auto"/>
              </w:rPr>
            </w:pPr>
            <w:r>
              <w:rPr>
                <w:rFonts w:ascii="Arial Narrow" w:hAnsi="Arial Narrow" w:cs="Calibri"/>
                <w:color w:val="auto"/>
              </w:rPr>
              <w:t>Semi-</w:t>
            </w:r>
            <w:r w:rsidR="007C7053">
              <w:rPr>
                <w:rFonts w:ascii="Arial Narrow" w:hAnsi="Arial Narrow" w:cs="Calibri"/>
                <w:color w:val="auto"/>
              </w:rPr>
              <w:t>S</w:t>
            </w:r>
            <w:r>
              <w:rPr>
                <w:rFonts w:ascii="Arial Narrow" w:hAnsi="Arial Narrow" w:cs="Calibri"/>
                <w:color w:val="auto"/>
              </w:rPr>
              <w:t xml:space="preserve">tructured </w:t>
            </w:r>
            <w:r w:rsidR="007C7053">
              <w:rPr>
                <w:rFonts w:ascii="Arial Narrow" w:hAnsi="Arial Narrow" w:cs="Calibri"/>
                <w:color w:val="auto"/>
              </w:rPr>
              <w:t>I</w:t>
            </w:r>
            <w:r w:rsidR="00556A82">
              <w:rPr>
                <w:rFonts w:ascii="Arial Narrow" w:hAnsi="Arial Narrow" w:cs="Calibri"/>
                <w:color w:val="auto"/>
              </w:rPr>
              <w:t xml:space="preserve">nterviews with </w:t>
            </w:r>
            <w:r w:rsidR="007C7053">
              <w:rPr>
                <w:rFonts w:ascii="Arial Narrow" w:hAnsi="Arial Narrow" w:cs="Calibri"/>
                <w:color w:val="auto"/>
              </w:rPr>
              <w:t>S</w:t>
            </w:r>
            <w:r w:rsidR="00556A82">
              <w:rPr>
                <w:rFonts w:ascii="Arial Narrow" w:hAnsi="Arial Narrow" w:cs="Calibri"/>
                <w:color w:val="auto"/>
              </w:rPr>
              <w:t>taff (</w:t>
            </w:r>
            <w:r w:rsidR="007C7053">
              <w:rPr>
                <w:rFonts w:ascii="Arial Narrow" w:hAnsi="Arial Narrow" w:cs="Calibri"/>
                <w:color w:val="auto"/>
              </w:rPr>
              <w:t>P</w:t>
            </w:r>
            <w:r w:rsidR="00556A82">
              <w:rPr>
                <w:rFonts w:ascii="Arial Narrow" w:hAnsi="Arial Narrow" w:cs="Calibri"/>
                <w:color w:val="auto"/>
              </w:rPr>
              <w:t xml:space="preserve">roject </w:t>
            </w:r>
            <w:r w:rsidR="007C7053">
              <w:rPr>
                <w:rFonts w:ascii="Arial Narrow" w:hAnsi="Arial Narrow" w:cs="Calibri"/>
                <w:color w:val="auto"/>
              </w:rPr>
              <w:t>D</w:t>
            </w:r>
            <w:r w:rsidR="00556A82">
              <w:rPr>
                <w:rFonts w:ascii="Arial Narrow" w:hAnsi="Arial Narrow" w:cs="Calibri"/>
                <w:color w:val="auto"/>
              </w:rPr>
              <w:t xml:space="preserve">irectors, ETM </w:t>
            </w:r>
            <w:r w:rsidR="007C7053">
              <w:rPr>
                <w:rFonts w:ascii="Arial Narrow" w:hAnsi="Arial Narrow" w:cs="Calibri"/>
                <w:color w:val="auto"/>
              </w:rPr>
              <w:t>L</w:t>
            </w:r>
            <w:r w:rsidR="00556A82">
              <w:rPr>
                <w:rFonts w:ascii="Arial Narrow" w:hAnsi="Arial Narrow" w:cs="Calibri"/>
                <w:color w:val="auto"/>
              </w:rPr>
              <w:t xml:space="preserve">ocal </w:t>
            </w:r>
            <w:r w:rsidR="007C7053">
              <w:rPr>
                <w:rFonts w:ascii="Arial Narrow" w:hAnsi="Arial Narrow" w:cs="Calibri"/>
                <w:color w:val="auto"/>
              </w:rPr>
              <w:t>S</w:t>
            </w:r>
            <w:r w:rsidR="00556A82">
              <w:rPr>
                <w:rFonts w:ascii="Arial Narrow" w:hAnsi="Arial Narrow" w:cs="Calibri"/>
                <w:color w:val="auto"/>
              </w:rPr>
              <w:t xml:space="preserve">ite </w:t>
            </w:r>
            <w:r w:rsidR="007C7053">
              <w:rPr>
                <w:rFonts w:ascii="Arial Narrow" w:hAnsi="Arial Narrow" w:cs="Calibri"/>
                <w:color w:val="auto"/>
              </w:rPr>
              <w:t>A</w:t>
            </w:r>
            <w:r w:rsidR="00556A82">
              <w:rPr>
                <w:rFonts w:ascii="Arial Narrow" w:hAnsi="Arial Narrow" w:cs="Calibri"/>
                <w:color w:val="auto"/>
              </w:rPr>
              <w:t xml:space="preserve">dministrators, and ETM </w:t>
            </w:r>
            <w:r w:rsidR="007C7053">
              <w:rPr>
                <w:rFonts w:ascii="Arial Narrow" w:hAnsi="Arial Narrow" w:cs="Calibri"/>
                <w:color w:val="auto"/>
              </w:rPr>
              <w:t>C</w:t>
            </w:r>
            <w:r w:rsidR="00556A82">
              <w:rPr>
                <w:rFonts w:ascii="Arial Narrow" w:hAnsi="Arial Narrow" w:cs="Calibri"/>
                <w:color w:val="auto"/>
              </w:rPr>
              <w:t xml:space="preserve">ase </w:t>
            </w:r>
            <w:r w:rsidR="007C7053">
              <w:rPr>
                <w:rFonts w:ascii="Arial Narrow" w:hAnsi="Arial Narrow" w:cs="Calibri"/>
                <w:color w:val="auto"/>
              </w:rPr>
              <w:t>M</w:t>
            </w:r>
            <w:r w:rsidR="00556A82">
              <w:rPr>
                <w:rFonts w:ascii="Arial Narrow" w:hAnsi="Arial Narrow" w:cs="Calibri"/>
                <w:color w:val="auto"/>
              </w:rPr>
              <w:t>anagers)</w:t>
            </w:r>
          </w:p>
        </w:tc>
        <w:tc>
          <w:tcPr>
            <w:tcW w:w="2942" w:type="pct"/>
            <w:vAlign w:val="center"/>
          </w:tcPr>
          <w:p w:rsidR="00556A82" w:rsidRPr="00817076" w:rsidP="00556A82" w14:paraId="1767EDE6" w14:textId="194B96BC">
            <w:pPr>
              <w:pStyle w:val="TB-TableBullet"/>
              <w:keepNext/>
              <w:keepLines/>
              <w:rPr>
                <w:rFonts w:ascii="Arial Narrow" w:hAnsi="Arial Narrow"/>
                <w:color w:val="auto"/>
              </w:rPr>
            </w:pPr>
            <w:r w:rsidRPr="00817076">
              <w:rPr>
                <w:rFonts w:ascii="Arial Narrow" w:hAnsi="Arial Narrow"/>
                <w:color w:val="auto"/>
              </w:rPr>
              <w:t xml:space="preserve">Site visit 1: </w:t>
            </w:r>
            <w:r>
              <w:rPr>
                <w:rFonts w:ascii="Arial Narrow" w:hAnsi="Arial Narrow"/>
                <w:color w:val="auto"/>
              </w:rPr>
              <w:t>Q2</w:t>
            </w:r>
            <w:r w:rsidR="001F6D65">
              <w:rPr>
                <w:rFonts w:ascii="Arial Narrow" w:hAnsi="Arial Narrow"/>
                <w:color w:val="auto"/>
              </w:rPr>
              <w:t>,</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w:t>
            </w:r>
            <w:r>
              <w:rPr>
                <w:rFonts w:ascii="Arial Narrow" w:hAnsi="Arial Narrow"/>
                <w:color w:val="auto"/>
              </w:rPr>
              <w:t>6</w:t>
            </w:r>
          </w:p>
          <w:p w:rsidR="00053D73" w:rsidP="00556A82" w14:paraId="2BBCA35F" w14:textId="42450040">
            <w:pPr>
              <w:pStyle w:val="TB-TableBullet"/>
              <w:keepNext/>
              <w:keepLines/>
              <w:rPr>
                <w:rFonts w:ascii="Arial Narrow" w:hAnsi="Arial Narrow"/>
                <w:color w:val="auto"/>
              </w:rPr>
            </w:pPr>
            <w:r w:rsidRPr="00817076">
              <w:rPr>
                <w:rFonts w:ascii="Arial Narrow" w:hAnsi="Arial Narrow"/>
                <w:color w:val="auto"/>
              </w:rPr>
              <w:t xml:space="preserve">Site </w:t>
            </w:r>
            <w:r>
              <w:rPr>
                <w:rFonts w:ascii="Arial Narrow" w:hAnsi="Arial Narrow"/>
                <w:color w:val="auto"/>
              </w:rPr>
              <w:t>v</w:t>
            </w:r>
            <w:r w:rsidRPr="00817076">
              <w:rPr>
                <w:rFonts w:ascii="Arial Narrow" w:hAnsi="Arial Narrow"/>
                <w:color w:val="auto"/>
              </w:rPr>
              <w:t xml:space="preserve">isit 2: </w:t>
            </w:r>
            <w:r>
              <w:rPr>
                <w:rFonts w:ascii="Arial Narrow" w:hAnsi="Arial Narrow"/>
                <w:color w:val="auto"/>
              </w:rPr>
              <w:t>Q3</w:t>
            </w:r>
            <w:r w:rsidR="001F6D65">
              <w:rPr>
                <w:rFonts w:ascii="Arial Narrow" w:hAnsi="Arial Narrow"/>
                <w:color w:val="auto"/>
              </w:rPr>
              <w:t>,</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2027</w:t>
            </w:r>
          </w:p>
        </w:tc>
      </w:tr>
      <w:tr w14:paraId="5B1172C5" w14:textId="77777777" w:rsidTr="006A5559">
        <w:tblPrEx>
          <w:tblW w:w="4918" w:type="pct"/>
          <w:tblInd w:w="-10" w:type="dxa"/>
          <w:tblLook w:val="04A0"/>
        </w:tblPrEx>
        <w:tc>
          <w:tcPr>
            <w:tcW w:w="5000" w:type="pct"/>
            <w:gridSpan w:val="2"/>
            <w:shd w:val="clear" w:color="auto" w:fill="E8E8E8" w:themeFill="background2"/>
            <w:vAlign w:val="center"/>
          </w:tcPr>
          <w:p w:rsidR="006A5559" w:rsidP="006A5559" w14:paraId="0A72396B" w14:textId="3B5649D8">
            <w:pPr>
              <w:pStyle w:val="TB-TableBullet"/>
              <w:keepNext/>
              <w:keepLines/>
              <w:numPr>
                <w:ilvl w:val="0"/>
                <w:numId w:val="0"/>
              </w:numPr>
              <w:ind w:left="144" w:hanging="144"/>
              <w:rPr>
                <w:rFonts w:ascii="Arial Narrow" w:hAnsi="Arial Narrow"/>
                <w:color w:val="auto"/>
              </w:rPr>
            </w:pPr>
            <w:r>
              <w:rPr>
                <w:rFonts w:ascii="Arial Narrow" w:hAnsi="Arial Narrow"/>
                <w:b/>
                <w:i/>
                <w:iCs/>
                <w:color w:val="auto"/>
              </w:rPr>
              <w:t>Partnering Activities</w:t>
            </w:r>
          </w:p>
        </w:tc>
      </w:tr>
      <w:tr w14:paraId="7B0E8718" w14:textId="77777777" w:rsidTr="3286AA9B">
        <w:tblPrEx>
          <w:tblW w:w="4918" w:type="pct"/>
          <w:tblInd w:w="-10" w:type="dxa"/>
          <w:tblLook w:val="04A0"/>
        </w:tblPrEx>
        <w:tc>
          <w:tcPr>
            <w:tcW w:w="2058" w:type="pct"/>
            <w:shd w:val="clear" w:color="auto" w:fill="FFFFFF" w:themeFill="background1"/>
            <w:vAlign w:val="center"/>
          </w:tcPr>
          <w:p w:rsidR="006A5559" w:rsidRPr="00E01027" w:rsidP="006A5559" w14:paraId="2B7A437B" w14:textId="6CD54951">
            <w:pPr>
              <w:pStyle w:val="TX-TableText"/>
              <w:keepNext/>
              <w:keepLines/>
              <w:rPr>
                <w:rFonts w:ascii="Arial Narrow" w:hAnsi="Arial Narrow" w:cs="Calibri"/>
                <w:color w:val="auto"/>
              </w:rPr>
            </w:pPr>
            <w:r w:rsidRPr="005D1FD3">
              <w:rPr>
                <w:rFonts w:ascii="Arial Narrow" w:hAnsi="Arial Narrow" w:cs="Calibri"/>
                <w:color w:val="auto"/>
              </w:rPr>
              <w:t xml:space="preserve">Partnering </w:t>
            </w:r>
            <w:r w:rsidR="00C026D4">
              <w:rPr>
                <w:rFonts w:ascii="Arial Narrow" w:hAnsi="Arial Narrow" w:cs="Calibri"/>
                <w:color w:val="auto"/>
              </w:rPr>
              <w:t xml:space="preserve">List </w:t>
            </w:r>
            <w:r>
              <w:rPr>
                <w:rFonts w:ascii="Arial Narrow" w:hAnsi="Arial Narrow" w:cs="Calibri"/>
                <w:color w:val="auto"/>
              </w:rPr>
              <w:t xml:space="preserve">and </w:t>
            </w:r>
            <w:r w:rsidR="007C7053">
              <w:rPr>
                <w:rFonts w:ascii="Arial Narrow" w:hAnsi="Arial Narrow" w:cs="Calibri"/>
                <w:color w:val="auto"/>
              </w:rPr>
              <w:t>S</w:t>
            </w:r>
            <w:r w:rsidR="00F51215">
              <w:rPr>
                <w:rFonts w:ascii="Arial Narrow" w:hAnsi="Arial Narrow" w:cs="Calibri"/>
                <w:color w:val="auto"/>
              </w:rPr>
              <w:t>emi-</w:t>
            </w:r>
            <w:r w:rsidR="007C7053">
              <w:rPr>
                <w:rFonts w:ascii="Arial Narrow" w:hAnsi="Arial Narrow" w:cs="Calibri"/>
                <w:color w:val="auto"/>
              </w:rPr>
              <w:t>S</w:t>
            </w:r>
            <w:r w:rsidR="00F51215">
              <w:rPr>
                <w:rFonts w:ascii="Arial Narrow" w:hAnsi="Arial Narrow" w:cs="Calibri"/>
                <w:color w:val="auto"/>
              </w:rPr>
              <w:t xml:space="preserve">tructured </w:t>
            </w:r>
            <w:r w:rsidR="007C7053">
              <w:rPr>
                <w:rFonts w:ascii="Arial Narrow" w:hAnsi="Arial Narrow" w:cs="Calibri"/>
                <w:color w:val="auto"/>
              </w:rPr>
              <w:t>I</w:t>
            </w:r>
            <w:r>
              <w:rPr>
                <w:rFonts w:ascii="Arial Narrow" w:hAnsi="Arial Narrow" w:cs="Calibri"/>
                <w:color w:val="auto"/>
              </w:rPr>
              <w:t>nterviews</w:t>
            </w:r>
          </w:p>
        </w:tc>
        <w:tc>
          <w:tcPr>
            <w:tcW w:w="2942" w:type="pct"/>
            <w:vAlign w:val="center"/>
          </w:tcPr>
          <w:p w:rsidR="006A5559" w:rsidRPr="00817076" w:rsidP="006A5559" w14:paraId="300A93EC" w14:textId="3D5A6ECA">
            <w:pPr>
              <w:pStyle w:val="TB-TableBullet"/>
              <w:keepNext/>
              <w:keepLines/>
              <w:rPr>
                <w:rFonts w:ascii="Arial Narrow" w:hAnsi="Arial Narrow"/>
                <w:color w:val="auto"/>
              </w:rPr>
            </w:pPr>
            <w:r>
              <w:rPr>
                <w:rFonts w:ascii="Arial Narrow" w:hAnsi="Arial Narrow"/>
                <w:color w:val="auto"/>
              </w:rPr>
              <w:t>Q2</w:t>
            </w:r>
            <w:r w:rsidR="001F6D65">
              <w:rPr>
                <w:rFonts w:ascii="Arial Narrow" w:hAnsi="Arial Narrow"/>
                <w:color w:val="auto"/>
              </w:rPr>
              <w:t>,</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w:t>
            </w:r>
            <w:r>
              <w:rPr>
                <w:rFonts w:ascii="Arial Narrow" w:hAnsi="Arial Narrow"/>
                <w:color w:val="auto"/>
              </w:rPr>
              <w:t>6</w:t>
            </w:r>
          </w:p>
          <w:p w:rsidR="006A5559" w:rsidRPr="006A5559" w:rsidP="006A5559" w14:paraId="0C7B8E4B" w14:textId="51EFDACA">
            <w:pPr>
              <w:pStyle w:val="TB-TableBullet"/>
              <w:keepNext/>
              <w:keepLines/>
              <w:rPr>
                <w:rFonts w:ascii="Arial Narrow" w:hAnsi="Arial Narrow"/>
                <w:color w:val="auto"/>
              </w:rPr>
            </w:pPr>
            <w:r>
              <w:rPr>
                <w:rFonts w:ascii="Arial Narrow" w:hAnsi="Arial Narrow"/>
                <w:color w:val="auto"/>
              </w:rPr>
              <w:t>Q3</w:t>
            </w:r>
            <w:r w:rsidR="001F6D65">
              <w:rPr>
                <w:rFonts w:ascii="Arial Narrow" w:hAnsi="Arial Narrow"/>
                <w:color w:val="auto"/>
              </w:rPr>
              <w:t>,</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2027</w:t>
            </w:r>
          </w:p>
        </w:tc>
      </w:tr>
      <w:tr w14:paraId="3E68EA92" w14:textId="77777777" w:rsidTr="006A5559">
        <w:tblPrEx>
          <w:tblW w:w="4918" w:type="pct"/>
          <w:tblInd w:w="-10" w:type="dxa"/>
          <w:tblLook w:val="04A0"/>
        </w:tblPrEx>
        <w:tc>
          <w:tcPr>
            <w:tcW w:w="5000" w:type="pct"/>
            <w:gridSpan w:val="2"/>
            <w:shd w:val="clear" w:color="auto" w:fill="E8E8E8" w:themeFill="background2"/>
            <w:vAlign w:val="center"/>
          </w:tcPr>
          <w:p w:rsidR="006A5559" w:rsidP="006A5559" w14:paraId="18B6F886" w14:textId="7AF0D0FA">
            <w:pPr>
              <w:pStyle w:val="TB-TableBullet"/>
              <w:keepNext/>
              <w:keepLines/>
              <w:numPr>
                <w:ilvl w:val="0"/>
                <w:numId w:val="0"/>
              </w:numPr>
              <w:ind w:left="144" w:hanging="144"/>
              <w:rPr>
                <w:rFonts w:ascii="Arial Narrow" w:hAnsi="Arial Narrow"/>
                <w:color w:val="auto"/>
              </w:rPr>
            </w:pPr>
            <w:r>
              <w:rPr>
                <w:rFonts w:ascii="Arial Narrow" w:hAnsi="Arial Narrow"/>
                <w:b/>
                <w:i/>
                <w:iCs/>
                <w:color w:val="auto"/>
              </w:rPr>
              <w:t>ETM Program Experiences</w:t>
            </w:r>
          </w:p>
        </w:tc>
      </w:tr>
      <w:tr w14:paraId="709807CC" w14:textId="77777777" w:rsidTr="3286AA9B">
        <w:tblPrEx>
          <w:tblW w:w="4918" w:type="pct"/>
          <w:tblInd w:w="-10" w:type="dxa"/>
          <w:tblLook w:val="04A0"/>
        </w:tblPrEx>
        <w:tc>
          <w:tcPr>
            <w:tcW w:w="2058" w:type="pct"/>
            <w:shd w:val="clear" w:color="auto" w:fill="FFFFFF" w:themeFill="background1"/>
            <w:vAlign w:val="center"/>
          </w:tcPr>
          <w:p w:rsidR="006A5559" w:rsidRPr="008C4531" w:rsidP="006A5559" w14:paraId="303C3973" w14:textId="38FDA6E6">
            <w:pPr>
              <w:pStyle w:val="TX-TableText"/>
              <w:keepNext/>
              <w:keepLines/>
              <w:rPr>
                <w:rFonts w:ascii="Arial Narrow" w:hAnsi="Arial Narrow" w:cs="Calibri"/>
                <w:color w:val="auto"/>
              </w:rPr>
            </w:pPr>
            <w:r w:rsidRPr="00E01027">
              <w:rPr>
                <w:rFonts w:ascii="Arial Narrow" w:hAnsi="Arial Narrow" w:cs="Calibri"/>
                <w:color w:val="auto"/>
              </w:rPr>
              <w:t>Semi-</w:t>
            </w:r>
            <w:r w:rsidR="007C7053">
              <w:rPr>
                <w:rFonts w:ascii="Arial Narrow" w:hAnsi="Arial Narrow" w:cs="Calibri"/>
                <w:color w:val="auto"/>
              </w:rPr>
              <w:t>S</w:t>
            </w:r>
            <w:r w:rsidRPr="00E01027">
              <w:rPr>
                <w:rFonts w:ascii="Arial Narrow" w:hAnsi="Arial Narrow" w:cs="Calibri"/>
                <w:color w:val="auto"/>
              </w:rPr>
              <w:t xml:space="preserve">tructured </w:t>
            </w:r>
            <w:r w:rsidR="007C7053">
              <w:rPr>
                <w:rFonts w:ascii="Arial Narrow" w:hAnsi="Arial Narrow" w:cs="Calibri"/>
                <w:color w:val="auto"/>
              </w:rPr>
              <w:t>I</w:t>
            </w:r>
            <w:r w:rsidRPr="00E01027">
              <w:rPr>
                <w:rFonts w:ascii="Arial Narrow" w:hAnsi="Arial Narrow" w:cs="Calibri"/>
                <w:color w:val="auto"/>
              </w:rPr>
              <w:t xml:space="preserve">nterviews with ETM </w:t>
            </w:r>
            <w:r w:rsidR="007C7053">
              <w:rPr>
                <w:rFonts w:ascii="Arial Narrow" w:hAnsi="Arial Narrow" w:cs="Calibri"/>
                <w:color w:val="auto"/>
              </w:rPr>
              <w:t>Y</w:t>
            </w:r>
            <w:r w:rsidRPr="00E01027">
              <w:rPr>
                <w:rFonts w:ascii="Arial Narrow" w:hAnsi="Arial Narrow" w:cs="Calibri"/>
                <w:color w:val="auto"/>
              </w:rPr>
              <w:t>outh</w:t>
            </w:r>
          </w:p>
        </w:tc>
        <w:tc>
          <w:tcPr>
            <w:tcW w:w="2942" w:type="pct"/>
            <w:vAlign w:val="center"/>
          </w:tcPr>
          <w:p w:rsidR="006A5559" w:rsidRPr="008C4531" w:rsidP="006A5559" w14:paraId="4706F2A9" w14:textId="7B5E1B4A">
            <w:pPr>
              <w:pStyle w:val="TB-TableBullet"/>
              <w:keepNext/>
              <w:keepLines/>
              <w:rPr>
                <w:rFonts w:ascii="Arial Narrow" w:eastAsia="Calibri" w:hAnsi="Arial Narrow"/>
                <w:color w:val="auto"/>
              </w:rPr>
            </w:pPr>
            <w:r>
              <w:rPr>
                <w:rFonts w:ascii="Arial Narrow" w:hAnsi="Arial Narrow"/>
                <w:color w:val="auto"/>
              </w:rPr>
              <w:t>Site Visit/</w:t>
            </w:r>
            <w:r w:rsidRPr="193288C4">
              <w:rPr>
                <w:rFonts w:ascii="Arial Narrow" w:hAnsi="Arial Narrow"/>
                <w:color w:val="auto"/>
              </w:rPr>
              <w:t>Virtual: Q2/</w:t>
            </w:r>
            <w:r w:rsidR="001F6D65">
              <w:rPr>
                <w:rFonts w:ascii="Arial Narrow" w:hAnsi="Arial Narrow"/>
                <w:color w:val="auto"/>
              </w:rPr>
              <w:t>Q</w:t>
            </w:r>
            <w:r w:rsidRPr="193288C4">
              <w:rPr>
                <w:rFonts w:ascii="Arial Narrow" w:hAnsi="Arial Narrow"/>
                <w:color w:val="auto"/>
              </w:rPr>
              <w:t>3</w:t>
            </w:r>
            <w:r w:rsidR="001F6D65">
              <w:rPr>
                <w:rFonts w:ascii="Arial Narrow" w:hAnsi="Arial Narrow"/>
                <w:color w:val="auto"/>
              </w:rPr>
              <w:t>,</w:t>
            </w:r>
            <w:r w:rsidRPr="193288C4">
              <w:rPr>
                <w:rFonts w:ascii="Arial Narrow" w:hAnsi="Arial Narrow"/>
                <w:color w:val="auto"/>
              </w:rPr>
              <w:t xml:space="preserve"> </w:t>
            </w:r>
            <w:r>
              <w:rPr>
                <w:rFonts w:ascii="Arial Narrow" w:hAnsi="Arial Narrow"/>
                <w:color w:val="auto"/>
              </w:rPr>
              <w:t>CY</w:t>
            </w:r>
            <w:r w:rsidRPr="193288C4">
              <w:rPr>
                <w:rFonts w:ascii="Arial Narrow" w:hAnsi="Arial Narrow"/>
                <w:color w:val="auto"/>
              </w:rPr>
              <w:t xml:space="preserve">2027 </w:t>
            </w:r>
          </w:p>
        </w:tc>
      </w:tr>
      <w:tr w14:paraId="0DEB1CAC" w14:textId="77777777" w:rsidTr="3286AA9B">
        <w:tblPrEx>
          <w:tblW w:w="4918" w:type="pct"/>
          <w:tblInd w:w="-10" w:type="dxa"/>
          <w:tblLook w:val="04A0"/>
        </w:tblPrEx>
        <w:tc>
          <w:tcPr>
            <w:tcW w:w="2058" w:type="pct"/>
            <w:shd w:val="clear" w:color="auto" w:fill="FFFFFF" w:themeFill="background1"/>
            <w:vAlign w:val="center"/>
          </w:tcPr>
          <w:p w:rsidR="006A5559" w:rsidRPr="008C4531" w:rsidP="006A5559" w14:paraId="1370051D" w14:textId="3591F1C3">
            <w:pPr>
              <w:pStyle w:val="TX-TableText"/>
              <w:keepNext/>
              <w:keepLines/>
              <w:rPr>
                <w:rFonts w:ascii="Arial Narrow" w:hAnsi="Arial Narrow" w:cs="Calibri"/>
                <w:color w:val="auto"/>
              </w:rPr>
            </w:pPr>
            <w:r w:rsidRPr="00595DF8">
              <w:rPr>
                <w:rFonts w:ascii="Arial Narrow" w:hAnsi="Arial Narrow" w:cs="Calibri"/>
                <w:color w:val="auto"/>
              </w:rPr>
              <w:t>Semi-</w:t>
            </w:r>
            <w:r w:rsidR="007C7053">
              <w:rPr>
                <w:rFonts w:ascii="Arial Narrow" w:hAnsi="Arial Narrow" w:cs="Calibri"/>
                <w:color w:val="auto"/>
              </w:rPr>
              <w:t>S</w:t>
            </w:r>
            <w:r w:rsidRPr="00595DF8">
              <w:rPr>
                <w:rFonts w:ascii="Arial Narrow" w:hAnsi="Arial Narrow" w:cs="Calibri"/>
                <w:color w:val="auto"/>
              </w:rPr>
              <w:t xml:space="preserve">tructured </w:t>
            </w:r>
            <w:r w:rsidR="007C7053">
              <w:rPr>
                <w:rFonts w:ascii="Arial Narrow" w:hAnsi="Arial Narrow" w:cs="Calibri"/>
                <w:color w:val="auto"/>
              </w:rPr>
              <w:t>I</w:t>
            </w:r>
            <w:r w:rsidRPr="00595DF8">
              <w:rPr>
                <w:rFonts w:ascii="Arial Narrow" w:hAnsi="Arial Narrow" w:cs="Calibri"/>
                <w:color w:val="auto"/>
              </w:rPr>
              <w:t xml:space="preserve">nterviews with </w:t>
            </w:r>
            <w:r w:rsidR="00883225">
              <w:rPr>
                <w:rFonts w:ascii="Arial Narrow" w:hAnsi="Arial Narrow" w:cs="Calibri"/>
                <w:color w:val="auto"/>
              </w:rPr>
              <w:t>P</w:t>
            </w:r>
            <w:r w:rsidRPr="00595DF8">
              <w:rPr>
                <w:rFonts w:ascii="Arial Narrow" w:hAnsi="Arial Narrow" w:cs="Calibri"/>
                <w:color w:val="auto"/>
              </w:rPr>
              <w:t xml:space="preserve">arents and </w:t>
            </w:r>
            <w:r w:rsidR="00883225">
              <w:rPr>
                <w:rFonts w:ascii="Arial Narrow" w:hAnsi="Arial Narrow" w:cs="Calibri"/>
                <w:color w:val="auto"/>
              </w:rPr>
              <w:t>G</w:t>
            </w:r>
            <w:r w:rsidRPr="00595DF8">
              <w:rPr>
                <w:rFonts w:ascii="Arial Narrow" w:hAnsi="Arial Narrow" w:cs="Calibri"/>
                <w:color w:val="auto"/>
              </w:rPr>
              <w:t xml:space="preserve">uardians of ETM </w:t>
            </w:r>
            <w:r w:rsidR="00883225">
              <w:rPr>
                <w:rFonts w:ascii="Arial Narrow" w:hAnsi="Arial Narrow" w:cs="Calibri"/>
                <w:color w:val="auto"/>
              </w:rPr>
              <w:t>Y</w:t>
            </w:r>
            <w:r w:rsidRPr="00595DF8">
              <w:rPr>
                <w:rFonts w:ascii="Arial Narrow" w:hAnsi="Arial Narrow" w:cs="Calibri"/>
                <w:color w:val="auto"/>
              </w:rPr>
              <w:t>outh</w:t>
            </w:r>
          </w:p>
        </w:tc>
        <w:tc>
          <w:tcPr>
            <w:tcW w:w="2942" w:type="pct"/>
            <w:vAlign w:val="center"/>
          </w:tcPr>
          <w:p w:rsidR="006A5559" w:rsidRPr="008C4531" w:rsidP="006A5559" w14:paraId="2A580601" w14:textId="047994A8">
            <w:pPr>
              <w:pStyle w:val="TB-TableBullet"/>
              <w:keepNext/>
              <w:keepLines/>
              <w:rPr>
                <w:rFonts w:ascii="Arial Narrow" w:hAnsi="Arial Narrow"/>
                <w:color w:val="auto"/>
              </w:rPr>
            </w:pPr>
            <w:r w:rsidRPr="725A60FF">
              <w:rPr>
                <w:rFonts w:ascii="Arial Narrow" w:hAnsi="Arial Narrow"/>
                <w:color w:val="auto"/>
              </w:rPr>
              <w:t>Virtual: Q2/</w:t>
            </w:r>
            <w:r>
              <w:rPr>
                <w:rFonts w:ascii="Arial Narrow" w:hAnsi="Arial Narrow"/>
                <w:color w:val="auto"/>
              </w:rPr>
              <w:t>Q</w:t>
            </w:r>
            <w:r w:rsidRPr="725A60FF">
              <w:rPr>
                <w:rFonts w:ascii="Arial Narrow" w:hAnsi="Arial Narrow"/>
                <w:color w:val="auto"/>
              </w:rPr>
              <w:t>3</w:t>
            </w:r>
            <w:r w:rsidR="001F6D65">
              <w:rPr>
                <w:rFonts w:ascii="Arial Narrow" w:hAnsi="Arial Narrow"/>
                <w:color w:val="auto"/>
              </w:rPr>
              <w:t>,</w:t>
            </w:r>
            <w:r w:rsidRPr="725A60FF">
              <w:rPr>
                <w:rFonts w:ascii="Arial Narrow" w:hAnsi="Arial Narrow"/>
                <w:color w:val="auto"/>
              </w:rPr>
              <w:t xml:space="preserve"> </w:t>
            </w:r>
            <w:r>
              <w:rPr>
                <w:rFonts w:ascii="Arial Narrow" w:hAnsi="Arial Narrow"/>
                <w:color w:val="auto"/>
              </w:rPr>
              <w:t>CY</w:t>
            </w:r>
            <w:r w:rsidRPr="725A60FF">
              <w:rPr>
                <w:rFonts w:ascii="Arial Narrow" w:hAnsi="Arial Narrow"/>
                <w:color w:val="auto"/>
              </w:rPr>
              <w:t>2027</w:t>
            </w:r>
          </w:p>
        </w:tc>
      </w:tr>
      <w:tr w14:paraId="63E2C309" w14:textId="77777777" w:rsidTr="3286AA9B">
        <w:tblPrEx>
          <w:tblW w:w="4918" w:type="pct"/>
          <w:tblInd w:w="-10" w:type="dxa"/>
          <w:tblLook w:val="04A0"/>
        </w:tblPrEx>
        <w:tc>
          <w:tcPr>
            <w:tcW w:w="2058" w:type="pct"/>
            <w:shd w:val="clear" w:color="auto" w:fill="FFFFFF" w:themeFill="background1"/>
            <w:vAlign w:val="center"/>
          </w:tcPr>
          <w:p w:rsidR="006A5559" w:rsidRPr="008C4531" w:rsidP="006A5559" w14:paraId="0FB7B0D4" w14:textId="5C2EC311">
            <w:pPr>
              <w:pStyle w:val="TX-TableText"/>
              <w:keepNext/>
              <w:keepLines/>
              <w:rPr>
                <w:rFonts w:ascii="Arial Narrow" w:hAnsi="Arial Narrow" w:cs="Calibri"/>
                <w:color w:val="auto"/>
              </w:rPr>
            </w:pPr>
            <w:r w:rsidRPr="00201C53">
              <w:rPr>
                <w:rFonts w:ascii="Arial Narrow" w:hAnsi="Arial Narrow" w:cs="Calibri"/>
                <w:color w:val="auto"/>
              </w:rPr>
              <w:t>Semi-</w:t>
            </w:r>
            <w:r w:rsidR="00883225">
              <w:rPr>
                <w:rFonts w:ascii="Arial Narrow" w:hAnsi="Arial Narrow" w:cs="Calibri"/>
                <w:color w:val="auto"/>
              </w:rPr>
              <w:t>S</w:t>
            </w:r>
            <w:r w:rsidRPr="00201C53">
              <w:rPr>
                <w:rFonts w:ascii="Arial Narrow" w:hAnsi="Arial Narrow" w:cs="Calibri"/>
                <w:color w:val="auto"/>
              </w:rPr>
              <w:t xml:space="preserve">tructured </w:t>
            </w:r>
            <w:r w:rsidR="00883225">
              <w:rPr>
                <w:rFonts w:ascii="Arial Narrow" w:hAnsi="Arial Narrow" w:cs="Calibri"/>
                <w:color w:val="auto"/>
              </w:rPr>
              <w:t>I</w:t>
            </w:r>
            <w:r w:rsidRPr="00201C53">
              <w:rPr>
                <w:rFonts w:ascii="Arial Narrow" w:hAnsi="Arial Narrow" w:cs="Calibri"/>
                <w:color w:val="auto"/>
              </w:rPr>
              <w:t xml:space="preserve">nterviews with </w:t>
            </w:r>
            <w:r w:rsidR="00883225">
              <w:rPr>
                <w:rFonts w:ascii="Arial Narrow" w:hAnsi="Arial Narrow" w:cs="Calibri"/>
                <w:color w:val="auto"/>
              </w:rPr>
              <w:t>E</w:t>
            </w:r>
            <w:r w:rsidRPr="00201C53">
              <w:rPr>
                <w:rFonts w:ascii="Arial Narrow" w:hAnsi="Arial Narrow" w:cs="Calibri"/>
                <w:color w:val="auto"/>
              </w:rPr>
              <w:t>mployers</w:t>
            </w:r>
          </w:p>
        </w:tc>
        <w:tc>
          <w:tcPr>
            <w:tcW w:w="2942" w:type="pct"/>
            <w:vAlign w:val="center"/>
          </w:tcPr>
          <w:p w:rsidR="006A5559" w:rsidRPr="006F6D08" w:rsidP="006A5559" w14:paraId="4E6716CE" w14:textId="2C0DC024">
            <w:pPr>
              <w:pStyle w:val="TB-TableBullet"/>
              <w:keepNext/>
              <w:keepLines/>
              <w:rPr>
                <w:rFonts w:ascii="Arial Narrow" w:hAnsi="Arial Narrow"/>
                <w:color w:val="auto"/>
              </w:rPr>
            </w:pPr>
            <w:r w:rsidRPr="3286AA9B">
              <w:rPr>
                <w:rFonts w:ascii="Arial Narrow" w:hAnsi="Arial Narrow"/>
                <w:color w:val="auto"/>
              </w:rPr>
              <w:t>Hybrid: Q2</w:t>
            </w:r>
            <w:r>
              <w:rPr>
                <w:rFonts w:ascii="Arial Narrow" w:hAnsi="Arial Narrow"/>
                <w:color w:val="auto"/>
              </w:rPr>
              <w:t>/Q3</w:t>
            </w:r>
            <w:r w:rsidR="001F6D65">
              <w:rPr>
                <w:rFonts w:ascii="Arial Narrow" w:hAnsi="Arial Narrow"/>
                <w:color w:val="auto"/>
              </w:rPr>
              <w:t>,</w:t>
            </w:r>
            <w:r w:rsidRPr="3286AA9B">
              <w:rPr>
                <w:rFonts w:ascii="Arial Narrow" w:hAnsi="Arial Narrow"/>
                <w:color w:val="auto"/>
              </w:rPr>
              <w:t xml:space="preserve"> </w:t>
            </w:r>
            <w:r>
              <w:rPr>
                <w:rFonts w:ascii="Arial Narrow" w:hAnsi="Arial Narrow"/>
                <w:color w:val="auto"/>
              </w:rPr>
              <w:t>CY</w:t>
            </w:r>
            <w:r w:rsidRPr="3286AA9B">
              <w:rPr>
                <w:rFonts w:ascii="Arial Narrow" w:hAnsi="Arial Narrow"/>
                <w:color w:val="auto"/>
              </w:rPr>
              <w:t>2027</w:t>
            </w:r>
          </w:p>
        </w:tc>
      </w:tr>
      <w:tr w14:paraId="1B4C57ED" w14:textId="77777777">
        <w:tblPrEx>
          <w:tblW w:w="4918" w:type="pct"/>
          <w:tblInd w:w="-10" w:type="dxa"/>
          <w:tblLook w:val="04A0"/>
        </w:tblPrEx>
        <w:tc>
          <w:tcPr>
            <w:tcW w:w="5000" w:type="pct"/>
            <w:gridSpan w:val="2"/>
            <w:shd w:val="clear" w:color="auto" w:fill="BFBFBF" w:themeFill="background1" w:themeFillShade="BF"/>
            <w:vAlign w:val="center"/>
          </w:tcPr>
          <w:p w:rsidR="006A5559" w:rsidRPr="00112009" w:rsidP="006A5559" w14:paraId="7235F6DC" w14:textId="19193AAF">
            <w:pPr>
              <w:pStyle w:val="TB-TableBullet"/>
              <w:keepNext/>
              <w:keepLines/>
              <w:numPr>
                <w:ilvl w:val="0"/>
                <w:numId w:val="0"/>
              </w:numPr>
              <w:ind w:left="144" w:hanging="144"/>
              <w:rPr>
                <w:rFonts w:ascii="Arial Narrow" w:eastAsia="Calibri" w:hAnsi="Arial Narrow"/>
                <w:b/>
                <w:bCs/>
                <w:color w:val="auto"/>
              </w:rPr>
            </w:pPr>
            <w:r>
              <w:rPr>
                <w:rFonts w:ascii="Arial Narrow" w:hAnsi="Arial Narrow"/>
                <w:b/>
                <w:bCs/>
                <w:color w:val="auto"/>
              </w:rPr>
              <w:t>Outcome Data</w:t>
            </w:r>
          </w:p>
        </w:tc>
      </w:tr>
      <w:tr w14:paraId="22085F4C" w14:textId="77777777" w:rsidTr="00776B6F">
        <w:tblPrEx>
          <w:tblW w:w="4918" w:type="pct"/>
          <w:tblInd w:w="-10" w:type="dxa"/>
          <w:tblLook w:val="04A0"/>
        </w:tblPrEx>
        <w:tc>
          <w:tcPr>
            <w:tcW w:w="5000" w:type="pct"/>
            <w:gridSpan w:val="2"/>
            <w:shd w:val="clear" w:color="auto" w:fill="E8E8E8" w:themeFill="background2"/>
            <w:vAlign w:val="center"/>
          </w:tcPr>
          <w:p w:rsidR="006A5559" w:rsidRPr="00776B6F" w:rsidP="006A5559" w14:paraId="0216069D" w14:textId="57BDC601">
            <w:pPr>
              <w:pStyle w:val="TB-TableBullet"/>
              <w:keepNext/>
              <w:keepLines/>
              <w:numPr>
                <w:ilvl w:val="0"/>
                <w:numId w:val="0"/>
              </w:numPr>
              <w:ind w:left="144" w:hanging="144"/>
              <w:rPr>
                <w:rFonts w:ascii="Arial Narrow" w:hAnsi="Arial Narrow"/>
                <w:b/>
                <w:bCs/>
                <w:i/>
                <w:iCs/>
                <w:color w:val="auto"/>
              </w:rPr>
            </w:pPr>
            <w:r w:rsidRPr="00776B6F">
              <w:rPr>
                <w:rFonts w:ascii="Arial Narrow" w:hAnsi="Arial Narrow"/>
                <w:b/>
                <w:bCs/>
                <w:i/>
                <w:iCs/>
                <w:color w:val="auto"/>
              </w:rPr>
              <w:t>Customer Satisfaction</w:t>
            </w:r>
          </w:p>
        </w:tc>
      </w:tr>
      <w:tr w14:paraId="5D39E8EA" w14:textId="77777777" w:rsidTr="3286AA9B">
        <w:tblPrEx>
          <w:tblW w:w="4918" w:type="pct"/>
          <w:tblInd w:w="-10" w:type="dxa"/>
          <w:tblLook w:val="04A0"/>
        </w:tblPrEx>
        <w:trPr>
          <w:trHeight w:val="259"/>
        </w:trPr>
        <w:tc>
          <w:tcPr>
            <w:tcW w:w="2058" w:type="pct"/>
            <w:shd w:val="clear" w:color="auto" w:fill="FFFFFF" w:themeFill="background1"/>
          </w:tcPr>
          <w:p w:rsidR="006A5559" w:rsidRPr="00213321" w:rsidP="006A5559" w14:paraId="0A0C51A2" w14:textId="21349D8D">
            <w:pPr>
              <w:pStyle w:val="TH-TableHeading"/>
              <w:keepNext/>
              <w:keepLines/>
              <w:jc w:val="left"/>
              <w:rPr>
                <w:rFonts w:ascii="Arial Narrow" w:hAnsi="Arial Narrow" w:cs="Calibri"/>
                <w:b w:val="0"/>
                <w:color w:val="auto"/>
              </w:rPr>
            </w:pPr>
            <w:r w:rsidRPr="0051550C">
              <w:rPr>
                <w:rFonts w:ascii="Arial Narrow" w:hAnsi="Arial Narrow" w:cs="Calibri"/>
                <w:b w:val="0"/>
                <w:color w:val="auto"/>
              </w:rPr>
              <w:t xml:space="preserve">Satisfaction </w:t>
            </w:r>
            <w:r w:rsidR="00883225">
              <w:rPr>
                <w:rFonts w:ascii="Arial Narrow" w:hAnsi="Arial Narrow" w:cs="Calibri"/>
                <w:b w:val="0"/>
                <w:color w:val="auto"/>
              </w:rPr>
              <w:t>D</w:t>
            </w:r>
            <w:r w:rsidRPr="0051550C">
              <w:rPr>
                <w:rFonts w:ascii="Arial Narrow" w:hAnsi="Arial Narrow" w:cs="Calibri"/>
                <w:b w:val="0"/>
                <w:color w:val="auto"/>
              </w:rPr>
              <w:t xml:space="preserve">ata from ETM </w:t>
            </w:r>
            <w:r w:rsidR="00883225">
              <w:rPr>
                <w:rFonts w:ascii="Arial Narrow" w:hAnsi="Arial Narrow" w:cs="Calibri"/>
                <w:b w:val="0"/>
                <w:color w:val="auto"/>
              </w:rPr>
              <w:t>Y</w:t>
            </w:r>
            <w:r w:rsidRPr="0051550C">
              <w:rPr>
                <w:rFonts w:ascii="Arial Narrow" w:hAnsi="Arial Narrow" w:cs="Calibri"/>
                <w:b w:val="0"/>
                <w:color w:val="auto"/>
              </w:rPr>
              <w:t>outh</w:t>
            </w:r>
          </w:p>
        </w:tc>
        <w:tc>
          <w:tcPr>
            <w:tcW w:w="2942" w:type="pct"/>
          </w:tcPr>
          <w:p w:rsidR="006A5559" w:rsidP="006A5559" w14:paraId="15A45ABE" w14:textId="288C2D24">
            <w:pPr>
              <w:pStyle w:val="TB-TableBullet"/>
              <w:keepNext/>
              <w:keepLines/>
              <w:rPr>
                <w:rFonts w:ascii="Arial Narrow" w:hAnsi="Arial Narrow"/>
                <w:color w:val="auto"/>
              </w:rPr>
            </w:pPr>
            <w:r>
              <w:rPr>
                <w:rFonts w:ascii="Arial Narrow" w:hAnsi="Arial Narrow"/>
                <w:color w:val="auto"/>
              </w:rPr>
              <w:t xml:space="preserve">At the end of each </w:t>
            </w:r>
            <w:r w:rsidR="00693D0C">
              <w:rPr>
                <w:rFonts w:ascii="Arial Narrow" w:hAnsi="Arial Narrow"/>
                <w:color w:val="auto"/>
              </w:rPr>
              <w:t xml:space="preserve">grant </w:t>
            </w:r>
            <w:r>
              <w:rPr>
                <w:rFonts w:ascii="Arial Narrow" w:hAnsi="Arial Narrow"/>
                <w:color w:val="auto"/>
              </w:rPr>
              <w:t>year from CY2026</w:t>
            </w:r>
            <w:r w:rsidR="006564B3">
              <w:rPr>
                <w:rFonts w:ascii="Arial Narrow" w:hAnsi="Arial Narrow"/>
                <w:color w:val="auto"/>
              </w:rPr>
              <w:t xml:space="preserve"> </w:t>
            </w:r>
            <w:r>
              <w:rPr>
                <w:rFonts w:ascii="Arial Narrow" w:hAnsi="Arial Narrow"/>
                <w:color w:val="auto"/>
              </w:rPr>
              <w:t>-</w:t>
            </w:r>
            <w:r w:rsidR="006564B3">
              <w:rPr>
                <w:rFonts w:ascii="Arial Narrow" w:hAnsi="Arial Narrow"/>
                <w:color w:val="auto"/>
              </w:rPr>
              <w:t xml:space="preserve"> </w:t>
            </w:r>
            <w:r>
              <w:rPr>
                <w:rFonts w:ascii="Arial Narrow" w:hAnsi="Arial Narrow"/>
                <w:color w:val="auto"/>
              </w:rPr>
              <w:t>CY2028</w:t>
            </w:r>
          </w:p>
        </w:tc>
      </w:tr>
      <w:tr w14:paraId="54B588A3" w14:textId="77777777" w:rsidTr="3286AA9B">
        <w:tblPrEx>
          <w:tblW w:w="4918" w:type="pct"/>
          <w:tblInd w:w="-10" w:type="dxa"/>
          <w:tblLook w:val="04A0"/>
        </w:tblPrEx>
        <w:trPr>
          <w:trHeight w:val="259"/>
        </w:trPr>
        <w:tc>
          <w:tcPr>
            <w:tcW w:w="2058" w:type="pct"/>
            <w:shd w:val="clear" w:color="auto" w:fill="FFFFFF" w:themeFill="background1"/>
          </w:tcPr>
          <w:p w:rsidR="006A5559" w:rsidRPr="00213321" w:rsidP="006A5559" w14:paraId="74BA154F" w14:textId="3213C0D5">
            <w:pPr>
              <w:pStyle w:val="TH-TableHeading"/>
              <w:keepNext/>
              <w:keepLines/>
              <w:jc w:val="left"/>
              <w:rPr>
                <w:rFonts w:ascii="Arial Narrow" w:hAnsi="Arial Narrow" w:cs="Calibri"/>
                <w:b w:val="0"/>
                <w:color w:val="auto"/>
              </w:rPr>
            </w:pPr>
            <w:r w:rsidRPr="00D569CD">
              <w:rPr>
                <w:rFonts w:ascii="Arial Narrow" w:hAnsi="Arial Narrow" w:cs="Calibri"/>
                <w:b w:val="0"/>
                <w:color w:val="auto"/>
              </w:rPr>
              <w:t xml:space="preserve">Satisfaction </w:t>
            </w:r>
            <w:r w:rsidR="00883225">
              <w:rPr>
                <w:rFonts w:ascii="Arial Narrow" w:hAnsi="Arial Narrow" w:cs="Calibri"/>
                <w:b w:val="0"/>
                <w:color w:val="auto"/>
              </w:rPr>
              <w:t>D</w:t>
            </w:r>
            <w:r w:rsidRPr="00D569CD">
              <w:rPr>
                <w:rFonts w:ascii="Arial Narrow" w:hAnsi="Arial Narrow" w:cs="Calibri"/>
                <w:b w:val="0"/>
                <w:color w:val="auto"/>
              </w:rPr>
              <w:t xml:space="preserve">ata from </w:t>
            </w:r>
            <w:r w:rsidR="00883225">
              <w:rPr>
                <w:rFonts w:ascii="Arial Narrow" w:hAnsi="Arial Narrow" w:cs="Calibri"/>
                <w:b w:val="0"/>
                <w:color w:val="auto"/>
              </w:rPr>
              <w:t>F</w:t>
            </w:r>
            <w:r w:rsidRPr="00D569CD">
              <w:rPr>
                <w:rFonts w:ascii="Arial Narrow" w:hAnsi="Arial Narrow" w:cs="Calibri"/>
                <w:b w:val="0"/>
                <w:color w:val="auto"/>
              </w:rPr>
              <w:t xml:space="preserve">amilies of ETM </w:t>
            </w:r>
            <w:r w:rsidR="00883225">
              <w:rPr>
                <w:rFonts w:ascii="Arial Narrow" w:hAnsi="Arial Narrow" w:cs="Calibri"/>
                <w:b w:val="0"/>
                <w:color w:val="auto"/>
              </w:rPr>
              <w:t>Y</w:t>
            </w:r>
            <w:r w:rsidRPr="00D569CD">
              <w:rPr>
                <w:rFonts w:ascii="Arial Narrow" w:hAnsi="Arial Narrow" w:cs="Calibri"/>
                <w:b w:val="0"/>
                <w:color w:val="auto"/>
              </w:rPr>
              <w:t>outh</w:t>
            </w:r>
          </w:p>
        </w:tc>
        <w:tc>
          <w:tcPr>
            <w:tcW w:w="2942" w:type="pct"/>
          </w:tcPr>
          <w:p w:rsidR="006A5559" w:rsidP="006A5559" w14:paraId="21D07216" w14:textId="2F9594DE">
            <w:pPr>
              <w:pStyle w:val="TB-TableBullet"/>
              <w:keepNext/>
              <w:keepLines/>
              <w:rPr>
                <w:rFonts w:ascii="Arial Narrow" w:hAnsi="Arial Narrow"/>
                <w:color w:val="auto"/>
              </w:rPr>
            </w:pPr>
            <w:r>
              <w:rPr>
                <w:rFonts w:ascii="Arial Narrow" w:hAnsi="Arial Narrow"/>
                <w:color w:val="auto"/>
              </w:rPr>
              <w:t xml:space="preserve">At the end of each </w:t>
            </w:r>
            <w:r w:rsidR="00000275">
              <w:rPr>
                <w:rFonts w:ascii="Arial Narrow" w:hAnsi="Arial Narrow"/>
                <w:color w:val="auto"/>
              </w:rPr>
              <w:t xml:space="preserve">grant </w:t>
            </w:r>
            <w:r>
              <w:rPr>
                <w:rFonts w:ascii="Arial Narrow" w:hAnsi="Arial Narrow"/>
                <w:color w:val="auto"/>
              </w:rPr>
              <w:t>year from CY2026</w:t>
            </w:r>
            <w:r w:rsidR="006564B3">
              <w:rPr>
                <w:rFonts w:ascii="Arial Narrow" w:hAnsi="Arial Narrow"/>
                <w:color w:val="auto"/>
              </w:rPr>
              <w:t xml:space="preserve"> </w:t>
            </w:r>
            <w:r>
              <w:rPr>
                <w:rFonts w:ascii="Arial Narrow" w:hAnsi="Arial Narrow"/>
                <w:color w:val="auto"/>
              </w:rPr>
              <w:t>-</w:t>
            </w:r>
            <w:r w:rsidR="006564B3">
              <w:rPr>
                <w:rFonts w:ascii="Arial Narrow" w:hAnsi="Arial Narrow"/>
                <w:color w:val="auto"/>
              </w:rPr>
              <w:t xml:space="preserve"> </w:t>
            </w:r>
            <w:r>
              <w:rPr>
                <w:rFonts w:ascii="Arial Narrow" w:hAnsi="Arial Narrow"/>
                <w:color w:val="auto"/>
              </w:rPr>
              <w:t>CY2028</w:t>
            </w:r>
          </w:p>
        </w:tc>
      </w:tr>
      <w:tr w14:paraId="2F0232D9" w14:textId="77777777" w:rsidTr="3286AA9B">
        <w:tblPrEx>
          <w:tblW w:w="4918" w:type="pct"/>
          <w:tblInd w:w="-10" w:type="dxa"/>
          <w:tblLook w:val="04A0"/>
        </w:tblPrEx>
        <w:trPr>
          <w:trHeight w:val="259"/>
        </w:trPr>
        <w:tc>
          <w:tcPr>
            <w:tcW w:w="2058" w:type="pct"/>
            <w:shd w:val="clear" w:color="auto" w:fill="FFFFFF" w:themeFill="background1"/>
          </w:tcPr>
          <w:p w:rsidR="006A5559" w:rsidRPr="00213321" w:rsidP="006A5559" w14:paraId="03197E5E" w14:textId="420FD299">
            <w:pPr>
              <w:pStyle w:val="TH-TableHeading"/>
              <w:keepNext/>
              <w:keepLines/>
              <w:jc w:val="left"/>
              <w:rPr>
                <w:rFonts w:ascii="Arial Narrow" w:hAnsi="Arial Narrow" w:cs="Calibri"/>
                <w:b w:val="0"/>
                <w:color w:val="auto"/>
              </w:rPr>
            </w:pPr>
            <w:r w:rsidRPr="002752BA">
              <w:rPr>
                <w:rFonts w:ascii="Arial Narrow" w:hAnsi="Arial Narrow" w:cs="Calibri"/>
                <w:b w:val="0"/>
                <w:color w:val="auto"/>
              </w:rPr>
              <w:t xml:space="preserve">Satisfaction </w:t>
            </w:r>
            <w:r w:rsidR="00883225">
              <w:rPr>
                <w:rFonts w:ascii="Arial Narrow" w:hAnsi="Arial Narrow" w:cs="Calibri"/>
                <w:b w:val="0"/>
                <w:color w:val="auto"/>
              </w:rPr>
              <w:t>D</w:t>
            </w:r>
            <w:r w:rsidRPr="002752BA">
              <w:rPr>
                <w:rFonts w:ascii="Arial Narrow" w:hAnsi="Arial Narrow" w:cs="Calibri"/>
                <w:b w:val="0"/>
                <w:color w:val="auto"/>
              </w:rPr>
              <w:t xml:space="preserve">ata from ETM </w:t>
            </w:r>
            <w:r w:rsidR="00883225">
              <w:rPr>
                <w:rFonts w:ascii="Arial Narrow" w:hAnsi="Arial Narrow" w:cs="Calibri"/>
                <w:b w:val="0"/>
                <w:color w:val="auto"/>
              </w:rPr>
              <w:t>E</w:t>
            </w:r>
            <w:r w:rsidRPr="002752BA">
              <w:rPr>
                <w:rFonts w:ascii="Arial Narrow" w:hAnsi="Arial Narrow" w:cs="Calibri"/>
                <w:b w:val="0"/>
                <w:color w:val="auto"/>
              </w:rPr>
              <w:t>mployers</w:t>
            </w:r>
          </w:p>
        </w:tc>
        <w:tc>
          <w:tcPr>
            <w:tcW w:w="2942" w:type="pct"/>
          </w:tcPr>
          <w:p w:rsidR="006A5559" w:rsidP="006A5559" w14:paraId="04118404" w14:textId="4CE77E37">
            <w:pPr>
              <w:pStyle w:val="TB-TableBullet"/>
              <w:keepNext/>
              <w:keepLines/>
              <w:rPr>
                <w:rFonts w:ascii="Arial Narrow" w:hAnsi="Arial Narrow"/>
                <w:color w:val="auto"/>
              </w:rPr>
            </w:pPr>
            <w:r>
              <w:rPr>
                <w:rFonts w:ascii="Arial Narrow" w:hAnsi="Arial Narrow"/>
                <w:color w:val="auto"/>
              </w:rPr>
              <w:t xml:space="preserve">At the end of each </w:t>
            </w:r>
            <w:r w:rsidR="00000275">
              <w:rPr>
                <w:rFonts w:ascii="Arial Narrow" w:hAnsi="Arial Narrow"/>
                <w:color w:val="auto"/>
              </w:rPr>
              <w:t xml:space="preserve">grant </w:t>
            </w:r>
            <w:r>
              <w:rPr>
                <w:rFonts w:ascii="Arial Narrow" w:hAnsi="Arial Narrow"/>
                <w:color w:val="auto"/>
              </w:rPr>
              <w:t>year from CY2026</w:t>
            </w:r>
            <w:r w:rsidR="006564B3">
              <w:rPr>
                <w:rFonts w:ascii="Arial Narrow" w:hAnsi="Arial Narrow"/>
                <w:color w:val="auto"/>
              </w:rPr>
              <w:t xml:space="preserve"> </w:t>
            </w:r>
            <w:r>
              <w:rPr>
                <w:rFonts w:ascii="Arial Narrow" w:hAnsi="Arial Narrow"/>
                <w:color w:val="auto"/>
              </w:rPr>
              <w:t>-</w:t>
            </w:r>
            <w:r w:rsidR="006564B3">
              <w:rPr>
                <w:rFonts w:ascii="Arial Narrow" w:hAnsi="Arial Narrow"/>
                <w:color w:val="auto"/>
              </w:rPr>
              <w:t xml:space="preserve"> </w:t>
            </w:r>
            <w:r>
              <w:rPr>
                <w:rFonts w:ascii="Arial Narrow" w:hAnsi="Arial Narrow"/>
                <w:color w:val="auto"/>
              </w:rPr>
              <w:t>CY2028</w:t>
            </w:r>
          </w:p>
        </w:tc>
      </w:tr>
      <w:tr w14:paraId="1F83FF57" w14:textId="77777777" w:rsidTr="3286AA9B">
        <w:tblPrEx>
          <w:tblW w:w="4918" w:type="pct"/>
          <w:tblInd w:w="-10" w:type="dxa"/>
          <w:tblLook w:val="04A0"/>
        </w:tblPrEx>
        <w:trPr>
          <w:trHeight w:val="259"/>
        </w:trPr>
        <w:tc>
          <w:tcPr>
            <w:tcW w:w="2058" w:type="pct"/>
            <w:shd w:val="clear" w:color="auto" w:fill="FFFFFF" w:themeFill="background1"/>
          </w:tcPr>
          <w:p w:rsidR="006A5559" w:rsidRPr="00213321" w:rsidP="006A5559" w14:paraId="2FB4885D" w14:textId="79C81623">
            <w:pPr>
              <w:pStyle w:val="TH-TableHeading"/>
              <w:keepNext/>
              <w:keepLines/>
              <w:jc w:val="left"/>
              <w:rPr>
                <w:rFonts w:ascii="Arial Narrow" w:hAnsi="Arial Narrow" w:cs="Calibri"/>
                <w:b w:val="0"/>
                <w:color w:val="auto"/>
              </w:rPr>
            </w:pPr>
            <w:r w:rsidRPr="008E621D">
              <w:rPr>
                <w:rFonts w:ascii="Arial Narrow" w:hAnsi="Arial Narrow" w:cs="Calibri"/>
                <w:b w:val="0"/>
                <w:color w:val="auto"/>
              </w:rPr>
              <w:t xml:space="preserve">Satisfaction </w:t>
            </w:r>
            <w:r w:rsidR="00883225">
              <w:rPr>
                <w:rFonts w:ascii="Arial Narrow" w:hAnsi="Arial Narrow" w:cs="Calibri"/>
                <w:b w:val="0"/>
                <w:color w:val="auto"/>
              </w:rPr>
              <w:t>D</w:t>
            </w:r>
            <w:r w:rsidRPr="008E621D">
              <w:rPr>
                <w:rFonts w:ascii="Arial Narrow" w:hAnsi="Arial Narrow" w:cs="Calibri"/>
                <w:b w:val="0"/>
                <w:color w:val="auto"/>
              </w:rPr>
              <w:t xml:space="preserve">ata from </w:t>
            </w:r>
            <w:r w:rsidR="00883225">
              <w:rPr>
                <w:rFonts w:ascii="Arial Narrow" w:hAnsi="Arial Narrow" w:cs="Calibri"/>
                <w:b w:val="0"/>
                <w:color w:val="auto"/>
              </w:rPr>
              <w:t>P</w:t>
            </w:r>
            <w:r w:rsidRPr="008E621D">
              <w:rPr>
                <w:rFonts w:ascii="Arial Narrow" w:hAnsi="Arial Narrow" w:cs="Calibri"/>
                <w:b w:val="0"/>
                <w:color w:val="auto"/>
              </w:rPr>
              <w:t xml:space="preserve">roject </w:t>
            </w:r>
            <w:r w:rsidR="00883225">
              <w:rPr>
                <w:rFonts w:ascii="Arial Narrow" w:hAnsi="Arial Narrow" w:cs="Calibri"/>
                <w:b w:val="0"/>
                <w:color w:val="auto"/>
              </w:rPr>
              <w:t>P</w:t>
            </w:r>
            <w:r w:rsidRPr="008E621D">
              <w:rPr>
                <w:rFonts w:ascii="Arial Narrow" w:hAnsi="Arial Narrow" w:cs="Calibri"/>
                <w:b w:val="0"/>
                <w:color w:val="auto"/>
              </w:rPr>
              <w:t>artners</w:t>
            </w:r>
          </w:p>
        </w:tc>
        <w:tc>
          <w:tcPr>
            <w:tcW w:w="2942" w:type="pct"/>
          </w:tcPr>
          <w:p w:rsidR="006A5559" w:rsidP="006A5559" w14:paraId="3BE01B4C" w14:textId="0606405B">
            <w:pPr>
              <w:pStyle w:val="TB-TableBullet"/>
              <w:keepNext/>
              <w:keepLines/>
              <w:rPr>
                <w:rFonts w:ascii="Arial Narrow" w:hAnsi="Arial Narrow"/>
                <w:color w:val="auto"/>
              </w:rPr>
            </w:pPr>
            <w:r>
              <w:rPr>
                <w:rFonts w:ascii="Arial Narrow" w:hAnsi="Arial Narrow"/>
                <w:color w:val="auto"/>
              </w:rPr>
              <w:t xml:space="preserve">At the end of each </w:t>
            </w:r>
            <w:r w:rsidR="00000275">
              <w:rPr>
                <w:rFonts w:ascii="Arial Narrow" w:hAnsi="Arial Narrow"/>
                <w:color w:val="auto"/>
              </w:rPr>
              <w:t xml:space="preserve">grant </w:t>
            </w:r>
            <w:r>
              <w:rPr>
                <w:rFonts w:ascii="Arial Narrow" w:hAnsi="Arial Narrow"/>
                <w:color w:val="auto"/>
              </w:rPr>
              <w:t>year from CY2026</w:t>
            </w:r>
            <w:r w:rsidR="006564B3">
              <w:rPr>
                <w:rFonts w:ascii="Arial Narrow" w:hAnsi="Arial Narrow"/>
                <w:color w:val="auto"/>
              </w:rPr>
              <w:t xml:space="preserve"> </w:t>
            </w:r>
            <w:r>
              <w:rPr>
                <w:rFonts w:ascii="Arial Narrow" w:hAnsi="Arial Narrow"/>
                <w:color w:val="auto"/>
              </w:rPr>
              <w:t>-</w:t>
            </w:r>
            <w:r w:rsidR="006564B3">
              <w:rPr>
                <w:rFonts w:ascii="Arial Narrow" w:hAnsi="Arial Narrow"/>
                <w:color w:val="auto"/>
              </w:rPr>
              <w:t xml:space="preserve"> </w:t>
            </w:r>
            <w:r>
              <w:rPr>
                <w:rFonts w:ascii="Arial Narrow" w:hAnsi="Arial Narrow"/>
                <w:color w:val="auto"/>
              </w:rPr>
              <w:t>CY2028</w:t>
            </w:r>
          </w:p>
        </w:tc>
      </w:tr>
      <w:tr w14:paraId="76FAC100" w14:textId="77777777" w:rsidTr="000736BA">
        <w:tblPrEx>
          <w:tblW w:w="4918" w:type="pct"/>
          <w:tblInd w:w="-10" w:type="dxa"/>
          <w:tblLook w:val="04A0"/>
        </w:tblPrEx>
        <w:trPr>
          <w:trHeight w:val="259"/>
        </w:trPr>
        <w:tc>
          <w:tcPr>
            <w:tcW w:w="5000" w:type="pct"/>
            <w:gridSpan w:val="2"/>
            <w:shd w:val="clear" w:color="auto" w:fill="E8E8E8" w:themeFill="background2"/>
          </w:tcPr>
          <w:p w:rsidR="006A5559" w:rsidRPr="000736BA" w:rsidP="006A5559" w14:paraId="25277D33" w14:textId="1EA3E74C">
            <w:pPr>
              <w:pStyle w:val="TB-TableBullet"/>
              <w:keepNext/>
              <w:keepLines/>
              <w:numPr>
                <w:ilvl w:val="0"/>
                <w:numId w:val="0"/>
              </w:numPr>
              <w:ind w:left="144" w:hanging="144"/>
              <w:rPr>
                <w:rFonts w:ascii="Arial Narrow" w:hAnsi="Arial Narrow"/>
                <w:b/>
                <w:bCs/>
                <w:i/>
                <w:iCs/>
                <w:color w:val="auto"/>
              </w:rPr>
            </w:pPr>
            <w:r w:rsidRPr="000736BA">
              <w:rPr>
                <w:rFonts w:ascii="Arial Narrow" w:hAnsi="Arial Narrow"/>
                <w:b/>
                <w:bCs/>
                <w:i/>
                <w:iCs/>
                <w:color w:val="auto"/>
              </w:rPr>
              <w:t>Education and Employment Outcomes</w:t>
            </w:r>
            <w:r w:rsidRPr="00556A82" w:rsidR="00556A82">
              <w:rPr>
                <w:rFonts w:ascii="Arial Narrow" w:hAnsi="Arial Narrow"/>
                <w:b/>
                <w:bCs/>
                <w:i/>
                <w:iCs/>
                <w:color w:val="auto"/>
                <w:vertAlign w:val="superscript"/>
              </w:rPr>
              <w:t>b</w:t>
            </w:r>
          </w:p>
        </w:tc>
      </w:tr>
      <w:tr w14:paraId="35DB4580" w14:textId="77777777">
        <w:tblPrEx>
          <w:tblW w:w="4918" w:type="pct"/>
          <w:tblInd w:w="-10" w:type="dxa"/>
          <w:tblLook w:val="04A0"/>
        </w:tblPrEx>
        <w:trPr>
          <w:trHeight w:val="259"/>
        </w:trPr>
        <w:tc>
          <w:tcPr>
            <w:tcW w:w="2058" w:type="pct"/>
            <w:shd w:val="clear" w:color="auto" w:fill="FFFFFF" w:themeFill="background1"/>
          </w:tcPr>
          <w:p w:rsidR="006A5559" w:rsidRPr="00213321" w:rsidP="006A5559" w14:paraId="0C12204A" w14:textId="19036849">
            <w:pPr>
              <w:pStyle w:val="TH-TableHeading"/>
              <w:keepNext/>
              <w:keepLines/>
              <w:jc w:val="left"/>
              <w:rPr>
                <w:rFonts w:ascii="Arial Narrow" w:hAnsi="Arial Narrow" w:cs="Calibri"/>
                <w:b w:val="0"/>
                <w:color w:val="auto"/>
              </w:rPr>
            </w:pPr>
            <w:r w:rsidRPr="004E74D8">
              <w:rPr>
                <w:rFonts w:ascii="Arial Narrow" w:hAnsi="Arial Narrow" w:cs="Calibri"/>
                <w:b w:val="0"/>
                <w:color w:val="auto"/>
              </w:rPr>
              <w:t xml:space="preserve">Information on </w:t>
            </w:r>
            <w:r w:rsidR="00883225">
              <w:rPr>
                <w:rFonts w:ascii="Arial Narrow" w:hAnsi="Arial Narrow" w:cs="Calibri"/>
                <w:b w:val="0"/>
                <w:color w:val="auto"/>
              </w:rPr>
              <w:t>O</w:t>
            </w:r>
            <w:r w:rsidRPr="004E74D8">
              <w:rPr>
                <w:rFonts w:ascii="Arial Narrow" w:hAnsi="Arial Narrow" w:cs="Calibri"/>
                <w:b w:val="0"/>
                <w:color w:val="auto"/>
              </w:rPr>
              <w:t xml:space="preserve">utcomes </w:t>
            </w:r>
            <w:r w:rsidR="00883225">
              <w:rPr>
                <w:rFonts w:ascii="Arial Narrow" w:hAnsi="Arial Narrow" w:cs="Calibri"/>
                <w:b w:val="0"/>
                <w:color w:val="auto"/>
              </w:rPr>
              <w:t>R</w:t>
            </w:r>
            <w:r w:rsidRPr="004E74D8">
              <w:rPr>
                <w:rFonts w:ascii="Arial Narrow" w:hAnsi="Arial Narrow" w:cs="Calibri"/>
                <w:b w:val="0"/>
                <w:color w:val="auto"/>
              </w:rPr>
              <w:t xml:space="preserve">ecorded by ETM and AJC </w:t>
            </w:r>
            <w:r w:rsidR="00883225">
              <w:rPr>
                <w:rFonts w:ascii="Arial Narrow" w:hAnsi="Arial Narrow" w:cs="Calibri"/>
                <w:b w:val="0"/>
                <w:color w:val="auto"/>
              </w:rPr>
              <w:t>S</w:t>
            </w:r>
            <w:r w:rsidRPr="004E74D8">
              <w:rPr>
                <w:rFonts w:ascii="Arial Narrow" w:hAnsi="Arial Narrow" w:cs="Calibri"/>
                <w:b w:val="0"/>
                <w:color w:val="auto"/>
              </w:rPr>
              <w:t>taff</w:t>
            </w:r>
          </w:p>
        </w:tc>
        <w:tc>
          <w:tcPr>
            <w:tcW w:w="2942" w:type="pct"/>
            <w:vAlign w:val="center"/>
          </w:tcPr>
          <w:p w:rsidR="006A5559" w:rsidP="006A5559" w14:paraId="2E6D657D" w14:textId="089B3AD8">
            <w:pPr>
              <w:pStyle w:val="TB-TableBullet"/>
              <w:keepNext/>
              <w:keepLines/>
              <w:rPr>
                <w:rFonts w:ascii="Arial Narrow"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sidR="006564B3">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sidR="006564B3">
              <w:rPr>
                <w:rFonts w:ascii="Arial Narrow" w:eastAsia="Calibri" w:hAnsi="Arial Narrow"/>
                <w:color w:val="auto"/>
              </w:rPr>
              <w:t xml:space="preserve"> </w:t>
            </w:r>
            <w:r w:rsidRPr="008228C8">
              <w:rPr>
                <w:rFonts w:ascii="Arial Narrow" w:eastAsia="Calibri" w:hAnsi="Arial Narrow"/>
                <w:color w:val="auto"/>
              </w:rPr>
              <w:t>-</w:t>
            </w:r>
            <w:r w:rsidR="006564B3">
              <w:rPr>
                <w:rFonts w:ascii="Arial Narrow" w:eastAsia="Calibri" w:hAnsi="Arial Narrow"/>
                <w:color w:val="auto"/>
              </w:rPr>
              <w:t xml:space="preserve"> </w:t>
            </w:r>
            <w:r w:rsidRPr="008228C8" w:rsidR="006564B3">
              <w:rPr>
                <w:rFonts w:ascii="Arial Narrow" w:eastAsia="Calibri" w:hAnsi="Arial Narrow"/>
                <w:color w:val="auto"/>
              </w:rPr>
              <w:t>Q</w:t>
            </w:r>
            <w:r w:rsidR="006564B3">
              <w:rPr>
                <w:rFonts w:ascii="Arial Narrow" w:eastAsia="Calibri" w:hAnsi="Arial Narrow"/>
                <w:color w:val="auto"/>
              </w:rPr>
              <w:t>3,</w:t>
            </w:r>
            <w:r w:rsidRPr="008228C8" w:rsidR="006564B3">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r w14:paraId="6C746143" w14:textId="77777777" w:rsidTr="00776B6F">
        <w:tblPrEx>
          <w:tblW w:w="4918" w:type="pct"/>
          <w:tblInd w:w="-10" w:type="dxa"/>
          <w:tblLook w:val="04A0"/>
        </w:tblPrEx>
        <w:trPr>
          <w:trHeight w:val="259"/>
        </w:trPr>
        <w:tc>
          <w:tcPr>
            <w:tcW w:w="5000" w:type="pct"/>
            <w:gridSpan w:val="2"/>
            <w:shd w:val="clear" w:color="auto" w:fill="BFBFBF" w:themeFill="background1" w:themeFillShade="BF"/>
            <w:vAlign w:val="center"/>
          </w:tcPr>
          <w:p w:rsidR="006A5559" w:rsidP="006A5559" w14:paraId="7753FF41" w14:textId="2A664E72">
            <w:pPr>
              <w:pStyle w:val="TB-TableBullet"/>
              <w:keepNext/>
              <w:keepLines/>
              <w:numPr>
                <w:ilvl w:val="0"/>
                <w:numId w:val="0"/>
              </w:numPr>
              <w:ind w:left="144" w:hanging="144"/>
              <w:rPr>
                <w:rFonts w:ascii="Arial Narrow" w:hAnsi="Arial Narrow"/>
                <w:color w:val="auto"/>
              </w:rPr>
            </w:pPr>
            <w:r>
              <w:rPr>
                <w:rFonts w:ascii="Arial Narrow" w:hAnsi="Arial Narrow"/>
                <w:b/>
                <w:bCs/>
                <w:color w:val="auto"/>
              </w:rPr>
              <w:t>Reporting</w:t>
            </w:r>
          </w:p>
        </w:tc>
      </w:tr>
      <w:tr w14:paraId="409DA23E" w14:textId="77777777" w:rsidTr="3286AA9B">
        <w:tblPrEx>
          <w:tblW w:w="4918" w:type="pct"/>
          <w:tblInd w:w="-10" w:type="dxa"/>
          <w:tblLook w:val="04A0"/>
        </w:tblPrEx>
        <w:trPr>
          <w:trHeight w:val="259"/>
        </w:trPr>
        <w:tc>
          <w:tcPr>
            <w:tcW w:w="2058" w:type="pct"/>
            <w:shd w:val="clear" w:color="auto" w:fill="FFFFFF" w:themeFill="background1"/>
          </w:tcPr>
          <w:p w:rsidR="006A5559" w:rsidRPr="00B007DE" w:rsidP="006A5559" w14:paraId="0374A091" w14:textId="77777777">
            <w:pPr>
              <w:pStyle w:val="TH-TableHeading"/>
              <w:keepNext/>
              <w:keepLines/>
              <w:jc w:val="left"/>
              <w:rPr>
                <w:rFonts w:ascii="Arial Narrow" w:hAnsi="Arial Narrow" w:cs="Calibri"/>
                <w:b w:val="0"/>
                <w:color w:val="auto"/>
              </w:rPr>
            </w:pPr>
            <w:r w:rsidRPr="00213321">
              <w:rPr>
                <w:rFonts w:ascii="Arial Narrow" w:hAnsi="Arial Narrow" w:cs="Calibri"/>
                <w:b w:val="0"/>
                <w:color w:val="auto"/>
              </w:rPr>
              <w:t>Implementation and Outcomes Evaluation Report</w:t>
            </w:r>
          </w:p>
        </w:tc>
        <w:tc>
          <w:tcPr>
            <w:tcW w:w="2942" w:type="pct"/>
          </w:tcPr>
          <w:p w:rsidR="006A5559" w:rsidRPr="00817076" w:rsidP="006A5559" w14:paraId="2C407A39" w14:textId="06694787">
            <w:pPr>
              <w:pStyle w:val="TB-TableBullet"/>
              <w:keepNext/>
              <w:keepLines/>
              <w:rPr>
                <w:rFonts w:ascii="Arial Narrow" w:hAnsi="Arial Narrow"/>
                <w:color w:val="auto"/>
              </w:rPr>
            </w:pPr>
            <w:r>
              <w:rPr>
                <w:rFonts w:ascii="Arial Narrow" w:hAnsi="Arial Narrow"/>
                <w:color w:val="auto"/>
              </w:rPr>
              <w:t>Q2</w:t>
            </w:r>
            <w:r w:rsidR="006564B3">
              <w:rPr>
                <w:rFonts w:ascii="Arial Narrow" w:hAnsi="Arial Narrow"/>
                <w:color w:val="auto"/>
              </w:rPr>
              <w:t>,</w:t>
            </w:r>
            <w:r>
              <w:rPr>
                <w:rFonts w:ascii="Arial Narrow" w:hAnsi="Arial Narrow"/>
                <w:color w:val="auto"/>
              </w:rPr>
              <w:t xml:space="preserve"> CY2028</w:t>
            </w:r>
          </w:p>
        </w:tc>
      </w:tr>
      <w:tr w14:paraId="577A4589" w14:textId="77777777" w:rsidTr="3286AA9B">
        <w:tblPrEx>
          <w:tblW w:w="4918" w:type="pct"/>
          <w:tblInd w:w="-10" w:type="dxa"/>
          <w:tblLook w:val="04A0"/>
        </w:tblPrEx>
        <w:trPr>
          <w:trHeight w:val="70"/>
        </w:trPr>
        <w:tc>
          <w:tcPr>
            <w:tcW w:w="2058" w:type="pct"/>
            <w:shd w:val="clear" w:color="auto" w:fill="FFFFFF" w:themeFill="background1"/>
          </w:tcPr>
          <w:p w:rsidR="006A5559" w:rsidRPr="00B007DE" w:rsidP="006A5559" w14:paraId="7A65ED93" w14:textId="77777777">
            <w:pPr>
              <w:pStyle w:val="TH-TableHeading"/>
              <w:keepNext/>
              <w:keepLines/>
              <w:jc w:val="left"/>
              <w:rPr>
                <w:rFonts w:ascii="Arial Narrow" w:hAnsi="Arial Narrow" w:cs="Calibri"/>
                <w:b w:val="0"/>
                <w:color w:val="auto"/>
              </w:rPr>
            </w:pPr>
            <w:r>
              <w:rPr>
                <w:rFonts w:ascii="Arial Narrow" w:hAnsi="Arial Narrow" w:cs="Calibri"/>
                <w:b w:val="0"/>
                <w:color w:val="auto"/>
              </w:rPr>
              <w:t>Special Topic Briefs and Briefings</w:t>
            </w:r>
          </w:p>
        </w:tc>
        <w:tc>
          <w:tcPr>
            <w:tcW w:w="2942" w:type="pct"/>
          </w:tcPr>
          <w:p w:rsidR="006A5559" w:rsidRPr="00817076" w:rsidP="006A5559" w14:paraId="3358246D" w14:textId="77777777">
            <w:pPr>
              <w:pStyle w:val="TB-TableBullet"/>
              <w:keepNext/>
              <w:keepLines/>
              <w:rPr>
                <w:rFonts w:ascii="Arial Narrow" w:hAnsi="Arial Narrow"/>
                <w:color w:val="auto"/>
              </w:rPr>
            </w:pPr>
            <w:r>
              <w:rPr>
                <w:rFonts w:ascii="Arial Narrow" w:hAnsi="Arial Narrow"/>
                <w:color w:val="auto"/>
              </w:rPr>
              <w:t>Through project period, to be determined in coordination with DOL</w:t>
            </w:r>
          </w:p>
        </w:tc>
      </w:tr>
      <w:tr w14:paraId="41E8D277" w14:textId="77777777" w:rsidTr="3286AA9B">
        <w:tblPrEx>
          <w:tblW w:w="4918" w:type="pct"/>
          <w:tblInd w:w="-10" w:type="dxa"/>
          <w:tblLook w:val="04A0"/>
        </w:tblPrEx>
        <w:trPr>
          <w:trHeight w:val="259"/>
        </w:trPr>
        <w:tc>
          <w:tcPr>
            <w:tcW w:w="2058" w:type="pct"/>
            <w:shd w:val="clear" w:color="auto" w:fill="FFFFFF" w:themeFill="background1"/>
          </w:tcPr>
          <w:p w:rsidR="006A5559" w:rsidRPr="00B007DE" w:rsidP="006A5559" w14:paraId="08CA6DBE" w14:textId="77777777">
            <w:pPr>
              <w:pStyle w:val="TH-TableHeading"/>
              <w:keepNext/>
              <w:keepLines/>
              <w:jc w:val="left"/>
              <w:rPr>
                <w:rFonts w:ascii="Arial Narrow" w:hAnsi="Arial Narrow" w:cs="Calibri"/>
                <w:b w:val="0"/>
                <w:color w:val="auto"/>
              </w:rPr>
            </w:pPr>
            <w:r>
              <w:rPr>
                <w:rFonts w:ascii="Arial Narrow" w:hAnsi="Arial Narrow" w:cs="Calibri"/>
                <w:b w:val="0"/>
                <w:color w:val="auto"/>
              </w:rPr>
              <w:t>Restricted-Use Data File</w:t>
            </w:r>
          </w:p>
        </w:tc>
        <w:tc>
          <w:tcPr>
            <w:tcW w:w="2942" w:type="pct"/>
          </w:tcPr>
          <w:p w:rsidR="006A5559" w:rsidRPr="00817076" w:rsidP="006A5559" w14:paraId="58E0C4C0" w14:textId="21AF67E3">
            <w:pPr>
              <w:pStyle w:val="TB-TableBullet"/>
              <w:keepNext/>
              <w:keepLines/>
              <w:rPr>
                <w:rFonts w:ascii="Arial Narrow" w:hAnsi="Arial Narrow"/>
                <w:color w:val="auto"/>
              </w:rPr>
            </w:pPr>
            <w:r>
              <w:rPr>
                <w:rFonts w:ascii="Arial Narrow" w:hAnsi="Arial Narrow"/>
                <w:color w:val="auto"/>
              </w:rPr>
              <w:t>Q2</w:t>
            </w:r>
            <w:r w:rsidR="00000275">
              <w:rPr>
                <w:rFonts w:ascii="Arial Narrow" w:hAnsi="Arial Narrow"/>
                <w:color w:val="auto"/>
              </w:rPr>
              <w:t>,</w:t>
            </w:r>
            <w:r>
              <w:rPr>
                <w:rFonts w:ascii="Arial Narrow" w:hAnsi="Arial Narrow"/>
                <w:color w:val="auto"/>
              </w:rPr>
              <w:t xml:space="preserve"> CY2028</w:t>
            </w:r>
          </w:p>
        </w:tc>
      </w:tr>
    </w:tbl>
    <w:p w:rsidR="007674A1" w:rsidP="007674A1" w14:paraId="7BCCDE86" w14:textId="05E9057C">
      <w:pPr>
        <w:spacing w:after="0"/>
        <w:rPr>
          <w:rFonts w:asciiTheme="majorBidi" w:hAnsiTheme="majorBidi" w:cstheme="majorBidi"/>
          <w:sz w:val="18"/>
          <w:szCs w:val="18"/>
        </w:rPr>
      </w:pPr>
      <w:r>
        <w:rPr>
          <w:rFonts w:asciiTheme="majorBidi" w:hAnsiTheme="majorBidi" w:cstheme="majorBidi"/>
          <w:sz w:val="18"/>
          <w:szCs w:val="18"/>
        </w:rPr>
        <w:t>Note: The abbreviation CY refers to calendar year</w:t>
      </w:r>
      <w:r w:rsidR="00B1752E">
        <w:rPr>
          <w:rFonts w:asciiTheme="majorBidi" w:hAnsiTheme="majorBidi" w:cstheme="majorBidi"/>
          <w:sz w:val="18"/>
          <w:szCs w:val="18"/>
        </w:rPr>
        <w:t>, and Q refers to quarter</w:t>
      </w:r>
      <w:r>
        <w:rPr>
          <w:rFonts w:asciiTheme="majorBidi" w:hAnsiTheme="majorBidi" w:cstheme="majorBidi"/>
          <w:sz w:val="18"/>
          <w:szCs w:val="18"/>
        </w:rPr>
        <w:t>.</w:t>
      </w:r>
    </w:p>
    <w:p w:rsidR="00642429" w:rsidP="00C10FDC" w14:paraId="4C31E41E" w14:textId="71393A25">
      <w:pPr>
        <w:spacing w:after="0"/>
        <w:rPr>
          <w:rFonts w:asciiTheme="majorBidi" w:hAnsiTheme="majorBidi" w:cstheme="majorBidi"/>
          <w:sz w:val="18"/>
          <w:szCs w:val="18"/>
        </w:rPr>
      </w:pPr>
      <w:r w:rsidRPr="006B1E53">
        <w:rPr>
          <w:rFonts w:asciiTheme="majorBidi" w:hAnsiTheme="majorBidi" w:cstheme="majorBidi"/>
          <w:sz w:val="18"/>
          <w:szCs w:val="18"/>
        </w:rPr>
        <w:t>a.</w:t>
      </w:r>
      <w:r w:rsidR="006B1E53">
        <w:rPr>
          <w:rFonts w:asciiTheme="majorBidi" w:hAnsiTheme="majorBidi" w:cstheme="majorBidi"/>
          <w:sz w:val="18"/>
          <w:szCs w:val="18"/>
        </w:rPr>
        <w:t xml:space="preserve"> </w:t>
      </w:r>
      <w:r w:rsidR="003E46B8">
        <w:rPr>
          <w:rFonts w:asciiTheme="majorBidi" w:hAnsiTheme="majorBidi" w:cstheme="majorBidi"/>
          <w:sz w:val="18"/>
          <w:szCs w:val="18"/>
        </w:rPr>
        <w:t>Includes the collection of program documents as project initiation and as modified.</w:t>
      </w:r>
      <w:r w:rsidR="001E6EE0">
        <w:rPr>
          <w:rFonts w:asciiTheme="majorBidi" w:hAnsiTheme="majorBidi" w:cstheme="majorBidi"/>
          <w:sz w:val="18"/>
          <w:szCs w:val="18"/>
        </w:rPr>
        <w:t xml:space="preserve"> Program documents do not require OM</w:t>
      </w:r>
      <w:r w:rsidR="00A73F71">
        <w:rPr>
          <w:rFonts w:asciiTheme="majorBidi" w:hAnsiTheme="majorBidi" w:cstheme="majorBidi"/>
          <w:sz w:val="18"/>
          <w:szCs w:val="18"/>
        </w:rPr>
        <w:t>B</w:t>
      </w:r>
      <w:r w:rsidR="001E6EE0">
        <w:rPr>
          <w:rFonts w:asciiTheme="majorBidi" w:hAnsiTheme="majorBidi" w:cstheme="majorBidi"/>
          <w:sz w:val="18"/>
          <w:szCs w:val="18"/>
        </w:rPr>
        <w:t xml:space="preserve"> clearance</w:t>
      </w:r>
      <w:r w:rsidR="00A73F71">
        <w:rPr>
          <w:rFonts w:asciiTheme="majorBidi" w:hAnsiTheme="majorBidi" w:cstheme="majorBidi"/>
          <w:sz w:val="18"/>
          <w:szCs w:val="18"/>
        </w:rPr>
        <w:t>.</w:t>
      </w:r>
    </w:p>
    <w:p w:rsidR="00556A82" w:rsidP="00C10FDC" w14:paraId="529D7F06" w14:textId="32C48878">
      <w:pPr>
        <w:spacing w:after="0"/>
        <w:rPr>
          <w:rFonts w:asciiTheme="majorBidi" w:hAnsiTheme="majorBidi" w:cstheme="majorBidi"/>
          <w:sz w:val="18"/>
          <w:szCs w:val="18"/>
        </w:rPr>
      </w:pPr>
      <w:r>
        <w:rPr>
          <w:rFonts w:asciiTheme="majorBidi" w:hAnsiTheme="majorBidi" w:cstheme="majorBidi"/>
          <w:sz w:val="18"/>
          <w:szCs w:val="18"/>
        </w:rPr>
        <w:t xml:space="preserve">b. </w:t>
      </w:r>
      <w:r w:rsidR="00BD5AF1">
        <w:rPr>
          <w:rFonts w:asciiTheme="majorBidi" w:hAnsiTheme="majorBidi" w:cstheme="majorBidi"/>
          <w:sz w:val="18"/>
          <w:szCs w:val="18"/>
        </w:rPr>
        <w:t>Includes the collection of NDNH and NCS data by the evaluation team</w:t>
      </w:r>
      <w:r w:rsidR="003A5B7F">
        <w:rPr>
          <w:rFonts w:asciiTheme="majorBidi" w:hAnsiTheme="majorBidi" w:cstheme="majorBidi"/>
          <w:sz w:val="18"/>
          <w:szCs w:val="18"/>
        </w:rPr>
        <w:t xml:space="preserve"> as annual extracts from </w:t>
      </w:r>
      <w:r w:rsidRPr="003A5B7F" w:rsidR="003A5B7F">
        <w:rPr>
          <w:rFonts w:asciiTheme="majorBidi" w:hAnsiTheme="majorBidi" w:cstheme="majorBidi"/>
          <w:sz w:val="18"/>
          <w:szCs w:val="18"/>
        </w:rPr>
        <w:t>Q2 CY2026</w:t>
      </w:r>
      <w:r w:rsidR="00000275">
        <w:rPr>
          <w:rFonts w:asciiTheme="majorBidi" w:hAnsiTheme="majorBidi" w:cstheme="majorBidi"/>
          <w:sz w:val="18"/>
          <w:szCs w:val="18"/>
        </w:rPr>
        <w:t xml:space="preserve"> </w:t>
      </w:r>
      <w:r w:rsidRPr="003A5B7F" w:rsidR="003A5B7F">
        <w:rPr>
          <w:rFonts w:asciiTheme="majorBidi" w:hAnsiTheme="majorBidi" w:cstheme="majorBidi"/>
          <w:sz w:val="18"/>
          <w:szCs w:val="18"/>
        </w:rPr>
        <w:t>-</w:t>
      </w:r>
      <w:r w:rsidR="00000275">
        <w:rPr>
          <w:rFonts w:asciiTheme="majorBidi" w:hAnsiTheme="majorBidi" w:cstheme="majorBidi"/>
          <w:sz w:val="18"/>
          <w:szCs w:val="18"/>
        </w:rPr>
        <w:t xml:space="preserve"> </w:t>
      </w:r>
      <w:r w:rsidRPr="003A5B7F" w:rsidR="003A5B7F">
        <w:rPr>
          <w:rFonts w:asciiTheme="majorBidi" w:hAnsiTheme="majorBidi" w:cstheme="majorBidi"/>
          <w:sz w:val="18"/>
          <w:szCs w:val="18"/>
        </w:rPr>
        <w:t>Q1 CY2028</w:t>
      </w:r>
      <w:r w:rsidR="003250E9">
        <w:rPr>
          <w:rFonts w:asciiTheme="majorBidi" w:hAnsiTheme="majorBidi" w:cstheme="majorBidi"/>
          <w:sz w:val="18"/>
          <w:szCs w:val="18"/>
        </w:rPr>
        <w:t>, though these data sources do not require OMB clearance under this package.</w:t>
      </w:r>
    </w:p>
    <w:p w:rsidR="00556A82" w:rsidRPr="006B1E53" w:rsidP="00642429" w14:paraId="73ABC72A" w14:textId="77777777">
      <w:pPr>
        <w:rPr>
          <w:rFonts w:asciiTheme="majorBidi" w:hAnsiTheme="majorBidi" w:cstheme="majorBidi"/>
          <w:sz w:val="18"/>
          <w:szCs w:val="18"/>
        </w:rPr>
      </w:pPr>
    </w:p>
    <w:p w:rsidR="00642429" w:rsidRPr="00642429" w:rsidP="00642429" w14:paraId="310940BF" w14:textId="77777777">
      <w:pPr>
        <w:rPr>
          <w:rFonts w:asciiTheme="majorBidi" w:hAnsiTheme="majorBidi" w:cstheme="majorBidi"/>
          <w:b/>
          <w:bCs/>
          <w:sz w:val="24"/>
          <w:szCs w:val="24"/>
        </w:rPr>
      </w:pPr>
    </w:p>
    <w:p w:rsidR="00642429" w:rsidRPr="00642429" w:rsidP="00642429" w14:paraId="4B059DCD" w14:textId="119C7A4E">
      <w:pPr>
        <w:rPr>
          <w:rFonts w:asciiTheme="majorBidi" w:hAnsiTheme="majorBidi" w:cstheme="majorBidi"/>
          <w:b/>
          <w:bCs/>
          <w:sz w:val="24"/>
          <w:szCs w:val="24"/>
        </w:rPr>
      </w:pPr>
      <w:bookmarkStart w:id="21" w:name="A17"/>
      <w:r>
        <w:rPr>
          <w:rFonts w:asciiTheme="majorBidi" w:hAnsiTheme="majorBidi" w:cstheme="majorBidi"/>
          <w:b/>
          <w:bCs/>
          <w:sz w:val="24"/>
          <w:szCs w:val="24"/>
        </w:rPr>
        <w:t>A.</w:t>
      </w:r>
      <w:r w:rsidRPr="00642429">
        <w:rPr>
          <w:rFonts w:asciiTheme="majorBidi" w:hAnsiTheme="majorBidi" w:cstheme="majorBidi"/>
          <w:b/>
          <w:bCs/>
          <w:sz w:val="24"/>
          <w:szCs w:val="24"/>
        </w:rPr>
        <w:t>17.</w:t>
      </w:r>
      <w:bookmarkEnd w:id="21"/>
      <w:r w:rsidRPr="00642429">
        <w:rPr>
          <w:rFonts w:asciiTheme="majorBidi" w:hAnsiTheme="majorBidi" w:cstheme="majorBidi"/>
          <w:b/>
          <w:bCs/>
          <w:sz w:val="24"/>
          <w:szCs w:val="24"/>
        </w:rPr>
        <w:t xml:space="preserve">  If seeking approval to not display the expiration date for OMB approval of the information collection, explain the reasons that display would be inappropriate.</w:t>
      </w:r>
    </w:p>
    <w:p w:rsidR="0074007A" w:rsidRPr="0074007A" w:rsidP="0074007A" w14:paraId="3353BC10" w14:textId="77777777">
      <w:pPr>
        <w:rPr>
          <w:rFonts w:asciiTheme="majorBidi" w:hAnsiTheme="majorBidi" w:cstheme="majorBidi"/>
          <w:sz w:val="24"/>
          <w:szCs w:val="24"/>
        </w:rPr>
      </w:pPr>
      <w:r w:rsidRPr="0074007A">
        <w:rPr>
          <w:rFonts w:asciiTheme="majorBidi" w:hAnsiTheme="majorBidi" w:cstheme="majorBidi"/>
          <w:sz w:val="24"/>
          <w:szCs w:val="24"/>
        </w:rPr>
        <w:t>CEO does not seek approval to not display the expiration date for OMB approval of the information collection.</w:t>
      </w:r>
    </w:p>
    <w:p w:rsidR="00642429" w:rsidRPr="000F630F" w:rsidP="00642429" w14:paraId="22AD696F" w14:textId="38B4362A">
      <w:pPr>
        <w:rPr>
          <w:rFonts w:asciiTheme="majorBidi" w:hAnsiTheme="majorBidi" w:cstheme="majorBidi"/>
          <w:sz w:val="24"/>
          <w:szCs w:val="24"/>
        </w:rPr>
      </w:pPr>
    </w:p>
    <w:p w:rsidR="00796920" w:rsidRPr="00642429" w:rsidP="00796920" w14:paraId="2979D354" w14:textId="61DCCFFA">
      <w:pPr>
        <w:rPr>
          <w:rFonts w:asciiTheme="majorBidi" w:hAnsiTheme="majorBidi" w:cstheme="majorBidi"/>
          <w:b/>
          <w:bCs/>
          <w:sz w:val="24"/>
          <w:szCs w:val="24"/>
        </w:rPr>
      </w:pPr>
      <w:r w:rsidRPr="00642429">
        <w:rPr>
          <w:rFonts w:asciiTheme="majorBidi" w:hAnsiTheme="majorBidi" w:cstheme="majorBidi"/>
          <w:b/>
          <w:bCs/>
          <w:sz w:val="24"/>
          <w:szCs w:val="24"/>
        </w:rPr>
        <w:t>18.  Explain each exception to the certification statement.</w:t>
      </w:r>
    </w:p>
    <w:p w:rsidR="00642429" w:rsidRPr="00796920" w:rsidP="00642429" w14:paraId="67D2F3FF" w14:textId="10414451">
      <w:pPr>
        <w:rPr>
          <w:rFonts w:asciiTheme="majorBidi" w:hAnsiTheme="majorBidi" w:cstheme="majorBidi"/>
          <w:sz w:val="24"/>
          <w:szCs w:val="24"/>
        </w:rPr>
      </w:pPr>
      <w:r w:rsidRPr="00796920">
        <w:rPr>
          <w:rFonts w:asciiTheme="majorBidi" w:hAnsiTheme="majorBidi" w:cstheme="majorBidi"/>
          <w:sz w:val="24"/>
          <w:szCs w:val="24"/>
        </w:rPr>
        <w:t>No exceptions are necessary for this information collection.</w:t>
      </w:r>
      <w:r w:rsidRPr="00796920">
        <w:rPr>
          <w:rFonts w:asciiTheme="majorBidi" w:hAnsiTheme="majorBidi" w:cstheme="majorBidi"/>
          <w:sz w:val="24"/>
          <w:szCs w:val="24"/>
        </w:rPr>
        <w:tab/>
      </w:r>
    </w:p>
    <w:p w:rsidR="00642429" w:rsidRPr="00642429" w:rsidP="00642429" w14:paraId="22E76005" w14:textId="77777777">
      <w:pPr>
        <w:rPr>
          <w:rFonts w:asciiTheme="majorBidi" w:hAnsiTheme="majorBidi" w:cstheme="majorBidi"/>
          <w:b/>
          <w:bCs/>
          <w:sz w:val="24"/>
          <w:szCs w:val="24"/>
        </w:rPr>
      </w:pPr>
    </w:p>
    <w:p w:rsidR="00642429" w:rsidRPr="00161076" w:rsidP="00642429" w14:paraId="12699118" w14:textId="1A500506">
      <w:pPr>
        <w:rPr>
          <w:rFonts w:asciiTheme="majorBidi" w:hAnsiTheme="majorBidi" w:cstheme="majorBidi"/>
          <w:b/>
          <w:bCs/>
          <w:sz w:val="24"/>
          <w:szCs w:val="24"/>
        </w:rPr>
      </w:pP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7AD0" w:rsidP="009D4E8B" w14:paraId="4DD7EC5A" w14:textId="77777777">
      <w:pPr>
        <w:spacing w:after="0" w:line="240" w:lineRule="auto"/>
      </w:pPr>
      <w:r>
        <w:separator/>
      </w:r>
    </w:p>
  </w:footnote>
  <w:footnote w:type="continuationSeparator" w:id="1">
    <w:p w:rsidR="008D7AD0" w:rsidP="009D4E8B" w14:paraId="7993D3EB" w14:textId="77777777">
      <w:pPr>
        <w:spacing w:after="0" w:line="240" w:lineRule="auto"/>
      </w:pPr>
      <w:r>
        <w:continuationSeparator/>
      </w:r>
    </w:p>
  </w:footnote>
  <w:footnote w:id="2">
    <w:p w:rsidR="009854D6" w:rsidP="009854D6" w14:paraId="6807068C" w14:textId="0F82EFCA">
      <w:pPr>
        <w:pStyle w:val="FootnoteText"/>
      </w:pPr>
      <w:r>
        <w:rPr>
          <w:rStyle w:val="FootnoteReference"/>
        </w:rPr>
        <w:footnoteRef/>
      </w:r>
      <w:r>
        <w:t xml:space="preserve"> </w:t>
      </w:r>
      <w:r>
        <w:rPr>
          <w:rFonts w:asciiTheme="majorBidi" w:hAnsiTheme="majorBidi" w:cstheme="majorBidi"/>
        </w:rPr>
        <w:t>PIRL</w:t>
      </w:r>
      <w:r w:rsidRPr="009854D6">
        <w:rPr>
          <w:rFonts w:asciiTheme="majorBidi" w:hAnsiTheme="majorBidi" w:cstheme="majorBidi"/>
        </w:rPr>
        <w:t xml:space="preserve"> is a </w:t>
      </w:r>
      <w:r>
        <w:rPr>
          <w:rFonts w:asciiTheme="majorBidi" w:hAnsiTheme="majorBidi" w:cstheme="majorBidi"/>
        </w:rPr>
        <w:t>DOL</w:t>
      </w:r>
      <w:r w:rsidRPr="009854D6">
        <w:rPr>
          <w:rFonts w:asciiTheme="majorBidi" w:hAnsiTheme="majorBidi" w:cstheme="majorBidi"/>
        </w:rPr>
        <w:t xml:space="preserve"> mandated, standardized dataset used to track and report on participants in Workforce Innovation and Opportunity Act (WIOA) programs</w:t>
      </w:r>
      <w:r>
        <w:rPr>
          <w:rFonts w:asciiTheme="majorBidi" w:hAnsiTheme="majorBidi" w:cstheme="majorBidi"/>
        </w:rPr>
        <w:t>.</w:t>
      </w:r>
    </w:p>
  </w:footnote>
  <w:footnote w:id="3">
    <w:p w:rsidR="00FF5144" w:rsidRPr="00FF5144" w:rsidP="00FF5144" w14:paraId="3084ABB7" w14:textId="288B92CF">
      <w:pPr>
        <w:pStyle w:val="FootnoteText"/>
      </w:pPr>
      <w:r>
        <w:rPr>
          <w:rStyle w:val="FootnoteReference"/>
        </w:rPr>
        <w:footnoteRef/>
      </w:r>
      <w:r w:rsidRPr="00905573">
        <w:rPr>
          <w:rFonts w:asciiTheme="majorBidi" w:hAnsiTheme="majorBidi" w:cstheme="majorBidi"/>
        </w:rPr>
        <w:t>RSA-911 is a federally mandated data collection system used by state Vocational Rehabilitation (VR) agencies to report detailed information on every individual who receives VR or Supported Employment services.</w:t>
      </w:r>
      <w:r w:rsidR="006D61D1">
        <w:rPr>
          <w:rFonts w:asciiTheme="majorBidi" w:hAnsiTheme="majorBidi" w:cstheme="majorBidi"/>
        </w:rPr>
        <w:t xml:space="preserve"> The </w:t>
      </w:r>
      <w:r w:rsidR="00FE5553">
        <w:rPr>
          <w:rFonts w:asciiTheme="majorBidi" w:hAnsiTheme="majorBidi" w:cstheme="majorBidi"/>
        </w:rPr>
        <w:t>three</w:t>
      </w:r>
      <w:r w:rsidR="006D61D1">
        <w:rPr>
          <w:rFonts w:asciiTheme="majorBidi" w:hAnsiTheme="majorBidi" w:cstheme="majorBidi"/>
        </w:rPr>
        <w:t xml:space="preserve"> data elements that are collected under RSA-911 are </w:t>
      </w:r>
      <w:r w:rsidR="00B548F9">
        <w:rPr>
          <w:rFonts w:asciiTheme="majorBidi" w:hAnsiTheme="majorBidi" w:cstheme="majorBidi"/>
        </w:rPr>
        <w:t>Vocational Rehabilitation (VR)</w:t>
      </w:r>
      <w:r w:rsidR="002926B5">
        <w:rPr>
          <w:rFonts w:asciiTheme="majorBidi" w:hAnsiTheme="majorBidi" w:cstheme="majorBidi"/>
        </w:rPr>
        <w:t xml:space="preserve"> </w:t>
      </w:r>
      <w:r w:rsidR="00297A37">
        <w:rPr>
          <w:rFonts w:asciiTheme="majorBidi" w:hAnsiTheme="majorBidi" w:cstheme="majorBidi"/>
        </w:rPr>
        <w:t>Referral date</w:t>
      </w:r>
      <w:r w:rsidR="00FE5553">
        <w:rPr>
          <w:rFonts w:asciiTheme="majorBidi" w:hAnsiTheme="majorBidi" w:cstheme="majorBidi"/>
        </w:rPr>
        <w:t xml:space="preserve">, </w:t>
      </w:r>
      <w:r w:rsidR="00255B5B">
        <w:rPr>
          <w:rFonts w:asciiTheme="majorBidi" w:hAnsiTheme="majorBidi" w:cstheme="majorBidi"/>
        </w:rPr>
        <w:t xml:space="preserve">start date of initial VR </w:t>
      </w:r>
      <w:r w:rsidR="00E575F1">
        <w:rPr>
          <w:rFonts w:asciiTheme="majorBidi" w:hAnsiTheme="majorBidi" w:cstheme="majorBidi"/>
        </w:rPr>
        <w:t>services on or after</w:t>
      </w:r>
      <w:r w:rsidR="002406F3">
        <w:rPr>
          <w:rFonts w:asciiTheme="majorBidi" w:hAnsiTheme="majorBidi" w:cstheme="majorBidi"/>
        </w:rPr>
        <w:t xml:space="preserve"> </w:t>
      </w:r>
      <w:r w:rsidR="00BB1BB9">
        <w:rPr>
          <w:rFonts w:asciiTheme="majorBidi" w:hAnsiTheme="majorBidi" w:cstheme="majorBidi"/>
        </w:rPr>
        <w:t xml:space="preserve">Individualized Plan for Employment (IPE), and </w:t>
      </w:r>
      <w:r w:rsidR="00A0356F">
        <w:rPr>
          <w:rFonts w:asciiTheme="majorBidi" w:hAnsiTheme="majorBidi" w:cstheme="majorBidi"/>
        </w:rPr>
        <w:t xml:space="preserve">VR </w:t>
      </w:r>
      <w:r w:rsidR="009A4097">
        <w:rPr>
          <w:rFonts w:asciiTheme="majorBidi" w:hAnsiTheme="majorBidi" w:cstheme="majorBidi"/>
        </w:rPr>
        <w:t>Date of Exit.</w:t>
      </w:r>
    </w:p>
    <w:p w:rsidR="00191A96" w:rsidP="00191A96" w14:paraId="096A7AC5" w14:textId="6CBC5F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7E8" w:rsidP="008D67E8" w14:paraId="24919B38" w14:textId="50715FDD">
    <w:pPr>
      <w:pStyle w:val="Header"/>
      <w:rPr>
        <w:rFonts w:ascii="Times New Roman" w:hAnsi="Times New Roman"/>
        <w:bCs/>
        <w:sz w:val="20"/>
        <w:szCs w:val="20"/>
      </w:rPr>
    </w:pPr>
    <w:r>
      <w:rPr>
        <w:rFonts w:ascii="Times New Roman" w:hAnsi="Times New Roman"/>
        <w:bCs/>
        <w:sz w:val="20"/>
        <w:szCs w:val="20"/>
      </w:rPr>
      <w:t xml:space="preserve">Employment Transition Model </w:t>
    </w:r>
  </w:p>
  <w:p w:rsidR="008D67E8" w:rsidP="008D67E8" w14:paraId="00FC822C" w14:textId="77777777">
    <w:pPr>
      <w:pStyle w:val="Header"/>
      <w:rPr>
        <w:rFonts w:ascii="Times New Roman" w:hAnsi="Times New Roman"/>
        <w:sz w:val="20"/>
        <w:szCs w:val="20"/>
      </w:rPr>
    </w:pPr>
    <w:r>
      <w:rPr>
        <w:rFonts w:ascii="Times New Roman" w:hAnsi="Times New Roman"/>
        <w:sz w:val="20"/>
        <w:szCs w:val="20"/>
      </w:rPr>
      <w:t xml:space="preserve">OMB Control Number </w:t>
    </w:r>
    <w:r>
      <w:rPr>
        <w:rFonts w:ascii="Times New Roman" w:hAnsi="Times New Roman"/>
        <w:sz w:val="20"/>
        <w:szCs w:val="20"/>
        <w:highlight w:val="yellow"/>
      </w:rPr>
      <w:t>1290-0NEW</w:t>
    </w:r>
  </w:p>
  <w:p w:rsidR="008D67E8" w:rsidP="008D67E8" w14:paraId="721A88C1" w14:textId="77777777">
    <w:pPr>
      <w:pStyle w:val="Header"/>
      <w:rPr>
        <w:rFonts w:ascii="Times New Roman" w:hAnsi="Times New Roman"/>
        <w:sz w:val="20"/>
        <w:szCs w:val="20"/>
      </w:rPr>
    </w:pPr>
    <w:r>
      <w:rPr>
        <w:rFonts w:ascii="Times New Roman" w:hAnsi="Times New Roman"/>
        <w:sz w:val="20"/>
        <w:szCs w:val="20"/>
      </w:rPr>
      <w:t>OMB Expiration Date</w:t>
    </w:r>
    <w:r>
      <w:rPr>
        <w:rFonts w:ascii="Times New Roman" w:hAnsi="Times New Roman"/>
        <w:sz w:val="20"/>
        <w:szCs w:val="20"/>
        <w:highlight w:val="yellow"/>
      </w:rPr>
      <w:t>: TBD</w:t>
    </w:r>
  </w:p>
  <w:p w:rsidR="008D67E8" w14:paraId="4091712F" w14:textId="555C9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18EE86C"/>
    <w:lvl w:ilvl="0">
      <w:start w:val="1"/>
      <w:numFmt w:val="decimal"/>
      <w:lvlText w:val="%1."/>
      <w:lvlJc w:val="left"/>
      <w:pPr>
        <w:tabs>
          <w:tab w:val="num" w:pos="1800"/>
        </w:tabs>
        <w:ind w:left="1800" w:hanging="360"/>
      </w:pPr>
    </w:lvl>
  </w:abstractNum>
  <w:abstractNum w:abstractNumId="1">
    <w:nsid w:val="FFFFFF7D"/>
    <w:multiLevelType w:val="singleLevel"/>
    <w:tmpl w:val="B728F23C"/>
    <w:lvl w:ilvl="0">
      <w:start w:val="1"/>
      <w:numFmt w:val="decimal"/>
      <w:lvlText w:val="%1."/>
      <w:lvlJc w:val="left"/>
      <w:pPr>
        <w:tabs>
          <w:tab w:val="num" w:pos="1440"/>
        </w:tabs>
        <w:ind w:left="1440" w:hanging="360"/>
      </w:pPr>
    </w:lvl>
  </w:abstractNum>
  <w:abstractNum w:abstractNumId="2">
    <w:nsid w:val="FFFFFF7E"/>
    <w:multiLevelType w:val="singleLevel"/>
    <w:tmpl w:val="C5D4F95C"/>
    <w:lvl w:ilvl="0">
      <w:start w:val="1"/>
      <w:numFmt w:val="decimal"/>
      <w:lvlText w:val="%1."/>
      <w:lvlJc w:val="left"/>
      <w:pPr>
        <w:tabs>
          <w:tab w:val="num" w:pos="1080"/>
        </w:tabs>
        <w:ind w:left="1080" w:hanging="360"/>
      </w:pPr>
    </w:lvl>
  </w:abstractNum>
  <w:abstractNum w:abstractNumId="3">
    <w:nsid w:val="FFFFFF7F"/>
    <w:multiLevelType w:val="singleLevel"/>
    <w:tmpl w:val="4128038A"/>
    <w:lvl w:ilvl="0">
      <w:start w:val="1"/>
      <w:numFmt w:val="decimal"/>
      <w:lvlText w:val="%1."/>
      <w:lvlJc w:val="left"/>
      <w:pPr>
        <w:tabs>
          <w:tab w:val="num" w:pos="720"/>
        </w:tabs>
        <w:ind w:left="720" w:hanging="360"/>
      </w:pPr>
    </w:lvl>
  </w:abstractNum>
  <w:abstractNum w:abstractNumId="4">
    <w:nsid w:val="FFFFFF80"/>
    <w:multiLevelType w:val="singleLevel"/>
    <w:tmpl w:val="17E2BE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2A19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221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704F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3E0C92"/>
    <w:lvl w:ilvl="0">
      <w:start w:val="1"/>
      <w:numFmt w:val="decimal"/>
      <w:lvlText w:val="%1."/>
      <w:lvlJc w:val="left"/>
      <w:pPr>
        <w:tabs>
          <w:tab w:val="num" w:pos="360"/>
        </w:tabs>
        <w:ind w:left="360" w:hanging="360"/>
      </w:pPr>
    </w:lvl>
  </w:abstractNum>
  <w:abstractNum w:abstractNumId="9">
    <w:nsid w:val="FFFFFF89"/>
    <w:multiLevelType w:val="singleLevel"/>
    <w:tmpl w:val="C09A4B5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8DA8BC6"/>
    <w:lvl w:ilvl="0">
      <w:start w:val="0"/>
      <w:numFmt w:val="bullet"/>
      <w:lvlText w:val="*"/>
      <w:lvlJc w:val="left"/>
      <w:pPr>
        <w:ind w:left="0" w:firstLine="0"/>
      </w:pPr>
    </w:lvl>
  </w:abstractNum>
  <w:abstractNum w:abstractNumId="11">
    <w:nsid w:val="06371176"/>
    <w:multiLevelType w:val="hybridMultilevel"/>
    <w:tmpl w:val="05FE23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0BCA047C"/>
    <w:multiLevelType w:val="hybridMultilevel"/>
    <w:tmpl w:val="68DAD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421667"/>
    <w:multiLevelType w:val="hybridMultilevel"/>
    <w:tmpl w:val="358A77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59B11EB"/>
    <w:multiLevelType w:val="hybridMultilevel"/>
    <w:tmpl w:val="4B0451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173C0A16"/>
    <w:multiLevelType w:val="hybridMultilevel"/>
    <w:tmpl w:val="3DD80D2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17427C50"/>
    <w:multiLevelType w:val="hybridMultilevel"/>
    <w:tmpl w:val="CD327E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26B82B6D"/>
    <w:multiLevelType w:val="hybridMultilevel"/>
    <w:tmpl w:val="557E4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DF22DA"/>
    <w:multiLevelType w:val="hybridMultilevel"/>
    <w:tmpl w:val="92B6CB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9FD080A"/>
    <w:multiLevelType w:val="hybridMultilevel"/>
    <w:tmpl w:val="56CC4556"/>
    <w:lvl w:ilvl="0">
      <w:start w:val="20"/>
      <w:numFmt w:val="bullet"/>
      <w:lvlText w:val=""/>
      <w:lvlJc w:val="left"/>
      <w:pPr>
        <w:ind w:left="720" w:hanging="360"/>
      </w:pPr>
      <w:rPr>
        <w:rFonts w:ascii="Symbol" w:eastAsia="Times New Roman" w:hAnsi="Symbol" w:cstheme="majorBid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500B09"/>
    <w:multiLevelType w:val="hybridMultilevel"/>
    <w:tmpl w:val="30463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BD672D7"/>
    <w:multiLevelType w:val="hybridMultilevel"/>
    <w:tmpl w:val="06A8B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6D0AC3"/>
    <w:multiLevelType w:val="hybridMultilevel"/>
    <w:tmpl w:val="19CCF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4">
    <w:nsid w:val="460F6D4D"/>
    <w:multiLevelType w:val="hybridMultilevel"/>
    <w:tmpl w:val="F05C90E8"/>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5">
    <w:nsid w:val="4B163D70"/>
    <w:multiLevelType w:val="hybridMultilevel"/>
    <w:tmpl w:val="76E0CDD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6">
    <w:nsid w:val="4B776646"/>
    <w:multiLevelType w:val="hybridMultilevel"/>
    <w:tmpl w:val="0194D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7835FA"/>
    <w:multiLevelType w:val="hybridMultilevel"/>
    <w:tmpl w:val="B302C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437170B"/>
    <w:multiLevelType w:val="hybridMultilevel"/>
    <w:tmpl w:val="499432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9A6DCF"/>
    <w:multiLevelType w:val="hybridMultilevel"/>
    <w:tmpl w:val="C3309DA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5D374C97"/>
    <w:multiLevelType w:val="hybridMultilevel"/>
    <w:tmpl w:val="0B6224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FDD744F"/>
    <w:multiLevelType w:val="hybridMultilevel"/>
    <w:tmpl w:val="8E5AB08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2">
    <w:nsid w:val="6BC25290"/>
    <w:multiLevelType w:val="hybridMultilevel"/>
    <w:tmpl w:val="6E1A3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185B99"/>
    <w:multiLevelType w:val="hybridMultilevel"/>
    <w:tmpl w:val="13C6E06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6596077">
    <w:abstractNumId w:val="27"/>
  </w:num>
  <w:num w:numId="2" w16cid:durableId="2092507393">
    <w:abstractNumId w:val="32"/>
  </w:num>
  <w:num w:numId="3" w16cid:durableId="1582519898">
    <w:abstractNumId w:val="12"/>
  </w:num>
  <w:num w:numId="4" w16cid:durableId="584582075">
    <w:abstractNumId w:val="34"/>
  </w:num>
  <w:num w:numId="5" w16cid:durableId="399134921">
    <w:abstractNumId w:val="24"/>
  </w:num>
  <w:num w:numId="6" w16cid:durableId="2010593773">
    <w:abstractNumId w:val="10"/>
    <w:lvlOverride w:ilvl="0">
      <w:lvl w:ilvl="0">
        <w:start w:val="0"/>
        <w:numFmt w:val="decimal"/>
        <w:lvlText w:val="·"/>
        <w:legacy w:legacy="1" w:legacySpace="0" w:legacyIndent="360"/>
        <w:lvlJc w:val="left"/>
        <w:pPr>
          <w:ind w:left="0" w:hanging="360"/>
        </w:pPr>
        <w:rPr>
          <w:rFonts w:ascii="Times New Roman" w:hAnsi="Times New Roman" w:cs="Times New Roman" w:hint="default"/>
          <w:b/>
        </w:rPr>
      </w:lvl>
    </w:lvlOverride>
  </w:num>
  <w:num w:numId="7" w16cid:durableId="1717000181">
    <w:abstractNumId w:val="17"/>
  </w:num>
  <w:num w:numId="8" w16cid:durableId="1417897071">
    <w:abstractNumId w:val="25"/>
  </w:num>
  <w:num w:numId="9" w16cid:durableId="749500716">
    <w:abstractNumId w:val="33"/>
  </w:num>
  <w:num w:numId="10" w16cid:durableId="16280206">
    <w:abstractNumId w:val="22"/>
  </w:num>
  <w:num w:numId="11" w16cid:durableId="1424300641">
    <w:abstractNumId w:val="20"/>
  </w:num>
  <w:num w:numId="12" w16cid:durableId="2042435827">
    <w:abstractNumId w:val="33"/>
  </w:num>
  <w:num w:numId="13" w16cid:durableId="1377926053">
    <w:abstractNumId w:val="21"/>
  </w:num>
  <w:num w:numId="14" w16cid:durableId="512184509">
    <w:abstractNumId w:val="33"/>
  </w:num>
  <w:num w:numId="15" w16cid:durableId="1601835511">
    <w:abstractNumId w:val="23"/>
  </w:num>
  <w:num w:numId="16" w16cid:durableId="344986272">
    <w:abstractNumId w:val="14"/>
  </w:num>
  <w:num w:numId="17" w16cid:durableId="243534261">
    <w:abstractNumId w:val="11"/>
  </w:num>
  <w:num w:numId="18" w16cid:durableId="1103308237">
    <w:abstractNumId w:val="19"/>
  </w:num>
  <w:num w:numId="19" w16cid:durableId="793913890">
    <w:abstractNumId w:val="9"/>
  </w:num>
  <w:num w:numId="20" w16cid:durableId="1710177282">
    <w:abstractNumId w:val="7"/>
  </w:num>
  <w:num w:numId="21" w16cid:durableId="377555780">
    <w:abstractNumId w:val="6"/>
  </w:num>
  <w:num w:numId="22" w16cid:durableId="231158710">
    <w:abstractNumId w:val="5"/>
  </w:num>
  <w:num w:numId="23" w16cid:durableId="19284548">
    <w:abstractNumId w:val="4"/>
  </w:num>
  <w:num w:numId="24" w16cid:durableId="835656994">
    <w:abstractNumId w:val="8"/>
  </w:num>
  <w:num w:numId="25" w16cid:durableId="1272317730">
    <w:abstractNumId w:val="3"/>
  </w:num>
  <w:num w:numId="26" w16cid:durableId="733510434">
    <w:abstractNumId w:val="2"/>
  </w:num>
  <w:num w:numId="27" w16cid:durableId="750585628">
    <w:abstractNumId w:val="1"/>
  </w:num>
  <w:num w:numId="28" w16cid:durableId="781917403">
    <w:abstractNumId w:val="0"/>
  </w:num>
  <w:num w:numId="29" w16cid:durableId="1645890385">
    <w:abstractNumId w:val="15"/>
  </w:num>
  <w:num w:numId="30" w16cid:durableId="134416427">
    <w:abstractNumId w:val="13"/>
  </w:num>
  <w:num w:numId="31" w16cid:durableId="1076198490">
    <w:abstractNumId w:val="28"/>
  </w:num>
  <w:num w:numId="32" w16cid:durableId="51774801">
    <w:abstractNumId w:val="18"/>
  </w:num>
  <w:num w:numId="33" w16cid:durableId="118031548">
    <w:abstractNumId w:val="30"/>
  </w:num>
  <w:num w:numId="34" w16cid:durableId="4676475">
    <w:abstractNumId w:val="26"/>
  </w:num>
  <w:num w:numId="35" w16cid:durableId="733621484">
    <w:abstractNumId w:val="31"/>
  </w:num>
  <w:num w:numId="36" w16cid:durableId="530648982">
    <w:abstractNumId w:val="16"/>
  </w:num>
  <w:num w:numId="37" w16cid:durableId="11523336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74"/>
    <w:rsid w:val="00000245"/>
    <w:rsid w:val="00000275"/>
    <w:rsid w:val="0000131F"/>
    <w:rsid w:val="0000207B"/>
    <w:rsid w:val="000035D1"/>
    <w:rsid w:val="00003923"/>
    <w:rsid w:val="00003A70"/>
    <w:rsid w:val="00003A7C"/>
    <w:rsid w:val="00005145"/>
    <w:rsid w:val="0000697F"/>
    <w:rsid w:val="00007B45"/>
    <w:rsid w:val="00007BF9"/>
    <w:rsid w:val="00007E2C"/>
    <w:rsid w:val="0001077E"/>
    <w:rsid w:val="00010D49"/>
    <w:rsid w:val="00011699"/>
    <w:rsid w:val="00011DB9"/>
    <w:rsid w:val="000124A3"/>
    <w:rsid w:val="00013378"/>
    <w:rsid w:val="000136E3"/>
    <w:rsid w:val="000138CF"/>
    <w:rsid w:val="00013D45"/>
    <w:rsid w:val="00014BB0"/>
    <w:rsid w:val="00017211"/>
    <w:rsid w:val="00020E9C"/>
    <w:rsid w:val="000215E8"/>
    <w:rsid w:val="00023A9A"/>
    <w:rsid w:val="00023B26"/>
    <w:rsid w:val="00024076"/>
    <w:rsid w:val="000241B1"/>
    <w:rsid w:val="00025195"/>
    <w:rsid w:val="00026DAB"/>
    <w:rsid w:val="000271A4"/>
    <w:rsid w:val="00027BDA"/>
    <w:rsid w:val="00027F1C"/>
    <w:rsid w:val="00030BFD"/>
    <w:rsid w:val="000328E2"/>
    <w:rsid w:val="00032F1C"/>
    <w:rsid w:val="00032F98"/>
    <w:rsid w:val="0003394A"/>
    <w:rsid w:val="00035ADE"/>
    <w:rsid w:val="00036CA5"/>
    <w:rsid w:val="000408B6"/>
    <w:rsid w:val="000410C4"/>
    <w:rsid w:val="0004276B"/>
    <w:rsid w:val="0004276D"/>
    <w:rsid w:val="000447F1"/>
    <w:rsid w:val="00044912"/>
    <w:rsid w:val="00045342"/>
    <w:rsid w:val="00046143"/>
    <w:rsid w:val="000472AE"/>
    <w:rsid w:val="00047E53"/>
    <w:rsid w:val="000515C5"/>
    <w:rsid w:val="00053D73"/>
    <w:rsid w:val="00054A81"/>
    <w:rsid w:val="00055790"/>
    <w:rsid w:val="00056903"/>
    <w:rsid w:val="0005690F"/>
    <w:rsid w:val="000577FC"/>
    <w:rsid w:val="000578DC"/>
    <w:rsid w:val="00057E78"/>
    <w:rsid w:val="000603C8"/>
    <w:rsid w:val="000603D8"/>
    <w:rsid w:val="00061216"/>
    <w:rsid w:val="000615BB"/>
    <w:rsid w:val="000618F1"/>
    <w:rsid w:val="00061D56"/>
    <w:rsid w:val="00061F72"/>
    <w:rsid w:val="00062205"/>
    <w:rsid w:val="00062D82"/>
    <w:rsid w:val="000630E4"/>
    <w:rsid w:val="00063694"/>
    <w:rsid w:val="00065216"/>
    <w:rsid w:val="0006551B"/>
    <w:rsid w:val="00066516"/>
    <w:rsid w:val="000665B4"/>
    <w:rsid w:val="00066863"/>
    <w:rsid w:val="00066AF4"/>
    <w:rsid w:val="0007058B"/>
    <w:rsid w:val="0007104D"/>
    <w:rsid w:val="00071CFC"/>
    <w:rsid w:val="00072B69"/>
    <w:rsid w:val="00072FDA"/>
    <w:rsid w:val="000736BA"/>
    <w:rsid w:val="0007376F"/>
    <w:rsid w:val="0007457C"/>
    <w:rsid w:val="000758A0"/>
    <w:rsid w:val="00075E55"/>
    <w:rsid w:val="000766E5"/>
    <w:rsid w:val="00076EEA"/>
    <w:rsid w:val="00077021"/>
    <w:rsid w:val="000803CD"/>
    <w:rsid w:val="00080C22"/>
    <w:rsid w:val="0008192C"/>
    <w:rsid w:val="00081B4B"/>
    <w:rsid w:val="00081CD6"/>
    <w:rsid w:val="000828CF"/>
    <w:rsid w:val="00082BA5"/>
    <w:rsid w:val="0008405B"/>
    <w:rsid w:val="00084517"/>
    <w:rsid w:val="00084540"/>
    <w:rsid w:val="000845CB"/>
    <w:rsid w:val="00084B51"/>
    <w:rsid w:val="00084FFC"/>
    <w:rsid w:val="000852C2"/>
    <w:rsid w:val="00085BB0"/>
    <w:rsid w:val="00085F02"/>
    <w:rsid w:val="00087320"/>
    <w:rsid w:val="000877F6"/>
    <w:rsid w:val="00090B03"/>
    <w:rsid w:val="00090E60"/>
    <w:rsid w:val="00090E8E"/>
    <w:rsid w:val="00091158"/>
    <w:rsid w:val="0009140E"/>
    <w:rsid w:val="00091715"/>
    <w:rsid w:val="00091B9D"/>
    <w:rsid w:val="00092914"/>
    <w:rsid w:val="000930F3"/>
    <w:rsid w:val="00093567"/>
    <w:rsid w:val="00093A04"/>
    <w:rsid w:val="00094ECF"/>
    <w:rsid w:val="00095F15"/>
    <w:rsid w:val="00096492"/>
    <w:rsid w:val="000966E0"/>
    <w:rsid w:val="00097053"/>
    <w:rsid w:val="00097287"/>
    <w:rsid w:val="000A01A8"/>
    <w:rsid w:val="000A109C"/>
    <w:rsid w:val="000A1F89"/>
    <w:rsid w:val="000A21B8"/>
    <w:rsid w:val="000A2D7C"/>
    <w:rsid w:val="000A3135"/>
    <w:rsid w:val="000A3138"/>
    <w:rsid w:val="000A31F8"/>
    <w:rsid w:val="000A3B30"/>
    <w:rsid w:val="000A609E"/>
    <w:rsid w:val="000A687A"/>
    <w:rsid w:val="000A7611"/>
    <w:rsid w:val="000A7DBB"/>
    <w:rsid w:val="000B06B2"/>
    <w:rsid w:val="000B0D4C"/>
    <w:rsid w:val="000B1BE7"/>
    <w:rsid w:val="000B1C7C"/>
    <w:rsid w:val="000B29AC"/>
    <w:rsid w:val="000B3127"/>
    <w:rsid w:val="000B3E04"/>
    <w:rsid w:val="000B48C2"/>
    <w:rsid w:val="000B55D9"/>
    <w:rsid w:val="000B573D"/>
    <w:rsid w:val="000B58D9"/>
    <w:rsid w:val="000B6D5D"/>
    <w:rsid w:val="000B746D"/>
    <w:rsid w:val="000B7762"/>
    <w:rsid w:val="000B7C74"/>
    <w:rsid w:val="000C1699"/>
    <w:rsid w:val="000C22A5"/>
    <w:rsid w:val="000C325F"/>
    <w:rsid w:val="000C35DF"/>
    <w:rsid w:val="000C3637"/>
    <w:rsid w:val="000C3751"/>
    <w:rsid w:val="000C54E8"/>
    <w:rsid w:val="000C576D"/>
    <w:rsid w:val="000C5C8A"/>
    <w:rsid w:val="000C670A"/>
    <w:rsid w:val="000C677F"/>
    <w:rsid w:val="000C6CA7"/>
    <w:rsid w:val="000C6E33"/>
    <w:rsid w:val="000C6FA2"/>
    <w:rsid w:val="000C784D"/>
    <w:rsid w:val="000C7A83"/>
    <w:rsid w:val="000C7D11"/>
    <w:rsid w:val="000D0B7B"/>
    <w:rsid w:val="000D0DA5"/>
    <w:rsid w:val="000D102A"/>
    <w:rsid w:val="000D1235"/>
    <w:rsid w:val="000D3EBA"/>
    <w:rsid w:val="000D42B0"/>
    <w:rsid w:val="000D43F8"/>
    <w:rsid w:val="000D4F62"/>
    <w:rsid w:val="000D50FC"/>
    <w:rsid w:val="000D648A"/>
    <w:rsid w:val="000D65B6"/>
    <w:rsid w:val="000D6D3F"/>
    <w:rsid w:val="000D7232"/>
    <w:rsid w:val="000D7266"/>
    <w:rsid w:val="000E0346"/>
    <w:rsid w:val="000E0DEC"/>
    <w:rsid w:val="000E1219"/>
    <w:rsid w:val="000E1FA4"/>
    <w:rsid w:val="000E221A"/>
    <w:rsid w:val="000E24AD"/>
    <w:rsid w:val="000E29A6"/>
    <w:rsid w:val="000E2B7E"/>
    <w:rsid w:val="000E3B78"/>
    <w:rsid w:val="000E3D78"/>
    <w:rsid w:val="000E4A14"/>
    <w:rsid w:val="000E51D5"/>
    <w:rsid w:val="000E5AA1"/>
    <w:rsid w:val="000E5D54"/>
    <w:rsid w:val="000E624F"/>
    <w:rsid w:val="000E6A27"/>
    <w:rsid w:val="000E6CA3"/>
    <w:rsid w:val="000E7423"/>
    <w:rsid w:val="000F07DE"/>
    <w:rsid w:val="000F1913"/>
    <w:rsid w:val="000F2025"/>
    <w:rsid w:val="000F25E5"/>
    <w:rsid w:val="000F3A36"/>
    <w:rsid w:val="000F3AE9"/>
    <w:rsid w:val="000F44D5"/>
    <w:rsid w:val="000F4771"/>
    <w:rsid w:val="000F4F7B"/>
    <w:rsid w:val="000F53F9"/>
    <w:rsid w:val="000F54D8"/>
    <w:rsid w:val="000F592B"/>
    <w:rsid w:val="000F5CE4"/>
    <w:rsid w:val="000F61A5"/>
    <w:rsid w:val="000F62E8"/>
    <w:rsid w:val="000F630F"/>
    <w:rsid w:val="00100354"/>
    <w:rsid w:val="00101AA9"/>
    <w:rsid w:val="00101E13"/>
    <w:rsid w:val="0010263A"/>
    <w:rsid w:val="0010315A"/>
    <w:rsid w:val="00103571"/>
    <w:rsid w:val="001038F0"/>
    <w:rsid w:val="00104010"/>
    <w:rsid w:val="00104D17"/>
    <w:rsid w:val="00104DBA"/>
    <w:rsid w:val="001053A4"/>
    <w:rsid w:val="00105DEF"/>
    <w:rsid w:val="00107242"/>
    <w:rsid w:val="001072DD"/>
    <w:rsid w:val="00107BB4"/>
    <w:rsid w:val="0011067B"/>
    <w:rsid w:val="0011111A"/>
    <w:rsid w:val="00112009"/>
    <w:rsid w:val="0011223C"/>
    <w:rsid w:val="00112782"/>
    <w:rsid w:val="001127DC"/>
    <w:rsid w:val="001127FC"/>
    <w:rsid w:val="0011444E"/>
    <w:rsid w:val="001149F2"/>
    <w:rsid w:val="00114E37"/>
    <w:rsid w:val="00115AC6"/>
    <w:rsid w:val="0011629A"/>
    <w:rsid w:val="00116B74"/>
    <w:rsid w:val="00117533"/>
    <w:rsid w:val="001203B6"/>
    <w:rsid w:val="0012073C"/>
    <w:rsid w:val="00120F5D"/>
    <w:rsid w:val="0012122E"/>
    <w:rsid w:val="00121456"/>
    <w:rsid w:val="0012185D"/>
    <w:rsid w:val="001218E1"/>
    <w:rsid w:val="00121F91"/>
    <w:rsid w:val="00122347"/>
    <w:rsid w:val="001223A6"/>
    <w:rsid w:val="00123ABF"/>
    <w:rsid w:val="0012459B"/>
    <w:rsid w:val="00124D62"/>
    <w:rsid w:val="0012688C"/>
    <w:rsid w:val="00126F57"/>
    <w:rsid w:val="001276D7"/>
    <w:rsid w:val="00127AE4"/>
    <w:rsid w:val="00127BB9"/>
    <w:rsid w:val="001306AC"/>
    <w:rsid w:val="00130CC7"/>
    <w:rsid w:val="0013139B"/>
    <w:rsid w:val="00131444"/>
    <w:rsid w:val="0013240D"/>
    <w:rsid w:val="00132DA8"/>
    <w:rsid w:val="00133D38"/>
    <w:rsid w:val="001346A6"/>
    <w:rsid w:val="001351C3"/>
    <w:rsid w:val="0013603D"/>
    <w:rsid w:val="001367D3"/>
    <w:rsid w:val="00136B6B"/>
    <w:rsid w:val="00136CF8"/>
    <w:rsid w:val="00136F20"/>
    <w:rsid w:val="0013718C"/>
    <w:rsid w:val="0013794D"/>
    <w:rsid w:val="0014003A"/>
    <w:rsid w:val="0014041C"/>
    <w:rsid w:val="00140AA9"/>
    <w:rsid w:val="00140AAE"/>
    <w:rsid w:val="00140BC0"/>
    <w:rsid w:val="00141090"/>
    <w:rsid w:val="00141279"/>
    <w:rsid w:val="00141455"/>
    <w:rsid w:val="0014149A"/>
    <w:rsid w:val="00141FB0"/>
    <w:rsid w:val="00142028"/>
    <w:rsid w:val="00142DA0"/>
    <w:rsid w:val="0014348E"/>
    <w:rsid w:val="00144403"/>
    <w:rsid w:val="00146683"/>
    <w:rsid w:val="0014688B"/>
    <w:rsid w:val="001470A3"/>
    <w:rsid w:val="00147201"/>
    <w:rsid w:val="00147344"/>
    <w:rsid w:val="0014757A"/>
    <w:rsid w:val="00150F21"/>
    <w:rsid w:val="00151580"/>
    <w:rsid w:val="0015302D"/>
    <w:rsid w:val="001534C5"/>
    <w:rsid w:val="001535B7"/>
    <w:rsid w:val="00153AF5"/>
    <w:rsid w:val="001546EA"/>
    <w:rsid w:val="00154AC3"/>
    <w:rsid w:val="00155EEE"/>
    <w:rsid w:val="00156466"/>
    <w:rsid w:val="001577C8"/>
    <w:rsid w:val="00161076"/>
    <w:rsid w:val="00162781"/>
    <w:rsid w:val="001627CA"/>
    <w:rsid w:val="001634A7"/>
    <w:rsid w:val="001634B5"/>
    <w:rsid w:val="001635A2"/>
    <w:rsid w:val="00164641"/>
    <w:rsid w:val="00164797"/>
    <w:rsid w:val="001655DE"/>
    <w:rsid w:val="00165C5D"/>
    <w:rsid w:val="0016618F"/>
    <w:rsid w:val="0016658A"/>
    <w:rsid w:val="00166D0B"/>
    <w:rsid w:val="00167644"/>
    <w:rsid w:val="00167BAA"/>
    <w:rsid w:val="00170374"/>
    <w:rsid w:val="00171397"/>
    <w:rsid w:val="00171BAE"/>
    <w:rsid w:val="00171EB3"/>
    <w:rsid w:val="001722BE"/>
    <w:rsid w:val="0017240F"/>
    <w:rsid w:val="001726ED"/>
    <w:rsid w:val="00172BFB"/>
    <w:rsid w:val="00172E6C"/>
    <w:rsid w:val="0017304D"/>
    <w:rsid w:val="00173363"/>
    <w:rsid w:val="00174116"/>
    <w:rsid w:val="001747C4"/>
    <w:rsid w:val="001753DA"/>
    <w:rsid w:val="001754E0"/>
    <w:rsid w:val="00175A81"/>
    <w:rsid w:val="00176339"/>
    <w:rsid w:val="0017677F"/>
    <w:rsid w:val="00176EBA"/>
    <w:rsid w:val="00177291"/>
    <w:rsid w:val="00177D65"/>
    <w:rsid w:val="001810DA"/>
    <w:rsid w:val="00181549"/>
    <w:rsid w:val="001826B0"/>
    <w:rsid w:val="00182D59"/>
    <w:rsid w:val="00183025"/>
    <w:rsid w:val="001832CF"/>
    <w:rsid w:val="00183CFC"/>
    <w:rsid w:val="001843C3"/>
    <w:rsid w:val="00184501"/>
    <w:rsid w:val="001849D1"/>
    <w:rsid w:val="00184A86"/>
    <w:rsid w:val="00185911"/>
    <w:rsid w:val="00185EDD"/>
    <w:rsid w:val="00187A61"/>
    <w:rsid w:val="00187D7D"/>
    <w:rsid w:val="0019063D"/>
    <w:rsid w:val="00191A96"/>
    <w:rsid w:val="00191AE3"/>
    <w:rsid w:val="001920EE"/>
    <w:rsid w:val="00192300"/>
    <w:rsid w:val="00192347"/>
    <w:rsid w:val="001940AC"/>
    <w:rsid w:val="00194303"/>
    <w:rsid w:val="00194E0D"/>
    <w:rsid w:val="001967B0"/>
    <w:rsid w:val="001973F5"/>
    <w:rsid w:val="0019750E"/>
    <w:rsid w:val="0019777A"/>
    <w:rsid w:val="00197825"/>
    <w:rsid w:val="001A15AE"/>
    <w:rsid w:val="001A2609"/>
    <w:rsid w:val="001A40D1"/>
    <w:rsid w:val="001A4113"/>
    <w:rsid w:val="001A5298"/>
    <w:rsid w:val="001A5604"/>
    <w:rsid w:val="001A6230"/>
    <w:rsid w:val="001B01F3"/>
    <w:rsid w:val="001B1091"/>
    <w:rsid w:val="001B14FB"/>
    <w:rsid w:val="001B2102"/>
    <w:rsid w:val="001B24C0"/>
    <w:rsid w:val="001B261B"/>
    <w:rsid w:val="001B3D21"/>
    <w:rsid w:val="001B400B"/>
    <w:rsid w:val="001B5DA9"/>
    <w:rsid w:val="001B638E"/>
    <w:rsid w:val="001B6AD6"/>
    <w:rsid w:val="001B7495"/>
    <w:rsid w:val="001B7C21"/>
    <w:rsid w:val="001B7EAC"/>
    <w:rsid w:val="001C248F"/>
    <w:rsid w:val="001C26E5"/>
    <w:rsid w:val="001C2834"/>
    <w:rsid w:val="001C2CB4"/>
    <w:rsid w:val="001C30F6"/>
    <w:rsid w:val="001C3579"/>
    <w:rsid w:val="001C3885"/>
    <w:rsid w:val="001C4A4B"/>
    <w:rsid w:val="001C4EDF"/>
    <w:rsid w:val="001C62CF"/>
    <w:rsid w:val="001C6568"/>
    <w:rsid w:val="001C75F9"/>
    <w:rsid w:val="001D0A35"/>
    <w:rsid w:val="001D0BA9"/>
    <w:rsid w:val="001D112B"/>
    <w:rsid w:val="001D13B8"/>
    <w:rsid w:val="001D142F"/>
    <w:rsid w:val="001D1756"/>
    <w:rsid w:val="001D1E4A"/>
    <w:rsid w:val="001D2257"/>
    <w:rsid w:val="001D2457"/>
    <w:rsid w:val="001D28C9"/>
    <w:rsid w:val="001D366C"/>
    <w:rsid w:val="001D3FA0"/>
    <w:rsid w:val="001D6740"/>
    <w:rsid w:val="001D74C6"/>
    <w:rsid w:val="001E0822"/>
    <w:rsid w:val="001E1959"/>
    <w:rsid w:val="001E243A"/>
    <w:rsid w:val="001E2AE1"/>
    <w:rsid w:val="001E303A"/>
    <w:rsid w:val="001E5AAE"/>
    <w:rsid w:val="001E5B0F"/>
    <w:rsid w:val="001E5D47"/>
    <w:rsid w:val="001E61F9"/>
    <w:rsid w:val="001E6351"/>
    <w:rsid w:val="001E64C8"/>
    <w:rsid w:val="001E6801"/>
    <w:rsid w:val="001E6EE0"/>
    <w:rsid w:val="001E7182"/>
    <w:rsid w:val="001E7FB4"/>
    <w:rsid w:val="001F0A09"/>
    <w:rsid w:val="001F0F34"/>
    <w:rsid w:val="001F194C"/>
    <w:rsid w:val="001F31DD"/>
    <w:rsid w:val="001F3544"/>
    <w:rsid w:val="001F3ABD"/>
    <w:rsid w:val="001F4380"/>
    <w:rsid w:val="001F55EC"/>
    <w:rsid w:val="001F5AE8"/>
    <w:rsid w:val="001F66E6"/>
    <w:rsid w:val="001F692D"/>
    <w:rsid w:val="001F6D65"/>
    <w:rsid w:val="001F7107"/>
    <w:rsid w:val="001F7510"/>
    <w:rsid w:val="001F7EDC"/>
    <w:rsid w:val="00200185"/>
    <w:rsid w:val="002010ED"/>
    <w:rsid w:val="00201C53"/>
    <w:rsid w:val="0020203E"/>
    <w:rsid w:val="00202828"/>
    <w:rsid w:val="002028EB"/>
    <w:rsid w:val="0020300A"/>
    <w:rsid w:val="00203155"/>
    <w:rsid w:val="00203250"/>
    <w:rsid w:val="002032DC"/>
    <w:rsid w:val="0020371D"/>
    <w:rsid w:val="002039F8"/>
    <w:rsid w:val="00204499"/>
    <w:rsid w:val="00205C54"/>
    <w:rsid w:val="00205D31"/>
    <w:rsid w:val="0020636D"/>
    <w:rsid w:val="00206A06"/>
    <w:rsid w:val="00210F4B"/>
    <w:rsid w:val="00211695"/>
    <w:rsid w:val="00211BB3"/>
    <w:rsid w:val="002131CC"/>
    <w:rsid w:val="00213321"/>
    <w:rsid w:val="00214278"/>
    <w:rsid w:val="00214689"/>
    <w:rsid w:val="002147EF"/>
    <w:rsid w:val="00214EAF"/>
    <w:rsid w:val="002151F4"/>
    <w:rsid w:val="00215762"/>
    <w:rsid w:val="00215C72"/>
    <w:rsid w:val="00216348"/>
    <w:rsid w:val="00217244"/>
    <w:rsid w:val="00217E91"/>
    <w:rsid w:val="00220050"/>
    <w:rsid w:val="00220278"/>
    <w:rsid w:val="0022103D"/>
    <w:rsid w:val="00221257"/>
    <w:rsid w:val="00221D79"/>
    <w:rsid w:val="00223220"/>
    <w:rsid w:val="00224E93"/>
    <w:rsid w:val="002259B7"/>
    <w:rsid w:val="00225BBF"/>
    <w:rsid w:val="00226BF5"/>
    <w:rsid w:val="00226DE5"/>
    <w:rsid w:val="002275C8"/>
    <w:rsid w:val="002302CC"/>
    <w:rsid w:val="0023064E"/>
    <w:rsid w:val="00230BE3"/>
    <w:rsid w:val="002317FE"/>
    <w:rsid w:val="0023185F"/>
    <w:rsid w:val="00232941"/>
    <w:rsid w:val="002342BC"/>
    <w:rsid w:val="002343CD"/>
    <w:rsid w:val="00235142"/>
    <w:rsid w:val="00237089"/>
    <w:rsid w:val="002370EB"/>
    <w:rsid w:val="00237180"/>
    <w:rsid w:val="0023751E"/>
    <w:rsid w:val="002406F3"/>
    <w:rsid w:val="00241515"/>
    <w:rsid w:val="0024169E"/>
    <w:rsid w:val="002422E1"/>
    <w:rsid w:val="0024273C"/>
    <w:rsid w:val="00242BC4"/>
    <w:rsid w:val="00243238"/>
    <w:rsid w:val="002437A5"/>
    <w:rsid w:val="00243DB0"/>
    <w:rsid w:val="00244A28"/>
    <w:rsid w:val="002466F5"/>
    <w:rsid w:val="00247B20"/>
    <w:rsid w:val="00250C0E"/>
    <w:rsid w:val="00250CD5"/>
    <w:rsid w:val="0025195E"/>
    <w:rsid w:val="00251A3A"/>
    <w:rsid w:val="00251F83"/>
    <w:rsid w:val="00252083"/>
    <w:rsid w:val="002535D5"/>
    <w:rsid w:val="0025361A"/>
    <w:rsid w:val="00254D27"/>
    <w:rsid w:val="00254FA7"/>
    <w:rsid w:val="0025506C"/>
    <w:rsid w:val="00255B5B"/>
    <w:rsid w:val="00257F34"/>
    <w:rsid w:val="00260468"/>
    <w:rsid w:val="002612FD"/>
    <w:rsid w:val="0026196F"/>
    <w:rsid w:val="00261B80"/>
    <w:rsid w:val="00261BDB"/>
    <w:rsid w:val="00261FC8"/>
    <w:rsid w:val="00262678"/>
    <w:rsid w:val="00263396"/>
    <w:rsid w:val="00263A1F"/>
    <w:rsid w:val="00264BFF"/>
    <w:rsid w:val="00264FFF"/>
    <w:rsid w:val="0026505D"/>
    <w:rsid w:val="002654A7"/>
    <w:rsid w:val="0026561E"/>
    <w:rsid w:val="00265688"/>
    <w:rsid w:val="002661C7"/>
    <w:rsid w:val="0026778E"/>
    <w:rsid w:val="0027015D"/>
    <w:rsid w:val="00270743"/>
    <w:rsid w:val="00270A97"/>
    <w:rsid w:val="00270B37"/>
    <w:rsid w:val="00270DA0"/>
    <w:rsid w:val="00270EEB"/>
    <w:rsid w:val="0027262F"/>
    <w:rsid w:val="00273254"/>
    <w:rsid w:val="00273914"/>
    <w:rsid w:val="002739E1"/>
    <w:rsid w:val="00274BE9"/>
    <w:rsid w:val="002752BA"/>
    <w:rsid w:val="00275887"/>
    <w:rsid w:val="002758BB"/>
    <w:rsid w:val="00276063"/>
    <w:rsid w:val="00276292"/>
    <w:rsid w:val="00277081"/>
    <w:rsid w:val="00280A4F"/>
    <w:rsid w:val="00280CE5"/>
    <w:rsid w:val="00282838"/>
    <w:rsid w:val="002829F4"/>
    <w:rsid w:val="00282F1D"/>
    <w:rsid w:val="00283CF8"/>
    <w:rsid w:val="00283E4B"/>
    <w:rsid w:val="00284729"/>
    <w:rsid w:val="002855F8"/>
    <w:rsid w:val="0028612A"/>
    <w:rsid w:val="002864ED"/>
    <w:rsid w:val="00286CDD"/>
    <w:rsid w:val="00287250"/>
    <w:rsid w:val="002909A2"/>
    <w:rsid w:val="002919EA"/>
    <w:rsid w:val="002926B5"/>
    <w:rsid w:val="00292E59"/>
    <w:rsid w:val="0029376B"/>
    <w:rsid w:val="00294045"/>
    <w:rsid w:val="0029650A"/>
    <w:rsid w:val="00296626"/>
    <w:rsid w:val="002969F1"/>
    <w:rsid w:val="00296DB9"/>
    <w:rsid w:val="0029745E"/>
    <w:rsid w:val="00297471"/>
    <w:rsid w:val="00297A37"/>
    <w:rsid w:val="002A003C"/>
    <w:rsid w:val="002A0440"/>
    <w:rsid w:val="002A054C"/>
    <w:rsid w:val="002A0C6F"/>
    <w:rsid w:val="002A16CD"/>
    <w:rsid w:val="002A1B0C"/>
    <w:rsid w:val="002A21FD"/>
    <w:rsid w:val="002A28D6"/>
    <w:rsid w:val="002A30FE"/>
    <w:rsid w:val="002A4427"/>
    <w:rsid w:val="002A4486"/>
    <w:rsid w:val="002A4767"/>
    <w:rsid w:val="002A4CEB"/>
    <w:rsid w:val="002A572A"/>
    <w:rsid w:val="002A6F50"/>
    <w:rsid w:val="002B09BC"/>
    <w:rsid w:val="002B0DAF"/>
    <w:rsid w:val="002B12D2"/>
    <w:rsid w:val="002B253E"/>
    <w:rsid w:val="002B2B4B"/>
    <w:rsid w:val="002B2BFB"/>
    <w:rsid w:val="002B308B"/>
    <w:rsid w:val="002B5BBD"/>
    <w:rsid w:val="002B5E56"/>
    <w:rsid w:val="002B6414"/>
    <w:rsid w:val="002B6EB2"/>
    <w:rsid w:val="002B760A"/>
    <w:rsid w:val="002C0295"/>
    <w:rsid w:val="002C18F5"/>
    <w:rsid w:val="002C1AF6"/>
    <w:rsid w:val="002C1EEB"/>
    <w:rsid w:val="002C215A"/>
    <w:rsid w:val="002C2B7C"/>
    <w:rsid w:val="002C2F97"/>
    <w:rsid w:val="002C407A"/>
    <w:rsid w:val="002C55E5"/>
    <w:rsid w:val="002C5785"/>
    <w:rsid w:val="002C5B0B"/>
    <w:rsid w:val="002C7D11"/>
    <w:rsid w:val="002D0E65"/>
    <w:rsid w:val="002D0F8C"/>
    <w:rsid w:val="002D262D"/>
    <w:rsid w:val="002D45A1"/>
    <w:rsid w:val="002D59A4"/>
    <w:rsid w:val="002D6ACD"/>
    <w:rsid w:val="002D7981"/>
    <w:rsid w:val="002E0C84"/>
    <w:rsid w:val="002E11ED"/>
    <w:rsid w:val="002E1969"/>
    <w:rsid w:val="002E1B04"/>
    <w:rsid w:val="002E20AB"/>
    <w:rsid w:val="002E2275"/>
    <w:rsid w:val="002E2B68"/>
    <w:rsid w:val="002E3901"/>
    <w:rsid w:val="002E3A10"/>
    <w:rsid w:val="002E44DA"/>
    <w:rsid w:val="002E4D18"/>
    <w:rsid w:val="002E54D3"/>
    <w:rsid w:val="002E5BF0"/>
    <w:rsid w:val="002E6CD8"/>
    <w:rsid w:val="002E7D15"/>
    <w:rsid w:val="002F03AF"/>
    <w:rsid w:val="002F0EEC"/>
    <w:rsid w:val="002F1800"/>
    <w:rsid w:val="002F1BAC"/>
    <w:rsid w:val="002F2336"/>
    <w:rsid w:val="002F2DF4"/>
    <w:rsid w:val="002F3B2A"/>
    <w:rsid w:val="002F3B3F"/>
    <w:rsid w:val="002F4C20"/>
    <w:rsid w:val="002F56D6"/>
    <w:rsid w:val="002F598F"/>
    <w:rsid w:val="002F5CAC"/>
    <w:rsid w:val="002F6FC1"/>
    <w:rsid w:val="002F7350"/>
    <w:rsid w:val="00300315"/>
    <w:rsid w:val="003005A0"/>
    <w:rsid w:val="003009B9"/>
    <w:rsid w:val="00301015"/>
    <w:rsid w:val="0030101A"/>
    <w:rsid w:val="0030132A"/>
    <w:rsid w:val="00301908"/>
    <w:rsid w:val="00302AC9"/>
    <w:rsid w:val="003035B8"/>
    <w:rsid w:val="00306423"/>
    <w:rsid w:val="0030692C"/>
    <w:rsid w:val="00307039"/>
    <w:rsid w:val="003071E9"/>
    <w:rsid w:val="003073AF"/>
    <w:rsid w:val="003076E0"/>
    <w:rsid w:val="00310712"/>
    <w:rsid w:val="003107CE"/>
    <w:rsid w:val="003111C3"/>
    <w:rsid w:val="003114C2"/>
    <w:rsid w:val="00311539"/>
    <w:rsid w:val="00311B61"/>
    <w:rsid w:val="00311F63"/>
    <w:rsid w:val="00312567"/>
    <w:rsid w:val="00313EC8"/>
    <w:rsid w:val="00313EE2"/>
    <w:rsid w:val="003141A5"/>
    <w:rsid w:val="0031485E"/>
    <w:rsid w:val="00314F9E"/>
    <w:rsid w:val="003174F1"/>
    <w:rsid w:val="00317853"/>
    <w:rsid w:val="00317B91"/>
    <w:rsid w:val="003204E4"/>
    <w:rsid w:val="00320676"/>
    <w:rsid w:val="00320D54"/>
    <w:rsid w:val="003211F7"/>
    <w:rsid w:val="00321589"/>
    <w:rsid w:val="00322933"/>
    <w:rsid w:val="0032350A"/>
    <w:rsid w:val="00323B42"/>
    <w:rsid w:val="00323D3E"/>
    <w:rsid w:val="003241D6"/>
    <w:rsid w:val="00324246"/>
    <w:rsid w:val="003242A1"/>
    <w:rsid w:val="003250E9"/>
    <w:rsid w:val="003254EE"/>
    <w:rsid w:val="003260F2"/>
    <w:rsid w:val="00326ADD"/>
    <w:rsid w:val="00326C70"/>
    <w:rsid w:val="00327225"/>
    <w:rsid w:val="00327776"/>
    <w:rsid w:val="0033104F"/>
    <w:rsid w:val="0033145E"/>
    <w:rsid w:val="00331B0D"/>
    <w:rsid w:val="00331D4C"/>
    <w:rsid w:val="00331E7E"/>
    <w:rsid w:val="00332C30"/>
    <w:rsid w:val="00333459"/>
    <w:rsid w:val="00333857"/>
    <w:rsid w:val="00334AF3"/>
    <w:rsid w:val="003354B3"/>
    <w:rsid w:val="00335AF2"/>
    <w:rsid w:val="00336789"/>
    <w:rsid w:val="00336AD8"/>
    <w:rsid w:val="00337895"/>
    <w:rsid w:val="003378C7"/>
    <w:rsid w:val="00337B2A"/>
    <w:rsid w:val="00340933"/>
    <w:rsid w:val="00340DDF"/>
    <w:rsid w:val="00340E84"/>
    <w:rsid w:val="00341244"/>
    <w:rsid w:val="003417F8"/>
    <w:rsid w:val="003420BA"/>
    <w:rsid w:val="00342BFF"/>
    <w:rsid w:val="00342D5C"/>
    <w:rsid w:val="00343293"/>
    <w:rsid w:val="00343A8F"/>
    <w:rsid w:val="00344DD5"/>
    <w:rsid w:val="00345606"/>
    <w:rsid w:val="0034789F"/>
    <w:rsid w:val="00351C58"/>
    <w:rsid w:val="00352C01"/>
    <w:rsid w:val="00353181"/>
    <w:rsid w:val="00353459"/>
    <w:rsid w:val="0035404F"/>
    <w:rsid w:val="003553C2"/>
    <w:rsid w:val="00355D86"/>
    <w:rsid w:val="0035780E"/>
    <w:rsid w:val="00357B08"/>
    <w:rsid w:val="00361154"/>
    <w:rsid w:val="003624F6"/>
    <w:rsid w:val="00362ECE"/>
    <w:rsid w:val="003634F9"/>
    <w:rsid w:val="003637DF"/>
    <w:rsid w:val="0036411A"/>
    <w:rsid w:val="003641B8"/>
    <w:rsid w:val="0036461D"/>
    <w:rsid w:val="00364AF2"/>
    <w:rsid w:val="003653FF"/>
    <w:rsid w:val="003656E7"/>
    <w:rsid w:val="003661D9"/>
    <w:rsid w:val="00366326"/>
    <w:rsid w:val="00366607"/>
    <w:rsid w:val="00366B1C"/>
    <w:rsid w:val="00366F84"/>
    <w:rsid w:val="00367257"/>
    <w:rsid w:val="0036764F"/>
    <w:rsid w:val="00371BCE"/>
    <w:rsid w:val="0037242C"/>
    <w:rsid w:val="00372AC6"/>
    <w:rsid w:val="00373F97"/>
    <w:rsid w:val="00374A61"/>
    <w:rsid w:val="003751BB"/>
    <w:rsid w:val="0037607B"/>
    <w:rsid w:val="0037660E"/>
    <w:rsid w:val="00377034"/>
    <w:rsid w:val="00381C77"/>
    <w:rsid w:val="00382649"/>
    <w:rsid w:val="00386CEC"/>
    <w:rsid w:val="003878C5"/>
    <w:rsid w:val="00390B7B"/>
    <w:rsid w:val="00390F47"/>
    <w:rsid w:val="00390F5C"/>
    <w:rsid w:val="00391475"/>
    <w:rsid w:val="003925B1"/>
    <w:rsid w:val="00392886"/>
    <w:rsid w:val="00392A9E"/>
    <w:rsid w:val="00393AB3"/>
    <w:rsid w:val="00393BDE"/>
    <w:rsid w:val="003945FC"/>
    <w:rsid w:val="00394B9D"/>
    <w:rsid w:val="00394E87"/>
    <w:rsid w:val="00395173"/>
    <w:rsid w:val="00396EFF"/>
    <w:rsid w:val="003971FA"/>
    <w:rsid w:val="003A09BA"/>
    <w:rsid w:val="003A1479"/>
    <w:rsid w:val="003A1E8A"/>
    <w:rsid w:val="003A2C5E"/>
    <w:rsid w:val="003A3015"/>
    <w:rsid w:val="003A4199"/>
    <w:rsid w:val="003A4674"/>
    <w:rsid w:val="003A5B7F"/>
    <w:rsid w:val="003A5BB0"/>
    <w:rsid w:val="003A5E5B"/>
    <w:rsid w:val="003A6038"/>
    <w:rsid w:val="003A68BF"/>
    <w:rsid w:val="003A6EF5"/>
    <w:rsid w:val="003A70F1"/>
    <w:rsid w:val="003A79F9"/>
    <w:rsid w:val="003A7E61"/>
    <w:rsid w:val="003A7E6C"/>
    <w:rsid w:val="003B0656"/>
    <w:rsid w:val="003B1568"/>
    <w:rsid w:val="003B2A5A"/>
    <w:rsid w:val="003B3C07"/>
    <w:rsid w:val="003B561F"/>
    <w:rsid w:val="003B5BAE"/>
    <w:rsid w:val="003B5D1E"/>
    <w:rsid w:val="003B6273"/>
    <w:rsid w:val="003B630B"/>
    <w:rsid w:val="003B6340"/>
    <w:rsid w:val="003B7A2D"/>
    <w:rsid w:val="003C087B"/>
    <w:rsid w:val="003C1984"/>
    <w:rsid w:val="003C1C59"/>
    <w:rsid w:val="003C29D6"/>
    <w:rsid w:val="003C2D77"/>
    <w:rsid w:val="003C34AD"/>
    <w:rsid w:val="003C3CC0"/>
    <w:rsid w:val="003C3E2E"/>
    <w:rsid w:val="003C416E"/>
    <w:rsid w:val="003C4F1A"/>
    <w:rsid w:val="003C5C10"/>
    <w:rsid w:val="003C66F0"/>
    <w:rsid w:val="003C7990"/>
    <w:rsid w:val="003D2393"/>
    <w:rsid w:val="003D2EED"/>
    <w:rsid w:val="003D3AE6"/>
    <w:rsid w:val="003D4510"/>
    <w:rsid w:val="003D5958"/>
    <w:rsid w:val="003D68C3"/>
    <w:rsid w:val="003D710E"/>
    <w:rsid w:val="003D74E8"/>
    <w:rsid w:val="003D7729"/>
    <w:rsid w:val="003D78B8"/>
    <w:rsid w:val="003D7AB1"/>
    <w:rsid w:val="003D7DBE"/>
    <w:rsid w:val="003E01B4"/>
    <w:rsid w:val="003E023F"/>
    <w:rsid w:val="003E1374"/>
    <w:rsid w:val="003E1C02"/>
    <w:rsid w:val="003E2324"/>
    <w:rsid w:val="003E3AC2"/>
    <w:rsid w:val="003E3B46"/>
    <w:rsid w:val="003E46B8"/>
    <w:rsid w:val="003E4CB9"/>
    <w:rsid w:val="003E5A3D"/>
    <w:rsid w:val="003E68DC"/>
    <w:rsid w:val="003E6E9A"/>
    <w:rsid w:val="003E7258"/>
    <w:rsid w:val="003E7A99"/>
    <w:rsid w:val="003E7D51"/>
    <w:rsid w:val="003E7DE6"/>
    <w:rsid w:val="003F0241"/>
    <w:rsid w:val="003F13EC"/>
    <w:rsid w:val="003F1675"/>
    <w:rsid w:val="003F2EFB"/>
    <w:rsid w:val="003F3CDB"/>
    <w:rsid w:val="003F4A63"/>
    <w:rsid w:val="003F4B4E"/>
    <w:rsid w:val="003F5042"/>
    <w:rsid w:val="003F52DF"/>
    <w:rsid w:val="003F72CD"/>
    <w:rsid w:val="003F7CF9"/>
    <w:rsid w:val="003F7D4F"/>
    <w:rsid w:val="003F7E55"/>
    <w:rsid w:val="00401884"/>
    <w:rsid w:val="00402011"/>
    <w:rsid w:val="00402B9C"/>
    <w:rsid w:val="004033D0"/>
    <w:rsid w:val="004034CC"/>
    <w:rsid w:val="00403FF2"/>
    <w:rsid w:val="004042A2"/>
    <w:rsid w:val="004044C6"/>
    <w:rsid w:val="004044E9"/>
    <w:rsid w:val="00404A89"/>
    <w:rsid w:val="004054E3"/>
    <w:rsid w:val="00405D85"/>
    <w:rsid w:val="00410177"/>
    <w:rsid w:val="00411555"/>
    <w:rsid w:val="00412668"/>
    <w:rsid w:val="004138EC"/>
    <w:rsid w:val="004140AB"/>
    <w:rsid w:val="004146EC"/>
    <w:rsid w:val="00414FCE"/>
    <w:rsid w:val="004154E5"/>
    <w:rsid w:val="00415F67"/>
    <w:rsid w:val="004167BD"/>
    <w:rsid w:val="00416CE6"/>
    <w:rsid w:val="004205F3"/>
    <w:rsid w:val="00421FDF"/>
    <w:rsid w:val="004225F8"/>
    <w:rsid w:val="00423440"/>
    <w:rsid w:val="00424419"/>
    <w:rsid w:val="00424973"/>
    <w:rsid w:val="00425141"/>
    <w:rsid w:val="00426114"/>
    <w:rsid w:val="00427BBC"/>
    <w:rsid w:val="00427EBE"/>
    <w:rsid w:val="00430379"/>
    <w:rsid w:val="00431E2E"/>
    <w:rsid w:val="00432EA7"/>
    <w:rsid w:val="00433625"/>
    <w:rsid w:val="0043374B"/>
    <w:rsid w:val="00433A38"/>
    <w:rsid w:val="00434094"/>
    <w:rsid w:val="004342C5"/>
    <w:rsid w:val="004351F9"/>
    <w:rsid w:val="00435FD8"/>
    <w:rsid w:val="00436088"/>
    <w:rsid w:val="00437017"/>
    <w:rsid w:val="00437781"/>
    <w:rsid w:val="00437BF9"/>
    <w:rsid w:val="004405FC"/>
    <w:rsid w:val="00440745"/>
    <w:rsid w:val="00440A01"/>
    <w:rsid w:val="004423CE"/>
    <w:rsid w:val="00442C7C"/>
    <w:rsid w:val="00443199"/>
    <w:rsid w:val="0044378B"/>
    <w:rsid w:val="0044478C"/>
    <w:rsid w:val="0044508B"/>
    <w:rsid w:val="00445715"/>
    <w:rsid w:val="00445FCC"/>
    <w:rsid w:val="00446788"/>
    <w:rsid w:val="004469D1"/>
    <w:rsid w:val="00447474"/>
    <w:rsid w:val="004505BD"/>
    <w:rsid w:val="0045251A"/>
    <w:rsid w:val="004528D5"/>
    <w:rsid w:val="00452FB2"/>
    <w:rsid w:val="00454054"/>
    <w:rsid w:val="004554B1"/>
    <w:rsid w:val="00455B6F"/>
    <w:rsid w:val="00455C67"/>
    <w:rsid w:val="0045667D"/>
    <w:rsid w:val="00457966"/>
    <w:rsid w:val="004603DE"/>
    <w:rsid w:val="00461AE4"/>
    <w:rsid w:val="004621D4"/>
    <w:rsid w:val="004621EE"/>
    <w:rsid w:val="00462914"/>
    <w:rsid w:val="00462E31"/>
    <w:rsid w:val="0046359D"/>
    <w:rsid w:val="00463AAC"/>
    <w:rsid w:val="00463C16"/>
    <w:rsid w:val="004648B5"/>
    <w:rsid w:val="00465086"/>
    <w:rsid w:val="0046511C"/>
    <w:rsid w:val="004676FA"/>
    <w:rsid w:val="0047054A"/>
    <w:rsid w:val="0047140F"/>
    <w:rsid w:val="00471751"/>
    <w:rsid w:val="00471A03"/>
    <w:rsid w:val="00472B64"/>
    <w:rsid w:val="00472B70"/>
    <w:rsid w:val="00472B8E"/>
    <w:rsid w:val="00472C93"/>
    <w:rsid w:val="004739A3"/>
    <w:rsid w:val="0047522F"/>
    <w:rsid w:val="004760FC"/>
    <w:rsid w:val="00476510"/>
    <w:rsid w:val="00476F89"/>
    <w:rsid w:val="00477533"/>
    <w:rsid w:val="00477DFE"/>
    <w:rsid w:val="00480192"/>
    <w:rsid w:val="0048125D"/>
    <w:rsid w:val="004819CA"/>
    <w:rsid w:val="00482203"/>
    <w:rsid w:val="0048344E"/>
    <w:rsid w:val="00483D3F"/>
    <w:rsid w:val="0048496F"/>
    <w:rsid w:val="00485569"/>
    <w:rsid w:val="00485D50"/>
    <w:rsid w:val="00487630"/>
    <w:rsid w:val="004909D1"/>
    <w:rsid w:val="00490CCE"/>
    <w:rsid w:val="00491353"/>
    <w:rsid w:val="004915DB"/>
    <w:rsid w:val="00491E5F"/>
    <w:rsid w:val="0049245B"/>
    <w:rsid w:val="00492FDA"/>
    <w:rsid w:val="00493817"/>
    <w:rsid w:val="004940A1"/>
    <w:rsid w:val="00494275"/>
    <w:rsid w:val="00496808"/>
    <w:rsid w:val="00496D4E"/>
    <w:rsid w:val="004971C2"/>
    <w:rsid w:val="004A18B2"/>
    <w:rsid w:val="004A1DD2"/>
    <w:rsid w:val="004A1E1D"/>
    <w:rsid w:val="004A22A3"/>
    <w:rsid w:val="004A4586"/>
    <w:rsid w:val="004A76F7"/>
    <w:rsid w:val="004A7C2A"/>
    <w:rsid w:val="004B16F0"/>
    <w:rsid w:val="004B22E3"/>
    <w:rsid w:val="004B26C5"/>
    <w:rsid w:val="004B3987"/>
    <w:rsid w:val="004B42FC"/>
    <w:rsid w:val="004B436C"/>
    <w:rsid w:val="004B5FF0"/>
    <w:rsid w:val="004B627E"/>
    <w:rsid w:val="004B6967"/>
    <w:rsid w:val="004B6CEE"/>
    <w:rsid w:val="004B6EC8"/>
    <w:rsid w:val="004B6FB1"/>
    <w:rsid w:val="004B77C1"/>
    <w:rsid w:val="004C02FA"/>
    <w:rsid w:val="004C0625"/>
    <w:rsid w:val="004C0CA1"/>
    <w:rsid w:val="004C1433"/>
    <w:rsid w:val="004C1C8D"/>
    <w:rsid w:val="004C1CDD"/>
    <w:rsid w:val="004C2D2C"/>
    <w:rsid w:val="004C2EA2"/>
    <w:rsid w:val="004C3746"/>
    <w:rsid w:val="004C3BAC"/>
    <w:rsid w:val="004C3EA7"/>
    <w:rsid w:val="004C48C1"/>
    <w:rsid w:val="004C4A18"/>
    <w:rsid w:val="004C62A2"/>
    <w:rsid w:val="004C63D2"/>
    <w:rsid w:val="004C7A17"/>
    <w:rsid w:val="004C7B52"/>
    <w:rsid w:val="004C7D2B"/>
    <w:rsid w:val="004D0134"/>
    <w:rsid w:val="004D0313"/>
    <w:rsid w:val="004D0C95"/>
    <w:rsid w:val="004D2E83"/>
    <w:rsid w:val="004D3EB8"/>
    <w:rsid w:val="004D43C7"/>
    <w:rsid w:val="004D49B1"/>
    <w:rsid w:val="004D4B26"/>
    <w:rsid w:val="004D4DD5"/>
    <w:rsid w:val="004D6C2D"/>
    <w:rsid w:val="004E00B5"/>
    <w:rsid w:val="004E0C50"/>
    <w:rsid w:val="004E0D9E"/>
    <w:rsid w:val="004E1057"/>
    <w:rsid w:val="004E1167"/>
    <w:rsid w:val="004E29DC"/>
    <w:rsid w:val="004E2F04"/>
    <w:rsid w:val="004E3015"/>
    <w:rsid w:val="004E39D6"/>
    <w:rsid w:val="004E3A9F"/>
    <w:rsid w:val="004E4680"/>
    <w:rsid w:val="004E67F5"/>
    <w:rsid w:val="004E74D8"/>
    <w:rsid w:val="004E784A"/>
    <w:rsid w:val="004E7867"/>
    <w:rsid w:val="004E7F71"/>
    <w:rsid w:val="004F0254"/>
    <w:rsid w:val="004F2EE7"/>
    <w:rsid w:val="004F31BD"/>
    <w:rsid w:val="004F45C9"/>
    <w:rsid w:val="004F4D62"/>
    <w:rsid w:val="004F4DE4"/>
    <w:rsid w:val="004F50FE"/>
    <w:rsid w:val="004F56E2"/>
    <w:rsid w:val="004F5F7B"/>
    <w:rsid w:val="004F65BF"/>
    <w:rsid w:val="004F6D23"/>
    <w:rsid w:val="00500D45"/>
    <w:rsid w:val="005014E9"/>
    <w:rsid w:val="005014EA"/>
    <w:rsid w:val="00501532"/>
    <w:rsid w:val="005017D2"/>
    <w:rsid w:val="005029BD"/>
    <w:rsid w:val="005031D8"/>
    <w:rsid w:val="00503D01"/>
    <w:rsid w:val="005046FC"/>
    <w:rsid w:val="00504B9C"/>
    <w:rsid w:val="00504DA7"/>
    <w:rsid w:val="00504FFA"/>
    <w:rsid w:val="00505406"/>
    <w:rsid w:val="005056E6"/>
    <w:rsid w:val="005056FB"/>
    <w:rsid w:val="0050674B"/>
    <w:rsid w:val="00506FCD"/>
    <w:rsid w:val="00507242"/>
    <w:rsid w:val="005104E6"/>
    <w:rsid w:val="00510548"/>
    <w:rsid w:val="00510CED"/>
    <w:rsid w:val="00510F77"/>
    <w:rsid w:val="005110CC"/>
    <w:rsid w:val="00511BF0"/>
    <w:rsid w:val="00511D50"/>
    <w:rsid w:val="005122A7"/>
    <w:rsid w:val="00512941"/>
    <w:rsid w:val="00512E44"/>
    <w:rsid w:val="005130D9"/>
    <w:rsid w:val="00513192"/>
    <w:rsid w:val="00513688"/>
    <w:rsid w:val="00513857"/>
    <w:rsid w:val="00514163"/>
    <w:rsid w:val="00514A43"/>
    <w:rsid w:val="00515273"/>
    <w:rsid w:val="0051550C"/>
    <w:rsid w:val="00515DCC"/>
    <w:rsid w:val="005171FA"/>
    <w:rsid w:val="00520743"/>
    <w:rsid w:val="00520A5A"/>
    <w:rsid w:val="00520FB8"/>
    <w:rsid w:val="005213DC"/>
    <w:rsid w:val="005214FF"/>
    <w:rsid w:val="00522D74"/>
    <w:rsid w:val="00524557"/>
    <w:rsid w:val="00524643"/>
    <w:rsid w:val="005262B3"/>
    <w:rsid w:val="005271BD"/>
    <w:rsid w:val="005274DC"/>
    <w:rsid w:val="00530C73"/>
    <w:rsid w:val="00532082"/>
    <w:rsid w:val="00533F88"/>
    <w:rsid w:val="00534A4B"/>
    <w:rsid w:val="005358D6"/>
    <w:rsid w:val="00536869"/>
    <w:rsid w:val="00537530"/>
    <w:rsid w:val="00537964"/>
    <w:rsid w:val="00540B2D"/>
    <w:rsid w:val="00540C39"/>
    <w:rsid w:val="00541AE1"/>
    <w:rsid w:val="005437E3"/>
    <w:rsid w:val="00544921"/>
    <w:rsid w:val="005457A5"/>
    <w:rsid w:val="00547074"/>
    <w:rsid w:val="00547EA5"/>
    <w:rsid w:val="00550D73"/>
    <w:rsid w:val="005534FD"/>
    <w:rsid w:val="0055418F"/>
    <w:rsid w:val="005543F3"/>
    <w:rsid w:val="00556A82"/>
    <w:rsid w:val="005573AD"/>
    <w:rsid w:val="005576FB"/>
    <w:rsid w:val="00557C97"/>
    <w:rsid w:val="00557D3A"/>
    <w:rsid w:val="005608FD"/>
    <w:rsid w:val="00562BD6"/>
    <w:rsid w:val="00562D77"/>
    <w:rsid w:val="005630DE"/>
    <w:rsid w:val="0056322F"/>
    <w:rsid w:val="005638C9"/>
    <w:rsid w:val="00564790"/>
    <w:rsid w:val="0056495A"/>
    <w:rsid w:val="0056528A"/>
    <w:rsid w:val="0056582A"/>
    <w:rsid w:val="00565DB5"/>
    <w:rsid w:val="005662B1"/>
    <w:rsid w:val="00566459"/>
    <w:rsid w:val="0057065A"/>
    <w:rsid w:val="0057164B"/>
    <w:rsid w:val="00571B27"/>
    <w:rsid w:val="00571FFA"/>
    <w:rsid w:val="00572B4A"/>
    <w:rsid w:val="00572C79"/>
    <w:rsid w:val="00573699"/>
    <w:rsid w:val="00574459"/>
    <w:rsid w:val="0057594A"/>
    <w:rsid w:val="005765BF"/>
    <w:rsid w:val="00576C0C"/>
    <w:rsid w:val="005770BB"/>
    <w:rsid w:val="005771F7"/>
    <w:rsid w:val="0058034E"/>
    <w:rsid w:val="00580961"/>
    <w:rsid w:val="00580E99"/>
    <w:rsid w:val="00580F20"/>
    <w:rsid w:val="00581BF1"/>
    <w:rsid w:val="00582575"/>
    <w:rsid w:val="00583410"/>
    <w:rsid w:val="005837CD"/>
    <w:rsid w:val="00583E7F"/>
    <w:rsid w:val="00584BE0"/>
    <w:rsid w:val="00584D33"/>
    <w:rsid w:val="00584DDF"/>
    <w:rsid w:val="0058552F"/>
    <w:rsid w:val="005858AA"/>
    <w:rsid w:val="005866F2"/>
    <w:rsid w:val="005874A1"/>
    <w:rsid w:val="0058799F"/>
    <w:rsid w:val="005879BA"/>
    <w:rsid w:val="00590165"/>
    <w:rsid w:val="00590315"/>
    <w:rsid w:val="005907EA"/>
    <w:rsid w:val="0059176C"/>
    <w:rsid w:val="005923E3"/>
    <w:rsid w:val="005926B0"/>
    <w:rsid w:val="005933D2"/>
    <w:rsid w:val="005940EB"/>
    <w:rsid w:val="00594951"/>
    <w:rsid w:val="00594D47"/>
    <w:rsid w:val="00594E71"/>
    <w:rsid w:val="00595DF8"/>
    <w:rsid w:val="00596C38"/>
    <w:rsid w:val="00596CD7"/>
    <w:rsid w:val="00596ECD"/>
    <w:rsid w:val="00596FEA"/>
    <w:rsid w:val="005971E3"/>
    <w:rsid w:val="005975B0"/>
    <w:rsid w:val="00597A6D"/>
    <w:rsid w:val="00597D1C"/>
    <w:rsid w:val="005A02CF"/>
    <w:rsid w:val="005A0586"/>
    <w:rsid w:val="005A0D78"/>
    <w:rsid w:val="005A17C6"/>
    <w:rsid w:val="005A3493"/>
    <w:rsid w:val="005A36CB"/>
    <w:rsid w:val="005A3AA3"/>
    <w:rsid w:val="005A42A8"/>
    <w:rsid w:val="005A47B8"/>
    <w:rsid w:val="005A59A5"/>
    <w:rsid w:val="005A5DB4"/>
    <w:rsid w:val="005A64A6"/>
    <w:rsid w:val="005A68FD"/>
    <w:rsid w:val="005A6CA9"/>
    <w:rsid w:val="005A7CA3"/>
    <w:rsid w:val="005B042B"/>
    <w:rsid w:val="005B0432"/>
    <w:rsid w:val="005B08E7"/>
    <w:rsid w:val="005B2020"/>
    <w:rsid w:val="005B48B0"/>
    <w:rsid w:val="005B4A2B"/>
    <w:rsid w:val="005B4DCA"/>
    <w:rsid w:val="005B4F80"/>
    <w:rsid w:val="005B5337"/>
    <w:rsid w:val="005B5EAF"/>
    <w:rsid w:val="005B5EB7"/>
    <w:rsid w:val="005B66AC"/>
    <w:rsid w:val="005B6EAD"/>
    <w:rsid w:val="005B7681"/>
    <w:rsid w:val="005C05DF"/>
    <w:rsid w:val="005C0A14"/>
    <w:rsid w:val="005C154E"/>
    <w:rsid w:val="005C18C8"/>
    <w:rsid w:val="005C1ACE"/>
    <w:rsid w:val="005C1CDF"/>
    <w:rsid w:val="005C1D9F"/>
    <w:rsid w:val="005C2457"/>
    <w:rsid w:val="005C280C"/>
    <w:rsid w:val="005C3C79"/>
    <w:rsid w:val="005C3D34"/>
    <w:rsid w:val="005C45D4"/>
    <w:rsid w:val="005C5D18"/>
    <w:rsid w:val="005C63A3"/>
    <w:rsid w:val="005C74D8"/>
    <w:rsid w:val="005D0A11"/>
    <w:rsid w:val="005D0E60"/>
    <w:rsid w:val="005D18F1"/>
    <w:rsid w:val="005D1FD3"/>
    <w:rsid w:val="005D216E"/>
    <w:rsid w:val="005D25FA"/>
    <w:rsid w:val="005D2FD4"/>
    <w:rsid w:val="005D3733"/>
    <w:rsid w:val="005D39A1"/>
    <w:rsid w:val="005D4E74"/>
    <w:rsid w:val="005D5DD3"/>
    <w:rsid w:val="005D62C7"/>
    <w:rsid w:val="005D65C5"/>
    <w:rsid w:val="005D66CE"/>
    <w:rsid w:val="005D7386"/>
    <w:rsid w:val="005D7860"/>
    <w:rsid w:val="005E0AF5"/>
    <w:rsid w:val="005E1D74"/>
    <w:rsid w:val="005E22D0"/>
    <w:rsid w:val="005E3622"/>
    <w:rsid w:val="005E37BA"/>
    <w:rsid w:val="005E41BD"/>
    <w:rsid w:val="005E51A3"/>
    <w:rsid w:val="005E65E5"/>
    <w:rsid w:val="005E6BD2"/>
    <w:rsid w:val="005E6FEB"/>
    <w:rsid w:val="005F01C9"/>
    <w:rsid w:val="005F0348"/>
    <w:rsid w:val="005F19FB"/>
    <w:rsid w:val="005F1D95"/>
    <w:rsid w:val="005F1F44"/>
    <w:rsid w:val="005F2315"/>
    <w:rsid w:val="005F238C"/>
    <w:rsid w:val="005F442E"/>
    <w:rsid w:val="005F4558"/>
    <w:rsid w:val="005F462D"/>
    <w:rsid w:val="005F4F84"/>
    <w:rsid w:val="005F5A6D"/>
    <w:rsid w:val="005F625A"/>
    <w:rsid w:val="005F795A"/>
    <w:rsid w:val="006015AB"/>
    <w:rsid w:val="00601AD8"/>
    <w:rsid w:val="00601DF7"/>
    <w:rsid w:val="006021CC"/>
    <w:rsid w:val="006026E4"/>
    <w:rsid w:val="006027F8"/>
    <w:rsid w:val="00602A20"/>
    <w:rsid w:val="00602F3B"/>
    <w:rsid w:val="00603724"/>
    <w:rsid w:val="006037F7"/>
    <w:rsid w:val="0060407A"/>
    <w:rsid w:val="00604D93"/>
    <w:rsid w:val="006050E6"/>
    <w:rsid w:val="00605832"/>
    <w:rsid w:val="006058CB"/>
    <w:rsid w:val="00610CDB"/>
    <w:rsid w:val="00610E87"/>
    <w:rsid w:val="006118E9"/>
    <w:rsid w:val="00611A93"/>
    <w:rsid w:val="00612359"/>
    <w:rsid w:val="006125A9"/>
    <w:rsid w:val="00612957"/>
    <w:rsid w:val="00612974"/>
    <w:rsid w:val="00612C9B"/>
    <w:rsid w:val="00613513"/>
    <w:rsid w:val="006136FF"/>
    <w:rsid w:val="00614478"/>
    <w:rsid w:val="0061520B"/>
    <w:rsid w:val="00615731"/>
    <w:rsid w:val="00616588"/>
    <w:rsid w:val="00617D47"/>
    <w:rsid w:val="006206C0"/>
    <w:rsid w:val="00621CA7"/>
    <w:rsid w:val="00622EFB"/>
    <w:rsid w:val="00623568"/>
    <w:rsid w:val="006239C6"/>
    <w:rsid w:val="00623C72"/>
    <w:rsid w:val="00623E12"/>
    <w:rsid w:val="00624407"/>
    <w:rsid w:val="00624D7B"/>
    <w:rsid w:val="006256F9"/>
    <w:rsid w:val="00625FF7"/>
    <w:rsid w:val="00626704"/>
    <w:rsid w:val="006267AC"/>
    <w:rsid w:val="00627586"/>
    <w:rsid w:val="00627FA9"/>
    <w:rsid w:val="00630592"/>
    <w:rsid w:val="00630C15"/>
    <w:rsid w:val="0063163B"/>
    <w:rsid w:val="00631B47"/>
    <w:rsid w:val="00633086"/>
    <w:rsid w:val="00633C74"/>
    <w:rsid w:val="00634870"/>
    <w:rsid w:val="00634E51"/>
    <w:rsid w:val="006354CF"/>
    <w:rsid w:val="006354E6"/>
    <w:rsid w:val="00635F6F"/>
    <w:rsid w:val="0063603E"/>
    <w:rsid w:val="0063629B"/>
    <w:rsid w:val="00636D4E"/>
    <w:rsid w:val="00636E4A"/>
    <w:rsid w:val="00636E5A"/>
    <w:rsid w:val="00637FA7"/>
    <w:rsid w:val="00640541"/>
    <w:rsid w:val="0064064D"/>
    <w:rsid w:val="00641154"/>
    <w:rsid w:val="00641428"/>
    <w:rsid w:val="006415C8"/>
    <w:rsid w:val="00642155"/>
    <w:rsid w:val="00642429"/>
    <w:rsid w:val="006426F1"/>
    <w:rsid w:val="00643A10"/>
    <w:rsid w:val="006451B3"/>
    <w:rsid w:val="00645FB1"/>
    <w:rsid w:val="00647D4B"/>
    <w:rsid w:val="006501CE"/>
    <w:rsid w:val="00650532"/>
    <w:rsid w:val="00650C68"/>
    <w:rsid w:val="006510FB"/>
    <w:rsid w:val="006514AC"/>
    <w:rsid w:val="006534FD"/>
    <w:rsid w:val="00653798"/>
    <w:rsid w:val="00653D0D"/>
    <w:rsid w:val="00654362"/>
    <w:rsid w:val="00654938"/>
    <w:rsid w:val="00654E2A"/>
    <w:rsid w:val="006559D1"/>
    <w:rsid w:val="00655B96"/>
    <w:rsid w:val="006564B3"/>
    <w:rsid w:val="00657A7F"/>
    <w:rsid w:val="00657AC9"/>
    <w:rsid w:val="00657B79"/>
    <w:rsid w:val="00657E8E"/>
    <w:rsid w:val="006607AB"/>
    <w:rsid w:val="006627E4"/>
    <w:rsid w:val="00662DCF"/>
    <w:rsid w:val="00664244"/>
    <w:rsid w:val="006645CC"/>
    <w:rsid w:val="0066563F"/>
    <w:rsid w:val="00665FA5"/>
    <w:rsid w:val="006675D2"/>
    <w:rsid w:val="006702FD"/>
    <w:rsid w:val="00670839"/>
    <w:rsid w:val="00670B9B"/>
    <w:rsid w:val="00670F78"/>
    <w:rsid w:val="006712B6"/>
    <w:rsid w:val="00671D0F"/>
    <w:rsid w:val="00671D1F"/>
    <w:rsid w:val="00672301"/>
    <w:rsid w:val="00672749"/>
    <w:rsid w:val="006729CA"/>
    <w:rsid w:val="0067472B"/>
    <w:rsid w:val="00674F63"/>
    <w:rsid w:val="00675569"/>
    <w:rsid w:val="00675DA1"/>
    <w:rsid w:val="00676477"/>
    <w:rsid w:val="006810BD"/>
    <w:rsid w:val="0068198A"/>
    <w:rsid w:val="00682035"/>
    <w:rsid w:val="00682054"/>
    <w:rsid w:val="00683160"/>
    <w:rsid w:val="00683D7A"/>
    <w:rsid w:val="006841B2"/>
    <w:rsid w:val="006846CE"/>
    <w:rsid w:val="00684C06"/>
    <w:rsid w:val="00684E7E"/>
    <w:rsid w:val="00685DCD"/>
    <w:rsid w:val="006869E2"/>
    <w:rsid w:val="00691037"/>
    <w:rsid w:val="00691750"/>
    <w:rsid w:val="00692030"/>
    <w:rsid w:val="00693027"/>
    <w:rsid w:val="00693AEE"/>
    <w:rsid w:val="00693D0C"/>
    <w:rsid w:val="00694A7C"/>
    <w:rsid w:val="006951C0"/>
    <w:rsid w:val="0069542F"/>
    <w:rsid w:val="00696333"/>
    <w:rsid w:val="00697B6C"/>
    <w:rsid w:val="00697DDC"/>
    <w:rsid w:val="00697E16"/>
    <w:rsid w:val="006A0552"/>
    <w:rsid w:val="006A2202"/>
    <w:rsid w:val="006A239C"/>
    <w:rsid w:val="006A320B"/>
    <w:rsid w:val="006A4403"/>
    <w:rsid w:val="006A4F01"/>
    <w:rsid w:val="006A50D9"/>
    <w:rsid w:val="006A5559"/>
    <w:rsid w:val="006A59F8"/>
    <w:rsid w:val="006A60BC"/>
    <w:rsid w:val="006A78E7"/>
    <w:rsid w:val="006B08C2"/>
    <w:rsid w:val="006B1938"/>
    <w:rsid w:val="006B1E53"/>
    <w:rsid w:val="006B3671"/>
    <w:rsid w:val="006B4604"/>
    <w:rsid w:val="006B50C3"/>
    <w:rsid w:val="006B5575"/>
    <w:rsid w:val="006B5FCC"/>
    <w:rsid w:val="006B6572"/>
    <w:rsid w:val="006B6F8D"/>
    <w:rsid w:val="006B7F37"/>
    <w:rsid w:val="006C03B8"/>
    <w:rsid w:val="006C053C"/>
    <w:rsid w:val="006C0E47"/>
    <w:rsid w:val="006C1431"/>
    <w:rsid w:val="006C1929"/>
    <w:rsid w:val="006C1E87"/>
    <w:rsid w:val="006C23EB"/>
    <w:rsid w:val="006C34BC"/>
    <w:rsid w:val="006C410D"/>
    <w:rsid w:val="006C5939"/>
    <w:rsid w:val="006C5ADC"/>
    <w:rsid w:val="006C7AE9"/>
    <w:rsid w:val="006D03A2"/>
    <w:rsid w:val="006D0406"/>
    <w:rsid w:val="006D076B"/>
    <w:rsid w:val="006D0B3D"/>
    <w:rsid w:val="006D1DCA"/>
    <w:rsid w:val="006D209B"/>
    <w:rsid w:val="006D23D8"/>
    <w:rsid w:val="006D2C4F"/>
    <w:rsid w:val="006D3002"/>
    <w:rsid w:val="006D341E"/>
    <w:rsid w:val="006D3609"/>
    <w:rsid w:val="006D37AD"/>
    <w:rsid w:val="006D4CC9"/>
    <w:rsid w:val="006D5340"/>
    <w:rsid w:val="006D61D1"/>
    <w:rsid w:val="006D716C"/>
    <w:rsid w:val="006D7599"/>
    <w:rsid w:val="006D7906"/>
    <w:rsid w:val="006D7990"/>
    <w:rsid w:val="006E072F"/>
    <w:rsid w:val="006E2447"/>
    <w:rsid w:val="006E3277"/>
    <w:rsid w:val="006E348E"/>
    <w:rsid w:val="006E3EFF"/>
    <w:rsid w:val="006E4F29"/>
    <w:rsid w:val="006E6877"/>
    <w:rsid w:val="006E68B2"/>
    <w:rsid w:val="006E7B3E"/>
    <w:rsid w:val="006E7BB5"/>
    <w:rsid w:val="006F1193"/>
    <w:rsid w:val="006F1A18"/>
    <w:rsid w:val="006F1DA6"/>
    <w:rsid w:val="006F1FE0"/>
    <w:rsid w:val="006F2280"/>
    <w:rsid w:val="006F3000"/>
    <w:rsid w:val="006F36BF"/>
    <w:rsid w:val="006F3708"/>
    <w:rsid w:val="006F45A2"/>
    <w:rsid w:val="006F4921"/>
    <w:rsid w:val="006F6475"/>
    <w:rsid w:val="006F65FE"/>
    <w:rsid w:val="006F6D08"/>
    <w:rsid w:val="006F6D82"/>
    <w:rsid w:val="006F730E"/>
    <w:rsid w:val="006F77A3"/>
    <w:rsid w:val="006F7FB9"/>
    <w:rsid w:val="007005A9"/>
    <w:rsid w:val="007005C7"/>
    <w:rsid w:val="00701D3D"/>
    <w:rsid w:val="00703368"/>
    <w:rsid w:val="00703719"/>
    <w:rsid w:val="007045E5"/>
    <w:rsid w:val="00705D24"/>
    <w:rsid w:val="007113C6"/>
    <w:rsid w:val="0071162D"/>
    <w:rsid w:val="007117E1"/>
    <w:rsid w:val="00711ED0"/>
    <w:rsid w:val="0071235D"/>
    <w:rsid w:val="00712801"/>
    <w:rsid w:val="00712DB6"/>
    <w:rsid w:val="007145BB"/>
    <w:rsid w:val="0071464C"/>
    <w:rsid w:val="00714B5D"/>
    <w:rsid w:val="00714D93"/>
    <w:rsid w:val="007155CF"/>
    <w:rsid w:val="00716601"/>
    <w:rsid w:val="007169DB"/>
    <w:rsid w:val="00716D94"/>
    <w:rsid w:val="00716DFB"/>
    <w:rsid w:val="00716FEC"/>
    <w:rsid w:val="007175DF"/>
    <w:rsid w:val="00717955"/>
    <w:rsid w:val="00717C17"/>
    <w:rsid w:val="00720D05"/>
    <w:rsid w:val="00721926"/>
    <w:rsid w:val="00722C2E"/>
    <w:rsid w:val="00722CF3"/>
    <w:rsid w:val="00724999"/>
    <w:rsid w:val="00724CE2"/>
    <w:rsid w:val="00724D2F"/>
    <w:rsid w:val="007255D8"/>
    <w:rsid w:val="00725D0D"/>
    <w:rsid w:val="00727785"/>
    <w:rsid w:val="00727AE5"/>
    <w:rsid w:val="00730463"/>
    <w:rsid w:val="00730681"/>
    <w:rsid w:val="00731BC2"/>
    <w:rsid w:val="00732E48"/>
    <w:rsid w:val="0073395C"/>
    <w:rsid w:val="00735374"/>
    <w:rsid w:val="007358BE"/>
    <w:rsid w:val="00735E9A"/>
    <w:rsid w:val="0073643E"/>
    <w:rsid w:val="0074007A"/>
    <w:rsid w:val="007401FE"/>
    <w:rsid w:val="00740266"/>
    <w:rsid w:val="007402A6"/>
    <w:rsid w:val="00740CDC"/>
    <w:rsid w:val="00741D7E"/>
    <w:rsid w:val="0074266B"/>
    <w:rsid w:val="00743033"/>
    <w:rsid w:val="00743147"/>
    <w:rsid w:val="00743324"/>
    <w:rsid w:val="00744153"/>
    <w:rsid w:val="007449C3"/>
    <w:rsid w:val="007452AB"/>
    <w:rsid w:val="0074540C"/>
    <w:rsid w:val="00745812"/>
    <w:rsid w:val="00745F9E"/>
    <w:rsid w:val="00746F72"/>
    <w:rsid w:val="0074718C"/>
    <w:rsid w:val="00747EF9"/>
    <w:rsid w:val="00750D66"/>
    <w:rsid w:val="007521AD"/>
    <w:rsid w:val="007530A5"/>
    <w:rsid w:val="00753B35"/>
    <w:rsid w:val="00753C30"/>
    <w:rsid w:val="00753FAC"/>
    <w:rsid w:val="007541F6"/>
    <w:rsid w:val="0075476A"/>
    <w:rsid w:val="00754784"/>
    <w:rsid w:val="007547CA"/>
    <w:rsid w:val="007549A2"/>
    <w:rsid w:val="00754B03"/>
    <w:rsid w:val="00754E5A"/>
    <w:rsid w:val="00755440"/>
    <w:rsid w:val="00755C70"/>
    <w:rsid w:val="00755D2F"/>
    <w:rsid w:val="00756B3F"/>
    <w:rsid w:val="00757C95"/>
    <w:rsid w:val="007601AE"/>
    <w:rsid w:val="00761ED5"/>
    <w:rsid w:val="0076269C"/>
    <w:rsid w:val="00763F7B"/>
    <w:rsid w:val="00764E86"/>
    <w:rsid w:val="0076641A"/>
    <w:rsid w:val="00766936"/>
    <w:rsid w:val="007669DF"/>
    <w:rsid w:val="00766B98"/>
    <w:rsid w:val="007674A1"/>
    <w:rsid w:val="0076756E"/>
    <w:rsid w:val="007679A6"/>
    <w:rsid w:val="00767AF1"/>
    <w:rsid w:val="00767EC3"/>
    <w:rsid w:val="007706CB"/>
    <w:rsid w:val="00770B83"/>
    <w:rsid w:val="00771F69"/>
    <w:rsid w:val="00772E5C"/>
    <w:rsid w:val="0077314F"/>
    <w:rsid w:val="007742E4"/>
    <w:rsid w:val="007746B7"/>
    <w:rsid w:val="007756D8"/>
    <w:rsid w:val="00775950"/>
    <w:rsid w:val="00775F3B"/>
    <w:rsid w:val="007760DF"/>
    <w:rsid w:val="00776764"/>
    <w:rsid w:val="00776B6F"/>
    <w:rsid w:val="007776F7"/>
    <w:rsid w:val="00777CC4"/>
    <w:rsid w:val="00777FCF"/>
    <w:rsid w:val="007821E3"/>
    <w:rsid w:val="0078228F"/>
    <w:rsid w:val="00782715"/>
    <w:rsid w:val="00782C1E"/>
    <w:rsid w:val="007833DE"/>
    <w:rsid w:val="00783B22"/>
    <w:rsid w:val="00783D5E"/>
    <w:rsid w:val="00783D95"/>
    <w:rsid w:val="00785B46"/>
    <w:rsid w:val="00785E98"/>
    <w:rsid w:val="0078640E"/>
    <w:rsid w:val="00786411"/>
    <w:rsid w:val="00786440"/>
    <w:rsid w:val="007868BA"/>
    <w:rsid w:val="00787F2D"/>
    <w:rsid w:val="007906CD"/>
    <w:rsid w:val="00790A97"/>
    <w:rsid w:val="00791037"/>
    <w:rsid w:val="0079151B"/>
    <w:rsid w:val="00792B1A"/>
    <w:rsid w:val="00793BF0"/>
    <w:rsid w:val="007945A5"/>
    <w:rsid w:val="00794B10"/>
    <w:rsid w:val="00795EF9"/>
    <w:rsid w:val="007962E0"/>
    <w:rsid w:val="00796920"/>
    <w:rsid w:val="00797045"/>
    <w:rsid w:val="00797138"/>
    <w:rsid w:val="00797417"/>
    <w:rsid w:val="007975E0"/>
    <w:rsid w:val="007A09A9"/>
    <w:rsid w:val="007A1ED5"/>
    <w:rsid w:val="007A2D14"/>
    <w:rsid w:val="007A2E22"/>
    <w:rsid w:val="007A3392"/>
    <w:rsid w:val="007A41A6"/>
    <w:rsid w:val="007A42C3"/>
    <w:rsid w:val="007A45AF"/>
    <w:rsid w:val="007A47A9"/>
    <w:rsid w:val="007A52AD"/>
    <w:rsid w:val="007A5AF7"/>
    <w:rsid w:val="007A611C"/>
    <w:rsid w:val="007A61E1"/>
    <w:rsid w:val="007A6564"/>
    <w:rsid w:val="007A6914"/>
    <w:rsid w:val="007B0608"/>
    <w:rsid w:val="007B19E5"/>
    <w:rsid w:val="007B2448"/>
    <w:rsid w:val="007B2848"/>
    <w:rsid w:val="007B2B56"/>
    <w:rsid w:val="007B316B"/>
    <w:rsid w:val="007B3FDA"/>
    <w:rsid w:val="007B46C6"/>
    <w:rsid w:val="007B5728"/>
    <w:rsid w:val="007B5D45"/>
    <w:rsid w:val="007B5F08"/>
    <w:rsid w:val="007B6320"/>
    <w:rsid w:val="007B64FD"/>
    <w:rsid w:val="007B743B"/>
    <w:rsid w:val="007B7B70"/>
    <w:rsid w:val="007C06F0"/>
    <w:rsid w:val="007C0E78"/>
    <w:rsid w:val="007C0E7D"/>
    <w:rsid w:val="007C2562"/>
    <w:rsid w:val="007C259D"/>
    <w:rsid w:val="007C268A"/>
    <w:rsid w:val="007C308C"/>
    <w:rsid w:val="007C3B13"/>
    <w:rsid w:val="007C4E81"/>
    <w:rsid w:val="007C5838"/>
    <w:rsid w:val="007C5B49"/>
    <w:rsid w:val="007C621A"/>
    <w:rsid w:val="007C6276"/>
    <w:rsid w:val="007C7053"/>
    <w:rsid w:val="007C7B88"/>
    <w:rsid w:val="007D0368"/>
    <w:rsid w:val="007D08A0"/>
    <w:rsid w:val="007D0DBA"/>
    <w:rsid w:val="007D0E84"/>
    <w:rsid w:val="007D192B"/>
    <w:rsid w:val="007D1BF0"/>
    <w:rsid w:val="007D26D5"/>
    <w:rsid w:val="007D3474"/>
    <w:rsid w:val="007D44A9"/>
    <w:rsid w:val="007D61FC"/>
    <w:rsid w:val="007D655B"/>
    <w:rsid w:val="007D657D"/>
    <w:rsid w:val="007D67A5"/>
    <w:rsid w:val="007D69FE"/>
    <w:rsid w:val="007E0825"/>
    <w:rsid w:val="007E0D51"/>
    <w:rsid w:val="007E1BBF"/>
    <w:rsid w:val="007E26AB"/>
    <w:rsid w:val="007E5A65"/>
    <w:rsid w:val="007E5BB9"/>
    <w:rsid w:val="007E6250"/>
    <w:rsid w:val="007E6593"/>
    <w:rsid w:val="007E67F7"/>
    <w:rsid w:val="007E6EEC"/>
    <w:rsid w:val="007E7730"/>
    <w:rsid w:val="007F0154"/>
    <w:rsid w:val="007F0E2E"/>
    <w:rsid w:val="007F1DD2"/>
    <w:rsid w:val="007F2F6C"/>
    <w:rsid w:val="007F3CEC"/>
    <w:rsid w:val="007F4930"/>
    <w:rsid w:val="007F5B64"/>
    <w:rsid w:val="007F5CE3"/>
    <w:rsid w:val="007F5E09"/>
    <w:rsid w:val="007F63F1"/>
    <w:rsid w:val="007F7476"/>
    <w:rsid w:val="007F7888"/>
    <w:rsid w:val="00800005"/>
    <w:rsid w:val="00800421"/>
    <w:rsid w:val="008005AE"/>
    <w:rsid w:val="00800B20"/>
    <w:rsid w:val="00800EAD"/>
    <w:rsid w:val="008018FC"/>
    <w:rsid w:val="00801AAE"/>
    <w:rsid w:val="00801C86"/>
    <w:rsid w:val="0080222F"/>
    <w:rsid w:val="00802795"/>
    <w:rsid w:val="00802B2B"/>
    <w:rsid w:val="0080372B"/>
    <w:rsid w:val="008037DA"/>
    <w:rsid w:val="008043D0"/>
    <w:rsid w:val="00804B6F"/>
    <w:rsid w:val="00805E01"/>
    <w:rsid w:val="008061DB"/>
    <w:rsid w:val="00806261"/>
    <w:rsid w:val="0080640D"/>
    <w:rsid w:val="00806DF9"/>
    <w:rsid w:val="00810C03"/>
    <w:rsid w:val="008115EE"/>
    <w:rsid w:val="00812710"/>
    <w:rsid w:val="00812714"/>
    <w:rsid w:val="00813759"/>
    <w:rsid w:val="00816290"/>
    <w:rsid w:val="00817076"/>
    <w:rsid w:val="008174A2"/>
    <w:rsid w:val="0081789E"/>
    <w:rsid w:val="0082133D"/>
    <w:rsid w:val="0082216D"/>
    <w:rsid w:val="008228C8"/>
    <w:rsid w:val="0082415A"/>
    <w:rsid w:val="00824B31"/>
    <w:rsid w:val="00824C14"/>
    <w:rsid w:val="00825241"/>
    <w:rsid w:val="00825474"/>
    <w:rsid w:val="00825480"/>
    <w:rsid w:val="00825C3B"/>
    <w:rsid w:val="00826D0C"/>
    <w:rsid w:val="00826E71"/>
    <w:rsid w:val="0083015D"/>
    <w:rsid w:val="00832308"/>
    <w:rsid w:val="008326E5"/>
    <w:rsid w:val="008338B6"/>
    <w:rsid w:val="00833B0F"/>
    <w:rsid w:val="00834405"/>
    <w:rsid w:val="00834862"/>
    <w:rsid w:val="00834B57"/>
    <w:rsid w:val="00834F50"/>
    <w:rsid w:val="008352F4"/>
    <w:rsid w:val="008353CB"/>
    <w:rsid w:val="0083560A"/>
    <w:rsid w:val="0083689E"/>
    <w:rsid w:val="00836928"/>
    <w:rsid w:val="0084020A"/>
    <w:rsid w:val="0084054A"/>
    <w:rsid w:val="008406FF"/>
    <w:rsid w:val="008416BB"/>
    <w:rsid w:val="008421C9"/>
    <w:rsid w:val="00843695"/>
    <w:rsid w:val="008439C0"/>
    <w:rsid w:val="0084435B"/>
    <w:rsid w:val="008456B8"/>
    <w:rsid w:val="0084595A"/>
    <w:rsid w:val="00845A7B"/>
    <w:rsid w:val="00847478"/>
    <w:rsid w:val="00850065"/>
    <w:rsid w:val="00850624"/>
    <w:rsid w:val="00851602"/>
    <w:rsid w:val="00851687"/>
    <w:rsid w:val="00851693"/>
    <w:rsid w:val="00851986"/>
    <w:rsid w:val="008531B4"/>
    <w:rsid w:val="00853AA1"/>
    <w:rsid w:val="00853D13"/>
    <w:rsid w:val="0085530D"/>
    <w:rsid w:val="008553F3"/>
    <w:rsid w:val="008565D4"/>
    <w:rsid w:val="008567F2"/>
    <w:rsid w:val="008570FE"/>
    <w:rsid w:val="008574E5"/>
    <w:rsid w:val="008579B1"/>
    <w:rsid w:val="00857A2E"/>
    <w:rsid w:val="00861027"/>
    <w:rsid w:val="00861F2E"/>
    <w:rsid w:val="00861F56"/>
    <w:rsid w:val="00862AE8"/>
    <w:rsid w:val="008631D1"/>
    <w:rsid w:val="008632C7"/>
    <w:rsid w:val="00863878"/>
    <w:rsid w:val="008656F8"/>
    <w:rsid w:val="008674EC"/>
    <w:rsid w:val="00867D58"/>
    <w:rsid w:val="008707B5"/>
    <w:rsid w:val="00870E46"/>
    <w:rsid w:val="008717A5"/>
    <w:rsid w:val="00873500"/>
    <w:rsid w:val="00873C0B"/>
    <w:rsid w:val="00874127"/>
    <w:rsid w:val="00874E7D"/>
    <w:rsid w:val="0087517D"/>
    <w:rsid w:val="008757EE"/>
    <w:rsid w:val="008765B5"/>
    <w:rsid w:val="00876831"/>
    <w:rsid w:val="0087684E"/>
    <w:rsid w:val="008801AB"/>
    <w:rsid w:val="00880430"/>
    <w:rsid w:val="00880D62"/>
    <w:rsid w:val="00880ED1"/>
    <w:rsid w:val="0088162C"/>
    <w:rsid w:val="00881A1E"/>
    <w:rsid w:val="0088279A"/>
    <w:rsid w:val="00883225"/>
    <w:rsid w:val="008836B7"/>
    <w:rsid w:val="00883D62"/>
    <w:rsid w:val="00883DC1"/>
    <w:rsid w:val="00883E0D"/>
    <w:rsid w:val="00883FF5"/>
    <w:rsid w:val="00885138"/>
    <w:rsid w:val="0088541E"/>
    <w:rsid w:val="0088556C"/>
    <w:rsid w:val="00885DEE"/>
    <w:rsid w:val="00885DFC"/>
    <w:rsid w:val="00887A64"/>
    <w:rsid w:val="00890747"/>
    <w:rsid w:val="008918D9"/>
    <w:rsid w:val="00891A21"/>
    <w:rsid w:val="00891D23"/>
    <w:rsid w:val="00891FB3"/>
    <w:rsid w:val="0089327B"/>
    <w:rsid w:val="0089401C"/>
    <w:rsid w:val="00894E27"/>
    <w:rsid w:val="008952ED"/>
    <w:rsid w:val="008961C4"/>
    <w:rsid w:val="00897820"/>
    <w:rsid w:val="00897BC9"/>
    <w:rsid w:val="008A0FFD"/>
    <w:rsid w:val="008A1589"/>
    <w:rsid w:val="008A15DA"/>
    <w:rsid w:val="008A18CE"/>
    <w:rsid w:val="008A1BE4"/>
    <w:rsid w:val="008A2031"/>
    <w:rsid w:val="008A40C5"/>
    <w:rsid w:val="008A41F7"/>
    <w:rsid w:val="008A48E5"/>
    <w:rsid w:val="008A50CA"/>
    <w:rsid w:val="008A563D"/>
    <w:rsid w:val="008A5A18"/>
    <w:rsid w:val="008A6EA3"/>
    <w:rsid w:val="008A7B72"/>
    <w:rsid w:val="008A7EB5"/>
    <w:rsid w:val="008B0F31"/>
    <w:rsid w:val="008B182C"/>
    <w:rsid w:val="008B1B45"/>
    <w:rsid w:val="008B3648"/>
    <w:rsid w:val="008B3C7A"/>
    <w:rsid w:val="008B3E4D"/>
    <w:rsid w:val="008B449F"/>
    <w:rsid w:val="008B44A0"/>
    <w:rsid w:val="008B5064"/>
    <w:rsid w:val="008B62F2"/>
    <w:rsid w:val="008B6443"/>
    <w:rsid w:val="008B7007"/>
    <w:rsid w:val="008B7100"/>
    <w:rsid w:val="008B7276"/>
    <w:rsid w:val="008B7310"/>
    <w:rsid w:val="008B7466"/>
    <w:rsid w:val="008B7916"/>
    <w:rsid w:val="008B7C47"/>
    <w:rsid w:val="008C0064"/>
    <w:rsid w:val="008C0AE3"/>
    <w:rsid w:val="008C0B98"/>
    <w:rsid w:val="008C0CEF"/>
    <w:rsid w:val="008C2A80"/>
    <w:rsid w:val="008C2B7F"/>
    <w:rsid w:val="008C32ED"/>
    <w:rsid w:val="008C4531"/>
    <w:rsid w:val="008C544F"/>
    <w:rsid w:val="008C5AF4"/>
    <w:rsid w:val="008C70A4"/>
    <w:rsid w:val="008C7990"/>
    <w:rsid w:val="008D0311"/>
    <w:rsid w:val="008D03EC"/>
    <w:rsid w:val="008D0624"/>
    <w:rsid w:val="008D0729"/>
    <w:rsid w:val="008D15C1"/>
    <w:rsid w:val="008D275F"/>
    <w:rsid w:val="008D27A2"/>
    <w:rsid w:val="008D34EB"/>
    <w:rsid w:val="008D3552"/>
    <w:rsid w:val="008D39E8"/>
    <w:rsid w:val="008D6484"/>
    <w:rsid w:val="008D67E8"/>
    <w:rsid w:val="008D7AD0"/>
    <w:rsid w:val="008E0196"/>
    <w:rsid w:val="008E13A3"/>
    <w:rsid w:val="008E1421"/>
    <w:rsid w:val="008E16D3"/>
    <w:rsid w:val="008E16E6"/>
    <w:rsid w:val="008E1B86"/>
    <w:rsid w:val="008E2248"/>
    <w:rsid w:val="008E25FC"/>
    <w:rsid w:val="008E263A"/>
    <w:rsid w:val="008E2A89"/>
    <w:rsid w:val="008E33B7"/>
    <w:rsid w:val="008E3D4E"/>
    <w:rsid w:val="008E41C5"/>
    <w:rsid w:val="008E4828"/>
    <w:rsid w:val="008E5033"/>
    <w:rsid w:val="008E52F8"/>
    <w:rsid w:val="008E5377"/>
    <w:rsid w:val="008E5428"/>
    <w:rsid w:val="008E5888"/>
    <w:rsid w:val="008E591B"/>
    <w:rsid w:val="008E621D"/>
    <w:rsid w:val="008E6626"/>
    <w:rsid w:val="008E6ACD"/>
    <w:rsid w:val="008E6F22"/>
    <w:rsid w:val="008E7085"/>
    <w:rsid w:val="008E714D"/>
    <w:rsid w:val="008F0B94"/>
    <w:rsid w:val="008F0E0B"/>
    <w:rsid w:val="008F13C7"/>
    <w:rsid w:val="008F14A9"/>
    <w:rsid w:val="008F16E6"/>
    <w:rsid w:val="008F1C30"/>
    <w:rsid w:val="008F1FA9"/>
    <w:rsid w:val="008F2541"/>
    <w:rsid w:val="008F2643"/>
    <w:rsid w:val="008F2E36"/>
    <w:rsid w:val="008F354A"/>
    <w:rsid w:val="008F37BE"/>
    <w:rsid w:val="008F4447"/>
    <w:rsid w:val="008F54DC"/>
    <w:rsid w:val="008F6E8A"/>
    <w:rsid w:val="008F70A7"/>
    <w:rsid w:val="008F77F7"/>
    <w:rsid w:val="008F7925"/>
    <w:rsid w:val="009010E3"/>
    <w:rsid w:val="009015E2"/>
    <w:rsid w:val="00901A5B"/>
    <w:rsid w:val="00901D3F"/>
    <w:rsid w:val="00903820"/>
    <w:rsid w:val="00904C1A"/>
    <w:rsid w:val="00905573"/>
    <w:rsid w:val="00906C23"/>
    <w:rsid w:val="00906F27"/>
    <w:rsid w:val="00907029"/>
    <w:rsid w:val="00907091"/>
    <w:rsid w:val="009112F3"/>
    <w:rsid w:val="0091176D"/>
    <w:rsid w:val="00911860"/>
    <w:rsid w:val="009118A3"/>
    <w:rsid w:val="009122C5"/>
    <w:rsid w:val="0091311E"/>
    <w:rsid w:val="00913677"/>
    <w:rsid w:val="00913E34"/>
    <w:rsid w:val="00914599"/>
    <w:rsid w:val="0091467D"/>
    <w:rsid w:val="009203BE"/>
    <w:rsid w:val="00920ECD"/>
    <w:rsid w:val="009214F1"/>
    <w:rsid w:val="0092262A"/>
    <w:rsid w:val="0092297E"/>
    <w:rsid w:val="009230A7"/>
    <w:rsid w:val="009232B7"/>
    <w:rsid w:val="00923631"/>
    <w:rsid w:val="00924225"/>
    <w:rsid w:val="0092431F"/>
    <w:rsid w:val="00925679"/>
    <w:rsid w:val="009259EC"/>
    <w:rsid w:val="00926310"/>
    <w:rsid w:val="00926AF8"/>
    <w:rsid w:val="00926B50"/>
    <w:rsid w:val="00930413"/>
    <w:rsid w:val="0093042C"/>
    <w:rsid w:val="00931716"/>
    <w:rsid w:val="009317A9"/>
    <w:rsid w:val="009319B9"/>
    <w:rsid w:val="00931ED7"/>
    <w:rsid w:val="00933501"/>
    <w:rsid w:val="00933589"/>
    <w:rsid w:val="009344CA"/>
    <w:rsid w:val="00934B19"/>
    <w:rsid w:val="00935683"/>
    <w:rsid w:val="00935D3D"/>
    <w:rsid w:val="009373BC"/>
    <w:rsid w:val="00937C4C"/>
    <w:rsid w:val="0094001F"/>
    <w:rsid w:val="00940681"/>
    <w:rsid w:val="00940DDC"/>
    <w:rsid w:val="00941278"/>
    <w:rsid w:val="00941434"/>
    <w:rsid w:val="009416FB"/>
    <w:rsid w:val="009417C0"/>
    <w:rsid w:val="00941841"/>
    <w:rsid w:val="00942284"/>
    <w:rsid w:val="009432C9"/>
    <w:rsid w:val="0094414F"/>
    <w:rsid w:val="00944B8F"/>
    <w:rsid w:val="00945532"/>
    <w:rsid w:val="00946453"/>
    <w:rsid w:val="00946B35"/>
    <w:rsid w:val="00950A92"/>
    <w:rsid w:val="00950E2D"/>
    <w:rsid w:val="009532B6"/>
    <w:rsid w:val="00953C65"/>
    <w:rsid w:val="00954720"/>
    <w:rsid w:val="009560C3"/>
    <w:rsid w:val="00956476"/>
    <w:rsid w:val="009569FB"/>
    <w:rsid w:val="00957393"/>
    <w:rsid w:val="00957A9F"/>
    <w:rsid w:val="00957AC1"/>
    <w:rsid w:val="0096080C"/>
    <w:rsid w:val="0096269D"/>
    <w:rsid w:val="00963065"/>
    <w:rsid w:val="00963AD7"/>
    <w:rsid w:val="00964078"/>
    <w:rsid w:val="00966DC6"/>
    <w:rsid w:val="00967146"/>
    <w:rsid w:val="00967259"/>
    <w:rsid w:val="009672FD"/>
    <w:rsid w:val="00970313"/>
    <w:rsid w:val="009723D5"/>
    <w:rsid w:val="00972F01"/>
    <w:rsid w:val="00973244"/>
    <w:rsid w:val="00973608"/>
    <w:rsid w:val="00973E28"/>
    <w:rsid w:val="00974050"/>
    <w:rsid w:val="009740C8"/>
    <w:rsid w:val="0097423F"/>
    <w:rsid w:val="009746FB"/>
    <w:rsid w:val="00974BF5"/>
    <w:rsid w:val="00975448"/>
    <w:rsid w:val="009757BE"/>
    <w:rsid w:val="009758AD"/>
    <w:rsid w:val="00975E45"/>
    <w:rsid w:val="00976844"/>
    <w:rsid w:val="009769B5"/>
    <w:rsid w:val="00976DD1"/>
    <w:rsid w:val="00977311"/>
    <w:rsid w:val="0097778D"/>
    <w:rsid w:val="00980513"/>
    <w:rsid w:val="009816D2"/>
    <w:rsid w:val="00981B27"/>
    <w:rsid w:val="009836EA"/>
    <w:rsid w:val="009841C7"/>
    <w:rsid w:val="00984320"/>
    <w:rsid w:val="00984E94"/>
    <w:rsid w:val="009854D6"/>
    <w:rsid w:val="00986D2F"/>
    <w:rsid w:val="0098783C"/>
    <w:rsid w:val="00987B21"/>
    <w:rsid w:val="00987C8A"/>
    <w:rsid w:val="00990C93"/>
    <w:rsid w:val="00991CF4"/>
    <w:rsid w:val="00991E75"/>
    <w:rsid w:val="009924D6"/>
    <w:rsid w:val="00992931"/>
    <w:rsid w:val="009937CD"/>
    <w:rsid w:val="00994536"/>
    <w:rsid w:val="00994B41"/>
    <w:rsid w:val="00995035"/>
    <w:rsid w:val="00995395"/>
    <w:rsid w:val="00996A3F"/>
    <w:rsid w:val="00996FCD"/>
    <w:rsid w:val="00997E11"/>
    <w:rsid w:val="009A04FC"/>
    <w:rsid w:val="009A081F"/>
    <w:rsid w:val="009A2934"/>
    <w:rsid w:val="009A2B60"/>
    <w:rsid w:val="009A4097"/>
    <w:rsid w:val="009A4497"/>
    <w:rsid w:val="009A46B8"/>
    <w:rsid w:val="009A5305"/>
    <w:rsid w:val="009A5322"/>
    <w:rsid w:val="009A588C"/>
    <w:rsid w:val="009A594D"/>
    <w:rsid w:val="009A5F1C"/>
    <w:rsid w:val="009A63A6"/>
    <w:rsid w:val="009A6CB5"/>
    <w:rsid w:val="009A71D9"/>
    <w:rsid w:val="009A7753"/>
    <w:rsid w:val="009B1879"/>
    <w:rsid w:val="009B1B38"/>
    <w:rsid w:val="009B20E5"/>
    <w:rsid w:val="009B2D6A"/>
    <w:rsid w:val="009B3A0A"/>
    <w:rsid w:val="009B3CC2"/>
    <w:rsid w:val="009B46E2"/>
    <w:rsid w:val="009B5140"/>
    <w:rsid w:val="009B57B9"/>
    <w:rsid w:val="009B5E34"/>
    <w:rsid w:val="009B614F"/>
    <w:rsid w:val="009B6329"/>
    <w:rsid w:val="009B7094"/>
    <w:rsid w:val="009B7DD8"/>
    <w:rsid w:val="009B7EBB"/>
    <w:rsid w:val="009C04C7"/>
    <w:rsid w:val="009C0BB7"/>
    <w:rsid w:val="009C0DD1"/>
    <w:rsid w:val="009C269C"/>
    <w:rsid w:val="009C3ABD"/>
    <w:rsid w:val="009C4DCC"/>
    <w:rsid w:val="009C4EF6"/>
    <w:rsid w:val="009C5285"/>
    <w:rsid w:val="009C6444"/>
    <w:rsid w:val="009C71AD"/>
    <w:rsid w:val="009C74D8"/>
    <w:rsid w:val="009D15CB"/>
    <w:rsid w:val="009D1793"/>
    <w:rsid w:val="009D18FB"/>
    <w:rsid w:val="009D1B59"/>
    <w:rsid w:val="009D2D0A"/>
    <w:rsid w:val="009D384F"/>
    <w:rsid w:val="009D3D46"/>
    <w:rsid w:val="009D49B9"/>
    <w:rsid w:val="009D4E8B"/>
    <w:rsid w:val="009D6F44"/>
    <w:rsid w:val="009D6FC9"/>
    <w:rsid w:val="009D719C"/>
    <w:rsid w:val="009D78EA"/>
    <w:rsid w:val="009D7C1C"/>
    <w:rsid w:val="009D7EE1"/>
    <w:rsid w:val="009E16AA"/>
    <w:rsid w:val="009E1CA0"/>
    <w:rsid w:val="009E2631"/>
    <w:rsid w:val="009E2666"/>
    <w:rsid w:val="009E2711"/>
    <w:rsid w:val="009E2969"/>
    <w:rsid w:val="009E363C"/>
    <w:rsid w:val="009E3B9E"/>
    <w:rsid w:val="009E3F23"/>
    <w:rsid w:val="009E400D"/>
    <w:rsid w:val="009E4290"/>
    <w:rsid w:val="009E5639"/>
    <w:rsid w:val="009E78CC"/>
    <w:rsid w:val="009F0681"/>
    <w:rsid w:val="009F0AA8"/>
    <w:rsid w:val="009F184C"/>
    <w:rsid w:val="009F251C"/>
    <w:rsid w:val="009F26F6"/>
    <w:rsid w:val="009F34C8"/>
    <w:rsid w:val="009F487F"/>
    <w:rsid w:val="009F4C79"/>
    <w:rsid w:val="009F5BCB"/>
    <w:rsid w:val="009F5D06"/>
    <w:rsid w:val="009F5DE6"/>
    <w:rsid w:val="009F6A3F"/>
    <w:rsid w:val="009F73F6"/>
    <w:rsid w:val="00A00054"/>
    <w:rsid w:val="00A011BC"/>
    <w:rsid w:val="00A025E7"/>
    <w:rsid w:val="00A02A37"/>
    <w:rsid w:val="00A0356F"/>
    <w:rsid w:val="00A04136"/>
    <w:rsid w:val="00A04A86"/>
    <w:rsid w:val="00A054AA"/>
    <w:rsid w:val="00A05730"/>
    <w:rsid w:val="00A06C21"/>
    <w:rsid w:val="00A0793D"/>
    <w:rsid w:val="00A07987"/>
    <w:rsid w:val="00A10DBA"/>
    <w:rsid w:val="00A11333"/>
    <w:rsid w:val="00A11845"/>
    <w:rsid w:val="00A14513"/>
    <w:rsid w:val="00A1605A"/>
    <w:rsid w:val="00A16818"/>
    <w:rsid w:val="00A16DF1"/>
    <w:rsid w:val="00A17196"/>
    <w:rsid w:val="00A17A67"/>
    <w:rsid w:val="00A21750"/>
    <w:rsid w:val="00A21956"/>
    <w:rsid w:val="00A22223"/>
    <w:rsid w:val="00A22B35"/>
    <w:rsid w:val="00A22F62"/>
    <w:rsid w:val="00A2315E"/>
    <w:rsid w:val="00A2386B"/>
    <w:rsid w:val="00A23E42"/>
    <w:rsid w:val="00A23F54"/>
    <w:rsid w:val="00A24CE7"/>
    <w:rsid w:val="00A24D5D"/>
    <w:rsid w:val="00A24F64"/>
    <w:rsid w:val="00A255EE"/>
    <w:rsid w:val="00A262A9"/>
    <w:rsid w:val="00A2644A"/>
    <w:rsid w:val="00A26632"/>
    <w:rsid w:val="00A271CE"/>
    <w:rsid w:val="00A27C6A"/>
    <w:rsid w:val="00A27E0E"/>
    <w:rsid w:val="00A3049B"/>
    <w:rsid w:val="00A30C9F"/>
    <w:rsid w:val="00A31D3C"/>
    <w:rsid w:val="00A32E19"/>
    <w:rsid w:val="00A33656"/>
    <w:rsid w:val="00A3402D"/>
    <w:rsid w:val="00A34B50"/>
    <w:rsid w:val="00A3530C"/>
    <w:rsid w:val="00A353C7"/>
    <w:rsid w:val="00A355BD"/>
    <w:rsid w:val="00A36D52"/>
    <w:rsid w:val="00A40314"/>
    <w:rsid w:val="00A4044A"/>
    <w:rsid w:val="00A40E3E"/>
    <w:rsid w:val="00A419A5"/>
    <w:rsid w:val="00A424FC"/>
    <w:rsid w:val="00A439B9"/>
    <w:rsid w:val="00A43E7F"/>
    <w:rsid w:val="00A4478F"/>
    <w:rsid w:val="00A44F62"/>
    <w:rsid w:val="00A45C06"/>
    <w:rsid w:val="00A45D3E"/>
    <w:rsid w:val="00A47782"/>
    <w:rsid w:val="00A47884"/>
    <w:rsid w:val="00A47932"/>
    <w:rsid w:val="00A47C48"/>
    <w:rsid w:val="00A507B6"/>
    <w:rsid w:val="00A5141F"/>
    <w:rsid w:val="00A52346"/>
    <w:rsid w:val="00A526A0"/>
    <w:rsid w:val="00A5413C"/>
    <w:rsid w:val="00A544DC"/>
    <w:rsid w:val="00A546D2"/>
    <w:rsid w:val="00A54F82"/>
    <w:rsid w:val="00A54F8A"/>
    <w:rsid w:val="00A55B6B"/>
    <w:rsid w:val="00A55F97"/>
    <w:rsid w:val="00A5607B"/>
    <w:rsid w:val="00A560EA"/>
    <w:rsid w:val="00A56438"/>
    <w:rsid w:val="00A564A5"/>
    <w:rsid w:val="00A57630"/>
    <w:rsid w:val="00A57636"/>
    <w:rsid w:val="00A57C4E"/>
    <w:rsid w:val="00A60999"/>
    <w:rsid w:val="00A611FC"/>
    <w:rsid w:val="00A617D2"/>
    <w:rsid w:val="00A61ED2"/>
    <w:rsid w:val="00A63C17"/>
    <w:rsid w:val="00A64475"/>
    <w:rsid w:val="00A651FF"/>
    <w:rsid w:val="00A65853"/>
    <w:rsid w:val="00A658CB"/>
    <w:rsid w:val="00A65F49"/>
    <w:rsid w:val="00A663BB"/>
    <w:rsid w:val="00A66DA5"/>
    <w:rsid w:val="00A67278"/>
    <w:rsid w:val="00A70B19"/>
    <w:rsid w:val="00A70EFB"/>
    <w:rsid w:val="00A7167C"/>
    <w:rsid w:val="00A7298A"/>
    <w:rsid w:val="00A73ADE"/>
    <w:rsid w:val="00A73F71"/>
    <w:rsid w:val="00A74319"/>
    <w:rsid w:val="00A757DF"/>
    <w:rsid w:val="00A75C50"/>
    <w:rsid w:val="00A75DBA"/>
    <w:rsid w:val="00A764F7"/>
    <w:rsid w:val="00A77FE8"/>
    <w:rsid w:val="00A813D6"/>
    <w:rsid w:val="00A824A6"/>
    <w:rsid w:val="00A82C3B"/>
    <w:rsid w:val="00A82CDB"/>
    <w:rsid w:val="00A83194"/>
    <w:rsid w:val="00A8393E"/>
    <w:rsid w:val="00A83D94"/>
    <w:rsid w:val="00A8473D"/>
    <w:rsid w:val="00A84B76"/>
    <w:rsid w:val="00A84C4B"/>
    <w:rsid w:val="00A867E7"/>
    <w:rsid w:val="00A9031F"/>
    <w:rsid w:val="00A90C03"/>
    <w:rsid w:val="00A91282"/>
    <w:rsid w:val="00A912CB"/>
    <w:rsid w:val="00A92D38"/>
    <w:rsid w:val="00A93A80"/>
    <w:rsid w:val="00A94CDE"/>
    <w:rsid w:val="00A95155"/>
    <w:rsid w:val="00A962DF"/>
    <w:rsid w:val="00A96A69"/>
    <w:rsid w:val="00A96F66"/>
    <w:rsid w:val="00A97A4D"/>
    <w:rsid w:val="00AA08E2"/>
    <w:rsid w:val="00AA0DAA"/>
    <w:rsid w:val="00AA176C"/>
    <w:rsid w:val="00AA2182"/>
    <w:rsid w:val="00AA2790"/>
    <w:rsid w:val="00AA3C6F"/>
    <w:rsid w:val="00AA4083"/>
    <w:rsid w:val="00AA4123"/>
    <w:rsid w:val="00AA5801"/>
    <w:rsid w:val="00AA649E"/>
    <w:rsid w:val="00AA6E12"/>
    <w:rsid w:val="00AA7524"/>
    <w:rsid w:val="00AA76E1"/>
    <w:rsid w:val="00AA7F18"/>
    <w:rsid w:val="00AB1187"/>
    <w:rsid w:val="00AB204F"/>
    <w:rsid w:val="00AB2DEA"/>
    <w:rsid w:val="00AB37AA"/>
    <w:rsid w:val="00AB3C13"/>
    <w:rsid w:val="00AB48E0"/>
    <w:rsid w:val="00AB575C"/>
    <w:rsid w:val="00AB5F75"/>
    <w:rsid w:val="00AB66C8"/>
    <w:rsid w:val="00AB7826"/>
    <w:rsid w:val="00AC0B86"/>
    <w:rsid w:val="00AC13FE"/>
    <w:rsid w:val="00AC2415"/>
    <w:rsid w:val="00AC2DD4"/>
    <w:rsid w:val="00AC2F14"/>
    <w:rsid w:val="00AC47AE"/>
    <w:rsid w:val="00AC4998"/>
    <w:rsid w:val="00AC760E"/>
    <w:rsid w:val="00AC7FA7"/>
    <w:rsid w:val="00AD05DE"/>
    <w:rsid w:val="00AD1805"/>
    <w:rsid w:val="00AD186D"/>
    <w:rsid w:val="00AD3529"/>
    <w:rsid w:val="00AD3918"/>
    <w:rsid w:val="00AD4160"/>
    <w:rsid w:val="00AD422D"/>
    <w:rsid w:val="00AD4258"/>
    <w:rsid w:val="00AD4537"/>
    <w:rsid w:val="00AD53B6"/>
    <w:rsid w:val="00AD55B0"/>
    <w:rsid w:val="00AD5838"/>
    <w:rsid w:val="00AD60BC"/>
    <w:rsid w:val="00AD6885"/>
    <w:rsid w:val="00AE0827"/>
    <w:rsid w:val="00AE0AF2"/>
    <w:rsid w:val="00AE0C95"/>
    <w:rsid w:val="00AE1193"/>
    <w:rsid w:val="00AE1A96"/>
    <w:rsid w:val="00AE27B8"/>
    <w:rsid w:val="00AE584F"/>
    <w:rsid w:val="00AE5BE7"/>
    <w:rsid w:val="00AE6CFD"/>
    <w:rsid w:val="00AE7E80"/>
    <w:rsid w:val="00AF06C9"/>
    <w:rsid w:val="00AF11C5"/>
    <w:rsid w:val="00AF1796"/>
    <w:rsid w:val="00AF1965"/>
    <w:rsid w:val="00AF2157"/>
    <w:rsid w:val="00AF24FC"/>
    <w:rsid w:val="00AF2849"/>
    <w:rsid w:val="00AF2C18"/>
    <w:rsid w:val="00AF2C47"/>
    <w:rsid w:val="00AF2D4B"/>
    <w:rsid w:val="00AF2F23"/>
    <w:rsid w:val="00AF35E5"/>
    <w:rsid w:val="00AF3F4D"/>
    <w:rsid w:val="00AF4120"/>
    <w:rsid w:val="00AF44FD"/>
    <w:rsid w:val="00AF57BF"/>
    <w:rsid w:val="00AF5A45"/>
    <w:rsid w:val="00AF5D6A"/>
    <w:rsid w:val="00AF677E"/>
    <w:rsid w:val="00AF77CB"/>
    <w:rsid w:val="00AF7BF6"/>
    <w:rsid w:val="00B001C7"/>
    <w:rsid w:val="00B007DE"/>
    <w:rsid w:val="00B00D37"/>
    <w:rsid w:val="00B011B7"/>
    <w:rsid w:val="00B01DB7"/>
    <w:rsid w:val="00B0299C"/>
    <w:rsid w:val="00B0319B"/>
    <w:rsid w:val="00B034FE"/>
    <w:rsid w:val="00B03576"/>
    <w:rsid w:val="00B04020"/>
    <w:rsid w:val="00B0580A"/>
    <w:rsid w:val="00B064C3"/>
    <w:rsid w:val="00B065D9"/>
    <w:rsid w:val="00B070DC"/>
    <w:rsid w:val="00B0728F"/>
    <w:rsid w:val="00B0744A"/>
    <w:rsid w:val="00B11118"/>
    <w:rsid w:val="00B117AB"/>
    <w:rsid w:val="00B11CEF"/>
    <w:rsid w:val="00B127A2"/>
    <w:rsid w:val="00B12A98"/>
    <w:rsid w:val="00B13847"/>
    <w:rsid w:val="00B13CCF"/>
    <w:rsid w:val="00B13D03"/>
    <w:rsid w:val="00B171BC"/>
    <w:rsid w:val="00B1752E"/>
    <w:rsid w:val="00B1778D"/>
    <w:rsid w:val="00B204AE"/>
    <w:rsid w:val="00B219C5"/>
    <w:rsid w:val="00B22999"/>
    <w:rsid w:val="00B23A5B"/>
    <w:rsid w:val="00B23BF0"/>
    <w:rsid w:val="00B256BB"/>
    <w:rsid w:val="00B2571C"/>
    <w:rsid w:val="00B26D65"/>
    <w:rsid w:val="00B2777E"/>
    <w:rsid w:val="00B304E0"/>
    <w:rsid w:val="00B31A2F"/>
    <w:rsid w:val="00B3238C"/>
    <w:rsid w:val="00B32ECD"/>
    <w:rsid w:val="00B33AB9"/>
    <w:rsid w:val="00B33B28"/>
    <w:rsid w:val="00B33FBE"/>
    <w:rsid w:val="00B34EB5"/>
    <w:rsid w:val="00B35040"/>
    <w:rsid w:val="00B36475"/>
    <w:rsid w:val="00B367C4"/>
    <w:rsid w:val="00B37744"/>
    <w:rsid w:val="00B425CF"/>
    <w:rsid w:val="00B42CEB"/>
    <w:rsid w:val="00B43E1B"/>
    <w:rsid w:val="00B44281"/>
    <w:rsid w:val="00B444C2"/>
    <w:rsid w:val="00B4548B"/>
    <w:rsid w:val="00B472C4"/>
    <w:rsid w:val="00B538E3"/>
    <w:rsid w:val="00B53A1F"/>
    <w:rsid w:val="00B548F9"/>
    <w:rsid w:val="00B54A4D"/>
    <w:rsid w:val="00B56256"/>
    <w:rsid w:val="00B5699B"/>
    <w:rsid w:val="00B569DF"/>
    <w:rsid w:val="00B57168"/>
    <w:rsid w:val="00B578E1"/>
    <w:rsid w:val="00B57A92"/>
    <w:rsid w:val="00B60E67"/>
    <w:rsid w:val="00B63B96"/>
    <w:rsid w:val="00B6676F"/>
    <w:rsid w:val="00B671E6"/>
    <w:rsid w:val="00B677A0"/>
    <w:rsid w:val="00B679AF"/>
    <w:rsid w:val="00B70025"/>
    <w:rsid w:val="00B70594"/>
    <w:rsid w:val="00B70676"/>
    <w:rsid w:val="00B70957"/>
    <w:rsid w:val="00B70B34"/>
    <w:rsid w:val="00B70C6F"/>
    <w:rsid w:val="00B71600"/>
    <w:rsid w:val="00B72920"/>
    <w:rsid w:val="00B72EDF"/>
    <w:rsid w:val="00B73482"/>
    <w:rsid w:val="00B7439C"/>
    <w:rsid w:val="00B7484A"/>
    <w:rsid w:val="00B7529B"/>
    <w:rsid w:val="00B75636"/>
    <w:rsid w:val="00B756D6"/>
    <w:rsid w:val="00B75C51"/>
    <w:rsid w:val="00B75CF2"/>
    <w:rsid w:val="00B77016"/>
    <w:rsid w:val="00B8060F"/>
    <w:rsid w:val="00B82827"/>
    <w:rsid w:val="00B82FFC"/>
    <w:rsid w:val="00B83222"/>
    <w:rsid w:val="00B85539"/>
    <w:rsid w:val="00B85AA0"/>
    <w:rsid w:val="00B86133"/>
    <w:rsid w:val="00B86AC4"/>
    <w:rsid w:val="00B876BC"/>
    <w:rsid w:val="00B91F11"/>
    <w:rsid w:val="00B9205F"/>
    <w:rsid w:val="00B92AC4"/>
    <w:rsid w:val="00B932EB"/>
    <w:rsid w:val="00B93854"/>
    <w:rsid w:val="00B939EC"/>
    <w:rsid w:val="00B93AFB"/>
    <w:rsid w:val="00B93F23"/>
    <w:rsid w:val="00B941EF"/>
    <w:rsid w:val="00B9455A"/>
    <w:rsid w:val="00B95219"/>
    <w:rsid w:val="00B9698B"/>
    <w:rsid w:val="00B977C0"/>
    <w:rsid w:val="00BA0776"/>
    <w:rsid w:val="00BA1388"/>
    <w:rsid w:val="00BA18B4"/>
    <w:rsid w:val="00BA2556"/>
    <w:rsid w:val="00BA2D1C"/>
    <w:rsid w:val="00BA431B"/>
    <w:rsid w:val="00BA53E9"/>
    <w:rsid w:val="00BA57E5"/>
    <w:rsid w:val="00BA58A8"/>
    <w:rsid w:val="00BA5EC2"/>
    <w:rsid w:val="00BA67CC"/>
    <w:rsid w:val="00BA6968"/>
    <w:rsid w:val="00BA6FB7"/>
    <w:rsid w:val="00BB1602"/>
    <w:rsid w:val="00BB1BB9"/>
    <w:rsid w:val="00BB2129"/>
    <w:rsid w:val="00BB22F2"/>
    <w:rsid w:val="00BB2EEF"/>
    <w:rsid w:val="00BB3A7C"/>
    <w:rsid w:val="00BB4A46"/>
    <w:rsid w:val="00BB538B"/>
    <w:rsid w:val="00BB55B9"/>
    <w:rsid w:val="00BB6625"/>
    <w:rsid w:val="00BB68ED"/>
    <w:rsid w:val="00BB702F"/>
    <w:rsid w:val="00BB7590"/>
    <w:rsid w:val="00BB78E3"/>
    <w:rsid w:val="00BB7F86"/>
    <w:rsid w:val="00BC003D"/>
    <w:rsid w:val="00BC0146"/>
    <w:rsid w:val="00BC27C2"/>
    <w:rsid w:val="00BC30D4"/>
    <w:rsid w:val="00BC352F"/>
    <w:rsid w:val="00BC3699"/>
    <w:rsid w:val="00BC3920"/>
    <w:rsid w:val="00BC40B4"/>
    <w:rsid w:val="00BC4325"/>
    <w:rsid w:val="00BC4CC3"/>
    <w:rsid w:val="00BC4F2A"/>
    <w:rsid w:val="00BC6DC3"/>
    <w:rsid w:val="00BC73CB"/>
    <w:rsid w:val="00BC7630"/>
    <w:rsid w:val="00BD07BB"/>
    <w:rsid w:val="00BD109E"/>
    <w:rsid w:val="00BD2C57"/>
    <w:rsid w:val="00BD31A8"/>
    <w:rsid w:val="00BD3C16"/>
    <w:rsid w:val="00BD4EDE"/>
    <w:rsid w:val="00BD4FDB"/>
    <w:rsid w:val="00BD5300"/>
    <w:rsid w:val="00BD57BF"/>
    <w:rsid w:val="00BD5AF1"/>
    <w:rsid w:val="00BD64B6"/>
    <w:rsid w:val="00BD7B26"/>
    <w:rsid w:val="00BE0373"/>
    <w:rsid w:val="00BE07B4"/>
    <w:rsid w:val="00BE0F11"/>
    <w:rsid w:val="00BE1574"/>
    <w:rsid w:val="00BE19E5"/>
    <w:rsid w:val="00BE213F"/>
    <w:rsid w:val="00BE22FC"/>
    <w:rsid w:val="00BE2324"/>
    <w:rsid w:val="00BE263D"/>
    <w:rsid w:val="00BE2ED5"/>
    <w:rsid w:val="00BE33D7"/>
    <w:rsid w:val="00BE34F8"/>
    <w:rsid w:val="00BE3BA8"/>
    <w:rsid w:val="00BE446D"/>
    <w:rsid w:val="00BE4F9A"/>
    <w:rsid w:val="00BE60F4"/>
    <w:rsid w:val="00BE68FC"/>
    <w:rsid w:val="00BF04D0"/>
    <w:rsid w:val="00BF0B09"/>
    <w:rsid w:val="00BF1807"/>
    <w:rsid w:val="00BF19B4"/>
    <w:rsid w:val="00BF2DFF"/>
    <w:rsid w:val="00BF3573"/>
    <w:rsid w:val="00BF36B1"/>
    <w:rsid w:val="00BF3A65"/>
    <w:rsid w:val="00BF434A"/>
    <w:rsid w:val="00BF4B00"/>
    <w:rsid w:val="00BF4F5C"/>
    <w:rsid w:val="00BF53A1"/>
    <w:rsid w:val="00BF6A9A"/>
    <w:rsid w:val="00BF6C12"/>
    <w:rsid w:val="00BF76A8"/>
    <w:rsid w:val="00C004C8"/>
    <w:rsid w:val="00C0062B"/>
    <w:rsid w:val="00C0085A"/>
    <w:rsid w:val="00C0115D"/>
    <w:rsid w:val="00C019AC"/>
    <w:rsid w:val="00C01EAE"/>
    <w:rsid w:val="00C0244D"/>
    <w:rsid w:val="00C026D4"/>
    <w:rsid w:val="00C04796"/>
    <w:rsid w:val="00C062B0"/>
    <w:rsid w:val="00C06657"/>
    <w:rsid w:val="00C07431"/>
    <w:rsid w:val="00C076B7"/>
    <w:rsid w:val="00C0791D"/>
    <w:rsid w:val="00C10FDC"/>
    <w:rsid w:val="00C11923"/>
    <w:rsid w:val="00C1233F"/>
    <w:rsid w:val="00C12A37"/>
    <w:rsid w:val="00C12B26"/>
    <w:rsid w:val="00C131C8"/>
    <w:rsid w:val="00C133E3"/>
    <w:rsid w:val="00C17B0B"/>
    <w:rsid w:val="00C17D96"/>
    <w:rsid w:val="00C17F3C"/>
    <w:rsid w:val="00C2086F"/>
    <w:rsid w:val="00C21243"/>
    <w:rsid w:val="00C215E5"/>
    <w:rsid w:val="00C2187C"/>
    <w:rsid w:val="00C23DA5"/>
    <w:rsid w:val="00C244DA"/>
    <w:rsid w:val="00C2546F"/>
    <w:rsid w:val="00C25A05"/>
    <w:rsid w:val="00C25ABC"/>
    <w:rsid w:val="00C2628C"/>
    <w:rsid w:val="00C26A7B"/>
    <w:rsid w:val="00C27311"/>
    <w:rsid w:val="00C27857"/>
    <w:rsid w:val="00C30C47"/>
    <w:rsid w:val="00C30FF4"/>
    <w:rsid w:val="00C319BD"/>
    <w:rsid w:val="00C31F5D"/>
    <w:rsid w:val="00C32583"/>
    <w:rsid w:val="00C32A90"/>
    <w:rsid w:val="00C32AB9"/>
    <w:rsid w:val="00C33FE1"/>
    <w:rsid w:val="00C3582E"/>
    <w:rsid w:val="00C36459"/>
    <w:rsid w:val="00C36AC6"/>
    <w:rsid w:val="00C36F55"/>
    <w:rsid w:val="00C409A5"/>
    <w:rsid w:val="00C40EA0"/>
    <w:rsid w:val="00C413BA"/>
    <w:rsid w:val="00C41D74"/>
    <w:rsid w:val="00C42A0C"/>
    <w:rsid w:val="00C42AF0"/>
    <w:rsid w:val="00C43A14"/>
    <w:rsid w:val="00C4425E"/>
    <w:rsid w:val="00C4449B"/>
    <w:rsid w:val="00C44865"/>
    <w:rsid w:val="00C44CAA"/>
    <w:rsid w:val="00C452F2"/>
    <w:rsid w:val="00C456EE"/>
    <w:rsid w:val="00C45C3E"/>
    <w:rsid w:val="00C4734D"/>
    <w:rsid w:val="00C474DE"/>
    <w:rsid w:val="00C47D16"/>
    <w:rsid w:val="00C51CB7"/>
    <w:rsid w:val="00C52273"/>
    <w:rsid w:val="00C5361E"/>
    <w:rsid w:val="00C537D1"/>
    <w:rsid w:val="00C53848"/>
    <w:rsid w:val="00C546CF"/>
    <w:rsid w:val="00C54718"/>
    <w:rsid w:val="00C547EF"/>
    <w:rsid w:val="00C550F9"/>
    <w:rsid w:val="00C554EF"/>
    <w:rsid w:val="00C5596B"/>
    <w:rsid w:val="00C56086"/>
    <w:rsid w:val="00C57801"/>
    <w:rsid w:val="00C57E3E"/>
    <w:rsid w:val="00C61269"/>
    <w:rsid w:val="00C617AE"/>
    <w:rsid w:val="00C61C1B"/>
    <w:rsid w:val="00C61D5C"/>
    <w:rsid w:val="00C62348"/>
    <w:rsid w:val="00C62B8E"/>
    <w:rsid w:val="00C636A1"/>
    <w:rsid w:val="00C63C87"/>
    <w:rsid w:val="00C65712"/>
    <w:rsid w:val="00C65952"/>
    <w:rsid w:val="00C65E96"/>
    <w:rsid w:val="00C67E2F"/>
    <w:rsid w:val="00C70B4F"/>
    <w:rsid w:val="00C72534"/>
    <w:rsid w:val="00C72778"/>
    <w:rsid w:val="00C72F70"/>
    <w:rsid w:val="00C73A4E"/>
    <w:rsid w:val="00C744D5"/>
    <w:rsid w:val="00C744F8"/>
    <w:rsid w:val="00C75646"/>
    <w:rsid w:val="00C77CEB"/>
    <w:rsid w:val="00C816E7"/>
    <w:rsid w:val="00C82694"/>
    <w:rsid w:val="00C830EF"/>
    <w:rsid w:val="00C83466"/>
    <w:rsid w:val="00C8381E"/>
    <w:rsid w:val="00C83A38"/>
    <w:rsid w:val="00C83F26"/>
    <w:rsid w:val="00C83F78"/>
    <w:rsid w:val="00C8427F"/>
    <w:rsid w:val="00C84E96"/>
    <w:rsid w:val="00C85A45"/>
    <w:rsid w:val="00C85CD9"/>
    <w:rsid w:val="00C85D36"/>
    <w:rsid w:val="00C85EEC"/>
    <w:rsid w:val="00C86539"/>
    <w:rsid w:val="00C86C7F"/>
    <w:rsid w:val="00C87682"/>
    <w:rsid w:val="00C879D7"/>
    <w:rsid w:val="00C87EDE"/>
    <w:rsid w:val="00C90694"/>
    <w:rsid w:val="00C906AA"/>
    <w:rsid w:val="00C90B26"/>
    <w:rsid w:val="00C90B9E"/>
    <w:rsid w:val="00C9217F"/>
    <w:rsid w:val="00C92B9E"/>
    <w:rsid w:val="00C93B19"/>
    <w:rsid w:val="00C9435E"/>
    <w:rsid w:val="00C94B0C"/>
    <w:rsid w:val="00C95594"/>
    <w:rsid w:val="00C95F6C"/>
    <w:rsid w:val="00C96812"/>
    <w:rsid w:val="00C9761F"/>
    <w:rsid w:val="00C97B53"/>
    <w:rsid w:val="00CA0E29"/>
    <w:rsid w:val="00CA1908"/>
    <w:rsid w:val="00CA470E"/>
    <w:rsid w:val="00CA62B2"/>
    <w:rsid w:val="00CA6698"/>
    <w:rsid w:val="00CA6BCA"/>
    <w:rsid w:val="00CA71FC"/>
    <w:rsid w:val="00CB0D8C"/>
    <w:rsid w:val="00CB117C"/>
    <w:rsid w:val="00CB1EA0"/>
    <w:rsid w:val="00CB6337"/>
    <w:rsid w:val="00CB6D05"/>
    <w:rsid w:val="00CB73A8"/>
    <w:rsid w:val="00CB795D"/>
    <w:rsid w:val="00CC1234"/>
    <w:rsid w:val="00CC191E"/>
    <w:rsid w:val="00CC22F9"/>
    <w:rsid w:val="00CC22FE"/>
    <w:rsid w:val="00CC2545"/>
    <w:rsid w:val="00CC2878"/>
    <w:rsid w:val="00CC459F"/>
    <w:rsid w:val="00CC536E"/>
    <w:rsid w:val="00CC5413"/>
    <w:rsid w:val="00CC6B34"/>
    <w:rsid w:val="00CC6B71"/>
    <w:rsid w:val="00CC7273"/>
    <w:rsid w:val="00CC74BE"/>
    <w:rsid w:val="00CC7703"/>
    <w:rsid w:val="00CD0AB6"/>
    <w:rsid w:val="00CD156F"/>
    <w:rsid w:val="00CD2358"/>
    <w:rsid w:val="00CD35AF"/>
    <w:rsid w:val="00CD3E9E"/>
    <w:rsid w:val="00CD4B11"/>
    <w:rsid w:val="00CD6275"/>
    <w:rsid w:val="00CD6835"/>
    <w:rsid w:val="00CD68B3"/>
    <w:rsid w:val="00CD7461"/>
    <w:rsid w:val="00CD7BBD"/>
    <w:rsid w:val="00CD7C0F"/>
    <w:rsid w:val="00CE1069"/>
    <w:rsid w:val="00CE1759"/>
    <w:rsid w:val="00CE38C8"/>
    <w:rsid w:val="00CE42CB"/>
    <w:rsid w:val="00CE4A6B"/>
    <w:rsid w:val="00CE51ED"/>
    <w:rsid w:val="00CE5870"/>
    <w:rsid w:val="00CE5F3C"/>
    <w:rsid w:val="00CE6151"/>
    <w:rsid w:val="00CE64DA"/>
    <w:rsid w:val="00CE6807"/>
    <w:rsid w:val="00CE691B"/>
    <w:rsid w:val="00CE6DDD"/>
    <w:rsid w:val="00CE783E"/>
    <w:rsid w:val="00CE7BAA"/>
    <w:rsid w:val="00CF0025"/>
    <w:rsid w:val="00CF0B78"/>
    <w:rsid w:val="00CF1C47"/>
    <w:rsid w:val="00CF1FE0"/>
    <w:rsid w:val="00CF2041"/>
    <w:rsid w:val="00CF272C"/>
    <w:rsid w:val="00CF2E9F"/>
    <w:rsid w:val="00CF2FAF"/>
    <w:rsid w:val="00CF4D07"/>
    <w:rsid w:val="00CF5A2C"/>
    <w:rsid w:val="00CF7882"/>
    <w:rsid w:val="00CF7BE4"/>
    <w:rsid w:val="00CF7F9E"/>
    <w:rsid w:val="00D00090"/>
    <w:rsid w:val="00D0109D"/>
    <w:rsid w:val="00D01844"/>
    <w:rsid w:val="00D02095"/>
    <w:rsid w:val="00D024F1"/>
    <w:rsid w:val="00D028AC"/>
    <w:rsid w:val="00D0348D"/>
    <w:rsid w:val="00D035E4"/>
    <w:rsid w:val="00D03AC6"/>
    <w:rsid w:val="00D040F7"/>
    <w:rsid w:val="00D04CBE"/>
    <w:rsid w:val="00D06000"/>
    <w:rsid w:val="00D06CCF"/>
    <w:rsid w:val="00D07D4A"/>
    <w:rsid w:val="00D1068F"/>
    <w:rsid w:val="00D10F92"/>
    <w:rsid w:val="00D11D6D"/>
    <w:rsid w:val="00D126FC"/>
    <w:rsid w:val="00D134F7"/>
    <w:rsid w:val="00D14A76"/>
    <w:rsid w:val="00D15034"/>
    <w:rsid w:val="00D155FD"/>
    <w:rsid w:val="00D160ED"/>
    <w:rsid w:val="00D167AB"/>
    <w:rsid w:val="00D20C5D"/>
    <w:rsid w:val="00D2248B"/>
    <w:rsid w:val="00D22C01"/>
    <w:rsid w:val="00D23722"/>
    <w:rsid w:val="00D23E22"/>
    <w:rsid w:val="00D24968"/>
    <w:rsid w:val="00D24E8D"/>
    <w:rsid w:val="00D268C7"/>
    <w:rsid w:val="00D2762E"/>
    <w:rsid w:val="00D300EF"/>
    <w:rsid w:val="00D30C80"/>
    <w:rsid w:val="00D31699"/>
    <w:rsid w:val="00D31F75"/>
    <w:rsid w:val="00D323EB"/>
    <w:rsid w:val="00D32742"/>
    <w:rsid w:val="00D33233"/>
    <w:rsid w:val="00D33461"/>
    <w:rsid w:val="00D33F38"/>
    <w:rsid w:val="00D35294"/>
    <w:rsid w:val="00D35866"/>
    <w:rsid w:val="00D365B9"/>
    <w:rsid w:val="00D3660A"/>
    <w:rsid w:val="00D37354"/>
    <w:rsid w:val="00D375AA"/>
    <w:rsid w:val="00D37793"/>
    <w:rsid w:val="00D4047F"/>
    <w:rsid w:val="00D41B79"/>
    <w:rsid w:val="00D41F4A"/>
    <w:rsid w:val="00D42B12"/>
    <w:rsid w:val="00D460EE"/>
    <w:rsid w:val="00D4623E"/>
    <w:rsid w:val="00D4785B"/>
    <w:rsid w:val="00D50E07"/>
    <w:rsid w:val="00D518BD"/>
    <w:rsid w:val="00D51979"/>
    <w:rsid w:val="00D52055"/>
    <w:rsid w:val="00D526BF"/>
    <w:rsid w:val="00D527EA"/>
    <w:rsid w:val="00D5282E"/>
    <w:rsid w:val="00D528C5"/>
    <w:rsid w:val="00D52FCD"/>
    <w:rsid w:val="00D53117"/>
    <w:rsid w:val="00D5599E"/>
    <w:rsid w:val="00D55B02"/>
    <w:rsid w:val="00D55DBF"/>
    <w:rsid w:val="00D56510"/>
    <w:rsid w:val="00D569CD"/>
    <w:rsid w:val="00D569F7"/>
    <w:rsid w:val="00D56AB9"/>
    <w:rsid w:val="00D56FC4"/>
    <w:rsid w:val="00D57F28"/>
    <w:rsid w:val="00D61A01"/>
    <w:rsid w:val="00D648FC"/>
    <w:rsid w:val="00D64CCC"/>
    <w:rsid w:val="00D66300"/>
    <w:rsid w:val="00D66F1D"/>
    <w:rsid w:val="00D67AAB"/>
    <w:rsid w:val="00D67B9F"/>
    <w:rsid w:val="00D70BA5"/>
    <w:rsid w:val="00D7103D"/>
    <w:rsid w:val="00D71AE4"/>
    <w:rsid w:val="00D72A95"/>
    <w:rsid w:val="00D73DE4"/>
    <w:rsid w:val="00D73EAE"/>
    <w:rsid w:val="00D74567"/>
    <w:rsid w:val="00D753D3"/>
    <w:rsid w:val="00D75875"/>
    <w:rsid w:val="00D75906"/>
    <w:rsid w:val="00D75FCF"/>
    <w:rsid w:val="00D7647C"/>
    <w:rsid w:val="00D76EB9"/>
    <w:rsid w:val="00D77024"/>
    <w:rsid w:val="00D810E0"/>
    <w:rsid w:val="00D811DC"/>
    <w:rsid w:val="00D81B8B"/>
    <w:rsid w:val="00D82CFE"/>
    <w:rsid w:val="00D839FB"/>
    <w:rsid w:val="00D83B44"/>
    <w:rsid w:val="00D84F0D"/>
    <w:rsid w:val="00D8510E"/>
    <w:rsid w:val="00D8532D"/>
    <w:rsid w:val="00D853C0"/>
    <w:rsid w:val="00D8540C"/>
    <w:rsid w:val="00D85876"/>
    <w:rsid w:val="00D86DA6"/>
    <w:rsid w:val="00D8791E"/>
    <w:rsid w:val="00D87FEA"/>
    <w:rsid w:val="00D908DB"/>
    <w:rsid w:val="00D90C29"/>
    <w:rsid w:val="00D90D7C"/>
    <w:rsid w:val="00D92109"/>
    <w:rsid w:val="00D922B0"/>
    <w:rsid w:val="00D930DE"/>
    <w:rsid w:val="00D94250"/>
    <w:rsid w:val="00D944DE"/>
    <w:rsid w:val="00D94C27"/>
    <w:rsid w:val="00D94F14"/>
    <w:rsid w:val="00D94F61"/>
    <w:rsid w:val="00D955EA"/>
    <w:rsid w:val="00D95F0F"/>
    <w:rsid w:val="00D96103"/>
    <w:rsid w:val="00D975B6"/>
    <w:rsid w:val="00DA0394"/>
    <w:rsid w:val="00DA0684"/>
    <w:rsid w:val="00DA16E2"/>
    <w:rsid w:val="00DA1D62"/>
    <w:rsid w:val="00DA49C3"/>
    <w:rsid w:val="00DA4CC8"/>
    <w:rsid w:val="00DA538F"/>
    <w:rsid w:val="00DA55BB"/>
    <w:rsid w:val="00DA6843"/>
    <w:rsid w:val="00DA69AA"/>
    <w:rsid w:val="00DA7393"/>
    <w:rsid w:val="00DA79AF"/>
    <w:rsid w:val="00DA7AA5"/>
    <w:rsid w:val="00DB0526"/>
    <w:rsid w:val="00DB053C"/>
    <w:rsid w:val="00DB0E56"/>
    <w:rsid w:val="00DB0F3E"/>
    <w:rsid w:val="00DB140F"/>
    <w:rsid w:val="00DB1E11"/>
    <w:rsid w:val="00DB1E97"/>
    <w:rsid w:val="00DB26B9"/>
    <w:rsid w:val="00DB4362"/>
    <w:rsid w:val="00DB63C1"/>
    <w:rsid w:val="00DB6616"/>
    <w:rsid w:val="00DB7827"/>
    <w:rsid w:val="00DB7FA3"/>
    <w:rsid w:val="00DC192E"/>
    <w:rsid w:val="00DC2602"/>
    <w:rsid w:val="00DC27DB"/>
    <w:rsid w:val="00DC2827"/>
    <w:rsid w:val="00DC3D9B"/>
    <w:rsid w:val="00DC4D65"/>
    <w:rsid w:val="00DC5F00"/>
    <w:rsid w:val="00DC669B"/>
    <w:rsid w:val="00DC77A9"/>
    <w:rsid w:val="00DC7CFA"/>
    <w:rsid w:val="00DD02CB"/>
    <w:rsid w:val="00DD107D"/>
    <w:rsid w:val="00DD2905"/>
    <w:rsid w:val="00DD3915"/>
    <w:rsid w:val="00DD3F7B"/>
    <w:rsid w:val="00DD5622"/>
    <w:rsid w:val="00DD60F1"/>
    <w:rsid w:val="00DD681A"/>
    <w:rsid w:val="00DD6F4A"/>
    <w:rsid w:val="00DD74B1"/>
    <w:rsid w:val="00DD78A7"/>
    <w:rsid w:val="00DE077A"/>
    <w:rsid w:val="00DE1415"/>
    <w:rsid w:val="00DE1485"/>
    <w:rsid w:val="00DE1E21"/>
    <w:rsid w:val="00DE23A2"/>
    <w:rsid w:val="00DE26D1"/>
    <w:rsid w:val="00DE2C61"/>
    <w:rsid w:val="00DE388D"/>
    <w:rsid w:val="00DE4105"/>
    <w:rsid w:val="00DE4709"/>
    <w:rsid w:val="00DE4EC3"/>
    <w:rsid w:val="00DE5253"/>
    <w:rsid w:val="00DE5A9D"/>
    <w:rsid w:val="00DE5D30"/>
    <w:rsid w:val="00DE6497"/>
    <w:rsid w:val="00DF047E"/>
    <w:rsid w:val="00DF1593"/>
    <w:rsid w:val="00DF1BDC"/>
    <w:rsid w:val="00DF1CA6"/>
    <w:rsid w:val="00DF218F"/>
    <w:rsid w:val="00DF2526"/>
    <w:rsid w:val="00DF2C1D"/>
    <w:rsid w:val="00DF2D4B"/>
    <w:rsid w:val="00DF391C"/>
    <w:rsid w:val="00DF410A"/>
    <w:rsid w:val="00DF49EA"/>
    <w:rsid w:val="00DF524F"/>
    <w:rsid w:val="00DF547E"/>
    <w:rsid w:val="00DF602F"/>
    <w:rsid w:val="00DF68EF"/>
    <w:rsid w:val="00DF69E5"/>
    <w:rsid w:val="00DF71E6"/>
    <w:rsid w:val="00DF755A"/>
    <w:rsid w:val="00E00396"/>
    <w:rsid w:val="00E0090C"/>
    <w:rsid w:val="00E01027"/>
    <w:rsid w:val="00E016D1"/>
    <w:rsid w:val="00E02863"/>
    <w:rsid w:val="00E047DF"/>
    <w:rsid w:val="00E056D6"/>
    <w:rsid w:val="00E06A3F"/>
    <w:rsid w:val="00E107C3"/>
    <w:rsid w:val="00E10C90"/>
    <w:rsid w:val="00E10F8C"/>
    <w:rsid w:val="00E1143D"/>
    <w:rsid w:val="00E1149D"/>
    <w:rsid w:val="00E11CA6"/>
    <w:rsid w:val="00E11D66"/>
    <w:rsid w:val="00E1242C"/>
    <w:rsid w:val="00E12D09"/>
    <w:rsid w:val="00E140E8"/>
    <w:rsid w:val="00E141BA"/>
    <w:rsid w:val="00E15604"/>
    <w:rsid w:val="00E15E36"/>
    <w:rsid w:val="00E16AE0"/>
    <w:rsid w:val="00E1725F"/>
    <w:rsid w:val="00E17EA6"/>
    <w:rsid w:val="00E200CC"/>
    <w:rsid w:val="00E21494"/>
    <w:rsid w:val="00E22AA2"/>
    <w:rsid w:val="00E2495B"/>
    <w:rsid w:val="00E24D64"/>
    <w:rsid w:val="00E2570E"/>
    <w:rsid w:val="00E25A86"/>
    <w:rsid w:val="00E260CC"/>
    <w:rsid w:val="00E261E2"/>
    <w:rsid w:val="00E269AA"/>
    <w:rsid w:val="00E26A75"/>
    <w:rsid w:val="00E273CB"/>
    <w:rsid w:val="00E27C90"/>
    <w:rsid w:val="00E3019A"/>
    <w:rsid w:val="00E30445"/>
    <w:rsid w:val="00E313CC"/>
    <w:rsid w:val="00E3180D"/>
    <w:rsid w:val="00E32CC0"/>
    <w:rsid w:val="00E3323F"/>
    <w:rsid w:val="00E33742"/>
    <w:rsid w:val="00E3385C"/>
    <w:rsid w:val="00E33D58"/>
    <w:rsid w:val="00E343ED"/>
    <w:rsid w:val="00E34455"/>
    <w:rsid w:val="00E3587B"/>
    <w:rsid w:val="00E368C8"/>
    <w:rsid w:val="00E37689"/>
    <w:rsid w:val="00E378D2"/>
    <w:rsid w:val="00E37A88"/>
    <w:rsid w:val="00E406B9"/>
    <w:rsid w:val="00E41809"/>
    <w:rsid w:val="00E42742"/>
    <w:rsid w:val="00E427ED"/>
    <w:rsid w:val="00E428F0"/>
    <w:rsid w:val="00E42B15"/>
    <w:rsid w:val="00E42D8A"/>
    <w:rsid w:val="00E435A8"/>
    <w:rsid w:val="00E43DCD"/>
    <w:rsid w:val="00E4430B"/>
    <w:rsid w:val="00E4541B"/>
    <w:rsid w:val="00E459A5"/>
    <w:rsid w:val="00E45B7F"/>
    <w:rsid w:val="00E45E2F"/>
    <w:rsid w:val="00E4662B"/>
    <w:rsid w:val="00E46F71"/>
    <w:rsid w:val="00E5004A"/>
    <w:rsid w:val="00E50FE3"/>
    <w:rsid w:val="00E516BF"/>
    <w:rsid w:val="00E5203B"/>
    <w:rsid w:val="00E526D3"/>
    <w:rsid w:val="00E5270E"/>
    <w:rsid w:val="00E52936"/>
    <w:rsid w:val="00E52AAC"/>
    <w:rsid w:val="00E53349"/>
    <w:rsid w:val="00E5346D"/>
    <w:rsid w:val="00E53717"/>
    <w:rsid w:val="00E53A89"/>
    <w:rsid w:val="00E53E25"/>
    <w:rsid w:val="00E5429E"/>
    <w:rsid w:val="00E56F1C"/>
    <w:rsid w:val="00E575F1"/>
    <w:rsid w:val="00E57CC7"/>
    <w:rsid w:val="00E60833"/>
    <w:rsid w:val="00E619FB"/>
    <w:rsid w:val="00E6312B"/>
    <w:rsid w:val="00E641B6"/>
    <w:rsid w:val="00E64202"/>
    <w:rsid w:val="00E643B8"/>
    <w:rsid w:val="00E655F8"/>
    <w:rsid w:val="00E65CA1"/>
    <w:rsid w:val="00E66215"/>
    <w:rsid w:val="00E66664"/>
    <w:rsid w:val="00E66A28"/>
    <w:rsid w:val="00E706A0"/>
    <w:rsid w:val="00E7161B"/>
    <w:rsid w:val="00E719CF"/>
    <w:rsid w:val="00E72D58"/>
    <w:rsid w:val="00E73704"/>
    <w:rsid w:val="00E737EE"/>
    <w:rsid w:val="00E739F6"/>
    <w:rsid w:val="00E73D67"/>
    <w:rsid w:val="00E73F70"/>
    <w:rsid w:val="00E74457"/>
    <w:rsid w:val="00E74659"/>
    <w:rsid w:val="00E74AB4"/>
    <w:rsid w:val="00E7601B"/>
    <w:rsid w:val="00E768F0"/>
    <w:rsid w:val="00E76D4B"/>
    <w:rsid w:val="00E8142D"/>
    <w:rsid w:val="00E823C6"/>
    <w:rsid w:val="00E82FD8"/>
    <w:rsid w:val="00E83EE9"/>
    <w:rsid w:val="00E84DBD"/>
    <w:rsid w:val="00E85510"/>
    <w:rsid w:val="00E85D48"/>
    <w:rsid w:val="00E86210"/>
    <w:rsid w:val="00E901C3"/>
    <w:rsid w:val="00E90BD7"/>
    <w:rsid w:val="00E91911"/>
    <w:rsid w:val="00E92039"/>
    <w:rsid w:val="00E92B6C"/>
    <w:rsid w:val="00E92B86"/>
    <w:rsid w:val="00E947C3"/>
    <w:rsid w:val="00E9693C"/>
    <w:rsid w:val="00E96B36"/>
    <w:rsid w:val="00E97F7D"/>
    <w:rsid w:val="00EA01B6"/>
    <w:rsid w:val="00EA116F"/>
    <w:rsid w:val="00EA1A64"/>
    <w:rsid w:val="00EA375B"/>
    <w:rsid w:val="00EA402A"/>
    <w:rsid w:val="00EA4180"/>
    <w:rsid w:val="00EA6473"/>
    <w:rsid w:val="00EA6791"/>
    <w:rsid w:val="00EA7485"/>
    <w:rsid w:val="00EB1CA2"/>
    <w:rsid w:val="00EB24A2"/>
    <w:rsid w:val="00EB289B"/>
    <w:rsid w:val="00EB2982"/>
    <w:rsid w:val="00EB2A3D"/>
    <w:rsid w:val="00EB2DB8"/>
    <w:rsid w:val="00EB2F1D"/>
    <w:rsid w:val="00EB4E4C"/>
    <w:rsid w:val="00EB4E6F"/>
    <w:rsid w:val="00EB557C"/>
    <w:rsid w:val="00EB5CD6"/>
    <w:rsid w:val="00EB6231"/>
    <w:rsid w:val="00EB68E0"/>
    <w:rsid w:val="00EB77B3"/>
    <w:rsid w:val="00EB7836"/>
    <w:rsid w:val="00EC004C"/>
    <w:rsid w:val="00EC008B"/>
    <w:rsid w:val="00EC0992"/>
    <w:rsid w:val="00EC0CDE"/>
    <w:rsid w:val="00EC1431"/>
    <w:rsid w:val="00EC4768"/>
    <w:rsid w:val="00EC4952"/>
    <w:rsid w:val="00EC501C"/>
    <w:rsid w:val="00EC53CA"/>
    <w:rsid w:val="00EC5426"/>
    <w:rsid w:val="00EC5C40"/>
    <w:rsid w:val="00EC6155"/>
    <w:rsid w:val="00EC73AB"/>
    <w:rsid w:val="00ED142A"/>
    <w:rsid w:val="00ED276F"/>
    <w:rsid w:val="00ED2AB0"/>
    <w:rsid w:val="00ED2D2A"/>
    <w:rsid w:val="00ED3206"/>
    <w:rsid w:val="00ED3874"/>
    <w:rsid w:val="00ED5804"/>
    <w:rsid w:val="00ED6056"/>
    <w:rsid w:val="00ED68AD"/>
    <w:rsid w:val="00ED6D8C"/>
    <w:rsid w:val="00EE0B51"/>
    <w:rsid w:val="00EE0F03"/>
    <w:rsid w:val="00EE2B22"/>
    <w:rsid w:val="00EE3120"/>
    <w:rsid w:val="00EE38D9"/>
    <w:rsid w:val="00EE4632"/>
    <w:rsid w:val="00EE553C"/>
    <w:rsid w:val="00EE5C6C"/>
    <w:rsid w:val="00EE5DCF"/>
    <w:rsid w:val="00EE5FDB"/>
    <w:rsid w:val="00EE634F"/>
    <w:rsid w:val="00EE7A1C"/>
    <w:rsid w:val="00EE7E9E"/>
    <w:rsid w:val="00EF32FC"/>
    <w:rsid w:val="00EF37DC"/>
    <w:rsid w:val="00EF54C4"/>
    <w:rsid w:val="00EF639B"/>
    <w:rsid w:val="00EF6766"/>
    <w:rsid w:val="00EF7240"/>
    <w:rsid w:val="00F00484"/>
    <w:rsid w:val="00F00F81"/>
    <w:rsid w:val="00F03484"/>
    <w:rsid w:val="00F04A26"/>
    <w:rsid w:val="00F0564E"/>
    <w:rsid w:val="00F07FFC"/>
    <w:rsid w:val="00F1045F"/>
    <w:rsid w:val="00F1125F"/>
    <w:rsid w:val="00F1126A"/>
    <w:rsid w:val="00F11801"/>
    <w:rsid w:val="00F11BB8"/>
    <w:rsid w:val="00F12F06"/>
    <w:rsid w:val="00F13575"/>
    <w:rsid w:val="00F13EFF"/>
    <w:rsid w:val="00F146BB"/>
    <w:rsid w:val="00F156A1"/>
    <w:rsid w:val="00F15A90"/>
    <w:rsid w:val="00F16911"/>
    <w:rsid w:val="00F202D6"/>
    <w:rsid w:val="00F206A6"/>
    <w:rsid w:val="00F20BC4"/>
    <w:rsid w:val="00F221C8"/>
    <w:rsid w:val="00F224D2"/>
    <w:rsid w:val="00F22F2A"/>
    <w:rsid w:val="00F23428"/>
    <w:rsid w:val="00F2353D"/>
    <w:rsid w:val="00F239F8"/>
    <w:rsid w:val="00F24AE3"/>
    <w:rsid w:val="00F252DD"/>
    <w:rsid w:val="00F252E0"/>
    <w:rsid w:val="00F26E72"/>
    <w:rsid w:val="00F27BD0"/>
    <w:rsid w:val="00F27CAA"/>
    <w:rsid w:val="00F30167"/>
    <w:rsid w:val="00F30BF3"/>
    <w:rsid w:val="00F313EA"/>
    <w:rsid w:val="00F31C96"/>
    <w:rsid w:val="00F32FC4"/>
    <w:rsid w:val="00F33B38"/>
    <w:rsid w:val="00F33B88"/>
    <w:rsid w:val="00F33D60"/>
    <w:rsid w:val="00F35113"/>
    <w:rsid w:val="00F35BFD"/>
    <w:rsid w:val="00F3621E"/>
    <w:rsid w:val="00F3682D"/>
    <w:rsid w:val="00F369B8"/>
    <w:rsid w:val="00F36D80"/>
    <w:rsid w:val="00F37187"/>
    <w:rsid w:val="00F37434"/>
    <w:rsid w:val="00F37596"/>
    <w:rsid w:val="00F3772D"/>
    <w:rsid w:val="00F405FE"/>
    <w:rsid w:val="00F40A86"/>
    <w:rsid w:val="00F419EE"/>
    <w:rsid w:val="00F427E3"/>
    <w:rsid w:val="00F429E8"/>
    <w:rsid w:val="00F4338E"/>
    <w:rsid w:val="00F43B04"/>
    <w:rsid w:val="00F44550"/>
    <w:rsid w:val="00F45E25"/>
    <w:rsid w:val="00F46B15"/>
    <w:rsid w:val="00F47D04"/>
    <w:rsid w:val="00F51215"/>
    <w:rsid w:val="00F514C1"/>
    <w:rsid w:val="00F52190"/>
    <w:rsid w:val="00F54C13"/>
    <w:rsid w:val="00F551E4"/>
    <w:rsid w:val="00F574BF"/>
    <w:rsid w:val="00F57F42"/>
    <w:rsid w:val="00F60900"/>
    <w:rsid w:val="00F62C68"/>
    <w:rsid w:val="00F633D0"/>
    <w:rsid w:val="00F667CA"/>
    <w:rsid w:val="00F67C2B"/>
    <w:rsid w:val="00F70022"/>
    <w:rsid w:val="00F70188"/>
    <w:rsid w:val="00F7032F"/>
    <w:rsid w:val="00F70676"/>
    <w:rsid w:val="00F70C57"/>
    <w:rsid w:val="00F70E86"/>
    <w:rsid w:val="00F7192E"/>
    <w:rsid w:val="00F72641"/>
    <w:rsid w:val="00F748A8"/>
    <w:rsid w:val="00F74E35"/>
    <w:rsid w:val="00F75A00"/>
    <w:rsid w:val="00F778FE"/>
    <w:rsid w:val="00F80800"/>
    <w:rsid w:val="00F80821"/>
    <w:rsid w:val="00F80EAF"/>
    <w:rsid w:val="00F81A30"/>
    <w:rsid w:val="00F8310A"/>
    <w:rsid w:val="00F8369E"/>
    <w:rsid w:val="00F83E03"/>
    <w:rsid w:val="00F83F44"/>
    <w:rsid w:val="00F8497B"/>
    <w:rsid w:val="00F84B12"/>
    <w:rsid w:val="00F84E20"/>
    <w:rsid w:val="00F8621F"/>
    <w:rsid w:val="00F86386"/>
    <w:rsid w:val="00F8661F"/>
    <w:rsid w:val="00F87561"/>
    <w:rsid w:val="00F87E83"/>
    <w:rsid w:val="00F92080"/>
    <w:rsid w:val="00F92279"/>
    <w:rsid w:val="00F93217"/>
    <w:rsid w:val="00F9326C"/>
    <w:rsid w:val="00F957F7"/>
    <w:rsid w:val="00F95A8A"/>
    <w:rsid w:val="00F95D2A"/>
    <w:rsid w:val="00F96437"/>
    <w:rsid w:val="00F96847"/>
    <w:rsid w:val="00F96A9B"/>
    <w:rsid w:val="00F96B84"/>
    <w:rsid w:val="00F97561"/>
    <w:rsid w:val="00FA0395"/>
    <w:rsid w:val="00FA154A"/>
    <w:rsid w:val="00FA192C"/>
    <w:rsid w:val="00FA23A7"/>
    <w:rsid w:val="00FA254E"/>
    <w:rsid w:val="00FA27E2"/>
    <w:rsid w:val="00FA2B76"/>
    <w:rsid w:val="00FA2EBF"/>
    <w:rsid w:val="00FA31DF"/>
    <w:rsid w:val="00FA4106"/>
    <w:rsid w:val="00FA4784"/>
    <w:rsid w:val="00FA47B4"/>
    <w:rsid w:val="00FA4EF0"/>
    <w:rsid w:val="00FA4FCC"/>
    <w:rsid w:val="00FA5A7C"/>
    <w:rsid w:val="00FA6871"/>
    <w:rsid w:val="00FA6A7C"/>
    <w:rsid w:val="00FA6BC8"/>
    <w:rsid w:val="00FA78AF"/>
    <w:rsid w:val="00FB0162"/>
    <w:rsid w:val="00FB097C"/>
    <w:rsid w:val="00FB0C21"/>
    <w:rsid w:val="00FB0FD3"/>
    <w:rsid w:val="00FB233B"/>
    <w:rsid w:val="00FB3313"/>
    <w:rsid w:val="00FB3D68"/>
    <w:rsid w:val="00FB4722"/>
    <w:rsid w:val="00FB4D5D"/>
    <w:rsid w:val="00FB4E6B"/>
    <w:rsid w:val="00FB4ECA"/>
    <w:rsid w:val="00FB5F48"/>
    <w:rsid w:val="00FB606E"/>
    <w:rsid w:val="00FB64B6"/>
    <w:rsid w:val="00FB6580"/>
    <w:rsid w:val="00FB67EC"/>
    <w:rsid w:val="00FB71A3"/>
    <w:rsid w:val="00FC059C"/>
    <w:rsid w:val="00FC0A4D"/>
    <w:rsid w:val="00FC0EDF"/>
    <w:rsid w:val="00FC0FDD"/>
    <w:rsid w:val="00FC1428"/>
    <w:rsid w:val="00FC1AEB"/>
    <w:rsid w:val="00FC2047"/>
    <w:rsid w:val="00FC24F0"/>
    <w:rsid w:val="00FC3A9A"/>
    <w:rsid w:val="00FC50E3"/>
    <w:rsid w:val="00FC5100"/>
    <w:rsid w:val="00FC5954"/>
    <w:rsid w:val="00FC5FF8"/>
    <w:rsid w:val="00FC6929"/>
    <w:rsid w:val="00FC69CD"/>
    <w:rsid w:val="00FC7062"/>
    <w:rsid w:val="00FC7136"/>
    <w:rsid w:val="00FC78DD"/>
    <w:rsid w:val="00FC7E9E"/>
    <w:rsid w:val="00FD07EE"/>
    <w:rsid w:val="00FD0F14"/>
    <w:rsid w:val="00FD0F7D"/>
    <w:rsid w:val="00FD155C"/>
    <w:rsid w:val="00FD1E33"/>
    <w:rsid w:val="00FD28C8"/>
    <w:rsid w:val="00FD2EB2"/>
    <w:rsid w:val="00FD33A4"/>
    <w:rsid w:val="00FD4908"/>
    <w:rsid w:val="00FD5018"/>
    <w:rsid w:val="00FD5874"/>
    <w:rsid w:val="00FD6072"/>
    <w:rsid w:val="00FE0835"/>
    <w:rsid w:val="00FE0B26"/>
    <w:rsid w:val="00FE13B7"/>
    <w:rsid w:val="00FE29C4"/>
    <w:rsid w:val="00FE2B99"/>
    <w:rsid w:val="00FE5553"/>
    <w:rsid w:val="00FE7064"/>
    <w:rsid w:val="00FE7D14"/>
    <w:rsid w:val="00FE7D68"/>
    <w:rsid w:val="00FE7E03"/>
    <w:rsid w:val="00FF061C"/>
    <w:rsid w:val="00FF073F"/>
    <w:rsid w:val="00FF1AE5"/>
    <w:rsid w:val="00FF2284"/>
    <w:rsid w:val="00FF3860"/>
    <w:rsid w:val="00FF4D0C"/>
    <w:rsid w:val="00FF5144"/>
    <w:rsid w:val="00FF5242"/>
    <w:rsid w:val="00FF5B91"/>
    <w:rsid w:val="00FF6B7D"/>
    <w:rsid w:val="00FF729B"/>
    <w:rsid w:val="00FF7DD2"/>
    <w:rsid w:val="00FF7EF5"/>
    <w:rsid w:val="01975223"/>
    <w:rsid w:val="04671641"/>
    <w:rsid w:val="05C11061"/>
    <w:rsid w:val="06A96D71"/>
    <w:rsid w:val="070397FC"/>
    <w:rsid w:val="07803626"/>
    <w:rsid w:val="091ACD0A"/>
    <w:rsid w:val="0925B0D6"/>
    <w:rsid w:val="0BC7FEA6"/>
    <w:rsid w:val="0E3A0FEC"/>
    <w:rsid w:val="0F91882C"/>
    <w:rsid w:val="10461967"/>
    <w:rsid w:val="12D21877"/>
    <w:rsid w:val="13101AA6"/>
    <w:rsid w:val="1448C160"/>
    <w:rsid w:val="15F067BF"/>
    <w:rsid w:val="16950EAD"/>
    <w:rsid w:val="18DA5D6D"/>
    <w:rsid w:val="1900140C"/>
    <w:rsid w:val="1918E5DB"/>
    <w:rsid w:val="193288C4"/>
    <w:rsid w:val="1C6ED9A6"/>
    <w:rsid w:val="1C95B35F"/>
    <w:rsid w:val="1DD588B1"/>
    <w:rsid w:val="1E427709"/>
    <w:rsid w:val="1E95F09E"/>
    <w:rsid w:val="1EE4D64C"/>
    <w:rsid w:val="1FDE0C7B"/>
    <w:rsid w:val="23BE57CA"/>
    <w:rsid w:val="24239A13"/>
    <w:rsid w:val="245065BE"/>
    <w:rsid w:val="24D0CBAD"/>
    <w:rsid w:val="254D90DC"/>
    <w:rsid w:val="2843081E"/>
    <w:rsid w:val="2913CB89"/>
    <w:rsid w:val="2B6548A1"/>
    <w:rsid w:val="2C011DF7"/>
    <w:rsid w:val="2EA5FD2B"/>
    <w:rsid w:val="2EAE2FAC"/>
    <w:rsid w:val="3142478A"/>
    <w:rsid w:val="31FA01F9"/>
    <w:rsid w:val="3286AA9B"/>
    <w:rsid w:val="32C09C2A"/>
    <w:rsid w:val="33004417"/>
    <w:rsid w:val="35100147"/>
    <w:rsid w:val="351999CA"/>
    <w:rsid w:val="36C97E07"/>
    <w:rsid w:val="3A0DC0D8"/>
    <w:rsid w:val="3A6B5C17"/>
    <w:rsid w:val="3A7510A9"/>
    <w:rsid w:val="3B9350D9"/>
    <w:rsid w:val="3BE32FCF"/>
    <w:rsid w:val="40510BAC"/>
    <w:rsid w:val="4369C48D"/>
    <w:rsid w:val="45350FCA"/>
    <w:rsid w:val="48D02C76"/>
    <w:rsid w:val="497D1305"/>
    <w:rsid w:val="4FAFF499"/>
    <w:rsid w:val="513ED92F"/>
    <w:rsid w:val="53001A40"/>
    <w:rsid w:val="530818C1"/>
    <w:rsid w:val="53D96321"/>
    <w:rsid w:val="540F3FC3"/>
    <w:rsid w:val="55490475"/>
    <w:rsid w:val="557F3D8A"/>
    <w:rsid w:val="57261EC5"/>
    <w:rsid w:val="57D6D48F"/>
    <w:rsid w:val="58239DC2"/>
    <w:rsid w:val="590EA35F"/>
    <w:rsid w:val="5A41E326"/>
    <w:rsid w:val="5DF78674"/>
    <w:rsid w:val="5E86CF95"/>
    <w:rsid w:val="5ED4DD33"/>
    <w:rsid w:val="5F044B1A"/>
    <w:rsid w:val="5FA3B761"/>
    <w:rsid w:val="61D89651"/>
    <w:rsid w:val="61EFEBAF"/>
    <w:rsid w:val="63679F3B"/>
    <w:rsid w:val="65AAC6C2"/>
    <w:rsid w:val="675835D6"/>
    <w:rsid w:val="68F79052"/>
    <w:rsid w:val="6B11D722"/>
    <w:rsid w:val="6D8B5E65"/>
    <w:rsid w:val="7003D553"/>
    <w:rsid w:val="7258286F"/>
    <w:rsid w:val="725A60FF"/>
    <w:rsid w:val="73CE107F"/>
    <w:rsid w:val="747F2604"/>
    <w:rsid w:val="753172EB"/>
    <w:rsid w:val="75D7D799"/>
    <w:rsid w:val="75F8334F"/>
    <w:rsid w:val="7B8A9171"/>
    <w:rsid w:val="7B9FDA70"/>
    <w:rsid w:val="7BEF6B4E"/>
    <w:rsid w:val="7C32228D"/>
    <w:rsid w:val="7D33D491"/>
    <w:rsid w:val="7D369DBF"/>
    <w:rsid w:val="7E1B4A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7FFEFE"/>
  <w15:chartTrackingRefBased/>
  <w15:docId w15:val="{5C7C5101-2404-4C06-8ABD-BC16DF8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574"/>
    <w:rPr>
      <w:kern w:val="0"/>
      <w14:ligatures w14:val="none"/>
    </w:rPr>
  </w:style>
  <w:style w:type="paragraph" w:styleId="Heading1">
    <w:name w:val="heading 1"/>
    <w:basedOn w:val="NoSpacing"/>
    <w:next w:val="Normal"/>
    <w:link w:val="Heading1Char"/>
    <w:uiPriority w:val="9"/>
    <w:qFormat/>
    <w:rsid w:val="0013139B"/>
    <w:pPr>
      <w:jc w:val="center"/>
      <w:outlineLvl w:val="0"/>
    </w:pPr>
    <w:rPr>
      <w:rFonts w:asciiTheme="majorBidi" w:hAnsiTheme="majorBidi" w:cstheme="majorBidi"/>
      <w:b/>
      <w:sz w:val="24"/>
      <w:szCs w:val="24"/>
    </w:rPr>
  </w:style>
  <w:style w:type="paragraph" w:styleId="Heading2">
    <w:name w:val="heading 2"/>
    <w:basedOn w:val="Normal"/>
    <w:next w:val="Normal"/>
    <w:link w:val="Heading2Char"/>
    <w:uiPriority w:val="9"/>
    <w:unhideWhenUsed/>
    <w:qFormat/>
    <w:rsid w:val="00BE1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74"/>
    <w:rPr>
      <w:rFonts w:eastAsia="Calibri" w:asciiTheme="majorBidi" w:hAnsiTheme="majorBidi" w:cstheme="majorBidi"/>
      <w:b/>
      <w:kern w:val="0"/>
      <w:sz w:val="24"/>
      <w:szCs w:val="24"/>
      <w14:ligatures w14:val="none"/>
    </w:rPr>
  </w:style>
  <w:style w:type="character" w:customStyle="1" w:styleId="Heading2Char">
    <w:name w:val="Heading 2 Char"/>
    <w:basedOn w:val="DefaultParagraphFont"/>
    <w:link w:val="Heading2"/>
    <w:uiPriority w:val="9"/>
    <w:rsid w:val="00BE1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74"/>
    <w:rPr>
      <w:rFonts w:eastAsiaTheme="majorEastAsia" w:cstheme="majorBidi"/>
      <w:color w:val="272727" w:themeColor="text1" w:themeTint="D8"/>
    </w:rPr>
  </w:style>
  <w:style w:type="paragraph" w:styleId="Title">
    <w:name w:val="Title"/>
    <w:basedOn w:val="Normal"/>
    <w:next w:val="Normal"/>
    <w:link w:val="TitleChar"/>
    <w:uiPriority w:val="10"/>
    <w:qFormat/>
    <w:rsid w:val="00BE1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74"/>
    <w:pPr>
      <w:spacing w:before="160"/>
      <w:jc w:val="center"/>
    </w:pPr>
    <w:rPr>
      <w:i/>
      <w:iCs/>
      <w:color w:val="404040" w:themeColor="text1" w:themeTint="BF"/>
    </w:rPr>
  </w:style>
  <w:style w:type="character" w:customStyle="1" w:styleId="QuoteChar">
    <w:name w:val="Quote Char"/>
    <w:basedOn w:val="DefaultParagraphFont"/>
    <w:link w:val="Quote"/>
    <w:uiPriority w:val="29"/>
    <w:rsid w:val="00BE1574"/>
    <w:rPr>
      <w:i/>
      <w:iCs/>
      <w:color w:val="404040" w:themeColor="text1" w:themeTint="BF"/>
    </w:rPr>
  </w:style>
  <w:style w:type="paragraph" w:styleId="ListParagraph">
    <w:name w:val="List Paragraph"/>
    <w:aliases w:val="Bullets 3 pt,Primary Bullet List"/>
    <w:basedOn w:val="Normal"/>
    <w:link w:val="ListParagraphChar"/>
    <w:uiPriority w:val="34"/>
    <w:qFormat/>
    <w:rsid w:val="00BE1574"/>
    <w:pPr>
      <w:ind w:left="720"/>
      <w:contextualSpacing/>
    </w:pPr>
  </w:style>
  <w:style w:type="character" w:styleId="IntenseEmphasis">
    <w:name w:val="Intense Emphasis"/>
    <w:basedOn w:val="DefaultParagraphFont"/>
    <w:uiPriority w:val="21"/>
    <w:qFormat/>
    <w:rsid w:val="00BE1574"/>
    <w:rPr>
      <w:i/>
      <w:iCs/>
      <w:color w:val="0F4761" w:themeColor="accent1" w:themeShade="BF"/>
    </w:rPr>
  </w:style>
  <w:style w:type="paragraph" w:styleId="IntenseQuote">
    <w:name w:val="Intense Quote"/>
    <w:basedOn w:val="Normal"/>
    <w:next w:val="Normal"/>
    <w:link w:val="IntenseQuoteChar"/>
    <w:uiPriority w:val="30"/>
    <w:qFormat/>
    <w:rsid w:val="00BE1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74"/>
    <w:rPr>
      <w:i/>
      <w:iCs/>
      <w:color w:val="0F4761" w:themeColor="accent1" w:themeShade="BF"/>
    </w:rPr>
  </w:style>
  <w:style w:type="character" w:styleId="IntenseReference">
    <w:name w:val="Intense Reference"/>
    <w:basedOn w:val="DefaultParagraphFont"/>
    <w:uiPriority w:val="32"/>
    <w:qFormat/>
    <w:rsid w:val="00BE1574"/>
    <w:rPr>
      <w:b/>
      <w:bCs/>
      <w:smallCaps/>
      <w:color w:val="0F4761" w:themeColor="accent1" w:themeShade="BF"/>
      <w:spacing w:val="5"/>
    </w:rPr>
  </w:style>
  <w:style w:type="paragraph" w:styleId="NoSpacing">
    <w:name w:val="No Spacing"/>
    <w:uiPriority w:val="1"/>
    <w:qFormat/>
    <w:rsid w:val="00BE1574"/>
    <w:pPr>
      <w:spacing w:after="0" w:line="240" w:lineRule="auto"/>
    </w:pPr>
    <w:rPr>
      <w:rFonts w:ascii="Calibri" w:eastAsia="Calibri" w:hAnsi="Calibri" w:cs="Times New Roman"/>
      <w:kern w:val="0"/>
      <w14:ligatures w14:val="none"/>
    </w:rPr>
  </w:style>
  <w:style w:type="character" w:customStyle="1" w:styleId="ListParagraphChar">
    <w:name w:val="List Paragraph Char"/>
    <w:aliases w:val="Bullets 3 pt Char,Primary Bullet List Char"/>
    <w:link w:val="ListParagraph"/>
    <w:uiPriority w:val="34"/>
    <w:locked/>
    <w:rsid w:val="00BE1574"/>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qFormat/>
    <w:rsid w:val="00BE1574"/>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T Char,Body Text - Level 2 Char Char Char,Body Text Char1 Char,Body Text1 Char Char Char,Starbucks Body Text Char Char Char,body text Char Char Char,body text1 Char Char Char,bold Char,bt Char,bt Char Char Char"/>
    <w:basedOn w:val="DefaultParagraphFont"/>
    <w:link w:val="BodyText"/>
    <w:rsid w:val="00BE1574"/>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rsid w:val="00BE1574"/>
    <w:rPr>
      <w:sz w:val="16"/>
    </w:rPr>
  </w:style>
  <w:style w:type="paragraph" w:styleId="CommentText">
    <w:name w:val="annotation text"/>
    <w:basedOn w:val="Normal"/>
    <w:link w:val="CommentTextChar"/>
    <w:uiPriority w:val="99"/>
    <w:rsid w:val="00BE1574"/>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1574"/>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BE1574"/>
    <w:pPr>
      <w:spacing w:after="0" w:line="240" w:lineRule="auto"/>
    </w:pPr>
    <w:rPr>
      <w:rFonts w:ascii="Times New Roman" w:eastAsia="Times New Roman" w:hAnsi="Times New Roman" w:cs="Times New Roman"/>
      <w:kern w:val="0"/>
      <w:sz w:val="20"/>
      <w:szCs w:val="20"/>
      <w14:ligatures w14:val="none"/>
    </w:rPr>
    <w:tblPr/>
  </w:style>
  <w:style w:type="paragraph" w:customStyle="1" w:styleId="TableText">
    <w:name w:val="Table Text"/>
    <w:basedOn w:val="Normal"/>
    <w:qFormat/>
    <w:rsid w:val="00BE1574"/>
    <w:pPr>
      <w:spacing w:before="40" w:after="40" w:line="264" w:lineRule="auto"/>
    </w:pPr>
    <w:rPr>
      <w:rFonts w:ascii="Arial" w:eastAsia="Times New Roman" w:hAnsi="Arial" w:cs="Arial"/>
      <w:bCs/>
      <w:color w:val="000000"/>
      <w:sz w:val="20"/>
      <w:szCs w:val="20"/>
    </w:rPr>
  </w:style>
  <w:style w:type="paragraph" w:customStyle="1" w:styleId="TableColumnHeader">
    <w:name w:val="Table Column Header"/>
    <w:basedOn w:val="TableText"/>
    <w:qFormat/>
    <w:rsid w:val="00BE1574"/>
    <w:pPr>
      <w:spacing w:before="20" w:after="20" w:line="240" w:lineRule="auto"/>
      <w:jc w:val="center"/>
    </w:pPr>
    <w:rPr>
      <w:rFonts w:ascii="Arial Narrow" w:hAnsi="Arial Narrow" w:cs="Times New Roman"/>
      <w:b/>
      <w:bCs w:val="0"/>
      <w:color w:val="FFFFFF" w:themeColor="background1"/>
    </w:rPr>
  </w:style>
  <w:style w:type="paragraph" w:customStyle="1" w:styleId="TableColumnHeaderLeft">
    <w:name w:val="Table Column Header Left"/>
    <w:basedOn w:val="TableText"/>
    <w:qFormat/>
    <w:rsid w:val="00BE1574"/>
    <w:pPr>
      <w:spacing w:before="20" w:after="20" w:line="240" w:lineRule="auto"/>
    </w:pPr>
    <w:rPr>
      <w:rFonts w:ascii="Arial Narrow" w:hAnsi="Arial Narrow" w:cs="Times New Roman"/>
      <w:b/>
      <w:bCs w:val="0"/>
      <w:color w:val="auto"/>
    </w:rPr>
  </w:style>
  <w:style w:type="paragraph" w:styleId="CommentSubject">
    <w:name w:val="annotation subject"/>
    <w:basedOn w:val="CommentText"/>
    <w:next w:val="CommentText"/>
    <w:link w:val="CommentSubjectChar"/>
    <w:uiPriority w:val="99"/>
    <w:semiHidden/>
    <w:unhideWhenUsed/>
    <w:rsid w:val="000A3135"/>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3135"/>
    <w:rPr>
      <w:rFonts w:ascii="Times New Roman" w:eastAsia="Times New Roman" w:hAnsi="Times New Roman" w:cs="Times New Roman"/>
      <w:b/>
      <w:bCs/>
      <w:kern w:val="0"/>
      <w:sz w:val="20"/>
      <w:szCs w:val="20"/>
      <w14:ligatures w14:val="none"/>
    </w:rPr>
  </w:style>
  <w:style w:type="paragraph" w:customStyle="1" w:styleId="Level1">
    <w:name w:val="Level 1"/>
    <w:basedOn w:val="Normal"/>
    <w:rsid w:val="00F83E03"/>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character" w:customStyle="1" w:styleId="normaltextrun">
    <w:name w:val="normaltextrun"/>
    <w:basedOn w:val="DefaultParagraphFont"/>
    <w:rsid w:val="009317A9"/>
    <w:rPr>
      <w:rFonts w:ascii="Times New Roman" w:eastAsia="Times New Roman" w:hAnsi="Times New Roman" w:cs="Times New Roman"/>
    </w:rPr>
  </w:style>
  <w:style w:type="paragraph" w:styleId="Caption">
    <w:name w:val="caption"/>
    <w:basedOn w:val="Normal"/>
    <w:next w:val="BodyText"/>
    <w:link w:val="CaptionChar"/>
    <w:qFormat/>
    <w:rsid w:val="0020300A"/>
    <w:pPr>
      <w:keepNext/>
      <w:tabs>
        <w:tab w:val="left" w:pos="1260"/>
      </w:tabs>
      <w:spacing w:after="120" w:line="240" w:lineRule="auto"/>
      <w:ind w:left="1267" w:hanging="1267"/>
    </w:pPr>
    <w:rPr>
      <w:rFonts w:ascii="Arial" w:hAnsi="Arial" w:cs="Arial"/>
      <w:b/>
      <w:sz w:val="20"/>
    </w:rPr>
  </w:style>
  <w:style w:type="character" w:customStyle="1" w:styleId="CaptionChar">
    <w:name w:val="Caption Char"/>
    <w:basedOn w:val="DefaultParagraphFont"/>
    <w:link w:val="Caption"/>
    <w:locked/>
    <w:rsid w:val="0020300A"/>
    <w:rPr>
      <w:rFonts w:ascii="Arial" w:hAnsi="Arial" w:cs="Arial"/>
      <w:b/>
      <w:kern w:val="0"/>
      <w:sz w:val="20"/>
      <w14:ligatures w14:val="none"/>
    </w:rPr>
  </w:style>
  <w:style w:type="paragraph" w:customStyle="1" w:styleId="TH-TableHeading">
    <w:name w:val="TH-Table Heading"/>
    <w:rsid w:val="0020300A"/>
    <w:pPr>
      <w:spacing w:after="0" w:line="240" w:lineRule="auto"/>
      <w:jc w:val="center"/>
    </w:pPr>
    <w:rPr>
      <w:rFonts w:eastAsia="Times New Roman" w:cstheme="minorHAnsi"/>
      <w:b/>
      <w:color w:val="00467F"/>
      <w:kern w:val="0"/>
      <w:sz w:val="20"/>
      <w:szCs w:val="20"/>
      <w14:ligatures w14:val="none"/>
    </w:rPr>
  </w:style>
  <w:style w:type="paragraph" w:customStyle="1" w:styleId="TB-TableBullet">
    <w:name w:val="TB-Table Bullet"/>
    <w:basedOn w:val="Normal"/>
    <w:qFormat/>
    <w:rsid w:val="0020300A"/>
    <w:pPr>
      <w:numPr>
        <w:numId w:val="9"/>
      </w:numPr>
      <w:spacing w:after="0" w:line="240" w:lineRule="auto"/>
    </w:pPr>
    <w:rPr>
      <w:rFonts w:eastAsia="Times New Roman" w:cstheme="minorHAnsi"/>
      <w:color w:val="00467F"/>
      <w:sz w:val="20"/>
      <w:szCs w:val="20"/>
    </w:rPr>
  </w:style>
  <w:style w:type="paragraph" w:customStyle="1" w:styleId="TX-TableText">
    <w:name w:val="TX-Table Text"/>
    <w:rsid w:val="00136CF8"/>
    <w:pPr>
      <w:spacing w:after="0" w:line="240" w:lineRule="auto"/>
    </w:pPr>
    <w:rPr>
      <w:rFonts w:eastAsia="Times New Roman" w:cstheme="minorHAnsi"/>
      <w:color w:val="00467F"/>
      <w:kern w:val="0"/>
      <w:sz w:val="20"/>
      <w:szCs w:val="20"/>
      <w14:ligatures w14:val="none"/>
    </w:rPr>
  </w:style>
  <w:style w:type="paragraph" w:styleId="Revision">
    <w:name w:val="Revision"/>
    <w:hidden/>
    <w:uiPriority w:val="99"/>
    <w:semiHidden/>
    <w:rsid w:val="00CE64DA"/>
    <w:pPr>
      <w:spacing w:after="0" w:line="240" w:lineRule="auto"/>
    </w:pPr>
    <w:rPr>
      <w:kern w:val="0"/>
      <w14:ligatures w14:val="none"/>
    </w:rPr>
  </w:style>
  <w:style w:type="character" w:styleId="Mention">
    <w:name w:val="Mention"/>
    <w:basedOn w:val="DefaultParagraphFont"/>
    <w:uiPriority w:val="99"/>
    <w:unhideWhenUsed/>
    <w:rsid w:val="000035D1"/>
    <w:rPr>
      <w:color w:val="2B579A"/>
      <w:shd w:val="clear" w:color="auto" w:fill="E1DFDD"/>
    </w:rPr>
  </w:style>
  <w:style w:type="character" w:styleId="Hyperlink">
    <w:name w:val="Hyperlink"/>
    <w:basedOn w:val="DefaultParagraphFont"/>
    <w:rsid w:val="00FF5B91"/>
    <w:rPr>
      <w:color w:val="467886" w:themeColor="hyperlink"/>
      <w:u w:val="single"/>
    </w:rPr>
  </w:style>
  <w:style w:type="character" w:styleId="FollowedHyperlink">
    <w:name w:val="FollowedHyperlink"/>
    <w:basedOn w:val="DefaultParagraphFont"/>
    <w:uiPriority w:val="99"/>
    <w:semiHidden/>
    <w:unhideWhenUsed/>
    <w:rsid w:val="00FF5B91"/>
    <w:rPr>
      <w:color w:val="96607D" w:themeColor="followedHyperlink"/>
      <w:u w:val="single"/>
    </w:rPr>
  </w:style>
  <w:style w:type="paragraph" w:styleId="FootnoteText">
    <w:name w:val="footnote text"/>
    <w:basedOn w:val="Normal"/>
    <w:link w:val="FootnoteTextChar"/>
    <w:unhideWhenUsed/>
    <w:qFormat/>
    <w:rsid w:val="009D4E8B"/>
    <w:pPr>
      <w:spacing w:after="0" w:line="240" w:lineRule="auto"/>
    </w:pPr>
    <w:rPr>
      <w:sz w:val="20"/>
      <w:szCs w:val="20"/>
    </w:rPr>
  </w:style>
  <w:style w:type="character" w:customStyle="1" w:styleId="FootnoteTextChar">
    <w:name w:val="Footnote Text Char"/>
    <w:basedOn w:val="DefaultParagraphFont"/>
    <w:link w:val="FootnoteText"/>
    <w:rsid w:val="009D4E8B"/>
    <w:rPr>
      <w:kern w:val="0"/>
      <w:sz w:val="20"/>
      <w:szCs w:val="20"/>
      <w14:ligatures w14:val="none"/>
    </w:rPr>
  </w:style>
  <w:style w:type="character" w:styleId="FootnoteReference">
    <w:name w:val="footnote reference"/>
    <w:basedOn w:val="DefaultParagraphFont"/>
    <w:unhideWhenUsed/>
    <w:qFormat/>
    <w:rsid w:val="009D4E8B"/>
    <w:rPr>
      <w:vertAlign w:val="superscript"/>
    </w:rPr>
  </w:style>
  <w:style w:type="character" w:styleId="UnresolvedMention">
    <w:name w:val="Unresolved Mention"/>
    <w:basedOn w:val="DefaultParagraphFont"/>
    <w:uiPriority w:val="99"/>
    <w:semiHidden/>
    <w:unhideWhenUsed/>
    <w:rsid w:val="009D4E8B"/>
    <w:rPr>
      <w:color w:val="605E5C"/>
      <w:shd w:val="clear" w:color="auto" w:fill="E1DFDD"/>
    </w:rPr>
  </w:style>
  <w:style w:type="paragraph" w:styleId="Header">
    <w:name w:val="header"/>
    <w:basedOn w:val="Normal"/>
    <w:link w:val="HeaderChar"/>
    <w:uiPriority w:val="99"/>
    <w:unhideWhenUsed/>
    <w:rsid w:val="0076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F1"/>
    <w:rPr>
      <w:kern w:val="0"/>
      <w14:ligatures w14:val="none"/>
    </w:rPr>
  </w:style>
  <w:style w:type="paragraph" w:styleId="Footer">
    <w:name w:val="footer"/>
    <w:basedOn w:val="Normal"/>
    <w:link w:val="FooterChar"/>
    <w:uiPriority w:val="99"/>
    <w:unhideWhenUsed/>
    <w:rsid w:val="0076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F1"/>
    <w:rPr>
      <w:kern w:val="0"/>
      <w14:ligatures w14:val="none"/>
    </w:rPr>
  </w:style>
  <w:style w:type="paragraph" w:customStyle="1" w:styleId="NormalSS">
    <w:name w:val="NormalSS"/>
    <w:basedOn w:val="Normal"/>
    <w:link w:val="NormalSSChar"/>
    <w:qFormat/>
    <w:rsid w:val="002B5BB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2B5BB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pdf/2025/DCB.pdf"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2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4e0a5-970f-43a0-9b1e-a3a913ad5e0b">
      <Terms xmlns="http://schemas.microsoft.com/office/infopath/2007/PartnerControls"/>
    </lcf76f155ced4ddcb4097134ff3c332f>
    <TaxCatchAll xmlns="e15769a9-4bfd-4d60-bf2b-709550a457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EE72554D6DD4DBB7A411D1E3AA8ED" ma:contentTypeVersion="14" ma:contentTypeDescription="Create a new document." ma:contentTypeScope="" ma:versionID="c9b04eb09f1d5d44a39de42b9d46a1b2">
  <xsd:schema xmlns:xsd="http://www.w3.org/2001/XMLSchema" xmlns:xs="http://www.w3.org/2001/XMLSchema" xmlns:p="http://schemas.microsoft.com/office/2006/metadata/properties" xmlns:ns2="ca34e0a5-970f-43a0-9b1e-a3a913ad5e0b" xmlns:ns3="e15769a9-4bfd-4d60-bf2b-709550a4579b" targetNamespace="http://schemas.microsoft.com/office/2006/metadata/properties" ma:root="true" ma:fieldsID="d9e2c9a1903f290474689d98176b0d05" ns2:_="" ns3:_="">
    <xsd:import namespace="ca34e0a5-970f-43a0-9b1e-a3a913ad5e0b"/>
    <xsd:import namespace="e15769a9-4bfd-4d60-bf2b-709550a457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4e0a5-970f-43a0-9b1e-a3a913ad5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769a9-4bfd-4d60-bf2b-709550a457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6d503f-b837-4088-8b8c-d106aad54618}" ma:internalName="TaxCatchAll" ma:showField="CatchAllData" ma:web="e15769a9-4bfd-4d60-bf2b-709550a45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CEFC-8593-442D-9EE2-8A9E434C56AF}">
  <ds:schemaRefs>
    <ds:schemaRef ds:uri="http://schemas.microsoft.com/sharepoint/v3/contenttype/forms"/>
  </ds:schemaRefs>
</ds:datastoreItem>
</file>

<file path=customXml/itemProps2.xml><?xml version="1.0" encoding="utf-8"?>
<ds:datastoreItem xmlns:ds="http://schemas.openxmlformats.org/officeDocument/2006/customXml" ds:itemID="{0676772E-00CD-4536-8BF9-23E61ED5F2BD}">
  <ds:schemaRefs>
    <ds:schemaRef ds:uri="http://schemas.microsoft.com/office/2006/metadata/properties"/>
    <ds:schemaRef ds:uri="http://schemas.microsoft.com/office/infopath/2007/PartnerControls"/>
    <ds:schemaRef ds:uri="ca34e0a5-970f-43a0-9b1e-a3a913ad5e0b"/>
    <ds:schemaRef ds:uri="e15769a9-4bfd-4d60-bf2b-709550a4579b"/>
  </ds:schemaRefs>
</ds:datastoreItem>
</file>

<file path=customXml/itemProps3.xml><?xml version="1.0" encoding="utf-8"?>
<ds:datastoreItem xmlns:ds="http://schemas.openxmlformats.org/officeDocument/2006/customXml" ds:itemID="{BB0D3486-ABB7-493C-8514-95516D8D3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4e0a5-970f-43a0-9b1e-a3a913ad5e0b"/>
    <ds:schemaRef ds:uri="e15769a9-4bfd-4d60-bf2b-709550a45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35E62-C320-4CB3-A0E2-EE483559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9525</Words>
  <Characters>55917</Characters>
  <Application>Microsoft Office Word</Application>
  <DocSecurity>0</DocSecurity>
  <Lines>1397</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Hannon, Bradley - ASP</dc:creator>
  <cp:lastModifiedBy>Poyatzis, Georgia D - OASP</cp:lastModifiedBy>
  <cp:revision>4</cp:revision>
  <dcterms:created xsi:type="dcterms:W3CDTF">2026-04-02T19:34:00Z</dcterms:created>
  <dcterms:modified xsi:type="dcterms:W3CDTF">2026-04-10T19:47:00Z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0x010100269EE72554D6DD4DBB7A411D1E3AA8ED</vt:lpwstr>
  </property>
  <property fmtid="{D5CDD505-2E9C-101B-9397-08002B2CF9AE}" pid="4" name="GrammarlyDocumentId">
    <vt:lpwstr>a5d2305c-765d-4195-ab9b-a6f5aa538882</vt:lpwstr>
  </property>
  <property fmtid="{D5CDD505-2E9C-101B-9397-08002B2CF9AE}" pid="5" name="MediaServiceImageTags">
    <vt:lpwstr/>
  </property>
  <property fmtid="{D5CDD505-2E9C-101B-9397-08002B2CF9AE}" pid="6" name="Order">
    <vt:r8>182300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