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1100" w:rsidP="00616229" w14:paraId="23D17E43" w14:textId="61EEAB2B">
      <w:pPr>
        <w:spacing w:after="160" w:line="480" w:lineRule="auto"/>
        <w:jc w:val="center"/>
      </w:pPr>
      <w:r w:rsidRPr="207A3F4C">
        <w:rPr>
          <w:rFonts w:ascii="Times New Roman" w:eastAsia="Times New Roman" w:hAnsi="Times New Roman" w:cs="Times New Roman"/>
          <w:sz w:val="24"/>
          <w:szCs w:val="24"/>
          <w:u w:val="single"/>
        </w:rPr>
        <w:t>Supporting Statement</w:t>
      </w:r>
      <w:r>
        <w:br/>
      </w:r>
      <w:r w:rsidRPr="207A3F4C">
        <w:rPr>
          <w:rFonts w:ascii="Times New Roman" w:eastAsia="Times New Roman" w:hAnsi="Times New Roman" w:cs="Times New Roman"/>
          <w:sz w:val="24"/>
          <w:szCs w:val="24"/>
          <w:u w:val="single"/>
        </w:rPr>
        <w:t>OMB Control Number 1506-XXXX</w:t>
      </w:r>
    </w:p>
    <w:p w:rsidR="00041100" w:rsidP="207A3F4C" w14:paraId="77D01656" w14:textId="397F4745">
      <w:pPr>
        <w:spacing w:after="160" w:line="276" w:lineRule="auto"/>
        <w:jc w:val="center"/>
      </w:pPr>
      <w:r w:rsidRPr="207A3F4C">
        <w:rPr>
          <w:rFonts w:ascii="Times New Roman" w:eastAsia="Times New Roman" w:hAnsi="Times New Roman" w:cs="Times New Roman"/>
          <w:sz w:val="24"/>
          <w:szCs w:val="24"/>
          <w:u w:val="single"/>
        </w:rPr>
        <w:t xml:space="preserve">Proposal of Rule Implementing Section 6314 of the Anti-Money Laundering Act of 2020 and the Anti-Money Laundering Whistleblower Improvement Act </w:t>
      </w:r>
      <w:r w:rsidR="007568FA">
        <w:rPr>
          <w:rFonts w:ascii="Times New Roman" w:eastAsia="Times New Roman" w:hAnsi="Times New Roman" w:cs="Times New Roman"/>
          <w:sz w:val="24"/>
          <w:szCs w:val="24"/>
          <w:u w:val="single"/>
        </w:rPr>
        <w:t xml:space="preserve">to </w:t>
      </w:r>
      <w:r w:rsidRPr="207A3F4C">
        <w:rPr>
          <w:rFonts w:ascii="Times New Roman" w:eastAsia="Times New Roman" w:hAnsi="Times New Roman" w:cs="Times New Roman"/>
          <w:sz w:val="24"/>
          <w:szCs w:val="24"/>
          <w:u w:val="single"/>
        </w:rPr>
        <w:t>Establish a Whistleblower Program</w:t>
      </w:r>
    </w:p>
    <w:p w:rsidR="00041100" w:rsidP="207A3F4C" w14:paraId="7343F162" w14:textId="49074D98">
      <w:pPr>
        <w:spacing w:after="160" w:line="276" w:lineRule="auto"/>
      </w:pPr>
      <w:r w:rsidRPr="207A3F4C">
        <w:rPr>
          <w:rFonts w:ascii="Times New Roman" w:eastAsia="Times New Roman" w:hAnsi="Times New Roman" w:cs="Times New Roman"/>
          <w:sz w:val="24"/>
          <w:szCs w:val="24"/>
        </w:rPr>
        <w:t xml:space="preserve">1. </w:t>
      </w:r>
      <w:r w:rsidRPr="207A3F4C">
        <w:rPr>
          <w:rFonts w:ascii="Times New Roman" w:eastAsia="Times New Roman" w:hAnsi="Times New Roman" w:cs="Times New Roman"/>
          <w:sz w:val="24"/>
          <w:szCs w:val="24"/>
          <w:u w:val="single"/>
        </w:rPr>
        <w:t>Circumstances necessitating collection of information.</w:t>
      </w:r>
      <w:r w:rsidRPr="207A3F4C">
        <w:rPr>
          <w:rFonts w:ascii="Times New Roman" w:eastAsia="Times New Roman" w:hAnsi="Times New Roman" w:cs="Times New Roman"/>
          <w:sz w:val="24"/>
          <w:szCs w:val="24"/>
        </w:rPr>
        <w:t xml:space="preserve">  </w:t>
      </w:r>
    </w:p>
    <w:p w:rsidR="00041100" w:rsidP="009407A1" w14:paraId="1BBA3108" w14:textId="2BB957CF">
      <w:pPr>
        <w:spacing w:after="160" w:line="276" w:lineRule="auto"/>
        <w:ind w:firstLine="720"/>
      </w:pPr>
      <w:r w:rsidRPr="207A3F4C">
        <w:rPr>
          <w:rFonts w:ascii="Times New Roman" w:eastAsia="Times New Roman" w:hAnsi="Times New Roman" w:cs="Times New Roman"/>
          <w:sz w:val="24"/>
          <w:szCs w:val="24"/>
        </w:rPr>
        <w:t>The Financial Crimes Enforcement Network (FinCEN) is issuing this statement to support its request that the Office of Management and Budget (OMB) approve a collection of information</w:t>
      </w:r>
      <w:r w:rsidR="00DA65A6">
        <w:rPr>
          <w:rFonts w:ascii="Times New Roman" w:eastAsia="Times New Roman" w:hAnsi="Times New Roman" w:cs="Times New Roman"/>
          <w:sz w:val="24"/>
          <w:szCs w:val="24"/>
        </w:rPr>
        <w:t xml:space="preserve"> proposed</w:t>
      </w:r>
      <w:r w:rsidRPr="207A3F4C">
        <w:rPr>
          <w:rFonts w:ascii="Times New Roman" w:eastAsia="Times New Roman" w:hAnsi="Times New Roman" w:cs="Times New Roman"/>
          <w:sz w:val="24"/>
          <w:szCs w:val="24"/>
        </w:rPr>
        <w:t xml:space="preserve"> in a notice of proposed rulemaking (NPRM) </w:t>
      </w:r>
      <w:r w:rsidR="00364F26">
        <w:rPr>
          <w:rFonts w:ascii="Times New Roman" w:eastAsia="Times New Roman" w:hAnsi="Times New Roman" w:cs="Times New Roman"/>
          <w:sz w:val="24"/>
          <w:szCs w:val="24"/>
        </w:rPr>
        <w:t xml:space="preserve">that would </w:t>
      </w:r>
      <w:r w:rsidRPr="207A3F4C">
        <w:rPr>
          <w:rFonts w:ascii="Times New Roman" w:eastAsia="Times New Roman" w:hAnsi="Times New Roman" w:cs="Times New Roman"/>
          <w:sz w:val="24"/>
          <w:szCs w:val="24"/>
        </w:rPr>
        <w:t>implement</w:t>
      </w:r>
      <w:r w:rsidR="00364F26">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Section 6314 of the Anti-Money Laundering Act of 2020</w:t>
      </w:r>
      <w:r>
        <w:rPr>
          <w:rStyle w:val="FootnoteReference"/>
          <w:rFonts w:ascii="Times New Roman" w:eastAsia="Times New Roman" w:hAnsi="Times New Roman" w:cs="Times New Roman"/>
          <w:sz w:val="24"/>
          <w:szCs w:val="24"/>
        </w:rPr>
        <w:footnoteReference w:id="2"/>
      </w:r>
      <w:r w:rsidR="00364F26">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and the Anti-Money Laundering Whistleblower Improvement Act.</w:t>
      </w:r>
      <w:r>
        <w:rPr>
          <w:rStyle w:val="FootnoteReference"/>
          <w:rFonts w:ascii="Times New Roman" w:eastAsia="Times New Roman" w:hAnsi="Times New Roman" w:cs="Times New Roman"/>
          <w:sz w:val="24"/>
          <w:szCs w:val="24"/>
        </w:rPr>
        <w:footnoteReference w:id="3"/>
      </w:r>
      <w:r w:rsidRPr="207A3F4C">
        <w:rPr>
          <w:rFonts w:ascii="Times New Roman" w:eastAsia="Times New Roman" w:hAnsi="Times New Roman" w:cs="Times New Roman"/>
          <w:sz w:val="24"/>
          <w:szCs w:val="24"/>
        </w:rPr>
        <w:t xml:space="preserve"> </w:t>
      </w:r>
    </w:p>
    <w:p w:rsidR="0041401A" w:rsidP="002C5C78" w14:paraId="3A791F18" w14:textId="658AC942">
      <w:pPr>
        <w:spacing w:after="160" w:line="276" w:lineRule="auto"/>
        <w:ind w:firstLine="720"/>
        <w:rPr>
          <w:rFonts w:ascii="Times New Roman" w:eastAsia="Times New Roman" w:hAnsi="Times New Roman" w:cs="Times New Roman"/>
          <w:sz w:val="24"/>
          <w:szCs w:val="24"/>
        </w:rPr>
      </w:pPr>
      <w:r w:rsidRPr="207A3F4C">
        <w:rPr>
          <w:rFonts w:ascii="Times New Roman" w:eastAsia="Times New Roman" w:hAnsi="Times New Roman" w:cs="Times New Roman"/>
          <w:sz w:val="24"/>
          <w:szCs w:val="24"/>
        </w:rPr>
        <w:t xml:space="preserve">The Anti-Money Laundering Act of 2020 (AMLA) amended the Bank Secrecy Act </w:t>
      </w:r>
      <w:r w:rsidR="00C63408">
        <w:rPr>
          <w:rFonts w:ascii="Times New Roman" w:eastAsia="Times New Roman" w:hAnsi="Times New Roman" w:cs="Times New Roman"/>
          <w:sz w:val="24"/>
          <w:szCs w:val="24"/>
        </w:rPr>
        <w:t>at 31 U.S.C. 5323 to</w:t>
      </w:r>
      <w:r w:rsidRPr="207A3F4C">
        <w:rPr>
          <w:rFonts w:ascii="Times New Roman" w:eastAsia="Times New Roman" w:hAnsi="Times New Roman" w:cs="Times New Roman"/>
          <w:sz w:val="24"/>
          <w:szCs w:val="24"/>
        </w:rPr>
        <w:t xml:space="preserve"> establish a</w:t>
      </w:r>
      <w:r w:rsidR="00C63408">
        <w:rPr>
          <w:rFonts w:ascii="Times New Roman" w:eastAsia="Times New Roman" w:hAnsi="Times New Roman" w:cs="Times New Roman"/>
          <w:sz w:val="24"/>
          <w:szCs w:val="24"/>
        </w:rPr>
        <w:t xml:space="preserve"> whistleblower </w:t>
      </w:r>
      <w:r w:rsidRPr="207A3F4C">
        <w:rPr>
          <w:rFonts w:ascii="Times New Roman" w:eastAsia="Times New Roman" w:hAnsi="Times New Roman" w:cs="Times New Roman"/>
          <w:sz w:val="24"/>
          <w:szCs w:val="24"/>
        </w:rPr>
        <w:t>program administered by FinCEN.</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 </w:t>
      </w:r>
      <w:r w:rsidR="00C63408">
        <w:rPr>
          <w:rFonts w:ascii="Times New Roman" w:eastAsia="Times New Roman" w:hAnsi="Times New Roman" w:cs="Times New Roman"/>
          <w:sz w:val="24"/>
          <w:szCs w:val="24"/>
        </w:rPr>
        <w:t>Accordingly, p</w:t>
      </w:r>
      <w:r w:rsidR="002C5C78">
        <w:rPr>
          <w:rFonts w:ascii="Times New Roman" w:eastAsia="Times New Roman" w:hAnsi="Times New Roman" w:cs="Times New Roman"/>
          <w:sz w:val="24"/>
          <w:szCs w:val="24"/>
        </w:rPr>
        <w:t>ursuant to</w:t>
      </w:r>
      <w:r w:rsidR="00972987">
        <w:rPr>
          <w:rFonts w:ascii="Times New Roman" w:eastAsia="Times New Roman" w:hAnsi="Times New Roman" w:cs="Times New Roman"/>
          <w:sz w:val="24"/>
          <w:szCs w:val="24"/>
        </w:rPr>
        <w:t xml:space="preserve"> 31 U.S.C. 5323</w:t>
      </w:r>
      <w:r w:rsidRPr="207A3F4C">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w:t>
      </w:r>
      <w:r w:rsidRPr="207A3F4C">
        <w:rPr>
          <w:rFonts w:ascii="Times New Roman" w:eastAsia="Times New Roman" w:hAnsi="Times New Roman" w:cs="Times New Roman"/>
          <w:sz w:val="24"/>
          <w:szCs w:val="24"/>
        </w:rPr>
        <w:t>as further amended by the Anti-Money Laundering Whistleblower Improvement Act</w:t>
      </w:r>
      <w:r w:rsidR="005A0634">
        <w:rPr>
          <w:rFonts w:ascii="Times New Roman" w:eastAsia="Times New Roman" w:hAnsi="Times New Roman" w:cs="Times New Roman"/>
          <w:sz w:val="24"/>
          <w:szCs w:val="24"/>
        </w:rPr>
        <w:t>)</w:t>
      </w:r>
      <w:r w:rsidRPr="207A3F4C">
        <w:rPr>
          <w:rFonts w:ascii="Times New Roman" w:eastAsia="Times New Roman" w:hAnsi="Times New Roman" w:cs="Times New Roman"/>
          <w:sz w:val="24"/>
          <w:szCs w:val="24"/>
        </w:rPr>
        <w:t>, FinCEN is proposing a rule to</w:t>
      </w:r>
      <w:r w:rsidR="00CB404E">
        <w:rPr>
          <w:rFonts w:ascii="Times New Roman" w:eastAsia="Times New Roman" w:hAnsi="Times New Roman" w:cs="Times New Roman"/>
          <w:sz w:val="24"/>
          <w:szCs w:val="24"/>
        </w:rPr>
        <w:t xml:space="preserve"> fully</w:t>
      </w:r>
      <w:r w:rsidRPr="207A3F4C">
        <w:rPr>
          <w:rFonts w:ascii="Times New Roman" w:eastAsia="Times New Roman" w:hAnsi="Times New Roman" w:cs="Times New Roman"/>
          <w:sz w:val="24"/>
          <w:szCs w:val="24"/>
        </w:rPr>
        <w:t xml:space="preserve"> implement the FinCEN </w:t>
      </w:r>
      <w:r w:rsidR="00C63408">
        <w:rPr>
          <w:rFonts w:ascii="Times New Roman" w:eastAsia="Times New Roman" w:hAnsi="Times New Roman" w:cs="Times New Roman"/>
          <w:sz w:val="24"/>
          <w:szCs w:val="24"/>
        </w:rPr>
        <w:t>w</w:t>
      </w:r>
      <w:r w:rsidRPr="207A3F4C">
        <w:rPr>
          <w:rFonts w:ascii="Times New Roman" w:eastAsia="Times New Roman" w:hAnsi="Times New Roman" w:cs="Times New Roman"/>
          <w:sz w:val="24"/>
          <w:szCs w:val="24"/>
        </w:rPr>
        <w:t xml:space="preserve">histleblower </w:t>
      </w:r>
      <w:r w:rsidR="00C63408">
        <w:rPr>
          <w:rFonts w:ascii="Times New Roman" w:eastAsia="Times New Roman" w:hAnsi="Times New Roman" w:cs="Times New Roman"/>
          <w:sz w:val="24"/>
          <w:szCs w:val="24"/>
        </w:rPr>
        <w:t>p</w:t>
      </w:r>
      <w:r w:rsidRPr="207A3F4C">
        <w:rPr>
          <w:rFonts w:ascii="Times New Roman" w:eastAsia="Times New Roman" w:hAnsi="Times New Roman" w:cs="Times New Roman"/>
          <w:sz w:val="24"/>
          <w:szCs w:val="24"/>
        </w:rPr>
        <w:t>rogram</w:t>
      </w:r>
      <w:r w:rsidR="00BF74CA">
        <w:rPr>
          <w:rFonts w:ascii="Times New Roman" w:eastAsia="Times New Roman" w:hAnsi="Times New Roman" w:cs="Times New Roman"/>
          <w:sz w:val="24"/>
          <w:szCs w:val="24"/>
        </w:rPr>
        <w:t xml:space="preserve"> (Whistleblower NPRM)</w:t>
      </w:r>
      <w:r w:rsidR="00C63408">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4"/>
      </w:r>
      <w:r w:rsidRPr="207A3F4C">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FinCEN assesses that this rule would </w:t>
      </w:r>
      <w:r w:rsidRPr="0041401A">
        <w:rPr>
          <w:rFonts w:ascii="Times New Roman" w:eastAsia="Times New Roman" w:hAnsi="Times New Roman" w:cs="Times New Roman"/>
          <w:sz w:val="24"/>
          <w:szCs w:val="24"/>
        </w:rPr>
        <w:t xml:space="preserve">improve efforts to safeguard the U.S. financial system from illicit use, promote national security, and combat money laundering, terrorist financing, proliferation financing, and related crimes. </w:t>
      </w:r>
    </w:p>
    <w:p w:rsidR="00041100" w:rsidP="002C5C78" w14:paraId="274CFE84" w14:textId="0FA4278B">
      <w:pPr>
        <w:spacing w:after="160" w:line="276" w:lineRule="auto"/>
        <w:ind w:firstLine="720"/>
      </w:pPr>
      <w:r>
        <w:rPr>
          <w:rFonts w:ascii="Times New Roman" w:eastAsia="Times New Roman" w:hAnsi="Times New Roman" w:cs="Times New Roman"/>
          <w:sz w:val="24"/>
          <w:szCs w:val="24"/>
        </w:rPr>
        <w:t>As proposed, t</w:t>
      </w:r>
      <w:r w:rsidRPr="207A3F4C">
        <w:rPr>
          <w:rFonts w:ascii="Times New Roman" w:eastAsia="Times New Roman" w:hAnsi="Times New Roman" w:cs="Times New Roman"/>
          <w:sz w:val="24"/>
          <w:szCs w:val="24"/>
        </w:rPr>
        <w:t xml:space="preserve">he rule </w:t>
      </w:r>
      <w:r w:rsidR="00190D5D">
        <w:rPr>
          <w:rFonts w:ascii="Times New Roman" w:eastAsia="Times New Roman" w:hAnsi="Times New Roman" w:cs="Times New Roman"/>
          <w:sz w:val="24"/>
          <w:szCs w:val="24"/>
        </w:rPr>
        <w:t xml:space="preserve">would set out the process for </w:t>
      </w:r>
      <w:r w:rsidRPr="207A3F4C">
        <w:rPr>
          <w:rFonts w:ascii="Times New Roman" w:eastAsia="Times New Roman" w:hAnsi="Times New Roman" w:cs="Times New Roman"/>
          <w:sz w:val="24"/>
          <w:szCs w:val="24"/>
        </w:rPr>
        <w:t xml:space="preserve">individuals </w:t>
      </w:r>
      <w:r w:rsidR="00190D5D">
        <w:rPr>
          <w:rFonts w:ascii="Times New Roman" w:eastAsia="Times New Roman" w:hAnsi="Times New Roman" w:cs="Times New Roman"/>
          <w:sz w:val="24"/>
          <w:szCs w:val="24"/>
        </w:rPr>
        <w:t>to</w:t>
      </w:r>
      <w:r w:rsidRPr="207A3F4C">
        <w:rPr>
          <w:rFonts w:ascii="Times New Roman" w:eastAsia="Times New Roman" w:hAnsi="Times New Roman" w:cs="Times New Roman"/>
          <w:sz w:val="24"/>
          <w:szCs w:val="24"/>
        </w:rPr>
        <w:t xml:space="preserve"> voluntarily submit original information relating to violations </w:t>
      </w:r>
      <w:r w:rsidR="00651117">
        <w:rPr>
          <w:rFonts w:ascii="Times New Roman" w:eastAsia="Times New Roman" w:hAnsi="Times New Roman" w:cs="Times New Roman"/>
          <w:sz w:val="24"/>
          <w:szCs w:val="24"/>
        </w:rPr>
        <w:t>or conspiracies to violate</w:t>
      </w:r>
      <w:r w:rsidRPr="207A3F4C">
        <w:rPr>
          <w:rFonts w:ascii="Times New Roman" w:eastAsia="Times New Roman" w:hAnsi="Times New Roman" w:cs="Times New Roman"/>
          <w:sz w:val="24"/>
          <w:szCs w:val="24"/>
        </w:rPr>
        <w:t xml:space="preserve"> the Bank Secrecy Act (BSA), the International Emergency Economic Powers Act (IEEPA), the Trading with the Enemy Act of 1917 (TWEA), and the Foreign Narcotics Kingpin Act (Kingpin Act) (collectively, the </w:t>
      </w:r>
      <w:r w:rsidR="00CB404E">
        <w:rPr>
          <w:rFonts w:ascii="Times New Roman" w:eastAsia="Times New Roman" w:hAnsi="Times New Roman" w:cs="Times New Roman"/>
          <w:sz w:val="24"/>
          <w:szCs w:val="24"/>
        </w:rPr>
        <w:t>“</w:t>
      </w:r>
      <w:r w:rsidR="00175187">
        <w:rPr>
          <w:rFonts w:ascii="Times New Roman" w:eastAsia="Times New Roman" w:hAnsi="Times New Roman" w:cs="Times New Roman"/>
          <w:sz w:val="24"/>
          <w:szCs w:val="24"/>
        </w:rPr>
        <w:t>c</w:t>
      </w:r>
      <w:r w:rsidRPr="207A3F4C">
        <w:rPr>
          <w:rFonts w:ascii="Times New Roman" w:eastAsia="Times New Roman" w:hAnsi="Times New Roman" w:cs="Times New Roman"/>
          <w:sz w:val="24"/>
          <w:szCs w:val="24"/>
        </w:rPr>
        <w:t xml:space="preserve">overed </w:t>
      </w:r>
      <w:r w:rsidR="00175187">
        <w:rPr>
          <w:rFonts w:ascii="Times New Roman" w:eastAsia="Times New Roman" w:hAnsi="Times New Roman" w:cs="Times New Roman"/>
          <w:sz w:val="24"/>
          <w:szCs w:val="24"/>
        </w:rPr>
        <w:t>s</w:t>
      </w:r>
      <w:r w:rsidRPr="207A3F4C">
        <w:rPr>
          <w:rFonts w:ascii="Times New Roman" w:eastAsia="Times New Roman" w:hAnsi="Times New Roman" w:cs="Times New Roman"/>
          <w:sz w:val="24"/>
          <w:szCs w:val="24"/>
        </w:rPr>
        <w:t>tatutes</w:t>
      </w:r>
      <w:r w:rsidR="00CB404E">
        <w:rPr>
          <w:rFonts w:ascii="Times New Roman" w:eastAsia="Times New Roman" w:hAnsi="Times New Roman" w:cs="Times New Roman"/>
          <w:sz w:val="24"/>
          <w:szCs w:val="24"/>
        </w:rPr>
        <w:t>”</w:t>
      </w:r>
      <w:r w:rsidRPr="207A3F4C">
        <w:rPr>
          <w:rFonts w:ascii="Times New Roman" w:eastAsia="Times New Roman" w:hAnsi="Times New Roman" w:cs="Times New Roman"/>
          <w:sz w:val="24"/>
          <w:szCs w:val="24"/>
        </w:rPr>
        <w:t>), as well as</w:t>
      </w:r>
      <w:r w:rsidR="00EA2921">
        <w:rPr>
          <w:rFonts w:ascii="Times New Roman" w:eastAsia="Times New Roman" w:hAnsi="Times New Roman" w:cs="Times New Roman"/>
          <w:sz w:val="24"/>
          <w:szCs w:val="24"/>
        </w:rPr>
        <w:t xml:space="preserve"> a process</w:t>
      </w:r>
      <w:r w:rsidRPr="207A3F4C">
        <w:rPr>
          <w:rFonts w:ascii="Times New Roman" w:eastAsia="Times New Roman" w:hAnsi="Times New Roman" w:cs="Times New Roman"/>
          <w:sz w:val="24"/>
          <w:szCs w:val="24"/>
        </w:rPr>
        <w:t xml:space="preserve"> f</w:t>
      </w:r>
      <w:r w:rsidR="00EA2921">
        <w:rPr>
          <w:rFonts w:ascii="Times New Roman" w:eastAsia="Times New Roman" w:hAnsi="Times New Roman" w:cs="Times New Roman"/>
          <w:sz w:val="24"/>
          <w:szCs w:val="24"/>
        </w:rPr>
        <w:t>or</w:t>
      </w:r>
      <w:r w:rsidRPr="207A3F4C">
        <w:rPr>
          <w:rFonts w:ascii="Times New Roman" w:eastAsia="Times New Roman" w:hAnsi="Times New Roman" w:cs="Times New Roman"/>
          <w:sz w:val="24"/>
          <w:szCs w:val="24"/>
        </w:rPr>
        <w:t xml:space="preserve"> individuals </w:t>
      </w:r>
      <w:r w:rsidR="00EA2921">
        <w:rPr>
          <w:rFonts w:ascii="Times New Roman" w:eastAsia="Times New Roman" w:hAnsi="Times New Roman" w:cs="Times New Roman"/>
          <w:sz w:val="24"/>
          <w:szCs w:val="24"/>
        </w:rPr>
        <w:t>to submit applications for</w:t>
      </w:r>
      <w:r w:rsidRPr="207A3F4C">
        <w:rPr>
          <w:rFonts w:ascii="Times New Roman" w:eastAsia="Times New Roman" w:hAnsi="Times New Roman" w:cs="Times New Roman"/>
          <w:sz w:val="24"/>
          <w:szCs w:val="24"/>
        </w:rPr>
        <w:t xml:space="preserve"> </w:t>
      </w:r>
      <w:r w:rsidR="00EA2921">
        <w:rPr>
          <w:rFonts w:ascii="Times New Roman" w:eastAsia="Times New Roman" w:hAnsi="Times New Roman" w:cs="Times New Roman"/>
          <w:sz w:val="24"/>
          <w:szCs w:val="24"/>
        </w:rPr>
        <w:t xml:space="preserve">monetary </w:t>
      </w:r>
      <w:r w:rsidRPr="207A3F4C">
        <w:rPr>
          <w:rFonts w:ascii="Times New Roman" w:eastAsia="Times New Roman" w:hAnsi="Times New Roman" w:cs="Times New Roman"/>
          <w:sz w:val="24"/>
          <w:szCs w:val="24"/>
        </w:rPr>
        <w:t xml:space="preserve">whistleblower awards. </w:t>
      </w:r>
      <w:r w:rsidR="007632F6">
        <w:rPr>
          <w:rFonts w:ascii="Times New Roman" w:eastAsia="Times New Roman" w:hAnsi="Times New Roman" w:cs="Times New Roman"/>
          <w:sz w:val="24"/>
          <w:szCs w:val="24"/>
        </w:rPr>
        <w:t xml:space="preserve"> </w:t>
      </w:r>
      <w:r w:rsidR="00190D5D">
        <w:rPr>
          <w:rFonts w:ascii="Times New Roman" w:eastAsia="Times New Roman" w:hAnsi="Times New Roman" w:cs="Times New Roman"/>
          <w:sz w:val="24"/>
          <w:szCs w:val="24"/>
        </w:rPr>
        <w:t xml:space="preserve">Both </w:t>
      </w:r>
      <w:r w:rsidR="00EA2921">
        <w:rPr>
          <w:rFonts w:ascii="Times New Roman" w:eastAsia="Times New Roman" w:hAnsi="Times New Roman" w:cs="Times New Roman"/>
          <w:sz w:val="24"/>
          <w:szCs w:val="24"/>
        </w:rPr>
        <w:t xml:space="preserve">processes </w:t>
      </w:r>
      <w:r w:rsidR="00736636">
        <w:rPr>
          <w:rFonts w:ascii="Times New Roman" w:eastAsia="Times New Roman" w:hAnsi="Times New Roman" w:cs="Times New Roman"/>
          <w:sz w:val="24"/>
          <w:szCs w:val="24"/>
        </w:rPr>
        <w:t xml:space="preserve">require a </w:t>
      </w:r>
      <w:r w:rsidR="00190D5D">
        <w:rPr>
          <w:rFonts w:ascii="Times New Roman" w:eastAsia="Times New Roman" w:hAnsi="Times New Roman" w:cs="Times New Roman"/>
          <w:sz w:val="24"/>
          <w:szCs w:val="24"/>
        </w:rPr>
        <w:t xml:space="preserve">collection of information by FinCEN. </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The information collect</w:t>
      </w:r>
      <w:r w:rsidR="007C18FF">
        <w:rPr>
          <w:rFonts w:ascii="Times New Roman" w:eastAsia="Times New Roman" w:hAnsi="Times New Roman" w:cs="Times New Roman"/>
          <w:sz w:val="24"/>
          <w:szCs w:val="24"/>
        </w:rPr>
        <w:t>ion</w:t>
      </w:r>
      <w:r w:rsidRPr="207A3F4C">
        <w:rPr>
          <w:rFonts w:ascii="Times New Roman" w:eastAsia="Times New Roman" w:hAnsi="Times New Roman" w:cs="Times New Roman"/>
          <w:sz w:val="24"/>
          <w:szCs w:val="24"/>
        </w:rPr>
        <w:t xml:space="preserve"> is necessary for FinCEN to receive whistleblower tips, assess the credibility and relevance of submitted information, communicate with whistleblowers as appropriate, and administer the whistleblower award process in accordance with statutory requirements. </w:t>
      </w:r>
    </w:p>
    <w:p w:rsidR="00041100" w:rsidP="207A3F4C" w14:paraId="6283CE39" w14:textId="1ED2304C">
      <w:pPr>
        <w:spacing w:after="160" w:line="276" w:lineRule="auto"/>
      </w:pPr>
      <w:r w:rsidRPr="207A3F4C">
        <w:rPr>
          <w:rFonts w:ascii="Times New Roman" w:eastAsia="Times New Roman" w:hAnsi="Times New Roman" w:cs="Times New Roman"/>
          <w:sz w:val="24"/>
          <w:szCs w:val="24"/>
        </w:rPr>
        <w:t xml:space="preserve">2. </w:t>
      </w:r>
      <w:r w:rsidRPr="207A3F4C">
        <w:rPr>
          <w:rFonts w:ascii="Times New Roman" w:eastAsia="Times New Roman" w:hAnsi="Times New Roman" w:cs="Times New Roman"/>
          <w:sz w:val="24"/>
          <w:szCs w:val="24"/>
          <w:u w:val="single"/>
        </w:rPr>
        <w:t>Method of collection and use of data.</w:t>
      </w:r>
      <w:r w:rsidRPr="207A3F4C">
        <w:rPr>
          <w:rFonts w:ascii="Times New Roman" w:eastAsia="Times New Roman" w:hAnsi="Times New Roman" w:cs="Times New Roman"/>
          <w:sz w:val="24"/>
          <w:szCs w:val="24"/>
        </w:rPr>
        <w:t xml:space="preserve"> </w:t>
      </w:r>
    </w:p>
    <w:p w:rsidR="00041100" w:rsidP="00C70175" w14:paraId="3E8E9C22" w14:textId="49DD6781">
      <w:pPr>
        <w:spacing w:after="160" w:line="276" w:lineRule="auto"/>
        <w:ind w:firstLine="720"/>
      </w:pPr>
      <w:r w:rsidRPr="21F9BD2D">
        <w:rPr>
          <w:rFonts w:ascii="Times New Roman" w:eastAsia="Times New Roman" w:hAnsi="Times New Roman" w:cs="Times New Roman"/>
          <w:sz w:val="24"/>
          <w:szCs w:val="24"/>
        </w:rPr>
        <w:t>Under the proposed rule, FinCEN would collect information voluntarily submitted by individuals</w:t>
      </w:r>
      <w:r w:rsidRPr="21F9BD2D" w:rsidR="6CFD980C">
        <w:rPr>
          <w:rFonts w:ascii="Times New Roman" w:eastAsia="Times New Roman" w:hAnsi="Times New Roman" w:cs="Times New Roman"/>
          <w:sz w:val="24"/>
          <w:szCs w:val="24"/>
        </w:rPr>
        <w:t xml:space="preserve"> or their attorneys</w:t>
      </w:r>
      <w:r w:rsidRPr="21F9BD2D" w:rsidR="76A89F0D">
        <w:rPr>
          <w:rFonts w:ascii="Times New Roman" w:eastAsia="Times New Roman" w:hAnsi="Times New Roman" w:cs="Times New Roman"/>
          <w:sz w:val="24"/>
          <w:szCs w:val="24"/>
        </w:rPr>
        <w:t xml:space="preserve"> through designated electronic submission mechanisms. </w:t>
      </w:r>
      <w:r w:rsidR="005A0634">
        <w:rPr>
          <w:rFonts w:ascii="Times New Roman" w:eastAsia="Times New Roman" w:hAnsi="Times New Roman" w:cs="Times New Roman"/>
          <w:sz w:val="24"/>
          <w:szCs w:val="24"/>
        </w:rPr>
        <w:t xml:space="preserve"> </w:t>
      </w:r>
      <w:r w:rsidRPr="21F9BD2D" w:rsidR="76A89F0D">
        <w:rPr>
          <w:rFonts w:ascii="Times New Roman" w:eastAsia="Times New Roman" w:hAnsi="Times New Roman" w:cs="Times New Roman"/>
          <w:sz w:val="24"/>
          <w:szCs w:val="24"/>
        </w:rPr>
        <w:t xml:space="preserve">The </w:t>
      </w:r>
      <w:r w:rsidRPr="21F9BD2D" w:rsidR="76A89F0D">
        <w:rPr>
          <w:rFonts w:ascii="Times New Roman" w:eastAsia="Times New Roman" w:hAnsi="Times New Roman" w:cs="Times New Roman"/>
          <w:sz w:val="24"/>
          <w:szCs w:val="24"/>
        </w:rPr>
        <w:t xml:space="preserve">information collection consists of two primary </w:t>
      </w:r>
      <w:r w:rsidRPr="21F9BD2D" w:rsidR="4E78314A">
        <w:rPr>
          <w:rFonts w:ascii="Times New Roman" w:eastAsia="Times New Roman" w:hAnsi="Times New Roman" w:cs="Times New Roman"/>
          <w:sz w:val="24"/>
          <w:szCs w:val="24"/>
        </w:rPr>
        <w:t>components</w:t>
      </w:r>
      <w:r w:rsidRPr="21F9BD2D" w:rsidR="76A89F0D">
        <w:rPr>
          <w:rFonts w:ascii="Times New Roman" w:eastAsia="Times New Roman" w:hAnsi="Times New Roman" w:cs="Times New Roman"/>
          <w:sz w:val="24"/>
          <w:szCs w:val="24"/>
        </w:rPr>
        <w:t xml:space="preserve">: (1) whistleblower submissions of original information relating to potential violations of the </w:t>
      </w:r>
      <w:r w:rsidR="00163ACF">
        <w:rPr>
          <w:rFonts w:ascii="Times New Roman" w:eastAsia="Times New Roman" w:hAnsi="Times New Roman" w:cs="Times New Roman"/>
          <w:sz w:val="24"/>
          <w:szCs w:val="24"/>
        </w:rPr>
        <w:t>c</w:t>
      </w:r>
      <w:r w:rsidRPr="21F9BD2D" w:rsidR="76A89F0D">
        <w:rPr>
          <w:rFonts w:ascii="Times New Roman" w:eastAsia="Times New Roman" w:hAnsi="Times New Roman" w:cs="Times New Roman"/>
          <w:sz w:val="24"/>
          <w:szCs w:val="24"/>
        </w:rPr>
        <w:t xml:space="preserve">overed </w:t>
      </w:r>
      <w:r w:rsidR="00163ACF">
        <w:rPr>
          <w:rFonts w:ascii="Times New Roman" w:eastAsia="Times New Roman" w:hAnsi="Times New Roman" w:cs="Times New Roman"/>
          <w:sz w:val="24"/>
          <w:szCs w:val="24"/>
        </w:rPr>
        <w:t>s</w:t>
      </w:r>
      <w:r w:rsidRPr="21F9BD2D" w:rsidR="76A89F0D">
        <w:rPr>
          <w:rFonts w:ascii="Times New Roman" w:eastAsia="Times New Roman" w:hAnsi="Times New Roman" w:cs="Times New Roman"/>
          <w:sz w:val="24"/>
          <w:szCs w:val="24"/>
        </w:rPr>
        <w:t>tat</w:t>
      </w:r>
      <w:r w:rsidR="00163ACF">
        <w:rPr>
          <w:rFonts w:ascii="Times New Roman" w:eastAsia="Times New Roman" w:hAnsi="Times New Roman" w:cs="Times New Roman"/>
          <w:sz w:val="24"/>
          <w:szCs w:val="24"/>
        </w:rPr>
        <w:t>ute</w:t>
      </w:r>
      <w:r w:rsidRPr="21F9BD2D" w:rsidR="76A89F0D">
        <w:rPr>
          <w:rFonts w:ascii="Times New Roman" w:eastAsia="Times New Roman" w:hAnsi="Times New Roman" w:cs="Times New Roman"/>
          <w:sz w:val="24"/>
          <w:szCs w:val="24"/>
        </w:rPr>
        <w:t>s</w:t>
      </w:r>
      <w:r w:rsidR="005A0634">
        <w:rPr>
          <w:rFonts w:ascii="Times New Roman" w:eastAsia="Times New Roman" w:hAnsi="Times New Roman" w:cs="Times New Roman"/>
          <w:sz w:val="24"/>
          <w:szCs w:val="24"/>
        </w:rPr>
        <w:t>;</w:t>
      </w:r>
      <w:r w:rsidRPr="21F9BD2D" w:rsidR="76A89F0D">
        <w:rPr>
          <w:rFonts w:ascii="Times New Roman" w:eastAsia="Times New Roman" w:hAnsi="Times New Roman" w:cs="Times New Roman"/>
          <w:sz w:val="24"/>
          <w:szCs w:val="24"/>
        </w:rPr>
        <w:t xml:space="preserve"> and (2) applications for whistleblower awards.</w:t>
      </w:r>
      <w:r w:rsidRPr="21F9BD2D">
        <w:rPr>
          <w:rFonts w:ascii="Times New Roman" w:eastAsia="Times New Roman" w:hAnsi="Times New Roman" w:cs="Times New Roman"/>
          <w:sz w:val="24"/>
          <w:szCs w:val="24"/>
        </w:rPr>
        <w:t xml:space="preserve"> </w:t>
      </w:r>
    </w:p>
    <w:p w:rsidR="009B0BF6" w:rsidP="00355AEB" w14:paraId="22C2D61B" w14:textId="13103B1B">
      <w:pPr>
        <w:spacing w:after="160" w:line="276"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under the proposed rule, </w:t>
      </w:r>
      <w:r>
        <w:rPr>
          <w:rFonts w:ascii="Times New Roman" w:eastAsia="Times New Roman" w:hAnsi="Times New Roman" w:cs="Times New Roman"/>
          <w:sz w:val="24"/>
          <w:szCs w:val="24"/>
        </w:rPr>
        <w:t>i</w:t>
      </w:r>
      <w:r w:rsidRPr="21F9BD2D" w:rsidR="5C917317">
        <w:rPr>
          <w:rFonts w:ascii="Times New Roman" w:eastAsia="Times New Roman" w:hAnsi="Times New Roman" w:cs="Times New Roman"/>
          <w:sz w:val="24"/>
          <w:szCs w:val="24"/>
        </w:rPr>
        <w:t>ndividuals</w:t>
      </w:r>
      <w:r>
        <w:rPr>
          <w:rFonts w:ascii="Times New Roman" w:eastAsia="Times New Roman" w:hAnsi="Times New Roman" w:cs="Times New Roman"/>
          <w:sz w:val="24"/>
          <w:szCs w:val="24"/>
        </w:rPr>
        <w:t xml:space="preserve"> would</w:t>
      </w:r>
      <w:r w:rsidRPr="21F9BD2D" w:rsidR="5C917317">
        <w:rPr>
          <w:rFonts w:ascii="Times New Roman" w:eastAsia="Times New Roman" w:hAnsi="Times New Roman" w:cs="Times New Roman"/>
          <w:sz w:val="24"/>
          <w:szCs w:val="24"/>
        </w:rPr>
        <w:t xml:space="preserve"> </w:t>
      </w:r>
      <w:r w:rsidRPr="21F9BD2D" w:rsidR="1944B3E3">
        <w:rPr>
          <w:rFonts w:ascii="Times New Roman" w:eastAsia="Times New Roman" w:hAnsi="Times New Roman" w:cs="Times New Roman"/>
          <w:sz w:val="24"/>
          <w:szCs w:val="24"/>
        </w:rPr>
        <w:t xml:space="preserve">use </w:t>
      </w:r>
      <w:r w:rsidR="00840BCA">
        <w:rPr>
          <w:rFonts w:ascii="Times New Roman" w:eastAsia="Times New Roman" w:hAnsi="Times New Roman" w:cs="Times New Roman"/>
          <w:sz w:val="24"/>
          <w:szCs w:val="24"/>
        </w:rPr>
        <w:t xml:space="preserve">the proposed </w:t>
      </w:r>
      <w:r w:rsidRPr="21F9BD2D" w:rsidR="00041100">
        <w:rPr>
          <w:rFonts w:ascii="Times New Roman" w:eastAsia="Times New Roman" w:hAnsi="Times New Roman" w:cs="Times New Roman"/>
          <w:sz w:val="24"/>
          <w:szCs w:val="24"/>
        </w:rPr>
        <w:t xml:space="preserve">“Tip, Complaint, or Referral” form, or a successor form, </w:t>
      </w:r>
      <w:r w:rsidRPr="21F9BD2D" w:rsidR="385EF62A">
        <w:rPr>
          <w:rFonts w:ascii="Times New Roman" w:eastAsia="Times New Roman" w:hAnsi="Times New Roman" w:cs="Times New Roman"/>
          <w:sz w:val="24"/>
          <w:szCs w:val="24"/>
        </w:rPr>
        <w:t>to submit original information</w:t>
      </w:r>
      <w:r w:rsidRPr="21F9BD2D" w:rsidR="255302E6">
        <w:rPr>
          <w:rFonts w:ascii="Times New Roman" w:eastAsia="Times New Roman" w:hAnsi="Times New Roman" w:cs="Times New Roman"/>
          <w:sz w:val="24"/>
          <w:szCs w:val="24"/>
        </w:rPr>
        <w:t xml:space="preserve"> relating to violations of the </w:t>
      </w:r>
      <w:r w:rsidR="008766C7">
        <w:rPr>
          <w:rFonts w:ascii="Times New Roman" w:eastAsia="Times New Roman" w:hAnsi="Times New Roman" w:cs="Times New Roman"/>
          <w:sz w:val="24"/>
          <w:szCs w:val="24"/>
        </w:rPr>
        <w:t>c</w:t>
      </w:r>
      <w:r w:rsidRPr="21F9BD2D" w:rsidR="255302E6">
        <w:rPr>
          <w:rFonts w:ascii="Times New Roman" w:eastAsia="Times New Roman" w:hAnsi="Times New Roman" w:cs="Times New Roman"/>
          <w:sz w:val="24"/>
          <w:szCs w:val="24"/>
        </w:rPr>
        <w:t xml:space="preserve">overed </w:t>
      </w:r>
      <w:r w:rsidR="008766C7">
        <w:rPr>
          <w:rFonts w:ascii="Times New Roman" w:eastAsia="Times New Roman" w:hAnsi="Times New Roman" w:cs="Times New Roman"/>
          <w:sz w:val="24"/>
          <w:szCs w:val="24"/>
        </w:rPr>
        <w:t>s</w:t>
      </w:r>
      <w:r w:rsidRPr="21F9BD2D" w:rsidR="255302E6">
        <w:rPr>
          <w:rFonts w:ascii="Times New Roman" w:eastAsia="Times New Roman" w:hAnsi="Times New Roman" w:cs="Times New Roman"/>
          <w:sz w:val="24"/>
          <w:szCs w:val="24"/>
        </w:rPr>
        <w:t>tatutes</w:t>
      </w:r>
      <w:r w:rsidRPr="21F9BD2D" w:rsidR="00041100">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Pr="21F9BD2D" w:rsidR="00041100">
        <w:rPr>
          <w:rFonts w:ascii="Times New Roman" w:eastAsia="Times New Roman" w:hAnsi="Times New Roman" w:cs="Times New Roman"/>
          <w:sz w:val="24"/>
          <w:szCs w:val="24"/>
        </w:rPr>
        <w:t xml:space="preserve">The form would be submitted to FinCEN through a secure online portal. </w:t>
      </w:r>
      <w:r w:rsidR="005A0634">
        <w:rPr>
          <w:rFonts w:ascii="Times New Roman" w:eastAsia="Times New Roman" w:hAnsi="Times New Roman" w:cs="Times New Roman"/>
          <w:sz w:val="24"/>
          <w:szCs w:val="24"/>
        </w:rPr>
        <w:t xml:space="preserve"> </w:t>
      </w:r>
      <w:r w:rsidRPr="21F9BD2D" w:rsidR="00041100">
        <w:rPr>
          <w:rFonts w:ascii="Times New Roman" w:eastAsia="Times New Roman" w:hAnsi="Times New Roman" w:cs="Times New Roman"/>
          <w:sz w:val="24"/>
          <w:szCs w:val="24"/>
        </w:rPr>
        <w:t>The initial submission of information via a standardized form would enable FinCEN to receive, review, and track each whistleblower’s submission.</w:t>
      </w:r>
      <w:r>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Furthermore, under the proposed rule, i</w:t>
      </w:r>
      <w:r w:rsidRPr="21F9BD2D" w:rsidR="6EA298B4">
        <w:rPr>
          <w:rFonts w:ascii="Times New Roman" w:eastAsia="Times New Roman" w:hAnsi="Times New Roman" w:cs="Times New Roman"/>
          <w:sz w:val="24"/>
          <w:szCs w:val="24"/>
        </w:rPr>
        <w:t xml:space="preserve">ndividuals who seek consideration for a whistleblower award </w:t>
      </w:r>
      <w:r w:rsidR="00840BCA">
        <w:rPr>
          <w:rFonts w:ascii="Times New Roman" w:eastAsia="Times New Roman" w:hAnsi="Times New Roman" w:cs="Times New Roman"/>
          <w:sz w:val="24"/>
          <w:szCs w:val="24"/>
        </w:rPr>
        <w:t>would then be required to</w:t>
      </w:r>
      <w:r w:rsidRPr="21F9BD2D" w:rsidR="6EA298B4">
        <w:rPr>
          <w:rFonts w:ascii="Times New Roman" w:eastAsia="Times New Roman" w:hAnsi="Times New Roman" w:cs="Times New Roman"/>
          <w:sz w:val="24"/>
          <w:szCs w:val="24"/>
        </w:rPr>
        <w:t xml:space="preserve"> submit a separate application form</w:t>
      </w:r>
      <w:r w:rsidR="009F7DA9">
        <w:rPr>
          <w:rFonts w:ascii="Times New Roman" w:eastAsia="Times New Roman" w:hAnsi="Times New Roman" w:cs="Times New Roman"/>
          <w:sz w:val="24"/>
          <w:szCs w:val="24"/>
        </w:rPr>
        <w:t xml:space="preserve">, </w:t>
      </w:r>
      <w:r w:rsidRPr="009F7DA9" w:rsidR="009F7DA9">
        <w:rPr>
          <w:rFonts w:ascii="Times New Roman" w:eastAsia="Times New Roman" w:hAnsi="Times New Roman" w:cs="Times New Roman"/>
          <w:sz w:val="24"/>
          <w:szCs w:val="24"/>
        </w:rPr>
        <w:t xml:space="preserve">the </w:t>
      </w:r>
      <w:r w:rsidR="00840BCA">
        <w:rPr>
          <w:rFonts w:ascii="Times New Roman" w:eastAsia="Times New Roman" w:hAnsi="Times New Roman" w:cs="Times New Roman"/>
          <w:sz w:val="24"/>
          <w:szCs w:val="24"/>
        </w:rPr>
        <w:t xml:space="preserve">proposed </w:t>
      </w:r>
      <w:r w:rsidRPr="009F7DA9" w:rsidR="009F7DA9">
        <w:rPr>
          <w:rFonts w:ascii="Times New Roman" w:eastAsia="Times New Roman" w:hAnsi="Times New Roman" w:cs="Times New Roman"/>
          <w:sz w:val="24"/>
          <w:szCs w:val="24"/>
        </w:rPr>
        <w:t>“Application for Award</w:t>
      </w:r>
      <w:r w:rsidR="008A2960">
        <w:rPr>
          <w:rFonts w:ascii="Times New Roman" w:eastAsia="Times New Roman" w:hAnsi="Times New Roman" w:cs="Times New Roman"/>
          <w:sz w:val="24"/>
          <w:szCs w:val="24"/>
        </w:rPr>
        <w:t>” form</w:t>
      </w:r>
      <w:r w:rsidR="00245B0F">
        <w:rPr>
          <w:rFonts w:ascii="Times New Roman" w:eastAsia="Times New Roman" w:hAnsi="Times New Roman" w:cs="Times New Roman"/>
          <w:sz w:val="24"/>
          <w:szCs w:val="24"/>
        </w:rPr>
        <w:t>,</w:t>
      </w:r>
      <w:r w:rsidRPr="009F7DA9" w:rsidR="009F7DA9">
        <w:rPr>
          <w:rFonts w:ascii="Times New Roman" w:eastAsia="Times New Roman" w:hAnsi="Times New Roman" w:cs="Times New Roman"/>
          <w:sz w:val="24"/>
          <w:szCs w:val="24"/>
        </w:rPr>
        <w:t xml:space="preserve"> or a successor form</w:t>
      </w:r>
      <w:r w:rsidRPr="21F9BD2D" w:rsidR="6EA298B4">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Pr="21F9BD2D" w:rsidR="6EA298B4">
        <w:rPr>
          <w:rFonts w:ascii="Times New Roman" w:eastAsia="Times New Roman" w:hAnsi="Times New Roman" w:cs="Times New Roman"/>
          <w:sz w:val="24"/>
          <w:szCs w:val="24"/>
        </w:rPr>
        <w:t>The award application form</w:t>
      </w:r>
      <w:r w:rsidR="004575AA">
        <w:rPr>
          <w:rFonts w:ascii="Times New Roman" w:eastAsia="Times New Roman" w:hAnsi="Times New Roman" w:cs="Times New Roman"/>
          <w:sz w:val="24"/>
          <w:szCs w:val="24"/>
        </w:rPr>
        <w:t xml:space="preserve"> would allow FinCEN to </w:t>
      </w:r>
      <w:r w:rsidRPr="21F9BD2D" w:rsidR="6EA298B4">
        <w:rPr>
          <w:rFonts w:ascii="Times New Roman" w:eastAsia="Times New Roman" w:hAnsi="Times New Roman" w:cs="Times New Roman"/>
          <w:sz w:val="24"/>
          <w:szCs w:val="24"/>
        </w:rPr>
        <w:t xml:space="preserve">collect information necessary for </w:t>
      </w:r>
      <w:r w:rsidR="004575AA">
        <w:rPr>
          <w:rFonts w:ascii="Times New Roman" w:eastAsia="Times New Roman" w:hAnsi="Times New Roman" w:cs="Times New Roman"/>
          <w:sz w:val="24"/>
          <w:szCs w:val="24"/>
        </w:rPr>
        <w:t xml:space="preserve">it </w:t>
      </w:r>
      <w:r w:rsidRPr="21F9BD2D" w:rsidR="6EA298B4">
        <w:rPr>
          <w:rFonts w:ascii="Times New Roman" w:eastAsia="Times New Roman" w:hAnsi="Times New Roman" w:cs="Times New Roman"/>
          <w:sz w:val="24"/>
          <w:szCs w:val="24"/>
        </w:rPr>
        <w:t xml:space="preserve">to determine </w:t>
      </w:r>
      <w:r w:rsidRPr="21F9BD2D" w:rsidR="00211A00">
        <w:rPr>
          <w:rFonts w:ascii="Times New Roman" w:eastAsia="Times New Roman" w:hAnsi="Times New Roman" w:cs="Times New Roman"/>
          <w:sz w:val="24"/>
          <w:szCs w:val="24"/>
        </w:rPr>
        <w:t>eligibility</w:t>
      </w:r>
      <w:r w:rsidRPr="21F9BD2D" w:rsidR="6EA298B4">
        <w:rPr>
          <w:rFonts w:ascii="Times New Roman" w:eastAsia="Times New Roman" w:hAnsi="Times New Roman" w:cs="Times New Roman"/>
          <w:sz w:val="24"/>
          <w:szCs w:val="24"/>
        </w:rPr>
        <w:t xml:space="preserve"> for an award, including information sufficient to identify the applicant, establish the applicant’s connection to the original submission, and evaluate whether the statutory </w:t>
      </w:r>
      <w:r w:rsidR="00F05DFF">
        <w:rPr>
          <w:rFonts w:ascii="Times New Roman" w:eastAsia="Times New Roman" w:hAnsi="Times New Roman" w:cs="Times New Roman"/>
          <w:sz w:val="24"/>
          <w:szCs w:val="24"/>
        </w:rPr>
        <w:t xml:space="preserve">and regulatory </w:t>
      </w:r>
      <w:r w:rsidRPr="21F9BD2D" w:rsidR="6EA298B4">
        <w:rPr>
          <w:rFonts w:ascii="Times New Roman" w:eastAsia="Times New Roman" w:hAnsi="Times New Roman" w:cs="Times New Roman"/>
          <w:sz w:val="24"/>
          <w:szCs w:val="24"/>
        </w:rPr>
        <w:t>criteria for an award are satisfied.</w:t>
      </w:r>
      <w:r w:rsidR="009D031F">
        <w:rPr>
          <w:rFonts w:ascii="Times New Roman" w:eastAsia="Times New Roman" w:hAnsi="Times New Roman" w:cs="Times New Roman"/>
          <w:sz w:val="24"/>
          <w:szCs w:val="24"/>
        </w:rPr>
        <w:t xml:space="preserve"> </w:t>
      </w:r>
    </w:p>
    <w:p w:rsidR="00041100" w:rsidRPr="00AA00F0" w:rsidP="001A0B5A" w14:paraId="42545471" w14:textId="40B702CA">
      <w:pPr>
        <w:spacing w:after="160" w:line="276" w:lineRule="auto"/>
        <w:ind w:firstLine="720"/>
        <w:rPr>
          <w:rFonts w:ascii="Times New Roman" w:eastAsia="Times New Roman" w:hAnsi="Times New Roman" w:cs="Times New Roman"/>
          <w:sz w:val="24"/>
          <w:szCs w:val="24"/>
        </w:rPr>
      </w:pPr>
      <w:r w:rsidRPr="00355AEB">
        <w:rPr>
          <w:rFonts w:ascii="Times New Roman" w:eastAsia="Times New Roman" w:hAnsi="Times New Roman" w:cs="Times New Roman"/>
          <w:sz w:val="24"/>
          <w:szCs w:val="24"/>
        </w:rPr>
        <w:t xml:space="preserve">Generally, FinCEN would use the information collected to: evaluate the credibility, relevance, and usefulness of whistleblower submissions in potentially advancing enforcement investigations involving the </w:t>
      </w:r>
      <w:r w:rsidR="008766C7">
        <w:rPr>
          <w:rFonts w:ascii="Times New Roman" w:eastAsia="Times New Roman" w:hAnsi="Times New Roman" w:cs="Times New Roman"/>
          <w:sz w:val="24"/>
          <w:szCs w:val="24"/>
        </w:rPr>
        <w:t>c</w:t>
      </w:r>
      <w:r w:rsidRPr="00355AEB">
        <w:rPr>
          <w:rFonts w:ascii="Times New Roman" w:eastAsia="Times New Roman" w:hAnsi="Times New Roman" w:cs="Times New Roman"/>
          <w:sz w:val="24"/>
          <w:szCs w:val="24"/>
        </w:rPr>
        <w:t xml:space="preserve">overed </w:t>
      </w:r>
      <w:r w:rsidR="008766C7">
        <w:rPr>
          <w:rFonts w:ascii="Times New Roman" w:eastAsia="Times New Roman" w:hAnsi="Times New Roman" w:cs="Times New Roman"/>
          <w:sz w:val="24"/>
          <w:szCs w:val="24"/>
        </w:rPr>
        <w:t>s</w:t>
      </w:r>
      <w:r w:rsidRPr="00355AEB">
        <w:rPr>
          <w:rFonts w:ascii="Times New Roman" w:eastAsia="Times New Roman" w:hAnsi="Times New Roman" w:cs="Times New Roman"/>
          <w:sz w:val="24"/>
          <w:szCs w:val="24"/>
        </w:rPr>
        <w:t xml:space="preserve">tatutes; determine whether the information warrants further review or referral within the Department of </w:t>
      </w:r>
      <w:r w:rsidR="00D42CB2">
        <w:rPr>
          <w:rFonts w:ascii="Times New Roman" w:eastAsia="Times New Roman" w:hAnsi="Times New Roman" w:cs="Times New Roman"/>
          <w:sz w:val="24"/>
          <w:szCs w:val="24"/>
        </w:rPr>
        <w:t xml:space="preserve">the </w:t>
      </w:r>
      <w:r w:rsidRPr="00355AEB">
        <w:rPr>
          <w:rFonts w:ascii="Times New Roman" w:eastAsia="Times New Roman" w:hAnsi="Times New Roman" w:cs="Times New Roman"/>
          <w:sz w:val="24"/>
          <w:szCs w:val="24"/>
        </w:rPr>
        <w:t>Treasury (Treasury) or to the Department of Justice; communicate with whistleblowers or their attorneys as necessary regarding their submissions</w:t>
      </w:r>
      <w:r w:rsidR="00191442">
        <w:rPr>
          <w:rFonts w:ascii="Times New Roman" w:eastAsia="Times New Roman" w:hAnsi="Times New Roman" w:cs="Times New Roman"/>
          <w:sz w:val="24"/>
          <w:szCs w:val="24"/>
        </w:rPr>
        <w:t>;</w:t>
      </w:r>
      <w:r w:rsidRPr="00355AEB">
        <w:rPr>
          <w:rFonts w:ascii="Times New Roman" w:eastAsia="Times New Roman" w:hAnsi="Times New Roman" w:cs="Times New Roman"/>
          <w:sz w:val="24"/>
          <w:szCs w:val="24"/>
        </w:rPr>
        <w:t xml:space="preserve"> and administer the whistleblower award process in accordance with the proposed rule’s implementation of AMLA Section 6314 and the Anti-Money Laundering Whistleblower Improvement Act. </w:t>
      </w:r>
      <w:r w:rsidR="005A06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w:t>
      </w:r>
      <w:r w:rsidRPr="00355AEB">
        <w:rPr>
          <w:rFonts w:ascii="Times New Roman" w:eastAsia="Times New Roman" w:hAnsi="Times New Roman" w:cs="Times New Roman"/>
          <w:sz w:val="24"/>
          <w:szCs w:val="24"/>
        </w:rPr>
        <w:t>nformation</w:t>
      </w:r>
      <w:r>
        <w:rPr>
          <w:rFonts w:ascii="Times New Roman" w:eastAsia="Times New Roman" w:hAnsi="Times New Roman" w:cs="Times New Roman"/>
          <w:sz w:val="24"/>
          <w:szCs w:val="24"/>
        </w:rPr>
        <w:t xml:space="preserve"> collected</w:t>
      </w:r>
      <w:r w:rsidRPr="00355AEB">
        <w:rPr>
          <w:rFonts w:ascii="Times New Roman" w:eastAsia="Times New Roman" w:hAnsi="Times New Roman" w:cs="Times New Roman"/>
          <w:sz w:val="24"/>
          <w:szCs w:val="24"/>
        </w:rPr>
        <w:t xml:space="preserve"> may also be used to support program administration, oversight, and reporting requirements</w:t>
      </w:r>
    </w:p>
    <w:p w:rsidR="00041100" w:rsidP="21F9BD2D" w14:paraId="140E3AAE" w14:textId="11A91E3F">
      <w:pPr>
        <w:spacing w:after="160" w:line="276" w:lineRule="auto"/>
        <w:ind w:firstLine="720"/>
        <w:rPr>
          <w:rFonts w:ascii="Times New Roman" w:eastAsia="Times New Roman" w:hAnsi="Times New Roman" w:cs="Times New Roman"/>
          <w:sz w:val="24"/>
          <w:szCs w:val="24"/>
        </w:rPr>
      </w:pPr>
      <w:r w:rsidRPr="21F9BD2D">
        <w:rPr>
          <w:rFonts w:ascii="Times New Roman" w:eastAsia="Times New Roman" w:hAnsi="Times New Roman" w:cs="Times New Roman"/>
          <w:sz w:val="24"/>
          <w:szCs w:val="24"/>
        </w:rPr>
        <w:t xml:space="preserve">FinCEN currently receives and maintains information voluntarily submitted by individuals who provide tips relating to potential violations of the </w:t>
      </w:r>
      <w:r w:rsidR="008766C7">
        <w:rPr>
          <w:rFonts w:ascii="Times New Roman" w:eastAsia="Times New Roman" w:hAnsi="Times New Roman" w:cs="Times New Roman"/>
          <w:sz w:val="24"/>
          <w:szCs w:val="24"/>
        </w:rPr>
        <w:t>c</w:t>
      </w:r>
      <w:r w:rsidRPr="21F9BD2D">
        <w:rPr>
          <w:rFonts w:ascii="Times New Roman" w:eastAsia="Times New Roman" w:hAnsi="Times New Roman" w:cs="Times New Roman"/>
          <w:sz w:val="24"/>
          <w:szCs w:val="24"/>
        </w:rPr>
        <w:t xml:space="preserve">overed </w:t>
      </w:r>
      <w:r w:rsidR="008766C7">
        <w:rPr>
          <w:rFonts w:ascii="Times New Roman" w:eastAsia="Times New Roman" w:hAnsi="Times New Roman" w:cs="Times New Roman"/>
          <w:sz w:val="24"/>
          <w:szCs w:val="24"/>
        </w:rPr>
        <w:t>s</w:t>
      </w:r>
      <w:r w:rsidRPr="21F9BD2D">
        <w:rPr>
          <w:rFonts w:ascii="Times New Roman" w:eastAsia="Times New Roman" w:hAnsi="Times New Roman" w:cs="Times New Roman"/>
          <w:sz w:val="24"/>
          <w:szCs w:val="24"/>
        </w:rPr>
        <w:t>tatutes.</w:t>
      </w:r>
      <w:r w:rsidR="005A0634">
        <w:rPr>
          <w:rFonts w:ascii="Times New Roman" w:eastAsia="Times New Roman" w:hAnsi="Times New Roman" w:cs="Times New Roman"/>
          <w:sz w:val="24"/>
          <w:szCs w:val="24"/>
        </w:rPr>
        <w:t xml:space="preserve"> </w:t>
      </w:r>
      <w:r w:rsidRPr="21F9BD2D">
        <w:rPr>
          <w:rFonts w:ascii="Times New Roman" w:eastAsia="Times New Roman" w:hAnsi="Times New Roman" w:cs="Times New Roman"/>
          <w:sz w:val="24"/>
          <w:szCs w:val="24"/>
        </w:rPr>
        <w:t xml:space="preserve"> </w:t>
      </w:r>
      <w:r w:rsidR="00D30874">
        <w:rPr>
          <w:rFonts w:ascii="Times New Roman" w:eastAsia="Times New Roman" w:hAnsi="Times New Roman" w:cs="Times New Roman"/>
          <w:sz w:val="24"/>
          <w:szCs w:val="24"/>
        </w:rPr>
        <w:t>Currently, there is no required format for the submission of this information to FinCEN and t</w:t>
      </w:r>
      <w:r w:rsidRPr="21F9BD2D">
        <w:rPr>
          <w:rFonts w:ascii="Times New Roman" w:eastAsia="Times New Roman" w:hAnsi="Times New Roman" w:cs="Times New Roman"/>
          <w:sz w:val="24"/>
          <w:szCs w:val="24"/>
        </w:rPr>
        <w:t xml:space="preserve">hese submissions are received through existing FinCEN intake mechanisms, such as the </w:t>
      </w:r>
      <w:hyperlink r:id="rId9">
        <w:r w:rsidRPr="21F9BD2D">
          <w:rPr>
            <w:rStyle w:val="Hyperlink"/>
            <w:rFonts w:ascii="Times New Roman" w:eastAsia="Times New Roman" w:hAnsi="Times New Roman" w:cs="Times New Roman"/>
            <w:sz w:val="24"/>
            <w:szCs w:val="24"/>
          </w:rPr>
          <w:t>whistleblower.submissions@fincen.gov</w:t>
        </w:r>
      </w:hyperlink>
      <w:r w:rsidRPr="21F9BD2D">
        <w:rPr>
          <w:rFonts w:ascii="Times New Roman" w:eastAsia="Times New Roman" w:hAnsi="Times New Roman" w:cs="Times New Roman"/>
          <w:sz w:val="24"/>
          <w:szCs w:val="24"/>
        </w:rPr>
        <w:t xml:space="preserve"> email address, and through the Regulatory Support Section </w:t>
      </w:r>
      <w:r w:rsidRPr="21F9BD2D" w:rsidR="00E67944">
        <w:rPr>
          <w:rFonts w:ascii="Times New Roman" w:eastAsia="Times New Roman" w:hAnsi="Times New Roman" w:cs="Times New Roman"/>
          <w:sz w:val="24"/>
          <w:szCs w:val="24"/>
        </w:rPr>
        <w:t>“</w:t>
      </w:r>
      <w:r w:rsidRPr="21F9BD2D" w:rsidR="43B49116">
        <w:rPr>
          <w:rFonts w:ascii="Times New Roman" w:eastAsia="Times New Roman" w:hAnsi="Times New Roman" w:cs="Times New Roman"/>
          <w:sz w:val="24"/>
          <w:szCs w:val="24"/>
        </w:rPr>
        <w:t>C</w:t>
      </w:r>
      <w:r w:rsidRPr="21F9BD2D" w:rsidR="00590872">
        <w:rPr>
          <w:rFonts w:ascii="Times New Roman" w:eastAsia="Times New Roman" w:hAnsi="Times New Roman" w:cs="Times New Roman"/>
          <w:sz w:val="24"/>
          <w:szCs w:val="24"/>
        </w:rPr>
        <w:t>ontact us</w:t>
      </w:r>
      <w:r w:rsidRPr="21F9BD2D" w:rsidR="00E67944">
        <w:rPr>
          <w:rFonts w:ascii="Times New Roman" w:eastAsia="Times New Roman" w:hAnsi="Times New Roman" w:cs="Times New Roman"/>
          <w:sz w:val="24"/>
          <w:szCs w:val="24"/>
        </w:rPr>
        <w:t>”</w:t>
      </w:r>
      <w:r w:rsidRPr="21F9BD2D" w:rsidR="002A7B82">
        <w:rPr>
          <w:rFonts w:ascii="Times New Roman" w:eastAsia="Times New Roman" w:hAnsi="Times New Roman" w:cs="Times New Roman"/>
          <w:sz w:val="24"/>
          <w:szCs w:val="24"/>
        </w:rPr>
        <w:t xml:space="preserve"> </w:t>
      </w:r>
      <w:r w:rsidRPr="21F9BD2D" w:rsidR="1BF81233">
        <w:rPr>
          <w:rFonts w:ascii="Times New Roman" w:eastAsia="Times New Roman" w:hAnsi="Times New Roman" w:cs="Times New Roman"/>
          <w:sz w:val="24"/>
          <w:szCs w:val="24"/>
        </w:rPr>
        <w:t>P</w:t>
      </w:r>
      <w:r w:rsidRPr="21F9BD2D" w:rsidR="002A7B82">
        <w:rPr>
          <w:rFonts w:ascii="Times New Roman" w:eastAsia="Times New Roman" w:hAnsi="Times New Roman" w:cs="Times New Roman"/>
          <w:sz w:val="24"/>
          <w:szCs w:val="24"/>
        </w:rPr>
        <w:t>age on the FinCEN website</w:t>
      </w:r>
      <w:r w:rsidRPr="21F9BD2D">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AE6D27">
        <w:rPr>
          <w:rFonts w:ascii="Times New Roman" w:eastAsia="Times New Roman" w:hAnsi="Times New Roman" w:cs="Times New Roman"/>
          <w:sz w:val="24"/>
          <w:szCs w:val="24"/>
        </w:rPr>
        <w:t xml:space="preserve">As FinCEN has not yet promulgated regulations to fully </w:t>
      </w:r>
      <w:r w:rsidRPr="21F9BD2D">
        <w:rPr>
          <w:rFonts w:ascii="Times New Roman" w:eastAsia="Times New Roman" w:hAnsi="Times New Roman" w:cs="Times New Roman"/>
          <w:sz w:val="24"/>
          <w:szCs w:val="24"/>
        </w:rPr>
        <w:t xml:space="preserve">implement the statutory whistleblower award framework </w:t>
      </w:r>
      <w:r w:rsidR="0079756F">
        <w:rPr>
          <w:rFonts w:ascii="Times New Roman" w:eastAsia="Times New Roman" w:hAnsi="Times New Roman" w:cs="Times New Roman"/>
          <w:sz w:val="24"/>
          <w:szCs w:val="24"/>
        </w:rPr>
        <w:t>set forth in 31 U.S.C. 5323,</w:t>
      </w:r>
      <w:r w:rsidRPr="21F9BD2D">
        <w:rPr>
          <w:rFonts w:ascii="Times New Roman" w:eastAsia="Times New Roman" w:hAnsi="Times New Roman" w:cs="Times New Roman"/>
          <w:sz w:val="24"/>
          <w:szCs w:val="24"/>
        </w:rPr>
        <w:t xml:space="preserve"> </w:t>
      </w:r>
      <w:r w:rsidR="00AE6D27">
        <w:rPr>
          <w:rFonts w:ascii="Times New Roman" w:eastAsia="Times New Roman" w:hAnsi="Times New Roman" w:cs="Times New Roman"/>
          <w:sz w:val="24"/>
          <w:szCs w:val="24"/>
        </w:rPr>
        <w:t>it</w:t>
      </w:r>
      <w:r w:rsidRPr="21F9BD2D">
        <w:rPr>
          <w:rFonts w:ascii="Times New Roman" w:eastAsia="Times New Roman" w:hAnsi="Times New Roman" w:cs="Times New Roman"/>
          <w:sz w:val="24"/>
          <w:szCs w:val="24"/>
        </w:rPr>
        <w:t xml:space="preserve"> </w:t>
      </w:r>
      <w:r w:rsidR="008304B2">
        <w:rPr>
          <w:rFonts w:ascii="Times New Roman" w:eastAsia="Times New Roman" w:hAnsi="Times New Roman" w:cs="Times New Roman"/>
          <w:sz w:val="24"/>
          <w:szCs w:val="24"/>
        </w:rPr>
        <w:t xml:space="preserve">has not </w:t>
      </w:r>
      <w:r w:rsidRPr="21F9BD2D">
        <w:rPr>
          <w:rFonts w:ascii="Times New Roman" w:eastAsia="Times New Roman" w:hAnsi="Times New Roman" w:cs="Times New Roman"/>
          <w:sz w:val="24"/>
          <w:szCs w:val="24"/>
        </w:rPr>
        <w:t>issue</w:t>
      </w:r>
      <w:r w:rsidR="008304B2">
        <w:rPr>
          <w:rFonts w:ascii="Times New Roman" w:eastAsia="Times New Roman" w:hAnsi="Times New Roman" w:cs="Times New Roman"/>
          <w:sz w:val="24"/>
          <w:szCs w:val="24"/>
        </w:rPr>
        <w:t>d any</w:t>
      </w:r>
      <w:r w:rsidRPr="21F9BD2D">
        <w:rPr>
          <w:rFonts w:ascii="Times New Roman" w:eastAsia="Times New Roman" w:hAnsi="Times New Roman" w:cs="Times New Roman"/>
          <w:sz w:val="24"/>
          <w:szCs w:val="24"/>
        </w:rPr>
        <w:t xml:space="preserve"> whistleblower awards. </w:t>
      </w:r>
    </w:p>
    <w:p w:rsidR="00041100" w:rsidP="207A3F4C" w14:paraId="7EA7CC3F" w14:textId="2C7953CA">
      <w:pPr>
        <w:spacing w:after="160" w:line="276" w:lineRule="auto"/>
      </w:pPr>
      <w:r w:rsidRPr="207A3F4C">
        <w:rPr>
          <w:rFonts w:ascii="Times New Roman" w:eastAsia="Times New Roman" w:hAnsi="Times New Roman" w:cs="Times New Roman"/>
          <w:sz w:val="24"/>
          <w:szCs w:val="24"/>
        </w:rPr>
        <w:t xml:space="preserve">3. </w:t>
      </w:r>
      <w:r w:rsidRPr="207A3F4C">
        <w:rPr>
          <w:rFonts w:ascii="Times New Roman" w:eastAsia="Times New Roman" w:hAnsi="Times New Roman" w:cs="Times New Roman"/>
          <w:sz w:val="24"/>
          <w:szCs w:val="24"/>
          <w:u w:val="single"/>
        </w:rPr>
        <w:t>Use of improved information technology to reduce burden.</w:t>
      </w:r>
      <w:r w:rsidRPr="207A3F4C">
        <w:rPr>
          <w:rFonts w:ascii="Times New Roman" w:eastAsia="Times New Roman" w:hAnsi="Times New Roman" w:cs="Times New Roman"/>
          <w:sz w:val="24"/>
          <w:szCs w:val="24"/>
        </w:rPr>
        <w:t xml:space="preserve">  </w:t>
      </w:r>
    </w:p>
    <w:p w:rsidR="003349DA" w:rsidP="003349DA" w14:paraId="3ABFF431" w14:textId="6D67D010">
      <w:pPr>
        <w:spacing w:after="160" w:line="276" w:lineRule="auto"/>
        <w:ind w:firstLine="720"/>
        <w:rPr>
          <w:rFonts w:ascii="Times New Roman" w:eastAsia="Times New Roman" w:hAnsi="Times New Roman" w:cs="Times New Roman"/>
          <w:sz w:val="24"/>
          <w:szCs w:val="24"/>
        </w:rPr>
      </w:pPr>
      <w:r w:rsidRPr="449F3C73">
        <w:rPr>
          <w:rFonts w:ascii="Times New Roman" w:eastAsia="Times New Roman" w:hAnsi="Times New Roman" w:cs="Times New Roman"/>
          <w:sz w:val="24"/>
          <w:szCs w:val="24"/>
        </w:rPr>
        <w:t xml:space="preserve">FinCEN currently permits individuals to submit information relating to potential violations of the covered statutes through electronic means. </w:t>
      </w:r>
      <w:r w:rsidR="005A06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Building on this approach </w:t>
      </w:r>
      <w:r w:rsidR="007453CB">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the proposed rule, </w:t>
      </w:r>
      <w:r w:rsidRPr="003349DA">
        <w:rPr>
          <w:rFonts w:ascii="Times New Roman" w:eastAsia="Times New Roman" w:hAnsi="Times New Roman" w:cs="Times New Roman"/>
          <w:sz w:val="24"/>
          <w:szCs w:val="24"/>
        </w:rPr>
        <w:t xml:space="preserve">FinCEN </w:t>
      </w:r>
      <w:r w:rsidR="007453CB">
        <w:rPr>
          <w:rFonts w:ascii="Times New Roman" w:eastAsia="Times New Roman" w:hAnsi="Times New Roman" w:cs="Times New Roman"/>
          <w:sz w:val="24"/>
          <w:szCs w:val="24"/>
        </w:rPr>
        <w:t xml:space="preserve">intends to employ </w:t>
      </w:r>
      <w:r w:rsidRPr="003349DA">
        <w:rPr>
          <w:rFonts w:ascii="Times New Roman" w:eastAsia="Times New Roman" w:hAnsi="Times New Roman" w:cs="Times New Roman"/>
          <w:sz w:val="24"/>
          <w:szCs w:val="24"/>
        </w:rPr>
        <w:t xml:space="preserve">information technology </w:t>
      </w:r>
      <w:r w:rsidR="007453CB">
        <w:rPr>
          <w:rFonts w:ascii="Times New Roman" w:eastAsia="Times New Roman" w:hAnsi="Times New Roman" w:cs="Times New Roman"/>
          <w:sz w:val="24"/>
          <w:szCs w:val="24"/>
        </w:rPr>
        <w:t>to minimize</w:t>
      </w:r>
      <w:r w:rsidRPr="003349DA">
        <w:rPr>
          <w:rFonts w:ascii="Times New Roman" w:eastAsia="Times New Roman" w:hAnsi="Times New Roman" w:cs="Times New Roman"/>
          <w:sz w:val="24"/>
          <w:szCs w:val="24"/>
        </w:rPr>
        <w:t xml:space="preserve"> burden on whistleblowers and their attorneys by streamlining data entry, limiting the </w:t>
      </w:r>
      <w:r w:rsidR="007453CB">
        <w:rPr>
          <w:rFonts w:ascii="Times New Roman" w:eastAsia="Times New Roman" w:hAnsi="Times New Roman" w:cs="Times New Roman"/>
          <w:sz w:val="24"/>
          <w:szCs w:val="24"/>
        </w:rPr>
        <w:t>scope of the</w:t>
      </w:r>
      <w:r w:rsidRPr="003349DA">
        <w:rPr>
          <w:rFonts w:ascii="Times New Roman" w:eastAsia="Times New Roman" w:hAnsi="Times New Roman" w:cs="Times New Roman"/>
          <w:sz w:val="24"/>
          <w:szCs w:val="24"/>
        </w:rPr>
        <w:t xml:space="preserve"> information</w:t>
      </w:r>
      <w:r w:rsidR="007453CB">
        <w:rPr>
          <w:rFonts w:ascii="Times New Roman" w:eastAsia="Times New Roman" w:hAnsi="Times New Roman" w:cs="Times New Roman"/>
          <w:sz w:val="24"/>
          <w:szCs w:val="24"/>
        </w:rPr>
        <w:t xml:space="preserve"> collected</w:t>
      </w:r>
      <w:r w:rsidRPr="003349DA">
        <w:rPr>
          <w:rFonts w:ascii="Times New Roman" w:eastAsia="Times New Roman" w:hAnsi="Times New Roman" w:cs="Times New Roman"/>
          <w:sz w:val="24"/>
          <w:szCs w:val="24"/>
        </w:rPr>
        <w:t xml:space="preserve"> </w:t>
      </w:r>
      <w:r w:rsidR="007453CB">
        <w:rPr>
          <w:rFonts w:ascii="Times New Roman" w:eastAsia="Times New Roman" w:hAnsi="Times New Roman" w:cs="Times New Roman"/>
          <w:sz w:val="24"/>
          <w:szCs w:val="24"/>
        </w:rPr>
        <w:t xml:space="preserve">to what is </w:t>
      </w:r>
      <w:r w:rsidRPr="003349DA">
        <w:rPr>
          <w:rFonts w:ascii="Times New Roman" w:eastAsia="Times New Roman" w:hAnsi="Times New Roman" w:cs="Times New Roman"/>
          <w:sz w:val="24"/>
          <w:szCs w:val="24"/>
        </w:rPr>
        <w:t>necessary to carry out statutory and programmatic functions, and avoiding duplicative requests for information.</w:t>
      </w:r>
      <w:r w:rsidR="007453CB">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7453CB">
        <w:rPr>
          <w:rFonts w:ascii="Times New Roman" w:eastAsia="Times New Roman" w:hAnsi="Times New Roman" w:cs="Times New Roman"/>
          <w:sz w:val="24"/>
          <w:szCs w:val="24"/>
        </w:rPr>
        <w:t xml:space="preserve">For </w:t>
      </w:r>
      <w:r w:rsidR="004575AA">
        <w:rPr>
          <w:rFonts w:ascii="Times New Roman" w:eastAsia="Times New Roman" w:hAnsi="Times New Roman" w:cs="Times New Roman"/>
          <w:sz w:val="24"/>
          <w:szCs w:val="24"/>
        </w:rPr>
        <w:t>example</w:t>
      </w:r>
      <w:r>
        <w:rPr>
          <w:rFonts w:ascii="Times New Roman" w:eastAsia="Times New Roman" w:hAnsi="Times New Roman" w:cs="Times New Roman"/>
          <w:sz w:val="24"/>
          <w:szCs w:val="24"/>
        </w:rPr>
        <w:t xml:space="preserve">, FinCEN intends to </w:t>
      </w:r>
      <w:r w:rsidRPr="003349DA">
        <w:rPr>
          <w:rFonts w:ascii="Times New Roman" w:eastAsia="Times New Roman" w:hAnsi="Times New Roman" w:cs="Times New Roman"/>
          <w:sz w:val="24"/>
          <w:szCs w:val="24"/>
        </w:rPr>
        <w:t xml:space="preserve">establish a </w:t>
      </w:r>
      <w:r w:rsidRPr="003349DA">
        <w:rPr>
          <w:rFonts w:ascii="Times New Roman" w:eastAsia="Times New Roman" w:hAnsi="Times New Roman" w:cs="Times New Roman"/>
          <w:sz w:val="24"/>
          <w:szCs w:val="24"/>
        </w:rPr>
        <w:t xml:space="preserve">public-facing portal that allows for an online submission method for whistleblowers and their attorneys to provide information more efficiently and without the need for in-person or paper submissions. </w:t>
      </w:r>
      <w:r w:rsidR="005A06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003349DA">
        <w:rPr>
          <w:rFonts w:ascii="Times New Roman" w:eastAsia="Times New Roman" w:hAnsi="Times New Roman" w:cs="Times New Roman"/>
          <w:sz w:val="24"/>
          <w:szCs w:val="24"/>
        </w:rPr>
        <w:t xml:space="preserve">use of the portal </w:t>
      </w:r>
      <w:r>
        <w:rPr>
          <w:rFonts w:ascii="Times New Roman" w:eastAsia="Times New Roman" w:hAnsi="Times New Roman" w:cs="Times New Roman"/>
          <w:sz w:val="24"/>
          <w:szCs w:val="24"/>
        </w:rPr>
        <w:t>to submit information to FinCEN</w:t>
      </w:r>
      <w:r w:rsidR="00481F5C">
        <w:rPr>
          <w:rFonts w:ascii="Times New Roman" w:eastAsia="Times New Roman" w:hAnsi="Times New Roman" w:cs="Times New Roman"/>
          <w:sz w:val="24"/>
          <w:szCs w:val="24"/>
        </w:rPr>
        <w:t xml:space="preserve"> also</w:t>
      </w:r>
      <w:r>
        <w:rPr>
          <w:rFonts w:ascii="Times New Roman" w:eastAsia="Times New Roman" w:hAnsi="Times New Roman" w:cs="Times New Roman"/>
          <w:sz w:val="24"/>
          <w:szCs w:val="24"/>
        </w:rPr>
        <w:t xml:space="preserve"> </w:t>
      </w:r>
      <w:r w:rsidR="00387C1F">
        <w:rPr>
          <w:rFonts w:ascii="Times New Roman" w:eastAsia="Times New Roman" w:hAnsi="Times New Roman" w:cs="Times New Roman"/>
          <w:sz w:val="24"/>
          <w:szCs w:val="24"/>
        </w:rPr>
        <w:t xml:space="preserve">would </w:t>
      </w:r>
      <w:r w:rsidRPr="003349DA">
        <w:rPr>
          <w:rFonts w:ascii="Times New Roman" w:eastAsia="Times New Roman" w:hAnsi="Times New Roman" w:cs="Times New Roman"/>
          <w:sz w:val="24"/>
          <w:szCs w:val="24"/>
        </w:rPr>
        <w:t>support the confidential handling of whistleblower information by enabling secure transmission, storage, and access controls consistent with applicable legal and regulatory requirements</w:t>
      </w:r>
      <w:r w:rsidR="001F3F92">
        <w:rPr>
          <w:rFonts w:ascii="Times New Roman" w:eastAsia="Times New Roman" w:hAnsi="Times New Roman" w:cs="Times New Roman"/>
          <w:sz w:val="24"/>
          <w:szCs w:val="24"/>
        </w:rPr>
        <w:t xml:space="preserve">. </w:t>
      </w:r>
    </w:p>
    <w:p w:rsidR="00041100" w:rsidP="00A02D38" w14:paraId="39495AC9" w14:textId="40AEBA6A">
      <w:pPr>
        <w:spacing w:after="160" w:line="276" w:lineRule="auto"/>
        <w:ind w:firstLine="720"/>
      </w:pPr>
      <w:r w:rsidRPr="003349DA">
        <w:rPr>
          <w:rFonts w:ascii="Times New Roman" w:eastAsia="Times New Roman" w:hAnsi="Times New Roman" w:cs="Times New Roman"/>
          <w:sz w:val="24"/>
          <w:szCs w:val="24"/>
        </w:rPr>
        <w:t>Whe</w:t>
      </w:r>
      <w:r w:rsidR="00CE567F">
        <w:rPr>
          <w:rFonts w:ascii="Times New Roman" w:eastAsia="Times New Roman" w:hAnsi="Times New Roman" w:cs="Times New Roman"/>
          <w:sz w:val="24"/>
          <w:szCs w:val="24"/>
        </w:rPr>
        <w:t>n</w:t>
      </w:r>
      <w:r w:rsidRPr="003349DA">
        <w:rPr>
          <w:rFonts w:ascii="Times New Roman" w:eastAsia="Times New Roman" w:hAnsi="Times New Roman" w:cs="Times New Roman"/>
          <w:sz w:val="24"/>
          <w:szCs w:val="24"/>
        </w:rPr>
        <w:t xml:space="preserve"> appropriate, FinCEN may also permit alternative submission methods to ensure accessibility or to address technical limitations, while minimizing whistleblower burden to the extent practicable.</w:t>
      </w:r>
    </w:p>
    <w:p w:rsidR="00041100" w:rsidP="207A3F4C" w14:paraId="50F2FDDE" w14:textId="20684B39">
      <w:pPr>
        <w:spacing w:after="160" w:line="276" w:lineRule="auto"/>
      </w:pPr>
      <w:r w:rsidRPr="207A3F4C">
        <w:rPr>
          <w:rFonts w:ascii="Times New Roman" w:eastAsia="Times New Roman" w:hAnsi="Times New Roman" w:cs="Times New Roman"/>
          <w:sz w:val="24"/>
          <w:szCs w:val="24"/>
        </w:rPr>
        <w:t xml:space="preserve">4. </w:t>
      </w:r>
      <w:r w:rsidRPr="207A3F4C">
        <w:rPr>
          <w:rFonts w:ascii="Times New Roman" w:eastAsia="Times New Roman" w:hAnsi="Times New Roman" w:cs="Times New Roman"/>
          <w:sz w:val="24"/>
          <w:szCs w:val="24"/>
          <w:u w:val="single"/>
        </w:rPr>
        <w:t xml:space="preserve">Efforts to identify duplication. </w:t>
      </w:r>
      <w:r w:rsidRPr="207A3F4C">
        <w:rPr>
          <w:rFonts w:ascii="Times New Roman" w:eastAsia="Times New Roman" w:hAnsi="Times New Roman" w:cs="Times New Roman"/>
          <w:sz w:val="24"/>
          <w:szCs w:val="24"/>
        </w:rPr>
        <w:t xml:space="preserve"> </w:t>
      </w:r>
    </w:p>
    <w:p w:rsidR="00041100" w:rsidP="00512C86" w14:paraId="50B3F0F2" w14:textId="371727EC">
      <w:pPr>
        <w:spacing w:after="160" w:line="276" w:lineRule="auto"/>
        <w:ind w:firstLine="720"/>
      </w:pPr>
      <w:r w:rsidRPr="449F3C73">
        <w:rPr>
          <w:rFonts w:ascii="Times New Roman" w:eastAsia="Times New Roman" w:hAnsi="Times New Roman" w:cs="Times New Roman"/>
          <w:sz w:val="24"/>
          <w:szCs w:val="24"/>
        </w:rPr>
        <w:t xml:space="preserve">FinCEN has reviewed existing information collections and determined that the information </w:t>
      </w:r>
      <w:r w:rsidR="002869E4">
        <w:rPr>
          <w:rFonts w:ascii="Times New Roman" w:eastAsia="Times New Roman" w:hAnsi="Times New Roman" w:cs="Times New Roman"/>
          <w:sz w:val="24"/>
          <w:szCs w:val="24"/>
        </w:rPr>
        <w:t xml:space="preserve">to be </w:t>
      </w:r>
      <w:r w:rsidRPr="449F3C73">
        <w:rPr>
          <w:rFonts w:ascii="Times New Roman" w:eastAsia="Times New Roman" w:hAnsi="Times New Roman" w:cs="Times New Roman"/>
          <w:sz w:val="24"/>
          <w:szCs w:val="24"/>
        </w:rPr>
        <w:t xml:space="preserve">collected for the FinCEN </w:t>
      </w:r>
      <w:r w:rsidR="001A2581">
        <w:rPr>
          <w:rFonts w:ascii="Times New Roman" w:eastAsia="Times New Roman" w:hAnsi="Times New Roman" w:cs="Times New Roman"/>
          <w:sz w:val="24"/>
          <w:szCs w:val="24"/>
        </w:rPr>
        <w:t>w</w:t>
      </w:r>
      <w:r w:rsidRPr="449F3C73">
        <w:rPr>
          <w:rFonts w:ascii="Times New Roman" w:eastAsia="Times New Roman" w:hAnsi="Times New Roman" w:cs="Times New Roman"/>
          <w:sz w:val="24"/>
          <w:szCs w:val="24"/>
        </w:rPr>
        <w:t xml:space="preserve">histleblower </w:t>
      </w:r>
      <w:r w:rsidR="001A2581">
        <w:rPr>
          <w:rFonts w:ascii="Times New Roman" w:eastAsia="Times New Roman" w:hAnsi="Times New Roman" w:cs="Times New Roman"/>
          <w:sz w:val="24"/>
          <w:szCs w:val="24"/>
        </w:rPr>
        <w:t>p</w:t>
      </w:r>
      <w:r w:rsidRPr="449F3C73">
        <w:rPr>
          <w:rFonts w:ascii="Times New Roman" w:eastAsia="Times New Roman" w:hAnsi="Times New Roman" w:cs="Times New Roman"/>
          <w:sz w:val="24"/>
          <w:szCs w:val="24"/>
        </w:rPr>
        <w:t xml:space="preserve">rogram cannot be obtained from other sources, as it consists of original information voluntarily submitted by whistleblowers. </w:t>
      </w:r>
      <w:r w:rsidR="005A0634">
        <w:rPr>
          <w:rFonts w:ascii="Times New Roman" w:eastAsia="Times New Roman" w:hAnsi="Times New Roman" w:cs="Times New Roman"/>
          <w:sz w:val="24"/>
          <w:szCs w:val="24"/>
        </w:rPr>
        <w:t xml:space="preserve"> </w:t>
      </w:r>
      <w:r w:rsidRPr="449F3C73">
        <w:rPr>
          <w:rFonts w:ascii="Times New Roman" w:eastAsia="Times New Roman" w:hAnsi="Times New Roman" w:cs="Times New Roman"/>
          <w:sz w:val="24"/>
          <w:szCs w:val="24"/>
        </w:rPr>
        <w:t>Although FinCEN currently receives whistleblower information through existing intake mechanisms</w:t>
      </w:r>
      <w:r w:rsidR="00A71875">
        <w:rPr>
          <w:rFonts w:ascii="Times New Roman" w:eastAsia="Times New Roman" w:hAnsi="Times New Roman" w:cs="Times New Roman"/>
          <w:sz w:val="24"/>
          <w:szCs w:val="24"/>
        </w:rPr>
        <w:t>,</w:t>
      </w:r>
      <w:r w:rsidRPr="449F3C73">
        <w:rPr>
          <w:rFonts w:ascii="Times New Roman" w:eastAsia="Times New Roman" w:hAnsi="Times New Roman" w:cs="Times New Roman"/>
          <w:sz w:val="24"/>
          <w:szCs w:val="24"/>
        </w:rPr>
        <w:t xml:space="preserve"> including by email, those mechanisms do not provide a duplicative source of information</w:t>
      </w:r>
      <w:r w:rsidR="009403AF">
        <w:rPr>
          <w:rFonts w:ascii="Times New Roman" w:eastAsia="Times New Roman" w:hAnsi="Times New Roman" w:cs="Times New Roman"/>
          <w:sz w:val="24"/>
          <w:szCs w:val="24"/>
        </w:rPr>
        <w:t>.</w:t>
      </w:r>
      <w:r w:rsidRPr="449F3C73">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95071C">
        <w:rPr>
          <w:rFonts w:ascii="Times New Roman" w:eastAsia="Times New Roman" w:hAnsi="Times New Roman" w:cs="Times New Roman"/>
          <w:sz w:val="24"/>
          <w:szCs w:val="24"/>
        </w:rPr>
        <w:t>A</w:t>
      </w:r>
      <w:r w:rsidR="002417AA">
        <w:rPr>
          <w:rFonts w:ascii="Times New Roman" w:eastAsia="Times New Roman" w:hAnsi="Times New Roman" w:cs="Times New Roman"/>
          <w:sz w:val="24"/>
          <w:szCs w:val="24"/>
        </w:rPr>
        <w:t>s</w:t>
      </w:r>
      <w:r w:rsidR="0095071C">
        <w:rPr>
          <w:rFonts w:ascii="Times New Roman" w:eastAsia="Times New Roman" w:hAnsi="Times New Roman" w:cs="Times New Roman"/>
          <w:sz w:val="24"/>
          <w:szCs w:val="24"/>
        </w:rPr>
        <w:t xml:space="preserve"> set forth in the proposed rule, t</w:t>
      </w:r>
      <w:r w:rsidRPr="449F3C73">
        <w:rPr>
          <w:rFonts w:ascii="Times New Roman" w:eastAsia="Times New Roman" w:hAnsi="Times New Roman" w:cs="Times New Roman"/>
          <w:sz w:val="24"/>
          <w:szCs w:val="24"/>
        </w:rPr>
        <w:t>he</w:t>
      </w:r>
      <w:r w:rsidR="003558EB">
        <w:rPr>
          <w:rFonts w:ascii="Times New Roman" w:eastAsia="Times New Roman" w:hAnsi="Times New Roman" w:cs="Times New Roman"/>
          <w:sz w:val="24"/>
          <w:szCs w:val="24"/>
        </w:rPr>
        <w:t xml:space="preserve"> </w:t>
      </w:r>
      <w:r w:rsidRPr="449F3C73" w:rsidR="1B431CEE">
        <w:rPr>
          <w:rFonts w:ascii="Times New Roman" w:eastAsia="Times New Roman" w:hAnsi="Times New Roman" w:cs="Times New Roman"/>
          <w:sz w:val="24"/>
          <w:szCs w:val="24"/>
        </w:rPr>
        <w:t xml:space="preserve">forms would </w:t>
      </w:r>
      <w:r w:rsidR="00A71875">
        <w:rPr>
          <w:rFonts w:ascii="Times New Roman" w:eastAsia="Times New Roman" w:hAnsi="Times New Roman" w:cs="Times New Roman"/>
          <w:sz w:val="24"/>
          <w:szCs w:val="24"/>
        </w:rPr>
        <w:t xml:space="preserve">reflect the </w:t>
      </w:r>
      <w:r w:rsidR="002417AA">
        <w:rPr>
          <w:rFonts w:ascii="Times New Roman" w:eastAsia="Times New Roman" w:hAnsi="Times New Roman" w:cs="Times New Roman"/>
          <w:sz w:val="24"/>
          <w:szCs w:val="24"/>
        </w:rPr>
        <w:t xml:space="preserve">proposed </w:t>
      </w:r>
      <w:r w:rsidR="00A71875">
        <w:rPr>
          <w:rFonts w:ascii="Times New Roman" w:eastAsia="Times New Roman" w:hAnsi="Times New Roman" w:cs="Times New Roman"/>
          <w:sz w:val="24"/>
          <w:szCs w:val="24"/>
        </w:rPr>
        <w:t xml:space="preserve">requirements </w:t>
      </w:r>
      <w:r w:rsidR="00266A1D">
        <w:rPr>
          <w:rFonts w:ascii="Times New Roman" w:eastAsia="Times New Roman" w:hAnsi="Times New Roman" w:cs="Times New Roman"/>
          <w:sz w:val="24"/>
          <w:szCs w:val="24"/>
        </w:rPr>
        <w:t xml:space="preserve">in the rule </w:t>
      </w:r>
      <w:r w:rsidR="0095071C">
        <w:rPr>
          <w:rFonts w:ascii="Times New Roman" w:eastAsia="Times New Roman" w:hAnsi="Times New Roman" w:cs="Times New Roman"/>
          <w:sz w:val="24"/>
          <w:szCs w:val="24"/>
        </w:rPr>
        <w:t xml:space="preserve">that </w:t>
      </w:r>
      <w:r w:rsidR="00FD2019">
        <w:rPr>
          <w:rFonts w:ascii="Times New Roman" w:eastAsia="Times New Roman" w:hAnsi="Times New Roman" w:cs="Times New Roman"/>
          <w:sz w:val="24"/>
          <w:szCs w:val="24"/>
        </w:rPr>
        <w:t>relates</w:t>
      </w:r>
      <w:r w:rsidR="00266A1D">
        <w:rPr>
          <w:rFonts w:ascii="Times New Roman" w:eastAsia="Times New Roman" w:hAnsi="Times New Roman" w:cs="Times New Roman"/>
          <w:sz w:val="24"/>
          <w:szCs w:val="24"/>
        </w:rPr>
        <w:t xml:space="preserve"> to </w:t>
      </w:r>
      <w:r w:rsidR="0033660F">
        <w:rPr>
          <w:rFonts w:ascii="Times New Roman" w:eastAsia="Times New Roman" w:hAnsi="Times New Roman" w:cs="Times New Roman"/>
          <w:sz w:val="24"/>
          <w:szCs w:val="24"/>
        </w:rPr>
        <w:t xml:space="preserve">the </w:t>
      </w:r>
      <w:r w:rsidR="006C305C">
        <w:rPr>
          <w:rFonts w:ascii="Times New Roman" w:eastAsia="Times New Roman" w:hAnsi="Times New Roman" w:cs="Times New Roman"/>
          <w:sz w:val="24"/>
          <w:szCs w:val="24"/>
        </w:rPr>
        <w:t>submi</w:t>
      </w:r>
      <w:r w:rsidR="0033660F">
        <w:rPr>
          <w:rFonts w:ascii="Times New Roman" w:eastAsia="Times New Roman" w:hAnsi="Times New Roman" w:cs="Times New Roman"/>
          <w:sz w:val="24"/>
          <w:szCs w:val="24"/>
        </w:rPr>
        <w:t>ssion of</w:t>
      </w:r>
      <w:r w:rsidR="006C305C">
        <w:rPr>
          <w:rFonts w:ascii="Times New Roman" w:eastAsia="Times New Roman" w:hAnsi="Times New Roman" w:cs="Times New Roman"/>
          <w:sz w:val="24"/>
          <w:szCs w:val="24"/>
        </w:rPr>
        <w:t xml:space="preserve"> original information </w:t>
      </w:r>
      <w:r w:rsidR="0095071C">
        <w:rPr>
          <w:rFonts w:ascii="Times New Roman" w:eastAsia="Times New Roman" w:hAnsi="Times New Roman" w:cs="Times New Roman"/>
          <w:sz w:val="24"/>
          <w:szCs w:val="24"/>
        </w:rPr>
        <w:t>and</w:t>
      </w:r>
      <w:r w:rsidR="006C305C">
        <w:rPr>
          <w:rFonts w:ascii="Times New Roman" w:eastAsia="Times New Roman" w:hAnsi="Times New Roman" w:cs="Times New Roman"/>
          <w:sz w:val="24"/>
          <w:szCs w:val="24"/>
        </w:rPr>
        <w:t xml:space="preserve"> award</w:t>
      </w:r>
      <w:r w:rsidR="0095071C">
        <w:rPr>
          <w:rFonts w:ascii="Times New Roman" w:eastAsia="Times New Roman" w:hAnsi="Times New Roman" w:cs="Times New Roman"/>
          <w:sz w:val="24"/>
          <w:szCs w:val="24"/>
        </w:rPr>
        <w:t xml:space="preserve"> application</w:t>
      </w:r>
      <w:r w:rsidR="00F95778">
        <w:rPr>
          <w:rFonts w:ascii="Times New Roman" w:eastAsia="Times New Roman" w:hAnsi="Times New Roman" w:cs="Times New Roman"/>
          <w:sz w:val="24"/>
          <w:szCs w:val="24"/>
        </w:rPr>
        <w:t>,</w:t>
      </w:r>
      <w:r w:rsidR="002417AA">
        <w:rPr>
          <w:rFonts w:ascii="Times New Roman" w:eastAsia="Times New Roman" w:hAnsi="Times New Roman" w:cs="Times New Roman"/>
          <w:sz w:val="24"/>
          <w:szCs w:val="24"/>
        </w:rPr>
        <w:t xml:space="preserve"> and </w:t>
      </w:r>
      <w:r w:rsidR="006C305C">
        <w:rPr>
          <w:rFonts w:ascii="Times New Roman" w:eastAsia="Times New Roman" w:hAnsi="Times New Roman" w:cs="Times New Roman"/>
          <w:sz w:val="24"/>
          <w:szCs w:val="24"/>
        </w:rPr>
        <w:t>the forms would</w:t>
      </w:r>
      <w:r w:rsidR="00A71875">
        <w:rPr>
          <w:rFonts w:ascii="Times New Roman" w:eastAsia="Times New Roman" w:hAnsi="Times New Roman" w:cs="Times New Roman"/>
          <w:sz w:val="24"/>
          <w:szCs w:val="24"/>
        </w:rPr>
        <w:t xml:space="preserve"> provide a standard mechanism for the submission of </w:t>
      </w:r>
      <w:r w:rsidR="0095071C">
        <w:rPr>
          <w:rFonts w:ascii="Times New Roman" w:eastAsia="Times New Roman" w:hAnsi="Times New Roman" w:cs="Times New Roman"/>
          <w:sz w:val="24"/>
          <w:szCs w:val="24"/>
        </w:rPr>
        <w:t>this</w:t>
      </w:r>
      <w:r w:rsidR="006C305C">
        <w:rPr>
          <w:rFonts w:ascii="Times New Roman" w:eastAsia="Times New Roman" w:hAnsi="Times New Roman" w:cs="Times New Roman"/>
          <w:sz w:val="24"/>
          <w:szCs w:val="24"/>
        </w:rPr>
        <w:t xml:space="preserve"> </w:t>
      </w:r>
      <w:r w:rsidR="00A71875">
        <w:rPr>
          <w:rFonts w:ascii="Times New Roman" w:eastAsia="Times New Roman" w:hAnsi="Times New Roman" w:cs="Times New Roman"/>
          <w:sz w:val="24"/>
          <w:szCs w:val="24"/>
        </w:rPr>
        <w:t xml:space="preserve">information. </w:t>
      </w:r>
    </w:p>
    <w:p w:rsidR="00041100" w:rsidP="207A3F4C" w14:paraId="75AA796B" w14:textId="79C6BE17">
      <w:pPr>
        <w:spacing w:after="160" w:line="276" w:lineRule="auto"/>
      </w:pPr>
      <w:r w:rsidRPr="207A3F4C">
        <w:rPr>
          <w:rFonts w:ascii="Times New Roman" w:eastAsia="Times New Roman" w:hAnsi="Times New Roman" w:cs="Times New Roman"/>
          <w:sz w:val="24"/>
          <w:szCs w:val="24"/>
        </w:rPr>
        <w:t xml:space="preserve">5. </w:t>
      </w:r>
      <w:r w:rsidRPr="207A3F4C">
        <w:rPr>
          <w:rFonts w:ascii="Times New Roman" w:eastAsia="Times New Roman" w:hAnsi="Times New Roman" w:cs="Times New Roman"/>
          <w:sz w:val="24"/>
          <w:szCs w:val="24"/>
          <w:u w:val="single"/>
        </w:rPr>
        <w:t>Methods to minimize burden on small businesses or other small entities.</w:t>
      </w:r>
      <w:r w:rsidRPr="207A3F4C">
        <w:rPr>
          <w:rFonts w:ascii="Times New Roman" w:eastAsia="Times New Roman" w:hAnsi="Times New Roman" w:cs="Times New Roman"/>
          <w:sz w:val="24"/>
          <w:szCs w:val="24"/>
        </w:rPr>
        <w:t xml:space="preserve">  </w:t>
      </w:r>
    </w:p>
    <w:p w:rsidR="00041100" w:rsidP="00512C86" w14:paraId="1980FCD5" w14:textId="62EE639A">
      <w:pPr>
        <w:spacing w:after="160" w:line="276" w:lineRule="auto"/>
        <w:ind w:firstLine="720"/>
      </w:pPr>
      <w:r w:rsidRPr="449F3C73">
        <w:rPr>
          <w:rFonts w:ascii="Times New Roman" w:eastAsia="Times New Roman" w:hAnsi="Times New Roman" w:cs="Times New Roman"/>
          <w:sz w:val="24"/>
          <w:szCs w:val="24"/>
        </w:rPr>
        <w:t xml:space="preserve">The information collection associated with the FinCEN </w:t>
      </w:r>
      <w:r w:rsidR="001A2581">
        <w:rPr>
          <w:rFonts w:ascii="Times New Roman" w:eastAsia="Times New Roman" w:hAnsi="Times New Roman" w:cs="Times New Roman"/>
          <w:sz w:val="24"/>
          <w:szCs w:val="24"/>
        </w:rPr>
        <w:t>w</w:t>
      </w:r>
      <w:r w:rsidRPr="449F3C73">
        <w:rPr>
          <w:rFonts w:ascii="Times New Roman" w:eastAsia="Times New Roman" w:hAnsi="Times New Roman" w:cs="Times New Roman"/>
          <w:sz w:val="24"/>
          <w:szCs w:val="24"/>
        </w:rPr>
        <w:t xml:space="preserve">histleblower </w:t>
      </w:r>
      <w:r w:rsidR="001A2581">
        <w:rPr>
          <w:rFonts w:ascii="Times New Roman" w:eastAsia="Times New Roman" w:hAnsi="Times New Roman" w:cs="Times New Roman"/>
          <w:sz w:val="24"/>
          <w:szCs w:val="24"/>
        </w:rPr>
        <w:t>p</w:t>
      </w:r>
      <w:r w:rsidRPr="449F3C73">
        <w:rPr>
          <w:rFonts w:ascii="Times New Roman" w:eastAsia="Times New Roman" w:hAnsi="Times New Roman" w:cs="Times New Roman"/>
          <w:sz w:val="24"/>
          <w:szCs w:val="24"/>
        </w:rPr>
        <w:t xml:space="preserve">rogram is voluntary and directed primarily toward </w:t>
      </w:r>
      <w:r w:rsidRPr="002027A5">
        <w:rPr>
          <w:rFonts w:ascii="Times New Roman" w:eastAsia="Times New Roman" w:hAnsi="Times New Roman" w:cs="Times New Roman"/>
          <w:sz w:val="24"/>
          <w:szCs w:val="24"/>
        </w:rPr>
        <w:t>individuals</w:t>
      </w:r>
      <w:r w:rsidRPr="006632D4">
        <w:rPr>
          <w:rFonts w:ascii="Times New Roman" w:eastAsia="Times New Roman" w:hAnsi="Times New Roman" w:cs="Times New Roman"/>
          <w:sz w:val="24"/>
          <w:szCs w:val="24"/>
        </w:rPr>
        <w:t xml:space="preserve"> </w:t>
      </w:r>
      <w:r w:rsidRPr="449F3C73">
        <w:rPr>
          <w:rFonts w:ascii="Times New Roman" w:eastAsia="Times New Roman" w:hAnsi="Times New Roman" w:cs="Times New Roman"/>
          <w:sz w:val="24"/>
          <w:szCs w:val="24"/>
        </w:rPr>
        <w:t xml:space="preserve">who choose to submit information relating to potential violations of the covered statutes. </w:t>
      </w:r>
      <w:r w:rsidR="005A0634">
        <w:rPr>
          <w:rFonts w:ascii="Times New Roman" w:eastAsia="Times New Roman" w:hAnsi="Times New Roman" w:cs="Times New Roman"/>
          <w:sz w:val="24"/>
          <w:szCs w:val="24"/>
        </w:rPr>
        <w:t xml:space="preserve"> </w:t>
      </w:r>
      <w:r w:rsidR="0067761A">
        <w:rPr>
          <w:rFonts w:ascii="Times New Roman" w:eastAsia="Times New Roman" w:hAnsi="Times New Roman" w:cs="Times New Roman"/>
          <w:sz w:val="24"/>
          <w:szCs w:val="24"/>
        </w:rPr>
        <w:t>Under 31 U.S.C. 5323 and the proposed rule, a whistleblower must be an individual and, thus, s</w:t>
      </w:r>
      <w:r w:rsidRPr="449F3C73">
        <w:rPr>
          <w:rFonts w:ascii="Times New Roman" w:eastAsia="Times New Roman" w:hAnsi="Times New Roman" w:cs="Times New Roman"/>
          <w:sz w:val="24"/>
          <w:szCs w:val="24"/>
        </w:rPr>
        <w:t xml:space="preserve">mall businesses and other small entities are not the intended respondents for this collection. </w:t>
      </w:r>
      <w:r w:rsidR="005A0634">
        <w:rPr>
          <w:rFonts w:ascii="Times New Roman" w:eastAsia="Times New Roman" w:hAnsi="Times New Roman" w:cs="Times New Roman"/>
          <w:sz w:val="24"/>
          <w:szCs w:val="24"/>
        </w:rPr>
        <w:t xml:space="preserve"> </w:t>
      </w:r>
      <w:r w:rsidR="000411CE">
        <w:rPr>
          <w:rFonts w:ascii="Times New Roman" w:eastAsia="Times New Roman" w:hAnsi="Times New Roman" w:cs="Times New Roman"/>
          <w:sz w:val="24"/>
          <w:szCs w:val="24"/>
        </w:rPr>
        <w:t xml:space="preserve">Furthermore, </w:t>
      </w:r>
      <w:r w:rsidRPr="449F3C73">
        <w:rPr>
          <w:rFonts w:ascii="Times New Roman" w:eastAsia="Times New Roman" w:hAnsi="Times New Roman" w:cs="Times New Roman"/>
          <w:sz w:val="24"/>
          <w:szCs w:val="24"/>
        </w:rPr>
        <w:t xml:space="preserve">FinCEN’s use of electronic submission methods and streamlined intake processes </w:t>
      </w:r>
      <w:r w:rsidRPr="449F3C73" w:rsidR="7D6B45C7">
        <w:rPr>
          <w:rFonts w:ascii="Times New Roman" w:eastAsia="Times New Roman" w:hAnsi="Times New Roman" w:cs="Times New Roman"/>
          <w:sz w:val="24"/>
          <w:szCs w:val="24"/>
        </w:rPr>
        <w:t>are</w:t>
      </w:r>
      <w:r w:rsidRPr="449F3C73">
        <w:rPr>
          <w:rFonts w:ascii="Times New Roman" w:eastAsia="Times New Roman" w:hAnsi="Times New Roman" w:cs="Times New Roman"/>
          <w:sz w:val="24"/>
          <w:szCs w:val="24"/>
        </w:rPr>
        <w:t xml:space="preserve"> intended to reduce burden on whistleblowers and their attorneys</w:t>
      </w:r>
      <w:r w:rsidRPr="006607C1" w:rsidR="006607C1">
        <w:rPr>
          <w:rFonts w:ascii="Times New Roman" w:eastAsia="Times New Roman" w:hAnsi="Times New Roman" w:cs="Times New Roman"/>
          <w:sz w:val="24"/>
          <w:szCs w:val="24"/>
        </w:rPr>
        <w:t xml:space="preserve"> by minimizing time and resources required to provide information.</w:t>
      </w:r>
      <w:r w:rsidRPr="449F3C73">
        <w:rPr>
          <w:rFonts w:ascii="Times New Roman" w:eastAsia="Times New Roman" w:hAnsi="Times New Roman" w:cs="Times New Roman"/>
          <w:sz w:val="24"/>
          <w:szCs w:val="24"/>
        </w:rPr>
        <w:t xml:space="preserve"> </w:t>
      </w:r>
    </w:p>
    <w:p w:rsidR="00041100" w:rsidP="207A3F4C" w14:paraId="2D02F0D9" w14:textId="0CC7B0BD">
      <w:pPr>
        <w:spacing w:after="160" w:line="276" w:lineRule="auto"/>
      </w:pPr>
      <w:r w:rsidRPr="207A3F4C">
        <w:rPr>
          <w:rFonts w:ascii="Times New Roman" w:eastAsia="Times New Roman" w:hAnsi="Times New Roman" w:cs="Times New Roman"/>
          <w:sz w:val="24"/>
          <w:szCs w:val="24"/>
        </w:rPr>
        <w:t xml:space="preserve">6. </w:t>
      </w:r>
      <w:r w:rsidRPr="207A3F4C">
        <w:rPr>
          <w:rFonts w:ascii="Times New Roman" w:eastAsia="Times New Roman" w:hAnsi="Times New Roman" w:cs="Times New Roman"/>
          <w:sz w:val="24"/>
          <w:szCs w:val="24"/>
          <w:u w:val="single"/>
        </w:rPr>
        <w:t>Consequences to the Federal government of not collecting the information or less frequent collections.</w:t>
      </w:r>
      <w:r w:rsidRPr="207A3F4C">
        <w:rPr>
          <w:rFonts w:ascii="Times New Roman" w:eastAsia="Times New Roman" w:hAnsi="Times New Roman" w:cs="Times New Roman"/>
          <w:sz w:val="24"/>
          <w:szCs w:val="24"/>
        </w:rPr>
        <w:t xml:space="preserve">  </w:t>
      </w:r>
    </w:p>
    <w:p w:rsidR="00041100" w:rsidP="00120F59" w14:paraId="147D52E5" w14:textId="3618BC78">
      <w:pPr>
        <w:spacing w:after="160" w:line="276" w:lineRule="auto"/>
        <w:ind w:firstLine="720"/>
      </w:pPr>
      <w:r w:rsidRPr="207A3F4C">
        <w:rPr>
          <w:rFonts w:ascii="Times New Roman" w:eastAsia="Times New Roman" w:hAnsi="Times New Roman" w:cs="Times New Roman"/>
          <w:sz w:val="24"/>
          <w:szCs w:val="24"/>
        </w:rPr>
        <w:t xml:space="preserve">If FinCEN did not collect the information associated with the FinCEN </w:t>
      </w:r>
      <w:r w:rsidR="001A2581">
        <w:rPr>
          <w:rFonts w:ascii="Times New Roman" w:eastAsia="Times New Roman" w:hAnsi="Times New Roman" w:cs="Times New Roman"/>
          <w:sz w:val="24"/>
          <w:szCs w:val="24"/>
        </w:rPr>
        <w:t>w</w:t>
      </w:r>
      <w:r w:rsidRPr="207A3F4C">
        <w:rPr>
          <w:rFonts w:ascii="Times New Roman" w:eastAsia="Times New Roman" w:hAnsi="Times New Roman" w:cs="Times New Roman"/>
          <w:sz w:val="24"/>
          <w:szCs w:val="24"/>
        </w:rPr>
        <w:t xml:space="preserve">histleblower </w:t>
      </w:r>
      <w:r w:rsidR="001A2581">
        <w:rPr>
          <w:rFonts w:ascii="Times New Roman" w:eastAsia="Times New Roman" w:hAnsi="Times New Roman" w:cs="Times New Roman"/>
          <w:sz w:val="24"/>
          <w:szCs w:val="24"/>
        </w:rPr>
        <w:t>p</w:t>
      </w:r>
      <w:r w:rsidRPr="207A3F4C">
        <w:rPr>
          <w:rFonts w:ascii="Times New Roman" w:eastAsia="Times New Roman" w:hAnsi="Times New Roman" w:cs="Times New Roman"/>
          <w:sz w:val="24"/>
          <w:szCs w:val="24"/>
        </w:rPr>
        <w:t xml:space="preserve">rogram, or collected the information less frequently, </w:t>
      </w:r>
      <w:r w:rsidR="00387C1F">
        <w:rPr>
          <w:rFonts w:ascii="Times New Roman" w:eastAsia="Times New Roman" w:hAnsi="Times New Roman" w:cs="Times New Roman"/>
          <w:sz w:val="24"/>
          <w:szCs w:val="24"/>
        </w:rPr>
        <w:t xml:space="preserve">then </w:t>
      </w:r>
      <w:r w:rsidRPr="207A3F4C">
        <w:rPr>
          <w:rFonts w:ascii="Times New Roman" w:eastAsia="Times New Roman" w:hAnsi="Times New Roman" w:cs="Times New Roman"/>
          <w:sz w:val="24"/>
          <w:szCs w:val="24"/>
        </w:rPr>
        <w:t xml:space="preserve">FinCEN would be unable to </w:t>
      </w:r>
      <w:r w:rsidR="0043119E">
        <w:rPr>
          <w:rFonts w:ascii="Times New Roman" w:eastAsia="Times New Roman" w:hAnsi="Times New Roman" w:cs="Times New Roman"/>
          <w:sz w:val="24"/>
          <w:szCs w:val="24"/>
        </w:rPr>
        <w:t xml:space="preserve">effectively </w:t>
      </w:r>
      <w:r w:rsidRPr="207A3F4C">
        <w:rPr>
          <w:rFonts w:ascii="Times New Roman" w:eastAsia="Times New Roman" w:hAnsi="Times New Roman" w:cs="Times New Roman"/>
          <w:sz w:val="24"/>
          <w:szCs w:val="24"/>
        </w:rPr>
        <w:t>carry out</w:t>
      </w:r>
      <w:r w:rsidR="003558EB">
        <w:rPr>
          <w:rFonts w:ascii="Times New Roman" w:eastAsia="Times New Roman" w:hAnsi="Times New Roman" w:cs="Times New Roman"/>
          <w:sz w:val="24"/>
          <w:szCs w:val="24"/>
        </w:rPr>
        <w:t>,</w:t>
      </w:r>
      <w:r w:rsidRPr="207A3F4C">
        <w:rPr>
          <w:rFonts w:ascii="Times New Roman" w:eastAsia="Times New Roman" w:hAnsi="Times New Roman" w:cs="Times New Roman"/>
          <w:sz w:val="24"/>
          <w:szCs w:val="24"/>
        </w:rPr>
        <w:t xml:space="preserve"> </w:t>
      </w:r>
      <w:r w:rsidR="00F52FC7">
        <w:rPr>
          <w:rFonts w:ascii="Times New Roman" w:eastAsia="Times New Roman" w:hAnsi="Times New Roman" w:cs="Times New Roman"/>
          <w:sz w:val="24"/>
          <w:szCs w:val="24"/>
        </w:rPr>
        <w:t xml:space="preserve">at </w:t>
      </w:r>
      <w:r w:rsidR="003558EB">
        <w:rPr>
          <w:rFonts w:ascii="Times New Roman" w:eastAsia="Times New Roman" w:hAnsi="Times New Roman" w:cs="Times New Roman"/>
          <w:sz w:val="24"/>
          <w:szCs w:val="24"/>
        </w:rPr>
        <w:t xml:space="preserve">an appropriate </w:t>
      </w:r>
      <w:r w:rsidR="00F52FC7">
        <w:rPr>
          <w:rFonts w:ascii="Times New Roman" w:eastAsia="Times New Roman" w:hAnsi="Times New Roman" w:cs="Times New Roman"/>
          <w:sz w:val="24"/>
          <w:szCs w:val="24"/>
        </w:rPr>
        <w:t>scale</w:t>
      </w:r>
      <w:r w:rsidR="003558EB">
        <w:rPr>
          <w:rFonts w:ascii="Times New Roman" w:eastAsia="Times New Roman" w:hAnsi="Times New Roman" w:cs="Times New Roman"/>
          <w:sz w:val="24"/>
          <w:szCs w:val="24"/>
        </w:rPr>
        <w:t>,</w:t>
      </w:r>
      <w:r w:rsidR="00F52FC7">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its statutory responsibilities under</w:t>
      </w:r>
      <w:r w:rsidR="00274B3A">
        <w:rPr>
          <w:rFonts w:ascii="Times New Roman" w:eastAsia="Times New Roman" w:hAnsi="Times New Roman" w:cs="Times New Roman"/>
          <w:sz w:val="24"/>
          <w:szCs w:val="24"/>
        </w:rPr>
        <w:t xml:space="preserve"> </w:t>
      </w:r>
      <w:r w:rsidR="004F3D84">
        <w:rPr>
          <w:rFonts w:ascii="Times New Roman" w:eastAsia="Times New Roman" w:hAnsi="Times New Roman" w:cs="Times New Roman"/>
          <w:sz w:val="24"/>
          <w:szCs w:val="24"/>
        </w:rPr>
        <w:t>31 U.S.C. 5323</w:t>
      </w:r>
      <w:r w:rsidRPr="207A3F4C">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The program</w:t>
      </w:r>
      <w:r w:rsidR="00553D3E">
        <w:rPr>
          <w:rFonts w:ascii="Times New Roman" w:eastAsia="Times New Roman" w:hAnsi="Times New Roman" w:cs="Times New Roman"/>
          <w:sz w:val="24"/>
          <w:szCs w:val="24"/>
        </w:rPr>
        <w:t>’s effectiveness</w:t>
      </w:r>
      <w:r w:rsidRPr="207A3F4C">
        <w:rPr>
          <w:rFonts w:ascii="Times New Roman" w:eastAsia="Times New Roman" w:hAnsi="Times New Roman" w:cs="Times New Roman"/>
          <w:sz w:val="24"/>
          <w:szCs w:val="24"/>
        </w:rPr>
        <w:t xml:space="preserve"> depends on the timely and ongoing receipt of information </w:t>
      </w:r>
      <w:r w:rsidR="00690B80">
        <w:rPr>
          <w:rFonts w:ascii="Times New Roman" w:eastAsia="Times New Roman" w:hAnsi="Times New Roman" w:cs="Times New Roman"/>
          <w:sz w:val="24"/>
          <w:szCs w:val="24"/>
        </w:rPr>
        <w:t xml:space="preserve">from whistleblowers </w:t>
      </w:r>
      <w:r w:rsidRPr="207A3F4C">
        <w:rPr>
          <w:rFonts w:ascii="Times New Roman" w:eastAsia="Times New Roman" w:hAnsi="Times New Roman" w:cs="Times New Roman"/>
          <w:sz w:val="24"/>
          <w:szCs w:val="24"/>
        </w:rPr>
        <w:t xml:space="preserve">who voluntarily submit original information relating to potential violations of the covered statutes. </w:t>
      </w:r>
    </w:p>
    <w:p w:rsidR="00041100" w:rsidP="001A70C6" w14:paraId="54E09BBF" w14:textId="22941E17">
      <w:pPr>
        <w:spacing w:after="160" w:line="276" w:lineRule="auto"/>
        <w:ind w:firstLine="720"/>
      </w:pPr>
      <w:r w:rsidRPr="207A3F4C">
        <w:rPr>
          <w:rFonts w:ascii="Times New Roman" w:eastAsia="Times New Roman" w:hAnsi="Times New Roman" w:cs="Times New Roman"/>
          <w:sz w:val="24"/>
          <w:szCs w:val="24"/>
        </w:rPr>
        <w:t xml:space="preserve">Less frequent collection would impede FinCEN’s ability to receive, review, and assess whistleblower submissions as they arise, potentially delaying appropriate review, referral, or other programmatic actions. </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Because whistleblower submissions are event-driven and not predictable in timing or volume, periodic or infrequent collection would not be practicable. </w:t>
      </w:r>
    </w:p>
    <w:p w:rsidR="00041100" w:rsidP="207A3F4C" w14:paraId="54ADD377" w14:textId="087B9FAB">
      <w:pPr>
        <w:spacing w:after="160" w:line="276" w:lineRule="auto"/>
        <w:ind w:firstLine="720"/>
      </w:pPr>
      <w:r w:rsidRPr="207A3F4C">
        <w:rPr>
          <w:rFonts w:ascii="Times New Roman" w:eastAsia="Times New Roman" w:hAnsi="Times New Roman" w:cs="Times New Roman"/>
          <w:sz w:val="24"/>
          <w:szCs w:val="24"/>
        </w:rPr>
        <w:t xml:space="preserve">In addition, failure to collect this information would prevent FinCEN from fully implementing the whistleblower award framework established by statute and would undermine the effectiveness of the whistleblower program. </w:t>
      </w:r>
    </w:p>
    <w:p w:rsidR="00041100" w:rsidP="207A3F4C" w14:paraId="0CA91A3B" w14:textId="030167CD">
      <w:pPr>
        <w:spacing w:after="160" w:line="276" w:lineRule="auto"/>
      </w:pPr>
      <w:r w:rsidRPr="207A3F4C">
        <w:rPr>
          <w:rFonts w:ascii="Times New Roman" w:eastAsia="Times New Roman" w:hAnsi="Times New Roman" w:cs="Times New Roman"/>
          <w:sz w:val="24"/>
          <w:szCs w:val="24"/>
        </w:rPr>
        <w:t xml:space="preserve">7. </w:t>
      </w:r>
      <w:r w:rsidRPr="207A3F4C">
        <w:rPr>
          <w:rFonts w:ascii="Times New Roman" w:eastAsia="Times New Roman" w:hAnsi="Times New Roman" w:cs="Times New Roman"/>
          <w:sz w:val="24"/>
          <w:szCs w:val="24"/>
          <w:u w:val="single"/>
        </w:rPr>
        <w:t xml:space="preserve">Special circumstances requiring data collection </w:t>
      </w:r>
      <w:r w:rsidRPr="207A3F4C">
        <w:rPr>
          <w:rFonts w:ascii="Times New Roman" w:eastAsia="Times New Roman" w:hAnsi="Times New Roman" w:cs="Times New Roman"/>
          <w:sz w:val="24"/>
          <w:szCs w:val="24"/>
          <w:u w:val="single"/>
        </w:rPr>
        <w:t>inconsistent</w:t>
      </w:r>
      <w:r w:rsidRPr="207A3F4C">
        <w:rPr>
          <w:rFonts w:ascii="Times New Roman" w:eastAsia="Times New Roman" w:hAnsi="Times New Roman" w:cs="Times New Roman"/>
          <w:sz w:val="24"/>
          <w:szCs w:val="24"/>
          <w:u w:val="single"/>
        </w:rPr>
        <w:t xml:space="preserve"> with guidelines in 5 CFR 1320.5(d)(2).</w:t>
      </w:r>
      <w:r w:rsidRPr="207A3F4C">
        <w:rPr>
          <w:rFonts w:ascii="Times New Roman" w:eastAsia="Times New Roman" w:hAnsi="Times New Roman" w:cs="Times New Roman"/>
          <w:sz w:val="24"/>
          <w:szCs w:val="24"/>
        </w:rPr>
        <w:t xml:space="preserve"> </w:t>
      </w:r>
    </w:p>
    <w:p w:rsidR="00041100" w:rsidP="207A3F4C" w14:paraId="72348BD9" w14:textId="093D32BD">
      <w:pPr>
        <w:spacing w:after="160" w:line="276" w:lineRule="auto"/>
        <w:ind w:firstLine="720"/>
      </w:pPr>
      <w:r w:rsidRPr="207A3F4C">
        <w:rPr>
          <w:rFonts w:ascii="Times New Roman" w:eastAsia="Times New Roman" w:hAnsi="Times New Roman" w:cs="Times New Roman"/>
          <w:sz w:val="24"/>
          <w:szCs w:val="24"/>
        </w:rPr>
        <w:t xml:space="preserve">There are no special circumstances associated with this information collection. The collection is conducted in a manner consistent with the guidelines set forth in 5 CFR 1320.5(d)(2).  </w:t>
      </w:r>
    </w:p>
    <w:p w:rsidR="00041100" w:rsidP="207A3F4C" w14:paraId="4214F676" w14:textId="231282B4">
      <w:pPr>
        <w:spacing w:after="160" w:line="276" w:lineRule="auto"/>
      </w:pPr>
      <w:r w:rsidRPr="207A3F4C">
        <w:rPr>
          <w:rFonts w:ascii="Times New Roman" w:eastAsia="Times New Roman" w:hAnsi="Times New Roman" w:cs="Times New Roman"/>
          <w:sz w:val="24"/>
          <w:szCs w:val="24"/>
        </w:rPr>
        <w:t xml:space="preserve">8. </w:t>
      </w:r>
      <w:r w:rsidRPr="207A3F4C">
        <w:rPr>
          <w:rFonts w:ascii="Times New Roman" w:eastAsia="Times New Roman" w:hAnsi="Times New Roman" w:cs="Times New Roman"/>
          <w:sz w:val="24"/>
          <w:szCs w:val="24"/>
          <w:u w:val="single"/>
        </w:rPr>
        <w:t>Consultation with individuals outside of the agency on availability of data, frequency of collection, clarity of instructions and forms, and data elements.</w:t>
      </w:r>
      <w:r w:rsidRPr="207A3F4C">
        <w:rPr>
          <w:rFonts w:ascii="Times New Roman" w:eastAsia="Times New Roman" w:hAnsi="Times New Roman" w:cs="Times New Roman"/>
          <w:sz w:val="24"/>
          <w:szCs w:val="24"/>
        </w:rPr>
        <w:t xml:space="preserve">  </w:t>
      </w:r>
    </w:p>
    <w:p w:rsidR="00041100" w:rsidP="009C7367" w14:paraId="552DA1BA" w14:textId="211C278C">
      <w:pPr>
        <w:spacing w:after="160" w:line="276" w:lineRule="auto"/>
        <w:ind w:firstLine="720"/>
      </w:pPr>
      <w:r w:rsidRPr="00D90FCC">
        <w:rPr>
          <w:rFonts w:ascii="Times New Roman" w:eastAsia="Times New Roman" w:hAnsi="Times New Roman" w:cs="Times New Roman"/>
          <w:sz w:val="24"/>
          <w:szCs w:val="24"/>
        </w:rPr>
        <w:t xml:space="preserve">In accordance with the Paperwork Reduction Act and 5 CFR 1320.8(d), FinCEN </w:t>
      </w:r>
      <w:r w:rsidRPr="00D90FCC" w:rsidR="00853CAA">
        <w:rPr>
          <w:rFonts w:ascii="Times New Roman" w:eastAsia="Times New Roman" w:hAnsi="Times New Roman" w:cs="Times New Roman"/>
          <w:sz w:val="24"/>
          <w:szCs w:val="24"/>
        </w:rPr>
        <w:t>will</w:t>
      </w:r>
      <w:r w:rsidRPr="00D90FCC">
        <w:rPr>
          <w:rFonts w:ascii="Times New Roman" w:eastAsia="Times New Roman" w:hAnsi="Times New Roman" w:cs="Times New Roman"/>
          <w:sz w:val="24"/>
          <w:szCs w:val="24"/>
        </w:rPr>
        <w:t xml:space="preserve"> solicit public comment on this information collection through publication of </w:t>
      </w:r>
      <w:r w:rsidR="00FE6410">
        <w:rPr>
          <w:rFonts w:ascii="Times New Roman" w:eastAsia="Times New Roman" w:hAnsi="Times New Roman" w:cs="Times New Roman"/>
          <w:sz w:val="24"/>
          <w:szCs w:val="24"/>
        </w:rPr>
        <w:t>the Whistleblower</w:t>
      </w:r>
      <w:r w:rsidRPr="00D90FCC">
        <w:rPr>
          <w:rFonts w:ascii="Times New Roman" w:eastAsia="Times New Roman" w:hAnsi="Times New Roman" w:cs="Times New Roman"/>
          <w:sz w:val="24"/>
          <w:szCs w:val="24"/>
        </w:rPr>
        <w:t xml:space="preserve"> NPRM in the </w:t>
      </w:r>
      <w:r w:rsidRPr="002027A5">
        <w:rPr>
          <w:rFonts w:ascii="Times New Roman" w:eastAsia="Times New Roman" w:hAnsi="Times New Roman" w:cs="Times New Roman"/>
          <w:sz w:val="24"/>
          <w:szCs w:val="24"/>
        </w:rPr>
        <w:t>Federal Register</w:t>
      </w:r>
      <w:r w:rsidRPr="00D90FCC">
        <w:rPr>
          <w:rFonts w:ascii="Times New Roman" w:eastAsia="Times New Roman" w:hAnsi="Times New Roman" w:cs="Times New Roman"/>
          <w:sz w:val="24"/>
          <w:szCs w:val="24"/>
        </w:rPr>
        <w:t>.</w:t>
      </w:r>
      <w:r w:rsidR="00D90FCC">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 The notice provides a 60-day public comment period during which interested parties may submit comments on the proposed information collection, including the estimated cost and hour burden, the availability of data, the frequency of collection, the clarity of instructions and recordkeeping requirements, and the data elements to be collected.</w:t>
      </w:r>
    </w:p>
    <w:p w:rsidR="00041100" w:rsidP="009C7367" w14:paraId="32CD67ED" w14:textId="5E091997">
      <w:pPr>
        <w:spacing w:after="160" w:line="276" w:lineRule="auto"/>
        <w:ind w:firstLine="720"/>
      </w:pPr>
      <w:r w:rsidRPr="207A3F4C">
        <w:rPr>
          <w:rFonts w:ascii="Times New Roman" w:eastAsia="Times New Roman" w:hAnsi="Times New Roman" w:cs="Times New Roman"/>
          <w:sz w:val="24"/>
          <w:szCs w:val="24"/>
        </w:rPr>
        <w:t xml:space="preserve">Because this Supporting Statement accompanies a proposed rule, FinCEN has not yet received or evaluated public comments submitted in response to the </w:t>
      </w:r>
      <w:r w:rsidRPr="002027A5">
        <w:rPr>
          <w:rFonts w:ascii="Times New Roman" w:eastAsia="Times New Roman" w:hAnsi="Times New Roman" w:cs="Times New Roman"/>
          <w:sz w:val="24"/>
          <w:szCs w:val="24"/>
        </w:rPr>
        <w:t>Federal Register</w:t>
      </w:r>
      <w:r w:rsidRPr="207A3F4C">
        <w:rPr>
          <w:rFonts w:ascii="Times New Roman" w:eastAsia="Times New Roman" w:hAnsi="Times New Roman" w:cs="Times New Roman"/>
          <w:sz w:val="24"/>
          <w:szCs w:val="24"/>
        </w:rPr>
        <w:t xml:space="preserve"> notice. FinCEN will review and consider all comments received, including comments related to cost and hour burden, and will describe any changes made in response to such comments in the final rule and accompanying Supporting Statement submitted to OMB. </w:t>
      </w:r>
    </w:p>
    <w:p w:rsidR="00041100" w:rsidP="009C7367" w14:paraId="52D2CEE0" w14:textId="0BA32B47">
      <w:pPr>
        <w:spacing w:after="160" w:line="276" w:lineRule="auto"/>
        <w:ind w:firstLine="720"/>
      </w:pPr>
      <w:r w:rsidRPr="207A3F4C">
        <w:rPr>
          <w:rFonts w:ascii="Times New Roman" w:eastAsia="Times New Roman" w:hAnsi="Times New Roman" w:cs="Times New Roman"/>
          <w:sz w:val="24"/>
          <w:szCs w:val="24"/>
        </w:rPr>
        <w:t xml:space="preserve">In developing the proposed </w:t>
      </w:r>
      <w:r w:rsidRPr="207A3F4C">
        <w:rPr>
          <w:rFonts w:ascii="Times New Roman" w:eastAsia="Times New Roman" w:hAnsi="Times New Roman" w:cs="Times New Roman"/>
          <w:sz w:val="24"/>
          <w:szCs w:val="24"/>
        </w:rPr>
        <w:t>rule</w:t>
      </w:r>
      <w:r w:rsidRPr="207A3F4C">
        <w:rPr>
          <w:rFonts w:ascii="Times New Roman" w:eastAsia="Times New Roman" w:hAnsi="Times New Roman" w:cs="Times New Roman"/>
          <w:sz w:val="24"/>
          <w:szCs w:val="24"/>
        </w:rPr>
        <w:t xml:space="preserve"> and associated information collection, FinCEN considered existing practices and approaches used in whistleblower programs administered by other federal agencies as discussed in the </w:t>
      </w:r>
      <w:r w:rsidRPr="207A3F4C">
        <w:rPr>
          <w:rFonts w:ascii="Times New Roman" w:eastAsia="Times New Roman" w:hAnsi="Times New Roman" w:cs="Times New Roman"/>
          <w:i/>
          <w:iCs/>
          <w:sz w:val="24"/>
          <w:szCs w:val="24"/>
        </w:rPr>
        <w:t>Baseline</w:t>
      </w:r>
      <w:r w:rsidR="002539BE">
        <w:rPr>
          <w:rFonts w:ascii="Times New Roman" w:eastAsia="Times New Roman" w:hAnsi="Times New Roman" w:cs="Times New Roman"/>
          <w:i/>
          <w:iCs/>
          <w:sz w:val="24"/>
          <w:szCs w:val="24"/>
        </w:rPr>
        <w:t xml:space="preserve"> of</w:t>
      </w:r>
      <w:r w:rsidRPr="207A3F4C">
        <w:rPr>
          <w:rFonts w:ascii="Times New Roman" w:eastAsia="Times New Roman" w:hAnsi="Times New Roman" w:cs="Times New Roman"/>
          <w:i/>
          <w:iCs/>
          <w:sz w:val="24"/>
          <w:szCs w:val="24"/>
        </w:rPr>
        <w:t xml:space="preserve"> Current Practices </w:t>
      </w:r>
      <w:r w:rsidR="00EC79C0">
        <w:rPr>
          <w:rFonts w:ascii="Times New Roman" w:eastAsia="Times New Roman" w:hAnsi="Times New Roman" w:cs="Times New Roman"/>
          <w:i/>
          <w:iCs/>
          <w:sz w:val="24"/>
          <w:szCs w:val="24"/>
        </w:rPr>
        <w:t xml:space="preserve">and Activities </w:t>
      </w:r>
      <w:r w:rsidRPr="207A3F4C">
        <w:rPr>
          <w:rFonts w:ascii="Times New Roman" w:eastAsia="Times New Roman" w:hAnsi="Times New Roman" w:cs="Times New Roman"/>
          <w:sz w:val="24"/>
          <w:szCs w:val="24"/>
        </w:rPr>
        <w:t>section of the</w:t>
      </w:r>
      <w:r w:rsidR="00C42D44">
        <w:rPr>
          <w:rFonts w:ascii="Times New Roman" w:eastAsia="Times New Roman" w:hAnsi="Times New Roman" w:cs="Times New Roman"/>
          <w:sz w:val="24"/>
          <w:szCs w:val="24"/>
        </w:rPr>
        <w:t xml:space="preserve"> Whistleblower</w:t>
      </w:r>
      <w:r w:rsidRPr="207A3F4C">
        <w:rPr>
          <w:rFonts w:ascii="Times New Roman" w:eastAsia="Times New Roman" w:hAnsi="Times New Roman" w:cs="Times New Roman"/>
          <w:sz w:val="24"/>
          <w:szCs w:val="24"/>
        </w:rPr>
        <w:t xml:space="preserve"> NPRM.</w:t>
      </w:r>
      <w:r w:rsidR="00727648">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 These sources informed FinCEN’s approach to the availability of data, frequency of collection, clarity of instructions, and identification of data elements necessary to administer the whistleblower program. </w:t>
      </w:r>
    </w:p>
    <w:p w:rsidR="00041100" w:rsidP="009C7367" w14:paraId="3A5255AA" w14:textId="0B1EF424">
      <w:pPr>
        <w:spacing w:after="160" w:line="276" w:lineRule="auto"/>
        <w:ind w:firstLine="720"/>
      </w:pPr>
      <w:r w:rsidRPr="449F3C73">
        <w:rPr>
          <w:rFonts w:ascii="Times New Roman" w:eastAsia="Times New Roman" w:hAnsi="Times New Roman" w:cs="Times New Roman"/>
          <w:sz w:val="24"/>
          <w:szCs w:val="24"/>
        </w:rPr>
        <w:t xml:space="preserve">Because this information collection is associated with </w:t>
      </w:r>
      <w:r w:rsidRPr="449F3C73" w:rsidR="00056F80">
        <w:rPr>
          <w:rFonts w:ascii="Times New Roman" w:eastAsia="Times New Roman" w:hAnsi="Times New Roman" w:cs="Times New Roman"/>
          <w:sz w:val="24"/>
          <w:szCs w:val="24"/>
        </w:rPr>
        <w:t>a proposed rule</w:t>
      </w:r>
      <w:r w:rsidRPr="449F3C73">
        <w:rPr>
          <w:rFonts w:ascii="Times New Roman" w:eastAsia="Times New Roman" w:hAnsi="Times New Roman" w:cs="Times New Roman"/>
          <w:sz w:val="24"/>
          <w:szCs w:val="24"/>
        </w:rPr>
        <w:t xml:space="preserve">, opportunities for consultation with prospective whistleblowers will occur through the public notice and comment process. </w:t>
      </w:r>
      <w:r w:rsidR="00FF4A3B">
        <w:rPr>
          <w:rFonts w:ascii="Times New Roman" w:eastAsia="Times New Roman" w:hAnsi="Times New Roman" w:cs="Times New Roman"/>
          <w:sz w:val="24"/>
          <w:szCs w:val="24"/>
        </w:rPr>
        <w:t xml:space="preserve"> </w:t>
      </w:r>
      <w:r w:rsidRPr="449F3C73">
        <w:rPr>
          <w:rFonts w:ascii="Times New Roman" w:eastAsia="Times New Roman" w:hAnsi="Times New Roman" w:cs="Times New Roman"/>
          <w:sz w:val="24"/>
          <w:szCs w:val="24"/>
        </w:rPr>
        <w:t xml:space="preserve">FinCEN </w:t>
      </w:r>
      <w:r w:rsidR="001A09B6">
        <w:rPr>
          <w:rFonts w:ascii="Times New Roman" w:eastAsia="Times New Roman" w:hAnsi="Times New Roman" w:cs="Times New Roman"/>
          <w:sz w:val="24"/>
          <w:szCs w:val="24"/>
        </w:rPr>
        <w:t xml:space="preserve">also </w:t>
      </w:r>
      <w:r w:rsidRPr="449F3C73">
        <w:rPr>
          <w:rFonts w:ascii="Times New Roman" w:eastAsia="Times New Roman" w:hAnsi="Times New Roman" w:cs="Times New Roman"/>
          <w:sz w:val="24"/>
          <w:szCs w:val="24"/>
        </w:rPr>
        <w:t xml:space="preserve">anticipates continued consultation through future PRA renewals and rulemakings as appropriate. </w:t>
      </w:r>
    </w:p>
    <w:p w:rsidR="008457A7" w:rsidP="449F3C73" w14:paraId="6D73DA2C" w14:textId="77777777">
      <w:pPr>
        <w:spacing w:after="160" w:line="276" w:lineRule="auto"/>
        <w:rPr>
          <w:rFonts w:ascii="Times New Roman" w:eastAsia="Times New Roman" w:hAnsi="Times New Roman" w:cs="Times New Roman"/>
          <w:sz w:val="24"/>
          <w:szCs w:val="24"/>
        </w:rPr>
      </w:pPr>
    </w:p>
    <w:p w:rsidR="00041100" w:rsidP="449F3C73" w14:paraId="6AC0918F" w14:textId="662D2867">
      <w:pPr>
        <w:spacing w:after="160" w:line="276" w:lineRule="auto"/>
        <w:rPr>
          <w:rFonts w:ascii="Times New Roman" w:eastAsia="Times New Roman" w:hAnsi="Times New Roman" w:cs="Times New Roman"/>
          <w:sz w:val="24"/>
          <w:szCs w:val="24"/>
        </w:rPr>
      </w:pPr>
      <w:r w:rsidRPr="449F3C73">
        <w:rPr>
          <w:rFonts w:ascii="Times New Roman" w:eastAsia="Times New Roman" w:hAnsi="Times New Roman" w:cs="Times New Roman"/>
          <w:sz w:val="24"/>
          <w:szCs w:val="24"/>
        </w:rPr>
        <w:t xml:space="preserve">9. </w:t>
      </w:r>
      <w:r w:rsidRPr="449F3C73">
        <w:rPr>
          <w:rFonts w:ascii="Times New Roman" w:eastAsia="Times New Roman" w:hAnsi="Times New Roman" w:cs="Times New Roman"/>
          <w:sz w:val="24"/>
          <w:szCs w:val="24"/>
          <w:u w:val="single"/>
        </w:rPr>
        <w:t>Explanation of decision to provide any payment or gift to respondents.</w:t>
      </w:r>
      <w:r w:rsidRPr="449F3C73">
        <w:rPr>
          <w:rFonts w:ascii="Times New Roman" w:eastAsia="Times New Roman" w:hAnsi="Times New Roman" w:cs="Times New Roman"/>
          <w:sz w:val="24"/>
          <w:szCs w:val="24"/>
        </w:rPr>
        <w:t xml:space="preserve">  </w:t>
      </w:r>
    </w:p>
    <w:p w:rsidR="00041100" w:rsidP="003D4CE1" w14:paraId="2A28DF4B" w14:textId="1499DDD0">
      <w:pPr>
        <w:spacing w:after="160" w:line="276" w:lineRule="auto"/>
        <w:ind w:firstLine="720"/>
      </w:pPr>
      <w:r w:rsidRPr="449F3C73">
        <w:rPr>
          <w:rFonts w:ascii="Times New Roman" w:eastAsia="Times New Roman" w:hAnsi="Times New Roman" w:cs="Times New Roman"/>
          <w:sz w:val="24"/>
          <w:szCs w:val="24"/>
        </w:rPr>
        <w:t>FinCEN does not provide any payments or gifts to whistleblowers</w:t>
      </w:r>
      <w:r w:rsidR="002926BD">
        <w:rPr>
          <w:rFonts w:ascii="Times New Roman" w:eastAsia="Times New Roman" w:hAnsi="Times New Roman" w:cs="Times New Roman"/>
          <w:sz w:val="24"/>
          <w:szCs w:val="24"/>
        </w:rPr>
        <w:t>, other than</w:t>
      </w:r>
      <w:r w:rsidR="00A14CBA">
        <w:rPr>
          <w:rFonts w:ascii="Times New Roman" w:eastAsia="Times New Roman" w:hAnsi="Times New Roman" w:cs="Times New Roman"/>
          <w:sz w:val="24"/>
          <w:szCs w:val="24"/>
        </w:rPr>
        <w:t xml:space="preserve"> the</w:t>
      </w:r>
      <w:r w:rsidR="002926BD">
        <w:rPr>
          <w:rFonts w:ascii="Times New Roman" w:eastAsia="Times New Roman" w:hAnsi="Times New Roman" w:cs="Times New Roman"/>
          <w:sz w:val="24"/>
          <w:szCs w:val="24"/>
        </w:rPr>
        <w:t xml:space="preserve"> awards contemplated in</w:t>
      </w:r>
      <w:r w:rsidR="00A14CBA">
        <w:rPr>
          <w:rFonts w:ascii="Times New Roman" w:eastAsia="Times New Roman" w:hAnsi="Times New Roman" w:cs="Times New Roman"/>
          <w:sz w:val="24"/>
          <w:szCs w:val="24"/>
        </w:rPr>
        <w:t xml:space="preserve"> 31 USC </w:t>
      </w:r>
      <w:r w:rsidR="008B747A">
        <w:rPr>
          <w:rFonts w:ascii="Times New Roman" w:eastAsia="Times New Roman" w:hAnsi="Times New Roman" w:cs="Times New Roman"/>
          <w:sz w:val="24"/>
          <w:szCs w:val="24"/>
        </w:rPr>
        <w:t>5323(b),</w:t>
      </w:r>
      <w:r w:rsidRPr="449F3C73">
        <w:rPr>
          <w:rFonts w:ascii="Times New Roman" w:eastAsia="Times New Roman" w:hAnsi="Times New Roman" w:cs="Times New Roman"/>
          <w:sz w:val="24"/>
          <w:szCs w:val="24"/>
        </w:rPr>
        <w:t xml:space="preserve"> in connection with this information collection. </w:t>
      </w:r>
    </w:p>
    <w:p w:rsidR="00041100" w:rsidP="207A3F4C" w14:paraId="3B57CBEB" w14:textId="10F6230E">
      <w:pPr>
        <w:spacing w:after="160" w:line="276" w:lineRule="auto"/>
      </w:pPr>
      <w:r w:rsidRPr="207A3F4C">
        <w:rPr>
          <w:rFonts w:ascii="Times New Roman" w:eastAsia="Times New Roman" w:hAnsi="Times New Roman" w:cs="Times New Roman"/>
          <w:sz w:val="24"/>
          <w:szCs w:val="24"/>
        </w:rPr>
        <w:t xml:space="preserve">10. </w:t>
      </w:r>
      <w:r w:rsidRPr="207A3F4C">
        <w:rPr>
          <w:rFonts w:ascii="Times New Roman" w:eastAsia="Times New Roman" w:hAnsi="Times New Roman" w:cs="Times New Roman"/>
          <w:sz w:val="24"/>
          <w:szCs w:val="24"/>
          <w:u w:val="single"/>
        </w:rPr>
        <w:t>Assurance of confidentiality of responses.</w:t>
      </w:r>
      <w:r w:rsidRPr="207A3F4C">
        <w:rPr>
          <w:rFonts w:ascii="Times New Roman" w:eastAsia="Times New Roman" w:hAnsi="Times New Roman" w:cs="Times New Roman"/>
          <w:sz w:val="24"/>
          <w:szCs w:val="24"/>
        </w:rPr>
        <w:t xml:space="preserve">  </w:t>
      </w:r>
    </w:p>
    <w:p w:rsidR="00041100" w:rsidP="003F15C7" w14:paraId="59B1306C" w14:textId="19D9BCB5">
      <w:pPr>
        <w:spacing w:after="160" w:line="276" w:lineRule="auto"/>
        <w:ind w:firstLine="720"/>
      </w:pPr>
      <w:r>
        <w:rPr>
          <w:rFonts w:ascii="Times New Roman" w:eastAsia="Times New Roman" w:hAnsi="Times New Roman" w:cs="Times New Roman"/>
          <w:sz w:val="24"/>
          <w:szCs w:val="24"/>
        </w:rPr>
        <w:t xml:space="preserve">Consistent with the mandate set forth in the statute establishing the whistleblower program, </w:t>
      </w:r>
      <w:r w:rsidRPr="207A3F4C">
        <w:rPr>
          <w:rFonts w:ascii="Times New Roman" w:eastAsia="Times New Roman" w:hAnsi="Times New Roman" w:cs="Times New Roman"/>
          <w:sz w:val="24"/>
          <w:szCs w:val="24"/>
        </w:rPr>
        <w:t xml:space="preserve">FinCEN recognizes </w:t>
      </w:r>
      <w:r>
        <w:rPr>
          <w:rFonts w:ascii="Times New Roman" w:eastAsia="Times New Roman" w:hAnsi="Times New Roman" w:cs="Times New Roman"/>
          <w:sz w:val="24"/>
          <w:szCs w:val="24"/>
        </w:rPr>
        <w:t>the importance of</w:t>
      </w:r>
      <w:r w:rsidRPr="207A3F4C">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preserving </w:t>
      </w:r>
      <w:r w:rsidR="002D4B14">
        <w:rPr>
          <w:rFonts w:ascii="Times New Roman" w:eastAsia="Times New Roman" w:hAnsi="Times New Roman" w:cs="Times New Roman"/>
          <w:sz w:val="24"/>
          <w:szCs w:val="24"/>
        </w:rPr>
        <w:t xml:space="preserve">the </w:t>
      </w:r>
      <w:r w:rsidRPr="207A3F4C">
        <w:rPr>
          <w:rFonts w:ascii="Times New Roman" w:eastAsia="Times New Roman" w:hAnsi="Times New Roman" w:cs="Times New Roman"/>
          <w:sz w:val="24"/>
          <w:szCs w:val="24"/>
        </w:rPr>
        <w:t>confidentiality</w:t>
      </w:r>
      <w:r w:rsidR="002D4B14">
        <w:rPr>
          <w:rFonts w:ascii="Times New Roman" w:eastAsia="Times New Roman" w:hAnsi="Times New Roman" w:cs="Times New Roman"/>
          <w:sz w:val="24"/>
          <w:szCs w:val="24"/>
        </w:rPr>
        <w:t xml:space="preserve"> of whistleblowers</w:t>
      </w:r>
      <w:r w:rsidRPr="207A3F4C">
        <w:rPr>
          <w:rFonts w:ascii="Times New Roman" w:eastAsia="Times New Roman" w:hAnsi="Times New Roman" w:cs="Times New Roman"/>
          <w:sz w:val="24"/>
          <w:szCs w:val="24"/>
        </w:rPr>
        <w:t xml:space="preserve">. FinCEN will handle information collected under the FinCEN </w:t>
      </w:r>
      <w:r w:rsidR="001A2581">
        <w:rPr>
          <w:rFonts w:ascii="Times New Roman" w:eastAsia="Times New Roman" w:hAnsi="Times New Roman" w:cs="Times New Roman"/>
          <w:sz w:val="24"/>
          <w:szCs w:val="24"/>
        </w:rPr>
        <w:t>w</w:t>
      </w:r>
      <w:r w:rsidRPr="207A3F4C">
        <w:rPr>
          <w:rFonts w:ascii="Times New Roman" w:eastAsia="Times New Roman" w:hAnsi="Times New Roman" w:cs="Times New Roman"/>
          <w:sz w:val="24"/>
          <w:szCs w:val="24"/>
        </w:rPr>
        <w:t xml:space="preserve">histleblower </w:t>
      </w:r>
      <w:r w:rsidR="001A2581">
        <w:rPr>
          <w:rFonts w:ascii="Times New Roman" w:eastAsia="Times New Roman" w:hAnsi="Times New Roman" w:cs="Times New Roman"/>
          <w:sz w:val="24"/>
          <w:szCs w:val="24"/>
        </w:rPr>
        <w:t>p</w:t>
      </w:r>
      <w:r w:rsidRPr="207A3F4C">
        <w:rPr>
          <w:rFonts w:ascii="Times New Roman" w:eastAsia="Times New Roman" w:hAnsi="Times New Roman" w:cs="Times New Roman"/>
          <w:sz w:val="24"/>
          <w:szCs w:val="24"/>
        </w:rPr>
        <w:t xml:space="preserve">rogram in accordance with applicable statutory, regulatory, and policy requirements governing confidentiality, privacy, and information security. </w:t>
      </w:r>
      <w:r w:rsidR="003774D1">
        <w:rPr>
          <w:rFonts w:ascii="Times New Roman" w:eastAsia="Times New Roman" w:hAnsi="Times New Roman" w:cs="Times New Roman"/>
          <w:sz w:val="24"/>
          <w:szCs w:val="24"/>
        </w:rPr>
        <w:t xml:space="preserve"> </w:t>
      </w:r>
      <w:r w:rsidR="00EC5E20">
        <w:rPr>
          <w:rFonts w:ascii="Times New Roman" w:eastAsia="Times New Roman" w:hAnsi="Times New Roman" w:cs="Times New Roman"/>
          <w:sz w:val="24"/>
          <w:szCs w:val="24"/>
        </w:rPr>
        <w:t xml:space="preserve">31 U.S.C. 5323(g)(4) </w:t>
      </w:r>
      <w:r w:rsidRPr="207A3F4C">
        <w:rPr>
          <w:rFonts w:ascii="Times New Roman" w:eastAsia="Times New Roman" w:hAnsi="Times New Roman" w:cs="Times New Roman"/>
          <w:sz w:val="24"/>
          <w:szCs w:val="24"/>
        </w:rPr>
        <w:t>provides the statutory basis for protecting the confidentiality of whistleblower information, including the identity of whistleblowers.</w:t>
      </w:r>
    </w:p>
    <w:p w:rsidR="00C13033" w:rsidP="00C13033" w14:paraId="6E3D0996" w14:textId="3383861C">
      <w:pPr>
        <w:spacing w:after="160" w:line="276" w:lineRule="auto"/>
        <w:ind w:firstLine="720"/>
        <w:rPr>
          <w:rFonts w:ascii="Times New Roman" w:eastAsia="Times New Roman" w:hAnsi="Times New Roman" w:cs="Times New Roman"/>
          <w:sz w:val="24"/>
          <w:szCs w:val="24"/>
        </w:rPr>
      </w:pPr>
      <w:r w:rsidRPr="449F3C73">
        <w:rPr>
          <w:rFonts w:ascii="Times New Roman" w:eastAsia="Times New Roman" w:hAnsi="Times New Roman" w:cs="Times New Roman"/>
          <w:sz w:val="24"/>
          <w:szCs w:val="24"/>
        </w:rPr>
        <w:t xml:space="preserve">Information collected under this program is subject to the Privacy Act of 1974, as applicable, and will be maintained in a system of records covered by the following </w:t>
      </w:r>
      <w:r w:rsidR="00F74E75">
        <w:rPr>
          <w:rFonts w:ascii="Times New Roman" w:eastAsia="Times New Roman" w:hAnsi="Times New Roman" w:cs="Times New Roman"/>
          <w:sz w:val="24"/>
          <w:szCs w:val="24"/>
        </w:rPr>
        <w:t>s</w:t>
      </w:r>
      <w:r w:rsidRPr="449F3C73">
        <w:rPr>
          <w:rFonts w:ascii="Times New Roman" w:eastAsia="Times New Roman" w:hAnsi="Times New Roman" w:cs="Times New Roman"/>
          <w:sz w:val="24"/>
          <w:szCs w:val="24"/>
        </w:rPr>
        <w:t xml:space="preserve">ystem of </w:t>
      </w:r>
      <w:r w:rsidR="00F74E75">
        <w:rPr>
          <w:rFonts w:ascii="Times New Roman" w:eastAsia="Times New Roman" w:hAnsi="Times New Roman" w:cs="Times New Roman"/>
          <w:sz w:val="24"/>
          <w:szCs w:val="24"/>
        </w:rPr>
        <w:t>r</w:t>
      </w:r>
      <w:r w:rsidRPr="449F3C73">
        <w:rPr>
          <w:rFonts w:ascii="Times New Roman" w:eastAsia="Times New Roman" w:hAnsi="Times New Roman" w:cs="Times New Roman"/>
          <w:sz w:val="24"/>
          <w:szCs w:val="24"/>
        </w:rPr>
        <w:t xml:space="preserve">ecords </w:t>
      </w:r>
      <w:r w:rsidR="00F74E75">
        <w:rPr>
          <w:rFonts w:ascii="Times New Roman" w:eastAsia="Times New Roman" w:hAnsi="Times New Roman" w:cs="Times New Roman"/>
          <w:sz w:val="24"/>
          <w:szCs w:val="24"/>
        </w:rPr>
        <w:t>n</w:t>
      </w:r>
      <w:r w:rsidRPr="449F3C73">
        <w:rPr>
          <w:rFonts w:ascii="Times New Roman" w:eastAsia="Times New Roman" w:hAnsi="Times New Roman" w:cs="Times New Roman"/>
          <w:sz w:val="24"/>
          <w:szCs w:val="24"/>
        </w:rPr>
        <w:t>otice:</w:t>
      </w:r>
      <w:r w:rsidRPr="449F3C73" w:rsidR="00094E9B">
        <w:rPr>
          <w:rFonts w:ascii="Times New Roman" w:eastAsia="Times New Roman" w:hAnsi="Times New Roman" w:cs="Times New Roman"/>
          <w:sz w:val="24"/>
          <w:szCs w:val="24"/>
        </w:rPr>
        <w:t xml:space="preserve"> Treasury/FinCEN .001—FinCEN Investigations and Examinations System</w:t>
      </w:r>
      <w:r w:rsidR="00F477D4">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5"/>
      </w:r>
      <w:r w:rsidRPr="449F3C73" w:rsidR="00232116">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FinCEN has implemented administrative, technical, and physical safeguards to protect information collected under this program from unauthorized access or disclosure.</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 Access is limited to authorized personnel who </w:t>
      </w:r>
      <w:r w:rsidR="005E5A71">
        <w:rPr>
          <w:rFonts w:ascii="Times New Roman" w:eastAsia="Times New Roman" w:hAnsi="Times New Roman" w:cs="Times New Roman"/>
          <w:sz w:val="24"/>
          <w:szCs w:val="24"/>
        </w:rPr>
        <w:t>receive</w:t>
      </w:r>
      <w:r w:rsidR="00426B2C">
        <w:rPr>
          <w:rFonts w:ascii="Times New Roman" w:eastAsia="Times New Roman" w:hAnsi="Times New Roman" w:cs="Times New Roman"/>
          <w:sz w:val="24"/>
          <w:szCs w:val="24"/>
        </w:rPr>
        <w:t xml:space="preserve"> appropriate training</w:t>
      </w:r>
      <w:r w:rsidRPr="207A3F4C">
        <w:rPr>
          <w:rFonts w:ascii="Times New Roman" w:eastAsia="Times New Roman" w:hAnsi="Times New Roman" w:cs="Times New Roman"/>
          <w:sz w:val="24"/>
          <w:szCs w:val="24"/>
        </w:rPr>
        <w:t xml:space="preserve">. </w:t>
      </w:r>
    </w:p>
    <w:p w:rsidR="00041100" w:rsidP="00C13033" w14:paraId="51D9340B" w14:textId="126892E3">
      <w:pPr>
        <w:spacing w:after="160" w:line="276" w:lineRule="auto"/>
        <w:ind w:firstLine="720"/>
      </w:pPr>
      <w:r w:rsidRPr="207A3F4C">
        <w:rPr>
          <w:rFonts w:ascii="Times New Roman" w:eastAsia="Times New Roman" w:hAnsi="Times New Roman" w:cs="Times New Roman"/>
          <w:sz w:val="24"/>
          <w:szCs w:val="24"/>
        </w:rPr>
        <w:t>Information may be shared within Treasury or with the Department of Justice</w:t>
      </w:r>
      <w:r w:rsidR="009C1D7E">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9C1D7E">
        <w:rPr>
          <w:rFonts w:ascii="Times New Roman" w:eastAsia="Times New Roman" w:hAnsi="Times New Roman" w:cs="Times New Roman"/>
          <w:sz w:val="24"/>
          <w:szCs w:val="24"/>
        </w:rPr>
        <w:t>At</w:t>
      </w:r>
      <w:r w:rsidRPr="207A3F4C">
        <w:rPr>
          <w:rFonts w:ascii="Times New Roman" w:eastAsia="Times New Roman" w:hAnsi="Times New Roman" w:cs="Times New Roman"/>
          <w:sz w:val="24"/>
          <w:szCs w:val="24"/>
        </w:rPr>
        <w:t xml:space="preserve"> FinCEN’s discretion</w:t>
      </w:r>
      <w:r w:rsidR="00DF4874">
        <w:rPr>
          <w:rFonts w:ascii="Times New Roman" w:eastAsia="Times New Roman" w:hAnsi="Times New Roman" w:cs="Times New Roman"/>
          <w:sz w:val="24"/>
          <w:szCs w:val="24"/>
        </w:rPr>
        <w:t xml:space="preserve"> and consistent with the statute</w:t>
      </w:r>
      <w:r w:rsidRPr="207A3F4C">
        <w:rPr>
          <w:rFonts w:ascii="Times New Roman" w:eastAsia="Times New Roman" w:hAnsi="Times New Roman" w:cs="Times New Roman"/>
          <w:sz w:val="24"/>
          <w:szCs w:val="24"/>
        </w:rPr>
        <w:t>, FinCEN may also make original information available to other appropriate agencies and authorities and/or to foreign law enforcement authorities</w:t>
      </w:r>
      <w:r w:rsidR="0029182C">
        <w:rPr>
          <w:rFonts w:ascii="Times New Roman" w:eastAsia="Times New Roman" w:hAnsi="Times New Roman" w:cs="Times New Roman"/>
          <w:sz w:val="24"/>
          <w:szCs w:val="24"/>
        </w:rPr>
        <w:t xml:space="preserve"> when appropriate and consistent with certain purposes</w:t>
      </w:r>
      <w:r w:rsidR="00C13033">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C13033">
        <w:rPr>
          <w:rFonts w:ascii="Times New Roman" w:eastAsia="Times New Roman" w:hAnsi="Times New Roman" w:cs="Times New Roman"/>
          <w:sz w:val="24"/>
          <w:szCs w:val="24"/>
        </w:rPr>
        <w:t>Furthermore, c</w:t>
      </w:r>
      <w:r w:rsidRPr="207A3F4C">
        <w:rPr>
          <w:rFonts w:ascii="Times New Roman" w:eastAsia="Times New Roman" w:hAnsi="Times New Roman" w:cs="Times New Roman"/>
          <w:sz w:val="24"/>
          <w:szCs w:val="24"/>
        </w:rPr>
        <w:t>onsistent with 31 USC 5323(g)(4)(</w:t>
      </w:r>
      <w:r w:rsidR="00C13033">
        <w:rPr>
          <w:rFonts w:ascii="Times New Roman" w:eastAsia="Times New Roman" w:hAnsi="Times New Roman" w:cs="Times New Roman"/>
          <w:sz w:val="24"/>
          <w:szCs w:val="24"/>
        </w:rPr>
        <w:t>A</w:t>
      </w:r>
      <w:r w:rsidRPr="207A3F4C">
        <w:rPr>
          <w:rFonts w:ascii="Times New Roman" w:eastAsia="Times New Roman" w:hAnsi="Times New Roman" w:cs="Times New Roman"/>
          <w:sz w:val="24"/>
          <w:szCs w:val="24"/>
        </w:rPr>
        <w:t xml:space="preserve">), </w:t>
      </w:r>
      <w:r w:rsidR="00C13033">
        <w:rPr>
          <w:rFonts w:ascii="Times New Roman" w:eastAsia="Times New Roman" w:hAnsi="Times New Roman" w:cs="Times New Roman"/>
          <w:sz w:val="24"/>
          <w:szCs w:val="24"/>
        </w:rPr>
        <w:t xml:space="preserve">the proposed rule provides that FinCEN </w:t>
      </w:r>
      <w:r w:rsidRPr="00C13033" w:rsidR="00C13033">
        <w:rPr>
          <w:rFonts w:ascii="Times New Roman" w:eastAsia="Times New Roman" w:hAnsi="Times New Roman" w:cs="Times New Roman"/>
          <w:sz w:val="24"/>
          <w:szCs w:val="24"/>
        </w:rPr>
        <w:t>shall not disclose any information, including information provided by a whistleblower to FinCEN, that could reasonably be expected to reveal the identity of a whistleblower, excep</w:t>
      </w:r>
      <w:r w:rsidR="00C13033">
        <w:rPr>
          <w:rFonts w:ascii="Times New Roman" w:eastAsia="Times New Roman" w:hAnsi="Times New Roman" w:cs="Times New Roman"/>
          <w:sz w:val="24"/>
          <w:szCs w:val="24"/>
        </w:rPr>
        <w:t xml:space="preserve">t in certain circumstances set out in the statute. </w:t>
      </w:r>
    </w:p>
    <w:p w:rsidR="00041100" w:rsidP="449F3C73" w14:paraId="38E89DB6" w14:textId="11A9045E">
      <w:pPr>
        <w:spacing w:after="160" w:line="276" w:lineRule="auto"/>
        <w:rPr>
          <w:rFonts w:ascii="Times New Roman" w:eastAsia="Times New Roman" w:hAnsi="Times New Roman" w:cs="Times New Roman"/>
          <w:sz w:val="24"/>
          <w:szCs w:val="24"/>
        </w:rPr>
      </w:pPr>
      <w:r w:rsidRPr="449F3C73">
        <w:rPr>
          <w:rFonts w:ascii="Times New Roman" w:eastAsia="Times New Roman" w:hAnsi="Times New Roman" w:cs="Times New Roman"/>
          <w:sz w:val="24"/>
          <w:szCs w:val="24"/>
        </w:rPr>
        <w:t xml:space="preserve">11. </w:t>
      </w:r>
      <w:r w:rsidRPr="449F3C73">
        <w:rPr>
          <w:rFonts w:ascii="Times New Roman" w:eastAsia="Times New Roman" w:hAnsi="Times New Roman" w:cs="Times New Roman"/>
          <w:sz w:val="24"/>
          <w:szCs w:val="24"/>
          <w:u w:val="single"/>
        </w:rPr>
        <w:t>Justification of sensitive questions.</w:t>
      </w:r>
      <w:r w:rsidRPr="449F3C73">
        <w:rPr>
          <w:rFonts w:ascii="Times New Roman" w:eastAsia="Times New Roman" w:hAnsi="Times New Roman" w:cs="Times New Roman"/>
          <w:sz w:val="24"/>
          <w:szCs w:val="24"/>
        </w:rPr>
        <w:t xml:space="preserve">  </w:t>
      </w:r>
    </w:p>
    <w:p w:rsidR="00041100" w:rsidP="004862DE" w14:paraId="008E525A" w14:textId="3D6209F4">
      <w:pPr>
        <w:spacing w:after="160" w:line="276" w:lineRule="auto"/>
        <w:ind w:firstLine="720"/>
      </w:pPr>
      <w:r>
        <w:rPr>
          <w:rFonts w:ascii="Times New Roman" w:eastAsia="Times New Roman" w:hAnsi="Times New Roman" w:cs="Times New Roman"/>
          <w:sz w:val="24"/>
          <w:szCs w:val="24"/>
        </w:rPr>
        <w:t xml:space="preserve">This information collection does not contain questions of a sensitive nature, such as questions </w:t>
      </w:r>
      <w:r w:rsidRPr="207A3F4C">
        <w:rPr>
          <w:rFonts w:ascii="Times New Roman" w:eastAsia="Times New Roman" w:hAnsi="Times New Roman" w:cs="Times New Roman"/>
          <w:sz w:val="24"/>
          <w:szCs w:val="24"/>
        </w:rPr>
        <w:t>concerning sexual behavior or attitudes, religious beliefs, or other categories of information commonly considered private.</w:t>
      </w:r>
      <w:r>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EE5A50">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personally identifiable information, which may be considered sensitive information</w:t>
      </w:r>
      <w:r w:rsidR="00EE5A50">
        <w:rPr>
          <w:rFonts w:ascii="Times New Roman" w:eastAsia="Times New Roman" w:hAnsi="Times New Roman" w:cs="Times New Roman"/>
          <w:sz w:val="24"/>
          <w:szCs w:val="24"/>
        </w:rPr>
        <w:t>, is submitted voluntarily by respondents</w:t>
      </w:r>
      <w:r>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006B6AB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uch </w:t>
      </w:r>
      <w:r w:rsidRPr="207A3F4C">
        <w:rPr>
          <w:rFonts w:ascii="Times New Roman" w:eastAsia="Times New Roman" w:hAnsi="Times New Roman" w:cs="Times New Roman"/>
          <w:sz w:val="24"/>
          <w:szCs w:val="24"/>
        </w:rPr>
        <w:t>collected</w:t>
      </w:r>
      <w:r w:rsidR="004862DE">
        <w:rPr>
          <w:rFonts w:ascii="Times New Roman" w:eastAsia="Times New Roman" w:hAnsi="Times New Roman" w:cs="Times New Roman"/>
          <w:sz w:val="24"/>
          <w:szCs w:val="24"/>
        </w:rPr>
        <w:t xml:space="preserve"> information</w:t>
      </w:r>
      <w:r w:rsidRPr="207A3F4C">
        <w:rPr>
          <w:rFonts w:ascii="Times New Roman" w:eastAsia="Times New Roman" w:hAnsi="Times New Roman" w:cs="Times New Roman"/>
          <w:sz w:val="24"/>
          <w:szCs w:val="24"/>
        </w:rPr>
        <w:t xml:space="preserve"> is necessary </w:t>
      </w:r>
      <w:r w:rsidR="00EE5A50">
        <w:rPr>
          <w:rFonts w:ascii="Times New Roman" w:eastAsia="Times New Roman" w:hAnsi="Times New Roman" w:cs="Times New Roman"/>
          <w:sz w:val="24"/>
          <w:szCs w:val="24"/>
        </w:rPr>
        <w:t xml:space="preserve">for FinCEN </w:t>
      </w:r>
      <w:r w:rsidRPr="207A3F4C">
        <w:rPr>
          <w:rFonts w:ascii="Times New Roman" w:eastAsia="Times New Roman" w:hAnsi="Times New Roman" w:cs="Times New Roman"/>
          <w:sz w:val="24"/>
          <w:szCs w:val="24"/>
        </w:rPr>
        <w:t>to evaluate the credibility, relevance, and usefulness of whistleblower submissions</w:t>
      </w:r>
      <w:r w:rsidR="00D534FD">
        <w:rPr>
          <w:rFonts w:ascii="Times New Roman" w:eastAsia="Times New Roman" w:hAnsi="Times New Roman" w:cs="Times New Roman"/>
          <w:sz w:val="24"/>
          <w:szCs w:val="24"/>
        </w:rPr>
        <w:t xml:space="preserve">; to evaluate the eligibility of whistleblowers for awards; </w:t>
      </w:r>
      <w:r w:rsidRPr="207A3F4C">
        <w:rPr>
          <w:rFonts w:ascii="Times New Roman" w:eastAsia="Times New Roman" w:hAnsi="Times New Roman" w:cs="Times New Roman"/>
          <w:sz w:val="24"/>
          <w:szCs w:val="24"/>
        </w:rPr>
        <w:t xml:space="preserve">and to </w:t>
      </w:r>
      <w:r w:rsidR="004862DE">
        <w:rPr>
          <w:rFonts w:ascii="Times New Roman" w:eastAsia="Times New Roman" w:hAnsi="Times New Roman" w:cs="Times New Roman"/>
          <w:sz w:val="24"/>
          <w:szCs w:val="24"/>
        </w:rPr>
        <w:t xml:space="preserve">otherwise </w:t>
      </w:r>
      <w:r w:rsidRPr="207A3F4C">
        <w:rPr>
          <w:rFonts w:ascii="Times New Roman" w:eastAsia="Times New Roman" w:hAnsi="Times New Roman" w:cs="Times New Roman"/>
          <w:sz w:val="24"/>
          <w:szCs w:val="24"/>
        </w:rPr>
        <w:t xml:space="preserve">administer the whistleblower program in accordance with statutory requirements. </w:t>
      </w:r>
    </w:p>
    <w:p w:rsidR="00CE5905" w:rsidRPr="00433B9B" w:rsidP="00CE5905" w14:paraId="26C96FD2" w14:textId="77777777">
      <w:pPr>
        <w:spacing w:after="0" w:line="240" w:lineRule="auto"/>
        <w:rPr>
          <w:rFonts w:ascii="Times New Roman" w:hAnsi="Times New Roman" w:cs="Times New Roman"/>
          <w:sz w:val="24"/>
          <w:szCs w:val="24"/>
        </w:rPr>
      </w:pPr>
      <w:r w:rsidRPr="00433B9B">
        <w:rPr>
          <w:rFonts w:ascii="Times New Roman" w:hAnsi="Times New Roman" w:cs="Times New Roman"/>
          <w:sz w:val="24"/>
          <w:szCs w:val="24"/>
        </w:rPr>
        <w:t xml:space="preserve">12. </w:t>
      </w:r>
      <w:r w:rsidRPr="00433B9B">
        <w:rPr>
          <w:rFonts w:ascii="Times New Roman" w:hAnsi="Times New Roman" w:cs="Times New Roman"/>
          <w:sz w:val="24"/>
          <w:szCs w:val="24"/>
          <w:u w:val="single"/>
        </w:rPr>
        <w:t>Estimated annual hourly burden.</w:t>
      </w:r>
    </w:p>
    <w:p w:rsidR="00CE5905" w:rsidRPr="00433B9B" w:rsidP="00CE5905" w14:paraId="18D3A4C2" w14:textId="77777777">
      <w:pPr>
        <w:numPr>
          <w:ilvl w:val="2"/>
          <w:numId w:val="0"/>
        </w:numPr>
        <w:spacing w:after="0" w:line="240" w:lineRule="auto"/>
        <w:outlineLvl w:val="2"/>
        <w:rPr>
          <w:rFonts w:ascii="Times New Roman" w:eastAsia="Times New Roman" w:hAnsi="Times New Roman" w:cs="Times New Roman"/>
          <w:b/>
          <w:sz w:val="24"/>
          <w:szCs w:val="24"/>
          <w14:ligatures w14:val="none"/>
        </w:rPr>
      </w:pPr>
    </w:p>
    <w:p w:rsidR="00CE5905" w:rsidP="00CE5905" w14:paraId="0A64554F" w14:textId="77777777">
      <w:pPr>
        <w:numPr>
          <w:ilvl w:val="2"/>
          <w:numId w:val="0"/>
        </w:numPr>
        <w:spacing w:after="0" w:line="240" w:lineRule="auto"/>
        <w:outlineLvl w:val="2"/>
        <w:rPr>
          <w:rFonts w:ascii="Times New Roman" w:eastAsia="Times New Roman" w:hAnsi="Times New Roman" w:cs="Times New Roman"/>
          <w:b/>
          <w:bCs/>
        </w:rPr>
      </w:pPr>
      <w:r w:rsidRPr="00433B9B">
        <w:rPr>
          <w:rFonts w:ascii="Times New Roman" w:eastAsia="Times New Roman" w:hAnsi="Times New Roman" w:cs="Times New Roman"/>
          <w:b/>
          <w:sz w:val="24"/>
          <w:szCs w:val="24"/>
          <w14:ligatures w14:val="none"/>
        </w:rPr>
        <w:t xml:space="preserve">Proposed </w:t>
      </w:r>
      <w:r w:rsidRPr="00433B9B">
        <w:rPr>
          <w:rFonts w:ascii="Times New Roman" w:eastAsia="Times New Roman" w:hAnsi="Times New Roman" w:cs="Times New Roman"/>
          <w:b/>
          <w:bCs/>
          <w:sz w:val="24"/>
          <w:szCs w:val="24"/>
        </w:rPr>
        <w:t>Whistleblower Tip, Complaint, or Referral Form (Form TCR)</w:t>
      </w:r>
    </w:p>
    <w:p w:rsidR="00CE5905" w:rsidRPr="00433B9B" w:rsidP="00CE5905" w14:paraId="46297F55" w14:textId="77777777">
      <w:pPr>
        <w:numPr>
          <w:ilvl w:val="2"/>
          <w:numId w:val="0"/>
        </w:numPr>
        <w:spacing w:after="0" w:line="240" w:lineRule="auto"/>
        <w:outlineLvl w:val="2"/>
        <w:rPr>
          <w:rFonts w:ascii="Times New Roman" w:eastAsia="Times New Roman" w:hAnsi="Times New Roman" w:cs="Times New Roman"/>
          <w:b/>
          <w:bCs/>
          <w:sz w:val="24"/>
          <w:szCs w:val="24"/>
        </w:rPr>
      </w:pPr>
    </w:p>
    <w:p w:rsidR="00CE5905" w:rsidP="00CE5905" w14:paraId="4106AC3B" w14:textId="40E1F9C6">
      <w:pPr>
        <w:numPr>
          <w:ilvl w:val="2"/>
          <w:numId w:val="0"/>
        </w:numPr>
        <w:spacing w:after="0" w:line="240" w:lineRule="auto"/>
        <w:outlineLvl w:val="2"/>
        <w:rPr>
          <w:rFonts w:ascii="Times New Roman" w:hAnsi="Times New Roman" w:cs="Times New Roman"/>
        </w:rPr>
      </w:pPr>
      <w:r w:rsidRPr="00433B9B">
        <w:rPr>
          <w:rFonts w:ascii="Times New Roman" w:hAnsi="Times New Roman" w:cs="Times New Roman"/>
          <w:i/>
          <w:iCs/>
          <w:sz w:val="24"/>
          <w:szCs w:val="24"/>
        </w:rPr>
        <w:t>Description</w:t>
      </w:r>
      <w:r w:rsidRPr="00433B9B">
        <w:rPr>
          <w:rFonts w:ascii="Times New Roman" w:hAnsi="Times New Roman" w:cs="Times New Roman"/>
          <w:sz w:val="24"/>
          <w:szCs w:val="24"/>
        </w:rPr>
        <w:t xml:space="preserve">: To be eligible to receive an award under FinCEN’s whistleblower program, individuals seeking to submit information of a possible violation of a covered statute to Treasury or </w:t>
      </w:r>
      <w:r w:rsidR="00CE29FC">
        <w:rPr>
          <w:rFonts w:ascii="Times New Roman" w:hAnsi="Times New Roman" w:cs="Times New Roman"/>
          <w:sz w:val="24"/>
          <w:szCs w:val="24"/>
        </w:rPr>
        <w:t xml:space="preserve">the Department of </w:t>
      </w:r>
      <w:r w:rsidRPr="00433B9B">
        <w:rPr>
          <w:rFonts w:ascii="Times New Roman" w:hAnsi="Times New Roman" w:cs="Times New Roman"/>
          <w:sz w:val="24"/>
          <w:szCs w:val="24"/>
        </w:rPr>
        <w:t>Justice must do so by providing information and completing the Form TCR through FinCEN’s online portal</w:t>
      </w:r>
      <w:r w:rsidR="002A006B">
        <w:rPr>
          <w:rFonts w:ascii="Times New Roman" w:hAnsi="Times New Roman" w:cs="Times New Roman"/>
          <w:sz w:val="24"/>
          <w:szCs w:val="24"/>
        </w:rPr>
        <w:t>,</w:t>
      </w:r>
      <w:r w:rsidRPr="00433B9B">
        <w:rPr>
          <w:rFonts w:ascii="Times New Roman" w:hAnsi="Times New Roman" w:cs="Times New Roman"/>
          <w:sz w:val="24"/>
          <w:szCs w:val="24"/>
        </w:rPr>
        <w:t xml:space="preserve"> unless another manner is authorized by FinCEN.</w:t>
      </w:r>
    </w:p>
    <w:p w:rsidR="00CE5905" w:rsidRPr="00433B9B" w:rsidP="00CE5905" w14:paraId="380A30CC" w14:textId="77777777">
      <w:pPr>
        <w:numPr>
          <w:ilvl w:val="2"/>
          <w:numId w:val="0"/>
        </w:numPr>
        <w:spacing w:after="0" w:line="240" w:lineRule="auto"/>
        <w:outlineLvl w:val="2"/>
        <w:rPr>
          <w:rFonts w:ascii="Times New Roman" w:hAnsi="Times New Roman" w:cs="Times New Roman"/>
          <w:sz w:val="24"/>
          <w:szCs w:val="24"/>
        </w:rPr>
      </w:pPr>
    </w:p>
    <w:p w:rsidR="00CE5905" w:rsidRPr="00433B9B" w:rsidP="00CE5905" w14:paraId="79FEC205" w14:textId="77777777">
      <w:pPr>
        <w:numPr>
          <w:ilvl w:val="2"/>
          <w:numId w:val="0"/>
        </w:numPr>
        <w:spacing w:after="0" w:line="240" w:lineRule="auto"/>
        <w:outlineLvl w:val="2"/>
        <w:rPr>
          <w:rFonts w:ascii="Times New Roman" w:eastAsia="Times New Roman" w:hAnsi="Times New Roman" w:cs="Times New Roman"/>
          <w:b/>
          <w:sz w:val="24"/>
          <w:szCs w:val="24"/>
          <w14:ligatures w14:val="none"/>
        </w:rPr>
      </w:pPr>
      <w:r w:rsidRPr="00433B9B">
        <w:rPr>
          <w:rFonts w:ascii="Times New Roman" w:hAnsi="Times New Roman" w:cs="Times New Roman"/>
          <w:i/>
          <w:iCs/>
          <w:sz w:val="24"/>
          <w:szCs w:val="24"/>
        </w:rPr>
        <w:t>Frequency</w:t>
      </w:r>
      <w:r w:rsidRPr="00433B9B">
        <w:rPr>
          <w:rFonts w:ascii="Times New Roman" w:hAnsi="Times New Roman" w:cs="Times New Roman"/>
          <w:sz w:val="24"/>
          <w:szCs w:val="24"/>
        </w:rPr>
        <w:t>: As required</w:t>
      </w:r>
    </w:p>
    <w:p w:rsidR="00CE5905" w:rsidRPr="00433B9B" w:rsidP="00CE5905" w14:paraId="3D6637B2" w14:textId="77777777">
      <w:pPr>
        <w:spacing w:after="0" w:line="240" w:lineRule="auto"/>
        <w:rPr>
          <w:rFonts w:ascii="Times New Roman" w:hAnsi="Times New Roman" w:cs="Times New Roman"/>
          <w:i/>
          <w:iCs/>
          <w:sz w:val="24"/>
          <w:szCs w:val="24"/>
        </w:rPr>
      </w:pPr>
    </w:p>
    <w:p w:rsidR="00CE5905" w:rsidRPr="00433B9B" w:rsidP="00CE5905" w14:paraId="15738780" w14:textId="77777777">
      <w:pPr>
        <w:spacing w:after="0" w:line="240" w:lineRule="auto"/>
        <w:rPr>
          <w:rFonts w:ascii="Times New Roman" w:hAnsi="Times New Roman" w:cs="Times New Roman"/>
          <w:sz w:val="24"/>
          <w:szCs w:val="24"/>
        </w:rPr>
      </w:pPr>
      <w:r w:rsidRPr="00433B9B">
        <w:rPr>
          <w:rFonts w:ascii="Times New Roman" w:hAnsi="Times New Roman" w:cs="Times New Roman"/>
          <w:i/>
          <w:iCs/>
          <w:sz w:val="24"/>
          <w:szCs w:val="24"/>
        </w:rPr>
        <w:t>Estimated Number of Annual Responses</w:t>
      </w:r>
      <w:r w:rsidRPr="00433B9B">
        <w:rPr>
          <w:rFonts w:ascii="Times New Roman" w:hAnsi="Times New Roman" w:cs="Times New Roman"/>
          <w:sz w:val="24"/>
          <w:szCs w:val="24"/>
        </w:rPr>
        <w:t>: 400 Form TCRs.</w:t>
      </w:r>
      <w:r>
        <w:rPr>
          <w:rStyle w:val="FootnoteReference"/>
          <w:rFonts w:ascii="Times New Roman" w:hAnsi="Times New Roman" w:cs="Times New Roman"/>
          <w:sz w:val="24"/>
          <w:szCs w:val="24"/>
        </w:rPr>
        <w:footnoteReference w:id="6"/>
      </w:r>
    </w:p>
    <w:p w:rsidR="00CE5905" w:rsidRPr="00433B9B" w:rsidP="00CE5905" w14:paraId="0C21F931" w14:textId="77777777">
      <w:pPr>
        <w:spacing w:after="0" w:line="240" w:lineRule="auto"/>
        <w:rPr>
          <w:rFonts w:ascii="Times New Roman" w:hAnsi="Times New Roman" w:cs="Times New Roman"/>
          <w:sz w:val="24"/>
          <w:szCs w:val="24"/>
        </w:rPr>
      </w:pPr>
    </w:p>
    <w:p w:rsidR="00CE5905" w:rsidRPr="00433B9B" w:rsidP="00CE5905" w14:paraId="0E618F6A" w14:textId="05204855">
      <w:pPr>
        <w:spacing w:after="0" w:line="240" w:lineRule="auto"/>
        <w:rPr>
          <w:rFonts w:ascii="Times New Roman" w:eastAsia="Times New Roman" w:hAnsi="Times New Roman" w:cs="Times New Roman"/>
          <w:sz w:val="24"/>
          <w:szCs w:val="24"/>
        </w:rPr>
      </w:pPr>
      <w:r w:rsidRPr="00433B9B">
        <w:rPr>
          <w:rFonts w:ascii="Times New Roman" w:eastAsia="Times New Roman" w:hAnsi="Times New Roman" w:cs="Times New Roman"/>
          <w:i/>
          <w:iCs/>
          <w:sz w:val="24"/>
          <w:szCs w:val="24"/>
        </w:rPr>
        <w:t>Estimated Burden per Response</w:t>
      </w:r>
      <w:r w:rsidRPr="00433B9B">
        <w:rPr>
          <w:rFonts w:ascii="Times New Roman" w:eastAsia="Times New Roman" w:hAnsi="Times New Roman" w:cs="Times New Roman"/>
          <w:sz w:val="24"/>
          <w:szCs w:val="24"/>
        </w:rPr>
        <w:t xml:space="preserve">: The burden associated with this information collection would vary, depending on the type of submission provided (i.e., original submission only, original submission with one or more supplemental submissions, or supplemental submission only), and whether a whistleblower submits information without legal representation (i.e., </w:t>
      </w:r>
      <w:r w:rsidRPr="00433B9B">
        <w:rPr>
          <w:rFonts w:ascii="Times New Roman" w:eastAsia="Times New Roman" w:hAnsi="Times New Roman" w:cs="Times New Roman"/>
          <w:i/>
          <w:iCs/>
          <w:sz w:val="24"/>
          <w:szCs w:val="24"/>
        </w:rPr>
        <w:t>pro se</w:t>
      </w:r>
      <w:r w:rsidRPr="00433B9B">
        <w:rPr>
          <w:rFonts w:ascii="Times New Roman" w:eastAsia="Times New Roman" w:hAnsi="Times New Roman" w:cs="Times New Roman"/>
          <w:sz w:val="24"/>
          <w:szCs w:val="24"/>
        </w:rPr>
        <w:t>) or through counsel.  FinCEN estimates the average burden per response type in Table 1 below.</w:t>
      </w:r>
      <w:bookmarkStart w:id="0" w:name="Table17"/>
    </w:p>
    <w:p w:rsidR="00CE5905" w:rsidRPr="00433B9B" w:rsidP="00CE5905" w14:paraId="4FC79B57" w14:textId="77777777">
      <w:pPr>
        <w:spacing w:after="0" w:line="240" w:lineRule="auto"/>
        <w:rPr>
          <w:rFonts w:ascii="Times New Roman" w:hAnsi="Times New Roman" w:cs="Times New Roman"/>
          <w:b/>
          <w:bCs/>
          <w:sz w:val="24"/>
          <w:szCs w:val="24"/>
        </w:rPr>
      </w:pPr>
    </w:p>
    <w:p w:rsidR="00CE5905" w:rsidRPr="003C3C43" w:rsidP="00CE5905" w14:paraId="379F3D89" w14:textId="77777777">
      <w:pPr>
        <w:spacing w:after="0" w:line="240" w:lineRule="auto"/>
        <w:rPr>
          <w:rFonts w:ascii="Times New Roman" w:hAnsi="Times New Roman" w:cs="Times New Roman"/>
          <w:b/>
          <w:bCs/>
          <w:sz w:val="24"/>
          <w:szCs w:val="24"/>
        </w:rPr>
      </w:pPr>
      <w:r w:rsidRPr="00433B9B">
        <w:rPr>
          <w:rFonts w:ascii="Times New Roman" w:hAnsi="Times New Roman" w:cs="Times New Roman"/>
          <w:b/>
          <w:bCs/>
          <w:sz w:val="24"/>
          <w:szCs w:val="24"/>
        </w:rPr>
        <w:t>Table 1.  Aggregate Annual Time Burden of Form TCR</w:t>
      </w:r>
      <w:bookmarkEnd w:id="0"/>
    </w:p>
    <w:tbl>
      <w:tblPr>
        <w:tblStyle w:val="TableGrid"/>
        <w:tblW w:w="5000" w:type="pct"/>
        <w:tblLook w:val="04A0"/>
      </w:tblPr>
      <w:tblGrid>
        <w:gridCol w:w="1851"/>
        <w:gridCol w:w="2642"/>
        <w:gridCol w:w="1711"/>
        <w:gridCol w:w="1601"/>
        <w:gridCol w:w="1545"/>
      </w:tblGrid>
      <w:tr w14:paraId="2BE0FC71" w14:textId="77777777" w:rsidTr="00E423AB">
        <w:tblPrEx>
          <w:tblW w:w="5000" w:type="pct"/>
          <w:tblLook w:val="04A0"/>
        </w:tblPrEx>
        <w:trPr>
          <w:trHeight w:val="863"/>
        </w:trPr>
        <w:tc>
          <w:tcPr>
            <w:tcW w:w="990" w:type="pct"/>
            <w:tcBorders>
              <w:top w:val="single" w:sz="4" w:space="0" w:color="auto"/>
            </w:tcBorders>
            <w:vAlign w:val="center"/>
          </w:tcPr>
          <w:p w:rsidR="00CE5905" w:rsidRPr="00433B9B" w:rsidP="00E423AB" w14:paraId="73087DF1"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Submission Type</w:t>
            </w:r>
          </w:p>
        </w:tc>
        <w:tc>
          <w:tcPr>
            <w:tcW w:w="1413" w:type="pct"/>
            <w:tcBorders>
              <w:top w:val="single" w:sz="4" w:space="0" w:color="auto"/>
            </w:tcBorders>
            <w:vAlign w:val="center"/>
          </w:tcPr>
          <w:p w:rsidR="00CE5905" w:rsidRPr="00433B9B" w:rsidP="00E423AB" w14:paraId="27D48A34"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Representation Type</w:t>
            </w:r>
          </w:p>
        </w:tc>
        <w:tc>
          <w:tcPr>
            <w:tcW w:w="915" w:type="pct"/>
            <w:tcBorders>
              <w:top w:val="single" w:sz="4" w:space="0" w:color="auto"/>
            </w:tcBorders>
            <w:vAlign w:val="center"/>
          </w:tcPr>
          <w:p w:rsidR="00CE5905" w:rsidRPr="00433B9B" w:rsidP="00E423AB" w14:paraId="1FC6A5EA"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Number of Responses</w:t>
            </w:r>
          </w:p>
        </w:tc>
        <w:tc>
          <w:tcPr>
            <w:tcW w:w="856" w:type="pct"/>
            <w:tcBorders>
              <w:top w:val="single" w:sz="4" w:space="0" w:color="auto"/>
            </w:tcBorders>
            <w:vAlign w:val="center"/>
          </w:tcPr>
          <w:p w:rsidR="00CE5905" w:rsidRPr="00433B9B" w:rsidP="00E423AB" w14:paraId="22D7BE41"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Time per Response (Minutes)</w:t>
            </w:r>
          </w:p>
        </w:tc>
        <w:tc>
          <w:tcPr>
            <w:tcW w:w="826" w:type="pct"/>
            <w:tcBorders>
              <w:top w:val="single" w:sz="4" w:space="0" w:color="auto"/>
            </w:tcBorders>
            <w:vAlign w:val="center"/>
          </w:tcPr>
          <w:p w:rsidR="00CE5905" w:rsidRPr="00433B9B" w:rsidP="00E423AB" w14:paraId="49AA7896"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Total Burden Hours</w:t>
            </w:r>
          </w:p>
        </w:tc>
      </w:tr>
      <w:tr w14:paraId="05AED785" w14:textId="77777777" w:rsidTr="00E423AB">
        <w:tblPrEx>
          <w:tblW w:w="5000" w:type="pct"/>
          <w:tblLook w:val="04A0"/>
        </w:tblPrEx>
        <w:tc>
          <w:tcPr>
            <w:tcW w:w="990" w:type="pct"/>
            <w:vMerge w:val="restart"/>
          </w:tcPr>
          <w:p w:rsidR="00CE5905" w:rsidRPr="00433B9B" w:rsidP="00E423AB" w14:paraId="71414EBE"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Original</w:t>
            </w:r>
          </w:p>
        </w:tc>
        <w:tc>
          <w:tcPr>
            <w:tcW w:w="1413" w:type="pct"/>
          </w:tcPr>
          <w:p w:rsidR="00CE5905" w:rsidRPr="00433B9B" w:rsidP="00E423AB" w14:paraId="7176CB1A"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Represented by Counsel</w:t>
            </w:r>
          </w:p>
        </w:tc>
        <w:tc>
          <w:tcPr>
            <w:tcW w:w="915" w:type="pct"/>
          </w:tcPr>
          <w:p w:rsidR="00CE5905" w:rsidRPr="00433B9B" w:rsidP="00E423AB" w14:paraId="755A9CDA"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58</w:t>
            </w:r>
          </w:p>
        </w:tc>
        <w:tc>
          <w:tcPr>
            <w:tcW w:w="856" w:type="pct"/>
          </w:tcPr>
          <w:p w:rsidR="00CE5905" w:rsidRPr="00433B9B" w:rsidP="00E423AB" w14:paraId="30405381"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 xml:space="preserve">36.75 </w:t>
            </w:r>
          </w:p>
        </w:tc>
        <w:tc>
          <w:tcPr>
            <w:tcW w:w="826" w:type="pct"/>
          </w:tcPr>
          <w:p w:rsidR="00CE5905" w:rsidRPr="00433B9B" w:rsidP="00E423AB" w14:paraId="2ED03C87"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35.53</w:t>
            </w:r>
          </w:p>
        </w:tc>
      </w:tr>
      <w:tr w14:paraId="24E6CB03" w14:textId="77777777" w:rsidTr="00E423AB">
        <w:tblPrEx>
          <w:tblW w:w="5000" w:type="pct"/>
          <w:tblLook w:val="04A0"/>
        </w:tblPrEx>
        <w:tc>
          <w:tcPr>
            <w:tcW w:w="990" w:type="pct"/>
            <w:vMerge/>
          </w:tcPr>
          <w:p w:rsidR="00CE5905" w:rsidRPr="00433B9B" w:rsidP="00E423AB" w14:paraId="1F8EBFF1" w14:textId="77777777">
            <w:pPr>
              <w:keepNext/>
              <w:spacing w:line="240" w:lineRule="auto"/>
              <w:rPr>
                <w:rFonts w:ascii="Times New Roman" w:hAnsi="Times New Roman" w:cs="Times New Roman"/>
                <w:sz w:val="24"/>
                <w:szCs w:val="24"/>
              </w:rPr>
            </w:pPr>
          </w:p>
        </w:tc>
        <w:tc>
          <w:tcPr>
            <w:tcW w:w="1413" w:type="pct"/>
          </w:tcPr>
          <w:p w:rsidR="00CE5905" w:rsidRPr="00433B9B" w:rsidP="00E423AB" w14:paraId="426643FD" w14:textId="77777777">
            <w:pPr>
              <w:keepNext/>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915" w:type="pct"/>
          </w:tcPr>
          <w:p w:rsidR="00CE5905" w:rsidRPr="00433B9B" w:rsidP="00E423AB" w14:paraId="684B06AB"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42</w:t>
            </w:r>
          </w:p>
        </w:tc>
        <w:tc>
          <w:tcPr>
            <w:tcW w:w="856" w:type="pct"/>
          </w:tcPr>
          <w:p w:rsidR="00CE5905" w:rsidRPr="00433B9B" w:rsidP="00E423AB" w14:paraId="214BAC15"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36.25</w:t>
            </w:r>
          </w:p>
        </w:tc>
        <w:tc>
          <w:tcPr>
            <w:tcW w:w="826" w:type="pct"/>
          </w:tcPr>
          <w:p w:rsidR="00CE5905" w:rsidRPr="00433B9B" w:rsidP="00E423AB" w14:paraId="6F1572EC"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25.38</w:t>
            </w:r>
          </w:p>
        </w:tc>
      </w:tr>
      <w:tr w14:paraId="1ED25505" w14:textId="77777777" w:rsidTr="00E423AB">
        <w:tblPrEx>
          <w:tblW w:w="5000" w:type="pct"/>
          <w:tblLook w:val="04A0"/>
        </w:tblPrEx>
        <w:tc>
          <w:tcPr>
            <w:tcW w:w="990" w:type="pct"/>
            <w:vMerge w:val="restart"/>
          </w:tcPr>
          <w:p w:rsidR="00CE5905" w:rsidRPr="00433B9B" w:rsidP="00E423AB" w14:paraId="4506EE8F"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 xml:space="preserve">Original and Supplemental </w:t>
            </w:r>
          </w:p>
        </w:tc>
        <w:tc>
          <w:tcPr>
            <w:tcW w:w="1413" w:type="pct"/>
          </w:tcPr>
          <w:p w:rsidR="00CE5905" w:rsidRPr="00433B9B" w:rsidP="00E423AB" w14:paraId="35FAADD4"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 xml:space="preserve">Represented by Counsel </w:t>
            </w:r>
          </w:p>
        </w:tc>
        <w:tc>
          <w:tcPr>
            <w:tcW w:w="915" w:type="pct"/>
          </w:tcPr>
          <w:p w:rsidR="00CE5905" w:rsidRPr="00433B9B" w:rsidP="00E423AB" w14:paraId="6CEB7B99"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87</w:t>
            </w:r>
          </w:p>
        </w:tc>
        <w:tc>
          <w:tcPr>
            <w:tcW w:w="856" w:type="pct"/>
          </w:tcPr>
          <w:p w:rsidR="00CE5905" w:rsidRPr="00433B9B" w:rsidP="00E423AB" w14:paraId="20F197C4"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53.75</w:t>
            </w:r>
          </w:p>
        </w:tc>
        <w:tc>
          <w:tcPr>
            <w:tcW w:w="826" w:type="pct"/>
          </w:tcPr>
          <w:p w:rsidR="00CE5905" w:rsidRPr="00433B9B" w:rsidP="00E423AB" w14:paraId="6F58055B"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77.94</w:t>
            </w:r>
          </w:p>
        </w:tc>
      </w:tr>
      <w:tr w14:paraId="0BA55832" w14:textId="77777777" w:rsidTr="00E423AB">
        <w:tblPrEx>
          <w:tblW w:w="5000" w:type="pct"/>
          <w:tblLook w:val="04A0"/>
        </w:tblPrEx>
        <w:tc>
          <w:tcPr>
            <w:tcW w:w="990" w:type="pct"/>
            <w:vMerge/>
          </w:tcPr>
          <w:p w:rsidR="00CE5905" w:rsidRPr="00433B9B" w:rsidP="00E423AB" w14:paraId="06145618" w14:textId="77777777">
            <w:pPr>
              <w:keepNext/>
              <w:spacing w:line="240" w:lineRule="auto"/>
              <w:rPr>
                <w:rFonts w:ascii="Times New Roman" w:hAnsi="Times New Roman" w:cs="Times New Roman"/>
                <w:sz w:val="24"/>
                <w:szCs w:val="24"/>
              </w:rPr>
            </w:pPr>
          </w:p>
        </w:tc>
        <w:tc>
          <w:tcPr>
            <w:tcW w:w="1413" w:type="pct"/>
          </w:tcPr>
          <w:p w:rsidR="00CE5905" w:rsidRPr="00433B9B" w:rsidP="00E423AB" w14:paraId="55378FD0" w14:textId="77777777">
            <w:pPr>
              <w:keepNext/>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915" w:type="pct"/>
          </w:tcPr>
          <w:p w:rsidR="00CE5905" w:rsidRPr="00433B9B" w:rsidP="00E423AB" w14:paraId="4F950823"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63</w:t>
            </w:r>
          </w:p>
        </w:tc>
        <w:tc>
          <w:tcPr>
            <w:tcW w:w="856" w:type="pct"/>
          </w:tcPr>
          <w:p w:rsidR="00CE5905" w:rsidRPr="00433B9B" w:rsidP="00E423AB" w14:paraId="2365FDEF"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52.75</w:t>
            </w:r>
          </w:p>
        </w:tc>
        <w:tc>
          <w:tcPr>
            <w:tcW w:w="826" w:type="pct"/>
          </w:tcPr>
          <w:p w:rsidR="00CE5905" w:rsidRPr="00433B9B" w:rsidP="00E423AB" w14:paraId="1ACB7DC9"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55.39</w:t>
            </w:r>
          </w:p>
        </w:tc>
      </w:tr>
      <w:tr w14:paraId="505382CE" w14:textId="77777777" w:rsidTr="00E423AB">
        <w:tblPrEx>
          <w:tblW w:w="5000" w:type="pct"/>
          <w:tblLook w:val="04A0"/>
        </w:tblPrEx>
        <w:tc>
          <w:tcPr>
            <w:tcW w:w="990" w:type="pct"/>
            <w:vMerge w:val="restart"/>
          </w:tcPr>
          <w:p w:rsidR="00CE5905" w:rsidRPr="00433B9B" w:rsidP="00E423AB" w14:paraId="61353746"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Supplemental Only</w:t>
            </w:r>
          </w:p>
        </w:tc>
        <w:tc>
          <w:tcPr>
            <w:tcW w:w="1413" w:type="pct"/>
          </w:tcPr>
          <w:p w:rsidR="00CE5905" w:rsidRPr="00433B9B" w:rsidP="00E423AB" w14:paraId="519672B6"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Represented by Counsel</w:t>
            </w:r>
          </w:p>
        </w:tc>
        <w:tc>
          <w:tcPr>
            <w:tcW w:w="915" w:type="pct"/>
          </w:tcPr>
          <w:p w:rsidR="00CE5905" w:rsidRPr="00433B9B" w:rsidP="00E423AB" w14:paraId="13BB9ABE"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87</w:t>
            </w:r>
          </w:p>
        </w:tc>
        <w:tc>
          <w:tcPr>
            <w:tcW w:w="856" w:type="pct"/>
          </w:tcPr>
          <w:p w:rsidR="00CE5905" w:rsidRPr="00433B9B" w:rsidP="00E423AB" w14:paraId="1F2C30B6"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17.0</w:t>
            </w:r>
          </w:p>
        </w:tc>
        <w:tc>
          <w:tcPr>
            <w:tcW w:w="826" w:type="pct"/>
          </w:tcPr>
          <w:p w:rsidR="00CE5905" w:rsidRPr="00433B9B" w:rsidP="00E423AB" w14:paraId="7D5566BE"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24.65</w:t>
            </w:r>
          </w:p>
        </w:tc>
      </w:tr>
      <w:tr w14:paraId="7D3413CB" w14:textId="77777777" w:rsidTr="00E423AB">
        <w:tblPrEx>
          <w:tblW w:w="5000" w:type="pct"/>
          <w:tblLook w:val="04A0"/>
        </w:tblPrEx>
        <w:tc>
          <w:tcPr>
            <w:tcW w:w="990" w:type="pct"/>
            <w:vMerge/>
          </w:tcPr>
          <w:p w:rsidR="00CE5905" w:rsidRPr="00433B9B" w:rsidP="00E423AB" w14:paraId="2ECDF560" w14:textId="77777777">
            <w:pPr>
              <w:keepNext/>
              <w:spacing w:line="240" w:lineRule="auto"/>
              <w:rPr>
                <w:rFonts w:ascii="Times New Roman" w:hAnsi="Times New Roman" w:cs="Times New Roman"/>
                <w:sz w:val="24"/>
                <w:szCs w:val="24"/>
              </w:rPr>
            </w:pPr>
          </w:p>
        </w:tc>
        <w:tc>
          <w:tcPr>
            <w:tcW w:w="1413" w:type="pct"/>
          </w:tcPr>
          <w:p w:rsidR="00CE5905" w:rsidRPr="00433B9B" w:rsidP="00E423AB" w14:paraId="2E4B23DD" w14:textId="77777777">
            <w:pPr>
              <w:keepNext/>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915" w:type="pct"/>
          </w:tcPr>
          <w:p w:rsidR="00CE5905" w:rsidRPr="00433B9B" w:rsidP="00E423AB" w14:paraId="13ABB3C6"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63</w:t>
            </w:r>
          </w:p>
        </w:tc>
        <w:tc>
          <w:tcPr>
            <w:tcW w:w="856" w:type="pct"/>
          </w:tcPr>
          <w:p w:rsidR="00CE5905" w:rsidRPr="00433B9B" w:rsidP="00E423AB" w14:paraId="3D1C6847"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16.5</w:t>
            </w:r>
          </w:p>
        </w:tc>
        <w:tc>
          <w:tcPr>
            <w:tcW w:w="826" w:type="pct"/>
          </w:tcPr>
          <w:p w:rsidR="00CE5905" w:rsidRPr="00433B9B" w:rsidP="00E423AB" w14:paraId="05D95239"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17.33</w:t>
            </w:r>
          </w:p>
        </w:tc>
      </w:tr>
      <w:tr w14:paraId="6D2A3425" w14:textId="77777777" w:rsidTr="00E423AB">
        <w:tblPrEx>
          <w:tblW w:w="5000" w:type="pct"/>
          <w:tblLook w:val="04A0"/>
        </w:tblPrEx>
        <w:tc>
          <w:tcPr>
            <w:tcW w:w="990" w:type="pct"/>
            <w:tcBorders>
              <w:bottom w:val="single" w:sz="4" w:space="0" w:color="auto"/>
            </w:tcBorders>
          </w:tcPr>
          <w:p w:rsidR="00CE5905" w:rsidRPr="00433B9B" w:rsidP="00E423AB" w14:paraId="51E850B3" w14:textId="77777777">
            <w:pPr>
              <w:keepNext/>
              <w:spacing w:line="240" w:lineRule="auto"/>
              <w:rPr>
                <w:rFonts w:ascii="Times New Roman" w:hAnsi="Times New Roman" w:cs="Times New Roman"/>
                <w:b/>
                <w:bCs/>
                <w:sz w:val="24"/>
                <w:szCs w:val="24"/>
              </w:rPr>
            </w:pPr>
            <w:r w:rsidRPr="00433B9B">
              <w:rPr>
                <w:rFonts w:ascii="Times New Roman" w:hAnsi="Times New Roman" w:cs="Times New Roman"/>
                <w:b/>
                <w:bCs/>
                <w:sz w:val="24"/>
                <w:szCs w:val="24"/>
              </w:rPr>
              <w:t xml:space="preserve">Total </w:t>
            </w:r>
          </w:p>
        </w:tc>
        <w:tc>
          <w:tcPr>
            <w:tcW w:w="1413" w:type="pct"/>
            <w:tcBorders>
              <w:bottom w:val="single" w:sz="4" w:space="0" w:color="auto"/>
            </w:tcBorders>
          </w:tcPr>
          <w:p w:rsidR="00CE5905" w:rsidRPr="00433B9B" w:rsidP="00E423AB" w14:paraId="586CC9E7" w14:textId="77777777">
            <w:pPr>
              <w:keepNext/>
              <w:spacing w:line="240" w:lineRule="auto"/>
              <w:rPr>
                <w:rFonts w:ascii="Times New Roman" w:hAnsi="Times New Roman" w:cs="Times New Roman"/>
                <w:b/>
                <w:bCs/>
                <w:sz w:val="24"/>
                <w:szCs w:val="24"/>
              </w:rPr>
            </w:pPr>
          </w:p>
        </w:tc>
        <w:tc>
          <w:tcPr>
            <w:tcW w:w="915" w:type="pct"/>
            <w:tcBorders>
              <w:bottom w:val="single" w:sz="4" w:space="0" w:color="auto"/>
            </w:tcBorders>
          </w:tcPr>
          <w:p w:rsidR="00CE5905" w:rsidRPr="00433B9B" w:rsidP="00E423AB" w14:paraId="608A8BD1" w14:textId="77777777">
            <w:pPr>
              <w:keepNext/>
              <w:spacing w:line="240" w:lineRule="auto"/>
              <w:jc w:val="center"/>
              <w:rPr>
                <w:rFonts w:ascii="Times New Roman" w:hAnsi="Times New Roman" w:cs="Times New Roman"/>
                <w:b/>
                <w:bCs/>
                <w:sz w:val="24"/>
                <w:szCs w:val="24"/>
              </w:rPr>
            </w:pPr>
            <w:r w:rsidRPr="00433B9B">
              <w:rPr>
                <w:rFonts w:ascii="Times New Roman" w:hAnsi="Times New Roman" w:cs="Times New Roman"/>
                <w:b/>
                <w:bCs/>
                <w:sz w:val="24"/>
                <w:szCs w:val="24"/>
              </w:rPr>
              <w:t>400</w:t>
            </w:r>
          </w:p>
        </w:tc>
        <w:tc>
          <w:tcPr>
            <w:tcW w:w="856" w:type="pct"/>
            <w:tcBorders>
              <w:bottom w:val="single" w:sz="4" w:space="0" w:color="auto"/>
            </w:tcBorders>
            <w:shd w:val="clear" w:color="auto" w:fill="E8E8E8" w:themeFill="background2"/>
          </w:tcPr>
          <w:p w:rsidR="00CE5905" w:rsidRPr="00433B9B" w:rsidP="00E423AB" w14:paraId="3E22B628" w14:textId="77777777">
            <w:pPr>
              <w:keepNext/>
              <w:spacing w:line="240" w:lineRule="auto"/>
              <w:jc w:val="center"/>
              <w:rPr>
                <w:rFonts w:ascii="Times New Roman" w:hAnsi="Times New Roman" w:cs="Times New Roman"/>
                <w:sz w:val="24"/>
                <w:szCs w:val="24"/>
              </w:rPr>
            </w:pPr>
          </w:p>
        </w:tc>
        <w:tc>
          <w:tcPr>
            <w:tcW w:w="826" w:type="pct"/>
            <w:tcBorders>
              <w:bottom w:val="single" w:sz="4" w:space="0" w:color="auto"/>
            </w:tcBorders>
          </w:tcPr>
          <w:p w:rsidR="00CE5905" w:rsidRPr="00433B9B" w:rsidP="00E423AB" w14:paraId="54B2DF37"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b/>
                <w:bCs/>
                <w:sz w:val="24"/>
                <w:szCs w:val="24"/>
              </w:rPr>
              <w:t>236.20</w:t>
            </w:r>
          </w:p>
        </w:tc>
      </w:tr>
    </w:tbl>
    <w:p w:rsidR="00CE5905" w:rsidP="00CE5905" w14:paraId="071F5041" w14:textId="77777777">
      <w:pPr>
        <w:pStyle w:val="Heading3"/>
        <w:spacing w:before="0" w:after="0" w:line="240" w:lineRule="auto"/>
        <w:rPr>
          <w:rFonts w:ascii="Times New Roman" w:hAnsi="Times New Roman" w:cs="Times New Roman"/>
          <w:i/>
          <w:iCs/>
          <w:color w:val="auto"/>
          <w:sz w:val="24"/>
          <w:szCs w:val="24"/>
        </w:rPr>
      </w:pPr>
    </w:p>
    <w:p w:rsidR="00CE5905" w:rsidP="00CE5905" w14:paraId="575674CD" w14:textId="77777777">
      <w:pPr>
        <w:pStyle w:val="Heading3"/>
        <w:spacing w:before="0" w:after="0" w:line="240" w:lineRule="auto"/>
        <w:rPr>
          <w:rFonts w:ascii="Times New Roman" w:hAnsi="Times New Roman" w:cs="Times New Roman"/>
          <w:color w:val="auto"/>
          <w:sz w:val="24"/>
          <w:szCs w:val="24"/>
        </w:rPr>
      </w:pPr>
      <w:r w:rsidRPr="00433B9B">
        <w:rPr>
          <w:rFonts w:ascii="Times New Roman" w:hAnsi="Times New Roman" w:cs="Times New Roman"/>
          <w:i/>
          <w:iCs/>
          <w:color w:val="auto"/>
          <w:sz w:val="24"/>
          <w:szCs w:val="24"/>
        </w:rPr>
        <w:t>Estimated Total Annual Burden Hours for the Form TCR</w:t>
      </w:r>
      <w:r w:rsidRPr="00433B9B">
        <w:rPr>
          <w:rFonts w:ascii="Times New Roman" w:hAnsi="Times New Roman" w:cs="Times New Roman"/>
          <w:color w:val="auto"/>
          <w:sz w:val="24"/>
          <w:szCs w:val="24"/>
        </w:rPr>
        <w:t>: 236.2 hours.</w:t>
      </w:r>
      <w:r>
        <w:rPr>
          <w:rStyle w:val="FootnoteReference"/>
          <w:rFonts w:ascii="Times New Roman" w:hAnsi="Times New Roman" w:cs="Times New Roman"/>
          <w:color w:val="auto"/>
          <w:sz w:val="24"/>
          <w:szCs w:val="24"/>
        </w:rPr>
        <w:footnoteReference w:id="7"/>
      </w:r>
    </w:p>
    <w:p w:rsidR="00CE5905" w:rsidP="00CE5905" w14:paraId="2ACBB63D" w14:textId="7BA8E05E"/>
    <w:p w:rsidR="00CE5905" w:rsidRPr="00433B9B" w:rsidP="00CE5905" w14:paraId="641B0CDD" w14:textId="159E7987">
      <w:pPr>
        <w:pStyle w:val="Heading3"/>
        <w:spacing w:before="0" w:after="0" w:line="240" w:lineRule="auto"/>
        <w:rPr>
          <w:rFonts w:ascii="Times New Roman" w:eastAsia="Times New Roman" w:hAnsi="Times New Roman" w:cs="Times New Roman"/>
          <w:b/>
          <w:bCs/>
          <w:color w:val="auto"/>
          <w:sz w:val="24"/>
          <w:szCs w:val="24"/>
        </w:rPr>
      </w:pPr>
      <w:r w:rsidRPr="00433B9B">
        <w:rPr>
          <w:rFonts w:ascii="Times New Roman" w:hAnsi="Times New Roman" w:cs="Times New Roman"/>
          <w:b/>
          <w:bCs/>
          <w:color w:val="auto"/>
          <w:sz w:val="24"/>
          <w:szCs w:val="24"/>
        </w:rPr>
        <w:t xml:space="preserve">Proposed </w:t>
      </w:r>
      <w:r w:rsidRPr="00433B9B">
        <w:rPr>
          <w:rFonts w:ascii="Times New Roman" w:eastAsia="Times New Roman" w:hAnsi="Times New Roman" w:cs="Times New Roman"/>
          <w:b/>
          <w:bCs/>
          <w:color w:val="auto"/>
          <w:sz w:val="24"/>
          <w:szCs w:val="24"/>
        </w:rPr>
        <w:t>Whistleblower Award Application (WB-APP)</w:t>
      </w:r>
    </w:p>
    <w:p w:rsidR="00CE5905" w:rsidRPr="00433B9B" w:rsidP="00CE5905" w14:paraId="7CC957CB" w14:textId="77777777">
      <w:pPr>
        <w:spacing w:after="0" w:line="240" w:lineRule="auto"/>
        <w:rPr>
          <w:rFonts w:ascii="Times New Roman" w:hAnsi="Times New Roman" w:cs="Times New Roman"/>
          <w:i/>
          <w:iCs/>
          <w:sz w:val="24"/>
          <w:szCs w:val="24"/>
        </w:rPr>
      </w:pPr>
    </w:p>
    <w:p w:rsidR="00CE5905" w:rsidRPr="00433B9B" w:rsidP="00CE5905" w14:paraId="5339FAF6" w14:textId="39AD8896">
      <w:pPr>
        <w:spacing w:after="0" w:line="240" w:lineRule="auto"/>
        <w:rPr>
          <w:rFonts w:ascii="Times New Roman" w:hAnsi="Times New Roman" w:cs="Times New Roman"/>
          <w:sz w:val="24"/>
          <w:szCs w:val="24"/>
        </w:rPr>
      </w:pPr>
      <w:r w:rsidRPr="00433B9B">
        <w:rPr>
          <w:rFonts w:ascii="Times New Roman" w:hAnsi="Times New Roman" w:cs="Times New Roman"/>
          <w:i/>
          <w:iCs/>
          <w:sz w:val="24"/>
          <w:szCs w:val="24"/>
        </w:rPr>
        <w:t>Description</w:t>
      </w:r>
      <w:r w:rsidRPr="00433B9B">
        <w:rPr>
          <w:rFonts w:ascii="Times New Roman" w:hAnsi="Times New Roman" w:cs="Times New Roman"/>
          <w:sz w:val="24"/>
          <w:szCs w:val="24"/>
        </w:rPr>
        <w:t>: Individuals seeking to apply for a financial award must submit their application by completing the Form WB-APP through FinCEN’s online portal</w:t>
      </w:r>
      <w:r w:rsidR="002A006B">
        <w:rPr>
          <w:rFonts w:ascii="Times New Roman" w:hAnsi="Times New Roman" w:cs="Times New Roman"/>
          <w:sz w:val="24"/>
          <w:szCs w:val="24"/>
        </w:rPr>
        <w:t>,</w:t>
      </w:r>
      <w:r w:rsidRPr="002A006B" w:rsidR="002A006B">
        <w:rPr>
          <w:rFonts w:ascii="Times New Roman" w:hAnsi="Times New Roman" w:cs="Times New Roman"/>
          <w:sz w:val="24"/>
          <w:szCs w:val="24"/>
        </w:rPr>
        <w:t xml:space="preserve"> </w:t>
      </w:r>
      <w:r w:rsidRPr="00433B9B" w:rsidR="002A006B">
        <w:rPr>
          <w:rFonts w:ascii="Times New Roman" w:hAnsi="Times New Roman" w:cs="Times New Roman"/>
          <w:sz w:val="24"/>
          <w:szCs w:val="24"/>
        </w:rPr>
        <w:t>unless another manner is authorized by FinCEN</w:t>
      </w:r>
      <w:r w:rsidRPr="00433B9B">
        <w:rPr>
          <w:rFonts w:ascii="Times New Roman" w:hAnsi="Times New Roman" w:cs="Times New Roman"/>
          <w:sz w:val="24"/>
          <w:szCs w:val="24"/>
        </w:rPr>
        <w:t>.</w:t>
      </w:r>
    </w:p>
    <w:p w:rsidR="00CE5905" w:rsidRPr="00433B9B" w:rsidP="00CE5905" w14:paraId="725D7EB7" w14:textId="77777777">
      <w:pPr>
        <w:spacing w:after="0" w:line="240" w:lineRule="auto"/>
        <w:rPr>
          <w:rFonts w:ascii="Times New Roman" w:hAnsi="Times New Roman" w:cs="Times New Roman"/>
          <w:i/>
          <w:iCs/>
          <w:sz w:val="24"/>
          <w:szCs w:val="24"/>
        </w:rPr>
      </w:pPr>
    </w:p>
    <w:p w:rsidR="00CE5905" w:rsidP="00AA3E05" w14:paraId="489A7FF2" w14:textId="778C37F9">
      <w:pPr>
        <w:spacing w:after="0" w:line="240" w:lineRule="auto"/>
        <w:rPr>
          <w:rFonts w:ascii="Times New Roman" w:hAnsi="Times New Roman" w:cs="Times New Roman"/>
          <w:b/>
          <w:bCs/>
          <w:sz w:val="24"/>
          <w:szCs w:val="24"/>
        </w:rPr>
      </w:pPr>
      <w:r w:rsidRPr="00433B9B">
        <w:rPr>
          <w:rFonts w:ascii="Times New Roman" w:hAnsi="Times New Roman" w:cs="Times New Roman"/>
          <w:i/>
          <w:iCs/>
          <w:sz w:val="24"/>
          <w:szCs w:val="24"/>
        </w:rPr>
        <w:t>Frequency</w:t>
      </w:r>
      <w:r w:rsidRPr="00433B9B">
        <w:rPr>
          <w:rFonts w:ascii="Times New Roman" w:hAnsi="Times New Roman" w:cs="Times New Roman"/>
          <w:sz w:val="24"/>
          <w:szCs w:val="24"/>
        </w:rPr>
        <w:t>: As required.</w:t>
      </w:r>
    </w:p>
    <w:p w:rsidR="00AA3E05" w:rsidRPr="00AA3E05" w:rsidP="00AA3E05" w14:paraId="60893259" w14:textId="77777777">
      <w:pPr>
        <w:spacing w:after="0" w:line="240" w:lineRule="auto"/>
        <w:rPr>
          <w:rFonts w:ascii="Times New Roman" w:hAnsi="Times New Roman" w:cs="Times New Roman"/>
          <w:b/>
          <w:bCs/>
          <w:sz w:val="24"/>
          <w:szCs w:val="24"/>
        </w:rPr>
      </w:pPr>
    </w:p>
    <w:p w:rsidR="00CE5905" w:rsidRPr="00433B9B" w:rsidP="00CE5905" w14:paraId="6A2B34FD" w14:textId="1E422F29">
      <w:pPr>
        <w:pStyle w:val="Heading3"/>
        <w:spacing w:before="0" w:after="0" w:line="240" w:lineRule="auto"/>
        <w:rPr>
          <w:rFonts w:ascii="Times New Roman" w:hAnsi="Times New Roman" w:cs="Times New Roman"/>
          <w:color w:val="auto"/>
          <w:sz w:val="24"/>
          <w:szCs w:val="24"/>
          <w:vertAlign w:val="superscript"/>
        </w:rPr>
      </w:pPr>
      <w:r w:rsidRPr="00433B9B">
        <w:rPr>
          <w:rFonts w:ascii="Times New Roman" w:hAnsi="Times New Roman" w:cs="Times New Roman"/>
          <w:i/>
          <w:iCs/>
          <w:color w:val="auto"/>
          <w:sz w:val="24"/>
          <w:szCs w:val="24"/>
        </w:rPr>
        <w:t>Estimated Number of Annual Responses</w:t>
      </w:r>
      <w:r w:rsidRPr="00433B9B">
        <w:rPr>
          <w:rFonts w:ascii="Times New Roman" w:hAnsi="Times New Roman" w:cs="Times New Roman"/>
          <w:color w:val="auto"/>
          <w:sz w:val="24"/>
          <w:szCs w:val="24"/>
        </w:rPr>
        <w:t>: 15 WB-APPs.</w:t>
      </w:r>
      <w:r>
        <w:rPr>
          <w:rStyle w:val="FootnoteReference"/>
          <w:rFonts w:ascii="Times New Roman" w:hAnsi="Times New Roman" w:cs="Times New Roman"/>
          <w:color w:val="auto"/>
          <w:sz w:val="24"/>
          <w:szCs w:val="24"/>
        </w:rPr>
        <w:footnoteReference w:id="8"/>
      </w:r>
    </w:p>
    <w:p w:rsidR="00CE5905" w:rsidRPr="00433B9B" w:rsidP="00CE5905" w14:paraId="169CB218" w14:textId="77777777">
      <w:pPr>
        <w:spacing w:after="0" w:line="240" w:lineRule="auto"/>
        <w:rPr>
          <w:rFonts w:ascii="Times New Roman" w:hAnsi="Times New Roman" w:cs="Times New Roman"/>
          <w:i/>
          <w:iCs/>
          <w:sz w:val="24"/>
          <w:szCs w:val="24"/>
        </w:rPr>
      </w:pPr>
    </w:p>
    <w:p w:rsidR="00CE5905" w:rsidRPr="00433B9B" w:rsidP="00CE5905" w14:paraId="1468F094" w14:textId="77777777">
      <w:pPr>
        <w:spacing w:after="0" w:line="240" w:lineRule="auto"/>
        <w:rPr>
          <w:rFonts w:ascii="Times New Roman" w:hAnsi="Times New Roman" w:cs="Times New Roman"/>
          <w:sz w:val="24"/>
          <w:szCs w:val="24"/>
        </w:rPr>
      </w:pPr>
      <w:r w:rsidRPr="00433B9B">
        <w:rPr>
          <w:rFonts w:ascii="Times New Roman" w:hAnsi="Times New Roman" w:cs="Times New Roman"/>
          <w:i/>
          <w:iCs/>
          <w:sz w:val="24"/>
          <w:szCs w:val="24"/>
        </w:rPr>
        <w:t xml:space="preserve">Estimated Burden per Response: </w:t>
      </w:r>
      <w:r w:rsidRPr="00433B9B">
        <w:rPr>
          <w:rFonts w:ascii="Times New Roman" w:hAnsi="Times New Roman" w:cs="Times New Roman"/>
          <w:sz w:val="24"/>
          <w:szCs w:val="24"/>
        </w:rPr>
        <w:t xml:space="preserve">The burden associated with this information collection varies depending on whether a whistleblower submits information without legal representation (i.e., </w:t>
      </w:r>
      <w:r w:rsidRPr="00433B9B">
        <w:rPr>
          <w:rFonts w:ascii="Times New Roman" w:hAnsi="Times New Roman" w:cs="Times New Roman"/>
          <w:i/>
          <w:iCs/>
          <w:sz w:val="24"/>
          <w:szCs w:val="24"/>
        </w:rPr>
        <w:t>pro se</w:t>
      </w:r>
      <w:r w:rsidRPr="00433B9B">
        <w:rPr>
          <w:rFonts w:ascii="Times New Roman" w:hAnsi="Times New Roman" w:cs="Times New Roman"/>
          <w:sz w:val="24"/>
          <w:szCs w:val="24"/>
        </w:rPr>
        <w:t xml:space="preserve">) or through counsel.  FinCEN estimates the average burden per response type in Table 2 below. </w:t>
      </w:r>
    </w:p>
    <w:p w:rsidR="00CE5905" w:rsidRPr="00433B9B" w:rsidP="00CE5905" w14:paraId="18E2178A" w14:textId="77777777">
      <w:pPr>
        <w:spacing w:after="0" w:line="240" w:lineRule="auto"/>
        <w:rPr>
          <w:rFonts w:ascii="Times New Roman" w:hAnsi="Times New Roman" w:cs="Times New Roman"/>
          <w:sz w:val="24"/>
          <w:szCs w:val="24"/>
        </w:rPr>
      </w:pPr>
    </w:p>
    <w:p w:rsidR="00CE5905" w:rsidRPr="003C3C43" w:rsidP="00CE5905" w14:paraId="34ADBE55" w14:textId="77777777">
      <w:pPr>
        <w:pStyle w:val="Heading6"/>
        <w:spacing w:before="0" w:line="240" w:lineRule="auto"/>
        <w:rPr>
          <w:rFonts w:ascii="Times New Roman" w:hAnsi="Times New Roman" w:cs="Times New Roman"/>
          <w:b/>
          <w:bCs/>
          <w:i w:val="0"/>
          <w:iCs w:val="0"/>
          <w:color w:val="auto"/>
          <w:sz w:val="24"/>
          <w:szCs w:val="24"/>
        </w:rPr>
      </w:pPr>
      <w:bookmarkStart w:id="1" w:name="Table23"/>
      <w:r w:rsidRPr="00433B9B">
        <w:rPr>
          <w:rFonts w:ascii="Times New Roman" w:hAnsi="Times New Roman" w:cs="Times New Roman"/>
          <w:b/>
          <w:bCs/>
          <w:i w:val="0"/>
          <w:iCs w:val="0"/>
          <w:color w:val="auto"/>
          <w:sz w:val="24"/>
          <w:szCs w:val="24"/>
        </w:rPr>
        <w:t>Table 2. Aggregate Annual Time Burden of Form WB-APP</w:t>
      </w:r>
      <w:bookmarkEnd w:id="1"/>
    </w:p>
    <w:tbl>
      <w:tblPr>
        <w:tblStyle w:val="TableGrid"/>
        <w:tblW w:w="4810" w:type="pct"/>
        <w:tblLook w:val="04A0"/>
      </w:tblPr>
      <w:tblGrid>
        <w:gridCol w:w="2875"/>
        <w:gridCol w:w="2565"/>
        <w:gridCol w:w="1754"/>
        <w:gridCol w:w="1801"/>
      </w:tblGrid>
      <w:tr w14:paraId="07EE2447" w14:textId="77777777" w:rsidTr="00E423AB">
        <w:tblPrEx>
          <w:tblW w:w="4810" w:type="pct"/>
          <w:tblLook w:val="04A0"/>
        </w:tblPrEx>
        <w:tc>
          <w:tcPr>
            <w:tcW w:w="1598" w:type="pct"/>
            <w:tcBorders>
              <w:top w:val="single" w:sz="4" w:space="0" w:color="auto"/>
            </w:tcBorders>
            <w:vAlign w:val="center"/>
          </w:tcPr>
          <w:p w:rsidR="00CE5905" w:rsidRPr="00433B9B" w:rsidP="00E423AB" w14:paraId="086B9B5F"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Representation Type</w:t>
            </w:r>
          </w:p>
        </w:tc>
        <w:tc>
          <w:tcPr>
            <w:tcW w:w="1426" w:type="pct"/>
            <w:tcBorders>
              <w:top w:val="single" w:sz="4" w:space="0" w:color="auto"/>
            </w:tcBorders>
            <w:vAlign w:val="center"/>
          </w:tcPr>
          <w:p w:rsidR="00CE5905" w:rsidRPr="00433B9B" w:rsidP="00E423AB" w14:paraId="233452D8"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Number of Responses</w:t>
            </w:r>
          </w:p>
        </w:tc>
        <w:tc>
          <w:tcPr>
            <w:tcW w:w="975" w:type="pct"/>
            <w:tcBorders>
              <w:top w:val="single" w:sz="4" w:space="0" w:color="auto"/>
            </w:tcBorders>
            <w:vAlign w:val="center"/>
          </w:tcPr>
          <w:p w:rsidR="00CE5905" w:rsidRPr="00433B9B" w:rsidP="00E423AB" w14:paraId="295AFF50" w14:textId="77777777">
            <w:pPr>
              <w:spacing w:line="240" w:lineRule="auto"/>
              <w:jc w:val="center"/>
              <w:rPr>
                <w:rFonts w:ascii="Times New Roman" w:hAnsi="Times New Roman" w:cs="Times New Roman"/>
                <w:sz w:val="24"/>
                <w:szCs w:val="24"/>
                <w:vertAlign w:val="superscript"/>
              </w:rPr>
            </w:pPr>
            <w:r w:rsidRPr="00433B9B">
              <w:rPr>
                <w:rFonts w:ascii="Times New Roman" w:hAnsi="Times New Roman" w:cs="Times New Roman"/>
                <w:sz w:val="24"/>
                <w:szCs w:val="24"/>
              </w:rPr>
              <w:t>Time per Response (Minutes)</w:t>
            </w:r>
          </w:p>
        </w:tc>
        <w:tc>
          <w:tcPr>
            <w:tcW w:w="1001" w:type="pct"/>
            <w:tcBorders>
              <w:top w:val="single" w:sz="4" w:space="0" w:color="auto"/>
            </w:tcBorders>
            <w:vAlign w:val="center"/>
          </w:tcPr>
          <w:p w:rsidR="00CE5905" w:rsidRPr="00433B9B" w:rsidP="00E423AB" w14:paraId="2301678C"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Total Burden Hours</w:t>
            </w:r>
          </w:p>
        </w:tc>
      </w:tr>
      <w:tr w14:paraId="682AB9F6" w14:textId="77777777" w:rsidTr="00E423AB">
        <w:tblPrEx>
          <w:tblW w:w="4810" w:type="pct"/>
          <w:tblLook w:val="04A0"/>
        </w:tblPrEx>
        <w:tc>
          <w:tcPr>
            <w:tcW w:w="1598" w:type="pct"/>
          </w:tcPr>
          <w:p w:rsidR="00CE5905" w:rsidRPr="00433B9B" w:rsidP="00E423AB" w14:paraId="55F27708" w14:textId="77777777">
            <w:pPr>
              <w:spacing w:line="240" w:lineRule="auto"/>
              <w:rPr>
                <w:rFonts w:ascii="Times New Roman" w:hAnsi="Times New Roman" w:cs="Times New Roman"/>
                <w:sz w:val="24"/>
                <w:szCs w:val="24"/>
              </w:rPr>
            </w:pPr>
            <w:r w:rsidRPr="00433B9B">
              <w:rPr>
                <w:rFonts w:ascii="Times New Roman" w:hAnsi="Times New Roman" w:cs="Times New Roman"/>
                <w:sz w:val="24"/>
                <w:szCs w:val="24"/>
              </w:rPr>
              <w:t>Represented by Counsel</w:t>
            </w:r>
          </w:p>
        </w:tc>
        <w:tc>
          <w:tcPr>
            <w:tcW w:w="1426" w:type="pct"/>
          </w:tcPr>
          <w:p w:rsidR="00CE5905" w:rsidRPr="00433B9B" w:rsidP="00E423AB" w14:paraId="51CD536F" w14:textId="77777777">
            <w:pPr>
              <w:spacing w:line="240" w:lineRule="auto"/>
              <w:jc w:val="center"/>
              <w:rPr>
                <w:rFonts w:ascii="Times New Roman" w:hAnsi="Times New Roman" w:cs="Times New Roman"/>
                <w:sz w:val="24"/>
                <w:szCs w:val="24"/>
                <w:vertAlign w:val="superscript"/>
              </w:rPr>
            </w:pPr>
            <w:r w:rsidRPr="00433B9B">
              <w:rPr>
                <w:rFonts w:ascii="Times New Roman" w:hAnsi="Times New Roman" w:cs="Times New Roman"/>
                <w:sz w:val="24"/>
                <w:szCs w:val="24"/>
              </w:rPr>
              <w:t>10</w:t>
            </w:r>
          </w:p>
        </w:tc>
        <w:tc>
          <w:tcPr>
            <w:tcW w:w="975" w:type="pct"/>
          </w:tcPr>
          <w:p w:rsidR="00CE5905" w:rsidRPr="00433B9B" w:rsidP="00E423AB" w14:paraId="4D06A7E2"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13.25</w:t>
            </w:r>
          </w:p>
        </w:tc>
        <w:tc>
          <w:tcPr>
            <w:tcW w:w="1001" w:type="pct"/>
          </w:tcPr>
          <w:p w:rsidR="00CE5905" w:rsidRPr="00433B9B" w:rsidP="00E423AB" w14:paraId="13636BC9"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2.21</w:t>
            </w:r>
          </w:p>
        </w:tc>
      </w:tr>
      <w:tr w14:paraId="7FB11401" w14:textId="77777777" w:rsidTr="00E423AB">
        <w:tblPrEx>
          <w:tblW w:w="4810" w:type="pct"/>
          <w:tblLook w:val="04A0"/>
        </w:tblPrEx>
        <w:tc>
          <w:tcPr>
            <w:tcW w:w="1598" w:type="pct"/>
          </w:tcPr>
          <w:p w:rsidR="00CE5905" w:rsidRPr="00433B9B" w:rsidP="00E423AB" w14:paraId="4A2CF832" w14:textId="77777777">
            <w:pPr>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1426" w:type="pct"/>
          </w:tcPr>
          <w:p w:rsidR="00CE5905" w:rsidRPr="00433B9B" w:rsidP="00E423AB" w14:paraId="3A3A6A3C"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5</w:t>
            </w:r>
          </w:p>
        </w:tc>
        <w:tc>
          <w:tcPr>
            <w:tcW w:w="975" w:type="pct"/>
          </w:tcPr>
          <w:p w:rsidR="00CE5905" w:rsidRPr="00433B9B" w:rsidP="00E423AB" w14:paraId="6E0A51FE"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12.75</w:t>
            </w:r>
          </w:p>
        </w:tc>
        <w:tc>
          <w:tcPr>
            <w:tcW w:w="1001" w:type="pct"/>
          </w:tcPr>
          <w:p w:rsidR="00CE5905" w:rsidRPr="00433B9B" w:rsidP="00E423AB" w14:paraId="1CF86115"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1.06</w:t>
            </w:r>
          </w:p>
        </w:tc>
      </w:tr>
      <w:tr w14:paraId="1D4C8F07" w14:textId="77777777" w:rsidTr="00E423AB">
        <w:tblPrEx>
          <w:tblW w:w="4810" w:type="pct"/>
          <w:tblLook w:val="04A0"/>
        </w:tblPrEx>
        <w:tc>
          <w:tcPr>
            <w:tcW w:w="1598" w:type="pct"/>
            <w:tcBorders>
              <w:bottom w:val="single" w:sz="4" w:space="0" w:color="auto"/>
            </w:tcBorders>
          </w:tcPr>
          <w:p w:rsidR="00CE5905" w:rsidRPr="00433B9B" w:rsidP="00E423AB" w14:paraId="47595F1A" w14:textId="77777777">
            <w:pPr>
              <w:spacing w:line="240" w:lineRule="auto"/>
              <w:rPr>
                <w:rFonts w:ascii="Times New Roman" w:hAnsi="Times New Roman" w:cs="Times New Roman"/>
                <w:b/>
                <w:bCs/>
                <w:sz w:val="24"/>
                <w:szCs w:val="24"/>
              </w:rPr>
            </w:pPr>
            <w:r w:rsidRPr="00433B9B">
              <w:rPr>
                <w:rFonts w:ascii="Times New Roman" w:hAnsi="Times New Roman" w:cs="Times New Roman"/>
                <w:b/>
                <w:bCs/>
                <w:sz w:val="24"/>
                <w:szCs w:val="24"/>
              </w:rPr>
              <w:t xml:space="preserve">Total </w:t>
            </w:r>
          </w:p>
        </w:tc>
        <w:tc>
          <w:tcPr>
            <w:tcW w:w="1426" w:type="pct"/>
            <w:tcBorders>
              <w:bottom w:val="single" w:sz="4" w:space="0" w:color="auto"/>
            </w:tcBorders>
          </w:tcPr>
          <w:p w:rsidR="00CE5905" w:rsidRPr="00433B9B" w:rsidP="00E423AB" w14:paraId="4AA24249" w14:textId="77777777">
            <w:pPr>
              <w:spacing w:line="240" w:lineRule="auto"/>
              <w:jc w:val="center"/>
              <w:rPr>
                <w:rFonts w:ascii="Times New Roman" w:hAnsi="Times New Roman" w:cs="Times New Roman"/>
                <w:b/>
                <w:bCs/>
                <w:sz w:val="24"/>
                <w:szCs w:val="24"/>
              </w:rPr>
            </w:pPr>
            <w:r w:rsidRPr="00433B9B">
              <w:rPr>
                <w:rFonts w:ascii="Times New Roman" w:hAnsi="Times New Roman" w:cs="Times New Roman"/>
                <w:b/>
                <w:bCs/>
                <w:sz w:val="24"/>
                <w:szCs w:val="24"/>
              </w:rPr>
              <w:t>15</w:t>
            </w:r>
          </w:p>
        </w:tc>
        <w:tc>
          <w:tcPr>
            <w:tcW w:w="975" w:type="pct"/>
            <w:tcBorders>
              <w:bottom w:val="single" w:sz="4" w:space="0" w:color="auto"/>
            </w:tcBorders>
            <w:shd w:val="clear" w:color="auto" w:fill="E8E8E8" w:themeFill="background2"/>
          </w:tcPr>
          <w:p w:rsidR="00CE5905" w:rsidRPr="00433B9B" w:rsidP="00E423AB" w14:paraId="4DD5BC31" w14:textId="77777777">
            <w:pPr>
              <w:spacing w:line="240" w:lineRule="auto"/>
              <w:jc w:val="center"/>
              <w:rPr>
                <w:rFonts w:ascii="Times New Roman" w:hAnsi="Times New Roman" w:cs="Times New Roman"/>
                <w:b/>
                <w:bCs/>
                <w:sz w:val="24"/>
                <w:szCs w:val="24"/>
              </w:rPr>
            </w:pPr>
          </w:p>
        </w:tc>
        <w:tc>
          <w:tcPr>
            <w:tcW w:w="1001" w:type="pct"/>
            <w:tcBorders>
              <w:bottom w:val="single" w:sz="4" w:space="0" w:color="auto"/>
            </w:tcBorders>
          </w:tcPr>
          <w:p w:rsidR="00CE5905" w:rsidRPr="00433B9B" w:rsidP="00E423AB" w14:paraId="1BA17D31" w14:textId="77777777">
            <w:pPr>
              <w:spacing w:line="240" w:lineRule="auto"/>
              <w:jc w:val="center"/>
              <w:rPr>
                <w:rFonts w:ascii="Times New Roman" w:hAnsi="Times New Roman" w:cs="Times New Roman"/>
                <w:b/>
                <w:bCs/>
                <w:sz w:val="24"/>
                <w:szCs w:val="24"/>
              </w:rPr>
            </w:pPr>
            <w:r w:rsidRPr="00433B9B">
              <w:rPr>
                <w:rFonts w:ascii="Times New Roman" w:hAnsi="Times New Roman" w:cs="Times New Roman"/>
                <w:b/>
                <w:bCs/>
                <w:sz w:val="24"/>
                <w:szCs w:val="24"/>
              </w:rPr>
              <w:t>3.27</w:t>
            </w:r>
          </w:p>
        </w:tc>
      </w:tr>
    </w:tbl>
    <w:p w:rsidR="00CE5905" w:rsidRPr="00433B9B" w:rsidP="00CE5905" w14:paraId="1D17CB4C" w14:textId="77777777">
      <w:pPr>
        <w:spacing w:after="0" w:line="240" w:lineRule="auto"/>
        <w:rPr>
          <w:rFonts w:ascii="Times New Roman" w:hAnsi="Times New Roman" w:cs="Times New Roman"/>
          <w:b/>
          <w:bCs/>
          <w:sz w:val="24"/>
          <w:szCs w:val="24"/>
        </w:rPr>
      </w:pPr>
    </w:p>
    <w:p w:rsidR="00CE5905" w:rsidRPr="00433B9B" w:rsidP="00CE5905" w14:paraId="34DEEE96" w14:textId="77777777">
      <w:pPr>
        <w:pStyle w:val="Heading3"/>
        <w:spacing w:before="0" w:after="0" w:line="240" w:lineRule="auto"/>
        <w:rPr>
          <w:rFonts w:ascii="Times New Roman" w:hAnsi="Times New Roman" w:cs="Times New Roman"/>
          <w:color w:val="auto"/>
          <w:sz w:val="24"/>
          <w:szCs w:val="24"/>
        </w:rPr>
      </w:pPr>
      <w:r w:rsidRPr="00433B9B">
        <w:rPr>
          <w:rFonts w:ascii="Times New Roman" w:hAnsi="Times New Roman" w:cs="Times New Roman"/>
          <w:i/>
          <w:iCs/>
          <w:color w:val="auto"/>
          <w:sz w:val="24"/>
          <w:szCs w:val="24"/>
        </w:rPr>
        <w:t>Estimated Total Annual Burden Hours for the Form WB-APP</w:t>
      </w:r>
      <w:r w:rsidRPr="00433B9B">
        <w:rPr>
          <w:rFonts w:ascii="Times New Roman" w:hAnsi="Times New Roman" w:cs="Times New Roman"/>
          <w:color w:val="auto"/>
          <w:sz w:val="24"/>
          <w:szCs w:val="24"/>
        </w:rPr>
        <w:t>: 3.27 hours.</w:t>
      </w:r>
      <w:r>
        <w:rPr>
          <w:rStyle w:val="FootnoteReference"/>
          <w:rFonts w:ascii="Times New Roman" w:hAnsi="Times New Roman" w:cs="Times New Roman"/>
          <w:color w:val="auto"/>
          <w:sz w:val="24"/>
          <w:szCs w:val="24"/>
        </w:rPr>
        <w:footnoteReference w:id="9"/>
      </w:r>
    </w:p>
    <w:p w:rsidR="00CE5905" w:rsidRPr="00433B9B" w:rsidP="00CE5905" w14:paraId="6773D15F" w14:textId="77777777">
      <w:pPr>
        <w:spacing w:after="0" w:line="240" w:lineRule="auto"/>
        <w:rPr>
          <w:rFonts w:ascii="Times New Roman" w:hAnsi="Times New Roman" w:cs="Times New Roman"/>
          <w:i/>
          <w:iCs/>
          <w:sz w:val="24"/>
          <w:szCs w:val="24"/>
        </w:rPr>
      </w:pPr>
    </w:p>
    <w:p w:rsidR="00CE5905" w:rsidRPr="00433B9B" w:rsidP="00CE5905" w14:paraId="61342464" w14:textId="77777777">
      <w:pPr>
        <w:spacing w:after="0" w:line="240" w:lineRule="auto"/>
        <w:rPr>
          <w:rFonts w:ascii="Times New Roman" w:hAnsi="Times New Roman" w:cs="Times New Roman"/>
          <w:b/>
          <w:bCs/>
          <w:sz w:val="24"/>
          <w:szCs w:val="24"/>
        </w:rPr>
      </w:pPr>
      <w:r w:rsidRPr="00433B9B">
        <w:rPr>
          <w:rFonts w:ascii="Times New Roman" w:hAnsi="Times New Roman" w:cs="Times New Roman"/>
          <w:b/>
          <w:bCs/>
          <w:sz w:val="24"/>
          <w:szCs w:val="24"/>
        </w:rPr>
        <w:t>Total Combined Annual Burden – Form TCR and Form WB-APP</w:t>
      </w:r>
    </w:p>
    <w:p w:rsidR="00CE5905" w:rsidRPr="00433B9B" w:rsidP="00CE5905" w14:paraId="28650C56" w14:textId="77777777">
      <w:pPr>
        <w:spacing w:after="0" w:line="240" w:lineRule="auto"/>
        <w:rPr>
          <w:rFonts w:ascii="Times New Roman" w:hAnsi="Times New Roman" w:cs="Times New Roman"/>
          <w:i/>
          <w:iCs/>
          <w:sz w:val="24"/>
          <w:szCs w:val="24"/>
        </w:rPr>
      </w:pPr>
    </w:p>
    <w:p w:rsidR="00CE5905" w:rsidRPr="00433B9B" w:rsidP="00CE5905" w14:paraId="47970A52" w14:textId="1824B3C1">
      <w:pPr>
        <w:spacing w:after="0" w:line="240" w:lineRule="auto"/>
        <w:rPr>
          <w:rFonts w:ascii="Times New Roman" w:hAnsi="Times New Roman" w:cs="Times New Roman"/>
          <w:sz w:val="24"/>
          <w:szCs w:val="24"/>
        </w:rPr>
      </w:pPr>
      <w:r w:rsidRPr="00433B9B">
        <w:rPr>
          <w:rFonts w:ascii="Times New Roman" w:hAnsi="Times New Roman" w:cs="Times New Roman"/>
          <w:i/>
          <w:iCs/>
          <w:sz w:val="24"/>
          <w:szCs w:val="24"/>
        </w:rPr>
        <w:t>Estimated Total Annual Combined Burden Hours for Form TCR and Form WB-APP</w:t>
      </w:r>
      <w:r w:rsidRPr="00433B9B">
        <w:rPr>
          <w:rFonts w:ascii="Times New Roman" w:hAnsi="Times New Roman" w:cs="Times New Roman"/>
          <w:sz w:val="24"/>
          <w:szCs w:val="24"/>
        </w:rPr>
        <w:t xml:space="preserve">: 239.47 hours.  The total annual burden hours </w:t>
      </w:r>
      <w:r w:rsidRPr="00433B9B" w:rsidR="003F485A">
        <w:rPr>
          <w:rFonts w:ascii="Times New Roman" w:hAnsi="Times New Roman" w:cs="Times New Roman"/>
          <w:sz w:val="24"/>
          <w:szCs w:val="24"/>
        </w:rPr>
        <w:t>are</w:t>
      </w:r>
      <w:r w:rsidRPr="00433B9B">
        <w:rPr>
          <w:rFonts w:ascii="Times New Roman" w:hAnsi="Times New Roman" w:cs="Times New Roman"/>
          <w:sz w:val="24"/>
          <w:szCs w:val="24"/>
        </w:rPr>
        <w:t xml:space="preserve"> comprised of the total number of hours between the estimates for each form type: Form TCR: 236.2 hours; Form WB-APP: 3.27 hours.</w:t>
      </w:r>
    </w:p>
    <w:p w:rsidR="00CE5905" w:rsidRPr="00433B9B" w:rsidP="00CE5905" w14:paraId="0873C5C8" w14:textId="77777777">
      <w:pPr>
        <w:spacing w:after="0" w:line="240" w:lineRule="auto"/>
        <w:rPr>
          <w:rFonts w:ascii="Times New Roman" w:hAnsi="Times New Roman" w:cs="Times New Roman"/>
          <w:sz w:val="24"/>
          <w:szCs w:val="24"/>
        </w:rPr>
      </w:pPr>
    </w:p>
    <w:p w:rsidR="00CE5905" w:rsidRPr="00433B9B" w:rsidP="00CE5905" w14:paraId="5C7742E6" w14:textId="77777777">
      <w:pPr>
        <w:spacing w:after="0" w:line="240" w:lineRule="auto"/>
        <w:rPr>
          <w:rFonts w:ascii="Times New Roman" w:hAnsi="Times New Roman" w:cs="Times New Roman"/>
          <w:b/>
          <w:bCs/>
          <w:sz w:val="24"/>
          <w:szCs w:val="24"/>
          <w:u w:val="single"/>
        </w:rPr>
      </w:pPr>
      <w:r w:rsidRPr="00433B9B">
        <w:rPr>
          <w:rFonts w:ascii="Times New Roman" w:hAnsi="Times New Roman" w:cs="Times New Roman"/>
          <w:sz w:val="24"/>
          <w:szCs w:val="24"/>
        </w:rPr>
        <w:t xml:space="preserve">13. </w:t>
      </w:r>
      <w:r w:rsidRPr="00433B9B">
        <w:rPr>
          <w:rFonts w:ascii="Times New Roman" w:hAnsi="Times New Roman" w:cs="Times New Roman"/>
          <w:sz w:val="24"/>
          <w:szCs w:val="24"/>
          <w:u w:val="single"/>
        </w:rPr>
        <w:t>Estimated annual cost burden.</w:t>
      </w:r>
    </w:p>
    <w:p w:rsidR="00CE5905" w:rsidRPr="00433B9B" w:rsidP="00CE5905" w14:paraId="664E6910" w14:textId="77777777">
      <w:pPr>
        <w:spacing w:after="0" w:line="240" w:lineRule="auto"/>
        <w:rPr>
          <w:rFonts w:ascii="Times New Roman" w:hAnsi="Times New Roman" w:cs="Times New Roman"/>
          <w:sz w:val="24"/>
          <w:szCs w:val="24"/>
        </w:rPr>
      </w:pPr>
    </w:p>
    <w:p w:rsidR="00CE5905" w:rsidRPr="00433B9B" w:rsidP="00CE5905" w14:paraId="69218026" w14:textId="77777777">
      <w:pPr>
        <w:numPr>
          <w:ilvl w:val="2"/>
          <w:numId w:val="0"/>
        </w:numPr>
        <w:spacing w:after="0" w:line="240" w:lineRule="auto"/>
        <w:outlineLvl w:val="2"/>
        <w:rPr>
          <w:rFonts w:ascii="Times New Roman" w:eastAsia="Times New Roman" w:hAnsi="Times New Roman" w:cs="Times New Roman"/>
          <w:b/>
          <w:sz w:val="24"/>
          <w:szCs w:val="24"/>
          <w14:ligatures w14:val="none"/>
        </w:rPr>
      </w:pPr>
      <w:r w:rsidRPr="00433B9B">
        <w:rPr>
          <w:rFonts w:ascii="Times New Roman" w:eastAsia="Times New Roman" w:hAnsi="Times New Roman" w:cs="Times New Roman"/>
          <w:b/>
          <w:sz w:val="24"/>
          <w:szCs w:val="24"/>
          <w14:ligatures w14:val="none"/>
        </w:rPr>
        <w:t>Proposed Form TCR</w:t>
      </w:r>
    </w:p>
    <w:p w:rsidR="00CE5905" w:rsidRPr="00433B9B" w:rsidP="00CE5905" w14:paraId="453E1CE1" w14:textId="77777777">
      <w:pPr>
        <w:numPr>
          <w:ilvl w:val="2"/>
          <w:numId w:val="0"/>
        </w:numPr>
        <w:spacing w:after="0" w:line="240" w:lineRule="auto"/>
        <w:outlineLvl w:val="2"/>
        <w:rPr>
          <w:rFonts w:ascii="Times New Roman" w:eastAsia="Times New Roman" w:hAnsi="Times New Roman" w:cs="Times New Roman"/>
          <w:b/>
          <w:sz w:val="24"/>
          <w:szCs w:val="24"/>
          <w14:ligatures w14:val="none"/>
        </w:rPr>
      </w:pPr>
    </w:p>
    <w:p w:rsidR="00CE5905" w:rsidRPr="00433B9B" w:rsidP="00CE5905" w14:paraId="7AE6ACDD" w14:textId="1931596E">
      <w:pPr>
        <w:spacing w:line="240" w:lineRule="auto"/>
        <w:rPr>
          <w:rFonts w:ascii="Times New Roman" w:hAnsi="Times New Roman" w:cs="Times New Roman"/>
          <w:sz w:val="24"/>
          <w:szCs w:val="24"/>
        </w:rPr>
      </w:pPr>
      <w:r w:rsidRPr="00433B9B">
        <w:rPr>
          <w:rFonts w:ascii="Times New Roman" w:eastAsia="Times New Roman" w:hAnsi="Times New Roman" w:cs="Times New Roman"/>
          <w:i/>
          <w:iCs/>
          <w:sz w:val="24"/>
          <w:szCs w:val="24"/>
        </w:rPr>
        <w:t>Estimated Cost per Response</w:t>
      </w:r>
      <w:r w:rsidRPr="00433B9B">
        <w:rPr>
          <w:rFonts w:ascii="Times New Roman" w:eastAsia="Times New Roman" w:hAnsi="Times New Roman" w:cs="Times New Roman"/>
          <w:sz w:val="24"/>
          <w:szCs w:val="24"/>
        </w:rPr>
        <w:t xml:space="preserve">: The cost associated with this information collection would vary, depending </w:t>
      </w:r>
      <w:r w:rsidR="00555E8B">
        <w:rPr>
          <w:rFonts w:ascii="Times New Roman" w:eastAsia="Times New Roman" w:hAnsi="Times New Roman" w:cs="Times New Roman"/>
          <w:sz w:val="24"/>
          <w:szCs w:val="24"/>
        </w:rPr>
        <w:t xml:space="preserve">on </w:t>
      </w:r>
      <w:r w:rsidRPr="00433B9B">
        <w:rPr>
          <w:rFonts w:ascii="Times New Roman" w:eastAsia="Times New Roman" w:hAnsi="Times New Roman" w:cs="Times New Roman"/>
          <w:sz w:val="24"/>
          <w:szCs w:val="24"/>
        </w:rPr>
        <w:t xml:space="preserve">the type of submission provided (i.e., original submission only, original </w:t>
      </w:r>
      <w:r w:rsidRPr="00433B9B">
        <w:rPr>
          <w:rFonts w:ascii="Times New Roman" w:eastAsia="Times New Roman" w:hAnsi="Times New Roman" w:cs="Times New Roman"/>
          <w:sz w:val="24"/>
          <w:szCs w:val="24"/>
        </w:rPr>
        <w:t xml:space="preserve">submission with one or more supplemental submissions, or supplemental submission only), and on whether a whistleblower submits information without legal representation (i.e., </w:t>
      </w:r>
      <w:r w:rsidRPr="00433B9B">
        <w:rPr>
          <w:rFonts w:ascii="Times New Roman" w:eastAsia="Times New Roman" w:hAnsi="Times New Roman" w:cs="Times New Roman"/>
          <w:i/>
          <w:iCs/>
          <w:sz w:val="24"/>
          <w:szCs w:val="24"/>
        </w:rPr>
        <w:t>pro se</w:t>
      </w:r>
      <w:r w:rsidRPr="00433B9B">
        <w:rPr>
          <w:rFonts w:ascii="Times New Roman" w:eastAsia="Times New Roman" w:hAnsi="Times New Roman" w:cs="Times New Roman"/>
          <w:sz w:val="24"/>
          <w:szCs w:val="24"/>
        </w:rPr>
        <w:t xml:space="preserve">) or through counsel. </w:t>
      </w:r>
      <w:r w:rsidR="007971CD">
        <w:rPr>
          <w:rFonts w:ascii="Times New Roman" w:eastAsia="Times New Roman" w:hAnsi="Times New Roman" w:cs="Times New Roman"/>
          <w:sz w:val="24"/>
          <w:szCs w:val="24"/>
        </w:rPr>
        <w:t xml:space="preserve"> </w:t>
      </w:r>
      <w:r w:rsidRPr="00433B9B">
        <w:rPr>
          <w:rFonts w:ascii="Times New Roman" w:eastAsia="Times New Roman" w:hAnsi="Times New Roman" w:cs="Times New Roman"/>
          <w:sz w:val="24"/>
          <w:szCs w:val="24"/>
        </w:rPr>
        <w:t>FinCEN estimates the average annual cost per response type in Table 3 below.</w:t>
      </w:r>
      <w:bookmarkStart w:id="2" w:name="Table18"/>
    </w:p>
    <w:p w:rsidR="00CE5905" w:rsidRPr="003C3C43" w:rsidP="00CE5905" w14:paraId="7E82A546" w14:textId="77777777">
      <w:pPr>
        <w:pStyle w:val="Heading6"/>
        <w:spacing w:before="0" w:line="240" w:lineRule="auto"/>
        <w:rPr>
          <w:rFonts w:ascii="Times New Roman" w:hAnsi="Times New Roman" w:cs="Times New Roman"/>
          <w:b/>
          <w:bCs/>
          <w:i w:val="0"/>
          <w:iCs w:val="0"/>
          <w:color w:val="auto"/>
          <w:sz w:val="24"/>
          <w:szCs w:val="24"/>
        </w:rPr>
      </w:pPr>
      <w:r w:rsidRPr="00433B9B">
        <w:rPr>
          <w:rFonts w:ascii="Times New Roman" w:hAnsi="Times New Roman" w:cs="Times New Roman"/>
          <w:b/>
          <w:bCs/>
          <w:i w:val="0"/>
          <w:iCs w:val="0"/>
          <w:color w:val="auto"/>
          <w:sz w:val="24"/>
          <w:szCs w:val="24"/>
        </w:rPr>
        <w:t>Table 3. Aggregate Annual Cost of Form TCR</w:t>
      </w:r>
      <w:bookmarkEnd w:id="2"/>
    </w:p>
    <w:tbl>
      <w:tblPr>
        <w:tblStyle w:val="TableGrid"/>
        <w:tblW w:w="5000" w:type="pct"/>
        <w:tblLook w:val="04A0"/>
      </w:tblPr>
      <w:tblGrid>
        <w:gridCol w:w="1851"/>
        <w:gridCol w:w="2642"/>
        <w:gridCol w:w="1711"/>
        <w:gridCol w:w="1601"/>
        <w:gridCol w:w="1545"/>
      </w:tblGrid>
      <w:tr w14:paraId="110A2F2D" w14:textId="77777777" w:rsidTr="00E423AB">
        <w:tblPrEx>
          <w:tblW w:w="5000" w:type="pct"/>
          <w:tblLook w:val="04A0"/>
        </w:tblPrEx>
        <w:trPr>
          <w:trHeight w:val="620"/>
        </w:trPr>
        <w:tc>
          <w:tcPr>
            <w:tcW w:w="990" w:type="pct"/>
            <w:tcBorders>
              <w:top w:val="single" w:sz="4" w:space="0" w:color="auto"/>
            </w:tcBorders>
            <w:vAlign w:val="center"/>
          </w:tcPr>
          <w:p w:rsidR="00CE5905" w:rsidRPr="00433B9B" w:rsidP="00E423AB" w14:paraId="750B6C88"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Submission Type</w:t>
            </w:r>
          </w:p>
        </w:tc>
        <w:tc>
          <w:tcPr>
            <w:tcW w:w="1413" w:type="pct"/>
            <w:tcBorders>
              <w:top w:val="single" w:sz="4" w:space="0" w:color="auto"/>
            </w:tcBorders>
            <w:vAlign w:val="center"/>
          </w:tcPr>
          <w:p w:rsidR="00CE5905" w:rsidRPr="00433B9B" w:rsidP="00E423AB" w14:paraId="524F9238"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Representation Type</w:t>
            </w:r>
          </w:p>
        </w:tc>
        <w:tc>
          <w:tcPr>
            <w:tcW w:w="915" w:type="pct"/>
            <w:tcBorders>
              <w:top w:val="single" w:sz="4" w:space="0" w:color="auto"/>
            </w:tcBorders>
            <w:vAlign w:val="center"/>
          </w:tcPr>
          <w:p w:rsidR="00CE5905" w:rsidRPr="00433B9B" w:rsidP="00E423AB" w14:paraId="51A94F13"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Total Burden Hours</w:t>
            </w:r>
          </w:p>
        </w:tc>
        <w:tc>
          <w:tcPr>
            <w:tcW w:w="856" w:type="pct"/>
            <w:tcBorders>
              <w:top w:val="single" w:sz="4" w:space="0" w:color="auto"/>
            </w:tcBorders>
            <w:vAlign w:val="center"/>
          </w:tcPr>
          <w:p w:rsidR="00CE5905" w:rsidRPr="00433B9B" w:rsidP="00E423AB" w14:paraId="674B78D9"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Hourly Wage Rate</w:t>
            </w:r>
          </w:p>
        </w:tc>
        <w:tc>
          <w:tcPr>
            <w:tcW w:w="826" w:type="pct"/>
            <w:tcBorders>
              <w:top w:val="single" w:sz="4" w:space="0" w:color="auto"/>
            </w:tcBorders>
            <w:vAlign w:val="center"/>
          </w:tcPr>
          <w:p w:rsidR="00CE5905" w:rsidRPr="00433B9B" w:rsidP="00E423AB" w14:paraId="5567FAB7"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Total Cost Burden</w:t>
            </w:r>
          </w:p>
        </w:tc>
      </w:tr>
      <w:tr w14:paraId="27E4F75D" w14:textId="77777777" w:rsidTr="00E423AB">
        <w:tblPrEx>
          <w:tblW w:w="5000" w:type="pct"/>
          <w:tblLook w:val="04A0"/>
        </w:tblPrEx>
        <w:tc>
          <w:tcPr>
            <w:tcW w:w="990" w:type="pct"/>
            <w:vMerge w:val="restart"/>
          </w:tcPr>
          <w:p w:rsidR="00CE5905" w:rsidRPr="00433B9B" w:rsidP="00E423AB" w14:paraId="4EC08C04"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Original</w:t>
            </w:r>
          </w:p>
        </w:tc>
        <w:tc>
          <w:tcPr>
            <w:tcW w:w="1413" w:type="pct"/>
          </w:tcPr>
          <w:p w:rsidR="00CE5905" w:rsidRPr="00433B9B" w:rsidP="00E423AB" w14:paraId="4BC857E9"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Represented by Counsel</w:t>
            </w:r>
          </w:p>
        </w:tc>
        <w:tc>
          <w:tcPr>
            <w:tcW w:w="915" w:type="pct"/>
          </w:tcPr>
          <w:p w:rsidR="00CE5905" w:rsidRPr="00433B9B" w:rsidP="00E423AB" w14:paraId="5FE1530B"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35.53</w:t>
            </w:r>
          </w:p>
        </w:tc>
        <w:tc>
          <w:tcPr>
            <w:tcW w:w="856" w:type="pct"/>
          </w:tcPr>
          <w:p w:rsidR="00CE5905" w:rsidRPr="00433B9B" w:rsidP="00E423AB" w14:paraId="623BBF2F"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$792.94</w:t>
            </w:r>
            <w:r w:rsidRPr="00433B9B">
              <w:rPr>
                <w:rFonts w:ascii="Times New Roman" w:hAnsi="Times New Roman" w:cs="Times New Roman"/>
                <w:sz w:val="24"/>
                <w:szCs w:val="24"/>
                <w:vertAlign w:val="superscript"/>
              </w:rPr>
              <w:t xml:space="preserve"> a</w:t>
            </w:r>
          </w:p>
        </w:tc>
        <w:tc>
          <w:tcPr>
            <w:tcW w:w="826" w:type="pct"/>
            <w:tcBorders>
              <w:top w:val="single" w:sz="4" w:space="0" w:color="auto"/>
              <w:left w:val="nil"/>
              <w:bottom w:val="single" w:sz="4" w:space="0" w:color="auto"/>
              <w:right w:val="single" w:sz="4" w:space="0" w:color="auto"/>
            </w:tcBorders>
            <w:vAlign w:val="bottom"/>
          </w:tcPr>
          <w:p w:rsidR="00CE5905" w:rsidRPr="00433B9B" w:rsidP="00E423AB" w14:paraId="29226763"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color w:val="000000" w:themeColor="text1"/>
                <w:sz w:val="24"/>
                <w:szCs w:val="24"/>
              </w:rPr>
              <w:t xml:space="preserve">$28,169 </w:t>
            </w:r>
          </w:p>
        </w:tc>
      </w:tr>
      <w:tr w14:paraId="62A8FD4E" w14:textId="77777777" w:rsidTr="00E423AB">
        <w:tblPrEx>
          <w:tblW w:w="5000" w:type="pct"/>
          <w:tblLook w:val="04A0"/>
        </w:tblPrEx>
        <w:tc>
          <w:tcPr>
            <w:tcW w:w="990" w:type="pct"/>
            <w:vMerge/>
          </w:tcPr>
          <w:p w:rsidR="00CE5905" w:rsidRPr="00433B9B" w:rsidP="00E423AB" w14:paraId="15F27FAF" w14:textId="77777777">
            <w:pPr>
              <w:keepNext/>
              <w:spacing w:line="240" w:lineRule="auto"/>
              <w:rPr>
                <w:rFonts w:ascii="Times New Roman" w:hAnsi="Times New Roman" w:cs="Times New Roman"/>
                <w:sz w:val="24"/>
                <w:szCs w:val="24"/>
              </w:rPr>
            </w:pPr>
          </w:p>
        </w:tc>
        <w:tc>
          <w:tcPr>
            <w:tcW w:w="1413" w:type="pct"/>
          </w:tcPr>
          <w:p w:rsidR="00CE5905" w:rsidRPr="00433B9B" w:rsidP="00E423AB" w14:paraId="13190856" w14:textId="77777777">
            <w:pPr>
              <w:keepNext/>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915" w:type="pct"/>
          </w:tcPr>
          <w:p w:rsidR="00CE5905" w:rsidRPr="00433B9B" w:rsidP="00E423AB" w14:paraId="426181B7"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25.38</w:t>
            </w:r>
          </w:p>
        </w:tc>
        <w:tc>
          <w:tcPr>
            <w:tcW w:w="856" w:type="pct"/>
          </w:tcPr>
          <w:p w:rsidR="00CE5905" w:rsidRPr="00433B9B" w:rsidP="00E423AB" w14:paraId="31BA2558"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$133.08</w:t>
            </w:r>
            <w:r w:rsidRPr="00433B9B">
              <w:rPr>
                <w:rFonts w:ascii="Times New Roman" w:hAnsi="Times New Roman" w:cs="Times New Roman"/>
                <w:sz w:val="24"/>
                <w:szCs w:val="24"/>
                <w:vertAlign w:val="superscript"/>
              </w:rPr>
              <w:t xml:space="preserve"> b</w:t>
            </w:r>
          </w:p>
        </w:tc>
        <w:tc>
          <w:tcPr>
            <w:tcW w:w="826" w:type="pct"/>
            <w:tcBorders>
              <w:top w:val="single" w:sz="4" w:space="0" w:color="auto"/>
              <w:left w:val="nil"/>
              <w:bottom w:val="single" w:sz="4" w:space="0" w:color="auto"/>
              <w:right w:val="single" w:sz="4" w:space="0" w:color="auto"/>
            </w:tcBorders>
            <w:vAlign w:val="bottom"/>
          </w:tcPr>
          <w:p w:rsidR="00CE5905" w:rsidRPr="00433B9B" w:rsidP="00E423AB" w14:paraId="4D376EF8"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color w:val="000000" w:themeColor="text1"/>
                <w:sz w:val="24"/>
                <w:szCs w:val="24"/>
              </w:rPr>
              <w:t xml:space="preserve">$3,377 </w:t>
            </w:r>
          </w:p>
        </w:tc>
      </w:tr>
      <w:tr w14:paraId="0936679D" w14:textId="77777777" w:rsidTr="00E423AB">
        <w:tblPrEx>
          <w:tblW w:w="5000" w:type="pct"/>
          <w:tblLook w:val="04A0"/>
        </w:tblPrEx>
        <w:tc>
          <w:tcPr>
            <w:tcW w:w="990" w:type="pct"/>
            <w:vMerge w:val="restart"/>
          </w:tcPr>
          <w:p w:rsidR="00CE5905" w:rsidRPr="00433B9B" w:rsidP="00E423AB" w14:paraId="080A71AE"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 xml:space="preserve">Original and Supplemental </w:t>
            </w:r>
          </w:p>
        </w:tc>
        <w:tc>
          <w:tcPr>
            <w:tcW w:w="1413" w:type="pct"/>
          </w:tcPr>
          <w:p w:rsidR="00CE5905" w:rsidRPr="00433B9B" w:rsidP="00E423AB" w14:paraId="13B7D99C"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 xml:space="preserve">Represented by Counsel </w:t>
            </w:r>
          </w:p>
        </w:tc>
        <w:tc>
          <w:tcPr>
            <w:tcW w:w="915" w:type="pct"/>
          </w:tcPr>
          <w:p w:rsidR="00CE5905" w:rsidRPr="00433B9B" w:rsidP="00E423AB" w14:paraId="0F23EE65"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77.94</w:t>
            </w:r>
          </w:p>
        </w:tc>
        <w:tc>
          <w:tcPr>
            <w:tcW w:w="856" w:type="pct"/>
          </w:tcPr>
          <w:p w:rsidR="00CE5905" w:rsidRPr="00433B9B" w:rsidP="00E423AB" w14:paraId="707D5F6C"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$792.94</w:t>
            </w:r>
          </w:p>
        </w:tc>
        <w:tc>
          <w:tcPr>
            <w:tcW w:w="826" w:type="pct"/>
            <w:tcBorders>
              <w:top w:val="single" w:sz="4" w:space="0" w:color="auto"/>
              <w:left w:val="nil"/>
              <w:bottom w:val="single" w:sz="4" w:space="0" w:color="auto"/>
              <w:right w:val="single" w:sz="4" w:space="0" w:color="auto"/>
            </w:tcBorders>
            <w:vAlign w:val="bottom"/>
          </w:tcPr>
          <w:p w:rsidR="00CE5905" w:rsidRPr="00433B9B" w:rsidP="00E423AB" w14:paraId="14C29E0F"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color w:val="000000" w:themeColor="text1"/>
                <w:sz w:val="24"/>
                <w:szCs w:val="24"/>
              </w:rPr>
              <w:t xml:space="preserve">$61,800 </w:t>
            </w:r>
          </w:p>
        </w:tc>
      </w:tr>
      <w:tr w14:paraId="056665AB" w14:textId="77777777" w:rsidTr="00E423AB">
        <w:tblPrEx>
          <w:tblW w:w="5000" w:type="pct"/>
          <w:tblLook w:val="04A0"/>
        </w:tblPrEx>
        <w:tc>
          <w:tcPr>
            <w:tcW w:w="990" w:type="pct"/>
            <w:vMerge/>
          </w:tcPr>
          <w:p w:rsidR="00CE5905" w:rsidRPr="00433B9B" w:rsidP="00E423AB" w14:paraId="0731B46D" w14:textId="77777777">
            <w:pPr>
              <w:keepNext/>
              <w:spacing w:line="240" w:lineRule="auto"/>
              <w:rPr>
                <w:rFonts w:ascii="Times New Roman" w:hAnsi="Times New Roman" w:cs="Times New Roman"/>
                <w:sz w:val="24"/>
                <w:szCs w:val="24"/>
              </w:rPr>
            </w:pPr>
          </w:p>
        </w:tc>
        <w:tc>
          <w:tcPr>
            <w:tcW w:w="1413" w:type="pct"/>
          </w:tcPr>
          <w:p w:rsidR="00CE5905" w:rsidRPr="00433B9B" w:rsidP="00E423AB" w14:paraId="18E36A87" w14:textId="77777777">
            <w:pPr>
              <w:keepNext/>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915" w:type="pct"/>
          </w:tcPr>
          <w:p w:rsidR="00CE5905" w:rsidRPr="00433B9B" w:rsidP="00E423AB" w14:paraId="677A87F8"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55.39</w:t>
            </w:r>
          </w:p>
        </w:tc>
        <w:tc>
          <w:tcPr>
            <w:tcW w:w="856" w:type="pct"/>
          </w:tcPr>
          <w:p w:rsidR="00CE5905" w:rsidRPr="00433B9B" w:rsidP="00E423AB" w14:paraId="62BF2782"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$133.08</w:t>
            </w:r>
          </w:p>
        </w:tc>
        <w:tc>
          <w:tcPr>
            <w:tcW w:w="826" w:type="pct"/>
            <w:tcBorders>
              <w:top w:val="single" w:sz="4" w:space="0" w:color="auto"/>
              <w:left w:val="nil"/>
              <w:bottom w:val="single" w:sz="4" w:space="0" w:color="auto"/>
              <w:right w:val="single" w:sz="4" w:space="0" w:color="auto"/>
            </w:tcBorders>
            <w:vAlign w:val="bottom"/>
          </w:tcPr>
          <w:p w:rsidR="00CE5905" w:rsidRPr="00433B9B" w:rsidP="00E423AB" w14:paraId="5A5B8E13"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color w:val="000000" w:themeColor="text1"/>
                <w:sz w:val="24"/>
                <w:szCs w:val="24"/>
              </w:rPr>
              <w:t xml:space="preserve">$7,371 </w:t>
            </w:r>
          </w:p>
        </w:tc>
      </w:tr>
      <w:tr w14:paraId="15EA3E6C" w14:textId="77777777" w:rsidTr="00E423AB">
        <w:tblPrEx>
          <w:tblW w:w="5000" w:type="pct"/>
          <w:tblLook w:val="04A0"/>
        </w:tblPrEx>
        <w:tc>
          <w:tcPr>
            <w:tcW w:w="990" w:type="pct"/>
            <w:vMerge w:val="restart"/>
          </w:tcPr>
          <w:p w:rsidR="00CE5905" w:rsidRPr="00433B9B" w:rsidP="00E423AB" w14:paraId="445700C7"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Supplemental Only</w:t>
            </w:r>
          </w:p>
        </w:tc>
        <w:tc>
          <w:tcPr>
            <w:tcW w:w="1413" w:type="pct"/>
          </w:tcPr>
          <w:p w:rsidR="00CE5905" w:rsidRPr="00433B9B" w:rsidP="00E423AB" w14:paraId="58C599D9" w14:textId="77777777">
            <w:pPr>
              <w:keepNext/>
              <w:spacing w:line="240" w:lineRule="auto"/>
              <w:rPr>
                <w:rFonts w:ascii="Times New Roman" w:hAnsi="Times New Roman" w:cs="Times New Roman"/>
                <w:sz w:val="24"/>
                <w:szCs w:val="24"/>
              </w:rPr>
            </w:pPr>
            <w:r w:rsidRPr="00433B9B">
              <w:rPr>
                <w:rFonts w:ascii="Times New Roman" w:hAnsi="Times New Roman" w:cs="Times New Roman"/>
                <w:sz w:val="24"/>
                <w:szCs w:val="24"/>
              </w:rPr>
              <w:t>Represented by Counsel</w:t>
            </w:r>
          </w:p>
        </w:tc>
        <w:tc>
          <w:tcPr>
            <w:tcW w:w="915" w:type="pct"/>
          </w:tcPr>
          <w:p w:rsidR="00CE5905" w:rsidRPr="00433B9B" w:rsidP="00E423AB" w14:paraId="2FAC0595"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24.65</w:t>
            </w:r>
          </w:p>
        </w:tc>
        <w:tc>
          <w:tcPr>
            <w:tcW w:w="856" w:type="pct"/>
          </w:tcPr>
          <w:p w:rsidR="00CE5905" w:rsidRPr="00433B9B" w:rsidP="00E423AB" w14:paraId="755EE03F"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$792.94</w:t>
            </w:r>
          </w:p>
        </w:tc>
        <w:tc>
          <w:tcPr>
            <w:tcW w:w="826" w:type="pct"/>
            <w:tcBorders>
              <w:top w:val="single" w:sz="4" w:space="0" w:color="auto"/>
              <w:left w:val="nil"/>
              <w:bottom w:val="single" w:sz="4" w:space="0" w:color="auto"/>
              <w:right w:val="single" w:sz="4" w:space="0" w:color="auto"/>
            </w:tcBorders>
            <w:vAlign w:val="bottom"/>
          </w:tcPr>
          <w:p w:rsidR="00CE5905" w:rsidRPr="00433B9B" w:rsidP="00E423AB" w14:paraId="53CDB6CA"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color w:val="000000" w:themeColor="text1"/>
                <w:sz w:val="24"/>
                <w:szCs w:val="24"/>
              </w:rPr>
              <w:t xml:space="preserve">$19,546 </w:t>
            </w:r>
          </w:p>
        </w:tc>
      </w:tr>
      <w:tr w14:paraId="0D5A5549" w14:textId="77777777" w:rsidTr="00E423AB">
        <w:tblPrEx>
          <w:tblW w:w="5000" w:type="pct"/>
          <w:tblLook w:val="04A0"/>
        </w:tblPrEx>
        <w:tc>
          <w:tcPr>
            <w:tcW w:w="990" w:type="pct"/>
            <w:vMerge/>
          </w:tcPr>
          <w:p w:rsidR="00CE5905" w:rsidRPr="00433B9B" w:rsidP="00E423AB" w14:paraId="5669834F" w14:textId="77777777">
            <w:pPr>
              <w:keepNext/>
              <w:spacing w:line="240" w:lineRule="auto"/>
              <w:rPr>
                <w:rFonts w:ascii="Times New Roman" w:hAnsi="Times New Roman" w:cs="Times New Roman"/>
                <w:sz w:val="24"/>
                <w:szCs w:val="24"/>
              </w:rPr>
            </w:pPr>
          </w:p>
        </w:tc>
        <w:tc>
          <w:tcPr>
            <w:tcW w:w="1413" w:type="pct"/>
          </w:tcPr>
          <w:p w:rsidR="00CE5905" w:rsidRPr="00433B9B" w:rsidP="00E423AB" w14:paraId="28DF51E1" w14:textId="77777777">
            <w:pPr>
              <w:keepNext/>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915" w:type="pct"/>
          </w:tcPr>
          <w:p w:rsidR="00CE5905" w:rsidRPr="00433B9B" w:rsidP="00E423AB" w14:paraId="1A54F8F6"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17.33</w:t>
            </w:r>
          </w:p>
        </w:tc>
        <w:tc>
          <w:tcPr>
            <w:tcW w:w="856" w:type="pct"/>
            <w:tcBorders>
              <w:bottom w:val="single" w:sz="4" w:space="0" w:color="auto"/>
            </w:tcBorders>
          </w:tcPr>
          <w:p w:rsidR="00CE5905" w:rsidRPr="00433B9B" w:rsidP="00E423AB" w14:paraId="48DFAF23"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$133.08</w:t>
            </w:r>
          </w:p>
        </w:tc>
        <w:tc>
          <w:tcPr>
            <w:tcW w:w="826" w:type="pct"/>
            <w:tcBorders>
              <w:top w:val="single" w:sz="4" w:space="0" w:color="auto"/>
              <w:left w:val="nil"/>
              <w:bottom w:val="single" w:sz="4" w:space="0" w:color="auto"/>
              <w:right w:val="single" w:sz="4" w:space="0" w:color="auto"/>
            </w:tcBorders>
            <w:vAlign w:val="bottom"/>
          </w:tcPr>
          <w:p w:rsidR="00CE5905" w:rsidRPr="00433B9B" w:rsidP="00E423AB" w14:paraId="484EAD47"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color w:val="000000" w:themeColor="text1"/>
                <w:sz w:val="24"/>
                <w:szCs w:val="24"/>
              </w:rPr>
              <w:t xml:space="preserve">$2,306 </w:t>
            </w:r>
          </w:p>
        </w:tc>
      </w:tr>
      <w:tr w14:paraId="52C07B28" w14:textId="77777777" w:rsidTr="00E423AB">
        <w:tblPrEx>
          <w:tblW w:w="5000" w:type="pct"/>
          <w:tblLook w:val="04A0"/>
        </w:tblPrEx>
        <w:tc>
          <w:tcPr>
            <w:tcW w:w="990" w:type="pct"/>
            <w:tcBorders>
              <w:bottom w:val="single" w:sz="4" w:space="0" w:color="auto"/>
            </w:tcBorders>
          </w:tcPr>
          <w:p w:rsidR="00CE5905" w:rsidRPr="00433B9B" w:rsidP="00E423AB" w14:paraId="5D8698DA" w14:textId="77777777">
            <w:pPr>
              <w:keepNext/>
              <w:spacing w:line="240" w:lineRule="auto"/>
              <w:rPr>
                <w:rFonts w:ascii="Times New Roman" w:hAnsi="Times New Roman" w:cs="Times New Roman"/>
                <w:b/>
                <w:bCs/>
                <w:sz w:val="24"/>
                <w:szCs w:val="24"/>
              </w:rPr>
            </w:pPr>
            <w:r w:rsidRPr="00433B9B">
              <w:rPr>
                <w:rFonts w:ascii="Times New Roman" w:hAnsi="Times New Roman" w:cs="Times New Roman"/>
                <w:b/>
                <w:bCs/>
                <w:sz w:val="24"/>
                <w:szCs w:val="24"/>
              </w:rPr>
              <w:t xml:space="preserve">Total </w:t>
            </w:r>
          </w:p>
        </w:tc>
        <w:tc>
          <w:tcPr>
            <w:tcW w:w="1413" w:type="pct"/>
            <w:tcBorders>
              <w:bottom w:val="single" w:sz="4" w:space="0" w:color="auto"/>
            </w:tcBorders>
            <w:shd w:val="clear" w:color="auto" w:fill="E8E8E8" w:themeFill="background2"/>
          </w:tcPr>
          <w:p w:rsidR="00CE5905" w:rsidRPr="00433B9B" w:rsidP="00E423AB" w14:paraId="0FA2BA0A" w14:textId="77777777">
            <w:pPr>
              <w:keepNext/>
              <w:spacing w:line="240" w:lineRule="auto"/>
              <w:rPr>
                <w:rFonts w:ascii="Times New Roman" w:hAnsi="Times New Roman" w:cs="Times New Roman"/>
                <w:b/>
                <w:bCs/>
                <w:sz w:val="24"/>
                <w:szCs w:val="24"/>
              </w:rPr>
            </w:pPr>
          </w:p>
        </w:tc>
        <w:tc>
          <w:tcPr>
            <w:tcW w:w="915" w:type="pct"/>
            <w:tcBorders>
              <w:bottom w:val="single" w:sz="4" w:space="0" w:color="auto"/>
            </w:tcBorders>
          </w:tcPr>
          <w:p w:rsidR="00CE5905" w:rsidRPr="00433B9B" w:rsidP="00E423AB" w14:paraId="70C7D91D" w14:textId="77777777">
            <w:pPr>
              <w:keepNext/>
              <w:spacing w:line="240" w:lineRule="auto"/>
              <w:jc w:val="center"/>
              <w:rPr>
                <w:rFonts w:ascii="Times New Roman" w:hAnsi="Times New Roman" w:cs="Times New Roman"/>
                <w:b/>
                <w:bCs/>
                <w:sz w:val="24"/>
                <w:szCs w:val="24"/>
              </w:rPr>
            </w:pPr>
            <w:r w:rsidRPr="00433B9B">
              <w:rPr>
                <w:rFonts w:ascii="Times New Roman" w:hAnsi="Times New Roman" w:cs="Times New Roman"/>
                <w:b/>
                <w:bCs/>
                <w:sz w:val="24"/>
                <w:szCs w:val="24"/>
              </w:rPr>
              <w:t>236.20</w:t>
            </w:r>
          </w:p>
        </w:tc>
        <w:tc>
          <w:tcPr>
            <w:tcW w:w="856" w:type="pct"/>
            <w:tcBorders>
              <w:bottom w:val="single" w:sz="4" w:space="0" w:color="auto"/>
            </w:tcBorders>
            <w:shd w:val="clear" w:color="auto" w:fill="E8E8E8" w:themeFill="background2"/>
          </w:tcPr>
          <w:p w:rsidR="00CE5905" w:rsidRPr="00433B9B" w:rsidP="00E423AB" w14:paraId="3DE11250" w14:textId="77777777">
            <w:pPr>
              <w:keepNext/>
              <w:spacing w:line="240" w:lineRule="auto"/>
              <w:jc w:val="center"/>
              <w:rPr>
                <w:rFonts w:ascii="Times New Roman" w:hAnsi="Times New Roman" w:cs="Times New Roman"/>
                <w:sz w:val="24"/>
                <w:szCs w:val="24"/>
              </w:rPr>
            </w:pPr>
          </w:p>
        </w:tc>
        <w:tc>
          <w:tcPr>
            <w:tcW w:w="826" w:type="pct"/>
            <w:tcBorders>
              <w:bottom w:val="single" w:sz="4" w:space="0" w:color="auto"/>
            </w:tcBorders>
          </w:tcPr>
          <w:p w:rsidR="00CE5905" w:rsidRPr="00433B9B" w:rsidP="00E423AB" w14:paraId="7E886CBD" w14:textId="77777777">
            <w:pPr>
              <w:keepNext/>
              <w:spacing w:line="240" w:lineRule="auto"/>
              <w:jc w:val="center"/>
              <w:rPr>
                <w:rFonts w:ascii="Times New Roman" w:hAnsi="Times New Roman" w:cs="Times New Roman"/>
                <w:sz w:val="24"/>
                <w:szCs w:val="24"/>
              </w:rPr>
            </w:pPr>
            <w:r w:rsidRPr="00433B9B">
              <w:rPr>
                <w:rFonts w:ascii="Times New Roman" w:hAnsi="Times New Roman" w:cs="Times New Roman"/>
                <w:b/>
                <w:bCs/>
                <w:sz w:val="24"/>
                <w:szCs w:val="24"/>
              </w:rPr>
              <w:t>$122,568</w:t>
            </w:r>
          </w:p>
        </w:tc>
      </w:tr>
      <w:tr w14:paraId="160A1827" w14:textId="77777777" w:rsidTr="00E423AB">
        <w:tblPrEx>
          <w:tblW w:w="5000" w:type="pct"/>
          <w:tblLook w:val="04A0"/>
        </w:tblPrEx>
        <w:tc>
          <w:tcPr>
            <w:tcW w:w="5000" w:type="pct"/>
            <w:gridSpan w:val="5"/>
            <w:tcBorders>
              <w:left w:val="nil"/>
              <w:bottom w:val="nil"/>
              <w:right w:val="nil"/>
            </w:tcBorders>
          </w:tcPr>
          <w:p w:rsidR="00CE5905" w:rsidRPr="006F0770" w:rsidP="006F0770" w14:paraId="3D4187F8" w14:textId="2723A812">
            <w:pPr>
              <w:keepNext/>
              <w:spacing w:after="0" w:line="240" w:lineRule="auto"/>
              <w:rPr>
                <w:rFonts w:ascii="Times New Roman" w:hAnsi="Times New Roman" w:cs="Times New Roman"/>
                <w:b/>
                <w:bCs/>
                <w:sz w:val="20"/>
                <w:szCs w:val="20"/>
              </w:rPr>
            </w:pPr>
            <w:r w:rsidRPr="006F0770">
              <w:rPr>
                <w:rFonts w:ascii="Times New Roman" w:hAnsi="Times New Roman" w:cs="Times New Roman"/>
                <w:sz w:val="20"/>
                <w:szCs w:val="20"/>
                <w:vertAlign w:val="superscript"/>
              </w:rPr>
              <w:t>a</w:t>
            </w:r>
            <w:r w:rsidRPr="006F0770">
              <w:rPr>
                <w:rFonts w:ascii="Times New Roman" w:hAnsi="Times New Roman" w:cs="Times New Roman"/>
                <w:sz w:val="20"/>
                <w:szCs w:val="20"/>
              </w:rPr>
              <w:t xml:space="preserve"> </w:t>
            </w:r>
            <w:r w:rsidRPr="006F0770">
              <w:rPr>
                <w:rFonts w:ascii="Times New Roman" w:hAnsi="Times New Roman" w:cs="Times New Roman"/>
                <w:sz w:val="20"/>
                <w:szCs w:val="20"/>
              </w:rPr>
              <w:t>The</w:t>
            </w:r>
            <w:r w:rsidRPr="006F0770">
              <w:rPr>
                <w:rFonts w:ascii="Times New Roman" w:hAnsi="Times New Roman" w:cs="Times New Roman"/>
                <w:sz w:val="20"/>
                <w:szCs w:val="20"/>
              </w:rPr>
              <w:t xml:space="preserve"> wage rate applied here is the average wage rate for attorneys as found in the “Hourly Rates for Legal Fees for Complex Federal Litigation in the District of Columbia</w:t>
            </w:r>
            <w:r w:rsidRPr="006F0770" w:rsidR="00E74475">
              <w:rPr>
                <w:rFonts w:ascii="Times New Roman" w:hAnsi="Times New Roman" w:cs="Times New Roman"/>
                <w:sz w:val="20"/>
                <w:szCs w:val="20"/>
              </w:rPr>
              <w:t>,</w:t>
            </w:r>
            <w:r w:rsidRPr="006F0770">
              <w:rPr>
                <w:rFonts w:ascii="Times New Roman" w:hAnsi="Times New Roman" w:cs="Times New Roman"/>
                <w:sz w:val="20"/>
                <w:szCs w:val="20"/>
              </w:rPr>
              <w:t>” published by the U.S. Attorney’s Office for the District of Columbia, Civil Division.</w:t>
            </w:r>
          </w:p>
        </w:tc>
      </w:tr>
      <w:tr w14:paraId="5BE69A14" w14:textId="77777777" w:rsidTr="00E423AB">
        <w:tblPrEx>
          <w:tblW w:w="5000" w:type="pct"/>
          <w:tblLook w:val="04A0"/>
        </w:tblPrEx>
        <w:tc>
          <w:tcPr>
            <w:tcW w:w="5000" w:type="pct"/>
            <w:gridSpan w:val="5"/>
            <w:tcBorders>
              <w:top w:val="nil"/>
              <w:left w:val="nil"/>
              <w:bottom w:val="nil"/>
              <w:right w:val="nil"/>
            </w:tcBorders>
          </w:tcPr>
          <w:p w:rsidR="00CE5905" w:rsidRPr="006F0770" w:rsidP="006F0770" w14:paraId="1C4D4897" w14:textId="1DF37B6E">
            <w:pPr>
              <w:keepNext/>
              <w:spacing w:after="0" w:line="240" w:lineRule="auto"/>
              <w:rPr>
                <w:rFonts w:ascii="Times New Roman" w:hAnsi="Times New Roman" w:cs="Times New Roman"/>
                <w:b/>
                <w:bCs/>
                <w:sz w:val="20"/>
                <w:szCs w:val="20"/>
              </w:rPr>
            </w:pPr>
            <w:r w:rsidRPr="006F0770">
              <w:rPr>
                <w:rFonts w:ascii="Times New Roman" w:hAnsi="Times New Roman" w:cs="Times New Roman"/>
                <w:sz w:val="20"/>
                <w:szCs w:val="20"/>
                <w:vertAlign w:val="superscript"/>
              </w:rPr>
              <w:t>b</w:t>
            </w:r>
            <w:r w:rsidRPr="006F0770">
              <w:rPr>
                <w:rFonts w:ascii="Times New Roman" w:hAnsi="Times New Roman" w:cs="Times New Roman"/>
                <w:sz w:val="20"/>
                <w:szCs w:val="20"/>
              </w:rPr>
              <w:t xml:space="preserve"> The wage rate applied here is the hourly wage rate for attorneys ($93.72), scaled by a private-sector benefits factor of 1.42 ($133.08 = $93.72 x 1.42), that incorporates the mean wage data (available for download at </w:t>
            </w:r>
            <w:hyperlink r:id="rId10">
              <w:r w:rsidRPr="006F0770">
                <w:rPr>
                  <w:rStyle w:val="Hyperlink"/>
                  <w:rFonts w:ascii="Times New Roman" w:hAnsi="Times New Roman" w:cs="Times New Roman"/>
                  <w:sz w:val="20"/>
                  <w:szCs w:val="20"/>
                </w:rPr>
                <w:t>https://www.bls.gov/oes/2024/may/oessrci.htm</w:t>
              </w:r>
            </w:hyperlink>
            <w:r w:rsidRPr="006F0770">
              <w:rPr>
                <w:rFonts w:ascii="Times New Roman" w:hAnsi="Times New Roman" w:cs="Times New Roman"/>
                <w:sz w:val="20"/>
                <w:szCs w:val="20"/>
              </w:rPr>
              <w:t xml:space="preserve">, “May 2024 </w:t>
            </w:r>
            <w:r w:rsidRPr="006F0770" w:rsidR="003779BE">
              <w:rPr>
                <w:rFonts w:ascii="Times New Roman" w:hAnsi="Times New Roman" w:cs="Times New Roman"/>
                <w:sz w:val="20"/>
                <w:szCs w:val="20"/>
              </w:rPr>
              <w:t xml:space="preserve">— </w:t>
            </w:r>
            <w:r w:rsidRPr="006F0770">
              <w:rPr>
                <w:rFonts w:ascii="Times New Roman" w:hAnsi="Times New Roman" w:cs="Times New Roman"/>
                <w:sz w:val="20"/>
                <w:szCs w:val="20"/>
              </w:rPr>
              <w:t xml:space="preserve">National industry-specific and by ownership”) associated with the occupational code for “Lawyers” (23-1011) for cross-industry private and public sector workers.  The benefit factor is one plus the benefit/wages ratio, where as of December 2024, Total Benefits = 29.5 and Wages and salaries = 70.5 (29.5/70.5= 0.42) based on the private industry workers series data downloaded from </w:t>
            </w:r>
            <w:hyperlink r:id="rId11">
              <w:r w:rsidRPr="006F0770">
                <w:rPr>
                  <w:rStyle w:val="Hyperlink"/>
                  <w:rFonts w:ascii="Times New Roman" w:hAnsi="Times New Roman" w:cs="Times New Roman"/>
                  <w:sz w:val="20"/>
                  <w:szCs w:val="20"/>
                </w:rPr>
                <w:t>https://www.bls.gov/news.release/pdf/ecec.pdf</w:t>
              </w:r>
            </w:hyperlink>
            <w:r w:rsidRPr="006F0770">
              <w:rPr>
                <w:rFonts w:ascii="Times New Roman" w:hAnsi="Times New Roman" w:cs="Times New Roman"/>
                <w:sz w:val="20"/>
                <w:szCs w:val="20"/>
              </w:rPr>
              <w:t xml:space="preserve"> (accessed Apr. 22, 2025).  Given that many occupations provide benefits beyond cash wages (e.g., insurance, paid leave, etc.), the private sector benefit is applied to reflect the total cost to the employer.</w:t>
            </w:r>
          </w:p>
        </w:tc>
      </w:tr>
    </w:tbl>
    <w:p w:rsidR="00CE5905" w:rsidRPr="00433B9B" w:rsidP="00CE5905" w14:paraId="38B1C736" w14:textId="77777777">
      <w:pPr>
        <w:spacing w:after="0" w:line="240" w:lineRule="auto"/>
        <w:rPr>
          <w:rFonts w:ascii="Times New Roman" w:hAnsi="Times New Roman" w:cs="Times New Roman"/>
          <w:sz w:val="24"/>
          <w:szCs w:val="24"/>
        </w:rPr>
      </w:pPr>
    </w:p>
    <w:p w:rsidR="00CE5905" w:rsidRPr="00433B9B" w:rsidP="00CE5905" w14:paraId="17342335" w14:textId="77777777">
      <w:pPr>
        <w:pStyle w:val="Heading3"/>
        <w:spacing w:before="0" w:after="0" w:line="240" w:lineRule="auto"/>
        <w:rPr>
          <w:rFonts w:ascii="Times New Roman" w:hAnsi="Times New Roman" w:cs="Times New Roman"/>
          <w:color w:val="auto"/>
          <w:sz w:val="24"/>
          <w:szCs w:val="24"/>
        </w:rPr>
      </w:pPr>
      <w:r w:rsidRPr="00433B9B">
        <w:rPr>
          <w:rFonts w:ascii="Times New Roman" w:hAnsi="Times New Roman" w:cs="Times New Roman"/>
          <w:i/>
          <w:iCs/>
          <w:color w:val="auto"/>
          <w:sz w:val="24"/>
          <w:szCs w:val="24"/>
        </w:rPr>
        <w:t>Estimated Total Annual Cost of Form TCR</w:t>
      </w:r>
      <w:r w:rsidRPr="00433B9B">
        <w:rPr>
          <w:rFonts w:ascii="Times New Roman" w:hAnsi="Times New Roman" w:cs="Times New Roman"/>
          <w:color w:val="auto"/>
          <w:sz w:val="24"/>
          <w:szCs w:val="24"/>
        </w:rPr>
        <w:t>: $122,568.</w:t>
      </w:r>
      <w:r>
        <w:rPr>
          <w:rStyle w:val="FootnoteReference"/>
          <w:rFonts w:ascii="Times New Roman" w:hAnsi="Times New Roman" w:cs="Times New Roman"/>
          <w:color w:val="auto"/>
          <w:sz w:val="24"/>
          <w:szCs w:val="24"/>
        </w:rPr>
        <w:footnoteReference w:id="10"/>
      </w:r>
    </w:p>
    <w:p w:rsidR="00CE5905" w:rsidRPr="00433B9B" w:rsidP="00CE5905" w14:paraId="463771C2" w14:textId="77777777">
      <w:pPr>
        <w:spacing w:after="0" w:line="240" w:lineRule="auto"/>
        <w:rPr>
          <w:rFonts w:ascii="Times New Roman" w:hAnsi="Times New Roman" w:cs="Times New Roman"/>
          <w:sz w:val="24"/>
          <w:szCs w:val="24"/>
        </w:rPr>
      </w:pPr>
    </w:p>
    <w:p w:rsidR="00CE5905" w:rsidRPr="00433B9B" w:rsidP="00CE5905" w14:paraId="58140095" w14:textId="77777777">
      <w:pPr>
        <w:pStyle w:val="Heading3"/>
        <w:spacing w:before="0" w:after="0" w:line="240" w:lineRule="auto"/>
        <w:rPr>
          <w:rFonts w:ascii="Times New Roman" w:hAnsi="Times New Roman" w:cs="Times New Roman"/>
          <w:b/>
          <w:bCs/>
          <w:color w:val="auto"/>
          <w:sz w:val="24"/>
          <w:szCs w:val="24"/>
        </w:rPr>
      </w:pPr>
      <w:r w:rsidRPr="00433B9B">
        <w:rPr>
          <w:rFonts w:ascii="Times New Roman" w:hAnsi="Times New Roman" w:cs="Times New Roman"/>
          <w:b/>
          <w:bCs/>
          <w:color w:val="auto"/>
          <w:sz w:val="24"/>
          <w:szCs w:val="24"/>
        </w:rPr>
        <w:t>Proposed Form WB-APP</w:t>
      </w:r>
    </w:p>
    <w:p w:rsidR="00CE5905" w:rsidRPr="00433B9B" w:rsidP="00CE5905" w14:paraId="12673D8E" w14:textId="77777777">
      <w:pPr>
        <w:pStyle w:val="Heading6"/>
        <w:spacing w:before="0" w:line="240" w:lineRule="auto"/>
        <w:rPr>
          <w:rFonts w:ascii="Times New Roman" w:hAnsi="Times New Roman" w:cs="Times New Roman"/>
          <w:b/>
          <w:bCs/>
          <w:i w:val="0"/>
          <w:iCs w:val="0"/>
          <w:color w:val="auto"/>
          <w:sz w:val="24"/>
          <w:szCs w:val="24"/>
        </w:rPr>
      </w:pPr>
      <w:bookmarkStart w:id="3" w:name="Table24"/>
    </w:p>
    <w:p w:rsidR="00CE5905" w:rsidRPr="00433B9B" w:rsidP="00CE5905" w14:paraId="1DB139DE" w14:textId="77777777">
      <w:pPr>
        <w:spacing w:after="0" w:line="240" w:lineRule="auto"/>
        <w:rPr>
          <w:rFonts w:ascii="Times New Roman" w:eastAsia="Times New Roman" w:hAnsi="Times New Roman" w:cs="Times New Roman"/>
          <w:sz w:val="24"/>
          <w:szCs w:val="24"/>
        </w:rPr>
      </w:pPr>
      <w:r w:rsidRPr="00433B9B">
        <w:rPr>
          <w:rFonts w:ascii="Times New Roman" w:eastAsia="Times New Roman" w:hAnsi="Times New Roman" w:cs="Times New Roman"/>
          <w:i/>
          <w:iCs/>
          <w:sz w:val="24"/>
          <w:szCs w:val="24"/>
        </w:rPr>
        <w:t>Estimated Cost per Response</w:t>
      </w:r>
      <w:r w:rsidRPr="00433B9B">
        <w:rPr>
          <w:rFonts w:ascii="Times New Roman" w:eastAsia="Times New Roman" w:hAnsi="Times New Roman" w:cs="Times New Roman"/>
          <w:sz w:val="24"/>
          <w:szCs w:val="24"/>
        </w:rPr>
        <w:t xml:space="preserve">: The cost associated with this information collection would vary, depending on whether a whistleblower submits information without legal representation (i.e., </w:t>
      </w:r>
      <w:r w:rsidRPr="00433B9B">
        <w:rPr>
          <w:rFonts w:ascii="Times New Roman" w:eastAsia="Times New Roman" w:hAnsi="Times New Roman" w:cs="Times New Roman"/>
          <w:i/>
          <w:iCs/>
          <w:sz w:val="24"/>
          <w:szCs w:val="24"/>
        </w:rPr>
        <w:t>pro se</w:t>
      </w:r>
      <w:r w:rsidRPr="00433B9B">
        <w:rPr>
          <w:rFonts w:ascii="Times New Roman" w:eastAsia="Times New Roman" w:hAnsi="Times New Roman" w:cs="Times New Roman"/>
          <w:sz w:val="24"/>
          <w:szCs w:val="24"/>
        </w:rPr>
        <w:t>) or through counsel.  FinCEN estimates the average annual cost per response type in Table 4 below.</w:t>
      </w:r>
    </w:p>
    <w:p w:rsidR="00CE5905" w:rsidP="00CE5905" w14:paraId="3305C5DA" w14:textId="77777777">
      <w:pPr>
        <w:spacing w:line="240" w:lineRule="auto"/>
        <w:rPr>
          <w:rFonts w:ascii="Times New Roman" w:hAnsi="Times New Roman" w:cs="Times New Roman"/>
          <w:sz w:val="24"/>
          <w:szCs w:val="24"/>
        </w:rPr>
      </w:pPr>
    </w:p>
    <w:p w:rsidR="001D1007" w:rsidRPr="00433B9B" w:rsidP="00CE5905" w14:paraId="7EA148C2" w14:textId="77777777">
      <w:pPr>
        <w:spacing w:line="240" w:lineRule="auto"/>
        <w:rPr>
          <w:rFonts w:ascii="Times New Roman" w:hAnsi="Times New Roman" w:cs="Times New Roman"/>
          <w:sz w:val="24"/>
          <w:szCs w:val="24"/>
        </w:rPr>
      </w:pPr>
    </w:p>
    <w:p w:rsidR="00CE5905" w:rsidRPr="003C3C43" w:rsidP="00CE5905" w14:paraId="7F840B9E" w14:textId="77777777">
      <w:pPr>
        <w:pStyle w:val="Heading6"/>
        <w:spacing w:before="0" w:line="240" w:lineRule="auto"/>
        <w:rPr>
          <w:rFonts w:ascii="Times New Roman" w:hAnsi="Times New Roman" w:cs="Times New Roman"/>
          <w:b/>
          <w:bCs/>
          <w:i w:val="0"/>
          <w:iCs w:val="0"/>
          <w:color w:val="auto"/>
          <w:sz w:val="24"/>
          <w:szCs w:val="24"/>
        </w:rPr>
      </w:pPr>
      <w:r w:rsidRPr="00433B9B">
        <w:rPr>
          <w:rFonts w:ascii="Times New Roman" w:hAnsi="Times New Roman" w:cs="Times New Roman"/>
          <w:b/>
          <w:bCs/>
          <w:i w:val="0"/>
          <w:iCs w:val="0"/>
          <w:color w:val="auto"/>
          <w:sz w:val="24"/>
          <w:szCs w:val="24"/>
        </w:rPr>
        <w:t>Table 4. Aggregate Annual Cost of Form WB-APP</w:t>
      </w:r>
      <w:bookmarkEnd w:id="3"/>
    </w:p>
    <w:tbl>
      <w:tblPr>
        <w:tblStyle w:val="TableGrid"/>
        <w:tblW w:w="0" w:type="auto"/>
        <w:tblLayout w:type="fixed"/>
        <w:tblLook w:val="04A0"/>
      </w:tblPr>
      <w:tblGrid>
        <w:gridCol w:w="2988"/>
        <w:gridCol w:w="2497"/>
        <w:gridCol w:w="1993"/>
        <w:gridCol w:w="1872"/>
      </w:tblGrid>
      <w:tr w14:paraId="61B6F38B" w14:textId="77777777" w:rsidTr="00E423AB">
        <w:tblPrEx>
          <w:tblW w:w="0" w:type="auto"/>
          <w:tblLayout w:type="fixed"/>
          <w:tblLook w:val="04A0"/>
        </w:tblPrEx>
        <w:tc>
          <w:tcPr>
            <w:tcW w:w="2988" w:type="dxa"/>
            <w:tcBorders>
              <w:top w:val="single" w:sz="4" w:space="0" w:color="auto"/>
            </w:tcBorders>
            <w:vAlign w:val="center"/>
          </w:tcPr>
          <w:p w:rsidR="00CE5905" w:rsidRPr="00433B9B" w:rsidP="00E423AB" w14:paraId="07BE9AEC"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Representation Type</w:t>
            </w:r>
          </w:p>
        </w:tc>
        <w:tc>
          <w:tcPr>
            <w:tcW w:w="2497" w:type="dxa"/>
            <w:tcBorders>
              <w:top w:val="single" w:sz="4" w:space="0" w:color="auto"/>
            </w:tcBorders>
            <w:vAlign w:val="center"/>
          </w:tcPr>
          <w:p w:rsidR="00CE5905" w:rsidRPr="00433B9B" w:rsidP="00E423AB" w14:paraId="364A0037"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Total Burden Hours</w:t>
            </w:r>
          </w:p>
        </w:tc>
        <w:tc>
          <w:tcPr>
            <w:tcW w:w="1993" w:type="dxa"/>
            <w:tcBorders>
              <w:top w:val="single" w:sz="4" w:space="0" w:color="auto"/>
            </w:tcBorders>
            <w:vAlign w:val="center"/>
          </w:tcPr>
          <w:p w:rsidR="00CE5905" w:rsidRPr="00433B9B" w:rsidP="00E423AB" w14:paraId="4FF70576" w14:textId="77777777">
            <w:pPr>
              <w:spacing w:line="240" w:lineRule="auto"/>
              <w:jc w:val="center"/>
              <w:rPr>
                <w:rFonts w:ascii="Times New Roman" w:hAnsi="Times New Roman" w:cs="Times New Roman"/>
                <w:sz w:val="24"/>
                <w:szCs w:val="24"/>
                <w:vertAlign w:val="superscript"/>
              </w:rPr>
            </w:pPr>
            <w:r w:rsidRPr="00433B9B">
              <w:rPr>
                <w:rFonts w:ascii="Times New Roman" w:hAnsi="Times New Roman" w:cs="Times New Roman"/>
                <w:sz w:val="24"/>
                <w:szCs w:val="24"/>
              </w:rPr>
              <w:t>Hourly Wage Rate</w:t>
            </w:r>
          </w:p>
        </w:tc>
        <w:tc>
          <w:tcPr>
            <w:tcW w:w="1872" w:type="dxa"/>
            <w:tcBorders>
              <w:top w:val="single" w:sz="4" w:space="0" w:color="auto"/>
            </w:tcBorders>
            <w:vAlign w:val="center"/>
          </w:tcPr>
          <w:p w:rsidR="00CE5905" w:rsidRPr="00433B9B" w:rsidP="00E423AB" w14:paraId="529964A5"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Total Cost Burden</w:t>
            </w:r>
          </w:p>
        </w:tc>
      </w:tr>
      <w:tr w14:paraId="5E8E7178" w14:textId="77777777" w:rsidTr="00E423AB">
        <w:tblPrEx>
          <w:tblW w:w="0" w:type="auto"/>
          <w:tblLayout w:type="fixed"/>
          <w:tblLook w:val="04A0"/>
        </w:tblPrEx>
        <w:tc>
          <w:tcPr>
            <w:tcW w:w="2988" w:type="dxa"/>
          </w:tcPr>
          <w:p w:rsidR="00CE5905" w:rsidRPr="00433B9B" w:rsidP="00E423AB" w14:paraId="42AA0106" w14:textId="77777777">
            <w:pPr>
              <w:spacing w:line="240" w:lineRule="auto"/>
              <w:rPr>
                <w:rFonts w:ascii="Times New Roman" w:hAnsi="Times New Roman" w:cs="Times New Roman"/>
                <w:sz w:val="24"/>
                <w:szCs w:val="24"/>
              </w:rPr>
            </w:pPr>
            <w:r w:rsidRPr="00433B9B">
              <w:rPr>
                <w:rFonts w:ascii="Times New Roman" w:hAnsi="Times New Roman" w:cs="Times New Roman"/>
                <w:sz w:val="24"/>
                <w:szCs w:val="24"/>
              </w:rPr>
              <w:t>Represented by Counsel</w:t>
            </w:r>
          </w:p>
        </w:tc>
        <w:tc>
          <w:tcPr>
            <w:tcW w:w="2497" w:type="dxa"/>
          </w:tcPr>
          <w:p w:rsidR="00CE5905" w:rsidRPr="00433B9B" w:rsidP="00E423AB" w14:paraId="0EF621BE" w14:textId="77777777">
            <w:pPr>
              <w:spacing w:line="240" w:lineRule="auto"/>
              <w:jc w:val="center"/>
              <w:rPr>
                <w:rFonts w:ascii="Times New Roman" w:hAnsi="Times New Roman" w:cs="Times New Roman"/>
                <w:sz w:val="24"/>
                <w:szCs w:val="24"/>
                <w:vertAlign w:val="superscript"/>
              </w:rPr>
            </w:pPr>
            <w:r w:rsidRPr="00433B9B">
              <w:rPr>
                <w:rFonts w:ascii="Times New Roman" w:hAnsi="Times New Roman" w:cs="Times New Roman"/>
                <w:sz w:val="24"/>
                <w:szCs w:val="24"/>
              </w:rPr>
              <w:t>2.21</w:t>
            </w:r>
          </w:p>
        </w:tc>
        <w:tc>
          <w:tcPr>
            <w:tcW w:w="1993" w:type="dxa"/>
          </w:tcPr>
          <w:p w:rsidR="00CE5905" w:rsidRPr="00433B9B" w:rsidP="00E423AB" w14:paraId="13793258"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$792.94</w:t>
            </w:r>
          </w:p>
        </w:tc>
        <w:tc>
          <w:tcPr>
            <w:tcW w:w="1872" w:type="dxa"/>
          </w:tcPr>
          <w:p w:rsidR="00CE5905" w:rsidRPr="00433B9B" w:rsidP="00E423AB" w14:paraId="2B8D15EA"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$1,751</w:t>
            </w:r>
          </w:p>
        </w:tc>
      </w:tr>
      <w:tr w14:paraId="2FE8C9E9" w14:textId="77777777" w:rsidTr="00E423AB">
        <w:tblPrEx>
          <w:tblW w:w="0" w:type="auto"/>
          <w:tblLayout w:type="fixed"/>
          <w:tblLook w:val="04A0"/>
        </w:tblPrEx>
        <w:tc>
          <w:tcPr>
            <w:tcW w:w="2988" w:type="dxa"/>
          </w:tcPr>
          <w:p w:rsidR="00CE5905" w:rsidRPr="00433B9B" w:rsidP="00E423AB" w14:paraId="19A40307" w14:textId="77777777">
            <w:pPr>
              <w:spacing w:line="240" w:lineRule="auto"/>
              <w:rPr>
                <w:rFonts w:ascii="Times New Roman" w:hAnsi="Times New Roman" w:cs="Times New Roman"/>
                <w:i/>
                <w:iCs/>
                <w:sz w:val="24"/>
                <w:szCs w:val="24"/>
              </w:rPr>
            </w:pPr>
            <w:r w:rsidRPr="00433B9B">
              <w:rPr>
                <w:rFonts w:ascii="Times New Roman" w:hAnsi="Times New Roman" w:cs="Times New Roman"/>
                <w:i/>
                <w:iCs/>
                <w:sz w:val="24"/>
                <w:szCs w:val="24"/>
              </w:rPr>
              <w:t>Pro Se</w:t>
            </w:r>
          </w:p>
        </w:tc>
        <w:tc>
          <w:tcPr>
            <w:tcW w:w="2497" w:type="dxa"/>
          </w:tcPr>
          <w:p w:rsidR="00CE5905" w:rsidRPr="00433B9B" w:rsidP="00E423AB" w14:paraId="4414F5BD"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1.06</w:t>
            </w:r>
          </w:p>
        </w:tc>
        <w:tc>
          <w:tcPr>
            <w:tcW w:w="1993" w:type="dxa"/>
          </w:tcPr>
          <w:p w:rsidR="00CE5905" w:rsidRPr="00433B9B" w:rsidP="00E423AB" w14:paraId="73243776"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$133.08</w:t>
            </w:r>
          </w:p>
        </w:tc>
        <w:tc>
          <w:tcPr>
            <w:tcW w:w="1872" w:type="dxa"/>
          </w:tcPr>
          <w:p w:rsidR="00CE5905" w:rsidRPr="00433B9B" w:rsidP="00E423AB" w14:paraId="4F70A7F9" w14:textId="77777777">
            <w:pPr>
              <w:spacing w:line="240" w:lineRule="auto"/>
              <w:jc w:val="center"/>
              <w:rPr>
                <w:rFonts w:ascii="Times New Roman" w:hAnsi="Times New Roman" w:cs="Times New Roman"/>
                <w:sz w:val="24"/>
                <w:szCs w:val="24"/>
              </w:rPr>
            </w:pPr>
            <w:r w:rsidRPr="00433B9B">
              <w:rPr>
                <w:rFonts w:ascii="Times New Roman" w:hAnsi="Times New Roman" w:cs="Times New Roman"/>
                <w:sz w:val="24"/>
                <w:szCs w:val="24"/>
              </w:rPr>
              <w:t>$141</w:t>
            </w:r>
          </w:p>
        </w:tc>
      </w:tr>
      <w:tr w14:paraId="7D7D8295" w14:textId="77777777" w:rsidTr="00E423AB">
        <w:tblPrEx>
          <w:tblW w:w="0" w:type="auto"/>
          <w:tblLayout w:type="fixed"/>
          <w:tblLook w:val="04A0"/>
        </w:tblPrEx>
        <w:tc>
          <w:tcPr>
            <w:tcW w:w="2988" w:type="dxa"/>
            <w:tcBorders>
              <w:bottom w:val="single" w:sz="4" w:space="0" w:color="auto"/>
            </w:tcBorders>
          </w:tcPr>
          <w:p w:rsidR="00CE5905" w:rsidRPr="00433B9B" w:rsidP="00E423AB" w14:paraId="1096A9F1" w14:textId="77777777">
            <w:pPr>
              <w:spacing w:line="240" w:lineRule="auto"/>
              <w:rPr>
                <w:rFonts w:ascii="Times New Roman" w:hAnsi="Times New Roman" w:cs="Times New Roman"/>
                <w:b/>
                <w:bCs/>
                <w:sz w:val="24"/>
                <w:szCs w:val="24"/>
              </w:rPr>
            </w:pPr>
            <w:r w:rsidRPr="00433B9B">
              <w:rPr>
                <w:rFonts w:ascii="Times New Roman" w:hAnsi="Times New Roman" w:cs="Times New Roman"/>
                <w:b/>
                <w:bCs/>
                <w:sz w:val="24"/>
                <w:szCs w:val="24"/>
              </w:rPr>
              <w:t xml:space="preserve">Total </w:t>
            </w:r>
          </w:p>
        </w:tc>
        <w:tc>
          <w:tcPr>
            <w:tcW w:w="2497" w:type="dxa"/>
            <w:tcBorders>
              <w:bottom w:val="single" w:sz="4" w:space="0" w:color="auto"/>
            </w:tcBorders>
          </w:tcPr>
          <w:p w:rsidR="00CE5905" w:rsidRPr="00433B9B" w:rsidP="00E423AB" w14:paraId="7F024229" w14:textId="77777777">
            <w:pPr>
              <w:spacing w:line="240" w:lineRule="auto"/>
              <w:jc w:val="center"/>
              <w:rPr>
                <w:rFonts w:ascii="Times New Roman" w:hAnsi="Times New Roman" w:cs="Times New Roman"/>
                <w:b/>
                <w:bCs/>
                <w:sz w:val="24"/>
                <w:szCs w:val="24"/>
              </w:rPr>
            </w:pPr>
            <w:r w:rsidRPr="00433B9B">
              <w:rPr>
                <w:rFonts w:ascii="Times New Roman" w:hAnsi="Times New Roman" w:cs="Times New Roman"/>
                <w:b/>
                <w:bCs/>
                <w:sz w:val="24"/>
                <w:szCs w:val="24"/>
              </w:rPr>
              <w:t>3.27</w:t>
            </w:r>
          </w:p>
        </w:tc>
        <w:tc>
          <w:tcPr>
            <w:tcW w:w="1993" w:type="dxa"/>
            <w:tcBorders>
              <w:bottom w:val="single" w:sz="4" w:space="0" w:color="auto"/>
            </w:tcBorders>
            <w:shd w:val="clear" w:color="auto" w:fill="E8E8E8" w:themeFill="background2"/>
          </w:tcPr>
          <w:p w:rsidR="00CE5905" w:rsidRPr="00433B9B" w:rsidP="00E423AB" w14:paraId="14B12744" w14:textId="77777777">
            <w:pPr>
              <w:spacing w:line="240" w:lineRule="auto"/>
              <w:jc w:val="center"/>
              <w:rPr>
                <w:rFonts w:ascii="Times New Roman" w:hAnsi="Times New Roman" w:cs="Times New Roman"/>
                <w:b/>
                <w:bCs/>
                <w:sz w:val="24"/>
                <w:szCs w:val="24"/>
              </w:rPr>
            </w:pPr>
          </w:p>
        </w:tc>
        <w:tc>
          <w:tcPr>
            <w:tcW w:w="1872" w:type="dxa"/>
            <w:tcBorders>
              <w:bottom w:val="single" w:sz="4" w:space="0" w:color="auto"/>
            </w:tcBorders>
          </w:tcPr>
          <w:p w:rsidR="00CE5905" w:rsidRPr="00433B9B" w:rsidP="00E423AB" w14:paraId="6B3C25A8" w14:textId="77777777">
            <w:pPr>
              <w:spacing w:line="240" w:lineRule="auto"/>
              <w:jc w:val="center"/>
              <w:rPr>
                <w:rFonts w:ascii="Times New Roman" w:hAnsi="Times New Roman" w:cs="Times New Roman"/>
                <w:b/>
                <w:bCs/>
                <w:sz w:val="24"/>
                <w:szCs w:val="24"/>
              </w:rPr>
            </w:pPr>
            <w:r w:rsidRPr="00433B9B">
              <w:rPr>
                <w:rFonts w:ascii="Times New Roman" w:hAnsi="Times New Roman" w:cs="Times New Roman"/>
                <w:b/>
                <w:bCs/>
                <w:sz w:val="24"/>
                <w:szCs w:val="24"/>
              </w:rPr>
              <w:t>$1,892</w:t>
            </w:r>
          </w:p>
        </w:tc>
      </w:tr>
    </w:tbl>
    <w:p w:rsidR="00CE5905" w:rsidRPr="00433B9B" w:rsidP="00CE5905" w14:paraId="53078557" w14:textId="77777777">
      <w:pPr>
        <w:spacing w:after="0" w:line="240" w:lineRule="auto"/>
        <w:rPr>
          <w:rFonts w:ascii="Times New Roman" w:hAnsi="Times New Roman" w:cs="Times New Roman"/>
          <w:b/>
          <w:bCs/>
          <w:sz w:val="24"/>
          <w:szCs w:val="24"/>
        </w:rPr>
      </w:pPr>
    </w:p>
    <w:p w:rsidR="00CE5905" w:rsidRPr="00433B9B" w:rsidP="00CE5905" w14:paraId="62933425" w14:textId="77777777">
      <w:pPr>
        <w:pStyle w:val="Heading3"/>
        <w:spacing w:before="0" w:after="0" w:line="240" w:lineRule="auto"/>
        <w:rPr>
          <w:rFonts w:ascii="Times New Roman" w:hAnsi="Times New Roman" w:cs="Times New Roman"/>
          <w:color w:val="auto"/>
          <w:sz w:val="24"/>
          <w:szCs w:val="24"/>
        </w:rPr>
      </w:pPr>
      <w:r w:rsidRPr="00433B9B">
        <w:rPr>
          <w:rFonts w:ascii="Times New Roman" w:hAnsi="Times New Roman" w:cs="Times New Roman"/>
          <w:i/>
          <w:iCs/>
          <w:color w:val="auto"/>
          <w:sz w:val="24"/>
          <w:szCs w:val="24"/>
        </w:rPr>
        <w:t>Estimated Total Annual Cost of Form WB-APP</w:t>
      </w:r>
      <w:r w:rsidRPr="00433B9B">
        <w:rPr>
          <w:rFonts w:ascii="Times New Roman" w:hAnsi="Times New Roman" w:cs="Times New Roman"/>
          <w:color w:val="auto"/>
          <w:sz w:val="24"/>
          <w:szCs w:val="24"/>
        </w:rPr>
        <w:t>: $1,892.</w:t>
      </w:r>
      <w:r>
        <w:rPr>
          <w:rStyle w:val="FootnoteReference"/>
          <w:rFonts w:ascii="Times New Roman" w:hAnsi="Times New Roman" w:cs="Times New Roman"/>
          <w:color w:val="auto"/>
          <w:sz w:val="24"/>
          <w:szCs w:val="24"/>
        </w:rPr>
        <w:footnoteReference w:id="11"/>
      </w:r>
    </w:p>
    <w:p w:rsidR="00CE5905" w:rsidRPr="00433B9B" w:rsidP="00CE5905" w14:paraId="44444B9A" w14:textId="77777777">
      <w:pPr>
        <w:spacing w:after="0" w:line="240" w:lineRule="auto"/>
        <w:rPr>
          <w:rFonts w:ascii="Times New Roman" w:hAnsi="Times New Roman" w:cs="Times New Roman"/>
          <w:sz w:val="24"/>
          <w:szCs w:val="24"/>
        </w:rPr>
      </w:pPr>
    </w:p>
    <w:p w:rsidR="00CE5905" w:rsidRPr="00433B9B" w:rsidP="00CE5905" w14:paraId="0B153CD3" w14:textId="77777777">
      <w:pPr>
        <w:spacing w:after="0" w:line="240" w:lineRule="auto"/>
        <w:rPr>
          <w:rFonts w:ascii="Times New Roman" w:hAnsi="Times New Roman" w:cs="Times New Roman"/>
          <w:b/>
          <w:bCs/>
          <w:sz w:val="24"/>
          <w:szCs w:val="24"/>
        </w:rPr>
      </w:pPr>
      <w:r w:rsidRPr="00433B9B">
        <w:rPr>
          <w:rFonts w:ascii="Times New Roman" w:hAnsi="Times New Roman" w:cs="Times New Roman"/>
          <w:b/>
          <w:bCs/>
          <w:sz w:val="24"/>
          <w:szCs w:val="24"/>
        </w:rPr>
        <w:t>Total Combined Annual Cost – Form TCR and WB-APP</w:t>
      </w:r>
    </w:p>
    <w:p w:rsidR="00CE5905" w:rsidRPr="00433B9B" w:rsidP="00CE5905" w14:paraId="48CB1104" w14:textId="77777777">
      <w:pPr>
        <w:spacing w:after="0" w:line="240" w:lineRule="auto"/>
        <w:rPr>
          <w:rFonts w:ascii="Times New Roman" w:hAnsi="Times New Roman" w:cs="Times New Roman"/>
          <w:i/>
          <w:iCs/>
          <w:sz w:val="24"/>
          <w:szCs w:val="24"/>
        </w:rPr>
      </w:pPr>
    </w:p>
    <w:p w:rsidR="00CE5905" w:rsidRPr="00433B9B" w:rsidP="00CE5905" w14:paraId="3158A04B" w14:textId="77777777">
      <w:pPr>
        <w:spacing w:after="0" w:line="240" w:lineRule="auto"/>
        <w:rPr>
          <w:rFonts w:ascii="Times New Roman" w:hAnsi="Times New Roman" w:cs="Times New Roman"/>
          <w:sz w:val="24"/>
          <w:szCs w:val="24"/>
        </w:rPr>
      </w:pPr>
      <w:r w:rsidRPr="00433B9B">
        <w:rPr>
          <w:rFonts w:ascii="Times New Roman" w:hAnsi="Times New Roman" w:cs="Times New Roman"/>
          <w:i/>
          <w:iCs/>
          <w:sz w:val="24"/>
          <w:szCs w:val="24"/>
        </w:rPr>
        <w:t>Estimated Total Annual Combined Cost for Form TCR and Form WB-APP</w:t>
      </w:r>
      <w:r w:rsidRPr="00433B9B">
        <w:rPr>
          <w:rFonts w:ascii="Times New Roman" w:eastAsia="Times New Roman" w:hAnsi="Times New Roman" w:cs="Times New Roman"/>
          <w:sz w:val="24"/>
          <w:szCs w:val="24"/>
        </w:rPr>
        <w:t xml:space="preserve">: $124,460.  The cost is comprised of the total cost between the estimates for each form type: Form TCR: $122,568; Form WB-APP: $1,892. </w:t>
      </w:r>
    </w:p>
    <w:p w:rsidR="00CE5905" w:rsidP="207A3F4C" w14:paraId="1E30005E" w14:textId="77777777">
      <w:pPr>
        <w:spacing w:after="160" w:line="276" w:lineRule="auto"/>
        <w:rPr>
          <w:rFonts w:ascii="Times New Roman" w:eastAsia="Times New Roman" w:hAnsi="Times New Roman" w:cs="Times New Roman"/>
          <w:sz w:val="24"/>
          <w:szCs w:val="24"/>
        </w:rPr>
      </w:pPr>
    </w:p>
    <w:p w:rsidR="00041100" w:rsidP="009E7DC4" w14:paraId="2A04F756" w14:textId="751F889F">
      <w:pPr>
        <w:keepNext/>
        <w:spacing w:after="160" w:line="276" w:lineRule="auto"/>
      </w:pPr>
      <w:r w:rsidRPr="207A3F4C">
        <w:rPr>
          <w:rFonts w:ascii="Times New Roman" w:eastAsia="Times New Roman" w:hAnsi="Times New Roman" w:cs="Times New Roman"/>
          <w:sz w:val="24"/>
          <w:szCs w:val="24"/>
        </w:rPr>
        <w:t xml:space="preserve">14. </w:t>
      </w:r>
      <w:r w:rsidRPr="207A3F4C">
        <w:rPr>
          <w:rFonts w:ascii="Times New Roman" w:eastAsia="Times New Roman" w:hAnsi="Times New Roman" w:cs="Times New Roman"/>
          <w:sz w:val="24"/>
          <w:szCs w:val="24"/>
          <w:u w:val="single"/>
        </w:rPr>
        <w:t>Estimated annual cost to the Federal government.</w:t>
      </w:r>
      <w:r w:rsidRPr="207A3F4C">
        <w:rPr>
          <w:rFonts w:ascii="Times New Roman" w:eastAsia="Times New Roman" w:hAnsi="Times New Roman" w:cs="Times New Roman"/>
          <w:sz w:val="24"/>
          <w:szCs w:val="24"/>
        </w:rPr>
        <w:t xml:space="preserve"> </w:t>
      </w:r>
    </w:p>
    <w:p w:rsidR="00041100" w:rsidP="207A3F4C" w14:paraId="25BF5C31" w14:textId="5EED76A3">
      <w:pPr>
        <w:spacing w:after="160" w:line="276" w:lineRule="auto"/>
        <w:ind w:firstLine="720"/>
      </w:pPr>
      <w:r w:rsidRPr="207A3F4C">
        <w:rPr>
          <w:rFonts w:ascii="Times New Roman" w:eastAsia="Times New Roman" w:hAnsi="Times New Roman" w:cs="Times New Roman"/>
          <w:sz w:val="24"/>
          <w:szCs w:val="24"/>
        </w:rPr>
        <w:t>To implement the rule, FinCEN expects to incur certain operating costs that would include approximately $1.8 million in the first year and approximately $1.6 million each year thereafter.</w:t>
      </w:r>
      <w:r>
        <w:rPr>
          <w:rStyle w:val="FootnoteReference"/>
          <w:rFonts w:ascii="Times New Roman" w:eastAsia="Times New Roman" w:hAnsi="Times New Roman" w:cs="Times New Roman"/>
          <w:sz w:val="24"/>
          <w:szCs w:val="24"/>
        </w:rPr>
        <w:footnoteReference w:id="12"/>
      </w:r>
      <w:r w:rsidRPr="207A3F4C">
        <w:rPr>
          <w:rFonts w:ascii="Times New Roman" w:eastAsia="Times New Roman" w:hAnsi="Times New Roman" w:cs="Times New Roman"/>
          <w:sz w:val="24"/>
          <w:szCs w:val="24"/>
        </w:rPr>
        <w:t xml:space="preserve"> </w:t>
      </w:r>
      <w:r w:rsidR="009260F8">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These estimates include anticipated novel expenses related to technological implementation,</w:t>
      </w:r>
      <w:r>
        <w:rPr>
          <w:rStyle w:val="FootnoteReference"/>
          <w:rFonts w:ascii="Times New Roman" w:eastAsia="Times New Roman" w:hAnsi="Times New Roman" w:cs="Times New Roman"/>
          <w:sz w:val="24"/>
          <w:szCs w:val="24"/>
        </w:rPr>
        <w:footnoteReference w:id="13"/>
      </w:r>
      <w:r w:rsidRPr="207A3F4C">
        <w:rPr>
          <w:rFonts w:ascii="Times New Roman" w:eastAsia="Times New Roman" w:hAnsi="Times New Roman" w:cs="Times New Roman"/>
          <w:sz w:val="24"/>
          <w:szCs w:val="24"/>
        </w:rPr>
        <w:t xml:space="preserve"> stakeholder outreach, and informational support, as well as certain incremental increases to pre-existing administrative and logistical expenses.  These estimates are generally consistent with previous estimates provided by the Congressional Budget Office that anticipated costs of approximately $1 million per operational year and average direct spending of approximately $300,000 per year on program development through the first two years of full operation.</w:t>
      </w:r>
      <w:r>
        <w:rPr>
          <w:rStyle w:val="FootnoteReference"/>
          <w:rFonts w:ascii="Times New Roman" w:eastAsia="Times New Roman" w:hAnsi="Times New Roman" w:cs="Times New Roman"/>
          <w:sz w:val="24"/>
          <w:szCs w:val="24"/>
        </w:rPr>
        <w:footnoteReference w:id="14"/>
      </w:r>
      <w:r w:rsidR="00DB134D">
        <w:t xml:space="preserve"> </w:t>
      </w:r>
    </w:p>
    <w:p w:rsidR="00041100" w:rsidP="00A51621" w14:paraId="07667A18" w14:textId="5A6BE7BE">
      <w:pPr>
        <w:keepNext/>
        <w:spacing w:after="160" w:line="276" w:lineRule="auto"/>
      </w:pPr>
      <w:r w:rsidRPr="207A3F4C">
        <w:rPr>
          <w:rFonts w:ascii="Times New Roman" w:eastAsia="Times New Roman" w:hAnsi="Times New Roman" w:cs="Times New Roman"/>
          <w:sz w:val="24"/>
          <w:szCs w:val="24"/>
        </w:rPr>
        <w:t xml:space="preserve">15. </w:t>
      </w:r>
      <w:r w:rsidRPr="207A3F4C">
        <w:rPr>
          <w:rFonts w:ascii="Times New Roman" w:eastAsia="Times New Roman" w:hAnsi="Times New Roman" w:cs="Times New Roman"/>
          <w:sz w:val="24"/>
          <w:szCs w:val="24"/>
          <w:u w:val="single"/>
        </w:rPr>
        <w:t>Reason for change in burden.</w:t>
      </w:r>
      <w:r w:rsidRPr="207A3F4C">
        <w:rPr>
          <w:rFonts w:ascii="Times New Roman" w:eastAsia="Times New Roman" w:hAnsi="Times New Roman" w:cs="Times New Roman"/>
          <w:sz w:val="24"/>
          <w:szCs w:val="24"/>
        </w:rPr>
        <w:t xml:space="preserve">  </w:t>
      </w:r>
    </w:p>
    <w:p w:rsidR="00041100" w:rsidP="00E153A3" w14:paraId="6D06EDD9" w14:textId="3238CBBB">
      <w:pPr>
        <w:spacing w:after="160" w:line="276" w:lineRule="auto"/>
        <w:ind w:firstLine="720"/>
      </w:pPr>
      <w:r w:rsidRPr="207A3F4C">
        <w:rPr>
          <w:rFonts w:ascii="Times New Roman" w:eastAsia="Times New Roman" w:hAnsi="Times New Roman" w:cs="Times New Roman"/>
          <w:sz w:val="24"/>
          <w:szCs w:val="24"/>
        </w:rPr>
        <w:t>This is a new information collection associated with the proposed rule implementing</w:t>
      </w:r>
      <w:r w:rsidR="004247F9">
        <w:rPr>
          <w:rFonts w:ascii="Times New Roman" w:eastAsia="Times New Roman" w:hAnsi="Times New Roman" w:cs="Times New Roman"/>
          <w:sz w:val="24"/>
          <w:szCs w:val="24"/>
        </w:rPr>
        <w:t xml:space="preserve"> 31 U.S.C. 5323, as amended by </w:t>
      </w:r>
      <w:r w:rsidRPr="207A3F4C">
        <w:rPr>
          <w:rFonts w:ascii="Times New Roman" w:eastAsia="Times New Roman" w:hAnsi="Times New Roman" w:cs="Times New Roman"/>
          <w:sz w:val="24"/>
          <w:szCs w:val="24"/>
        </w:rPr>
        <w:t>Section 6314 of AMLA</w:t>
      </w:r>
      <w:r w:rsidR="004247F9">
        <w:rPr>
          <w:rFonts w:ascii="Times New Roman" w:eastAsia="Times New Roman" w:hAnsi="Times New Roman" w:cs="Times New Roman"/>
          <w:sz w:val="24"/>
          <w:szCs w:val="24"/>
        </w:rPr>
        <w:t xml:space="preserve"> and subsequently </w:t>
      </w:r>
      <w:r w:rsidRPr="207A3F4C">
        <w:rPr>
          <w:rFonts w:ascii="Times New Roman" w:eastAsia="Times New Roman" w:hAnsi="Times New Roman" w:cs="Times New Roman"/>
          <w:sz w:val="24"/>
          <w:szCs w:val="24"/>
        </w:rPr>
        <w:t xml:space="preserve">by the Anti-Money Laundering Whistleblower Improvement Act. </w:t>
      </w:r>
    </w:p>
    <w:p w:rsidR="00041100" w:rsidP="207A3F4C" w14:paraId="37852AD5" w14:textId="7338B4A1">
      <w:pPr>
        <w:spacing w:after="160" w:line="276" w:lineRule="auto"/>
      </w:pPr>
      <w:r w:rsidRPr="207A3F4C">
        <w:rPr>
          <w:rFonts w:ascii="Times New Roman" w:eastAsia="Times New Roman" w:hAnsi="Times New Roman" w:cs="Times New Roman"/>
          <w:sz w:val="24"/>
          <w:szCs w:val="24"/>
        </w:rPr>
        <w:t xml:space="preserve">16. </w:t>
      </w:r>
      <w:r w:rsidRPr="207A3F4C">
        <w:rPr>
          <w:rFonts w:ascii="Times New Roman" w:eastAsia="Times New Roman" w:hAnsi="Times New Roman" w:cs="Times New Roman"/>
          <w:sz w:val="24"/>
          <w:szCs w:val="24"/>
          <w:u w:val="single"/>
        </w:rPr>
        <w:t>Plans for tabulation, statistical analysis, and publication.</w:t>
      </w:r>
      <w:r w:rsidRPr="207A3F4C">
        <w:rPr>
          <w:rFonts w:ascii="Times New Roman" w:eastAsia="Times New Roman" w:hAnsi="Times New Roman" w:cs="Times New Roman"/>
          <w:sz w:val="24"/>
          <w:szCs w:val="24"/>
        </w:rPr>
        <w:t xml:space="preserve">  </w:t>
      </w:r>
    </w:p>
    <w:p w:rsidR="00041100" w:rsidP="00734B56" w14:paraId="5CBF56A5" w14:textId="4E18F25B">
      <w:pPr>
        <w:spacing w:after="160" w:line="276" w:lineRule="auto"/>
        <w:ind w:firstLine="720"/>
      </w:pPr>
      <w:r w:rsidRPr="207A3F4C">
        <w:rPr>
          <w:rFonts w:ascii="Times New Roman" w:eastAsia="Times New Roman" w:hAnsi="Times New Roman" w:cs="Times New Roman"/>
          <w:sz w:val="24"/>
          <w:szCs w:val="24"/>
        </w:rPr>
        <w:t xml:space="preserve">The information collected under the FinCEN </w:t>
      </w:r>
      <w:r w:rsidR="001A2581">
        <w:rPr>
          <w:rFonts w:ascii="Times New Roman" w:eastAsia="Times New Roman" w:hAnsi="Times New Roman" w:cs="Times New Roman"/>
          <w:sz w:val="24"/>
          <w:szCs w:val="24"/>
        </w:rPr>
        <w:t>w</w:t>
      </w:r>
      <w:r w:rsidRPr="207A3F4C">
        <w:rPr>
          <w:rFonts w:ascii="Times New Roman" w:eastAsia="Times New Roman" w:hAnsi="Times New Roman" w:cs="Times New Roman"/>
          <w:sz w:val="24"/>
          <w:szCs w:val="24"/>
        </w:rPr>
        <w:t xml:space="preserve">histleblower </w:t>
      </w:r>
      <w:r w:rsidR="001A2581">
        <w:rPr>
          <w:rFonts w:ascii="Times New Roman" w:eastAsia="Times New Roman" w:hAnsi="Times New Roman" w:cs="Times New Roman"/>
          <w:sz w:val="24"/>
          <w:szCs w:val="24"/>
        </w:rPr>
        <w:t>p</w:t>
      </w:r>
      <w:r w:rsidRPr="207A3F4C">
        <w:rPr>
          <w:rFonts w:ascii="Times New Roman" w:eastAsia="Times New Roman" w:hAnsi="Times New Roman" w:cs="Times New Roman"/>
          <w:sz w:val="24"/>
          <w:szCs w:val="24"/>
        </w:rPr>
        <w:t>rogram will not be tabulated, statistically analyzed, or compiled for publication.</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 This information is collected on an ongoing, event-driven basis, and is used solely for program administration and related purposes consistent with applicable statutory and regulatory requirements.</w:t>
      </w:r>
    </w:p>
    <w:p w:rsidR="00041100" w:rsidP="207A3F4C" w14:paraId="63ECF57E" w14:textId="44A327DE">
      <w:pPr>
        <w:spacing w:after="160" w:line="276" w:lineRule="auto"/>
      </w:pPr>
      <w:r w:rsidRPr="207A3F4C">
        <w:rPr>
          <w:rFonts w:ascii="Times New Roman" w:eastAsia="Times New Roman" w:hAnsi="Times New Roman" w:cs="Times New Roman"/>
          <w:sz w:val="24"/>
          <w:szCs w:val="24"/>
        </w:rPr>
        <w:t xml:space="preserve">17. </w:t>
      </w:r>
      <w:r w:rsidRPr="207A3F4C">
        <w:rPr>
          <w:rFonts w:ascii="Times New Roman" w:eastAsia="Times New Roman" w:hAnsi="Times New Roman" w:cs="Times New Roman"/>
          <w:sz w:val="24"/>
          <w:szCs w:val="24"/>
          <w:u w:val="single"/>
        </w:rPr>
        <w:t>Request not to display the OMB expiration date.</w:t>
      </w:r>
      <w:r w:rsidRPr="207A3F4C">
        <w:rPr>
          <w:rFonts w:ascii="Times New Roman" w:eastAsia="Times New Roman" w:hAnsi="Times New Roman" w:cs="Times New Roman"/>
          <w:sz w:val="24"/>
          <w:szCs w:val="24"/>
        </w:rPr>
        <w:t xml:space="preserve">  </w:t>
      </w:r>
    </w:p>
    <w:p w:rsidR="00041100" w:rsidP="009D7EAA" w14:paraId="6A9F585B" w14:textId="52B75FB7">
      <w:pPr>
        <w:spacing w:after="160" w:line="276" w:lineRule="auto"/>
        <w:ind w:firstLine="720"/>
      </w:pPr>
      <w:r w:rsidRPr="207A3F4C">
        <w:rPr>
          <w:rFonts w:ascii="Times New Roman" w:eastAsia="Times New Roman" w:hAnsi="Times New Roman" w:cs="Times New Roman"/>
          <w:sz w:val="24"/>
          <w:szCs w:val="24"/>
        </w:rPr>
        <w:t>FinCEN requests approval to not display the expiration date of OMB approval for this information collection</w:t>
      </w:r>
      <w:r w:rsidR="00734B56">
        <w:rPr>
          <w:rFonts w:ascii="Times New Roman" w:eastAsia="Times New Roman" w:hAnsi="Times New Roman" w:cs="Times New Roman"/>
          <w:sz w:val="24"/>
          <w:szCs w:val="24"/>
        </w:rPr>
        <w:t>.</w:t>
      </w:r>
      <w:r w:rsidRPr="207A3F4C">
        <w:rPr>
          <w:rFonts w:ascii="Times New Roman" w:eastAsia="Times New Roman" w:hAnsi="Times New Roman" w:cs="Times New Roman"/>
          <w:sz w:val="24"/>
          <w:szCs w:val="24"/>
        </w:rPr>
        <w:t xml:space="preserve"> </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 xml:space="preserve">Displaying the expiration date would require FinCEN to amend the implementing regulations solely to update the expiration date every three years, which would impose unnecessary administrative burden without providing a corresponding benefit to the public. </w:t>
      </w:r>
      <w:r w:rsidR="005A0634">
        <w:rPr>
          <w:rFonts w:ascii="Times New Roman" w:eastAsia="Times New Roman" w:hAnsi="Times New Roman" w:cs="Times New Roman"/>
          <w:sz w:val="24"/>
          <w:szCs w:val="24"/>
        </w:rPr>
        <w:t xml:space="preserve"> </w:t>
      </w:r>
      <w:r w:rsidRPr="207A3F4C">
        <w:rPr>
          <w:rFonts w:ascii="Times New Roman" w:eastAsia="Times New Roman" w:hAnsi="Times New Roman" w:cs="Times New Roman"/>
          <w:sz w:val="24"/>
          <w:szCs w:val="24"/>
        </w:rPr>
        <w:t>This request will not affect FinCEN’s obligation to comply with the Paperwork Reduction Act or the normal three-year PRA renewal process.</w:t>
      </w:r>
    </w:p>
    <w:p w:rsidR="00041100" w:rsidP="207A3F4C" w14:paraId="6AB7E6DE" w14:textId="2F410FA0">
      <w:pPr>
        <w:spacing w:after="160" w:line="276" w:lineRule="auto"/>
      </w:pPr>
      <w:r w:rsidRPr="207A3F4C">
        <w:rPr>
          <w:rFonts w:ascii="Times New Roman" w:eastAsia="Times New Roman" w:hAnsi="Times New Roman" w:cs="Times New Roman"/>
          <w:sz w:val="24"/>
          <w:szCs w:val="24"/>
        </w:rPr>
        <w:t xml:space="preserve">18. </w:t>
      </w:r>
      <w:r w:rsidRPr="207A3F4C">
        <w:rPr>
          <w:rFonts w:ascii="Times New Roman" w:eastAsia="Times New Roman" w:hAnsi="Times New Roman" w:cs="Times New Roman"/>
          <w:sz w:val="24"/>
          <w:szCs w:val="24"/>
          <w:u w:val="single"/>
        </w:rPr>
        <w:t>Exceptions to the certification statement.</w:t>
      </w:r>
      <w:r w:rsidRPr="207A3F4C">
        <w:rPr>
          <w:rFonts w:ascii="Times New Roman" w:eastAsia="Times New Roman" w:hAnsi="Times New Roman" w:cs="Times New Roman"/>
          <w:sz w:val="24"/>
          <w:szCs w:val="24"/>
        </w:rPr>
        <w:t xml:space="preserve">  </w:t>
      </w:r>
    </w:p>
    <w:p w:rsidR="207A3F4C" w:rsidRPr="009D7EAA" w:rsidP="00AA3E05" w14:paraId="36F51A2C" w14:textId="0339BF2E">
      <w:pPr>
        <w:spacing w:after="160" w:line="276" w:lineRule="auto"/>
        <w:ind w:firstLine="720"/>
      </w:pPr>
      <w:r w:rsidRPr="207A3F4C">
        <w:rPr>
          <w:rFonts w:ascii="Times New Roman" w:eastAsia="Times New Roman" w:hAnsi="Times New Roman" w:cs="Times New Roman"/>
          <w:sz w:val="24"/>
          <w:szCs w:val="24"/>
        </w:rPr>
        <w:t xml:space="preserve">There are no exceptions to the certification statement. </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70989887"/>
      <w:docPartObj>
        <w:docPartGallery w:val="Page Numbers (Bottom of Page)"/>
        <w:docPartUnique/>
      </w:docPartObj>
    </w:sdtPr>
    <w:sdtEndPr>
      <w:rPr>
        <w:rFonts w:ascii="Times New Roman" w:hAnsi="Times New Roman" w:cs="Times New Roman"/>
        <w:noProof/>
        <w:sz w:val="24"/>
        <w:szCs w:val="24"/>
      </w:rPr>
    </w:sdtEndPr>
    <w:sdtContent>
      <w:p w:rsidR="00FA2FCD" w:rsidRPr="00E37FE6" w14:paraId="5757A56B" w14:textId="3CC070E9">
        <w:pPr>
          <w:pStyle w:val="Footer"/>
          <w:jc w:val="right"/>
          <w:rPr>
            <w:rFonts w:ascii="Times New Roman" w:hAnsi="Times New Roman" w:cs="Times New Roman"/>
            <w:sz w:val="24"/>
            <w:szCs w:val="24"/>
          </w:rPr>
        </w:pPr>
        <w:r w:rsidRPr="00E37FE6">
          <w:rPr>
            <w:rFonts w:ascii="Times New Roman" w:hAnsi="Times New Roman" w:cs="Times New Roman"/>
            <w:sz w:val="24"/>
            <w:szCs w:val="24"/>
          </w:rPr>
          <w:fldChar w:fldCharType="begin"/>
        </w:r>
        <w:r w:rsidRPr="00E37FE6">
          <w:rPr>
            <w:rFonts w:ascii="Times New Roman" w:hAnsi="Times New Roman" w:cs="Times New Roman"/>
            <w:sz w:val="24"/>
            <w:szCs w:val="24"/>
          </w:rPr>
          <w:instrText xml:space="preserve"> PAGE   \* MERGEFORMAT </w:instrText>
        </w:r>
        <w:r w:rsidRPr="00E37FE6">
          <w:rPr>
            <w:rFonts w:ascii="Times New Roman" w:hAnsi="Times New Roman" w:cs="Times New Roman"/>
            <w:sz w:val="24"/>
            <w:szCs w:val="24"/>
          </w:rPr>
          <w:fldChar w:fldCharType="separate"/>
        </w:r>
        <w:r w:rsidRPr="00E37FE6">
          <w:rPr>
            <w:rFonts w:ascii="Times New Roman" w:hAnsi="Times New Roman" w:cs="Times New Roman"/>
            <w:noProof/>
            <w:sz w:val="24"/>
            <w:szCs w:val="24"/>
          </w:rPr>
          <w:t>2</w:t>
        </w:r>
        <w:r w:rsidRPr="00E37FE6">
          <w:rPr>
            <w:rFonts w:ascii="Times New Roman" w:hAnsi="Times New Roman" w:cs="Times New Roman"/>
            <w:noProof/>
            <w:sz w:val="24"/>
            <w:szCs w:val="24"/>
          </w:rPr>
          <w:fldChar w:fldCharType="end"/>
        </w:r>
      </w:p>
    </w:sdtContent>
  </w:sdt>
  <w:p w:rsidR="00FA2FCD" w14:paraId="729AFE4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15EE" w:rsidP="004A6948" w14:paraId="05A2C57F" w14:textId="77777777">
      <w:pPr>
        <w:spacing w:after="0" w:line="240" w:lineRule="auto"/>
      </w:pPr>
      <w:r>
        <w:separator/>
      </w:r>
    </w:p>
  </w:footnote>
  <w:footnote w:type="continuationSeparator" w:id="1">
    <w:p w:rsidR="00B615EE" w:rsidP="004A6948" w14:paraId="3DCD9EAA" w14:textId="77777777">
      <w:pPr>
        <w:spacing w:after="0" w:line="240" w:lineRule="auto"/>
      </w:pPr>
      <w:r>
        <w:continuationSeparator/>
      </w:r>
    </w:p>
  </w:footnote>
  <w:footnote w:id="2">
    <w:p w:rsidR="006F568E" w:rsidP="000A0142" w14:paraId="7C4B3A7A" w14:textId="77777777">
      <w:pPr>
        <w:spacing w:after="0" w:line="240" w:lineRule="auto"/>
      </w:pPr>
      <w:r>
        <w:rPr>
          <w:rStyle w:val="FootnoteReference"/>
        </w:rPr>
        <w:footnoteRef/>
      </w:r>
      <w:r>
        <w:t xml:space="preserve"> </w:t>
      </w:r>
      <w:r w:rsidRPr="207A3F4C">
        <w:rPr>
          <w:rFonts w:ascii="Times New Roman" w:eastAsia="Times New Roman" w:hAnsi="Times New Roman" w:cs="Times New Roman"/>
          <w:sz w:val="20"/>
          <w:szCs w:val="20"/>
        </w:rPr>
        <w:t xml:space="preserve">The AML Act was enacted as Division F, §§ 6001-6511, of the William M. (Mac) Thornberry National </w:t>
      </w:r>
    </w:p>
    <w:p w:rsidR="006F568E" w:rsidP="000A0142" w14:paraId="25B50859" w14:textId="237342DC">
      <w:pPr>
        <w:spacing w:after="0" w:line="240" w:lineRule="auto"/>
      </w:pPr>
      <w:r w:rsidRPr="207A3F4C">
        <w:rPr>
          <w:rFonts w:ascii="Times New Roman" w:eastAsia="Times New Roman" w:hAnsi="Times New Roman" w:cs="Times New Roman"/>
          <w:sz w:val="20"/>
          <w:szCs w:val="20"/>
        </w:rPr>
        <w:t xml:space="preserve">Defense Authorization Act for Fiscal Year 2021, Pub. L. 116-283, 134 Stat 3388 (2021). </w:t>
      </w:r>
    </w:p>
  </w:footnote>
  <w:footnote w:id="3">
    <w:p w:rsidR="003C318A" w:rsidRPr="006C59F7" w:rsidP="000A0142" w14:paraId="2AC622E1" w14:textId="2E142CA2">
      <w:pPr>
        <w:pStyle w:val="FootnoteText"/>
        <w:rPr>
          <w:rFonts w:ascii="Times New Roman" w:hAnsi="Times New Roman" w:cs="Times New Roman"/>
        </w:rPr>
      </w:pPr>
      <w:r w:rsidRPr="006C59F7">
        <w:rPr>
          <w:rStyle w:val="FootnoteReference"/>
          <w:rFonts w:ascii="Times New Roman" w:hAnsi="Times New Roman" w:cs="Times New Roman"/>
        </w:rPr>
        <w:footnoteRef/>
      </w:r>
      <w:r w:rsidRPr="006C59F7">
        <w:rPr>
          <w:rFonts w:ascii="Times New Roman" w:hAnsi="Times New Roman" w:cs="Times New Roman"/>
        </w:rPr>
        <w:t xml:space="preserve"> </w:t>
      </w:r>
      <w:r w:rsidRPr="006C59F7" w:rsidR="00B46508">
        <w:rPr>
          <w:rFonts w:ascii="Times New Roman" w:hAnsi="Times New Roman" w:cs="Times New Roman"/>
        </w:rPr>
        <w:t>The Anti-Money Laundering Whistleblower Improvement Act (AML Whistleblower Improvement Act) is Title IV of Division AA of the Consolidated Appropriations Act, 2023, Public Law 117-328 (Dec. 29, 2022); 31 U.S.C. 5223(a)(1).</w:t>
      </w:r>
    </w:p>
  </w:footnote>
  <w:footnote w:id="4">
    <w:p w:rsidR="00AA3E05" w14:paraId="3BE8A9AE" w14:textId="6D005C94">
      <w:pPr>
        <w:pStyle w:val="FootnoteText"/>
        <w:rPr>
          <w:rFonts w:ascii="Times New Roman" w:hAnsi="Times New Roman" w:cs="Times New Roman"/>
        </w:rPr>
      </w:pPr>
      <w:r w:rsidRPr="00C501D7">
        <w:rPr>
          <w:rStyle w:val="FootnoteReference"/>
          <w:rFonts w:ascii="Times New Roman" w:hAnsi="Times New Roman" w:cs="Times New Roman"/>
        </w:rPr>
        <w:footnoteRef/>
      </w:r>
      <w:r w:rsidRPr="00C501D7">
        <w:rPr>
          <w:rFonts w:ascii="Times New Roman" w:hAnsi="Times New Roman" w:cs="Times New Roman"/>
        </w:rPr>
        <w:t xml:space="preserve"> </w:t>
      </w:r>
      <w:r w:rsidRPr="00C501D7">
        <w:rPr>
          <w:rFonts w:ascii="Times New Roman" w:hAnsi="Times New Roman" w:cs="Times New Roman"/>
          <w:i/>
          <w:iCs/>
        </w:rPr>
        <w:t xml:space="preserve">See </w:t>
      </w:r>
      <w:r w:rsidRPr="00C501D7" w:rsidR="00C501D7">
        <w:rPr>
          <w:rFonts w:ascii="Times New Roman" w:hAnsi="Times New Roman" w:cs="Times New Roman"/>
        </w:rPr>
        <w:t xml:space="preserve">FinCEN, </w:t>
      </w:r>
      <w:r w:rsidRPr="00032DE3" w:rsidR="00C501D7">
        <w:rPr>
          <w:rFonts w:ascii="Times New Roman" w:hAnsi="Times New Roman" w:cs="Times New Roman"/>
          <w:i/>
          <w:iCs/>
        </w:rPr>
        <w:t>Whistleblower Incentives and Protection</w:t>
      </w:r>
      <w:r w:rsidRPr="00C501D7" w:rsidR="00C501D7">
        <w:rPr>
          <w:rFonts w:ascii="Times New Roman" w:hAnsi="Times New Roman" w:cs="Times New Roman"/>
        </w:rPr>
        <w:t xml:space="preserve">, </w:t>
      </w:r>
      <w:hyperlink r:id="rId1" w:history="1">
        <w:r w:rsidR="002C4E30">
          <w:rPr>
            <w:rStyle w:val="Hyperlink"/>
            <w:rFonts w:ascii="Times New Roman" w:hAnsi="Times New Roman" w:cs="Times New Roman"/>
          </w:rPr>
          <w:t>91 FR 16328</w:t>
        </w:r>
      </w:hyperlink>
      <w:r w:rsidR="002C4E30">
        <w:rPr>
          <w:rFonts w:ascii="Times New Roman" w:hAnsi="Times New Roman" w:cs="Times New Roman"/>
        </w:rPr>
        <w:t xml:space="preserve"> (</w:t>
      </w:r>
      <w:r w:rsidR="00444116">
        <w:rPr>
          <w:rFonts w:ascii="Times New Roman" w:hAnsi="Times New Roman" w:cs="Times New Roman"/>
        </w:rPr>
        <w:t>Apr. 1, 2026)</w:t>
      </w:r>
      <w:r w:rsidR="00310781">
        <w:rPr>
          <w:rFonts w:ascii="Times New Roman" w:hAnsi="Times New Roman" w:cs="Times New Roman"/>
        </w:rPr>
        <w:t>.</w:t>
      </w:r>
    </w:p>
    <w:p w:rsidR="002C4E30" w:rsidRPr="00C501D7" w14:paraId="7D98064C" w14:textId="77777777">
      <w:pPr>
        <w:pStyle w:val="FootnoteText"/>
        <w:rPr>
          <w:rFonts w:ascii="Times New Roman" w:hAnsi="Times New Roman" w:cs="Times New Roman"/>
        </w:rPr>
      </w:pPr>
    </w:p>
  </w:footnote>
  <w:footnote w:id="5">
    <w:p w:rsidR="00C8531F" w:rsidRPr="002027A5" w14:paraId="292A97E9" w14:textId="417AFE73">
      <w:pPr>
        <w:pStyle w:val="FootnoteText"/>
        <w:rPr>
          <w:rFonts w:ascii="Times New Roman" w:hAnsi="Times New Roman" w:cs="Times New Roman"/>
        </w:rPr>
      </w:pPr>
      <w:r>
        <w:rPr>
          <w:rStyle w:val="FootnoteReference"/>
        </w:rPr>
        <w:footnoteRef/>
      </w:r>
      <w:r>
        <w:t xml:space="preserve"> </w:t>
      </w:r>
      <w:r w:rsidR="00D4248A">
        <w:t xml:space="preserve"> </w:t>
      </w:r>
      <w:r w:rsidRPr="002027A5">
        <w:rPr>
          <w:rFonts w:ascii="Times New Roman" w:hAnsi="Times New Roman" w:cs="Times New Roman"/>
        </w:rPr>
        <w:t>Treasury</w:t>
      </w:r>
      <w:r w:rsidR="00D4248A">
        <w:rPr>
          <w:rFonts w:ascii="Times New Roman" w:hAnsi="Times New Roman" w:cs="Times New Roman"/>
        </w:rPr>
        <w:t xml:space="preserve"> Department</w:t>
      </w:r>
      <w:r w:rsidRPr="002027A5">
        <w:rPr>
          <w:rFonts w:ascii="Times New Roman" w:hAnsi="Times New Roman" w:cs="Times New Roman"/>
        </w:rPr>
        <w:t xml:space="preserve">, </w:t>
      </w:r>
      <w:r w:rsidRPr="002027A5" w:rsidR="004A228C">
        <w:rPr>
          <w:rFonts w:ascii="Times New Roman" w:hAnsi="Times New Roman" w:cs="Times New Roman"/>
          <w:i/>
          <w:iCs/>
        </w:rPr>
        <w:t>Privacy Act of 1974, as Amended</w:t>
      </w:r>
      <w:r w:rsidR="00D4248A">
        <w:t>;</w:t>
      </w:r>
      <w:r w:rsidRPr="004A228C" w:rsidR="004A228C">
        <w:rPr>
          <w:rFonts w:ascii="Times New Roman" w:hAnsi="Times New Roman" w:cs="Times New Roman"/>
          <w:i/>
          <w:iCs/>
        </w:rPr>
        <w:t xml:space="preserve"> </w:t>
      </w:r>
      <w:r w:rsidRPr="002027A5" w:rsidR="004A228C">
        <w:rPr>
          <w:rFonts w:ascii="Times New Roman" w:hAnsi="Times New Roman" w:cs="Times New Roman"/>
          <w:i/>
          <w:iCs/>
        </w:rPr>
        <w:t>System of Records Notice: Treasury/FinCEN .001—FinCEN Investigations and Examinations System</w:t>
      </w:r>
      <w:r w:rsidR="004A228C">
        <w:rPr>
          <w:rFonts w:ascii="Times New Roman" w:hAnsi="Times New Roman" w:cs="Times New Roman"/>
        </w:rPr>
        <w:t xml:space="preserve">, </w:t>
      </w:r>
      <w:r w:rsidRPr="004A228C" w:rsidR="004A228C">
        <w:rPr>
          <w:rFonts w:ascii="Times New Roman" w:hAnsi="Times New Roman" w:cs="Times New Roman"/>
        </w:rPr>
        <w:t>79 FR 20969</w:t>
      </w:r>
      <w:r w:rsidR="004A228C">
        <w:rPr>
          <w:rFonts w:ascii="Times New Roman" w:hAnsi="Times New Roman" w:cs="Times New Roman"/>
        </w:rPr>
        <w:t xml:space="preserve">, </w:t>
      </w:r>
      <w:r w:rsidR="00C63D52">
        <w:rPr>
          <w:rFonts w:ascii="Times New Roman" w:hAnsi="Times New Roman" w:cs="Times New Roman"/>
        </w:rPr>
        <w:t>20970</w:t>
      </w:r>
      <w:r w:rsidR="004A228C">
        <w:rPr>
          <w:rFonts w:ascii="Times New Roman" w:hAnsi="Times New Roman" w:cs="Times New Roman"/>
        </w:rPr>
        <w:t xml:space="preserve"> (April 14, 2014)</w:t>
      </w:r>
      <w:r w:rsidR="00C63D52">
        <w:rPr>
          <w:rFonts w:ascii="Times New Roman" w:hAnsi="Times New Roman" w:cs="Times New Roman"/>
        </w:rPr>
        <w:t xml:space="preserve"> </w:t>
      </w:r>
      <w:r w:rsidR="004A228C">
        <w:rPr>
          <w:rFonts w:ascii="Times New Roman" w:hAnsi="Times New Roman" w:cs="Times New Roman"/>
        </w:rPr>
        <w:t xml:space="preserve"> </w:t>
      </w:r>
      <w:hyperlink r:id="rId2" w:history="1">
        <w:r w:rsidRPr="002F6424">
          <w:rPr>
            <w:rStyle w:val="Hyperlink"/>
            <w:rFonts w:ascii="Times New Roman" w:hAnsi="Times New Roman" w:cs="Times New Roman"/>
          </w:rPr>
          <w:t>https://www.federalregister.gov/documents/2014/04/14/2014-08254/privacy-act-of-1974-as-amended-system-of-records-notice</w:t>
        </w:r>
      </w:hyperlink>
      <w:r>
        <w:rPr>
          <w:rFonts w:ascii="Times New Roman" w:hAnsi="Times New Roman" w:cs="Times New Roman"/>
        </w:rPr>
        <w:t xml:space="preserve">. </w:t>
      </w:r>
    </w:p>
  </w:footnote>
  <w:footnote w:id="6">
    <w:p w:rsidR="00CE5905" w:rsidP="00CE5905" w14:paraId="300A2EEB" w14:textId="1D53AD84">
      <w:pPr>
        <w:pStyle w:val="FootnoteText"/>
      </w:pPr>
      <w:r w:rsidRPr="005A131B">
        <w:rPr>
          <w:rStyle w:val="FootnoteReference"/>
          <w:rFonts w:ascii="Times New Roman" w:hAnsi="Times New Roman" w:cs="Times New Roman"/>
        </w:rPr>
        <w:footnoteRef/>
      </w:r>
      <w:r w:rsidRPr="005A131B">
        <w:rPr>
          <w:rFonts w:ascii="Times New Roman" w:hAnsi="Times New Roman" w:cs="Times New Roman"/>
        </w:rPr>
        <w:t xml:space="preserve"> This estimate is informed by FinCEN’s historical experience receiving tips and observable historical trends in Form TCR filings submitted to other federal agencies under their own respective whistleblower programs and is detailed in Section VI.E</w:t>
      </w:r>
      <w:r>
        <w:rPr>
          <w:rFonts w:ascii="Times New Roman" w:hAnsi="Times New Roman" w:cs="Times New Roman"/>
        </w:rPr>
        <w:t>.1</w:t>
      </w:r>
      <w:r w:rsidRPr="005A131B">
        <w:rPr>
          <w:rFonts w:ascii="Times New Roman" w:hAnsi="Times New Roman" w:cs="Times New Roman"/>
        </w:rPr>
        <w:t xml:space="preserve"> of the </w:t>
      </w:r>
      <w:r w:rsidR="00CD4D82">
        <w:rPr>
          <w:rFonts w:ascii="Times New Roman" w:hAnsi="Times New Roman" w:cs="Times New Roman"/>
        </w:rPr>
        <w:t xml:space="preserve">Whistleblower </w:t>
      </w:r>
      <w:r w:rsidRPr="005A131B">
        <w:rPr>
          <w:rFonts w:ascii="Times New Roman" w:hAnsi="Times New Roman" w:cs="Times New Roman"/>
        </w:rPr>
        <w:t>NPRM.</w:t>
      </w:r>
    </w:p>
  </w:footnote>
  <w:footnote w:id="7">
    <w:p w:rsidR="00CE5905" w:rsidRPr="007A16A3" w:rsidP="00CE5905" w14:paraId="11B6C6C4" w14:textId="083841E8">
      <w:pPr>
        <w:pStyle w:val="FootnoteText"/>
        <w:rPr>
          <w:rFonts w:ascii="Times New Roman" w:hAnsi="Times New Roman" w:cs="Times New Roman"/>
        </w:rPr>
      </w:pPr>
      <w:r w:rsidRPr="007A16A3">
        <w:rPr>
          <w:rStyle w:val="FootnoteReference"/>
          <w:rFonts w:ascii="Times New Roman" w:hAnsi="Times New Roman" w:cs="Times New Roman"/>
        </w:rPr>
        <w:footnoteRef/>
      </w:r>
      <w:r w:rsidRPr="007A16A3">
        <w:rPr>
          <w:rFonts w:ascii="Times New Roman" w:hAnsi="Times New Roman" w:cs="Times New Roman"/>
        </w:rPr>
        <w:t xml:space="preserve"> The estimated average annual burden </w:t>
      </w:r>
      <w:r>
        <w:rPr>
          <w:rFonts w:ascii="Times New Roman" w:hAnsi="Times New Roman" w:cs="Times New Roman"/>
        </w:rPr>
        <w:t xml:space="preserve">per response type </w:t>
      </w:r>
      <w:r w:rsidRPr="007A16A3">
        <w:rPr>
          <w:rFonts w:ascii="Times New Roman" w:hAnsi="Times New Roman" w:cs="Times New Roman"/>
        </w:rPr>
        <w:t xml:space="preserve">associated with the collection of information in this proposed rule varies by submission and representation type. </w:t>
      </w:r>
      <w:r>
        <w:rPr>
          <w:rFonts w:ascii="Times New Roman" w:hAnsi="Times New Roman" w:cs="Times New Roman"/>
        </w:rPr>
        <w:t xml:space="preserve"> </w:t>
      </w:r>
      <w:r w:rsidRPr="007A16A3">
        <w:rPr>
          <w:rFonts w:ascii="Times New Roman" w:hAnsi="Times New Roman" w:cs="Times New Roman"/>
          <w:i/>
        </w:rPr>
        <w:t>See</w:t>
      </w:r>
      <w:r w:rsidRPr="007A16A3">
        <w:rPr>
          <w:rFonts w:ascii="Times New Roman" w:hAnsi="Times New Roman" w:cs="Times New Roman"/>
        </w:rPr>
        <w:t xml:space="preserve"> Section VI.E</w:t>
      </w:r>
      <w:r>
        <w:rPr>
          <w:rFonts w:ascii="Times New Roman" w:hAnsi="Times New Roman" w:cs="Times New Roman"/>
        </w:rPr>
        <w:t>.1</w:t>
      </w:r>
      <w:r w:rsidRPr="007A16A3">
        <w:rPr>
          <w:rFonts w:ascii="Times New Roman" w:hAnsi="Times New Roman" w:cs="Times New Roman"/>
        </w:rPr>
        <w:t xml:space="preserve"> of the</w:t>
      </w:r>
      <w:r w:rsidR="00CD4D82">
        <w:rPr>
          <w:rFonts w:ascii="Times New Roman" w:hAnsi="Times New Roman" w:cs="Times New Roman"/>
        </w:rPr>
        <w:t xml:space="preserve"> Whistleblower</w:t>
      </w:r>
      <w:r w:rsidRPr="007A16A3">
        <w:rPr>
          <w:rFonts w:ascii="Times New Roman" w:hAnsi="Times New Roman" w:cs="Times New Roman"/>
        </w:rPr>
        <w:t xml:space="preserve"> NPRM.</w:t>
      </w:r>
    </w:p>
  </w:footnote>
  <w:footnote w:id="8">
    <w:p w:rsidR="00CE5905" w:rsidP="00CE5905" w14:paraId="2BF3F511" w14:textId="425A9658">
      <w:pPr>
        <w:spacing w:after="0" w:line="240" w:lineRule="auto"/>
      </w:pPr>
      <w:r w:rsidRPr="007A16A3">
        <w:rPr>
          <w:rStyle w:val="FootnoteReference"/>
          <w:rFonts w:ascii="Times New Roman" w:hAnsi="Times New Roman" w:cs="Times New Roman"/>
          <w:sz w:val="20"/>
          <w:szCs w:val="20"/>
        </w:rPr>
        <w:footnoteRef/>
      </w:r>
      <w:r w:rsidRPr="007A16A3">
        <w:rPr>
          <w:rFonts w:ascii="Times New Roman" w:hAnsi="Times New Roman" w:cs="Times New Roman"/>
          <w:sz w:val="20"/>
          <w:szCs w:val="20"/>
        </w:rPr>
        <w:t xml:space="preserve"> This estimate is based on an estimated tip-to-award </w:t>
      </w:r>
      <w:r w:rsidRPr="007F6F5B">
        <w:rPr>
          <w:rFonts w:ascii="Times New Roman" w:hAnsi="Times New Roman" w:cs="Times New Roman"/>
          <w:sz w:val="20"/>
          <w:szCs w:val="20"/>
        </w:rPr>
        <w:t xml:space="preserve">application turnover rate of three percent applied to a rolling annual base of approximately </w:t>
      </w:r>
      <w:r w:rsidRPr="007F6F5B" w:rsidR="0086487F">
        <w:rPr>
          <w:rFonts w:ascii="Times New Roman" w:hAnsi="Times New Roman" w:cs="Times New Roman"/>
          <w:sz w:val="20"/>
          <w:szCs w:val="20"/>
        </w:rPr>
        <w:t>5</w:t>
      </w:r>
      <w:r w:rsidRPr="007F6F5B">
        <w:rPr>
          <w:rFonts w:ascii="Times New Roman" w:hAnsi="Times New Roman" w:cs="Times New Roman"/>
          <w:sz w:val="20"/>
          <w:szCs w:val="20"/>
        </w:rPr>
        <w:t>00 Form TCRs (which is based on the estimated number of annual submissions of Form TCR</w:t>
      </w:r>
      <w:r w:rsidRPr="007F6F5B" w:rsidR="00676C9E">
        <w:rPr>
          <w:rFonts w:ascii="Times New Roman" w:hAnsi="Times New Roman" w:cs="Times New Roman"/>
          <w:sz w:val="20"/>
          <w:szCs w:val="20"/>
        </w:rPr>
        <w:t>s</w:t>
      </w:r>
      <w:r w:rsidRPr="007F6F5B" w:rsidR="00F16738">
        <w:rPr>
          <w:rFonts w:ascii="Times New Roman" w:hAnsi="Times New Roman" w:cs="Times New Roman"/>
          <w:sz w:val="20"/>
          <w:szCs w:val="20"/>
        </w:rPr>
        <w:t xml:space="preserve"> </w:t>
      </w:r>
      <w:r w:rsidRPr="007F6F5B" w:rsidR="00C57C1F">
        <w:rPr>
          <w:rFonts w:ascii="Times New Roman" w:hAnsi="Times New Roman" w:cs="Times New Roman"/>
          <w:sz w:val="20"/>
          <w:szCs w:val="20"/>
        </w:rPr>
        <w:t xml:space="preserve">and </w:t>
      </w:r>
      <w:r w:rsidRPr="007F6F5B" w:rsidR="004E521A">
        <w:rPr>
          <w:rFonts w:ascii="Times New Roman" w:hAnsi="Times New Roman" w:cs="Times New Roman"/>
          <w:sz w:val="20"/>
          <w:szCs w:val="20"/>
        </w:rPr>
        <w:t>a number of TCRs already received that may be the subject of future award applications following issuance of a final rule</w:t>
      </w:r>
      <w:r w:rsidRPr="007F6F5B">
        <w:rPr>
          <w:rFonts w:ascii="Times New Roman" w:hAnsi="Times New Roman" w:cs="Times New Roman"/>
          <w:sz w:val="20"/>
          <w:szCs w:val="20"/>
        </w:rPr>
        <w:t xml:space="preserve">) </w:t>
      </w:r>
      <w:r w:rsidRPr="007F6F5B" w:rsidR="00950283">
        <w:rPr>
          <w:rFonts w:ascii="Times New Roman" w:hAnsi="Times New Roman" w:cs="Times New Roman"/>
          <w:sz w:val="20"/>
          <w:szCs w:val="20"/>
        </w:rPr>
        <w:t>and</w:t>
      </w:r>
      <w:r w:rsidRPr="007F6F5B">
        <w:rPr>
          <w:rFonts w:ascii="Times New Roman" w:hAnsi="Times New Roman" w:cs="Times New Roman"/>
          <w:sz w:val="20"/>
          <w:szCs w:val="20"/>
        </w:rPr>
        <w:t xml:space="preserve"> takes into account the possibility of up three years in lag time between the date of the Form TCR and corresponding Form WB-APP.  </w:t>
      </w:r>
      <w:r w:rsidRPr="007F6F5B">
        <w:rPr>
          <w:rFonts w:ascii="Times New Roman" w:hAnsi="Times New Roman" w:cs="Times New Roman"/>
          <w:i/>
          <w:sz w:val="20"/>
          <w:szCs w:val="20"/>
        </w:rPr>
        <w:t>See</w:t>
      </w:r>
      <w:r w:rsidRPr="007F6F5B">
        <w:rPr>
          <w:rFonts w:ascii="Times New Roman" w:hAnsi="Times New Roman" w:cs="Times New Roman"/>
          <w:sz w:val="20"/>
          <w:szCs w:val="20"/>
        </w:rPr>
        <w:t xml:space="preserve"> Section VI.E.2 of the </w:t>
      </w:r>
      <w:r w:rsidR="00CD4D82">
        <w:rPr>
          <w:rFonts w:ascii="Times New Roman" w:hAnsi="Times New Roman" w:cs="Times New Roman"/>
          <w:sz w:val="20"/>
          <w:szCs w:val="20"/>
        </w:rPr>
        <w:t xml:space="preserve">Whistleblower </w:t>
      </w:r>
      <w:r w:rsidRPr="007F6F5B">
        <w:rPr>
          <w:rFonts w:ascii="Times New Roman" w:hAnsi="Times New Roman" w:cs="Times New Roman"/>
          <w:sz w:val="20"/>
          <w:szCs w:val="20"/>
        </w:rPr>
        <w:t>NPRM.</w:t>
      </w:r>
    </w:p>
  </w:footnote>
  <w:footnote w:id="9">
    <w:p w:rsidR="00CE5905" w:rsidP="00CE5905" w14:paraId="490D58EE" w14:textId="6EFC7482">
      <w:pPr>
        <w:spacing w:after="0" w:line="240" w:lineRule="auto"/>
      </w:pPr>
      <w:r w:rsidRPr="007A16A3">
        <w:rPr>
          <w:rStyle w:val="FootnoteReference"/>
          <w:rFonts w:ascii="Times New Roman" w:hAnsi="Times New Roman" w:cs="Times New Roman"/>
          <w:sz w:val="20"/>
          <w:szCs w:val="20"/>
        </w:rPr>
        <w:footnoteRef/>
      </w:r>
      <w:r w:rsidRPr="007A16A3">
        <w:rPr>
          <w:rFonts w:ascii="Times New Roman" w:hAnsi="Times New Roman" w:cs="Times New Roman"/>
          <w:sz w:val="20"/>
          <w:szCs w:val="20"/>
        </w:rPr>
        <w:t xml:space="preserve"> </w:t>
      </w:r>
      <w:r w:rsidRPr="00C46728">
        <w:rPr>
          <w:rFonts w:ascii="Times New Roman" w:hAnsi="Times New Roman" w:cs="Times New Roman"/>
          <w:sz w:val="20"/>
          <w:szCs w:val="20"/>
        </w:rPr>
        <w:t xml:space="preserve">The estimated average annual burden per response type associated with the collection of information in this proposed rule varies by representation type. </w:t>
      </w:r>
      <w:r>
        <w:rPr>
          <w:rFonts w:ascii="Times New Roman" w:hAnsi="Times New Roman" w:cs="Times New Roman"/>
          <w:sz w:val="20"/>
          <w:szCs w:val="20"/>
        </w:rPr>
        <w:t xml:space="preserve"> </w:t>
      </w:r>
      <w:r w:rsidRPr="00C46728">
        <w:rPr>
          <w:rFonts w:ascii="Times New Roman" w:hAnsi="Times New Roman" w:cs="Times New Roman"/>
          <w:i/>
          <w:sz w:val="20"/>
          <w:szCs w:val="20"/>
        </w:rPr>
        <w:t>See</w:t>
      </w:r>
      <w:r w:rsidRPr="00C46728">
        <w:rPr>
          <w:rFonts w:ascii="Times New Roman" w:hAnsi="Times New Roman" w:cs="Times New Roman"/>
          <w:sz w:val="20"/>
          <w:szCs w:val="20"/>
        </w:rPr>
        <w:t xml:space="preserve"> Section VI.E.</w:t>
      </w:r>
      <w:r>
        <w:rPr>
          <w:rFonts w:ascii="Times New Roman" w:hAnsi="Times New Roman" w:cs="Times New Roman"/>
          <w:sz w:val="20"/>
          <w:szCs w:val="20"/>
        </w:rPr>
        <w:t>2</w:t>
      </w:r>
      <w:r w:rsidRPr="00C46728">
        <w:rPr>
          <w:rFonts w:ascii="Times New Roman" w:hAnsi="Times New Roman" w:cs="Times New Roman"/>
          <w:sz w:val="20"/>
          <w:szCs w:val="20"/>
        </w:rPr>
        <w:t xml:space="preserve"> of the </w:t>
      </w:r>
      <w:r w:rsidR="00CD4D82">
        <w:rPr>
          <w:rFonts w:ascii="Times New Roman" w:hAnsi="Times New Roman" w:cs="Times New Roman"/>
          <w:sz w:val="20"/>
          <w:szCs w:val="20"/>
        </w:rPr>
        <w:t xml:space="preserve">Whistleblower </w:t>
      </w:r>
      <w:r w:rsidRPr="00C46728">
        <w:rPr>
          <w:rFonts w:ascii="Times New Roman" w:hAnsi="Times New Roman" w:cs="Times New Roman"/>
          <w:sz w:val="20"/>
          <w:szCs w:val="20"/>
        </w:rPr>
        <w:t>NPRM.</w:t>
      </w:r>
    </w:p>
  </w:footnote>
  <w:footnote w:id="10">
    <w:p w:rsidR="00CE5905" w:rsidRPr="00433B9B" w:rsidP="00CE5905" w14:paraId="20196E71" w14:textId="5D2D01B8">
      <w:pPr>
        <w:pStyle w:val="FootnoteText"/>
        <w:rPr>
          <w:rFonts w:ascii="Times New Roman" w:hAnsi="Times New Roman" w:cs="Times New Roman"/>
        </w:rPr>
      </w:pPr>
      <w:r w:rsidRPr="00433B9B">
        <w:rPr>
          <w:rStyle w:val="FootnoteReference"/>
          <w:rFonts w:ascii="Times New Roman" w:hAnsi="Times New Roman" w:cs="Times New Roman"/>
        </w:rPr>
        <w:footnoteRef/>
      </w:r>
      <w:r w:rsidRPr="00433B9B">
        <w:rPr>
          <w:rFonts w:ascii="Times New Roman" w:hAnsi="Times New Roman" w:cs="Times New Roman"/>
        </w:rPr>
        <w:t xml:space="preserve"> </w:t>
      </w:r>
      <w:r w:rsidRPr="008E4A42">
        <w:rPr>
          <w:rFonts w:ascii="Times New Roman" w:hAnsi="Times New Roman" w:cs="Times New Roman"/>
          <w:i/>
        </w:rPr>
        <w:t>See</w:t>
      </w:r>
      <w:r w:rsidRPr="008E4A42">
        <w:rPr>
          <w:rFonts w:ascii="Times New Roman" w:hAnsi="Times New Roman" w:cs="Times New Roman"/>
        </w:rPr>
        <w:t xml:space="preserve"> Section VI.E.1 of the</w:t>
      </w:r>
      <w:r w:rsidR="00CD4D82">
        <w:rPr>
          <w:rFonts w:ascii="Times New Roman" w:hAnsi="Times New Roman" w:cs="Times New Roman"/>
        </w:rPr>
        <w:t xml:space="preserve"> Whistleblower</w:t>
      </w:r>
      <w:r w:rsidRPr="008E4A42">
        <w:rPr>
          <w:rFonts w:ascii="Times New Roman" w:hAnsi="Times New Roman" w:cs="Times New Roman"/>
        </w:rPr>
        <w:t xml:space="preserve"> NPRM.</w:t>
      </w:r>
    </w:p>
  </w:footnote>
  <w:footnote w:id="11">
    <w:p w:rsidR="00CE5905" w:rsidRPr="00433B9B" w:rsidP="00CE5905" w14:paraId="0AAE9F93" w14:textId="27ADF025">
      <w:pPr>
        <w:pStyle w:val="FootnoteText"/>
        <w:rPr>
          <w:rFonts w:ascii="Times New Roman" w:hAnsi="Times New Roman" w:cs="Times New Roman"/>
        </w:rPr>
      </w:pPr>
      <w:r w:rsidRPr="00433B9B">
        <w:rPr>
          <w:rStyle w:val="FootnoteReference"/>
          <w:rFonts w:ascii="Times New Roman" w:hAnsi="Times New Roman" w:cs="Times New Roman"/>
        </w:rPr>
        <w:footnoteRef/>
      </w:r>
      <w:r w:rsidRPr="00433B9B">
        <w:rPr>
          <w:rFonts w:ascii="Times New Roman" w:hAnsi="Times New Roman" w:cs="Times New Roman"/>
        </w:rPr>
        <w:t xml:space="preserve"> </w:t>
      </w:r>
      <w:r w:rsidRPr="008E4A42">
        <w:rPr>
          <w:rFonts w:ascii="Times New Roman" w:hAnsi="Times New Roman" w:cs="Times New Roman"/>
          <w:i/>
        </w:rPr>
        <w:t>See</w:t>
      </w:r>
      <w:r w:rsidRPr="008E4A42">
        <w:rPr>
          <w:rFonts w:ascii="Times New Roman" w:hAnsi="Times New Roman" w:cs="Times New Roman"/>
        </w:rPr>
        <w:t xml:space="preserve"> Section VI.E.2 of the </w:t>
      </w:r>
      <w:r w:rsidR="00A168CF">
        <w:rPr>
          <w:rFonts w:ascii="Times New Roman" w:hAnsi="Times New Roman" w:cs="Times New Roman"/>
        </w:rPr>
        <w:t xml:space="preserve">Whistleblower </w:t>
      </w:r>
      <w:r w:rsidRPr="008E4A42">
        <w:rPr>
          <w:rFonts w:ascii="Times New Roman" w:hAnsi="Times New Roman" w:cs="Times New Roman"/>
        </w:rPr>
        <w:t>NPRM.</w:t>
      </w:r>
    </w:p>
  </w:footnote>
  <w:footnote w:id="12">
    <w:p w:rsidR="00DB134D" w:rsidRPr="00E37FE6" w:rsidP="00A51621" w14:paraId="70FCA159" w14:textId="410B3BEB">
      <w:pPr>
        <w:spacing w:after="0" w:line="240" w:lineRule="auto"/>
        <w:rPr>
          <w:rFonts w:ascii="Times New Roman" w:hAnsi="Times New Roman" w:cs="Times New Roman"/>
        </w:rPr>
      </w:pPr>
      <w:r w:rsidRPr="00E37FE6">
        <w:rPr>
          <w:rStyle w:val="FootnoteReference"/>
          <w:rFonts w:ascii="Times New Roman" w:hAnsi="Times New Roman" w:cs="Times New Roman"/>
        </w:rPr>
        <w:footnoteRef/>
      </w:r>
      <w:r w:rsidRPr="00E37FE6">
        <w:rPr>
          <w:rFonts w:ascii="Times New Roman" w:hAnsi="Times New Roman" w:cs="Times New Roman"/>
        </w:rPr>
        <w:t xml:space="preserve"> </w:t>
      </w:r>
      <w:r w:rsidRPr="00001563">
        <w:rPr>
          <w:rFonts w:ascii="Times New Roman" w:eastAsia="Times New Roman" w:hAnsi="Times New Roman" w:cs="Times New Roman"/>
          <w:sz w:val="20"/>
          <w:szCs w:val="20"/>
        </w:rPr>
        <w:t xml:space="preserve">This estimate is consistent with the combined cost of development contract support plus internal staff labor at the GS-15 level in year 1, operations and management contract support plus internal staff labor at the GS-15 level in year 2, and operations and management contract support plus internal staff labor at the GS-15 and GS-14 level in year 3. </w:t>
      </w:r>
    </w:p>
  </w:footnote>
  <w:footnote w:id="13">
    <w:p w:rsidR="00DB134D" w:rsidRPr="00E37FE6" w:rsidP="00A51621" w14:paraId="18C0F353" w14:textId="7F0E32D1">
      <w:pPr>
        <w:pStyle w:val="FootnoteText"/>
        <w:rPr>
          <w:rFonts w:ascii="Times New Roman" w:hAnsi="Times New Roman" w:cs="Times New Roman"/>
        </w:rPr>
      </w:pPr>
      <w:r w:rsidRPr="00E37FE6">
        <w:rPr>
          <w:rStyle w:val="FootnoteReference"/>
          <w:rFonts w:ascii="Times New Roman" w:hAnsi="Times New Roman" w:cs="Times New Roman"/>
        </w:rPr>
        <w:footnoteRef/>
      </w:r>
      <w:r w:rsidRPr="00E37FE6">
        <w:rPr>
          <w:rFonts w:ascii="Times New Roman" w:hAnsi="Times New Roman" w:cs="Times New Roman"/>
        </w:rPr>
        <w:t xml:space="preserve"> </w:t>
      </w:r>
      <w:r w:rsidRPr="00001563">
        <w:rPr>
          <w:rFonts w:ascii="Times New Roman" w:eastAsia="Times New Roman" w:hAnsi="Times New Roman" w:cs="Times New Roman"/>
        </w:rPr>
        <w:t>Technological implementation for a new reporting form contemplates expenses related to development, operations, and maintenance of system infrastructure, including design, deployment, and support.</w:t>
      </w:r>
    </w:p>
  </w:footnote>
  <w:footnote w:id="14">
    <w:p w:rsidR="00DB134D" w:rsidP="00A51621" w14:paraId="22F23090" w14:textId="7FDCE04F">
      <w:pPr>
        <w:pStyle w:val="FootnoteText"/>
      </w:pPr>
      <w:r w:rsidRPr="00E37FE6">
        <w:rPr>
          <w:rStyle w:val="FootnoteReference"/>
          <w:rFonts w:ascii="Times New Roman" w:hAnsi="Times New Roman" w:cs="Times New Roman"/>
        </w:rPr>
        <w:footnoteRef/>
      </w:r>
      <w:r w:rsidRPr="00E37FE6">
        <w:rPr>
          <w:rFonts w:ascii="Times New Roman" w:hAnsi="Times New Roman" w:cs="Times New Roman"/>
        </w:rPr>
        <w:t xml:space="preserve"> </w:t>
      </w:r>
      <w:r w:rsidRPr="00001563">
        <w:rPr>
          <w:rFonts w:ascii="Times New Roman" w:eastAsia="Times New Roman" w:hAnsi="Times New Roman" w:cs="Times New Roman"/>
        </w:rPr>
        <w:t xml:space="preserve">U.S. House Committee on Financial Services. (2020). </w:t>
      </w:r>
      <w:r w:rsidRPr="00001563">
        <w:rPr>
          <w:rFonts w:ascii="Times New Roman" w:eastAsia="Times New Roman" w:hAnsi="Times New Roman" w:cs="Times New Roman"/>
          <w:i/>
          <w:iCs/>
        </w:rPr>
        <w:t>Coordinating Oversight, Upgrading and Innovating Technology, and Examiner Reform Act of 2019</w:t>
      </w:r>
      <w:r w:rsidRPr="00001563">
        <w:rPr>
          <w:rFonts w:ascii="Times New Roman" w:eastAsia="Times New Roman" w:hAnsi="Times New Roman" w:cs="Times New Roman"/>
        </w:rPr>
        <w:t xml:space="preserve"> (H. Rept. 116 245).  U.S. Government Publishing Office.</w:t>
      </w:r>
      <w:r w:rsidRPr="207A3F4C">
        <w:rPr>
          <w:rFonts w:ascii="Times New Roman" w:eastAsia="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60DF7"/>
    <w:multiLevelType w:val="hybridMultilevel"/>
    <w:tmpl w:val="D540A7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
    <w:nsid w:val="057D371C"/>
    <w:multiLevelType w:val="hybridMultilevel"/>
    <w:tmpl w:val="2E18CBC6"/>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7E7FD1"/>
    <w:multiLevelType w:val="hybridMultilevel"/>
    <w:tmpl w:val="CBB45CBE"/>
    <w:lvl w:ilvl="0">
      <w:start w:val="1"/>
      <w:numFmt w:val="lowerLetter"/>
      <w:lvlText w:val="(%1)"/>
      <w:lvlJc w:val="left"/>
      <w:pPr>
        <w:ind w:left="1080" w:hanging="360"/>
      </w:pPr>
      <w:rPr>
        <w:rFonts w:hint="default"/>
      </w:rPr>
    </w:lvl>
    <w:lvl w:ilvl="1">
      <w:start w:val="1"/>
      <w:numFmt w:val="decimal"/>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C9CF48E"/>
    <w:multiLevelType w:val="hybridMultilevel"/>
    <w:tmpl w:val="F37A35D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EE5F9D"/>
    <w:multiLevelType w:val="hybridMultilevel"/>
    <w:tmpl w:val="CA2A51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61735E9"/>
    <w:multiLevelType w:val="hybridMultilevel"/>
    <w:tmpl w:val="F9F8212A"/>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CFD17E"/>
    <w:multiLevelType w:val="hybridMultilevel"/>
    <w:tmpl w:val="D966D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8D5DDB"/>
    <w:multiLevelType w:val="hybridMultilevel"/>
    <w:tmpl w:val="A6C2F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1FB667"/>
    <w:multiLevelType w:val="hybridMultilevel"/>
    <w:tmpl w:val="A4CA6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389D7D"/>
    <w:multiLevelType w:val="hybridMultilevel"/>
    <w:tmpl w:val="32AA0B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6612030"/>
    <w:multiLevelType w:val="hybridMultilevel"/>
    <w:tmpl w:val="2334F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BD66CF"/>
    <w:multiLevelType w:val="hybridMultilevel"/>
    <w:tmpl w:val="5C800E0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87E29FF"/>
    <w:multiLevelType w:val="hybridMultilevel"/>
    <w:tmpl w:val="A212FA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AA77247"/>
    <w:multiLevelType w:val="hybridMultilevel"/>
    <w:tmpl w:val="C72EAAD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2BC7D4B1"/>
    <w:multiLevelType w:val="hybridMultilevel"/>
    <w:tmpl w:val="4C92DD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Times New Roman&quot;,serif" w:hAnsi="&quot;Times New Roman&quot;,serif"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2CB0C748"/>
    <w:multiLevelType w:val="hybridMultilevel"/>
    <w:tmpl w:val="610A2DD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6">
    <w:nsid w:val="3433A614"/>
    <w:multiLevelType w:val="hybridMultilevel"/>
    <w:tmpl w:val="4F2A4C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357A3BBF"/>
    <w:multiLevelType w:val="hybridMultilevel"/>
    <w:tmpl w:val="8E4A4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75C3316"/>
    <w:multiLevelType w:val="hybridMultilevel"/>
    <w:tmpl w:val="F2B0D3E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FC22694"/>
    <w:multiLevelType w:val="hybridMultilevel"/>
    <w:tmpl w:val="673861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34D60D9"/>
    <w:multiLevelType w:val="hybridMultilevel"/>
    <w:tmpl w:val="25D24A0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4831039"/>
    <w:multiLevelType w:val="hybridMultilevel"/>
    <w:tmpl w:val="E38290B0"/>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332648"/>
    <w:multiLevelType w:val="hybridMultilevel"/>
    <w:tmpl w:val="A6767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B86E0F"/>
    <w:multiLevelType w:val="hybridMultilevel"/>
    <w:tmpl w:val="14BE2E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56A4165F"/>
    <w:multiLevelType w:val="hybridMultilevel"/>
    <w:tmpl w:val="EADC96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D834CC"/>
    <w:multiLevelType w:val="hybridMultilevel"/>
    <w:tmpl w:val="8FD41EC8"/>
    <w:lvl w:ilvl="0">
      <w:start w:val="0"/>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6D145F"/>
    <w:multiLevelType w:val="hybridMultilevel"/>
    <w:tmpl w:val="ED429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E4A524B"/>
    <w:multiLevelType w:val="hybridMultilevel"/>
    <w:tmpl w:val="1EF28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E4BF8B0"/>
    <w:multiLevelType w:val="hybridMultilevel"/>
    <w:tmpl w:val="1448536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786FBDD"/>
    <w:multiLevelType w:val="hybridMultilevel"/>
    <w:tmpl w:val="85EE61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E9E74E0"/>
    <w:multiLevelType w:val="hybridMultilevel"/>
    <w:tmpl w:val="D1C88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2DF4858"/>
    <w:multiLevelType w:val="hybridMultilevel"/>
    <w:tmpl w:val="6812DB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5757F3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76D104AD"/>
    <w:multiLevelType w:val="hybridMultilevel"/>
    <w:tmpl w:val="460224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72B74A6"/>
    <w:multiLevelType w:val="hybridMultilevel"/>
    <w:tmpl w:val="CD7CA26E"/>
    <w:lvl w:ilvl="0">
      <w:start w:val="1"/>
      <w:numFmt w:val="bullet"/>
      <w:lvlText w:val="-"/>
      <w:lvlJc w:val="left"/>
      <w:pPr>
        <w:ind w:left="720" w:hanging="360"/>
      </w:pPr>
      <w:rPr>
        <w:rFonts w:ascii="&quot;Times New Roman&quot;,serif" w:hAnsi="&quot;Times New Roman&quot;,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AA4A185"/>
    <w:multiLevelType w:val="hybridMultilevel"/>
    <w:tmpl w:val="0714E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331255747">
    <w:abstractNumId w:val="15"/>
  </w:num>
  <w:num w:numId="2" w16cid:durableId="60642004">
    <w:abstractNumId w:val="30"/>
  </w:num>
  <w:num w:numId="3" w16cid:durableId="966276175">
    <w:abstractNumId w:val="16"/>
  </w:num>
  <w:num w:numId="4" w16cid:durableId="1789733596">
    <w:abstractNumId w:val="28"/>
  </w:num>
  <w:num w:numId="5" w16cid:durableId="1832796545">
    <w:abstractNumId w:val="18"/>
  </w:num>
  <w:num w:numId="6" w16cid:durableId="663896050">
    <w:abstractNumId w:val="3"/>
  </w:num>
  <w:num w:numId="7" w16cid:durableId="272784671">
    <w:abstractNumId w:val="26"/>
  </w:num>
  <w:num w:numId="8" w16cid:durableId="1389183740">
    <w:abstractNumId w:val="31"/>
  </w:num>
  <w:num w:numId="9" w16cid:durableId="362023267">
    <w:abstractNumId w:val="6"/>
  </w:num>
  <w:num w:numId="10" w16cid:durableId="360329179">
    <w:abstractNumId w:val="4"/>
  </w:num>
  <w:num w:numId="11" w16cid:durableId="477382661">
    <w:abstractNumId w:val="20"/>
  </w:num>
  <w:num w:numId="12" w16cid:durableId="1612278895">
    <w:abstractNumId w:val="8"/>
  </w:num>
  <w:num w:numId="13" w16cid:durableId="1667442321">
    <w:abstractNumId w:val="27"/>
  </w:num>
  <w:num w:numId="14" w16cid:durableId="974875168">
    <w:abstractNumId w:val="34"/>
  </w:num>
  <w:num w:numId="15" w16cid:durableId="1386292976">
    <w:abstractNumId w:val="9"/>
  </w:num>
  <w:num w:numId="16" w16cid:durableId="628709098">
    <w:abstractNumId w:val="29"/>
  </w:num>
  <w:num w:numId="17" w16cid:durableId="1911161085">
    <w:abstractNumId w:val="35"/>
  </w:num>
  <w:num w:numId="18" w16cid:durableId="500195114">
    <w:abstractNumId w:val="14"/>
  </w:num>
  <w:num w:numId="19" w16cid:durableId="593247634">
    <w:abstractNumId w:val="19"/>
  </w:num>
  <w:num w:numId="20" w16cid:durableId="1178079767">
    <w:abstractNumId w:val="12"/>
  </w:num>
  <w:num w:numId="21" w16cid:durableId="1734547058">
    <w:abstractNumId w:val="17"/>
  </w:num>
  <w:num w:numId="22" w16cid:durableId="508256726">
    <w:abstractNumId w:val="21"/>
  </w:num>
  <w:num w:numId="23" w16cid:durableId="1131820865">
    <w:abstractNumId w:val="0"/>
  </w:num>
  <w:num w:numId="24" w16cid:durableId="2075852913">
    <w:abstractNumId w:val="7"/>
  </w:num>
  <w:num w:numId="25" w16cid:durableId="1064526070">
    <w:abstractNumId w:val="25"/>
  </w:num>
  <w:num w:numId="26" w16cid:durableId="2080981165">
    <w:abstractNumId w:val="2"/>
  </w:num>
  <w:num w:numId="27" w16cid:durableId="2069375409">
    <w:abstractNumId w:val="5"/>
  </w:num>
  <w:num w:numId="28" w16cid:durableId="1344043699">
    <w:abstractNumId w:val="33"/>
  </w:num>
  <w:num w:numId="29" w16cid:durableId="1795437572">
    <w:abstractNumId w:val="11"/>
  </w:num>
  <w:num w:numId="30" w16cid:durableId="1698508133">
    <w:abstractNumId w:val="1"/>
  </w:num>
  <w:num w:numId="31" w16cid:durableId="1592813173">
    <w:abstractNumId w:val="24"/>
  </w:num>
  <w:num w:numId="32" w16cid:durableId="1129937543">
    <w:abstractNumId w:val="23"/>
  </w:num>
  <w:num w:numId="33" w16cid:durableId="477264760">
    <w:abstractNumId w:val="13"/>
  </w:num>
  <w:num w:numId="34" w16cid:durableId="1919752445">
    <w:abstractNumId w:val="22"/>
  </w:num>
  <w:num w:numId="35" w16cid:durableId="1847400219">
    <w:abstractNumId w:val="10"/>
  </w:num>
  <w:num w:numId="36" w16cid:durableId="12668832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A"/>
    <w:rsid w:val="00001563"/>
    <w:rsid w:val="0000481C"/>
    <w:rsid w:val="00006966"/>
    <w:rsid w:val="00007B00"/>
    <w:rsid w:val="000116F6"/>
    <w:rsid w:val="00012FB2"/>
    <w:rsid w:val="000161F5"/>
    <w:rsid w:val="00020FFF"/>
    <w:rsid w:val="00021595"/>
    <w:rsid w:val="00023330"/>
    <w:rsid w:val="000259BD"/>
    <w:rsid w:val="000267BE"/>
    <w:rsid w:val="00031E51"/>
    <w:rsid w:val="00032875"/>
    <w:rsid w:val="00032DE3"/>
    <w:rsid w:val="00033943"/>
    <w:rsid w:val="00037741"/>
    <w:rsid w:val="00041100"/>
    <w:rsid w:val="000411CE"/>
    <w:rsid w:val="0004384E"/>
    <w:rsid w:val="0005179D"/>
    <w:rsid w:val="00052ECE"/>
    <w:rsid w:val="00056F5F"/>
    <w:rsid w:val="00056F80"/>
    <w:rsid w:val="0005718D"/>
    <w:rsid w:val="00060A12"/>
    <w:rsid w:val="000646FC"/>
    <w:rsid w:val="00066920"/>
    <w:rsid w:val="00066B38"/>
    <w:rsid w:val="00073249"/>
    <w:rsid w:val="00082130"/>
    <w:rsid w:val="00085ACC"/>
    <w:rsid w:val="00090569"/>
    <w:rsid w:val="0009337F"/>
    <w:rsid w:val="00094E9B"/>
    <w:rsid w:val="00096414"/>
    <w:rsid w:val="000A0142"/>
    <w:rsid w:val="000A49BA"/>
    <w:rsid w:val="000B1FF0"/>
    <w:rsid w:val="000C126A"/>
    <w:rsid w:val="000D01A6"/>
    <w:rsid w:val="000E127F"/>
    <w:rsid w:val="000E4725"/>
    <w:rsid w:val="000F1F25"/>
    <w:rsid w:val="000F6209"/>
    <w:rsid w:val="001067CE"/>
    <w:rsid w:val="00117BD3"/>
    <w:rsid w:val="00120E2A"/>
    <w:rsid w:val="00120F59"/>
    <w:rsid w:val="0012139C"/>
    <w:rsid w:val="00125F83"/>
    <w:rsid w:val="00127008"/>
    <w:rsid w:val="0013337C"/>
    <w:rsid w:val="0013378D"/>
    <w:rsid w:val="001446FC"/>
    <w:rsid w:val="001454C1"/>
    <w:rsid w:val="00153EC3"/>
    <w:rsid w:val="00153EE2"/>
    <w:rsid w:val="00157635"/>
    <w:rsid w:val="0015C713"/>
    <w:rsid w:val="00162F2F"/>
    <w:rsid w:val="00163ACF"/>
    <w:rsid w:val="001677C9"/>
    <w:rsid w:val="00173A09"/>
    <w:rsid w:val="00174822"/>
    <w:rsid w:val="00175187"/>
    <w:rsid w:val="0018486B"/>
    <w:rsid w:val="00185BD5"/>
    <w:rsid w:val="00186224"/>
    <w:rsid w:val="001864F2"/>
    <w:rsid w:val="00190D5D"/>
    <w:rsid w:val="00191442"/>
    <w:rsid w:val="00196D4D"/>
    <w:rsid w:val="001A09B6"/>
    <w:rsid w:val="001A0B5A"/>
    <w:rsid w:val="001A2581"/>
    <w:rsid w:val="001A32B0"/>
    <w:rsid w:val="001A6B4D"/>
    <w:rsid w:val="001A70C6"/>
    <w:rsid w:val="001C1EC7"/>
    <w:rsid w:val="001C49B9"/>
    <w:rsid w:val="001C782D"/>
    <w:rsid w:val="001C7EE7"/>
    <w:rsid w:val="001D1007"/>
    <w:rsid w:val="001D6E8C"/>
    <w:rsid w:val="001E55AF"/>
    <w:rsid w:val="001E5A29"/>
    <w:rsid w:val="001E6461"/>
    <w:rsid w:val="001E7050"/>
    <w:rsid w:val="001F14BC"/>
    <w:rsid w:val="001F3F92"/>
    <w:rsid w:val="001F694D"/>
    <w:rsid w:val="00201361"/>
    <w:rsid w:val="00201625"/>
    <w:rsid w:val="002027A5"/>
    <w:rsid w:val="00203EE1"/>
    <w:rsid w:val="0020769C"/>
    <w:rsid w:val="00211074"/>
    <w:rsid w:val="00211A00"/>
    <w:rsid w:val="00214667"/>
    <w:rsid w:val="0021468C"/>
    <w:rsid w:val="002169C3"/>
    <w:rsid w:val="00232116"/>
    <w:rsid w:val="00232ECD"/>
    <w:rsid w:val="002350BA"/>
    <w:rsid w:val="00240CCA"/>
    <w:rsid w:val="002417AA"/>
    <w:rsid w:val="00245B0F"/>
    <w:rsid w:val="002539BE"/>
    <w:rsid w:val="00253C7E"/>
    <w:rsid w:val="00256EC8"/>
    <w:rsid w:val="00263BA9"/>
    <w:rsid w:val="0026467B"/>
    <w:rsid w:val="002657B4"/>
    <w:rsid w:val="00266A1D"/>
    <w:rsid w:val="00270381"/>
    <w:rsid w:val="00274B3A"/>
    <w:rsid w:val="00276896"/>
    <w:rsid w:val="002806E5"/>
    <w:rsid w:val="0028229E"/>
    <w:rsid w:val="00284AB9"/>
    <w:rsid w:val="002869E4"/>
    <w:rsid w:val="0029182C"/>
    <w:rsid w:val="00291E36"/>
    <w:rsid w:val="002926BD"/>
    <w:rsid w:val="00295250"/>
    <w:rsid w:val="002A006B"/>
    <w:rsid w:val="002A0B01"/>
    <w:rsid w:val="002A0C51"/>
    <w:rsid w:val="002A7B82"/>
    <w:rsid w:val="002B3643"/>
    <w:rsid w:val="002C4185"/>
    <w:rsid w:val="002C46F5"/>
    <w:rsid w:val="002C4E30"/>
    <w:rsid w:val="002C5C78"/>
    <w:rsid w:val="002D0B8F"/>
    <w:rsid w:val="002D3106"/>
    <w:rsid w:val="002D4B14"/>
    <w:rsid w:val="002E0157"/>
    <w:rsid w:val="002E08A0"/>
    <w:rsid w:val="002E2FC6"/>
    <w:rsid w:val="002E4657"/>
    <w:rsid w:val="002F105A"/>
    <w:rsid w:val="002F1CA7"/>
    <w:rsid w:val="002F4587"/>
    <w:rsid w:val="002F5D70"/>
    <w:rsid w:val="002F6424"/>
    <w:rsid w:val="00300EC2"/>
    <w:rsid w:val="00301110"/>
    <w:rsid w:val="00302428"/>
    <w:rsid w:val="00303F8B"/>
    <w:rsid w:val="003041A5"/>
    <w:rsid w:val="00307B9C"/>
    <w:rsid w:val="00307FFC"/>
    <w:rsid w:val="00310781"/>
    <w:rsid w:val="00311A4E"/>
    <w:rsid w:val="00314B55"/>
    <w:rsid w:val="003150F4"/>
    <w:rsid w:val="0031512B"/>
    <w:rsid w:val="003152FD"/>
    <w:rsid w:val="003214A2"/>
    <w:rsid w:val="003219F9"/>
    <w:rsid w:val="003230CE"/>
    <w:rsid w:val="00324A7D"/>
    <w:rsid w:val="00333405"/>
    <w:rsid w:val="003349DA"/>
    <w:rsid w:val="0033660F"/>
    <w:rsid w:val="00336B46"/>
    <w:rsid w:val="003419C0"/>
    <w:rsid w:val="003425D8"/>
    <w:rsid w:val="00342E45"/>
    <w:rsid w:val="00344131"/>
    <w:rsid w:val="003465BC"/>
    <w:rsid w:val="00353C83"/>
    <w:rsid w:val="00354BC0"/>
    <w:rsid w:val="003558EB"/>
    <w:rsid w:val="00355AEB"/>
    <w:rsid w:val="00360B05"/>
    <w:rsid w:val="00361CD5"/>
    <w:rsid w:val="00362741"/>
    <w:rsid w:val="00362CAF"/>
    <w:rsid w:val="00363FD3"/>
    <w:rsid w:val="00364371"/>
    <w:rsid w:val="00364F26"/>
    <w:rsid w:val="00366BDA"/>
    <w:rsid w:val="00366FFE"/>
    <w:rsid w:val="0037075D"/>
    <w:rsid w:val="003709FE"/>
    <w:rsid w:val="00375C8F"/>
    <w:rsid w:val="003774D1"/>
    <w:rsid w:val="003779BE"/>
    <w:rsid w:val="00380A82"/>
    <w:rsid w:val="00386D03"/>
    <w:rsid w:val="00387C1F"/>
    <w:rsid w:val="00392270"/>
    <w:rsid w:val="00394E9D"/>
    <w:rsid w:val="00395E2B"/>
    <w:rsid w:val="003A3147"/>
    <w:rsid w:val="003A4518"/>
    <w:rsid w:val="003A67A1"/>
    <w:rsid w:val="003A7D40"/>
    <w:rsid w:val="003B3CA0"/>
    <w:rsid w:val="003B578C"/>
    <w:rsid w:val="003C10B4"/>
    <w:rsid w:val="003C117F"/>
    <w:rsid w:val="003C2333"/>
    <w:rsid w:val="003C2F6C"/>
    <w:rsid w:val="003C318A"/>
    <w:rsid w:val="003C3C43"/>
    <w:rsid w:val="003C3EA7"/>
    <w:rsid w:val="003C5D27"/>
    <w:rsid w:val="003C63D3"/>
    <w:rsid w:val="003D1EDE"/>
    <w:rsid w:val="003D4592"/>
    <w:rsid w:val="003D4CE1"/>
    <w:rsid w:val="003E40F2"/>
    <w:rsid w:val="003F15C7"/>
    <w:rsid w:val="003F2264"/>
    <w:rsid w:val="003F485A"/>
    <w:rsid w:val="00405AEC"/>
    <w:rsid w:val="00407091"/>
    <w:rsid w:val="0041401A"/>
    <w:rsid w:val="00423D2C"/>
    <w:rsid w:val="004247F9"/>
    <w:rsid w:val="00426B2C"/>
    <w:rsid w:val="0043119E"/>
    <w:rsid w:val="00433328"/>
    <w:rsid w:val="00433B9B"/>
    <w:rsid w:val="004365E6"/>
    <w:rsid w:val="00442B6A"/>
    <w:rsid w:val="00444116"/>
    <w:rsid w:val="00444373"/>
    <w:rsid w:val="004447CA"/>
    <w:rsid w:val="00455597"/>
    <w:rsid w:val="00456652"/>
    <w:rsid w:val="004575AA"/>
    <w:rsid w:val="00461C8F"/>
    <w:rsid w:val="004637A6"/>
    <w:rsid w:val="004640E3"/>
    <w:rsid w:val="004645AE"/>
    <w:rsid w:val="004645C6"/>
    <w:rsid w:val="00464A3C"/>
    <w:rsid w:val="004701C3"/>
    <w:rsid w:val="004728AD"/>
    <w:rsid w:val="00472AB0"/>
    <w:rsid w:val="0047331D"/>
    <w:rsid w:val="00474EBC"/>
    <w:rsid w:val="00476817"/>
    <w:rsid w:val="00476E9C"/>
    <w:rsid w:val="00477196"/>
    <w:rsid w:val="00481F5C"/>
    <w:rsid w:val="004843F2"/>
    <w:rsid w:val="00485CBF"/>
    <w:rsid w:val="004862DE"/>
    <w:rsid w:val="00486663"/>
    <w:rsid w:val="00491179"/>
    <w:rsid w:val="004923C9"/>
    <w:rsid w:val="00494814"/>
    <w:rsid w:val="004965AE"/>
    <w:rsid w:val="00496AB9"/>
    <w:rsid w:val="004A228C"/>
    <w:rsid w:val="004A2F8C"/>
    <w:rsid w:val="004A40A0"/>
    <w:rsid w:val="004A662B"/>
    <w:rsid w:val="004A6948"/>
    <w:rsid w:val="004B0EF5"/>
    <w:rsid w:val="004B1FFE"/>
    <w:rsid w:val="004B226B"/>
    <w:rsid w:val="004B7F26"/>
    <w:rsid w:val="004C75A3"/>
    <w:rsid w:val="004D2B32"/>
    <w:rsid w:val="004D53C8"/>
    <w:rsid w:val="004E3FE0"/>
    <w:rsid w:val="004E521A"/>
    <w:rsid w:val="004F12D4"/>
    <w:rsid w:val="004F3139"/>
    <w:rsid w:val="004F3D84"/>
    <w:rsid w:val="004F3E3E"/>
    <w:rsid w:val="00500E6E"/>
    <w:rsid w:val="005037C3"/>
    <w:rsid w:val="00512855"/>
    <w:rsid w:val="00512C86"/>
    <w:rsid w:val="00513245"/>
    <w:rsid w:val="00513352"/>
    <w:rsid w:val="00513E3C"/>
    <w:rsid w:val="005154EB"/>
    <w:rsid w:val="0052003C"/>
    <w:rsid w:val="00521ACC"/>
    <w:rsid w:val="005254A6"/>
    <w:rsid w:val="00526268"/>
    <w:rsid w:val="00532E47"/>
    <w:rsid w:val="00534165"/>
    <w:rsid w:val="00541408"/>
    <w:rsid w:val="0054248D"/>
    <w:rsid w:val="00543852"/>
    <w:rsid w:val="005455E3"/>
    <w:rsid w:val="005464D4"/>
    <w:rsid w:val="0055330E"/>
    <w:rsid w:val="00553D3E"/>
    <w:rsid w:val="005549E8"/>
    <w:rsid w:val="00555E8B"/>
    <w:rsid w:val="00556202"/>
    <w:rsid w:val="005563E9"/>
    <w:rsid w:val="00561418"/>
    <w:rsid w:val="00562421"/>
    <w:rsid w:val="00564839"/>
    <w:rsid w:val="0056589D"/>
    <w:rsid w:val="00565A6E"/>
    <w:rsid w:val="005671F6"/>
    <w:rsid w:val="0057020B"/>
    <w:rsid w:val="0057705B"/>
    <w:rsid w:val="00581A8D"/>
    <w:rsid w:val="00581FE2"/>
    <w:rsid w:val="00583024"/>
    <w:rsid w:val="00590872"/>
    <w:rsid w:val="00591CA0"/>
    <w:rsid w:val="005A0634"/>
    <w:rsid w:val="005A131B"/>
    <w:rsid w:val="005A1BD2"/>
    <w:rsid w:val="005A386F"/>
    <w:rsid w:val="005A398D"/>
    <w:rsid w:val="005A567A"/>
    <w:rsid w:val="005B5196"/>
    <w:rsid w:val="005D0C06"/>
    <w:rsid w:val="005D4B74"/>
    <w:rsid w:val="005D63FA"/>
    <w:rsid w:val="005E0C29"/>
    <w:rsid w:val="005E3661"/>
    <w:rsid w:val="005E4DC4"/>
    <w:rsid w:val="005E5A71"/>
    <w:rsid w:val="005E5B47"/>
    <w:rsid w:val="005F3ACC"/>
    <w:rsid w:val="005F5013"/>
    <w:rsid w:val="00601CEC"/>
    <w:rsid w:val="00602232"/>
    <w:rsid w:val="00602521"/>
    <w:rsid w:val="00605835"/>
    <w:rsid w:val="0061091A"/>
    <w:rsid w:val="00610930"/>
    <w:rsid w:val="00611BEA"/>
    <w:rsid w:val="006155CB"/>
    <w:rsid w:val="006159DA"/>
    <w:rsid w:val="00616229"/>
    <w:rsid w:val="00623DC7"/>
    <w:rsid w:val="00637A09"/>
    <w:rsid w:val="00637F60"/>
    <w:rsid w:val="006400D7"/>
    <w:rsid w:val="00640916"/>
    <w:rsid w:val="00642770"/>
    <w:rsid w:val="00645853"/>
    <w:rsid w:val="0065060B"/>
    <w:rsid w:val="00650B46"/>
    <w:rsid w:val="00651117"/>
    <w:rsid w:val="00657487"/>
    <w:rsid w:val="0065786D"/>
    <w:rsid w:val="006607C1"/>
    <w:rsid w:val="006632D4"/>
    <w:rsid w:val="00671AC3"/>
    <w:rsid w:val="006740D1"/>
    <w:rsid w:val="00676C9E"/>
    <w:rsid w:val="0067761A"/>
    <w:rsid w:val="006836C1"/>
    <w:rsid w:val="00690B80"/>
    <w:rsid w:val="00695A25"/>
    <w:rsid w:val="00696B00"/>
    <w:rsid w:val="006A3452"/>
    <w:rsid w:val="006A6E49"/>
    <w:rsid w:val="006B498E"/>
    <w:rsid w:val="006B6AB1"/>
    <w:rsid w:val="006C2E6B"/>
    <w:rsid w:val="006C305C"/>
    <w:rsid w:val="006C4807"/>
    <w:rsid w:val="006C59F7"/>
    <w:rsid w:val="006C62B9"/>
    <w:rsid w:val="006D69EF"/>
    <w:rsid w:val="006E5556"/>
    <w:rsid w:val="006E5809"/>
    <w:rsid w:val="006E58BC"/>
    <w:rsid w:val="006E5A61"/>
    <w:rsid w:val="006F0770"/>
    <w:rsid w:val="006F411C"/>
    <w:rsid w:val="006F568E"/>
    <w:rsid w:val="006F6836"/>
    <w:rsid w:val="006F6A19"/>
    <w:rsid w:val="00705929"/>
    <w:rsid w:val="00705D86"/>
    <w:rsid w:val="007070EC"/>
    <w:rsid w:val="00707BC3"/>
    <w:rsid w:val="007249A7"/>
    <w:rsid w:val="007266A6"/>
    <w:rsid w:val="00727648"/>
    <w:rsid w:val="00734387"/>
    <w:rsid w:val="00734A0B"/>
    <w:rsid w:val="00734B56"/>
    <w:rsid w:val="00736393"/>
    <w:rsid w:val="00736636"/>
    <w:rsid w:val="007373F7"/>
    <w:rsid w:val="00744232"/>
    <w:rsid w:val="00744914"/>
    <w:rsid w:val="007453CB"/>
    <w:rsid w:val="00750466"/>
    <w:rsid w:val="00751F88"/>
    <w:rsid w:val="00752587"/>
    <w:rsid w:val="007568FA"/>
    <w:rsid w:val="007578F5"/>
    <w:rsid w:val="00760DEA"/>
    <w:rsid w:val="007632F6"/>
    <w:rsid w:val="00764A89"/>
    <w:rsid w:val="00765B02"/>
    <w:rsid w:val="00766CB0"/>
    <w:rsid w:val="007703C9"/>
    <w:rsid w:val="007710A4"/>
    <w:rsid w:val="007736B6"/>
    <w:rsid w:val="007738F5"/>
    <w:rsid w:val="0077487A"/>
    <w:rsid w:val="0077705D"/>
    <w:rsid w:val="00777B80"/>
    <w:rsid w:val="007815EC"/>
    <w:rsid w:val="00785295"/>
    <w:rsid w:val="00787B64"/>
    <w:rsid w:val="0079175B"/>
    <w:rsid w:val="007919C4"/>
    <w:rsid w:val="0079392A"/>
    <w:rsid w:val="00794847"/>
    <w:rsid w:val="007971CD"/>
    <w:rsid w:val="0079756F"/>
    <w:rsid w:val="007A16A3"/>
    <w:rsid w:val="007A207C"/>
    <w:rsid w:val="007A34C6"/>
    <w:rsid w:val="007A4574"/>
    <w:rsid w:val="007B313D"/>
    <w:rsid w:val="007C104E"/>
    <w:rsid w:val="007C18FF"/>
    <w:rsid w:val="007C77A9"/>
    <w:rsid w:val="007D116F"/>
    <w:rsid w:val="007D2D99"/>
    <w:rsid w:val="007E0F39"/>
    <w:rsid w:val="007E671A"/>
    <w:rsid w:val="007E73C2"/>
    <w:rsid w:val="007E79CE"/>
    <w:rsid w:val="007F0010"/>
    <w:rsid w:val="007F6F5B"/>
    <w:rsid w:val="008025C9"/>
    <w:rsid w:val="008174BE"/>
    <w:rsid w:val="008248AB"/>
    <w:rsid w:val="00825111"/>
    <w:rsid w:val="008304B2"/>
    <w:rsid w:val="00840BCA"/>
    <w:rsid w:val="00840EA3"/>
    <w:rsid w:val="00841F9C"/>
    <w:rsid w:val="008457A7"/>
    <w:rsid w:val="00853CAA"/>
    <w:rsid w:val="00861E34"/>
    <w:rsid w:val="00863598"/>
    <w:rsid w:val="00863E6E"/>
    <w:rsid w:val="0086487F"/>
    <w:rsid w:val="00865834"/>
    <w:rsid w:val="00871257"/>
    <w:rsid w:val="008766C7"/>
    <w:rsid w:val="00877AA2"/>
    <w:rsid w:val="008834F9"/>
    <w:rsid w:val="00884316"/>
    <w:rsid w:val="00887B9B"/>
    <w:rsid w:val="008A146A"/>
    <w:rsid w:val="008A1DB8"/>
    <w:rsid w:val="008A2960"/>
    <w:rsid w:val="008A3CA6"/>
    <w:rsid w:val="008A5DA2"/>
    <w:rsid w:val="008A790B"/>
    <w:rsid w:val="008B2464"/>
    <w:rsid w:val="008B334D"/>
    <w:rsid w:val="008B3AEC"/>
    <w:rsid w:val="008B747A"/>
    <w:rsid w:val="008C5441"/>
    <w:rsid w:val="008D509B"/>
    <w:rsid w:val="008E0F19"/>
    <w:rsid w:val="008E4A42"/>
    <w:rsid w:val="008E7C0B"/>
    <w:rsid w:val="008F1158"/>
    <w:rsid w:val="00900C63"/>
    <w:rsid w:val="00903600"/>
    <w:rsid w:val="009075AC"/>
    <w:rsid w:val="009131E6"/>
    <w:rsid w:val="009260F8"/>
    <w:rsid w:val="009324D4"/>
    <w:rsid w:val="00934675"/>
    <w:rsid w:val="00935A17"/>
    <w:rsid w:val="009403AF"/>
    <w:rsid w:val="009407A1"/>
    <w:rsid w:val="00942954"/>
    <w:rsid w:val="00943666"/>
    <w:rsid w:val="009440EE"/>
    <w:rsid w:val="00945E86"/>
    <w:rsid w:val="00950283"/>
    <w:rsid w:val="0095071C"/>
    <w:rsid w:val="00950D02"/>
    <w:rsid w:val="00953B33"/>
    <w:rsid w:val="009564F9"/>
    <w:rsid w:val="00967E69"/>
    <w:rsid w:val="0097173D"/>
    <w:rsid w:val="00972987"/>
    <w:rsid w:val="0097477D"/>
    <w:rsid w:val="00980272"/>
    <w:rsid w:val="0098262E"/>
    <w:rsid w:val="00983D4C"/>
    <w:rsid w:val="00992C93"/>
    <w:rsid w:val="00995C18"/>
    <w:rsid w:val="00997926"/>
    <w:rsid w:val="009A3D08"/>
    <w:rsid w:val="009A3E99"/>
    <w:rsid w:val="009B0BF6"/>
    <w:rsid w:val="009B2877"/>
    <w:rsid w:val="009B4B72"/>
    <w:rsid w:val="009B59F8"/>
    <w:rsid w:val="009B7A1F"/>
    <w:rsid w:val="009C0D19"/>
    <w:rsid w:val="009C1D7E"/>
    <w:rsid w:val="009C7367"/>
    <w:rsid w:val="009D031F"/>
    <w:rsid w:val="009D17B8"/>
    <w:rsid w:val="009D6E00"/>
    <w:rsid w:val="009D7EAA"/>
    <w:rsid w:val="009E0602"/>
    <w:rsid w:val="009E7DC4"/>
    <w:rsid w:val="009F53C5"/>
    <w:rsid w:val="009F6524"/>
    <w:rsid w:val="009F7DA9"/>
    <w:rsid w:val="00A01B8E"/>
    <w:rsid w:val="00A02D38"/>
    <w:rsid w:val="00A05F16"/>
    <w:rsid w:val="00A1101A"/>
    <w:rsid w:val="00A11549"/>
    <w:rsid w:val="00A1402E"/>
    <w:rsid w:val="00A14CBA"/>
    <w:rsid w:val="00A168CF"/>
    <w:rsid w:val="00A32AC3"/>
    <w:rsid w:val="00A34C48"/>
    <w:rsid w:val="00A34FDB"/>
    <w:rsid w:val="00A355CF"/>
    <w:rsid w:val="00A41324"/>
    <w:rsid w:val="00A43BF4"/>
    <w:rsid w:val="00A51621"/>
    <w:rsid w:val="00A555BB"/>
    <w:rsid w:val="00A61587"/>
    <w:rsid w:val="00A661AA"/>
    <w:rsid w:val="00A6702C"/>
    <w:rsid w:val="00A67041"/>
    <w:rsid w:val="00A6725C"/>
    <w:rsid w:val="00A71064"/>
    <w:rsid w:val="00A7112D"/>
    <w:rsid w:val="00A713D7"/>
    <w:rsid w:val="00A71875"/>
    <w:rsid w:val="00A754D0"/>
    <w:rsid w:val="00A75C5B"/>
    <w:rsid w:val="00A76050"/>
    <w:rsid w:val="00A865DE"/>
    <w:rsid w:val="00A878E0"/>
    <w:rsid w:val="00A87F0F"/>
    <w:rsid w:val="00A936D8"/>
    <w:rsid w:val="00A9606A"/>
    <w:rsid w:val="00A968DA"/>
    <w:rsid w:val="00AA00F0"/>
    <w:rsid w:val="00AA3089"/>
    <w:rsid w:val="00AA3E05"/>
    <w:rsid w:val="00AA6A4F"/>
    <w:rsid w:val="00AB5B89"/>
    <w:rsid w:val="00AC189A"/>
    <w:rsid w:val="00AC4EC0"/>
    <w:rsid w:val="00AD42F7"/>
    <w:rsid w:val="00AD53D9"/>
    <w:rsid w:val="00AE6D27"/>
    <w:rsid w:val="00AF5B63"/>
    <w:rsid w:val="00B02BB1"/>
    <w:rsid w:val="00B1089E"/>
    <w:rsid w:val="00B108AE"/>
    <w:rsid w:val="00B20CAD"/>
    <w:rsid w:val="00B24784"/>
    <w:rsid w:val="00B3119F"/>
    <w:rsid w:val="00B3449A"/>
    <w:rsid w:val="00B46508"/>
    <w:rsid w:val="00B50C76"/>
    <w:rsid w:val="00B54BE9"/>
    <w:rsid w:val="00B55AFD"/>
    <w:rsid w:val="00B56D92"/>
    <w:rsid w:val="00B60000"/>
    <w:rsid w:val="00B615EE"/>
    <w:rsid w:val="00B63B7D"/>
    <w:rsid w:val="00B64F0A"/>
    <w:rsid w:val="00B70708"/>
    <w:rsid w:val="00B712EE"/>
    <w:rsid w:val="00B715C2"/>
    <w:rsid w:val="00B72AE4"/>
    <w:rsid w:val="00B7536A"/>
    <w:rsid w:val="00B836D5"/>
    <w:rsid w:val="00B95252"/>
    <w:rsid w:val="00B961F9"/>
    <w:rsid w:val="00BA28DA"/>
    <w:rsid w:val="00BA3944"/>
    <w:rsid w:val="00BB780C"/>
    <w:rsid w:val="00BC2240"/>
    <w:rsid w:val="00BC2624"/>
    <w:rsid w:val="00BC49A6"/>
    <w:rsid w:val="00BC5ABC"/>
    <w:rsid w:val="00BD253C"/>
    <w:rsid w:val="00BD2E7F"/>
    <w:rsid w:val="00BD37DE"/>
    <w:rsid w:val="00BD4090"/>
    <w:rsid w:val="00BD4E44"/>
    <w:rsid w:val="00BD683B"/>
    <w:rsid w:val="00BE27FD"/>
    <w:rsid w:val="00BE434D"/>
    <w:rsid w:val="00BE45FC"/>
    <w:rsid w:val="00BE69C2"/>
    <w:rsid w:val="00BE7878"/>
    <w:rsid w:val="00BF74CA"/>
    <w:rsid w:val="00C0200B"/>
    <w:rsid w:val="00C03E45"/>
    <w:rsid w:val="00C074F5"/>
    <w:rsid w:val="00C10306"/>
    <w:rsid w:val="00C12380"/>
    <w:rsid w:val="00C12BD8"/>
    <w:rsid w:val="00C13033"/>
    <w:rsid w:val="00C13FCC"/>
    <w:rsid w:val="00C168F5"/>
    <w:rsid w:val="00C22468"/>
    <w:rsid w:val="00C24054"/>
    <w:rsid w:val="00C26A1B"/>
    <w:rsid w:val="00C27DA0"/>
    <w:rsid w:val="00C319BA"/>
    <w:rsid w:val="00C42D44"/>
    <w:rsid w:val="00C443D7"/>
    <w:rsid w:val="00C459A1"/>
    <w:rsid w:val="00C46728"/>
    <w:rsid w:val="00C501D7"/>
    <w:rsid w:val="00C51FFB"/>
    <w:rsid w:val="00C57C1F"/>
    <w:rsid w:val="00C61571"/>
    <w:rsid w:val="00C63408"/>
    <w:rsid w:val="00C63D52"/>
    <w:rsid w:val="00C64E1B"/>
    <w:rsid w:val="00C67473"/>
    <w:rsid w:val="00C70091"/>
    <w:rsid w:val="00C70175"/>
    <w:rsid w:val="00C70D35"/>
    <w:rsid w:val="00C73D7F"/>
    <w:rsid w:val="00C80CA0"/>
    <w:rsid w:val="00C8531F"/>
    <w:rsid w:val="00C94B9A"/>
    <w:rsid w:val="00C9661B"/>
    <w:rsid w:val="00CA1993"/>
    <w:rsid w:val="00CA288B"/>
    <w:rsid w:val="00CA4D93"/>
    <w:rsid w:val="00CA51AF"/>
    <w:rsid w:val="00CB404E"/>
    <w:rsid w:val="00CB47D3"/>
    <w:rsid w:val="00CB5064"/>
    <w:rsid w:val="00CB50D1"/>
    <w:rsid w:val="00CC059B"/>
    <w:rsid w:val="00CC3665"/>
    <w:rsid w:val="00CC726F"/>
    <w:rsid w:val="00CC7686"/>
    <w:rsid w:val="00CD400F"/>
    <w:rsid w:val="00CD4D82"/>
    <w:rsid w:val="00CD6332"/>
    <w:rsid w:val="00CE1B57"/>
    <w:rsid w:val="00CE29FC"/>
    <w:rsid w:val="00CE567F"/>
    <w:rsid w:val="00CE5905"/>
    <w:rsid w:val="00CF3C41"/>
    <w:rsid w:val="00CF3D07"/>
    <w:rsid w:val="00CF5BD9"/>
    <w:rsid w:val="00D0330E"/>
    <w:rsid w:val="00D07506"/>
    <w:rsid w:val="00D07E45"/>
    <w:rsid w:val="00D106E4"/>
    <w:rsid w:val="00D106FD"/>
    <w:rsid w:val="00D17F20"/>
    <w:rsid w:val="00D2326C"/>
    <w:rsid w:val="00D23D7D"/>
    <w:rsid w:val="00D25787"/>
    <w:rsid w:val="00D274EA"/>
    <w:rsid w:val="00D30874"/>
    <w:rsid w:val="00D32909"/>
    <w:rsid w:val="00D4248A"/>
    <w:rsid w:val="00D42CB2"/>
    <w:rsid w:val="00D44943"/>
    <w:rsid w:val="00D534FD"/>
    <w:rsid w:val="00D67091"/>
    <w:rsid w:val="00D718A3"/>
    <w:rsid w:val="00D74C77"/>
    <w:rsid w:val="00D80C24"/>
    <w:rsid w:val="00D83DAD"/>
    <w:rsid w:val="00D90FCC"/>
    <w:rsid w:val="00D926B1"/>
    <w:rsid w:val="00D97B05"/>
    <w:rsid w:val="00DA082F"/>
    <w:rsid w:val="00DA461E"/>
    <w:rsid w:val="00DA65A6"/>
    <w:rsid w:val="00DB09EF"/>
    <w:rsid w:val="00DB134D"/>
    <w:rsid w:val="00DB418C"/>
    <w:rsid w:val="00DB7F00"/>
    <w:rsid w:val="00DE17BA"/>
    <w:rsid w:val="00DE1C88"/>
    <w:rsid w:val="00DE51EC"/>
    <w:rsid w:val="00DE7C79"/>
    <w:rsid w:val="00DF1706"/>
    <w:rsid w:val="00DF3459"/>
    <w:rsid w:val="00DF4874"/>
    <w:rsid w:val="00E002B8"/>
    <w:rsid w:val="00E022AA"/>
    <w:rsid w:val="00E0509F"/>
    <w:rsid w:val="00E05A2B"/>
    <w:rsid w:val="00E11683"/>
    <w:rsid w:val="00E153A3"/>
    <w:rsid w:val="00E15A09"/>
    <w:rsid w:val="00E161C1"/>
    <w:rsid w:val="00E176C3"/>
    <w:rsid w:val="00E248B5"/>
    <w:rsid w:val="00E25285"/>
    <w:rsid w:val="00E26780"/>
    <w:rsid w:val="00E27D38"/>
    <w:rsid w:val="00E30E13"/>
    <w:rsid w:val="00E31D5E"/>
    <w:rsid w:val="00E36874"/>
    <w:rsid w:val="00E37731"/>
    <w:rsid w:val="00E37738"/>
    <w:rsid w:val="00E37FE6"/>
    <w:rsid w:val="00E4083F"/>
    <w:rsid w:val="00E423AB"/>
    <w:rsid w:val="00E4356A"/>
    <w:rsid w:val="00E443D9"/>
    <w:rsid w:val="00E4667A"/>
    <w:rsid w:val="00E533DB"/>
    <w:rsid w:val="00E617C7"/>
    <w:rsid w:val="00E66924"/>
    <w:rsid w:val="00E67944"/>
    <w:rsid w:val="00E6794B"/>
    <w:rsid w:val="00E74475"/>
    <w:rsid w:val="00E7658E"/>
    <w:rsid w:val="00E76EC7"/>
    <w:rsid w:val="00E8066F"/>
    <w:rsid w:val="00E820C4"/>
    <w:rsid w:val="00E82BDD"/>
    <w:rsid w:val="00EA1E1E"/>
    <w:rsid w:val="00EA2921"/>
    <w:rsid w:val="00EA2C74"/>
    <w:rsid w:val="00EA5556"/>
    <w:rsid w:val="00EC0084"/>
    <w:rsid w:val="00EC08A0"/>
    <w:rsid w:val="00EC2C14"/>
    <w:rsid w:val="00EC2EE2"/>
    <w:rsid w:val="00EC5E20"/>
    <w:rsid w:val="00EC79C0"/>
    <w:rsid w:val="00EC7B3C"/>
    <w:rsid w:val="00EC7C0B"/>
    <w:rsid w:val="00EC7F81"/>
    <w:rsid w:val="00EE5A50"/>
    <w:rsid w:val="00F00BF0"/>
    <w:rsid w:val="00F044D9"/>
    <w:rsid w:val="00F05B2D"/>
    <w:rsid w:val="00F05DFF"/>
    <w:rsid w:val="00F120B2"/>
    <w:rsid w:val="00F16738"/>
    <w:rsid w:val="00F23033"/>
    <w:rsid w:val="00F248E5"/>
    <w:rsid w:val="00F334C2"/>
    <w:rsid w:val="00F4189F"/>
    <w:rsid w:val="00F42B9E"/>
    <w:rsid w:val="00F477D4"/>
    <w:rsid w:val="00F51FF1"/>
    <w:rsid w:val="00F52FC7"/>
    <w:rsid w:val="00F5516B"/>
    <w:rsid w:val="00F57988"/>
    <w:rsid w:val="00F7187E"/>
    <w:rsid w:val="00F74E75"/>
    <w:rsid w:val="00F80DD9"/>
    <w:rsid w:val="00F843D8"/>
    <w:rsid w:val="00F8483C"/>
    <w:rsid w:val="00F84A26"/>
    <w:rsid w:val="00F877A9"/>
    <w:rsid w:val="00F95778"/>
    <w:rsid w:val="00F97A7A"/>
    <w:rsid w:val="00FA2FCD"/>
    <w:rsid w:val="00FA382B"/>
    <w:rsid w:val="00FA7129"/>
    <w:rsid w:val="00FA7C90"/>
    <w:rsid w:val="00FB17C8"/>
    <w:rsid w:val="00FB4F1D"/>
    <w:rsid w:val="00FC5682"/>
    <w:rsid w:val="00FC7670"/>
    <w:rsid w:val="00FD2019"/>
    <w:rsid w:val="00FD58F4"/>
    <w:rsid w:val="00FD7737"/>
    <w:rsid w:val="00FE1ABD"/>
    <w:rsid w:val="00FE1BAC"/>
    <w:rsid w:val="00FE5ADD"/>
    <w:rsid w:val="00FE6410"/>
    <w:rsid w:val="00FF490E"/>
    <w:rsid w:val="00FF4A3B"/>
    <w:rsid w:val="00FF55F4"/>
    <w:rsid w:val="00FF745D"/>
    <w:rsid w:val="0142F96F"/>
    <w:rsid w:val="02985266"/>
    <w:rsid w:val="030191A3"/>
    <w:rsid w:val="03E6F5EA"/>
    <w:rsid w:val="0B62794C"/>
    <w:rsid w:val="0B8652AE"/>
    <w:rsid w:val="0C4E9561"/>
    <w:rsid w:val="0CEBE5F9"/>
    <w:rsid w:val="0CEC33F4"/>
    <w:rsid w:val="0E328A0D"/>
    <w:rsid w:val="0EC2A9D2"/>
    <w:rsid w:val="0F9974CB"/>
    <w:rsid w:val="110F0C69"/>
    <w:rsid w:val="11627287"/>
    <w:rsid w:val="128B9E8E"/>
    <w:rsid w:val="1944B3E3"/>
    <w:rsid w:val="1A6AAB0E"/>
    <w:rsid w:val="1A95B5A2"/>
    <w:rsid w:val="1B15BCCA"/>
    <w:rsid w:val="1B431CEE"/>
    <w:rsid w:val="1BF81233"/>
    <w:rsid w:val="1C1F464A"/>
    <w:rsid w:val="1CE95D4E"/>
    <w:rsid w:val="1CFAF275"/>
    <w:rsid w:val="1F71CB12"/>
    <w:rsid w:val="1FE24B46"/>
    <w:rsid w:val="204778B4"/>
    <w:rsid w:val="207A3F4C"/>
    <w:rsid w:val="21F9BD2D"/>
    <w:rsid w:val="22A1E50A"/>
    <w:rsid w:val="245FA1A2"/>
    <w:rsid w:val="24872EA2"/>
    <w:rsid w:val="24F91F45"/>
    <w:rsid w:val="255302E6"/>
    <w:rsid w:val="2648A724"/>
    <w:rsid w:val="26CE3ECB"/>
    <w:rsid w:val="288EB799"/>
    <w:rsid w:val="299129DC"/>
    <w:rsid w:val="2A1A8603"/>
    <w:rsid w:val="2C8F892B"/>
    <w:rsid w:val="2DE32905"/>
    <w:rsid w:val="2F6CB797"/>
    <w:rsid w:val="303EBF7E"/>
    <w:rsid w:val="306B4D48"/>
    <w:rsid w:val="315C617C"/>
    <w:rsid w:val="31A8C12C"/>
    <w:rsid w:val="322FFAE4"/>
    <w:rsid w:val="33040A69"/>
    <w:rsid w:val="3322257E"/>
    <w:rsid w:val="34305DF5"/>
    <w:rsid w:val="34C8BB43"/>
    <w:rsid w:val="351263FA"/>
    <w:rsid w:val="3558C9B4"/>
    <w:rsid w:val="362E4303"/>
    <w:rsid w:val="3733CE25"/>
    <w:rsid w:val="385EF62A"/>
    <w:rsid w:val="39BDF972"/>
    <w:rsid w:val="3AD1E38D"/>
    <w:rsid w:val="3C334CEF"/>
    <w:rsid w:val="3CD3753B"/>
    <w:rsid w:val="3CE98DFD"/>
    <w:rsid w:val="3DD8052C"/>
    <w:rsid w:val="3E16007F"/>
    <w:rsid w:val="3F6F6214"/>
    <w:rsid w:val="3FEC1987"/>
    <w:rsid w:val="41360D77"/>
    <w:rsid w:val="42810E37"/>
    <w:rsid w:val="43450926"/>
    <w:rsid w:val="43B49116"/>
    <w:rsid w:val="4482785B"/>
    <w:rsid w:val="449F3C73"/>
    <w:rsid w:val="463C776B"/>
    <w:rsid w:val="46D26023"/>
    <w:rsid w:val="48599E8F"/>
    <w:rsid w:val="486AC0B6"/>
    <w:rsid w:val="48C58824"/>
    <w:rsid w:val="4A126E60"/>
    <w:rsid w:val="4B04311D"/>
    <w:rsid w:val="4CBD7A5F"/>
    <w:rsid w:val="4CBE7974"/>
    <w:rsid w:val="4D636E42"/>
    <w:rsid w:val="4D8129A6"/>
    <w:rsid w:val="4E78314A"/>
    <w:rsid w:val="4E8CB05F"/>
    <w:rsid w:val="4F07A231"/>
    <w:rsid w:val="4F7EAAB0"/>
    <w:rsid w:val="4FC815A2"/>
    <w:rsid w:val="50212EC8"/>
    <w:rsid w:val="56BE54C1"/>
    <w:rsid w:val="56FEF920"/>
    <w:rsid w:val="5728DBBD"/>
    <w:rsid w:val="5886A035"/>
    <w:rsid w:val="588D1504"/>
    <w:rsid w:val="58E47F9B"/>
    <w:rsid w:val="5A523360"/>
    <w:rsid w:val="5B638C97"/>
    <w:rsid w:val="5BD7182F"/>
    <w:rsid w:val="5C917317"/>
    <w:rsid w:val="5CFEB245"/>
    <w:rsid w:val="623EAFB5"/>
    <w:rsid w:val="63B8E6F9"/>
    <w:rsid w:val="64154D34"/>
    <w:rsid w:val="64B60753"/>
    <w:rsid w:val="654E58F8"/>
    <w:rsid w:val="66B07CF5"/>
    <w:rsid w:val="67CB9D3C"/>
    <w:rsid w:val="6AC3227E"/>
    <w:rsid w:val="6BC4F240"/>
    <w:rsid w:val="6C56821E"/>
    <w:rsid w:val="6CBBBF4F"/>
    <w:rsid w:val="6CFD980C"/>
    <w:rsid w:val="6E1201E0"/>
    <w:rsid w:val="6E7521CB"/>
    <w:rsid w:val="6EA298B4"/>
    <w:rsid w:val="6F21750E"/>
    <w:rsid w:val="728CA63D"/>
    <w:rsid w:val="76A89F0D"/>
    <w:rsid w:val="76EB5701"/>
    <w:rsid w:val="79150A86"/>
    <w:rsid w:val="79451C03"/>
    <w:rsid w:val="7D469BED"/>
    <w:rsid w:val="7D6B45C7"/>
    <w:rsid w:val="7DD72B0B"/>
    <w:rsid w:val="7E97916B"/>
    <w:rsid w:val="7EC09C4B"/>
    <w:rsid w:val="7ECAE6D5"/>
    <w:rsid w:val="7ED91312"/>
    <w:rsid w:val="7F2DCBC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3E42A00"/>
  <w15:chartTrackingRefBased/>
  <w15:docId w15:val="{BD94714E-DDA6-45FF-BAD2-3081F770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0CCA"/>
    <w:pPr>
      <w:spacing w:after="200" w:line="288" w:lineRule="auto"/>
    </w:pPr>
    <w:rPr>
      <w:rFonts w:eastAsiaTheme="minorEastAsia"/>
      <w:kern w:val="0"/>
      <w:sz w:val="21"/>
      <w:szCs w:val="21"/>
    </w:rPr>
  </w:style>
  <w:style w:type="paragraph" w:styleId="Heading1">
    <w:name w:val="heading 1"/>
    <w:basedOn w:val="Normal"/>
    <w:next w:val="Normal"/>
    <w:link w:val="Heading1Char"/>
    <w:uiPriority w:val="9"/>
    <w:qFormat/>
    <w:rsid w:val="00240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0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0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0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0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0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0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0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0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0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0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0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0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0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0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0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0CCA"/>
    <w:rPr>
      <w:rFonts w:eastAsiaTheme="majorEastAsia" w:cstheme="majorBidi"/>
      <w:color w:val="272727" w:themeColor="text1" w:themeTint="D8"/>
    </w:rPr>
  </w:style>
  <w:style w:type="paragraph" w:styleId="Title">
    <w:name w:val="Title"/>
    <w:basedOn w:val="Normal"/>
    <w:next w:val="Normal"/>
    <w:link w:val="TitleChar"/>
    <w:uiPriority w:val="10"/>
    <w:qFormat/>
    <w:rsid w:val="00240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0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0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0CCA"/>
    <w:pPr>
      <w:spacing w:before="160"/>
      <w:jc w:val="center"/>
    </w:pPr>
    <w:rPr>
      <w:i/>
      <w:iCs/>
      <w:color w:val="404040" w:themeColor="text1" w:themeTint="BF"/>
    </w:rPr>
  </w:style>
  <w:style w:type="character" w:customStyle="1" w:styleId="QuoteChar">
    <w:name w:val="Quote Char"/>
    <w:basedOn w:val="DefaultParagraphFont"/>
    <w:link w:val="Quote"/>
    <w:uiPriority w:val="29"/>
    <w:rsid w:val="00240CCA"/>
    <w:rPr>
      <w:i/>
      <w:iCs/>
      <w:color w:val="404040" w:themeColor="text1" w:themeTint="BF"/>
    </w:rPr>
  </w:style>
  <w:style w:type="paragraph" w:styleId="ListParagraph">
    <w:name w:val="List Paragraph"/>
    <w:basedOn w:val="Normal"/>
    <w:uiPriority w:val="34"/>
    <w:qFormat/>
    <w:rsid w:val="00240CCA"/>
    <w:pPr>
      <w:ind w:left="720"/>
      <w:contextualSpacing/>
    </w:pPr>
  </w:style>
  <w:style w:type="character" w:styleId="IntenseEmphasis">
    <w:name w:val="Intense Emphasis"/>
    <w:basedOn w:val="DefaultParagraphFont"/>
    <w:uiPriority w:val="21"/>
    <w:qFormat/>
    <w:rsid w:val="00240CCA"/>
    <w:rPr>
      <w:i/>
      <w:iCs/>
      <w:color w:val="0F4761" w:themeColor="accent1" w:themeShade="BF"/>
    </w:rPr>
  </w:style>
  <w:style w:type="paragraph" w:styleId="IntenseQuote">
    <w:name w:val="Intense Quote"/>
    <w:basedOn w:val="Normal"/>
    <w:next w:val="Normal"/>
    <w:link w:val="IntenseQuoteChar"/>
    <w:uiPriority w:val="30"/>
    <w:qFormat/>
    <w:rsid w:val="00240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0CCA"/>
    <w:rPr>
      <w:i/>
      <w:iCs/>
      <w:color w:val="0F4761" w:themeColor="accent1" w:themeShade="BF"/>
    </w:rPr>
  </w:style>
  <w:style w:type="character" w:styleId="IntenseReference">
    <w:name w:val="Intense Reference"/>
    <w:basedOn w:val="DefaultParagraphFont"/>
    <w:uiPriority w:val="32"/>
    <w:qFormat/>
    <w:rsid w:val="00240CCA"/>
    <w:rPr>
      <w:b/>
      <w:bCs/>
      <w:smallCaps/>
      <w:color w:val="0F4761" w:themeColor="accent1" w:themeShade="BF"/>
      <w:spacing w:val="5"/>
    </w:rPr>
  </w:style>
  <w:style w:type="paragraph" w:styleId="BodyText">
    <w:name w:val="Body Text"/>
    <w:basedOn w:val="Normal"/>
    <w:link w:val="BodyTextChar"/>
    <w:rsid w:val="00240CCA"/>
    <w:pPr>
      <w:autoSpaceDE w:val="0"/>
      <w:autoSpaceDN w:val="0"/>
      <w:adjustRightInd w:val="0"/>
      <w:spacing w:before="283"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rsid w:val="00240CCA"/>
    <w:rPr>
      <w:rFonts w:ascii="Times New Roman" w:eastAsia="Times New Roman" w:hAnsi="Times New Roman" w:cs="Times New Roman"/>
      <w:kern w:val="0"/>
      <w:sz w:val="21"/>
      <w:szCs w:val="21"/>
    </w:rPr>
  </w:style>
  <w:style w:type="paragraph" w:styleId="PlainText">
    <w:name w:val="Plain Text"/>
    <w:basedOn w:val="Normal"/>
    <w:link w:val="PlainTextChar"/>
    <w:uiPriority w:val="99"/>
    <w:rsid w:val="00240CCA"/>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240CCA"/>
    <w:rPr>
      <w:rFonts w:ascii="Courier New" w:eastAsia="Times New Roman" w:hAnsi="Courier New" w:cs="Courier New"/>
      <w:kern w:val="0"/>
      <w:sz w:val="20"/>
      <w:szCs w:val="20"/>
    </w:rPr>
  </w:style>
  <w:style w:type="paragraph" w:styleId="BodyTextIndent">
    <w:name w:val="Body Text Indent"/>
    <w:basedOn w:val="Normal"/>
    <w:link w:val="BodyTextIndentChar"/>
    <w:unhideWhenUsed/>
    <w:rsid w:val="00240CCA"/>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40CCA"/>
    <w:rPr>
      <w:rFonts w:ascii="Times New Roman" w:eastAsia="Times New Roman" w:hAnsi="Times New Roman" w:cs="Times New Roman"/>
      <w:kern w:val="0"/>
      <w:sz w:val="24"/>
      <w:szCs w:val="24"/>
    </w:rPr>
  </w:style>
  <w:style w:type="paragraph" w:styleId="Revision">
    <w:name w:val="Revision"/>
    <w:hidden/>
    <w:uiPriority w:val="99"/>
    <w:semiHidden/>
    <w:rsid w:val="00203EE1"/>
    <w:pPr>
      <w:spacing w:after="0" w:line="240" w:lineRule="auto"/>
    </w:pPr>
    <w:rPr>
      <w:rFonts w:eastAsiaTheme="minorEastAsia"/>
      <w:kern w:val="0"/>
      <w:sz w:val="21"/>
      <w:szCs w:val="21"/>
    </w:rPr>
  </w:style>
  <w:style w:type="character" w:styleId="Hyperlink">
    <w:name w:val="Hyperlink"/>
    <w:basedOn w:val="DefaultParagraphFont"/>
    <w:uiPriority w:val="99"/>
    <w:unhideWhenUsed/>
    <w:rsid w:val="207A3F4C"/>
    <w:rPr>
      <w:color w:val="467886"/>
      <w:u w:val="single"/>
    </w:rPr>
  </w:style>
  <w:style w:type="character" w:styleId="CommentReference">
    <w:name w:val="annotation reference"/>
    <w:basedOn w:val="DefaultParagraphFont"/>
    <w:uiPriority w:val="99"/>
    <w:semiHidden/>
    <w:unhideWhenUsed/>
    <w:rsid w:val="006E5556"/>
    <w:rPr>
      <w:sz w:val="16"/>
      <w:szCs w:val="16"/>
    </w:rPr>
  </w:style>
  <w:style w:type="paragraph" w:styleId="CommentText">
    <w:name w:val="annotation text"/>
    <w:basedOn w:val="Normal"/>
    <w:link w:val="CommentTextChar"/>
    <w:uiPriority w:val="99"/>
    <w:unhideWhenUsed/>
    <w:rsid w:val="006E5556"/>
    <w:pPr>
      <w:spacing w:line="240" w:lineRule="auto"/>
    </w:pPr>
    <w:rPr>
      <w:sz w:val="20"/>
      <w:szCs w:val="20"/>
    </w:rPr>
  </w:style>
  <w:style w:type="character" w:customStyle="1" w:styleId="CommentTextChar">
    <w:name w:val="Comment Text Char"/>
    <w:basedOn w:val="DefaultParagraphFont"/>
    <w:link w:val="CommentText"/>
    <w:uiPriority w:val="99"/>
    <w:rsid w:val="006E5556"/>
    <w:rPr>
      <w:rFonts w:eastAsiaTheme="minorEastAsia"/>
      <w:kern w:val="0"/>
      <w:sz w:val="20"/>
      <w:szCs w:val="20"/>
    </w:rPr>
  </w:style>
  <w:style w:type="paragraph" w:styleId="CommentSubject">
    <w:name w:val="annotation subject"/>
    <w:basedOn w:val="CommentText"/>
    <w:next w:val="CommentText"/>
    <w:link w:val="CommentSubjectChar"/>
    <w:uiPriority w:val="99"/>
    <w:semiHidden/>
    <w:unhideWhenUsed/>
    <w:rsid w:val="006E5556"/>
    <w:rPr>
      <w:b/>
      <w:bCs/>
    </w:rPr>
  </w:style>
  <w:style w:type="character" w:customStyle="1" w:styleId="CommentSubjectChar">
    <w:name w:val="Comment Subject Char"/>
    <w:basedOn w:val="CommentTextChar"/>
    <w:link w:val="CommentSubject"/>
    <w:uiPriority w:val="99"/>
    <w:semiHidden/>
    <w:rsid w:val="006E5556"/>
    <w:rPr>
      <w:rFonts w:eastAsiaTheme="minorEastAsia"/>
      <w:b/>
      <w:bCs/>
      <w:kern w:val="0"/>
      <w:sz w:val="20"/>
      <w:szCs w:val="20"/>
    </w:rPr>
  </w:style>
  <w:style w:type="character" w:styleId="UnresolvedMention">
    <w:name w:val="Unresolved Mention"/>
    <w:basedOn w:val="DefaultParagraphFont"/>
    <w:uiPriority w:val="99"/>
    <w:semiHidden/>
    <w:unhideWhenUsed/>
    <w:rsid w:val="00E05A2B"/>
    <w:rPr>
      <w:color w:val="605E5C"/>
      <w:shd w:val="clear" w:color="auto" w:fill="E1DFDD"/>
    </w:rPr>
  </w:style>
  <w:style w:type="character" w:styleId="FollowedHyperlink">
    <w:name w:val="FollowedHyperlink"/>
    <w:basedOn w:val="DefaultParagraphFont"/>
    <w:uiPriority w:val="99"/>
    <w:semiHidden/>
    <w:unhideWhenUsed/>
    <w:rsid w:val="006C62B9"/>
    <w:rPr>
      <w:color w:val="96607D" w:themeColor="followedHyperlink"/>
      <w:u w:val="single"/>
    </w:rPr>
  </w:style>
  <w:style w:type="table" w:styleId="TableGrid">
    <w:name w:val="Table Grid"/>
    <w:basedOn w:val="TableNormal"/>
    <w:uiPriority w:val="39"/>
    <w:rsid w:val="006C4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A69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6948"/>
    <w:rPr>
      <w:rFonts w:eastAsiaTheme="minorEastAsia"/>
      <w:kern w:val="0"/>
      <w:sz w:val="20"/>
      <w:szCs w:val="20"/>
    </w:rPr>
  </w:style>
  <w:style w:type="character" w:styleId="EndnoteReference">
    <w:name w:val="endnote reference"/>
    <w:basedOn w:val="DefaultParagraphFont"/>
    <w:uiPriority w:val="99"/>
    <w:semiHidden/>
    <w:unhideWhenUsed/>
    <w:rsid w:val="004A6948"/>
    <w:rPr>
      <w:vertAlign w:val="superscript"/>
    </w:rPr>
  </w:style>
  <w:style w:type="paragraph" w:styleId="FootnoteText">
    <w:name w:val="footnote text"/>
    <w:basedOn w:val="Normal"/>
    <w:link w:val="FootnoteTextChar"/>
    <w:uiPriority w:val="99"/>
    <w:semiHidden/>
    <w:unhideWhenUsed/>
    <w:rsid w:val="006F56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568E"/>
    <w:rPr>
      <w:rFonts w:eastAsiaTheme="minorEastAsia"/>
      <w:kern w:val="0"/>
      <w:sz w:val="20"/>
      <w:szCs w:val="20"/>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ftre,note TESI"/>
    <w:basedOn w:val="DefaultParagraphFont"/>
    <w:uiPriority w:val="99"/>
    <w:unhideWhenUsed/>
    <w:qFormat/>
    <w:rsid w:val="006F568E"/>
    <w:rPr>
      <w:vertAlign w:val="superscript"/>
    </w:rPr>
  </w:style>
  <w:style w:type="paragraph" w:styleId="Header">
    <w:name w:val="header"/>
    <w:basedOn w:val="Normal"/>
    <w:link w:val="HeaderChar"/>
    <w:uiPriority w:val="99"/>
    <w:unhideWhenUsed/>
    <w:rsid w:val="00BD2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E7F"/>
    <w:rPr>
      <w:rFonts w:eastAsiaTheme="minorEastAsia"/>
      <w:kern w:val="0"/>
      <w:sz w:val="21"/>
      <w:szCs w:val="21"/>
    </w:rPr>
  </w:style>
  <w:style w:type="paragraph" w:styleId="Footer">
    <w:name w:val="footer"/>
    <w:basedOn w:val="Normal"/>
    <w:link w:val="FooterChar"/>
    <w:uiPriority w:val="99"/>
    <w:unhideWhenUsed/>
    <w:rsid w:val="00BD2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E7F"/>
    <w:rPr>
      <w:rFonts w:eastAsiaTheme="minorEastAsia"/>
      <w:kern w:val="0"/>
      <w:sz w:val="21"/>
      <w:szCs w:val="21"/>
    </w:rPr>
  </w:style>
  <w:style w:type="character" w:styleId="Mention">
    <w:name w:val="Mention"/>
    <w:basedOn w:val="DefaultParagraphFont"/>
    <w:uiPriority w:val="99"/>
    <w:unhideWhenUsed/>
    <w:rsid w:val="004333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2024/may/oessrci.htm" TargetMode="External" /><Relationship Id="rId11" Type="http://schemas.openxmlformats.org/officeDocument/2006/relationships/hyperlink" Target="https://www.bls.gov/news.release/pdf/ecec.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whistleblower.submissions@fincen.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6/04/01/2026-06271/whistleblower-incentives-and-protections" TargetMode="External" /><Relationship Id="rId2"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d87705-3c93-4259-be4b-f29ff1b7640e" xsi:nil="true"/>
    <lcf76f155ced4ddcb4097134ff3c332f xmlns="0ab49da9-8a24-4897-8dac-af9d1bb3d1d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1B1709699C1E4CBFF58C77F6E8DF94" ma:contentTypeVersion="12" ma:contentTypeDescription="Create a new document." ma:contentTypeScope="" ma:versionID="6ce1f1cbfb78902bcbe6fb4eb2cb13df">
  <xsd:schema xmlns:xsd="http://www.w3.org/2001/XMLSchema" xmlns:xs="http://www.w3.org/2001/XMLSchema" xmlns:p="http://schemas.microsoft.com/office/2006/metadata/properties" xmlns:ns2="0ab49da9-8a24-4897-8dac-af9d1bb3d1da" xmlns:ns3="3cd87705-3c93-4259-be4b-f29ff1b7640e" targetNamespace="http://schemas.microsoft.com/office/2006/metadata/properties" ma:root="true" ma:fieldsID="52f5673e6c01dd2731453f7856b96626" ns2:_="" ns3:_="">
    <xsd:import namespace="0ab49da9-8a24-4897-8dac-af9d1bb3d1da"/>
    <xsd:import namespace="3cd87705-3c93-4259-be4b-f29ff1b764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49da9-8a24-4897-8dac-af9d1bb3d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79126f-92c0-4682-962a-5ec4f41ea8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87705-3c93-4259-be4b-f29ff1b7640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d550c5a-87f2-4843-b0a3-447ce7f04372}" ma:internalName="TaxCatchAll" ma:showField="CatchAllData" ma:web="3cd87705-3c93-4259-be4b-f29ff1b76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4EE7FC-F45C-4556-BB2F-E5C3BBBE6549}">
  <ds:schemaRefs>
    <ds:schemaRef ds:uri="http://schemas.microsoft.com/office/2006/metadata/properties"/>
    <ds:schemaRef ds:uri="http://schemas.microsoft.com/office/infopath/2007/PartnerControls"/>
    <ds:schemaRef ds:uri="3cd87705-3c93-4259-be4b-f29ff1b7640e"/>
    <ds:schemaRef ds:uri="0ab49da9-8a24-4897-8dac-af9d1bb3d1da"/>
  </ds:schemaRefs>
</ds:datastoreItem>
</file>

<file path=customXml/itemProps2.xml><?xml version="1.0" encoding="utf-8"?>
<ds:datastoreItem xmlns:ds="http://schemas.openxmlformats.org/officeDocument/2006/customXml" ds:itemID="{825A1FE4-BB26-40EA-A833-86F3721A1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49da9-8a24-4897-8dac-af9d1bb3d1da"/>
    <ds:schemaRef ds:uri="3cd87705-3c93-4259-be4b-f29ff1b76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073ED5-636C-4B03-991F-E00C0BB3543D}">
  <ds:schemaRefs>
    <ds:schemaRef ds:uri="http://schemas.openxmlformats.org/officeDocument/2006/bibliography"/>
  </ds:schemaRefs>
</ds:datastoreItem>
</file>

<file path=customXml/itemProps4.xml><?xml version="1.0" encoding="utf-8"?>
<ds:datastoreItem xmlns:ds="http://schemas.openxmlformats.org/officeDocument/2006/customXml" ds:itemID="{FA13D05E-0C65-4F00-A62B-1AAEE2A85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3257</Words>
  <Characters>18567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FinCEN</Company>
  <LinksUpToDate>false</LinksUpToDate>
  <CharactersWithSpaces>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Mariesa</dc:creator>
  <cp:lastModifiedBy>Stewart, Jaclyn</cp:lastModifiedBy>
  <cp:revision>20</cp:revision>
  <dcterms:created xsi:type="dcterms:W3CDTF">2026-04-01T12:48:00Z</dcterms:created>
  <dcterms:modified xsi:type="dcterms:W3CDTF">2026-04-01T13:07:00Z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0x010100761B1709699C1E4CBFF58C77F6E8DF94</vt:lpwstr>
  </property>
  <property fmtid="{D5CDD505-2E9C-101B-9397-08002B2CF9AE}" pid="3" name="MediaServiceImageTags">
    <vt:lpwstr/>
  </property>
</Properties>
</file>