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F1157" w:rsidRPr="00644370" w:rsidP="008218B3" w14:paraId="7E40DEC8" w14:textId="7ED85747">
      <w:pPr>
        <w:suppressAutoHyphens/>
        <w:jc w:val="center"/>
        <w:rPr>
          <w:rFonts w:ascii="Arial" w:hAnsi="Arial" w:cs="Arial"/>
          <w:b/>
          <w:sz w:val="22"/>
          <w:szCs w:val="22"/>
        </w:rPr>
      </w:pPr>
      <w:r w:rsidRPr="00644370">
        <w:rPr>
          <w:rFonts w:ascii="Arial" w:hAnsi="Arial" w:cs="Arial"/>
          <w:b/>
          <w:sz w:val="22"/>
          <w:szCs w:val="22"/>
        </w:rPr>
        <w:t>DEPARTMENT OF THE TREASURY</w:t>
      </w:r>
      <w:r w:rsidRPr="00644370" w:rsidR="00D73D2D">
        <w:rPr>
          <w:rFonts w:ascii="Arial" w:hAnsi="Arial" w:cs="Arial"/>
          <w:b/>
          <w:sz w:val="22"/>
          <w:szCs w:val="22"/>
        </w:rPr>
        <w:t xml:space="preserve"> </w:t>
      </w:r>
    </w:p>
    <w:p w:rsidR="00AF1157" w:rsidRPr="00644370" w:rsidP="008218B3" w14:paraId="19AF93FF" w14:textId="77777777">
      <w:pPr>
        <w:suppressAutoHyphens/>
        <w:jc w:val="center"/>
        <w:rPr>
          <w:rFonts w:ascii="Arial" w:hAnsi="Arial" w:cs="Arial"/>
          <w:b/>
        </w:rPr>
      </w:pPr>
    </w:p>
    <w:p w:rsidR="00AF1157" w:rsidRPr="00644370" w:rsidP="008218B3" w14:paraId="7FCD627E" w14:textId="77777777">
      <w:pPr>
        <w:suppressAutoHyphens/>
        <w:jc w:val="center"/>
        <w:rPr>
          <w:rFonts w:ascii="Arial" w:hAnsi="Arial" w:cs="Arial"/>
          <w:b/>
          <w:sz w:val="22"/>
          <w:szCs w:val="22"/>
        </w:rPr>
      </w:pPr>
      <w:r w:rsidRPr="00644370">
        <w:rPr>
          <w:rFonts w:ascii="Arial" w:hAnsi="Arial" w:cs="Arial"/>
          <w:b/>
          <w:sz w:val="22"/>
          <w:szCs w:val="22"/>
        </w:rPr>
        <w:t xml:space="preserve">ALCOHOL </w:t>
      </w:r>
      <w:r w:rsidRPr="00644370" w:rsidR="00D004D6">
        <w:rPr>
          <w:rFonts w:ascii="Arial" w:hAnsi="Arial" w:cs="Arial"/>
          <w:b/>
          <w:sz w:val="22"/>
          <w:szCs w:val="22"/>
        </w:rPr>
        <w:t xml:space="preserve">AND </w:t>
      </w:r>
      <w:r w:rsidRPr="00644370">
        <w:rPr>
          <w:rFonts w:ascii="Arial" w:hAnsi="Arial" w:cs="Arial"/>
          <w:b/>
          <w:sz w:val="22"/>
          <w:szCs w:val="22"/>
        </w:rPr>
        <w:t>TOBACCO TAX AND TRADE BUREAU</w:t>
      </w:r>
      <w:r w:rsidRPr="00644370" w:rsidR="00D73D2D">
        <w:rPr>
          <w:rFonts w:ascii="Arial" w:hAnsi="Arial" w:cs="Arial"/>
          <w:b/>
          <w:sz w:val="22"/>
          <w:szCs w:val="22"/>
        </w:rPr>
        <w:t xml:space="preserve"> </w:t>
      </w:r>
    </w:p>
    <w:p w:rsidR="00AF1157" w:rsidRPr="00644370" w:rsidP="008218B3" w14:paraId="05487935" w14:textId="77777777">
      <w:pPr>
        <w:suppressAutoHyphens/>
        <w:jc w:val="center"/>
        <w:rPr>
          <w:rFonts w:ascii="Arial" w:hAnsi="Arial" w:cs="Arial"/>
          <w:b/>
          <w:sz w:val="28"/>
          <w:szCs w:val="28"/>
        </w:rPr>
      </w:pPr>
    </w:p>
    <w:p w:rsidR="00AF1157" w:rsidRPr="00644370" w:rsidP="008218B3" w14:paraId="485E9C6D" w14:textId="77777777">
      <w:pPr>
        <w:suppressAutoHyphens/>
        <w:jc w:val="center"/>
        <w:rPr>
          <w:rFonts w:ascii="Arial" w:hAnsi="Arial" w:cs="Arial"/>
          <w:b/>
          <w:sz w:val="22"/>
          <w:szCs w:val="22"/>
        </w:rPr>
      </w:pPr>
      <w:r w:rsidRPr="00644370">
        <w:rPr>
          <w:rFonts w:ascii="Arial" w:hAnsi="Arial" w:cs="Arial"/>
          <w:b/>
          <w:sz w:val="22"/>
          <w:szCs w:val="22"/>
        </w:rPr>
        <w:t xml:space="preserve">Supporting Statement </w:t>
      </w:r>
      <w:r w:rsidRPr="00644370" w:rsidR="00D73D2D">
        <w:rPr>
          <w:rFonts w:ascii="Arial" w:hAnsi="Arial" w:cs="Arial"/>
          <w:b/>
          <w:sz w:val="22"/>
          <w:szCs w:val="22"/>
        </w:rPr>
        <w:t>––</w:t>
      </w:r>
      <w:r w:rsidRPr="00644370">
        <w:rPr>
          <w:rFonts w:ascii="Arial" w:hAnsi="Arial" w:cs="Arial"/>
          <w:b/>
          <w:sz w:val="22"/>
          <w:szCs w:val="22"/>
        </w:rPr>
        <w:t xml:space="preserve"> Information Collection Request</w:t>
      </w:r>
      <w:r w:rsidRPr="00644370" w:rsidR="00D73D2D">
        <w:rPr>
          <w:rFonts w:ascii="Arial" w:hAnsi="Arial" w:cs="Arial"/>
          <w:b/>
          <w:sz w:val="22"/>
          <w:szCs w:val="22"/>
        </w:rPr>
        <w:t xml:space="preserve"> </w:t>
      </w:r>
    </w:p>
    <w:p w:rsidR="00AF1157" w:rsidRPr="00644370" w:rsidP="008218B3" w14:paraId="70A3E7F2" w14:textId="77777777">
      <w:pPr>
        <w:suppressAutoHyphens/>
        <w:jc w:val="center"/>
        <w:rPr>
          <w:rFonts w:ascii="Arial" w:hAnsi="Arial" w:cs="Arial"/>
          <w:b/>
          <w:sz w:val="28"/>
          <w:szCs w:val="28"/>
        </w:rPr>
      </w:pPr>
    </w:p>
    <w:p w:rsidR="00AF1157" w:rsidRPr="00644370" w:rsidP="008218B3" w14:paraId="5B0633C3" w14:textId="77777777">
      <w:pPr>
        <w:suppressAutoHyphens/>
        <w:jc w:val="center"/>
        <w:rPr>
          <w:rFonts w:ascii="Arial" w:hAnsi="Arial" w:cs="Arial"/>
          <w:b/>
          <w:sz w:val="22"/>
          <w:szCs w:val="22"/>
          <w:u w:val="single"/>
        </w:rPr>
      </w:pPr>
      <w:r w:rsidRPr="00644370">
        <w:rPr>
          <w:rFonts w:ascii="Arial" w:hAnsi="Arial" w:cs="Arial"/>
          <w:b/>
          <w:sz w:val="22"/>
          <w:szCs w:val="22"/>
          <w:u w:val="single"/>
        </w:rPr>
        <w:t>OMB Control Number 1513</w:t>
      </w:r>
      <w:r w:rsidRPr="00644370" w:rsidR="00D73D2D">
        <w:rPr>
          <w:rFonts w:ascii="Arial" w:hAnsi="Arial" w:cs="Arial"/>
          <w:b/>
          <w:sz w:val="22"/>
          <w:szCs w:val="22"/>
          <w:u w:val="single"/>
        </w:rPr>
        <w:t>–</w:t>
      </w:r>
      <w:r w:rsidRPr="00644370" w:rsidR="006501BD">
        <w:rPr>
          <w:rFonts w:ascii="Arial" w:hAnsi="Arial" w:cs="Arial"/>
          <w:b/>
          <w:sz w:val="22"/>
          <w:szCs w:val="22"/>
          <w:u w:val="single"/>
        </w:rPr>
        <w:t>0072</w:t>
      </w:r>
      <w:r w:rsidRPr="00644370" w:rsidR="00987432">
        <w:rPr>
          <w:rFonts w:ascii="Arial" w:hAnsi="Arial" w:cs="Arial"/>
          <w:b/>
          <w:sz w:val="22"/>
          <w:szCs w:val="22"/>
          <w:u w:val="single"/>
        </w:rPr>
        <w:t xml:space="preserve"> </w:t>
      </w:r>
    </w:p>
    <w:p w:rsidR="00D73D2D" w:rsidRPr="00644370" w:rsidP="008218B3" w14:paraId="50EB3685" w14:textId="77777777">
      <w:pPr>
        <w:suppressAutoHyphens/>
        <w:jc w:val="center"/>
        <w:rPr>
          <w:rFonts w:ascii="Arial" w:hAnsi="Arial" w:cs="Arial"/>
          <w:b/>
          <w:sz w:val="28"/>
          <w:szCs w:val="28"/>
        </w:rPr>
      </w:pPr>
    </w:p>
    <w:p w:rsidR="00E86B1B" w:rsidRPr="00644370" w:rsidP="008218B3" w14:paraId="6078A758" w14:textId="3A5E9B3C">
      <w:pPr>
        <w:jc w:val="center"/>
        <w:rPr>
          <w:rFonts w:ascii="Arial" w:hAnsi="Arial" w:cs="Arial"/>
          <w:b/>
          <w:sz w:val="22"/>
          <w:szCs w:val="22"/>
        </w:rPr>
      </w:pPr>
      <w:r w:rsidRPr="00644370">
        <w:rPr>
          <w:rFonts w:ascii="Arial" w:hAnsi="Arial" w:cs="Arial"/>
          <w:b/>
          <w:sz w:val="22"/>
          <w:szCs w:val="22"/>
        </w:rPr>
        <w:t>Applications and Notices</w:t>
      </w:r>
      <w:r w:rsidRPr="00644370" w:rsidR="00FA0F1C">
        <w:rPr>
          <w:rFonts w:ascii="Arial" w:hAnsi="Arial" w:cs="Arial"/>
          <w:b/>
          <w:sz w:val="22"/>
          <w:szCs w:val="22"/>
        </w:rPr>
        <w:t>—</w:t>
      </w:r>
      <w:r w:rsidRPr="00644370">
        <w:rPr>
          <w:rFonts w:ascii="Arial" w:hAnsi="Arial" w:cs="Arial"/>
          <w:b/>
          <w:sz w:val="22"/>
          <w:szCs w:val="22"/>
        </w:rPr>
        <w:t>Manufacturers of Nonbeverage Products</w:t>
      </w:r>
      <w:r w:rsidRPr="00644370" w:rsidR="00FA0F1C">
        <w:rPr>
          <w:rFonts w:ascii="Arial" w:hAnsi="Arial" w:cs="Arial"/>
          <w:b/>
          <w:sz w:val="22"/>
          <w:szCs w:val="22"/>
        </w:rPr>
        <w:t xml:space="preserve"> (</w:t>
      </w:r>
      <w:r w:rsidRPr="00644370">
        <w:rPr>
          <w:rFonts w:ascii="Arial" w:hAnsi="Arial" w:cs="Arial"/>
          <w:b/>
          <w:sz w:val="22"/>
          <w:szCs w:val="22"/>
        </w:rPr>
        <w:t>TTB REC 5530/1</w:t>
      </w:r>
      <w:r w:rsidRPr="00644370" w:rsidR="00FA0F1C">
        <w:rPr>
          <w:rFonts w:ascii="Arial" w:hAnsi="Arial" w:cs="Arial"/>
          <w:b/>
          <w:sz w:val="22"/>
          <w:szCs w:val="22"/>
        </w:rPr>
        <w:t>)</w:t>
      </w:r>
      <w:r w:rsidRPr="00644370" w:rsidR="00BF5C2D">
        <w:rPr>
          <w:rFonts w:ascii="Arial" w:hAnsi="Arial" w:cs="Arial"/>
          <w:b/>
          <w:sz w:val="22"/>
          <w:szCs w:val="22"/>
        </w:rPr>
        <w:t xml:space="preserve"> </w:t>
      </w:r>
    </w:p>
    <w:p w:rsidR="006501BD" w:rsidRPr="00644370" w:rsidP="008218B3" w14:paraId="0FB8CEA9" w14:textId="48AF231C">
      <w:pPr>
        <w:rPr>
          <w:rFonts w:ascii="Arial" w:hAnsi="Arial" w:cs="Arial"/>
          <w:sz w:val="22"/>
          <w:szCs w:val="22"/>
          <w:highlight w:val="yellow"/>
        </w:rPr>
      </w:pPr>
    </w:p>
    <w:p w:rsidR="00F27A63" w:rsidRPr="00644370" w:rsidP="008218B3" w14:paraId="51923457" w14:textId="77777777">
      <w:pPr>
        <w:widowControl w:val="0"/>
        <w:autoSpaceDE w:val="0"/>
        <w:autoSpaceDN w:val="0"/>
        <w:adjustRightInd w:val="0"/>
        <w:rPr>
          <w:rFonts w:ascii="Arial" w:eastAsia="MS Mincho" w:hAnsi="Arial" w:cs="Arial"/>
          <w:bCs/>
          <w:sz w:val="22"/>
          <w:szCs w:val="22"/>
        </w:rPr>
      </w:pPr>
    </w:p>
    <w:p w:rsidR="00F27A63" w:rsidRPr="00644370" w:rsidP="008218B3" w14:paraId="70EED980" w14:textId="77777777">
      <w:pPr>
        <w:rPr>
          <w:rFonts w:ascii="Arial" w:hAnsi="Arial" w:cs="Arial"/>
          <w:b/>
          <w:sz w:val="22"/>
          <w:szCs w:val="22"/>
          <w:u w:val="single"/>
        </w:rPr>
      </w:pPr>
      <w:r w:rsidRPr="00644370">
        <w:rPr>
          <w:rFonts w:ascii="Arial" w:hAnsi="Arial" w:cs="Arial"/>
          <w:b/>
          <w:sz w:val="22"/>
          <w:szCs w:val="22"/>
          <w:u w:val="single"/>
        </w:rPr>
        <w:t xml:space="preserve">Changes Since Last Approval </w:t>
      </w:r>
    </w:p>
    <w:p w:rsidR="00F27A63" w:rsidRPr="00644370" w:rsidP="008218B3" w14:paraId="161AF2EC" w14:textId="77777777">
      <w:pPr>
        <w:rPr>
          <w:rFonts w:ascii="Arial" w:hAnsi="Arial" w:cs="Arial"/>
          <w:sz w:val="22"/>
          <w:szCs w:val="22"/>
        </w:rPr>
      </w:pPr>
    </w:p>
    <w:p w:rsidR="00F27A63" w:rsidRPr="00644370" w:rsidP="008218B3" w14:paraId="22E5FF1C" w14:textId="77777777">
      <w:pPr>
        <w:ind w:left="360"/>
        <w:rPr>
          <w:rFonts w:ascii="Arial" w:hAnsi="Arial" w:cs="Arial"/>
          <w:sz w:val="22"/>
          <w:szCs w:val="22"/>
        </w:rPr>
      </w:pPr>
      <w:r w:rsidRPr="00644370">
        <w:rPr>
          <w:rFonts w:ascii="Arial" w:hAnsi="Arial" w:cs="Arial"/>
          <w:sz w:val="22"/>
          <w:szCs w:val="22"/>
        </w:rPr>
        <w:t xml:space="preserve">Changes made to the Supporting Statement since this information collection’s last approval: </w:t>
      </w:r>
    </w:p>
    <w:p w:rsidR="00F27A63" w:rsidRPr="00644370" w:rsidP="008218B3" w14:paraId="6C789190" w14:textId="77777777">
      <w:pPr>
        <w:ind w:left="360"/>
        <w:rPr>
          <w:rFonts w:ascii="Arial" w:hAnsi="Arial" w:cs="Arial"/>
          <w:sz w:val="22"/>
          <w:szCs w:val="22"/>
        </w:rPr>
      </w:pPr>
    </w:p>
    <w:p w:rsidR="00F27A63" w:rsidRPr="00644370" w:rsidP="008218B3" w14:paraId="71EF9E45" w14:textId="21B85E8E">
      <w:pPr>
        <w:numPr>
          <w:ilvl w:val="0"/>
          <w:numId w:val="7"/>
        </w:numPr>
        <w:spacing w:after="120"/>
        <w:ind w:left="720"/>
        <w:rPr>
          <w:rFonts w:ascii="Arial" w:hAnsi="Arial" w:cs="Arial"/>
          <w:sz w:val="22"/>
          <w:szCs w:val="22"/>
        </w:rPr>
      </w:pPr>
      <w:r w:rsidRPr="00644370">
        <w:rPr>
          <w:rFonts w:ascii="Arial" w:hAnsi="Arial" w:cs="Arial"/>
          <w:sz w:val="22"/>
          <w:szCs w:val="22"/>
        </w:rPr>
        <w:t xml:space="preserve">In Question 8, TTB is updating the 60-day notice publication information for this information collection. </w:t>
      </w:r>
    </w:p>
    <w:p w:rsidR="00F27A63" w:rsidRPr="00644370" w:rsidP="008218B3" w14:paraId="1097BED8" w14:textId="50042EF4">
      <w:pPr>
        <w:numPr>
          <w:ilvl w:val="0"/>
          <w:numId w:val="7"/>
        </w:numPr>
        <w:spacing w:after="120"/>
        <w:ind w:left="720"/>
        <w:rPr>
          <w:rFonts w:ascii="Arial" w:hAnsi="Arial" w:cs="Arial"/>
          <w:sz w:val="22"/>
          <w:szCs w:val="22"/>
        </w:rPr>
      </w:pPr>
      <w:r w:rsidRPr="00644370">
        <w:rPr>
          <w:rFonts w:ascii="Arial" w:hAnsi="Arial" w:cs="Arial"/>
          <w:sz w:val="22"/>
          <w:szCs w:val="22"/>
        </w:rPr>
        <w:t xml:space="preserve">In Question 12, TTB is </w:t>
      </w:r>
      <w:r w:rsidRPr="00644370" w:rsidR="00644370">
        <w:rPr>
          <w:rFonts w:ascii="Arial" w:hAnsi="Arial" w:cs="Arial"/>
          <w:sz w:val="22"/>
          <w:szCs w:val="22"/>
        </w:rPr>
        <w:t xml:space="preserve">revising the estimated burden and respondent labor costs associated with this information collection. </w:t>
      </w:r>
    </w:p>
    <w:p w:rsidR="00F27A63" w:rsidRPr="00644370" w:rsidP="008218B3" w14:paraId="28812F06" w14:textId="15AD6AB8">
      <w:pPr>
        <w:numPr>
          <w:ilvl w:val="0"/>
          <w:numId w:val="7"/>
        </w:numPr>
        <w:spacing w:after="120"/>
        <w:ind w:left="720"/>
        <w:rPr>
          <w:rFonts w:ascii="Arial" w:hAnsi="Arial" w:cs="Arial"/>
          <w:sz w:val="22"/>
          <w:szCs w:val="22"/>
        </w:rPr>
      </w:pPr>
      <w:r w:rsidRPr="00644370">
        <w:rPr>
          <w:rFonts w:ascii="Arial" w:hAnsi="Arial" w:cs="Arial"/>
          <w:sz w:val="22"/>
          <w:szCs w:val="22"/>
        </w:rPr>
        <w:t xml:space="preserve">In Question 13, TTB is </w:t>
      </w:r>
      <w:r w:rsidRPr="00644370" w:rsidR="00644370">
        <w:rPr>
          <w:rFonts w:ascii="Arial" w:hAnsi="Arial" w:cs="Arial"/>
          <w:sz w:val="22"/>
          <w:szCs w:val="22"/>
        </w:rPr>
        <w:t xml:space="preserve">revising its </w:t>
      </w:r>
      <w:r w:rsidRPr="00644370" w:rsidR="00061BD7">
        <w:rPr>
          <w:rFonts w:ascii="Arial" w:hAnsi="Arial" w:cs="Arial"/>
          <w:sz w:val="22"/>
          <w:szCs w:val="22"/>
        </w:rPr>
        <w:t xml:space="preserve">estimate of </w:t>
      </w:r>
      <w:r w:rsidRPr="00644370" w:rsidR="00644370">
        <w:rPr>
          <w:rFonts w:ascii="Arial" w:hAnsi="Arial" w:cs="Arial"/>
          <w:sz w:val="22"/>
          <w:szCs w:val="22"/>
        </w:rPr>
        <w:t xml:space="preserve">the </w:t>
      </w:r>
      <w:r w:rsidRPr="00644370">
        <w:rPr>
          <w:rFonts w:ascii="Arial" w:hAnsi="Arial" w:cs="Arial"/>
          <w:sz w:val="22"/>
          <w:szCs w:val="22"/>
        </w:rPr>
        <w:t xml:space="preserve">non-labor costs to respondents for this </w:t>
      </w:r>
      <w:r w:rsidRPr="00644370" w:rsidR="00061BD7">
        <w:rPr>
          <w:rFonts w:ascii="Arial" w:hAnsi="Arial" w:cs="Arial"/>
          <w:sz w:val="22"/>
          <w:szCs w:val="22"/>
        </w:rPr>
        <w:t xml:space="preserve">information </w:t>
      </w:r>
      <w:r w:rsidRPr="00644370">
        <w:rPr>
          <w:rFonts w:ascii="Arial" w:hAnsi="Arial" w:cs="Arial"/>
          <w:sz w:val="22"/>
          <w:szCs w:val="22"/>
        </w:rPr>
        <w:t xml:space="preserve">collection. </w:t>
      </w:r>
    </w:p>
    <w:p w:rsidR="00F27A63" w:rsidRPr="00644370" w:rsidP="008218B3" w14:paraId="36236A35" w14:textId="67B32EDC">
      <w:pPr>
        <w:numPr>
          <w:ilvl w:val="0"/>
          <w:numId w:val="7"/>
        </w:numPr>
        <w:ind w:left="720"/>
        <w:rPr>
          <w:rFonts w:ascii="Arial" w:hAnsi="Arial" w:cs="Arial"/>
          <w:sz w:val="22"/>
          <w:szCs w:val="22"/>
        </w:rPr>
      </w:pPr>
      <w:r w:rsidRPr="00644370">
        <w:rPr>
          <w:rFonts w:ascii="Arial" w:hAnsi="Arial" w:cs="Arial"/>
          <w:sz w:val="22"/>
          <w:szCs w:val="22"/>
        </w:rPr>
        <w:t xml:space="preserve">In Question 14, TTB is </w:t>
      </w:r>
      <w:r w:rsidRPr="00644370" w:rsidR="00644370">
        <w:rPr>
          <w:rFonts w:ascii="Arial" w:hAnsi="Arial" w:cs="Arial"/>
          <w:sz w:val="22"/>
          <w:szCs w:val="22"/>
        </w:rPr>
        <w:t xml:space="preserve">revising its estimated </w:t>
      </w:r>
      <w:r w:rsidRPr="00644370">
        <w:rPr>
          <w:rFonts w:ascii="Arial" w:hAnsi="Arial" w:cs="Arial"/>
          <w:sz w:val="22"/>
          <w:szCs w:val="22"/>
        </w:rPr>
        <w:t xml:space="preserve">labor costs for this information collection. </w:t>
      </w:r>
    </w:p>
    <w:p w:rsidR="00F27A63" w:rsidRPr="00644370" w:rsidP="008218B3" w14:paraId="07AE41DC" w14:textId="77777777">
      <w:pPr>
        <w:widowControl w:val="0"/>
        <w:autoSpaceDE w:val="0"/>
        <w:autoSpaceDN w:val="0"/>
        <w:adjustRightInd w:val="0"/>
        <w:rPr>
          <w:rFonts w:ascii="Arial" w:eastAsia="MS Mincho" w:hAnsi="Arial" w:cs="Arial"/>
          <w:bCs/>
          <w:sz w:val="22"/>
          <w:szCs w:val="22"/>
        </w:rPr>
      </w:pPr>
    </w:p>
    <w:p w:rsidR="00F27A63" w:rsidRPr="00644370" w:rsidP="008218B3" w14:paraId="432136CA" w14:textId="77777777">
      <w:pPr>
        <w:suppressAutoHyphens/>
        <w:rPr>
          <w:rFonts w:ascii="Arial" w:hAnsi="Arial" w:cs="Arial"/>
          <w:sz w:val="22"/>
          <w:szCs w:val="22"/>
        </w:rPr>
      </w:pPr>
    </w:p>
    <w:p w:rsidR="00F27A63" w:rsidRPr="00644370" w:rsidP="008218B3" w14:paraId="6C3FC11E" w14:textId="77777777">
      <w:pPr>
        <w:suppressAutoHyphens/>
        <w:rPr>
          <w:rFonts w:ascii="Arial" w:hAnsi="Arial" w:cs="Arial"/>
          <w:b/>
          <w:sz w:val="22"/>
          <w:szCs w:val="22"/>
          <w:u w:val="single"/>
        </w:rPr>
      </w:pPr>
      <w:r w:rsidRPr="00644370">
        <w:rPr>
          <w:rFonts w:ascii="Arial" w:hAnsi="Arial" w:cs="Arial"/>
          <w:b/>
          <w:sz w:val="22"/>
          <w:szCs w:val="22"/>
          <w:u w:val="single"/>
        </w:rPr>
        <w:t xml:space="preserve">A.  Justification </w:t>
      </w:r>
    </w:p>
    <w:p w:rsidR="00F27A63" w:rsidRPr="00644370" w:rsidP="008218B3" w14:paraId="64E07EA7" w14:textId="77777777">
      <w:pPr>
        <w:suppressAutoHyphens/>
        <w:rPr>
          <w:rFonts w:ascii="Arial" w:hAnsi="Arial" w:cs="Arial"/>
          <w:sz w:val="22"/>
          <w:szCs w:val="22"/>
        </w:rPr>
      </w:pPr>
    </w:p>
    <w:p w:rsidR="00F27A63" w:rsidRPr="00644370" w:rsidP="008218B3" w14:paraId="1367B618" w14:textId="77777777">
      <w:pPr>
        <w:tabs>
          <w:tab w:val="left" w:pos="360"/>
        </w:tabs>
        <w:suppressAutoHyphens/>
        <w:rPr>
          <w:rFonts w:ascii="Arial" w:hAnsi="Arial" w:cs="Arial"/>
          <w:i/>
          <w:sz w:val="22"/>
          <w:szCs w:val="22"/>
        </w:rPr>
      </w:pPr>
      <w:r w:rsidRPr="00644370">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00F27A63" w:rsidRPr="00644370" w:rsidP="008218B3" w14:paraId="0CC18001" w14:textId="77777777">
      <w:pPr>
        <w:rPr>
          <w:rFonts w:ascii="Arial" w:hAnsi="Arial" w:cs="Arial"/>
          <w:sz w:val="22"/>
          <w:szCs w:val="22"/>
        </w:rPr>
      </w:pPr>
    </w:p>
    <w:p w:rsidR="00F27A63" w:rsidRPr="00644370" w:rsidP="008218B3" w14:paraId="76584C33" w14:textId="27AFE7E2">
      <w:pPr>
        <w:ind w:left="360"/>
        <w:rPr>
          <w:rFonts w:ascii="Arial" w:hAnsi="Arial" w:cs="Arial"/>
          <w:sz w:val="22"/>
          <w:szCs w:val="22"/>
        </w:rPr>
      </w:pPr>
      <w:r w:rsidRPr="00644370">
        <w:rPr>
          <w:rFonts w:ascii="Arial" w:hAnsi="Arial" w:cs="Arial"/>
          <w:sz w:val="22"/>
          <w:szCs w:val="22"/>
        </w:rPr>
        <w:t>The Alcohol and Tobacco Tax and Trade Bureau (TTB) administers chapter 51 (distilled spirits, wine</w:t>
      </w:r>
      <w:r w:rsidRPr="00644370" w:rsidR="004357D1">
        <w:rPr>
          <w:rFonts w:ascii="Arial" w:hAnsi="Arial" w:cs="Arial"/>
          <w:sz w:val="22"/>
          <w:szCs w:val="22"/>
        </w:rPr>
        <w:t>s</w:t>
      </w:r>
      <w:r w:rsidRPr="00644370">
        <w:rPr>
          <w:rFonts w:ascii="Arial" w:hAnsi="Arial" w:cs="Arial"/>
          <w:sz w:val="22"/>
          <w:szCs w:val="22"/>
        </w:rPr>
        <w:t>, and beer), chapter 52 (tobacco products, processed tobacco, and cigarette papers and tubes), and sections 4181–4182 (firearms and ammunition excise taxes) of the Internal Revenue Code of 1986 (IRC, 26 U.S.C.).  TTB administers th</w:t>
      </w:r>
      <w:r w:rsidRPr="00644370" w:rsidR="004357D1">
        <w:rPr>
          <w:rFonts w:ascii="Arial" w:hAnsi="Arial" w:cs="Arial"/>
          <w:sz w:val="22"/>
          <w:szCs w:val="22"/>
        </w:rPr>
        <w:t>e</w:t>
      </w:r>
      <w:r w:rsidRPr="00644370">
        <w:rPr>
          <w:rFonts w:ascii="Arial" w:hAnsi="Arial" w:cs="Arial"/>
          <w:sz w:val="22"/>
          <w:szCs w:val="22"/>
        </w:rPr>
        <w:t xml:space="preserve">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00F27A63" w:rsidRPr="00644370" w:rsidP="008218B3" w14:paraId="34703651" w14:textId="77777777">
      <w:pPr>
        <w:tabs>
          <w:tab w:val="left" w:pos="540"/>
        </w:tabs>
        <w:ind w:left="360"/>
        <w:rPr>
          <w:rFonts w:ascii="Arial" w:hAnsi="Arial" w:cs="Arial"/>
          <w:sz w:val="22"/>
          <w:szCs w:val="22"/>
        </w:rPr>
      </w:pPr>
    </w:p>
    <w:p w:rsidR="00BC35C8" w:rsidRPr="00644370" w:rsidP="008218B3" w14:paraId="10AB3AB4" w14:textId="374F21FB">
      <w:pPr>
        <w:tabs>
          <w:tab w:val="left" w:pos="540"/>
        </w:tabs>
        <w:ind w:left="360"/>
        <w:rPr>
          <w:rFonts w:ascii="Arial" w:hAnsi="Arial" w:cs="Arial"/>
          <w:sz w:val="22"/>
          <w:szCs w:val="22"/>
        </w:rPr>
      </w:pPr>
      <w:r w:rsidRPr="00644370">
        <w:rPr>
          <w:rFonts w:ascii="Arial" w:hAnsi="Arial" w:cs="Arial"/>
          <w:sz w:val="22"/>
          <w:szCs w:val="22"/>
        </w:rPr>
        <w:t xml:space="preserve">In general, the IRC at 26 U.S.C. 5001 imposes Federal excise tax on each proof gallon of distilled spirits produced in or imported into the United States.  However, under the IRC at 26 U.S.C. 5111–5114, persons using </w:t>
      </w:r>
      <w:r w:rsidRPr="00644370" w:rsidR="00437996">
        <w:rPr>
          <w:rFonts w:ascii="Arial" w:hAnsi="Arial" w:cs="Arial"/>
          <w:sz w:val="22"/>
          <w:szCs w:val="22"/>
        </w:rPr>
        <w:t xml:space="preserve">taxpaid </w:t>
      </w:r>
      <w:r w:rsidRPr="00644370">
        <w:rPr>
          <w:rFonts w:ascii="Arial" w:hAnsi="Arial" w:cs="Arial"/>
          <w:sz w:val="22"/>
          <w:szCs w:val="22"/>
        </w:rPr>
        <w:t xml:space="preserve">distilled spirits to produce medicines, medicinal preparations, food products, flavors, flavoring extracts, or perfume may claim drawback (refund) of all but $1.00 per proof gallon of the excise tax paid on the spirits used to make such nonbeverage products, subject to regulations issued by the Secretary “to secure the Treasury against frauds.” </w:t>
      </w:r>
    </w:p>
    <w:p w:rsidR="00DC3C70" w:rsidRPr="00644370" w:rsidP="008218B3" w14:paraId="20E3191C" w14:textId="1AA07BF1">
      <w:pPr>
        <w:tabs>
          <w:tab w:val="left" w:pos="540"/>
        </w:tabs>
        <w:ind w:left="360"/>
        <w:rPr>
          <w:rFonts w:ascii="Arial" w:hAnsi="Arial" w:cs="Arial"/>
          <w:sz w:val="22"/>
          <w:szCs w:val="22"/>
        </w:rPr>
      </w:pPr>
    </w:p>
    <w:p w:rsidR="00CF31FD" w:rsidRPr="00644370" w:rsidP="008218B3" w14:paraId="3EB77D85" w14:textId="0F300F26">
      <w:pPr>
        <w:ind w:left="360"/>
        <w:rPr>
          <w:rFonts w:ascii="Arial" w:hAnsi="Arial" w:cs="Arial"/>
          <w:sz w:val="22"/>
          <w:szCs w:val="22"/>
        </w:rPr>
      </w:pPr>
      <w:r w:rsidRPr="00644370">
        <w:rPr>
          <w:rFonts w:ascii="Arial" w:hAnsi="Arial" w:cs="Arial"/>
          <w:sz w:val="22"/>
          <w:szCs w:val="22"/>
        </w:rPr>
        <w:t xml:space="preserve">Under those IRC authorities, </w:t>
      </w:r>
      <w:r w:rsidRPr="00644370" w:rsidR="002C4702">
        <w:rPr>
          <w:rFonts w:ascii="Arial" w:hAnsi="Arial" w:cs="Arial"/>
          <w:sz w:val="22"/>
          <w:szCs w:val="22"/>
        </w:rPr>
        <w:t xml:space="preserve">the </w:t>
      </w:r>
      <w:r w:rsidRPr="00644370">
        <w:rPr>
          <w:rFonts w:ascii="Arial" w:hAnsi="Arial" w:cs="Arial"/>
          <w:sz w:val="22"/>
          <w:szCs w:val="22"/>
        </w:rPr>
        <w:t>TTB regulations in 27 CFR part 17</w:t>
      </w:r>
      <w:r w:rsidRPr="00644370" w:rsidR="002C4702">
        <w:rPr>
          <w:rFonts w:ascii="Arial" w:hAnsi="Arial" w:cs="Arial"/>
          <w:sz w:val="22"/>
          <w:szCs w:val="22"/>
        </w:rPr>
        <w:t xml:space="preserve"> </w:t>
      </w:r>
      <w:r w:rsidRPr="00644370">
        <w:rPr>
          <w:rFonts w:ascii="Arial" w:hAnsi="Arial" w:cs="Arial"/>
          <w:sz w:val="22"/>
          <w:szCs w:val="22"/>
        </w:rPr>
        <w:t xml:space="preserve">require </w:t>
      </w:r>
      <w:r w:rsidRPr="00644370" w:rsidR="00FC2035">
        <w:rPr>
          <w:rFonts w:ascii="Arial" w:hAnsi="Arial" w:cs="Arial"/>
          <w:sz w:val="22"/>
          <w:szCs w:val="22"/>
        </w:rPr>
        <w:t xml:space="preserve">manufacturers </w:t>
      </w:r>
      <w:r w:rsidRPr="00644370">
        <w:rPr>
          <w:rFonts w:ascii="Arial" w:hAnsi="Arial" w:cs="Arial"/>
          <w:sz w:val="22"/>
          <w:szCs w:val="22"/>
        </w:rPr>
        <w:t xml:space="preserve">to </w:t>
      </w:r>
      <w:r w:rsidRPr="00644370" w:rsidR="00FC2035">
        <w:rPr>
          <w:rFonts w:ascii="Arial" w:hAnsi="Arial" w:cs="Arial"/>
          <w:sz w:val="22"/>
          <w:szCs w:val="22"/>
        </w:rPr>
        <w:t xml:space="preserve">submit </w:t>
      </w:r>
      <w:r w:rsidRPr="00644370" w:rsidR="002C4702">
        <w:rPr>
          <w:rFonts w:ascii="Arial" w:hAnsi="Arial" w:cs="Arial"/>
          <w:sz w:val="22"/>
          <w:szCs w:val="22"/>
        </w:rPr>
        <w:t xml:space="preserve">certain </w:t>
      </w:r>
      <w:r w:rsidRPr="00644370" w:rsidR="004357D1">
        <w:rPr>
          <w:rFonts w:ascii="Arial" w:hAnsi="Arial" w:cs="Arial"/>
          <w:sz w:val="22"/>
          <w:szCs w:val="22"/>
        </w:rPr>
        <w:t xml:space="preserve">letterhead </w:t>
      </w:r>
      <w:r w:rsidRPr="00644370">
        <w:rPr>
          <w:rFonts w:ascii="Arial" w:hAnsi="Arial" w:cs="Arial"/>
          <w:sz w:val="22"/>
          <w:szCs w:val="22"/>
        </w:rPr>
        <w:t>a</w:t>
      </w:r>
      <w:r w:rsidRPr="00644370" w:rsidR="00FC2035">
        <w:rPr>
          <w:rFonts w:ascii="Arial" w:hAnsi="Arial" w:cs="Arial"/>
          <w:sz w:val="22"/>
          <w:szCs w:val="22"/>
        </w:rPr>
        <w:t>pplications</w:t>
      </w:r>
      <w:r w:rsidRPr="00644370" w:rsidR="002C4702">
        <w:rPr>
          <w:rFonts w:ascii="Arial" w:hAnsi="Arial" w:cs="Arial"/>
          <w:sz w:val="22"/>
          <w:szCs w:val="22"/>
        </w:rPr>
        <w:t xml:space="preserve"> and notices to TTB</w:t>
      </w:r>
      <w:r w:rsidRPr="00644370" w:rsidR="00D227B8">
        <w:rPr>
          <w:rFonts w:ascii="Arial" w:hAnsi="Arial" w:cs="Arial"/>
          <w:sz w:val="22"/>
          <w:szCs w:val="22"/>
        </w:rPr>
        <w:t xml:space="preserve"> regarding their use of distilled </w:t>
      </w:r>
      <w:r w:rsidRPr="00644370" w:rsidR="00D227B8">
        <w:rPr>
          <w:rFonts w:ascii="Arial" w:hAnsi="Arial" w:cs="Arial"/>
          <w:sz w:val="22"/>
          <w:szCs w:val="22"/>
        </w:rPr>
        <w:t xml:space="preserve">spirits in the production of nonbeverage products </w:t>
      </w:r>
      <w:r w:rsidRPr="00644370" w:rsidR="00B85C53">
        <w:rPr>
          <w:rFonts w:ascii="Arial" w:hAnsi="Arial" w:cs="Arial"/>
          <w:sz w:val="22"/>
          <w:szCs w:val="22"/>
        </w:rPr>
        <w:t xml:space="preserve">eligible for </w:t>
      </w:r>
      <w:r w:rsidRPr="00644370" w:rsidR="00D227B8">
        <w:rPr>
          <w:rFonts w:ascii="Arial" w:hAnsi="Arial" w:cs="Arial"/>
          <w:sz w:val="22"/>
          <w:szCs w:val="22"/>
        </w:rPr>
        <w:t xml:space="preserve">drawback.  </w:t>
      </w:r>
      <w:r w:rsidRPr="00644370" w:rsidR="002C4702">
        <w:rPr>
          <w:rFonts w:ascii="Arial" w:hAnsi="Arial" w:cs="Arial"/>
          <w:sz w:val="22"/>
          <w:szCs w:val="22"/>
        </w:rPr>
        <w:t xml:space="preserve">The </w:t>
      </w:r>
      <w:r w:rsidRPr="00644370" w:rsidR="00B85C53">
        <w:rPr>
          <w:rFonts w:ascii="Arial" w:hAnsi="Arial" w:cs="Arial"/>
          <w:sz w:val="22"/>
          <w:szCs w:val="22"/>
        </w:rPr>
        <w:t xml:space="preserve">required </w:t>
      </w:r>
      <w:r w:rsidRPr="00644370" w:rsidR="002C4702">
        <w:rPr>
          <w:rFonts w:ascii="Arial" w:hAnsi="Arial" w:cs="Arial"/>
          <w:sz w:val="22"/>
          <w:szCs w:val="22"/>
        </w:rPr>
        <w:t xml:space="preserve">applications, </w:t>
      </w:r>
      <w:r w:rsidRPr="00644370" w:rsidR="00FC2035">
        <w:rPr>
          <w:rFonts w:ascii="Arial" w:hAnsi="Arial" w:cs="Arial"/>
          <w:sz w:val="22"/>
          <w:szCs w:val="22"/>
        </w:rPr>
        <w:t xml:space="preserve">which require TTB approval, </w:t>
      </w:r>
      <w:r w:rsidRPr="00644370" w:rsidR="002C4702">
        <w:rPr>
          <w:rFonts w:ascii="Arial" w:hAnsi="Arial" w:cs="Arial"/>
          <w:sz w:val="22"/>
          <w:szCs w:val="22"/>
        </w:rPr>
        <w:t xml:space="preserve">cover </w:t>
      </w:r>
      <w:r w:rsidRPr="00644370" w:rsidR="00B85C53">
        <w:rPr>
          <w:rFonts w:ascii="Arial" w:hAnsi="Arial" w:cs="Arial"/>
          <w:sz w:val="22"/>
          <w:szCs w:val="22"/>
        </w:rPr>
        <w:t xml:space="preserve">nonbeverage </w:t>
      </w:r>
      <w:r w:rsidRPr="00644370">
        <w:rPr>
          <w:rFonts w:ascii="Arial" w:hAnsi="Arial" w:cs="Arial"/>
          <w:sz w:val="22"/>
          <w:szCs w:val="22"/>
        </w:rPr>
        <w:t>a</w:t>
      </w:r>
      <w:r w:rsidRPr="00644370" w:rsidR="00FC2035">
        <w:rPr>
          <w:rFonts w:ascii="Arial" w:hAnsi="Arial" w:cs="Arial"/>
          <w:sz w:val="22"/>
          <w:szCs w:val="22"/>
        </w:rPr>
        <w:t>ctivities that present significant jeopardy to the revenue</w:t>
      </w:r>
      <w:r w:rsidRPr="00644370" w:rsidR="002C4702">
        <w:rPr>
          <w:rFonts w:ascii="Arial" w:hAnsi="Arial" w:cs="Arial"/>
          <w:sz w:val="22"/>
          <w:szCs w:val="22"/>
        </w:rPr>
        <w:t>, while the required notices</w:t>
      </w:r>
      <w:r w:rsidRPr="00644370" w:rsidR="00FC2035">
        <w:rPr>
          <w:rFonts w:ascii="Arial" w:hAnsi="Arial" w:cs="Arial"/>
          <w:sz w:val="22"/>
          <w:szCs w:val="22"/>
        </w:rPr>
        <w:t xml:space="preserve">, which do not require TTB approval, </w:t>
      </w:r>
      <w:r w:rsidRPr="00644370" w:rsidR="002C4702">
        <w:rPr>
          <w:rFonts w:ascii="Arial" w:hAnsi="Arial" w:cs="Arial"/>
          <w:sz w:val="22"/>
          <w:szCs w:val="22"/>
        </w:rPr>
        <w:t xml:space="preserve">cover </w:t>
      </w:r>
      <w:r w:rsidRPr="00644370" w:rsidR="00FC2035">
        <w:rPr>
          <w:rFonts w:ascii="Arial" w:hAnsi="Arial" w:cs="Arial"/>
          <w:sz w:val="22"/>
          <w:szCs w:val="22"/>
        </w:rPr>
        <w:t xml:space="preserve">activities that present less jeopardy to the revenue. </w:t>
      </w:r>
    </w:p>
    <w:p w:rsidR="00CF31FD" w:rsidRPr="00644370" w:rsidP="008218B3" w14:paraId="42CF55D8" w14:textId="77777777">
      <w:pPr>
        <w:ind w:left="360"/>
        <w:rPr>
          <w:rFonts w:ascii="Arial" w:hAnsi="Arial" w:cs="Arial"/>
          <w:sz w:val="22"/>
          <w:szCs w:val="22"/>
        </w:rPr>
      </w:pPr>
    </w:p>
    <w:p w:rsidR="006501BD" w:rsidRPr="00644370" w:rsidP="008218B3" w14:paraId="23809F29" w14:textId="39B4503F">
      <w:pPr>
        <w:ind w:left="360"/>
        <w:rPr>
          <w:rFonts w:ascii="Arial" w:hAnsi="Arial" w:cs="Arial"/>
          <w:sz w:val="22"/>
          <w:szCs w:val="22"/>
        </w:rPr>
      </w:pPr>
      <w:r w:rsidRPr="00644370">
        <w:rPr>
          <w:rFonts w:ascii="Arial" w:hAnsi="Arial" w:cs="Arial"/>
          <w:sz w:val="22"/>
          <w:szCs w:val="22"/>
        </w:rPr>
        <w:t xml:space="preserve">The collected information is necessary to protect the revenue </w:t>
      </w:r>
      <w:r w:rsidRPr="00644370" w:rsidR="0016021F">
        <w:rPr>
          <w:rFonts w:ascii="Arial" w:hAnsi="Arial" w:cs="Arial"/>
          <w:sz w:val="22"/>
          <w:szCs w:val="22"/>
        </w:rPr>
        <w:t xml:space="preserve">as it </w:t>
      </w:r>
      <w:r w:rsidRPr="00644370">
        <w:rPr>
          <w:rFonts w:ascii="Arial" w:hAnsi="Arial" w:cs="Arial"/>
          <w:sz w:val="22"/>
          <w:szCs w:val="22"/>
        </w:rPr>
        <w:t xml:space="preserve">ensures that TTB provides distilled </w:t>
      </w:r>
      <w:r w:rsidRPr="00644370" w:rsidR="004357D1">
        <w:rPr>
          <w:rFonts w:ascii="Arial" w:hAnsi="Arial" w:cs="Arial"/>
          <w:sz w:val="22"/>
          <w:szCs w:val="22"/>
        </w:rPr>
        <w:t xml:space="preserve">spirits </w:t>
      </w:r>
      <w:r w:rsidRPr="00644370">
        <w:rPr>
          <w:rFonts w:ascii="Arial" w:hAnsi="Arial" w:cs="Arial"/>
          <w:sz w:val="22"/>
          <w:szCs w:val="22"/>
        </w:rPr>
        <w:t xml:space="preserve">excise tax drawback only to industry members eligible for such </w:t>
      </w:r>
      <w:r w:rsidRPr="00644370" w:rsidR="004357D1">
        <w:rPr>
          <w:rFonts w:ascii="Arial" w:hAnsi="Arial" w:cs="Arial"/>
          <w:sz w:val="22"/>
          <w:szCs w:val="22"/>
        </w:rPr>
        <w:t xml:space="preserve">refunds </w:t>
      </w:r>
      <w:r w:rsidRPr="00644370">
        <w:rPr>
          <w:rFonts w:ascii="Arial" w:hAnsi="Arial" w:cs="Arial"/>
          <w:sz w:val="22"/>
          <w:szCs w:val="22"/>
        </w:rPr>
        <w:t>under the IRC</w:t>
      </w:r>
      <w:r w:rsidRPr="00644370" w:rsidR="004357D1">
        <w:rPr>
          <w:rFonts w:ascii="Arial" w:hAnsi="Arial" w:cs="Arial"/>
          <w:sz w:val="22"/>
          <w:szCs w:val="22"/>
        </w:rPr>
        <w:t>,</w:t>
      </w:r>
      <w:r w:rsidRPr="00644370">
        <w:rPr>
          <w:rFonts w:ascii="Arial" w:hAnsi="Arial" w:cs="Arial"/>
          <w:sz w:val="22"/>
          <w:szCs w:val="22"/>
        </w:rPr>
        <w:t xml:space="preserve"> and </w:t>
      </w:r>
      <w:r w:rsidRPr="00644370" w:rsidR="004357D1">
        <w:rPr>
          <w:rFonts w:ascii="Arial" w:hAnsi="Arial" w:cs="Arial"/>
          <w:sz w:val="22"/>
          <w:szCs w:val="22"/>
        </w:rPr>
        <w:t xml:space="preserve">it ensures </w:t>
      </w:r>
      <w:r w:rsidRPr="00644370">
        <w:rPr>
          <w:rFonts w:ascii="Arial" w:hAnsi="Arial" w:cs="Arial"/>
          <w:sz w:val="22"/>
          <w:szCs w:val="22"/>
        </w:rPr>
        <w:t xml:space="preserve">that </w:t>
      </w:r>
      <w:r w:rsidRPr="00644370" w:rsidR="004357D1">
        <w:rPr>
          <w:rFonts w:ascii="Arial" w:hAnsi="Arial" w:cs="Arial"/>
          <w:sz w:val="22"/>
          <w:szCs w:val="22"/>
        </w:rPr>
        <w:t xml:space="preserve">the </w:t>
      </w:r>
      <w:r w:rsidRPr="00644370" w:rsidR="002C4702">
        <w:rPr>
          <w:rFonts w:ascii="Arial" w:hAnsi="Arial" w:cs="Arial"/>
          <w:sz w:val="22"/>
          <w:szCs w:val="22"/>
        </w:rPr>
        <w:t xml:space="preserve">nonbeverage </w:t>
      </w:r>
      <w:r w:rsidRPr="00644370" w:rsidR="00D227B8">
        <w:rPr>
          <w:rFonts w:ascii="Arial" w:hAnsi="Arial" w:cs="Arial"/>
          <w:sz w:val="22"/>
          <w:szCs w:val="22"/>
        </w:rPr>
        <w:t xml:space="preserve">product </w:t>
      </w:r>
      <w:r w:rsidRPr="00644370">
        <w:rPr>
          <w:rFonts w:ascii="Arial" w:hAnsi="Arial" w:cs="Arial"/>
          <w:sz w:val="22"/>
          <w:szCs w:val="22"/>
        </w:rPr>
        <w:t>activit</w:t>
      </w:r>
      <w:r w:rsidRPr="00644370" w:rsidR="00D227B8">
        <w:rPr>
          <w:rFonts w:ascii="Arial" w:hAnsi="Arial" w:cs="Arial"/>
          <w:sz w:val="22"/>
          <w:szCs w:val="22"/>
        </w:rPr>
        <w:t>ies</w:t>
      </w:r>
      <w:r w:rsidRPr="00644370">
        <w:rPr>
          <w:rFonts w:ascii="Arial" w:hAnsi="Arial" w:cs="Arial"/>
          <w:sz w:val="22"/>
          <w:szCs w:val="22"/>
        </w:rPr>
        <w:t xml:space="preserve"> </w:t>
      </w:r>
      <w:r w:rsidRPr="00644370" w:rsidR="004357D1">
        <w:rPr>
          <w:rFonts w:ascii="Arial" w:hAnsi="Arial" w:cs="Arial"/>
          <w:sz w:val="22"/>
          <w:szCs w:val="22"/>
        </w:rPr>
        <w:t xml:space="preserve">of respondents </w:t>
      </w:r>
      <w:r w:rsidRPr="00644370" w:rsidR="00D227B8">
        <w:rPr>
          <w:rFonts w:ascii="Arial" w:hAnsi="Arial" w:cs="Arial"/>
          <w:sz w:val="22"/>
          <w:szCs w:val="22"/>
        </w:rPr>
        <w:t xml:space="preserve">comply </w:t>
      </w:r>
      <w:r w:rsidRPr="00644370" w:rsidR="002C4702">
        <w:rPr>
          <w:rFonts w:ascii="Arial" w:hAnsi="Arial" w:cs="Arial"/>
          <w:sz w:val="22"/>
          <w:szCs w:val="22"/>
        </w:rPr>
        <w:t xml:space="preserve">with the </w:t>
      </w:r>
      <w:r w:rsidRPr="00644370">
        <w:rPr>
          <w:rFonts w:ascii="Arial" w:hAnsi="Arial" w:cs="Arial"/>
          <w:sz w:val="22"/>
          <w:szCs w:val="22"/>
        </w:rPr>
        <w:t>IRC</w:t>
      </w:r>
      <w:r w:rsidRPr="00644370" w:rsidR="002C4702">
        <w:rPr>
          <w:rFonts w:ascii="Arial" w:hAnsi="Arial" w:cs="Arial"/>
          <w:sz w:val="22"/>
          <w:szCs w:val="22"/>
        </w:rPr>
        <w:t xml:space="preserve"> and TTB regulations.</w:t>
      </w:r>
      <w:r w:rsidRPr="00644370" w:rsidR="00A07689">
        <w:rPr>
          <w:rFonts w:ascii="Arial" w:hAnsi="Arial" w:cs="Arial"/>
          <w:sz w:val="22"/>
          <w:szCs w:val="22"/>
        </w:rPr>
        <w:t xml:space="preserve"> </w:t>
      </w:r>
    </w:p>
    <w:p w:rsidR="006501BD" w:rsidRPr="00644370" w:rsidP="008218B3" w14:paraId="1866AAA9" w14:textId="77777777">
      <w:pPr>
        <w:autoSpaceDE w:val="0"/>
        <w:autoSpaceDN w:val="0"/>
        <w:adjustRightInd w:val="0"/>
        <w:ind w:left="360"/>
        <w:rPr>
          <w:rFonts w:ascii="Arial" w:hAnsi="Arial" w:cs="Arial"/>
          <w:sz w:val="22"/>
          <w:szCs w:val="22"/>
        </w:rPr>
      </w:pPr>
    </w:p>
    <w:p w:rsidR="006501BD" w:rsidRPr="00644370" w:rsidP="008218B3" w14:paraId="35ADC2CD" w14:textId="44C0784C">
      <w:pPr>
        <w:autoSpaceDE w:val="0"/>
        <w:autoSpaceDN w:val="0"/>
        <w:adjustRightInd w:val="0"/>
        <w:ind w:left="360"/>
        <w:rPr>
          <w:rFonts w:ascii="Arial" w:hAnsi="Arial" w:cs="Arial"/>
          <w:sz w:val="22"/>
          <w:szCs w:val="22"/>
        </w:rPr>
      </w:pPr>
      <w:r w:rsidRPr="00644370">
        <w:rPr>
          <w:rFonts w:ascii="Arial" w:hAnsi="Arial" w:cs="Arial"/>
          <w:sz w:val="22"/>
          <w:szCs w:val="22"/>
        </w:rPr>
        <w:t xml:space="preserve">The following </w:t>
      </w:r>
      <w:r w:rsidRPr="00644370" w:rsidR="002C4702">
        <w:rPr>
          <w:rFonts w:ascii="Arial" w:hAnsi="Arial" w:cs="Arial"/>
          <w:sz w:val="22"/>
          <w:szCs w:val="22"/>
        </w:rPr>
        <w:t xml:space="preserve">regulations in </w:t>
      </w:r>
      <w:r w:rsidRPr="00644370" w:rsidR="00A07689">
        <w:rPr>
          <w:rFonts w:ascii="Arial" w:hAnsi="Arial" w:cs="Arial"/>
          <w:sz w:val="22"/>
          <w:szCs w:val="22"/>
        </w:rPr>
        <w:t xml:space="preserve">27 CFR Part 17, Drawback on Taxpaid Distilled Spirits Used in Manufacturing Nonbeverage Products, </w:t>
      </w:r>
      <w:r w:rsidRPr="00644370" w:rsidR="002C4702">
        <w:rPr>
          <w:rFonts w:ascii="Arial" w:hAnsi="Arial" w:cs="Arial"/>
          <w:sz w:val="22"/>
          <w:szCs w:val="22"/>
        </w:rPr>
        <w:t xml:space="preserve">contain the application and notice requirements covered under this information collection: </w:t>
      </w:r>
    </w:p>
    <w:p w:rsidR="006501BD" w:rsidRPr="00644370" w:rsidP="008218B3" w14:paraId="66170F28" w14:textId="77777777">
      <w:pPr>
        <w:tabs>
          <w:tab w:val="left" w:pos="540"/>
        </w:tabs>
        <w:autoSpaceDE w:val="0"/>
        <w:autoSpaceDN w:val="0"/>
        <w:adjustRightInd w:val="0"/>
        <w:ind w:left="540" w:hanging="540"/>
        <w:rPr>
          <w:rFonts w:ascii="Arial" w:hAnsi="Arial" w:cs="Arial"/>
          <w:sz w:val="22"/>
          <w:szCs w:val="22"/>
        </w:rPr>
      </w:pPr>
    </w:p>
    <w:p w:rsidR="00274440" w:rsidRPr="00644370" w:rsidP="008218B3" w14:paraId="409EDF4B" w14:textId="77777777">
      <w:pPr>
        <w:tabs>
          <w:tab w:val="left" w:pos="2160"/>
          <w:tab w:val="left" w:pos="3600"/>
          <w:tab w:val="left" w:pos="5040"/>
          <w:tab w:val="left" w:pos="6480"/>
          <w:tab w:val="left" w:pos="7920"/>
        </w:tabs>
        <w:autoSpaceDE w:val="0"/>
        <w:autoSpaceDN w:val="0"/>
        <w:adjustRightInd w:val="0"/>
        <w:spacing w:after="120"/>
        <w:ind w:left="720"/>
        <w:rPr>
          <w:rFonts w:ascii="Arial" w:hAnsi="Arial" w:cs="Arial"/>
          <w:sz w:val="22"/>
          <w:szCs w:val="22"/>
        </w:rPr>
      </w:pPr>
      <w:r w:rsidRPr="00644370">
        <w:rPr>
          <w:rFonts w:ascii="Arial" w:hAnsi="Arial" w:cs="Arial"/>
          <w:sz w:val="22"/>
          <w:szCs w:val="22"/>
        </w:rPr>
        <w:t>17.3</w:t>
      </w:r>
      <w:r w:rsidRPr="00644370">
        <w:rPr>
          <w:rFonts w:ascii="Arial" w:hAnsi="Arial" w:cs="Arial"/>
          <w:sz w:val="22"/>
          <w:szCs w:val="22"/>
        </w:rPr>
        <w:tab/>
        <w:t>17.111</w:t>
      </w:r>
      <w:r w:rsidRPr="00644370">
        <w:rPr>
          <w:rFonts w:ascii="Arial" w:hAnsi="Arial" w:cs="Arial"/>
          <w:sz w:val="22"/>
          <w:szCs w:val="22"/>
        </w:rPr>
        <w:tab/>
        <w:t>17.112</w:t>
      </w:r>
      <w:r w:rsidRPr="00644370">
        <w:rPr>
          <w:rFonts w:ascii="Arial" w:hAnsi="Arial" w:cs="Arial"/>
          <w:sz w:val="22"/>
          <w:szCs w:val="22"/>
        </w:rPr>
        <w:tab/>
      </w:r>
      <w:r w:rsidRPr="00644370" w:rsidR="00442A02">
        <w:rPr>
          <w:rFonts w:ascii="Arial" w:hAnsi="Arial" w:cs="Arial"/>
          <w:sz w:val="22"/>
          <w:szCs w:val="22"/>
        </w:rPr>
        <w:t>17.122</w:t>
      </w:r>
      <w:r w:rsidRPr="00644370" w:rsidR="00A07689">
        <w:rPr>
          <w:rFonts w:ascii="Arial" w:hAnsi="Arial" w:cs="Arial"/>
          <w:sz w:val="22"/>
          <w:szCs w:val="22"/>
        </w:rPr>
        <w:t xml:space="preserve"> </w:t>
      </w:r>
      <w:r w:rsidRPr="00644370">
        <w:rPr>
          <w:rFonts w:ascii="Arial" w:hAnsi="Arial" w:cs="Arial"/>
          <w:sz w:val="22"/>
          <w:szCs w:val="22"/>
        </w:rPr>
        <w:tab/>
        <w:t>17.123</w:t>
      </w:r>
      <w:r w:rsidRPr="00644370">
        <w:rPr>
          <w:rFonts w:ascii="Arial" w:hAnsi="Arial" w:cs="Arial"/>
          <w:sz w:val="22"/>
          <w:szCs w:val="22"/>
        </w:rPr>
        <w:tab/>
        <w:t xml:space="preserve">17.124 </w:t>
      </w:r>
    </w:p>
    <w:p w:rsidR="00274440" w:rsidRPr="00644370" w:rsidP="008218B3" w14:paraId="41B8C597" w14:textId="37C4B331">
      <w:pPr>
        <w:tabs>
          <w:tab w:val="left" w:pos="2160"/>
          <w:tab w:val="left" w:pos="3600"/>
          <w:tab w:val="left" w:pos="5040"/>
          <w:tab w:val="left" w:pos="6480"/>
          <w:tab w:val="left" w:pos="7920"/>
        </w:tabs>
        <w:autoSpaceDE w:val="0"/>
        <w:autoSpaceDN w:val="0"/>
        <w:adjustRightInd w:val="0"/>
        <w:spacing w:after="120"/>
        <w:ind w:left="720"/>
        <w:rPr>
          <w:rFonts w:ascii="Arial" w:hAnsi="Arial" w:cs="Arial"/>
          <w:sz w:val="22"/>
          <w:szCs w:val="22"/>
        </w:rPr>
      </w:pPr>
      <w:r w:rsidRPr="00644370">
        <w:rPr>
          <w:rFonts w:ascii="Arial" w:hAnsi="Arial" w:cs="Arial"/>
          <w:sz w:val="22"/>
          <w:szCs w:val="22"/>
        </w:rPr>
        <w:t>17.125</w:t>
      </w:r>
      <w:r w:rsidRPr="00644370">
        <w:rPr>
          <w:rFonts w:ascii="Arial" w:hAnsi="Arial" w:cs="Arial"/>
          <w:sz w:val="22"/>
          <w:szCs w:val="22"/>
        </w:rPr>
        <w:tab/>
      </w:r>
      <w:r w:rsidRPr="00644370" w:rsidR="005D3C33">
        <w:rPr>
          <w:rFonts w:ascii="Arial" w:hAnsi="Arial" w:cs="Arial"/>
          <w:sz w:val="22"/>
          <w:szCs w:val="22"/>
        </w:rPr>
        <w:t>17.126</w:t>
      </w:r>
      <w:r w:rsidRPr="00644370">
        <w:rPr>
          <w:rFonts w:ascii="Arial" w:hAnsi="Arial" w:cs="Arial"/>
          <w:sz w:val="22"/>
          <w:szCs w:val="22"/>
        </w:rPr>
        <w:tab/>
      </w:r>
      <w:r w:rsidRPr="00644370" w:rsidR="00442A02">
        <w:rPr>
          <w:rFonts w:ascii="Arial" w:hAnsi="Arial" w:cs="Arial"/>
          <w:sz w:val="22"/>
          <w:szCs w:val="22"/>
        </w:rPr>
        <w:t>17.1</w:t>
      </w:r>
      <w:r w:rsidRPr="00644370" w:rsidR="005D3C33">
        <w:rPr>
          <w:rFonts w:ascii="Arial" w:hAnsi="Arial" w:cs="Arial"/>
          <w:sz w:val="22"/>
          <w:szCs w:val="22"/>
        </w:rPr>
        <w:t>27</w:t>
      </w:r>
      <w:r w:rsidRPr="00644370" w:rsidR="005D3C33">
        <w:rPr>
          <w:rFonts w:ascii="Arial" w:hAnsi="Arial" w:cs="Arial"/>
          <w:sz w:val="22"/>
          <w:szCs w:val="22"/>
        </w:rPr>
        <w:tab/>
        <w:t>17.143</w:t>
      </w:r>
      <w:r w:rsidRPr="00644370" w:rsidR="005D3C33">
        <w:rPr>
          <w:rFonts w:ascii="Arial" w:hAnsi="Arial" w:cs="Arial"/>
          <w:sz w:val="22"/>
          <w:szCs w:val="22"/>
        </w:rPr>
        <w:tab/>
        <w:t>17.167</w:t>
      </w:r>
      <w:r w:rsidRPr="00644370" w:rsidR="005D3C33">
        <w:rPr>
          <w:rFonts w:ascii="Arial" w:hAnsi="Arial" w:cs="Arial"/>
          <w:sz w:val="22"/>
          <w:szCs w:val="22"/>
        </w:rPr>
        <w:tab/>
        <w:t>17.168</w:t>
      </w:r>
      <w:r w:rsidRPr="00644370" w:rsidR="0094709D">
        <w:rPr>
          <w:rFonts w:ascii="Arial" w:hAnsi="Arial" w:cs="Arial"/>
          <w:sz w:val="22"/>
          <w:szCs w:val="22"/>
        </w:rPr>
        <w:t xml:space="preserve"> </w:t>
      </w:r>
    </w:p>
    <w:p w:rsidR="006501BD" w:rsidRPr="00644370" w:rsidP="008218B3" w14:paraId="3982E0DE" w14:textId="6880FF08">
      <w:pPr>
        <w:tabs>
          <w:tab w:val="left" w:pos="2160"/>
          <w:tab w:val="left" w:pos="3600"/>
          <w:tab w:val="left" w:pos="5040"/>
          <w:tab w:val="left" w:pos="6480"/>
          <w:tab w:val="left" w:pos="7920"/>
        </w:tabs>
        <w:autoSpaceDE w:val="0"/>
        <w:autoSpaceDN w:val="0"/>
        <w:adjustRightInd w:val="0"/>
        <w:ind w:left="720"/>
        <w:rPr>
          <w:rFonts w:ascii="Arial" w:hAnsi="Arial" w:cs="Arial"/>
          <w:sz w:val="22"/>
          <w:szCs w:val="22"/>
        </w:rPr>
      </w:pPr>
      <w:r w:rsidRPr="00644370">
        <w:rPr>
          <w:rFonts w:ascii="Arial" w:hAnsi="Arial" w:cs="Arial"/>
          <w:sz w:val="22"/>
          <w:szCs w:val="22"/>
        </w:rPr>
        <w:t>17.183</w:t>
      </w:r>
      <w:r w:rsidRPr="00644370">
        <w:rPr>
          <w:rFonts w:ascii="Arial" w:hAnsi="Arial" w:cs="Arial"/>
          <w:sz w:val="22"/>
          <w:szCs w:val="22"/>
        </w:rPr>
        <w:tab/>
      </w:r>
      <w:r w:rsidRPr="00644370" w:rsidR="00A07689">
        <w:rPr>
          <w:rFonts w:ascii="Arial" w:hAnsi="Arial" w:cs="Arial"/>
          <w:sz w:val="22"/>
          <w:szCs w:val="22"/>
        </w:rPr>
        <w:t xml:space="preserve">17.187. </w:t>
      </w:r>
    </w:p>
    <w:p w:rsidR="00DC3C70" w:rsidRPr="00644370" w:rsidP="008218B3" w14:paraId="2947668E" w14:textId="77777777">
      <w:pPr>
        <w:tabs>
          <w:tab w:val="left" w:pos="540"/>
        </w:tabs>
        <w:autoSpaceDE w:val="0"/>
        <w:autoSpaceDN w:val="0"/>
        <w:adjustRightInd w:val="0"/>
        <w:ind w:left="547" w:hanging="547"/>
        <w:rPr>
          <w:rFonts w:ascii="Arial" w:hAnsi="Arial" w:cs="Arial"/>
          <w:sz w:val="22"/>
          <w:szCs w:val="22"/>
        </w:rPr>
      </w:pPr>
    </w:p>
    <w:p w:rsidR="005E4F99" w:rsidRPr="00644370" w:rsidP="00CC3BA6" w14:paraId="1CBF31E2" w14:textId="0216EAAF">
      <w:pPr>
        <w:suppressAutoHyphens/>
        <w:ind w:left="360"/>
        <w:rPr>
          <w:rFonts w:ascii="Arial" w:hAnsi="Arial" w:cs="Arial"/>
          <w:sz w:val="22"/>
          <w:szCs w:val="22"/>
        </w:rPr>
      </w:pPr>
      <w:r w:rsidRPr="00644370">
        <w:rPr>
          <w:rFonts w:ascii="Arial" w:hAnsi="Arial" w:cs="Arial"/>
          <w:sz w:val="22"/>
          <w:szCs w:val="22"/>
        </w:rPr>
        <w:t>Th</w:t>
      </w:r>
      <w:r w:rsidRPr="00644370" w:rsidR="00095F53">
        <w:rPr>
          <w:rFonts w:ascii="Arial" w:hAnsi="Arial" w:cs="Arial"/>
          <w:sz w:val="22"/>
          <w:szCs w:val="22"/>
        </w:rPr>
        <w:t>is</w:t>
      </w:r>
      <w:r w:rsidRPr="00644370">
        <w:rPr>
          <w:rFonts w:ascii="Arial" w:hAnsi="Arial" w:cs="Arial"/>
          <w:sz w:val="22"/>
          <w:szCs w:val="22"/>
        </w:rPr>
        <w:t xml:space="preserve"> information collection is aligned with</w:t>
      </w:r>
      <w:r w:rsidRPr="00644370" w:rsidR="00D73D2D">
        <w:rPr>
          <w:rFonts w:ascii="Arial" w:hAnsi="Arial" w:cs="Arial"/>
          <w:sz w:val="22"/>
          <w:szCs w:val="22"/>
        </w:rPr>
        <w:t xml:space="preserve"> </w:t>
      </w:r>
      <w:r w:rsidRPr="00644370">
        <w:rPr>
          <w:rFonts w:ascii="Arial" w:hAnsi="Arial" w:cs="Arial"/>
          <w:sz w:val="22"/>
          <w:szCs w:val="22"/>
          <w:u w:val="single"/>
        </w:rPr>
        <w:t>Line of Business/Sub-function:</w:t>
      </w:r>
      <w:r w:rsidRPr="00644370">
        <w:rPr>
          <w:rFonts w:ascii="Arial" w:hAnsi="Arial" w:cs="Arial"/>
          <w:sz w:val="22"/>
          <w:szCs w:val="22"/>
        </w:rPr>
        <w:t xml:space="preserve">  </w:t>
      </w:r>
      <w:r w:rsidRPr="00644370" w:rsidR="00A07689">
        <w:rPr>
          <w:rFonts w:ascii="Arial" w:hAnsi="Arial" w:cs="Arial"/>
          <w:sz w:val="22"/>
          <w:szCs w:val="22"/>
        </w:rPr>
        <w:t>General Government/Taxation Management.</w:t>
      </w:r>
      <w:r w:rsidRPr="00644370">
        <w:rPr>
          <w:rFonts w:ascii="Arial" w:hAnsi="Arial" w:cs="Arial"/>
          <w:sz w:val="22"/>
          <w:szCs w:val="22"/>
        </w:rPr>
        <w:t xml:space="preserve"> </w:t>
      </w:r>
    </w:p>
    <w:p w:rsidR="005E4F99" w:rsidRPr="00644370" w:rsidP="008218B3" w14:paraId="6DE95DC0" w14:textId="77777777">
      <w:pPr>
        <w:suppressAutoHyphens/>
        <w:rPr>
          <w:rFonts w:ascii="Arial" w:hAnsi="Arial" w:cs="Arial"/>
          <w:sz w:val="28"/>
          <w:szCs w:val="28"/>
        </w:rPr>
      </w:pPr>
    </w:p>
    <w:p w:rsidR="00AF1157" w:rsidRPr="00644370" w:rsidP="008218B3" w14:paraId="2CBE86DD" w14:textId="77777777">
      <w:pPr>
        <w:suppressAutoHyphens/>
        <w:rPr>
          <w:rFonts w:ascii="Arial" w:hAnsi="Arial" w:cs="Arial"/>
          <w:i/>
          <w:sz w:val="22"/>
          <w:szCs w:val="22"/>
        </w:rPr>
      </w:pPr>
      <w:r w:rsidRPr="00644370">
        <w:rPr>
          <w:rFonts w:ascii="Arial" w:hAnsi="Arial" w:cs="Arial"/>
          <w:i/>
          <w:sz w:val="22"/>
          <w:szCs w:val="22"/>
        </w:rPr>
        <w:t>2.  How, by whom</w:t>
      </w:r>
      <w:r w:rsidRPr="00644370" w:rsidR="00101DE7">
        <w:rPr>
          <w:rFonts w:ascii="Arial" w:hAnsi="Arial" w:cs="Arial"/>
          <w:i/>
          <w:sz w:val="22"/>
          <w:szCs w:val="22"/>
        </w:rPr>
        <w:t>,</w:t>
      </w:r>
      <w:r w:rsidRPr="00644370">
        <w:rPr>
          <w:rFonts w:ascii="Arial" w:hAnsi="Arial" w:cs="Arial"/>
          <w:i/>
          <w:sz w:val="22"/>
          <w:szCs w:val="22"/>
        </w:rPr>
        <w:t xml:space="preserve"> and for what purpose is this information used?</w:t>
      </w:r>
      <w:r w:rsidRPr="00644370" w:rsidR="00D73D2D">
        <w:rPr>
          <w:rFonts w:ascii="Arial" w:hAnsi="Arial" w:cs="Arial"/>
          <w:i/>
          <w:sz w:val="22"/>
          <w:szCs w:val="22"/>
        </w:rPr>
        <w:t xml:space="preserve"> </w:t>
      </w:r>
    </w:p>
    <w:p w:rsidR="00AF1157" w:rsidRPr="00644370" w:rsidP="008218B3" w14:paraId="2448865B" w14:textId="77777777">
      <w:pPr>
        <w:suppressAutoHyphens/>
        <w:rPr>
          <w:rFonts w:ascii="Arial" w:hAnsi="Arial" w:cs="Arial"/>
          <w:sz w:val="22"/>
          <w:szCs w:val="22"/>
        </w:rPr>
      </w:pPr>
    </w:p>
    <w:p w:rsidR="004357D1" w:rsidRPr="00644370" w:rsidP="008218B3" w14:paraId="582D7B75" w14:textId="0F60650E">
      <w:pPr>
        <w:autoSpaceDE w:val="0"/>
        <w:autoSpaceDN w:val="0"/>
        <w:adjustRightInd w:val="0"/>
        <w:ind w:left="360"/>
        <w:rPr>
          <w:rFonts w:ascii="Arial" w:hAnsi="Arial" w:cs="Arial"/>
          <w:sz w:val="22"/>
          <w:szCs w:val="22"/>
        </w:rPr>
      </w:pPr>
      <w:r w:rsidRPr="00644370">
        <w:rPr>
          <w:rFonts w:ascii="Arial" w:hAnsi="Arial" w:cs="Arial"/>
          <w:sz w:val="22"/>
          <w:szCs w:val="22"/>
        </w:rPr>
        <w:t xml:space="preserve">TTB personnel use the collected information to protect the revenue as it allows TTB to verify that </w:t>
      </w:r>
      <w:r w:rsidRPr="00644370" w:rsidR="008218B3">
        <w:rPr>
          <w:rFonts w:ascii="Arial" w:hAnsi="Arial" w:cs="Arial"/>
          <w:sz w:val="22"/>
          <w:szCs w:val="22"/>
        </w:rPr>
        <w:t xml:space="preserve">nonbeverage manufacturers making distilled spirits drawback claims </w:t>
      </w:r>
      <w:r w:rsidRPr="00644370">
        <w:rPr>
          <w:rFonts w:ascii="Arial" w:hAnsi="Arial" w:cs="Arial"/>
          <w:sz w:val="22"/>
          <w:szCs w:val="22"/>
        </w:rPr>
        <w:t xml:space="preserve">are in fact eligible for such refunds under the IRC.  In addition, TTB staff use the collected information to ensure that </w:t>
      </w:r>
      <w:r w:rsidRPr="00644370" w:rsidR="008218B3">
        <w:rPr>
          <w:rFonts w:ascii="Arial" w:hAnsi="Arial" w:cs="Arial"/>
          <w:sz w:val="22"/>
          <w:szCs w:val="22"/>
        </w:rPr>
        <w:t xml:space="preserve">such manufacturers </w:t>
      </w:r>
      <w:r w:rsidR="00644370">
        <w:rPr>
          <w:rFonts w:ascii="Arial" w:hAnsi="Arial" w:cs="Arial"/>
          <w:sz w:val="22"/>
          <w:szCs w:val="22"/>
        </w:rPr>
        <w:t xml:space="preserve">comply with </w:t>
      </w:r>
      <w:r w:rsidRPr="00644370">
        <w:rPr>
          <w:rFonts w:ascii="Arial" w:hAnsi="Arial" w:cs="Arial"/>
          <w:sz w:val="22"/>
          <w:szCs w:val="22"/>
        </w:rPr>
        <w:t xml:space="preserve">the </w:t>
      </w:r>
      <w:r w:rsidRPr="00644370" w:rsidR="008218B3">
        <w:rPr>
          <w:rFonts w:ascii="Arial" w:hAnsi="Arial" w:cs="Arial"/>
          <w:sz w:val="22"/>
          <w:szCs w:val="22"/>
        </w:rPr>
        <w:t xml:space="preserve">IRC statutory and TTB regulatory provisions governing </w:t>
      </w:r>
      <w:r w:rsidRPr="00644370">
        <w:rPr>
          <w:rFonts w:ascii="Arial" w:hAnsi="Arial" w:cs="Arial"/>
          <w:sz w:val="22"/>
          <w:szCs w:val="22"/>
        </w:rPr>
        <w:t>nonbeverage product activities</w:t>
      </w:r>
      <w:r w:rsidRPr="00644370" w:rsidR="008218B3">
        <w:rPr>
          <w:rFonts w:ascii="Arial" w:hAnsi="Arial" w:cs="Arial"/>
          <w:sz w:val="22"/>
          <w:szCs w:val="22"/>
        </w:rPr>
        <w:t xml:space="preserve">. </w:t>
      </w:r>
    </w:p>
    <w:p w:rsidR="00AF1157" w:rsidRPr="00CC3BA6" w:rsidP="008218B3" w14:paraId="62C53A5B" w14:textId="77777777">
      <w:pPr>
        <w:ind w:left="576" w:hanging="576"/>
        <w:rPr>
          <w:rFonts w:ascii="Arial" w:hAnsi="Arial" w:cs="Arial"/>
          <w:sz w:val="28"/>
          <w:szCs w:val="28"/>
        </w:rPr>
      </w:pPr>
    </w:p>
    <w:p w:rsidR="00AF1157" w:rsidRPr="00CC3BA6" w:rsidP="008218B3" w14:paraId="435CA441" w14:textId="77777777">
      <w:pPr>
        <w:suppressAutoHyphens/>
        <w:rPr>
          <w:rFonts w:ascii="Arial" w:hAnsi="Arial" w:cs="Arial"/>
          <w:i/>
          <w:sz w:val="22"/>
          <w:szCs w:val="22"/>
        </w:rPr>
      </w:pPr>
      <w:r w:rsidRPr="00CC3BA6">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AF1157" w:rsidRPr="00CC3BA6" w:rsidP="008218B3" w14:paraId="54161A5E" w14:textId="77777777">
      <w:pPr>
        <w:suppressAutoHyphens/>
        <w:rPr>
          <w:rFonts w:ascii="Arial" w:hAnsi="Arial" w:cs="Arial"/>
          <w:sz w:val="22"/>
          <w:szCs w:val="22"/>
        </w:rPr>
      </w:pPr>
    </w:p>
    <w:p w:rsidR="00F10C50" w:rsidRPr="00CC3BA6" w:rsidP="008218B3" w14:paraId="6EFE704C" w14:textId="04E94708">
      <w:pPr>
        <w:suppressAutoHyphens/>
        <w:ind w:left="360"/>
        <w:rPr>
          <w:rFonts w:ascii="Arial" w:hAnsi="Arial" w:cs="Arial"/>
          <w:sz w:val="22"/>
          <w:szCs w:val="22"/>
          <w:highlight w:val="yellow"/>
        </w:rPr>
      </w:pPr>
      <w:r w:rsidRPr="00CC3BA6">
        <w:rPr>
          <w:rFonts w:ascii="Arial" w:hAnsi="Arial" w:cs="Arial"/>
          <w:sz w:val="22"/>
          <w:szCs w:val="22"/>
        </w:rPr>
        <w:t xml:space="preserve">The letterhead applications and notices covered under this information collection are generated by respondents, which, at their discretion, may </w:t>
      </w:r>
      <w:r w:rsidRPr="00CC3BA6" w:rsidR="00D227B8">
        <w:rPr>
          <w:rFonts w:ascii="Arial" w:hAnsi="Arial" w:cs="Arial"/>
          <w:sz w:val="22"/>
          <w:szCs w:val="22"/>
        </w:rPr>
        <w:t xml:space="preserve">use </w:t>
      </w:r>
      <w:r w:rsidRPr="00CC3BA6">
        <w:rPr>
          <w:rFonts w:ascii="Arial" w:hAnsi="Arial" w:cs="Arial"/>
          <w:sz w:val="22"/>
          <w:szCs w:val="22"/>
        </w:rPr>
        <w:t>improved information technology</w:t>
      </w:r>
      <w:r w:rsidRPr="00CC3BA6" w:rsidR="00CC3BA6">
        <w:rPr>
          <w:rFonts w:ascii="Arial" w:hAnsi="Arial" w:cs="Arial"/>
          <w:sz w:val="22"/>
          <w:szCs w:val="22"/>
        </w:rPr>
        <w:t xml:space="preserve"> to do so</w:t>
      </w:r>
      <w:r w:rsidRPr="00CC3BA6">
        <w:rPr>
          <w:rFonts w:ascii="Arial" w:hAnsi="Arial" w:cs="Arial"/>
          <w:sz w:val="22"/>
          <w:szCs w:val="22"/>
        </w:rPr>
        <w:t xml:space="preserve">. </w:t>
      </w:r>
    </w:p>
    <w:p w:rsidR="00AF1157" w:rsidRPr="00CC3BA6" w:rsidP="008218B3" w14:paraId="3226FFE2" w14:textId="77777777">
      <w:pPr>
        <w:suppressAutoHyphens/>
        <w:rPr>
          <w:rFonts w:ascii="Arial" w:hAnsi="Arial" w:cs="Arial"/>
          <w:sz w:val="28"/>
          <w:szCs w:val="28"/>
        </w:rPr>
      </w:pPr>
    </w:p>
    <w:p w:rsidR="00AF1157" w:rsidRPr="00CC3BA6" w:rsidP="008218B3" w14:paraId="1D3346B6" w14:textId="77777777">
      <w:pPr>
        <w:suppressAutoHyphens/>
        <w:rPr>
          <w:rFonts w:ascii="Arial" w:hAnsi="Arial" w:cs="Arial"/>
          <w:i/>
          <w:sz w:val="22"/>
          <w:szCs w:val="22"/>
        </w:rPr>
      </w:pPr>
      <w:r w:rsidRPr="00CC3BA6">
        <w:rPr>
          <w:rFonts w:ascii="Arial" w:hAnsi="Arial" w:cs="Arial"/>
          <w:i/>
          <w:sz w:val="22"/>
          <w:szCs w:val="22"/>
        </w:rPr>
        <w:t>4.  What efforts are used to identi</w:t>
      </w:r>
      <w:r w:rsidRPr="00CC3BA6" w:rsidR="009E4E4C">
        <w:rPr>
          <w:rFonts w:ascii="Arial" w:hAnsi="Arial" w:cs="Arial"/>
          <w:i/>
          <w:sz w:val="22"/>
          <w:szCs w:val="22"/>
        </w:rPr>
        <w:t>f</w:t>
      </w:r>
      <w:r w:rsidRPr="00CC3BA6">
        <w:rPr>
          <w:rFonts w:ascii="Arial" w:hAnsi="Arial" w:cs="Arial"/>
          <w:i/>
          <w:sz w:val="22"/>
          <w:szCs w:val="22"/>
        </w:rPr>
        <w:t xml:space="preserve">y duplication?  </w:t>
      </w:r>
      <w:r w:rsidRPr="00CC3BA6" w:rsidR="007A5D4B">
        <w:rPr>
          <w:rFonts w:ascii="Arial" w:hAnsi="Arial" w:cs="Arial"/>
          <w:i/>
          <w:sz w:val="22"/>
          <w:szCs w:val="22"/>
        </w:rPr>
        <w:t xml:space="preserve">Can </w:t>
      </w:r>
      <w:r w:rsidRPr="00CC3BA6">
        <w:rPr>
          <w:rFonts w:ascii="Arial" w:hAnsi="Arial" w:cs="Arial"/>
          <w:i/>
          <w:sz w:val="22"/>
          <w:szCs w:val="22"/>
        </w:rPr>
        <w:t>similar information</w:t>
      </w:r>
      <w:r w:rsidRPr="00CC3BA6" w:rsidR="00DF5F98">
        <w:rPr>
          <w:rFonts w:ascii="Arial" w:hAnsi="Arial" w:cs="Arial"/>
          <w:i/>
          <w:sz w:val="22"/>
          <w:szCs w:val="22"/>
        </w:rPr>
        <w:t xml:space="preserve"> </w:t>
      </w:r>
      <w:r w:rsidRPr="00CC3BA6">
        <w:rPr>
          <w:rFonts w:ascii="Arial" w:hAnsi="Arial" w:cs="Arial"/>
          <w:i/>
          <w:sz w:val="22"/>
          <w:szCs w:val="22"/>
        </w:rPr>
        <w:t>already available be used or modified for use for</w:t>
      </w:r>
      <w:r w:rsidRPr="00CC3BA6" w:rsidR="00DF5F98">
        <w:rPr>
          <w:rFonts w:ascii="Arial" w:hAnsi="Arial" w:cs="Arial"/>
          <w:i/>
          <w:sz w:val="22"/>
          <w:szCs w:val="22"/>
        </w:rPr>
        <w:t xml:space="preserve"> the purposes described in Item </w:t>
      </w:r>
      <w:r w:rsidRPr="00CC3BA6">
        <w:rPr>
          <w:rFonts w:ascii="Arial" w:hAnsi="Arial" w:cs="Arial"/>
          <w:i/>
          <w:sz w:val="22"/>
          <w:szCs w:val="22"/>
        </w:rPr>
        <w:t>2</w:t>
      </w:r>
      <w:r w:rsidRPr="00CC3BA6" w:rsidR="00DF5F98">
        <w:rPr>
          <w:rFonts w:ascii="Arial" w:hAnsi="Arial" w:cs="Arial"/>
          <w:i/>
          <w:sz w:val="22"/>
          <w:szCs w:val="22"/>
        </w:rPr>
        <w:t xml:space="preserve"> </w:t>
      </w:r>
      <w:r w:rsidRPr="00CC3BA6">
        <w:rPr>
          <w:rFonts w:ascii="Arial" w:hAnsi="Arial" w:cs="Arial"/>
          <w:i/>
          <w:sz w:val="22"/>
          <w:szCs w:val="22"/>
        </w:rPr>
        <w:t>above?</w:t>
      </w:r>
      <w:r w:rsidRPr="00CC3BA6" w:rsidR="00DF5F98">
        <w:rPr>
          <w:rFonts w:ascii="Arial" w:hAnsi="Arial" w:cs="Arial"/>
          <w:i/>
          <w:sz w:val="22"/>
          <w:szCs w:val="22"/>
        </w:rPr>
        <w:t xml:space="preserve"> </w:t>
      </w:r>
    </w:p>
    <w:p w:rsidR="00AF1157" w:rsidRPr="00CC3BA6" w:rsidP="008218B3" w14:paraId="532C8424" w14:textId="77777777">
      <w:pPr>
        <w:suppressAutoHyphens/>
        <w:ind w:left="480" w:hanging="480"/>
        <w:rPr>
          <w:rFonts w:ascii="Arial" w:hAnsi="Arial" w:cs="Arial"/>
          <w:sz w:val="22"/>
          <w:szCs w:val="22"/>
        </w:rPr>
      </w:pPr>
    </w:p>
    <w:p w:rsidR="00D50640" w:rsidRPr="00CC3BA6" w:rsidP="008218B3" w14:paraId="6DD6329D" w14:textId="7943ED7B">
      <w:pPr>
        <w:ind w:left="360"/>
        <w:rPr>
          <w:rFonts w:ascii="Arial" w:hAnsi="Arial" w:cs="Arial"/>
          <w:sz w:val="22"/>
          <w:szCs w:val="22"/>
        </w:rPr>
      </w:pPr>
      <w:r w:rsidRPr="00CC3BA6">
        <w:rPr>
          <w:rFonts w:ascii="Arial" w:hAnsi="Arial" w:cs="Arial"/>
          <w:sz w:val="22"/>
          <w:szCs w:val="22"/>
        </w:rPr>
        <w:t>The</w:t>
      </w:r>
      <w:r w:rsidRPr="00CC3BA6" w:rsidR="00966451">
        <w:rPr>
          <w:rFonts w:ascii="Arial" w:hAnsi="Arial" w:cs="Arial"/>
          <w:sz w:val="22"/>
          <w:szCs w:val="22"/>
        </w:rPr>
        <w:t xml:space="preserve"> required </w:t>
      </w:r>
      <w:r w:rsidRPr="00CC3BA6">
        <w:rPr>
          <w:rFonts w:ascii="Arial" w:hAnsi="Arial" w:cs="Arial"/>
          <w:sz w:val="22"/>
          <w:szCs w:val="22"/>
        </w:rPr>
        <w:t>applications and notices</w:t>
      </w:r>
      <w:r w:rsidRPr="00CC3BA6" w:rsidR="00D414AB">
        <w:rPr>
          <w:rFonts w:ascii="Arial" w:hAnsi="Arial" w:cs="Arial"/>
          <w:sz w:val="22"/>
          <w:szCs w:val="22"/>
        </w:rPr>
        <w:t xml:space="preserve"> </w:t>
      </w:r>
      <w:r w:rsidRPr="00CC3BA6">
        <w:rPr>
          <w:rFonts w:ascii="Arial" w:hAnsi="Arial" w:cs="Arial"/>
          <w:sz w:val="22"/>
          <w:szCs w:val="22"/>
        </w:rPr>
        <w:t>contain information pertinent to each respondent and applicable to the</w:t>
      </w:r>
      <w:r w:rsidRPr="00CC3BA6" w:rsidR="00966451">
        <w:rPr>
          <w:rFonts w:ascii="Arial" w:hAnsi="Arial" w:cs="Arial"/>
          <w:sz w:val="22"/>
          <w:szCs w:val="22"/>
        </w:rPr>
        <w:t>ir use of distilled spirits in the manufacture of specific n</w:t>
      </w:r>
      <w:r w:rsidRPr="00CC3BA6">
        <w:rPr>
          <w:rFonts w:ascii="Arial" w:hAnsi="Arial" w:cs="Arial"/>
          <w:sz w:val="22"/>
          <w:szCs w:val="22"/>
        </w:rPr>
        <w:t>onbeverage</w:t>
      </w:r>
      <w:r w:rsidRPr="00CC3BA6" w:rsidR="00A87E58">
        <w:rPr>
          <w:rFonts w:ascii="Arial" w:hAnsi="Arial" w:cs="Arial"/>
          <w:sz w:val="22"/>
          <w:szCs w:val="22"/>
        </w:rPr>
        <w:t xml:space="preserve"> </w:t>
      </w:r>
      <w:r w:rsidRPr="00CC3BA6" w:rsidR="00966451">
        <w:rPr>
          <w:rFonts w:ascii="Arial" w:hAnsi="Arial" w:cs="Arial"/>
          <w:sz w:val="22"/>
          <w:szCs w:val="22"/>
        </w:rPr>
        <w:t>p</w:t>
      </w:r>
      <w:r w:rsidRPr="00CC3BA6">
        <w:rPr>
          <w:rFonts w:ascii="Arial" w:hAnsi="Arial" w:cs="Arial"/>
          <w:sz w:val="22"/>
          <w:szCs w:val="22"/>
        </w:rPr>
        <w:t>roducts</w:t>
      </w:r>
      <w:r w:rsidRPr="00CC3BA6" w:rsidR="00966451">
        <w:rPr>
          <w:rFonts w:ascii="Arial" w:hAnsi="Arial" w:cs="Arial"/>
          <w:sz w:val="22"/>
          <w:szCs w:val="22"/>
        </w:rPr>
        <w:t xml:space="preserve"> eligible for </w:t>
      </w:r>
      <w:r w:rsidRPr="00CC3BA6" w:rsidR="00CF31FD">
        <w:rPr>
          <w:rFonts w:ascii="Arial" w:hAnsi="Arial" w:cs="Arial"/>
          <w:sz w:val="22"/>
          <w:szCs w:val="22"/>
        </w:rPr>
        <w:t xml:space="preserve">distilled spirits excise tax </w:t>
      </w:r>
      <w:r w:rsidRPr="00CC3BA6" w:rsidR="00966451">
        <w:rPr>
          <w:rFonts w:ascii="Arial" w:hAnsi="Arial" w:cs="Arial"/>
          <w:sz w:val="22"/>
          <w:szCs w:val="22"/>
        </w:rPr>
        <w:t>drawback</w:t>
      </w:r>
      <w:r w:rsidRPr="00CC3BA6" w:rsidR="00F10C50">
        <w:rPr>
          <w:rFonts w:ascii="Arial" w:hAnsi="Arial" w:cs="Arial"/>
          <w:sz w:val="22"/>
          <w:szCs w:val="22"/>
        </w:rPr>
        <w:t>.</w:t>
      </w:r>
      <w:r w:rsidRPr="00CC3BA6">
        <w:rPr>
          <w:rFonts w:ascii="Arial" w:hAnsi="Arial" w:cs="Arial"/>
          <w:sz w:val="22"/>
          <w:szCs w:val="22"/>
        </w:rPr>
        <w:t xml:space="preserve">  As far as TTB is able to determine, similar information is not available elsewhere. </w:t>
      </w:r>
    </w:p>
    <w:p w:rsidR="007A5D4B" w:rsidRPr="00CC3BA6" w:rsidP="008218B3" w14:paraId="4D60B38F" w14:textId="77777777">
      <w:pPr>
        <w:suppressAutoHyphens/>
        <w:rPr>
          <w:rFonts w:ascii="Arial" w:hAnsi="Arial" w:cs="Arial"/>
          <w:sz w:val="28"/>
          <w:szCs w:val="28"/>
        </w:rPr>
      </w:pPr>
    </w:p>
    <w:p w:rsidR="00AF1157" w:rsidRPr="00CC3BA6" w:rsidP="008218B3" w14:paraId="11D55EFA" w14:textId="77777777">
      <w:pPr>
        <w:suppressAutoHyphens/>
        <w:rPr>
          <w:rFonts w:ascii="Arial" w:hAnsi="Arial" w:cs="Arial"/>
          <w:i/>
          <w:sz w:val="22"/>
          <w:szCs w:val="22"/>
        </w:rPr>
      </w:pPr>
      <w:r w:rsidRPr="00CC3BA6">
        <w:rPr>
          <w:rFonts w:ascii="Arial" w:hAnsi="Arial" w:cs="Arial"/>
          <w:i/>
          <w:sz w:val="22"/>
          <w:szCs w:val="22"/>
        </w:rPr>
        <w:t>5.  If this collection of information impacts small businesses or other small entities,</w:t>
      </w:r>
      <w:r w:rsidRPr="00CC3BA6" w:rsidR="00DF5F98">
        <w:rPr>
          <w:rFonts w:ascii="Arial" w:hAnsi="Arial" w:cs="Arial"/>
          <w:i/>
          <w:sz w:val="22"/>
          <w:szCs w:val="22"/>
        </w:rPr>
        <w:t xml:space="preserve"> </w:t>
      </w:r>
      <w:r w:rsidRPr="00CC3BA6">
        <w:rPr>
          <w:rFonts w:ascii="Arial" w:hAnsi="Arial" w:cs="Arial"/>
          <w:i/>
          <w:sz w:val="22"/>
          <w:szCs w:val="22"/>
        </w:rPr>
        <w:t xml:space="preserve">what methods are used to minimize burden? </w:t>
      </w:r>
    </w:p>
    <w:p w:rsidR="007A5D4B" w:rsidRPr="00CC3BA6" w:rsidP="008218B3" w14:paraId="41A9511F" w14:textId="77777777">
      <w:pPr>
        <w:suppressAutoHyphens/>
        <w:ind w:left="480" w:hanging="480"/>
        <w:rPr>
          <w:rFonts w:ascii="Arial" w:hAnsi="Arial" w:cs="Arial"/>
          <w:sz w:val="22"/>
          <w:szCs w:val="22"/>
        </w:rPr>
      </w:pPr>
    </w:p>
    <w:p w:rsidR="007A5D4B" w:rsidRPr="00CC3BA6" w:rsidP="008218B3" w14:paraId="1799E3DD" w14:textId="3E2E784A">
      <w:pPr>
        <w:ind w:left="360"/>
        <w:rPr>
          <w:rFonts w:ascii="Arial" w:hAnsi="Arial" w:cs="Arial"/>
          <w:sz w:val="22"/>
          <w:szCs w:val="22"/>
        </w:rPr>
      </w:pPr>
      <w:r w:rsidRPr="00CC3BA6">
        <w:rPr>
          <w:rFonts w:ascii="Arial" w:hAnsi="Arial" w:cs="Arial"/>
          <w:sz w:val="22"/>
          <w:szCs w:val="22"/>
        </w:rPr>
        <w:t>All entities</w:t>
      </w:r>
      <w:r w:rsidRPr="00CC3BA6" w:rsidR="000F5ACE">
        <w:rPr>
          <w:rFonts w:ascii="Arial" w:hAnsi="Arial" w:cs="Arial"/>
          <w:sz w:val="22"/>
          <w:szCs w:val="22"/>
        </w:rPr>
        <w:t xml:space="preserve"> claiming </w:t>
      </w:r>
      <w:r w:rsidRPr="00CC3BA6" w:rsidR="00CF31FD">
        <w:rPr>
          <w:rFonts w:ascii="Arial" w:hAnsi="Arial" w:cs="Arial"/>
          <w:sz w:val="22"/>
          <w:szCs w:val="22"/>
        </w:rPr>
        <w:t xml:space="preserve">tax </w:t>
      </w:r>
      <w:r w:rsidRPr="00CC3BA6" w:rsidR="000F5ACE">
        <w:rPr>
          <w:rFonts w:ascii="Arial" w:hAnsi="Arial" w:cs="Arial"/>
          <w:sz w:val="22"/>
          <w:szCs w:val="22"/>
        </w:rPr>
        <w:t>drawback</w:t>
      </w:r>
      <w:r w:rsidRPr="00CC3BA6">
        <w:rPr>
          <w:rFonts w:ascii="Arial" w:hAnsi="Arial" w:cs="Arial"/>
          <w:sz w:val="22"/>
          <w:szCs w:val="22"/>
        </w:rPr>
        <w:t xml:space="preserve">, regardless of size, are required by </w:t>
      </w:r>
      <w:r w:rsidRPr="00CC3BA6" w:rsidR="00C207CA">
        <w:rPr>
          <w:rFonts w:ascii="Arial" w:hAnsi="Arial" w:cs="Arial"/>
          <w:sz w:val="22"/>
          <w:szCs w:val="22"/>
        </w:rPr>
        <w:t>27 CFR part 17</w:t>
      </w:r>
      <w:r w:rsidRPr="00CC3BA6" w:rsidR="00F10C50">
        <w:rPr>
          <w:rFonts w:ascii="Arial" w:hAnsi="Arial" w:cs="Arial"/>
          <w:sz w:val="22"/>
          <w:szCs w:val="22"/>
        </w:rPr>
        <w:t xml:space="preserve"> to </w:t>
      </w:r>
      <w:r w:rsidRPr="00CC3BA6" w:rsidR="00DD1B61">
        <w:rPr>
          <w:rFonts w:ascii="Arial" w:hAnsi="Arial" w:cs="Arial"/>
          <w:sz w:val="22"/>
          <w:szCs w:val="22"/>
        </w:rPr>
        <w:t xml:space="preserve">submit </w:t>
      </w:r>
      <w:r w:rsidRPr="00CC3BA6" w:rsidR="00274440">
        <w:rPr>
          <w:rFonts w:ascii="Arial" w:hAnsi="Arial" w:cs="Arial"/>
          <w:sz w:val="22"/>
          <w:szCs w:val="22"/>
        </w:rPr>
        <w:t xml:space="preserve">the required </w:t>
      </w:r>
      <w:r w:rsidRPr="00CC3BA6" w:rsidR="00DD1B61">
        <w:rPr>
          <w:rFonts w:ascii="Arial" w:hAnsi="Arial" w:cs="Arial"/>
          <w:sz w:val="22"/>
          <w:szCs w:val="22"/>
        </w:rPr>
        <w:t xml:space="preserve">applications and notices regarding the manufacture of nonbeverage </w:t>
      </w:r>
      <w:r w:rsidRPr="00CC3BA6" w:rsidR="00A87E58">
        <w:rPr>
          <w:rFonts w:ascii="Arial" w:hAnsi="Arial" w:cs="Arial"/>
          <w:sz w:val="22"/>
          <w:szCs w:val="22"/>
        </w:rPr>
        <w:t xml:space="preserve">alcohol </w:t>
      </w:r>
      <w:r w:rsidRPr="00CC3BA6" w:rsidR="00DD1B61">
        <w:rPr>
          <w:rFonts w:ascii="Arial" w:hAnsi="Arial" w:cs="Arial"/>
          <w:sz w:val="22"/>
          <w:szCs w:val="22"/>
        </w:rPr>
        <w:t>products</w:t>
      </w:r>
      <w:r w:rsidRPr="00CC3BA6" w:rsidR="00F10C50">
        <w:rPr>
          <w:rFonts w:ascii="Arial" w:hAnsi="Arial" w:cs="Arial"/>
          <w:sz w:val="22"/>
          <w:szCs w:val="22"/>
        </w:rPr>
        <w:t xml:space="preserve">.  </w:t>
      </w:r>
      <w:r w:rsidRPr="00CC3BA6">
        <w:rPr>
          <w:rFonts w:ascii="Arial" w:hAnsi="Arial" w:cs="Arial"/>
          <w:sz w:val="22"/>
          <w:szCs w:val="22"/>
        </w:rPr>
        <w:t xml:space="preserve">Waiver or reduction of this requirement, simply because the respondent's business is small, </w:t>
      </w:r>
      <w:r w:rsidRPr="00CC3BA6" w:rsidR="00A07689">
        <w:rPr>
          <w:rFonts w:ascii="Arial" w:hAnsi="Arial" w:cs="Arial"/>
          <w:sz w:val="22"/>
          <w:szCs w:val="22"/>
        </w:rPr>
        <w:t>w</w:t>
      </w:r>
      <w:r w:rsidRPr="00CC3BA6">
        <w:rPr>
          <w:rFonts w:ascii="Arial" w:hAnsi="Arial" w:cs="Arial"/>
          <w:sz w:val="22"/>
          <w:szCs w:val="22"/>
        </w:rPr>
        <w:t xml:space="preserve">ould </w:t>
      </w:r>
      <w:r w:rsidRPr="00CC3BA6" w:rsidR="00DD1B61">
        <w:rPr>
          <w:rFonts w:ascii="Arial" w:hAnsi="Arial" w:cs="Arial"/>
          <w:sz w:val="22"/>
          <w:szCs w:val="22"/>
        </w:rPr>
        <w:t>jeopard</w:t>
      </w:r>
      <w:r w:rsidRPr="00CC3BA6" w:rsidR="00A07689">
        <w:rPr>
          <w:rFonts w:ascii="Arial" w:hAnsi="Arial" w:cs="Arial"/>
          <w:sz w:val="22"/>
          <w:szCs w:val="22"/>
        </w:rPr>
        <w:t>ize the</w:t>
      </w:r>
      <w:r w:rsidRPr="00CC3BA6" w:rsidR="00DD1B61">
        <w:rPr>
          <w:rFonts w:ascii="Arial" w:hAnsi="Arial" w:cs="Arial"/>
          <w:sz w:val="22"/>
          <w:szCs w:val="22"/>
        </w:rPr>
        <w:t xml:space="preserve"> revenue</w:t>
      </w:r>
      <w:r w:rsidRPr="00CC3BA6">
        <w:rPr>
          <w:rFonts w:ascii="Arial" w:hAnsi="Arial" w:cs="Arial"/>
          <w:sz w:val="22"/>
          <w:szCs w:val="22"/>
        </w:rPr>
        <w:t xml:space="preserve">. </w:t>
      </w:r>
    </w:p>
    <w:p w:rsidR="007A5D4B" w:rsidRPr="00CC3BA6" w:rsidP="008218B3" w14:paraId="05C74159" w14:textId="77777777">
      <w:pPr>
        <w:suppressAutoHyphens/>
        <w:rPr>
          <w:rFonts w:ascii="Arial" w:hAnsi="Arial" w:cs="Arial"/>
          <w:sz w:val="28"/>
          <w:szCs w:val="28"/>
        </w:rPr>
      </w:pPr>
    </w:p>
    <w:p w:rsidR="00AF1157" w:rsidRPr="00CC3BA6" w:rsidP="008218B3" w14:paraId="48229F51" w14:textId="77777777">
      <w:pPr>
        <w:suppressAutoHyphens/>
        <w:rPr>
          <w:rFonts w:ascii="Arial" w:hAnsi="Arial" w:cs="Arial"/>
          <w:i/>
          <w:sz w:val="22"/>
          <w:szCs w:val="22"/>
        </w:rPr>
      </w:pPr>
      <w:r w:rsidRPr="00CC3BA6">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00AF1157" w:rsidRPr="00CC3BA6" w:rsidP="008218B3" w14:paraId="7346B1CD" w14:textId="77777777">
      <w:pPr>
        <w:suppressAutoHyphens/>
        <w:ind w:left="480" w:hanging="480"/>
        <w:rPr>
          <w:rFonts w:ascii="Arial" w:hAnsi="Arial" w:cs="Arial"/>
          <w:sz w:val="22"/>
          <w:szCs w:val="22"/>
        </w:rPr>
      </w:pPr>
    </w:p>
    <w:p w:rsidR="007675A0" w:rsidRPr="00CC3BA6" w:rsidP="008218B3" w14:paraId="7A1FFB55" w14:textId="55BDD9AC">
      <w:pPr>
        <w:ind w:left="360"/>
        <w:rPr>
          <w:rFonts w:ascii="Arial" w:hAnsi="Arial" w:cs="Arial"/>
          <w:sz w:val="22"/>
          <w:szCs w:val="22"/>
        </w:rPr>
      </w:pPr>
      <w:r w:rsidRPr="00CC3BA6">
        <w:rPr>
          <w:rFonts w:ascii="Arial" w:hAnsi="Arial" w:cs="Arial"/>
          <w:sz w:val="22"/>
          <w:szCs w:val="22"/>
        </w:rPr>
        <w:t>TTB considers the required applications and notices to be the minimum necessary to ensure compliance with the IRC and the TTB regulations re</w:t>
      </w:r>
      <w:r w:rsidRPr="00CC3BA6" w:rsidR="00CC3BA6">
        <w:rPr>
          <w:rFonts w:ascii="Arial" w:hAnsi="Arial" w:cs="Arial"/>
          <w:sz w:val="22"/>
          <w:szCs w:val="22"/>
        </w:rPr>
        <w:t xml:space="preserve">garding </w:t>
      </w:r>
      <w:r w:rsidRPr="00CC3BA6">
        <w:rPr>
          <w:rFonts w:ascii="Arial" w:hAnsi="Arial" w:cs="Arial"/>
          <w:sz w:val="22"/>
          <w:szCs w:val="22"/>
        </w:rPr>
        <w:t xml:space="preserve">the </w:t>
      </w:r>
      <w:r w:rsidRPr="00CC3BA6" w:rsidR="00CC3BA6">
        <w:rPr>
          <w:rFonts w:ascii="Arial" w:hAnsi="Arial" w:cs="Arial"/>
          <w:sz w:val="22"/>
          <w:szCs w:val="22"/>
        </w:rPr>
        <w:t>man</w:t>
      </w:r>
      <w:r w:rsidRPr="00CC3BA6">
        <w:rPr>
          <w:rFonts w:ascii="Arial" w:hAnsi="Arial" w:cs="Arial"/>
          <w:sz w:val="22"/>
          <w:szCs w:val="22"/>
        </w:rPr>
        <w:t>ufacture of nonbeverage products</w:t>
      </w:r>
      <w:r w:rsidRPr="00CC3BA6" w:rsidR="0016021F">
        <w:rPr>
          <w:rFonts w:ascii="Arial" w:hAnsi="Arial" w:cs="Arial"/>
          <w:sz w:val="22"/>
          <w:szCs w:val="22"/>
        </w:rPr>
        <w:t xml:space="preserve"> using distilled spirits eligible for tax drawback</w:t>
      </w:r>
      <w:r w:rsidRPr="00CC3BA6" w:rsidR="00CC3BA6">
        <w:rPr>
          <w:rFonts w:ascii="Arial" w:hAnsi="Arial" w:cs="Arial"/>
          <w:sz w:val="22"/>
          <w:szCs w:val="22"/>
        </w:rPr>
        <w:t xml:space="preserve"> and their related drawback claims</w:t>
      </w:r>
      <w:r w:rsidRPr="00CC3BA6">
        <w:rPr>
          <w:rFonts w:ascii="Arial" w:hAnsi="Arial" w:cs="Arial"/>
          <w:sz w:val="22"/>
          <w:szCs w:val="22"/>
        </w:rPr>
        <w:t>.  Less frequent collection of this information would jeopard</w:t>
      </w:r>
      <w:r w:rsidRPr="00CC3BA6" w:rsidR="0016021F">
        <w:rPr>
          <w:rFonts w:ascii="Arial" w:hAnsi="Arial" w:cs="Arial"/>
          <w:sz w:val="22"/>
          <w:szCs w:val="22"/>
        </w:rPr>
        <w:t>ize</w:t>
      </w:r>
      <w:r w:rsidRPr="00CC3BA6">
        <w:rPr>
          <w:rFonts w:ascii="Arial" w:hAnsi="Arial" w:cs="Arial"/>
          <w:sz w:val="22"/>
          <w:szCs w:val="22"/>
        </w:rPr>
        <w:t xml:space="preserve"> the revenue. </w:t>
      </w:r>
    </w:p>
    <w:p w:rsidR="007A5D4B" w:rsidRPr="00CC3BA6" w:rsidP="008218B3" w14:paraId="37F9E171" w14:textId="77777777">
      <w:pPr>
        <w:suppressAutoHyphens/>
        <w:rPr>
          <w:rFonts w:ascii="Arial" w:hAnsi="Arial" w:cs="Arial"/>
          <w:sz w:val="28"/>
          <w:szCs w:val="28"/>
        </w:rPr>
      </w:pPr>
    </w:p>
    <w:p w:rsidR="00747CE7" w:rsidRPr="00CC3BA6" w:rsidP="008218B3" w14:paraId="5ED76545" w14:textId="77777777">
      <w:pPr>
        <w:suppressAutoHyphens/>
        <w:rPr>
          <w:rFonts w:ascii="Arial" w:hAnsi="Arial" w:cs="Arial"/>
          <w:i/>
          <w:iCs/>
          <w:sz w:val="22"/>
          <w:szCs w:val="22"/>
        </w:rPr>
      </w:pPr>
      <w:r w:rsidRPr="00CC3BA6">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747CE7" w:rsidRPr="00CC3BA6" w:rsidP="008218B3" w14:paraId="0854FC0F" w14:textId="77777777">
      <w:pPr>
        <w:suppressAutoHyphens/>
        <w:rPr>
          <w:rFonts w:ascii="Arial" w:hAnsi="Arial" w:cs="Arial"/>
          <w:sz w:val="22"/>
          <w:szCs w:val="22"/>
        </w:rPr>
      </w:pPr>
    </w:p>
    <w:p w:rsidR="00747CE7" w:rsidRPr="00CC3BA6" w:rsidP="008218B3" w14:paraId="3F5685D2" w14:textId="77777777">
      <w:pPr>
        <w:suppressAutoHyphens/>
        <w:ind w:left="360"/>
        <w:rPr>
          <w:rFonts w:ascii="Arial" w:hAnsi="Arial" w:cs="Arial"/>
          <w:sz w:val="22"/>
          <w:szCs w:val="22"/>
        </w:rPr>
      </w:pPr>
      <w:r w:rsidRPr="00CC3BA6">
        <w:rPr>
          <w:rFonts w:ascii="Arial" w:hAnsi="Arial" w:cs="Arial"/>
          <w:sz w:val="22"/>
          <w:szCs w:val="22"/>
        </w:rPr>
        <w:t xml:space="preserve">There are no special circumstances associated with this information collection that would require it to be inconsistent with OMB guidelines. </w:t>
      </w:r>
    </w:p>
    <w:p w:rsidR="00747CE7" w:rsidRPr="00CC3BA6" w:rsidP="008218B3" w14:paraId="75588FDE" w14:textId="77777777">
      <w:pPr>
        <w:suppressAutoHyphens/>
        <w:rPr>
          <w:rFonts w:ascii="Arial" w:hAnsi="Arial" w:cs="Arial"/>
          <w:sz w:val="28"/>
          <w:szCs w:val="28"/>
        </w:rPr>
      </w:pPr>
    </w:p>
    <w:p w:rsidR="00747CE7" w:rsidRPr="00CC3BA6" w:rsidP="008218B3" w14:paraId="61943BE5" w14:textId="77777777">
      <w:pPr>
        <w:rPr>
          <w:rFonts w:ascii="Arial" w:hAnsi="Arial" w:cs="Arial"/>
          <w:i/>
          <w:sz w:val="22"/>
          <w:szCs w:val="22"/>
        </w:rPr>
      </w:pPr>
      <w:r w:rsidRPr="00CC3BA6">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00747CE7" w:rsidRPr="00CC3BA6" w:rsidP="008218B3" w14:paraId="0ECAB0F6" w14:textId="77777777">
      <w:pPr>
        <w:suppressAutoHyphens/>
        <w:ind w:left="480" w:hanging="480"/>
        <w:rPr>
          <w:rFonts w:ascii="Arial" w:hAnsi="Arial" w:cs="Arial"/>
          <w:sz w:val="22"/>
          <w:szCs w:val="22"/>
        </w:rPr>
      </w:pPr>
    </w:p>
    <w:p w:rsidR="00747CE7" w:rsidRPr="00CC3BA6" w:rsidP="008218B3" w14:paraId="10F38F02" w14:textId="51B7B710">
      <w:pPr>
        <w:ind w:left="360"/>
        <w:rPr>
          <w:rFonts w:ascii="Arial" w:hAnsi="Arial" w:cs="Arial"/>
          <w:sz w:val="22"/>
          <w:szCs w:val="22"/>
        </w:rPr>
      </w:pPr>
      <w:r w:rsidRPr="00CC3BA6">
        <w:rPr>
          <w:rFonts w:ascii="Arial" w:hAnsi="Arial" w:cs="Arial"/>
          <w:sz w:val="22"/>
          <w:szCs w:val="22"/>
        </w:rPr>
        <w:t>To solicit comments from the public, TTB published a “60-day” comment request notice for this information collection in the Federal Register on</w:t>
      </w:r>
      <w:r w:rsidR="009211E5">
        <w:rPr>
          <w:rFonts w:ascii="Arial" w:hAnsi="Arial" w:cs="Arial"/>
          <w:sz w:val="22"/>
          <w:szCs w:val="22"/>
        </w:rPr>
        <w:t xml:space="preserve"> January 30, 2026, at 91 FR 418</w:t>
      </w:r>
      <w:r w:rsidR="00396264">
        <w:rPr>
          <w:rFonts w:ascii="Arial" w:hAnsi="Arial" w:cs="Arial"/>
          <w:sz w:val="22"/>
          <w:szCs w:val="22"/>
        </w:rPr>
        <w:t>0</w:t>
      </w:r>
      <w:r w:rsidR="009211E5">
        <w:rPr>
          <w:rFonts w:ascii="Arial" w:hAnsi="Arial" w:cs="Arial"/>
          <w:sz w:val="22"/>
          <w:szCs w:val="22"/>
        </w:rPr>
        <w:t xml:space="preserve">.  </w:t>
      </w:r>
      <w:r w:rsidRPr="00CC3BA6">
        <w:rPr>
          <w:rFonts w:ascii="Arial" w:hAnsi="Arial" w:cs="Arial"/>
          <w:sz w:val="22"/>
          <w:szCs w:val="22"/>
        </w:rPr>
        <w:t xml:space="preserve">TTB received no comments on this information collection in response. </w:t>
      </w:r>
    </w:p>
    <w:p w:rsidR="00734B25" w:rsidRPr="00CC3BA6" w:rsidP="008218B3" w14:paraId="673F2B43" w14:textId="77777777">
      <w:pPr>
        <w:suppressAutoHyphens/>
        <w:rPr>
          <w:rFonts w:ascii="Arial" w:hAnsi="Arial" w:cs="Arial"/>
          <w:sz w:val="28"/>
          <w:szCs w:val="28"/>
        </w:rPr>
      </w:pPr>
    </w:p>
    <w:p w:rsidR="00EC4FC3" w:rsidRPr="00CC3BA6" w:rsidP="008218B3" w14:paraId="7D6B8D37" w14:textId="77777777">
      <w:pPr>
        <w:suppressAutoHyphens/>
        <w:rPr>
          <w:rFonts w:ascii="Arial" w:hAnsi="Arial" w:cs="Arial"/>
          <w:i/>
          <w:sz w:val="22"/>
          <w:szCs w:val="22"/>
        </w:rPr>
      </w:pPr>
      <w:r w:rsidRPr="00CC3BA6">
        <w:rPr>
          <w:rFonts w:ascii="Arial" w:hAnsi="Arial" w:cs="Arial"/>
          <w:i/>
          <w:sz w:val="22"/>
          <w:szCs w:val="22"/>
        </w:rPr>
        <w:t xml:space="preserve">9.  </w:t>
      </w:r>
      <w:r w:rsidRPr="00CC3BA6" w:rsidR="00D656EA">
        <w:rPr>
          <w:rFonts w:ascii="Arial" w:hAnsi="Arial" w:cs="Arial"/>
          <w:i/>
          <w:sz w:val="22"/>
          <w:szCs w:val="22"/>
        </w:rPr>
        <w:t xml:space="preserve">Was any payment or </w:t>
      </w:r>
      <w:r w:rsidRPr="00CC3BA6">
        <w:rPr>
          <w:rFonts w:ascii="Arial" w:hAnsi="Arial" w:cs="Arial"/>
          <w:i/>
          <w:sz w:val="22"/>
          <w:szCs w:val="22"/>
        </w:rPr>
        <w:t xml:space="preserve">gift </w:t>
      </w:r>
      <w:r w:rsidRPr="00CC3BA6" w:rsidR="00D656EA">
        <w:rPr>
          <w:rFonts w:ascii="Arial" w:hAnsi="Arial" w:cs="Arial"/>
          <w:i/>
          <w:sz w:val="22"/>
          <w:szCs w:val="22"/>
        </w:rPr>
        <w:t xml:space="preserve">given </w:t>
      </w:r>
      <w:r w:rsidRPr="00CC3BA6">
        <w:rPr>
          <w:rFonts w:ascii="Arial" w:hAnsi="Arial" w:cs="Arial"/>
          <w:i/>
          <w:sz w:val="22"/>
          <w:szCs w:val="22"/>
        </w:rPr>
        <w:t>to respondents, other than re</w:t>
      </w:r>
      <w:r w:rsidRPr="00CC3BA6" w:rsidR="00101DE7">
        <w:rPr>
          <w:rFonts w:ascii="Arial" w:hAnsi="Arial" w:cs="Arial"/>
          <w:i/>
          <w:sz w:val="22"/>
          <w:szCs w:val="22"/>
        </w:rPr>
        <w:t>mun</w:t>
      </w:r>
      <w:r w:rsidRPr="00CC3BA6">
        <w:rPr>
          <w:rFonts w:ascii="Arial" w:hAnsi="Arial" w:cs="Arial"/>
          <w:i/>
          <w:sz w:val="22"/>
          <w:szCs w:val="22"/>
        </w:rPr>
        <w:t>eration of contractors or grantees?</w:t>
      </w:r>
      <w:r w:rsidRPr="00CC3BA6" w:rsidR="00D656EA">
        <w:rPr>
          <w:rFonts w:ascii="Arial" w:hAnsi="Arial" w:cs="Arial"/>
          <w:i/>
          <w:sz w:val="22"/>
          <w:szCs w:val="22"/>
        </w:rPr>
        <w:t xml:space="preserve">  If so, why? </w:t>
      </w:r>
    </w:p>
    <w:p w:rsidR="00EC4FC3" w:rsidRPr="00CC3BA6" w:rsidP="008218B3" w14:paraId="22157C0E" w14:textId="77777777">
      <w:pPr>
        <w:suppressAutoHyphens/>
        <w:rPr>
          <w:rFonts w:ascii="Arial" w:hAnsi="Arial" w:cs="Arial"/>
          <w:sz w:val="22"/>
          <w:szCs w:val="22"/>
        </w:rPr>
      </w:pPr>
    </w:p>
    <w:p w:rsidR="00EC4FC3" w:rsidRPr="00CC3BA6" w:rsidP="008218B3" w14:paraId="2D44EF57" w14:textId="10F02963">
      <w:pPr>
        <w:suppressAutoHyphens/>
        <w:ind w:left="360"/>
        <w:rPr>
          <w:rFonts w:ascii="Arial" w:hAnsi="Arial" w:cs="Arial"/>
          <w:sz w:val="22"/>
          <w:szCs w:val="22"/>
        </w:rPr>
      </w:pPr>
      <w:r w:rsidRPr="00CC3BA6">
        <w:rPr>
          <w:rFonts w:ascii="Arial" w:hAnsi="Arial" w:cs="Arial"/>
          <w:sz w:val="22"/>
          <w:szCs w:val="22"/>
        </w:rPr>
        <w:t>No payment or gift is associated with this</w:t>
      </w:r>
      <w:r w:rsidRPr="00CC3BA6" w:rsidR="00747CE7">
        <w:rPr>
          <w:rFonts w:ascii="Arial" w:hAnsi="Arial" w:cs="Arial"/>
          <w:sz w:val="22"/>
          <w:szCs w:val="22"/>
        </w:rPr>
        <w:t xml:space="preserve"> information</w:t>
      </w:r>
      <w:r w:rsidRPr="00CC3BA6">
        <w:rPr>
          <w:rFonts w:ascii="Arial" w:hAnsi="Arial" w:cs="Arial"/>
          <w:sz w:val="22"/>
          <w:szCs w:val="22"/>
        </w:rPr>
        <w:t xml:space="preserve"> collection.</w:t>
      </w:r>
      <w:r w:rsidRPr="00CC3BA6" w:rsidR="00D656EA">
        <w:rPr>
          <w:rFonts w:ascii="Arial" w:hAnsi="Arial" w:cs="Arial"/>
          <w:sz w:val="22"/>
          <w:szCs w:val="22"/>
        </w:rPr>
        <w:t xml:space="preserve"> </w:t>
      </w:r>
    </w:p>
    <w:p w:rsidR="00EC4FC3" w:rsidRPr="00CC3BA6" w:rsidP="008218B3" w14:paraId="489EB6AB" w14:textId="77777777">
      <w:pPr>
        <w:suppressAutoHyphens/>
        <w:rPr>
          <w:rFonts w:ascii="Arial" w:hAnsi="Arial" w:cs="Arial"/>
          <w:sz w:val="28"/>
          <w:szCs w:val="28"/>
        </w:rPr>
      </w:pPr>
    </w:p>
    <w:p w:rsidR="00EC4FC3" w:rsidRPr="00CC3BA6" w:rsidP="008218B3" w14:paraId="0BD2A4B4" w14:textId="77777777">
      <w:pPr>
        <w:suppressAutoHyphens/>
        <w:rPr>
          <w:rFonts w:ascii="Arial" w:hAnsi="Arial" w:cs="Arial"/>
          <w:i/>
          <w:sz w:val="22"/>
          <w:szCs w:val="22"/>
        </w:rPr>
      </w:pPr>
      <w:r w:rsidRPr="00CC3BA6">
        <w:rPr>
          <w:rFonts w:ascii="Arial" w:hAnsi="Arial" w:cs="Arial"/>
          <w:i/>
          <w:sz w:val="22"/>
          <w:szCs w:val="22"/>
        </w:rPr>
        <w:t>10.  What assurance of confidentiality was provided to respondents, and what was the basis for the assurance in statute, regulations,</w:t>
      </w:r>
      <w:r w:rsidRPr="00CC3BA6" w:rsidR="00734B25">
        <w:rPr>
          <w:rFonts w:ascii="Arial" w:hAnsi="Arial" w:cs="Arial"/>
          <w:i/>
          <w:sz w:val="22"/>
          <w:szCs w:val="22"/>
        </w:rPr>
        <w:t xml:space="preserve"> </w:t>
      </w:r>
      <w:r w:rsidRPr="00CC3BA6">
        <w:rPr>
          <w:rFonts w:ascii="Arial" w:hAnsi="Arial" w:cs="Arial"/>
          <w:i/>
          <w:sz w:val="22"/>
          <w:szCs w:val="22"/>
        </w:rPr>
        <w:t xml:space="preserve">or agency policy? </w:t>
      </w:r>
    </w:p>
    <w:p w:rsidR="00EC4FC3" w:rsidRPr="00CC3BA6" w:rsidP="008218B3" w14:paraId="2B05340E" w14:textId="77777777">
      <w:pPr>
        <w:rPr>
          <w:rFonts w:ascii="Arial" w:hAnsi="Arial" w:cs="Arial"/>
          <w:sz w:val="22"/>
          <w:szCs w:val="22"/>
        </w:rPr>
      </w:pPr>
    </w:p>
    <w:p w:rsidR="00747CE7" w:rsidRPr="00CC3BA6" w:rsidP="008218B3" w14:paraId="270EFD39" w14:textId="27295AD6">
      <w:pPr>
        <w:autoSpaceDE w:val="0"/>
        <w:autoSpaceDN w:val="0"/>
        <w:adjustRightInd w:val="0"/>
        <w:ind w:left="360"/>
        <w:rPr>
          <w:rFonts w:ascii="Arial" w:hAnsi="Arial" w:cs="Arial"/>
          <w:sz w:val="22"/>
          <w:szCs w:val="22"/>
        </w:rPr>
      </w:pPr>
      <w:r w:rsidRPr="00CC3BA6">
        <w:rPr>
          <w:rFonts w:ascii="Arial" w:hAnsi="Arial" w:cs="Arial"/>
          <w:sz w:val="22"/>
          <w:szCs w:val="22"/>
        </w:rPr>
        <w:t xml:space="preserve">TTB provides no specific assurance of confidentiality for this information collection.  However, Federal law at 5 U.S.C. 552(b)(4) protects the confidentiality of proprietary information obtained by the Government from regulated businesses and individuals, and 26 U.S.C. 6103 prohibits disclosure of tax returns and related information unless disclosure is specifically authorized by that section.  TTB maintains the collected information in secure office space and computer systems with controlled access. </w:t>
      </w:r>
    </w:p>
    <w:p w:rsidR="00AF1157" w:rsidRPr="00CC3BA6" w:rsidP="008218B3" w14:paraId="1071A5E1" w14:textId="77777777">
      <w:pPr>
        <w:suppressAutoHyphens/>
        <w:rPr>
          <w:rFonts w:ascii="Arial" w:hAnsi="Arial" w:cs="Arial"/>
          <w:sz w:val="28"/>
          <w:szCs w:val="28"/>
        </w:rPr>
      </w:pPr>
    </w:p>
    <w:p w:rsidR="00A201BF" w:rsidRPr="00CC3BA6" w:rsidP="008218B3" w14:paraId="72F55D43" w14:textId="77777777">
      <w:pPr>
        <w:rPr>
          <w:rFonts w:ascii="Arial" w:hAnsi="Arial" w:cs="Arial"/>
          <w:i/>
          <w:sz w:val="22"/>
          <w:szCs w:val="22"/>
        </w:rPr>
      </w:pPr>
      <w:r w:rsidRPr="00CC3BA6">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CC3BA6" w:rsidP="008218B3" w14:paraId="4A07D0D8" w14:textId="77777777">
      <w:pPr>
        <w:rPr>
          <w:rFonts w:ascii="Arial" w:hAnsi="Arial" w:cs="Arial"/>
          <w:sz w:val="22"/>
          <w:szCs w:val="22"/>
        </w:rPr>
      </w:pPr>
    </w:p>
    <w:p w:rsidR="00CC3BA6" w:rsidRPr="00CC3BA6" w:rsidP="00CC3BA6" w14:paraId="33A2D13F" w14:textId="11C875AB">
      <w:pPr>
        <w:autoSpaceDE w:val="0"/>
        <w:autoSpaceDN w:val="0"/>
        <w:adjustRightInd w:val="0"/>
        <w:ind w:left="360"/>
        <w:rPr>
          <w:rFonts w:ascii="Arial" w:hAnsi="Arial" w:cs="Arial"/>
          <w:sz w:val="22"/>
          <w:szCs w:val="22"/>
        </w:rPr>
      </w:pPr>
      <w:r w:rsidRPr="00CC3BA6">
        <w:rPr>
          <w:rFonts w:ascii="Arial" w:hAnsi="Arial" w:cs="Arial"/>
          <w:sz w:val="22"/>
          <w:szCs w:val="22"/>
        </w:rPr>
        <w:t>This information collection contains no questions of a sensitive nature.  In addition, this request does not collect personally identifiable information (PII) in an electronic system.  Therefore, no Privacy and Civil Liberties Impact Assessment (PCLIA) or System of Records Notice (SORN) is required for this collection.</w:t>
      </w:r>
      <w:r w:rsidR="000D4FAF">
        <w:rPr>
          <w:rFonts w:ascii="Arial" w:hAnsi="Arial" w:cs="Arial"/>
          <w:sz w:val="22"/>
          <w:szCs w:val="22"/>
        </w:rPr>
        <w:t xml:space="preserve"> </w:t>
      </w:r>
    </w:p>
    <w:p w:rsidR="00A201BF" w:rsidRPr="00CC3BA6" w:rsidP="008218B3" w14:paraId="46F83FD1" w14:textId="77777777">
      <w:pPr>
        <w:suppressAutoHyphens/>
        <w:rPr>
          <w:rFonts w:ascii="Arial" w:hAnsi="Arial" w:cs="Arial"/>
          <w:sz w:val="28"/>
          <w:szCs w:val="28"/>
        </w:rPr>
      </w:pPr>
    </w:p>
    <w:p w:rsidR="005B1090" w:rsidRPr="00CC3BA6" w:rsidP="008218B3" w14:paraId="46D5A439" w14:textId="77777777">
      <w:pPr>
        <w:suppressAutoHyphens/>
        <w:rPr>
          <w:rFonts w:ascii="Arial" w:hAnsi="Arial" w:cs="Arial"/>
          <w:i/>
          <w:sz w:val="22"/>
          <w:szCs w:val="22"/>
        </w:rPr>
      </w:pPr>
      <w:r w:rsidRPr="00CC3BA6">
        <w:rPr>
          <w:rFonts w:ascii="Arial" w:hAnsi="Arial" w:cs="Arial"/>
          <w:i/>
          <w:sz w:val="22"/>
          <w:szCs w:val="22"/>
        </w:rPr>
        <w:t xml:space="preserve">12.  What is the estimated hour burden of this collection of information? </w:t>
      </w:r>
    </w:p>
    <w:p w:rsidR="005B1090" w:rsidRPr="00F43E9A" w:rsidP="008218B3" w14:paraId="0D0A043D" w14:textId="77777777">
      <w:pPr>
        <w:suppressAutoHyphens/>
        <w:rPr>
          <w:rFonts w:ascii="Arial" w:hAnsi="Arial" w:cs="Arial"/>
          <w:sz w:val="22"/>
          <w:szCs w:val="22"/>
        </w:rPr>
      </w:pPr>
    </w:p>
    <w:p w:rsidR="00E9331C" w:rsidRPr="00466784" w:rsidP="008218B3" w14:paraId="57D6544A" w14:textId="655B0AF0">
      <w:pPr>
        <w:ind w:left="360"/>
        <w:rPr>
          <w:rFonts w:ascii="Arial" w:hAnsi="Arial" w:cs="Arial"/>
          <w:sz w:val="22"/>
          <w:szCs w:val="22"/>
        </w:rPr>
      </w:pPr>
      <w:r w:rsidRPr="00466784">
        <w:rPr>
          <w:rFonts w:ascii="Arial" w:hAnsi="Arial" w:cs="Arial"/>
          <w:sz w:val="22"/>
          <w:szCs w:val="22"/>
          <w:u w:val="single"/>
        </w:rPr>
        <w:t>Estimated Burden Hours:</w:t>
      </w:r>
      <w:r w:rsidRPr="00466784">
        <w:rPr>
          <w:rFonts w:ascii="Arial" w:hAnsi="Arial" w:cs="Arial"/>
          <w:sz w:val="22"/>
          <w:szCs w:val="22"/>
        </w:rPr>
        <w:t xml:space="preserve">  Based on recent data, TTB estimates that </w:t>
      </w:r>
      <w:r w:rsidRPr="00466784" w:rsidR="00A6568A">
        <w:rPr>
          <w:rFonts w:ascii="Arial" w:hAnsi="Arial" w:cs="Arial"/>
          <w:sz w:val="22"/>
          <w:szCs w:val="22"/>
        </w:rPr>
        <w:t>30</w:t>
      </w:r>
      <w:r w:rsidRPr="00466784" w:rsidR="00CC3BA6">
        <w:rPr>
          <w:rFonts w:ascii="Arial" w:hAnsi="Arial" w:cs="Arial"/>
          <w:sz w:val="22"/>
          <w:szCs w:val="22"/>
        </w:rPr>
        <w:t xml:space="preserve"> nonbeverage product manufacture</w:t>
      </w:r>
      <w:r w:rsidR="00344AA1">
        <w:rPr>
          <w:rFonts w:ascii="Arial" w:hAnsi="Arial" w:cs="Arial"/>
          <w:sz w:val="22"/>
          <w:szCs w:val="22"/>
        </w:rPr>
        <w:t>r</w:t>
      </w:r>
      <w:r w:rsidRPr="00466784" w:rsidR="00CC3BA6">
        <w:rPr>
          <w:rFonts w:ascii="Arial" w:hAnsi="Arial" w:cs="Arial"/>
          <w:sz w:val="22"/>
          <w:szCs w:val="22"/>
        </w:rPr>
        <w:t xml:space="preserve">s </w:t>
      </w:r>
      <w:r w:rsidRPr="00466784">
        <w:rPr>
          <w:rFonts w:ascii="Arial" w:hAnsi="Arial" w:cs="Arial"/>
          <w:sz w:val="22"/>
          <w:szCs w:val="22"/>
        </w:rPr>
        <w:t xml:space="preserve">will file </w:t>
      </w:r>
      <w:r w:rsidRPr="00466784" w:rsidR="00CC3BA6">
        <w:rPr>
          <w:rFonts w:ascii="Arial" w:hAnsi="Arial" w:cs="Arial"/>
          <w:sz w:val="22"/>
          <w:szCs w:val="22"/>
        </w:rPr>
        <w:t xml:space="preserve">one </w:t>
      </w:r>
      <w:r w:rsidRPr="00466784">
        <w:rPr>
          <w:rFonts w:ascii="Arial" w:hAnsi="Arial" w:cs="Arial"/>
          <w:sz w:val="22"/>
          <w:szCs w:val="22"/>
        </w:rPr>
        <w:t xml:space="preserve">application or notice </w:t>
      </w:r>
      <w:r w:rsidRPr="00466784" w:rsidR="00CC3BA6">
        <w:rPr>
          <w:rFonts w:ascii="Arial" w:hAnsi="Arial" w:cs="Arial"/>
          <w:sz w:val="22"/>
          <w:szCs w:val="22"/>
        </w:rPr>
        <w:t xml:space="preserve">under this information collection </w:t>
      </w:r>
      <w:r w:rsidRPr="00466784">
        <w:rPr>
          <w:rFonts w:ascii="Arial" w:hAnsi="Arial" w:cs="Arial"/>
          <w:sz w:val="22"/>
          <w:szCs w:val="22"/>
        </w:rPr>
        <w:t xml:space="preserve">per year, for a total of </w:t>
      </w:r>
      <w:r w:rsidRPr="00466784" w:rsidR="00A6568A">
        <w:rPr>
          <w:rFonts w:ascii="Arial" w:hAnsi="Arial" w:cs="Arial"/>
          <w:sz w:val="22"/>
          <w:szCs w:val="22"/>
        </w:rPr>
        <w:t>30</w:t>
      </w:r>
      <w:r w:rsidRPr="00466784" w:rsidR="00CC3BA6">
        <w:rPr>
          <w:rFonts w:ascii="Arial" w:hAnsi="Arial" w:cs="Arial"/>
          <w:sz w:val="22"/>
          <w:szCs w:val="22"/>
        </w:rPr>
        <w:t xml:space="preserve"> an</w:t>
      </w:r>
      <w:r w:rsidRPr="00466784">
        <w:rPr>
          <w:rFonts w:ascii="Arial" w:hAnsi="Arial" w:cs="Arial"/>
          <w:sz w:val="22"/>
          <w:szCs w:val="22"/>
        </w:rPr>
        <w:t>nual responses, and that each response will require 30 minutes</w:t>
      </w:r>
      <w:r w:rsidRPr="00466784" w:rsidR="00A6568A">
        <w:rPr>
          <w:rFonts w:ascii="Arial" w:hAnsi="Arial" w:cs="Arial"/>
          <w:sz w:val="22"/>
          <w:szCs w:val="22"/>
        </w:rPr>
        <w:t xml:space="preserve"> (0.5 hour)</w:t>
      </w:r>
      <w:r w:rsidRPr="00466784">
        <w:rPr>
          <w:rFonts w:ascii="Arial" w:hAnsi="Arial" w:cs="Arial"/>
          <w:sz w:val="22"/>
          <w:szCs w:val="22"/>
        </w:rPr>
        <w:t xml:space="preserve"> to complete.  Therefore, TTB estimates that the total annual burden for this information collection is </w:t>
      </w:r>
      <w:r w:rsidRPr="00466784" w:rsidR="00A6568A">
        <w:rPr>
          <w:rFonts w:ascii="Arial" w:hAnsi="Arial" w:cs="Arial"/>
          <w:sz w:val="22"/>
          <w:szCs w:val="22"/>
        </w:rPr>
        <w:t>15</w:t>
      </w:r>
      <w:r w:rsidRPr="00466784">
        <w:rPr>
          <w:rFonts w:ascii="Arial" w:hAnsi="Arial" w:cs="Arial"/>
          <w:sz w:val="22"/>
          <w:szCs w:val="22"/>
        </w:rPr>
        <w:t xml:space="preserve"> hours.</w:t>
      </w:r>
    </w:p>
    <w:p w:rsidR="00E9331C" w:rsidRPr="00466784" w:rsidP="008218B3" w14:paraId="2EE4750F" w14:textId="0728426B">
      <w:pPr>
        <w:suppressAutoHyphens/>
        <w:ind w:left="360"/>
        <w:rPr>
          <w:rFonts w:ascii="Arial" w:hAnsi="Arial" w:cs="Arial"/>
          <w:sz w:val="22"/>
          <w:szCs w:val="22"/>
        </w:rPr>
      </w:pPr>
    </w:p>
    <w:p w:rsidR="004D7FB0" w:rsidRPr="00466784" w:rsidP="008218B3" w14:paraId="6B7DB794" w14:textId="77777777">
      <w:pPr>
        <w:ind w:left="360"/>
        <w:rPr>
          <w:rFonts w:ascii="Arial" w:hAnsi="Arial" w:cs="Arial"/>
          <w:sz w:val="22"/>
          <w:szCs w:val="22"/>
        </w:rPr>
      </w:pPr>
      <w:r w:rsidRPr="00466784">
        <w:rPr>
          <w:rFonts w:ascii="Arial" w:hAnsi="Arial" w:cs="Arial"/>
          <w:sz w:val="22"/>
          <w:szCs w:val="22"/>
          <w:u w:val="single"/>
        </w:rPr>
        <w:t>Estimated Respondent Labor Costs:</w:t>
      </w:r>
      <w:r w:rsidRPr="00466784">
        <w:rPr>
          <w:rFonts w:ascii="Arial" w:hAnsi="Arial" w:cs="Arial"/>
          <w:sz w:val="22"/>
          <w:szCs w:val="22"/>
        </w:rPr>
        <w:t xml:space="preserve">  TTB estimates the annual per-respondent and total respondent labor costs for this information collection as follows: </w:t>
      </w:r>
    </w:p>
    <w:p w:rsidR="004D7FB0" w:rsidRPr="00466784" w:rsidP="008218B3" w14:paraId="50F89A82" w14:textId="77777777">
      <w:pPr>
        <w:suppressAutoHyphens/>
        <w:ind w:left="360"/>
        <w:rPr>
          <w:rFonts w:ascii="Arial" w:hAnsi="Arial" w:cs="Arial"/>
          <w:sz w:val="22"/>
          <w:szCs w:val="22"/>
        </w:rPr>
      </w:pPr>
    </w:p>
    <w:tbl>
      <w:tblPr>
        <w:tblStyle w:val="TableGrid1"/>
        <w:tblW w:w="8640" w:type="dxa"/>
        <w:jc w:val="center"/>
        <w:tblLayout w:type="fixed"/>
        <w:tblCellMar>
          <w:left w:w="29" w:type="dxa"/>
          <w:right w:w="29" w:type="dxa"/>
        </w:tblCellMar>
        <w:tblLook w:val="04A0"/>
      </w:tblPr>
      <w:tblGrid>
        <w:gridCol w:w="1345"/>
        <w:gridCol w:w="1345"/>
        <w:gridCol w:w="1345"/>
        <w:gridCol w:w="1345"/>
        <w:gridCol w:w="1345"/>
        <w:gridCol w:w="1915"/>
      </w:tblGrid>
      <w:tr w14:paraId="43C83A70" w14:textId="77777777" w:rsidTr="003C506E">
        <w:tblPrEx>
          <w:tblW w:w="8640" w:type="dxa"/>
          <w:jc w:val="center"/>
          <w:tblLayout w:type="fixed"/>
          <w:tblCellMar>
            <w:left w:w="29" w:type="dxa"/>
            <w:right w:w="29" w:type="dxa"/>
          </w:tblCellMar>
          <w:tblLook w:val="04A0"/>
        </w:tblPrEx>
        <w:trPr>
          <w:trHeight w:val="720"/>
          <w:jc w:val="center"/>
        </w:trPr>
        <w:tc>
          <w:tcPr>
            <w:tcW w:w="8640" w:type="dxa"/>
            <w:gridSpan w:val="6"/>
            <w:vAlign w:val="center"/>
          </w:tcPr>
          <w:p w:rsidR="004D7FB0" w:rsidRPr="00466784" w:rsidP="008218B3" w14:paraId="6C4C3CDF" w14:textId="12AA05F2">
            <w:pPr>
              <w:suppressAutoHyphens/>
              <w:jc w:val="center"/>
              <w:rPr>
                <w:rFonts w:ascii="Arial" w:hAnsi="Arial" w:cs="Arial"/>
                <w:b/>
                <w:sz w:val="20"/>
                <w:szCs w:val="20"/>
              </w:rPr>
            </w:pPr>
            <w:r w:rsidRPr="00466784">
              <w:rPr>
                <w:rFonts w:ascii="Arial" w:hAnsi="Arial" w:cs="Arial"/>
                <w:b/>
                <w:sz w:val="20"/>
                <w:szCs w:val="20"/>
              </w:rPr>
              <w:t>Average Fully-Loaded Wage for Compliance Officers in the Pharmaceutical and Medicine (NAICS 325400) and the Soap, Cleaning Compound, and Toilet Preparation (NAIC 325600) Manufacturing Industries = $</w:t>
            </w:r>
            <w:r w:rsidRPr="00466784" w:rsidR="00466784">
              <w:rPr>
                <w:rFonts w:ascii="Arial" w:hAnsi="Arial" w:cs="Arial"/>
                <w:b/>
                <w:sz w:val="20"/>
                <w:szCs w:val="20"/>
              </w:rPr>
              <w:t>62.55</w:t>
            </w:r>
            <w:r>
              <w:rPr>
                <w:rStyle w:val="FootnoteReference"/>
                <w:rFonts w:ascii="Arial" w:hAnsi="Arial" w:cs="Arial"/>
                <w:b/>
                <w:sz w:val="20"/>
                <w:szCs w:val="20"/>
              </w:rPr>
              <w:footnoteReference w:id="2"/>
            </w:r>
            <w:r w:rsidRPr="00466784">
              <w:rPr>
                <w:rFonts w:ascii="Arial" w:hAnsi="Arial" w:cs="Arial"/>
                <w:b/>
                <w:sz w:val="20"/>
                <w:szCs w:val="20"/>
              </w:rPr>
              <w:t>*</w:t>
            </w:r>
          </w:p>
        </w:tc>
      </w:tr>
      <w:tr w14:paraId="3BF3E8A9" w14:textId="77777777" w:rsidTr="003C506E">
        <w:tblPrEx>
          <w:tblW w:w="8640" w:type="dxa"/>
          <w:jc w:val="center"/>
          <w:tblLayout w:type="fixed"/>
          <w:tblCellMar>
            <w:left w:w="29" w:type="dxa"/>
            <w:right w:w="29" w:type="dxa"/>
          </w:tblCellMar>
          <w:tblLook w:val="04A0"/>
        </w:tblPrEx>
        <w:trPr>
          <w:trHeight w:val="720"/>
          <w:jc w:val="center"/>
        </w:trPr>
        <w:tc>
          <w:tcPr>
            <w:tcW w:w="1345" w:type="dxa"/>
            <w:tcMar>
              <w:left w:w="29" w:type="dxa"/>
              <w:right w:w="29" w:type="dxa"/>
            </w:tcMar>
            <w:vAlign w:val="center"/>
          </w:tcPr>
          <w:p w:rsidR="004D7FB0" w:rsidRPr="00466784" w:rsidP="008218B3" w14:paraId="7376A53D" w14:textId="77777777">
            <w:pPr>
              <w:suppressAutoHyphens/>
              <w:jc w:val="center"/>
              <w:rPr>
                <w:rFonts w:ascii="Arial" w:hAnsi="Arial" w:cs="Arial"/>
                <w:sz w:val="18"/>
                <w:szCs w:val="18"/>
              </w:rPr>
            </w:pPr>
            <w:r w:rsidRPr="00466784">
              <w:rPr>
                <w:rFonts w:ascii="Arial" w:hAnsi="Arial" w:cs="Arial"/>
                <w:sz w:val="18"/>
                <w:szCs w:val="18"/>
              </w:rPr>
              <w:t xml:space="preserve">Avg. Time / Response </w:t>
            </w:r>
          </w:p>
        </w:tc>
        <w:tc>
          <w:tcPr>
            <w:tcW w:w="1345" w:type="dxa"/>
            <w:tcMar>
              <w:left w:w="29" w:type="dxa"/>
              <w:right w:w="29" w:type="dxa"/>
            </w:tcMar>
            <w:vAlign w:val="center"/>
          </w:tcPr>
          <w:p w:rsidR="004D7FB0" w:rsidRPr="00466784" w:rsidP="008218B3" w14:paraId="29AE0B19" w14:textId="2F461A91">
            <w:pPr>
              <w:suppressAutoHyphens/>
              <w:jc w:val="center"/>
              <w:rPr>
                <w:rFonts w:ascii="Arial" w:hAnsi="Arial" w:cs="Arial"/>
                <w:sz w:val="18"/>
                <w:szCs w:val="18"/>
              </w:rPr>
            </w:pPr>
            <w:r w:rsidRPr="00466784">
              <w:rPr>
                <w:rFonts w:ascii="Arial" w:hAnsi="Arial" w:cs="Arial"/>
                <w:sz w:val="18"/>
                <w:szCs w:val="18"/>
              </w:rPr>
              <w:t>Labor Cost / Response</w:t>
            </w:r>
          </w:p>
        </w:tc>
        <w:tc>
          <w:tcPr>
            <w:tcW w:w="1345" w:type="dxa"/>
            <w:vAlign w:val="center"/>
          </w:tcPr>
          <w:p w:rsidR="004D7FB0" w:rsidRPr="00466784" w:rsidP="008218B3" w14:paraId="14EC9454" w14:textId="77777777">
            <w:pPr>
              <w:suppressAutoHyphens/>
              <w:jc w:val="center"/>
              <w:rPr>
                <w:rFonts w:ascii="Arial" w:hAnsi="Arial" w:cs="Arial"/>
                <w:sz w:val="18"/>
                <w:szCs w:val="18"/>
              </w:rPr>
            </w:pPr>
            <w:r w:rsidRPr="00466784">
              <w:rPr>
                <w:rFonts w:ascii="Arial" w:hAnsi="Arial" w:cs="Arial"/>
                <w:sz w:val="18"/>
                <w:szCs w:val="18"/>
              </w:rPr>
              <w:t>Responses / Respondent</w:t>
            </w:r>
          </w:p>
        </w:tc>
        <w:tc>
          <w:tcPr>
            <w:tcW w:w="1345" w:type="dxa"/>
            <w:tcBorders>
              <w:right w:val="single" w:sz="12" w:space="0" w:color="auto"/>
            </w:tcBorders>
            <w:vAlign w:val="center"/>
          </w:tcPr>
          <w:p w:rsidR="004D7FB0" w:rsidRPr="00466784" w:rsidP="008218B3" w14:paraId="5303109D" w14:textId="77777777">
            <w:pPr>
              <w:suppressAutoHyphens/>
              <w:jc w:val="center"/>
              <w:rPr>
                <w:rFonts w:ascii="Arial" w:hAnsi="Arial" w:cs="Arial"/>
                <w:sz w:val="18"/>
                <w:szCs w:val="18"/>
              </w:rPr>
            </w:pPr>
            <w:r w:rsidRPr="00466784">
              <w:rPr>
                <w:rFonts w:ascii="Arial" w:hAnsi="Arial" w:cs="Arial"/>
                <w:sz w:val="18"/>
                <w:szCs w:val="18"/>
              </w:rPr>
              <w:t xml:space="preserve">Labor Costs / Respondent </w:t>
            </w:r>
          </w:p>
        </w:tc>
        <w:tc>
          <w:tcPr>
            <w:tcW w:w="1345" w:type="dxa"/>
            <w:tcBorders>
              <w:left w:val="single" w:sz="12" w:space="0" w:color="auto"/>
            </w:tcBorders>
            <w:tcMar>
              <w:left w:w="29" w:type="dxa"/>
              <w:right w:w="29" w:type="dxa"/>
            </w:tcMar>
            <w:vAlign w:val="center"/>
          </w:tcPr>
          <w:p w:rsidR="004D7FB0" w:rsidRPr="00466784" w:rsidP="008218B3" w14:paraId="37A1366B" w14:textId="309B6FDD">
            <w:pPr>
              <w:suppressAutoHyphens/>
              <w:jc w:val="center"/>
              <w:rPr>
                <w:rFonts w:ascii="Arial" w:hAnsi="Arial" w:cs="Arial"/>
                <w:sz w:val="18"/>
                <w:szCs w:val="18"/>
              </w:rPr>
            </w:pPr>
            <w:r w:rsidRPr="00466784">
              <w:rPr>
                <w:rFonts w:ascii="Arial" w:hAnsi="Arial" w:cs="Arial"/>
                <w:sz w:val="18"/>
                <w:szCs w:val="18"/>
              </w:rPr>
              <w:t>Total Respon</w:t>
            </w:r>
            <w:r w:rsidRPr="00466784" w:rsidR="00466784">
              <w:rPr>
                <w:rFonts w:ascii="Arial" w:hAnsi="Arial" w:cs="Arial"/>
                <w:sz w:val="18"/>
                <w:szCs w:val="18"/>
              </w:rPr>
              <w:t>dents</w:t>
            </w:r>
          </w:p>
        </w:tc>
        <w:tc>
          <w:tcPr>
            <w:tcW w:w="1910" w:type="dxa"/>
            <w:tcMar>
              <w:left w:w="29" w:type="dxa"/>
              <w:right w:w="29" w:type="dxa"/>
            </w:tcMar>
            <w:vAlign w:val="center"/>
          </w:tcPr>
          <w:p w:rsidR="004D7FB0" w:rsidRPr="00466784" w:rsidP="008218B3" w14:paraId="3EB1897A" w14:textId="7A28E5B8">
            <w:pPr>
              <w:suppressAutoHyphens/>
              <w:jc w:val="center"/>
              <w:rPr>
                <w:rFonts w:ascii="Arial" w:hAnsi="Arial" w:cs="Arial"/>
                <w:sz w:val="18"/>
                <w:szCs w:val="18"/>
              </w:rPr>
            </w:pPr>
            <w:r w:rsidRPr="00466784">
              <w:rPr>
                <w:rFonts w:ascii="Arial" w:hAnsi="Arial" w:cs="Arial"/>
                <w:sz w:val="18"/>
                <w:szCs w:val="18"/>
              </w:rPr>
              <w:t xml:space="preserve">Total </w:t>
            </w:r>
            <w:r w:rsidRPr="00466784" w:rsidR="00466784">
              <w:rPr>
                <w:rFonts w:ascii="Arial" w:hAnsi="Arial" w:cs="Arial"/>
                <w:sz w:val="18"/>
                <w:szCs w:val="18"/>
              </w:rPr>
              <w:t xml:space="preserve">Respondent </w:t>
            </w:r>
            <w:r w:rsidRPr="00466784">
              <w:rPr>
                <w:rFonts w:ascii="Arial" w:hAnsi="Arial" w:cs="Arial"/>
                <w:sz w:val="18"/>
                <w:szCs w:val="18"/>
              </w:rPr>
              <w:t xml:space="preserve">Labor Costs </w:t>
            </w:r>
          </w:p>
        </w:tc>
      </w:tr>
      <w:tr w14:paraId="0C014D3C" w14:textId="77777777" w:rsidTr="003C506E">
        <w:tblPrEx>
          <w:tblW w:w="8640" w:type="dxa"/>
          <w:jc w:val="center"/>
          <w:tblLayout w:type="fixed"/>
          <w:tblCellMar>
            <w:left w:w="29" w:type="dxa"/>
            <w:right w:w="29" w:type="dxa"/>
          </w:tblCellMar>
          <w:tblLook w:val="04A0"/>
        </w:tblPrEx>
        <w:trPr>
          <w:trHeight w:val="720"/>
          <w:jc w:val="center"/>
        </w:trPr>
        <w:tc>
          <w:tcPr>
            <w:tcW w:w="1345" w:type="dxa"/>
            <w:tcMar>
              <w:left w:w="29" w:type="dxa"/>
              <w:right w:w="29" w:type="dxa"/>
            </w:tcMar>
            <w:vAlign w:val="center"/>
          </w:tcPr>
          <w:p w:rsidR="004D7FB0" w:rsidRPr="00466784" w:rsidP="008218B3" w14:paraId="17315EFC" w14:textId="637304CD">
            <w:pPr>
              <w:suppressAutoHyphens/>
              <w:jc w:val="center"/>
              <w:rPr>
                <w:rFonts w:ascii="Arial" w:hAnsi="Arial" w:cs="Arial"/>
                <w:sz w:val="20"/>
                <w:szCs w:val="20"/>
              </w:rPr>
            </w:pPr>
            <w:r w:rsidRPr="00466784">
              <w:rPr>
                <w:rFonts w:ascii="Arial" w:hAnsi="Arial" w:cs="Arial"/>
                <w:sz w:val="20"/>
                <w:szCs w:val="20"/>
              </w:rPr>
              <w:t>30 minutes</w:t>
            </w:r>
          </w:p>
        </w:tc>
        <w:tc>
          <w:tcPr>
            <w:tcW w:w="1345" w:type="dxa"/>
            <w:tcMar>
              <w:left w:w="29" w:type="dxa"/>
              <w:right w:w="29" w:type="dxa"/>
            </w:tcMar>
            <w:vAlign w:val="center"/>
          </w:tcPr>
          <w:p w:rsidR="004D7FB0" w:rsidRPr="00466784" w:rsidP="008218B3" w14:paraId="5C1596E1" w14:textId="2266A2B8">
            <w:pPr>
              <w:suppressAutoHyphens/>
              <w:jc w:val="center"/>
              <w:rPr>
                <w:rFonts w:ascii="Arial" w:hAnsi="Arial" w:cs="Arial"/>
                <w:sz w:val="20"/>
                <w:szCs w:val="20"/>
              </w:rPr>
            </w:pPr>
            <w:r w:rsidRPr="00466784">
              <w:rPr>
                <w:rFonts w:ascii="Arial" w:hAnsi="Arial" w:cs="Arial"/>
                <w:sz w:val="20"/>
                <w:szCs w:val="20"/>
              </w:rPr>
              <w:t>$31.28</w:t>
            </w:r>
          </w:p>
        </w:tc>
        <w:tc>
          <w:tcPr>
            <w:tcW w:w="1345" w:type="dxa"/>
            <w:vAlign w:val="center"/>
          </w:tcPr>
          <w:p w:rsidR="004D7FB0" w:rsidRPr="00466784" w:rsidP="008218B3" w14:paraId="434A0B75" w14:textId="44679E7E">
            <w:pPr>
              <w:suppressAutoHyphens/>
              <w:jc w:val="center"/>
              <w:rPr>
                <w:rFonts w:ascii="Arial" w:hAnsi="Arial" w:cs="Arial"/>
                <w:sz w:val="20"/>
                <w:szCs w:val="20"/>
              </w:rPr>
            </w:pPr>
            <w:r w:rsidRPr="00466784">
              <w:rPr>
                <w:rFonts w:ascii="Arial" w:hAnsi="Arial" w:cs="Arial"/>
                <w:sz w:val="20"/>
                <w:szCs w:val="20"/>
              </w:rPr>
              <w:t xml:space="preserve">1 </w:t>
            </w:r>
          </w:p>
        </w:tc>
        <w:tc>
          <w:tcPr>
            <w:tcW w:w="1345" w:type="dxa"/>
            <w:tcBorders>
              <w:right w:val="single" w:sz="12" w:space="0" w:color="auto"/>
            </w:tcBorders>
            <w:vAlign w:val="center"/>
          </w:tcPr>
          <w:p w:rsidR="004D7FB0" w:rsidRPr="00466784" w:rsidP="008218B3" w14:paraId="0AA6598E" w14:textId="5A7CA693">
            <w:pPr>
              <w:suppressAutoHyphens/>
              <w:jc w:val="center"/>
              <w:rPr>
                <w:rFonts w:ascii="Arial" w:hAnsi="Arial" w:cs="Arial"/>
                <w:sz w:val="20"/>
                <w:szCs w:val="20"/>
              </w:rPr>
            </w:pPr>
            <w:r w:rsidRPr="00466784">
              <w:rPr>
                <w:rFonts w:ascii="Arial" w:hAnsi="Arial" w:cs="Arial"/>
                <w:sz w:val="20"/>
                <w:szCs w:val="20"/>
              </w:rPr>
              <w:t>$31.28</w:t>
            </w:r>
          </w:p>
        </w:tc>
        <w:tc>
          <w:tcPr>
            <w:tcW w:w="1345" w:type="dxa"/>
            <w:tcBorders>
              <w:left w:val="single" w:sz="12" w:space="0" w:color="auto"/>
            </w:tcBorders>
            <w:tcMar>
              <w:left w:w="29" w:type="dxa"/>
              <w:right w:w="29" w:type="dxa"/>
            </w:tcMar>
            <w:vAlign w:val="center"/>
          </w:tcPr>
          <w:p w:rsidR="004D7FB0" w:rsidRPr="00466784" w:rsidP="008218B3" w14:paraId="2AC64C18" w14:textId="0722185D">
            <w:pPr>
              <w:suppressAutoHyphens/>
              <w:jc w:val="center"/>
              <w:rPr>
                <w:rFonts w:ascii="Arial" w:hAnsi="Arial" w:cs="Arial"/>
                <w:sz w:val="20"/>
                <w:szCs w:val="20"/>
              </w:rPr>
            </w:pPr>
            <w:r w:rsidRPr="00466784">
              <w:rPr>
                <w:rFonts w:ascii="Arial" w:hAnsi="Arial" w:cs="Arial"/>
                <w:sz w:val="20"/>
                <w:szCs w:val="20"/>
              </w:rPr>
              <w:t>30</w:t>
            </w:r>
          </w:p>
        </w:tc>
        <w:tc>
          <w:tcPr>
            <w:tcW w:w="1910" w:type="dxa"/>
            <w:tcMar>
              <w:left w:w="29" w:type="dxa"/>
              <w:right w:w="29" w:type="dxa"/>
            </w:tcMar>
            <w:vAlign w:val="center"/>
          </w:tcPr>
          <w:p w:rsidR="004D7FB0" w:rsidRPr="00466784" w:rsidP="008218B3" w14:paraId="1461EE57" w14:textId="0A889B3D">
            <w:pPr>
              <w:suppressAutoHyphens/>
              <w:jc w:val="center"/>
              <w:rPr>
                <w:rFonts w:ascii="Arial" w:hAnsi="Arial" w:cs="Arial"/>
                <w:sz w:val="20"/>
                <w:szCs w:val="20"/>
              </w:rPr>
            </w:pPr>
            <w:r w:rsidRPr="00466784">
              <w:rPr>
                <w:rFonts w:ascii="Arial" w:hAnsi="Arial" w:cs="Arial"/>
                <w:sz w:val="20"/>
                <w:szCs w:val="20"/>
              </w:rPr>
              <w:t>$938.40</w:t>
            </w:r>
          </w:p>
        </w:tc>
      </w:tr>
    </w:tbl>
    <w:p w:rsidR="004D7FB0" w:rsidRPr="00466784" w:rsidP="008218B3" w14:paraId="28FCB12B" w14:textId="77777777">
      <w:pPr>
        <w:ind w:left="360"/>
        <w:rPr>
          <w:rFonts w:ascii="Arial" w:hAnsi="Arial" w:cs="Arial"/>
          <w:sz w:val="12"/>
          <w:szCs w:val="12"/>
        </w:rPr>
      </w:pPr>
    </w:p>
    <w:p w:rsidR="004D7FB0" w:rsidRPr="00466784" w:rsidP="008218B3" w14:paraId="01258535" w14:textId="4EC7C610">
      <w:pPr>
        <w:ind w:left="360"/>
        <w:rPr>
          <w:rFonts w:ascii="Arial" w:hAnsi="Arial" w:cs="Arial"/>
          <w:sz w:val="22"/>
          <w:szCs w:val="22"/>
        </w:rPr>
      </w:pPr>
      <w:r w:rsidRPr="00466784">
        <w:rPr>
          <w:rFonts w:ascii="Arial" w:hAnsi="Arial" w:cs="Arial"/>
          <w:sz w:val="22"/>
          <w:szCs w:val="22"/>
        </w:rPr>
        <w:t xml:space="preserve">* </w:t>
      </w:r>
      <w:r w:rsidRPr="00466784">
        <w:rPr>
          <w:rFonts w:ascii="Arial" w:hAnsi="Arial" w:cs="Arial"/>
          <w:sz w:val="18"/>
          <w:szCs w:val="18"/>
        </w:rPr>
        <w:t xml:space="preserve">Fully-loaded labor costs rounded to the nearest whole cent unless otherwise noted. </w:t>
      </w:r>
    </w:p>
    <w:p w:rsidR="004D7FB0" w:rsidRPr="00466784" w:rsidP="008218B3" w14:paraId="1773F9C7" w14:textId="77777777">
      <w:pPr>
        <w:ind w:left="360"/>
        <w:rPr>
          <w:rFonts w:ascii="Arial" w:hAnsi="Arial" w:cs="Arial"/>
          <w:sz w:val="22"/>
          <w:szCs w:val="22"/>
        </w:rPr>
      </w:pPr>
    </w:p>
    <w:p w:rsidR="004D7FB0" w:rsidRPr="00466784" w:rsidP="008218B3" w14:paraId="5742119F" w14:textId="6E9C4EA5">
      <w:pPr>
        <w:ind w:left="360"/>
        <w:rPr>
          <w:rFonts w:ascii="Arial" w:hAnsi="Arial" w:cs="Arial"/>
          <w:sz w:val="22"/>
          <w:szCs w:val="22"/>
          <w:u w:val="single"/>
        </w:rPr>
      </w:pPr>
      <w:r w:rsidRPr="00466784">
        <w:rPr>
          <w:rFonts w:ascii="Arial" w:hAnsi="Arial" w:cs="Arial"/>
          <w:sz w:val="22"/>
          <w:szCs w:val="22"/>
          <w:u w:val="single"/>
        </w:rPr>
        <w:t>Record retention:</w:t>
      </w:r>
      <w:r w:rsidRPr="00466784">
        <w:rPr>
          <w:rFonts w:ascii="Arial" w:hAnsi="Arial" w:cs="Arial"/>
          <w:sz w:val="22"/>
          <w:szCs w:val="22"/>
        </w:rPr>
        <w:t xml:space="preserve">  </w:t>
      </w:r>
      <w:r w:rsidRPr="00466784" w:rsidR="00061BD7">
        <w:rPr>
          <w:rFonts w:ascii="Arial" w:hAnsi="Arial" w:cs="Arial"/>
          <w:sz w:val="22"/>
          <w:szCs w:val="22"/>
        </w:rPr>
        <w:t>Under 27 CFR 17.170, r</w:t>
      </w:r>
      <w:r w:rsidRPr="00466784" w:rsidR="00DD5669">
        <w:rPr>
          <w:rFonts w:ascii="Arial" w:hAnsi="Arial" w:cs="Arial"/>
          <w:sz w:val="22"/>
          <w:szCs w:val="22"/>
        </w:rPr>
        <w:t xml:space="preserve">espondents maintain </w:t>
      </w:r>
      <w:r w:rsidRPr="00466784" w:rsidR="00605DF7">
        <w:rPr>
          <w:rFonts w:ascii="Arial" w:hAnsi="Arial" w:cs="Arial"/>
          <w:sz w:val="22"/>
          <w:szCs w:val="22"/>
        </w:rPr>
        <w:t xml:space="preserve">record </w:t>
      </w:r>
      <w:r w:rsidRPr="00466784" w:rsidR="00DD5669">
        <w:rPr>
          <w:rFonts w:ascii="Arial" w:hAnsi="Arial" w:cs="Arial"/>
          <w:sz w:val="22"/>
          <w:szCs w:val="22"/>
        </w:rPr>
        <w:t>copies of ap</w:t>
      </w:r>
      <w:r w:rsidRPr="00466784" w:rsidR="00605DF7">
        <w:rPr>
          <w:rFonts w:ascii="Arial" w:hAnsi="Arial" w:cs="Arial"/>
          <w:sz w:val="22"/>
          <w:szCs w:val="22"/>
        </w:rPr>
        <w:t xml:space="preserve">proved letterhead applications and record copies of submitted letterhead notices for as </w:t>
      </w:r>
      <w:r w:rsidRPr="00466784" w:rsidR="00061BD7">
        <w:rPr>
          <w:rFonts w:ascii="Arial" w:hAnsi="Arial" w:cs="Arial"/>
          <w:sz w:val="22"/>
          <w:szCs w:val="22"/>
        </w:rPr>
        <w:t xml:space="preserve">long as </w:t>
      </w:r>
      <w:r w:rsidRPr="00466784" w:rsidR="00DD5669">
        <w:rPr>
          <w:rFonts w:ascii="Arial" w:hAnsi="Arial" w:cs="Arial"/>
          <w:sz w:val="22"/>
          <w:szCs w:val="22"/>
        </w:rPr>
        <w:t xml:space="preserve">the approved </w:t>
      </w:r>
      <w:r w:rsidRPr="00466784" w:rsidR="00605DF7">
        <w:rPr>
          <w:rFonts w:ascii="Arial" w:hAnsi="Arial" w:cs="Arial"/>
          <w:sz w:val="22"/>
          <w:szCs w:val="22"/>
        </w:rPr>
        <w:t xml:space="preserve">or noticed activity or </w:t>
      </w:r>
      <w:r w:rsidRPr="00466784" w:rsidR="00DD5669">
        <w:rPr>
          <w:rFonts w:ascii="Arial" w:hAnsi="Arial" w:cs="Arial"/>
          <w:sz w:val="22"/>
          <w:szCs w:val="22"/>
        </w:rPr>
        <w:t>operation is in use</w:t>
      </w:r>
      <w:r w:rsidRPr="00466784" w:rsidR="00061BD7">
        <w:rPr>
          <w:rFonts w:ascii="Arial" w:hAnsi="Arial" w:cs="Arial"/>
          <w:sz w:val="22"/>
          <w:szCs w:val="22"/>
        </w:rPr>
        <w:t xml:space="preserve"> and for 3 years thereafter</w:t>
      </w:r>
      <w:r w:rsidRPr="00466784" w:rsidR="00DD5669">
        <w:rPr>
          <w:rFonts w:ascii="Arial" w:hAnsi="Arial" w:cs="Arial"/>
          <w:sz w:val="22"/>
          <w:szCs w:val="22"/>
        </w:rPr>
        <w:t xml:space="preserve">. </w:t>
      </w:r>
    </w:p>
    <w:p w:rsidR="005B1090" w:rsidRPr="00466784" w:rsidP="008218B3" w14:paraId="0F748409" w14:textId="77777777">
      <w:pPr>
        <w:rPr>
          <w:rFonts w:ascii="Arial" w:hAnsi="Arial" w:cs="Arial"/>
          <w:sz w:val="28"/>
          <w:szCs w:val="28"/>
        </w:rPr>
      </w:pPr>
    </w:p>
    <w:p w:rsidR="005B1090" w:rsidRPr="00466784" w:rsidP="008218B3" w14:paraId="03F9F49C" w14:textId="77777777">
      <w:pPr>
        <w:suppressAutoHyphens/>
        <w:rPr>
          <w:rFonts w:ascii="Arial" w:hAnsi="Arial" w:cs="Arial"/>
          <w:i/>
          <w:sz w:val="22"/>
          <w:szCs w:val="22"/>
        </w:rPr>
      </w:pPr>
      <w:r w:rsidRPr="00466784">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005B1090" w:rsidRPr="00466784" w:rsidP="008218B3" w14:paraId="2729C603" w14:textId="77777777">
      <w:pPr>
        <w:suppressAutoHyphens/>
        <w:ind w:left="480" w:hanging="480"/>
        <w:rPr>
          <w:rFonts w:ascii="Arial" w:hAnsi="Arial" w:cs="Arial"/>
          <w:sz w:val="22"/>
          <w:szCs w:val="22"/>
        </w:rPr>
      </w:pPr>
    </w:p>
    <w:p w:rsidR="005B1090" w:rsidRPr="00466784" w:rsidP="008218B3" w14:paraId="089E238E" w14:textId="6CF5E434">
      <w:pPr>
        <w:tabs>
          <w:tab w:val="left" w:pos="8775"/>
        </w:tabs>
        <w:suppressAutoHyphens/>
        <w:autoSpaceDE w:val="0"/>
        <w:autoSpaceDN w:val="0"/>
        <w:adjustRightInd w:val="0"/>
        <w:ind w:left="360"/>
        <w:rPr>
          <w:rFonts w:ascii="Arial" w:hAnsi="Arial" w:cs="Arial"/>
          <w:sz w:val="22"/>
          <w:szCs w:val="22"/>
        </w:rPr>
      </w:pPr>
      <w:r w:rsidRPr="00466784">
        <w:rPr>
          <w:rFonts w:ascii="Arial" w:hAnsi="Arial" w:cs="Arial"/>
          <w:sz w:val="22"/>
        </w:rPr>
        <w:t xml:space="preserve">Respondents do not have any non-labor costs for this occasional, as-needed information collection, other than mailing supply and postage costs.  </w:t>
      </w:r>
      <w:r w:rsidRPr="00466784">
        <w:rPr>
          <w:rFonts w:ascii="Arial" w:hAnsi="Arial" w:cs="Arial"/>
          <w:sz w:val="22"/>
          <w:szCs w:val="22"/>
        </w:rPr>
        <w:t xml:space="preserve">TTB estimates that each </w:t>
      </w:r>
      <w:r w:rsidRPr="00466784" w:rsidR="00F43E9A">
        <w:rPr>
          <w:rFonts w:ascii="Arial" w:hAnsi="Arial" w:cs="Arial"/>
          <w:sz w:val="22"/>
          <w:szCs w:val="22"/>
        </w:rPr>
        <w:t xml:space="preserve">of the 30 annual </w:t>
      </w:r>
      <w:r w:rsidRPr="00466784" w:rsidR="00061BD7">
        <w:rPr>
          <w:rFonts w:ascii="Arial" w:hAnsi="Arial" w:cs="Arial"/>
          <w:sz w:val="22"/>
          <w:szCs w:val="22"/>
        </w:rPr>
        <w:t>respondent</w:t>
      </w:r>
      <w:r w:rsidRPr="00466784" w:rsidR="00F43E9A">
        <w:rPr>
          <w:rFonts w:ascii="Arial" w:hAnsi="Arial" w:cs="Arial"/>
          <w:sz w:val="22"/>
          <w:szCs w:val="22"/>
        </w:rPr>
        <w:t>s to this collection</w:t>
      </w:r>
      <w:r w:rsidRPr="00466784" w:rsidR="00061BD7">
        <w:rPr>
          <w:rFonts w:ascii="Arial" w:hAnsi="Arial" w:cs="Arial"/>
          <w:sz w:val="22"/>
          <w:szCs w:val="22"/>
        </w:rPr>
        <w:t xml:space="preserve"> has $2.00 in such cost</w:t>
      </w:r>
      <w:r w:rsidRPr="00466784" w:rsidR="00607DED">
        <w:rPr>
          <w:rFonts w:ascii="Arial" w:hAnsi="Arial" w:cs="Arial"/>
          <w:sz w:val="22"/>
          <w:szCs w:val="22"/>
        </w:rPr>
        <w:t>s</w:t>
      </w:r>
      <w:r w:rsidRPr="00466784" w:rsidR="00061BD7">
        <w:rPr>
          <w:rFonts w:ascii="Arial" w:hAnsi="Arial" w:cs="Arial"/>
          <w:sz w:val="22"/>
          <w:szCs w:val="22"/>
        </w:rPr>
        <w:t xml:space="preserve"> for </w:t>
      </w:r>
      <w:r w:rsidRPr="00466784" w:rsidR="00F43E9A">
        <w:rPr>
          <w:rFonts w:ascii="Arial" w:hAnsi="Arial" w:cs="Arial"/>
          <w:sz w:val="22"/>
          <w:szCs w:val="22"/>
        </w:rPr>
        <w:t>their one r</w:t>
      </w:r>
      <w:r w:rsidRPr="00466784" w:rsidR="00061BD7">
        <w:rPr>
          <w:rFonts w:ascii="Arial" w:hAnsi="Arial" w:cs="Arial"/>
          <w:sz w:val="22"/>
          <w:szCs w:val="22"/>
        </w:rPr>
        <w:t>esponse</w:t>
      </w:r>
      <w:r w:rsidRPr="00466784" w:rsidR="00F43E9A">
        <w:rPr>
          <w:rFonts w:ascii="Arial" w:hAnsi="Arial" w:cs="Arial"/>
          <w:sz w:val="22"/>
          <w:szCs w:val="22"/>
        </w:rPr>
        <w:t xml:space="preserve">.  This results in $60.00 in annual </w:t>
      </w:r>
      <w:r w:rsidRPr="00466784" w:rsidR="00061BD7">
        <w:rPr>
          <w:rFonts w:ascii="Arial" w:hAnsi="Arial" w:cs="Arial"/>
          <w:sz w:val="22"/>
          <w:szCs w:val="22"/>
        </w:rPr>
        <w:t xml:space="preserve">mailing supply and postage costs for this information collection. </w:t>
      </w:r>
    </w:p>
    <w:p w:rsidR="005B1090" w:rsidRPr="00466784" w:rsidP="008218B3" w14:paraId="35C6B67C" w14:textId="77777777">
      <w:pPr>
        <w:widowControl w:val="0"/>
        <w:tabs>
          <w:tab w:val="left" w:pos="8775"/>
        </w:tabs>
        <w:suppressAutoHyphens/>
        <w:autoSpaceDE w:val="0"/>
        <w:autoSpaceDN w:val="0"/>
        <w:adjustRightInd w:val="0"/>
        <w:rPr>
          <w:rFonts w:ascii="Arial" w:hAnsi="Arial" w:cs="Arial"/>
          <w:sz w:val="28"/>
          <w:szCs w:val="28"/>
        </w:rPr>
      </w:pPr>
    </w:p>
    <w:p w:rsidR="00F43E9A" w:rsidRPr="00466784" w14:paraId="06073583" w14:textId="77777777">
      <w:pPr>
        <w:rPr>
          <w:rFonts w:ascii="Arial" w:hAnsi="Arial" w:cs="Arial"/>
          <w:i/>
          <w:sz w:val="22"/>
          <w:szCs w:val="22"/>
        </w:rPr>
      </w:pPr>
      <w:r w:rsidRPr="00466784">
        <w:rPr>
          <w:rFonts w:ascii="Arial" w:hAnsi="Arial" w:cs="Arial"/>
          <w:i/>
          <w:sz w:val="22"/>
          <w:szCs w:val="22"/>
        </w:rPr>
        <w:br w:type="page"/>
      </w:r>
    </w:p>
    <w:p w:rsidR="005B1090" w:rsidRPr="00F43E9A" w:rsidP="008218B3" w14:paraId="547692FC" w14:textId="5F276980">
      <w:pPr>
        <w:suppressAutoHyphens/>
        <w:ind w:left="480" w:hanging="480"/>
        <w:rPr>
          <w:rFonts w:ascii="Arial" w:hAnsi="Arial" w:cs="Arial"/>
          <w:i/>
          <w:sz w:val="22"/>
          <w:szCs w:val="22"/>
        </w:rPr>
      </w:pPr>
      <w:r w:rsidRPr="00F43E9A">
        <w:rPr>
          <w:rFonts w:ascii="Arial" w:hAnsi="Arial" w:cs="Arial"/>
          <w:i/>
          <w:sz w:val="22"/>
          <w:szCs w:val="22"/>
        </w:rPr>
        <w:t xml:space="preserve">14.  What is the annualized cost to the Federal Government? </w:t>
      </w:r>
    </w:p>
    <w:p w:rsidR="005B1090" w:rsidRPr="00F43E9A" w:rsidP="008218B3" w14:paraId="63F1B1E0" w14:textId="77777777">
      <w:pPr>
        <w:suppressAutoHyphens/>
        <w:ind w:left="480" w:hanging="480"/>
        <w:rPr>
          <w:rFonts w:ascii="Arial" w:hAnsi="Arial" w:cs="Arial"/>
          <w:sz w:val="22"/>
          <w:szCs w:val="22"/>
        </w:rPr>
      </w:pPr>
    </w:p>
    <w:p w:rsidR="005B1090" w:rsidRPr="00F43E9A" w:rsidP="008218B3" w14:paraId="4A41C088" w14:textId="7680A333">
      <w:pPr>
        <w:ind w:left="360"/>
        <w:rPr>
          <w:rFonts w:ascii="Arial" w:hAnsi="Arial" w:eastAsiaTheme="minorHAnsi" w:cs="Arial"/>
          <w:sz w:val="22"/>
          <w:szCs w:val="22"/>
        </w:rPr>
      </w:pPr>
      <w:r w:rsidRPr="00F43E9A">
        <w:rPr>
          <w:rFonts w:ascii="Arial" w:hAnsi="Arial" w:eastAsiaTheme="minorHAnsi" w:cs="Arial"/>
          <w:sz w:val="22"/>
          <w:szCs w:val="22"/>
          <w:u w:val="single"/>
        </w:rPr>
        <w:t>General costs:</w:t>
      </w:r>
      <w:r w:rsidRPr="00F43E9A">
        <w:rPr>
          <w:rFonts w:ascii="Arial" w:hAnsi="Arial" w:eastAsiaTheme="minorHAnsi" w:cs="Arial"/>
          <w:sz w:val="22"/>
          <w:szCs w:val="22"/>
        </w:rPr>
        <w:t xml:space="preserve">  There are no printing, distribution, or other overhead costs to TTB for this information collection, which consists of respondent-generated letterhead applications</w:t>
      </w:r>
      <w:r w:rsidRPr="00F43E9A" w:rsidR="00F636F2">
        <w:rPr>
          <w:rFonts w:ascii="Arial" w:hAnsi="Arial" w:eastAsiaTheme="minorHAnsi" w:cs="Arial"/>
          <w:sz w:val="22"/>
          <w:szCs w:val="22"/>
        </w:rPr>
        <w:t xml:space="preserve"> and notices</w:t>
      </w:r>
      <w:r w:rsidRPr="00F43E9A">
        <w:rPr>
          <w:rFonts w:ascii="Arial" w:hAnsi="Arial" w:eastAsiaTheme="minorHAnsi" w:cs="Arial"/>
          <w:sz w:val="22"/>
          <w:szCs w:val="22"/>
        </w:rPr>
        <w:t>.  However, TTB replies to each submitted letterhead application via U.S. mail, with each response costing no more than $2.00 in mailing supply and postage costs.  As such, TTB estimates its non-labor costs for this collection to be $</w:t>
      </w:r>
      <w:r w:rsidRPr="00F43E9A" w:rsidR="00F43E9A">
        <w:rPr>
          <w:rFonts w:ascii="Arial" w:hAnsi="Arial" w:eastAsiaTheme="minorHAnsi" w:cs="Arial"/>
          <w:sz w:val="22"/>
          <w:szCs w:val="22"/>
        </w:rPr>
        <w:t>30.00 for the 15 annual letterhead applications submitted under this collection.  The remaining 15 responses consist of l</w:t>
      </w:r>
      <w:r w:rsidRPr="00F43E9A">
        <w:rPr>
          <w:rFonts w:ascii="Arial" w:hAnsi="Arial" w:eastAsiaTheme="minorHAnsi" w:cs="Arial"/>
          <w:sz w:val="22"/>
          <w:szCs w:val="22"/>
        </w:rPr>
        <w:t>etterhead notices</w:t>
      </w:r>
      <w:r w:rsidRPr="00F43E9A" w:rsidR="00F636F2">
        <w:rPr>
          <w:rFonts w:ascii="Arial" w:hAnsi="Arial" w:eastAsiaTheme="minorHAnsi" w:cs="Arial"/>
          <w:sz w:val="22"/>
          <w:szCs w:val="22"/>
        </w:rPr>
        <w:t xml:space="preserve">, which </w:t>
      </w:r>
      <w:r w:rsidRPr="00F43E9A">
        <w:rPr>
          <w:rFonts w:ascii="Arial" w:hAnsi="Arial" w:eastAsiaTheme="minorHAnsi" w:cs="Arial"/>
          <w:sz w:val="22"/>
          <w:szCs w:val="22"/>
        </w:rPr>
        <w:t>do not require a TTB response</w:t>
      </w:r>
      <w:r w:rsidRPr="00F43E9A" w:rsidR="00F636F2">
        <w:rPr>
          <w:rFonts w:ascii="Arial" w:hAnsi="Arial" w:eastAsiaTheme="minorHAnsi" w:cs="Arial"/>
          <w:sz w:val="22"/>
          <w:szCs w:val="22"/>
        </w:rPr>
        <w:t xml:space="preserve"> in return</w:t>
      </w:r>
      <w:r w:rsidRPr="00F43E9A">
        <w:rPr>
          <w:rFonts w:ascii="Arial" w:hAnsi="Arial" w:eastAsiaTheme="minorHAnsi" w:cs="Arial"/>
          <w:sz w:val="22"/>
          <w:szCs w:val="22"/>
        </w:rPr>
        <w:t xml:space="preserve">. </w:t>
      </w:r>
    </w:p>
    <w:p w:rsidR="005B1090" w:rsidRPr="00EE389F" w:rsidP="008218B3" w14:paraId="5783F94C" w14:textId="77777777">
      <w:pPr>
        <w:ind w:left="360"/>
        <w:rPr>
          <w:rFonts w:ascii="Arial" w:hAnsi="Arial" w:eastAsiaTheme="minorHAnsi" w:cs="Arial"/>
          <w:sz w:val="22"/>
          <w:szCs w:val="22"/>
        </w:rPr>
      </w:pPr>
    </w:p>
    <w:p w:rsidR="005B1090" w:rsidRPr="00EE389F" w:rsidP="008218B3" w14:paraId="7CFFB4EB" w14:textId="77777777">
      <w:pPr>
        <w:autoSpaceDE w:val="0"/>
        <w:autoSpaceDN w:val="0"/>
        <w:adjustRightInd w:val="0"/>
        <w:ind w:left="360"/>
        <w:rPr>
          <w:rFonts w:ascii="Arial" w:hAnsi="Arial" w:eastAsiaTheme="minorHAnsi" w:cs="Arial"/>
          <w:sz w:val="22"/>
          <w:szCs w:val="22"/>
        </w:rPr>
      </w:pPr>
      <w:r w:rsidRPr="00EE389F">
        <w:rPr>
          <w:rFonts w:ascii="Arial" w:hAnsi="Arial" w:eastAsiaTheme="minorHAnsi" w:cs="Arial"/>
          <w:sz w:val="22"/>
          <w:szCs w:val="22"/>
          <w:u w:val="single"/>
        </w:rPr>
        <w:t>Labor costs:</w:t>
      </w:r>
      <w:r w:rsidRPr="00EE389F">
        <w:rPr>
          <w:rFonts w:ascii="Arial" w:hAnsi="Arial" w:eastAsiaTheme="minorHAnsi" w:cs="Arial"/>
          <w:sz w:val="22"/>
          <w:szCs w:val="22"/>
        </w:rPr>
        <w:t xml:space="preserve">  Technicians or specialists at TTB’s National Revenue Center process and, if necessary, respond to the letterhead applications and notices submitted under this information collection.  As such, TTB estimates the annualized labor costs to the Federal Government for this information collection as follows: </w:t>
      </w:r>
    </w:p>
    <w:p w:rsidR="005B1090" w:rsidRPr="00EE389F" w:rsidP="00EE389F" w14:paraId="78CC932E" w14:textId="77777777">
      <w:pPr>
        <w:ind w:left="360"/>
        <w:rPr>
          <w:rFonts w:ascii="Arial" w:hAnsi="Arial" w:eastAsiaTheme="minorHAnsi" w:cs="Arial"/>
          <w:sz w:val="22"/>
          <w:szCs w:val="22"/>
        </w:rPr>
      </w:pPr>
    </w:p>
    <w:tbl>
      <w:tblPr>
        <w:tblStyle w:val="TableGrid11"/>
        <w:tblW w:w="8635" w:type="dxa"/>
        <w:jc w:val="center"/>
        <w:tblBorders>
          <w:insideH w:val="dotted" w:sz="4" w:space="0" w:color="auto"/>
        </w:tblBorders>
        <w:tblLayout w:type="fixed"/>
        <w:tblLook w:val="04A0"/>
      </w:tblPr>
      <w:tblGrid>
        <w:gridCol w:w="1705"/>
        <w:gridCol w:w="1440"/>
        <w:gridCol w:w="1350"/>
        <w:gridCol w:w="1458"/>
        <w:gridCol w:w="1221"/>
        <w:gridCol w:w="1461"/>
      </w:tblGrid>
      <w:tr w14:paraId="26C65086" w14:textId="77777777" w:rsidTr="00F225B1">
        <w:tblPrEx>
          <w:tblW w:w="8635" w:type="dxa"/>
          <w:jc w:val="center"/>
          <w:tblBorders>
            <w:insideH w:val="dotted" w:sz="4" w:space="0" w:color="auto"/>
          </w:tblBorders>
          <w:tblLayout w:type="fixed"/>
          <w:tblLook w:val="04A0"/>
        </w:tblPrEx>
        <w:trPr>
          <w:trHeight w:val="576"/>
          <w:jc w:val="center"/>
        </w:trPr>
        <w:tc>
          <w:tcPr>
            <w:tcW w:w="8635" w:type="dxa"/>
            <w:gridSpan w:val="6"/>
            <w:tcBorders>
              <w:top w:val="single" w:sz="4" w:space="0" w:color="auto"/>
              <w:bottom w:val="single" w:sz="4" w:space="0" w:color="auto"/>
            </w:tcBorders>
            <w:vAlign w:val="center"/>
          </w:tcPr>
          <w:p w:rsidR="005B1090" w:rsidRPr="00EE389F" w:rsidP="008218B3" w14:paraId="5B3736A2" w14:textId="77777777">
            <w:pPr>
              <w:suppressAutoHyphens/>
              <w:jc w:val="center"/>
              <w:rPr>
                <w:rFonts w:ascii="Arial" w:hAnsi="Arial" w:cs="Arial"/>
                <w:b/>
                <w:sz w:val="20"/>
                <w:szCs w:val="20"/>
              </w:rPr>
            </w:pPr>
            <w:r w:rsidRPr="00EE389F">
              <w:rPr>
                <w:rFonts w:ascii="Arial" w:hAnsi="Arial" w:cs="Arial"/>
                <w:b/>
                <w:sz w:val="20"/>
                <w:szCs w:val="20"/>
              </w:rPr>
              <w:t xml:space="preserve">Labor Costs for Personnel at TTB’s National Revenue Center in Cincinnati, Ohio, </w:t>
            </w:r>
          </w:p>
          <w:p w:rsidR="005B1090" w:rsidRPr="00EE389F" w:rsidP="008218B3" w14:paraId="7037C67B" w14:textId="4118D8D3">
            <w:pPr>
              <w:suppressAutoHyphens/>
              <w:jc w:val="center"/>
              <w:rPr>
                <w:rFonts w:ascii="Arial" w:hAnsi="Arial" w:cs="Arial"/>
                <w:b/>
                <w:sz w:val="20"/>
                <w:szCs w:val="20"/>
              </w:rPr>
            </w:pPr>
            <w:r w:rsidRPr="00EE389F">
              <w:rPr>
                <w:rFonts w:ascii="Arial" w:hAnsi="Arial" w:cs="Arial"/>
                <w:b/>
                <w:sz w:val="20"/>
                <w:szCs w:val="20"/>
              </w:rPr>
              <w:t>for OMB No. 1513–00</w:t>
            </w:r>
            <w:r w:rsidRPr="00EE389F" w:rsidR="00EE389F">
              <w:rPr>
                <w:rFonts w:ascii="Arial" w:hAnsi="Arial" w:cs="Arial"/>
                <w:b/>
                <w:sz w:val="20"/>
                <w:szCs w:val="20"/>
              </w:rPr>
              <w:t>72</w:t>
            </w:r>
            <w:r w:rsidRPr="00EE389F">
              <w:rPr>
                <w:rFonts w:ascii="Arial" w:hAnsi="Arial" w:cs="Arial"/>
                <w:b/>
                <w:sz w:val="20"/>
                <w:szCs w:val="20"/>
              </w:rPr>
              <w:t xml:space="preserve"> </w:t>
            </w:r>
          </w:p>
        </w:tc>
      </w:tr>
      <w:tr w14:paraId="227A0D7D" w14:textId="77777777" w:rsidTr="00F225B1">
        <w:tblPrEx>
          <w:tblW w:w="8635" w:type="dxa"/>
          <w:jc w:val="center"/>
          <w:tblLayout w:type="fixed"/>
          <w:tblLook w:val="04A0"/>
        </w:tblPrEx>
        <w:trPr>
          <w:trHeight w:val="576"/>
          <w:jc w:val="center"/>
        </w:trPr>
        <w:tc>
          <w:tcPr>
            <w:tcW w:w="1705" w:type="dxa"/>
            <w:tcBorders>
              <w:top w:val="single" w:sz="4" w:space="0" w:color="auto"/>
              <w:left w:val="single" w:sz="4" w:space="0" w:color="auto"/>
              <w:bottom w:val="single" w:sz="4" w:space="0" w:color="auto"/>
              <w:right w:val="single" w:sz="2" w:space="0" w:color="auto"/>
            </w:tcBorders>
            <w:vAlign w:val="center"/>
          </w:tcPr>
          <w:p w:rsidR="005B1090" w:rsidRPr="00EE389F" w:rsidP="008218B3" w14:paraId="210BF7A1" w14:textId="77777777">
            <w:pPr>
              <w:suppressAutoHyphens/>
              <w:jc w:val="center"/>
              <w:rPr>
                <w:rFonts w:ascii="Arial" w:hAnsi="Arial" w:cs="Arial"/>
                <w:sz w:val="20"/>
                <w:szCs w:val="20"/>
              </w:rPr>
            </w:pPr>
            <w:r w:rsidRPr="00EE389F">
              <w:rPr>
                <w:rFonts w:ascii="Arial" w:hAnsi="Arial" w:cs="Arial"/>
                <w:sz w:val="20"/>
                <w:szCs w:val="20"/>
              </w:rPr>
              <w:t xml:space="preserve">Position </w:t>
            </w:r>
          </w:p>
        </w:tc>
        <w:tc>
          <w:tcPr>
            <w:tcW w:w="1440"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5B1090" w:rsidRPr="00EE389F" w:rsidP="008218B3" w14:paraId="632791E2" w14:textId="77777777">
            <w:pPr>
              <w:suppressAutoHyphens/>
              <w:jc w:val="center"/>
              <w:rPr>
                <w:rFonts w:ascii="Arial" w:hAnsi="Arial" w:cs="Arial"/>
                <w:sz w:val="20"/>
                <w:szCs w:val="20"/>
              </w:rPr>
            </w:pPr>
            <w:r w:rsidRPr="00EE389F">
              <w:rPr>
                <w:rFonts w:ascii="Arial" w:hAnsi="Arial" w:cs="Arial"/>
                <w:sz w:val="20"/>
                <w:szCs w:val="20"/>
              </w:rPr>
              <w:t>Fully-loaded Labor Rate per Hour</w:t>
            </w:r>
            <w:r>
              <w:rPr>
                <w:rFonts w:ascii="Arial" w:hAnsi="Arial" w:cs="Arial"/>
                <w:sz w:val="20"/>
                <w:szCs w:val="20"/>
                <w:vertAlign w:val="superscript"/>
              </w:rPr>
              <w:footnoteReference w:id="3"/>
            </w:r>
          </w:p>
        </w:tc>
        <w:tc>
          <w:tcPr>
            <w:tcW w:w="1350"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5B1090" w:rsidRPr="00EE389F" w:rsidP="008218B3" w14:paraId="0014865D" w14:textId="77777777">
            <w:pPr>
              <w:suppressAutoHyphens/>
              <w:jc w:val="center"/>
              <w:rPr>
                <w:rFonts w:ascii="Arial" w:hAnsi="Arial" w:cs="Arial"/>
                <w:sz w:val="20"/>
                <w:szCs w:val="20"/>
              </w:rPr>
            </w:pPr>
            <w:r w:rsidRPr="00EE389F">
              <w:rPr>
                <w:rFonts w:ascii="Arial" w:hAnsi="Arial" w:cs="Arial"/>
                <w:sz w:val="20"/>
                <w:szCs w:val="20"/>
              </w:rPr>
              <w:t>Processing Time per Response</w:t>
            </w:r>
          </w:p>
        </w:tc>
        <w:tc>
          <w:tcPr>
            <w:tcW w:w="1458"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5B1090" w:rsidRPr="00EE389F" w:rsidP="008218B3" w14:paraId="2E73498B" w14:textId="77777777">
            <w:pPr>
              <w:suppressAutoHyphens/>
              <w:jc w:val="center"/>
              <w:rPr>
                <w:rFonts w:ascii="Arial" w:hAnsi="Arial" w:cs="Arial"/>
                <w:sz w:val="20"/>
                <w:szCs w:val="20"/>
              </w:rPr>
            </w:pPr>
            <w:r w:rsidRPr="00EE389F">
              <w:rPr>
                <w:rFonts w:ascii="Arial" w:hAnsi="Arial" w:cs="Arial"/>
                <w:sz w:val="20"/>
                <w:szCs w:val="20"/>
              </w:rPr>
              <w:t>Labor Costs per Response</w:t>
            </w:r>
          </w:p>
        </w:tc>
        <w:tc>
          <w:tcPr>
            <w:tcW w:w="1221"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5B1090" w:rsidRPr="00EE389F" w:rsidP="008218B3" w14:paraId="17D93656" w14:textId="77777777">
            <w:pPr>
              <w:suppressAutoHyphens/>
              <w:jc w:val="center"/>
              <w:rPr>
                <w:rFonts w:ascii="Arial" w:hAnsi="Arial" w:cs="Arial"/>
                <w:sz w:val="20"/>
                <w:szCs w:val="20"/>
              </w:rPr>
            </w:pPr>
            <w:r w:rsidRPr="00EE389F">
              <w:rPr>
                <w:rFonts w:ascii="Arial" w:hAnsi="Arial" w:cs="Arial"/>
                <w:sz w:val="20"/>
                <w:szCs w:val="20"/>
              </w:rPr>
              <w:t>Total Responses</w:t>
            </w:r>
          </w:p>
        </w:tc>
        <w:tc>
          <w:tcPr>
            <w:tcW w:w="1461" w:type="dxa"/>
            <w:tcBorders>
              <w:top w:val="single" w:sz="4" w:space="0" w:color="auto"/>
              <w:left w:val="single" w:sz="2" w:space="0" w:color="auto"/>
              <w:bottom w:val="single" w:sz="4" w:space="0" w:color="auto"/>
              <w:right w:val="single" w:sz="4" w:space="0" w:color="auto"/>
            </w:tcBorders>
            <w:tcMar>
              <w:left w:w="29" w:type="dxa"/>
              <w:right w:w="29" w:type="dxa"/>
            </w:tcMar>
            <w:vAlign w:val="center"/>
          </w:tcPr>
          <w:p w:rsidR="005B1090" w:rsidRPr="00EE389F" w:rsidP="008218B3" w14:paraId="03064462" w14:textId="77777777">
            <w:pPr>
              <w:suppressAutoHyphens/>
              <w:jc w:val="center"/>
              <w:rPr>
                <w:rFonts w:ascii="Arial" w:hAnsi="Arial" w:cs="Arial"/>
                <w:sz w:val="20"/>
                <w:szCs w:val="20"/>
              </w:rPr>
            </w:pPr>
            <w:r w:rsidRPr="00EE389F">
              <w:rPr>
                <w:rFonts w:ascii="Arial" w:hAnsi="Arial" w:cs="Arial"/>
                <w:sz w:val="20"/>
                <w:szCs w:val="20"/>
              </w:rPr>
              <w:t>Total TTB Labor Costs</w:t>
            </w:r>
          </w:p>
        </w:tc>
      </w:tr>
      <w:tr w14:paraId="7DAFB14C" w14:textId="77777777" w:rsidTr="00F225B1">
        <w:tblPrEx>
          <w:tblW w:w="8635" w:type="dxa"/>
          <w:jc w:val="center"/>
          <w:tblLayout w:type="fixed"/>
          <w:tblLook w:val="04A0"/>
        </w:tblPrEx>
        <w:trPr>
          <w:trHeight w:val="576"/>
          <w:jc w:val="center"/>
        </w:trPr>
        <w:tc>
          <w:tcPr>
            <w:tcW w:w="1705" w:type="dxa"/>
            <w:tcBorders>
              <w:top w:val="single" w:sz="4" w:space="0" w:color="auto"/>
              <w:bottom w:val="single" w:sz="4" w:space="0" w:color="auto"/>
            </w:tcBorders>
            <w:vAlign w:val="center"/>
          </w:tcPr>
          <w:p w:rsidR="005B1090" w:rsidRPr="00EE389F" w:rsidP="008218B3" w14:paraId="3F643C7E" w14:textId="77777777">
            <w:pPr>
              <w:suppressAutoHyphens/>
              <w:jc w:val="center"/>
              <w:rPr>
                <w:rFonts w:ascii="Arial" w:hAnsi="Arial" w:cs="Arial"/>
                <w:sz w:val="20"/>
                <w:szCs w:val="20"/>
              </w:rPr>
            </w:pPr>
            <w:r w:rsidRPr="00EE389F">
              <w:rPr>
                <w:rFonts w:ascii="Arial" w:hAnsi="Arial" w:cs="Arial"/>
                <w:sz w:val="20"/>
                <w:szCs w:val="20"/>
              </w:rPr>
              <w:t xml:space="preserve">GS–7, Step 5, </w:t>
            </w:r>
          </w:p>
          <w:p w:rsidR="005B1090" w:rsidRPr="00EE389F" w:rsidP="008218B3" w14:paraId="03719494" w14:textId="77777777">
            <w:pPr>
              <w:suppressAutoHyphens/>
              <w:jc w:val="center"/>
              <w:rPr>
                <w:rFonts w:ascii="Arial" w:hAnsi="Arial" w:cs="Arial"/>
                <w:sz w:val="20"/>
                <w:szCs w:val="20"/>
              </w:rPr>
            </w:pPr>
            <w:r w:rsidRPr="00EE389F">
              <w:rPr>
                <w:rFonts w:ascii="Arial" w:hAnsi="Arial" w:cs="Arial"/>
                <w:sz w:val="20"/>
                <w:szCs w:val="20"/>
              </w:rPr>
              <w:t xml:space="preserve">Technician </w:t>
            </w:r>
          </w:p>
        </w:tc>
        <w:tc>
          <w:tcPr>
            <w:tcW w:w="1440" w:type="dxa"/>
            <w:tcBorders>
              <w:top w:val="single" w:sz="4" w:space="0" w:color="auto"/>
              <w:bottom w:val="single" w:sz="4" w:space="0" w:color="auto"/>
            </w:tcBorders>
            <w:tcMar>
              <w:left w:w="29" w:type="dxa"/>
              <w:right w:w="29" w:type="dxa"/>
            </w:tcMar>
            <w:vAlign w:val="center"/>
          </w:tcPr>
          <w:p w:rsidR="005B1090" w:rsidRPr="00EE389F" w:rsidP="008218B3" w14:paraId="375DAD56" w14:textId="2F075ABF">
            <w:pPr>
              <w:suppressAutoHyphens/>
              <w:jc w:val="center"/>
              <w:rPr>
                <w:rFonts w:ascii="Arial" w:hAnsi="Arial" w:cs="Arial"/>
                <w:sz w:val="20"/>
                <w:szCs w:val="20"/>
              </w:rPr>
            </w:pPr>
            <w:r w:rsidRPr="00EE389F">
              <w:rPr>
                <w:rFonts w:ascii="Arial" w:hAnsi="Arial" w:cs="Arial"/>
                <w:sz w:val="20"/>
                <w:szCs w:val="20"/>
              </w:rPr>
              <w:t>$46.52</w:t>
            </w:r>
          </w:p>
        </w:tc>
        <w:tc>
          <w:tcPr>
            <w:tcW w:w="1350" w:type="dxa"/>
            <w:tcBorders>
              <w:top w:val="single" w:sz="4" w:space="0" w:color="auto"/>
              <w:bottom w:val="single" w:sz="4" w:space="0" w:color="auto"/>
            </w:tcBorders>
            <w:tcMar>
              <w:left w:w="29" w:type="dxa"/>
              <w:right w:w="29" w:type="dxa"/>
            </w:tcMar>
            <w:vAlign w:val="center"/>
          </w:tcPr>
          <w:p w:rsidR="005B1090" w:rsidRPr="00EE389F" w:rsidP="008218B3" w14:paraId="1FCF7F3B" w14:textId="4B01075F">
            <w:pPr>
              <w:suppressAutoHyphens/>
              <w:jc w:val="center"/>
              <w:rPr>
                <w:rFonts w:ascii="Arial" w:hAnsi="Arial" w:cs="Arial"/>
                <w:sz w:val="20"/>
                <w:szCs w:val="20"/>
              </w:rPr>
            </w:pPr>
            <w:r w:rsidRPr="00EE389F">
              <w:rPr>
                <w:rFonts w:ascii="Arial" w:hAnsi="Arial" w:cs="Arial"/>
                <w:sz w:val="20"/>
                <w:szCs w:val="20"/>
              </w:rPr>
              <w:t>2 hours</w:t>
            </w:r>
          </w:p>
        </w:tc>
        <w:tc>
          <w:tcPr>
            <w:tcW w:w="1458" w:type="dxa"/>
            <w:tcBorders>
              <w:top w:val="single" w:sz="4" w:space="0" w:color="auto"/>
              <w:bottom w:val="single" w:sz="4" w:space="0" w:color="auto"/>
            </w:tcBorders>
            <w:tcMar>
              <w:left w:w="29" w:type="dxa"/>
              <w:right w:w="29" w:type="dxa"/>
            </w:tcMar>
            <w:vAlign w:val="center"/>
          </w:tcPr>
          <w:p w:rsidR="005B1090" w:rsidRPr="00EE389F" w:rsidP="008218B3" w14:paraId="7650BCBE" w14:textId="79F4C461">
            <w:pPr>
              <w:suppressAutoHyphens/>
              <w:jc w:val="center"/>
              <w:rPr>
                <w:rFonts w:ascii="Arial" w:hAnsi="Arial" w:cs="Arial"/>
                <w:sz w:val="20"/>
                <w:szCs w:val="20"/>
              </w:rPr>
            </w:pPr>
            <w:r w:rsidRPr="00EE389F">
              <w:rPr>
                <w:rFonts w:ascii="Arial" w:hAnsi="Arial" w:cs="Arial"/>
                <w:sz w:val="20"/>
                <w:szCs w:val="20"/>
              </w:rPr>
              <w:t>$93.04</w:t>
            </w:r>
          </w:p>
        </w:tc>
        <w:tc>
          <w:tcPr>
            <w:tcW w:w="1221" w:type="dxa"/>
            <w:tcBorders>
              <w:top w:val="single" w:sz="4" w:space="0" w:color="auto"/>
              <w:bottom w:val="single" w:sz="4" w:space="0" w:color="auto"/>
            </w:tcBorders>
            <w:tcMar>
              <w:left w:w="29" w:type="dxa"/>
              <w:right w:w="29" w:type="dxa"/>
            </w:tcMar>
            <w:vAlign w:val="center"/>
          </w:tcPr>
          <w:p w:rsidR="005B1090" w:rsidRPr="00EE389F" w:rsidP="008218B3" w14:paraId="1265BBB7" w14:textId="30E90A04">
            <w:pPr>
              <w:suppressAutoHyphens/>
              <w:jc w:val="center"/>
              <w:rPr>
                <w:rFonts w:ascii="Arial" w:hAnsi="Arial" w:cs="Arial"/>
                <w:sz w:val="20"/>
                <w:szCs w:val="20"/>
              </w:rPr>
            </w:pPr>
            <w:r w:rsidRPr="00EE389F">
              <w:rPr>
                <w:rFonts w:ascii="Arial" w:hAnsi="Arial" w:cs="Arial"/>
                <w:sz w:val="20"/>
                <w:szCs w:val="20"/>
              </w:rPr>
              <w:t>15</w:t>
            </w:r>
          </w:p>
        </w:tc>
        <w:tc>
          <w:tcPr>
            <w:tcW w:w="1461" w:type="dxa"/>
            <w:tcBorders>
              <w:top w:val="single" w:sz="4" w:space="0" w:color="auto"/>
              <w:bottom w:val="single" w:sz="4" w:space="0" w:color="auto"/>
            </w:tcBorders>
            <w:tcMar>
              <w:left w:w="29" w:type="dxa"/>
              <w:right w:w="29" w:type="dxa"/>
            </w:tcMar>
            <w:vAlign w:val="center"/>
          </w:tcPr>
          <w:p w:rsidR="005B1090" w:rsidRPr="00EE389F" w:rsidP="008218B3" w14:paraId="63DF042A" w14:textId="2CCF0173">
            <w:pPr>
              <w:suppressAutoHyphens/>
              <w:jc w:val="center"/>
              <w:rPr>
                <w:rFonts w:ascii="Arial" w:hAnsi="Arial" w:cs="Arial"/>
                <w:sz w:val="20"/>
                <w:szCs w:val="20"/>
              </w:rPr>
            </w:pPr>
            <w:r>
              <w:rPr>
                <w:rFonts w:ascii="Arial" w:hAnsi="Arial" w:cs="Arial"/>
                <w:sz w:val="20"/>
                <w:szCs w:val="20"/>
              </w:rPr>
              <w:t>$1,395.60</w:t>
            </w:r>
          </w:p>
        </w:tc>
      </w:tr>
      <w:tr w14:paraId="22B4E0F6" w14:textId="77777777" w:rsidTr="00F225B1">
        <w:tblPrEx>
          <w:tblW w:w="8635" w:type="dxa"/>
          <w:jc w:val="center"/>
          <w:tblLayout w:type="fixed"/>
          <w:tblLook w:val="04A0"/>
        </w:tblPrEx>
        <w:trPr>
          <w:trHeight w:val="576"/>
          <w:jc w:val="center"/>
        </w:trPr>
        <w:tc>
          <w:tcPr>
            <w:tcW w:w="1705" w:type="dxa"/>
            <w:tcBorders>
              <w:top w:val="single" w:sz="4" w:space="0" w:color="auto"/>
              <w:bottom w:val="single" w:sz="4" w:space="0" w:color="auto"/>
            </w:tcBorders>
            <w:vAlign w:val="center"/>
          </w:tcPr>
          <w:p w:rsidR="005B1090" w:rsidRPr="00EE389F" w:rsidP="008218B3" w14:paraId="58319BFB" w14:textId="77777777">
            <w:pPr>
              <w:suppressAutoHyphens/>
              <w:jc w:val="center"/>
              <w:rPr>
                <w:rFonts w:ascii="Arial" w:hAnsi="Arial" w:cs="Arial"/>
                <w:sz w:val="20"/>
                <w:szCs w:val="20"/>
              </w:rPr>
            </w:pPr>
            <w:r w:rsidRPr="00EE389F">
              <w:rPr>
                <w:rFonts w:ascii="Arial" w:hAnsi="Arial" w:cs="Arial"/>
                <w:sz w:val="20"/>
                <w:szCs w:val="20"/>
              </w:rPr>
              <w:t>GS–11, Step 5, Specialist</w:t>
            </w:r>
          </w:p>
        </w:tc>
        <w:tc>
          <w:tcPr>
            <w:tcW w:w="1440" w:type="dxa"/>
            <w:tcBorders>
              <w:top w:val="single" w:sz="4" w:space="0" w:color="auto"/>
              <w:bottom w:val="single" w:sz="4" w:space="0" w:color="auto"/>
            </w:tcBorders>
            <w:tcMar>
              <w:left w:w="29" w:type="dxa"/>
              <w:right w:w="29" w:type="dxa"/>
            </w:tcMar>
            <w:vAlign w:val="center"/>
          </w:tcPr>
          <w:p w:rsidR="005B1090" w:rsidRPr="00EE389F" w:rsidP="008218B3" w14:paraId="0239D144" w14:textId="70C78FF4">
            <w:pPr>
              <w:suppressAutoHyphens/>
              <w:jc w:val="center"/>
              <w:rPr>
                <w:rFonts w:ascii="Arial" w:hAnsi="Arial" w:cs="Arial"/>
                <w:sz w:val="20"/>
                <w:szCs w:val="20"/>
              </w:rPr>
            </w:pPr>
            <w:r w:rsidRPr="00EE389F">
              <w:rPr>
                <w:rFonts w:ascii="Arial" w:hAnsi="Arial" w:cs="Arial"/>
                <w:sz w:val="20"/>
                <w:szCs w:val="20"/>
              </w:rPr>
              <w:t>$68.</w:t>
            </w:r>
            <w:r w:rsidR="00E54699">
              <w:rPr>
                <w:rFonts w:ascii="Arial" w:hAnsi="Arial" w:cs="Arial"/>
                <w:sz w:val="20"/>
                <w:szCs w:val="20"/>
              </w:rPr>
              <w:t>85</w:t>
            </w:r>
          </w:p>
        </w:tc>
        <w:tc>
          <w:tcPr>
            <w:tcW w:w="1350" w:type="dxa"/>
            <w:tcBorders>
              <w:top w:val="single" w:sz="4" w:space="0" w:color="auto"/>
              <w:bottom w:val="single" w:sz="4" w:space="0" w:color="auto"/>
            </w:tcBorders>
            <w:tcMar>
              <w:left w:w="29" w:type="dxa"/>
              <w:right w:w="29" w:type="dxa"/>
            </w:tcMar>
            <w:vAlign w:val="center"/>
          </w:tcPr>
          <w:p w:rsidR="005B1090" w:rsidRPr="00EE389F" w:rsidP="008218B3" w14:paraId="7F1DD273" w14:textId="77777777">
            <w:pPr>
              <w:suppressAutoHyphens/>
              <w:jc w:val="center"/>
              <w:rPr>
                <w:rFonts w:ascii="Arial" w:hAnsi="Arial" w:cs="Arial"/>
                <w:sz w:val="20"/>
                <w:szCs w:val="20"/>
              </w:rPr>
            </w:pPr>
            <w:r w:rsidRPr="00EE389F">
              <w:rPr>
                <w:rFonts w:ascii="Arial" w:hAnsi="Arial" w:cs="Arial"/>
                <w:sz w:val="20"/>
                <w:szCs w:val="20"/>
              </w:rPr>
              <w:t>2 hours</w:t>
            </w:r>
          </w:p>
        </w:tc>
        <w:tc>
          <w:tcPr>
            <w:tcW w:w="1458" w:type="dxa"/>
            <w:tcBorders>
              <w:top w:val="single" w:sz="4" w:space="0" w:color="auto"/>
              <w:bottom w:val="single" w:sz="4" w:space="0" w:color="auto"/>
            </w:tcBorders>
            <w:tcMar>
              <w:left w:w="29" w:type="dxa"/>
              <w:right w:w="29" w:type="dxa"/>
            </w:tcMar>
            <w:vAlign w:val="center"/>
          </w:tcPr>
          <w:p w:rsidR="005B1090" w:rsidRPr="00EE389F" w:rsidP="008218B3" w14:paraId="361F8130" w14:textId="4C1CFD23">
            <w:pPr>
              <w:suppressAutoHyphens/>
              <w:jc w:val="center"/>
              <w:rPr>
                <w:rFonts w:ascii="Arial" w:hAnsi="Arial" w:cs="Arial"/>
                <w:sz w:val="20"/>
                <w:szCs w:val="20"/>
              </w:rPr>
            </w:pPr>
            <w:r w:rsidRPr="00EE389F">
              <w:rPr>
                <w:rFonts w:ascii="Arial" w:hAnsi="Arial" w:cs="Arial"/>
                <w:sz w:val="20"/>
                <w:szCs w:val="20"/>
              </w:rPr>
              <w:t>$137.</w:t>
            </w:r>
            <w:r w:rsidR="00E54699">
              <w:rPr>
                <w:rFonts w:ascii="Arial" w:hAnsi="Arial" w:cs="Arial"/>
                <w:sz w:val="20"/>
                <w:szCs w:val="20"/>
              </w:rPr>
              <w:t>70</w:t>
            </w:r>
          </w:p>
        </w:tc>
        <w:tc>
          <w:tcPr>
            <w:tcW w:w="1221" w:type="dxa"/>
            <w:tcBorders>
              <w:top w:val="single" w:sz="4" w:space="0" w:color="auto"/>
              <w:bottom w:val="single" w:sz="4" w:space="0" w:color="auto"/>
            </w:tcBorders>
            <w:tcMar>
              <w:left w:w="29" w:type="dxa"/>
              <w:right w:w="29" w:type="dxa"/>
            </w:tcMar>
            <w:vAlign w:val="center"/>
          </w:tcPr>
          <w:p w:rsidR="005B1090" w:rsidRPr="00EE389F" w:rsidP="008218B3" w14:paraId="71ABDF22" w14:textId="4790ED4D">
            <w:pPr>
              <w:suppressAutoHyphens/>
              <w:jc w:val="center"/>
              <w:rPr>
                <w:rFonts w:ascii="Arial" w:hAnsi="Arial" w:cs="Arial"/>
                <w:sz w:val="20"/>
                <w:szCs w:val="20"/>
              </w:rPr>
            </w:pPr>
            <w:r w:rsidRPr="00EE389F">
              <w:rPr>
                <w:rFonts w:ascii="Arial" w:hAnsi="Arial" w:cs="Arial"/>
                <w:sz w:val="20"/>
                <w:szCs w:val="20"/>
              </w:rPr>
              <w:t>15</w:t>
            </w:r>
          </w:p>
        </w:tc>
        <w:tc>
          <w:tcPr>
            <w:tcW w:w="1461" w:type="dxa"/>
            <w:tcBorders>
              <w:top w:val="single" w:sz="4" w:space="0" w:color="auto"/>
              <w:bottom w:val="single" w:sz="4" w:space="0" w:color="auto"/>
            </w:tcBorders>
            <w:tcMar>
              <w:left w:w="29" w:type="dxa"/>
              <w:right w:w="29" w:type="dxa"/>
            </w:tcMar>
            <w:vAlign w:val="center"/>
          </w:tcPr>
          <w:p w:rsidR="005B1090" w:rsidRPr="00EE389F" w:rsidP="008218B3" w14:paraId="699C0D3E" w14:textId="7A3B04C1">
            <w:pPr>
              <w:suppressAutoHyphens/>
              <w:jc w:val="center"/>
              <w:rPr>
                <w:rFonts w:ascii="Arial" w:hAnsi="Arial" w:cs="Arial"/>
                <w:sz w:val="20"/>
                <w:szCs w:val="20"/>
              </w:rPr>
            </w:pPr>
            <w:r>
              <w:rPr>
                <w:rFonts w:ascii="Arial" w:hAnsi="Arial" w:cs="Arial"/>
                <w:sz w:val="20"/>
                <w:szCs w:val="20"/>
              </w:rPr>
              <w:t>$2,065.50</w:t>
            </w:r>
          </w:p>
        </w:tc>
      </w:tr>
      <w:tr w14:paraId="2986756C" w14:textId="77777777" w:rsidTr="00F225B1">
        <w:tblPrEx>
          <w:tblW w:w="8635" w:type="dxa"/>
          <w:jc w:val="center"/>
          <w:tblLayout w:type="fixed"/>
          <w:tblLook w:val="04A0"/>
        </w:tblPrEx>
        <w:trPr>
          <w:trHeight w:val="576"/>
          <w:jc w:val="center"/>
        </w:trPr>
        <w:tc>
          <w:tcPr>
            <w:tcW w:w="1705" w:type="dxa"/>
            <w:tcBorders>
              <w:top w:val="single" w:sz="4" w:space="0" w:color="auto"/>
              <w:bottom w:val="single" w:sz="4" w:space="0" w:color="auto"/>
            </w:tcBorders>
            <w:vAlign w:val="center"/>
          </w:tcPr>
          <w:p w:rsidR="005B1090" w:rsidRPr="00EE389F" w:rsidP="008218B3" w14:paraId="10270441" w14:textId="77777777">
            <w:pPr>
              <w:suppressAutoHyphens/>
              <w:jc w:val="center"/>
              <w:rPr>
                <w:rFonts w:ascii="Arial" w:hAnsi="Arial" w:cs="Arial"/>
                <w:b/>
                <w:sz w:val="20"/>
                <w:szCs w:val="20"/>
              </w:rPr>
            </w:pPr>
            <w:r w:rsidRPr="00EE389F">
              <w:rPr>
                <w:rFonts w:ascii="Arial" w:hAnsi="Arial" w:cs="Arial"/>
                <w:b/>
                <w:sz w:val="20"/>
                <w:szCs w:val="20"/>
              </w:rPr>
              <w:t xml:space="preserve">TOTALS </w:t>
            </w:r>
          </w:p>
        </w:tc>
        <w:tc>
          <w:tcPr>
            <w:tcW w:w="1440" w:type="dxa"/>
            <w:tcBorders>
              <w:top w:val="single" w:sz="4" w:space="0" w:color="auto"/>
              <w:bottom w:val="single" w:sz="4" w:space="0" w:color="auto"/>
            </w:tcBorders>
            <w:tcMar>
              <w:left w:w="29" w:type="dxa"/>
              <w:right w:w="29" w:type="dxa"/>
            </w:tcMar>
            <w:vAlign w:val="center"/>
          </w:tcPr>
          <w:p w:rsidR="005B1090" w:rsidRPr="00EE389F" w:rsidP="008218B3" w14:paraId="43DADEA5" w14:textId="66D1675B">
            <w:pPr>
              <w:suppressAutoHyphens/>
              <w:jc w:val="center"/>
              <w:rPr>
                <w:rFonts w:ascii="Arial" w:hAnsi="Arial" w:cs="Arial"/>
                <w:b/>
                <w:sz w:val="20"/>
                <w:szCs w:val="20"/>
              </w:rPr>
            </w:pPr>
            <w:r>
              <w:rPr>
                <w:rFonts w:ascii="Arial" w:hAnsi="Arial" w:cs="Arial"/>
                <w:b/>
                <w:sz w:val="20"/>
                <w:szCs w:val="20"/>
              </w:rPr>
              <w:t>($57.685)</w:t>
            </w:r>
          </w:p>
        </w:tc>
        <w:tc>
          <w:tcPr>
            <w:tcW w:w="1350" w:type="dxa"/>
            <w:tcBorders>
              <w:top w:val="single" w:sz="4" w:space="0" w:color="auto"/>
              <w:bottom w:val="single" w:sz="4" w:space="0" w:color="auto"/>
            </w:tcBorders>
            <w:tcMar>
              <w:left w:w="29" w:type="dxa"/>
              <w:right w:w="29" w:type="dxa"/>
            </w:tcMar>
            <w:vAlign w:val="center"/>
          </w:tcPr>
          <w:p w:rsidR="005B1090" w:rsidRPr="00EE389F" w:rsidP="008218B3" w14:paraId="3E9C4026" w14:textId="468A0E24">
            <w:pPr>
              <w:suppressAutoHyphens/>
              <w:jc w:val="center"/>
              <w:rPr>
                <w:rFonts w:ascii="Arial" w:hAnsi="Arial" w:cs="Arial"/>
                <w:b/>
                <w:sz w:val="20"/>
                <w:szCs w:val="20"/>
              </w:rPr>
            </w:pPr>
            <w:r>
              <w:rPr>
                <w:rFonts w:ascii="Arial" w:hAnsi="Arial" w:cs="Arial"/>
                <w:b/>
                <w:sz w:val="20"/>
                <w:szCs w:val="20"/>
              </w:rPr>
              <w:t>2 hours</w:t>
            </w:r>
          </w:p>
        </w:tc>
        <w:tc>
          <w:tcPr>
            <w:tcW w:w="1458" w:type="dxa"/>
            <w:tcBorders>
              <w:top w:val="single" w:sz="4" w:space="0" w:color="auto"/>
              <w:bottom w:val="single" w:sz="4" w:space="0" w:color="auto"/>
            </w:tcBorders>
            <w:tcMar>
              <w:left w:w="29" w:type="dxa"/>
              <w:right w:w="29" w:type="dxa"/>
            </w:tcMar>
            <w:vAlign w:val="center"/>
          </w:tcPr>
          <w:p w:rsidR="005B1090" w:rsidRPr="00EE389F" w:rsidP="008218B3" w14:paraId="0B55D457" w14:textId="4C40CDF9">
            <w:pPr>
              <w:suppressAutoHyphens/>
              <w:jc w:val="center"/>
              <w:rPr>
                <w:rFonts w:ascii="Arial" w:hAnsi="Arial" w:cs="Arial"/>
                <w:b/>
                <w:sz w:val="20"/>
                <w:szCs w:val="20"/>
              </w:rPr>
            </w:pPr>
            <w:r>
              <w:rPr>
                <w:rFonts w:ascii="Arial" w:hAnsi="Arial" w:cs="Arial"/>
                <w:b/>
                <w:sz w:val="20"/>
                <w:szCs w:val="20"/>
              </w:rPr>
              <w:t>($115.37)</w:t>
            </w:r>
          </w:p>
        </w:tc>
        <w:tc>
          <w:tcPr>
            <w:tcW w:w="1221" w:type="dxa"/>
            <w:tcBorders>
              <w:top w:val="single" w:sz="4" w:space="0" w:color="auto"/>
              <w:bottom w:val="single" w:sz="4" w:space="0" w:color="auto"/>
            </w:tcBorders>
            <w:tcMar>
              <w:left w:w="29" w:type="dxa"/>
              <w:right w:w="29" w:type="dxa"/>
            </w:tcMar>
            <w:vAlign w:val="center"/>
          </w:tcPr>
          <w:p w:rsidR="005B1090" w:rsidRPr="00EE389F" w:rsidP="008218B3" w14:paraId="76BFBB9C" w14:textId="70AB04D1">
            <w:pPr>
              <w:suppressAutoHyphens/>
              <w:jc w:val="center"/>
              <w:rPr>
                <w:rFonts w:ascii="Arial" w:hAnsi="Arial" w:cs="Arial"/>
                <w:b/>
                <w:sz w:val="20"/>
                <w:szCs w:val="20"/>
              </w:rPr>
            </w:pPr>
            <w:r>
              <w:rPr>
                <w:rFonts w:ascii="Arial" w:hAnsi="Arial" w:cs="Arial"/>
                <w:b/>
                <w:sz w:val="20"/>
                <w:szCs w:val="20"/>
              </w:rPr>
              <w:t>30</w:t>
            </w:r>
          </w:p>
        </w:tc>
        <w:tc>
          <w:tcPr>
            <w:tcW w:w="1461" w:type="dxa"/>
            <w:tcBorders>
              <w:top w:val="single" w:sz="4" w:space="0" w:color="auto"/>
              <w:bottom w:val="single" w:sz="4" w:space="0" w:color="auto"/>
            </w:tcBorders>
            <w:tcMar>
              <w:left w:w="29" w:type="dxa"/>
              <w:right w:w="29" w:type="dxa"/>
            </w:tcMar>
            <w:vAlign w:val="center"/>
          </w:tcPr>
          <w:p w:rsidR="005B1090" w:rsidRPr="00EE389F" w:rsidP="008218B3" w14:paraId="348D3DBE" w14:textId="55068FD6">
            <w:pPr>
              <w:suppressAutoHyphens/>
              <w:jc w:val="center"/>
              <w:rPr>
                <w:rFonts w:ascii="Arial" w:hAnsi="Arial" w:cs="Arial"/>
                <w:b/>
                <w:sz w:val="20"/>
                <w:szCs w:val="20"/>
              </w:rPr>
            </w:pPr>
            <w:r>
              <w:rPr>
                <w:rFonts w:ascii="Arial" w:hAnsi="Arial" w:cs="Arial"/>
                <w:b/>
                <w:sz w:val="20"/>
                <w:szCs w:val="20"/>
              </w:rPr>
              <w:t>$3,461.10</w:t>
            </w:r>
          </w:p>
        </w:tc>
      </w:tr>
    </w:tbl>
    <w:p w:rsidR="005B1090" w:rsidRPr="00EE389F" w:rsidP="008218B3" w14:paraId="26536A15" w14:textId="79200B79">
      <w:pPr>
        <w:ind w:left="360"/>
        <w:rPr>
          <w:rFonts w:ascii="Arial" w:hAnsi="Arial" w:eastAsiaTheme="minorHAnsi" w:cs="Arial"/>
          <w:sz w:val="8"/>
          <w:szCs w:val="8"/>
        </w:rPr>
      </w:pPr>
    </w:p>
    <w:p w:rsidR="005B1090" w:rsidRPr="00EE389F" w:rsidP="008218B3" w14:paraId="691963CB" w14:textId="3542E1FD">
      <w:pPr>
        <w:ind w:left="360"/>
        <w:rPr>
          <w:rFonts w:ascii="Arial" w:hAnsi="Arial" w:eastAsiaTheme="minorHAnsi" w:cs="Arial"/>
          <w:sz w:val="20"/>
          <w:szCs w:val="20"/>
        </w:rPr>
      </w:pPr>
      <w:r w:rsidRPr="00EE389F">
        <w:rPr>
          <w:rFonts w:ascii="Arial" w:hAnsi="Arial" w:eastAsiaTheme="minorHAnsi" w:cs="Arial"/>
          <w:sz w:val="22"/>
          <w:szCs w:val="22"/>
        </w:rPr>
        <w:t xml:space="preserve">* </w:t>
      </w:r>
      <w:r w:rsidRPr="00EE389F">
        <w:rPr>
          <w:rFonts w:ascii="Arial" w:hAnsi="Arial" w:eastAsiaTheme="minorHAnsi" w:cs="Arial"/>
          <w:sz w:val="20"/>
          <w:szCs w:val="20"/>
        </w:rPr>
        <w:t xml:space="preserve">TTB </w:t>
      </w:r>
      <w:r w:rsidRPr="00EE389F" w:rsidR="00EE389F">
        <w:rPr>
          <w:rFonts w:ascii="Arial" w:hAnsi="Arial" w:eastAsiaTheme="minorHAnsi" w:cs="Arial"/>
          <w:sz w:val="20"/>
          <w:szCs w:val="20"/>
        </w:rPr>
        <w:t xml:space="preserve">fully-loaded </w:t>
      </w:r>
      <w:r w:rsidRPr="00EE389F">
        <w:rPr>
          <w:rFonts w:ascii="Arial" w:hAnsi="Arial" w:eastAsiaTheme="minorHAnsi" w:cs="Arial"/>
          <w:sz w:val="20"/>
          <w:szCs w:val="20"/>
        </w:rPr>
        <w:t xml:space="preserve">labor </w:t>
      </w:r>
      <w:r w:rsidRPr="00EE389F" w:rsidR="00EE389F">
        <w:rPr>
          <w:rFonts w:ascii="Arial" w:hAnsi="Arial" w:eastAsiaTheme="minorHAnsi" w:cs="Arial"/>
          <w:sz w:val="20"/>
          <w:szCs w:val="20"/>
        </w:rPr>
        <w:t xml:space="preserve">rates are </w:t>
      </w:r>
      <w:r w:rsidRPr="00EE389F">
        <w:rPr>
          <w:rFonts w:ascii="Arial" w:hAnsi="Arial" w:eastAsiaTheme="minorHAnsi" w:cs="Arial"/>
          <w:sz w:val="20"/>
          <w:szCs w:val="20"/>
        </w:rPr>
        <w:t xml:space="preserve">rounded to the nearest whole cent. </w:t>
      </w:r>
    </w:p>
    <w:p w:rsidR="005B1090" w:rsidRPr="00EE389F" w:rsidP="008218B3" w14:paraId="0E165D7B" w14:textId="77777777">
      <w:pPr>
        <w:tabs>
          <w:tab w:val="left" w:pos="8775"/>
        </w:tabs>
        <w:ind w:left="360"/>
        <w:rPr>
          <w:rFonts w:ascii="Arial" w:hAnsi="Arial" w:eastAsiaTheme="minorHAnsi" w:cs="Arial"/>
          <w:sz w:val="22"/>
          <w:szCs w:val="22"/>
        </w:rPr>
      </w:pPr>
    </w:p>
    <w:p w:rsidR="005B1090" w:rsidRPr="00EE389F" w:rsidP="008218B3" w14:paraId="0B0CFF65" w14:textId="08FA5584">
      <w:pPr>
        <w:tabs>
          <w:tab w:val="left" w:pos="8775"/>
        </w:tabs>
        <w:ind w:left="360"/>
        <w:rPr>
          <w:rFonts w:ascii="Arial" w:hAnsi="Arial" w:eastAsiaTheme="minorHAnsi" w:cs="Arial"/>
          <w:sz w:val="22"/>
          <w:szCs w:val="22"/>
        </w:rPr>
      </w:pPr>
      <w:r w:rsidRPr="00EE389F">
        <w:rPr>
          <w:rFonts w:ascii="Arial" w:hAnsi="Arial" w:eastAsiaTheme="minorHAnsi" w:cs="Arial"/>
          <w:sz w:val="22"/>
          <w:szCs w:val="22"/>
          <w:u w:val="single"/>
        </w:rPr>
        <w:t>Total Costs:</w:t>
      </w:r>
      <w:r w:rsidRPr="00EE389F">
        <w:rPr>
          <w:rFonts w:ascii="Arial" w:hAnsi="Arial" w:eastAsiaTheme="minorHAnsi" w:cs="Arial"/>
          <w:sz w:val="22"/>
          <w:szCs w:val="22"/>
        </w:rPr>
        <w:t xml:space="preserve">  Given its general and labor costs, TTB estimates the total cost to the Federal government for this information collection to be </w:t>
      </w:r>
      <w:r w:rsidRPr="00EE389F">
        <w:rPr>
          <w:rFonts w:ascii="Arial" w:hAnsi="Arial" w:eastAsiaTheme="minorHAnsi" w:cs="Arial"/>
          <w:b/>
          <w:sz w:val="22"/>
          <w:szCs w:val="22"/>
        </w:rPr>
        <w:t>$</w:t>
      </w:r>
      <w:r w:rsidR="00E41C16">
        <w:rPr>
          <w:rFonts w:ascii="Arial" w:hAnsi="Arial" w:eastAsiaTheme="minorHAnsi" w:cs="Arial"/>
          <w:b/>
          <w:sz w:val="22"/>
          <w:szCs w:val="22"/>
        </w:rPr>
        <w:t>3,491.10</w:t>
      </w:r>
      <w:r w:rsidRPr="00EE389F">
        <w:rPr>
          <w:rFonts w:ascii="Arial" w:hAnsi="Arial" w:eastAsiaTheme="minorHAnsi" w:cs="Arial"/>
          <w:b/>
          <w:bCs/>
          <w:sz w:val="22"/>
          <w:szCs w:val="22"/>
        </w:rPr>
        <w:t>.</w:t>
      </w:r>
      <w:r w:rsidRPr="00EE389F">
        <w:rPr>
          <w:rFonts w:ascii="Arial" w:hAnsi="Arial" w:eastAsiaTheme="minorHAnsi" w:cs="Arial"/>
          <w:sz w:val="22"/>
          <w:szCs w:val="22"/>
        </w:rPr>
        <w:t xml:space="preserve"> </w:t>
      </w:r>
    </w:p>
    <w:p w:rsidR="005B1090" w:rsidRPr="00EE389F" w:rsidP="008218B3" w14:paraId="0CAE72A7" w14:textId="77777777">
      <w:pPr>
        <w:rPr>
          <w:rFonts w:ascii="Arial" w:hAnsi="Arial" w:cs="Arial"/>
          <w:sz w:val="28"/>
          <w:szCs w:val="28"/>
        </w:rPr>
      </w:pPr>
    </w:p>
    <w:p w:rsidR="00AF1157" w:rsidRPr="00F43E9A" w:rsidP="008218B3" w14:paraId="6EE3DE43" w14:textId="77777777">
      <w:pPr>
        <w:suppressAutoHyphens/>
        <w:rPr>
          <w:rFonts w:ascii="Arial" w:hAnsi="Arial" w:cs="Arial"/>
          <w:i/>
          <w:sz w:val="22"/>
          <w:szCs w:val="22"/>
        </w:rPr>
      </w:pPr>
      <w:r w:rsidRPr="00EE389F">
        <w:rPr>
          <w:rFonts w:ascii="Arial" w:hAnsi="Arial" w:cs="Arial"/>
          <w:i/>
          <w:sz w:val="22"/>
          <w:szCs w:val="22"/>
        </w:rPr>
        <w:t xml:space="preserve">15.  What is the </w:t>
      </w:r>
      <w:r w:rsidRPr="00F43E9A">
        <w:rPr>
          <w:rFonts w:ascii="Arial" w:hAnsi="Arial" w:cs="Arial"/>
          <w:i/>
          <w:sz w:val="22"/>
          <w:szCs w:val="22"/>
        </w:rPr>
        <w:t xml:space="preserve">reason for any program changes or adjustments reported? </w:t>
      </w:r>
    </w:p>
    <w:p w:rsidR="00AF1157" w:rsidRPr="00F43E9A" w:rsidP="008218B3" w14:paraId="36D2A96D" w14:textId="77777777">
      <w:pPr>
        <w:suppressAutoHyphens/>
        <w:rPr>
          <w:rFonts w:ascii="Arial" w:hAnsi="Arial" w:cs="Arial"/>
          <w:sz w:val="22"/>
          <w:szCs w:val="22"/>
        </w:rPr>
      </w:pPr>
    </w:p>
    <w:p w:rsidR="0016021F" w:rsidRPr="00F43E9A" w:rsidP="008218B3" w14:paraId="0A5626AA" w14:textId="1C7E4519">
      <w:pPr>
        <w:ind w:left="360"/>
        <w:rPr>
          <w:rFonts w:ascii="Arial" w:hAnsi="Arial" w:cs="Arial"/>
          <w:sz w:val="22"/>
          <w:szCs w:val="22"/>
        </w:rPr>
      </w:pPr>
      <w:r w:rsidRPr="00F43E9A">
        <w:rPr>
          <w:rFonts w:ascii="Arial" w:hAnsi="Arial" w:cs="Arial"/>
          <w:sz w:val="22"/>
          <w:szCs w:val="22"/>
        </w:rPr>
        <w:t xml:space="preserve">There are no program changes </w:t>
      </w:r>
      <w:r w:rsidRPr="00F43E9A" w:rsidR="00F43E9A">
        <w:rPr>
          <w:rFonts w:ascii="Arial" w:hAnsi="Arial" w:cs="Arial"/>
          <w:sz w:val="22"/>
          <w:szCs w:val="22"/>
        </w:rPr>
        <w:t xml:space="preserve">to this information collection at this time, and </w:t>
      </w:r>
      <w:r w:rsidRPr="00F43E9A">
        <w:rPr>
          <w:rFonts w:ascii="Arial" w:hAnsi="Arial" w:cs="Arial"/>
          <w:sz w:val="22"/>
          <w:szCs w:val="22"/>
        </w:rPr>
        <w:t xml:space="preserve">TTB is submitting it for extension purposes only. </w:t>
      </w:r>
      <w:r w:rsidRPr="00F43E9A" w:rsidR="00F43E9A">
        <w:rPr>
          <w:rFonts w:ascii="Arial" w:hAnsi="Arial" w:cs="Arial"/>
          <w:sz w:val="22"/>
          <w:szCs w:val="22"/>
        </w:rPr>
        <w:t xml:space="preserve"> As for adjustments, due to changes in agency estimates resulting from improved data collection, TTB is decreasing the estimated number of respondents, responses per respondent, total responses, and burden hours for this collection, from 350 respondents to 30, 2 responses per respondent to 1, 700 total responses to 30, and 350 hours to 30. </w:t>
      </w:r>
    </w:p>
    <w:p w:rsidR="00AF060A" w:rsidRPr="00F43E9A" w:rsidP="008218B3" w14:paraId="73A0D590" w14:textId="77777777">
      <w:pPr>
        <w:suppressAutoHyphens/>
        <w:rPr>
          <w:rFonts w:ascii="Arial" w:hAnsi="Arial" w:cs="Arial"/>
          <w:sz w:val="28"/>
          <w:szCs w:val="28"/>
        </w:rPr>
      </w:pPr>
    </w:p>
    <w:p w:rsidR="00E606AB" w14:paraId="58F5A544" w14:textId="77777777">
      <w:pPr>
        <w:rPr>
          <w:rFonts w:ascii="Arial" w:hAnsi="Arial" w:cs="Arial"/>
          <w:i/>
          <w:sz w:val="22"/>
          <w:szCs w:val="22"/>
        </w:rPr>
      </w:pPr>
      <w:r>
        <w:rPr>
          <w:rFonts w:ascii="Arial" w:hAnsi="Arial" w:cs="Arial"/>
          <w:i/>
          <w:sz w:val="22"/>
          <w:szCs w:val="22"/>
        </w:rPr>
        <w:br w:type="page"/>
      </w:r>
    </w:p>
    <w:p w:rsidR="00AF1157" w:rsidRPr="00F43E9A" w:rsidP="008218B3" w14:paraId="7C2DE960" w14:textId="0736B620">
      <w:pPr>
        <w:suppressAutoHyphens/>
        <w:rPr>
          <w:rFonts w:ascii="Arial" w:hAnsi="Arial" w:cs="Arial"/>
          <w:i/>
          <w:sz w:val="22"/>
          <w:szCs w:val="22"/>
        </w:rPr>
      </w:pPr>
      <w:r w:rsidRPr="00F43E9A">
        <w:rPr>
          <w:rFonts w:ascii="Arial" w:hAnsi="Arial" w:cs="Arial"/>
          <w:i/>
          <w:sz w:val="22"/>
          <w:szCs w:val="22"/>
        </w:rPr>
        <w:t xml:space="preserve">16.  Outline plans for tabulation and publication for collections of information whose results will be published. </w:t>
      </w:r>
    </w:p>
    <w:p w:rsidR="00AF1157" w:rsidRPr="00F43E9A" w:rsidP="008218B3" w14:paraId="085EEFA8" w14:textId="77777777">
      <w:pPr>
        <w:suppressAutoHyphens/>
        <w:ind w:left="480" w:hanging="480"/>
        <w:rPr>
          <w:rFonts w:ascii="Arial" w:hAnsi="Arial" w:cs="Arial"/>
          <w:sz w:val="22"/>
          <w:szCs w:val="22"/>
        </w:rPr>
      </w:pPr>
    </w:p>
    <w:p w:rsidR="00AF1157" w:rsidRPr="00F43E9A" w:rsidP="008218B3" w14:paraId="3D1CA32C" w14:textId="74BAACCD">
      <w:pPr>
        <w:suppressAutoHyphens/>
        <w:ind w:left="360"/>
        <w:rPr>
          <w:rFonts w:ascii="Arial" w:hAnsi="Arial" w:cs="Arial"/>
          <w:sz w:val="22"/>
          <w:szCs w:val="22"/>
        </w:rPr>
      </w:pPr>
      <w:r w:rsidRPr="00F43E9A">
        <w:rPr>
          <w:rFonts w:ascii="Arial" w:hAnsi="Arial" w:cs="Arial"/>
          <w:sz w:val="22"/>
          <w:szCs w:val="22"/>
        </w:rPr>
        <w:t>T</w:t>
      </w:r>
      <w:r w:rsidRPr="00F43E9A" w:rsidR="00276081">
        <w:rPr>
          <w:rFonts w:ascii="Arial" w:hAnsi="Arial" w:cs="Arial"/>
          <w:sz w:val="22"/>
          <w:szCs w:val="22"/>
        </w:rPr>
        <w:t>TB will not publish t</w:t>
      </w:r>
      <w:r w:rsidRPr="00F43E9A">
        <w:rPr>
          <w:rFonts w:ascii="Arial" w:hAnsi="Arial" w:cs="Arial"/>
          <w:sz w:val="22"/>
          <w:szCs w:val="22"/>
        </w:rPr>
        <w:t xml:space="preserve">he </w:t>
      </w:r>
      <w:r w:rsidRPr="00F43E9A" w:rsidR="00276081">
        <w:rPr>
          <w:rFonts w:ascii="Arial" w:hAnsi="Arial" w:cs="Arial"/>
          <w:sz w:val="22"/>
          <w:szCs w:val="22"/>
        </w:rPr>
        <w:t>result</w:t>
      </w:r>
      <w:r w:rsidRPr="00F43E9A">
        <w:rPr>
          <w:rFonts w:ascii="Arial" w:hAnsi="Arial" w:cs="Arial"/>
          <w:sz w:val="22"/>
          <w:szCs w:val="22"/>
        </w:rPr>
        <w:t xml:space="preserve">s of this </w:t>
      </w:r>
      <w:r w:rsidRPr="00F43E9A" w:rsidR="00B85C53">
        <w:rPr>
          <w:rFonts w:ascii="Arial" w:hAnsi="Arial" w:cs="Arial"/>
          <w:sz w:val="22"/>
          <w:szCs w:val="22"/>
        </w:rPr>
        <w:t xml:space="preserve">information </w:t>
      </w:r>
      <w:r w:rsidRPr="00F43E9A">
        <w:rPr>
          <w:rFonts w:ascii="Arial" w:hAnsi="Arial" w:cs="Arial"/>
          <w:sz w:val="22"/>
          <w:szCs w:val="22"/>
        </w:rPr>
        <w:t>collection.</w:t>
      </w:r>
      <w:r w:rsidRPr="00F43E9A" w:rsidR="00AF060A">
        <w:rPr>
          <w:rFonts w:ascii="Arial" w:hAnsi="Arial" w:cs="Arial"/>
          <w:sz w:val="22"/>
          <w:szCs w:val="22"/>
        </w:rPr>
        <w:t xml:space="preserve"> </w:t>
      </w:r>
    </w:p>
    <w:p w:rsidR="00AF1157" w:rsidRPr="00EE389F" w:rsidP="008218B3" w14:paraId="0EACB018" w14:textId="77777777">
      <w:pPr>
        <w:suppressAutoHyphens/>
        <w:rPr>
          <w:rFonts w:ascii="Arial" w:hAnsi="Arial" w:cs="Arial"/>
          <w:sz w:val="28"/>
          <w:szCs w:val="28"/>
        </w:rPr>
      </w:pPr>
    </w:p>
    <w:p w:rsidR="00AF1157" w:rsidRPr="00EE389F" w:rsidP="008218B3" w14:paraId="11EC4BC8" w14:textId="77777777">
      <w:pPr>
        <w:suppressAutoHyphens/>
        <w:rPr>
          <w:rFonts w:ascii="Arial" w:hAnsi="Arial" w:cs="Arial"/>
          <w:sz w:val="22"/>
          <w:szCs w:val="22"/>
        </w:rPr>
      </w:pPr>
      <w:r w:rsidRPr="00EE389F">
        <w:rPr>
          <w:rFonts w:ascii="Arial" w:hAnsi="Arial" w:cs="Arial"/>
          <w:sz w:val="22"/>
          <w:szCs w:val="22"/>
        </w:rPr>
        <w:t>17.  If seeking approval to not display the expiration date for OMB approval of this information collection, what are the reasons that the display would be inappropriate?</w:t>
      </w:r>
      <w:r w:rsidRPr="00EE389F" w:rsidR="004D086A">
        <w:rPr>
          <w:rFonts w:ascii="Arial" w:hAnsi="Arial" w:cs="Arial"/>
          <w:sz w:val="22"/>
          <w:szCs w:val="22"/>
        </w:rPr>
        <w:t xml:space="preserve"> </w:t>
      </w:r>
    </w:p>
    <w:p w:rsidR="00AF1157" w:rsidRPr="00EE389F" w:rsidP="008218B3" w14:paraId="312400F0" w14:textId="77777777">
      <w:pPr>
        <w:suppressAutoHyphens/>
        <w:rPr>
          <w:rFonts w:ascii="Arial" w:hAnsi="Arial" w:cs="Arial"/>
          <w:sz w:val="22"/>
          <w:szCs w:val="22"/>
        </w:rPr>
      </w:pPr>
    </w:p>
    <w:p w:rsidR="00851169" w:rsidRPr="00EE389F" w:rsidP="008218B3" w14:paraId="4D44C364" w14:textId="6FF4F07A">
      <w:pPr>
        <w:autoSpaceDE w:val="0"/>
        <w:autoSpaceDN w:val="0"/>
        <w:ind w:left="360"/>
        <w:rPr>
          <w:rFonts w:ascii="Arial" w:hAnsi="Arial" w:cs="Arial"/>
          <w:sz w:val="22"/>
          <w:szCs w:val="22"/>
        </w:rPr>
      </w:pPr>
      <w:r w:rsidRPr="00EE389F">
        <w:rPr>
          <w:rFonts w:ascii="Arial" w:hAnsi="Arial" w:cs="Arial"/>
          <w:sz w:val="22"/>
          <w:szCs w:val="22"/>
        </w:rPr>
        <w:t>This information collection consists of letterhead applications and notice generated by respondents.  As such, t</w:t>
      </w:r>
      <w:r w:rsidRPr="00EE389F" w:rsidR="00052E53">
        <w:rPr>
          <w:rFonts w:ascii="Arial" w:hAnsi="Arial" w:cs="Arial"/>
          <w:sz w:val="22"/>
          <w:szCs w:val="22"/>
        </w:rPr>
        <w:t xml:space="preserve">here is no prescribed TTB form for this </w:t>
      </w:r>
      <w:r w:rsidRPr="00EE389F" w:rsidR="00A47E42">
        <w:rPr>
          <w:rFonts w:ascii="Arial" w:hAnsi="Arial" w:cs="Arial"/>
          <w:sz w:val="22"/>
          <w:szCs w:val="22"/>
        </w:rPr>
        <w:t xml:space="preserve">information </w:t>
      </w:r>
      <w:r w:rsidRPr="00EE389F" w:rsidR="00052E53">
        <w:rPr>
          <w:rFonts w:ascii="Arial" w:hAnsi="Arial" w:cs="Arial"/>
          <w:sz w:val="22"/>
          <w:szCs w:val="22"/>
        </w:rPr>
        <w:t>collection</w:t>
      </w:r>
      <w:r w:rsidRPr="00EE389F">
        <w:rPr>
          <w:rFonts w:ascii="Arial" w:hAnsi="Arial" w:cs="Arial"/>
          <w:sz w:val="22"/>
          <w:szCs w:val="22"/>
        </w:rPr>
        <w:t xml:space="preserve"> and thus there is </w:t>
      </w:r>
      <w:r w:rsidRPr="00EE389F" w:rsidR="00052E53">
        <w:rPr>
          <w:rFonts w:ascii="Arial" w:hAnsi="Arial" w:cs="Arial"/>
          <w:sz w:val="22"/>
          <w:szCs w:val="22"/>
        </w:rPr>
        <w:t xml:space="preserve">no medium for TTB to display the </w:t>
      </w:r>
      <w:r w:rsidRPr="00EE389F" w:rsidR="00A47E42">
        <w:rPr>
          <w:rFonts w:ascii="Arial" w:hAnsi="Arial" w:cs="Arial"/>
          <w:sz w:val="22"/>
          <w:szCs w:val="22"/>
        </w:rPr>
        <w:t xml:space="preserve">collection’s </w:t>
      </w:r>
      <w:r w:rsidRPr="00EE389F" w:rsidR="00052E53">
        <w:rPr>
          <w:rFonts w:ascii="Arial" w:hAnsi="Arial" w:cs="Arial"/>
          <w:sz w:val="22"/>
          <w:szCs w:val="22"/>
        </w:rPr>
        <w:t>OMB approval expiration date.</w:t>
      </w:r>
      <w:r w:rsidRPr="00EE389F" w:rsidR="000B6799">
        <w:rPr>
          <w:rFonts w:ascii="Arial" w:hAnsi="Arial" w:cs="Arial"/>
          <w:sz w:val="22"/>
          <w:szCs w:val="22"/>
        </w:rPr>
        <w:t xml:space="preserve"> </w:t>
      </w:r>
    </w:p>
    <w:p w:rsidR="00014CEB" w:rsidRPr="00EE389F" w:rsidP="008218B3" w14:paraId="6208A2C0" w14:textId="77777777">
      <w:pPr>
        <w:autoSpaceDE w:val="0"/>
        <w:autoSpaceDN w:val="0"/>
        <w:rPr>
          <w:rFonts w:ascii="Arial" w:hAnsi="Arial" w:cs="Arial"/>
          <w:sz w:val="28"/>
          <w:szCs w:val="28"/>
        </w:rPr>
      </w:pPr>
    </w:p>
    <w:p w:rsidR="00AF1157" w:rsidRPr="00EE389F" w:rsidP="008218B3" w14:paraId="00588E46" w14:textId="77777777">
      <w:pPr>
        <w:suppressAutoHyphens/>
        <w:rPr>
          <w:rFonts w:ascii="Arial" w:hAnsi="Arial" w:cs="Arial"/>
          <w:i/>
          <w:sz w:val="22"/>
          <w:szCs w:val="22"/>
        </w:rPr>
      </w:pPr>
      <w:r w:rsidRPr="00EE389F">
        <w:rPr>
          <w:rFonts w:ascii="Arial" w:hAnsi="Arial" w:cs="Arial"/>
          <w:i/>
          <w:sz w:val="22"/>
          <w:szCs w:val="22"/>
        </w:rPr>
        <w:t>18.  What are the exceptions to the certification statement?</w:t>
      </w:r>
      <w:r w:rsidRPr="00EE389F" w:rsidR="00D56B01">
        <w:rPr>
          <w:rFonts w:ascii="Arial" w:hAnsi="Arial" w:cs="Arial"/>
          <w:i/>
          <w:sz w:val="22"/>
          <w:szCs w:val="22"/>
        </w:rPr>
        <w:t xml:space="preserve"> </w:t>
      </w:r>
    </w:p>
    <w:p w:rsidR="00AF1157" w:rsidRPr="00EE389F" w:rsidP="008218B3" w14:paraId="6056C3D5" w14:textId="77777777">
      <w:pPr>
        <w:suppressAutoHyphens/>
        <w:ind w:left="360"/>
        <w:rPr>
          <w:rFonts w:ascii="Arial" w:hAnsi="Arial" w:cs="Arial"/>
          <w:sz w:val="22"/>
          <w:szCs w:val="22"/>
        </w:rPr>
      </w:pPr>
    </w:p>
    <w:p w:rsidR="00851169" w:rsidRPr="00EE389F" w:rsidP="008218B3" w14:paraId="7BA3A941" w14:textId="50A0E8B3">
      <w:pPr>
        <w:tabs>
          <w:tab w:val="left" w:pos="720"/>
        </w:tabs>
        <w:spacing w:after="120"/>
        <w:ind w:left="360"/>
        <w:rPr>
          <w:rFonts w:ascii="Arial" w:hAnsi="Arial" w:cs="Arial"/>
          <w:sz w:val="22"/>
          <w:szCs w:val="22"/>
        </w:rPr>
      </w:pPr>
      <w:r w:rsidRPr="00EE389F">
        <w:rPr>
          <w:rFonts w:ascii="Arial" w:hAnsi="Arial" w:cs="Arial"/>
          <w:sz w:val="22"/>
          <w:szCs w:val="22"/>
        </w:rPr>
        <w:t>(c)</w:t>
      </w:r>
      <w:r w:rsidRPr="00EE389F">
        <w:rPr>
          <w:rFonts w:ascii="Arial" w:hAnsi="Arial" w:cs="Arial"/>
          <w:sz w:val="22"/>
          <w:szCs w:val="22"/>
        </w:rPr>
        <w:tab/>
        <w:t xml:space="preserve">See item 5 above. </w:t>
      </w:r>
    </w:p>
    <w:p w:rsidR="00851169" w:rsidRPr="00EE389F" w:rsidP="008218B3" w14:paraId="50A119E6" w14:textId="4BDD32E7">
      <w:pPr>
        <w:tabs>
          <w:tab w:val="left" w:pos="720"/>
        </w:tabs>
        <w:spacing w:after="120"/>
        <w:ind w:left="360"/>
        <w:rPr>
          <w:rFonts w:ascii="Arial" w:hAnsi="Arial" w:cs="Arial"/>
          <w:sz w:val="22"/>
          <w:szCs w:val="22"/>
        </w:rPr>
      </w:pPr>
      <w:r w:rsidRPr="00EE389F">
        <w:rPr>
          <w:rFonts w:ascii="Arial" w:hAnsi="Arial" w:cs="Arial"/>
          <w:sz w:val="22"/>
          <w:szCs w:val="22"/>
        </w:rPr>
        <w:t>(i)</w:t>
      </w:r>
      <w:r w:rsidRPr="00EE389F">
        <w:rPr>
          <w:rFonts w:ascii="Arial" w:hAnsi="Arial" w:cs="Arial"/>
          <w:sz w:val="22"/>
          <w:szCs w:val="22"/>
        </w:rPr>
        <w:tab/>
        <w:t xml:space="preserve">No statistics are involved. </w:t>
      </w:r>
    </w:p>
    <w:p w:rsidR="00851169" w:rsidRPr="00EE389F" w:rsidP="008218B3" w14:paraId="4F6B6CFD" w14:textId="149ED08E">
      <w:pPr>
        <w:tabs>
          <w:tab w:val="left" w:pos="720"/>
        </w:tabs>
        <w:ind w:left="360"/>
        <w:rPr>
          <w:rFonts w:ascii="Arial" w:hAnsi="Arial" w:cs="Arial"/>
          <w:sz w:val="22"/>
          <w:szCs w:val="22"/>
        </w:rPr>
      </w:pPr>
      <w:r w:rsidRPr="00EE389F">
        <w:rPr>
          <w:rFonts w:ascii="Arial" w:hAnsi="Arial" w:cs="Arial"/>
          <w:sz w:val="22"/>
          <w:szCs w:val="22"/>
        </w:rPr>
        <w:t>(j)</w:t>
      </w:r>
      <w:r w:rsidRPr="00EE389F">
        <w:rPr>
          <w:rFonts w:ascii="Arial" w:hAnsi="Arial" w:cs="Arial"/>
          <w:sz w:val="22"/>
          <w:szCs w:val="22"/>
        </w:rPr>
        <w:tab/>
        <w:t xml:space="preserve">See item 3 above. </w:t>
      </w:r>
    </w:p>
    <w:p w:rsidR="00A47E42" w:rsidRPr="00EE389F" w:rsidP="008218B3" w14:paraId="1972E48D" w14:textId="1806A1DE">
      <w:pPr>
        <w:rPr>
          <w:rFonts w:ascii="Arial" w:hAnsi="Arial" w:cs="Arial"/>
          <w:sz w:val="28"/>
          <w:szCs w:val="28"/>
        </w:rPr>
      </w:pPr>
    </w:p>
    <w:p w:rsidR="0016021F" w:rsidRPr="00EE389F" w:rsidP="008218B3" w14:paraId="517C8D66" w14:textId="77777777">
      <w:pPr>
        <w:rPr>
          <w:rFonts w:ascii="Arial" w:hAnsi="Arial" w:cs="Arial"/>
          <w:sz w:val="28"/>
          <w:szCs w:val="28"/>
        </w:rPr>
      </w:pPr>
    </w:p>
    <w:p w:rsidR="00BD3333" w:rsidRPr="00EE389F" w:rsidP="008218B3" w14:paraId="424FE98E" w14:textId="77777777">
      <w:pPr>
        <w:rPr>
          <w:rFonts w:ascii="Arial" w:hAnsi="Arial" w:cs="Arial"/>
          <w:b/>
          <w:bCs/>
          <w:sz w:val="22"/>
          <w:szCs w:val="22"/>
        </w:rPr>
      </w:pPr>
      <w:r w:rsidRPr="00EE389F">
        <w:rPr>
          <w:rFonts w:ascii="Arial" w:hAnsi="Arial" w:cs="Arial"/>
          <w:b/>
          <w:bCs/>
          <w:sz w:val="22"/>
          <w:szCs w:val="22"/>
        </w:rPr>
        <w:t xml:space="preserve">B. </w:t>
      </w:r>
      <w:r w:rsidRPr="00EE389F" w:rsidR="00BA1A21">
        <w:rPr>
          <w:rFonts w:ascii="Arial" w:hAnsi="Arial" w:cs="Arial"/>
          <w:b/>
          <w:bCs/>
          <w:sz w:val="22"/>
          <w:szCs w:val="22"/>
        </w:rPr>
        <w:t xml:space="preserve"> </w:t>
      </w:r>
      <w:r w:rsidRPr="00EE389F">
        <w:rPr>
          <w:rFonts w:ascii="Arial" w:hAnsi="Arial" w:cs="Arial"/>
          <w:b/>
          <w:bCs/>
          <w:sz w:val="22"/>
          <w:szCs w:val="22"/>
          <w:u w:val="single"/>
        </w:rPr>
        <w:t>Collections of Information Employing Statistical Methods</w:t>
      </w:r>
      <w:r w:rsidRPr="00EE389F">
        <w:rPr>
          <w:rFonts w:ascii="Arial" w:hAnsi="Arial" w:cs="Arial"/>
          <w:b/>
          <w:bCs/>
          <w:sz w:val="22"/>
          <w:szCs w:val="22"/>
        </w:rPr>
        <w:t>.</w:t>
      </w:r>
    </w:p>
    <w:p w:rsidR="00BD3333" w:rsidRPr="00EE389F" w:rsidP="008218B3" w14:paraId="0EBFB56B" w14:textId="77777777">
      <w:pPr>
        <w:pStyle w:val="Header"/>
        <w:tabs>
          <w:tab w:val="clear" w:pos="4320"/>
          <w:tab w:val="clear" w:pos="8640"/>
        </w:tabs>
        <w:rPr>
          <w:rFonts w:ascii="Arial" w:hAnsi="Arial" w:cs="Arial"/>
          <w:sz w:val="22"/>
          <w:szCs w:val="22"/>
        </w:rPr>
      </w:pPr>
    </w:p>
    <w:p w:rsidR="00A5459F" w:rsidRPr="00EE389F" w:rsidP="008218B3" w14:paraId="29D80449" w14:textId="330AC7B7">
      <w:pPr>
        <w:pStyle w:val="Header"/>
        <w:tabs>
          <w:tab w:val="clear" w:pos="4320"/>
          <w:tab w:val="clear" w:pos="8640"/>
        </w:tabs>
        <w:ind w:left="360"/>
        <w:rPr>
          <w:rFonts w:ascii="Arial" w:hAnsi="Arial" w:cs="Arial"/>
          <w:sz w:val="22"/>
          <w:szCs w:val="22"/>
        </w:rPr>
      </w:pPr>
      <w:r w:rsidRPr="00EE389F">
        <w:rPr>
          <w:rFonts w:ascii="Arial" w:hAnsi="Arial" w:cs="Arial"/>
          <w:sz w:val="22"/>
          <w:szCs w:val="22"/>
        </w:rPr>
        <w:t xml:space="preserve">This </w:t>
      </w:r>
      <w:r w:rsidRPr="00EE389F" w:rsidR="0016021F">
        <w:rPr>
          <w:rFonts w:ascii="Arial" w:hAnsi="Arial" w:cs="Arial"/>
          <w:sz w:val="22"/>
          <w:szCs w:val="22"/>
        </w:rPr>
        <w:t xml:space="preserve">information </w:t>
      </w:r>
      <w:r w:rsidRPr="00EE389F">
        <w:rPr>
          <w:rFonts w:ascii="Arial" w:hAnsi="Arial" w:cs="Arial"/>
          <w:sz w:val="22"/>
          <w:szCs w:val="22"/>
        </w:rPr>
        <w:t>collection does not employ statistical methods.</w:t>
      </w:r>
    </w:p>
    <w:p w:rsidR="00A5459F" w:rsidRPr="00EE389F" w:rsidP="008218B3" w14:paraId="1ED9602E" w14:textId="77777777">
      <w:pPr>
        <w:pStyle w:val="Header"/>
        <w:tabs>
          <w:tab w:val="clear" w:pos="4320"/>
          <w:tab w:val="clear" w:pos="8640"/>
        </w:tabs>
        <w:ind w:left="360"/>
        <w:rPr>
          <w:rFonts w:ascii="Arial" w:hAnsi="Arial" w:cs="Arial"/>
          <w:sz w:val="22"/>
          <w:szCs w:val="22"/>
        </w:rPr>
      </w:pPr>
    </w:p>
    <w:p w:rsidR="00BA1A21" w:rsidRPr="00EE389F" w:rsidP="008218B3" w14:paraId="63C8EC46" w14:textId="5B2AB3EF">
      <w:pPr>
        <w:pStyle w:val="Header"/>
        <w:tabs>
          <w:tab w:val="clear" w:pos="4320"/>
          <w:tab w:val="clear" w:pos="8640"/>
        </w:tabs>
        <w:ind w:left="360"/>
        <w:rPr>
          <w:rFonts w:ascii="Arial" w:hAnsi="Arial" w:cs="Arial"/>
          <w:sz w:val="22"/>
          <w:szCs w:val="22"/>
        </w:rPr>
      </w:pPr>
    </w:p>
    <w:sectPr w:rsidSect="007A5D4B">
      <w:headerReference w:type="default" r:id="rId6"/>
      <w:footerReference w:type="defaul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5D29" w:rsidRPr="007A5D4B" w:rsidP="00A5459F" w14:paraId="6815E58E" w14:textId="5E421972">
    <w:pPr>
      <w:pStyle w:val="Footer"/>
      <w:tabs>
        <w:tab w:val="clear" w:pos="4320"/>
        <w:tab w:val="clear" w:pos="8640"/>
        <w:tab w:val="right" w:pos="9360"/>
      </w:tabs>
      <w:spacing w:before="240"/>
      <w:rPr>
        <w:rFonts w:ascii="Arial" w:hAnsi="Arial" w:cs="Arial"/>
        <w:sz w:val="20"/>
        <w:szCs w:val="20"/>
      </w:rPr>
    </w:pPr>
    <w:r>
      <w:rPr>
        <w:rFonts w:ascii="Arial" w:hAnsi="Arial" w:cs="Arial"/>
        <w:sz w:val="20"/>
        <w:szCs w:val="20"/>
      </w:rPr>
      <w:tab/>
      <w:t>OMB No. 1513–0072 Supporting Statement (</w:t>
    </w:r>
    <w:r w:rsidR="00644370">
      <w:rPr>
        <w:rFonts w:ascii="Arial" w:hAnsi="Arial" w:cs="Arial"/>
        <w:sz w:val="20"/>
        <w:szCs w:val="20"/>
      </w:rPr>
      <w:t>04</w:t>
    </w:r>
    <w:r>
      <w:rPr>
        <w:rFonts w:ascii="Arial" w:hAnsi="Arial" w:cs="Arial"/>
        <w:sz w:val="20"/>
        <w:szCs w:val="20"/>
      </w:rPr>
      <w:t>–202</w:t>
    </w:r>
    <w:r w:rsidR="00644370">
      <w:rPr>
        <w:rFonts w:ascii="Arial" w:hAnsi="Arial" w:cs="Arial"/>
        <w:sz w:val="20"/>
        <w:szCs w:val="20"/>
      </w:rPr>
      <w:t>6</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5D29" w:rsidRPr="007A5D4B" w:rsidP="00D227B8" w14:paraId="5E46236A" w14:textId="6F0E3957">
    <w:pPr>
      <w:pStyle w:val="Footer"/>
      <w:tabs>
        <w:tab w:val="clear" w:pos="4320"/>
        <w:tab w:val="clear" w:pos="8640"/>
        <w:tab w:val="right" w:pos="9360"/>
      </w:tabs>
      <w:spacing w:before="240"/>
      <w:rPr>
        <w:rFonts w:ascii="Arial" w:hAnsi="Arial" w:cs="Arial"/>
        <w:sz w:val="20"/>
        <w:szCs w:val="20"/>
      </w:rPr>
    </w:pPr>
    <w:r>
      <w:rPr>
        <w:rFonts w:ascii="Arial" w:hAnsi="Arial" w:cs="Arial"/>
        <w:sz w:val="20"/>
        <w:szCs w:val="20"/>
      </w:rPr>
      <w:tab/>
    </w:r>
    <w:r w:rsidR="00A5459F">
      <w:rPr>
        <w:rFonts w:ascii="Arial" w:hAnsi="Arial" w:cs="Arial"/>
        <w:sz w:val="20"/>
        <w:szCs w:val="20"/>
      </w:rPr>
      <w:t xml:space="preserve">OMB No. </w:t>
    </w:r>
    <w:r>
      <w:rPr>
        <w:rFonts w:ascii="Arial" w:hAnsi="Arial" w:cs="Arial"/>
        <w:sz w:val="20"/>
        <w:szCs w:val="20"/>
      </w:rPr>
      <w:t>1513–0072 Supporting Statement (</w:t>
    </w:r>
    <w:r w:rsidR="00A5459F">
      <w:rPr>
        <w:rFonts w:ascii="Arial" w:hAnsi="Arial" w:cs="Arial"/>
        <w:sz w:val="20"/>
        <w:szCs w:val="20"/>
      </w:rPr>
      <w:t>0</w:t>
    </w:r>
    <w:r w:rsidR="00644370">
      <w:rPr>
        <w:rFonts w:ascii="Arial" w:hAnsi="Arial" w:cs="Arial"/>
        <w:sz w:val="20"/>
        <w:szCs w:val="20"/>
      </w:rPr>
      <w:t>4</w:t>
    </w:r>
    <w:r>
      <w:rPr>
        <w:rFonts w:ascii="Arial" w:hAnsi="Arial" w:cs="Arial"/>
        <w:sz w:val="20"/>
        <w:szCs w:val="20"/>
      </w:rPr>
      <w:t>–20</w:t>
    </w:r>
    <w:r w:rsidR="00A5459F">
      <w:rPr>
        <w:rFonts w:ascii="Arial" w:hAnsi="Arial" w:cs="Arial"/>
        <w:sz w:val="20"/>
        <w:szCs w:val="20"/>
      </w:rPr>
      <w:t>2</w:t>
    </w:r>
    <w:r w:rsidR="00644370">
      <w:rPr>
        <w:rFonts w:ascii="Arial" w:hAnsi="Arial" w:cs="Arial"/>
        <w:sz w:val="20"/>
        <w:szCs w:val="20"/>
      </w:rPr>
      <w:t>6</w:t>
    </w:r>
    <w:r w:rsidR="00A5459F">
      <w:rPr>
        <w:rFonts w:ascii="Arial" w:hAnsi="Arial" w:cs="Arial"/>
        <w:sz w:val="20"/>
        <w:szCs w:val="20"/>
      </w:rPr>
      <w:t>)</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05D29" w14:paraId="0AF78744" w14:textId="77777777">
      <w:r>
        <w:separator/>
      </w:r>
    </w:p>
  </w:footnote>
  <w:footnote w:type="continuationSeparator" w:id="1">
    <w:p w:rsidR="00705D29" w14:paraId="6E1DB3EA" w14:textId="77777777">
      <w:r>
        <w:continuationSeparator/>
      </w:r>
    </w:p>
  </w:footnote>
  <w:footnote w:id="2">
    <w:p w:rsidR="004D7FB0" w:rsidRPr="00466784" w:rsidP="004D7FB0" w14:paraId="1CAAED4C" w14:textId="6DF69717">
      <w:pPr>
        <w:pStyle w:val="FootnoteText"/>
        <w:rPr>
          <w:rFonts w:ascii="Arial" w:hAnsi="Arial" w:cs="Arial"/>
          <w:iCs/>
          <w:sz w:val="18"/>
          <w:szCs w:val="18"/>
        </w:rPr>
      </w:pPr>
      <w:r w:rsidRPr="00320DFB">
        <w:rPr>
          <w:rStyle w:val="FootnoteReference"/>
          <w:rFonts w:ascii="Arial" w:hAnsi="Arial" w:cs="Arial"/>
          <w:sz w:val="22"/>
          <w:szCs w:val="22"/>
        </w:rPr>
        <w:footnoteRef/>
      </w:r>
      <w:r w:rsidRPr="00320DFB">
        <w:rPr>
          <w:rFonts w:ascii="Arial" w:hAnsi="Arial" w:cs="Arial"/>
          <w:sz w:val="22"/>
          <w:szCs w:val="22"/>
        </w:rPr>
        <w:t xml:space="preserve"> </w:t>
      </w:r>
      <w:r>
        <w:rPr>
          <w:rFonts w:ascii="Arial" w:hAnsi="Arial" w:cs="Arial"/>
          <w:sz w:val="18"/>
          <w:szCs w:val="18"/>
        </w:rPr>
        <w:t>Private sector fully-loaded l</w:t>
      </w:r>
      <w:r w:rsidRPr="00320DFB">
        <w:rPr>
          <w:rFonts w:ascii="Arial" w:hAnsi="Arial" w:cs="Arial"/>
          <w:sz w:val="18"/>
          <w:szCs w:val="18"/>
        </w:rPr>
        <w:t xml:space="preserve">abor </w:t>
      </w:r>
      <w:r>
        <w:rPr>
          <w:rFonts w:ascii="Arial" w:hAnsi="Arial" w:cs="Arial"/>
          <w:sz w:val="18"/>
          <w:szCs w:val="18"/>
        </w:rPr>
        <w:t>r</w:t>
      </w:r>
      <w:r w:rsidRPr="00320DFB">
        <w:rPr>
          <w:rFonts w:ascii="Arial" w:hAnsi="Arial" w:cs="Arial"/>
          <w:sz w:val="18"/>
          <w:szCs w:val="18"/>
        </w:rPr>
        <w:t xml:space="preserve">ate = Hourly wage rate </w:t>
      </w:r>
      <w:r>
        <w:rPr>
          <w:rFonts w:ascii="Arial" w:hAnsi="Arial" w:cs="Arial"/>
          <w:sz w:val="18"/>
          <w:szCs w:val="18"/>
        </w:rPr>
        <w:t xml:space="preserve">x a factor of 1.44 to account for </w:t>
      </w:r>
      <w:r w:rsidRPr="00320DFB">
        <w:rPr>
          <w:rFonts w:ascii="Arial" w:hAnsi="Arial" w:cs="Arial"/>
          <w:sz w:val="18"/>
          <w:szCs w:val="18"/>
        </w:rPr>
        <w:t>benefit costs</w:t>
      </w:r>
      <w:r>
        <w:rPr>
          <w:rFonts w:ascii="Arial" w:hAnsi="Arial" w:cs="Arial"/>
          <w:sz w:val="18"/>
          <w:szCs w:val="18"/>
        </w:rPr>
        <w:t xml:space="preserve">.  </w:t>
      </w:r>
      <w:r w:rsidRPr="00320DFB">
        <w:rPr>
          <w:rFonts w:ascii="Arial" w:hAnsi="Arial" w:cs="Arial"/>
          <w:sz w:val="18"/>
          <w:szCs w:val="18"/>
        </w:rPr>
        <w:t>Per the most recent U.S. Department of Labor, Bureau of Labor Statistics, data for National Industry-Specific Occupational Employment and Wage Estimates</w:t>
      </w:r>
      <w:r>
        <w:rPr>
          <w:rFonts w:ascii="Arial" w:hAnsi="Arial" w:cs="Arial"/>
          <w:sz w:val="18"/>
          <w:szCs w:val="18"/>
        </w:rPr>
        <w:t xml:space="preserve">, the averaged fully-loaded labor rate </w:t>
      </w:r>
      <w:r w:rsidRPr="00320DFB">
        <w:rPr>
          <w:rFonts w:ascii="Arial" w:hAnsi="Arial" w:cs="Arial"/>
          <w:sz w:val="18"/>
          <w:szCs w:val="18"/>
        </w:rPr>
        <w:t xml:space="preserve">for </w:t>
      </w:r>
      <w:r w:rsidR="00DD5669">
        <w:rPr>
          <w:rFonts w:ascii="Arial" w:hAnsi="Arial" w:cs="Arial"/>
          <w:sz w:val="18"/>
          <w:szCs w:val="18"/>
        </w:rPr>
        <w:t>Compliance Officers i</w:t>
      </w:r>
      <w:r w:rsidRPr="00320DFB">
        <w:rPr>
          <w:rFonts w:ascii="Arial" w:hAnsi="Arial" w:cs="Arial"/>
          <w:sz w:val="18"/>
          <w:szCs w:val="18"/>
        </w:rPr>
        <w:t>n the Pharmaceutical and Medicine (NAICS 325400) and the Soap, Cleaning Compound, and Toilet Preparation (NAIC 325600) Manufacturing Industries, is $</w:t>
      </w:r>
      <w:r w:rsidR="00466784">
        <w:rPr>
          <w:rFonts w:ascii="Arial" w:hAnsi="Arial" w:cs="Arial"/>
          <w:sz w:val="18"/>
          <w:szCs w:val="18"/>
        </w:rPr>
        <w:t>62.55, based on an averaged hourly wage of $43.44.  S</w:t>
      </w:r>
      <w:r w:rsidRPr="00320DFB">
        <w:rPr>
          <w:rFonts w:ascii="Arial" w:hAnsi="Arial" w:cs="Arial"/>
          <w:sz w:val="18"/>
          <w:szCs w:val="18"/>
        </w:rPr>
        <w:t xml:space="preserve">ee </w:t>
      </w:r>
      <w:r w:rsidR="00466784">
        <w:rPr>
          <w:rFonts w:ascii="Arial" w:hAnsi="Arial" w:cs="Arial"/>
          <w:sz w:val="18"/>
          <w:szCs w:val="18"/>
        </w:rPr>
        <w:t xml:space="preserve">the Bureau of Labor Statistics </w:t>
      </w:r>
      <w:r w:rsidRPr="00466784" w:rsidR="00466784">
        <w:rPr>
          <w:rFonts w:ascii="Arial" w:hAnsi="Arial" w:cs="Arial"/>
          <w:sz w:val="18"/>
          <w:szCs w:val="18"/>
        </w:rPr>
        <w:t>Occupational Employment and Wage Statistics</w:t>
      </w:r>
      <w:r w:rsidR="00466784">
        <w:rPr>
          <w:rFonts w:ascii="Arial" w:hAnsi="Arial" w:cs="Arial"/>
          <w:sz w:val="18"/>
          <w:szCs w:val="18"/>
        </w:rPr>
        <w:t xml:space="preserve"> at </w:t>
      </w:r>
      <w:r w:rsidRPr="00466784" w:rsidR="00466784">
        <w:rPr>
          <w:rFonts w:ascii="Arial" w:hAnsi="Arial" w:cs="Arial"/>
          <w:i/>
          <w:sz w:val="18"/>
          <w:szCs w:val="18"/>
        </w:rPr>
        <w:t>https://data.bls.gov/oes/#/325400</w:t>
      </w:r>
      <w:r w:rsidR="00466784">
        <w:rPr>
          <w:rFonts w:ascii="Arial" w:hAnsi="Arial" w:cs="Arial"/>
          <w:i/>
          <w:sz w:val="18"/>
          <w:szCs w:val="18"/>
        </w:rPr>
        <w:t xml:space="preserve"> and </w:t>
      </w:r>
      <w:r w:rsidRPr="00466784" w:rsidR="00466784">
        <w:rPr>
          <w:rFonts w:ascii="Arial" w:hAnsi="Arial" w:cs="Arial"/>
          <w:i/>
          <w:sz w:val="18"/>
          <w:szCs w:val="18"/>
        </w:rPr>
        <w:t>https://data.bls.gov/oes/#/3250A2</w:t>
      </w:r>
      <w:r w:rsidRPr="00466784" w:rsidR="00466784">
        <w:rPr>
          <w:rFonts w:ascii="Arial" w:hAnsi="Arial" w:cs="Arial"/>
          <w:iCs/>
          <w:sz w:val="18"/>
          <w:szCs w:val="18"/>
        </w:rPr>
        <w:t xml:space="preserve"> (covers NAIC 325600). </w:t>
      </w:r>
    </w:p>
  </w:footnote>
  <w:footnote w:id="3">
    <w:p w:rsidR="005B1090" w:rsidRPr="00C009D7" w:rsidP="005B1090" w14:paraId="2FBC56B4" w14:textId="57D725E4">
      <w:pPr>
        <w:suppressAutoHyphens/>
        <w:rPr>
          <w:rFonts w:ascii="Arial" w:hAnsi="Arial" w:cs="Arial"/>
          <w:sz w:val="18"/>
          <w:szCs w:val="18"/>
        </w:rPr>
      </w:pPr>
      <w:r w:rsidRPr="00B33FC1">
        <w:rPr>
          <w:rStyle w:val="FootnoteReference"/>
          <w:rFonts w:ascii="Arial" w:hAnsi="Arial" w:cs="Arial"/>
          <w:sz w:val="22"/>
          <w:szCs w:val="22"/>
        </w:rPr>
        <w:footnoteRef/>
      </w:r>
      <w:r w:rsidRPr="00B33FC1">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w:t>
      </w:r>
      <w:r>
        <w:rPr>
          <w:rFonts w:ascii="Arial" w:hAnsi="Arial" w:cs="Arial"/>
          <w:sz w:val="18"/>
          <w:szCs w:val="18"/>
        </w:rPr>
        <w:t xml:space="preserve">the most recent </w:t>
      </w:r>
      <w:r w:rsidRPr="003D22B5">
        <w:rPr>
          <w:rFonts w:ascii="Arial" w:hAnsi="Arial" w:cs="Arial"/>
          <w:sz w:val="18"/>
          <w:szCs w:val="18"/>
        </w:rPr>
        <w:t xml:space="preserve">Office of Personnel Management (OPM) </w:t>
      </w:r>
      <w:r>
        <w:rPr>
          <w:rFonts w:ascii="Arial" w:hAnsi="Arial" w:cs="Arial"/>
          <w:sz w:val="18"/>
          <w:szCs w:val="18"/>
        </w:rPr>
        <w:t xml:space="preserve">hourly </w:t>
      </w:r>
      <w:r w:rsidRPr="003D22B5">
        <w:rPr>
          <w:rFonts w:ascii="Arial" w:hAnsi="Arial" w:cs="Arial"/>
          <w:sz w:val="18"/>
          <w:szCs w:val="18"/>
        </w:rPr>
        <w:t xml:space="preserve">wage data, the fully-loaded labor rates for </w:t>
      </w:r>
      <w:r>
        <w:rPr>
          <w:rFonts w:ascii="Arial" w:hAnsi="Arial" w:cs="Arial"/>
          <w:sz w:val="18"/>
          <w:szCs w:val="18"/>
        </w:rPr>
        <w:t xml:space="preserve">Federal employees in </w:t>
      </w:r>
      <w:r w:rsidRPr="003D22B5">
        <w:rPr>
          <w:rFonts w:ascii="Arial" w:hAnsi="Arial" w:cs="Arial"/>
          <w:sz w:val="18"/>
          <w:szCs w:val="18"/>
        </w:rPr>
        <w:t xml:space="preserve">the Cincinnati, Ohio, wage area </w:t>
      </w:r>
      <w:r>
        <w:rPr>
          <w:rFonts w:ascii="Arial" w:hAnsi="Arial" w:cs="Arial"/>
          <w:sz w:val="18"/>
          <w:szCs w:val="18"/>
        </w:rPr>
        <w:t>are:  (1) $</w:t>
      </w:r>
      <w:r w:rsidR="00E54699">
        <w:rPr>
          <w:rFonts w:ascii="Arial" w:hAnsi="Arial" w:cs="Arial"/>
          <w:sz w:val="18"/>
          <w:szCs w:val="18"/>
        </w:rPr>
        <w:t>46.52</w:t>
      </w:r>
      <w:r>
        <w:rPr>
          <w:rFonts w:ascii="Arial" w:hAnsi="Arial" w:cs="Arial"/>
          <w:sz w:val="18"/>
          <w:szCs w:val="18"/>
        </w:rPr>
        <w:t xml:space="preserve"> for GS–7 (step 5), </w:t>
      </w:r>
      <w:r w:rsidR="00E54699">
        <w:rPr>
          <w:rFonts w:ascii="Arial" w:hAnsi="Arial" w:cs="Arial"/>
          <w:sz w:val="18"/>
          <w:szCs w:val="18"/>
        </w:rPr>
        <w:t xml:space="preserve">based on an hourly wage of $28.54; </w:t>
      </w:r>
      <w:r>
        <w:rPr>
          <w:rFonts w:ascii="Arial" w:hAnsi="Arial" w:cs="Arial"/>
          <w:sz w:val="18"/>
          <w:szCs w:val="18"/>
        </w:rPr>
        <w:t>and (2) $</w:t>
      </w:r>
      <w:r w:rsidR="00E54699">
        <w:rPr>
          <w:rFonts w:ascii="Arial" w:hAnsi="Arial" w:cs="Arial"/>
          <w:sz w:val="18"/>
          <w:szCs w:val="18"/>
        </w:rPr>
        <w:t>68.85</w:t>
      </w:r>
      <w:r>
        <w:rPr>
          <w:rFonts w:ascii="Arial" w:hAnsi="Arial" w:cs="Arial"/>
          <w:sz w:val="18"/>
          <w:szCs w:val="18"/>
        </w:rPr>
        <w:t xml:space="preserve"> for GS–11 (step 5)</w:t>
      </w:r>
      <w:r w:rsidR="00F65EC8">
        <w:rPr>
          <w:rFonts w:ascii="Arial" w:hAnsi="Arial" w:cs="Arial"/>
          <w:sz w:val="18"/>
          <w:szCs w:val="18"/>
        </w:rPr>
        <w:t>, based on an hourly wage of $42.24</w:t>
      </w:r>
      <w:r>
        <w:rPr>
          <w:rFonts w:ascii="Arial" w:hAnsi="Arial" w:cs="Arial"/>
          <w:sz w:val="18"/>
          <w:szCs w:val="18"/>
        </w:rPr>
        <w:t xml:space="preserve">.  See </w:t>
      </w:r>
      <w:r w:rsidRPr="00A948A6">
        <w:rPr>
          <w:rFonts w:ascii="Arial" w:hAnsi="Arial" w:cs="Arial"/>
          <w:i/>
          <w:sz w:val="18"/>
          <w:szCs w:val="18"/>
        </w:rPr>
        <w:t>https://www.opm.gov/policy-data-oversight/pay-leave/salaries-wages/salary-tables/pdf/202</w:t>
      </w:r>
      <w:r w:rsidR="00E54699">
        <w:rPr>
          <w:rFonts w:ascii="Arial" w:hAnsi="Arial" w:cs="Arial"/>
          <w:i/>
          <w:sz w:val="18"/>
          <w:szCs w:val="18"/>
        </w:rPr>
        <w:t>6</w:t>
      </w:r>
      <w:r w:rsidRPr="00A948A6">
        <w:rPr>
          <w:rFonts w:ascii="Arial" w:hAnsi="Arial" w:cs="Arial"/>
          <w:i/>
          <w:sz w:val="18"/>
          <w:szCs w:val="18"/>
        </w:rPr>
        <w:t>/CIN_h.pdf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5D29" w:rsidRPr="007A5D4B" w:rsidP="007A5D4B" w14:paraId="2B073A1E" w14:textId="563CBA29">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5B3F26">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D42E37"/>
    <w:multiLevelType w:val="hybridMultilevel"/>
    <w:tmpl w:val="4E3CCC4A"/>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28297083">
    <w:abstractNumId w:val="5"/>
  </w:num>
  <w:num w:numId="2" w16cid:durableId="1491870954">
    <w:abstractNumId w:val="2"/>
  </w:num>
  <w:num w:numId="3" w16cid:durableId="1811556557">
    <w:abstractNumId w:val="1"/>
  </w:num>
  <w:num w:numId="4" w16cid:durableId="795148500">
    <w:abstractNumId w:val="6"/>
  </w:num>
  <w:num w:numId="5" w16cid:durableId="1587957761">
    <w:abstractNumId w:val="3"/>
  </w:num>
  <w:num w:numId="6" w16cid:durableId="2011174293">
    <w:abstractNumId w:val="0"/>
  </w:num>
  <w:num w:numId="7" w16cid:durableId="694381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2E43"/>
    <w:rsid w:val="00014CEB"/>
    <w:rsid w:val="0003032C"/>
    <w:rsid w:val="00030CEB"/>
    <w:rsid w:val="000329F4"/>
    <w:rsid w:val="0004708F"/>
    <w:rsid w:val="000473AC"/>
    <w:rsid w:val="0004764C"/>
    <w:rsid w:val="00052E53"/>
    <w:rsid w:val="00061BD7"/>
    <w:rsid w:val="00074898"/>
    <w:rsid w:val="00090251"/>
    <w:rsid w:val="00095F53"/>
    <w:rsid w:val="000A2E33"/>
    <w:rsid w:val="000A4E1A"/>
    <w:rsid w:val="000B18D8"/>
    <w:rsid w:val="000B3BF7"/>
    <w:rsid w:val="000B3E08"/>
    <w:rsid w:val="000B6799"/>
    <w:rsid w:val="000D4FAF"/>
    <w:rsid w:val="000D6313"/>
    <w:rsid w:val="000F5ACE"/>
    <w:rsid w:val="00101DE7"/>
    <w:rsid w:val="00122461"/>
    <w:rsid w:val="00153733"/>
    <w:rsid w:val="0016021F"/>
    <w:rsid w:val="001608E4"/>
    <w:rsid w:val="0018642E"/>
    <w:rsid w:val="001A04D2"/>
    <w:rsid w:val="001D54AF"/>
    <w:rsid w:val="001D6570"/>
    <w:rsid w:val="001E7BDE"/>
    <w:rsid w:val="001F2913"/>
    <w:rsid w:val="00207E00"/>
    <w:rsid w:val="0022156B"/>
    <w:rsid w:val="00225E4A"/>
    <w:rsid w:val="00236738"/>
    <w:rsid w:val="00250066"/>
    <w:rsid w:val="00273CEE"/>
    <w:rsid w:val="00274440"/>
    <w:rsid w:val="00276081"/>
    <w:rsid w:val="00281EFC"/>
    <w:rsid w:val="002A5811"/>
    <w:rsid w:val="002B47FB"/>
    <w:rsid w:val="002C4702"/>
    <w:rsid w:val="002D1324"/>
    <w:rsid w:val="002E6145"/>
    <w:rsid w:val="002E6F97"/>
    <w:rsid w:val="002F34DC"/>
    <w:rsid w:val="002F62BC"/>
    <w:rsid w:val="00320DFB"/>
    <w:rsid w:val="0032779F"/>
    <w:rsid w:val="003301DA"/>
    <w:rsid w:val="0033260C"/>
    <w:rsid w:val="00334B95"/>
    <w:rsid w:val="00344AA1"/>
    <w:rsid w:val="00345469"/>
    <w:rsid w:val="00362A16"/>
    <w:rsid w:val="00381FFC"/>
    <w:rsid w:val="0038747C"/>
    <w:rsid w:val="00396264"/>
    <w:rsid w:val="003A4DFA"/>
    <w:rsid w:val="003C0937"/>
    <w:rsid w:val="003C1FD2"/>
    <w:rsid w:val="003D22B5"/>
    <w:rsid w:val="003D6947"/>
    <w:rsid w:val="003E5C28"/>
    <w:rsid w:val="003E6B4C"/>
    <w:rsid w:val="003E6C2C"/>
    <w:rsid w:val="004038C5"/>
    <w:rsid w:val="004235D9"/>
    <w:rsid w:val="00424D53"/>
    <w:rsid w:val="004355E3"/>
    <w:rsid w:val="004357D1"/>
    <w:rsid w:val="00437996"/>
    <w:rsid w:val="00442A02"/>
    <w:rsid w:val="0044522E"/>
    <w:rsid w:val="00447B6B"/>
    <w:rsid w:val="00451EB0"/>
    <w:rsid w:val="00466784"/>
    <w:rsid w:val="00472E31"/>
    <w:rsid w:val="00475707"/>
    <w:rsid w:val="0047631A"/>
    <w:rsid w:val="00497F3E"/>
    <w:rsid w:val="004A3DE5"/>
    <w:rsid w:val="004C3724"/>
    <w:rsid w:val="004D086A"/>
    <w:rsid w:val="004D1808"/>
    <w:rsid w:val="004D3468"/>
    <w:rsid w:val="004D4299"/>
    <w:rsid w:val="004D7FB0"/>
    <w:rsid w:val="004E2C89"/>
    <w:rsid w:val="004F62C7"/>
    <w:rsid w:val="0050368E"/>
    <w:rsid w:val="005278E4"/>
    <w:rsid w:val="00536D29"/>
    <w:rsid w:val="00561DA3"/>
    <w:rsid w:val="005800D5"/>
    <w:rsid w:val="005A6AF2"/>
    <w:rsid w:val="005B1090"/>
    <w:rsid w:val="005B3F26"/>
    <w:rsid w:val="005C282B"/>
    <w:rsid w:val="005D3C33"/>
    <w:rsid w:val="005E4F99"/>
    <w:rsid w:val="005E4F9B"/>
    <w:rsid w:val="005E5429"/>
    <w:rsid w:val="00605DF7"/>
    <w:rsid w:val="00607DED"/>
    <w:rsid w:val="006244FF"/>
    <w:rsid w:val="00631780"/>
    <w:rsid w:val="00631967"/>
    <w:rsid w:val="00644370"/>
    <w:rsid w:val="006501BD"/>
    <w:rsid w:val="00663972"/>
    <w:rsid w:val="0069718A"/>
    <w:rsid w:val="006A35C6"/>
    <w:rsid w:val="006F2142"/>
    <w:rsid w:val="006F3564"/>
    <w:rsid w:val="00705D29"/>
    <w:rsid w:val="00715251"/>
    <w:rsid w:val="00721C76"/>
    <w:rsid w:val="00726714"/>
    <w:rsid w:val="00730B98"/>
    <w:rsid w:val="00734B25"/>
    <w:rsid w:val="00736DD6"/>
    <w:rsid w:val="00747CE7"/>
    <w:rsid w:val="007675A0"/>
    <w:rsid w:val="00782427"/>
    <w:rsid w:val="007A5D4B"/>
    <w:rsid w:val="007B4E08"/>
    <w:rsid w:val="007D5727"/>
    <w:rsid w:val="007E319C"/>
    <w:rsid w:val="007E57D5"/>
    <w:rsid w:val="007F40E3"/>
    <w:rsid w:val="007F6E23"/>
    <w:rsid w:val="00804B0C"/>
    <w:rsid w:val="00811A04"/>
    <w:rsid w:val="008218B3"/>
    <w:rsid w:val="00827956"/>
    <w:rsid w:val="0084443A"/>
    <w:rsid w:val="0084640C"/>
    <w:rsid w:val="00851169"/>
    <w:rsid w:val="00853E85"/>
    <w:rsid w:val="008603B9"/>
    <w:rsid w:val="00872452"/>
    <w:rsid w:val="00874C51"/>
    <w:rsid w:val="008B146B"/>
    <w:rsid w:val="008B1880"/>
    <w:rsid w:val="008C399F"/>
    <w:rsid w:val="008C6C6A"/>
    <w:rsid w:val="008E4C7C"/>
    <w:rsid w:val="00915299"/>
    <w:rsid w:val="009211E5"/>
    <w:rsid w:val="00945EFC"/>
    <w:rsid w:val="0094709D"/>
    <w:rsid w:val="0096457D"/>
    <w:rsid w:val="00965E7F"/>
    <w:rsid w:val="00966451"/>
    <w:rsid w:val="00984A4C"/>
    <w:rsid w:val="00987432"/>
    <w:rsid w:val="00990656"/>
    <w:rsid w:val="009A1CD5"/>
    <w:rsid w:val="009A6532"/>
    <w:rsid w:val="009E4E4C"/>
    <w:rsid w:val="00A002F6"/>
    <w:rsid w:val="00A07689"/>
    <w:rsid w:val="00A11F51"/>
    <w:rsid w:val="00A17E04"/>
    <w:rsid w:val="00A201BF"/>
    <w:rsid w:val="00A26878"/>
    <w:rsid w:val="00A47E42"/>
    <w:rsid w:val="00A5167D"/>
    <w:rsid w:val="00A51A08"/>
    <w:rsid w:val="00A5320B"/>
    <w:rsid w:val="00A5459F"/>
    <w:rsid w:val="00A6568A"/>
    <w:rsid w:val="00A73A1C"/>
    <w:rsid w:val="00A87E58"/>
    <w:rsid w:val="00A93260"/>
    <w:rsid w:val="00A948A6"/>
    <w:rsid w:val="00AA3F8F"/>
    <w:rsid w:val="00AA6881"/>
    <w:rsid w:val="00AC46D8"/>
    <w:rsid w:val="00AC686F"/>
    <w:rsid w:val="00AD6C03"/>
    <w:rsid w:val="00AD7008"/>
    <w:rsid w:val="00AF060A"/>
    <w:rsid w:val="00AF1157"/>
    <w:rsid w:val="00B06EE5"/>
    <w:rsid w:val="00B1047F"/>
    <w:rsid w:val="00B23FF6"/>
    <w:rsid w:val="00B31E02"/>
    <w:rsid w:val="00B33FC1"/>
    <w:rsid w:val="00B508E9"/>
    <w:rsid w:val="00B61DF6"/>
    <w:rsid w:val="00B72AC4"/>
    <w:rsid w:val="00B773A3"/>
    <w:rsid w:val="00B85C53"/>
    <w:rsid w:val="00B95061"/>
    <w:rsid w:val="00BA1543"/>
    <w:rsid w:val="00BA1A21"/>
    <w:rsid w:val="00BA1FEE"/>
    <w:rsid w:val="00BA5C53"/>
    <w:rsid w:val="00BB67E5"/>
    <w:rsid w:val="00BC1D1F"/>
    <w:rsid w:val="00BC35C8"/>
    <w:rsid w:val="00BC7355"/>
    <w:rsid w:val="00BD3333"/>
    <w:rsid w:val="00BE3C19"/>
    <w:rsid w:val="00BF5C2D"/>
    <w:rsid w:val="00C009D7"/>
    <w:rsid w:val="00C1362D"/>
    <w:rsid w:val="00C207CA"/>
    <w:rsid w:val="00C24A34"/>
    <w:rsid w:val="00C25F6F"/>
    <w:rsid w:val="00C271EA"/>
    <w:rsid w:val="00C37D42"/>
    <w:rsid w:val="00C60C6A"/>
    <w:rsid w:val="00C63E60"/>
    <w:rsid w:val="00C71838"/>
    <w:rsid w:val="00CA07BF"/>
    <w:rsid w:val="00CA7E3C"/>
    <w:rsid w:val="00CC2DE7"/>
    <w:rsid w:val="00CC3BA6"/>
    <w:rsid w:val="00CD21EC"/>
    <w:rsid w:val="00CF1C87"/>
    <w:rsid w:val="00CF31FD"/>
    <w:rsid w:val="00CF5FDD"/>
    <w:rsid w:val="00D004D6"/>
    <w:rsid w:val="00D01AA2"/>
    <w:rsid w:val="00D03A61"/>
    <w:rsid w:val="00D059BB"/>
    <w:rsid w:val="00D110FC"/>
    <w:rsid w:val="00D227B8"/>
    <w:rsid w:val="00D414AB"/>
    <w:rsid w:val="00D42321"/>
    <w:rsid w:val="00D50640"/>
    <w:rsid w:val="00D56B01"/>
    <w:rsid w:val="00D6325C"/>
    <w:rsid w:val="00D656EA"/>
    <w:rsid w:val="00D73D2D"/>
    <w:rsid w:val="00D742EE"/>
    <w:rsid w:val="00D76DF0"/>
    <w:rsid w:val="00D81136"/>
    <w:rsid w:val="00D85E10"/>
    <w:rsid w:val="00DA29D8"/>
    <w:rsid w:val="00DB7DD5"/>
    <w:rsid w:val="00DC3C70"/>
    <w:rsid w:val="00DD1B61"/>
    <w:rsid w:val="00DD5669"/>
    <w:rsid w:val="00DE6D88"/>
    <w:rsid w:val="00DF5F98"/>
    <w:rsid w:val="00E115FD"/>
    <w:rsid w:val="00E323CD"/>
    <w:rsid w:val="00E414F9"/>
    <w:rsid w:val="00E41C16"/>
    <w:rsid w:val="00E41ED9"/>
    <w:rsid w:val="00E45CBA"/>
    <w:rsid w:val="00E51AD7"/>
    <w:rsid w:val="00E54699"/>
    <w:rsid w:val="00E56E11"/>
    <w:rsid w:val="00E606AB"/>
    <w:rsid w:val="00E63DAA"/>
    <w:rsid w:val="00E86B1B"/>
    <w:rsid w:val="00E9331C"/>
    <w:rsid w:val="00EB0176"/>
    <w:rsid w:val="00EC4FC3"/>
    <w:rsid w:val="00ED4A03"/>
    <w:rsid w:val="00ED7233"/>
    <w:rsid w:val="00EE389F"/>
    <w:rsid w:val="00EE4237"/>
    <w:rsid w:val="00F03208"/>
    <w:rsid w:val="00F058FA"/>
    <w:rsid w:val="00F10C50"/>
    <w:rsid w:val="00F15BA5"/>
    <w:rsid w:val="00F27A63"/>
    <w:rsid w:val="00F32AF5"/>
    <w:rsid w:val="00F4015D"/>
    <w:rsid w:val="00F43E9A"/>
    <w:rsid w:val="00F476C4"/>
    <w:rsid w:val="00F616B0"/>
    <w:rsid w:val="00F618E0"/>
    <w:rsid w:val="00F636F2"/>
    <w:rsid w:val="00F65EC8"/>
    <w:rsid w:val="00F95A6D"/>
    <w:rsid w:val="00FA0F1C"/>
    <w:rsid w:val="00FA228E"/>
    <w:rsid w:val="00FC2035"/>
    <w:rsid w:val="00FD18EE"/>
    <w:rsid w:val="00FD74E4"/>
    <w:rsid w:val="00FE29D6"/>
    <w:rsid w:val="00FF0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51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customStyle="1" w:styleId="HeaderChar">
    <w:name w:val="Header Char"/>
    <w:basedOn w:val="DefaultParagraphFont"/>
    <w:link w:val="Header"/>
    <w:uiPriority w:val="99"/>
    <w:rsid w:val="00A5459F"/>
  </w:style>
  <w:style w:type="paragraph" w:styleId="FootnoteText">
    <w:name w:val="footnote text"/>
    <w:basedOn w:val="Normal"/>
    <w:link w:val="FootnoteTextChar"/>
    <w:unhideWhenUsed/>
    <w:rsid w:val="005B1090"/>
    <w:rPr>
      <w:sz w:val="20"/>
      <w:szCs w:val="20"/>
    </w:rPr>
  </w:style>
  <w:style w:type="character" w:customStyle="1" w:styleId="FootnoteTextChar">
    <w:name w:val="Footnote Text Char"/>
    <w:basedOn w:val="DefaultParagraphFont"/>
    <w:link w:val="FootnoteText"/>
    <w:rsid w:val="005B1090"/>
  </w:style>
  <w:style w:type="character" w:styleId="FootnoteReference">
    <w:name w:val="footnote reference"/>
    <w:basedOn w:val="DefaultParagraphFont"/>
    <w:uiPriority w:val="99"/>
    <w:unhideWhenUsed/>
    <w:rsid w:val="005B1090"/>
    <w:rPr>
      <w:vertAlign w:val="superscript"/>
    </w:rPr>
  </w:style>
  <w:style w:type="table" w:customStyle="1" w:styleId="TableGrid11">
    <w:name w:val="Table Grid11"/>
    <w:basedOn w:val="TableNormal"/>
    <w:next w:val="TableGrid"/>
    <w:uiPriority w:val="39"/>
    <w:rsid w:val="005B109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9331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66784"/>
    <w:rPr>
      <w:color w:val="605E5C"/>
      <w:shd w:val="clear" w:color="auto" w:fill="E1DFDD"/>
    </w:rPr>
  </w:style>
  <w:style w:type="paragraph" w:styleId="Revision">
    <w:name w:val="Revision"/>
    <w:hidden/>
    <w:uiPriority w:val="99"/>
    <w:semiHidden/>
    <w:rsid w:val="00F616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E84C0-C17B-4D45-AE77-3654DDDAB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1973</Words>
  <Characters>11435</Characters>
  <Application>Microsoft Office Word</Application>
  <DocSecurity>0</DocSecurity>
  <Lines>95</Lines>
  <Paragraphs>26</Paragraphs>
  <ScaleCrop>false</ScaleCrop>
  <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2026-04-03T17:18:00Z</dcterms:created>
  <dcterms:modified xsi:type="dcterms:W3CDTF">2026-04-03T17:18:00Z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b430c34a-b93a-40f6-ba81-1df99b7433ac</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2026-04-03T17:18:29Z</vt:lpwstr>
  </property>
  <property fmtid="{D5CDD505-2E9C-101B-9397-08002B2CF9AE}" pid="8" name="MSIP_Label_c9a1b251-8b9e-4059-8b96-32f7259f1931_SiteId">
    <vt:lpwstr>ab5eeca9-2540-4909-a9ee-17cb3edf5cec</vt:lpwstr>
  </property>
  <property fmtid="{D5CDD505-2E9C-101B-9397-08002B2CF9AE}" pid="9" name="MSIP_Label_c9a1b251-8b9e-4059-8b96-32f7259f1931_Tag">
    <vt:lpwstr>10, 3, 0, 1</vt:lpwstr>
  </property>
</Properties>
</file>