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1157" w:rsidRPr="00C029D7" w:rsidP="005F4441" w14:paraId="0A32FC9C" w14:textId="77777777">
      <w:pPr>
        <w:jc w:val="center"/>
        <w:rPr>
          <w:rFonts w:ascii="Arial" w:hAnsi="Arial" w:cs="Arial"/>
          <w:b/>
          <w:sz w:val="22"/>
          <w:szCs w:val="22"/>
        </w:rPr>
      </w:pPr>
      <w:r w:rsidRPr="00C029D7">
        <w:rPr>
          <w:rFonts w:ascii="Arial" w:hAnsi="Arial" w:cs="Arial"/>
          <w:b/>
          <w:sz w:val="22"/>
          <w:szCs w:val="22"/>
        </w:rPr>
        <w:t>DEPARTMENT OF THE TREASURY</w:t>
      </w:r>
      <w:r w:rsidRPr="00C029D7" w:rsidR="00D73D2D">
        <w:rPr>
          <w:rFonts w:ascii="Arial" w:hAnsi="Arial" w:cs="Arial"/>
          <w:b/>
          <w:sz w:val="22"/>
          <w:szCs w:val="22"/>
        </w:rPr>
        <w:t xml:space="preserve"> </w:t>
      </w:r>
    </w:p>
    <w:p w:rsidR="00AF1157" w:rsidRPr="00C029D7" w:rsidP="005F4441" w14:paraId="0A32FC9D" w14:textId="77777777">
      <w:pPr>
        <w:jc w:val="center"/>
        <w:rPr>
          <w:rFonts w:ascii="Arial" w:hAnsi="Arial" w:cs="Arial"/>
          <w:b/>
        </w:rPr>
      </w:pPr>
    </w:p>
    <w:p w:rsidR="00AF1157" w:rsidRPr="00C029D7" w:rsidP="005F4441" w14:paraId="0A32FC9E" w14:textId="77777777">
      <w:pPr>
        <w:jc w:val="center"/>
        <w:rPr>
          <w:rFonts w:ascii="Arial" w:hAnsi="Arial" w:cs="Arial"/>
          <w:b/>
          <w:sz w:val="22"/>
          <w:szCs w:val="22"/>
        </w:rPr>
      </w:pPr>
      <w:r w:rsidRPr="00C029D7">
        <w:rPr>
          <w:rFonts w:ascii="Arial" w:hAnsi="Arial" w:cs="Arial"/>
          <w:b/>
          <w:sz w:val="22"/>
          <w:szCs w:val="22"/>
        </w:rPr>
        <w:t xml:space="preserve">ALCOHOL </w:t>
      </w:r>
      <w:r w:rsidRPr="00C029D7" w:rsidR="00D004D6">
        <w:rPr>
          <w:rFonts w:ascii="Arial" w:hAnsi="Arial" w:cs="Arial"/>
          <w:b/>
          <w:sz w:val="22"/>
          <w:szCs w:val="22"/>
        </w:rPr>
        <w:t xml:space="preserve">AND </w:t>
      </w:r>
      <w:r w:rsidRPr="00C029D7">
        <w:rPr>
          <w:rFonts w:ascii="Arial" w:hAnsi="Arial" w:cs="Arial"/>
          <w:b/>
          <w:sz w:val="22"/>
          <w:szCs w:val="22"/>
        </w:rPr>
        <w:t>TOBACCO TAX AND TRADE BUREAU</w:t>
      </w:r>
      <w:r w:rsidRPr="00C029D7" w:rsidR="00D73D2D">
        <w:rPr>
          <w:rFonts w:ascii="Arial" w:hAnsi="Arial" w:cs="Arial"/>
          <w:b/>
          <w:sz w:val="22"/>
          <w:szCs w:val="22"/>
        </w:rPr>
        <w:t xml:space="preserve"> </w:t>
      </w:r>
    </w:p>
    <w:p w:rsidR="00AF1157" w:rsidRPr="00C029D7" w:rsidP="005F4441" w14:paraId="0A32FC9F" w14:textId="77777777">
      <w:pPr>
        <w:jc w:val="center"/>
        <w:rPr>
          <w:rFonts w:ascii="Arial" w:hAnsi="Arial" w:cs="Arial"/>
          <w:b/>
          <w:sz w:val="28"/>
          <w:szCs w:val="28"/>
        </w:rPr>
      </w:pPr>
    </w:p>
    <w:p w:rsidR="00AF1157" w:rsidRPr="00C029D7" w:rsidP="005F4441" w14:paraId="0A32FCA0" w14:textId="77777777">
      <w:pPr>
        <w:jc w:val="center"/>
        <w:rPr>
          <w:rFonts w:ascii="Arial" w:hAnsi="Arial" w:cs="Arial"/>
          <w:b/>
          <w:sz w:val="22"/>
          <w:szCs w:val="22"/>
        </w:rPr>
      </w:pPr>
      <w:r w:rsidRPr="00C029D7">
        <w:rPr>
          <w:rFonts w:ascii="Arial" w:hAnsi="Arial" w:cs="Arial"/>
          <w:b/>
          <w:sz w:val="22"/>
          <w:szCs w:val="22"/>
        </w:rPr>
        <w:t xml:space="preserve">Supporting Statement </w:t>
      </w:r>
      <w:r w:rsidRPr="00C029D7" w:rsidR="00D73D2D">
        <w:rPr>
          <w:rFonts w:ascii="Arial" w:hAnsi="Arial" w:cs="Arial"/>
          <w:b/>
          <w:sz w:val="22"/>
          <w:szCs w:val="22"/>
        </w:rPr>
        <w:t>––</w:t>
      </w:r>
      <w:r w:rsidRPr="00C029D7">
        <w:rPr>
          <w:rFonts w:ascii="Arial" w:hAnsi="Arial" w:cs="Arial"/>
          <w:b/>
          <w:sz w:val="22"/>
          <w:szCs w:val="22"/>
        </w:rPr>
        <w:t xml:space="preserve"> Information Collection Request</w:t>
      </w:r>
      <w:r w:rsidRPr="00C029D7" w:rsidR="00D73D2D">
        <w:rPr>
          <w:rFonts w:ascii="Arial" w:hAnsi="Arial" w:cs="Arial"/>
          <w:b/>
          <w:sz w:val="22"/>
          <w:szCs w:val="22"/>
        </w:rPr>
        <w:t xml:space="preserve"> </w:t>
      </w:r>
    </w:p>
    <w:p w:rsidR="00AF1157" w:rsidRPr="00C029D7" w:rsidP="005F4441" w14:paraId="0A32FCA1" w14:textId="77777777">
      <w:pPr>
        <w:jc w:val="center"/>
        <w:rPr>
          <w:rFonts w:ascii="Arial" w:hAnsi="Arial" w:cs="Arial"/>
          <w:b/>
          <w:sz w:val="28"/>
          <w:szCs w:val="28"/>
        </w:rPr>
      </w:pPr>
    </w:p>
    <w:p w:rsidR="00AF1157" w:rsidRPr="00C029D7" w:rsidP="005F4441" w14:paraId="0A32FCA2" w14:textId="77777777">
      <w:pPr>
        <w:jc w:val="center"/>
        <w:rPr>
          <w:rFonts w:ascii="Arial" w:hAnsi="Arial" w:cs="Arial"/>
          <w:b/>
          <w:sz w:val="22"/>
          <w:szCs w:val="22"/>
          <w:u w:val="single"/>
        </w:rPr>
      </w:pPr>
      <w:r w:rsidRPr="00C029D7">
        <w:rPr>
          <w:rFonts w:ascii="Arial" w:hAnsi="Arial" w:cs="Arial"/>
          <w:b/>
          <w:sz w:val="22"/>
          <w:szCs w:val="22"/>
          <w:u w:val="single"/>
        </w:rPr>
        <w:t>OMB Control Number 1513</w:t>
      </w:r>
      <w:r w:rsidRPr="00C029D7" w:rsidR="00D73D2D">
        <w:rPr>
          <w:rFonts w:ascii="Arial" w:hAnsi="Arial" w:cs="Arial"/>
          <w:b/>
          <w:sz w:val="22"/>
          <w:szCs w:val="22"/>
          <w:u w:val="single"/>
        </w:rPr>
        <w:t>–</w:t>
      </w:r>
      <w:r w:rsidRPr="00C029D7" w:rsidR="00650160">
        <w:rPr>
          <w:rFonts w:ascii="Arial" w:hAnsi="Arial" w:cs="Arial"/>
          <w:b/>
          <w:sz w:val="22"/>
          <w:szCs w:val="22"/>
          <w:u w:val="single"/>
        </w:rPr>
        <w:t>0063</w:t>
      </w:r>
      <w:r w:rsidRPr="00C029D7" w:rsidR="00987432">
        <w:rPr>
          <w:rFonts w:ascii="Arial" w:hAnsi="Arial" w:cs="Arial"/>
          <w:b/>
          <w:sz w:val="22"/>
          <w:szCs w:val="22"/>
          <w:u w:val="single"/>
        </w:rPr>
        <w:t xml:space="preserve"> </w:t>
      </w:r>
    </w:p>
    <w:p w:rsidR="00AF1157" w:rsidRPr="00C029D7" w:rsidP="005F4441" w14:paraId="0A32FCA3" w14:textId="77777777">
      <w:pPr>
        <w:jc w:val="center"/>
        <w:rPr>
          <w:rFonts w:ascii="Arial" w:hAnsi="Arial" w:cs="Arial"/>
          <w:b/>
          <w:sz w:val="28"/>
          <w:szCs w:val="28"/>
        </w:rPr>
      </w:pPr>
    </w:p>
    <w:p w:rsidR="009A6532" w:rsidRPr="00C029D7" w:rsidP="005F4441" w14:paraId="0A32FCA4" w14:textId="77777777">
      <w:pPr>
        <w:jc w:val="center"/>
        <w:rPr>
          <w:rFonts w:ascii="Arial" w:hAnsi="Arial" w:cs="Arial"/>
          <w:b/>
          <w:sz w:val="22"/>
          <w:szCs w:val="22"/>
        </w:rPr>
      </w:pPr>
      <w:r w:rsidRPr="00C029D7">
        <w:rPr>
          <w:rFonts w:ascii="Arial" w:hAnsi="Arial" w:cs="Arial"/>
          <w:b/>
          <w:sz w:val="22"/>
          <w:szCs w:val="22"/>
        </w:rPr>
        <w:t>Stills:  Notices, Registration</w:t>
      </w:r>
      <w:r w:rsidRPr="00C029D7" w:rsidR="00C65181">
        <w:rPr>
          <w:rFonts w:ascii="Arial" w:hAnsi="Arial" w:cs="Arial"/>
          <w:b/>
          <w:sz w:val="22"/>
          <w:szCs w:val="22"/>
        </w:rPr>
        <w:t>s</w:t>
      </w:r>
      <w:r w:rsidRPr="00C029D7">
        <w:rPr>
          <w:rFonts w:ascii="Arial" w:hAnsi="Arial" w:cs="Arial"/>
          <w:b/>
          <w:sz w:val="22"/>
          <w:szCs w:val="22"/>
        </w:rPr>
        <w:t>, and Records</w:t>
      </w:r>
      <w:r w:rsidRPr="00C029D7" w:rsidR="00C65181">
        <w:rPr>
          <w:rFonts w:ascii="Arial" w:hAnsi="Arial" w:cs="Arial"/>
          <w:b/>
          <w:sz w:val="22"/>
          <w:szCs w:val="22"/>
        </w:rPr>
        <w:t xml:space="preserve"> (T</w:t>
      </w:r>
      <w:r w:rsidRPr="00C029D7">
        <w:rPr>
          <w:rFonts w:ascii="Arial" w:hAnsi="Arial" w:cs="Arial"/>
          <w:b/>
          <w:sz w:val="22"/>
          <w:szCs w:val="22"/>
        </w:rPr>
        <w:t>TB REC 5150/8</w:t>
      </w:r>
      <w:r w:rsidRPr="00C029D7" w:rsidR="00C65181">
        <w:rPr>
          <w:rFonts w:ascii="Arial" w:hAnsi="Arial" w:cs="Arial"/>
          <w:b/>
          <w:sz w:val="22"/>
          <w:szCs w:val="22"/>
        </w:rPr>
        <w:t>)</w:t>
      </w:r>
      <w:r w:rsidRPr="00C029D7" w:rsidR="00491AB2">
        <w:rPr>
          <w:rFonts w:ascii="Arial" w:hAnsi="Arial" w:cs="Arial"/>
          <w:b/>
          <w:sz w:val="22"/>
          <w:szCs w:val="22"/>
        </w:rPr>
        <w:t xml:space="preserve"> </w:t>
      </w:r>
    </w:p>
    <w:p w:rsidR="0014553C" w:rsidRPr="00C029D7" w:rsidP="005F4441" w14:paraId="0A32FCA5" w14:textId="77777777">
      <w:pPr>
        <w:rPr>
          <w:rFonts w:ascii="Arial" w:hAnsi="Arial" w:cs="Arial"/>
          <w:sz w:val="28"/>
          <w:szCs w:val="28"/>
        </w:rPr>
      </w:pPr>
    </w:p>
    <w:p w:rsidR="0014553C" w:rsidRPr="00C029D7" w:rsidP="005F4441" w14:paraId="0A32FCA6" w14:textId="77777777">
      <w:pPr>
        <w:rPr>
          <w:rFonts w:ascii="Arial" w:hAnsi="Arial" w:cs="Arial"/>
          <w:b/>
          <w:sz w:val="22"/>
          <w:szCs w:val="22"/>
          <w:u w:val="single"/>
        </w:rPr>
      </w:pPr>
      <w:r w:rsidRPr="00C029D7">
        <w:rPr>
          <w:rFonts w:ascii="Arial" w:hAnsi="Arial" w:cs="Arial"/>
          <w:b/>
          <w:sz w:val="22"/>
          <w:szCs w:val="22"/>
          <w:u w:val="single"/>
        </w:rPr>
        <w:t xml:space="preserve">Changes Since Last Approval </w:t>
      </w:r>
    </w:p>
    <w:p w:rsidR="0014553C" w:rsidRPr="00C029D7" w:rsidP="005F4441" w14:paraId="0A32FCA7" w14:textId="77777777">
      <w:pPr>
        <w:rPr>
          <w:rFonts w:ascii="Arial" w:hAnsi="Arial" w:cs="Arial"/>
          <w:sz w:val="22"/>
          <w:szCs w:val="22"/>
        </w:rPr>
      </w:pPr>
    </w:p>
    <w:p w:rsidR="0014553C" w:rsidRPr="00C029D7" w:rsidP="005F4441" w14:paraId="0A32FCA8" w14:textId="77777777">
      <w:pPr>
        <w:ind w:left="360"/>
        <w:rPr>
          <w:rFonts w:ascii="Arial" w:hAnsi="Arial" w:cs="Arial"/>
          <w:sz w:val="22"/>
          <w:szCs w:val="22"/>
        </w:rPr>
      </w:pPr>
      <w:r w:rsidRPr="00C029D7">
        <w:rPr>
          <w:rFonts w:ascii="Arial" w:hAnsi="Arial" w:cs="Arial"/>
          <w:sz w:val="22"/>
          <w:szCs w:val="22"/>
        </w:rPr>
        <w:t xml:space="preserve">Changes made to the Supporting Statement since this information collection’s last approval: </w:t>
      </w:r>
    </w:p>
    <w:p w:rsidR="0014553C" w:rsidRPr="00C029D7" w:rsidP="005F4441" w14:paraId="0A32FCA9" w14:textId="77777777">
      <w:pPr>
        <w:ind w:left="360"/>
        <w:rPr>
          <w:rFonts w:ascii="Arial" w:hAnsi="Arial" w:cs="Arial"/>
          <w:sz w:val="22"/>
          <w:szCs w:val="22"/>
        </w:rPr>
      </w:pPr>
    </w:p>
    <w:p w:rsidR="0014553C" w:rsidRPr="00C029D7" w:rsidP="005F4441" w14:paraId="0A32FCAB" w14:textId="77777777">
      <w:pPr>
        <w:numPr>
          <w:ilvl w:val="0"/>
          <w:numId w:val="10"/>
        </w:numPr>
        <w:spacing w:after="120"/>
        <w:ind w:left="720"/>
        <w:rPr>
          <w:rFonts w:ascii="Arial" w:hAnsi="Arial" w:cs="Arial"/>
          <w:sz w:val="22"/>
          <w:szCs w:val="22"/>
        </w:rPr>
      </w:pPr>
      <w:r w:rsidRPr="00C029D7">
        <w:rPr>
          <w:rFonts w:ascii="Arial" w:hAnsi="Arial" w:cs="Arial"/>
          <w:sz w:val="22"/>
          <w:szCs w:val="22"/>
        </w:rPr>
        <w:t xml:space="preserve">In Question 8, TTB is updating the 60-day notice publication information for this information collection. </w:t>
      </w:r>
    </w:p>
    <w:p w:rsidR="0014553C" w:rsidRPr="00C029D7" w:rsidP="005F4441" w14:paraId="0A32FCAC" w14:textId="484CF6EE">
      <w:pPr>
        <w:numPr>
          <w:ilvl w:val="0"/>
          <w:numId w:val="10"/>
        </w:numPr>
        <w:spacing w:after="120"/>
        <w:ind w:left="720"/>
        <w:rPr>
          <w:rFonts w:ascii="Arial" w:hAnsi="Arial" w:cs="Arial"/>
          <w:sz w:val="22"/>
          <w:szCs w:val="22"/>
        </w:rPr>
      </w:pPr>
      <w:r w:rsidRPr="00C029D7">
        <w:rPr>
          <w:rFonts w:ascii="Arial" w:hAnsi="Arial" w:cs="Arial"/>
          <w:sz w:val="22"/>
          <w:szCs w:val="22"/>
        </w:rPr>
        <w:t>In Question</w:t>
      </w:r>
      <w:r w:rsidRPr="00C029D7" w:rsidR="00C029D7">
        <w:rPr>
          <w:rFonts w:ascii="Arial" w:hAnsi="Arial" w:cs="Arial"/>
          <w:sz w:val="22"/>
          <w:szCs w:val="22"/>
        </w:rPr>
        <w:t>s</w:t>
      </w:r>
      <w:r w:rsidRPr="00C029D7">
        <w:rPr>
          <w:rFonts w:ascii="Arial" w:hAnsi="Arial" w:cs="Arial"/>
          <w:sz w:val="22"/>
          <w:szCs w:val="22"/>
        </w:rPr>
        <w:t xml:space="preserve"> 12, </w:t>
      </w:r>
      <w:r w:rsidRPr="00C029D7" w:rsidR="00C029D7">
        <w:rPr>
          <w:rFonts w:ascii="Arial" w:hAnsi="Arial" w:cs="Arial"/>
          <w:sz w:val="22"/>
          <w:szCs w:val="22"/>
        </w:rPr>
        <w:t xml:space="preserve">13, and 14, </w:t>
      </w:r>
      <w:r w:rsidRPr="00C029D7">
        <w:rPr>
          <w:rFonts w:ascii="Arial" w:hAnsi="Arial" w:cs="Arial"/>
          <w:sz w:val="22"/>
          <w:szCs w:val="22"/>
        </w:rPr>
        <w:t>TTB is</w:t>
      </w:r>
      <w:r w:rsidRPr="00C029D7" w:rsidR="00C029D7">
        <w:rPr>
          <w:rFonts w:ascii="Arial" w:hAnsi="Arial" w:cs="Arial"/>
          <w:sz w:val="22"/>
          <w:szCs w:val="22"/>
        </w:rPr>
        <w:t>, respectively,</w:t>
      </w:r>
      <w:r w:rsidRPr="00C029D7">
        <w:rPr>
          <w:rFonts w:ascii="Arial" w:hAnsi="Arial" w:cs="Arial"/>
          <w:sz w:val="22"/>
          <w:szCs w:val="22"/>
        </w:rPr>
        <w:t xml:space="preserve"> </w:t>
      </w:r>
      <w:r w:rsidRPr="00C029D7" w:rsidR="00C029D7">
        <w:rPr>
          <w:rFonts w:ascii="Arial" w:hAnsi="Arial" w:cs="Arial"/>
          <w:sz w:val="22"/>
          <w:szCs w:val="22"/>
        </w:rPr>
        <w:t xml:space="preserve">revising the estimated respondent </w:t>
      </w:r>
      <w:r w:rsidRPr="00C029D7" w:rsidR="00F745F2">
        <w:rPr>
          <w:rFonts w:ascii="Arial" w:hAnsi="Arial" w:cs="Arial"/>
          <w:sz w:val="22"/>
          <w:szCs w:val="22"/>
        </w:rPr>
        <w:t>burden</w:t>
      </w:r>
      <w:r w:rsidRPr="00C029D7" w:rsidR="00C029D7">
        <w:rPr>
          <w:rFonts w:ascii="Arial" w:hAnsi="Arial" w:cs="Arial"/>
          <w:sz w:val="22"/>
          <w:szCs w:val="22"/>
        </w:rPr>
        <w:t>, respondent non-labor costs, and costs the Federal Government</w:t>
      </w:r>
      <w:r w:rsidRPr="00C029D7" w:rsidR="00F745F2">
        <w:rPr>
          <w:rFonts w:ascii="Arial" w:hAnsi="Arial" w:cs="Arial"/>
          <w:sz w:val="22"/>
          <w:szCs w:val="22"/>
        </w:rPr>
        <w:t xml:space="preserve"> </w:t>
      </w:r>
      <w:r w:rsidRPr="00C029D7" w:rsidR="00C029D7">
        <w:rPr>
          <w:rFonts w:ascii="Arial" w:hAnsi="Arial" w:cs="Arial"/>
          <w:sz w:val="22"/>
          <w:szCs w:val="22"/>
        </w:rPr>
        <w:t xml:space="preserve">associated with </w:t>
      </w:r>
      <w:r w:rsidRPr="00C029D7" w:rsidR="00F745F2">
        <w:rPr>
          <w:rFonts w:ascii="Arial" w:hAnsi="Arial" w:cs="Arial"/>
          <w:sz w:val="22"/>
          <w:szCs w:val="22"/>
        </w:rPr>
        <w:t>this information collection</w:t>
      </w:r>
      <w:r w:rsidRPr="00C029D7" w:rsidR="00C029D7">
        <w:rPr>
          <w:rFonts w:ascii="Arial" w:hAnsi="Arial" w:cs="Arial"/>
          <w:sz w:val="22"/>
          <w:szCs w:val="22"/>
        </w:rPr>
        <w:t xml:space="preserve">. </w:t>
      </w:r>
    </w:p>
    <w:p w:rsidR="00F745F2" w:rsidRPr="00C029D7" w:rsidP="005F4441" w14:paraId="0A32FCAF" w14:textId="58773295">
      <w:pPr>
        <w:numPr>
          <w:ilvl w:val="0"/>
          <w:numId w:val="10"/>
        </w:numPr>
        <w:ind w:left="720"/>
        <w:rPr>
          <w:rFonts w:ascii="Arial" w:hAnsi="Arial" w:cs="Arial"/>
          <w:sz w:val="22"/>
          <w:szCs w:val="22"/>
        </w:rPr>
      </w:pPr>
      <w:r w:rsidRPr="00C029D7">
        <w:rPr>
          <w:rFonts w:ascii="Arial" w:hAnsi="Arial" w:cs="Arial"/>
          <w:sz w:val="22"/>
          <w:szCs w:val="22"/>
        </w:rPr>
        <w:t>In Question 15, TTB explain</w:t>
      </w:r>
      <w:r w:rsidRPr="00C029D7" w:rsidR="00C029D7">
        <w:rPr>
          <w:rFonts w:ascii="Arial" w:hAnsi="Arial" w:cs="Arial"/>
          <w:sz w:val="22"/>
          <w:szCs w:val="22"/>
        </w:rPr>
        <w:t xml:space="preserve">s </w:t>
      </w:r>
      <w:r w:rsidRPr="00C029D7">
        <w:rPr>
          <w:rFonts w:ascii="Arial" w:hAnsi="Arial" w:cs="Arial"/>
          <w:sz w:val="22"/>
          <w:szCs w:val="22"/>
        </w:rPr>
        <w:t xml:space="preserve">the </w:t>
      </w:r>
      <w:r w:rsidRPr="00C029D7" w:rsidR="00C029D7">
        <w:rPr>
          <w:rFonts w:ascii="Arial" w:hAnsi="Arial" w:cs="Arial"/>
          <w:sz w:val="22"/>
          <w:szCs w:val="22"/>
        </w:rPr>
        <w:t xml:space="preserve">current </w:t>
      </w:r>
      <w:r w:rsidRPr="00C029D7">
        <w:rPr>
          <w:rFonts w:ascii="Arial" w:hAnsi="Arial" w:cs="Arial"/>
          <w:sz w:val="22"/>
          <w:szCs w:val="22"/>
        </w:rPr>
        <w:t xml:space="preserve">adjustments </w:t>
      </w:r>
      <w:r w:rsidRPr="00C029D7" w:rsidR="00C029D7">
        <w:rPr>
          <w:rFonts w:ascii="Arial" w:hAnsi="Arial" w:cs="Arial"/>
          <w:sz w:val="22"/>
          <w:szCs w:val="22"/>
        </w:rPr>
        <w:t xml:space="preserve">made to the estimated respondent burden associated </w:t>
      </w:r>
      <w:r w:rsidRPr="00C029D7" w:rsidR="00E266FB">
        <w:rPr>
          <w:rFonts w:ascii="Arial" w:hAnsi="Arial" w:cs="Arial"/>
          <w:sz w:val="22"/>
          <w:szCs w:val="22"/>
        </w:rPr>
        <w:t xml:space="preserve">with </w:t>
      </w:r>
      <w:r w:rsidRPr="00C029D7">
        <w:rPr>
          <w:rFonts w:ascii="Arial" w:hAnsi="Arial" w:cs="Arial"/>
          <w:sz w:val="22"/>
          <w:szCs w:val="22"/>
        </w:rPr>
        <w:t xml:space="preserve">this information collection. </w:t>
      </w:r>
    </w:p>
    <w:p w:rsidR="0014553C" w:rsidRPr="00C029D7" w:rsidP="005F4441" w14:paraId="0A32FCB0" w14:textId="77777777">
      <w:pPr>
        <w:autoSpaceDE w:val="0"/>
        <w:autoSpaceDN w:val="0"/>
        <w:adjustRightInd w:val="0"/>
        <w:rPr>
          <w:rFonts w:ascii="Arial" w:eastAsia="MS Mincho" w:hAnsi="Arial" w:cs="Arial"/>
          <w:bCs/>
          <w:sz w:val="28"/>
          <w:szCs w:val="28"/>
        </w:rPr>
      </w:pPr>
    </w:p>
    <w:p w:rsidR="00AF1157" w:rsidRPr="00C029D7" w:rsidP="005F4441" w14:paraId="0A32FCB1" w14:textId="77777777">
      <w:pPr>
        <w:rPr>
          <w:rFonts w:ascii="Arial" w:hAnsi="Arial" w:cs="Arial"/>
          <w:b/>
          <w:sz w:val="22"/>
          <w:szCs w:val="22"/>
          <w:u w:val="single"/>
        </w:rPr>
      </w:pPr>
      <w:r w:rsidRPr="00C029D7">
        <w:rPr>
          <w:rFonts w:ascii="Arial" w:hAnsi="Arial" w:cs="Arial"/>
          <w:b/>
          <w:sz w:val="22"/>
          <w:szCs w:val="22"/>
          <w:u w:val="single"/>
        </w:rPr>
        <w:t>A.  J</w:t>
      </w:r>
      <w:r w:rsidRPr="00C029D7" w:rsidR="00BD3333">
        <w:rPr>
          <w:rFonts w:ascii="Arial" w:hAnsi="Arial" w:cs="Arial"/>
          <w:b/>
          <w:sz w:val="22"/>
          <w:szCs w:val="22"/>
          <w:u w:val="single"/>
        </w:rPr>
        <w:t>ustification</w:t>
      </w:r>
      <w:r w:rsidRPr="00C029D7" w:rsidR="00D73D2D">
        <w:rPr>
          <w:rFonts w:ascii="Arial" w:hAnsi="Arial" w:cs="Arial"/>
          <w:b/>
          <w:sz w:val="22"/>
          <w:szCs w:val="22"/>
          <w:u w:val="single"/>
        </w:rPr>
        <w:t xml:space="preserve"> </w:t>
      </w:r>
    </w:p>
    <w:p w:rsidR="00AF1157" w:rsidRPr="00C029D7" w:rsidP="005F4441" w14:paraId="0A32FCB2" w14:textId="77777777">
      <w:pPr>
        <w:rPr>
          <w:rFonts w:ascii="Arial" w:hAnsi="Arial" w:cs="Arial"/>
          <w:sz w:val="22"/>
          <w:szCs w:val="22"/>
        </w:rPr>
      </w:pPr>
    </w:p>
    <w:p w:rsidR="00AF1157" w:rsidRPr="00C029D7" w:rsidP="005F4441" w14:paraId="0A32FCB3" w14:textId="77777777">
      <w:pPr>
        <w:tabs>
          <w:tab w:val="left" w:pos="360"/>
        </w:tabs>
        <w:rPr>
          <w:rFonts w:ascii="Arial" w:hAnsi="Arial" w:cs="Arial"/>
          <w:i/>
          <w:sz w:val="22"/>
          <w:szCs w:val="22"/>
        </w:rPr>
      </w:pPr>
      <w:r w:rsidRPr="00C029D7">
        <w:rPr>
          <w:rFonts w:ascii="Arial" w:hAnsi="Arial" w:cs="Arial"/>
          <w:i/>
          <w:sz w:val="22"/>
          <w:szCs w:val="22"/>
        </w:rPr>
        <w:t>1.  What are the circumstances that make this collection of information necessary, and what legal or administrative requirements necessitate the collection?</w:t>
      </w:r>
      <w:r w:rsidRPr="00C029D7" w:rsidR="005E4F99">
        <w:rPr>
          <w:rFonts w:ascii="Arial" w:hAnsi="Arial" w:cs="Arial"/>
          <w:i/>
          <w:sz w:val="22"/>
          <w:szCs w:val="22"/>
        </w:rPr>
        <w:t xml:space="preserve">  Also </w:t>
      </w:r>
      <w:r w:rsidRPr="00C029D7">
        <w:rPr>
          <w:rFonts w:ascii="Arial" w:hAnsi="Arial" w:cs="Arial"/>
          <w:i/>
          <w:sz w:val="22"/>
          <w:szCs w:val="22"/>
        </w:rPr>
        <w:t xml:space="preserve">align </w:t>
      </w:r>
      <w:r w:rsidRPr="00C029D7" w:rsidR="005E4F99">
        <w:rPr>
          <w:rFonts w:ascii="Arial" w:hAnsi="Arial" w:cs="Arial"/>
          <w:i/>
          <w:sz w:val="22"/>
          <w:szCs w:val="22"/>
        </w:rPr>
        <w:t xml:space="preserve">the information collection to </w:t>
      </w:r>
      <w:r w:rsidRPr="00C029D7" w:rsidR="00074898">
        <w:rPr>
          <w:rFonts w:ascii="Arial" w:hAnsi="Arial" w:cs="Arial"/>
          <w:i/>
          <w:sz w:val="22"/>
          <w:szCs w:val="22"/>
        </w:rPr>
        <w:t>TTB</w:t>
      </w:r>
      <w:r w:rsidRPr="00C029D7">
        <w:rPr>
          <w:rFonts w:ascii="Arial" w:hAnsi="Arial" w:cs="Arial"/>
          <w:i/>
          <w:sz w:val="22"/>
          <w:szCs w:val="22"/>
        </w:rPr>
        <w:t>’s</w:t>
      </w:r>
      <w:r w:rsidRPr="00C029D7" w:rsidR="00074898">
        <w:rPr>
          <w:rFonts w:ascii="Arial" w:hAnsi="Arial" w:cs="Arial"/>
          <w:i/>
          <w:sz w:val="22"/>
          <w:szCs w:val="22"/>
        </w:rPr>
        <w:t xml:space="preserve"> </w:t>
      </w:r>
      <w:r w:rsidRPr="00C029D7" w:rsidR="005E4F99">
        <w:rPr>
          <w:rFonts w:ascii="Arial" w:hAnsi="Arial" w:cs="Arial"/>
          <w:i/>
          <w:sz w:val="22"/>
          <w:szCs w:val="22"/>
        </w:rPr>
        <w:t>Line of Business/Sub-function and IT Investment, if one is used.</w:t>
      </w:r>
      <w:r w:rsidRPr="00C029D7">
        <w:rPr>
          <w:rFonts w:ascii="Arial" w:hAnsi="Arial" w:cs="Arial"/>
          <w:i/>
          <w:sz w:val="22"/>
          <w:szCs w:val="22"/>
        </w:rPr>
        <w:t xml:space="preserve"> </w:t>
      </w:r>
    </w:p>
    <w:p w:rsidR="00AF1157" w:rsidRPr="00C029D7" w:rsidP="005F4441" w14:paraId="0A32FCB4" w14:textId="77777777">
      <w:pPr>
        <w:rPr>
          <w:rFonts w:ascii="Arial" w:hAnsi="Arial" w:cs="Arial"/>
          <w:sz w:val="22"/>
          <w:szCs w:val="22"/>
        </w:rPr>
      </w:pPr>
    </w:p>
    <w:p w:rsidR="0014553C" w:rsidRPr="00C029D7" w:rsidP="005F4441" w14:paraId="0A32FCB5" w14:textId="77777777">
      <w:pPr>
        <w:ind w:left="360"/>
        <w:rPr>
          <w:rFonts w:ascii="Arial" w:hAnsi="Arial" w:cs="Arial"/>
          <w:sz w:val="22"/>
          <w:szCs w:val="22"/>
        </w:rPr>
      </w:pPr>
      <w:r w:rsidRPr="00C029D7">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14553C" w:rsidRPr="005F32B6" w:rsidP="005F4441" w14:paraId="0A32FCB6" w14:textId="77777777">
      <w:pPr>
        <w:autoSpaceDE w:val="0"/>
        <w:autoSpaceDN w:val="0"/>
        <w:adjustRightInd w:val="0"/>
        <w:ind w:left="360"/>
        <w:rPr>
          <w:rFonts w:ascii="Arial" w:eastAsia="MS Mincho" w:hAnsi="Arial" w:cs="Arial"/>
          <w:sz w:val="22"/>
          <w:szCs w:val="22"/>
        </w:rPr>
      </w:pPr>
    </w:p>
    <w:p w:rsidR="004F2A7A" w:rsidRPr="005F32B6" w:rsidP="005F4441" w14:paraId="0A32FCB7" w14:textId="2ED9BF75">
      <w:pPr>
        <w:autoSpaceDE w:val="0"/>
        <w:autoSpaceDN w:val="0"/>
        <w:adjustRightInd w:val="0"/>
        <w:ind w:left="360"/>
        <w:rPr>
          <w:rFonts w:ascii="Arial" w:eastAsia="MS Mincho" w:hAnsi="Arial" w:cs="Arial"/>
          <w:sz w:val="22"/>
          <w:szCs w:val="22"/>
        </w:rPr>
      </w:pPr>
      <w:r w:rsidRPr="005F32B6">
        <w:rPr>
          <w:rFonts w:ascii="Arial" w:eastAsia="MS Mincho" w:hAnsi="Arial" w:cs="Arial"/>
          <w:sz w:val="22"/>
          <w:szCs w:val="22"/>
        </w:rPr>
        <w:t xml:space="preserve">In general, the IRC at </w:t>
      </w:r>
      <w:r w:rsidRPr="005F32B6" w:rsidR="00C65181">
        <w:rPr>
          <w:rFonts w:ascii="Arial" w:eastAsia="MS Mincho" w:hAnsi="Arial" w:cs="Arial"/>
          <w:sz w:val="22"/>
          <w:szCs w:val="22"/>
        </w:rPr>
        <w:t>26 U.S.C. 5001</w:t>
      </w:r>
      <w:r w:rsidRPr="005F32B6">
        <w:rPr>
          <w:rFonts w:ascii="Arial" w:eastAsia="MS Mincho" w:hAnsi="Arial" w:cs="Arial"/>
          <w:sz w:val="22"/>
          <w:szCs w:val="22"/>
        </w:rPr>
        <w:t xml:space="preserve"> imposes a Federal excise tax on </w:t>
      </w:r>
      <w:r w:rsidRPr="005F32B6" w:rsidR="00C65181">
        <w:rPr>
          <w:rFonts w:ascii="Arial" w:eastAsia="MS Mincho" w:hAnsi="Arial" w:cs="Arial"/>
          <w:sz w:val="22"/>
          <w:szCs w:val="22"/>
        </w:rPr>
        <w:t>d</w:t>
      </w:r>
      <w:r w:rsidRPr="005F32B6">
        <w:rPr>
          <w:rFonts w:ascii="Arial" w:eastAsia="MS Mincho" w:hAnsi="Arial" w:cs="Arial"/>
          <w:sz w:val="22"/>
          <w:szCs w:val="22"/>
        </w:rPr>
        <w:t>istilled spirits produced in or imported into the United States for beverage purposes</w:t>
      </w:r>
      <w:r w:rsidRPr="005F32B6" w:rsidR="00515123">
        <w:rPr>
          <w:rFonts w:ascii="Arial" w:eastAsia="MS Mincho" w:hAnsi="Arial" w:cs="Arial"/>
          <w:sz w:val="22"/>
          <w:szCs w:val="22"/>
        </w:rPr>
        <w:t xml:space="preserve">, and, as such, </w:t>
      </w:r>
      <w:r w:rsidRPr="005F32B6">
        <w:rPr>
          <w:rFonts w:ascii="Arial" w:eastAsia="MS Mincho" w:hAnsi="Arial" w:cs="Arial"/>
          <w:sz w:val="22"/>
          <w:szCs w:val="22"/>
        </w:rPr>
        <w:t xml:space="preserve">the illegal use of stills to produce untaxed distilled spirits would </w:t>
      </w:r>
      <w:r w:rsidRPr="005F32B6" w:rsidR="00515123">
        <w:rPr>
          <w:rFonts w:ascii="Arial" w:eastAsia="MS Mincho" w:hAnsi="Arial" w:cs="Arial"/>
          <w:sz w:val="22"/>
          <w:szCs w:val="22"/>
        </w:rPr>
        <w:t>jeopardize revenue.  T</w:t>
      </w:r>
      <w:r w:rsidRPr="005F32B6">
        <w:rPr>
          <w:rFonts w:ascii="Arial" w:eastAsia="MS Mincho" w:hAnsi="Arial" w:cs="Arial"/>
          <w:sz w:val="22"/>
          <w:szCs w:val="22"/>
        </w:rPr>
        <w:t xml:space="preserve">o protect the revenue, various sections of </w:t>
      </w:r>
      <w:r w:rsidRPr="005F32B6" w:rsidR="005F32B6">
        <w:rPr>
          <w:rFonts w:ascii="Arial" w:eastAsia="MS Mincho" w:hAnsi="Arial" w:cs="Arial"/>
          <w:sz w:val="22"/>
          <w:szCs w:val="22"/>
        </w:rPr>
        <w:t xml:space="preserve">chapter 51 </w:t>
      </w:r>
      <w:r w:rsidRPr="005F32B6">
        <w:rPr>
          <w:rFonts w:ascii="Arial" w:eastAsia="MS Mincho" w:hAnsi="Arial" w:cs="Arial"/>
          <w:sz w:val="22"/>
          <w:szCs w:val="22"/>
        </w:rPr>
        <w:t>the IRC and the TTB regulations issued under th</w:t>
      </w:r>
      <w:r w:rsidRPr="005F32B6" w:rsidR="00515123">
        <w:rPr>
          <w:rFonts w:ascii="Arial" w:eastAsia="MS Mincho" w:hAnsi="Arial" w:cs="Arial"/>
          <w:sz w:val="22"/>
          <w:szCs w:val="22"/>
        </w:rPr>
        <w:t xml:space="preserve">ose </w:t>
      </w:r>
      <w:r w:rsidRPr="005F32B6" w:rsidR="00776314">
        <w:rPr>
          <w:rFonts w:ascii="Arial" w:eastAsia="MS Mincho" w:hAnsi="Arial" w:cs="Arial"/>
          <w:sz w:val="22"/>
          <w:szCs w:val="22"/>
        </w:rPr>
        <w:t>statutory a</w:t>
      </w:r>
      <w:r w:rsidRPr="005F32B6">
        <w:rPr>
          <w:rFonts w:ascii="Arial" w:eastAsia="MS Mincho" w:hAnsi="Arial" w:cs="Arial"/>
          <w:sz w:val="22"/>
          <w:szCs w:val="22"/>
        </w:rPr>
        <w:t>uthorities</w:t>
      </w:r>
      <w:r w:rsidRPr="005F32B6" w:rsidR="00515123">
        <w:rPr>
          <w:rFonts w:ascii="Arial" w:eastAsia="MS Mincho" w:hAnsi="Arial" w:cs="Arial"/>
          <w:sz w:val="22"/>
          <w:szCs w:val="22"/>
        </w:rPr>
        <w:t>—</w:t>
      </w:r>
      <w:r w:rsidRPr="005F32B6">
        <w:rPr>
          <w:rFonts w:ascii="Arial" w:eastAsia="MS Mincho" w:hAnsi="Arial" w:cs="Arial"/>
          <w:sz w:val="22"/>
          <w:szCs w:val="22"/>
        </w:rPr>
        <w:t>contained in 2</w:t>
      </w:r>
      <w:r w:rsidRPr="005F32B6" w:rsidR="00C65181">
        <w:rPr>
          <w:rFonts w:ascii="Arial" w:eastAsia="MS Mincho" w:hAnsi="Arial" w:cs="Arial"/>
          <w:sz w:val="22"/>
          <w:szCs w:val="22"/>
        </w:rPr>
        <w:t>7 CFR Part 29, Stills and Miscellaneous Regulations</w:t>
      </w:r>
      <w:r w:rsidRPr="005F32B6" w:rsidR="00515123">
        <w:rPr>
          <w:rFonts w:ascii="Arial" w:eastAsia="MS Mincho" w:hAnsi="Arial" w:cs="Arial"/>
          <w:sz w:val="22"/>
          <w:szCs w:val="22"/>
        </w:rPr>
        <w:t>—</w:t>
      </w:r>
      <w:r w:rsidRPr="005F32B6">
        <w:rPr>
          <w:rFonts w:ascii="Arial" w:eastAsia="MS Mincho" w:hAnsi="Arial" w:cs="Arial"/>
          <w:sz w:val="22"/>
          <w:szCs w:val="22"/>
        </w:rPr>
        <w:t xml:space="preserve">establish a comprehensive system for regulating stills.  This information collection covers </w:t>
      </w:r>
      <w:r w:rsidRPr="005F32B6" w:rsidR="00923FBB">
        <w:rPr>
          <w:rFonts w:ascii="Arial" w:eastAsia="MS Mincho" w:hAnsi="Arial" w:cs="Arial"/>
          <w:sz w:val="22"/>
          <w:szCs w:val="22"/>
        </w:rPr>
        <w:t>the</w:t>
      </w:r>
      <w:r w:rsidRPr="005F32B6">
        <w:rPr>
          <w:rFonts w:ascii="Arial" w:eastAsia="MS Mincho" w:hAnsi="Arial" w:cs="Arial"/>
          <w:sz w:val="22"/>
          <w:szCs w:val="22"/>
        </w:rPr>
        <w:t xml:space="preserve"> </w:t>
      </w:r>
      <w:r w:rsidRPr="005F32B6" w:rsidR="00C65181">
        <w:rPr>
          <w:rFonts w:ascii="Arial" w:eastAsia="MS Mincho" w:hAnsi="Arial" w:cs="Arial"/>
          <w:sz w:val="22"/>
          <w:szCs w:val="22"/>
        </w:rPr>
        <w:t xml:space="preserve">notices, registrations, </w:t>
      </w:r>
      <w:r w:rsidRPr="005F32B6">
        <w:rPr>
          <w:rFonts w:ascii="Arial" w:eastAsia="MS Mincho" w:hAnsi="Arial" w:cs="Arial"/>
          <w:sz w:val="22"/>
          <w:szCs w:val="22"/>
        </w:rPr>
        <w:t xml:space="preserve">and </w:t>
      </w:r>
      <w:r w:rsidRPr="005F32B6" w:rsidR="00C65181">
        <w:rPr>
          <w:rFonts w:ascii="Arial" w:eastAsia="MS Mincho" w:hAnsi="Arial" w:cs="Arial"/>
          <w:sz w:val="22"/>
          <w:szCs w:val="22"/>
        </w:rPr>
        <w:t>record</w:t>
      </w:r>
      <w:r w:rsidRPr="005F32B6" w:rsidR="00E266FB">
        <w:rPr>
          <w:rFonts w:ascii="Arial" w:eastAsia="MS Mincho" w:hAnsi="Arial" w:cs="Arial"/>
          <w:sz w:val="22"/>
          <w:szCs w:val="22"/>
        </w:rPr>
        <w:t>keeping requirement</w:t>
      </w:r>
      <w:r w:rsidRPr="005F32B6" w:rsidR="00C65181">
        <w:rPr>
          <w:rFonts w:ascii="Arial" w:eastAsia="MS Mincho" w:hAnsi="Arial" w:cs="Arial"/>
          <w:sz w:val="22"/>
          <w:szCs w:val="22"/>
        </w:rPr>
        <w:t xml:space="preserve">s </w:t>
      </w:r>
      <w:r w:rsidRPr="005F32B6" w:rsidR="00776314">
        <w:rPr>
          <w:rFonts w:ascii="Arial" w:eastAsia="MS Mincho" w:hAnsi="Arial" w:cs="Arial"/>
          <w:sz w:val="22"/>
          <w:szCs w:val="22"/>
        </w:rPr>
        <w:t xml:space="preserve">related to stills contained in </w:t>
      </w:r>
      <w:r w:rsidRPr="005F32B6" w:rsidR="005F32B6">
        <w:rPr>
          <w:rFonts w:ascii="Arial" w:eastAsia="MS Mincho" w:hAnsi="Arial" w:cs="Arial"/>
          <w:sz w:val="22"/>
          <w:szCs w:val="22"/>
        </w:rPr>
        <w:t xml:space="preserve">the </w:t>
      </w:r>
      <w:r w:rsidRPr="005F32B6" w:rsidR="005C207F">
        <w:rPr>
          <w:rFonts w:ascii="Arial" w:eastAsia="MS Mincho" w:hAnsi="Arial" w:cs="Arial"/>
          <w:sz w:val="22"/>
          <w:szCs w:val="22"/>
        </w:rPr>
        <w:t xml:space="preserve">TTB </w:t>
      </w:r>
      <w:r w:rsidRPr="005F32B6">
        <w:rPr>
          <w:rFonts w:ascii="Arial" w:eastAsia="MS Mincho" w:hAnsi="Arial" w:cs="Arial"/>
          <w:sz w:val="22"/>
          <w:szCs w:val="22"/>
        </w:rPr>
        <w:t>regulation</w:t>
      </w:r>
      <w:r w:rsidRPr="005F32B6" w:rsidR="00515123">
        <w:rPr>
          <w:rFonts w:ascii="Arial" w:eastAsia="MS Mincho" w:hAnsi="Arial" w:cs="Arial"/>
          <w:sz w:val="22"/>
          <w:szCs w:val="22"/>
        </w:rPr>
        <w:t>s</w:t>
      </w:r>
      <w:r w:rsidRPr="005F32B6">
        <w:rPr>
          <w:rFonts w:ascii="Arial" w:eastAsia="MS Mincho" w:hAnsi="Arial" w:cs="Arial"/>
          <w:sz w:val="22"/>
          <w:szCs w:val="22"/>
        </w:rPr>
        <w:t>.  The requirements contained in this information collection are:</w:t>
      </w:r>
      <w:r w:rsidRPr="005F32B6" w:rsidR="0073454F">
        <w:rPr>
          <w:rFonts w:ascii="Arial" w:eastAsia="MS Mincho" w:hAnsi="Arial" w:cs="Arial"/>
          <w:sz w:val="22"/>
          <w:szCs w:val="22"/>
        </w:rPr>
        <w:t xml:space="preserve"> </w:t>
      </w:r>
    </w:p>
    <w:p w:rsidR="004F2A7A" w:rsidRPr="005F32B6" w:rsidP="005F4441" w14:paraId="0A32FCB8" w14:textId="77777777">
      <w:pPr>
        <w:autoSpaceDE w:val="0"/>
        <w:autoSpaceDN w:val="0"/>
        <w:adjustRightInd w:val="0"/>
        <w:ind w:left="360"/>
        <w:rPr>
          <w:rFonts w:ascii="Arial" w:eastAsia="MS Mincho" w:hAnsi="Arial" w:cs="Arial"/>
          <w:sz w:val="22"/>
          <w:szCs w:val="22"/>
        </w:rPr>
      </w:pPr>
    </w:p>
    <w:p w:rsidR="004F2A7A" w:rsidRPr="005F32B6" w:rsidP="005F4441" w14:paraId="0A32FCB9" w14:textId="77777777">
      <w:pPr>
        <w:numPr>
          <w:ilvl w:val="0"/>
          <w:numId w:val="6"/>
        </w:numPr>
        <w:autoSpaceDE w:val="0"/>
        <w:autoSpaceDN w:val="0"/>
        <w:adjustRightInd w:val="0"/>
        <w:spacing w:after="120"/>
        <w:ind w:left="720"/>
        <w:rPr>
          <w:rFonts w:ascii="Arial" w:eastAsia="MS Mincho" w:hAnsi="Arial" w:cs="Arial"/>
          <w:sz w:val="22"/>
          <w:szCs w:val="22"/>
        </w:rPr>
      </w:pPr>
      <w:r w:rsidRPr="005F32B6">
        <w:rPr>
          <w:rFonts w:ascii="Arial" w:eastAsia="MS Mincho" w:hAnsi="Arial" w:cs="Arial"/>
          <w:sz w:val="22"/>
          <w:szCs w:val="22"/>
        </w:rPr>
        <w:t xml:space="preserve">Notice of manufacture of still (26 U.S.C. 5101 and 27 CFR 29.47).  Where deemed necessary </w:t>
      </w:r>
      <w:r w:rsidRPr="005F32B6" w:rsidR="00040B73">
        <w:rPr>
          <w:rFonts w:ascii="Arial" w:eastAsia="MS Mincho" w:hAnsi="Arial" w:cs="Arial"/>
          <w:sz w:val="22"/>
          <w:szCs w:val="22"/>
        </w:rPr>
        <w:t>to protect</w:t>
      </w:r>
      <w:r w:rsidRPr="005F32B6">
        <w:rPr>
          <w:rFonts w:ascii="Arial" w:eastAsia="MS Mincho" w:hAnsi="Arial" w:cs="Arial"/>
          <w:sz w:val="22"/>
          <w:szCs w:val="22"/>
        </w:rPr>
        <w:t xml:space="preserve"> the revenue, </w:t>
      </w:r>
      <w:r w:rsidRPr="005F32B6" w:rsidR="00040B73">
        <w:rPr>
          <w:rFonts w:ascii="Arial" w:eastAsia="MS Mincho" w:hAnsi="Arial" w:cs="Arial"/>
          <w:sz w:val="22"/>
          <w:szCs w:val="22"/>
        </w:rPr>
        <w:t>TTB</w:t>
      </w:r>
      <w:r w:rsidRPr="005F32B6">
        <w:rPr>
          <w:rFonts w:ascii="Arial" w:eastAsia="MS Mincho" w:hAnsi="Arial" w:cs="Arial"/>
          <w:sz w:val="22"/>
          <w:szCs w:val="22"/>
        </w:rPr>
        <w:t xml:space="preserve"> may require a manufacturer to file </w:t>
      </w:r>
      <w:r w:rsidRPr="005F32B6" w:rsidR="00040B73">
        <w:rPr>
          <w:rFonts w:ascii="Arial" w:eastAsia="MS Mincho" w:hAnsi="Arial" w:cs="Arial"/>
          <w:sz w:val="22"/>
          <w:szCs w:val="22"/>
        </w:rPr>
        <w:t>a</w:t>
      </w:r>
      <w:r w:rsidRPr="005F32B6">
        <w:rPr>
          <w:rFonts w:ascii="Arial" w:eastAsia="MS Mincho" w:hAnsi="Arial" w:cs="Arial"/>
          <w:sz w:val="22"/>
          <w:szCs w:val="22"/>
        </w:rPr>
        <w:t xml:space="preserve"> letterhead notice before </w:t>
      </w:r>
      <w:r w:rsidRPr="005F32B6" w:rsidR="00040B73">
        <w:rPr>
          <w:rFonts w:ascii="Arial" w:eastAsia="MS Mincho" w:hAnsi="Arial" w:cs="Arial"/>
          <w:sz w:val="22"/>
          <w:szCs w:val="22"/>
        </w:rPr>
        <w:t xml:space="preserve">removing </w:t>
      </w:r>
      <w:r w:rsidRPr="005F32B6">
        <w:rPr>
          <w:rFonts w:ascii="Arial" w:eastAsia="MS Mincho" w:hAnsi="Arial" w:cs="Arial"/>
          <w:sz w:val="22"/>
          <w:szCs w:val="22"/>
        </w:rPr>
        <w:t xml:space="preserve">a still from </w:t>
      </w:r>
      <w:r w:rsidRPr="005F32B6" w:rsidR="00040B73">
        <w:rPr>
          <w:rFonts w:ascii="Arial" w:eastAsia="MS Mincho" w:hAnsi="Arial" w:cs="Arial"/>
          <w:sz w:val="22"/>
          <w:szCs w:val="22"/>
        </w:rPr>
        <w:t>its</w:t>
      </w:r>
      <w:r w:rsidRPr="005F32B6">
        <w:rPr>
          <w:rFonts w:ascii="Arial" w:eastAsia="MS Mincho" w:hAnsi="Arial" w:cs="Arial"/>
          <w:sz w:val="22"/>
          <w:szCs w:val="22"/>
        </w:rPr>
        <w:t xml:space="preserve"> place of manufacture.</w:t>
      </w:r>
      <w:r w:rsidRPr="005F32B6" w:rsidR="0073454F">
        <w:rPr>
          <w:rFonts w:ascii="Arial" w:eastAsia="MS Mincho" w:hAnsi="Arial" w:cs="Arial"/>
          <w:sz w:val="22"/>
          <w:szCs w:val="22"/>
        </w:rPr>
        <w:t xml:space="preserve"> </w:t>
      </w:r>
    </w:p>
    <w:p w:rsidR="004F2A7A" w:rsidRPr="005F32B6" w:rsidP="005F4441" w14:paraId="0A32FCBA" w14:textId="77777777">
      <w:pPr>
        <w:numPr>
          <w:ilvl w:val="0"/>
          <w:numId w:val="6"/>
        </w:numPr>
        <w:autoSpaceDE w:val="0"/>
        <w:autoSpaceDN w:val="0"/>
        <w:adjustRightInd w:val="0"/>
        <w:spacing w:after="120"/>
        <w:ind w:left="720"/>
        <w:rPr>
          <w:rFonts w:ascii="Arial" w:eastAsia="MS Mincho" w:hAnsi="Arial" w:cs="Arial"/>
          <w:sz w:val="22"/>
          <w:szCs w:val="22"/>
        </w:rPr>
      </w:pPr>
      <w:r w:rsidRPr="005F32B6">
        <w:rPr>
          <w:rFonts w:ascii="Arial" w:eastAsia="MS Mincho" w:hAnsi="Arial" w:cs="Arial"/>
          <w:sz w:val="22"/>
          <w:szCs w:val="22"/>
        </w:rPr>
        <w:t xml:space="preserve">Notice of set up of still (26 U.S.C. 5101 and 27 CFR 29.49).  When deemed necessary </w:t>
      </w:r>
      <w:r w:rsidRPr="005F32B6" w:rsidR="00040B73">
        <w:rPr>
          <w:rFonts w:ascii="Arial" w:eastAsia="MS Mincho" w:hAnsi="Arial" w:cs="Arial"/>
          <w:sz w:val="22"/>
          <w:szCs w:val="22"/>
        </w:rPr>
        <w:t>to protect</w:t>
      </w:r>
      <w:r w:rsidRPr="005F32B6">
        <w:rPr>
          <w:rFonts w:ascii="Arial" w:eastAsia="MS Mincho" w:hAnsi="Arial" w:cs="Arial"/>
          <w:sz w:val="22"/>
          <w:szCs w:val="22"/>
        </w:rPr>
        <w:t xml:space="preserve"> the revenue, </w:t>
      </w:r>
      <w:r w:rsidRPr="005F32B6" w:rsidR="00040B73">
        <w:rPr>
          <w:rFonts w:ascii="Arial" w:eastAsia="MS Mincho" w:hAnsi="Arial" w:cs="Arial"/>
          <w:sz w:val="22"/>
          <w:szCs w:val="22"/>
        </w:rPr>
        <w:t>TTB</w:t>
      </w:r>
      <w:r w:rsidRPr="005F32B6">
        <w:rPr>
          <w:rFonts w:ascii="Arial" w:eastAsia="MS Mincho" w:hAnsi="Arial" w:cs="Arial"/>
          <w:sz w:val="22"/>
          <w:szCs w:val="22"/>
        </w:rPr>
        <w:t xml:space="preserve"> may require a manufacturer to file </w:t>
      </w:r>
      <w:r w:rsidRPr="005F32B6" w:rsidR="00040B73">
        <w:rPr>
          <w:rFonts w:ascii="Arial" w:eastAsia="MS Mincho" w:hAnsi="Arial" w:cs="Arial"/>
          <w:sz w:val="22"/>
          <w:szCs w:val="22"/>
        </w:rPr>
        <w:t>a</w:t>
      </w:r>
      <w:r w:rsidRPr="005F32B6">
        <w:rPr>
          <w:rFonts w:ascii="Arial" w:eastAsia="MS Mincho" w:hAnsi="Arial" w:cs="Arial"/>
          <w:sz w:val="22"/>
          <w:szCs w:val="22"/>
        </w:rPr>
        <w:t xml:space="preserve"> letterhead notice </w:t>
      </w:r>
      <w:r w:rsidRPr="005F32B6" w:rsidR="00040B73">
        <w:rPr>
          <w:rFonts w:ascii="Arial" w:eastAsia="MS Mincho" w:hAnsi="Arial" w:cs="Arial"/>
          <w:sz w:val="22"/>
          <w:szCs w:val="22"/>
        </w:rPr>
        <w:t>before setting up</w:t>
      </w:r>
      <w:r w:rsidRPr="005F32B6">
        <w:rPr>
          <w:rFonts w:ascii="Arial" w:eastAsia="MS Mincho" w:hAnsi="Arial" w:cs="Arial"/>
          <w:sz w:val="22"/>
          <w:szCs w:val="22"/>
        </w:rPr>
        <w:t xml:space="preserve"> a still.</w:t>
      </w:r>
      <w:r w:rsidRPr="005F32B6" w:rsidR="0073454F">
        <w:rPr>
          <w:rFonts w:ascii="Arial" w:eastAsia="MS Mincho" w:hAnsi="Arial" w:cs="Arial"/>
          <w:sz w:val="22"/>
          <w:szCs w:val="22"/>
        </w:rPr>
        <w:t xml:space="preserve"> </w:t>
      </w:r>
    </w:p>
    <w:p w:rsidR="004F2A7A" w:rsidRPr="005F32B6" w:rsidP="005F4441" w14:paraId="0A32FCBB" w14:textId="77777777">
      <w:pPr>
        <w:numPr>
          <w:ilvl w:val="0"/>
          <w:numId w:val="6"/>
        </w:numPr>
        <w:tabs>
          <w:tab w:val="left" w:pos="720"/>
        </w:tabs>
        <w:autoSpaceDE w:val="0"/>
        <w:autoSpaceDN w:val="0"/>
        <w:adjustRightInd w:val="0"/>
        <w:spacing w:after="120"/>
        <w:ind w:left="738" w:hanging="378"/>
        <w:rPr>
          <w:rFonts w:ascii="Arial" w:eastAsia="MS Mincho" w:hAnsi="Arial" w:cs="Arial"/>
          <w:sz w:val="22"/>
          <w:szCs w:val="22"/>
        </w:rPr>
      </w:pPr>
      <w:r w:rsidRPr="005F32B6">
        <w:rPr>
          <w:rFonts w:ascii="Arial" w:eastAsia="MS Mincho" w:hAnsi="Arial" w:cs="Arial"/>
          <w:sz w:val="22"/>
          <w:szCs w:val="22"/>
        </w:rPr>
        <w:t xml:space="preserve">Registration (26 U.S.C. 5179 and 27 CFR 29.55).  </w:t>
      </w:r>
      <w:r w:rsidRPr="005F32B6" w:rsidR="00E85C3C">
        <w:rPr>
          <w:rFonts w:ascii="Arial" w:eastAsia="MS Mincho" w:hAnsi="Arial" w:cs="Arial"/>
          <w:sz w:val="22"/>
          <w:szCs w:val="22"/>
        </w:rPr>
        <w:t xml:space="preserve">Every person who has possession, control, or custody of a still must register the still or distilling apparatus using the registration or permit application prescribed in title 27 Code of Federal Regulations for qualification under 26 U.S.C. chapter 51.  In general, to register stills, respondents use form TTB F 5110.41, Registration of Distilled Spirits Plant (or its electronic equivalent in TTB’s Permits Online system (PONL), which is approved separately under OMB No. 1513–0048, when filing a new or amended permit application.  </w:t>
      </w:r>
      <w:r w:rsidRPr="005F32B6" w:rsidR="00247EA8">
        <w:rPr>
          <w:rFonts w:ascii="Arial" w:eastAsia="MS Mincho" w:hAnsi="Arial" w:cs="Arial"/>
          <w:sz w:val="22"/>
          <w:szCs w:val="22"/>
        </w:rPr>
        <w:t xml:space="preserve">Specific to this information collection, </w:t>
      </w:r>
      <w:r w:rsidRPr="005F32B6" w:rsidR="00D57562">
        <w:rPr>
          <w:rFonts w:ascii="Arial" w:eastAsia="MS Mincho" w:hAnsi="Arial" w:cs="Arial"/>
          <w:sz w:val="22"/>
          <w:szCs w:val="22"/>
        </w:rPr>
        <w:t xml:space="preserve">if </w:t>
      </w:r>
      <w:r w:rsidRPr="005F32B6" w:rsidR="00247EA8">
        <w:rPr>
          <w:rFonts w:ascii="Arial" w:eastAsia="MS Mincho" w:hAnsi="Arial" w:cs="Arial"/>
          <w:sz w:val="22"/>
          <w:szCs w:val="22"/>
        </w:rPr>
        <w:t>a respondent is not require</w:t>
      </w:r>
      <w:r w:rsidRPr="005F32B6" w:rsidR="00E85C3C">
        <w:rPr>
          <w:rFonts w:ascii="Arial" w:eastAsia="MS Mincho" w:hAnsi="Arial" w:cs="Arial"/>
          <w:sz w:val="22"/>
          <w:szCs w:val="22"/>
        </w:rPr>
        <w:t>d</w:t>
      </w:r>
      <w:r w:rsidRPr="005F32B6" w:rsidR="00247EA8">
        <w:rPr>
          <w:rFonts w:ascii="Arial" w:eastAsia="MS Mincho" w:hAnsi="Arial" w:cs="Arial"/>
          <w:sz w:val="22"/>
          <w:szCs w:val="22"/>
        </w:rPr>
        <w:t xml:space="preserve"> to qualify as a distilled spirits plant</w:t>
      </w:r>
      <w:r w:rsidRPr="005F32B6" w:rsidR="00E85C3C">
        <w:rPr>
          <w:rFonts w:ascii="Arial" w:eastAsia="MS Mincho" w:hAnsi="Arial" w:cs="Arial"/>
          <w:sz w:val="22"/>
          <w:szCs w:val="22"/>
        </w:rPr>
        <w:t xml:space="preserve"> operator</w:t>
      </w:r>
      <w:r w:rsidRPr="005F32B6" w:rsidR="00247EA8">
        <w:rPr>
          <w:rFonts w:ascii="Arial" w:eastAsia="MS Mincho" w:hAnsi="Arial" w:cs="Arial"/>
          <w:sz w:val="22"/>
          <w:szCs w:val="22"/>
        </w:rPr>
        <w:t xml:space="preserve">, they register stills </w:t>
      </w:r>
      <w:r w:rsidRPr="005F32B6" w:rsidR="00D57562">
        <w:rPr>
          <w:rFonts w:ascii="Arial" w:eastAsia="MS Mincho" w:hAnsi="Arial" w:cs="Arial"/>
          <w:sz w:val="22"/>
          <w:szCs w:val="22"/>
        </w:rPr>
        <w:t>by letter application to TTB</w:t>
      </w:r>
      <w:r w:rsidRPr="005F32B6">
        <w:rPr>
          <w:rFonts w:ascii="Arial" w:eastAsia="MS Mincho" w:hAnsi="Arial" w:cs="Arial"/>
          <w:sz w:val="22"/>
          <w:szCs w:val="22"/>
        </w:rPr>
        <w:t xml:space="preserve">.  </w:t>
      </w:r>
      <w:r w:rsidRPr="005F32B6" w:rsidR="00247EA8">
        <w:rPr>
          <w:rFonts w:ascii="Arial" w:eastAsia="MS Mincho" w:hAnsi="Arial" w:cs="Arial"/>
          <w:sz w:val="22"/>
          <w:szCs w:val="22"/>
        </w:rPr>
        <w:t>In addition, w</w:t>
      </w:r>
      <w:r w:rsidRPr="005F32B6">
        <w:rPr>
          <w:rFonts w:ascii="Arial" w:eastAsia="MS Mincho" w:hAnsi="Arial" w:cs="Arial"/>
          <w:sz w:val="22"/>
          <w:szCs w:val="22"/>
        </w:rPr>
        <w:t xml:space="preserve">hen a registered still is removed, sold, or otherwise disposed of, the registrant must notify </w:t>
      </w:r>
      <w:r w:rsidRPr="005F32B6" w:rsidR="00040B73">
        <w:rPr>
          <w:rFonts w:ascii="Arial" w:eastAsia="MS Mincho" w:hAnsi="Arial" w:cs="Arial"/>
          <w:sz w:val="22"/>
          <w:szCs w:val="22"/>
        </w:rPr>
        <w:t>TTB</w:t>
      </w:r>
      <w:r w:rsidRPr="005F32B6">
        <w:rPr>
          <w:rFonts w:ascii="Arial" w:eastAsia="MS Mincho" w:hAnsi="Arial" w:cs="Arial"/>
          <w:sz w:val="22"/>
          <w:szCs w:val="22"/>
        </w:rPr>
        <w:t xml:space="preserve"> of th</w:t>
      </w:r>
      <w:r w:rsidRPr="005F32B6" w:rsidR="00247EA8">
        <w:rPr>
          <w:rFonts w:ascii="Arial" w:eastAsia="MS Mincho" w:hAnsi="Arial" w:cs="Arial"/>
          <w:sz w:val="22"/>
          <w:szCs w:val="22"/>
        </w:rPr>
        <w:t>e</w:t>
      </w:r>
      <w:r w:rsidRPr="005F32B6">
        <w:rPr>
          <w:rFonts w:ascii="Arial" w:eastAsia="MS Mincho" w:hAnsi="Arial" w:cs="Arial"/>
          <w:sz w:val="22"/>
          <w:szCs w:val="22"/>
        </w:rPr>
        <w:t xml:space="preserve"> change by letterhead notice.</w:t>
      </w:r>
      <w:r w:rsidRPr="005F32B6" w:rsidR="0073454F">
        <w:rPr>
          <w:rFonts w:ascii="Arial" w:eastAsia="MS Mincho" w:hAnsi="Arial" w:cs="Arial"/>
          <w:sz w:val="22"/>
          <w:szCs w:val="22"/>
        </w:rPr>
        <w:t xml:space="preserve"> </w:t>
      </w:r>
    </w:p>
    <w:p w:rsidR="004F2A7A" w:rsidRPr="005F32B6" w:rsidP="005F4441" w14:paraId="0A32FCBC" w14:textId="77777777">
      <w:pPr>
        <w:numPr>
          <w:ilvl w:val="0"/>
          <w:numId w:val="6"/>
        </w:numPr>
        <w:tabs>
          <w:tab w:val="left" w:pos="720"/>
        </w:tabs>
        <w:autoSpaceDE w:val="0"/>
        <w:autoSpaceDN w:val="0"/>
        <w:adjustRightInd w:val="0"/>
        <w:ind w:left="747" w:hanging="387"/>
        <w:rPr>
          <w:rFonts w:ascii="Arial" w:eastAsia="MS Mincho" w:hAnsi="Arial" w:cs="Arial"/>
          <w:sz w:val="22"/>
          <w:szCs w:val="22"/>
        </w:rPr>
      </w:pPr>
      <w:r w:rsidRPr="005F32B6">
        <w:rPr>
          <w:rFonts w:ascii="Arial" w:eastAsia="MS Mincho" w:hAnsi="Arial" w:cs="Arial"/>
          <w:sz w:val="22"/>
          <w:szCs w:val="22"/>
        </w:rPr>
        <w:t xml:space="preserve">Records (27 CFR </w:t>
      </w:r>
      <w:r w:rsidRPr="005F32B6" w:rsidR="00E266FB">
        <w:rPr>
          <w:rFonts w:ascii="Arial" w:eastAsia="MS Mincho" w:hAnsi="Arial" w:cs="Arial"/>
          <w:sz w:val="22"/>
          <w:szCs w:val="22"/>
        </w:rPr>
        <w:t xml:space="preserve">29.47(c), 29.49(c), and </w:t>
      </w:r>
      <w:r w:rsidRPr="005F32B6">
        <w:rPr>
          <w:rFonts w:ascii="Arial" w:eastAsia="MS Mincho" w:hAnsi="Arial" w:cs="Arial"/>
          <w:sz w:val="22"/>
          <w:szCs w:val="22"/>
        </w:rPr>
        <w:t xml:space="preserve">29.59).  Every manufacturer and vendor of stills </w:t>
      </w:r>
      <w:r w:rsidRPr="005F32B6" w:rsidR="00307F07">
        <w:rPr>
          <w:rFonts w:ascii="Arial" w:eastAsia="MS Mincho" w:hAnsi="Arial" w:cs="Arial"/>
          <w:sz w:val="22"/>
          <w:szCs w:val="22"/>
        </w:rPr>
        <w:t>must</w:t>
      </w:r>
      <w:r w:rsidRPr="005F32B6">
        <w:rPr>
          <w:rFonts w:ascii="Arial" w:eastAsia="MS Mincho" w:hAnsi="Arial" w:cs="Arial"/>
          <w:sz w:val="22"/>
          <w:szCs w:val="22"/>
        </w:rPr>
        <w:t xml:space="preserve"> maintain at their premises record </w:t>
      </w:r>
      <w:r w:rsidRPr="005F32B6" w:rsidR="00E266FB">
        <w:rPr>
          <w:rFonts w:ascii="Arial" w:eastAsia="MS Mincho" w:hAnsi="Arial" w:cs="Arial"/>
          <w:sz w:val="22"/>
          <w:szCs w:val="22"/>
        </w:rPr>
        <w:t>cop</w:t>
      </w:r>
      <w:r w:rsidRPr="005F32B6" w:rsidR="003C7A32">
        <w:rPr>
          <w:rFonts w:ascii="Arial" w:eastAsia="MS Mincho" w:hAnsi="Arial" w:cs="Arial"/>
          <w:sz w:val="22"/>
          <w:szCs w:val="22"/>
        </w:rPr>
        <w:t>ies</w:t>
      </w:r>
      <w:r w:rsidRPr="005F32B6" w:rsidR="00E266FB">
        <w:rPr>
          <w:rFonts w:ascii="Arial" w:eastAsia="MS Mincho" w:hAnsi="Arial" w:cs="Arial"/>
          <w:sz w:val="22"/>
          <w:szCs w:val="22"/>
        </w:rPr>
        <w:t xml:space="preserve"> of the notices required under § 29.47 and 29.49, </w:t>
      </w:r>
      <w:r w:rsidRPr="005F32B6" w:rsidR="00A4151C">
        <w:rPr>
          <w:rFonts w:ascii="Arial" w:eastAsia="MS Mincho" w:hAnsi="Arial" w:cs="Arial"/>
          <w:sz w:val="22"/>
          <w:szCs w:val="22"/>
        </w:rPr>
        <w:t>as well as a record of all stills manufactured, received, removed, or otherwise disposed of, showing the name of the purchaser and the purpose for which each apparatus is to be used.  Respondents must retain the required records for 3 years.  While TTB requires man</w:t>
      </w:r>
      <w:r w:rsidRPr="005F32B6" w:rsidR="00270706">
        <w:rPr>
          <w:rFonts w:ascii="Arial" w:eastAsia="MS Mincho" w:hAnsi="Arial" w:cs="Arial"/>
          <w:sz w:val="22"/>
          <w:szCs w:val="22"/>
        </w:rPr>
        <w:t xml:space="preserve">ufacturing and set </w:t>
      </w:r>
      <w:r w:rsidRPr="005F32B6" w:rsidR="00A4151C">
        <w:rPr>
          <w:rFonts w:ascii="Arial" w:eastAsia="MS Mincho" w:hAnsi="Arial" w:cs="Arial"/>
          <w:sz w:val="22"/>
          <w:szCs w:val="22"/>
        </w:rPr>
        <w:t xml:space="preserve">up notices to be </w:t>
      </w:r>
      <w:r w:rsidRPr="005F32B6" w:rsidR="00270706">
        <w:rPr>
          <w:rFonts w:ascii="Arial" w:eastAsia="MS Mincho" w:hAnsi="Arial" w:cs="Arial"/>
          <w:sz w:val="22"/>
          <w:szCs w:val="22"/>
        </w:rPr>
        <w:t xml:space="preserve">submitted </w:t>
      </w:r>
      <w:r w:rsidRPr="005F32B6" w:rsidR="00A4151C">
        <w:rPr>
          <w:rFonts w:ascii="Arial" w:eastAsia="MS Mincho" w:hAnsi="Arial" w:cs="Arial"/>
          <w:sz w:val="22"/>
          <w:szCs w:val="22"/>
        </w:rPr>
        <w:t xml:space="preserve">in letterhead format, </w:t>
      </w:r>
      <w:r w:rsidRPr="005F32B6" w:rsidR="00270706">
        <w:rPr>
          <w:rFonts w:ascii="Arial" w:eastAsia="MS Mincho" w:hAnsi="Arial" w:cs="Arial"/>
          <w:sz w:val="22"/>
          <w:szCs w:val="22"/>
        </w:rPr>
        <w:t xml:space="preserve">the regulations </w:t>
      </w:r>
      <w:r w:rsidRPr="005F32B6" w:rsidR="00A4151C">
        <w:rPr>
          <w:rFonts w:ascii="Arial" w:eastAsia="MS Mincho" w:hAnsi="Arial" w:cs="Arial"/>
          <w:sz w:val="22"/>
          <w:szCs w:val="22"/>
        </w:rPr>
        <w:t xml:space="preserve">prescribe no </w:t>
      </w:r>
      <w:r w:rsidRPr="005F32B6">
        <w:rPr>
          <w:rFonts w:ascii="Arial" w:eastAsia="MS Mincho" w:hAnsi="Arial" w:cs="Arial"/>
          <w:sz w:val="22"/>
          <w:szCs w:val="22"/>
        </w:rPr>
        <w:t xml:space="preserve">specific format </w:t>
      </w:r>
      <w:r w:rsidRPr="005F32B6" w:rsidR="00A4151C">
        <w:rPr>
          <w:rFonts w:ascii="Arial" w:eastAsia="MS Mincho" w:hAnsi="Arial" w:cs="Arial"/>
          <w:sz w:val="22"/>
          <w:szCs w:val="22"/>
        </w:rPr>
        <w:t xml:space="preserve">for the required manufacturing, receiving, removal, and disposal records, which </w:t>
      </w:r>
      <w:r w:rsidRPr="005F32B6">
        <w:rPr>
          <w:rFonts w:ascii="Arial" w:eastAsia="MS Mincho" w:hAnsi="Arial" w:cs="Arial"/>
          <w:sz w:val="22"/>
          <w:szCs w:val="22"/>
        </w:rPr>
        <w:t xml:space="preserve">may consist of usual and customary </w:t>
      </w:r>
      <w:r w:rsidRPr="005F32B6" w:rsidR="00E85C3C">
        <w:rPr>
          <w:rFonts w:ascii="Arial" w:eastAsia="MS Mincho" w:hAnsi="Arial" w:cs="Arial"/>
          <w:sz w:val="22"/>
          <w:szCs w:val="22"/>
        </w:rPr>
        <w:t xml:space="preserve">business </w:t>
      </w:r>
      <w:r w:rsidRPr="005F32B6">
        <w:rPr>
          <w:rFonts w:ascii="Arial" w:eastAsia="MS Mincho" w:hAnsi="Arial" w:cs="Arial"/>
          <w:sz w:val="22"/>
          <w:szCs w:val="22"/>
        </w:rPr>
        <w:t>records</w:t>
      </w:r>
      <w:r w:rsidRPr="005F32B6" w:rsidR="00E85C3C">
        <w:rPr>
          <w:rFonts w:ascii="Arial" w:eastAsia="MS Mincho" w:hAnsi="Arial" w:cs="Arial"/>
          <w:sz w:val="22"/>
          <w:szCs w:val="22"/>
        </w:rPr>
        <w:t>, such as sales invoices,</w:t>
      </w:r>
      <w:r w:rsidRPr="005F32B6">
        <w:rPr>
          <w:rFonts w:ascii="Arial" w:eastAsia="MS Mincho" w:hAnsi="Arial" w:cs="Arial"/>
          <w:sz w:val="22"/>
          <w:szCs w:val="22"/>
        </w:rPr>
        <w:t xml:space="preserve"> if </w:t>
      </w:r>
      <w:r w:rsidRPr="005F32B6" w:rsidR="00E85C3C">
        <w:rPr>
          <w:rFonts w:ascii="Arial" w:eastAsia="MS Mincho" w:hAnsi="Arial" w:cs="Arial"/>
          <w:sz w:val="22"/>
          <w:szCs w:val="22"/>
        </w:rPr>
        <w:t xml:space="preserve">all of </w:t>
      </w:r>
      <w:r w:rsidRPr="005F32B6">
        <w:rPr>
          <w:rFonts w:ascii="Arial" w:eastAsia="MS Mincho" w:hAnsi="Arial" w:cs="Arial"/>
          <w:sz w:val="22"/>
          <w:szCs w:val="22"/>
        </w:rPr>
        <w:t>the required information is shown</w:t>
      </w:r>
      <w:r w:rsidRPr="005F32B6" w:rsidR="00E85C3C">
        <w:rPr>
          <w:rFonts w:ascii="Arial" w:eastAsia="MS Mincho" w:hAnsi="Arial" w:cs="Arial"/>
          <w:sz w:val="22"/>
          <w:szCs w:val="22"/>
        </w:rPr>
        <w:t xml:space="preserve">. </w:t>
      </w:r>
    </w:p>
    <w:p w:rsidR="00B06EE5" w:rsidRPr="005F32B6" w:rsidP="005F4441" w14:paraId="0A32FCBD" w14:textId="77777777">
      <w:pPr>
        <w:ind w:left="360"/>
        <w:rPr>
          <w:rFonts w:ascii="Arial" w:hAnsi="Arial" w:cs="Arial"/>
          <w:sz w:val="22"/>
          <w:szCs w:val="22"/>
        </w:rPr>
      </w:pPr>
    </w:p>
    <w:p w:rsidR="00ED4A03" w:rsidRPr="005F32B6" w:rsidP="005F4441" w14:paraId="0A32FCBF" w14:textId="3AFEF2A6">
      <w:pPr>
        <w:ind w:left="360"/>
        <w:rPr>
          <w:rFonts w:ascii="Arial" w:hAnsi="Arial" w:cs="Arial"/>
          <w:sz w:val="22"/>
          <w:szCs w:val="22"/>
        </w:rPr>
      </w:pPr>
      <w:r w:rsidRPr="005F32B6">
        <w:rPr>
          <w:rFonts w:ascii="Arial" w:hAnsi="Arial" w:cs="Arial"/>
          <w:sz w:val="22"/>
          <w:szCs w:val="22"/>
        </w:rPr>
        <w:t>Th</w:t>
      </w:r>
      <w:r w:rsidRPr="005F32B6" w:rsidR="00095F53">
        <w:rPr>
          <w:rFonts w:ascii="Arial" w:hAnsi="Arial" w:cs="Arial"/>
          <w:sz w:val="22"/>
          <w:szCs w:val="22"/>
        </w:rPr>
        <w:t>is</w:t>
      </w:r>
      <w:r w:rsidRPr="005F32B6">
        <w:rPr>
          <w:rFonts w:ascii="Arial" w:hAnsi="Arial" w:cs="Arial"/>
          <w:sz w:val="22"/>
          <w:szCs w:val="22"/>
        </w:rPr>
        <w:t xml:space="preserve"> information collection is aligned with</w:t>
      </w:r>
      <w:r w:rsidRPr="005F32B6" w:rsidR="005F32B6">
        <w:rPr>
          <w:rFonts w:ascii="Arial" w:hAnsi="Arial" w:cs="Arial"/>
          <w:sz w:val="22"/>
          <w:szCs w:val="22"/>
        </w:rPr>
        <w:t xml:space="preserve"> </w:t>
      </w:r>
      <w:r w:rsidRPr="005F32B6">
        <w:rPr>
          <w:rFonts w:ascii="Arial" w:hAnsi="Arial" w:cs="Arial"/>
          <w:sz w:val="22"/>
          <w:szCs w:val="22"/>
          <w:u w:val="single"/>
        </w:rPr>
        <w:t>Line of Business/Sub-function:</w:t>
      </w:r>
      <w:r w:rsidRPr="005F32B6">
        <w:rPr>
          <w:rFonts w:ascii="Arial" w:hAnsi="Arial" w:cs="Arial"/>
          <w:sz w:val="22"/>
          <w:szCs w:val="22"/>
        </w:rPr>
        <w:t xml:space="preserve">  </w:t>
      </w:r>
      <w:r w:rsidRPr="005F32B6" w:rsidR="0073454F">
        <w:rPr>
          <w:rFonts w:ascii="Arial" w:hAnsi="Arial" w:cs="Arial"/>
          <w:sz w:val="22"/>
          <w:szCs w:val="22"/>
        </w:rPr>
        <w:t>General Government/Taxation Management</w:t>
      </w:r>
      <w:r w:rsidRPr="005F32B6" w:rsidR="00987432">
        <w:rPr>
          <w:rFonts w:ascii="Arial" w:hAnsi="Arial" w:cs="Arial"/>
          <w:sz w:val="22"/>
          <w:szCs w:val="22"/>
        </w:rPr>
        <w:t>.</w:t>
      </w:r>
      <w:r w:rsidRPr="005F32B6">
        <w:rPr>
          <w:rFonts w:ascii="Arial" w:hAnsi="Arial" w:cs="Arial"/>
          <w:sz w:val="22"/>
          <w:szCs w:val="22"/>
        </w:rPr>
        <w:t xml:space="preserve"> </w:t>
      </w:r>
    </w:p>
    <w:p w:rsidR="005E4F99" w:rsidRPr="005F32B6" w:rsidP="005F4441" w14:paraId="0A32FCC1" w14:textId="77777777">
      <w:pPr>
        <w:rPr>
          <w:rFonts w:ascii="Arial" w:hAnsi="Arial" w:cs="Arial"/>
          <w:sz w:val="28"/>
          <w:szCs w:val="28"/>
        </w:rPr>
      </w:pPr>
    </w:p>
    <w:p w:rsidR="00AF1157" w:rsidRPr="005F32B6" w:rsidP="005F4441" w14:paraId="0A32FCC2" w14:textId="77777777">
      <w:pPr>
        <w:rPr>
          <w:rFonts w:ascii="Arial" w:hAnsi="Arial" w:cs="Arial"/>
          <w:i/>
          <w:sz w:val="22"/>
          <w:szCs w:val="22"/>
        </w:rPr>
      </w:pPr>
      <w:r w:rsidRPr="005F32B6">
        <w:rPr>
          <w:rFonts w:ascii="Arial" w:hAnsi="Arial" w:cs="Arial"/>
          <w:i/>
          <w:sz w:val="22"/>
          <w:szCs w:val="22"/>
        </w:rPr>
        <w:t>2.  How, by whom</w:t>
      </w:r>
      <w:r w:rsidRPr="005F32B6" w:rsidR="00101DE7">
        <w:rPr>
          <w:rFonts w:ascii="Arial" w:hAnsi="Arial" w:cs="Arial"/>
          <w:i/>
          <w:sz w:val="22"/>
          <w:szCs w:val="22"/>
        </w:rPr>
        <w:t>,</w:t>
      </w:r>
      <w:r w:rsidRPr="005F32B6">
        <w:rPr>
          <w:rFonts w:ascii="Arial" w:hAnsi="Arial" w:cs="Arial"/>
          <w:i/>
          <w:sz w:val="22"/>
          <w:szCs w:val="22"/>
        </w:rPr>
        <w:t xml:space="preserve"> and for what purpose is this information used?</w:t>
      </w:r>
      <w:r w:rsidRPr="005F32B6" w:rsidR="00D73D2D">
        <w:rPr>
          <w:rFonts w:ascii="Arial" w:hAnsi="Arial" w:cs="Arial"/>
          <w:i/>
          <w:sz w:val="22"/>
          <w:szCs w:val="22"/>
        </w:rPr>
        <w:t xml:space="preserve"> </w:t>
      </w:r>
    </w:p>
    <w:p w:rsidR="00AF1157" w:rsidRPr="005F32B6" w:rsidP="005F4441" w14:paraId="0A32FCC3" w14:textId="77777777">
      <w:pPr>
        <w:rPr>
          <w:rFonts w:ascii="Arial" w:hAnsi="Arial" w:cs="Arial"/>
          <w:sz w:val="22"/>
          <w:szCs w:val="22"/>
        </w:rPr>
      </w:pPr>
    </w:p>
    <w:p w:rsidR="00A226F8" w:rsidRPr="005F32B6" w:rsidP="005F4441" w14:paraId="0A32FCC4" w14:textId="074A6D96">
      <w:pPr>
        <w:autoSpaceDE w:val="0"/>
        <w:autoSpaceDN w:val="0"/>
        <w:adjustRightInd w:val="0"/>
        <w:ind w:left="360"/>
        <w:rPr>
          <w:rFonts w:ascii="Arial" w:eastAsia="MS Mincho" w:hAnsi="Arial" w:cs="Arial"/>
          <w:sz w:val="22"/>
          <w:szCs w:val="22"/>
        </w:rPr>
      </w:pPr>
      <w:r w:rsidRPr="005F32B6">
        <w:rPr>
          <w:rFonts w:ascii="Arial" w:eastAsia="MS Mincho" w:hAnsi="Arial" w:cs="Arial"/>
          <w:sz w:val="22"/>
          <w:szCs w:val="22"/>
        </w:rPr>
        <w:t>TTB uses th</w:t>
      </w:r>
      <w:r w:rsidRPr="005F32B6" w:rsidR="00491AB2">
        <w:rPr>
          <w:rFonts w:ascii="Arial" w:eastAsia="MS Mincho" w:hAnsi="Arial" w:cs="Arial"/>
          <w:sz w:val="22"/>
          <w:szCs w:val="22"/>
        </w:rPr>
        <w:t xml:space="preserve">is </w:t>
      </w:r>
      <w:r w:rsidRPr="005F32B6">
        <w:rPr>
          <w:rFonts w:ascii="Arial" w:eastAsia="MS Mincho" w:hAnsi="Arial" w:cs="Arial"/>
          <w:sz w:val="22"/>
          <w:szCs w:val="22"/>
        </w:rPr>
        <w:t xml:space="preserve">information collection to maintain accountability </w:t>
      </w:r>
      <w:r w:rsidRPr="005F32B6" w:rsidR="0073454F">
        <w:rPr>
          <w:rFonts w:ascii="Arial" w:eastAsia="MS Mincho" w:hAnsi="Arial" w:cs="Arial"/>
          <w:sz w:val="22"/>
          <w:szCs w:val="22"/>
        </w:rPr>
        <w:t xml:space="preserve">over stills and to verify their </w:t>
      </w:r>
      <w:r w:rsidRPr="005F32B6">
        <w:rPr>
          <w:rFonts w:ascii="Arial" w:eastAsia="MS Mincho" w:hAnsi="Arial" w:cs="Arial"/>
          <w:sz w:val="22"/>
          <w:szCs w:val="22"/>
        </w:rPr>
        <w:t>registration</w:t>
      </w:r>
      <w:r w:rsidRPr="005F32B6" w:rsidR="00515123">
        <w:rPr>
          <w:rFonts w:ascii="Arial" w:eastAsia="MS Mincho" w:hAnsi="Arial" w:cs="Arial"/>
          <w:sz w:val="22"/>
          <w:szCs w:val="22"/>
        </w:rPr>
        <w:t>, which is necessary to protect the revenue.  The use of unregistered or otherwise unaccounted-for stills to illegally produce untaxed distilled spirits would result in the loss of F</w:t>
      </w:r>
      <w:r w:rsidRPr="005F32B6" w:rsidR="00C65181">
        <w:rPr>
          <w:rFonts w:ascii="Arial" w:eastAsia="MS Mincho" w:hAnsi="Arial" w:cs="Arial"/>
          <w:sz w:val="22"/>
          <w:szCs w:val="22"/>
        </w:rPr>
        <w:t xml:space="preserve">ederal </w:t>
      </w:r>
      <w:r w:rsidRPr="005F32B6">
        <w:rPr>
          <w:rFonts w:ascii="Arial" w:eastAsia="MS Mincho" w:hAnsi="Arial" w:cs="Arial"/>
          <w:sz w:val="22"/>
          <w:szCs w:val="22"/>
        </w:rPr>
        <w:t>tax revenue.</w:t>
      </w:r>
      <w:r w:rsidRPr="005F32B6" w:rsidR="0073454F">
        <w:rPr>
          <w:rFonts w:ascii="Arial" w:eastAsia="MS Mincho" w:hAnsi="Arial" w:cs="Arial"/>
          <w:sz w:val="22"/>
          <w:szCs w:val="22"/>
        </w:rPr>
        <w:t xml:space="preserve"> </w:t>
      </w:r>
    </w:p>
    <w:p w:rsidR="00AF1157" w:rsidRPr="005F32B6" w:rsidP="005F4441" w14:paraId="0A32FCC5" w14:textId="77777777">
      <w:pPr>
        <w:ind w:left="576" w:hanging="576"/>
        <w:rPr>
          <w:rFonts w:ascii="Arial" w:hAnsi="Arial" w:cs="Arial"/>
          <w:sz w:val="28"/>
          <w:szCs w:val="28"/>
        </w:rPr>
      </w:pPr>
    </w:p>
    <w:p w:rsidR="00AF1157" w:rsidRPr="005F32B6" w:rsidP="005F4441" w14:paraId="0A32FCC6" w14:textId="77777777">
      <w:pPr>
        <w:rPr>
          <w:rFonts w:ascii="Arial" w:hAnsi="Arial" w:cs="Arial"/>
          <w:i/>
          <w:sz w:val="22"/>
          <w:szCs w:val="22"/>
        </w:rPr>
      </w:pPr>
      <w:r w:rsidRPr="005F32B6">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5F32B6" w:rsidP="005F4441" w14:paraId="0A32FCC7" w14:textId="77777777">
      <w:pPr>
        <w:rPr>
          <w:rFonts w:ascii="Arial" w:hAnsi="Arial" w:cs="Arial"/>
          <w:sz w:val="22"/>
          <w:szCs w:val="22"/>
        </w:rPr>
      </w:pPr>
    </w:p>
    <w:p w:rsidR="00AF1157" w:rsidRPr="005F32B6" w:rsidP="005F4441" w14:paraId="0A32FCC8" w14:textId="77777777">
      <w:pPr>
        <w:tabs>
          <w:tab w:val="left" w:pos="8496"/>
        </w:tabs>
        <w:spacing w:line="240" w:lineRule="atLeast"/>
        <w:ind w:left="360"/>
        <w:rPr>
          <w:rFonts w:ascii="Arial" w:hAnsi="Arial" w:cs="Arial"/>
          <w:sz w:val="22"/>
          <w:szCs w:val="22"/>
        </w:rPr>
      </w:pPr>
      <w:r w:rsidRPr="005F32B6">
        <w:rPr>
          <w:rFonts w:ascii="Arial" w:hAnsi="Arial" w:cs="Arial"/>
          <w:sz w:val="22"/>
          <w:szCs w:val="22"/>
        </w:rPr>
        <w:t xml:space="preserve">The occasional letterhead notices required under this collection are not susceptible to </w:t>
      </w:r>
      <w:r w:rsidRPr="005F32B6" w:rsidR="00395E83">
        <w:rPr>
          <w:rFonts w:ascii="Arial" w:hAnsi="Arial" w:cs="Arial"/>
          <w:sz w:val="22"/>
          <w:szCs w:val="22"/>
        </w:rPr>
        <w:t xml:space="preserve">automated collection techniques.  Respondents may maintain the required records using information technology at their discretion. </w:t>
      </w:r>
    </w:p>
    <w:p w:rsidR="005F32B6" w:rsidRPr="005F32B6" w:rsidP="005F4441" w14:paraId="2E1A0F12" w14:textId="77777777">
      <w:pPr>
        <w:tabs>
          <w:tab w:val="left" w:pos="8496"/>
        </w:tabs>
        <w:spacing w:line="240" w:lineRule="atLeast"/>
        <w:rPr>
          <w:rFonts w:ascii="Arial" w:hAnsi="Arial" w:cs="Arial"/>
          <w:sz w:val="28"/>
          <w:szCs w:val="28"/>
        </w:rPr>
      </w:pPr>
    </w:p>
    <w:p w:rsidR="00AF1157" w:rsidRPr="005F32B6" w:rsidP="005F4441" w14:paraId="0A32FCC9" w14:textId="77777777">
      <w:pPr>
        <w:rPr>
          <w:rFonts w:ascii="Arial" w:hAnsi="Arial" w:cs="Arial"/>
          <w:i/>
          <w:sz w:val="22"/>
          <w:szCs w:val="22"/>
        </w:rPr>
      </w:pPr>
      <w:r w:rsidRPr="005F32B6">
        <w:rPr>
          <w:rFonts w:ascii="Arial" w:hAnsi="Arial" w:cs="Arial"/>
          <w:i/>
          <w:sz w:val="22"/>
          <w:szCs w:val="22"/>
        </w:rPr>
        <w:t>4.  What efforts are used to identi</w:t>
      </w:r>
      <w:r w:rsidRPr="005F32B6" w:rsidR="009E4E4C">
        <w:rPr>
          <w:rFonts w:ascii="Arial" w:hAnsi="Arial" w:cs="Arial"/>
          <w:i/>
          <w:sz w:val="22"/>
          <w:szCs w:val="22"/>
        </w:rPr>
        <w:t>f</w:t>
      </w:r>
      <w:r w:rsidRPr="005F32B6">
        <w:rPr>
          <w:rFonts w:ascii="Arial" w:hAnsi="Arial" w:cs="Arial"/>
          <w:i/>
          <w:sz w:val="22"/>
          <w:szCs w:val="22"/>
        </w:rPr>
        <w:t xml:space="preserve">y duplication?  </w:t>
      </w:r>
      <w:r w:rsidRPr="005F32B6" w:rsidR="007A5D4B">
        <w:rPr>
          <w:rFonts w:ascii="Arial" w:hAnsi="Arial" w:cs="Arial"/>
          <w:i/>
          <w:sz w:val="22"/>
          <w:szCs w:val="22"/>
        </w:rPr>
        <w:t xml:space="preserve">Can </w:t>
      </w:r>
      <w:r w:rsidRPr="005F32B6">
        <w:rPr>
          <w:rFonts w:ascii="Arial" w:hAnsi="Arial" w:cs="Arial"/>
          <w:i/>
          <w:sz w:val="22"/>
          <w:szCs w:val="22"/>
        </w:rPr>
        <w:t>similar information</w:t>
      </w:r>
      <w:r w:rsidRPr="005F32B6" w:rsidR="00DF5F98">
        <w:rPr>
          <w:rFonts w:ascii="Arial" w:hAnsi="Arial" w:cs="Arial"/>
          <w:i/>
          <w:sz w:val="22"/>
          <w:szCs w:val="22"/>
        </w:rPr>
        <w:t xml:space="preserve"> </w:t>
      </w:r>
      <w:r w:rsidRPr="005F32B6">
        <w:rPr>
          <w:rFonts w:ascii="Arial" w:hAnsi="Arial" w:cs="Arial"/>
          <w:i/>
          <w:sz w:val="22"/>
          <w:szCs w:val="22"/>
        </w:rPr>
        <w:t>already available be used or modified for use for</w:t>
      </w:r>
      <w:r w:rsidRPr="005F32B6" w:rsidR="00DF5F98">
        <w:rPr>
          <w:rFonts w:ascii="Arial" w:hAnsi="Arial" w:cs="Arial"/>
          <w:i/>
          <w:sz w:val="22"/>
          <w:szCs w:val="22"/>
        </w:rPr>
        <w:t xml:space="preserve"> the purposes described in Item </w:t>
      </w:r>
      <w:r w:rsidRPr="005F32B6">
        <w:rPr>
          <w:rFonts w:ascii="Arial" w:hAnsi="Arial" w:cs="Arial"/>
          <w:i/>
          <w:sz w:val="22"/>
          <w:szCs w:val="22"/>
        </w:rPr>
        <w:t>2</w:t>
      </w:r>
      <w:r w:rsidRPr="005F32B6" w:rsidR="00DF5F98">
        <w:rPr>
          <w:rFonts w:ascii="Arial" w:hAnsi="Arial" w:cs="Arial"/>
          <w:i/>
          <w:sz w:val="22"/>
          <w:szCs w:val="22"/>
        </w:rPr>
        <w:t xml:space="preserve"> </w:t>
      </w:r>
      <w:r w:rsidRPr="005F32B6">
        <w:rPr>
          <w:rFonts w:ascii="Arial" w:hAnsi="Arial" w:cs="Arial"/>
          <w:i/>
          <w:sz w:val="22"/>
          <w:szCs w:val="22"/>
        </w:rPr>
        <w:t>above?</w:t>
      </w:r>
      <w:r w:rsidRPr="005F32B6" w:rsidR="00DF5F98">
        <w:rPr>
          <w:rFonts w:ascii="Arial" w:hAnsi="Arial" w:cs="Arial"/>
          <w:i/>
          <w:sz w:val="22"/>
          <w:szCs w:val="22"/>
        </w:rPr>
        <w:t xml:space="preserve"> </w:t>
      </w:r>
    </w:p>
    <w:p w:rsidR="00AF1157" w:rsidRPr="005F32B6" w:rsidP="005F4441" w14:paraId="0A32FCCA" w14:textId="77777777">
      <w:pPr>
        <w:ind w:left="480" w:hanging="480"/>
        <w:rPr>
          <w:rFonts w:ascii="Arial" w:hAnsi="Arial" w:cs="Arial"/>
          <w:sz w:val="22"/>
          <w:szCs w:val="22"/>
        </w:rPr>
      </w:pPr>
    </w:p>
    <w:p w:rsidR="00D50640" w:rsidRPr="005F32B6" w:rsidP="005F4441" w14:paraId="0A32FCCB" w14:textId="77777777">
      <w:pPr>
        <w:ind w:left="360"/>
        <w:rPr>
          <w:rFonts w:ascii="Arial" w:hAnsi="Arial" w:cs="Arial"/>
          <w:sz w:val="22"/>
          <w:szCs w:val="22"/>
        </w:rPr>
      </w:pPr>
      <w:r w:rsidRPr="005F32B6">
        <w:rPr>
          <w:rFonts w:ascii="Arial" w:hAnsi="Arial" w:cs="Arial"/>
          <w:sz w:val="22"/>
          <w:szCs w:val="22"/>
        </w:rPr>
        <w:t>The notices</w:t>
      </w:r>
      <w:r w:rsidRPr="005F32B6" w:rsidR="00E85C3C">
        <w:rPr>
          <w:rFonts w:ascii="Arial" w:hAnsi="Arial" w:cs="Arial"/>
          <w:sz w:val="22"/>
          <w:szCs w:val="22"/>
        </w:rPr>
        <w:t>, registrations,</w:t>
      </w:r>
      <w:r w:rsidRPr="005F32B6" w:rsidR="00D414AB">
        <w:rPr>
          <w:rFonts w:ascii="Arial" w:hAnsi="Arial" w:cs="Arial"/>
          <w:sz w:val="22"/>
          <w:szCs w:val="22"/>
        </w:rPr>
        <w:t xml:space="preserve"> </w:t>
      </w:r>
      <w:r w:rsidRPr="005F32B6" w:rsidR="00E961D4">
        <w:rPr>
          <w:rFonts w:ascii="Arial" w:hAnsi="Arial" w:cs="Arial"/>
          <w:sz w:val="22"/>
          <w:szCs w:val="22"/>
        </w:rPr>
        <w:t xml:space="preserve">and records </w:t>
      </w:r>
      <w:r w:rsidRPr="005F32B6" w:rsidR="001D070F">
        <w:rPr>
          <w:rFonts w:ascii="Arial" w:hAnsi="Arial" w:cs="Arial"/>
          <w:sz w:val="22"/>
          <w:szCs w:val="22"/>
        </w:rPr>
        <w:t xml:space="preserve">required under this </w:t>
      </w:r>
      <w:r w:rsidRPr="005F32B6" w:rsidR="00E85C3C">
        <w:rPr>
          <w:rFonts w:ascii="Arial" w:hAnsi="Arial" w:cs="Arial"/>
          <w:sz w:val="22"/>
          <w:szCs w:val="22"/>
        </w:rPr>
        <w:t xml:space="preserve">information </w:t>
      </w:r>
      <w:r w:rsidRPr="005F32B6" w:rsidR="001D070F">
        <w:rPr>
          <w:rFonts w:ascii="Arial" w:hAnsi="Arial" w:cs="Arial"/>
          <w:sz w:val="22"/>
          <w:szCs w:val="22"/>
        </w:rPr>
        <w:t xml:space="preserve">collection </w:t>
      </w:r>
      <w:r w:rsidRPr="005F32B6">
        <w:rPr>
          <w:rFonts w:ascii="Arial" w:hAnsi="Arial" w:cs="Arial"/>
          <w:sz w:val="22"/>
          <w:szCs w:val="22"/>
        </w:rPr>
        <w:t xml:space="preserve">contain </w:t>
      </w:r>
      <w:r w:rsidRPr="005F32B6" w:rsidR="00E85C3C">
        <w:rPr>
          <w:rFonts w:ascii="Arial" w:hAnsi="Arial" w:cs="Arial"/>
          <w:sz w:val="22"/>
          <w:szCs w:val="22"/>
        </w:rPr>
        <w:t xml:space="preserve">data that is </w:t>
      </w:r>
      <w:r w:rsidRPr="005F32B6">
        <w:rPr>
          <w:rFonts w:ascii="Arial" w:hAnsi="Arial" w:cs="Arial"/>
          <w:sz w:val="22"/>
          <w:szCs w:val="22"/>
        </w:rPr>
        <w:t xml:space="preserve">pertinent to each respondent and applicable to the specific issue of regulating </w:t>
      </w:r>
      <w:r w:rsidRPr="005F32B6" w:rsidR="00740979">
        <w:rPr>
          <w:rFonts w:ascii="Arial" w:hAnsi="Arial" w:cs="Arial"/>
          <w:sz w:val="22"/>
          <w:szCs w:val="22"/>
        </w:rPr>
        <w:t>the manufacture, set</w:t>
      </w:r>
      <w:r w:rsidRPr="005F32B6" w:rsidR="00270706">
        <w:rPr>
          <w:rFonts w:ascii="Arial" w:hAnsi="Arial" w:cs="Arial"/>
          <w:sz w:val="22"/>
          <w:szCs w:val="22"/>
        </w:rPr>
        <w:t xml:space="preserve"> </w:t>
      </w:r>
      <w:r w:rsidRPr="005F32B6" w:rsidR="00740979">
        <w:rPr>
          <w:rFonts w:ascii="Arial" w:hAnsi="Arial" w:cs="Arial"/>
          <w:sz w:val="22"/>
          <w:szCs w:val="22"/>
        </w:rPr>
        <w:t xml:space="preserve">up, </w:t>
      </w:r>
      <w:r w:rsidRPr="005F32B6" w:rsidR="00E961D4">
        <w:rPr>
          <w:rFonts w:ascii="Arial" w:hAnsi="Arial" w:cs="Arial"/>
          <w:sz w:val="22"/>
          <w:szCs w:val="22"/>
        </w:rPr>
        <w:t xml:space="preserve">disposal, </w:t>
      </w:r>
      <w:r w:rsidRPr="005F32B6" w:rsidR="00740979">
        <w:rPr>
          <w:rFonts w:ascii="Arial" w:hAnsi="Arial" w:cs="Arial"/>
          <w:sz w:val="22"/>
          <w:szCs w:val="22"/>
        </w:rPr>
        <w:t xml:space="preserve">and registration of </w:t>
      </w:r>
      <w:r w:rsidRPr="005F32B6">
        <w:rPr>
          <w:rFonts w:ascii="Arial" w:hAnsi="Arial" w:cs="Arial"/>
          <w:sz w:val="22"/>
          <w:szCs w:val="22"/>
        </w:rPr>
        <w:t>stills</w:t>
      </w:r>
      <w:r w:rsidRPr="005F32B6" w:rsidR="00F10C50">
        <w:rPr>
          <w:rFonts w:ascii="Arial" w:hAnsi="Arial" w:cs="Arial"/>
          <w:sz w:val="22"/>
          <w:szCs w:val="22"/>
        </w:rPr>
        <w:t>.</w:t>
      </w:r>
      <w:r w:rsidRPr="005F32B6">
        <w:rPr>
          <w:rFonts w:ascii="Arial" w:hAnsi="Arial" w:cs="Arial"/>
          <w:sz w:val="22"/>
          <w:szCs w:val="22"/>
        </w:rPr>
        <w:t xml:space="preserve">  As far as TTB is able to determine, similar information is not available elsewhere.</w:t>
      </w:r>
      <w:r>
        <w:rPr>
          <w:rStyle w:val="FootnoteReference"/>
          <w:rFonts w:ascii="Arial" w:hAnsi="Arial" w:cs="Arial"/>
          <w:sz w:val="22"/>
          <w:szCs w:val="22"/>
        </w:rPr>
        <w:footnoteReference w:id="2"/>
      </w:r>
      <w:r w:rsidRPr="005F32B6">
        <w:rPr>
          <w:rFonts w:ascii="Arial" w:hAnsi="Arial" w:cs="Arial"/>
          <w:sz w:val="22"/>
          <w:szCs w:val="22"/>
        </w:rPr>
        <w:t xml:space="preserve"> </w:t>
      </w:r>
    </w:p>
    <w:p w:rsidR="007A5D4B" w:rsidRPr="005F32B6" w:rsidP="005F4441" w14:paraId="0A32FCCC" w14:textId="77777777">
      <w:pPr>
        <w:rPr>
          <w:rFonts w:ascii="Arial" w:hAnsi="Arial" w:cs="Arial"/>
          <w:sz w:val="28"/>
          <w:szCs w:val="28"/>
        </w:rPr>
      </w:pPr>
    </w:p>
    <w:p w:rsidR="00AF1157" w:rsidRPr="005F32B6" w:rsidP="005F4441" w14:paraId="0A32FCCD" w14:textId="77777777">
      <w:pPr>
        <w:rPr>
          <w:rFonts w:ascii="Arial" w:hAnsi="Arial" w:cs="Arial"/>
          <w:i/>
          <w:sz w:val="22"/>
          <w:szCs w:val="22"/>
        </w:rPr>
      </w:pPr>
      <w:r w:rsidRPr="005F32B6">
        <w:rPr>
          <w:rFonts w:ascii="Arial" w:hAnsi="Arial" w:cs="Arial"/>
          <w:i/>
          <w:sz w:val="22"/>
          <w:szCs w:val="22"/>
        </w:rPr>
        <w:t>5.  If this collection of information impacts small businesses or other small entities,</w:t>
      </w:r>
      <w:r w:rsidRPr="005F32B6" w:rsidR="00DF5F98">
        <w:rPr>
          <w:rFonts w:ascii="Arial" w:hAnsi="Arial" w:cs="Arial"/>
          <w:i/>
          <w:sz w:val="22"/>
          <w:szCs w:val="22"/>
        </w:rPr>
        <w:t xml:space="preserve"> </w:t>
      </w:r>
      <w:r w:rsidRPr="005F32B6">
        <w:rPr>
          <w:rFonts w:ascii="Arial" w:hAnsi="Arial" w:cs="Arial"/>
          <w:i/>
          <w:sz w:val="22"/>
          <w:szCs w:val="22"/>
        </w:rPr>
        <w:t xml:space="preserve">what methods are used to minimize burden? </w:t>
      </w:r>
    </w:p>
    <w:p w:rsidR="007A5D4B" w:rsidRPr="005F32B6" w:rsidP="005F4441" w14:paraId="0A32FCCE" w14:textId="77777777">
      <w:pPr>
        <w:ind w:left="480" w:hanging="480"/>
        <w:rPr>
          <w:rFonts w:ascii="Arial" w:hAnsi="Arial" w:cs="Arial"/>
          <w:sz w:val="22"/>
          <w:szCs w:val="22"/>
        </w:rPr>
      </w:pPr>
    </w:p>
    <w:p w:rsidR="007A5D4B" w:rsidRPr="005F32B6" w:rsidP="005F4441" w14:paraId="0A32FCCF" w14:textId="77777777">
      <w:pPr>
        <w:ind w:left="360"/>
        <w:rPr>
          <w:rFonts w:ascii="Arial" w:hAnsi="Arial" w:cs="Arial"/>
          <w:sz w:val="22"/>
          <w:szCs w:val="22"/>
        </w:rPr>
      </w:pPr>
      <w:r w:rsidRPr="005F32B6">
        <w:rPr>
          <w:rFonts w:ascii="Arial" w:hAnsi="Arial" w:cs="Arial"/>
          <w:sz w:val="22"/>
          <w:szCs w:val="22"/>
        </w:rPr>
        <w:t xml:space="preserve">All entities, regardless of size, are required by </w:t>
      </w:r>
      <w:r w:rsidRPr="005F32B6" w:rsidR="009E49B7">
        <w:rPr>
          <w:rFonts w:ascii="Arial" w:hAnsi="Arial" w:cs="Arial"/>
          <w:sz w:val="22"/>
          <w:szCs w:val="22"/>
        </w:rPr>
        <w:t>27 CFR part 2</w:t>
      </w:r>
      <w:r w:rsidRPr="005F32B6" w:rsidR="001D070F">
        <w:rPr>
          <w:rFonts w:ascii="Arial" w:hAnsi="Arial" w:cs="Arial"/>
          <w:sz w:val="22"/>
          <w:szCs w:val="22"/>
        </w:rPr>
        <w:t>9</w:t>
      </w:r>
      <w:r w:rsidRPr="005F32B6" w:rsidR="00F10C50">
        <w:rPr>
          <w:rFonts w:ascii="Arial" w:hAnsi="Arial" w:cs="Arial"/>
          <w:sz w:val="22"/>
          <w:szCs w:val="22"/>
        </w:rPr>
        <w:t xml:space="preserve"> to </w:t>
      </w:r>
      <w:r w:rsidRPr="005F32B6" w:rsidR="001D070F">
        <w:rPr>
          <w:rFonts w:ascii="Arial" w:hAnsi="Arial" w:cs="Arial"/>
          <w:sz w:val="22"/>
          <w:szCs w:val="22"/>
        </w:rPr>
        <w:t xml:space="preserve">submit </w:t>
      </w:r>
      <w:r w:rsidRPr="005F32B6" w:rsidR="00E961D4">
        <w:rPr>
          <w:rFonts w:ascii="Arial" w:hAnsi="Arial" w:cs="Arial"/>
          <w:sz w:val="22"/>
          <w:szCs w:val="22"/>
        </w:rPr>
        <w:t xml:space="preserve">the </w:t>
      </w:r>
      <w:r w:rsidRPr="005F32B6" w:rsidR="001D070F">
        <w:rPr>
          <w:rFonts w:ascii="Arial" w:hAnsi="Arial" w:cs="Arial"/>
          <w:sz w:val="22"/>
          <w:szCs w:val="22"/>
        </w:rPr>
        <w:t>notices</w:t>
      </w:r>
      <w:r w:rsidRPr="005F32B6" w:rsidR="00E26FA6">
        <w:rPr>
          <w:rFonts w:ascii="Arial" w:hAnsi="Arial" w:cs="Arial"/>
          <w:sz w:val="22"/>
          <w:szCs w:val="22"/>
        </w:rPr>
        <w:t xml:space="preserve"> and registrations and to </w:t>
      </w:r>
      <w:r w:rsidRPr="005F32B6" w:rsidR="00E961D4">
        <w:rPr>
          <w:rFonts w:ascii="Arial" w:hAnsi="Arial" w:cs="Arial"/>
          <w:sz w:val="22"/>
          <w:szCs w:val="22"/>
        </w:rPr>
        <w:t xml:space="preserve">keep </w:t>
      </w:r>
      <w:r w:rsidRPr="005F32B6" w:rsidR="00E26FA6">
        <w:rPr>
          <w:rFonts w:ascii="Arial" w:hAnsi="Arial" w:cs="Arial"/>
          <w:sz w:val="22"/>
          <w:szCs w:val="22"/>
        </w:rPr>
        <w:t xml:space="preserve">the </w:t>
      </w:r>
      <w:r w:rsidRPr="005F32B6" w:rsidR="00E961D4">
        <w:rPr>
          <w:rFonts w:ascii="Arial" w:hAnsi="Arial" w:cs="Arial"/>
          <w:sz w:val="22"/>
          <w:szCs w:val="22"/>
        </w:rPr>
        <w:t xml:space="preserve">records related to stills required under this information collection.  </w:t>
      </w:r>
      <w:r w:rsidRPr="005F32B6">
        <w:rPr>
          <w:rFonts w:ascii="Arial" w:hAnsi="Arial" w:cs="Arial"/>
          <w:sz w:val="22"/>
          <w:szCs w:val="22"/>
        </w:rPr>
        <w:t>Waiver or reduction of th</w:t>
      </w:r>
      <w:r w:rsidRPr="005F32B6" w:rsidR="00E961D4">
        <w:rPr>
          <w:rFonts w:ascii="Arial" w:hAnsi="Arial" w:cs="Arial"/>
          <w:sz w:val="22"/>
          <w:szCs w:val="22"/>
        </w:rPr>
        <w:t xml:space="preserve">is collection’s </w:t>
      </w:r>
      <w:r w:rsidRPr="005F32B6">
        <w:rPr>
          <w:rFonts w:ascii="Arial" w:hAnsi="Arial" w:cs="Arial"/>
          <w:sz w:val="22"/>
          <w:szCs w:val="22"/>
        </w:rPr>
        <w:t>requirement</w:t>
      </w:r>
      <w:r w:rsidRPr="005F32B6" w:rsidR="00E961D4">
        <w:rPr>
          <w:rFonts w:ascii="Arial" w:hAnsi="Arial" w:cs="Arial"/>
          <w:sz w:val="22"/>
          <w:szCs w:val="22"/>
        </w:rPr>
        <w:t>s</w:t>
      </w:r>
      <w:r w:rsidRPr="005F32B6">
        <w:rPr>
          <w:rFonts w:ascii="Arial" w:hAnsi="Arial" w:cs="Arial"/>
          <w:sz w:val="22"/>
          <w:szCs w:val="22"/>
        </w:rPr>
        <w:t xml:space="preserve">, simply because </w:t>
      </w:r>
      <w:r w:rsidRPr="005F32B6" w:rsidR="00E961D4">
        <w:rPr>
          <w:rFonts w:ascii="Arial" w:hAnsi="Arial" w:cs="Arial"/>
          <w:sz w:val="22"/>
          <w:szCs w:val="22"/>
        </w:rPr>
        <w:t xml:space="preserve">of </w:t>
      </w:r>
      <w:r w:rsidRPr="005F32B6">
        <w:rPr>
          <w:rFonts w:ascii="Arial" w:hAnsi="Arial" w:cs="Arial"/>
          <w:sz w:val="22"/>
          <w:szCs w:val="22"/>
        </w:rPr>
        <w:t xml:space="preserve">the </w:t>
      </w:r>
      <w:r w:rsidRPr="005F32B6" w:rsidR="00E961D4">
        <w:rPr>
          <w:rFonts w:ascii="Arial" w:hAnsi="Arial" w:cs="Arial"/>
          <w:sz w:val="22"/>
          <w:szCs w:val="22"/>
        </w:rPr>
        <w:t xml:space="preserve">size of the </w:t>
      </w:r>
      <w:r w:rsidRPr="005F32B6">
        <w:rPr>
          <w:rFonts w:ascii="Arial" w:hAnsi="Arial" w:cs="Arial"/>
          <w:sz w:val="22"/>
          <w:szCs w:val="22"/>
        </w:rPr>
        <w:t xml:space="preserve">respondent's business, could </w:t>
      </w:r>
      <w:r w:rsidRPr="005F32B6" w:rsidR="001D070F">
        <w:rPr>
          <w:rFonts w:ascii="Arial" w:hAnsi="Arial" w:cs="Arial"/>
          <w:sz w:val="22"/>
          <w:szCs w:val="22"/>
        </w:rPr>
        <w:t>jeopardize the revenue</w:t>
      </w:r>
      <w:r w:rsidRPr="005F32B6">
        <w:rPr>
          <w:rFonts w:ascii="Arial" w:hAnsi="Arial" w:cs="Arial"/>
          <w:sz w:val="22"/>
          <w:szCs w:val="22"/>
        </w:rPr>
        <w:t xml:space="preserve">. </w:t>
      </w:r>
      <w:r w:rsidRPr="005F32B6" w:rsidR="00853E85">
        <w:rPr>
          <w:rFonts w:ascii="Arial" w:hAnsi="Arial" w:cs="Arial"/>
          <w:sz w:val="22"/>
          <w:szCs w:val="22"/>
        </w:rPr>
        <w:t xml:space="preserve"> However, </w:t>
      </w:r>
      <w:r w:rsidRPr="005F32B6" w:rsidR="00E961D4">
        <w:rPr>
          <w:rFonts w:ascii="Arial" w:hAnsi="Arial" w:cs="Arial"/>
          <w:sz w:val="22"/>
          <w:szCs w:val="22"/>
        </w:rPr>
        <w:t xml:space="preserve">TTB believes that </w:t>
      </w:r>
      <w:r w:rsidRPr="005F32B6" w:rsidR="00853E85">
        <w:rPr>
          <w:rFonts w:ascii="Arial" w:hAnsi="Arial" w:cs="Arial"/>
          <w:sz w:val="22"/>
          <w:szCs w:val="22"/>
        </w:rPr>
        <w:t xml:space="preserve">this </w:t>
      </w:r>
      <w:r w:rsidRPr="005F32B6" w:rsidR="00395E83">
        <w:rPr>
          <w:rFonts w:ascii="Arial" w:hAnsi="Arial" w:cs="Arial"/>
          <w:sz w:val="22"/>
          <w:szCs w:val="22"/>
        </w:rPr>
        <w:t xml:space="preserve">occasional information </w:t>
      </w:r>
      <w:r w:rsidRPr="005F32B6" w:rsidR="00853E85">
        <w:rPr>
          <w:rFonts w:ascii="Arial" w:hAnsi="Arial" w:cs="Arial"/>
          <w:sz w:val="22"/>
          <w:szCs w:val="22"/>
        </w:rPr>
        <w:t xml:space="preserve">collection does not have a significant impact on a substantial number of small businesses or other </w:t>
      </w:r>
      <w:r w:rsidRPr="005F32B6" w:rsidR="00395E83">
        <w:rPr>
          <w:rFonts w:ascii="Arial" w:hAnsi="Arial" w:cs="Arial"/>
          <w:sz w:val="22"/>
          <w:szCs w:val="22"/>
        </w:rPr>
        <w:t xml:space="preserve">small </w:t>
      </w:r>
      <w:r w:rsidRPr="005F32B6" w:rsidR="00853E85">
        <w:rPr>
          <w:rFonts w:ascii="Arial" w:hAnsi="Arial" w:cs="Arial"/>
          <w:sz w:val="22"/>
          <w:szCs w:val="22"/>
        </w:rPr>
        <w:t xml:space="preserve">entities. </w:t>
      </w:r>
    </w:p>
    <w:p w:rsidR="007A5D4B" w:rsidRPr="005F32B6" w:rsidP="005F4441" w14:paraId="0A32FCD0" w14:textId="77777777">
      <w:pPr>
        <w:rPr>
          <w:rFonts w:ascii="Arial" w:hAnsi="Arial" w:cs="Arial"/>
          <w:sz w:val="28"/>
          <w:szCs w:val="28"/>
        </w:rPr>
      </w:pPr>
    </w:p>
    <w:p w:rsidR="00AF1157" w:rsidRPr="005F32B6" w:rsidP="005F4441" w14:paraId="0A32FCD1" w14:textId="77777777">
      <w:pPr>
        <w:rPr>
          <w:rFonts w:ascii="Arial" w:hAnsi="Arial" w:cs="Arial"/>
          <w:i/>
          <w:sz w:val="22"/>
          <w:szCs w:val="22"/>
        </w:rPr>
      </w:pPr>
      <w:r w:rsidRPr="005F32B6">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5F32B6" w:rsidP="005F4441" w14:paraId="0A32FCD2" w14:textId="77777777">
      <w:pPr>
        <w:ind w:left="480" w:hanging="480"/>
        <w:rPr>
          <w:rFonts w:ascii="Arial" w:hAnsi="Arial" w:cs="Arial"/>
          <w:sz w:val="22"/>
          <w:szCs w:val="22"/>
        </w:rPr>
      </w:pPr>
    </w:p>
    <w:p w:rsidR="009522C0" w:rsidRPr="005F32B6" w:rsidP="005F4441" w14:paraId="0A32FCD3" w14:textId="77777777">
      <w:pPr>
        <w:autoSpaceDE w:val="0"/>
        <w:autoSpaceDN w:val="0"/>
        <w:adjustRightInd w:val="0"/>
        <w:ind w:left="360"/>
        <w:rPr>
          <w:rFonts w:ascii="Arial" w:hAnsi="Arial" w:cs="Arial"/>
          <w:sz w:val="22"/>
          <w:szCs w:val="22"/>
        </w:rPr>
      </w:pPr>
      <w:r w:rsidRPr="005F32B6">
        <w:rPr>
          <w:rFonts w:ascii="Arial" w:hAnsi="Arial" w:cs="Arial"/>
          <w:sz w:val="22"/>
          <w:szCs w:val="22"/>
        </w:rPr>
        <w:t>TTB believes the</w:t>
      </w:r>
      <w:r w:rsidRPr="005F32B6" w:rsidR="00395E83">
        <w:rPr>
          <w:rFonts w:ascii="Arial" w:hAnsi="Arial" w:cs="Arial"/>
          <w:sz w:val="22"/>
          <w:szCs w:val="22"/>
        </w:rPr>
        <w:t xml:space="preserve"> mandated r</w:t>
      </w:r>
      <w:r w:rsidRPr="005F32B6" w:rsidR="00E26FA6">
        <w:rPr>
          <w:rFonts w:ascii="Arial" w:hAnsi="Arial" w:cs="Arial"/>
          <w:sz w:val="22"/>
          <w:szCs w:val="22"/>
        </w:rPr>
        <w:t xml:space="preserve">eporting </w:t>
      </w:r>
      <w:r w:rsidRPr="005F32B6">
        <w:rPr>
          <w:rFonts w:ascii="Arial" w:hAnsi="Arial" w:cs="Arial"/>
          <w:sz w:val="22"/>
          <w:szCs w:val="22"/>
        </w:rPr>
        <w:t xml:space="preserve">and recordkeeping requirements are </w:t>
      </w:r>
      <w:r w:rsidRPr="005F32B6" w:rsidR="00512D60">
        <w:rPr>
          <w:rFonts w:ascii="Arial" w:hAnsi="Arial" w:cs="Arial"/>
          <w:sz w:val="22"/>
          <w:szCs w:val="22"/>
        </w:rPr>
        <w:t xml:space="preserve">the minimum </w:t>
      </w:r>
      <w:r w:rsidRPr="005F32B6" w:rsidR="0014553C">
        <w:rPr>
          <w:rFonts w:ascii="Arial" w:hAnsi="Arial" w:cs="Arial"/>
          <w:sz w:val="22"/>
          <w:szCs w:val="22"/>
        </w:rPr>
        <w:t xml:space="preserve">necessary </w:t>
      </w:r>
      <w:r w:rsidRPr="005F32B6">
        <w:rPr>
          <w:rFonts w:ascii="Arial" w:hAnsi="Arial" w:cs="Arial"/>
          <w:sz w:val="22"/>
          <w:szCs w:val="22"/>
        </w:rPr>
        <w:t xml:space="preserve">to maintain accountability over stills.  Not conducting this information collection would jeopardize the revenue as </w:t>
      </w:r>
      <w:r w:rsidRPr="005F32B6" w:rsidR="005C207F">
        <w:rPr>
          <w:rFonts w:ascii="Arial" w:hAnsi="Arial" w:cs="Arial"/>
          <w:sz w:val="22"/>
          <w:szCs w:val="22"/>
        </w:rPr>
        <w:t>un</w:t>
      </w:r>
      <w:r w:rsidRPr="005F32B6">
        <w:rPr>
          <w:rFonts w:ascii="Arial" w:hAnsi="Arial" w:cs="Arial"/>
          <w:sz w:val="22"/>
          <w:szCs w:val="22"/>
        </w:rPr>
        <w:t>accounted-for stills could be used to illegally produce untaxed distilled spirits.  In addition, this information collection is conducted only on an as-needed basis</w:t>
      </w:r>
      <w:r w:rsidRPr="005F32B6" w:rsidR="0014553C">
        <w:rPr>
          <w:rFonts w:ascii="Arial" w:hAnsi="Arial" w:cs="Arial"/>
          <w:sz w:val="22"/>
          <w:szCs w:val="22"/>
        </w:rPr>
        <w:t>, and, as such, it</w:t>
      </w:r>
      <w:r w:rsidRPr="005F32B6">
        <w:rPr>
          <w:rFonts w:ascii="Arial" w:hAnsi="Arial" w:cs="Arial"/>
          <w:sz w:val="22"/>
          <w:szCs w:val="22"/>
        </w:rPr>
        <w:t xml:space="preserve"> cannot be conducted less frequently. </w:t>
      </w:r>
    </w:p>
    <w:p w:rsidR="009522C0" w:rsidRPr="005F32B6" w:rsidP="005F4441" w14:paraId="0A32FCD4" w14:textId="77777777">
      <w:pPr>
        <w:autoSpaceDE w:val="0"/>
        <w:autoSpaceDN w:val="0"/>
        <w:adjustRightInd w:val="0"/>
        <w:rPr>
          <w:rFonts w:ascii="Arial" w:hAnsi="Arial" w:cs="Arial"/>
          <w:sz w:val="28"/>
          <w:szCs w:val="28"/>
        </w:rPr>
      </w:pPr>
    </w:p>
    <w:p w:rsidR="009522C0" w:rsidRPr="005F32B6" w:rsidP="005F4441" w14:paraId="0A32FCD5" w14:textId="77777777">
      <w:pPr>
        <w:rPr>
          <w:rFonts w:ascii="Arial" w:hAnsi="Arial" w:cs="Arial"/>
          <w:i/>
          <w:iCs/>
          <w:sz w:val="22"/>
          <w:szCs w:val="22"/>
        </w:rPr>
      </w:pPr>
      <w:r w:rsidRPr="005F32B6">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9522C0" w:rsidRPr="005F32B6" w:rsidP="005F4441" w14:paraId="0A32FCD6" w14:textId="77777777">
      <w:pPr>
        <w:rPr>
          <w:rFonts w:ascii="Arial" w:hAnsi="Arial" w:cs="Arial"/>
          <w:sz w:val="22"/>
          <w:szCs w:val="22"/>
        </w:rPr>
      </w:pPr>
    </w:p>
    <w:p w:rsidR="009522C0" w:rsidRPr="005F32B6" w:rsidP="005F4441" w14:paraId="0A32FCD7" w14:textId="77777777">
      <w:pPr>
        <w:ind w:left="360"/>
        <w:rPr>
          <w:rFonts w:ascii="Arial" w:hAnsi="Arial" w:cs="Arial"/>
          <w:sz w:val="22"/>
          <w:szCs w:val="22"/>
        </w:rPr>
      </w:pPr>
      <w:r w:rsidRPr="005F32B6">
        <w:rPr>
          <w:rFonts w:ascii="Arial" w:hAnsi="Arial" w:cs="Arial"/>
          <w:sz w:val="22"/>
          <w:szCs w:val="22"/>
        </w:rPr>
        <w:t xml:space="preserve">There are no special circumstances associated with this information collection that would require it to be inconsistent with OMB guidelines. </w:t>
      </w:r>
    </w:p>
    <w:p w:rsidR="009522C0" w:rsidRPr="005F32B6" w:rsidP="005F4441" w14:paraId="0A32FCD8" w14:textId="77777777">
      <w:pPr>
        <w:rPr>
          <w:rFonts w:ascii="Arial" w:hAnsi="Arial" w:cs="Arial"/>
          <w:sz w:val="28"/>
          <w:szCs w:val="28"/>
        </w:rPr>
      </w:pPr>
    </w:p>
    <w:p w:rsidR="009522C0" w:rsidRPr="005F32B6" w:rsidP="005F4441" w14:paraId="0A32FCD9" w14:textId="77777777">
      <w:pPr>
        <w:rPr>
          <w:rFonts w:ascii="Arial" w:hAnsi="Arial" w:cs="Arial"/>
          <w:i/>
          <w:sz w:val="22"/>
          <w:szCs w:val="22"/>
        </w:rPr>
      </w:pPr>
      <w:r w:rsidRPr="005F32B6">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9522C0" w:rsidRPr="005F32B6" w:rsidP="005F4441" w14:paraId="0A32FCDA" w14:textId="77777777">
      <w:pPr>
        <w:ind w:left="480" w:hanging="480"/>
        <w:rPr>
          <w:rFonts w:ascii="Arial" w:hAnsi="Arial" w:cs="Arial"/>
          <w:sz w:val="22"/>
          <w:szCs w:val="22"/>
        </w:rPr>
      </w:pPr>
    </w:p>
    <w:p w:rsidR="009522C0" w:rsidRPr="005F32B6" w:rsidP="005F4441" w14:paraId="0A32FCDB" w14:textId="6A02C72A">
      <w:pPr>
        <w:ind w:left="360"/>
        <w:rPr>
          <w:rFonts w:ascii="Arial" w:hAnsi="Arial" w:cs="Arial"/>
          <w:sz w:val="22"/>
          <w:szCs w:val="22"/>
        </w:rPr>
      </w:pPr>
      <w:r w:rsidRPr="005F32B6">
        <w:rPr>
          <w:rFonts w:ascii="Arial" w:hAnsi="Arial" w:cs="Arial"/>
          <w:sz w:val="22"/>
          <w:szCs w:val="22"/>
        </w:rPr>
        <w:t xml:space="preserve">To solicit comments from the public, TTB published a “60-day” comment request notice for this information collection in the Federal Register on </w:t>
      </w:r>
      <w:r w:rsidRPr="00F70EF3" w:rsidR="00F70EF3">
        <w:rPr>
          <w:rFonts w:ascii="Arial" w:hAnsi="Arial" w:cs="Arial"/>
          <w:sz w:val="22"/>
          <w:szCs w:val="22"/>
        </w:rPr>
        <w:t xml:space="preserve">January 30, 2026, at 91 </w:t>
      </w:r>
      <w:r w:rsidRPr="00063958" w:rsidR="00F70EF3">
        <w:rPr>
          <w:rFonts w:ascii="Arial" w:hAnsi="Arial" w:cs="Arial"/>
          <w:sz w:val="22"/>
          <w:szCs w:val="22"/>
        </w:rPr>
        <w:t>FR 418</w:t>
      </w:r>
      <w:r w:rsidRPr="00063958" w:rsidR="00063958">
        <w:rPr>
          <w:rFonts w:ascii="Arial" w:hAnsi="Arial" w:cs="Arial"/>
          <w:sz w:val="22"/>
          <w:szCs w:val="22"/>
        </w:rPr>
        <w:t>0</w:t>
      </w:r>
      <w:r w:rsidRPr="00063958" w:rsidR="005F32B6">
        <w:rPr>
          <w:rFonts w:ascii="Arial" w:hAnsi="Arial" w:cs="Arial"/>
          <w:sz w:val="22"/>
          <w:szCs w:val="22"/>
        </w:rPr>
        <w:t>.</w:t>
      </w:r>
      <w:r w:rsidRPr="005F32B6" w:rsidR="005F32B6">
        <w:rPr>
          <w:rFonts w:ascii="Arial" w:hAnsi="Arial" w:cs="Arial"/>
          <w:sz w:val="22"/>
          <w:szCs w:val="22"/>
        </w:rPr>
        <w:t xml:space="preserve">  </w:t>
      </w:r>
      <w:r w:rsidRPr="005F32B6">
        <w:rPr>
          <w:rFonts w:ascii="Arial" w:hAnsi="Arial" w:cs="Arial"/>
          <w:sz w:val="22"/>
          <w:szCs w:val="22"/>
        </w:rPr>
        <w:t xml:space="preserve">TTB received no comments on this information collection in response. </w:t>
      </w:r>
    </w:p>
    <w:p w:rsidR="009522C0" w:rsidRPr="005F32B6" w:rsidP="005F4441" w14:paraId="0A32FCDC" w14:textId="77777777">
      <w:pPr>
        <w:rPr>
          <w:rFonts w:ascii="Arial" w:hAnsi="Arial" w:cs="Arial"/>
          <w:sz w:val="28"/>
          <w:szCs w:val="28"/>
        </w:rPr>
      </w:pPr>
    </w:p>
    <w:p w:rsidR="009522C0" w:rsidRPr="005F32B6" w:rsidP="005F4441" w14:paraId="0A32FCDD" w14:textId="77777777">
      <w:pPr>
        <w:rPr>
          <w:rFonts w:ascii="Arial" w:hAnsi="Arial" w:cs="Arial"/>
          <w:i/>
          <w:sz w:val="22"/>
          <w:szCs w:val="22"/>
        </w:rPr>
      </w:pPr>
      <w:r w:rsidRPr="005F32B6">
        <w:rPr>
          <w:rFonts w:ascii="Arial" w:hAnsi="Arial" w:cs="Arial"/>
          <w:i/>
          <w:sz w:val="22"/>
          <w:szCs w:val="22"/>
        </w:rPr>
        <w:t xml:space="preserve">9.  Was any payment or gift given to respondents, other than remuneration of contractors or grantees?  If so, why? </w:t>
      </w:r>
    </w:p>
    <w:p w:rsidR="009522C0" w:rsidRPr="005F32B6" w:rsidP="005F4441" w14:paraId="0A32FCDE" w14:textId="77777777">
      <w:pPr>
        <w:rPr>
          <w:rFonts w:ascii="Arial" w:hAnsi="Arial" w:cs="Arial"/>
          <w:sz w:val="22"/>
          <w:szCs w:val="22"/>
        </w:rPr>
      </w:pPr>
    </w:p>
    <w:p w:rsidR="009522C0" w:rsidRPr="005F32B6" w:rsidP="005F4441" w14:paraId="0A32FCDF" w14:textId="77777777">
      <w:pPr>
        <w:ind w:left="360"/>
        <w:rPr>
          <w:rFonts w:ascii="Arial" w:hAnsi="Arial" w:cs="Arial"/>
          <w:sz w:val="22"/>
          <w:szCs w:val="22"/>
        </w:rPr>
      </w:pPr>
      <w:r w:rsidRPr="005F32B6">
        <w:rPr>
          <w:rFonts w:ascii="Arial" w:hAnsi="Arial" w:cs="Arial"/>
          <w:sz w:val="22"/>
          <w:szCs w:val="22"/>
        </w:rPr>
        <w:t xml:space="preserve">No payment or gift is associated with this information collection. </w:t>
      </w:r>
    </w:p>
    <w:p w:rsidR="009522C0" w:rsidRPr="005F32B6" w:rsidP="005F4441" w14:paraId="0A32FCE0" w14:textId="77777777">
      <w:pPr>
        <w:rPr>
          <w:rFonts w:ascii="Arial" w:hAnsi="Arial" w:cs="Arial"/>
          <w:sz w:val="28"/>
          <w:szCs w:val="28"/>
        </w:rPr>
      </w:pPr>
    </w:p>
    <w:p w:rsidR="00EC4FC3" w:rsidRPr="005F32B6" w:rsidP="005F4441" w14:paraId="0A32FCE1" w14:textId="77777777">
      <w:pPr>
        <w:rPr>
          <w:rFonts w:ascii="Arial" w:hAnsi="Arial" w:cs="Arial"/>
          <w:i/>
          <w:sz w:val="22"/>
          <w:szCs w:val="22"/>
        </w:rPr>
      </w:pPr>
      <w:r w:rsidRPr="005F32B6">
        <w:rPr>
          <w:rFonts w:ascii="Arial" w:hAnsi="Arial" w:cs="Arial"/>
          <w:i/>
          <w:sz w:val="22"/>
          <w:szCs w:val="22"/>
        </w:rPr>
        <w:t>10.  What assurance of confidentiality was provided to respondents, and what was the basis for the assurance in statute, regulations,</w:t>
      </w:r>
      <w:r w:rsidRPr="005F32B6" w:rsidR="00734B25">
        <w:rPr>
          <w:rFonts w:ascii="Arial" w:hAnsi="Arial" w:cs="Arial"/>
          <w:i/>
          <w:sz w:val="22"/>
          <w:szCs w:val="22"/>
        </w:rPr>
        <w:t xml:space="preserve"> </w:t>
      </w:r>
      <w:r w:rsidRPr="005F32B6">
        <w:rPr>
          <w:rFonts w:ascii="Arial" w:hAnsi="Arial" w:cs="Arial"/>
          <w:i/>
          <w:sz w:val="22"/>
          <w:szCs w:val="22"/>
        </w:rPr>
        <w:t xml:space="preserve">or agency policy? </w:t>
      </w:r>
    </w:p>
    <w:p w:rsidR="00EC4FC3" w:rsidRPr="005F32B6" w:rsidP="005F4441" w14:paraId="0A32FCE2" w14:textId="77777777">
      <w:pPr>
        <w:rPr>
          <w:rFonts w:ascii="Arial" w:hAnsi="Arial" w:cs="Arial"/>
          <w:sz w:val="22"/>
          <w:szCs w:val="22"/>
        </w:rPr>
      </w:pPr>
    </w:p>
    <w:p w:rsidR="009522C0" w:rsidRPr="005F32B6" w:rsidP="005F4441" w14:paraId="0A32FCE3" w14:textId="77777777">
      <w:pPr>
        <w:autoSpaceDE w:val="0"/>
        <w:autoSpaceDN w:val="0"/>
        <w:adjustRightInd w:val="0"/>
        <w:ind w:left="360"/>
        <w:rPr>
          <w:rFonts w:ascii="Arial" w:hAnsi="Arial" w:cs="Arial"/>
          <w:sz w:val="22"/>
          <w:szCs w:val="22"/>
        </w:rPr>
      </w:pPr>
      <w:r w:rsidRPr="005F32B6">
        <w:rPr>
          <w:rFonts w:ascii="Arial" w:hAnsi="Arial" w:cs="Arial"/>
          <w:sz w:val="22"/>
          <w:szCs w:val="22"/>
        </w:rPr>
        <w:t xml:space="preserve">TTB provides no specific assurance of confidentiality for this collection.  However, Federal law at 5 U.S.C. 552(b)(4) protects the confidentiality of proprietary information obtained by the Government from regulated businesses and individuals, and 26 U.S.C. 6103 prohibits disclosure of tax returns and related information unless disclosure is specifically authorized by the IRC.  TTB maintains submitted notices </w:t>
      </w:r>
      <w:r w:rsidRPr="005F32B6" w:rsidR="00E26FA6">
        <w:rPr>
          <w:rFonts w:ascii="Arial" w:hAnsi="Arial" w:cs="Arial"/>
          <w:sz w:val="22"/>
          <w:szCs w:val="22"/>
        </w:rPr>
        <w:t xml:space="preserve">and registrations </w:t>
      </w:r>
      <w:r w:rsidRPr="005F32B6">
        <w:rPr>
          <w:rFonts w:ascii="Arial" w:hAnsi="Arial" w:cs="Arial"/>
          <w:sz w:val="22"/>
          <w:szCs w:val="22"/>
        </w:rPr>
        <w:t xml:space="preserve">in secure office space and computer systems with controlled access, while respondents maintain </w:t>
      </w:r>
      <w:r w:rsidRPr="005F32B6" w:rsidR="00E26FA6">
        <w:rPr>
          <w:rFonts w:ascii="Arial" w:hAnsi="Arial" w:cs="Arial"/>
          <w:sz w:val="22"/>
          <w:szCs w:val="22"/>
        </w:rPr>
        <w:t xml:space="preserve">the </w:t>
      </w:r>
      <w:r w:rsidRPr="005F32B6">
        <w:rPr>
          <w:rFonts w:ascii="Arial" w:hAnsi="Arial" w:cs="Arial"/>
          <w:sz w:val="22"/>
          <w:szCs w:val="22"/>
        </w:rPr>
        <w:t xml:space="preserve">required records at their premises. </w:t>
      </w:r>
    </w:p>
    <w:p w:rsidR="00AF1157" w:rsidRPr="005F32B6" w:rsidP="005F4441" w14:paraId="0A32FCE4" w14:textId="77777777">
      <w:pPr>
        <w:rPr>
          <w:rFonts w:ascii="Arial" w:hAnsi="Arial" w:cs="Arial"/>
          <w:sz w:val="28"/>
          <w:szCs w:val="28"/>
        </w:rPr>
      </w:pPr>
    </w:p>
    <w:p w:rsidR="00A201BF" w:rsidRPr="005F32B6" w:rsidP="005F4441" w14:paraId="0A32FCE5" w14:textId="77777777">
      <w:pPr>
        <w:rPr>
          <w:rFonts w:ascii="Arial" w:hAnsi="Arial" w:cs="Arial"/>
          <w:i/>
          <w:sz w:val="22"/>
          <w:szCs w:val="22"/>
        </w:rPr>
      </w:pPr>
      <w:r w:rsidRPr="005F32B6">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5F32B6" w:rsidP="005F4441" w14:paraId="0A32FCE6" w14:textId="77777777">
      <w:pPr>
        <w:rPr>
          <w:rFonts w:ascii="Arial" w:hAnsi="Arial" w:cs="Arial"/>
          <w:iCs/>
          <w:sz w:val="22"/>
          <w:szCs w:val="22"/>
        </w:rPr>
      </w:pPr>
    </w:p>
    <w:p w:rsidR="005F32B6" w:rsidRPr="005F32B6" w:rsidP="005F4441" w14:paraId="51B3D4BE" w14:textId="20FD341B">
      <w:pPr>
        <w:autoSpaceDE w:val="0"/>
        <w:autoSpaceDN w:val="0"/>
        <w:adjustRightInd w:val="0"/>
        <w:ind w:left="360"/>
        <w:rPr>
          <w:rFonts w:ascii="Arial" w:hAnsi="Arial" w:cs="Arial"/>
          <w:sz w:val="22"/>
          <w:szCs w:val="22"/>
        </w:rPr>
      </w:pPr>
      <w:r w:rsidRPr="005F32B6">
        <w:rPr>
          <w:rFonts w:ascii="Arial" w:hAnsi="Arial" w:cs="Arial"/>
          <w:sz w:val="22"/>
          <w:szCs w:val="22"/>
        </w:rPr>
        <w:t xml:space="preserve">This information collection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 </w:t>
      </w:r>
    </w:p>
    <w:p w:rsidR="00A201BF" w:rsidRPr="007C625E" w:rsidP="005F4441" w14:paraId="0A32FCE8" w14:textId="77777777">
      <w:pPr>
        <w:rPr>
          <w:rFonts w:ascii="Arial" w:hAnsi="Arial" w:cs="Arial"/>
          <w:sz w:val="28"/>
          <w:szCs w:val="28"/>
        </w:rPr>
      </w:pPr>
    </w:p>
    <w:p w:rsidR="00AF1157" w:rsidRPr="007C625E" w:rsidP="005F4441" w14:paraId="0A32FCE9" w14:textId="77777777">
      <w:pPr>
        <w:rPr>
          <w:rFonts w:ascii="Arial" w:hAnsi="Arial" w:cs="Arial"/>
          <w:i/>
          <w:sz w:val="22"/>
          <w:szCs w:val="22"/>
        </w:rPr>
      </w:pPr>
      <w:r w:rsidRPr="007C625E">
        <w:rPr>
          <w:rFonts w:ascii="Arial" w:hAnsi="Arial" w:cs="Arial"/>
          <w:i/>
          <w:sz w:val="22"/>
          <w:szCs w:val="22"/>
        </w:rPr>
        <w:t xml:space="preserve">12.  What is the estimated hour burden of this collection of information? </w:t>
      </w:r>
    </w:p>
    <w:p w:rsidR="00AF1157" w:rsidRPr="007C625E" w:rsidP="005F4441" w14:paraId="0A32FCEA" w14:textId="77777777">
      <w:pPr>
        <w:rPr>
          <w:rFonts w:ascii="Arial" w:hAnsi="Arial" w:cs="Arial"/>
          <w:sz w:val="22"/>
          <w:szCs w:val="22"/>
        </w:rPr>
      </w:pPr>
    </w:p>
    <w:p w:rsidR="00395E83" w:rsidRPr="007C625E" w:rsidP="005F4441" w14:paraId="0A32FCEB" w14:textId="53D54155">
      <w:pPr>
        <w:autoSpaceDE w:val="0"/>
        <w:autoSpaceDN w:val="0"/>
        <w:adjustRightInd w:val="0"/>
        <w:ind w:left="360"/>
        <w:rPr>
          <w:rFonts w:ascii="Arial" w:eastAsia="MS Mincho" w:hAnsi="Arial" w:cs="Arial"/>
          <w:sz w:val="22"/>
          <w:szCs w:val="22"/>
        </w:rPr>
      </w:pPr>
      <w:r w:rsidRPr="007C625E">
        <w:rPr>
          <w:rFonts w:ascii="Arial" w:eastAsia="MS Mincho" w:hAnsi="Arial" w:cs="Arial"/>
          <w:sz w:val="22"/>
          <w:szCs w:val="22"/>
          <w:u w:val="single"/>
        </w:rPr>
        <w:t>Estimated Respondent Burden:</w:t>
      </w:r>
      <w:r w:rsidRPr="007C625E">
        <w:rPr>
          <w:rFonts w:ascii="Arial" w:eastAsia="MS Mincho" w:hAnsi="Arial" w:cs="Arial"/>
          <w:sz w:val="22"/>
          <w:szCs w:val="22"/>
        </w:rPr>
        <w:t xml:space="preserve">  </w:t>
      </w:r>
      <w:r w:rsidRPr="007C625E" w:rsidR="00A11A2C">
        <w:rPr>
          <w:rFonts w:ascii="Arial" w:eastAsia="MS Mincho" w:hAnsi="Arial" w:cs="Arial"/>
          <w:sz w:val="22"/>
          <w:szCs w:val="22"/>
        </w:rPr>
        <w:t xml:space="preserve">Based on recent </w:t>
      </w:r>
      <w:r w:rsidRPr="007C625E">
        <w:rPr>
          <w:rFonts w:ascii="Arial" w:eastAsia="MS Mincho" w:hAnsi="Arial" w:cs="Arial"/>
          <w:sz w:val="22"/>
          <w:szCs w:val="22"/>
        </w:rPr>
        <w:t>data</w:t>
      </w:r>
      <w:r w:rsidRPr="007C625E" w:rsidR="00A11A2C">
        <w:rPr>
          <w:rFonts w:ascii="Arial" w:eastAsia="MS Mincho" w:hAnsi="Arial" w:cs="Arial"/>
          <w:sz w:val="22"/>
          <w:szCs w:val="22"/>
        </w:rPr>
        <w:t xml:space="preserve">, </w:t>
      </w:r>
      <w:r w:rsidRPr="007C625E" w:rsidR="00776314">
        <w:rPr>
          <w:rFonts w:ascii="Arial" w:eastAsia="MS Mincho" w:hAnsi="Arial" w:cs="Arial"/>
          <w:sz w:val="22"/>
          <w:szCs w:val="22"/>
        </w:rPr>
        <w:t xml:space="preserve">TTB estimates </w:t>
      </w:r>
      <w:r w:rsidRPr="007C625E" w:rsidR="00793AA9">
        <w:rPr>
          <w:rFonts w:ascii="Arial" w:eastAsia="MS Mincho" w:hAnsi="Arial" w:cs="Arial"/>
          <w:sz w:val="22"/>
          <w:szCs w:val="22"/>
        </w:rPr>
        <w:t xml:space="preserve">that there are </w:t>
      </w:r>
      <w:r w:rsidRPr="007C625E" w:rsidR="005F32B6">
        <w:rPr>
          <w:rFonts w:ascii="Arial" w:eastAsia="MS Mincho" w:hAnsi="Arial" w:cs="Arial"/>
          <w:sz w:val="22"/>
          <w:szCs w:val="22"/>
        </w:rPr>
        <w:t>4</w:t>
      </w:r>
      <w:r w:rsidRPr="007C625E" w:rsidR="00793AA9">
        <w:rPr>
          <w:rFonts w:ascii="Arial" w:eastAsia="MS Mincho" w:hAnsi="Arial" w:cs="Arial"/>
          <w:sz w:val="22"/>
          <w:szCs w:val="22"/>
        </w:rPr>
        <w:t>0 annual respondents to this information collection, each making 4 responses</w:t>
      </w:r>
      <w:r w:rsidRPr="007C625E" w:rsidR="00E162BE">
        <w:rPr>
          <w:rFonts w:ascii="Arial" w:eastAsia="MS Mincho" w:hAnsi="Arial" w:cs="Arial"/>
          <w:sz w:val="22"/>
          <w:szCs w:val="22"/>
        </w:rPr>
        <w:t>,</w:t>
      </w:r>
      <w:r w:rsidRPr="007C625E" w:rsidR="00793AA9">
        <w:rPr>
          <w:rFonts w:ascii="Arial" w:eastAsia="MS Mincho" w:hAnsi="Arial" w:cs="Arial"/>
          <w:sz w:val="22"/>
          <w:szCs w:val="22"/>
        </w:rPr>
        <w:t xml:space="preserve"> for a total of </w:t>
      </w:r>
      <w:r w:rsidRPr="007C625E" w:rsidR="005F32B6">
        <w:rPr>
          <w:rFonts w:ascii="Arial" w:eastAsia="MS Mincho" w:hAnsi="Arial" w:cs="Arial"/>
          <w:sz w:val="22"/>
          <w:szCs w:val="22"/>
        </w:rPr>
        <w:t>160</w:t>
      </w:r>
      <w:r w:rsidRPr="007C625E" w:rsidR="00793AA9">
        <w:rPr>
          <w:rFonts w:ascii="Arial" w:eastAsia="MS Mincho" w:hAnsi="Arial" w:cs="Arial"/>
          <w:sz w:val="22"/>
          <w:szCs w:val="22"/>
        </w:rPr>
        <w:t xml:space="preserve"> responses.  TTB further estimates that each response to this collection requires 1 hour to complete</w:t>
      </w:r>
      <w:r w:rsidRPr="007C625E" w:rsidR="00E162BE">
        <w:rPr>
          <w:rFonts w:ascii="Arial" w:eastAsia="MS Mincho" w:hAnsi="Arial" w:cs="Arial"/>
          <w:sz w:val="22"/>
          <w:szCs w:val="22"/>
        </w:rPr>
        <w:t xml:space="preserve"> (0.75 </w:t>
      </w:r>
      <w:r w:rsidRPr="007C625E" w:rsidR="007E1882">
        <w:rPr>
          <w:rFonts w:ascii="Arial" w:eastAsia="MS Mincho" w:hAnsi="Arial" w:cs="Arial"/>
          <w:sz w:val="22"/>
          <w:szCs w:val="22"/>
        </w:rPr>
        <w:t xml:space="preserve">hour </w:t>
      </w:r>
      <w:r w:rsidRPr="007C625E" w:rsidR="00E162BE">
        <w:rPr>
          <w:rFonts w:ascii="Arial" w:eastAsia="MS Mincho" w:hAnsi="Arial" w:cs="Arial"/>
          <w:sz w:val="22"/>
          <w:szCs w:val="22"/>
        </w:rPr>
        <w:t xml:space="preserve">for reporting and 0.25 </w:t>
      </w:r>
      <w:r w:rsidRPr="007C625E" w:rsidR="007E1882">
        <w:rPr>
          <w:rFonts w:ascii="Arial" w:eastAsia="MS Mincho" w:hAnsi="Arial" w:cs="Arial"/>
          <w:sz w:val="22"/>
          <w:szCs w:val="22"/>
        </w:rPr>
        <w:t xml:space="preserve">hour </w:t>
      </w:r>
      <w:r w:rsidRPr="007C625E" w:rsidR="00E162BE">
        <w:rPr>
          <w:rFonts w:ascii="Arial" w:eastAsia="MS Mincho" w:hAnsi="Arial" w:cs="Arial"/>
          <w:sz w:val="22"/>
          <w:szCs w:val="22"/>
        </w:rPr>
        <w:t>for recordkeeping)</w:t>
      </w:r>
      <w:r w:rsidRPr="007C625E" w:rsidR="00793AA9">
        <w:rPr>
          <w:rFonts w:ascii="Arial" w:eastAsia="MS Mincho" w:hAnsi="Arial" w:cs="Arial"/>
          <w:sz w:val="22"/>
          <w:szCs w:val="22"/>
        </w:rPr>
        <w:t>, for a total of 4 hours of burden per respondent, and a</w:t>
      </w:r>
      <w:r w:rsidRPr="007C625E" w:rsidR="00EB15D6">
        <w:rPr>
          <w:rFonts w:ascii="Arial" w:eastAsia="MS Mincho" w:hAnsi="Arial" w:cs="Arial"/>
          <w:sz w:val="22"/>
          <w:szCs w:val="22"/>
        </w:rPr>
        <w:t>n</w:t>
      </w:r>
      <w:r w:rsidRPr="007C625E" w:rsidR="007E1882">
        <w:rPr>
          <w:rFonts w:ascii="Arial" w:eastAsia="MS Mincho" w:hAnsi="Arial" w:cs="Arial"/>
          <w:sz w:val="22"/>
          <w:szCs w:val="22"/>
        </w:rPr>
        <w:t xml:space="preserve"> estimated </w:t>
      </w:r>
      <w:r w:rsidRPr="007C625E" w:rsidR="00EB15D6">
        <w:rPr>
          <w:rFonts w:ascii="Arial" w:eastAsia="MS Mincho" w:hAnsi="Arial" w:cs="Arial"/>
          <w:sz w:val="22"/>
          <w:szCs w:val="22"/>
        </w:rPr>
        <w:t xml:space="preserve">total </w:t>
      </w:r>
      <w:r w:rsidRPr="007C625E" w:rsidR="007E1882">
        <w:rPr>
          <w:rFonts w:ascii="Arial" w:eastAsia="MS Mincho" w:hAnsi="Arial" w:cs="Arial"/>
          <w:sz w:val="22"/>
          <w:szCs w:val="22"/>
        </w:rPr>
        <w:t xml:space="preserve">annual burden of </w:t>
      </w:r>
      <w:r w:rsidRPr="007C625E" w:rsidR="005F32B6">
        <w:rPr>
          <w:rFonts w:ascii="Arial" w:eastAsia="MS Mincho" w:hAnsi="Arial" w:cs="Arial"/>
          <w:sz w:val="22"/>
          <w:szCs w:val="22"/>
        </w:rPr>
        <w:t>160</w:t>
      </w:r>
      <w:r w:rsidRPr="007C625E" w:rsidR="00793AA9">
        <w:rPr>
          <w:rFonts w:ascii="Arial" w:eastAsia="MS Mincho" w:hAnsi="Arial" w:cs="Arial"/>
          <w:sz w:val="22"/>
          <w:szCs w:val="22"/>
        </w:rPr>
        <w:t xml:space="preserve"> hours. </w:t>
      </w:r>
    </w:p>
    <w:p w:rsidR="00395E83" w:rsidRPr="007C625E" w:rsidP="005F4441" w14:paraId="0A32FCEC" w14:textId="77777777">
      <w:pPr>
        <w:autoSpaceDE w:val="0"/>
        <w:autoSpaceDN w:val="0"/>
        <w:adjustRightInd w:val="0"/>
        <w:ind w:left="360"/>
        <w:rPr>
          <w:rFonts w:ascii="Arial" w:eastAsia="MS Mincho" w:hAnsi="Arial" w:cs="Arial"/>
          <w:sz w:val="22"/>
          <w:szCs w:val="22"/>
        </w:rPr>
      </w:pPr>
    </w:p>
    <w:p w:rsidR="007503C5" w:rsidRPr="007C625E" w:rsidP="005F4441" w14:paraId="0A32FCED" w14:textId="77777777">
      <w:pPr>
        <w:ind w:left="360"/>
        <w:rPr>
          <w:rFonts w:ascii="Arial" w:hAnsi="Arial" w:cs="Arial"/>
          <w:sz w:val="22"/>
          <w:szCs w:val="22"/>
        </w:rPr>
      </w:pPr>
      <w:r w:rsidRPr="007C625E">
        <w:rPr>
          <w:rFonts w:ascii="Arial" w:hAnsi="Arial" w:cs="Arial"/>
          <w:sz w:val="22"/>
          <w:szCs w:val="22"/>
          <w:u w:val="single"/>
        </w:rPr>
        <w:t>Estimated Respondent Labor Costs:</w:t>
      </w:r>
      <w:r w:rsidRPr="007C625E">
        <w:rPr>
          <w:rFonts w:ascii="Arial" w:hAnsi="Arial" w:cs="Arial"/>
          <w:sz w:val="22"/>
          <w:szCs w:val="22"/>
        </w:rPr>
        <w:t xml:space="preserve">  </w:t>
      </w:r>
      <w:r w:rsidRPr="007C625E" w:rsidR="000336B1">
        <w:rPr>
          <w:rFonts w:ascii="Arial" w:hAnsi="Arial" w:cs="Arial"/>
          <w:sz w:val="22"/>
          <w:szCs w:val="22"/>
        </w:rPr>
        <w:t xml:space="preserve">TTB estimates the annual respondent labor costs for this information collection as </w:t>
      </w:r>
      <w:r w:rsidRPr="007C625E" w:rsidR="00793AA9">
        <w:rPr>
          <w:rFonts w:ascii="Arial" w:hAnsi="Arial" w:cs="Arial"/>
          <w:sz w:val="22"/>
          <w:szCs w:val="22"/>
        </w:rPr>
        <w:t xml:space="preserve">follows:  </w:t>
      </w:r>
    </w:p>
    <w:p w:rsidR="007503C5" w:rsidRPr="007C625E" w:rsidP="005F4441" w14:paraId="0A32FCEE" w14:textId="77777777">
      <w:pPr>
        <w:ind w:left="360"/>
        <w:rPr>
          <w:rFonts w:ascii="Arial" w:hAnsi="Arial" w:cs="Arial"/>
          <w:sz w:val="22"/>
          <w:szCs w:val="22"/>
        </w:rPr>
      </w:pPr>
    </w:p>
    <w:tbl>
      <w:tblPr>
        <w:tblW w:w="8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52"/>
        <w:gridCol w:w="1352"/>
        <w:gridCol w:w="1352"/>
        <w:gridCol w:w="1351"/>
        <w:gridCol w:w="1351"/>
        <w:gridCol w:w="1342"/>
        <w:gridCol w:w="9"/>
      </w:tblGrid>
      <w:tr w14:paraId="0A32FCF0" w14:textId="77777777" w:rsidTr="00E35D0D">
        <w:tblPrEx>
          <w:tblW w:w="8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gridAfter w:val="1"/>
          <w:wAfter w:w="9" w:type="dxa"/>
          <w:trHeight w:val="576"/>
          <w:jc w:val="center"/>
        </w:trPr>
        <w:tc>
          <w:tcPr>
            <w:tcW w:w="8100" w:type="dxa"/>
            <w:gridSpan w:val="6"/>
            <w:vAlign w:val="center"/>
          </w:tcPr>
          <w:p w:rsidR="000336B1" w:rsidRPr="007C625E" w:rsidP="005F4441" w14:paraId="0A32FCEF" w14:textId="34D7458A">
            <w:pPr>
              <w:jc w:val="center"/>
              <w:rPr>
                <w:rFonts w:ascii="Arial" w:eastAsia="Calibri" w:hAnsi="Arial" w:cs="Arial"/>
                <w:b/>
                <w:sz w:val="20"/>
                <w:szCs w:val="20"/>
              </w:rPr>
            </w:pPr>
            <w:r w:rsidRPr="007C625E">
              <w:rPr>
                <w:rFonts w:ascii="Arial" w:eastAsia="Calibri" w:hAnsi="Arial" w:cs="Arial"/>
                <w:b/>
                <w:sz w:val="20"/>
                <w:szCs w:val="20"/>
              </w:rPr>
              <w:t>Average Fully-Loaded Wage for Compliance Officers in the Fabricated Metal Product Manufacturing Industry (NAICS 3320</w:t>
            </w:r>
            <w:r w:rsidRPr="007C625E" w:rsidR="007C625E">
              <w:rPr>
                <w:rFonts w:ascii="Arial" w:eastAsia="Calibri" w:hAnsi="Arial" w:cs="Arial"/>
                <w:b/>
                <w:sz w:val="20"/>
                <w:szCs w:val="20"/>
              </w:rPr>
              <w:t>00)</w:t>
            </w:r>
            <w:r w:rsidRPr="007C625E">
              <w:rPr>
                <w:rFonts w:ascii="Arial" w:eastAsia="Calibri" w:hAnsi="Arial" w:cs="Arial"/>
                <w:b/>
                <w:sz w:val="20"/>
                <w:szCs w:val="20"/>
              </w:rPr>
              <w:t xml:space="preserve"> = $5</w:t>
            </w:r>
            <w:r w:rsidRPr="007C625E" w:rsidR="007C625E">
              <w:rPr>
                <w:rFonts w:ascii="Arial" w:eastAsia="Calibri" w:hAnsi="Arial" w:cs="Arial"/>
                <w:b/>
                <w:sz w:val="20"/>
                <w:szCs w:val="20"/>
              </w:rPr>
              <w:t>4.37</w:t>
            </w:r>
            <w:r>
              <w:rPr>
                <w:rStyle w:val="FootnoteReference"/>
                <w:rFonts w:ascii="Arial" w:eastAsia="Calibri" w:hAnsi="Arial" w:cs="Arial"/>
                <w:b/>
                <w:sz w:val="20"/>
                <w:szCs w:val="20"/>
              </w:rPr>
              <w:footnoteReference w:id="3"/>
            </w:r>
          </w:p>
        </w:tc>
      </w:tr>
      <w:tr w14:paraId="0A32FCF7" w14:textId="77777777" w:rsidTr="00E35D0D">
        <w:tblPrEx>
          <w:tblW w:w="8109" w:type="dxa"/>
          <w:jc w:val="center"/>
          <w:tblLayout w:type="fixed"/>
          <w:tblCellMar>
            <w:left w:w="29" w:type="dxa"/>
            <w:right w:w="29" w:type="dxa"/>
          </w:tblCellMar>
          <w:tblLook w:val="04A0"/>
        </w:tblPrEx>
        <w:trPr>
          <w:trHeight w:val="576"/>
          <w:jc w:val="center"/>
        </w:trPr>
        <w:tc>
          <w:tcPr>
            <w:tcW w:w="1352" w:type="dxa"/>
            <w:shd w:val="clear" w:color="auto" w:fill="auto"/>
            <w:tcMar>
              <w:left w:w="29" w:type="dxa"/>
              <w:right w:w="29" w:type="dxa"/>
            </w:tcMar>
            <w:vAlign w:val="center"/>
          </w:tcPr>
          <w:p w:rsidR="00E35D0D" w:rsidRPr="007C625E" w:rsidP="005F4441" w14:paraId="0A32FCF1" w14:textId="77777777">
            <w:pPr>
              <w:jc w:val="center"/>
              <w:rPr>
                <w:rFonts w:ascii="Arial" w:eastAsia="Calibri" w:hAnsi="Arial" w:cs="Arial"/>
                <w:sz w:val="18"/>
                <w:szCs w:val="18"/>
              </w:rPr>
            </w:pPr>
            <w:r w:rsidRPr="007C625E">
              <w:rPr>
                <w:rFonts w:ascii="Arial" w:eastAsia="Calibri" w:hAnsi="Arial" w:cs="Arial"/>
                <w:sz w:val="18"/>
                <w:szCs w:val="18"/>
              </w:rPr>
              <w:t xml:space="preserve">Avg. Time / Response </w:t>
            </w:r>
          </w:p>
        </w:tc>
        <w:tc>
          <w:tcPr>
            <w:tcW w:w="1352" w:type="dxa"/>
            <w:shd w:val="clear" w:color="auto" w:fill="auto"/>
            <w:tcMar>
              <w:left w:w="29" w:type="dxa"/>
              <w:right w:w="29" w:type="dxa"/>
            </w:tcMar>
            <w:vAlign w:val="center"/>
          </w:tcPr>
          <w:p w:rsidR="00E35D0D" w:rsidRPr="007C625E" w:rsidP="005F4441" w14:paraId="0A32FCF2" w14:textId="77777777">
            <w:pPr>
              <w:jc w:val="center"/>
              <w:rPr>
                <w:rFonts w:ascii="Arial" w:eastAsia="Calibri" w:hAnsi="Arial" w:cs="Arial"/>
                <w:sz w:val="18"/>
                <w:szCs w:val="18"/>
              </w:rPr>
            </w:pPr>
            <w:r w:rsidRPr="007C625E">
              <w:rPr>
                <w:rFonts w:ascii="Arial" w:eastAsia="Calibri" w:hAnsi="Arial" w:cs="Arial"/>
                <w:sz w:val="18"/>
                <w:szCs w:val="18"/>
              </w:rPr>
              <w:t>Labor Cost / Response</w:t>
            </w:r>
            <w:r w:rsidRPr="007C625E">
              <w:rPr>
                <w:rFonts w:ascii="Arial" w:eastAsia="Calibri" w:hAnsi="Arial" w:cs="Arial"/>
                <w:sz w:val="22"/>
                <w:szCs w:val="22"/>
              </w:rPr>
              <w:t>*</w:t>
            </w:r>
          </w:p>
        </w:tc>
        <w:tc>
          <w:tcPr>
            <w:tcW w:w="1352" w:type="dxa"/>
            <w:shd w:val="clear" w:color="auto" w:fill="auto"/>
            <w:vAlign w:val="center"/>
          </w:tcPr>
          <w:p w:rsidR="00E35D0D" w:rsidRPr="007C625E" w:rsidP="005F4441" w14:paraId="0A32FCF3" w14:textId="77777777">
            <w:pPr>
              <w:jc w:val="center"/>
              <w:rPr>
                <w:rFonts w:ascii="Arial" w:eastAsia="Calibri" w:hAnsi="Arial" w:cs="Arial"/>
                <w:sz w:val="18"/>
                <w:szCs w:val="18"/>
              </w:rPr>
            </w:pPr>
            <w:r w:rsidRPr="007C625E">
              <w:rPr>
                <w:rFonts w:ascii="Arial" w:eastAsia="Calibri" w:hAnsi="Arial" w:cs="Arial"/>
                <w:sz w:val="18"/>
                <w:szCs w:val="18"/>
              </w:rPr>
              <w:t>Responses / Respondent</w:t>
            </w:r>
          </w:p>
        </w:tc>
        <w:tc>
          <w:tcPr>
            <w:tcW w:w="1351" w:type="dxa"/>
            <w:tcBorders>
              <w:right w:val="single" w:sz="12" w:space="0" w:color="auto"/>
            </w:tcBorders>
            <w:shd w:val="clear" w:color="auto" w:fill="auto"/>
            <w:vAlign w:val="center"/>
          </w:tcPr>
          <w:p w:rsidR="00E35D0D" w:rsidRPr="007C625E" w:rsidP="005F4441" w14:paraId="0A32FCF4" w14:textId="77777777">
            <w:pPr>
              <w:jc w:val="center"/>
              <w:rPr>
                <w:rFonts w:ascii="Arial" w:eastAsia="Calibri" w:hAnsi="Arial" w:cs="Arial"/>
                <w:sz w:val="18"/>
                <w:szCs w:val="18"/>
              </w:rPr>
            </w:pPr>
            <w:r w:rsidRPr="007C625E">
              <w:rPr>
                <w:rFonts w:ascii="Arial" w:eastAsia="Calibri" w:hAnsi="Arial" w:cs="Arial"/>
                <w:sz w:val="18"/>
                <w:szCs w:val="18"/>
              </w:rPr>
              <w:t xml:space="preserve">Labor Costs / Respondent </w:t>
            </w:r>
          </w:p>
        </w:tc>
        <w:tc>
          <w:tcPr>
            <w:tcW w:w="1351" w:type="dxa"/>
            <w:tcBorders>
              <w:left w:val="single" w:sz="12" w:space="0" w:color="auto"/>
            </w:tcBorders>
            <w:shd w:val="clear" w:color="auto" w:fill="auto"/>
            <w:tcMar>
              <w:left w:w="29" w:type="dxa"/>
              <w:right w:w="29" w:type="dxa"/>
            </w:tcMar>
            <w:vAlign w:val="center"/>
          </w:tcPr>
          <w:p w:rsidR="00E35D0D" w:rsidRPr="007C625E" w:rsidP="005F4441" w14:paraId="0A32FCF5" w14:textId="3AD414B2">
            <w:pPr>
              <w:jc w:val="center"/>
              <w:rPr>
                <w:rFonts w:ascii="Arial" w:eastAsia="Calibri" w:hAnsi="Arial" w:cs="Arial"/>
                <w:sz w:val="18"/>
                <w:szCs w:val="18"/>
              </w:rPr>
            </w:pPr>
            <w:r w:rsidRPr="007C625E">
              <w:rPr>
                <w:rFonts w:ascii="Arial" w:eastAsia="Calibri" w:hAnsi="Arial" w:cs="Arial"/>
                <w:sz w:val="18"/>
                <w:szCs w:val="18"/>
              </w:rPr>
              <w:t>Total Respon</w:t>
            </w:r>
            <w:r w:rsidR="007C625E">
              <w:rPr>
                <w:rFonts w:ascii="Arial" w:eastAsia="Calibri" w:hAnsi="Arial" w:cs="Arial"/>
                <w:sz w:val="18"/>
                <w:szCs w:val="18"/>
              </w:rPr>
              <w:t>dents</w:t>
            </w:r>
          </w:p>
        </w:tc>
        <w:tc>
          <w:tcPr>
            <w:tcW w:w="1351" w:type="dxa"/>
            <w:gridSpan w:val="2"/>
            <w:shd w:val="clear" w:color="auto" w:fill="auto"/>
            <w:tcMar>
              <w:left w:w="29" w:type="dxa"/>
              <w:right w:w="29" w:type="dxa"/>
            </w:tcMar>
            <w:vAlign w:val="center"/>
          </w:tcPr>
          <w:p w:rsidR="00E35D0D" w:rsidRPr="007C625E" w:rsidP="005F4441" w14:paraId="0A32FCF6" w14:textId="77777777">
            <w:pPr>
              <w:jc w:val="center"/>
              <w:rPr>
                <w:rFonts w:ascii="Arial" w:eastAsia="Calibri" w:hAnsi="Arial" w:cs="Arial"/>
                <w:sz w:val="18"/>
                <w:szCs w:val="18"/>
              </w:rPr>
            </w:pPr>
            <w:r w:rsidRPr="007C625E">
              <w:rPr>
                <w:rFonts w:ascii="Arial" w:eastAsia="Calibri" w:hAnsi="Arial" w:cs="Arial"/>
                <w:sz w:val="18"/>
                <w:szCs w:val="18"/>
              </w:rPr>
              <w:t xml:space="preserve">Total Labor Costs </w:t>
            </w:r>
          </w:p>
        </w:tc>
      </w:tr>
      <w:tr w14:paraId="0A32FCFE" w14:textId="77777777" w:rsidTr="00E35D0D">
        <w:tblPrEx>
          <w:tblW w:w="8109" w:type="dxa"/>
          <w:jc w:val="center"/>
          <w:tblLayout w:type="fixed"/>
          <w:tblCellMar>
            <w:left w:w="29" w:type="dxa"/>
            <w:right w:w="29" w:type="dxa"/>
          </w:tblCellMar>
          <w:tblLook w:val="04A0"/>
        </w:tblPrEx>
        <w:trPr>
          <w:trHeight w:val="576"/>
          <w:jc w:val="center"/>
        </w:trPr>
        <w:tc>
          <w:tcPr>
            <w:tcW w:w="1352" w:type="dxa"/>
            <w:shd w:val="clear" w:color="auto" w:fill="auto"/>
            <w:tcMar>
              <w:left w:w="29" w:type="dxa"/>
              <w:right w:w="29" w:type="dxa"/>
            </w:tcMar>
            <w:vAlign w:val="center"/>
          </w:tcPr>
          <w:p w:rsidR="00E35D0D" w:rsidRPr="007C625E" w:rsidP="005F4441" w14:paraId="0A32FCF8" w14:textId="77777777">
            <w:pPr>
              <w:jc w:val="center"/>
              <w:rPr>
                <w:rFonts w:ascii="Arial" w:eastAsia="Calibri" w:hAnsi="Arial" w:cs="Arial"/>
                <w:sz w:val="20"/>
                <w:szCs w:val="20"/>
              </w:rPr>
            </w:pPr>
            <w:r w:rsidRPr="007C625E">
              <w:rPr>
                <w:rFonts w:ascii="Arial" w:eastAsia="Calibri" w:hAnsi="Arial" w:cs="Arial"/>
                <w:sz w:val="20"/>
                <w:szCs w:val="20"/>
              </w:rPr>
              <w:t xml:space="preserve">1 hour </w:t>
            </w:r>
          </w:p>
        </w:tc>
        <w:tc>
          <w:tcPr>
            <w:tcW w:w="1352" w:type="dxa"/>
            <w:shd w:val="clear" w:color="auto" w:fill="auto"/>
            <w:tcMar>
              <w:left w:w="29" w:type="dxa"/>
              <w:right w:w="29" w:type="dxa"/>
            </w:tcMar>
            <w:vAlign w:val="center"/>
          </w:tcPr>
          <w:p w:rsidR="00E35D0D" w:rsidRPr="007C625E" w:rsidP="005F4441" w14:paraId="0A32FCF9" w14:textId="0E430D3D">
            <w:pPr>
              <w:jc w:val="center"/>
              <w:rPr>
                <w:rFonts w:ascii="Arial" w:eastAsia="Calibri" w:hAnsi="Arial" w:cs="Arial"/>
                <w:sz w:val="20"/>
                <w:szCs w:val="20"/>
              </w:rPr>
            </w:pPr>
            <w:r w:rsidRPr="007C625E">
              <w:rPr>
                <w:rFonts w:ascii="Arial" w:eastAsia="Calibri" w:hAnsi="Arial" w:cs="Arial"/>
                <w:sz w:val="20"/>
                <w:szCs w:val="20"/>
              </w:rPr>
              <w:t>$5</w:t>
            </w:r>
            <w:r w:rsidR="007C625E">
              <w:rPr>
                <w:rFonts w:ascii="Arial" w:eastAsia="Calibri" w:hAnsi="Arial" w:cs="Arial"/>
                <w:sz w:val="20"/>
                <w:szCs w:val="20"/>
              </w:rPr>
              <w:t>4.37</w:t>
            </w:r>
          </w:p>
        </w:tc>
        <w:tc>
          <w:tcPr>
            <w:tcW w:w="1352" w:type="dxa"/>
            <w:shd w:val="clear" w:color="auto" w:fill="auto"/>
            <w:vAlign w:val="center"/>
          </w:tcPr>
          <w:p w:rsidR="00E35D0D" w:rsidRPr="007C625E" w:rsidP="005F4441" w14:paraId="0A32FCFA" w14:textId="77777777">
            <w:pPr>
              <w:jc w:val="center"/>
              <w:rPr>
                <w:rFonts w:ascii="Arial" w:eastAsia="Calibri" w:hAnsi="Arial" w:cs="Arial"/>
                <w:sz w:val="20"/>
                <w:szCs w:val="20"/>
              </w:rPr>
            </w:pPr>
            <w:r w:rsidRPr="007C625E">
              <w:rPr>
                <w:rFonts w:ascii="Arial" w:eastAsia="Calibri" w:hAnsi="Arial" w:cs="Arial"/>
                <w:sz w:val="20"/>
                <w:szCs w:val="20"/>
              </w:rPr>
              <w:t>4</w:t>
            </w:r>
          </w:p>
        </w:tc>
        <w:tc>
          <w:tcPr>
            <w:tcW w:w="1351" w:type="dxa"/>
            <w:tcBorders>
              <w:right w:val="single" w:sz="12" w:space="0" w:color="auto"/>
            </w:tcBorders>
            <w:shd w:val="clear" w:color="auto" w:fill="auto"/>
            <w:vAlign w:val="center"/>
          </w:tcPr>
          <w:p w:rsidR="00E35D0D" w:rsidRPr="007C625E" w:rsidP="005F4441" w14:paraId="0A32FCFB" w14:textId="1B0E7DBF">
            <w:pPr>
              <w:jc w:val="center"/>
              <w:rPr>
                <w:rFonts w:ascii="Arial" w:eastAsia="Calibri" w:hAnsi="Arial" w:cs="Arial"/>
                <w:sz w:val="20"/>
                <w:szCs w:val="20"/>
              </w:rPr>
            </w:pPr>
            <w:r>
              <w:rPr>
                <w:rFonts w:ascii="Arial" w:eastAsia="Calibri" w:hAnsi="Arial" w:cs="Arial"/>
                <w:sz w:val="20"/>
                <w:szCs w:val="20"/>
              </w:rPr>
              <w:t>$217.48</w:t>
            </w:r>
          </w:p>
        </w:tc>
        <w:tc>
          <w:tcPr>
            <w:tcW w:w="1351" w:type="dxa"/>
            <w:tcBorders>
              <w:left w:val="single" w:sz="12" w:space="0" w:color="auto"/>
            </w:tcBorders>
            <w:shd w:val="clear" w:color="auto" w:fill="auto"/>
            <w:tcMar>
              <w:left w:w="29" w:type="dxa"/>
              <w:right w:w="29" w:type="dxa"/>
            </w:tcMar>
            <w:vAlign w:val="center"/>
          </w:tcPr>
          <w:p w:rsidR="00E35D0D" w:rsidRPr="007C625E" w:rsidP="005F4441" w14:paraId="0A32FCFC" w14:textId="05822A38">
            <w:pPr>
              <w:jc w:val="center"/>
              <w:rPr>
                <w:rFonts w:ascii="Arial" w:eastAsia="Calibri" w:hAnsi="Arial" w:cs="Arial"/>
                <w:sz w:val="20"/>
                <w:szCs w:val="20"/>
              </w:rPr>
            </w:pPr>
            <w:r>
              <w:rPr>
                <w:rFonts w:ascii="Arial" w:eastAsia="Calibri" w:hAnsi="Arial" w:cs="Arial"/>
                <w:sz w:val="20"/>
                <w:szCs w:val="20"/>
              </w:rPr>
              <w:t>4</w:t>
            </w:r>
            <w:r w:rsidRPr="007C625E" w:rsidR="00793AA9">
              <w:rPr>
                <w:rFonts w:ascii="Arial" w:eastAsia="Calibri" w:hAnsi="Arial" w:cs="Arial"/>
                <w:sz w:val="20"/>
                <w:szCs w:val="20"/>
              </w:rPr>
              <w:t>0</w:t>
            </w:r>
          </w:p>
        </w:tc>
        <w:tc>
          <w:tcPr>
            <w:tcW w:w="1351" w:type="dxa"/>
            <w:gridSpan w:val="2"/>
            <w:shd w:val="clear" w:color="auto" w:fill="auto"/>
            <w:tcMar>
              <w:left w:w="29" w:type="dxa"/>
              <w:right w:w="29" w:type="dxa"/>
            </w:tcMar>
            <w:vAlign w:val="center"/>
          </w:tcPr>
          <w:p w:rsidR="00E35D0D" w:rsidRPr="007C625E" w:rsidP="005F4441" w14:paraId="0A32FCFD" w14:textId="301E1602">
            <w:pPr>
              <w:jc w:val="center"/>
              <w:rPr>
                <w:rFonts w:ascii="Arial" w:eastAsia="Calibri" w:hAnsi="Arial" w:cs="Arial"/>
                <w:sz w:val="20"/>
                <w:szCs w:val="20"/>
              </w:rPr>
            </w:pPr>
            <w:r>
              <w:rPr>
                <w:rFonts w:ascii="Arial" w:eastAsia="Calibri" w:hAnsi="Arial" w:cs="Arial"/>
                <w:sz w:val="20"/>
                <w:szCs w:val="20"/>
              </w:rPr>
              <w:t>$8,699.20</w:t>
            </w:r>
          </w:p>
        </w:tc>
      </w:tr>
    </w:tbl>
    <w:p w:rsidR="00F745F2" w:rsidRPr="007C625E" w:rsidP="005F4441" w14:paraId="0A32FD00" w14:textId="77777777">
      <w:pPr>
        <w:ind w:left="360" w:firstLine="360"/>
        <w:rPr>
          <w:rFonts w:ascii="Arial" w:hAnsi="Arial" w:cs="Arial"/>
          <w:sz w:val="18"/>
          <w:szCs w:val="18"/>
        </w:rPr>
      </w:pPr>
      <w:r w:rsidRPr="007C625E">
        <w:rPr>
          <w:rFonts w:ascii="Arial" w:hAnsi="Arial" w:cs="Arial"/>
          <w:sz w:val="22"/>
          <w:szCs w:val="22"/>
        </w:rPr>
        <w:t xml:space="preserve">* </w:t>
      </w:r>
      <w:r w:rsidRPr="007C625E" w:rsidR="00E35D0D">
        <w:rPr>
          <w:rFonts w:ascii="Arial" w:hAnsi="Arial" w:cs="Arial"/>
          <w:sz w:val="18"/>
          <w:szCs w:val="18"/>
        </w:rPr>
        <w:t>Fully-loaded l</w:t>
      </w:r>
      <w:r w:rsidRPr="007C625E">
        <w:rPr>
          <w:rFonts w:ascii="Arial" w:hAnsi="Arial" w:cs="Arial"/>
          <w:sz w:val="18"/>
          <w:szCs w:val="18"/>
        </w:rPr>
        <w:t xml:space="preserve">abor costs rounded to the nearest whole cent. </w:t>
      </w:r>
    </w:p>
    <w:p w:rsidR="00F745F2" w:rsidRPr="007C625E" w:rsidP="005F4441" w14:paraId="0A32FD01" w14:textId="77777777">
      <w:pPr>
        <w:ind w:left="360"/>
        <w:rPr>
          <w:rFonts w:ascii="Arial" w:hAnsi="Arial" w:cs="Arial"/>
          <w:sz w:val="22"/>
          <w:szCs w:val="22"/>
        </w:rPr>
      </w:pPr>
    </w:p>
    <w:p w:rsidR="007E1882" w:rsidRPr="007C625E" w:rsidP="005F4441" w14:paraId="0A32FD02" w14:textId="77777777">
      <w:pPr>
        <w:ind w:left="360"/>
        <w:rPr>
          <w:rFonts w:ascii="Arial" w:hAnsi="Arial" w:cs="Arial"/>
          <w:sz w:val="22"/>
          <w:szCs w:val="22"/>
        </w:rPr>
      </w:pPr>
      <w:r w:rsidRPr="007C625E">
        <w:rPr>
          <w:rFonts w:ascii="Arial" w:hAnsi="Arial" w:cs="Arial"/>
          <w:sz w:val="22"/>
          <w:szCs w:val="22"/>
          <w:u w:val="single"/>
        </w:rPr>
        <w:t xml:space="preserve">Record </w:t>
      </w:r>
      <w:r w:rsidRPr="007C625E" w:rsidR="00A11A2C">
        <w:rPr>
          <w:rFonts w:ascii="Arial" w:hAnsi="Arial" w:cs="Arial"/>
          <w:sz w:val="22"/>
          <w:szCs w:val="22"/>
          <w:u w:val="single"/>
        </w:rPr>
        <w:t>R</w:t>
      </w:r>
      <w:r w:rsidRPr="007C625E">
        <w:rPr>
          <w:rFonts w:ascii="Arial" w:hAnsi="Arial" w:cs="Arial"/>
          <w:sz w:val="22"/>
          <w:szCs w:val="22"/>
          <w:u w:val="single"/>
        </w:rPr>
        <w:t>etention</w:t>
      </w:r>
      <w:r w:rsidRPr="007C625E" w:rsidR="00A11A2C">
        <w:rPr>
          <w:rFonts w:ascii="Arial" w:hAnsi="Arial" w:cs="Arial"/>
          <w:sz w:val="22"/>
          <w:szCs w:val="22"/>
          <w:u w:val="single"/>
        </w:rPr>
        <w:t xml:space="preserve"> Burden</w:t>
      </w:r>
      <w:r w:rsidRPr="007C625E">
        <w:rPr>
          <w:rFonts w:ascii="Arial" w:hAnsi="Arial" w:cs="Arial"/>
          <w:sz w:val="22"/>
          <w:szCs w:val="22"/>
          <w:u w:val="single"/>
        </w:rPr>
        <w:t>:</w:t>
      </w:r>
      <w:r w:rsidRPr="007C625E">
        <w:rPr>
          <w:rFonts w:ascii="Arial" w:hAnsi="Arial" w:cs="Arial"/>
          <w:sz w:val="22"/>
          <w:szCs w:val="22"/>
        </w:rPr>
        <w:t xml:space="preserve">  Under 27 CFR 29.59, manufacturers and vendors of stills must maintain at their premises record copies of the notices required under 27 CFR 29.47 and 29.49, as well as record</w:t>
      </w:r>
      <w:r w:rsidRPr="007C625E" w:rsidR="0042390C">
        <w:rPr>
          <w:rFonts w:ascii="Arial" w:hAnsi="Arial" w:cs="Arial"/>
          <w:sz w:val="22"/>
          <w:szCs w:val="22"/>
        </w:rPr>
        <w:t>s</w:t>
      </w:r>
      <w:r w:rsidRPr="007C625E">
        <w:rPr>
          <w:rFonts w:ascii="Arial" w:hAnsi="Arial" w:cs="Arial"/>
          <w:sz w:val="22"/>
          <w:szCs w:val="22"/>
        </w:rPr>
        <w:t xml:space="preserve"> of all stills manufactured, received, removed, or otherwise </w:t>
      </w:r>
      <w:r w:rsidRPr="007C625E">
        <w:rPr>
          <w:rFonts w:ascii="Arial" w:hAnsi="Arial" w:cs="Arial"/>
          <w:sz w:val="22"/>
          <w:szCs w:val="22"/>
        </w:rPr>
        <w:t xml:space="preserve">disposed of, showing the name of the purchaser and the purpose for which each apparatus is to be used.  Respondents must retain the required records for 3 years.  While </w:t>
      </w:r>
      <w:r w:rsidRPr="007C625E" w:rsidR="0042390C">
        <w:rPr>
          <w:rFonts w:ascii="Arial" w:hAnsi="Arial" w:cs="Arial"/>
          <w:sz w:val="22"/>
          <w:szCs w:val="22"/>
        </w:rPr>
        <w:t>the regulations r</w:t>
      </w:r>
      <w:r w:rsidRPr="007C625E" w:rsidR="00270706">
        <w:rPr>
          <w:rFonts w:ascii="Arial" w:hAnsi="Arial" w:cs="Arial"/>
          <w:sz w:val="22"/>
          <w:szCs w:val="22"/>
        </w:rPr>
        <w:t>equire</w:t>
      </w:r>
      <w:r w:rsidRPr="007C625E" w:rsidR="0042390C">
        <w:rPr>
          <w:rFonts w:ascii="Arial" w:hAnsi="Arial" w:cs="Arial"/>
          <w:sz w:val="22"/>
          <w:szCs w:val="22"/>
        </w:rPr>
        <w:t xml:space="preserve"> still</w:t>
      </w:r>
      <w:r w:rsidRPr="007C625E" w:rsidR="00270706">
        <w:rPr>
          <w:rFonts w:ascii="Arial" w:hAnsi="Arial" w:cs="Arial"/>
          <w:sz w:val="22"/>
          <w:szCs w:val="22"/>
        </w:rPr>
        <w:t xml:space="preserve"> manufacturing and set </w:t>
      </w:r>
      <w:r w:rsidRPr="007C625E">
        <w:rPr>
          <w:rFonts w:ascii="Arial" w:hAnsi="Arial" w:cs="Arial"/>
          <w:sz w:val="22"/>
          <w:szCs w:val="22"/>
        </w:rPr>
        <w:t>up notices to be</w:t>
      </w:r>
      <w:r w:rsidRPr="007C625E" w:rsidR="0042390C">
        <w:rPr>
          <w:rFonts w:ascii="Arial" w:hAnsi="Arial" w:cs="Arial"/>
          <w:sz w:val="22"/>
          <w:szCs w:val="22"/>
        </w:rPr>
        <w:t xml:space="preserve"> submitted</w:t>
      </w:r>
      <w:r w:rsidRPr="007C625E">
        <w:rPr>
          <w:rFonts w:ascii="Arial" w:hAnsi="Arial" w:cs="Arial"/>
          <w:sz w:val="22"/>
          <w:szCs w:val="22"/>
        </w:rPr>
        <w:t xml:space="preserve"> in letterhead format, </w:t>
      </w:r>
      <w:r w:rsidRPr="007C625E" w:rsidR="0042390C">
        <w:rPr>
          <w:rFonts w:ascii="Arial" w:hAnsi="Arial" w:cs="Arial"/>
          <w:sz w:val="22"/>
          <w:szCs w:val="22"/>
        </w:rPr>
        <w:t xml:space="preserve">they </w:t>
      </w:r>
      <w:r w:rsidRPr="007C625E">
        <w:rPr>
          <w:rFonts w:ascii="Arial" w:hAnsi="Arial" w:cs="Arial"/>
          <w:sz w:val="22"/>
          <w:szCs w:val="22"/>
        </w:rPr>
        <w:t xml:space="preserve">prescribe no specific format for </w:t>
      </w:r>
      <w:r w:rsidRPr="007C625E" w:rsidR="0042390C">
        <w:rPr>
          <w:rFonts w:ascii="Arial" w:hAnsi="Arial" w:cs="Arial"/>
          <w:sz w:val="22"/>
          <w:szCs w:val="22"/>
        </w:rPr>
        <w:t>still</w:t>
      </w:r>
      <w:r w:rsidRPr="007C625E">
        <w:rPr>
          <w:rFonts w:ascii="Arial" w:hAnsi="Arial" w:cs="Arial"/>
          <w:sz w:val="22"/>
          <w:szCs w:val="22"/>
        </w:rPr>
        <w:t xml:space="preserve"> manufacturing, receiving, removal, and disposal records, which may consist of usual and customary </w:t>
      </w:r>
      <w:r w:rsidRPr="007C625E" w:rsidR="0042390C">
        <w:rPr>
          <w:rFonts w:ascii="Arial" w:hAnsi="Arial" w:cs="Arial"/>
          <w:sz w:val="22"/>
          <w:szCs w:val="22"/>
        </w:rPr>
        <w:t>r</w:t>
      </w:r>
      <w:r w:rsidRPr="007C625E">
        <w:rPr>
          <w:rFonts w:ascii="Arial" w:hAnsi="Arial" w:cs="Arial"/>
          <w:sz w:val="22"/>
          <w:szCs w:val="22"/>
        </w:rPr>
        <w:t>ecords</w:t>
      </w:r>
      <w:r w:rsidRPr="007C625E" w:rsidR="0042390C">
        <w:rPr>
          <w:rFonts w:ascii="Arial" w:hAnsi="Arial" w:cs="Arial"/>
          <w:sz w:val="22"/>
          <w:szCs w:val="22"/>
        </w:rPr>
        <w:t xml:space="preserve"> kept during the normal course of business</w:t>
      </w:r>
      <w:r w:rsidRPr="007C625E">
        <w:rPr>
          <w:rFonts w:ascii="Arial" w:hAnsi="Arial" w:cs="Arial"/>
          <w:sz w:val="22"/>
          <w:szCs w:val="22"/>
        </w:rPr>
        <w:t xml:space="preserve">, such as sales invoices, if all of the required information is shown. </w:t>
      </w:r>
    </w:p>
    <w:p w:rsidR="003E5F3E" w:rsidRPr="007C625E" w:rsidP="005F4441" w14:paraId="0A32FD03" w14:textId="77777777">
      <w:pPr>
        <w:rPr>
          <w:rFonts w:ascii="Arial" w:hAnsi="Arial" w:cs="Arial"/>
          <w:sz w:val="28"/>
          <w:szCs w:val="28"/>
        </w:rPr>
      </w:pPr>
    </w:p>
    <w:p w:rsidR="00101DE7" w:rsidRPr="007C625E" w:rsidP="005F4441" w14:paraId="0A32FD04" w14:textId="77777777">
      <w:pPr>
        <w:rPr>
          <w:rFonts w:ascii="Arial" w:hAnsi="Arial" w:cs="Arial"/>
          <w:i/>
          <w:sz w:val="22"/>
          <w:szCs w:val="22"/>
        </w:rPr>
      </w:pPr>
      <w:r w:rsidRPr="007C625E">
        <w:rPr>
          <w:rFonts w:ascii="Arial" w:hAnsi="Arial" w:cs="Arial"/>
          <w:i/>
          <w:sz w:val="22"/>
          <w:szCs w:val="22"/>
        </w:rPr>
        <w:t>13.  What is the estimated annual cost burden to respondents or record keepers resulting from this information collection request (excluding the value of the hour burden</w:t>
      </w:r>
      <w:r w:rsidRPr="007C625E" w:rsidR="0033260C">
        <w:rPr>
          <w:rFonts w:ascii="Arial" w:hAnsi="Arial" w:cs="Arial"/>
          <w:i/>
          <w:sz w:val="22"/>
          <w:szCs w:val="22"/>
        </w:rPr>
        <w:t xml:space="preserve"> </w:t>
      </w:r>
      <w:r w:rsidRPr="007C625E">
        <w:rPr>
          <w:rFonts w:ascii="Arial" w:hAnsi="Arial" w:cs="Arial"/>
          <w:i/>
          <w:sz w:val="22"/>
          <w:szCs w:val="22"/>
        </w:rPr>
        <w:t xml:space="preserve">in Question 12 above)? </w:t>
      </w:r>
    </w:p>
    <w:p w:rsidR="00101DE7" w:rsidRPr="007C625E" w:rsidP="005F4441" w14:paraId="0A32FD05" w14:textId="77777777">
      <w:pPr>
        <w:rPr>
          <w:rFonts w:ascii="Arial" w:hAnsi="Arial" w:cs="Arial"/>
          <w:sz w:val="22"/>
          <w:szCs w:val="22"/>
        </w:rPr>
      </w:pPr>
    </w:p>
    <w:p w:rsidR="00E85E1F" w:rsidRPr="007C625E" w:rsidP="005F4441" w14:paraId="0A32FD06" w14:textId="0AF3672B">
      <w:pPr>
        <w:ind w:left="360"/>
        <w:rPr>
          <w:rFonts w:ascii="Arial" w:hAnsi="Arial" w:cs="Arial"/>
          <w:sz w:val="22"/>
          <w:szCs w:val="22"/>
        </w:rPr>
      </w:pPr>
      <w:r w:rsidRPr="007C625E">
        <w:rPr>
          <w:rFonts w:ascii="Arial" w:hAnsi="Arial" w:cs="Arial"/>
          <w:sz w:val="22"/>
          <w:szCs w:val="22"/>
        </w:rPr>
        <w:t>TTB believes that respondents do not bear any annualized capital or sta</w:t>
      </w:r>
      <w:r w:rsidRPr="007C625E" w:rsidR="00247A12">
        <w:rPr>
          <w:rFonts w:ascii="Arial" w:hAnsi="Arial" w:cs="Arial"/>
          <w:sz w:val="22"/>
          <w:szCs w:val="22"/>
        </w:rPr>
        <w:t xml:space="preserve">rt-up costs as a result of this </w:t>
      </w:r>
      <w:r w:rsidRPr="007C625E" w:rsidR="007C625E">
        <w:rPr>
          <w:rFonts w:ascii="Arial" w:hAnsi="Arial" w:cs="Arial"/>
          <w:sz w:val="22"/>
          <w:szCs w:val="22"/>
        </w:rPr>
        <w:t xml:space="preserve">occasional </w:t>
      </w:r>
      <w:r w:rsidRPr="007C625E" w:rsidR="00E35D0D">
        <w:rPr>
          <w:rFonts w:ascii="Arial" w:hAnsi="Arial" w:cs="Arial"/>
          <w:sz w:val="22"/>
          <w:szCs w:val="22"/>
        </w:rPr>
        <w:t>information</w:t>
      </w:r>
      <w:r w:rsidRPr="007C625E">
        <w:rPr>
          <w:rFonts w:ascii="Arial" w:hAnsi="Arial" w:cs="Arial"/>
          <w:sz w:val="22"/>
          <w:szCs w:val="22"/>
        </w:rPr>
        <w:t xml:space="preserve"> collection</w:t>
      </w:r>
      <w:r w:rsidRPr="007C625E" w:rsidR="00E02C2B">
        <w:rPr>
          <w:rFonts w:ascii="Arial" w:hAnsi="Arial" w:cs="Arial"/>
          <w:sz w:val="22"/>
          <w:szCs w:val="22"/>
        </w:rPr>
        <w:t>.</w:t>
      </w:r>
      <w:r w:rsidRPr="007C625E">
        <w:rPr>
          <w:rFonts w:ascii="Arial" w:hAnsi="Arial" w:cs="Arial"/>
          <w:sz w:val="22"/>
          <w:szCs w:val="22"/>
        </w:rPr>
        <w:t xml:space="preserve">  However, TTB estimates that </w:t>
      </w:r>
      <w:r w:rsidRPr="007C625E" w:rsidR="00E02C2B">
        <w:rPr>
          <w:rFonts w:ascii="Arial" w:hAnsi="Arial" w:cs="Arial"/>
          <w:sz w:val="22"/>
          <w:szCs w:val="22"/>
        </w:rPr>
        <w:t xml:space="preserve">each </w:t>
      </w:r>
      <w:r w:rsidRPr="007C625E">
        <w:rPr>
          <w:rFonts w:ascii="Arial" w:hAnsi="Arial" w:cs="Arial"/>
          <w:sz w:val="22"/>
          <w:szCs w:val="22"/>
        </w:rPr>
        <w:t>of this collection’s respondent</w:t>
      </w:r>
      <w:r w:rsidRPr="007C625E" w:rsidR="00247A12">
        <w:rPr>
          <w:rFonts w:ascii="Arial" w:hAnsi="Arial" w:cs="Arial"/>
          <w:sz w:val="22"/>
          <w:szCs w:val="22"/>
        </w:rPr>
        <w:t>s</w:t>
      </w:r>
      <w:r w:rsidRPr="007C625E" w:rsidR="00E02C2B">
        <w:rPr>
          <w:rFonts w:ascii="Arial" w:hAnsi="Arial" w:cs="Arial"/>
          <w:sz w:val="22"/>
          <w:szCs w:val="22"/>
        </w:rPr>
        <w:t xml:space="preserve"> ha</w:t>
      </w:r>
      <w:r w:rsidRPr="007C625E" w:rsidR="00556132">
        <w:rPr>
          <w:rFonts w:ascii="Arial" w:hAnsi="Arial" w:cs="Arial"/>
          <w:sz w:val="22"/>
          <w:szCs w:val="22"/>
        </w:rPr>
        <w:t>ve</w:t>
      </w:r>
      <w:r w:rsidRPr="007C625E" w:rsidR="00E02C2B">
        <w:rPr>
          <w:rFonts w:ascii="Arial" w:hAnsi="Arial" w:cs="Arial"/>
          <w:sz w:val="22"/>
          <w:szCs w:val="22"/>
        </w:rPr>
        <w:t xml:space="preserve"> mailing supply and postage costs of $2.00 per response</w:t>
      </w:r>
      <w:r w:rsidRPr="007C625E" w:rsidR="00E35D0D">
        <w:rPr>
          <w:rFonts w:ascii="Arial" w:hAnsi="Arial" w:cs="Arial"/>
          <w:sz w:val="22"/>
          <w:szCs w:val="22"/>
        </w:rPr>
        <w:t xml:space="preserve"> for their </w:t>
      </w:r>
      <w:r w:rsidRPr="007C625E" w:rsidR="0042390C">
        <w:rPr>
          <w:rFonts w:ascii="Arial" w:hAnsi="Arial" w:cs="Arial"/>
          <w:sz w:val="22"/>
          <w:szCs w:val="22"/>
        </w:rPr>
        <w:t xml:space="preserve">four annual </w:t>
      </w:r>
      <w:r w:rsidRPr="007C625E" w:rsidR="00E35D0D">
        <w:rPr>
          <w:rFonts w:ascii="Arial" w:hAnsi="Arial" w:cs="Arial"/>
          <w:sz w:val="22"/>
          <w:szCs w:val="22"/>
        </w:rPr>
        <w:t>responses</w:t>
      </w:r>
      <w:r w:rsidRPr="007C625E" w:rsidR="00556132">
        <w:rPr>
          <w:rFonts w:ascii="Arial" w:hAnsi="Arial" w:cs="Arial"/>
          <w:sz w:val="22"/>
          <w:szCs w:val="22"/>
        </w:rPr>
        <w:t xml:space="preserve">, which total </w:t>
      </w:r>
      <w:r w:rsidRPr="007C625E" w:rsidR="00E02C2B">
        <w:rPr>
          <w:rFonts w:ascii="Arial" w:hAnsi="Arial" w:cs="Arial"/>
          <w:sz w:val="22"/>
          <w:szCs w:val="22"/>
        </w:rPr>
        <w:t>$</w:t>
      </w:r>
      <w:r w:rsidRPr="007C625E" w:rsidR="0042390C">
        <w:rPr>
          <w:rFonts w:ascii="Arial" w:hAnsi="Arial" w:cs="Arial"/>
          <w:sz w:val="22"/>
          <w:szCs w:val="22"/>
        </w:rPr>
        <w:t>8</w:t>
      </w:r>
      <w:r w:rsidRPr="007C625E" w:rsidR="00247A12">
        <w:rPr>
          <w:rFonts w:ascii="Arial" w:hAnsi="Arial" w:cs="Arial"/>
          <w:sz w:val="22"/>
          <w:szCs w:val="22"/>
        </w:rPr>
        <w:t>.00 per-</w:t>
      </w:r>
      <w:r w:rsidRPr="007C625E" w:rsidR="00E02C2B">
        <w:rPr>
          <w:rFonts w:ascii="Arial" w:hAnsi="Arial" w:cs="Arial"/>
          <w:sz w:val="22"/>
          <w:szCs w:val="22"/>
        </w:rPr>
        <w:t xml:space="preserve">year </w:t>
      </w:r>
      <w:r w:rsidRPr="007C625E" w:rsidR="00247A12">
        <w:rPr>
          <w:rFonts w:ascii="Arial" w:hAnsi="Arial" w:cs="Arial"/>
          <w:sz w:val="22"/>
          <w:szCs w:val="22"/>
        </w:rPr>
        <w:t xml:space="preserve">for each </w:t>
      </w:r>
      <w:r w:rsidRPr="007C625E">
        <w:rPr>
          <w:rFonts w:ascii="Arial" w:hAnsi="Arial" w:cs="Arial"/>
          <w:sz w:val="22"/>
          <w:szCs w:val="22"/>
        </w:rPr>
        <w:t>respondent and $</w:t>
      </w:r>
      <w:r w:rsidRPr="007C625E" w:rsidR="007C625E">
        <w:rPr>
          <w:rFonts w:ascii="Arial" w:hAnsi="Arial" w:cs="Arial"/>
          <w:sz w:val="22"/>
          <w:szCs w:val="22"/>
        </w:rPr>
        <w:t xml:space="preserve">320.00 in total for all 40 estimated respondents. </w:t>
      </w:r>
    </w:p>
    <w:p w:rsidR="00AF1157" w:rsidRPr="005F4441" w:rsidP="005F4441" w14:paraId="0A32FD07" w14:textId="77777777">
      <w:pPr>
        <w:rPr>
          <w:rFonts w:ascii="Arial" w:hAnsi="Arial" w:cs="Arial"/>
          <w:sz w:val="32"/>
          <w:szCs w:val="32"/>
        </w:rPr>
      </w:pPr>
    </w:p>
    <w:p w:rsidR="00AF1157" w:rsidRPr="005F4441" w:rsidP="005F4441" w14:paraId="0A32FD08" w14:textId="77777777">
      <w:pPr>
        <w:ind w:left="480" w:hanging="480"/>
        <w:rPr>
          <w:rFonts w:ascii="Arial" w:hAnsi="Arial" w:cs="Arial"/>
          <w:i/>
          <w:sz w:val="22"/>
          <w:szCs w:val="22"/>
        </w:rPr>
      </w:pPr>
      <w:r w:rsidRPr="005F4441">
        <w:rPr>
          <w:rFonts w:ascii="Arial" w:hAnsi="Arial" w:cs="Arial"/>
          <w:i/>
          <w:sz w:val="22"/>
          <w:szCs w:val="22"/>
        </w:rPr>
        <w:t xml:space="preserve">14.  What is the annualized cost to the Federal Government? </w:t>
      </w:r>
    </w:p>
    <w:p w:rsidR="00AF1157" w:rsidRPr="005F4441" w:rsidP="005F4441" w14:paraId="0A32FD09" w14:textId="77777777">
      <w:pPr>
        <w:ind w:left="480" w:hanging="480"/>
        <w:rPr>
          <w:rFonts w:ascii="Arial" w:hAnsi="Arial" w:cs="Arial"/>
          <w:sz w:val="22"/>
          <w:szCs w:val="22"/>
        </w:rPr>
      </w:pPr>
    </w:p>
    <w:p w:rsidR="006F08D6" w:rsidRPr="005F4441" w:rsidP="005F4441" w14:paraId="0A32FD0A" w14:textId="77777777">
      <w:pPr>
        <w:ind w:left="360"/>
        <w:rPr>
          <w:rFonts w:ascii="Arial" w:hAnsi="Arial" w:cs="Arial"/>
          <w:sz w:val="22"/>
          <w:szCs w:val="22"/>
        </w:rPr>
      </w:pPr>
      <w:r w:rsidRPr="005F4441">
        <w:rPr>
          <w:rFonts w:ascii="Arial" w:hAnsi="Arial" w:cs="Arial"/>
          <w:sz w:val="22"/>
          <w:szCs w:val="22"/>
        </w:rPr>
        <w:t xml:space="preserve">There is no TTB form associated with this information collection, and, as such, there are no </w:t>
      </w:r>
      <w:r w:rsidRPr="005F4441" w:rsidR="00247A12">
        <w:rPr>
          <w:rFonts w:ascii="Arial" w:hAnsi="Arial" w:cs="Arial"/>
          <w:sz w:val="22"/>
          <w:szCs w:val="22"/>
        </w:rPr>
        <w:t xml:space="preserve">related </w:t>
      </w:r>
      <w:r w:rsidRPr="005F4441">
        <w:rPr>
          <w:rFonts w:ascii="Arial" w:hAnsi="Arial" w:cs="Arial"/>
          <w:sz w:val="22"/>
          <w:szCs w:val="22"/>
        </w:rPr>
        <w:t>printing and distribution costs to TTB</w:t>
      </w:r>
      <w:r w:rsidRPr="005F4441" w:rsidR="0042390C">
        <w:rPr>
          <w:rFonts w:ascii="Arial" w:hAnsi="Arial" w:cs="Arial"/>
          <w:sz w:val="22"/>
          <w:szCs w:val="22"/>
        </w:rPr>
        <w:t xml:space="preserve">.  In addition, </w:t>
      </w:r>
      <w:r w:rsidRPr="005F4441" w:rsidR="00247A12">
        <w:rPr>
          <w:rFonts w:ascii="Arial" w:hAnsi="Arial" w:cs="Arial"/>
          <w:sz w:val="22"/>
          <w:szCs w:val="22"/>
        </w:rPr>
        <w:t xml:space="preserve">TTB has </w:t>
      </w:r>
      <w:r w:rsidRPr="005F4441">
        <w:rPr>
          <w:rFonts w:ascii="Arial" w:hAnsi="Arial" w:cs="Arial"/>
          <w:sz w:val="22"/>
          <w:szCs w:val="22"/>
        </w:rPr>
        <w:t xml:space="preserve">no other overhead costs </w:t>
      </w:r>
      <w:r w:rsidRPr="005F4441" w:rsidR="00247A12">
        <w:rPr>
          <w:rFonts w:ascii="Arial" w:hAnsi="Arial" w:cs="Arial"/>
          <w:sz w:val="22"/>
          <w:szCs w:val="22"/>
        </w:rPr>
        <w:t xml:space="preserve">for </w:t>
      </w:r>
      <w:r w:rsidRPr="005F4441" w:rsidR="0042390C">
        <w:rPr>
          <w:rFonts w:ascii="Arial" w:hAnsi="Arial" w:cs="Arial"/>
          <w:sz w:val="22"/>
          <w:szCs w:val="22"/>
        </w:rPr>
        <w:t xml:space="preserve">submissions of </w:t>
      </w:r>
      <w:r w:rsidRPr="005F4441" w:rsidR="00247A12">
        <w:rPr>
          <w:rFonts w:ascii="Arial" w:hAnsi="Arial" w:cs="Arial"/>
          <w:sz w:val="22"/>
          <w:szCs w:val="22"/>
        </w:rPr>
        <w:t xml:space="preserve">this occasional information </w:t>
      </w:r>
      <w:r w:rsidRPr="005F4441">
        <w:rPr>
          <w:rFonts w:ascii="Arial" w:hAnsi="Arial" w:cs="Arial"/>
          <w:sz w:val="22"/>
          <w:szCs w:val="22"/>
        </w:rPr>
        <w:t>collection</w:t>
      </w:r>
      <w:r w:rsidRPr="005F4441" w:rsidR="0042390C">
        <w:rPr>
          <w:rFonts w:ascii="Arial" w:hAnsi="Arial" w:cs="Arial"/>
          <w:sz w:val="22"/>
          <w:szCs w:val="22"/>
        </w:rPr>
        <w:t xml:space="preserve">. </w:t>
      </w:r>
    </w:p>
    <w:p w:rsidR="006F08D6" w:rsidRPr="005F4441" w:rsidP="005F4441" w14:paraId="0A32FD0B" w14:textId="77777777">
      <w:pPr>
        <w:ind w:left="360"/>
        <w:rPr>
          <w:rFonts w:ascii="Arial" w:hAnsi="Arial" w:cs="Arial"/>
          <w:sz w:val="22"/>
          <w:szCs w:val="22"/>
        </w:rPr>
      </w:pPr>
    </w:p>
    <w:p w:rsidR="00795CC2" w:rsidRPr="005F4441" w:rsidP="005F4441" w14:paraId="0A32FD0C" w14:textId="77777777">
      <w:pPr>
        <w:ind w:left="360"/>
        <w:rPr>
          <w:rFonts w:ascii="Arial" w:hAnsi="Arial" w:cs="Arial"/>
          <w:sz w:val="22"/>
          <w:szCs w:val="22"/>
        </w:rPr>
      </w:pPr>
      <w:r w:rsidRPr="005F4441">
        <w:rPr>
          <w:rFonts w:ascii="Arial" w:hAnsi="Arial" w:cs="Arial"/>
          <w:sz w:val="22"/>
          <w:szCs w:val="22"/>
        </w:rPr>
        <w:t xml:space="preserve">TTB </w:t>
      </w:r>
      <w:r w:rsidRPr="005F4441" w:rsidR="00C12AEA">
        <w:rPr>
          <w:rFonts w:ascii="Arial" w:hAnsi="Arial" w:cs="Arial"/>
          <w:sz w:val="22"/>
          <w:szCs w:val="22"/>
        </w:rPr>
        <w:t xml:space="preserve">estimates its </w:t>
      </w:r>
      <w:r w:rsidRPr="005F4441" w:rsidR="0042390C">
        <w:rPr>
          <w:rFonts w:ascii="Arial" w:hAnsi="Arial" w:cs="Arial"/>
          <w:sz w:val="22"/>
          <w:szCs w:val="22"/>
        </w:rPr>
        <w:t xml:space="preserve">annual </w:t>
      </w:r>
      <w:r w:rsidRPr="005F4441" w:rsidR="00C12AEA">
        <w:rPr>
          <w:rFonts w:ascii="Arial" w:hAnsi="Arial" w:cs="Arial"/>
          <w:sz w:val="22"/>
          <w:szCs w:val="22"/>
        </w:rPr>
        <w:t xml:space="preserve">labor costs </w:t>
      </w:r>
      <w:r w:rsidRPr="005F4441" w:rsidR="00556132">
        <w:rPr>
          <w:rFonts w:ascii="Arial" w:hAnsi="Arial" w:cs="Arial"/>
          <w:sz w:val="22"/>
          <w:szCs w:val="22"/>
        </w:rPr>
        <w:t>for</w:t>
      </w:r>
      <w:r w:rsidRPr="005F4441" w:rsidR="0042390C">
        <w:rPr>
          <w:rFonts w:ascii="Arial" w:hAnsi="Arial" w:cs="Arial"/>
          <w:sz w:val="22"/>
          <w:szCs w:val="22"/>
        </w:rPr>
        <w:t xml:space="preserve"> this information collection as follows: </w:t>
      </w:r>
    </w:p>
    <w:p w:rsidR="00556132" w:rsidRPr="005F4441" w:rsidP="005F4441" w14:paraId="0A32FD0D" w14:textId="77777777">
      <w:pPr>
        <w:ind w:left="360"/>
        <w:rPr>
          <w:rFonts w:ascii="Arial" w:hAnsi="Arial" w:cs="Arial"/>
          <w:sz w:val="22"/>
          <w:szCs w:val="22"/>
        </w:rPr>
      </w:pPr>
    </w:p>
    <w:tbl>
      <w:tblPr>
        <w:tblW w:w="863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
      <w:tblGrid>
        <w:gridCol w:w="1705"/>
        <w:gridCol w:w="1440"/>
        <w:gridCol w:w="1350"/>
        <w:gridCol w:w="1458"/>
        <w:gridCol w:w="1221"/>
        <w:gridCol w:w="1461"/>
      </w:tblGrid>
      <w:tr w14:paraId="0A32FD10" w14:textId="77777777" w:rsidTr="00795CC2">
        <w:tblPrEx>
          <w:tblW w:w="863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Ex>
        <w:trPr>
          <w:trHeight w:val="576"/>
          <w:jc w:val="center"/>
        </w:trPr>
        <w:tc>
          <w:tcPr>
            <w:tcW w:w="8635" w:type="dxa"/>
            <w:gridSpan w:val="6"/>
            <w:tcBorders>
              <w:bottom w:val="single" w:sz="2" w:space="0" w:color="auto"/>
            </w:tcBorders>
            <w:shd w:val="clear" w:color="auto" w:fill="auto"/>
            <w:vAlign w:val="center"/>
          </w:tcPr>
          <w:p w:rsidR="0098214A" w:rsidRPr="005F4441" w:rsidP="005F4441" w14:paraId="0A32FD0E" w14:textId="77777777">
            <w:pPr>
              <w:jc w:val="center"/>
              <w:rPr>
                <w:rFonts w:ascii="Arial" w:eastAsia="Calibri" w:hAnsi="Arial" w:cs="Arial"/>
                <w:b/>
                <w:sz w:val="20"/>
                <w:szCs w:val="20"/>
              </w:rPr>
            </w:pPr>
            <w:r w:rsidRPr="005F4441">
              <w:br w:type="page"/>
            </w:r>
            <w:r w:rsidRPr="005F4441">
              <w:br w:type="page"/>
            </w:r>
            <w:r w:rsidRPr="005F4441">
              <w:rPr>
                <w:rFonts w:ascii="Arial" w:hAnsi="Arial" w:cs="Arial"/>
                <w:sz w:val="22"/>
                <w:szCs w:val="22"/>
              </w:rPr>
              <w:br w:type="page"/>
            </w:r>
            <w:r w:rsidRPr="005F4441" w:rsidR="006F08D6">
              <w:br w:type="page"/>
            </w:r>
            <w:r w:rsidRPr="005F4441" w:rsidR="006F08D6">
              <w:rPr>
                <w:rFonts w:ascii="Arial" w:hAnsi="Arial" w:cs="Arial"/>
                <w:sz w:val="22"/>
                <w:szCs w:val="22"/>
              </w:rPr>
              <w:br w:type="page"/>
            </w:r>
            <w:r w:rsidRPr="005F4441" w:rsidR="006F08D6">
              <w:rPr>
                <w:rFonts w:ascii="Arial" w:hAnsi="Arial" w:cs="Arial"/>
                <w:sz w:val="22"/>
                <w:szCs w:val="22"/>
              </w:rPr>
              <w:br w:type="page"/>
            </w:r>
            <w:r w:rsidRPr="005F4441" w:rsidR="006F08D6">
              <w:rPr>
                <w:rFonts w:ascii="Arial" w:hAnsi="Arial" w:cs="Arial"/>
                <w:sz w:val="22"/>
                <w:szCs w:val="22"/>
              </w:rPr>
              <w:br w:type="page"/>
            </w:r>
            <w:r w:rsidRPr="005F4441">
              <w:rPr>
                <w:rFonts w:ascii="Arial" w:eastAsia="Calibri" w:hAnsi="Arial" w:cs="Arial"/>
                <w:b/>
                <w:sz w:val="20"/>
                <w:szCs w:val="20"/>
              </w:rPr>
              <w:t>TTB Labor Costs for OMB No. 1513–00</w:t>
            </w:r>
            <w:r w:rsidRPr="005F4441" w:rsidR="004B03DB">
              <w:rPr>
                <w:rFonts w:ascii="Arial" w:eastAsia="Calibri" w:hAnsi="Arial" w:cs="Arial"/>
                <w:b/>
                <w:sz w:val="20"/>
                <w:szCs w:val="20"/>
              </w:rPr>
              <w:t>63</w:t>
            </w:r>
            <w:r w:rsidRPr="005F4441">
              <w:rPr>
                <w:rFonts w:ascii="Arial" w:eastAsia="Calibri" w:hAnsi="Arial" w:cs="Arial"/>
                <w:b/>
                <w:sz w:val="20"/>
                <w:szCs w:val="20"/>
              </w:rPr>
              <w:t xml:space="preserve"> for TTB Personnel at the </w:t>
            </w:r>
          </w:p>
          <w:p w:rsidR="0098214A" w:rsidRPr="005F4441" w:rsidP="005F4441" w14:paraId="0A32FD0F" w14:textId="77777777">
            <w:pPr>
              <w:jc w:val="center"/>
              <w:rPr>
                <w:rFonts w:ascii="Arial" w:eastAsia="Calibri" w:hAnsi="Arial" w:cs="Arial"/>
                <w:b/>
                <w:sz w:val="20"/>
                <w:szCs w:val="20"/>
              </w:rPr>
            </w:pPr>
            <w:r w:rsidRPr="005F4441">
              <w:rPr>
                <w:rFonts w:ascii="Arial" w:eastAsia="Calibri" w:hAnsi="Arial" w:cs="Arial"/>
                <w:b/>
                <w:sz w:val="20"/>
                <w:szCs w:val="20"/>
              </w:rPr>
              <w:t xml:space="preserve">National Revenue Center in Cincinnati, Ohio </w:t>
            </w:r>
          </w:p>
        </w:tc>
      </w:tr>
      <w:tr w14:paraId="0A32FD17" w14:textId="77777777" w:rsidTr="00795CC2">
        <w:tblPrEx>
          <w:tblW w:w="8635" w:type="dxa"/>
          <w:jc w:val="center"/>
          <w:tblLayout w:type="fixed"/>
          <w:tblLook w:val="04A0"/>
        </w:tblPrEx>
        <w:trPr>
          <w:trHeight w:val="576"/>
          <w:jc w:val="center"/>
        </w:trPr>
        <w:tc>
          <w:tcPr>
            <w:tcW w:w="1705" w:type="dxa"/>
            <w:tcBorders>
              <w:top w:val="single" w:sz="2" w:space="0" w:color="auto"/>
              <w:left w:val="single" w:sz="2" w:space="0" w:color="auto"/>
              <w:bottom w:val="single" w:sz="2" w:space="0" w:color="auto"/>
              <w:right w:val="single" w:sz="2" w:space="0" w:color="auto"/>
            </w:tcBorders>
            <w:shd w:val="clear" w:color="auto" w:fill="auto"/>
            <w:vAlign w:val="center"/>
          </w:tcPr>
          <w:p w:rsidR="0098214A" w:rsidRPr="005F4441" w:rsidP="005F4441" w14:paraId="0A32FD11" w14:textId="77777777">
            <w:pPr>
              <w:jc w:val="center"/>
              <w:rPr>
                <w:rFonts w:ascii="Arial" w:eastAsia="Calibri" w:hAnsi="Arial" w:cs="Arial"/>
                <w:sz w:val="20"/>
                <w:szCs w:val="20"/>
              </w:rPr>
            </w:pPr>
            <w:r w:rsidRPr="005F4441">
              <w:rPr>
                <w:rFonts w:ascii="Arial" w:eastAsia="Calibri"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98214A" w:rsidRPr="005F4441" w:rsidP="005F4441" w14:paraId="0A32FD12" w14:textId="77777777">
            <w:pPr>
              <w:jc w:val="center"/>
              <w:rPr>
                <w:rFonts w:ascii="Arial" w:eastAsia="Calibri" w:hAnsi="Arial" w:cs="Arial"/>
                <w:sz w:val="20"/>
                <w:szCs w:val="20"/>
              </w:rPr>
            </w:pPr>
            <w:r w:rsidRPr="005F4441">
              <w:rPr>
                <w:rFonts w:ascii="Arial" w:eastAsia="Calibri" w:hAnsi="Arial" w:cs="Arial"/>
                <w:sz w:val="20"/>
                <w:szCs w:val="20"/>
              </w:rPr>
              <w:t>Fully-loaded Labor Rate per Hour</w:t>
            </w:r>
            <w:r>
              <w:rPr>
                <w:rFonts w:ascii="Arial" w:eastAsia="Calibri" w:hAnsi="Arial" w:cs="Arial"/>
                <w:sz w:val="20"/>
                <w:szCs w:val="20"/>
                <w:vertAlign w:val="superscript"/>
              </w:rPr>
              <w:footnoteReference w:id="4"/>
            </w:r>
          </w:p>
        </w:tc>
        <w:tc>
          <w:tcPr>
            <w:tcW w:w="135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98214A" w:rsidRPr="005F4441" w:rsidP="005F4441" w14:paraId="0A32FD13" w14:textId="77777777">
            <w:pPr>
              <w:jc w:val="center"/>
              <w:rPr>
                <w:rFonts w:ascii="Arial" w:eastAsia="Calibri" w:hAnsi="Arial" w:cs="Arial"/>
                <w:sz w:val="20"/>
                <w:szCs w:val="20"/>
              </w:rPr>
            </w:pPr>
            <w:r w:rsidRPr="005F4441">
              <w:rPr>
                <w:rFonts w:ascii="Arial" w:eastAsia="Calibri" w:hAnsi="Arial" w:cs="Arial"/>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98214A" w:rsidRPr="005F4441" w:rsidP="005F4441" w14:paraId="0A32FD14" w14:textId="77777777">
            <w:pPr>
              <w:jc w:val="center"/>
              <w:rPr>
                <w:rFonts w:ascii="Arial" w:eastAsia="Calibri" w:hAnsi="Arial" w:cs="Arial"/>
                <w:sz w:val="20"/>
                <w:szCs w:val="20"/>
              </w:rPr>
            </w:pPr>
            <w:r w:rsidRPr="005F4441">
              <w:rPr>
                <w:rFonts w:ascii="Arial" w:eastAsia="Calibri" w:hAnsi="Arial" w:cs="Arial"/>
                <w:sz w:val="20"/>
                <w:szCs w:val="20"/>
              </w:rPr>
              <w:t>Labor Costs per Response</w:t>
            </w:r>
          </w:p>
        </w:tc>
        <w:tc>
          <w:tcPr>
            <w:tcW w:w="1221"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98214A" w:rsidRPr="005F4441" w:rsidP="005F4441" w14:paraId="0A32FD15" w14:textId="77777777">
            <w:pPr>
              <w:jc w:val="center"/>
              <w:rPr>
                <w:rFonts w:ascii="Arial" w:eastAsia="Calibri" w:hAnsi="Arial" w:cs="Arial"/>
                <w:sz w:val="20"/>
                <w:szCs w:val="20"/>
              </w:rPr>
            </w:pPr>
            <w:r w:rsidRPr="005F4441">
              <w:rPr>
                <w:rFonts w:ascii="Arial" w:eastAsia="Calibri" w:hAnsi="Arial" w:cs="Arial"/>
                <w:sz w:val="20"/>
                <w:szCs w:val="20"/>
              </w:rPr>
              <w:t>Total Responses</w:t>
            </w:r>
          </w:p>
        </w:tc>
        <w:tc>
          <w:tcPr>
            <w:tcW w:w="1461"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98214A" w:rsidRPr="005F4441" w:rsidP="005F4441" w14:paraId="0A32FD16" w14:textId="77777777">
            <w:pPr>
              <w:jc w:val="center"/>
              <w:rPr>
                <w:rFonts w:ascii="Arial" w:eastAsia="Calibri" w:hAnsi="Arial" w:cs="Arial"/>
                <w:sz w:val="20"/>
                <w:szCs w:val="20"/>
              </w:rPr>
            </w:pPr>
            <w:r w:rsidRPr="005F4441">
              <w:rPr>
                <w:rFonts w:ascii="Arial" w:eastAsia="Calibri" w:hAnsi="Arial" w:cs="Arial"/>
                <w:sz w:val="20"/>
                <w:szCs w:val="20"/>
              </w:rPr>
              <w:t>Total TTB Labor Costs</w:t>
            </w:r>
          </w:p>
        </w:tc>
      </w:tr>
      <w:tr w14:paraId="0A32FD1E" w14:textId="77777777" w:rsidTr="00375CFF">
        <w:tblPrEx>
          <w:tblW w:w="8635" w:type="dxa"/>
          <w:jc w:val="center"/>
          <w:tblLayout w:type="fixed"/>
          <w:tblLook w:val="04A0"/>
        </w:tblPrEx>
        <w:trPr>
          <w:trHeight w:val="576"/>
          <w:jc w:val="center"/>
        </w:trPr>
        <w:tc>
          <w:tcPr>
            <w:tcW w:w="1705" w:type="dxa"/>
            <w:tcBorders>
              <w:top w:val="single" w:sz="4" w:space="0" w:color="auto"/>
              <w:bottom w:val="single" w:sz="2" w:space="0" w:color="auto"/>
            </w:tcBorders>
            <w:shd w:val="clear" w:color="auto" w:fill="auto"/>
            <w:vAlign w:val="center"/>
          </w:tcPr>
          <w:p w:rsidR="00795CC2" w:rsidRPr="005F4441" w:rsidP="005F4441" w14:paraId="0A32FD18" w14:textId="77777777">
            <w:pPr>
              <w:jc w:val="center"/>
              <w:rPr>
                <w:rFonts w:ascii="Arial" w:eastAsia="Calibri" w:hAnsi="Arial" w:cs="Arial"/>
                <w:sz w:val="20"/>
                <w:szCs w:val="20"/>
              </w:rPr>
            </w:pPr>
            <w:r w:rsidRPr="005F4441">
              <w:rPr>
                <w:rFonts w:ascii="Arial" w:eastAsia="Calibri" w:hAnsi="Arial" w:cs="Arial"/>
                <w:sz w:val="20"/>
                <w:szCs w:val="20"/>
              </w:rPr>
              <w:t>GS–5, Step 5, Clerk</w:t>
            </w:r>
          </w:p>
        </w:tc>
        <w:tc>
          <w:tcPr>
            <w:tcW w:w="1440" w:type="dxa"/>
            <w:tcBorders>
              <w:top w:val="single" w:sz="4" w:space="0" w:color="auto"/>
              <w:bottom w:val="single" w:sz="2" w:space="0" w:color="auto"/>
            </w:tcBorders>
            <w:shd w:val="clear" w:color="auto" w:fill="auto"/>
            <w:tcMar>
              <w:left w:w="29" w:type="dxa"/>
              <w:right w:w="29" w:type="dxa"/>
            </w:tcMar>
            <w:vAlign w:val="center"/>
          </w:tcPr>
          <w:p w:rsidR="00795CC2" w:rsidRPr="005F4441" w:rsidP="005F4441" w14:paraId="0A32FD19" w14:textId="1088F56E">
            <w:pPr>
              <w:jc w:val="center"/>
              <w:rPr>
                <w:rFonts w:ascii="Arial" w:eastAsia="Calibri" w:hAnsi="Arial" w:cs="Arial"/>
                <w:sz w:val="20"/>
                <w:szCs w:val="20"/>
              </w:rPr>
            </w:pPr>
            <w:r w:rsidRPr="005F4441">
              <w:rPr>
                <w:rFonts w:ascii="Arial" w:eastAsia="Calibri" w:hAnsi="Arial" w:cs="Arial"/>
                <w:sz w:val="20"/>
                <w:szCs w:val="20"/>
              </w:rPr>
              <w:t>$37.56</w:t>
            </w:r>
          </w:p>
        </w:tc>
        <w:tc>
          <w:tcPr>
            <w:tcW w:w="1350" w:type="dxa"/>
            <w:tcBorders>
              <w:top w:val="single" w:sz="4" w:space="0" w:color="auto"/>
              <w:bottom w:val="single" w:sz="2" w:space="0" w:color="auto"/>
            </w:tcBorders>
            <w:shd w:val="clear" w:color="auto" w:fill="auto"/>
            <w:tcMar>
              <w:left w:w="29" w:type="dxa"/>
              <w:right w:w="29" w:type="dxa"/>
            </w:tcMar>
            <w:vAlign w:val="center"/>
          </w:tcPr>
          <w:p w:rsidR="00795CC2" w:rsidRPr="005F4441" w:rsidP="005F4441" w14:paraId="0A32FD1A" w14:textId="77777777">
            <w:pPr>
              <w:jc w:val="center"/>
              <w:rPr>
                <w:rFonts w:ascii="Arial" w:eastAsia="Calibri" w:hAnsi="Arial" w:cs="Arial"/>
                <w:sz w:val="20"/>
                <w:szCs w:val="20"/>
              </w:rPr>
            </w:pPr>
            <w:r w:rsidRPr="005F4441">
              <w:rPr>
                <w:rFonts w:ascii="Arial" w:eastAsia="Calibri" w:hAnsi="Arial" w:cs="Arial"/>
                <w:sz w:val="20"/>
                <w:szCs w:val="20"/>
              </w:rPr>
              <w:t>6 minutes</w:t>
            </w:r>
          </w:p>
        </w:tc>
        <w:tc>
          <w:tcPr>
            <w:tcW w:w="1458" w:type="dxa"/>
            <w:tcBorders>
              <w:top w:val="single" w:sz="4" w:space="0" w:color="auto"/>
              <w:bottom w:val="single" w:sz="2" w:space="0" w:color="auto"/>
            </w:tcBorders>
            <w:shd w:val="clear" w:color="auto" w:fill="auto"/>
            <w:tcMar>
              <w:left w:w="29" w:type="dxa"/>
              <w:right w:w="29" w:type="dxa"/>
            </w:tcMar>
            <w:vAlign w:val="center"/>
          </w:tcPr>
          <w:p w:rsidR="00795CC2" w:rsidRPr="005F4441" w:rsidP="005F4441" w14:paraId="0A32FD1B" w14:textId="52805EFC">
            <w:pPr>
              <w:jc w:val="center"/>
              <w:rPr>
                <w:rFonts w:ascii="Arial" w:eastAsia="Calibri" w:hAnsi="Arial" w:cs="Arial"/>
                <w:sz w:val="20"/>
                <w:szCs w:val="20"/>
              </w:rPr>
            </w:pPr>
            <w:r w:rsidRPr="005F4441">
              <w:rPr>
                <w:rFonts w:ascii="Arial" w:eastAsia="Calibri" w:hAnsi="Arial" w:cs="Arial"/>
                <w:sz w:val="20"/>
                <w:szCs w:val="20"/>
              </w:rPr>
              <w:t>$3.76</w:t>
            </w:r>
          </w:p>
        </w:tc>
        <w:tc>
          <w:tcPr>
            <w:tcW w:w="1221" w:type="dxa"/>
            <w:vMerge w:val="restart"/>
            <w:tcBorders>
              <w:top w:val="single" w:sz="4" w:space="0" w:color="auto"/>
            </w:tcBorders>
            <w:shd w:val="clear" w:color="auto" w:fill="auto"/>
            <w:tcMar>
              <w:left w:w="29" w:type="dxa"/>
              <w:right w:w="29" w:type="dxa"/>
            </w:tcMar>
            <w:vAlign w:val="center"/>
          </w:tcPr>
          <w:p w:rsidR="00795CC2" w:rsidRPr="005F4441" w:rsidP="005F4441" w14:paraId="0A32FD1C" w14:textId="5A75568D">
            <w:pPr>
              <w:jc w:val="center"/>
              <w:rPr>
                <w:rFonts w:ascii="Arial" w:eastAsia="Calibri" w:hAnsi="Arial" w:cs="Arial"/>
                <w:sz w:val="20"/>
                <w:szCs w:val="20"/>
              </w:rPr>
            </w:pPr>
            <w:r w:rsidRPr="005F4441">
              <w:rPr>
                <w:rFonts w:ascii="Arial" w:eastAsia="Calibri" w:hAnsi="Arial" w:cs="Arial"/>
                <w:sz w:val="20"/>
                <w:szCs w:val="20"/>
              </w:rPr>
              <w:t>160</w:t>
            </w:r>
          </w:p>
        </w:tc>
        <w:tc>
          <w:tcPr>
            <w:tcW w:w="1461" w:type="dxa"/>
            <w:tcBorders>
              <w:top w:val="single" w:sz="4" w:space="0" w:color="auto"/>
              <w:bottom w:val="single" w:sz="2" w:space="0" w:color="auto"/>
            </w:tcBorders>
            <w:shd w:val="clear" w:color="auto" w:fill="auto"/>
            <w:tcMar>
              <w:left w:w="29" w:type="dxa"/>
              <w:right w:w="29" w:type="dxa"/>
            </w:tcMar>
            <w:vAlign w:val="center"/>
          </w:tcPr>
          <w:p w:rsidR="00795CC2" w:rsidRPr="005F4441" w:rsidP="005F4441" w14:paraId="0A32FD1D" w14:textId="36E6DA7E">
            <w:pPr>
              <w:jc w:val="center"/>
              <w:rPr>
                <w:rFonts w:ascii="Arial" w:eastAsia="Calibri" w:hAnsi="Arial" w:cs="Arial"/>
                <w:sz w:val="20"/>
                <w:szCs w:val="20"/>
              </w:rPr>
            </w:pPr>
            <w:r w:rsidRPr="005F4441">
              <w:rPr>
                <w:rFonts w:ascii="Arial" w:eastAsia="Calibri" w:hAnsi="Arial" w:cs="Arial"/>
                <w:sz w:val="20"/>
                <w:szCs w:val="20"/>
              </w:rPr>
              <w:t>$601.96</w:t>
            </w:r>
          </w:p>
        </w:tc>
      </w:tr>
      <w:tr w14:paraId="0A32FD25" w14:textId="77777777" w:rsidTr="00375CFF">
        <w:tblPrEx>
          <w:tblW w:w="8635" w:type="dxa"/>
          <w:jc w:val="center"/>
          <w:tblLayout w:type="fixed"/>
          <w:tblLook w:val="04A0"/>
        </w:tblPrEx>
        <w:trPr>
          <w:trHeight w:val="576"/>
          <w:jc w:val="center"/>
        </w:trPr>
        <w:tc>
          <w:tcPr>
            <w:tcW w:w="1705" w:type="dxa"/>
            <w:tcBorders>
              <w:top w:val="single" w:sz="4" w:space="0" w:color="auto"/>
              <w:bottom w:val="single" w:sz="4" w:space="0" w:color="auto"/>
            </w:tcBorders>
            <w:shd w:val="clear" w:color="auto" w:fill="auto"/>
            <w:vAlign w:val="center"/>
          </w:tcPr>
          <w:p w:rsidR="00795CC2" w:rsidRPr="005F4441" w:rsidP="005F4441" w14:paraId="0A32FD1F" w14:textId="77777777">
            <w:pPr>
              <w:jc w:val="center"/>
              <w:rPr>
                <w:rFonts w:ascii="Arial" w:eastAsia="Calibri" w:hAnsi="Arial" w:cs="Arial"/>
                <w:sz w:val="20"/>
                <w:szCs w:val="20"/>
              </w:rPr>
            </w:pPr>
            <w:r w:rsidRPr="005F4441">
              <w:rPr>
                <w:rFonts w:ascii="Arial" w:eastAsia="Calibri" w:hAnsi="Arial" w:cs="Arial"/>
                <w:sz w:val="20"/>
                <w:szCs w:val="20"/>
              </w:rPr>
              <w:t>GS–12, Step 5, Specialist</w:t>
            </w:r>
          </w:p>
        </w:tc>
        <w:tc>
          <w:tcPr>
            <w:tcW w:w="1440" w:type="dxa"/>
            <w:tcBorders>
              <w:top w:val="single" w:sz="4" w:space="0" w:color="auto"/>
              <w:bottom w:val="single" w:sz="4" w:space="0" w:color="auto"/>
            </w:tcBorders>
            <w:shd w:val="clear" w:color="auto" w:fill="auto"/>
            <w:tcMar>
              <w:left w:w="29" w:type="dxa"/>
              <w:right w:w="29" w:type="dxa"/>
            </w:tcMar>
            <w:vAlign w:val="center"/>
          </w:tcPr>
          <w:p w:rsidR="00795CC2" w:rsidRPr="005F4441" w:rsidP="005F4441" w14:paraId="0A32FD20" w14:textId="11E0366D">
            <w:pPr>
              <w:jc w:val="center"/>
              <w:rPr>
                <w:rFonts w:ascii="Arial" w:eastAsia="Calibri" w:hAnsi="Arial" w:cs="Arial"/>
                <w:sz w:val="20"/>
                <w:szCs w:val="20"/>
              </w:rPr>
            </w:pPr>
            <w:r w:rsidRPr="005F4441">
              <w:rPr>
                <w:rFonts w:ascii="Arial" w:eastAsia="Calibri" w:hAnsi="Arial" w:cs="Arial"/>
                <w:sz w:val="20"/>
                <w:szCs w:val="20"/>
              </w:rPr>
              <w:t>$82.53</w:t>
            </w:r>
          </w:p>
        </w:tc>
        <w:tc>
          <w:tcPr>
            <w:tcW w:w="1350" w:type="dxa"/>
            <w:tcBorders>
              <w:top w:val="single" w:sz="4" w:space="0" w:color="auto"/>
              <w:bottom w:val="single" w:sz="4" w:space="0" w:color="auto"/>
            </w:tcBorders>
            <w:shd w:val="clear" w:color="auto" w:fill="auto"/>
            <w:tcMar>
              <w:left w:w="29" w:type="dxa"/>
              <w:right w:w="29" w:type="dxa"/>
            </w:tcMar>
            <w:vAlign w:val="center"/>
          </w:tcPr>
          <w:p w:rsidR="00795CC2" w:rsidRPr="005F4441" w:rsidP="005F4441" w14:paraId="0A32FD21" w14:textId="77777777">
            <w:pPr>
              <w:jc w:val="center"/>
              <w:rPr>
                <w:rFonts w:ascii="Arial" w:eastAsia="Calibri" w:hAnsi="Arial" w:cs="Arial"/>
                <w:sz w:val="20"/>
                <w:szCs w:val="20"/>
              </w:rPr>
            </w:pPr>
            <w:r w:rsidRPr="005F4441">
              <w:rPr>
                <w:rFonts w:ascii="Arial" w:eastAsia="Calibri" w:hAnsi="Arial" w:cs="Arial"/>
                <w:sz w:val="20"/>
                <w:szCs w:val="20"/>
              </w:rPr>
              <w:t>24 minutes</w:t>
            </w:r>
          </w:p>
        </w:tc>
        <w:tc>
          <w:tcPr>
            <w:tcW w:w="1458" w:type="dxa"/>
            <w:tcBorders>
              <w:top w:val="single" w:sz="4" w:space="0" w:color="auto"/>
              <w:bottom w:val="single" w:sz="4" w:space="0" w:color="auto"/>
            </w:tcBorders>
            <w:shd w:val="clear" w:color="auto" w:fill="auto"/>
            <w:tcMar>
              <w:left w:w="29" w:type="dxa"/>
              <w:right w:w="29" w:type="dxa"/>
            </w:tcMar>
            <w:vAlign w:val="center"/>
          </w:tcPr>
          <w:p w:rsidR="00795CC2" w:rsidRPr="005F4441" w:rsidP="005F4441" w14:paraId="0A32FD22" w14:textId="2CD53A11">
            <w:pPr>
              <w:jc w:val="center"/>
              <w:rPr>
                <w:rFonts w:ascii="Arial" w:eastAsia="Calibri" w:hAnsi="Arial" w:cs="Arial"/>
                <w:sz w:val="20"/>
                <w:szCs w:val="20"/>
              </w:rPr>
            </w:pPr>
            <w:r w:rsidRPr="005F4441">
              <w:rPr>
                <w:rFonts w:ascii="Arial" w:eastAsia="Calibri" w:hAnsi="Arial" w:cs="Arial"/>
                <w:sz w:val="20"/>
                <w:szCs w:val="20"/>
              </w:rPr>
              <w:t>$33.01</w:t>
            </w:r>
          </w:p>
        </w:tc>
        <w:tc>
          <w:tcPr>
            <w:tcW w:w="1221" w:type="dxa"/>
            <w:vMerge/>
            <w:tcBorders>
              <w:bottom w:val="single" w:sz="4" w:space="0" w:color="auto"/>
            </w:tcBorders>
            <w:shd w:val="clear" w:color="auto" w:fill="auto"/>
            <w:tcMar>
              <w:left w:w="29" w:type="dxa"/>
              <w:right w:w="29" w:type="dxa"/>
            </w:tcMar>
            <w:vAlign w:val="center"/>
          </w:tcPr>
          <w:p w:rsidR="00795CC2" w:rsidRPr="005F4441" w:rsidP="005F4441" w14:paraId="0A32FD23" w14:textId="77777777">
            <w:pPr>
              <w:jc w:val="center"/>
              <w:rPr>
                <w:rFonts w:ascii="Arial" w:eastAsia="Calibri" w:hAnsi="Arial" w:cs="Arial"/>
                <w:sz w:val="20"/>
                <w:szCs w:val="20"/>
              </w:rPr>
            </w:pPr>
          </w:p>
        </w:tc>
        <w:tc>
          <w:tcPr>
            <w:tcW w:w="1461" w:type="dxa"/>
            <w:tcBorders>
              <w:top w:val="single" w:sz="4" w:space="0" w:color="auto"/>
              <w:bottom w:val="single" w:sz="4" w:space="0" w:color="auto"/>
            </w:tcBorders>
            <w:shd w:val="clear" w:color="auto" w:fill="auto"/>
            <w:tcMar>
              <w:left w:w="29" w:type="dxa"/>
              <w:right w:w="29" w:type="dxa"/>
            </w:tcMar>
            <w:vAlign w:val="center"/>
          </w:tcPr>
          <w:p w:rsidR="00795CC2" w:rsidRPr="005F4441" w:rsidP="005F4441" w14:paraId="0A32FD24" w14:textId="4E3430A4">
            <w:pPr>
              <w:jc w:val="center"/>
              <w:rPr>
                <w:rFonts w:ascii="Arial" w:eastAsia="Calibri" w:hAnsi="Arial" w:cs="Arial"/>
                <w:sz w:val="20"/>
                <w:szCs w:val="20"/>
              </w:rPr>
            </w:pPr>
            <w:r w:rsidRPr="005F4441">
              <w:rPr>
                <w:rFonts w:ascii="Arial" w:eastAsia="Calibri" w:hAnsi="Arial" w:cs="Arial"/>
                <w:sz w:val="20"/>
                <w:szCs w:val="20"/>
              </w:rPr>
              <w:t>$5,281.92</w:t>
            </w:r>
          </w:p>
        </w:tc>
      </w:tr>
      <w:tr w14:paraId="0A32FD2C" w14:textId="77777777" w:rsidTr="00795CC2">
        <w:tblPrEx>
          <w:tblW w:w="8635" w:type="dxa"/>
          <w:jc w:val="center"/>
          <w:tblLayout w:type="fixed"/>
          <w:tblLook w:val="04A0"/>
        </w:tblPrEx>
        <w:trPr>
          <w:trHeight w:val="576"/>
          <w:jc w:val="center"/>
        </w:trPr>
        <w:tc>
          <w:tcPr>
            <w:tcW w:w="1705" w:type="dxa"/>
            <w:tcBorders>
              <w:top w:val="single" w:sz="4" w:space="0" w:color="auto"/>
              <w:bottom w:val="single" w:sz="2" w:space="0" w:color="auto"/>
            </w:tcBorders>
            <w:shd w:val="clear" w:color="auto" w:fill="auto"/>
            <w:vAlign w:val="center"/>
          </w:tcPr>
          <w:p w:rsidR="00795CC2" w:rsidRPr="005F4441" w:rsidP="005F4441" w14:paraId="0A32FD26" w14:textId="77777777">
            <w:pPr>
              <w:jc w:val="center"/>
              <w:rPr>
                <w:rFonts w:ascii="Arial" w:eastAsia="Calibri" w:hAnsi="Arial" w:cs="Arial"/>
                <w:b/>
                <w:sz w:val="20"/>
                <w:szCs w:val="20"/>
              </w:rPr>
            </w:pPr>
            <w:r w:rsidRPr="005F4441">
              <w:rPr>
                <w:rFonts w:ascii="Arial" w:eastAsia="Calibri" w:hAnsi="Arial" w:cs="Arial"/>
                <w:b/>
                <w:sz w:val="20"/>
                <w:szCs w:val="20"/>
              </w:rPr>
              <w:t>TOTALS</w:t>
            </w:r>
          </w:p>
        </w:tc>
        <w:tc>
          <w:tcPr>
            <w:tcW w:w="1440" w:type="dxa"/>
            <w:tcBorders>
              <w:top w:val="single" w:sz="4" w:space="0" w:color="auto"/>
              <w:bottom w:val="single" w:sz="2" w:space="0" w:color="auto"/>
            </w:tcBorders>
            <w:shd w:val="clear" w:color="auto" w:fill="auto"/>
            <w:tcMar>
              <w:left w:w="29" w:type="dxa"/>
              <w:right w:w="29" w:type="dxa"/>
            </w:tcMar>
            <w:vAlign w:val="center"/>
          </w:tcPr>
          <w:p w:rsidR="00795CC2" w:rsidRPr="005F4441" w:rsidP="005F4441" w14:paraId="0A32FD27" w14:textId="587EACFC">
            <w:pPr>
              <w:jc w:val="center"/>
              <w:rPr>
                <w:rFonts w:ascii="Arial" w:eastAsia="Calibri" w:hAnsi="Arial" w:cs="Arial"/>
                <w:b/>
                <w:sz w:val="20"/>
                <w:szCs w:val="20"/>
              </w:rPr>
            </w:pPr>
            <w:r w:rsidRPr="005F4441">
              <w:rPr>
                <w:rFonts w:ascii="Arial" w:eastAsia="Calibri" w:hAnsi="Arial" w:cs="Arial"/>
                <w:b/>
                <w:sz w:val="20"/>
                <w:szCs w:val="20"/>
              </w:rPr>
              <w:t>($73.55)</w:t>
            </w:r>
          </w:p>
        </w:tc>
        <w:tc>
          <w:tcPr>
            <w:tcW w:w="1350" w:type="dxa"/>
            <w:tcBorders>
              <w:top w:val="single" w:sz="4" w:space="0" w:color="auto"/>
              <w:bottom w:val="single" w:sz="2" w:space="0" w:color="auto"/>
            </w:tcBorders>
            <w:shd w:val="clear" w:color="auto" w:fill="auto"/>
            <w:tcMar>
              <w:left w:w="29" w:type="dxa"/>
              <w:right w:w="29" w:type="dxa"/>
            </w:tcMar>
            <w:vAlign w:val="center"/>
          </w:tcPr>
          <w:p w:rsidR="00795CC2" w:rsidRPr="005F4441" w:rsidP="005F4441" w14:paraId="0A32FD28" w14:textId="77777777">
            <w:pPr>
              <w:jc w:val="center"/>
              <w:rPr>
                <w:rFonts w:ascii="Arial" w:eastAsia="Calibri" w:hAnsi="Arial" w:cs="Arial"/>
                <w:b/>
                <w:sz w:val="20"/>
                <w:szCs w:val="20"/>
              </w:rPr>
            </w:pPr>
            <w:r w:rsidRPr="005F4441">
              <w:rPr>
                <w:rFonts w:ascii="Arial" w:eastAsia="Calibri" w:hAnsi="Arial" w:cs="Arial"/>
                <w:b/>
                <w:sz w:val="20"/>
                <w:szCs w:val="20"/>
              </w:rPr>
              <w:t>30 minutes</w:t>
            </w:r>
          </w:p>
        </w:tc>
        <w:tc>
          <w:tcPr>
            <w:tcW w:w="1458" w:type="dxa"/>
            <w:tcBorders>
              <w:top w:val="single" w:sz="4" w:space="0" w:color="auto"/>
              <w:bottom w:val="single" w:sz="2" w:space="0" w:color="auto"/>
            </w:tcBorders>
            <w:shd w:val="clear" w:color="auto" w:fill="auto"/>
            <w:tcMar>
              <w:left w:w="29" w:type="dxa"/>
              <w:right w:w="29" w:type="dxa"/>
            </w:tcMar>
            <w:vAlign w:val="center"/>
          </w:tcPr>
          <w:p w:rsidR="00795CC2" w:rsidRPr="005F4441" w:rsidP="005F4441" w14:paraId="0A32FD29" w14:textId="59FEFE7B">
            <w:pPr>
              <w:jc w:val="center"/>
              <w:rPr>
                <w:rFonts w:ascii="Arial" w:eastAsia="Calibri" w:hAnsi="Arial" w:cs="Arial"/>
                <w:b/>
                <w:sz w:val="20"/>
                <w:szCs w:val="20"/>
              </w:rPr>
            </w:pPr>
            <w:r w:rsidRPr="005F4441">
              <w:rPr>
                <w:rFonts w:ascii="Arial" w:eastAsia="Calibri" w:hAnsi="Arial" w:cs="Arial"/>
                <w:b/>
                <w:sz w:val="20"/>
                <w:szCs w:val="20"/>
              </w:rPr>
              <w:t>$36.77</w:t>
            </w:r>
          </w:p>
        </w:tc>
        <w:tc>
          <w:tcPr>
            <w:tcW w:w="1221" w:type="dxa"/>
            <w:tcBorders>
              <w:top w:val="single" w:sz="4" w:space="0" w:color="auto"/>
              <w:bottom w:val="single" w:sz="2" w:space="0" w:color="auto"/>
            </w:tcBorders>
            <w:shd w:val="clear" w:color="auto" w:fill="auto"/>
            <w:tcMar>
              <w:left w:w="29" w:type="dxa"/>
              <w:right w:w="29" w:type="dxa"/>
            </w:tcMar>
            <w:vAlign w:val="center"/>
          </w:tcPr>
          <w:p w:rsidR="00795CC2" w:rsidRPr="005F4441" w:rsidP="005F4441" w14:paraId="0A32FD2A" w14:textId="341E578D">
            <w:pPr>
              <w:jc w:val="center"/>
              <w:rPr>
                <w:rFonts w:ascii="Arial" w:eastAsia="Calibri" w:hAnsi="Arial" w:cs="Arial"/>
                <w:b/>
                <w:sz w:val="20"/>
                <w:szCs w:val="20"/>
              </w:rPr>
            </w:pPr>
            <w:r w:rsidRPr="005F4441">
              <w:rPr>
                <w:rFonts w:ascii="Arial" w:eastAsia="Calibri" w:hAnsi="Arial" w:cs="Arial"/>
                <w:b/>
                <w:sz w:val="20"/>
                <w:szCs w:val="20"/>
              </w:rPr>
              <w:t>160</w:t>
            </w:r>
          </w:p>
        </w:tc>
        <w:tc>
          <w:tcPr>
            <w:tcW w:w="1461" w:type="dxa"/>
            <w:tcBorders>
              <w:top w:val="single" w:sz="4" w:space="0" w:color="auto"/>
              <w:bottom w:val="single" w:sz="2" w:space="0" w:color="auto"/>
            </w:tcBorders>
            <w:shd w:val="clear" w:color="auto" w:fill="auto"/>
            <w:tcMar>
              <w:left w:w="29" w:type="dxa"/>
              <w:right w:w="29" w:type="dxa"/>
            </w:tcMar>
            <w:vAlign w:val="center"/>
          </w:tcPr>
          <w:p w:rsidR="00795CC2" w:rsidRPr="005F4441" w:rsidP="005F4441" w14:paraId="0A32FD2B" w14:textId="18193CA5">
            <w:pPr>
              <w:jc w:val="center"/>
              <w:rPr>
                <w:rFonts w:ascii="Arial" w:eastAsia="Calibri" w:hAnsi="Arial" w:cs="Arial"/>
                <w:b/>
                <w:sz w:val="20"/>
                <w:szCs w:val="20"/>
              </w:rPr>
            </w:pPr>
            <w:r w:rsidRPr="005F4441">
              <w:rPr>
                <w:rFonts w:ascii="Arial" w:eastAsia="Calibri" w:hAnsi="Arial" w:cs="Arial"/>
                <w:b/>
                <w:sz w:val="20"/>
                <w:szCs w:val="20"/>
              </w:rPr>
              <w:t>$5,883.88</w:t>
            </w:r>
          </w:p>
        </w:tc>
      </w:tr>
    </w:tbl>
    <w:p w:rsidR="0098214A" w:rsidRPr="005F4441" w:rsidP="005F4441" w14:paraId="0A32FD2E" w14:textId="781F3125">
      <w:pPr>
        <w:ind w:left="360" w:firstLine="360"/>
        <w:rPr>
          <w:rFonts w:ascii="Arial" w:hAnsi="Arial" w:cs="Arial"/>
          <w:sz w:val="20"/>
          <w:szCs w:val="20"/>
        </w:rPr>
      </w:pPr>
      <w:r w:rsidRPr="005F4441">
        <w:rPr>
          <w:rFonts w:ascii="Arial" w:hAnsi="Arial" w:cs="Arial"/>
          <w:sz w:val="22"/>
          <w:szCs w:val="22"/>
        </w:rPr>
        <w:t xml:space="preserve">* </w:t>
      </w:r>
      <w:r w:rsidRPr="005F4441">
        <w:rPr>
          <w:rFonts w:ascii="Arial" w:hAnsi="Arial" w:cs="Arial"/>
          <w:sz w:val="18"/>
          <w:szCs w:val="18"/>
        </w:rPr>
        <w:t xml:space="preserve">Fully-loaded labor rates </w:t>
      </w:r>
      <w:r w:rsidRPr="005F4441" w:rsidR="005F4441">
        <w:rPr>
          <w:rFonts w:ascii="Arial" w:hAnsi="Arial" w:cs="Arial"/>
          <w:sz w:val="18"/>
          <w:szCs w:val="18"/>
        </w:rPr>
        <w:t xml:space="preserve">are </w:t>
      </w:r>
      <w:r w:rsidRPr="005F4441" w:rsidR="005F4441">
        <w:rPr>
          <w:rFonts w:ascii="Arial" w:hAnsi="Arial" w:cs="Arial"/>
          <w:sz w:val="20"/>
          <w:szCs w:val="20"/>
        </w:rPr>
        <w:t>r</w:t>
      </w:r>
      <w:r w:rsidRPr="005F4441">
        <w:rPr>
          <w:rFonts w:ascii="Arial" w:hAnsi="Arial" w:cs="Arial"/>
          <w:sz w:val="20"/>
          <w:szCs w:val="20"/>
        </w:rPr>
        <w:t xml:space="preserve">ounded to the nearest whole cent. </w:t>
      </w:r>
    </w:p>
    <w:p w:rsidR="00D6325C" w:rsidRPr="005F4441" w:rsidP="005F4441" w14:paraId="0A32FD2F" w14:textId="77777777">
      <w:pPr>
        <w:rPr>
          <w:rFonts w:ascii="Arial" w:hAnsi="Arial" w:cs="Arial"/>
          <w:sz w:val="28"/>
          <w:szCs w:val="28"/>
        </w:rPr>
      </w:pPr>
    </w:p>
    <w:p w:rsidR="00AF1157" w:rsidRPr="005F4441" w:rsidP="005F4441" w14:paraId="0A32FD31" w14:textId="77777777">
      <w:pPr>
        <w:rPr>
          <w:rFonts w:ascii="Arial" w:hAnsi="Arial" w:cs="Arial"/>
          <w:i/>
          <w:sz w:val="22"/>
          <w:szCs w:val="22"/>
        </w:rPr>
      </w:pPr>
      <w:r w:rsidRPr="005F4441">
        <w:rPr>
          <w:rFonts w:ascii="Arial" w:hAnsi="Arial" w:cs="Arial"/>
          <w:i/>
          <w:sz w:val="22"/>
          <w:szCs w:val="22"/>
        </w:rPr>
        <w:t xml:space="preserve">15.  What is the reason for any program changes or adjustments reported? </w:t>
      </w:r>
    </w:p>
    <w:p w:rsidR="00AF1157" w:rsidRPr="005F4441" w:rsidP="005F4441" w14:paraId="0A32FD32" w14:textId="77777777">
      <w:pPr>
        <w:rPr>
          <w:rFonts w:ascii="Arial" w:hAnsi="Arial" w:cs="Arial"/>
          <w:sz w:val="22"/>
          <w:szCs w:val="22"/>
        </w:rPr>
      </w:pPr>
    </w:p>
    <w:p w:rsidR="000C3650" w:rsidRPr="005F4441" w:rsidP="005F4441" w14:paraId="75287CF9" w14:textId="6033FEB4">
      <w:pPr>
        <w:ind w:left="360"/>
        <w:rPr>
          <w:rFonts w:ascii="Arial" w:hAnsi="Arial" w:cs="Arial"/>
          <w:sz w:val="22"/>
          <w:szCs w:val="22"/>
        </w:rPr>
      </w:pPr>
      <w:r w:rsidRPr="005F4441">
        <w:rPr>
          <w:rFonts w:ascii="Arial" w:hAnsi="Arial" w:cs="Arial"/>
          <w:sz w:val="22"/>
          <w:szCs w:val="22"/>
        </w:rPr>
        <w:t xml:space="preserve">There are no program changes associated with this </w:t>
      </w:r>
      <w:r w:rsidRPr="005F4441" w:rsidR="00813B3F">
        <w:rPr>
          <w:rFonts w:ascii="Arial" w:hAnsi="Arial" w:cs="Arial"/>
          <w:sz w:val="22"/>
          <w:szCs w:val="22"/>
        </w:rPr>
        <w:t xml:space="preserve">information </w:t>
      </w:r>
      <w:r w:rsidRPr="005F4441">
        <w:rPr>
          <w:rFonts w:ascii="Arial" w:hAnsi="Arial" w:cs="Arial"/>
          <w:sz w:val="22"/>
          <w:szCs w:val="22"/>
        </w:rPr>
        <w:t>collection</w:t>
      </w:r>
      <w:r w:rsidRPr="005F4441" w:rsidR="00EB7733">
        <w:rPr>
          <w:rFonts w:ascii="Arial" w:hAnsi="Arial" w:cs="Arial"/>
          <w:sz w:val="22"/>
          <w:szCs w:val="22"/>
        </w:rPr>
        <w:t xml:space="preserve"> at this time, and TTB is submitting for extension purposes only. </w:t>
      </w:r>
      <w:r w:rsidRPr="005F4441" w:rsidR="0035174C">
        <w:rPr>
          <w:rFonts w:ascii="Arial" w:hAnsi="Arial" w:cs="Arial"/>
          <w:sz w:val="22"/>
          <w:szCs w:val="22"/>
        </w:rPr>
        <w:t xml:space="preserve"> </w:t>
      </w:r>
      <w:r w:rsidRPr="005F4441" w:rsidR="0098214A">
        <w:rPr>
          <w:rFonts w:ascii="Arial" w:hAnsi="Arial" w:cs="Arial"/>
          <w:sz w:val="22"/>
          <w:szCs w:val="22"/>
        </w:rPr>
        <w:t>As for adjustments, due to changes in agency estimates</w:t>
      </w:r>
      <w:r w:rsidRPr="005F4441" w:rsidR="00F13050">
        <w:rPr>
          <w:rFonts w:ascii="Arial" w:hAnsi="Arial" w:cs="Arial"/>
          <w:sz w:val="22"/>
          <w:szCs w:val="22"/>
        </w:rPr>
        <w:t>, T</w:t>
      </w:r>
      <w:r w:rsidRPr="005F4441" w:rsidR="0098214A">
        <w:rPr>
          <w:rFonts w:ascii="Arial" w:hAnsi="Arial" w:cs="Arial"/>
          <w:sz w:val="22"/>
          <w:szCs w:val="22"/>
        </w:rPr>
        <w:t xml:space="preserve">TB is increasing the estimated </w:t>
      </w:r>
      <w:r w:rsidRPr="005F4441" w:rsidR="00796400">
        <w:rPr>
          <w:rFonts w:ascii="Arial" w:hAnsi="Arial" w:cs="Arial"/>
          <w:sz w:val="22"/>
          <w:szCs w:val="22"/>
        </w:rPr>
        <w:t xml:space="preserve">number of </w:t>
      </w:r>
      <w:r w:rsidRPr="005F4441" w:rsidR="0098214A">
        <w:rPr>
          <w:rFonts w:ascii="Arial" w:hAnsi="Arial" w:cs="Arial"/>
          <w:sz w:val="22"/>
          <w:szCs w:val="22"/>
        </w:rPr>
        <w:t xml:space="preserve">annual </w:t>
      </w:r>
      <w:r w:rsidRPr="005F4441" w:rsidR="00796400">
        <w:rPr>
          <w:rFonts w:ascii="Arial" w:hAnsi="Arial" w:cs="Arial"/>
          <w:sz w:val="22"/>
          <w:szCs w:val="22"/>
        </w:rPr>
        <w:t xml:space="preserve">respondents to this </w:t>
      </w:r>
      <w:r w:rsidRPr="005F4441" w:rsidR="00796400">
        <w:rPr>
          <w:rFonts w:ascii="Arial" w:hAnsi="Arial" w:cs="Arial"/>
          <w:sz w:val="22"/>
          <w:szCs w:val="22"/>
        </w:rPr>
        <w:t>info</w:t>
      </w:r>
      <w:r w:rsidRPr="005F4441" w:rsidR="00556132">
        <w:rPr>
          <w:rFonts w:ascii="Arial" w:hAnsi="Arial" w:cs="Arial"/>
          <w:sz w:val="22"/>
          <w:szCs w:val="22"/>
        </w:rPr>
        <w:t xml:space="preserve">rmation collection, from </w:t>
      </w:r>
      <w:r w:rsidRPr="005F4441" w:rsidR="005F4441">
        <w:rPr>
          <w:rFonts w:ascii="Arial" w:hAnsi="Arial" w:cs="Arial"/>
          <w:sz w:val="22"/>
          <w:szCs w:val="22"/>
        </w:rPr>
        <w:t>20</w:t>
      </w:r>
      <w:r w:rsidRPr="005F4441" w:rsidR="00556132">
        <w:rPr>
          <w:rFonts w:ascii="Arial" w:hAnsi="Arial" w:cs="Arial"/>
          <w:sz w:val="22"/>
          <w:szCs w:val="22"/>
        </w:rPr>
        <w:t xml:space="preserve"> to </w:t>
      </w:r>
      <w:r w:rsidRPr="005F4441" w:rsidR="005F4441">
        <w:rPr>
          <w:rFonts w:ascii="Arial" w:hAnsi="Arial" w:cs="Arial"/>
          <w:sz w:val="22"/>
          <w:szCs w:val="22"/>
        </w:rPr>
        <w:t>40</w:t>
      </w:r>
      <w:r w:rsidRPr="005F4441" w:rsidR="006F689F">
        <w:rPr>
          <w:rFonts w:ascii="Arial" w:hAnsi="Arial" w:cs="Arial"/>
          <w:sz w:val="22"/>
          <w:szCs w:val="22"/>
        </w:rPr>
        <w:t>, resulting in an increase of the total number of annual responses, fro</w:t>
      </w:r>
      <w:r w:rsidRPr="005F4441" w:rsidR="005F4441">
        <w:rPr>
          <w:rFonts w:ascii="Arial" w:hAnsi="Arial" w:cs="Arial"/>
          <w:sz w:val="22"/>
          <w:szCs w:val="22"/>
        </w:rPr>
        <w:t>m 80 to 160.  T</w:t>
      </w:r>
      <w:r w:rsidRPr="005F4441" w:rsidR="006F689F">
        <w:rPr>
          <w:rFonts w:ascii="Arial" w:hAnsi="Arial" w:cs="Arial"/>
          <w:sz w:val="22"/>
          <w:szCs w:val="22"/>
        </w:rPr>
        <w:t xml:space="preserve">he </w:t>
      </w:r>
      <w:r w:rsidRPr="005F4441" w:rsidR="005F4441">
        <w:rPr>
          <w:rFonts w:ascii="Arial" w:hAnsi="Arial" w:cs="Arial"/>
          <w:sz w:val="22"/>
          <w:szCs w:val="22"/>
        </w:rPr>
        <w:t xml:space="preserve">estimated </w:t>
      </w:r>
      <w:r w:rsidRPr="005F4441" w:rsidR="006F689F">
        <w:rPr>
          <w:rFonts w:ascii="Arial" w:hAnsi="Arial" w:cs="Arial"/>
          <w:sz w:val="22"/>
          <w:szCs w:val="22"/>
        </w:rPr>
        <w:t xml:space="preserve">number of responses-per-respondent remains </w:t>
      </w:r>
      <w:r w:rsidRPr="005F4441" w:rsidR="005F4441">
        <w:rPr>
          <w:rFonts w:ascii="Arial" w:hAnsi="Arial" w:cs="Arial"/>
          <w:sz w:val="22"/>
          <w:szCs w:val="22"/>
        </w:rPr>
        <w:t xml:space="preserve">four per year. </w:t>
      </w:r>
    </w:p>
    <w:p w:rsidR="00556132" w:rsidRPr="005F4441" w:rsidP="005F4441" w14:paraId="0A32FD34" w14:textId="77777777">
      <w:pPr>
        <w:rPr>
          <w:rFonts w:ascii="Arial" w:hAnsi="Arial" w:cs="Arial"/>
          <w:sz w:val="28"/>
          <w:szCs w:val="28"/>
        </w:rPr>
      </w:pPr>
    </w:p>
    <w:p w:rsidR="00AF1157" w:rsidRPr="005F4441" w:rsidP="005F4441" w14:paraId="0A32FD35" w14:textId="77777777">
      <w:pPr>
        <w:rPr>
          <w:rFonts w:ascii="Arial" w:hAnsi="Arial" w:cs="Arial"/>
          <w:i/>
          <w:sz w:val="22"/>
          <w:szCs w:val="22"/>
        </w:rPr>
      </w:pPr>
      <w:r w:rsidRPr="005F4441">
        <w:rPr>
          <w:rFonts w:ascii="Arial" w:hAnsi="Arial" w:cs="Arial"/>
          <w:i/>
          <w:sz w:val="22"/>
          <w:szCs w:val="22"/>
        </w:rPr>
        <w:t xml:space="preserve">16.  Outline plans for tabulation and publication for collections of information whose results will be published. </w:t>
      </w:r>
    </w:p>
    <w:p w:rsidR="00AF1157" w:rsidRPr="005F4441" w:rsidP="005F4441" w14:paraId="0A32FD36" w14:textId="77777777">
      <w:pPr>
        <w:ind w:left="480" w:hanging="480"/>
        <w:rPr>
          <w:rFonts w:ascii="Arial" w:hAnsi="Arial" w:cs="Arial"/>
          <w:sz w:val="22"/>
          <w:szCs w:val="22"/>
        </w:rPr>
      </w:pPr>
    </w:p>
    <w:p w:rsidR="00AF1157" w:rsidRPr="005F4441" w:rsidP="005F4441" w14:paraId="0A32FD37" w14:textId="77777777">
      <w:pPr>
        <w:ind w:left="360"/>
        <w:rPr>
          <w:rFonts w:ascii="Arial" w:hAnsi="Arial" w:cs="Arial"/>
          <w:sz w:val="22"/>
          <w:szCs w:val="22"/>
        </w:rPr>
      </w:pPr>
      <w:r w:rsidRPr="005F4441">
        <w:rPr>
          <w:rFonts w:ascii="Arial" w:hAnsi="Arial" w:cs="Arial"/>
          <w:sz w:val="22"/>
          <w:szCs w:val="22"/>
        </w:rPr>
        <w:t xml:space="preserve">TTB will not publish the results of this </w:t>
      </w:r>
      <w:r w:rsidRPr="005F4441" w:rsidR="00813B3F">
        <w:rPr>
          <w:rFonts w:ascii="Arial" w:hAnsi="Arial" w:cs="Arial"/>
          <w:sz w:val="22"/>
          <w:szCs w:val="22"/>
        </w:rPr>
        <w:t xml:space="preserve">information </w:t>
      </w:r>
      <w:r w:rsidRPr="005F4441">
        <w:rPr>
          <w:rFonts w:ascii="Arial" w:hAnsi="Arial" w:cs="Arial"/>
          <w:sz w:val="22"/>
          <w:szCs w:val="22"/>
        </w:rPr>
        <w:t>collection.</w:t>
      </w:r>
      <w:r w:rsidRPr="005F4441" w:rsidR="00AF060A">
        <w:rPr>
          <w:rFonts w:ascii="Arial" w:hAnsi="Arial" w:cs="Arial"/>
          <w:sz w:val="22"/>
          <w:szCs w:val="22"/>
        </w:rPr>
        <w:t xml:space="preserve"> </w:t>
      </w:r>
    </w:p>
    <w:p w:rsidR="00AF1157" w:rsidRPr="005F4441" w:rsidP="005F4441" w14:paraId="0A32FD38" w14:textId="77777777">
      <w:pPr>
        <w:rPr>
          <w:rFonts w:ascii="Arial" w:hAnsi="Arial" w:cs="Arial"/>
          <w:sz w:val="28"/>
          <w:szCs w:val="28"/>
        </w:rPr>
      </w:pPr>
    </w:p>
    <w:p w:rsidR="00AF1157" w:rsidRPr="005F4441" w:rsidP="005F4441" w14:paraId="0A32FD39" w14:textId="77777777">
      <w:pPr>
        <w:rPr>
          <w:rFonts w:ascii="Arial" w:hAnsi="Arial" w:cs="Arial"/>
          <w:i/>
          <w:sz w:val="22"/>
          <w:szCs w:val="22"/>
        </w:rPr>
      </w:pPr>
      <w:r w:rsidRPr="005F4441">
        <w:rPr>
          <w:rFonts w:ascii="Arial" w:hAnsi="Arial" w:cs="Arial"/>
          <w:i/>
          <w:sz w:val="22"/>
          <w:szCs w:val="22"/>
        </w:rPr>
        <w:t>17.  If seeking approval to not display the expiration date for OMB approval of this information collection, what are the reasons that the display would be inappropriate?</w:t>
      </w:r>
      <w:r w:rsidRPr="005F4441" w:rsidR="004D086A">
        <w:rPr>
          <w:rFonts w:ascii="Arial" w:hAnsi="Arial" w:cs="Arial"/>
          <w:i/>
          <w:sz w:val="22"/>
          <w:szCs w:val="22"/>
        </w:rPr>
        <w:t xml:space="preserve"> </w:t>
      </w:r>
    </w:p>
    <w:p w:rsidR="00AF1157" w:rsidRPr="005F4441" w:rsidP="005F4441" w14:paraId="0A32FD3A" w14:textId="77777777">
      <w:pPr>
        <w:rPr>
          <w:rFonts w:ascii="Arial" w:hAnsi="Arial" w:cs="Arial"/>
          <w:i/>
          <w:sz w:val="22"/>
          <w:szCs w:val="22"/>
        </w:rPr>
      </w:pPr>
    </w:p>
    <w:p w:rsidR="00851169" w:rsidRPr="005F4441" w:rsidP="005F4441" w14:paraId="0A32FD3B" w14:textId="39A9361B">
      <w:pPr>
        <w:autoSpaceDE w:val="0"/>
        <w:autoSpaceDN w:val="0"/>
        <w:ind w:left="360"/>
        <w:rPr>
          <w:rFonts w:ascii="Arial" w:hAnsi="Arial" w:cs="Arial"/>
          <w:sz w:val="22"/>
          <w:szCs w:val="22"/>
        </w:rPr>
      </w:pPr>
      <w:r w:rsidRPr="005F4441">
        <w:rPr>
          <w:rFonts w:ascii="Arial" w:hAnsi="Arial" w:cs="Arial"/>
          <w:sz w:val="22"/>
          <w:szCs w:val="22"/>
        </w:rPr>
        <w:t>This information collection consists of letterhead notices generated by respondents</w:t>
      </w:r>
      <w:r w:rsidRPr="005F4441" w:rsidR="00212CC6">
        <w:rPr>
          <w:rFonts w:ascii="Arial" w:hAnsi="Arial" w:cs="Arial"/>
          <w:sz w:val="22"/>
          <w:szCs w:val="22"/>
        </w:rPr>
        <w:t>,</w:t>
      </w:r>
      <w:r w:rsidRPr="005F4441">
        <w:rPr>
          <w:rFonts w:ascii="Arial" w:hAnsi="Arial" w:cs="Arial"/>
          <w:sz w:val="22"/>
          <w:szCs w:val="22"/>
        </w:rPr>
        <w:t xml:space="preserve"> and </w:t>
      </w:r>
      <w:r w:rsidR="005F4441">
        <w:rPr>
          <w:rFonts w:ascii="Arial" w:hAnsi="Arial" w:cs="Arial"/>
          <w:sz w:val="22"/>
          <w:szCs w:val="22"/>
        </w:rPr>
        <w:t xml:space="preserve">certain </w:t>
      </w:r>
      <w:r w:rsidRPr="005F4441">
        <w:rPr>
          <w:rFonts w:ascii="Arial" w:hAnsi="Arial" w:cs="Arial"/>
          <w:sz w:val="22"/>
          <w:szCs w:val="22"/>
        </w:rPr>
        <w:t xml:space="preserve">records kept </w:t>
      </w:r>
      <w:r w:rsidRPr="005F4441" w:rsidR="005C207F">
        <w:rPr>
          <w:rFonts w:ascii="Arial" w:hAnsi="Arial" w:cs="Arial"/>
          <w:sz w:val="22"/>
          <w:szCs w:val="22"/>
        </w:rPr>
        <w:t xml:space="preserve">by respondents </w:t>
      </w:r>
      <w:r w:rsidRPr="005F4441">
        <w:rPr>
          <w:rFonts w:ascii="Arial" w:hAnsi="Arial" w:cs="Arial"/>
          <w:sz w:val="22"/>
          <w:szCs w:val="22"/>
        </w:rPr>
        <w:t xml:space="preserve">at </w:t>
      </w:r>
      <w:r w:rsidRPr="005F4441" w:rsidR="005C207F">
        <w:rPr>
          <w:rFonts w:ascii="Arial" w:hAnsi="Arial" w:cs="Arial"/>
          <w:sz w:val="22"/>
          <w:szCs w:val="22"/>
        </w:rPr>
        <w:t xml:space="preserve">their </w:t>
      </w:r>
      <w:r w:rsidR="005F4441">
        <w:rPr>
          <w:rFonts w:ascii="Arial" w:hAnsi="Arial" w:cs="Arial"/>
          <w:sz w:val="22"/>
          <w:szCs w:val="22"/>
        </w:rPr>
        <w:t xml:space="preserve">business </w:t>
      </w:r>
      <w:r w:rsidRPr="005F4441">
        <w:rPr>
          <w:rFonts w:ascii="Arial" w:hAnsi="Arial" w:cs="Arial"/>
          <w:sz w:val="22"/>
          <w:szCs w:val="22"/>
        </w:rPr>
        <w:t>premises.  As such, there is no medium for TTB to display the collection’s OMB approval expiration date.</w:t>
      </w:r>
      <w:r w:rsidRPr="005F4441" w:rsidR="000B6799">
        <w:rPr>
          <w:rFonts w:ascii="Arial" w:hAnsi="Arial" w:cs="Arial"/>
          <w:sz w:val="22"/>
          <w:szCs w:val="22"/>
        </w:rPr>
        <w:t xml:space="preserve"> </w:t>
      </w:r>
    </w:p>
    <w:p w:rsidR="00014CEB" w:rsidRPr="005F4441" w:rsidP="005F4441" w14:paraId="0A32FD3C" w14:textId="77777777">
      <w:pPr>
        <w:autoSpaceDE w:val="0"/>
        <w:autoSpaceDN w:val="0"/>
        <w:rPr>
          <w:rFonts w:ascii="Arial" w:hAnsi="Arial" w:cs="Arial"/>
          <w:sz w:val="28"/>
          <w:szCs w:val="28"/>
        </w:rPr>
      </w:pPr>
    </w:p>
    <w:p w:rsidR="00AF1157" w:rsidRPr="005F4441" w:rsidP="005F4441" w14:paraId="0A32FD3D" w14:textId="77777777">
      <w:pPr>
        <w:rPr>
          <w:rFonts w:ascii="Arial" w:hAnsi="Arial" w:cs="Arial"/>
          <w:i/>
          <w:sz w:val="22"/>
          <w:szCs w:val="22"/>
        </w:rPr>
      </w:pPr>
      <w:r w:rsidRPr="005F4441">
        <w:rPr>
          <w:rFonts w:ascii="Arial" w:hAnsi="Arial" w:cs="Arial"/>
          <w:i/>
          <w:sz w:val="22"/>
          <w:szCs w:val="22"/>
        </w:rPr>
        <w:t>18.  What are the exceptions to the certification statement?</w:t>
      </w:r>
      <w:r w:rsidRPr="005F4441" w:rsidR="00D56B01">
        <w:rPr>
          <w:rFonts w:ascii="Arial" w:hAnsi="Arial" w:cs="Arial"/>
          <w:i/>
          <w:sz w:val="22"/>
          <w:szCs w:val="22"/>
        </w:rPr>
        <w:t xml:space="preserve"> </w:t>
      </w:r>
    </w:p>
    <w:p w:rsidR="00AF1157" w:rsidRPr="005F4441" w:rsidP="005F4441" w14:paraId="0A32FD3E" w14:textId="77777777">
      <w:pPr>
        <w:ind w:left="360"/>
        <w:rPr>
          <w:rFonts w:ascii="Arial" w:hAnsi="Arial" w:cs="Arial"/>
          <w:sz w:val="22"/>
          <w:szCs w:val="22"/>
        </w:rPr>
      </w:pPr>
    </w:p>
    <w:p w:rsidR="00851169" w:rsidRPr="005F4441" w:rsidP="005F4441" w14:paraId="0A32FD3F" w14:textId="77777777">
      <w:pPr>
        <w:tabs>
          <w:tab w:val="left" w:pos="720"/>
        </w:tabs>
        <w:spacing w:after="120"/>
        <w:ind w:left="360"/>
        <w:rPr>
          <w:rFonts w:ascii="Arial" w:hAnsi="Arial" w:cs="Arial"/>
          <w:sz w:val="22"/>
          <w:szCs w:val="22"/>
        </w:rPr>
      </w:pPr>
      <w:r w:rsidRPr="005F4441">
        <w:rPr>
          <w:rFonts w:ascii="Arial" w:hAnsi="Arial" w:cs="Arial"/>
          <w:sz w:val="22"/>
          <w:szCs w:val="22"/>
        </w:rPr>
        <w:t>(c)</w:t>
      </w:r>
      <w:r w:rsidRPr="005F4441">
        <w:rPr>
          <w:rFonts w:ascii="Arial" w:hAnsi="Arial" w:cs="Arial"/>
          <w:sz w:val="22"/>
          <w:szCs w:val="22"/>
        </w:rPr>
        <w:tab/>
        <w:t xml:space="preserve">See item 5 above. </w:t>
      </w:r>
    </w:p>
    <w:p w:rsidR="00851169" w:rsidRPr="005F4441" w:rsidP="005F4441" w14:paraId="0A32FD40" w14:textId="77777777">
      <w:pPr>
        <w:tabs>
          <w:tab w:val="left" w:pos="720"/>
        </w:tabs>
        <w:spacing w:after="120"/>
        <w:ind w:left="360"/>
        <w:rPr>
          <w:rFonts w:ascii="Arial" w:hAnsi="Arial" w:cs="Arial"/>
          <w:sz w:val="22"/>
          <w:szCs w:val="22"/>
        </w:rPr>
      </w:pPr>
      <w:r w:rsidRPr="005F4441">
        <w:rPr>
          <w:rFonts w:ascii="Arial" w:hAnsi="Arial" w:cs="Arial"/>
          <w:sz w:val="22"/>
          <w:szCs w:val="22"/>
        </w:rPr>
        <w:t>(i)</w:t>
      </w:r>
      <w:r w:rsidRPr="005F4441">
        <w:rPr>
          <w:rFonts w:ascii="Arial" w:hAnsi="Arial" w:cs="Arial"/>
          <w:sz w:val="22"/>
          <w:szCs w:val="22"/>
        </w:rPr>
        <w:tab/>
        <w:t xml:space="preserve">No statistics are involved. </w:t>
      </w:r>
    </w:p>
    <w:p w:rsidR="00851169" w:rsidRPr="005F4441" w:rsidP="005F4441" w14:paraId="0A32FD41" w14:textId="77777777">
      <w:pPr>
        <w:tabs>
          <w:tab w:val="left" w:pos="720"/>
        </w:tabs>
        <w:ind w:left="360"/>
        <w:rPr>
          <w:rFonts w:ascii="Arial" w:hAnsi="Arial" w:cs="Arial"/>
          <w:sz w:val="22"/>
          <w:szCs w:val="22"/>
        </w:rPr>
      </w:pPr>
      <w:r w:rsidRPr="005F4441">
        <w:rPr>
          <w:rFonts w:ascii="Arial" w:hAnsi="Arial" w:cs="Arial"/>
          <w:sz w:val="22"/>
          <w:szCs w:val="22"/>
        </w:rPr>
        <w:t>(j)</w:t>
      </w:r>
      <w:r w:rsidRPr="005F4441">
        <w:rPr>
          <w:rFonts w:ascii="Arial" w:hAnsi="Arial" w:cs="Arial"/>
          <w:sz w:val="22"/>
          <w:szCs w:val="22"/>
        </w:rPr>
        <w:tab/>
        <w:t xml:space="preserve">See item 3 above. </w:t>
      </w:r>
    </w:p>
    <w:p w:rsidR="006B51C0" w:rsidRPr="005F4441" w:rsidP="005F4441" w14:paraId="0A32FD42" w14:textId="77777777">
      <w:pPr>
        <w:rPr>
          <w:rFonts w:ascii="Arial" w:hAnsi="Arial" w:cs="Arial"/>
          <w:sz w:val="28"/>
          <w:szCs w:val="28"/>
        </w:rPr>
      </w:pPr>
    </w:p>
    <w:p w:rsidR="006B51C0" w:rsidRPr="005F4441" w:rsidP="005F4441" w14:paraId="0A32FD43" w14:textId="77777777">
      <w:pPr>
        <w:rPr>
          <w:rFonts w:ascii="Arial" w:hAnsi="Arial" w:cs="Arial"/>
          <w:sz w:val="28"/>
          <w:szCs w:val="28"/>
        </w:rPr>
      </w:pPr>
    </w:p>
    <w:p w:rsidR="00BD3333" w:rsidRPr="005F4441" w:rsidP="005F4441" w14:paraId="0A32FD44" w14:textId="77777777">
      <w:pPr>
        <w:rPr>
          <w:rFonts w:ascii="Arial" w:hAnsi="Arial" w:cs="Arial"/>
          <w:b/>
          <w:bCs/>
          <w:sz w:val="22"/>
          <w:szCs w:val="22"/>
        </w:rPr>
      </w:pPr>
      <w:r w:rsidRPr="005F4441">
        <w:rPr>
          <w:rFonts w:ascii="Arial" w:hAnsi="Arial" w:cs="Arial"/>
          <w:b/>
          <w:bCs/>
          <w:sz w:val="22"/>
          <w:szCs w:val="22"/>
        </w:rPr>
        <w:t xml:space="preserve">B. </w:t>
      </w:r>
      <w:r w:rsidRPr="005F4441" w:rsidR="00BA1A21">
        <w:rPr>
          <w:rFonts w:ascii="Arial" w:hAnsi="Arial" w:cs="Arial"/>
          <w:b/>
          <w:bCs/>
          <w:sz w:val="22"/>
          <w:szCs w:val="22"/>
        </w:rPr>
        <w:t xml:space="preserve"> </w:t>
      </w:r>
      <w:r w:rsidRPr="005F4441">
        <w:rPr>
          <w:rFonts w:ascii="Arial" w:hAnsi="Arial" w:cs="Arial"/>
          <w:b/>
          <w:bCs/>
          <w:sz w:val="22"/>
          <w:szCs w:val="22"/>
          <w:u w:val="single"/>
        </w:rPr>
        <w:t>Collections of Information Employing Statistical Methods</w:t>
      </w:r>
      <w:r w:rsidRPr="005F4441">
        <w:rPr>
          <w:rFonts w:ascii="Arial" w:hAnsi="Arial" w:cs="Arial"/>
          <w:b/>
          <w:bCs/>
          <w:sz w:val="22"/>
          <w:szCs w:val="22"/>
        </w:rPr>
        <w:t>.</w:t>
      </w:r>
    </w:p>
    <w:p w:rsidR="00BD3333" w:rsidRPr="005F4441" w:rsidP="005F4441" w14:paraId="0A32FD45" w14:textId="77777777">
      <w:pPr>
        <w:pStyle w:val="Header"/>
        <w:tabs>
          <w:tab w:val="clear" w:pos="4320"/>
          <w:tab w:val="clear" w:pos="8640"/>
        </w:tabs>
        <w:rPr>
          <w:rFonts w:ascii="Arial" w:hAnsi="Arial" w:cs="Arial"/>
          <w:sz w:val="22"/>
          <w:szCs w:val="22"/>
        </w:rPr>
      </w:pPr>
    </w:p>
    <w:p w:rsidR="00BD3333" w:rsidRPr="005F4441" w:rsidP="005F4441" w14:paraId="0A32FD46" w14:textId="77777777">
      <w:pPr>
        <w:pStyle w:val="Header"/>
        <w:tabs>
          <w:tab w:val="clear" w:pos="4320"/>
          <w:tab w:val="clear" w:pos="8640"/>
        </w:tabs>
        <w:ind w:left="360"/>
        <w:rPr>
          <w:rFonts w:ascii="Arial" w:hAnsi="Arial" w:cs="Arial"/>
          <w:sz w:val="22"/>
          <w:szCs w:val="22"/>
        </w:rPr>
      </w:pPr>
      <w:r w:rsidRPr="005F4441">
        <w:rPr>
          <w:rFonts w:ascii="Arial" w:hAnsi="Arial" w:cs="Arial"/>
          <w:sz w:val="22"/>
          <w:szCs w:val="22"/>
        </w:rPr>
        <w:t xml:space="preserve">This </w:t>
      </w:r>
      <w:r w:rsidRPr="005F4441" w:rsidR="00813B3F">
        <w:rPr>
          <w:rFonts w:ascii="Arial" w:hAnsi="Arial" w:cs="Arial"/>
          <w:sz w:val="22"/>
          <w:szCs w:val="22"/>
        </w:rPr>
        <w:t xml:space="preserve">information </w:t>
      </w:r>
      <w:r w:rsidRPr="005F4441">
        <w:rPr>
          <w:rFonts w:ascii="Arial" w:hAnsi="Arial" w:cs="Arial"/>
          <w:sz w:val="22"/>
          <w:szCs w:val="22"/>
        </w:rPr>
        <w:t>collection does not employ statistical methods.</w:t>
      </w:r>
      <w:r w:rsidRPr="005F4441" w:rsidR="00BA1A21">
        <w:rPr>
          <w:rFonts w:ascii="Arial" w:hAnsi="Arial" w:cs="Arial"/>
          <w:sz w:val="22"/>
          <w:szCs w:val="22"/>
        </w:rPr>
        <w:t xml:space="preserve"> </w:t>
      </w:r>
    </w:p>
    <w:p w:rsidR="00BA1A21" w:rsidRPr="005F4441" w:rsidP="005F4441" w14:paraId="0A32FD47" w14:textId="77777777">
      <w:pPr>
        <w:rPr>
          <w:rFonts w:ascii="Arial" w:hAnsi="Arial" w:cs="Arial"/>
          <w:sz w:val="22"/>
          <w:szCs w:val="22"/>
        </w:rPr>
      </w:pPr>
    </w:p>
    <w:p w:rsidR="005232BD" w:rsidRPr="005F4441" w:rsidP="005F4441" w14:paraId="7F94C822" w14:textId="77777777">
      <w:pPr>
        <w:rPr>
          <w:rFonts w:ascii="Arial" w:hAnsi="Arial" w:cs="Arial"/>
          <w:sz w:val="22"/>
          <w:szCs w:val="22"/>
        </w:rPr>
      </w:pPr>
    </w:p>
    <w:sectPr w:rsidSect="007A5D4B">
      <w:headerReference w:type="default" r:id="rId5"/>
      <w:footerReference w:type="default" r:id="rId6"/>
      <w:footerReference w:type="first" r:id="rId7"/>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1C0" w:rsidRPr="007A5D4B" w:rsidP="00EB15D6" w14:paraId="0A32FD4D" w14:textId="0F7C794A">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t>OMB No. 1513–0063 Supporting Statement (</w:t>
    </w:r>
    <w:r w:rsidR="005F4441">
      <w:rPr>
        <w:rFonts w:ascii="Arial" w:hAnsi="Arial" w:cs="Arial"/>
        <w:sz w:val="20"/>
        <w:szCs w:val="20"/>
      </w:rPr>
      <w:t>04</w:t>
    </w:r>
    <w:r>
      <w:rPr>
        <w:rFonts w:ascii="Arial" w:hAnsi="Arial" w:cs="Arial"/>
        <w:sz w:val="20"/>
        <w:szCs w:val="20"/>
      </w:rPr>
      <w:t>–202</w:t>
    </w:r>
    <w:r w:rsidR="005F4441">
      <w:rPr>
        <w:rFonts w:ascii="Arial" w:hAnsi="Arial" w:cs="Arial"/>
        <w:sz w:val="20"/>
        <w:szCs w:val="20"/>
      </w:rPr>
      <w:t>6</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1C0" w:rsidRPr="007A5D4B" w:rsidP="00E961D4" w14:paraId="0A32FD4F" w14:textId="106D9AF4">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r>
    <w:r w:rsidR="0014553C">
      <w:rPr>
        <w:rFonts w:ascii="Arial" w:hAnsi="Arial" w:cs="Arial"/>
        <w:sz w:val="20"/>
        <w:szCs w:val="20"/>
      </w:rPr>
      <w:t xml:space="preserve">OMB No. </w:t>
    </w:r>
    <w:r>
      <w:rPr>
        <w:rFonts w:ascii="Arial" w:hAnsi="Arial" w:cs="Arial"/>
        <w:sz w:val="20"/>
        <w:szCs w:val="20"/>
      </w:rPr>
      <w:t>1513–0063 Supporting Statement (</w:t>
    </w:r>
    <w:r w:rsidR="00201DA8">
      <w:rPr>
        <w:rFonts w:ascii="Arial" w:hAnsi="Arial" w:cs="Arial"/>
        <w:sz w:val="20"/>
        <w:szCs w:val="20"/>
      </w:rPr>
      <w:t>04–2026</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4D1D" w14:paraId="0A32FD48" w14:textId="77777777">
      <w:r>
        <w:separator/>
      </w:r>
    </w:p>
  </w:footnote>
  <w:footnote w:type="continuationSeparator" w:id="1">
    <w:p w:rsidR="00324D1D" w14:paraId="0A32FD49" w14:textId="77777777">
      <w:r>
        <w:continuationSeparator/>
      </w:r>
    </w:p>
  </w:footnote>
  <w:footnote w:id="2">
    <w:p w:rsidR="003C7A32" w:rsidRPr="003C7A32" w14:paraId="0A32FD50" w14:textId="77777777">
      <w:pPr>
        <w:pStyle w:val="FootnoteText"/>
        <w:rPr>
          <w:rFonts w:ascii="Arial" w:hAnsi="Arial" w:cs="Arial"/>
        </w:rPr>
      </w:pPr>
      <w:r w:rsidRPr="003C7A32">
        <w:rPr>
          <w:rStyle w:val="FootnoteReference"/>
          <w:rFonts w:ascii="Arial" w:hAnsi="Arial" w:cs="Arial"/>
          <w:sz w:val="22"/>
          <w:szCs w:val="22"/>
        </w:rPr>
        <w:footnoteRef/>
      </w:r>
      <w:r w:rsidRPr="003C7A32">
        <w:rPr>
          <w:rFonts w:ascii="Arial" w:hAnsi="Arial" w:cs="Arial"/>
          <w:sz w:val="22"/>
          <w:szCs w:val="22"/>
        </w:rPr>
        <w:t xml:space="preserve"> </w:t>
      </w:r>
      <w:r w:rsidRPr="003C7A32">
        <w:rPr>
          <w:rFonts w:ascii="Arial" w:hAnsi="Arial" w:cs="Arial"/>
        </w:rPr>
        <w:t>In general, distilled spirits plant operators register their stills using form TTB F 5110.41, Registration of Distilled Spirits Plant, or its PONL equivalent</w:t>
      </w:r>
      <w:r>
        <w:rPr>
          <w:rFonts w:ascii="Arial" w:hAnsi="Arial" w:cs="Arial"/>
        </w:rPr>
        <w:t xml:space="preserve">, which is </w:t>
      </w:r>
      <w:r w:rsidRPr="003C7A32">
        <w:rPr>
          <w:rFonts w:ascii="Arial" w:hAnsi="Arial" w:cs="Arial"/>
        </w:rPr>
        <w:t>approved under OMB No. 1513–0048</w:t>
      </w:r>
      <w:r>
        <w:rPr>
          <w:rFonts w:ascii="Arial" w:hAnsi="Arial" w:cs="Arial"/>
        </w:rPr>
        <w:t>, and</w:t>
      </w:r>
      <w:r w:rsidRPr="003C7A32">
        <w:rPr>
          <w:rFonts w:ascii="Arial" w:hAnsi="Arial" w:cs="Arial"/>
        </w:rPr>
        <w:t xml:space="preserve"> such respondents are not required to file a duplicate notice under this collection.</w:t>
      </w:r>
      <w:r>
        <w:rPr>
          <w:rFonts w:ascii="Arial" w:hAnsi="Arial" w:cs="Arial"/>
        </w:rPr>
        <w:t xml:space="preserve"> </w:t>
      </w:r>
    </w:p>
  </w:footnote>
  <w:footnote w:id="3">
    <w:p w:rsidR="000336B1" w:rsidRPr="00320DFB" w:rsidP="007503C5" w14:paraId="0A32FD51" w14:textId="14FC79BF">
      <w:pPr>
        <w:pStyle w:val="FootnoteText"/>
        <w:rPr>
          <w:rFonts w:ascii="Arial" w:hAnsi="Arial" w:cs="Arial"/>
          <w:sz w:val="18"/>
          <w:szCs w:val="18"/>
        </w:rPr>
      </w:pPr>
      <w:r w:rsidRPr="00320DFB">
        <w:rPr>
          <w:rStyle w:val="FootnoteReference"/>
          <w:rFonts w:ascii="Arial" w:hAnsi="Arial" w:cs="Arial"/>
          <w:sz w:val="22"/>
          <w:szCs w:val="22"/>
        </w:rPr>
        <w:footnoteRef/>
      </w:r>
      <w:r w:rsidRPr="00320DFB">
        <w:rPr>
          <w:rFonts w:ascii="Arial" w:hAnsi="Arial" w:cs="Arial"/>
          <w:sz w:val="22"/>
          <w:szCs w:val="22"/>
        </w:rPr>
        <w:t xml:space="preserve"> </w:t>
      </w:r>
      <w:r>
        <w:rPr>
          <w:rFonts w:ascii="Arial" w:hAnsi="Arial" w:cs="Arial"/>
          <w:sz w:val="18"/>
          <w:szCs w:val="18"/>
        </w:rPr>
        <w:t>Private sector fully-loaded l</w:t>
      </w:r>
      <w:r w:rsidRPr="00320DFB">
        <w:rPr>
          <w:rFonts w:ascii="Arial" w:hAnsi="Arial" w:cs="Arial"/>
          <w:sz w:val="18"/>
          <w:szCs w:val="18"/>
        </w:rPr>
        <w:t xml:space="preserve">abor </w:t>
      </w:r>
      <w:r>
        <w:rPr>
          <w:rFonts w:ascii="Arial" w:hAnsi="Arial" w:cs="Arial"/>
          <w:sz w:val="18"/>
          <w:szCs w:val="18"/>
        </w:rPr>
        <w:t>r</w:t>
      </w:r>
      <w:r w:rsidRPr="00320DFB">
        <w:rPr>
          <w:rFonts w:ascii="Arial" w:hAnsi="Arial" w:cs="Arial"/>
          <w:sz w:val="18"/>
          <w:szCs w:val="18"/>
        </w:rPr>
        <w:t xml:space="preserve">ate = Hourly wage rate </w:t>
      </w:r>
      <w:r>
        <w:rPr>
          <w:rFonts w:ascii="Arial" w:hAnsi="Arial" w:cs="Arial"/>
          <w:sz w:val="18"/>
          <w:szCs w:val="18"/>
        </w:rPr>
        <w:t xml:space="preserve">x a factor of 1.44 to account for </w:t>
      </w:r>
      <w:r w:rsidRPr="00320DFB">
        <w:rPr>
          <w:rFonts w:ascii="Arial" w:hAnsi="Arial" w:cs="Arial"/>
          <w:sz w:val="18"/>
          <w:szCs w:val="18"/>
        </w:rPr>
        <w:t>benefit costs</w:t>
      </w:r>
      <w:r>
        <w:rPr>
          <w:rFonts w:ascii="Arial" w:hAnsi="Arial" w:cs="Arial"/>
          <w:sz w:val="18"/>
          <w:szCs w:val="18"/>
        </w:rPr>
        <w:t xml:space="preserve">.  </w:t>
      </w:r>
      <w:r w:rsidRPr="00320DFB">
        <w:rPr>
          <w:rFonts w:ascii="Arial" w:hAnsi="Arial" w:cs="Arial"/>
          <w:sz w:val="18"/>
          <w:szCs w:val="18"/>
        </w:rPr>
        <w:t>Per the most recent U.S. Department of Labor, Bureau of Labor Statistics, data for National Industry-Specific Occupational Employment and Wage Estimates</w:t>
      </w:r>
      <w:r>
        <w:rPr>
          <w:rFonts w:ascii="Arial" w:hAnsi="Arial" w:cs="Arial"/>
          <w:sz w:val="18"/>
          <w:szCs w:val="18"/>
        </w:rPr>
        <w:t xml:space="preserve">, the averaged fully-loaded labor rate </w:t>
      </w:r>
      <w:r w:rsidRPr="00320DFB">
        <w:rPr>
          <w:rFonts w:ascii="Arial" w:hAnsi="Arial" w:cs="Arial"/>
          <w:sz w:val="18"/>
          <w:szCs w:val="18"/>
        </w:rPr>
        <w:t xml:space="preserve">for </w:t>
      </w:r>
      <w:r>
        <w:rPr>
          <w:rFonts w:ascii="Arial" w:hAnsi="Arial" w:cs="Arial"/>
          <w:sz w:val="18"/>
          <w:szCs w:val="18"/>
        </w:rPr>
        <w:t xml:space="preserve">Compliance Officers </w:t>
      </w:r>
      <w:r w:rsidRPr="00320DFB">
        <w:rPr>
          <w:rFonts w:ascii="Arial" w:hAnsi="Arial" w:cs="Arial"/>
          <w:sz w:val="18"/>
          <w:szCs w:val="18"/>
        </w:rPr>
        <w:t xml:space="preserve">in the </w:t>
      </w:r>
      <w:r>
        <w:rPr>
          <w:rFonts w:ascii="Arial" w:hAnsi="Arial" w:cs="Arial"/>
          <w:sz w:val="18"/>
          <w:szCs w:val="18"/>
        </w:rPr>
        <w:t>Fabricated Metal Products Manufacturing Industry (</w:t>
      </w:r>
      <w:r w:rsidRPr="00320DFB">
        <w:rPr>
          <w:rFonts w:ascii="Arial" w:hAnsi="Arial" w:cs="Arial"/>
          <w:sz w:val="18"/>
          <w:szCs w:val="18"/>
        </w:rPr>
        <w:t>NAIC 3</w:t>
      </w:r>
      <w:r>
        <w:rPr>
          <w:rFonts w:ascii="Arial" w:hAnsi="Arial" w:cs="Arial"/>
          <w:sz w:val="18"/>
          <w:szCs w:val="18"/>
        </w:rPr>
        <w:t>320</w:t>
      </w:r>
      <w:r w:rsidR="007C625E">
        <w:rPr>
          <w:rFonts w:ascii="Arial" w:hAnsi="Arial" w:cs="Arial"/>
          <w:sz w:val="18"/>
          <w:szCs w:val="18"/>
        </w:rPr>
        <w:t>00</w:t>
      </w:r>
      <w:r>
        <w:rPr>
          <w:rFonts w:ascii="Arial" w:hAnsi="Arial" w:cs="Arial"/>
          <w:sz w:val="18"/>
          <w:szCs w:val="18"/>
        </w:rPr>
        <w:t>)</w:t>
      </w:r>
      <w:r w:rsidRPr="00320DFB">
        <w:rPr>
          <w:rFonts w:ascii="Arial" w:hAnsi="Arial" w:cs="Arial"/>
          <w:sz w:val="18"/>
          <w:szCs w:val="18"/>
        </w:rPr>
        <w:t xml:space="preserve"> is $</w:t>
      </w:r>
      <w:r>
        <w:rPr>
          <w:rFonts w:ascii="Arial" w:hAnsi="Arial" w:cs="Arial"/>
          <w:sz w:val="18"/>
          <w:szCs w:val="18"/>
        </w:rPr>
        <w:t>5</w:t>
      </w:r>
      <w:r w:rsidR="007C625E">
        <w:rPr>
          <w:rFonts w:ascii="Arial" w:hAnsi="Arial" w:cs="Arial"/>
          <w:sz w:val="18"/>
          <w:szCs w:val="18"/>
        </w:rPr>
        <w:t>4.37, based on a mean hourly wage of $37.76.  S</w:t>
      </w:r>
      <w:r w:rsidRPr="00320DFB">
        <w:rPr>
          <w:rFonts w:ascii="Arial" w:hAnsi="Arial" w:cs="Arial"/>
          <w:sz w:val="18"/>
          <w:szCs w:val="18"/>
        </w:rPr>
        <w:t>ee</w:t>
      </w:r>
      <w:r>
        <w:rPr>
          <w:rFonts w:ascii="Arial" w:hAnsi="Arial" w:cs="Arial"/>
          <w:sz w:val="18"/>
          <w:szCs w:val="18"/>
        </w:rPr>
        <w:t xml:space="preserve"> </w:t>
      </w:r>
      <w:r w:rsidRPr="007C625E" w:rsidR="007C625E">
        <w:rPr>
          <w:rFonts w:ascii="Arial" w:hAnsi="Arial" w:cs="Arial"/>
          <w:i/>
          <w:sz w:val="18"/>
          <w:szCs w:val="18"/>
        </w:rPr>
        <w:t>https://data.bls.gov/oes/#/332000</w:t>
      </w:r>
      <w:r w:rsidR="007C625E">
        <w:rPr>
          <w:rFonts w:ascii="Arial" w:hAnsi="Arial" w:cs="Arial"/>
          <w:i/>
          <w:sz w:val="18"/>
          <w:szCs w:val="18"/>
        </w:rPr>
        <w:t xml:space="preserve">. </w:t>
      </w:r>
    </w:p>
  </w:footnote>
  <w:footnote w:id="4">
    <w:p w:rsidR="0098214A" w:rsidRPr="00C009D7" w:rsidP="0054480B" w14:paraId="0A32FD52" w14:textId="77777777">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x 1.63 to account for </w:t>
      </w:r>
      <w:r>
        <w:rPr>
          <w:rFonts w:ascii="Arial" w:hAnsi="Arial" w:cs="Arial"/>
          <w:sz w:val="18"/>
          <w:szCs w:val="18"/>
        </w:rPr>
        <w:t xml:space="preserve">employee </w:t>
      </w:r>
      <w:r w:rsidRPr="003D22B5">
        <w:rPr>
          <w:rFonts w:ascii="Arial" w:hAnsi="Arial" w:cs="Arial"/>
          <w:sz w:val="18"/>
          <w:szCs w:val="18"/>
        </w:rPr>
        <w:t xml:space="preserve">benefit costs.  Per the most recent Office of Personnel Management (OPM) </w:t>
      </w:r>
      <w:r>
        <w:rPr>
          <w:rFonts w:ascii="Arial" w:hAnsi="Arial" w:cs="Arial"/>
          <w:sz w:val="18"/>
          <w:szCs w:val="18"/>
        </w:rPr>
        <w:t xml:space="preserve">salary tables for Federal employees in the Cincinnati, Ohio, wage region, the hourly fully-loaded wage rate for a </w:t>
      </w:r>
      <w:r w:rsidR="00795CC2">
        <w:rPr>
          <w:rFonts w:ascii="Arial" w:hAnsi="Arial" w:cs="Arial"/>
          <w:sz w:val="18"/>
          <w:szCs w:val="18"/>
        </w:rPr>
        <w:t>GS-5, step 5, employee is $33.27 ($20.41 in hourly wages plus $12.86 in benefit costs</w:t>
      </w:r>
      <w:r w:rsidR="003C12D1">
        <w:rPr>
          <w:rFonts w:ascii="Arial" w:hAnsi="Arial" w:cs="Arial"/>
          <w:sz w:val="18"/>
          <w:szCs w:val="18"/>
        </w:rPr>
        <w:t>.  F</w:t>
      </w:r>
      <w:r w:rsidR="00795CC2">
        <w:rPr>
          <w:rFonts w:ascii="Arial" w:hAnsi="Arial" w:cs="Arial"/>
          <w:sz w:val="18"/>
          <w:szCs w:val="18"/>
        </w:rPr>
        <w:t xml:space="preserve">or </w:t>
      </w:r>
      <w:r>
        <w:rPr>
          <w:rFonts w:ascii="Arial" w:hAnsi="Arial" w:cs="Arial"/>
          <w:sz w:val="18"/>
          <w:szCs w:val="18"/>
        </w:rPr>
        <w:t>GS-1</w:t>
      </w:r>
      <w:r w:rsidR="003C12D1">
        <w:rPr>
          <w:rFonts w:ascii="Arial" w:hAnsi="Arial" w:cs="Arial"/>
          <w:sz w:val="18"/>
          <w:szCs w:val="18"/>
        </w:rPr>
        <w:t>2</w:t>
      </w:r>
      <w:r>
        <w:rPr>
          <w:rFonts w:ascii="Arial" w:hAnsi="Arial" w:cs="Arial"/>
          <w:sz w:val="18"/>
          <w:szCs w:val="18"/>
        </w:rPr>
        <w:t>, step 5, employee</w:t>
      </w:r>
      <w:r w:rsidR="003C12D1">
        <w:rPr>
          <w:rFonts w:ascii="Arial" w:hAnsi="Arial" w:cs="Arial"/>
          <w:sz w:val="18"/>
          <w:szCs w:val="18"/>
        </w:rPr>
        <w:t>, the fully-loaded labor rate is</w:t>
      </w:r>
      <w:r>
        <w:rPr>
          <w:rFonts w:ascii="Arial" w:hAnsi="Arial" w:cs="Arial"/>
          <w:sz w:val="18"/>
          <w:szCs w:val="18"/>
        </w:rPr>
        <w:t xml:space="preserve"> $</w:t>
      </w:r>
      <w:r w:rsidR="003C12D1">
        <w:rPr>
          <w:rFonts w:ascii="Arial" w:hAnsi="Arial" w:cs="Arial"/>
          <w:sz w:val="18"/>
          <w:szCs w:val="18"/>
        </w:rPr>
        <w:t>73.12</w:t>
      </w:r>
      <w:r>
        <w:rPr>
          <w:rFonts w:ascii="Arial" w:hAnsi="Arial" w:cs="Arial"/>
          <w:sz w:val="18"/>
          <w:szCs w:val="18"/>
        </w:rPr>
        <w:t xml:space="preserve"> ($</w:t>
      </w:r>
      <w:r w:rsidR="003C12D1">
        <w:rPr>
          <w:rFonts w:ascii="Arial" w:hAnsi="Arial" w:cs="Arial"/>
          <w:sz w:val="18"/>
          <w:szCs w:val="18"/>
        </w:rPr>
        <w:t>44.86</w:t>
      </w:r>
      <w:r>
        <w:rPr>
          <w:rFonts w:ascii="Arial" w:hAnsi="Arial" w:cs="Arial"/>
          <w:sz w:val="18"/>
          <w:szCs w:val="18"/>
        </w:rPr>
        <w:t xml:space="preserve"> in hourly wages plus $</w:t>
      </w:r>
      <w:r w:rsidR="003C12D1">
        <w:rPr>
          <w:rFonts w:ascii="Arial" w:hAnsi="Arial" w:cs="Arial"/>
          <w:sz w:val="18"/>
          <w:szCs w:val="18"/>
        </w:rPr>
        <w:t>28.26</w:t>
      </w:r>
      <w:r>
        <w:rPr>
          <w:rFonts w:ascii="Arial" w:hAnsi="Arial" w:cs="Arial"/>
          <w:sz w:val="18"/>
          <w:szCs w:val="18"/>
        </w:rPr>
        <w:t xml:space="preserve"> in benefits).  See </w:t>
      </w:r>
      <w:r w:rsidRPr="00A948A6">
        <w:rPr>
          <w:rFonts w:ascii="Arial" w:hAnsi="Arial" w:cs="Arial"/>
          <w:i/>
          <w:sz w:val="18"/>
          <w:szCs w:val="18"/>
        </w:rPr>
        <w:t>https://www.opm.gov/policy-data-oversight/pay-leave/salaries-wages/salary-tables/pdf/2022/CIN_h.pdf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1C0" w:rsidRPr="007A5D4B" w:rsidP="007A5D4B" w14:paraId="0A32FD4B" w14:textId="77777777">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D1DAF">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9349F0"/>
    <w:multiLevelType w:val="hybridMultilevel"/>
    <w:tmpl w:val="6460232A"/>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9D7D3A"/>
    <w:multiLevelType w:val="hybridMultilevel"/>
    <w:tmpl w:val="BC5E150E"/>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4B38EC"/>
    <w:multiLevelType w:val="hybridMultilevel"/>
    <w:tmpl w:val="6460232A"/>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65F47C0F"/>
    <w:multiLevelType w:val="hybridMultilevel"/>
    <w:tmpl w:val="AE023872"/>
    <w:lvl w:ilvl="0">
      <w:start w:val="1"/>
      <w:numFmt w:val="decimal"/>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7">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EF869C8"/>
    <w:multiLevelType w:val="hybridMultilevel"/>
    <w:tmpl w:val="AC4C8E3E"/>
    <w:lvl w:ilvl="0">
      <w:start w:val="1"/>
      <w:numFmt w:val="lowerLetter"/>
      <w:lvlText w:val="%1."/>
      <w:lvlJc w:val="left"/>
      <w:pPr>
        <w:ind w:left="2430" w:hanging="360"/>
      </w:pPr>
      <w:rPr>
        <w:rFonts w:hint="default"/>
      </w:rPr>
    </w:lvl>
    <w:lvl w:ilvl="1" w:tentative="1">
      <w:start w:val="1"/>
      <w:numFmt w:val="lowerLetter"/>
      <w:lvlText w:val="%2."/>
      <w:lvlJc w:val="left"/>
      <w:pPr>
        <w:ind w:left="3150" w:hanging="360"/>
      </w:pPr>
    </w:lvl>
    <w:lvl w:ilvl="2" w:tentative="1">
      <w:start w:val="1"/>
      <w:numFmt w:val="lowerRoman"/>
      <w:lvlText w:val="%3."/>
      <w:lvlJc w:val="right"/>
      <w:pPr>
        <w:ind w:left="3870" w:hanging="180"/>
      </w:pPr>
    </w:lvl>
    <w:lvl w:ilvl="3" w:tentative="1">
      <w:start w:val="1"/>
      <w:numFmt w:val="decimal"/>
      <w:lvlText w:val="%4."/>
      <w:lvlJc w:val="left"/>
      <w:pPr>
        <w:ind w:left="4590" w:hanging="360"/>
      </w:pPr>
    </w:lvl>
    <w:lvl w:ilvl="4" w:tentative="1">
      <w:start w:val="1"/>
      <w:numFmt w:val="lowerLetter"/>
      <w:lvlText w:val="%5."/>
      <w:lvlJc w:val="left"/>
      <w:pPr>
        <w:ind w:left="5310" w:hanging="360"/>
      </w:pPr>
    </w:lvl>
    <w:lvl w:ilvl="5" w:tentative="1">
      <w:start w:val="1"/>
      <w:numFmt w:val="lowerRoman"/>
      <w:lvlText w:val="%6."/>
      <w:lvlJc w:val="right"/>
      <w:pPr>
        <w:ind w:left="6030" w:hanging="180"/>
      </w:pPr>
    </w:lvl>
    <w:lvl w:ilvl="6" w:tentative="1">
      <w:start w:val="1"/>
      <w:numFmt w:val="decimal"/>
      <w:lvlText w:val="%7."/>
      <w:lvlJc w:val="left"/>
      <w:pPr>
        <w:ind w:left="6750" w:hanging="360"/>
      </w:pPr>
    </w:lvl>
    <w:lvl w:ilvl="7" w:tentative="1">
      <w:start w:val="1"/>
      <w:numFmt w:val="lowerLetter"/>
      <w:lvlText w:val="%8."/>
      <w:lvlJc w:val="left"/>
      <w:pPr>
        <w:ind w:left="7470" w:hanging="360"/>
      </w:pPr>
    </w:lvl>
    <w:lvl w:ilvl="8" w:tentative="1">
      <w:start w:val="1"/>
      <w:numFmt w:val="lowerRoman"/>
      <w:lvlText w:val="%9."/>
      <w:lvlJc w:val="right"/>
      <w:pPr>
        <w:ind w:left="8190" w:hanging="180"/>
      </w:pPr>
    </w:lvl>
  </w:abstractNum>
  <w:abstractNum w:abstractNumId="10">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7FD76FA"/>
    <w:multiLevelType w:val="hybridMultilevel"/>
    <w:tmpl w:val="3EF6E0A4"/>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27179082">
    <w:abstractNumId w:val="8"/>
  </w:num>
  <w:num w:numId="2" w16cid:durableId="1914965175">
    <w:abstractNumId w:val="2"/>
  </w:num>
  <w:num w:numId="3" w16cid:durableId="387459146">
    <w:abstractNumId w:val="1"/>
  </w:num>
  <w:num w:numId="4" w16cid:durableId="1407070737">
    <w:abstractNumId w:val="10"/>
  </w:num>
  <w:num w:numId="5" w16cid:durableId="1967930672">
    <w:abstractNumId w:val="4"/>
  </w:num>
  <w:num w:numId="6" w16cid:durableId="1808085149">
    <w:abstractNumId w:val="0"/>
  </w:num>
  <w:num w:numId="7" w16cid:durableId="176190033">
    <w:abstractNumId w:val="5"/>
  </w:num>
  <w:num w:numId="8" w16cid:durableId="1592666404">
    <w:abstractNumId w:val="9"/>
  </w:num>
  <w:num w:numId="9" w16cid:durableId="1279872498">
    <w:abstractNumId w:val="6"/>
  </w:num>
  <w:num w:numId="10" w16cid:durableId="7948964">
    <w:abstractNumId w:val="7"/>
  </w:num>
  <w:num w:numId="11" w16cid:durableId="1669168397">
    <w:abstractNumId w:val="3"/>
  </w:num>
  <w:num w:numId="12" w16cid:durableId="17405884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3032C"/>
    <w:rsid w:val="00030CEB"/>
    <w:rsid w:val="000329F4"/>
    <w:rsid w:val="000336B1"/>
    <w:rsid w:val="00040B73"/>
    <w:rsid w:val="0004708F"/>
    <w:rsid w:val="000473AC"/>
    <w:rsid w:val="0004764C"/>
    <w:rsid w:val="00063958"/>
    <w:rsid w:val="00074898"/>
    <w:rsid w:val="000803E9"/>
    <w:rsid w:val="00090251"/>
    <w:rsid w:val="00095F53"/>
    <w:rsid w:val="000A2E33"/>
    <w:rsid w:val="000A4E1A"/>
    <w:rsid w:val="000B3E08"/>
    <w:rsid w:val="000B6799"/>
    <w:rsid w:val="000C14FA"/>
    <w:rsid w:val="000C3650"/>
    <w:rsid w:val="000C63E3"/>
    <w:rsid w:val="000D6313"/>
    <w:rsid w:val="00101DE7"/>
    <w:rsid w:val="00113716"/>
    <w:rsid w:val="0011575A"/>
    <w:rsid w:val="0014553C"/>
    <w:rsid w:val="00156DF2"/>
    <w:rsid w:val="001608E4"/>
    <w:rsid w:val="00163D83"/>
    <w:rsid w:val="00176116"/>
    <w:rsid w:val="00190C6A"/>
    <w:rsid w:val="001A04D2"/>
    <w:rsid w:val="001A0F3C"/>
    <w:rsid w:val="001A6B3E"/>
    <w:rsid w:val="001D070F"/>
    <w:rsid w:val="001E4A1A"/>
    <w:rsid w:val="001E7576"/>
    <w:rsid w:val="001E7BDE"/>
    <w:rsid w:val="001F2913"/>
    <w:rsid w:val="001F795C"/>
    <w:rsid w:val="00201DA8"/>
    <w:rsid w:val="00202F74"/>
    <w:rsid w:val="00205E82"/>
    <w:rsid w:val="00206742"/>
    <w:rsid w:val="00207E00"/>
    <w:rsid w:val="00211028"/>
    <w:rsid w:val="00212CC6"/>
    <w:rsid w:val="0022156B"/>
    <w:rsid w:val="00247A12"/>
    <w:rsid w:val="00247EA8"/>
    <w:rsid w:val="00250066"/>
    <w:rsid w:val="00252DA8"/>
    <w:rsid w:val="002569BA"/>
    <w:rsid w:val="00270706"/>
    <w:rsid w:val="00273CEE"/>
    <w:rsid w:val="00276081"/>
    <w:rsid w:val="002A767E"/>
    <w:rsid w:val="002B47FB"/>
    <w:rsid w:val="002C2738"/>
    <w:rsid w:val="002D1324"/>
    <w:rsid w:val="002E264B"/>
    <w:rsid w:val="002E6145"/>
    <w:rsid w:val="002E632B"/>
    <w:rsid w:val="00307F07"/>
    <w:rsid w:val="00313470"/>
    <w:rsid w:val="0032074D"/>
    <w:rsid w:val="00320DFB"/>
    <w:rsid w:val="00322E50"/>
    <w:rsid w:val="00324D1D"/>
    <w:rsid w:val="003301DA"/>
    <w:rsid w:val="0033260C"/>
    <w:rsid w:val="00335FA5"/>
    <w:rsid w:val="003370CA"/>
    <w:rsid w:val="0034743E"/>
    <w:rsid w:val="0035174C"/>
    <w:rsid w:val="00360098"/>
    <w:rsid w:val="00375CFF"/>
    <w:rsid w:val="00381FFC"/>
    <w:rsid w:val="00383D40"/>
    <w:rsid w:val="0038514E"/>
    <w:rsid w:val="0038747C"/>
    <w:rsid w:val="00395E83"/>
    <w:rsid w:val="003A1487"/>
    <w:rsid w:val="003A4011"/>
    <w:rsid w:val="003A4DFA"/>
    <w:rsid w:val="003C12D1"/>
    <w:rsid w:val="003C1FD2"/>
    <w:rsid w:val="003C77A1"/>
    <w:rsid w:val="003C7A32"/>
    <w:rsid w:val="003D1E53"/>
    <w:rsid w:val="003D22B5"/>
    <w:rsid w:val="003E036C"/>
    <w:rsid w:val="003E04E9"/>
    <w:rsid w:val="003E5F3E"/>
    <w:rsid w:val="00411759"/>
    <w:rsid w:val="00413583"/>
    <w:rsid w:val="00422843"/>
    <w:rsid w:val="004231BC"/>
    <w:rsid w:val="0042390C"/>
    <w:rsid w:val="0044522E"/>
    <w:rsid w:val="00447B6B"/>
    <w:rsid w:val="00483D87"/>
    <w:rsid w:val="00491AB2"/>
    <w:rsid w:val="004A3DE5"/>
    <w:rsid w:val="004B03DB"/>
    <w:rsid w:val="004B10D7"/>
    <w:rsid w:val="004C3724"/>
    <w:rsid w:val="004D086A"/>
    <w:rsid w:val="004D1808"/>
    <w:rsid w:val="004D3468"/>
    <w:rsid w:val="004D4299"/>
    <w:rsid w:val="004D50E2"/>
    <w:rsid w:val="004E2C89"/>
    <w:rsid w:val="004E3DD9"/>
    <w:rsid w:val="004F2A7A"/>
    <w:rsid w:val="004F62C7"/>
    <w:rsid w:val="00502820"/>
    <w:rsid w:val="0050368E"/>
    <w:rsid w:val="00512D60"/>
    <w:rsid w:val="00515123"/>
    <w:rsid w:val="005232BD"/>
    <w:rsid w:val="005278E4"/>
    <w:rsid w:val="0053584D"/>
    <w:rsid w:val="00536D29"/>
    <w:rsid w:val="0054480B"/>
    <w:rsid w:val="00556132"/>
    <w:rsid w:val="00571864"/>
    <w:rsid w:val="0059557E"/>
    <w:rsid w:val="00597C08"/>
    <w:rsid w:val="005A6AF2"/>
    <w:rsid w:val="005B30B3"/>
    <w:rsid w:val="005B716A"/>
    <w:rsid w:val="005C207F"/>
    <w:rsid w:val="005C282B"/>
    <w:rsid w:val="005E4F99"/>
    <w:rsid w:val="005E4F9B"/>
    <w:rsid w:val="005F32B6"/>
    <w:rsid w:val="005F4441"/>
    <w:rsid w:val="0060212A"/>
    <w:rsid w:val="00603598"/>
    <w:rsid w:val="00611ADD"/>
    <w:rsid w:val="00613A9E"/>
    <w:rsid w:val="00623C14"/>
    <w:rsid w:val="006244FF"/>
    <w:rsid w:val="00631780"/>
    <w:rsid w:val="00631967"/>
    <w:rsid w:val="00635566"/>
    <w:rsid w:val="00650160"/>
    <w:rsid w:val="006549AE"/>
    <w:rsid w:val="00663972"/>
    <w:rsid w:val="0069718A"/>
    <w:rsid w:val="006A0C2D"/>
    <w:rsid w:val="006A358A"/>
    <w:rsid w:val="006A35C6"/>
    <w:rsid w:val="006B51C0"/>
    <w:rsid w:val="006C3926"/>
    <w:rsid w:val="006F08D6"/>
    <w:rsid w:val="006F2142"/>
    <w:rsid w:val="006F689F"/>
    <w:rsid w:val="0070647E"/>
    <w:rsid w:val="00721C76"/>
    <w:rsid w:val="0073454F"/>
    <w:rsid w:val="00734B25"/>
    <w:rsid w:val="00736DD6"/>
    <w:rsid w:val="00740979"/>
    <w:rsid w:val="00743026"/>
    <w:rsid w:val="007503C5"/>
    <w:rsid w:val="007504EF"/>
    <w:rsid w:val="00761FE3"/>
    <w:rsid w:val="00776314"/>
    <w:rsid w:val="00793AA9"/>
    <w:rsid w:val="00795CC2"/>
    <w:rsid w:val="00796400"/>
    <w:rsid w:val="007A5D4B"/>
    <w:rsid w:val="007B4E08"/>
    <w:rsid w:val="007C126E"/>
    <w:rsid w:val="007C625E"/>
    <w:rsid w:val="007D4198"/>
    <w:rsid w:val="007D5727"/>
    <w:rsid w:val="007E1882"/>
    <w:rsid w:val="007E319C"/>
    <w:rsid w:val="007E57D5"/>
    <w:rsid w:val="007F40E3"/>
    <w:rsid w:val="007F639E"/>
    <w:rsid w:val="00804B0C"/>
    <w:rsid w:val="00811A04"/>
    <w:rsid w:val="00813B3F"/>
    <w:rsid w:val="0081428C"/>
    <w:rsid w:val="00816E6A"/>
    <w:rsid w:val="00827956"/>
    <w:rsid w:val="0084640C"/>
    <w:rsid w:val="00850B93"/>
    <w:rsid w:val="00851169"/>
    <w:rsid w:val="00851419"/>
    <w:rsid w:val="00853E85"/>
    <w:rsid w:val="0085561F"/>
    <w:rsid w:val="008603B9"/>
    <w:rsid w:val="008607C0"/>
    <w:rsid w:val="00862698"/>
    <w:rsid w:val="00874C51"/>
    <w:rsid w:val="00880419"/>
    <w:rsid w:val="0088132C"/>
    <w:rsid w:val="00881B52"/>
    <w:rsid w:val="008912A7"/>
    <w:rsid w:val="008B146B"/>
    <w:rsid w:val="008C0E73"/>
    <w:rsid w:val="008C399F"/>
    <w:rsid w:val="008E707B"/>
    <w:rsid w:val="008F1B9B"/>
    <w:rsid w:val="00923FBB"/>
    <w:rsid w:val="009269EE"/>
    <w:rsid w:val="009522C0"/>
    <w:rsid w:val="00957FB4"/>
    <w:rsid w:val="009618AD"/>
    <w:rsid w:val="0096457D"/>
    <w:rsid w:val="00965E7F"/>
    <w:rsid w:val="0098214A"/>
    <w:rsid w:val="00987432"/>
    <w:rsid w:val="00990656"/>
    <w:rsid w:val="00991C77"/>
    <w:rsid w:val="009A1CD5"/>
    <w:rsid w:val="009A3A9F"/>
    <w:rsid w:val="009A6532"/>
    <w:rsid w:val="009B1004"/>
    <w:rsid w:val="009E2632"/>
    <w:rsid w:val="009E49B7"/>
    <w:rsid w:val="009E4E4C"/>
    <w:rsid w:val="009F07EB"/>
    <w:rsid w:val="00A11A2C"/>
    <w:rsid w:val="00A17E04"/>
    <w:rsid w:val="00A201BF"/>
    <w:rsid w:val="00A213AE"/>
    <w:rsid w:val="00A226F8"/>
    <w:rsid w:val="00A4151C"/>
    <w:rsid w:val="00A5167D"/>
    <w:rsid w:val="00A5320B"/>
    <w:rsid w:val="00A948A6"/>
    <w:rsid w:val="00AA3F8F"/>
    <w:rsid w:val="00AA4CFF"/>
    <w:rsid w:val="00AA6881"/>
    <w:rsid w:val="00AC686F"/>
    <w:rsid w:val="00AE001E"/>
    <w:rsid w:val="00AE3319"/>
    <w:rsid w:val="00AF060A"/>
    <w:rsid w:val="00AF1157"/>
    <w:rsid w:val="00B02279"/>
    <w:rsid w:val="00B06EE5"/>
    <w:rsid w:val="00B1047F"/>
    <w:rsid w:val="00B23FF6"/>
    <w:rsid w:val="00B31E02"/>
    <w:rsid w:val="00B508E9"/>
    <w:rsid w:val="00B50DBB"/>
    <w:rsid w:val="00B65530"/>
    <w:rsid w:val="00B72AC4"/>
    <w:rsid w:val="00B82E93"/>
    <w:rsid w:val="00B83D89"/>
    <w:rsid w:val="00B95061"/>
    <w:rsid w:val="00BA1A21"/>
    <w:rsid w:val="00BA79CC"/>
    <w:rsid w:val="00BB67E5"/>
    <w:rsid w:val="00BC1D1F"/>
    <w:rsid w:val="00BD3333"/>
    <w:rsid w:val="00BD5710"/>
    <w:rsid w:val="00BE3C19"/>
    <w:rsid w:val="00C009D7"/>
    <w:rsid w:val="00C029D7"/>
    <w:rsid w:val="00C12AEA"/>
    <w:rsid w:val="00C1362D"/>
    <w:rsid w:val="00C13A74"/>
    <w:rsid w:val="00C271EA"/>
    <w:rsid w:val="00C50A18"/>
    <w:rsid w:val="00C61156"/>
    <w:rsid w:val="00C65181"/>
    <w:rsid w:val="00C71838"/>
    <w:rsid w:val="00C75C1A"/>
    <w:rsid w:val="00C91115"/>
    <w:rsid w:val="00C96EF4"/>
    <w:rsid w:val="00CA07BF"/>
    <w:rsid w:val="00CA7E3C"/>
    <w:rsid w:val="00CB155E"/>
    <w:rsid w:val="00CB209E"/>
    <w:rsid w:val="00CC2DE7"/>
    <w:rsid w:val="00CD21EC"/>
    <w:rsid w:val="00CF1C87"/>
    <w:rsid w:val="00D004D6"/>
    <w:rsid w:val="00D01AA2"/>
    <w:rsid w:val="00D027F1"/>
    <w:rsid w:val="00D03A61"/>
    <w:rsid w:val="00D059BB"/>
    <w:rsid w:val="00D232A4"/>
    <w:rsid w:val="00D357D2"/>
    <w:rsid w:val="00D377F5"/>
    <w:rsid w:val="00D414AB"/>
    <w:rsid w:val="00D42321"/>
    <w:rsid w:val="00D44451"/>
    <w:rsid w:val="00D45569"/>
    <w:rsid w:val="00D50640"/>
    <w:rsid w:val="00D56B01"/>
    <w:rsid w:val="00D57562"/>
    <w:rsid w:val="00D6325C"/>
    <w:rsid w:val="00D6373A"/>
    <w:rsid w:val="00D656EA"/>
    <w:rsid w:val="00D67136"/>
    <w:rsid w:val="00D73D2D"/>
    <w:rsid w:val="00D742EE"/>
    <w:rsid w:val="00D76DF0"/>
    <w:rsid w:val="00D85E10"/>
    <w:rsid w:val="00DA29D8"/>
    <w:rsid w:val="00DA40C2"/>
    <w:rsid w:val="00DA4A6F"/>
    <w:rsid w:val="00DB5C4C"/>
    <w:rsid w:val="00DC7457"/>
    <w:rsid w:val="00DE0D1A"/>
    <w:rsid w:val="00DF5F98"/>
    <w:rsid w:val="00E02C2B"/>
    <w:rsid w:val="00E115FD"/>
    <w:rsid w:val="00E162BE"/>
    <w:rsid w:val="00E2132E"/>
    <w:rsid w:val="00E266FB"/>
    <w:rsid w:val="00E26A23"/>
    <w:rsid w:val="00E26FA6"/>
    <w:rsid w:val="00E323CD"/>
    <w:rsid w:val="00E35D0D"/>
    <w:rsid w:val="00E414F9"/>
    <w:rsid w:val="00E41ED9"/>
    <w:rsid w:val="00E45CBA"/>
    <w:rsid w:val="00E51406"/>
    <w:rsid w:val="00E51AD7"/>
    <w:rsid w:val="00E56E11"/>
    <w:rsid w:val="00E6637C"/>
    <w:rsid w:val="00E7462F"/>
    <w:rsid w:val="00E85C3C"/>
    <w:rsid w:val="00E85E1F"/>
    <w:rsid w:val="00E86B1B"/>
    <w:rsid w:val="00E961D4"/>
    <w:rsid w:val="00EA0048"/>
    <w:rsid w:val="00EB15D6"/>
    <w:rsid w:val="00EB2B3F"/>
    <w:rsid w:val="00EB5643"/>
    <w:rsid w:val="00EB7733"/>
    <w:rsid w:val="00EC4FC3"/>
    <w:rsid w:val="00ED34AB"/>
    <w:rsid w:val="00ED4A03"/>
    <w:rsid w:val="00ED7233"/>
    <w:rsid w:val="00EE4237"/>
    <w:rsid w:val="00EF30C9"/>
    <w:rsid w:val="00F03208"/>
    <w:rsid w:val="00F058FA"/>
    <w:rsid w:val="00F0626C"/>
    <w:rsid w:val="00F07B80"/>
    <w:rsid w:val="00F10C50"/>
    <w:rsid w:val="00F13050"/>
    <w:rsid w:val="00F476C4"/>
    <w:rsid w:val="00F618E0"/>
    <w:rsid w:val="00F70EF3"/>
    <w:rsid w:val="00F745F2"/>
    <w:rsid w:val="00F95A6D"/>
    <w:rsid w:val="00FA228E"/>
    <w:rsid w:val="00FA416C"/>
    <w:rsid w:val="00FC120A"/>
    <w:rsid w:val="00FD18EE"/>
    <w:rsid w:val="00FD1DAF"/>
    <w:rsid w:val="00FE29D6"/>
    <w:rsid w:val="00FF0C74"/>
    <w:rsid w:val="00FF13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32FC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4F2A7A"/>
    <w:pPr>
      <w:ind w:left="720"/>
    </w:pPr>
  </w:style>
  <w:style w:type="character" w:customStyle="1" w:styleId="HeaderChar">
    <w:name w:val="Header Char"/>
    <w:link w:val="Header"/>
    <w:uiPriority w:val="99"/>
    <w:rsid w:val="0014553C"/>
  </w:style>
  <w:style w:type="paragraph" w:styleId="FootnoteText">
    <w:name w:val="footnote text"/>
    <w:basedOn w:val="Normal"/>
    <w:link w:val="FootnoteTextChar"/>
    <w:rsid w:val="00F745F2"/>
    <w:rPr>
      <w:sz w:val="20"/>
      <w:szCs w:val="20"/>
    </w:rPr>
  </w:style>
  <w:style w:type="character" w:customStyle="1" w:styleId="FootnoteTextChar">
    <w:name w:val="Footnote Text Char"/>
    <w:basedOn w:val="DefaultParagraphFont"/>
    <w:link w:val="FootnoteText"/>
    <w:rsid w:val="00F745F2"/>
  </w:style>
  <w:style w:type="character" w:styleId="FootnoteReference">
    <w:name w:val="footnote reference"/>
    <w:uiPriority w:val="99"/>
    <w:rsid w:val="00F745F2"/>
    <w:rPr>
      <w:vertAlign w:val="superscript"/>
    </w:rPr>
  </w:style>
  <w:style w:type="table" w:customStyle="1" w:styleId="TableGrid1">
    <w:name w:val="Table Grid1"/>
    <w:basedOn w:val="TableNormal"/>
    <w:next w:val="TableGrid"/>
    <w:uiPriority w:val="39"/>
    <w:rsid w:val="00F745F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821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625E"/>
    <w:rPr>
      <w:color w:val="605E5C"/>
      <w:shd w:val="clear" w:color="auto" w:fill="E1DFDD"/>
    </w:rPr>
  </w:style>
  <w:style w:type="paragraph" w:styleId="Revision">
    <w:name w:val="Revision"/>
    <w:hidden/>
    <w:uiPriority w:val="99"/>
    <w:semiHidden/>
    <w:rsid w:val="005358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2156</Words>
  <Characters>12290</Characters>
  <Application>Microsoft Office Word</Application>
  <DocSecurity>0</DocSecurity>
  <Lines>102</Lines>
  <Paragraphs>28</Paragraphs>
  <ScaleCrop>false</ScaleCrop>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2026-04-03T17:30:00Z</dcterms:created>
  <dcterms:modified xsi:type="dcterms:W3CDTF">2026-04-03T17:30:00Z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5fda1ca3-b0dd-41a6-9275-db27d69a62a6</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2026-04-03T17:30:59Z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