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202530" w:rsidP="0054353B" w14:paraId="1F528C7F" w14:textId="27271C6E">
      <w:pPr>
        <w:suppressAutoHyphens/>
        <w:jc w:val="center"/>
        <w:rPr>
          <w:rFonts w:ascii="Arial" w:hAnsi="Arial" w:cs="Arial"/>
          <w:b/>
          <w:sz w:val="22"/>
          <w:szCs w:val="22"/>
        </w:rPr>
      </w:pPr>
      <w:r w:rsidRPr="00202530">
        <w:rPr>
          <w:rFonts w:ascii="Arial" w:hAnsi="Arial" w:cs="Arial"/>
          <w:b/>
          <w:sz w:val="22"/>
          <w:szCs w:val="22"/>
        </w:rPr>
        <w:t>DEPARTMENT OF THE TREASURY</w:t>
      </w:r>
      <w:r w:rsidRPr="00202530" w:rsidR="0054353B">
        <w:rPr>
          <w:rFonts w:ascii="Arial" w:hAnsi="Arial" w:cs="Arial"/>
          <w:b/>
          <w:sz w:val="22"/>
          <w:szCs w:val="22"/>
        </w:rPr>
        <w:t xml:space="preserve"> </w:t>
      </w:r>
    </w:p>
    <w:p w:rsidR="00AF1157" w:rsidRPr="00202530" w:rsidP="0054353B" w14:paraId="3CE4B2BD" w14:textId="77777777">
      <w:pPr>
        <w:suppressAutoHyphens/>
        <w:jc w:val="center"/>
        <w:rPr>
          <w:rFonts w:ascii="Arial" w:hAnsi="Arial" w:cs="Arial"/>
        </w:rPr>
      </w:pPr>
    </w:p>
    <w:p w:rsidR="00AF1157" w:rsidRPr="00202530" w:rsidP="00D73D2D" w14:paraId="2CA9C4E4" w14:textId="77777777">
      <w:pPr>
        <w:suppressAutoHyphens/>
        <w:jc w:val="center"/>
        <w:rPr>
          <w:rFonts w:ascii="Arial" w:hAnsi="Arial" w:cs="Arial"/>
          <w:b/>
          <w:sz w:val="22"/>
          <w:szCs w:val="22"/>
        </w:rPr>
      </w:pPr>
      <w:r w:rsidRPr="00202530">
        <w:rPr>
          <w:rFonts w:ascii="Arial" w:hAnsi="Arial" w:cs="Arial"/>
          <w:b/>
          <w:sz w:val="22"/>
          <w:szCs w:val="22"/>
        </w:rPr>
        <w:t xml:space="preserve">ALCOHOL </w:t>
      </w:r>
      <w:r w:rsidRPr="00202530" w:rsidR="00D004D6">
        <w:rPr>
          <w:rFonts w:ascii="Arial" w:hAnsi="Arial" w:cs="Arial"/>
          <w:b/>
          <w:sz w:val="22"/>
          <w:szCs w:val="22"/>
        </w:rPr>
        <w:t xml:space="preserve">AND </w:t>
      </w:r>
      <w:r w:rsidRPr="00202530">
        <w:rPr>
          <w:rFonts w:ascii="Arial" w:hAnsi="Arial" w:cs="Arial"/>
          <w:b/>
          <w:sz w:val="22"/>
          <w:szCs w:val="22"/>
        </w:rPr>
        <w:t>TOBACCO TAX AND TRADE BUREAU</w:t>
      </w:r>
      <w:r w:rsidRPr="00202530" w:rsidR="00D73D2D">
        <w:rPr>
          <w:rFonts w:ascii="Arial" w:hAnsi="Arial" w:cs="Arial"/>
          <w:b/>
          <w:sz w:val="22"/>
          <w:szCs w:val="22"/>
        </w:rPr>
        <w:t xml:space="preserve"> </w:t>
      </w:r>
    </w:p>
    <w:p w:rsidR="00AF1157" w:rsidRPr="00202530" w:rsidP="00D73D2D" w14:paraId="07F33C91" w14:textId="77777777">
      <w:pPr>
        <w:suppressAutoHyphens/>
        <w:jc w:val="center"/>
        <w:rPr>
          <w:rFonts w:ascii="Arial" w:hAnsi="Arial" w:cs="Arial"/>
          <w:sz w:val="28"/>
          <w:szCs w:val="28"/>
        </w:rPr>
      </w:pPr>
    </w:p>
    <w:p w:rsidR="00AF1157" w:rsidRPr="00202530" w:rsidP="00D73D2D" w14:paraId="19674312" w14:textId="77777777">
      <w:pPr>
        <w:suppressAutoHyphens/>
        <w:jc w:val="center"/>
        <w:rPr>
          <w:rFonts w:ascii="Arial" w:hAnsi="Arial" w:cs="Arial"/>
          <w:b/>
          <w:sz w:val="22"/>
          <w:szCs w:val="22"/>
        </w:rPr>
      </w:pPr>
      <w:r w:rsidRPr="00202530">
        <w:rPr>
          <w:rFonts w:ascii="Arial" w:hAnsi="Arial" w:cs="Arial"/>
          <w:b/>
          <w:sz w:val="22"/>
          <w:szCs w:val="22"/>
        </w:rPr>
        <w:t xml:space="preserve">Supporting Statement </w:t>
      </w:r>
      <w:r w:rsidRPr="00202530" w:rsidR="00D73D2D">
        <w:rPr>
          <w:rFonts w:ascii="Arial" w:hAnsi="Arial" w:cs="Arial"/>
          <w:b/>
          <w:sz w:val="22"/>
          <w:szCs w:val="22"/>
        </w:rPr>
        <w:t>––</w:t>
      </w:r>
      <w:r w:rsidRPr="00202530">
        <w:rPr>
          <w:rFonts w:ascii="Arial" w:hAnsi="Arial" w:cs="Arial"/>
          <w:b/>
          <w:sz w:val="22"/>
          <w:szCs w:val="22"/>
        </w:rPr>
        <w:t xml:space="preserve"> Information Collection Request</w:t>
      </w:r>
      <w:r w:rsidRPr="00202530" w:rsidR="00D73D2D">
        <w:rPr>
          <w:rFonts w:ascii="Arial" w:hAnsi="Arial" w:cs="Arial"/>
          <w:b/>
          <w:sz w:val="22"/>
          <w:szCs w:val="22"/>
        </w:rPr>
        <w:t xml:space="preserve"> </w:t>
      </w:r>
    </w:p>
    <w:p w:rsidR="00AF1157" w:rsidRPr="00202530" w:rsidP="00D73D2D" w14:paraId="2984CC74" w14:textId="77777777">
      <w:pPr>
        <w:suppressAutoHyphens/>
        <w:jc w:val="center"/>
        <w:rPr>
          <w:rFonts w:ascii="Arial" w:hAnsi="Arial" w:cs="Arial"/>
          <w:sz w:val="28"/>
          <w:szCs w:val="28"/>
        </w:rPr>
      </w:pPr>
    </w:p>
    <w:p w:rsidR="00AF1157" w:rsidRPr="00202530" w:rsidP="00D73D2D" w14:paraId="66A4397B" w14:textId="1C5050C9">
      <w:pPr>
        <w:suppressAutoHyphens/>
        <w:jc w:val="center"/>
        <w:rPr>
          <w:rFonts w:ascii="Arial" w:hAnsi="Arial" w:cs="Arial"/>
          <w:b/>
          <w:sz w:val="22"/>
          <w:szCs w:val="22"/>
          <w:u w:val="single"/>
        </w:rPr>
      </w:pPr>
      <w:r w:rsidRPr="00202530">
        <w:rPr>
          <w:rFonts w:ascii="Arial" w:hAnsi="Arial" w:cs="Arial"/>
          <w:b/>
          <w:sz w:val="22"/>
          <w:szCs w:val="22"/>
          <w:u w:val="single"/>
        </w:rPr>
        <w:t>OMB Control Number 1513</w:t>
      </w:r>
      <w:r w:rsidRPr="00202530" w:rsidR="00D73D2D">
        <w:rPr>
          <w:rFonts w:ascii="Arial" w:hAnsi="Arial" w:cs="Arial"/>
          <w:b/>
          <w:sz w:val="22"/>
          <w:szCs w:val="22"/>
          <w:u w:val="single"/>
        </w:rPr>
        <w:t>–</w:t>
      </w:r>
      <w:r w:rsidRPr="00202530" w:rsidR="006C7F52">
        <w:rPr>
          <w:rFonts w:ascii="Arial" w:hAnsi="Arial" w:cs="Arial"/>
          <w:b/>
          <w:sz w:val="22"/>
          <w:szCs w:val="22"/>
          <w:u w:val="single"/>
        </w:rPr>
        <w:t>0011</w:t>
      </w:r>
      <w:r w:rsidRPr="00202530" w:rsidR="00987432">
        <w:rPr>
          <w:rFonts w:ascii="Arial" w:hAnsi="Arial" w:cs="Arial"/>
          <w:b/>
          <w:sz w:val="22"/>
          <w:szCs w:val="22"/>
          <w:u w:val="single"/>
        </w:rPr>
        <w:t xml:space="preserve"> </w:t>
      </w:r>
    </w:p>
    <w:p w:rsidR="008A1799" w:rsidRPr="00202530" w:rsidP="00D73D2D" w14:paraId="5037EB09" w14:textId="77777777">
      <w:pPr>
        <w:suppressAutoHyphens/>
        <w:jc w:val="center"/>
        <w:rPr>
          <w:rFonts w:ascii="Arial" w:hAnsi="Arial" w:cs="Arial"/>
          <w:sz w:val="28"/>
          <w:szCs w:val="28"/>
        </w:rPr>
      </w:pPr>
    </w:p>
    <w:p w:rsidR="00BA1CD0" w:rsidRPr="00202530" w:rsidP="008A1799" w14:paraId="5CE49211" w14:textId="659BFA11">
      <w:pPr>
        <w:jc w:val="center"/>
        <w:rPr>
          <w:rFonts w:ascii="Arial" w:hAnsi="Arial" w:cs="Arial"/>
          <w:b/>
          <w:sz w:val="22"/>
          <w:szCs w:val="22"/>
        </w:rPr>
      </w:pPr>
      <w:r w:rsidRPr="00202530">
        <w:rPr>
          <w:rFonts w:ascii="Arial" w:hAnsi="Arial" w:cs="Arial"/>
          <w:b/>
          <w:sz w:val="22"/>
          <w:szCs w:val="22"/>
        </w:rPr>
        <w:t>Formula and/or Process for Article Made With Specially Denatured Spirits</w:t>
      </w:r>
      <w:r w:rsidRPr="00202530" w:rsidR="008A1799">
        <w:rPr>
          <w:rFonts w:ascii="Arial" w:hAnsi="Arial" w:cs="Arial"/>
          <w:b/>
          <w:sz w:val="22"/>
          <w:szCs w:val="22"/>
        </w:rPr>
        <w:t xml:space="preserve"> </w:t>
      </w:r>
    </w:p>
    <w:p w:rsidR="00FA307E" w:rsidRPr="00202530" w:rsidP="009A6532" w14:paraId="330B7AC9" w14:textId="77777777">
      <w:pPr>
        <w:rPr>
          <w:rFonts w:ascii="Arial" w:hAnsi="Arial" w:cs="Arial"/>
          <w:sz w:val="22"/>
          <w:szCs w:val="22"/>
          <w:highlight w:val="yellow"/>
        </w:rPr>
      </w:pPr>
    </w:p>
    <w:p w:rsidR="009D2C71" w:rsidRPr="00202530" w:rsidP="009D2C71" w14:paraId="4AA761EE" w14:textId="77777777">
      <w:pPr>
        <w:widowControl w:val="0"/>
        <w:autoSpaceDE w:val="0"/>
        <w:autoSpaceDN w:val="0"/>
        <w:adjustRightInd w:val="0"/>
        <w:rPr>
          <w:rFonts w:ascii="Arial" w:eastAsia="MS Mincho" w:hAnsi="Arial" w:cs="Arial"/>
          <w:bCs/>
          <w:sz w:val="22"/>
          <w:szCs w:val="22"/>
        </w:rPr>
      </w:pPr>
    </w:p>
    <w:p w:rsidR="009D2C71" w:rsidRPr="00202530" w:rsidP="009D2C71" w14:paraId="1264C75F" w14:textId="77777777">
      <w:pPr>
        <w:rPr>
          <w:rFonts w:ascii="Arial" w:hAnsi="Arial" w:cs="Arial"/>
          <w:b/>
          <w:sz w:val="22"/>
          <w:szCs w:val="22"/>
          <w:u w:val="single"/>
        </w:rPr>
      </w:pPr>
      <w:r w:rsidRPr="00202530">
        <w:rPr>
          <w:rFonts w:ascii="Arial" w:hAnsi="Arial" w:cs="Arial"/>
          <w:b/>
          <w:sz w:val="22"/>
          <w:szCs w:val="22"/>
          <w:u w:val="single"/>
        </w:rPr>
        <w:t xml:space="preserve">Changes Since Last Approval </w:t>
      </w:r>
    </w:p>
    <w:p w:rsidR="009D2C71" w:rsidRPr="00202530" w:rsidP="009D2C71" w14:paraId="3F414E2B" w14:textId="77777777">
      <w:pPr>
        <w:rPr>
          <w:rFonts w:ascii="Arial" w:hAnsi="Arial" w:cs="Arial"/>
          <w:sz w:val="22"/>
          <w:szCs w:val="22"/>
        </w:rPr>
      </w:pPr>
    </w:p>
    <w:p w:rsidR="009D2C71" w:rsidRPr="00202530" w:rsidP="009D2C71" w14:paraId="4760AC79" w14:textId="77777777">
      <w:pPr>
        <w:ind w:left="360"/>
        <w:rPr>
          <w:rFonts w:ascii="Arial" w:hAnsi="Arial" w:cs="Arial"/>
          <w:sz w:val="22"/>
          <w:szCs w:val="22"/>
        </w:rPr>
      </w:pPr>
      <w:r w:rsidRPr="00202530">
        <w:rPr>
          <w:rFonts w:ascii="Arial" w:hAnsi="Arial" w:cs="Arial"/>
          <w:sz w:val="22"/>
          <w:szCs w:val="22"/>
        </w:rPr>
        <w:t xml:space="preserve">Changes made to the Supporting Statement since this information collection’s last approval: </w:t>
      </w:r>
    </w:p>
    <w:p w:rsidR="009D2C71" w:rsidRPr="00202530" w:rsidP="009D2C71" w14:paraId="62C58A87" w14:textId="77777777">
      <w:pPr>
        <w:ind w:left="360"/>
        <w:rPr>
          <w:rFonts w:ascii="Arial" w:hAnsi="Arial" w:cs="Arial"/>
          <w:sz w:val="22"/>
          <w:szCs w:val="22"/>
        </w:rPr>
      </w:pPr>
    </w:p>
    <w:p w:rsidR="009D2C71" w:rsidRPr="00202530" w:rsidP="009D2C71" w14:paraId="3A48A0B6" w14:textId="77777777">
      <w:pPr>
        <w:numPr>
          <w:ilvl w:val="0"/>
          <w:numId w:val="7"/>
        </w:numPr>
        <w:spacing w:after="120"/>
        <w:ind w:left="720"/>
        <w:rPr>
          <w:rFonts w:ascii="Arial" w:hAnsi="Arial" w:cs="Arial"/>
          <w:sz w:val="22"/>
          <w:szCs w:val="22"/>
        </w:rPr>
      </w:pPr>
      <w:r w:rsidRPr="00202530">
        <w:rPr>
          <w:rFonts w:ascii="Arial" w:hAnsi="Arial" w:cs="Arial"/>
          <w:sz w:val="22"/>
          <w:szCs w:val="22"/>
        </w:rPr>
        <w:t xml:space="preserve">In Question 8, TTB is updating the 60-day notice publication information for this information collection. </w:t>
      </w:r>
    </w:p>
    <w:p w:rsidR="009D2C71" w:rsidRPr="00202530" w:rsidP="00202530" w14:paraId="3EAB0379" w14:textId="1A17945B">
      <w:pPr>
        <w:numPr>
          <w:ilvl w:val="0"/>
          <w:numId w:val="7"/>
        </w:numPr>
        <w:spacing w:after="120"/>
        <w:ind w:left="720"/>
        <w:rPr>
          <w:rFonts w:ascii="Arial" w:hAnsi="Arial" w:cs="Arial"/>
          <w:sz w:val="22"/>
          <w:szCs w:val="22"/>
        </w:rPr>
      </w:pPr>
      <w:r w:rsidRPr="00202530">
        <w:rPr>
          <w:rFonts w:ascii="Arial" w:hAnsi="Arial" w:cs="Arial"/>
          <w:sz w:val="22"/>
          <w:szCs w:val="22"/>
        </w:rPr>
        <w:t>In Question</w:t>
      </w:r>
      <w:r w:rsidRPr="00202530" w:rsidR="00202530">
        <w:rPr>
          <w:rFonts w:ascii="Arial" w:hAnsi="Arial" w:cs="Arial"/>
          <w:sz w:val="22"/>
          <w:szCs w:val="22"/>
        </w:rPr>
        <w:t>s</w:t>
      </w:r>
      <w:r w:rsidRPr="00202530">
        <w:rPr>
          <w:rFonts w:ascii="Arial" w:hAnsi="Arial" w:cs="Arial"/>
          <w:sz w:val="22"/>
          <w:szCs w:val="22"/>
        </w:rPr>
        <w:t xml:space="preserve"> 12, </w:t>
      </w:r>
      <w:r w:rsidRPr="00202530" w:rsidR="00202530">
        <w:rPr>
          <w:rFonts w:ascii="Arial" w:hAnsi="Arial" w:cs="Arial"/>
          <w:sz w:val="22"/>
          <w:szCs w:val="22"/>
        </w:rPr>
        <w:t xml:space="preserve">13, and 14, TTB </w:t>
      </w:r>
      <w:r w:rsidRPr="00202530">
        <w:rPr>
          <w:rFonts w:ascii="Arial" w:hAnsi="Arial" w:cs="Arial"/>
          <w:sz w:val="22"/>
          <w:szCs w:val="22"/>
        </w:rPr>
        <w:t>is revising</w:t>
      </w:r>
      <w:r w:rsidRPr="00202530" w:rsidR="00202530">
        <w:rPr>
          <w:rFonts w:ascii="Arial" w:hAnsi="Arial" w:cs="Arial"/>
          <w:sz w:val="22"/>
          <w:szCs w:val="22"/>
        </w:rPr>
        <w:t>, respectively,</w:t>
      </w:r>
      <w:r w:rsidRPr="00202530">
        <w:rPr>
          <w:rFonts w:ascii="Arial" w:hAnsi="Arial" w:cs="Arial"/>
          <w:sz w:val="22"/>
          <w:szCs w:val="22"/>
        </w:rPr>
        <w:t xml:space="preserve"> the </w:t>
      </w:r>
      <w:r w:rsidR="002E5319">
        <w:rPr>
          <w:rFonts w:ascii="Arial" w:hAnsi="Arial" w:cs="Arial"/>
          <w:sz w:val="22"/>
          <w:szCs w:val="22"/>
        </w:rPr>
        <w:t xml:space="preserve">annual </w:t>
      </w:r>
      <w:r w:rsidRPr="00202530">
        <w:rPr>
          <w:rFonts w:ascii="Arial" w:hAnsi="Arial" w:cs="Arial"/>
          <w:sz w:val="22"/>
          <w:szCs w:val="22"/>
        </w:rPr>
        <w:t xml:space="preserve">estimated </w:t>
      </w:r>
      <w:r w:rsidRPr="00202530" w:rsidR="00202530">
        <w:rPr>
          <w:rFonts w:ascii="Arial" w:hAnsi="Arial" w:cs="Arial"/>
          <w:sz w:val="22"/>
          <w:szCs w:val="22"/>
        </w:rPr>
        <w:t xml:space="preserve">respondent </w:t>
      </w:r>
      <w:r w:rsidRPr="00202530">
        <w:rPr>
          <w:rFonts w:ascii="Arial" w:hAnsi="Arial" w:cs="Arial"/>
          <w:sz w:val="22"/>
          <w:szCs w:val="22"/>
        </w:rPr>
        <w:t>burden</w:t>
      </w:r>
      <w:r w:rsidRPr="00202530" w:rsidR="00202530">
        <w:rPr>
          <w:rFonts w:ascii="Arial" w:hAnsi="Arial" w:cs="Arial"/>
          <w:sz w:val="22"/>
          <w:szCs w:val="22"/>
        </w:rPr>
        <w:t xml:space="preserve"> and labor costs, the respondent non-labor costs, and costs to the Federal Government associated with this information collection. </w:t>
      </w:r>
    </w:p>
    <w:p w:rsidR="000D515B" w:rsidRPr="00202530" w:rsidP="009D2C71" w14:paraId="1B507F76" w14:textId="77606560">
      <w:pPr>
        <w:numPr>
          <w:ilvl w:val="0"/>
          <w:numId w:val="7"/>
        </w:numPr>
        <w:ind w:left="720"/>
        <w:rPr>
          <w:rFonts w:ascii="Arial" w:hAnsi="Arial" w:cs="Arial"/>
          <w:sz w:val="22"/>
          <w:szCs w:val="22"/>
        </w:rPr>
      </w:pPr>
      <w:r w:rsidRPr="00202530">
        <w:rPr>
          <w:rFonts w:ascii="Arial" w:hAnsi="Arial" w:cs="Arial"/>
          <w:sz w:val="22"/>
          <w:szCs w:val="22"/>
        </w:rPr>
        <w:t xml:space="preserve">In Question 15, TTB explains the changes to the </w:t>
      </w:r>
      <w:r w:rsidR="0066740E">
        <w:rPr>
          <w:rFonts w:ascii="Arial" w:hAnsi="Arial" w:cs="Arial"/>
          <w:sz w:val="22"/>
          <w:szCs w:val="22"/>
        </w:rPr>
        <w:t xml:space="preserve">respondent </w:t>
      </w:r>
      <w:r w:rsidRPr="00202530">
        <w:rPr>
          <w:rFonts w:ascii="Arial" w:hAnsi="Arial" w:cs="Arial"/>
          <w:sz w:val="22"/>
          <w:szCs w:val="22"/>
        </w:rPr>
        <w:t xml:space="preserve">burden estimates for this collection. </w:t>
      </w:r>
    </w:p>
    <w:p w:rsidR="009D2C71" w:rsidRPr="00202530" w:rsidP="009D2C71" w14:paraId="41B121C8" w14:textId="77777777">
      <w:pPr>
        <w:widowControl w:val="0"/>
        <w:autoSpaceDE w:val="0"/>
        <w:autoSpaceDN w:val="0"/>
        <w:adjustRightInd w:val="0"/>
        <w:rPr>
          <w:rFonts w:ascii="Arial" w:eastAsia="MS Mincho" w:hAnsi="Arial" w:cs="Arial"/>
          <w:bCs/>
          <w:sz w:val="22"/>
          <w:szCs w:val="22"/>
        </w:rPr>
      </w:pPr>
    </w:p>
    <w:p w:rsidR="009D2C71" w:rsidRPr="00202530" w:rsidP="009D2C71" w14:paraId="4369D3EB" w14:textId="77777777">
      <w:pPr>
        <w:suppressAutoHyphens/>
        <w:rPr>
          <w:rFonts w:ascii="Arial" w:hAnsi="Arial" w:cs="Arial"/>
          <w:sz w:val="22"/>
          <w:szCs w:val="22"/>
        </w:rPr>
      </w:pPr>
    </w:p>
    <w:p w:rsidR="009D2C71" w:rsidRPr="00202530" w:rsidP="009D2C71" w14:paraId="4DF3A52E" w14:textId="77777777">
      <w:pPr>
        <w:suppressAutoHyphens/>
        <w:rPr>
          <w:rFonts w:ascii="Arial" w:hAnsi="Arial" w:cs="Arial"/>
          <w:b/>
          <w:sz w:val="22"/>
          <w:szCs w:val="22"/>
          <w:u w:val="single"/>
        </w:rPr>
      </w:pPr>
      <w:r w:rsidRPr="00202530">
        <w:rPr>
          <w:rFonts w:ascii="Arial" w:hAnsi="Arial" w:cs="Arial"/>
          <w:b/>
          <w:sz w:val="22"/>
          <w:szCs w:val="22"/>
          <w:u w:val="single"/>
        </w:rPr>
        <w:t xml:space="preserve">A.  Justification </w:t>
      </w:r>
    </w:p>
    <w:p w:rsidR="009D2C71" w:rsidRPr="00202530" w:rsidP="009D2C71" w14:paraId="1714A224" w14:textId="77777777">
      <w:pPr>
        <w:suppressAutoHyphens/>
        <w:rPr>
          <w:rFonts w:ascii="Arial" w:hAnsi="Arial" w:cs="Arial"/>
          <w:sz w:val="22"/>
          <w:szCs w:val="22"/>
        </w:rPr>
      </w:pPr>
    </w:p>
    <w:p w:rsidR="009D2C71" w:rsidRPr="00202530" w:rsidP="009D2C71" w14:paraId="0D9CFD0C" w14:textId="77777777">
      <w:pPr>
        <w:tabs>
          <w:tab w:val="left" w:pos="360"/>
        </w:tabs>
        <w:suppressAutoHyphens/>
        <w:rPr>
          <w:rFonts w:ascii="Arial" w:hAnsi="Arial" w:cs="Arial"/>
          <w:i/>
          <w:sz w:val="22"/>
          <w:szCs w:val="22"/>
        </w:rPr>
      </w:pPr>
      <w:r w:rsidRPr="00202530">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9D2C71" w:rsidRPr="00202530" w:rsidP="009D2C71" w14:paraId="5AA47127" w14:textId="77777777">
      <w:pPr>
        <w:rPr>
          <w:rFonts w:ascii="Arial" w:hAnsi="Arial" w:cs="Arial"/>
          <w:sz w:val="22"/>
          <w:szCs w:val="22"/>
        </w:rPr>
      </w:pPr>
    </w:p>
    <w:p w:rsidR="009D2C71" w:rsidRPr="00202530" w:rsidP="009D2C71" w14:paraId="7195BD0E" w14:textId="77777777">
      <w:pPr>
        <w:ind w:left="360"/>
        <w:rPr>
          <w:rFonts w:ascii="Arial" w:hAnsi="Arial" w:cs="Arial"/>
          <w:sz w:val="22"/>
          <w:szCs w:val="22"/>
        </w:rPr>
      </w:pPr>
      <w:r w:rsidRPr="00202530">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9D2C71" w:rsidRPr="0040416C" w:rsidP="009D2C71" w14:paraId="1882C4C3" w14:textId="77777777">
      <w:pPr>
        <w:tabs>
          <w:tab w:val="left" w:pos="540"/>
        </w:tabs>
        <w:ind w:left="360"/>
        <w:rPr>
          <w:rFonts w:ascii="Arial" w:hAnsi="Arial" w:cs="Arial"/>
          <w:sz w:val="22"/>
          <w:szCs w:val="22"/>
        </w:rPr>
      </w:pPr>
    </w:p>
    <w:p w:rsidR="003E41DB" w:rsidRPr="0040416C" w:rsidP="00010FCE" w14:paraId="7A0F68FF" w14:textId="55CE8A3B">
      <w:pPr>
        <w:autoSpaceDE w:val="0"/>
        <w:autoSpaceDN w:val="0"/>
        <w:adjustRightInd w:val="0"/>
        <w:ind w:left="360"/>
        <w:rPr>
          <w:rFonts w:ascii="Arial" w:hAnsi="Arial" w:cs="Arial"/>
          <w:sz w:val="22"/>
          <w:szCs w:val="22"/>
        </w:rPr>
      </w:pPr>
      <w:r w:rsidRPr="0040416C">
        <w:rPr>
          <w:rFonts w:ascii="Arial" w:hAnsi="Arial" w:cs="Arial"/>
          <w:sz w:val="22"/>
          <w:szCs w:val="22"/>
        </w:rPr>
        <w:t>In general, under the IRC at 26 U.S.C. 5214, distilled spirits used in the manufacture of nonbeverage articles</w:t>
      </w:r>
      <w:r w:rsidRPr="0040416C" w:rsidR="00DB1A9F">
        <w:rPr>
          <w:rFonts w:ascii="Arial" w:hAnsi="Arial" w:cs="Arial"/>
          <w:sz w:val="22"/>
          <w:szCs w:val="22"/>
        </w:rPr>
        <w:t xml:space="preserve"> </w:t>
      </w:r>
      <w:r w:rsidRPr="0040416C">
        <w:rPr>
          <w:rFonts w:ascii="Arial" w:hAnsi="Arial" w:cs="Arial"/>
          <w:sz w:val="22"/>
          <w:szCs w:val="22"/>
        </w:rPr>
        <w:t>are not subject to Federal excise tax</w:t>
      </w:r>
      <w:r w:rsidRPr="0040416C" w:rsidR="00DB1A9F">
        <w:rPr>
          <w:rFonts w:ascii="Arial" w:hAnsi="Arial" w:cs="Arial"/>
          <w:sz w:val="22"/>
          <w:szCs w:val="22"/>
        </w:rPr>
        <w:t>.</w:t>
      </w:r>
      <w:r w:rsidRPr="0040416C" w:rsidR="00DB1A9F">
        <w:rPr>
          <w:rStyle w:val="FootnoteReference"/>
          <w:rFonts w:ascii="Arial" w:hAnsi="Arial" w:cs="Arial"/>
          <w:sz w:val="22"/>
          <w:szCs w:val="22"/>
        </w:rPr>
        <w:t xml:space="preserve"> </w:t>
      </w:r>
      <w:r>
        <w:rPr>
          <w:rStyle w:val="FootnoteReference"/>
          <w:rFonts w:ascii="Arial" w:hAnsi="Arial" w:cs="Arial"/>
          <w:sz w:val="22"/>
          <w:szCs w:val="22"/>
        </w:rPr>
        <w:footnoteReference w:id="2"/>
      </w:r>
      <w:r w:rsidRPr="0040416C" w:rsidR="00DB1A9F">
        <w:rPr>
          <w:rFonts w:ascii="Arial" w:hAnsi="Arial" w:cs="Arial"/>
          <w:sz w:val="22"/>
          <w:szCs w:val="22"/>
        </w:rPr>
        <w:t xml:space="preserve">  However, </w:t>
      </w:r>
      <w:r w:rsidRPr="0040416C">
        <w:rPr>
          <w:rFonts w:ascii="Arial" w:hAnsi="Arial" w:cs="Arial"/>
          <w:sz w:val="22"/>
          <w:szCs w:val="22"/>
        </w:rPr>
        <w:t xml:space="preserve">under </w:t>
      </w:r>
      <w:r w:rsidRPr="0040416C" w:rsidR="00DB1A9F">
        <w:rPr>
          <w:rFonts w:ascii="Arial" w:hAnsi="Arial" w:cs="Arial"/>
          <w:sz w:val="22"/>
          <w:szCs w:val="22"/>
        </w:rPr>
        <w:t xml:space="preserve">the IRC at </w:t>
      </w:r>
      <w:r w:rsidRPr="0040416C">
        <w:rPr>
          <w:rFonts w:ascii="Arial" w:hAnsi="Arial" w:cs="Arial"/>
          <w:sz w:val="22"/>
          <w:szCs w:val="22"/>
        </w:rPr>
        <w:t xml:space="preserve">26 U.S.C. 5273, persons who intend to produce such articles using specially denatured distilled spirits (SDS) must obtain prior approval of their formulas and manufacturing processes.  For medicinal preparations and flavoring extracts intended for internal human use, </w:t>
      </w:r>
      <w:r w:rsidRPr="0040416C" w:rsidR="00DB1A9F">
        <w:rPr>
          <w:rFonts w:ascii="Arial" w:hAnsi="Arial" w:cs="Arial"/>
          <w:sz w:val="22"/>
          <w:szCs w:val="22"/>
        </w:rPr>
        <w:t xml:space="preserve">section </w:t>
      </w:r>
      <w:r w:rsidRPr="0040416C" w:rsidR="00492D99">
        <w:rPr>
          <w:rFonts w:ascii="Arial" w:hAnsi="Arial" w:cs="Arial"/>
          <w:sz w:val="22"/>
          <w:szCs w:val="22"/>
        </w:rPr>
        <w:t xml:space="preserve">5273 </w:t>
      </w:r>
      <w:r w:rsidRPr="0040416C">
        <w:rPr>
          <w:rFonts w:ascii="Arial" w:hAnsi="Arial" w:cs="Arial"/>
          <w:sz w:val="22"/>
          <w:szCs w:val="22"/>
        </w:rPr>
        <w:t xml:space="preserve">also prohibits SDS from remaining in the finished articles. </w:t>
      </w:r>
    </w:p>
    <w:p w:rsidR="003E41DB" w:rsidRPr="0040416C" w:rsidP="003E41DB" w14:paraId="4459EAD6" w14:textId="77777777">
      <w:pPr>
        <w:autoSpaceDE w:val="0"/>
        <w:autoSpaceDN w:val="0"/>
        <w:adjustRightInd w:val="0"/>
        <w:ind w:left="360"/>
        <w:rPr>
          <w:rFonts w:ascii="Arial" w:hAnsi="Arial" w:cs="Arial"/>
          <w:sz w:val="22"/>
          <w:szCs w:val="22"/>
        </w:rPr>
      </w:pPr>
    </w:p>
    <w:p w:rsidR="00DB1A9F" w:rsidRPr="0040416C" w:rsidP="003E41DB" w14:paraId="3D48BA75" w14:textId="210DF08E">
      <w:pPr>
        <w:autoSpaceDE w:val="0"/>
        <w:autoSpaceDN w:val="0"/>
        <w:adjustRightInd w:val="0"/>
        <w:ind w:left="360"/>
        <w:rPr>
          <w:rFonts w:ascii="Arial" w:hAnsi="Arial" w:cs="Arial"/>
          <w:sz w:val="22"/>
          <w:szCs w:val="22"/>
        </w:rPr>
      </w:pPr>
      <w:r w:rsidRPr="0040416C">
        <w:rPr>
          <w:rFonts w:ascii="Arial" w:hAnsi="Arial" w:cs="Arial"/>
          <w:sz w:val="22"/>
          <w:szCs w:val="22"/>
        </w:rPr>
        <w:t xml:space="preserve">Under that IRC authority, the TTB regulations in </w:t>
      </w:r>
      <w:r w:rsidRPr="0040416C" w:rsidR="00010FCE">
        <w:rPr>
          <w:rFonts w:ascii="Arial" w:hAnsi="Arial" w:cs="Arial"/>
          <w:sz w:val="22"/>
          <w:szCs w:val="22"/>
        </w:rPr>
        <w:t xml:space="preserve">27 CFR </w:t>
      </w:r>
      <w:r w:rsidRPr="0040416C" w:rsidR="00492D99">
        <w:rPr>
          <w:rFonts w:ascii="Arial" w:hAnsi="Arial" w:cs="Arial"/>
          <w:sz w:val="22"/>
          <w:szCs w:val="22"/>
        </w:rPr>
        <w:t>P</w:t>
      </w:r>
      <w:r w:rsidRPr="0040416C" w:rsidR="00010FCE">
        <w:rPr>
          <w:rFonts w:ascii="Arial" w:hAnsi="Arial" w:cs="Arial"/>
          <w:sz w:val="22"/>
          <w:szCs w:val="22"/>
        </w:rPr>
        <w:t>art 20</w:t>
      </w:r>
      <w:r w:rsidRPr="0040416C" w:rsidR="006B17E1">
        <w:rPr>
          <w:rFonts w:ascii="Arial" w:hAnsi="Arial" w:cs="Arial"/>
          <w:sz w:val="22"/>
          <w:szCs w:val="22"/>
        </w:rPr>
        <w:t>,</w:t>
      </w:r>
      <w:r w:rsidRPr="0040416C" w:rsidR="00492D99">
        <w:rPr>
          <w:rFonts w:ascii="Arial" w:hAnsi="Arial" w:cs="Arial"/>
          <w:sz w:val="22"/>
          <w:szCs w:val="22"/>
        </w:rPr>
        <w:t xml:space="preserve"> Distribution and Use of Denatured Alcohol and Rum</w:t>
      </w:r>
      <w:r w:rsidRPr="0040416C" w:rsidR="006B17E1">
        <w:rPr>
          <w:rFonts w:ascii="Arial" w:hAnsi="Arial" w:cs="Arial"/>
          <w:sz w:val="22"/>
          <w:szCs w:val="22"/>
        </w:rPr>
        <w:t>,</w:t>
      </w:r>
      <w:r w:rsidRPr="0040416C" w:rsidR="00010FCE">
        <w:rPr>
          <w:rFonts w:ascii="Arial" w:hAnsi="Arial" w:cs="Arial"/>
          <w:sz w:val="22"/>
          <w:szCs w:val="22"/>
        </w:rPr>
        <w:t xml:space="preserve"> require persons </w:t>
      </w:r>
      <w:r w:rsidRPr="0040416C" w:rsidR="003E41DB">
        <w:rPr>
          <w:rFonts w:ascii="Arial" w:hAnsi="Arial" w:cs="Arial"/>
          <w:sz w:val="22"/>
          <w:szCs w:val="22"/>
        </w:rPr>
        <w:t xml:space="preserve">intending to manufacture nonbeverage articles with SDS to </w:t>
      </w:r>
      <w:r w:rsidRPr="0040416C" w:rsidR="00010FCE">
        <w:rPr>
          <w:rFonts w:ascii="Arial" w:hAnsi="Arial" w:cs="Arial"/>
          <w:sz w:val="22"/>
          <w:szCs w:val="22"/>
        </w:rPr>
        <w:t xml:space="preserve">file </w:t>
      </w:r>
      <w:r w:rsidRPr="0040416C" w:rsidR="003E41DB">
        <w:rPr>
          <w:rFonts w:ascii="Arial" w:hAnsi="Arial" w:cs="Arial"/>
          <w:sz w:val="22"/>
          <w:szCs w:val="22"/>
        </w:rPr>
        <w:t xml:space="preserve">the </w:t>
      </w:r>
      <w:r w:rsidRPr="0040416C" w:rsidR="009D2C71">
        <w:rPr>
          <w:rFonts w:ascii="Arial" w:hAnsi="Arial" w:cs="Arial"/>
          <w:sz w:val="22"/>
          <w:szCs w:val="22"/>
        </w:rPr>
        <w:t>IRC-</w:t>
      </w:r>
      <w:r w:rsidRPr="0040416C" w:rsidR="003E41DB">
        <w:rPr>
          <w:rFonts w:ascii="Arial" w:hAnsi="Arial" w:cs="Arial"/>
          <w:sz w:val="22"/>
          <w:szCs w:val="22"/>
        </w:rPr>
        <w:t xml:space="preserve">required </w:t>
      </w:r>
      <w:r w:rsidRPr="0040416C" w:rsidR="00010FCE">
        <w:rPr>
          <w:rFonts w:ascii="Arial" w:hAnsi="Arial" w:cs="Arial"/>
          <w:sz w:val="22"/>
          <w:szCs w:val="22"/>
        </w:rPr>
        <w:t xml:space="preserve">formula and </w:t>
      </w:r>
      <w:r w:rsidRPr="0040416C" w:rsidR="006A3745">
        <w:rPr>
          <w:rFonts w:ascii="Arial" w:hAnsi="Arial" w:cs="Arial"/>
          <w:sz w:val="22"/>
          <w:szCs w:val="22"/>
        </w:rPr>
        <w:t xml:space="preserve">statement of </w:t>
      </w:r>
      <w:r w:rsidRPr="0040416C" w:rsidR="00010FCE">
        <w:rPr>
          <w:rFonts w:ascii="Arial" w:hAnsi="Arial" w:cs="Arial"/>
          <w:sz w:val="22"/>
          <w:szCs w:val="22"/>
        </w:rPr>
        <w:t xml:space="preserve">process approval requests for </w:t>
      </w:r>
      <w:r w:rsidRPr="0040416C" w:rsidR="003E41DB">
        <w:rPr>
          <w:rFonts w:ascii="Arial" w:hAnsi="Arial" w:cs="Arial"/>
          <w:sz w:val="22"/>
          <w:szCs w:val="22"/>
        </w:rPr>
        <w:t xml:space="preserve">such </w:t>
      </w:r>
      <w:r w:rsidRPr="0040416C" w:rsidR="00AA64FB">
        <w:rPr>
          <w:rFonts w:ascii="Arial" w:hAnsi="Arial" w:cs="Arial"/>
          <w:sz w:val="22"/>
          <w:szCs w:val="22"/>
        </w:rPr>
        <w:t xml:space="preserve">products </w:t>
      </w:r>
      <w:r w:rsidRPr="0040416C" w:rsidR="00010FCE">
        <w:rPr>
          <w:rFonts w:ascii="Arial" w:hAnsi="Arial" w:cs="Arial"/>
          <w:sz w:val="22"/>
          <w:szCs w:val="22"/>
        </w:rPr>
        <w:t>using TTB F</w:t>
      </w:r>
      <w:r w:rsidRPr="0040416C" w:rsidR="006B17E1">
        <w:rPr>
          <w:rFonts w:ascii="Arial" w:hAnsi="Arial" w:cs="Arial"/>
          <w:sz w:val="22"/>
          <w:szCs w:val="22"/>
        </w:rPr>
        <w:t> </w:t>
      </w:r>
      <w:r w:rsidRPr="0040416C" w:rsidR="00010FCE">
        <w:rPr>
          <w:rFonts w:ascii="Arial" w:hAnsi="Arial" w:cs="Arial"/>
          <w:sz w:val="22"/>
          <w:szCs w:val="22"/>
        </w:rPr>
        <w:t xml:space="preserve">5150.19, Formula and/or Process for Article Made With Specially Denatured Spirits. </w:t>
      </w:r>
      <w:r w:rsidRPr="0040416C" w:rsidR="003E41DB">
        <w:rPr>
          <w:rFonts w:ascii="Arial" w:hAnsi="Arial" w:cs="Arial"/>
          <w:sz w:val="22"/>
          <w:szCs w:val="22"/>
        </w:rPr>
        <w:t xml:space="preserve"> </w:t>
      </w:r>
      <w:r w:rsidRPr="0040416C" w:rsidR="001C3456">
        <w:rPr>
          <w:rFonts w:ascii="Arial" w:hAnsi="Arial" w:cs="Arial"/>
          <w:sz w:val="22"/>
          <w:szCs w:val="22"/>
        </w:rPr>
        <w:t>Specifically, t</w:t>
      </w:r>
      <w:r w:rsidRPr="0040416C" w:rsidR="003E41DB">
        <w:rPr>
          <w:rFonts w:ascii="Arial" w:hAnsi="Arial" w:cs="Arial"/>
          <w:sz w:val="22"/>
          <w:szCs w:val="22"/>
        </w:rPr>
        <w:t>hose regulations are found at 27 CFR 20.91 through 20.94, 20.100, and 20.101.  Th</w:t>
      </w:r>
      <w:r w:rsidRPr="0040416C" w:rsidR="001C3456">
        <w:rPr>
          <w:rFonts w:ascii="Arial" w:hAnsi="Arial" w:cs="Arial"/>
          <w:sz w:val="22"/>
          <w:szCs w:val="22"/>
        </w:rPr>
        <w:t>o</w:t>
      </w:r>
      <w:r w:rsidRPr="0040416C" w:rsidR="003E41DB">
        <w:rPr>
          <w:rFonts w:ascii="Arial" w:hAnsi="Arial" w:cs="Arial"/>
          <w:sz w:val="22"/>
          <w:szCs w:val="22"/>
        </w:rPr>
        <w:t xml:space="preserve">se regulations also allow TTB to require samples of </w:t>
      </w:r>
      <w:r w:rsidRPr="0040416C" w:rsidR="001C3456">
        <w:rPr>
          <w:rFonts w:ascii="Arial" w:hAnsi="Arial" w:cs="Arial"/>
          <w:sz w:val="22"/>
          <w:szCs w:val="22"/>
        </w:rPr>
        <w:t xml:space="preserve">the </w:t>
      </w:r>
      <w:r w:rsidRPr="0040416C" w:rsidR="003E41DB">
        <w:rPr>
          <w:rFonts w:ascii="Arial" w:hAnsi="Arial" w:cs="Arial"/>
          <w:sz w:val="22"/>
          <w:szCs w:val="22"/>
        </w:rPr>
        <w:t>articles or ingredients, require TTB approval of certain changes to formulas, allow TTB to place restrictions on articles and their sale, and specify what information TTB requires for formula ingredients containing ethyl alcohol.  (</w:t>
      </w:r>
      <w:r w:rsidRPr="0040416C" w:rsidR="000F3B3D">
        <w:rPr>
          <w:rFonts w:ascii="Arial" w:hAnsi="Arial" w:cs="Arial"/>
          <w:sz w:val="22"/>
          <w:szCs w:val="22"/>
        </w:rPr>
        <w:t>TTB notes that t</w:t>
      </w:r>
      <w:r w:rsidRPr="0040416C" w:rsidR="003E41DB">
        <w:rPr>
          <w:rFonts w:ascii="Arial" w:hAnsi="Arial" w:cs="Arial"/>
          <w:sz w:val="22"/>
          <w:szCs w:val="22"/>
        </w:rPr>
        <w:t>he part 20 regulations exempt certain “general use” formulas for SDS articles from these formula submission requirements</w:t>
      </w:r>
      <w:r w:rsidRPr="0040416C" w:rsidR="000F3B3D">
        <w:rPr>
          <w:rFonts w:ascii="Arial" w:hAnsi="Arial" w:cs="Arial"/>
          <w:sz w:val="22"/>
          <w:szCs w:val="22"/>
        </w:rPr>
        <w:t>; see 27 CFR 20.111 through 20.124</w:t>
      </w:r>
      <w:r w:rsidRPr="0040416C" w:rsidR="003E41DB">
        <w:rPr>
          <w:rFonts w:ascii="Arial" w:hAnsi="Arial" w:cs="Arial"/>
          <w:sz w:val="22"/>
          <w:szCs w:val="22"/>
        </w:rPr>
        <w:t xml:space="preserve">.) </w:t>
      </w:r>
    </w:p>
    <w:p w:rsidR="00DB1A9F" w:rsidRPr="0040416C" w:rsidP="003E41DB" w14:paraId="72A6CB0D" w14:textId="77777777">
      <w:pPr>
        <w:autoSpaceDE w:val="0"/>
        <w:autoSpaceDN w:val="0"/>
        <w:adjustRightInd w:val="0"/>
        <w:ind w:left="360"/>
        <w:rPr>
          <w:rFonts w:ascii="Arial" w:hAnsi="Arial" w:cs="Arial"/>
          <w:sz w:val="22"/>
          <w:szCs w:val="22"/>
        </w:rPr>
      </w:pPr>
    </w:p>
    <w:p w:rsidR="00D87CE7" w:rsidRPr="0040416C" w:rsidP="00960326" w14:paraId="32F30EBA" w14:textId="3AB17457">
      <w:pPr>
        <w:autoSpaceDE w:val="0"/>
        <w:autoSpaceDN w:val="0"/>
        <w:adjustRightInd w:val="0"/>
        <w:ind w:left="360"/>
        <w:rPr>
          <w:rFonts w:ascii="Arial" w:hAnsi="Arial" w:cs="Arial"/>
          <w:sz w:val="22"/>
          <w:szCs w:val="22"/>
        </w:rPr>
      </w:pPr>
      <w:r w:rsidRPr="0040416C">
        <w:rPr>
          <w:rFonts w:ascii="Arial" w:hAnsi="Arial" w:cs="Arial"/>
          <w:sz w:val="22"/>
          <w:szCs w:val="22"/>
        </w:rPr>
        <w:t xml:space="preserve">The collected information is necessary to ensure that the provisions of the IRC regarding specially denatured spirits are appropriately applied. </w:t>
      </w:r>
    </w:p>
    <w:p w:rsidR="00DB1A9F" w:rsidRPr="0040416C" w:rsidP="00960326" w14:paraId="38A9CCFB" w14:textId="50BC1D31">
      <w:pPr>
        <w:autoSpaceDE w:val="0"/>
        <w:autoSpaceDN w:val="0"/>
        <w:adjustRightInd w:val="0"/>
        <w:ind w:left="360"/>
        <w:rPr>
          <w:rFonts w:ascii="Arial" w:hAnsi="Arial" w:cs="Arial"/>
          <w:sz w:val="22"/>
          <w:szCs w:val="22"/>
        </w:rPr>
      </w:pPr>
    </w:p>
    <w:p w:rsidR="00ED4A03" w:rsidRPr="0040416C" w:rsidP="0040416C" w14:paraId="5DC22BC8" w14:textId="29781059">
      <w:pPr>
        <w:suppressAutoHyphens/>
        <w:ind w:left="360"/>
        <w:rPr>
          <w:rFonts w:ascii="Arial" w:hAnsi="Arial" w:cs="Arial"/>
          <w:sz w:val="22"/>
          <w:szCs w:val="22"/>
        </w:rPr>
      </w:pPr>
      <w:r w:rsidRPr="0040416C">
        <w:rPr>
          <w:rFonts w:ascii="Arial" w:hAnsi="Arial" w:cs="Arial"/>
          <w:sz w:val="22"/>
          <w:szCs w:val="22"/>
        </w:rPr>
        <w:t>Th</w:t>
      </w:r>
      <w:r w:rsidRPr="0040416C" w:rsidR="00095F53">
        <w:rPr>
          <w:rFonts w:ascii="Arial" w:hAnsi="Arial" w:cs="Arial"/>
          <w:sz w:val="22"/>
          <w:szCs w:val="22"/>
        </w:rPr>
        <w:t>is</w:t>
      </w:r>
      <w:r w:rsidRPr="0040416C">
        <w:rPr>
          <w:rFonts w:ascii="Arial" w:hAnsi="Arial" w:cs="Arial"/>
          <w:sz w:val="22"/>
          <w:szCs w:val="22"/>
        </w:rPr>
        <w:t xml:space="preserve"> information collection is aligned with</w:t>
      </w:r>
      <w:r w:rsidRPr="0040416C" w:rsidR="00D73D2D">
        <w:rPr>
          <w:rFonts w:ascii="Arial" w:hAnsi="Arial" w:cs="Arial"/>
          <w:sz w:val="22"/>
          <w:szCs w:val="22"/>
        </w:rPr>
        <w:t xml:space="preserve"> </w:t>
      </w:r>
      <w:r w:rsidRPr="0040416C">
        <w:rPr>
          <w:rFonts w:ascii="Arial" w:hAnsi="Arial" w:cs="Arial"/>
          <w:sz w:val="22"/>
          <w:szCs w:val="22"/>
          <w:u w:val="single"/>
        </w:rPr>
        <w:t>Line of Business/Sub-function:</w:t>
      </w:r>
      <w:r w:rsidRPr="0040416C">
        <w:rPr>
          <w:rFonts w:ascii="Arial" w:hAnsi="Arial" w:cs="Arial"/>
          <w:sz w:val="22"/>
          <w:szCs w:val="22"/>
        </w:rPr>
        <w:t xml:space="preserve">  </w:t>
      </w:r>
      <w:r w:rsidRPr="0040416C" w:rsidR="00AA64FB">
        <w:rPr>
          <w:rFonts w:ascii="Arial" w:hAnsi="Arial" w:cs="Arial"/>
          <w:sz w:val="22"/>
          <w:szCs w:val="22"/>
        </w:rPr>
        <w:t>General government / Taxation management</w:t>
      </w:r>
      <w:r w:rsidRPr="0040416C" w:rsidR="00987432">
        <w:rPr>
          <w:rFonts w:ascii="Arial" w:hAnsi="Arial" w:cs="Arial"/>
          <w:sz w:val="22"/>
          <w:szCs w:val="22"/>
        </w:rPr>
        <w:t>.</w:t>
      </w:r>
      <w:r w:rsidRPr="0040416C">
        <w:rPr>
          <w:rFonts w:ascii="Arial" w:hAnsi="Arial" w:cs="Arial"/>
          <w:sz w:val="22"/>
          <w:szCs w:val="22"/>
        </w:rPr>
        <w:t xml:space="preserve"> </w:t>
      </w:r>
    </w:p>
    <w:p w:rsidR="005E4F99" w:rsidRPr="0040416C" w:rsidP="00D73D2D" w14:paraId="64CFDB7C" w14:textId="77777777">
      <w:pPr>
        <w:suppressAutoHyphens/>
        <w:rPr>
          <w:rFonts w:ascii="Arial" w:hAnsi="Arial" w:cs="Arial"/>
          <w:sz w:val="28"/>
          <w:szCs w:val="28"/>
        </w:rPr>
      </w:pPr>
    </w:p>
    <w:p w:rsidR="00AF1157" w:rsidRPr="0040416C" w:rsidP="00D73D2D" w14:paraId="1523FE0A" w14:textId="77777777">
      <w:pPr>
        <w:suppressAutoHyphens/>
        <w:rPr>
          <w:rFonts w:ascii="Arial" w:hAnsi="Arial" w:cs="Arial"/>
          <w:i/>
          <w:sz w:val="22"/>
          <w:szCs w:val="22"/>
        </w:rPr>
      </w:pPr>
      <w:r w:rsidRPr="0040416C">
        <w:rPr>
          <w:rFonts w:ascii="Arial" w:hAnsi="Arial" w:cs="Arial"/>
          <w:i/>
          <w:sz w:val="22"/>
          <w:szCs w:val="22"/>
        </w:rPr>
        <w:t>2.  How, by whom</w:t>
      </w:r>
      <w:r w:rsidRPr="0040416C" w:rsidR="00101DE7">
        <w:rPr>
          <w:rFonts w:ascii="Arial" w:hAnsi="Arial" w:cs="Arial"/>
          <w:i/>
          <w:sz w:val="22"/>
          <w:szCs w:val="22"/>
        </w:rPr>
        <w:t>,</w:t>
      </w:r>
      <w:r w:rsidRPr="0040416C">
        <w:rPr>
          <w:rFonts w:ascii="Arial" w:hAnsi="Arial" w:cs="Arial"/>
          <w:i/>
          <w:sz w:val="22"/>
          <w:szCs w:val="22"/>
        </w:rPr>
        <w:t xml:space="preserve"> and for what purpose is this information used?</w:t>
      </w:r>
      <w:r w:rsidRPr="0040416C" w:rsidR="00D73D2D">
        <w:rPr>
          <w:rFonts w:ascii="Arial" w:hAnsi="Arial" w:cs="Arial"/>
          <w:i/>
          <w:sz w:val="22"/>
          <w:szCs w:val="22"/>
        </w:rPr>
        <w:t xml:space="preserve"> </w:t>
      </w:r>
    </w:p>
    <w:p w:rsidR="00AF1157" w:rsidRPr="0040416C" w:rsidP="0040416C" w14:paraId="20D57EE1" w14:textId="77777777">
      <w:pPr>
        <w:suppressAutoHyphens/>
        <w:rPr>
          <w:rFonts w:ascii="Arial" w:hAnsi="Arial" w:cs="Arial"/>
          <w:sz w:val="22"/>
          <w:szCs w:val="22"/>
        </w:rPr>
      </w:pPr>
    </w:p>
    <w:p w:rsidR="00D87CE7" w:rsidRPr="0040416C" w:rsidP="000329F4" w14:paraId="71009556" w14:textId="5AEBF38C">
      <w:pPr>
        <w:suppressAutoHyphens/>
        <w:ind w:left="360"/>
        <w:rPr>
          <w:rFonts w:ascii="Arial" w:hAnsi="Arial" w:cs="Arial"/>
          <w:sz w:val="22"/>
          <w:szCs w:val="22"/>
        </w:rPr>
      </w:pPr>
      <w:r w:rsidRPr="0040416C">
        <w:rPr>
          <w:rFonts w:ascii="Arial" w:hAnsi="Arial" w:cs="Arial"/>
          <w:sz w:val="22"/>
          <w:szCs w:val="22"/>
        </w:rPr>
        <w:t xml:space="preserve">To ensure compliance with the relevant provisions of the IRC and the TTB regulations, </w:t>
      </w:r>
      <w:r w:rsidRPr="0040416C" w:rsidR="00DC6A56">
        <w:rPr>
          <w:rFonts w:ascii="Arial" w:hAnsi="Arial" w:cs="Arial"/>
          <w:sz w:val="22"/>
          <w:szCs w:val="22"/>
        </w:rPr>
        <w:t>TTB</w:t>
      </w:r>
      <w:r w:rsidRPr="0040416C" w:rsidR="00FA307E">
        <w:rPr>
          <w:rFonts w:ascii="Arial" w:hAnsi="Arial" w:cs="Arial"/>
          <w:sz w:val="22"/>
          <w:szCs w:val="22"/>
        </w:rPr>
        <w:t xml:space="preserve"> </w:t>
      </w:r>
      <w:r w:rsidRPr="0040416C" w:rsidR="00FA7DF9">
        <w:rPr>
          <w:rFonts w:ascii="Arial" w:hAnsi="Arial" w:cs="Arial"/>
          <w:sz w:val="22"/>
          <w:szCs w:val="22"/>
        </w:rPr>
        <w:t xml:space="preserve">laboratory </w:t>
      </w:r>
      <w:r w:rsidRPr="0040416C">
        <w:rPr>
          <w:rFonts w:ascii="Arial" w:hAnsi="Arial" w:cs="Arial"/>
          <w:sz w:val="22"/>
          <w:szCs w:val="22"/>
        </w:rPr>
        <w:t xml:space="preserve">personnel examine submitted formulas and </w:t>
      </w:r>
      <w:r w:rsidRPr="0040416C" w:rsidR="006A3745">
        <w:rPr>
          <w:rFonts w:ascii="Arial" w:hAnsi="Arial" w:cs="Arial"/>
          <w:sz w:val="22"/>
          <w:szCs w:val="22"/>
        </w:rPr>
        <w:t xml:space="preserve">statements of </w:t>
      </w:r>
      <w:r w:rsidRPr="0040416C">
        <w:rPr>
          <w:rFonts w:ascii="Arial" w:hAnsi="Arial" w:cs="Arial"/>
          <w:sz w:val="22"/>
          <w:szCs w:val="22"/>
        </w:rPr>
        <w:t xml:space="preserve">process </w:t>
      </w:r>
      <w:r w:rsidRPr="0040416C" w:rsidR="00FA307E">
        <w:rPr>
          <w:rFonts w:ascii="Arial" w:hAnsi="Arial" w:cs="Arial"/>
          <w:sz w:val="22"/>
          <w:szCs w:val="22"/>
        </w:rPr>
        <w:t xml:space="preserve">to ensure that articles </w:t>
      </w:r>
      <w:r w:rsidRPr="0040416C" w:rsidR="00FA7DF9">
        <w:rPr>
          <w:rFonts w:ascii="Arial" w:hAnsi="Arial" w:cs="Arial"/>
          <w:sz w:val="22"/>
          <w:szCs w:val="22"/>
        </w:rPr>
        <w:t>ma</w:t>
      </w:r>
      <w:r w:rsidRPr="0040416C" w:rsidR="00FA307E">
        <w:rPr>
          <w:rFonts w:ascii="Arial" w:hAnsi="Arial" w:cs="Arial"/>
          <w:sz w:val="22"/>
          <w:szCs w:val="22"/>
        </w:rPr>
        <w:t xml:space="preserve">nufactured </w:t>
      </w:r>
      <w:r w:rsidRPr="0040416C" w:rsidR="00FA7DF9">
        <w:rPr>
          <w:rFonts w:ascii="Arial" w:hAnsi="Arial" w:cs="Arial"/>
          <w:sz w:val="22"/>
          <w:szCs w:val="22"/>
        </w:rPr>
        <w:t xml:space="preserve">with SDS </w:t>
      </w:r>
      <w:r w:rsidRPr="0040416C" w:rsidR="00FA307E">
        <w:rPr>
          <w:rFonts w:ascii="Arial" w:hAnsi="Arial" w:cs="Arial"/>
          <w:sz w:val="22"/>
          <w:szCs w:val="22"/>
        </w:rPr>
        <w:t>are, in fact, nonbeverage products</w:t>
      </w:r>
      <w:r w:rsidRPr="0040416C">
        <w:rPr>
          <w:rFonts w:ascii="Arial" w:hAnsi="Arial" w:cs="Arial"/>
          <w:sz w:val="22"/>
          <w:szCs w:val="22"/>
        </w:rPr>
        <w:t xml:space="preserve"> made in compliance with 26 U.S.C. 5273.  In addition, </w:t>
      </w:r>
      <w:r w:rsidRPr="0040416C" w:rsidR="00FD70C3">
        <w:rPr>
          <w:rFonts w:ascii="Arial" w:hAnsi="Arial" w:cs="Arial"/>
          <w:sz w:val="22"/>
          <w:szCs w:val="22"/>
        </w:rPr>
        <w:t>TTB f</w:t>
      </w:r>
      <w:r w:rsidRPr="0040416C" w:rsidR="00FA307E">
        <w:rPr>
          <w:rFonts w:ascii="Arial" w:hAnsi="Arial" w:cs="Arial"/>
          <w:sz w:val="22"/>
          <w:szCs w:val="22"/>
        </w:rPr>
        <w:t xml:space="preserve">ield personnel </w:t>
      </w:r>
      <w:r w:rsidRPr="0040416C" w:rsidR="00FD70C3">
        <w:rPr>
          <w:rFonts w:ascii="Arial" w:hAnsi="Arial" w:cs="Arial"/>
          <w:sz w:val="22"/>
          <w:szCs w:val="22"/>
        </w:rPr>
        <w:t xml:space="preserve">may </w:t>
      </w:r>
      <w:r w:rsidRPr="0040416C" w:rsidR="00FA307E">
        <w:rPr>
          <w:rFonts w:ascii="Arial" w:hAnsi="Arial" w:cs="Arial"/>
          <w:sz w:val="22"/>
          <w:szCs w:val="22"/>
        </w:rPr>
        <w:t xml:space="preserve">compare manufacturing records </w:t>
      </w:r>
      <w:r w:rsidRPr="0040416C" w:rsidR="005C04CC">
        <w:rPr>
          <w:rFonts w:ascii="Arial" w:hAnsi="Arial" w:cs="Arial"/>
          <w:sz w:val="22"/>
          <w:szCs w:val="22"/>
        </w:rPr>
        <w:t xml:space="preserve">with </w:t>
      </w:r>
      <w:r w:rsidRPr="0040416C" w:rsidR="00FA307E">
        <w:rPr>
          <w:rFonts w:ascii="Arial" w:hAnsi="Arial" w:cs="Arial"/>
          <w:sz w:val="22"/>
          <w:szCs w:val="22"/>
        </w:rPr>
        <w:t xml:space="preserve">approved </w:t>
      </w:r>
      <w:r w:rsidRPr="0040416C">
        <w:rPr>
          <w:rFonts w:ascii="Arial" w:hAnsi="Arial" w:cs="Arial"/>
          <w:sz w:val="22"/>
          <w:szCs w:val="22"/>
        </w:rPr>
        <w:t xml:space="preserve">SDS </w:t>
      </w:r>
      <w:r w:rsidRPr="0040416C" w:rsidR="00FA307E">
        <w:rPr>
          <w:rFonts w:ascii="Arial" w:hAnsi="Arial" w:cs="Arial"/>
          <w:sz w:val="22"/>
          <w:szCs w:val="22"/>
        </w:rPr>
        <w:t xml:space="preserve">formulas </w:t>
      </w:r>
      <w:r w:rsidRPr="0040416C">
        <w:rPr>
          <w:rFonts w:ascii="Arial" w:hAnsi="Arial" w:cs="Arial"/>
          <w:sz w:val="22"/>
          <w:szCs w:val="22"/>
        </w:rPr>
        <w:t xml:space="preserve">and processes </w:t>
      </w:r>
      <w:r w:rsidRPr="0040416C" w:rsidR="00FA307E">
        <w:rPr>
          <w:rFonts w:ascii="Arial" w:hAnsi="Arial" w:cs="Arial"/>
          <w:sz w:val="22"/>
          <w:szCs w:val="22"/>
        </w:rPr>
        <w:t>to ensure that</w:t>
      </w:r>
      <w:r w:rsidRPr="0040416C" w:rsidR="0028082E">
        <w:rPr>
          <w:rFonts w:ascii="Arial" w:hAnsi="Arial" w:cs="Arial"/>
          <w:sz w:val="22"/>
          <w:szCs w:val="22"/>
        </w:rPr>
        <w:t xml:space="preserve"> </w:t>
      </w:r>
      <w:r w:rsidRPr="0040416C">
        <w:rPr>
          <w:rFonts w:ascii="Arial" w:hAnsi="Arial" w:cs="Arial"/>
          <w:sz w:val="22"/>
          <w:szCs w:val="22"/>
        </w:rPr>
        <w:t xml:space="preserve">respondents are manufacturing </w:t>
      </w:r>
      <w:r w:rsidRPr="0040416C" w:rsidR="0028082E">
        <w:rPr>
          <w:rFonts w:ascii="Arial" w:hAnsi="Arial" w:cs="Arial"/>
          <w:sz w:val="22"/>
          <w:szCs w:val="22"/>
        </w:rPr>
        <w:t xml:space="preserve">nonbeverage </w:t>
      </w:r>
      <w:r w:rsidRPr="0040416C" w:rsidR="00FA307E">
        <w:rPr>
          <w:rFonts w:ascii="Arial" w:hAnsi="Arial" w:cs="Arial"/>
          <w:sz w:val="22"/>
          <w:szCs w:val="22"/>
        </w:rPr>
        <w:t xml:space="preserve">articles in accordance with </w:t>
      </w:r>
      <w:r w:rsidRPr="0040416C" w:rsidR="005C04CC">
        <w:rPr>
          <w:rFonts w:ascii="Arial" w:hAnsi="Arial" w:cs="Arial"/>
          <w:sz w:val="22"/>
          <w:szCs w:val="22"/>
        </w:rPr>
        <w:t xml:space="preserve">the </w:t>
      </w:r>
      <w:r w:rsidRPr="0040416C">
        <w:rPr>
          <w:rFonts w:ascii="Arial" w:hAnsi="Arial" w:cs="Arial"/>
          <w:sz w:val="22"/>
          <w:szCs w:val="22"/>
        </w:rPr>
        <w:t xml:space="preserve">relevant </w:t>
      </w:r>
      <w:r w:rsidRPr="0040416C" w:rsidR="005C04CC">
        <w:rPr>
          <w:rFonts w:ascii="Arial" w:hAnsi="Arial" w:cs="Arial"/>
          <w:sz w:val="22"/>
          <w:szCs w:val="22"/>
        </w:rPr>
        <w:t>TTB</w:t>
      </w:r>
      <w:r w:rsidRPr="0040416C">
        <w:rPr>
          <w:rFonts w:ascii="Arial" w:hAnsi="Arial" w:cs="Arial"/>
          <w:sz w:val="22"/>
          <w:szCs w:val="22"/>
        </w:rPr>
        <w:t xml:space="preserve"> approvals. </w:t>
      </w:r>
    </w:p>
    <w:p w:rsidR="00AF1157" w:rsidRPr="0040416C" w:rsidP="00D73D2D" w14:paraId="4AEC2970" w14:textId="77777777">
      <w:pPr>
        <w:ind w:left="576" w:hanging="576"/>
        <w:rPr>
          <w:rFonts w:ascii="Arial" w:hAnsi="Arial" w:cs="Arial"/>
          <w:sz w:val="28"/>
          <w:szCs w:val="28"/>
        </w:rPr>
      </w:pPr>
    </w:p>
    <w:p w:rsidR="00AF1157" w:rsidRPr="0040416C" w:rsidP="00D73D2D" w14:paraId="60FE98C2" w14:textId="77777777">
      <w:pPr>
        <w:suppressAutoHyphens/>
        <w:rPr>
          <w:rFonts w:ascii="Arial" w:hAnsi="Arial" w:cs="Arial"/>
          <w:i/>
          <w:sz w:val="22"/>
          <w:szCs w:val="22"/>
        </w:rPr>
      </w:pPr>
      <w:r w:rsidRPr="0040416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40416C" w:rsidP="00D73D2D" w14:paraId="223739F9" w14:textId="77777777">
      <w:pPr>
        <w:suppressAutoHyphens/>
        <w:rPr>
          <w:rFonts w:ascii="Arial" w:hAnsi="Arial" w:cs="Arial"/>
          <w:sz w:val="22"/>
          <w:szCs w:val="22"/>
        </w:rPr>
      </w:pPr>
    </w:p>
    <w:p w:rsidR="00895113" w:rsidRPr="0040416C" w:rsidP="00895113" w14:paraId="1647B676" w14:textId="3690F21E">
      <w:pPr>
        <w:autoSpaceDE w:val="0"/>
        <w:autoSpaceDN w:val="0"/>
        <w:adjustRightInd w:val="0"/>
        <w:ind w:left="360"/>
        <w:rPr>
          <w:rFonts w:ascii="Arial" w:hAnsi="Arial" w:cs="Arial"/>
          <w:sz w:val="22"/>
          <w:szCs w:val="22"/>
        </w:rPr>
      </w:pPr>
      <w:r w:rsidRPr="0040416C">
        <w:rPr>
          <w:rFonts w:ascii="Arial" w:hAnsi="Arial" w:cs="Arial"/>
          <w:sz w:val="22"/>
          <w:szCs w:val="22"/>
        </w:rPr>
        <w:t xml:space="preserve">Respondents may electronically complete and submit </w:t>
      </w:r>
      <w:r w:rsidRPr="0040416C" w:rsidR="000F3B3D">
        <w:rPr>
          <w:rFonts w:ascii="Arial" w:hAnsi="Arial" w:cs="Arial"/>
          <w:sz w:val="22"/>
          <w:szCs w:val="22"/>
        </w:rPr>
        <w:t>the f</w:t>
      </w:r>
      <w:r w:rsidRPr="0040416C">
        <w:rPr>
          <w:rFonts w:ascii="Arial" w:hAnsi="Arial" w:cs="Arial"/>
          <w:sz w:val="22"/>
          <w:szCs w:val="22"/>
        </w:rPr>
        <w:t xml:space="preserve">ormula and process information </w:t>
      </w:r>
      <w:r w:rsidRPr="0040416C" w:rsidR="000F3B3D">
        <w:rPr>
          <w:rFonts w:ascii="Arial" w:hAnsi="Arial" w:cs="Arial"/>
          <w:sz w:val="22"/>
          <w:szCs w:val="22"/>
        </w:rPr>
        <w:t xml:space="preserve">required under this collection </w:t>
      </w:r>
      <w:r w:rsidRPr="0040416C">
        <w:rPr>
          <w:rFonts w:ascii="Arial" w:hAnsi="Arial" w:cs="Arial"/>
          <w:sz w:val="22"/>
          <w:szCs w:val="22"/>
        </w:rPr>
        <w:t>using TTB’s F</w:t>
      </w:r>
      <w:r w:rsidRPr="0040416C" w:rsidR="00F34360">
        <w:rPr>
          <w:rFonts w:ascii="Arial" w:hAnsi="Arial" w:cs="Arial"/>
          <w:sz w:val="22"/>
          <w:szCs w:val="22"/>
        </w:rPr>
        <w:t>ormulas Online (FONL)</w:t>
      </w:r>
      <w:r w:rsidRPr="0040416C" w:rsidR="00E01FA2">
        <w:rPr>
          <w:rFonts w:ascii="Arial" w:hAnsi="Arial" w:cs="Arial"/>
          <w:sz w:val="22"/>
          <w:szCs w:val="22"/>
        </w:rPr>
        <w:t xml:space="preserve"> system</w:t>
      </w:r>
      <w:r w:rsidRPr="0040416C">
        <w:rPr>
          <w:rFonts w:ascii="Arial" w:hAnsi="Arial" w:cs="Arial"/>
          <w:sz w:val="22"/>
          <w:szCs w:val="22"/>
        </w:rPr>
        <w:t>; s</w:t>
      </w:r>
      <w:r w:rsidRPr="0040416C" w:rsidR="00F34360">
        <w:rPr>
          <w:rFonts w:ascii="Arial" w:hAnsi="Arial" w:cs="Arial"/>
          <w:sz w:val="22"/>
          <w:szCs w:val="22"/>
        </w:rPr>
        <w:t xml:space="preserve">ee </w:t>
      </w:r>
      <w:r w:rsidRPr="0040416C" w:rsidR="0040416C">
        <w:rPr>
          <w:rFonts w:ascii="Arial" w:hAnsi="Arial" w:cs="Arial"/>
          <w:sz w:val="22"/>
          <w:szCs w:val="22"/>
        </w:rPr>
        <w:t xml:space="preserve">the TTB website at </w:t>
      </w:r>
      <w:r w:rsidRPr="0040416C" w:rsidR="0040416C">
        <w:rPr>
          <w:rFonts w:ascii="Arial" w:hAnsi="Arial" w:cs="Arial"/>
          <w:i/>
          <w:iCs/>
          <w:sz w:val="22"/>
          <w:szCs w:val="22"/>
        </w:rPr>
        <w:t>https://www.ttb.gov/regulated-commodities/formulation/customer-support</w:t>
      </w:r>
      <w:r w:rsidRPr="0040416C" w:rsidR="0040416C">
        <w:rPr>
          <w:rFonts w:ascii="Arial" w:hAnsi="Arial" w:cs="Arial"/>
          <w:sz w:val="22"/>
          <w:szCs w:val="22"/>
        </w:rPr>
        <w:t xml:space="preserve">.  In addition, </w:t>
      </w:r>
      <w:r w:rsidRPr="0040416C">
        <w:rPr>
          <w:rFonts w:ascii="Arial" w:hAnsi="Arial" w:cs="Arial"/>
          <w:sz w:val="22"/>
          <w:szCs w:val="22"/>
        </w:rPr>
        <w:t xml:space="preserve">TTB F 5150.19 </w:t>
      </w:r>
      <w:r w:rsidRPr="0040416C" w:rsidR="0040416C">
        <w:rPr>
          <w:rFonts w:ascii="Arial" w:hAnsi="Arial" w:cs="Arial"/>
          <w:sz w:val="22"/>
          <w:szCs w:val="22"/>
        </w:rPr>
        <w:t>i</w:t>
      </w:r>
      <w:r w:rsidRPr="0040416C">
        <w:rPr>
          <w:rFonts w:ascii="Arial" w:hAnsi="Arial" w:cs="Arial"/>
          <w:sz w:val="22"/>
          <w:szCs w:val="22"/>
        </w:rPr>
        <w:t xml:space="preserve">s available as a fillable/printable form on the TTB Web site at </w:t>
      </w:r>
      <w:r w:rsidRPr="0040416C" w:rsidR="0040416C">
        <w:rPr>
          <w:rFonts w:ascii="Arial" w:hAnsi="Arial" w:cs="Arial"/>
          <w:i/>
          <w:iCs/>
          <w:sz w:val="22"/>
          <w:szCs w:val="22"/>
        </w:rPr>
        <w:t>https://www.ttb.gov/public-information/forms</w:t>
      </w:r>
      <w:r w:rsidRPr="0040416C" w:rsidR="0040416C">
        <w:rPr>
          <w:rFonts w:ascii="Arial" w:hAnsi="Arial" w:cs="Arial"/>
          <w:sz w:val="22"/>
          <w:szCs w:val="22"/>
        </w:rPr>
        <w:t xml:space="preserve">. </w:t>
      </w:r>
    </w:p>
    <w:p w:rsidR="00AF1157" w:rsidRPr="0040416C" w:rsidP="00D73D2D" w14:paraId="0528AD78" w14:textId="77777777">
      <w:pPr>
        <w:suppressAutoHyphens/>
        <w:rPr>
          <w:rFonts w:ascii="Arial" w:hAnsi="Arial" w:cs="Arial"/>
          <w:sz w:val="28"/>
          <w:szCs w:val="28"/>
        </w:rPr>
      </w:pPr>
    </w:p>
    <w:p w:rsidR="00AF1157" w:rsidRPr="0040416C" w:rsidP="00D73D2D" w14:paraId="049397F5" w14:textId="77777777">
      <w:pPr>
        <w:suppressAutoHyphens/>
        <w:rPr>
          <w:rFonts w:ascii="Arial" w:hAnsi="Arial" w:cs="Arial"/>
          <w:i/>
          <w:sz w:val="22"/>
          <w:szCs w:val="22"/>
        </w:rPr>
      </w:pPr>
      <w:r w:rsidRPr="0040416C">
        <w:rPr>
          <w:rFonts w:ascii="Arial" w:hAnsi="Arial" w:cs="Arial"/>
          <w:i/>
          <w:sz w:val="22"/>
          <w:szCs w:val="22"/>
        </w:rPr>
        <w:t>4.  What efforts are used to identi</w:t>
      </w:r>
      <w:r w:rsidRPr="0040416C" w:rsidR="009E4E4C">
        <w:rPr>
          <w:rFonts w:ascii="Arial" w:hAnsi="Arial" w:cs="Arial"/>
          <w:i/>
          <w:sz w:val="22"/>
          <w:szCs w:val="22"/>
        </w:rPr>
        <w:t>f</w:t>
      </w:r>
      <w:r w:rsidRPr="0040416C">
        <w:rPr>
          <w:rFonts w:ascii="Arial" w:hAnsi="Arial" w:cs="Arial"/>
          <w:i/>
          <w:sz w:val="22"/>
          <w:szCs w:val="22"/>
        </w:rPr>
        <w:t xml:space="preserve">y duplication?  </w:t>
      </w:r>
      <w:r w:rsidRPr="0040416C" w:rsidR="007A5D4B">
        <w:rPr>
          <w:rFonts w:ascii="Arial" w:hAnsi="Arial" w:cs="Arial"/>
          <w:i/>
          <w:sz w:val="22"/>
          <w:szCs w:val="22"/>
        </w:rPr>
        <w:t xml:space="preserve">Can </w:t>
      </w:r>
      <w:r w:rsidRPr="0040416C">
        <w:rPr>
          <w:rFonts w:ascii="Arial" w:hAnsi="Arial" w:cs="Arial"/>
          <w:i/>
          <w:sz w:val="22"/>
          <w:szCs w:val="22"/>
        </w:rPr>
        <w:t>similar information</w:t>
      </w:r>
      <w:r w:rsidRPr="0040416C" w:rsidR="00DF5F98">
        <w:rPr>
          <w:rFonts w:ascii="Arial" w:hAnsi="Arial" w:cs="Arial"/>
          <w:i/>
          <w:sz w:val="22"/>
          <w:szCs w:val="22"/>
        </w:rPr>
        <w:t xml:space="preserve"> </w:t>
      </w:r>
      <w:r w:rsidRPr="0040416C">
        <w:rPr>
          <w:rFonts w:ascii="Arial" w:hAnsi="Arial" w:cs="Arial"/>
          <w:i/>
          <w:sz w:val="22"/>
          <w:szCs w:val="22"/>
        </w:rPr>
        <w:t>already available be used or modified for use for</w:t>
      </w:r>
      <w:r w:rsidRPr="0040416C" w:rsidR="00DF5F98">
        <w:rPr>
          <w:rFonts w:ascii="Arial" w:hAnsi="Arial" w:cs="Arial"/>
          <w:i/>
          <w:sz w:val="22"/>
          <w:szCs w:val="22"/>
        </w:rPr>
        <w:t xml:space="preserve"> the purposes described in Item </w:t>
      </w:r>
      <w:r w:rsidRPr="0040416C">
        <w:rPr>
          <w:rFonts w:ascii="Arial" w:hAnsi="Arial" w:cs="Arial"/>
          <w:i/>
          <w:sz w:val="22"/>
          <w:szCs w:val="22"/>
        </w:rPr>
        <w:t>2</w:t>
      </w:r>
      <w:r w:rsidRPr="0040416C" w:rsidR="00DF5F98">
        <w:rPr>
          <w:rFonts w:ascii="Arial" w:hAnsi="Arial" w:cs="Arial"/>
          <w:i/>
          <w:sz w:val="22"/>
          <w:szCs w:val="22"/>
        </w:rPr>
        <w:t xml:space="preserve"> </w:t>
      </w:r>
      <w:r w:rsidRPr="0040416C">
        <w:rPr>
          <w:rFonts w:ascii="Arial" w:hAnsi="Arial" w:cs="Arial"/>
          <w:i/>
          <w:sz w:val="22"/>
          <w:szCs w:val="22"/>
        </w:rPr>
        <w:t>above?</w:t>
      </w:r>
      <w:r w:rsidRPr="0040416C" w:rsidR="00DF5F98">
        <w:rPr>
          <w:rFonts w:ascii="Arial" w:hAnsi="Arial" w:cs="Arial"/>
          <w:i/>
          <w:sz w:val="22"/>
          <w:szCs w:val="22"/>
        </w:rPr>
        <w:t xml:space="preserve"> </w:t>
      </w:r>
    </w:p>
    <w:p w:rsidR="00AF1157" w:rsidRPr="0040416C" w:rsidP="00D73D2D" w14:paraId="2D3950CC" w14:textId="77777777">
      <w:pPr>
        <w:suppressAutoHyphens/>
        <w:ind w:left="480" w:hanging="480"/>
        <w:rPr>
          <w:rFonts w:ascii="Arial" w:hAnsi="Arial" w:cs="Arial"/>
          <w:sz w:val="22"/>
          <w:szCs w:val="22"/>
        </w:rPr>
      </w:pPr>
    </w:p>
    <w:p w:rsidR="00D50640" w:rsidRPr="0040416C" w:rsidP="00D50640" w14:paraId="0ADD5DD5" w14:textId="50CE384D">
      <w:pPr>
        <w:ind w:left="360"/>
        <w:rPr>
          <w:rFonts w:ascii="Arial" w:hAnsi="Arial" w:cs="Arial"/>
          <w:sz w:val="22"/>
          <w:szCs w:val="22"/>
        </w:rPr>
      </w:pPr>
      <w:r w:rsidRPr="0040416C">
        <w:rPr>
          <w:rFonts w:ascii="Arial" w:hAnsi="Arial" w:cs="Arial"/>
          <w:sz w:val="22"/>
          <w:szCs w:val="22"/>
        </w:rPr>
        <w:t xml:space="preserve">This collection </w:t>
      </w:r>
      <w:r w:rsidRPr="0040416C" w:rsidR="0028082E">
        <w:rPr>
          <w:rFonts w:ascii="Arial" w:hAnsi="Arial" w:cs="Arial"/>
          <w:sz w:val="22"/>
          <w:szCs w:val="22"/>
        </w:rPr>
        <w:t xml:space="preserve">provides TTB with </w:t>
      </w:r>
      <w:r w:rsidRPr="0040416C">
        <w:rPr>
          <w:rFonts w:ascii="Arial" w:hAnsi="Arial" w:cs="Arial"/>
          <w:sz w:val="22"/>
          <w:szCs w:val="22"/>
        </w:rPr>
        <w:t>information</w:t>
      </w:r>
      <w:r w:rsidRPr="0040416C" w:rsidR="0028082E">
        <w:rPr>
          <w:rFonts w:ascii="Arial" w:hAnsi="Arial" w:cs="Arial"/>
          <w:sz w:val="22"/>
          <w:szCs w:val="22"/>
        </w:rPr>
        <w:t xml:space="preserve"> that is</w:t>
      </w:r>
      <w:r w:rsidRPr="0040416C">
        <w:rPr>
          <w:rFonts w:ascii="Arial" w:hAnsi="Arial" w:cs="Arial"/>
          <w:sz w:val="22"/>
          <w:szCs w:val="22"/>
        </w:rPr>
        <w:t xml:space="preserve"> pertinent to each respondent and applicable to </w:t>
      </w:r>
      <w:r w:rsidRPr="0040416C" w:rsidR="00895113">
        <w:rPr>
          <w:rFonts w:ascii="Arial" w:hAnsi="Arial" w:cs="Arial"/>
          <w:sz w:val="22"/>
          <w:szCs w:val="22"/>
        </w:rPr>
        <w:t>their</w:t>
      </w:r>
      <w:r w:rsidRPr="0040416C" w:rsidR="00FD70C3">
        <w:rPr>
          <w:rFonts w:ascii="Arial" w:hAnsi="Arial" w:cs="Arial"/>
          <w:sz w:val="22"/>
          <w:szCs w:val="22"/>
        </w:rPr>
        <w:t xml:space="preserve"> </w:t>
      </w:r>
      <w:r w:rsidRPr="0040416C">
        <w:rPr>
          <w:rFonts w:ascii="Arial" w:hAnsi="Arial" w:cs="Arial"/>
          <w:sz w:val="22"/>
          <w:szCs w:val="22"/>
        </w:rPr>
        <w:t xml:space="preserve">specific nonbeverage article </w:t>
      </w:r>
      <w:r w:rsidRPr="0040416C" w:rsidR="00FA307E">
        <w:rPr>
          <w:rFonts w:ascii="Arial" w:hAnsi="Arial" w:cs="Arial"/>
          <w:sz w:val="22"/>
          <w:szCs w:val="22"/>
        </w:rPr>
        <w:t xml:space="preserve">formula and </w:t>
      </w:r>
      <w:r w:rsidRPr="0040416C" w:rsidR="006A3745">
        <w:rPr>
          <w:rFonts w:ascii="Arial" w:hAnsi="Arial" w:cs="Arial"/>
          <w:sz w:val="22"/>
          <w:szCs w:val="22"/>
        </w:rPr>
        <w:t xml:space="preserve">production </w:t>
      </w:r>
      <w:r w:rsidRPr="0040416C" w:rsidR="00FA307E">
        <w:rPr>
          <w:rFonts w:ascii="Arial" w:hAnsi="Arial" w:cs="Arial"/>
          <w:sz w:val="22"/>
          <w:szCs w:val="22"/>
        </w:rPr>
        <w:t>process</w:t>
      </w:r>
      <w:r w:rsidRPr="0040416C" w:rsidR="00F10C50">
        <w:rPr>
          <w:rFonts w:ascii="Arial" w:hAnsi="Arial" w:cs="Arial"/>
          <w:sz w:val="22"/>
          <w:szCs w:val="22"/>
        </w:rPr>
        <w:t>.</w:t>
      </w:r>
      <w:r w:rsidRPr="0040416C">
        <w:rPr>
          <w:rFonts w:ascii="Arial" w:hAnsi="Arial" w:cs="Arial"/>
          <w:sz w:val="22"/>
          <w:szCs w:val="22"/>
        </w:rPr>
        <w:t xml:space="preserve">  As far as TTB is able to determine, similar information is not available elsewhere. </w:t>
      </w:r>
    </w:p>
    <w:p w:rsidR="007A5D4B" w:rsidRPr="0040416C" w:rsidP="007A5D4B" w14:paraId="69655EF0" w14:textId="77777777">
      <w:pPr>
        <w:suppressAutoHyphens/>
        <w:rPr>
          <w:rFonts w:ascii="Arial" w:hAnsi="Arial" w:cs="Arial"/>
          <w:sz w:val="28"/>
          <w:szCs w:val="28"/>
        </w:rPr>
      </w:pPr>
    </w:p>
    <w:p w:rsidR="00AF1157" w:rsidRPr="0040416C" w:rsidP="00D73D2D" w14:paraId="70F7FD9E" w14:textId="77777777">
      <w:pPr>
        <w:suppressAutoHyphens/>
        <w:rPr>
          <w:rFonts w:ascii="Arial" w:hAnsi="Arial" w:cs="Arial"/>
          <w:i/>
          <w:sz w:val="22"/>
          <w:szCs w:val="22"/>
        </w:rPr>
      </w:pPr>
      <w:r w:rsidRPr="0040416C">
        <w:rPr>
          <w:rFonts w:ascii="Arial" w:hAnsi="Arial" w:cs="Arial"/>
          <w:i/>
          <w:sz w:val="22"/>
          <w:szCs w:val="22"/>
        </w:rPr>
        <w:t>5.  If this collection of information impacts small businesses or other small entities,</w:t>
      </w:r>
      <w:r w:rsidRPr="0040416C" w:rsidR="00DF5F98">
        <w:rPr>
          <w:rFonts w:ascii="Arial" w:hAnsi="Arial" w:cs="Arial"/>
          <w:i/>
          <w:sz w:val="22"/>
          <w:szCs w:val="22"/>
        </w:rPr>
        <w:t xml:space="preserve"> </w:t>
      </w:r>
      <w:r w:rsidRPr="0040416C">
        <w:rPr>
          <w:rFonts w:ascii="Arial" w:hAnsi="Arial" w:cs="Arial"/>
          <w:i/>
          <w:sz w:val="22"/>
          <w:szCs w:val="22"/>
        </w:rPr>
        <w:t xml:space="preserve">what methods are used to minimize burden? </w:t>
      </w:r>
    </w:p>
    <w:p w:rsidR="007A5D4B" w:rsidRPr="0040416C" w:rsidP="007A5D4B" w14:paraId="74C98DD5" w14:textId="77777777">
      <w:pPr>
        <w:suppressAutoHyphens/>
        <w:ind w:left="480" w:hanging="480"/>
        <w:rPr>
          <w:rFonts w:ascii="Arial" w:hAnsi="Arial" w:cs="Arial"/>
          <w:sz w:val="22"/>
          <w:szCs w:val="22"/>
        </w:rPr>
      </w:pPr>
    </w:p>
    <w:p w:rsidR="007A5D4B" w:rsidRPr="0040416C" w:rsidP="004D086A" w14:paraId="735312E5" w14:textId="4B1A9B5D">
      <w:pPr>
        <w:ind w:left="360"/>
        <w:rPr>
          <w:rFonts w:ascii="Arial" w:hAnsi="Arial" w:cs="Arial"/>
          <w:sz w:val="22"/>
          <w:szCs w:val="22"/>
        </w:rPr>
      </w:pPr>
      <w:r w:rsidRPr="0040416C">
        <w:rPr>
          <w:rFonts w:ascii="Arial" w:hAnsi="Arial" w:cs="Arial"/>
          <w:sz w:val="22"/>
          <w:szCs w:val="22"/>
        </w:rPr>
        <w:t xml:space="preserve">Under the IRC at 26 U.S.C. </w:t>
      </w:r>
      <w:r w:rsidRPr="0040416C" w:rsidR="00CB7899">
        <w:rPr>
          <w:rFonts w:ascii="Arial" w:hAnsi="Arial" w:cs="Arial"/>
          <w:sz w:val="22"/>
          <w:szCs w:val="22"/>
        </w:rPr>
        <w:t xml:space="preserve">5273, all </w:t>
      </w:r>
      <w:r w:rsidRPr="0040416C" w:rsidR="00FD70C3">
        <w:rPr>
          <w:rFonts w:ascii="Arial" w:hAnsi="Arial" w:cs="Arial"/>
          <w:sz w:val="22"/>
          <w:szCs w:val="22"/>
        </w:rPr>
        <w:t xml:space="preserve">entities, </w:t>
      </w:r>
      <w:r w:rsidRPr="0040416C" w:rsidR="00FA307E">
        <w:rPr>
          <w:rFonts w:ascii="Arial" w:hAnsi="Arial" w:cs="Arial"/>
          <w:sz w:val="22"/>
          <w:szCs w:val="22"/>
        </w:rPr>
        <w:t xml:space="preserve">regardless of size, </w:t>
      </w:r>
      <w:r w:rsidRPr="0040416C" w:rsidR="00CB7899">
        <w:rPr>
          <w:rFonts w:ascii="Arial" w:hAnsi="Arial" w:cs="Arial"/>
          <w:sz w:val="22"/>
          <w:szCs w:val="22"/>
        </w:rPr>
        <w:t xml:space="preserve">that </w:t>
      </w:r>
      <w:r w:rsidRPr="0040416C" w:rsidR="006A3745">
        <w:rPr>
          <w:rFonts w:ascii="Arial" w:hAnsi="Arial" w:cs="Arial"/>
          <w:sz w:val="22"/>
          <w:szCs w:val="22"/>
        </w:rPr>
        <w:t xml:space="preserve">produce </w:t>
      </w:r>
      <w:r w:rsidRPr="0040416C" w:rsidR="00CB7899">
        <w:rPr>
          <w:rFonts w:ascii="Arial" w:hAnsi="Arial" w:cs="Arial"/>
          <w:sz w:val="22"/>
          <w:szCs w:val="22"/>
        </w:rPr>
        <w:t xml:space="preserve">nonbeverage articles using SDS </w:t>
      </w:r>
      <w:r w:rsidRPr="0040416C" w:rsidR="00FA307E">
        <w:rPr>
          <w:rFonts w:ascii="Arial" w:hAnsi="Arial" w:cs="Arial"/>
          <w:sz w:val="22"/>
          <w:szCs w:val="22"/>
        </w:rPr>
        <w:t xml:space="preserve">must have </w:t>
      </w:r>
      <w:r w:rsidRPr="0040416C" w:rsidR="00CB7899">
        <w:rPr>
          <w:rFonts w:ascii="Arial" w:hAnsi="Arial" w:cs="Arial"/>
          <w:sz w:val="22"/>
          <w:szCs w:val="22"/>
        </w:rPr>
        <w:t>the formulas and processe</w:t>
      </w:r>
      <w:r w:rsidRPr="0040416C" w:rsidR="006A3745">
        <w:rPr>
          <w:rFonts w:ascii="Arial" w:hAnsi="Arial" w:cs="Arial"/>
          <w:sz w:val="22"/>
          <w:szCs w:val="22"/>
        </w:rPr>
        <w:t>s</w:t>
      </w:r>
      <w:r w:rsidRPr="0040416C" w:rsidR="00CB7899">
        <w:rPr>
          <w:rFonts w:ascii="Arial" w:hAnsi="Arial" w:cs="Arial"/>
          <w:sz w:val="22"/>
          <w:szCs w:val="22"/>
        </w:rPr>
        <w:t xml:space="preserve"> used to </w:t>
      </w:r>
      <w:r w:rsidRPr="0040416C" w:rsidR="006A3745">
        <w:rPr>
          <w:rFonts w:ascii="Arial" w:hAnsi="Arial" w:cs="Arial"/>
          <w:sz w:val="22"/>
          <w:szCs w:val="22"/>
        </w:rPr>
        <w:t xml:space="preserve">make </w:t>
      </w:r>
      <w:r w:rsidRPr="0040416C" w:rsidR="00CB7899">
        <w:rPr>
          <w:rFonts w:ascii="Arial" w:hAnsi="Arial" w:cs="Arial"/>
          <w:sz w:val="22"/>
          <w:szCs w:val="22"/>
        </w:rPr>
        <w:t xml:space="preserve">such articles </w:t>
      </w:r>
      <w:r w:rsidRPr="0040416C" w:rsidR="00CB7899">
        <w:rPr>
          <w:rFonts w:ascii="Arial" w:hAnsi="Arial" w:cs="Arial"/>
          <w:sz w:val="22"/>
          <w:szCs w:val="22"/>
        </w:rPr>
        <w:t xml:space="preserve">approved by TTB, </w:t>
      </w:r>
      <w:r w:rsidRPr="0040416C" w:rsidR="00FD70C3">
        <w:rPr>
          <w:rFonts w:ascii="Arial" w:hAnsi="Arial" w:cs="Arial"/>
          <w:sz w:val="22"/>
          <w:szCs w:val="22"/>
        </w:rPr>
        <w:t xml:space="preserve">except </w:t>
      </w:r>
      <w:r w:rsidRPr="0040416C" w:rsidR="00CB7899">
        <w:rPr>
          <w:rFonts w:ascii="Arial" w:hAnsi="Arial" w:cs="Arial"/>
          <w:sz w:val="22"/>
          <w:szCs w:val="22"/>
        </w:rPr>
        <w:t xml:space="preserve">for products that use the </w:t>
      </w:r>
      <w:r w:rsidRPr="0040416C" w:rsidR="00FA307E">
        <w:rPr>
          <w:rFonts w:ascii="Arial" w:hAnsi="Arial" w:cs="Arial"/>
          <w:sz w:val="22"/>
          <w:szCs w:val="22"/>
        </w:rPr>
        <w:t xml:space="preserve">general-use formulas </w:t>
      </w:r>
      <w:r w:rsidRPr="0040416C" w:rsidR="00895113">
        <w:rPr>
          <w:rFonts w:ascii="Arial" w:hAnsi="Arial" w:cs="Arial"/>
          <w:sz w:val="22"/>
          <w:szCs w:val="22"/>
        </w:rPr>
        <w:t>a</w:t>
      </w:r>
      <w:r w:rsidRPr="0040416C" w:rsidR="00CB7899">
        <w:rPr>
          <w:rFonts w:ascii="Arial" w:hAnsi="Arial" w:cs="Arial"/>
          <w:sz w:val="22"/>
          <w:szCs w:val="22"/>
        </w:rPr>
        <w:t>pproved by regulation (</w:t>
      </w:r>
      <w:r w:rsidRPr="0040416C">
        <w:rPr>
          <w:rFonts w:ascii="Arial" w:hAnsi="Arial" w:cs="Arial"/>
          <w:sz w:val="22"/>
          <w:szCs w:val="22"/>
        </w:rPr>
        <w:t xml:space="preserve">see 27 CFR 20.111 through 20.124). </w:t>
      </w:r>
    </w:p>
    <w:p w:rsidR="007A5D4B" w:rsidRPr="0040416C" w:rsidP="007A5D4B" w14:paraId="5508D865" w14:textId="77777777">
      <w:pPr>
        <w:suppressAutoHyphens/>
        <w:rPr>
          <w:rFonts w:ascii="Arial" w:hAnsi="Arial" w:cs="Arial"/>
          <w:sz w:val="28"/>
          <w:szCs w:val="28"/>
        </w:rPr>
      </w:pPr>
    </w:p>
    <w:p w:rsidR="00AF1157" w:rsidRPr="0040416C" w:rsidP="00D73D2D" w14:paraId="4F62889C" w14:textId="77777777">
      <w:pPr>
        <w:suppressAutoHyphens/>
        <w:rPr>
          <w:rFonts w:ascii="Arial" w:hAnsi="Arial" w:cs="Arial"/>
          <w:i/>
          <w:sz w:val="22"/>
          <w:szCs w:val="22"/>
        </w:rPr>
      </w:pPr>
      <w:r w:rsidRPr="0040416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40416C" w:rsidP="00D73D2D" w14:paraId="121FB46C" w14:textId="77777777">
      <w:pPr>
        <w:suppressAutoHyphens/>
        <w:ind w:left="480" w:hanging="480"/>
        <w:rPr>
          <w:rFonts w:ascii="Arial" w:hAnsi="Arial" w:cs="Arial"/>
          <w:sz w:val="22"/>
          <w:szCs w:val="22"/>
        </w:rPr>
      </w:pPr>
    </w:p>
    <w:p w:rsidR="00CA07BF" w:rsidRPr="0040416C" w:rsidP="00CA07BF" w14:paraId="65594E5A" w14:textId="02244565">
      <w:pPr>
        <w:ind w:left="360"/>
        <w:rPr>
          <w:rFonts w:ascii="Arial" w:hAnsi="Arial" w:cs="Arial"/>
          <w:sz w:val="22"/>
          <w:szCs w:val="22"/>
        </w:rPr>
      </w:pPr>
      <w:r w:rsidRPr="0040416C">
        <w:rPr>
          <w:rFonts w:ascii="Arial" w:hAnsi="Arial" w:cs="Arial"/>
          <w:sz w:val="22"/>
          <w:szCs w:val="22"/>
        </w:rPr>
        <w:t xml:space="preserve">Respondents </w:t>
      </w:r>
      <w:r w:rsidRPr="0040416C" w:rsidR="00B2259E">
        <w:rPr>
          <w:rFonts w:ascii="Arial" w:hAnsi="Arial" w:cs="Arial"/>
          <w:sz w:val="22"/>
          <w:szCs w:val="22"/>
        </w:rPr>
        <w:t xml:space="preserve">submit </w:t>
      </w:r>
      <w:r w:rsidRPr="0040416C">
        <w:rPr>
          <w:rFonts w:ascii="Arial" w:hAnsi="Arial" w:cs="Arial"/>
          <w:sz w:val="22"/>
          <w:szCs w:val="22"/>
        </w:rPr>
        <w:t xml:space="preserve">this information collection </w:t>
      </w:r>
      <w:r w:rsidRPr="0040416C" w:rsidR="00B2259E">
        <w:rPr>
          <w:rFonts w:ascii="Arial" w:hAnsi="Arial" w:cs="Arial"/>
          <w:sz w:val="22"/>
          <w:szCs w:val="22"/>
        </w:rPr>
        <w:t xml:space="preserve">only as necessary to </w:t>
      </w:r>
      <w:r w:rsidRPr="0040416C">
        <w:rPr>
          <w:rFonts w:ascii="Arial" w:hAnsi="Arial" w:cs="Arial"/>
          <w:sz w:val="22"/>
          <w:szCs w:val="22"/>
        </w:rPr>
        <w:t xml:space="preserve">request TTB approval of </w:t>
      </w:r>
      <w:r w:rsidRPr="0040416C" w:rsidR="00B2259E">
        <w:rPr>
          <w:rFonts w:ascii="Arial" w:hAnsi="Arial" w:cs="Arial"/>
          <w:sz w:val="22"/>
          <w:szCs w:val="22"/>
        </w:rPr>
        <w:t xml:space="preserve">new or certain </w:t>
      </w:r>
      <w:r w:rsidRPr="0040416C" w:rsidR="00217540">
        <w:rPr>
          <w:rFonts w:ascii="Arial" w:hAnsi="Arial" w:cs="Arial"/>
          <w:sz w:val="22"/>
          <w:szCs w:val="22"/>
        </w:rPr>
        <w:t xml:space="preserve">amended </w:t>
      </w:r>
      <w:r w:rsidRPr="0040416C">
        <w:rPr>
          <w:rFonts w:ascii="Arial" w:hAnsi="Arial" w:cs="Arial"/>
          <w:sz w:val="22"/>
          <w:szCs w:val="22"/>
        </w:rPr>
        <w:t xml:space="preserve">formulas and </w:t>
      </w:r>
      <w:r w:rsidRPr="0040416C" w:rsidR="006A3745">
        <w:rPr>
          <w:rFonts w:ascii="Arial" w:hAnsi="Arial" w:cs="Arial"/>
          <w:sz w:val="22"/>
          <w:szCs w:val="22"/>
        </w:rPr>
        <w:t xml:space="preserve">statements of </w:t>
      </w:r>
      <w:r w:rsidRPr="0040416C">
        <w:rPr>
          <w:rFonts w:ascii="Arial" w:hAnsi="Arial" w:cs="Arial"/>
          <w:sz w:val="22"/>
          <w:szCs w:val="22"/>
        </w:rPr>
        <w:t>process for nonbeverage articles made with SDS, and, as such</w:t>
      </w:r>
      <w:r w:rsidRPr="0040416C" w:rsidR="00FA7DF9">
        <w:rPr>
          <w:rFonts w:ascii="Arial" w:hAnsi="Arial" w:cs="Arial"/>
          <w:sz w:val="22"/>
          <w:szCs w:val="22"/>
        </w:rPr>
        <w:t>,</w:t>
      </w:r>
      <w:r w:rsidRPr="0040416C">
        <w:rPr>
          <w:rFonts w:ascii="Arial" w:hAnsi="Arial" w:cs="Arial"/>
          <w:sz w:val="22"/>
          <w:szCs w:val="22"/>
        </w:rPr>
        <w:t xml:space="preserve"> this collection cannot be conducted less frequently</w:t>
      </w:r>
      <w:r w:rsidRPr="0040416C" w:rsidR="00B2259E">
        <w:rPr>
          <w:rFonts w:ascii="Arial" w:hAnsi="Arial" w:cs="Arial"/>
          <w:sz w:val="22"/>
          <w:szCs w:val="22"/>
        </w:rPr>
        <w:t xml:space="preserve">.  </w:t>
      </w:r>
      <w:r w:rsidRPr="0040416C" w:rsidR="00FA7DF9">
        <w:rPr>
          <w:rFonts w:ascii="Arial" w:hAnsi="Arial" w:cs="Arial"/>
          <w:sz w:val="22"/>
          <w:szCs w:val="22"/>
        </w:rPr>
        <w:t>In addition, w</w:t>
      </w:r>
      <w:r w:rsidRPr="0040416C" w:rsidR="00AC18B9">
        <w:rPr>
          <w:rFonts w:ascii="Arial" w:hAnsi="Arial" w:cs="Arial"/>
          <w:sz w:val="22"/>
          <w:szCs w:val="22"/>
        </w:rPr>
        <w:t xml:space="preserve">ithout </w:t>
      </w:r>
      <w:r w:rsidRPr="0040416C" w:rsidR="00217540">
        <w:rPr>
          <w:rFonts w:ascii="Arial" w:hAnsi="Arial" w:cs="Arial"/>
          <w:sz w:val="22"/>
          <w:szCs w:val="22"/>
        </w:rPr>
        <w:t xml:space="preserve">the collected formula and process information, persons manufacturing </w:t>
      </w:r>
      <w:r w:rsidRPr="0040416C">
        <w:rPr>
          <w:rFonts w:ascii="Arial" w:hAnsi="Arial" w:cs="Arial"/>
          <w:sz w:val="22"/>
          <w:szCs w:val="22"/>
        </w:rPr>
        <w:t xml:space="preserve">such </w:t>
      </w:r>
      <w:r w:rsidRPr="0040416C" w:rsidR="00AC18B9">
        <w:rPr>
          <w:rFonts w:ascii="Arial" w:hAnsi="Arial" w:cs="Arial"/>
          <w:sz w:val="22"/>
          <w:szCs w:val="22"/>
        </w:rPr>
        <w:t xml:space="preserve">articles would have no means of complying with </w:t>
      </w:r>
      <w:r w:rsidRPr="0040416C" w:rsidR="0040416C">
        <w:rPr>
          <w:rFonts w:ascii="Arial" w:hAnsi="Arial" w:cs="Arial"/>
          <w:sz w:val="22"/>
          <w:szCs w:val="22"/>
        </w:rPr>
        <w:t xml:space="preserve">the formula approval requirement of the IRC at </w:t>
      </w:r>
      <w:r w:rsidRPr="0040416C" w:rsidR="00AC18B9">
        <w:rPr>
          <w:rFonts w:ascii="Arial" w:hAnsi="Arial" w:cs="Arial"/>
          <w:sz w:val="22"/>
          <w:szCs w:val="22"/>
        </w:rPr>
        <w:t>26 U.S.C. 5273</w:t>
      </w:r>
      <w:r w:rsidRPr="0040416C" w:rsidR="00FA7DF9">
        <w:rPr>
          <w:rFonts w:ascii="Arial" w:hAnsi="Arial" w:cs="Arial"/>
          <w:sz w:val="22"/>
          <w:szCs w:val="22"/>
        </w:rPr>
        <w:t xml:space="preserve">, and </w:t>
      </w:r>
      <w:r w:rsidRPr="0040416C" w:rsidR="00B2259E">
        <w:rPr>
          <w:rFonts w:ascii="Arial" w:hAnsi="Arial" w:cs="Arial"/>
          <w:sz w:val="22"/>
          <w:szCs w:val="22"/>
        </w:rPr>
        <w:t>TTB would not be able to verify that such articles are</w:t>
      </w:r>
      <w:r w:rsidRPr="0040416C" w:rsidR="005C04CC">
        <w:rPr>
          <w:rFonts w:ascii="Arial" w:hAnsi="Arial" w:cs="Arial"/>
          <w:sz w:val="22"/>
          <w:szCs w:val="22"/>
        </w:rPr>
        <w:t xml:space="preserve"> being</w:t>
      </w:r>
      <w:r w:rsidRPr="0040416C" w:rsidR="00B2259E">
        <w:rPr>
          <w:rFonts w:ascii="Arial" w:hAnsi="Arial" w:cs="Arial"/>
          <w:sz w:val="22"/>
          <w:szCs w:val="22"/>
        </w:rPr>
        <w:t xml:space="preserve"> manufactured in compliance with </w:t>
      </w:r>
      <w:r w:rsidRPr="0040416C" w:rsidR="00217540">
        <w:rPr>
          <w:rFonts w:ascii="Arial" w:hAnsi="Arial" w:cs="Arial"/>
          <w:sz w:val="22"/>
          <w:szCs w:val="22"/>
        </w:rPr>
        <w:t xml:space="preserve">the IRC. </w:t>
      </w:r>
    </w:p>
    <w:p w:rsidR="007A5D4B" w:rsidRPr="0040416C" w:rsidP="007A5D4B" w14:paraId="2E1FB899" w14:textId="77777777">
      <w:pPr>
        <w:suppressAutoHyphens/>
        <w:rPr>
          <w:rFonts w:ascii="Arial" w:hAnsi="Arial" w:cs="Arial"/>
          <w:sz w:val="28"/>
          <w:szCs w:val="28"/>
        </w:rPr>
      </w:pPr>
    </w:p>
    <w:p w:rsidR="00EC4FC3" w:rsidRPr="0040416C" w:rsidP="00D73D2D" w14:paraId="11F9A09F" w14:textId="77777777">
      <w:pPr>
        <w:suppressAutoHyphens/>
        <w:rPr>
          <w:rFonts w:ascii="Arial" w:hAnsi="Arial" w:cs="Arial"/>
          <w:i/>
          <w:sz w:val="22"/>
          <w:szCs w:val="22"/>
        </w:rPr>
      </w:pPr>
      <w:r w:rsidRPr="0040416C">
        <w:rPr>
          <w:rFonts w:ascii="Arial" w:hAnsi="Arial" w:cs="Arial"/>
          <w:i/>
          <w:sz w:val="22"/>
          <w:szCs w:val="22"/>
        </w:rPr>
        <w:t>7.  Are there any special circumstances associated with this information collection</w:t>
      </w:r>
      <w:r w:rsidRPr="0040416C" w:rsidR="005C282B">
        <w:rPr>
          <w:rFonts w:ascii="Arial" w:hAnsi="Arial" w:cs="Arial"/>
          <w:i/>
          <w:sz w:val="22"/>
          <w:szCs w:val="22"/>
        </w:rPr>
        <w:t xml:space="preserve"> that would require it to be conducted in a manner inconsistent with OMB guidelines</w:t>
      </w:r>
      <w:r w:rsidRPr="0040416C">
        <w:rPr>
          <w:rFonts w:ascii="Arial" w:hAnsi="Arial" w:cs="Arial"/>
          <w:i/>
          <w:sz w:val="22"/>
          <w:szCs w:val="22"/>
        </w:rPr>
        <w:t xml:space="preserve">? </w:t>
      </w:r>
    </w:p>
    <w:p w:rsidR="00101DE7" w:rsidRPr="0040416C" w:rsidP="00D73D2D" w14:paraId="3093C1D7" w14:textId="77777777">
      <w:pPr>
        <w:rPr>
          <w:rFonts w:ascii="Arial" w:hAnsi="Arial" w:cs="Arial"/>
          <w:sz w:val="22"/>
          <w:szCs w:val="22"/>
        </w:rPr>
      </w:pPr>
    </w:p>
    <w:p w:rsidR="0028082E" w:rsidRPr="0040416C" w:rsidP="0028082E" w14:paraId="063A9339" w14:textId="77777777">
      <w:pPr>
        <w:ind w:left="360"/>
        <w:rPr>
          <w:rFonts w:ascii="Arial" w:hAnsi="Arial" w:cs="Arial"/>
          <w:sz w:val="22"/>
          <w:szCs w:val="22"/>
        </w:rPr>
      </w:pPr>
      <w:r w:rsidRPr="0040416C">
        <w:rPr>
          <w:rFonts w:ascii="Arial" w:hAnsi="Arial" w:cs="Arial"/>
          <w:sz w:val="22"/>
          <w:szCs w:val="22"/>
        </w:rPr>
        <w:t xml:space="preserve">There are no special circumstances associated with this information collection that would require it to be inconsistent with OMB guidelines. </w:t>
      </w:r>
    </w:p>
    <w:p w:rsidR="00EC4FC3" w:rsidRPr="0040416C" w:rsidP="00D73D2D" w14:paraId="5F62BBF4" w14:textId="77777777">
      <w:pPr>
        <w:rPr>
          <w:rFonts w:ascii="Arial" w:hAnsi="Arial" w:cs="Arial"/>
          <w:sz w:val="28"/>
          <w:szCs w:val="28"/>
        </w:rPr>
      </w:pPr>
    </w:p>
    <w:p w:rsidR="005C282B" w:rsidRPr="0040416C" w:rsidP="00D73D2D" w14:paraId="69D15FC5" w14:textId="77777777">
      <w:pPr>
        <w:rPr>
          <w:rFonts w:ascii="Arial" w:hAnsi="Arial" w:cs="Arial"/>
          <w:i/>
          <w:sz w:val="22"/>
          <w:szCs w:val="22"/>
        </w:rPr>
      </w:pPr>
      <w:r w:rsidRPr="0040416C">
        <w:rPr>
          <w:rFonts w:ascii="Arial" w:hAnsi="Arial" w:cs="Arial"/>
          <w:i/>
          <w:sz w:val="22"/>
          <w:szCs w:val="22"/>
        </w:rPr>
        <w:t xml:space="preserve">8.  </w:t>
      </w:r>
      <w:r w:rsidRPr="0040416C" w:rsidR="00EC4FC3">
        <w:rPr>
          <w:rFonts w:ascii="Arial" w:hAnsi="Arial" w:cs="Arial"/>
          <w:i/>
          <w:sz w:val="22"/>
          <w:szCs w:val="22"/>
        </w:rPr>
        <w:t>What effort was made to notify the general public about this collection of information?</w:t>
      </w:r>
      <w:r w:rsidRPr="0040416C">
        <w:rPr>
          <w:rFonts w:ascii="Arial" w:hAnsi="Arial" w:cs="Arial"/>
          <w:i/>
          <w:sz w:val="22"/>
          <w:szCs w:val="22"/>
        </w:rPr>
        <w:t xml:space="preserve">  Summarize the public comments that were received and describe the action taken by the agency in response to those comments. </w:t>
      </w:r>
    </w:p>
    <w:p w:rsidR="005C282B" w:rsidRPr="00227B1C" w:rsidP="00D73D2D" w14:paraId="20540A7F" w14:textId="77777777">
      <w:pPr>
        <w:suppressAutoHyphens/>
        <w:ind w:left="480" w:hanging="480"/>
        <w:rPr>
          <w:rFonts w:ascii="Arial" w:hAnsi="Arial" w:cs="Arial"/>
          <w:sz w:val="22"/>
          <w:szCs w:val="22"/>
        </w:rPr>
      </w:pPr>
    </w:p>
    <w:p w:rsidR="00226A39" w:rsidRPr="00227B1C" w:rsidP="00226A39" w14:paraId="53235C43" w14:textId="574529CA">
      <w:pPr>
        <w:ind w:left="360"/>
        <w:rPr>
          <w:rFonts w:ascii="Arial" w:hAnsi="Arial" w:cs="Arial"/>
          <w:sz w:val="22"/>
          <w:szCs w:val="22"/>
        </w:rPr>
      </w:pPr>
      <w:r w:rsidRPr="00227B1C">
        <w:rPr>
          <w:rFonts w:ascii="Arial" w:hAnsi="Arial" w:cs="Arial"/>
          <w:sz w:val="22"/>
          <w:szCs w:val="22"/>
        </w:rPr>
        <w:t>To solicit comments from the public, TTB published a 60-day comment request notice for this information collection in the Federal Register on</w:t>
      </w:r>
      <w:r w:rsidRPr="00227B1C" w:rsidR="0028082E">
        <w:rPr>
          <w:rFonts w:ascii="Arial" w:hAnsi="Arial" w:cs="Arial"/>
          <w:sz w:val="22"/>
          <w:szCs w:val="22"/>
        </w:rPr>
        <w:t xml:space="preserve"> </w:t>
      </w:r>
      <w:r w:rsidRPr="00227B1C" w:rsidR="00227B1C">
        <w:rPr>
          <w:rFonts w:ascii="Arial" w:hAnsi="Arial" w:cs="Arial"/>
          <w:sz w:val="22"/>
          <w:szCs w:val="22"/>
        </w:rPr>
        <w:t xml:space="preserve">January 30, 2026, at 91 FR 4180.  </w:t>
      </w:r>
      <w:r w:rsidRPr="00227B1C">
        <w:rPr>
          <w:rFonts w:ascii="Arial" w:hAnsi="Arial" w:cs="Arial"/>
          <w:sz w:val="22"/>
          <w:szCs w:val="22"/>
        </w:rPr>
        <w:t xml:space="preserve">TTB received </w:t>
      </w:r>
      <w:r w:rsidR="003E3212">
        <w:rPr>
          <w:rFonts w:ascii="Arial" w:hAnsi="Arial" w:cs="Arial"/>
          <w:sz w:val="22"/>
          <w:szCs w:val="22"/>
        </w:rPr>
        <w:t>one comment noting this collection’s related form number, TTB F 5150.19, but the comment merely consisted of an attached copy of the January 30</w:t>
      </w:r>
      <w:r w:rsidRPr="003E3212" w:rsidR="003E3212">
        <w:rPr>
          <w:rFonts w:ascii="Arial" w:hAnsi="Arial" w:cs="Arial"/>
          <w:sz w:val="22"/>
          <w:szCs w:val="22"/>
          <w:vertAlign w:val="superscript"/>
        </w:rPr>
        <w:t>th</w:t>
      </w:r>
      <w:r w:rsidR="003E3212">
        <w:rPr>
          <w:rFonts w:ascii="Arial" w:hAnsi="Arial" w:cs="Arial"/>
          <w:sz w:val="22"/>
          <w:szCs w:val="22"/>
        </w:rPr>
        <w:t xml:space="preserve"> Federal Register notice. </w:t>
      </w:r>
    </w:p>
    <w:p w:rsidR="00734B25" w:rsidRPr="00227B1C" w:rsidP="00D73D2D" w14:paraId="0E97640A" w14:textId="77777777">
      <w:pPr>
        <w:suppressAutoHyphens/>
        <w:rPr>
          <w:rFonts w:ascii="Arial" w:hAnsi="Arial" w:cs="Arial"/>
          <w:sz w:val="28"/>
          <w:szCs w:val="28"/>
        </w:rPr>
      </w:pPr>
    </w:p>
    <w:p w:rsidR="00EC4FC3" w:rsidRPr="00227B1C" w:rsidP="00D73D2D" w14:paraId="60E5841C" w14:textId="77777777">
      <w:pPr>
        <w:suppressAutoHyphens/>
        <w:rPr>
          <w:rFonts w:ascii="Arial" w:hAnsi="Arial" w:cs="Arial"/>
          <w:i/>
          <w:sz w:val="22"/>
          <w:szCs w:val="22"/>
        </w:rPr>
      </w:pPr>
      <w:r w:rsidRPr="00227B1C">
        <w:rPr>
          <w:rFonts w:ascii="Arial" w:hAnsi="Arial" w:cs="Arial"/>
          <w:i/>
          <w:sz w:val="22"/>
          <w:szCs w:val="22"/>
        </w:rPr>
        <w:t xml:space="preserve">9.  </w:t>
      </w:r>
      <w:r w:rsidRPr="00227B1C" w:rsidR="00D656EA">
        <w:rPr>
          <w:rFonts w:ascii="Arial" w:hAnsi="Arial" w:cs="Arial"/>
          <w:i/>
          <w:sz w:val="22"/>
          <w:szCs w:val="22"/>
        </w:rPr>
        <w:t xml:space="preserve">Was any payment or </w:t>
      </w:r>
      <w:r w:rsidRPr="00227B1C">
        <w:rPr>
          <w:rFonts w:ascii="Arial" w:hAnsi="Arial" w:cs="Arial"/>
          <w:i/>
          <w:sz w:val="22"/>
          <w:szCs w:val="22"/>
        </w:rPr>
        <w:t xml:space="preserve">gift </w:t>
      </w:r>
      <w:r w:rsidRPr="00227B1C" w:rsidR="00D656EA">
        <w:rPr>
          <w:rFonts w:ascii="Arial" w:hAnsi="Arial" w:cs="Arial"/>
          <w:i/>
          <w:sz w:val="22"/>
          <w:szCs w:val="22"/>
        </w:rPr>
        <w:t xml:space="preserve">given </w:t>
      </w:r>
      <w:r w:rsidRPr="00227B1C">
        <w:rPr>
          <w:rFonts w:ascii="Arial" w:hAnsi="Arial" w:cs="Arial"/>
          <w:i/>
          <w:sz w:val="22"/>
          <w:szCs w:val="22"/>
        </w:rPr>
        <w:t>to respondents, other than re</w:t>
      </w:r>
      <w:r w:rsidRPr="00227B1C" w:rsidR="00101DE7">
        <w:rPr>
          <w:rFonts w:ascii="Arial" w:hAnsi="Arial" w:cs="Arial"/>
          <w:i/>
          <w:sz w:val="22"/>
          <w:szCs w:val="22"/>
        </w:rPr>
        <w:t>mun</w:t>
      </w:r>
      <w:r w:rsidRPr="00227B1C">
        <w:rPr>
          <w:rFonts w:ascii="Arial" w:hAnsi="Arial" w:cs="Arial"/>
          <w:i/>
          <w:sz w:val="22"/>
          <w:szCs w:val="22"/>
        </w:rPr>
        <w:t>eration of contractors or grantees?</w:t>
      </w:r>
      <w:r w:rsidRPr="00227B1C" w:rsidR="00D656EA">
        <w:rPr>
          <w:rFonts w:ascii="Arial" w:hAnsi="Arial" w:cs="Arial"/>
          <w:i/>
          <w:sz w:val="22"/>
          <w:szCs w:val="22"/>
        </w:rPr>
        <w:t xml:space="preserve">  If so, why? </w:t>
      </w:r>
    </w:p>
    <w:p w:rsidR="00EC4FC3" w:rsidRPr="00227B1C" w:rsidP="00D73D2D" w14:paraId="600A1404" w14:textId="77777777">
      <w:pPr>
        <w:suppressAutoHyphens/>
        <w:rPr>
          <w:rFonts w:ascii="Arial" w:hAnsi="Arial" w:cs="Arial"/>
          <w:sz w:val="22"/>
          <w:szCs w:val="22"/>
        </w:rPr>
      </w:pPr>
    </w:p>
    <w:p w:rsidR="00EC4FC3" w:rsidRPr="00227B1C" w:rsidP="004D086A" w14:paraId="7DAEC23A" w14:textId="23B5556D">
      <w:pPr>
        <w:suppressAutoHyphens/>
        <w:ind w:left="360"/>
        <w:rPr>
          <w:rFonts w:ascii="Arial" w:hAnsi="Arial" w:cs="Arial"/>
          <w:sz w:val="22"/>
          <w:szCs w:val="22"/>
        </w:rPr>
      </w:pPr>
      <w:r w:rsidRPr="00227B1C">
        <w:rPr>
          <w:rFonts w:ascii="Arial" w:hAnsi="Arial" w:cs="Arial"/>
          <w:sz w:val="22"/>
          <w:szCs w:val="22"/>
        </w:rPr>
        <w:t xml:space="preserve">No payment or gift is associated with this </w:t>
      </w:r>
      <w:r w:rsidRPr="00227B1C" w:rsidR="0028082E">
        <w:rPr>
          <w:rFonts w:ascii="Arial" w:hAnsi="Arial" w:cs="Arial"/>
          <w:sz w:val="22"/>
          <w:szCs w:val="22"/>
        </w:rPr>
        <w:t xml:space="preserve">information </w:t>
      </w:r>
      <w:r w:rsidRPr="00227B1C">
        <w:rPr>
          <w:rFonts w:ascii="Arial" w:hAnsi="Arial" w:cs="Arial"/>
          <w:sz w:val="22"/>
          <w:szCs w:val="22"/>
        </w:rPr>
        <w:t>collection.</w:t>
      </w:r>
      <w:r w:rsidRPr="00227B1C" w:rsidR="00D656EA">
        <w:rPr>
          <w:rFonts w:ascii="Arial" w:hAnsi="Arial" w:cs="Arial"/>
          <w:sz w:val="22"/>
          <w:szCs w:val="22"/>
        </w:rPr>
        <w:t xml:space="preserve"> </w:t>
      </w:r>
    </w:p>
    <w:p w:rsidR="00EC4FC3" w:rsidRPr="00227B1C" w:rsidP="00D73D2D" w14:paraId="345E370A" w14:textId="77777777">
      <w:pPr>
        <w:suppressAutoHyphens/>
        <w:rPr>
          <w:rFonts w:ascii="Arial" w:hAnsi="Arial" w:cs="Arial"/>
          <w:sz w:val="28"/>
          <w:szCs w:val="28"/>
        </w:rPr>
      </w:pPr>
    </w:p>
    <w:p w:rsidR="00EC4FC3" w:rsidRPr="00227B1C" w:rsidP="00D73D2D" w14:paraId="1D7239CD" w14:textId="77777777">
      <w:pPr>
        <w:suppressAutoHyphens/>
        <w:rPr>
          <w:rFonts w:ascii="Arial" w:hAnsi="Arial" w:cs="Arial"/>
          <w:i/>
          <w:sz w:val="22"/>
          <w:szCs w:val="22"/>
        </w:rPr>
      </w:pPr>
      <w:r w:rsidRPr="00227B1C">
        <w:rPr>
          <w:rFonts w:ascii="Arial" w:hAnsi="Arial" w:cs="Arial"/>
          <w:i/>
          <w:sz w:val="22"/>
          <w:szCs w:val="22"/>
        </w:rPr>
        <w:t>10.  What assurance of confidentiality was provided to respondents, and what was the basis for the assurance in statute, regulations,</w:t>
      </w:r>
      <w:r w:rsidRPr="00227B1C" w:rsidR="00734B25">
        <w:rPr>
          <w:rFonts w:ascii="Arial" w:hAnsi="Arial" w:cs="Arial"/>
          <w:i/>
          <w:sz w:val="22"/>
          <w:szCs w:val="22"/>
        </w:rPr>
        <w:t xml:space="preserve"> </w:t>
      </w:r>
      <w:r w:rsidRPr="00227B1C">
        <w:rPr>
          <w:rFonts w:ascii="Arial" w:hAnsi="Arial" w:cs="Arial"/>
          <w:i/>
          <w:sz w:val="22"/>
          <w:szCs w:val="22"/>
        </w:rPr>
        <w:t xml:space="preserve">or agency policy? </w:t>
      </w:r>
    </w:p>
    <w:p w:rsidR="00EC4FC3" w:rsidRPr="00227B1C" w:rsidP="00D73D2D" w14:paraId="422025AB" w14:textId="77777777">
      <w:pPr>
        <w:rPr>
          <w:rFonts w:ascii="Arial" w:hAnsi="Arial" w:cs="Arial"/>
          <w:sz w:val="22"/>
          <w:szCs w:val="22"/>
        </w:rPr>
      </w:pPr>
    </w:p>
    <w:p w:rsidR="000A207A" w:rsidRPr="00227B1C" w:rsidP="00895113" w14:paraId="6C3048E4" w14:textId="0BE9CAD1">
      <w:pPr>
        <w:ind w:left="360"/>
        <w:rPr>
          <w:rFonts w:ascii="Arial" w:hAnsi="Arial" w:cs="Arial"/>
          <w:sz w:val="22"/>
          <w:szCs w:val="22"/>
        </w:rPr>
      </w:pPr>
      <w:r w:rsidRPr="00227B1C">
        <w:rPr>
          <w:rFonts w:ascii="Arial" w:hAnsi="Arial" w:cs="Arial"/>
          <w:sz w:val="22"/>
          <w:szCs w:val="22"/>
        </w:rPr>
        <w:t>Under 5 U.S.C. 552(b)(4), a</w:t>
      </w:r>
      <w:r w:rsidRPr="00227B1C" w:rsidR="00895113">
        <w:rPr>
          <w:rFonts w:ascii="Arial" w:hAnsi="Arial" w:cs="Arial"/>
          <w:sz w:val="22"/>
          <w:szCs w:val="22"/>
        </w:rPr>
        <w:t xml:space="preserve">ll formulas, samples, and statements of process submitted </w:t>
      </w:r>
      <w:r w:rsidRPr="00227B1C">
        <w:rPr>
          <w:rFonts w:ascii="Arial" w:hAnsi="Arial" w:cs="Arial"/>
          <w:sz w:val="22"/>
          <w:szCs w:val="22"/>
        </w:rPr>
        <w:t xml:space="preserve">by respondents </w:t>
      </w:r>
      <w:r w:rsidRPr="00227B1C" w:rsidR="00217540">
        <w:rPr>
          <w:rFonts w:ascii="Arial" w:hAnsi="Arial" w:cs="Arial"/>
          <w:sz w:val="22"/>
          <w:szCs w:val="22"/>
        </w:rPr>
        <w:t xml:space="preserve">under this collection are considered trade </w:t>
      </w:r>
      <w:r w:rsidRPr="00227B1C" w:rsidR="00E97392">
        <w:rPr>
          <w:rFonts w:ascii="Arial" w:hAnsi="Arial" w:cs="Arial"/>
          <w:sz w:val="22"/>
          <w:szCs w:val="22"/>
        </w:rPr>
        <w:t xml:space="preserve">secrets </w:t>
      </w:r>
      <w:r w:rsidRPr="00227B1C" w:rsidR="00895113">
        <w:rPr>
          <w:rFonts w:ascii="Arial" w:hAnsi="Arial" w:cs="Arial"/>
          <w:sz w:val="22"/>
          <w:szCs w:val="22"/>
        </w:rPr>
        <w:t>protected from public disclosure under the Freedom of Information Act</w:t>
      </w:r>
      <w:r w:rsidR="00E97392">
        <w:rPr>
          <w:rFonts w:ascii="Arial" w:hAnsi="Arial" w:cs="Arial"/>
          <w:sz w:val="22"/>
          <w:szCs w:val="22"/>
        </w:rPr>
        <w:t xml:space="preserve">, and </w:t>
      </w:r>
      <w:r w:rsidRPr="00227B1C" w:rsidR="00217540">
        <w:rPr>
          <w:rFonts w:ascii="Arial" w:hAnsi="Arial" w:cs="Arial"/>
          <w:sz w:val="22"/>
          <w:szCs w:val="22"/>
        </w:rPr>
        <w:t xml:space="preserve">TTB F 5150.19 </w:t>
      </w:r>
      <w:r w:rsidRPr="00227B1C">
        <w:rPr>
          <w:rFonts w:ascii="Arial" w:hAnsi="Arial" w:cs="Arial"/>
          <w:sz w:val="22"/>
          <w:szCs w:val="22"/>
        </w:rPr>
        <w:t xml:space="preserve">and FONL </w:t>
      </w:r>
      <w:r w:rsidRPr="00227B1C" w:rsidR="00227B1C">
        <w:rPr>
          <w:rFonts w:ascii="Arial" w:hAnsi="Arial" w:cs="Arial"/>
          <w:sz w:val="22"/>
          <w:szCs w:val="22"/>
        </w:rPr>
        <w:t xml:space="preserve">display </w:t>
      </w:r>
      <w:r w:rsidRPr="00227B1C" w:rsidR="00217540">
        <w:rPr>
          <w:rFonts w:ascii="Arial" w:hAnsi="Arial" w:cs="Arial"/>
          <w:sz w:val="22"/>
          <w:szCs w:val="22"/>
        </w:rPr>
        <w:t xml:space="preserve">a statement to that effect.  </w:t>
      </w:r>
      <w:r w:rsidRPr="00227B1C">
        <w:rPr>
          <w:rFonts w:ascii="Arial" w:hAnsi="Arial" w:cs="Arial"/>
          <w:sz w:val="22"/>
          <w:szCs w:val="22"/>
        </w:rPr>
        <w:t xml:space="preserve">In addition, </w:t>
      </w:r>
      <w:r w:rsidRPr="00227B1C" w:rsidR="00217540">
        <w:rPr>
          <w:rFonts w:ascii="Arial" w:hAnsi="Arial" w:cs="Arial"/>
          <w:sz w:val="22"/>
          <w:szCs w:val="22"/>
        </w:rPr>
        <w:t>TTB maintains the collected information in secure office space and computer systems with controlled access.</w:t>
      </w:r>
      <w:r w:rsidRPr="00227B1C" w:rsidR="00774626">
        <w:rPr>
          <w:rFonts w:ascii="Arial" w:hAnsi="Arial" w:cs="Arial"/>
          <w:sz w:val="22"/>
          <w:szCs w:val="22"/>
        </w:rPr>
        <w:t xml:space="preserve"> </w:t>
      </w:r>
    </w:p>
    <w:p w:rsidR="00AF1157" w:rsidRPr="00227B1C" w:rsidP="00D73D2D" w14:paraId="7102E1C7" w14:textId="77777777">
      <w:pPr>
        <w:suppressAutoHyphens/>
        <w:rPr>
          <w:rFonts w:ascii="Arial" w:hAnsi="Arial" w:cs="Arial"/>
          <w:sz w:val="28"/>
          <w:szCs w:val="28"/>
        </w:rPr>
      </w:pPr>
    </w:p>
    <w:p w:rsidR="00A201BF" w:rsidRPr="00E97392" w:rsidP="00A201BF" w14:paraId="169C7520" w14:textId="77777777">
      <w:pPr>
        <w:rPr>
          <w:rFonts w:ascii="Arial" w:hAnsi="Arial" w:cs="Arial"/>
          <w:i/>
          <w:sz w:val="22"/>
          <w:szCs w:val="22"/>
        </w:rPr>
      </w:pPr>
      <w:r w:rsidRPr="00227B1C">
        <w:rPr>
          <w:rFonts w:ascii="Arial" w:hAnsi="Arial" w:cs="Arial"/>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E97392">
        <w:rPr>
          <w:rFonts w:ascii="Arial" w:hAnsi="Arial" w:cs="Arial"/>
          <w:i/>
          <w:sz w:val="22"/>
          <w:szCs w:val="22"/>
        </w:rPr>
        <w:t xml:space="preserve">. </w:t>
      </w:r>
    </w:p>
    <w:p w:rsidR="00A201BF" w:rsidRPr="00227B1C" w:rsidP="00A201BF" w14:paraId="0B45FA69" w14:textId="77777777">
      <w:pPr>
        <w:rPr>
          <w:rFonts w:ascii="Arial" w:hAnsi="Arial" w:cs="Arial"/>
          <w:iCs/>
          <w:sz w:val="22"/>
          <w:szCs w:val="22"/>
        </w:rPr>
      </w:pPr>
    </w:p>
    <w:p w:rsidR="0066740E" w:rsidRPr="008440E5" w:rsidP="0066740E" w14:paraId="1B84FF90" w14:textId="1DC06A22">
      <w:pPr>
        <w:widowControl w:val="0"/>
        <w:suppressAutoHyphens/>
        <w:autoSpaceDE w:val="0"/>
        <w:autoSpaceDN w:val="0"/>
        <w:adjustRightInd w:val="0"/>
        <w:ind w:left="360"/>
        <w:rPr>
          <w:rFonts w:ascii="Arial" w:hAnsi="Arial" w:cs="Arial"/>
          <w:sz w:val="22"/>
          <w:szCs w:val="22"/>
        </w:rPr>
      </w:pPr>
      <w:r w:rsidRPr="008440E5">
        <w:rPr>
          <w:rFonts w:ascii="Arial" w:hAnsi="Arial" w:cs="Arial"/>
          <w:sz w:val="22"/>
          <w:szCs w:val="22"/>
        </w:rPr>
        <w:t>This information collection requirement</w:t>
      </w:r>
      <w:r>
        <w:rPr>
          <w:rFonts w:ascii="Arial" w:hAnsi="Arial" w:cs="Arial"/>
          <w:sz w:val="22"/>
          <w:szCs w:val="22"/>
        </w:rPr>
        <w:t xml:space="preserve"> </w:t>
      </w:r>
      <w:r w:rsidRPr="008440E5">
        <w:rPr>
          <w:rFonts w:ascii="Arial" w:hAnsi="Arial" w:cs="Arial"/>
          <w:sz w:val="22"/>
          <w:szCs w:val="22"/>
        </w:rPr>
        <w:t>contains no questions of a sensitive nature, and it does not collect 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201BF" w:rsidRPr="00227B1C" w:rsidP="00D73D2D" w14:paraId="365C6399" w14:textId="77777777">
      <w:pPr>
        <w:suppressAutoHyphens/>
        <w:rPr>
          <w:rFonts w:ascii="Arial" w:hAnsi="Arial" w:cs="Arial"/>
          <w:sz w:val="28"/>
          <w:szCs w:val="28"/>
        </w:rPr>
      </w:pPr>
    </w:p>
    <w:p w:rsidR="00AF1157" w:rsidRPr="00F70BCE" w:rsidP="00D73D2D" w14:paraId="1165BCB3" w14:textId="77777777">
      <w:pPr>
        <w:suppressAutoHyphens/>
        <w:rPr>
          <w:rFonts w:ascii="Arial" w:hAnsi="Arial" w:cs="Arial"/>
          <w:i/>
          <w:sz w:val="22"/>
          <w:szCs w:val="22"/>
        </w:rPr>
      </w:pPr>
      <w:r w:rsidRPr="00F70BCE">
        <w:rPr>
          <w:rFonts w:ascii="Arial" w:hAnsi="Arial" w:cs="Arial"/>
          <w:i/>
          <w:sz w:val="22"/>
          <w:szCs w:val="22"/>
        </w:rPr>
        <w:t xml:space="preserve">12.  What is the estimated hour burden of this collection of information? </w:t>
      </w:r>
    </w:p>
    <w:p w:rsidR="00DD0B6F" w:rsidRPr="00F70BCE" w:rsidP="00D73D2D" w14:paraId="46AD212A" w14:textId="3BDC4821">
      <w:pPr>
        <w:suppressAutoHyphens/>
        <w:rPr>
          <w:rFonts w:ascii="Arial" w:hAnsi="Arial" w:cs="Arial"/>
          <w:sz w:val="22"/>
          <w:szCs w:val="22"/>
        </w:rPr>
      </w:pPr>
    </w:p>
    <w:p w:rsidR="00DD0B6F" w:rsidRPr="00F70BCE" w:rsidP="00B2259E" w14:paraId="7ADE108F" w14:textId="58FBAAB2">
      <w:pPr>
        <w:suppressAutoHyphens/>
        <w:ind w:left="360"/>
        <w:rPr>
          <w:rFonts w:ascii="Arial" w:hAnsi="Arial" w:cs="Arial"/>
          <w:sz w:val="22"/>
          <w:szCs w:val="22"/>
        </w:rPr>
      </w:pPr>
      <w:r w:rsidRPr="00F70BCE">
        <w:rPr>
          <w:rFonts w:ascii="Arial" w:hAnsi="Arial" w:cs="Arial"/>
          <w:sz w:val="22"/>
          <w:szCs w:val="22"/>
          <w:u w:val="single"/>
        </w:rPr>
        <w:t>Estimated Respondent Burden:</w:t>
      </w:r>
      <w:r w:rsidRPr="00F70BCE">
        <w:rPr>
          <w:rFonts w:ascii="Arial" w:hAnsi="Arial" w:cs="Arial"/>
          <w:sz w:val="22"/>
          <w:szCs w:val="22"/>
        </w:rPr>
        <w:t xml:space="preserve">  </w:t>
      </w:r>
      <w:r w:rsidRPr="00F70BCE" w:rsidR="00B2259E">
        <w:rPr>
          <w:rFonts w:ascii="Arial" w:hAnsi="Arial" w:cs="Arial"/>
          <w:sz w:val="22"/>
          <w:szCs w:val="22"/>
        </w:rPr>
        <w:t xml:space="preserve">Based on recent </w:t>
      </w:r>
      <w:r w:rsidRPr="00F70BCE">
        <w:rPr>
          <w:rFonts w:ascii="Arial" w:hAnsi="Arial" w:cs="Arial"/>
          <w:sz w:val="22"/>
          <w:szCs w:val="22"/>
        </w:rPr>
        <w:t xml:space="preserve">data, </w:t>
      </w:r>
      <w:r w:rsidRPr="00F70BCE" w:rsidR="00B2259E">
        <w:rPr>
          <w:rFonts w:ascii="Arial" w:hAnsi="Arial" w:cs="Arial"/>
          <w:sz w:val="22"/>
          <w:szCs w:val="22"/>
        </w:rPr>
        <w:t xml:space="preserve">TTB estimates </w:t>
      </w:r>
      <w:r w:rsidRPr="00F70BCE" w:rsidR="00007387">
        <w:rPr>
          <w:rFonts w:ascii="Arial" w:hAnsi="Arial" w:cs="Arial"/>
          <w:sz w:val="22"/>
          <w:szCs w:val="22"/>
        </w:rPr>
        <w:t xml:space="preserve">the annual respondent burden for this information collection as follows: </w:t>
      </w:r>
    </w:p>
    <w:p w:rsidR="00020953" w:rsidRPr="00F70BCE" w:rsidP="00B2259E" w14:paraId="3A3D20F6" w14:textId="77777777">
      <w:pPr>
        <w:suppressAutoHyphens/>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1483"/>
        <w:gridCol w:w="1506"/>
        <w:gridCol w:w="1348"/>
        <w:gridCol w:w="1440"/>
        <w:gridCol w:w="1625"/>
      </w:tblGrid>
      <w:tr w14:paraId="4EE60112" w14:textId="77777777" w:rsidTr="000D515B">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jc w:val="center"/>
        </w:trPr>
        <w:tc>
          <w:tcPr>
            <w:tcW w:w="1238" w:type="dxa"/>
            <w:vAlign w:val="center"/>
          </w:tcPr>
          <w:p w:rsidR="008E2469" w:rsidRPr="00F70BCE" w:rsidP="00B2259E" w14:paraId="628D482F" w14:textId="77777777">
            <w:pPr>
              <w:jc w:val="center"/>
              <w:rPr>
                <w:rFonts w:ascii="Arial" w:hAnsi="Arial" w:cs="Arial"/>
                <w:b/>
                <w:sz w:val="20"/>
                <w:szCs w:val="20"/>
              </w:rPr>
            </w:pPr>
            <w:r w:rsidRPr="00F70BCE">
              <w:rPr>
                <w:rFonts w:ascii="Arial" w:hAnsi="Arial" w:cs="Arial"/>
                <w:b/>
                <w:sz w:val="20"/>
                <w:szCs w:val="20"/>
              </w:rPr>
              <w:t>Format</w:t>
            </w:r>
          </w:p>
        </w:tc>
        <w:tc>
          <w:tcPr>
            <w:tcW w:w="1483" w:type="dxa"/>
            <w:vAlign w:val="center"/>
          </w:tcPr>
          <w:p w:rsidR="008E2469" w:rsidRPr="00F70BCE" w:rsidP="00B2259E" w14:paraId="61171F0B" w14:textId="79DC8472">
            <w:pPr>
              <w:jc w:val="center"/>
              <w:rPr>
                <w:rFonts w:ascii="Arial" w:hAnsi="Arial" w:cs="Arial"/>
                <w:b/>
                <w:sz w:val="20"/>
                <w:szCs w:val="20"/>
              </w:rPr>
            </w:pPr>
            <w:r w:rsidRPr="00F70BCE">
              <w:rPr>
                <w:rFonts w:ascii="Arial" w:hAnsi="Arial" w:cs="Arial"/>
                <w:b/>
                <w:sz w:val="20"/>
                <w:szCs w:val="20"/>
              </w:rPr>
              <w:t>Respondents</w:t>
            </w:r>
          </w:p>
        </w:tc>
        <w:tc>
          <w:tcPr>
            <w:tcW w:w="1506" w:type="dxa"/>
            <w:vAlign w:val="center"/>
          </w:tcPr>
          <w:p w:rsidR="008E2469" w:rsidRPr="00F70BCE" w:rsidP="00B2259E" w14:paraId="4F0EDF62" w14:textId="17CA0AC2">
            <w:pPr>
              <w:jc w:val="center"/>
              <w:rPr>
                <w:rFonts w:ascii="Arial" w:hAnsi="Arial" w:cs="Arial"/>
                <w:b/>
                <w:sz w:val="20"/>
                <w:szCs w:val="20"/>
              </w:rPr>
            </w:pPr>
            <w:r w:rsidRPr="00F70BCE">
              <w:rPr>
                <w:rFonts w:ascii="Arial" w:hAnsi="Arial" w:cs="Arial"/>
                <w:b/>
                <w:sz w:val="20"/>
                <w:szCs w:val="20"/>
              </w:rPr>
              <w:t>Responses/ Respondent</w:t>
            </w:r>
          </w:p>
        </w:tc>
        <w:tc>
          <w:tcPr>
            <w:tcW w:w="1348" w:type="dxa"/>
            <w:vAlign w:val="center"/>
          </w:tcPr>
          <w:p w:rsidR="008E2469" w:rsidRPr="00F70BCE" w:rsidP="00B2259E" w14:paraId="089C8C25" w14:textId="06126139">
            <w:pPr>
              <w:jc w:val="center"/>
              <w:rPr>
                <w:rFonts w:ascii="Arial" w:hAnsi="Arial" w:cs="Arial"/>
                <w:b/>
                <w:sz w:val="20"/>
                <w:szCs w:val="20"/>
              </w:rPr>
            </w:pPr>
            <w:r w:rsidRPr="00F70BCE">
              <w:rPr>
                <w:rFonts w:ascii="Arial" w:hAnsi="Arial" w:cs="Arial"/>
                <w:b/>
                <w:sz w:val="20"/>
                <w:szCs w:val="20"/>
              </w:rPr>
              <w:t>Responses</w:t>
            </w:r>
          </w:p>
        </w:tc>
        <w:tc>
          <w:tcPr>
            <w:tcW w:w="1440" w:type="dxa"/>
            <w:vAlign w:val="center"/>
          </w:tcPr>
          <w:p w:rsidR="008E2469" w:rsidRPr="00F70BCE" w:rsidP="00A33644" w14:paraId="78B91D3D" w14:textId="50B59C48">
            <w:pPr>
              <w:jc w:val="center"/>
              <w:rPr>
                <w:rFonts w:ascii="Arial" w:hAnsi="Arial" w:cs="Arial"/>
                <w:b/>
                <w:sz w:val="20"/>
                <w:szCs w:val="20"/>
              </w:rPr>
            </w:pPr>
            <w:r w:rsidRPr="00F70BCE">
              <w:rPr>
                <w:rFonts w:ascii="Arial" w:hAnsi="Arial" w:cs="Arial"/>
                <w:b/>
                <w:sz w:val="20"/>
                <w:szCs w:val="20"/>
              </w:rPr>
              <w:t>Time Per Response</w:t>
            </w:r>
          </w:p>
        </w:tc>
        <w:tc>
          <w:tcPr>
            <w:tcW w:w="1625" w:type="dxa"/>
            <w:vAlign w:val="center"/>
          </w:tcPr>
          <w:p w:rsidR="008E2469" w:rsidRPr="00F70BCE" w:rsidP="00007387" w14:paraId="70A39708" w14:textId="7117C189">
            <w:pPr>
              <w:jc w:val="center"/>
              <w:rPr>
                <w:rFonts w:ascii="Arial" w:hAnsi="Arial" w:cs="Arial"/>
                <w:b/>
                <w:sz w:val="20"/>
                <w:szCs w:val="20"/>
              </w:rPr>
            </w:pPr>
            <w:r w:rsidRPr="00F70BCE">
              <w:rPr>
                <w:rFonts w:ascii="Arial" w:hAnsi="Arial" w:cs="Arial"/>
                <w:b/>
                <w:sz w:val="20"/>
                <w:szCs w:val="20"/>
              </w:rPr>
              <w:t>Burden Hours</w:t>
            </w:r>
          </w:p>
        </w:tc>
      </w:tr>
      <w:tr w14:paraId="5197313D" w14:textId="77777777" w:rsidTr="000D515B">
        <w:tblPrEx>
          <w:tblW w:w="8640" w:type="dxa"/>
          <w:jc w:val="center"/>
          <w:tblLook w:val="04A0"/>
        </w:tblPrEx>
        <w:trPr>
          <w:trHeight w:val="540"/>
          <w:jc w:val="center"/>
        </w:trPr>
        <w:tc>
          <w:tcPr>
            <w:tcW w:w="1238" w:type="dxa"/>
            <w:vAlign w:val="center"/>
          </w:tcPr>
          <w:p w:rsidR="008E2469" w:rsidRPr="00F70BCE" w:rsidP="006A3745" w14:paraId="4437F47E" w14:textId="0962093A">
            <w:pPr>
              <w:jc w:val="center"/>
              <w:rPr>
                <w:rFonts w:ascii="Arial" w:hAnsi="Arial" w:cs="Arial"/>
                <w:sz w:val="20"/>
                <w:szCs w:val="20"/>
              </w:rPr>
            </w:pPr>
            <w:r w:rsidRPr="00F70BCE">
              <w:rPr>
                <w:rFonts w:ascii="Arial" w:hAnsi="Arial" w:cs="Arial"/>
                <w:sz w:val="20"/>
                <w:szCs w:val="20"/>
              </w:rPr>
              <w:t>F 5150.19</w:t>
            </w:r>
          </w:p>
          <w:p w:rsidR="00007387" w:rsidRPr="00F70BCE" w:rsidP="006A3745" w14:paraId="68C3F06B" w14:textId="1108AFB2">
            <w:pPr>
              <w:jc w:val="center"/>
              <w:rPr>
                <w:rFonts w:ascii="Arial" w:hAnsi="Arial" w:cs="Arial"/>
                <w:sz w:val="20"/>
                <w:szCs w:val="20"/>
              </w:rPr>
            </w:pPr>
            <w:r w:rsidRPr="00F70BCE">
              <w:rPr>
                <w:rFonts w:ascii="Arial" w:hAnsi="Arial" w:cs="Arial"/>
                <w:sz w:val="20"/>
                <w:szCs w:val="20"/>
              </w:rPr>
              <w:t>(Paper)</w:t>
            </w:r>
          </w:p>
        </w:tc>
        <w:tc>
          <w:tcPr>
            <w:tcW w:w="1483" w:type="dxa"/>
            <w:vAlign w:val="center"/>
          </w:tcPr>
          <w:p w:rsidR="008E2469" w:rsidRPr="00F70BCE" w:rsidP="003F7561" w14:paraId="3FEB33C1" w14:textId="63139C26">
            <w:pPr>
              <w:jc w:val="center"/>
              <w:rPr>
                <w:rFonts w:ascii="Arial" w:hAnsi="Arial" w:cs="Arial"/>
                <w:sz w:val="20"/>
                <w:szCs w:val="20"/>
              </w:rPr>
            </w:pPr>
            <w:r w:rsidRPr="00F70BCE">
              <w:rPr>
                <w:rFonts w:ascii="Arial" w:hAnsi="Arial" w:cs="Arial"/>
                <w:sz w:val="20"/>
                <w:szCs w:val="20"/>
              </w:rPr>
              <w:t>5</w:t>
            </w:r>
          </w:p>
        </w:tc>
        <w:tc>
          <w:tcPr>
            <w:tcW w:w="1506" w:type="dxa"/>
            <w:vAlign w:val="center"/>
          </w:tcPr>
          <w:p w:rsidR="008E2469" w:rsidRPr="00F70BCE" w:rsidP="003F29C3" w14:paraId="3D2D48C2" w14:textId="2B95ACA3">
            <w:pPr>
              <w:jc w:val="center"/>
              <w:rPr>
                <w:rFonts w:ascii="Arial" w:hAnsi="Arial" w:cs="Arial"/>
                <w:sz w:val="20"/>
                <w:szCs w:val="20"/>
              </w:rPr>
            </w:pPr>
            <w:r w:rsidRPr="00F70BCE">
              <w:rPr>
                <w:rFonts w:ascii="Arial" w:hAnsi="Arial" w:cs="Arial"/>
                <w:sz w:val="20"/>
                <w:szCs w:val="20"/>
              </w:rPr>
              <w:t>1</w:t>
            </w:r>
          </w:p>
        </w:tc>
        <w:tc>
          <w:tcPr>
            <w:tcW w:w="1348" w:type="dxa"/>
            <w:vAlign w:val="center"/>
          </w:tcPr>
          <w:p w:rsidR="008E2469" w:rsidRPr="00F70BCE" w:rsidP="00B2259E" w14:paraId="0D4D058F" w14:textId="0BC8660B">
            <w:pPr>
              <w:jc w:val="center"/>
              <w:rPr>
                <w:rFonts w:ascii="Arial" w:hAnsi="Arial" w:cs="Arial"/>
                <w:sz w:val="20"/>
                <w:szCs w:val="20"/>
              </w:rPr>
            </w:pPr>
            <w:r w:rsidRPr="00F70BCE">
              <w:rPr>
                <w:rFonts w:ascii="Arial" w:hAnsi="Arial" w:cs="Arial"/>
                <w:sz w:val="20"/>
                <w:szCs w:val="20"/>
              </w:rPr>
              <w:t>5</w:t>
            </w:r>
          </w:p>
        </w:tc>
        <w:tc>
          <w:tcPr>
            <w:tcW w:w="1440" w:type="dxa"/>
            <w:vAlign w:val="center"/>
          </w:tcPr>
          <w:p w:rsidR="008E2469" w:rsidRPr="00F70BCE" w:rsidP="00A33644" w14:paraId="5EDAF293" w14:textId="432DE8C8">
            <w:pPr>
              <w:jc w:val="center"/>
              <w:rPr>
                <w:rFonts w:ascii="Arial" w:hAnsi="Arial" w:cs="Arial"/>
                <w:sz w:val="20"/>
                <w:szCs w:val="20"/>
              </w:rPr>
            </w:pPr>
            <w:r w:rsidRPr="00F70BCE">
              <w:rPr>
                <w:rFonts w:ascii="Arial" w:hAnsi="Arial" w:cs="Arial"/>
                <w:sz w:val="20"/>
                <w:szCs w:val="20"/>
              </w:rPr>
              <w:t>0.9 hour</w:t>
            </w:r>
          </w:p>
        </w:tc>
        <w:tc>
          <w:tcPr>
            <w:tcW w:w="1625" w:type="dxa"/>
            <w:vAlign w:val="center"/>
          </w:tcPr>
          <w:p w:rsidR="008E2469" w:rsidRPr="00F70BCE" w:rsidP="00B2259E" w14:paraId="1098D104" w14:textId="1AEA6EC8">
            <w:pPr>
              <w:jc w:val="center"/>
              <w:rPr>
                <w:rFonts w:ascii="Arial" w:hAnsi="Arial" w:cs="Arial"/>
                <w:sz w:val="20"/>
                <w:szCs w:val="20"/>
              </w:rPr>
            </w:pPr>
            <w:r w:rsidRPr="00F70BCE">
              <w:rPr>
                <w:rFonts w:ascii="Arial" w:hAnsi="Arial" w:cs="Arial"/>
                <w:sz w:val="20"/>
                <w:szCs w:val="20"/>
              </w:rPr>
              <w:t>4.5 hours</w:t>
            </w:r>
          </w:p>
        </w:tc>
      </w:tr>
      <w:tr w14:paraId="36646EE4" w14:textId="77777777" w:rsidTr="000D515B">
        <w:tblPrEx>
          <w:tblW w:w="8640" w:type="dxa"/>
          <w:jc w:val="center"/>
          <w:tblLook w:val="04A0"/>
        </w:tblPrEx>
        <w:trPr>
          <w:trHeight w:val="540"/>
          <w:jc w:val="center"/>
        </w:trPr>
        <w:tc>
          <w:tcPr>
            <w:tcW w:w="1238" w:type="dxa"/>
            <w:vAlign w:val="center"/>
          </w:tcPr>
          <w:p w:rsidR="008E2469" w:rsidRPr="00F70BCE" w:rsidP="00B2259E" w14:paraId="078B97EC" w14:textId="77777777">
            <w:pPr>
              <w:jc w:val="center"/>
              <w:rPr>
                <w:rFonts w:ascii="Arial" w:hAnsi="Arial" w:cs="Arial"/>
                <w:sz w:val="20"/>
                <w:szCs w:val="20"/>
              </w:rPr>
            </w:pPr>
            <w:r w:rsidRPr="00F70BCE">
              <w:rPr>
                <w:rFonts w:ascii="Arial" w:hAnsi="Arial" w:cs="Arial"/>
                <w:sz w:val="20"/>
                <w:szCs w:val="20"/>
              </w:rPr>
              <w:t>FONL</w:t>
            </w:r>
          </w:p>
          <w:p w:rsidR="00007387" w:rsidRPr="00F70BCE" w:rsidP="00B2259E" w14:paraId="3048C023" w14:textId="7C96F4EB">
            <w:pPr>
              <w:jc w:val="center"/>
              <w:rPr>
                <w:rFonts w:ascii="Arial" w:hAnsi="Arial" w:cs="Arial"/>
                <w:sz w:val="20"/>
                <w:szCs w:val="20"/>
              </w:rPr>
            </w:pPr>
            <w:r w:rsidRPr="00F70BCE">
              <w:rPr>
                <w:rFonts w:ascii="Arial" w:hAnsi="Arial" w:cs="Arial"/>
                <w:sz w:val="20"/>
                <w:szCs w:val="20"/>
              </w:rPr>
              <w:t>(Online)</w:t>
            </w:r>
          </w:p>
        </w:tc>
        <w:tc>
          <w:tcPr>
            <w:tcW w:w="1483" w:type="dxa"/>
            <w:vAlign w:val="center"/>
          </w:tcPr>
          <w:p w:rsidR="008E2469" w:rsidRPr="00F70BCE" w:rsidP="00007387" w14:paraId="71FFC36C" w14:textId="5BD8D24F">
            <w:pPr>
              <w:jc w:val="center"/>
              <w:rPr>
                <w:rFonts w:ascii="Arial" w:hAnsi="Arial" w:cs="Arial"/>
                <w:sz w:val="20"/>
                <w:szCs w:val="20"/>
              </w:rPr>
            </w:pPr>
            <w:r w:rsidRPr="00F70BCE">
              <w:rPr>
                <w:rFonts w:ascii="Arial" w:hAnsi="Arial" w:cs="Arial"/>
                <w:sz w:val="20"/>
                <w:szCs w:val="20"/>
              </w:rPr>
              <w:t>55</w:t>
            </w:r>
          </w:p>
        </w:tc>
        <w:tc>
          <w:tcPr>
            <w:tcW w:w="1506" w:type="dxa"/>
            <w:vAlign w:val="center"/>
          </w:tcPr>
          <w:p w:rsidR="008E2469" w:rsidRPr="00F70BCE" w:rsidP="003F29C3" w14:paraId="7BF8F5B9" w14:textId="280CA994">
            <w:pPr>
              <w:jc w:val="center"/>
              <w:rPr>
                <w:rFonts w:ascii="Arial" w:hAnsi="Arial" w:cs="Arial"/>
                <w:sz w:val="20"/>
                <w:szCs w:val="20"/>
              </w:rPr>
            </w:pPr>
            <w:r w:rsidRPr="00F70BCE">
              <w:rPr>
                <w:rFonts w:ascii="Arial" w:hAnsi="Arial" w:cs="Arial"/>
                <w:sz w:val="20"/>
                <w:szCs w:val="20"/>
              </w:rPr>
              <w:t>1</w:t>
            </w:r>
          </w:p>
        </w:tc>
        <w:tc>
          <w:tcPr>
            <w:tcW w:w="1348" w:type="dxa"/>
            <w:vAlign w:val="center"/>
          </w:tcPr>
          <w:p w:rsidR="008E2469" w:rsidRPr="00F70BCE" w:rsidP="00B2259E" w14:paraId="18F7C534" w14:textId="605C25AB">
            <w:pPr>
              <w:jc w:val="center"/>
              <w:rPr>
                <w:rFonts w:ascii="Arial" w:hAnsi="Arial" w:cs="Arial"/>
                <w:sz w:val="20"/>
                <w:szCs w:val="20"/>
              </w:rPr>
            </w:pPr>
            <w:r w:rsidRPr="00F70BCE">
              <w:rPr>
                <w:rFonts w:ascii="Arial" w:hAnsi="Arial" w:cs="Arial"/>
                <w:sz w:val="20"/>
                <w:szCs w:val="20"/>
              </w:rPr>
              <w:t>55</w:t>
            </w:r>
          </w:p>
        </w:tc>
        <w:tc>
          <w:tcPr>
            <w:tcW w:w="1440" w:type="dxa"/>
            <w:vAlign w:val="center"/>
          </w:tcPr>
          <w:p w:rsidR="008E2469" w:rsidRPr="00F70BCE" w:rsidP="00A33644" w14:paraId="74550D44" w14:textId="519137D4">
            <w:pPr>
              <w:jc w:val="center"/>
              <w:rPr>
                <w:rFonts w:ascii="Arial" w:hAnsi="Arial" w:cs="Arial"/>
                <w:sz w:val="20"/>
                <w:szCs w:val="20"/>
              </w:rPr>
            </w:pPr>
            <w:r w:rsidRPr="00F70BCE">
              <w:rPr>
                <w:rFonts w:ascii="Arial" w:hAnsi="Arial" w:cs="Arial"/>
                <w:sz w:val="20"/>
                <w:szCs w:val="20"/>
              </w:rPr>
              <w:t>0.6 hour</w:t>
            </w:r>
          </w:p>
        </w:tc>
        <w:tc>
          <w:tcPr>
            <w:tcW w:w="1625" w:type="dxa"/>
            <w:vAlign w:val="center"/>
          </w:tcPr>
          <w:p w:rsidR="008E2469" w:rsidRPr="00F70BCE" w:rsidP="00B2259E" w14:paraId="7DEADE70" w14:textId="1F7CBA12">
            <w:pPr>
              <w:jc w:val="center"/>
              <w:rPr>
                <w:rFonts w:ascii="Arial" w:hAnsi="Arial" w:cs="Arial"/>
                <w:sz w:val="20"/>
                <w:szCs w:val="20"/>
              </w:rPr>
            </w:pPr>
            <w:r w:rsidRPr="00F70BCE">
              <w:rPr>
                <w:rFonts w:ascii="Arial" w:hAnsi="Arial" w:cs="Arial"/>
                <w:sz w:val="20"/>
                <w:szCs w:val="20"/>
              </w:rPr>
              <w:t>33.0 hours</w:t>
            </w:r>
          </w:p>
        </w:tc>
      </w:tr>
      <w:tr w14:paraId="3F7A6244" w14:textId="77777777" w:rsidTr="000D515B">
        <w:tblPrEx>
          <w:tblW w:w="8640" w:type="dxa"/>
          <w:jc w:val="center"/>
          <w:tblLook w:val="04A0"/>
        </w:tblPrEx>
        <w:trPr>
          <w:trHeight w:val="540"/>
          <w:jc w:val="center"/>
        </w:trPr>
        <w:tc>
          <w:tcPr>
            <w:tcW w:w="1238" w:type="dxa"/>
            <w:vAlign w:val="center"/>
          </w:tcPr>
          <w:p w:rsidR="008E2469" w:rsidRPr="00F70BCE" w:rsidP="00B2259E" w14:paraId="45FEF293" w14:textId="77777777">
            <w:pPr>
              <w:jc w:val="center"/>
              <w:rPr>
                <w:rFonts w:ascii="Arial" w:hAnsi="Arial" w:cs="Arial"/>
                <w:b/>
                <w:sz w:val="20"/>
                <w:szCs w:val="20"/>
              </w:rPr>
            </w:pPr>
            <w:r w:rsidRPr="00F70BCE">
              <w:rPr>
                <w:rFonts w:ascii="Arial" w:hAnsi="Arial" w:cs="Arial"/>
                <w:b/>
                <w:sz w:val="20"/>
                <w:szCs w:val="20"/>
              </w:rPr>
              <w:t>Totals</w:t>
            </w:r>
          </w:p>
        </w:tc>
        <w:tc>
          <w:tcPr>
            <w:tcW w:w="1483" w:type="dxa"/>
            <w:vAlign w:val="center"/>
          </w:tcPr>
          <w:p w:rsidR="008E2469" w:rsidRPr="00F70BCE" w:rsidP="00B2259E" w14:paraId="60ACD1C2" w14:textId="7C3580A8">
            <w:pPr>
              <w:jc w:val="center"/>
              <w:rPr>
                <w:rFonts w:ascii="Arial" w:hAnsi="Arial" w:cs="Arial"/>
                <w:b/>
                <w:sz w:val="20"/>
                <w:szCs w:val="20"/>
              </w:rPr>
            </w:pPr>
            <w:r w:rsidRPr="00F70BCE">
              <w:rPr>
                <w:rFonts w:ascii="Arial" w:hAnsi="Arial" w:cs="Arial"/>
                <w:b/>
                <w:sz w:val="20"/>
                <w:szCs w:val="20"/>
              </w:rPr>
              <w:t>60</w:t>
            </w:r>
          </w:p>
        </w:tc>
        <w:tc>
          <w:tcPr>
            <w:tcW w:w="1506" w:type="dxa"/>
            <w:vAlign w:val="center"/>
          </w:tcPr>
          <w:p w:rsidR="008E2469" w:rsidRPr="00F70BCE" w:rsidP="00B2259E" w14:paraId="60F7EFF1" w14:textId="08D26DBB">
            <w:pPr>
              <w:jc w:val="center"/>
              <w:rPr>
                <w:rFonts w:ascii="Arial" w:hAnsi="Arial" w:cs="Arial"/>
                <w:b/>
                <w:sz w:val="18"/>
                <w:szCs w:val="18"/>
              </w:rPr>
            </w:pPr>
            <w:r w:rsidRPr="00F70BCE">
              <w:rPr>
                <w:rFonts w:ascii="Arial" w:hAnsi="Arial" w:cs="Arial"/>
                <w:b/>
                <w:sz w:val="18"/>
                <w:szCs w:val="18"/>
              </w:rPr>
              <w:t>1</w:t>
            </w:r>
          </w:p>
        </w:tc>
        <w:tc>
          <w:tcPr>
            <w:tcW w:w="1348" w:type="dxa"/>
            <w:vAlign w:val="center"/>
          </w:tcPr>
          <w:p w:rsidR="008E2469" w:rsidRPr="00F70BCE" w:rsidP="00B2259E" w14:paraId="22BCE30B" w14:textId="7A444018">
            <w:pPr>
              <w:jc w:val="center"/>
              <w:rPr>
                <w:rFonts w:ascii="Arial" w:hAnsi="Arial" w:cs="Arial"/>
                <w:b/>
                <w:sz w:val="20"/>
                <w:szCs w:val="20"/>
              </w:rPr>
            </w:pPr>
            <w:r w:rsidRPr="00F70BCE">
              <w:rPr>
                <w:rFonts w:ascii="Arial" w:hAnsi="Arial" w:cs="Arial"/>
                <w:b/>
                <w:sz w:val="20"/>
                <w:szCs w:val="20"/>
              </w:rPr>
              <w:t>60</w:t>
            </w:r>
          </w:p>
        </w:tc>
        <w:tc>
          <w:tcPr>
            <w:tcW w:w="1440" w:type="dxa"/>
            <w:vAlign w:val="center"/>
          </w:tcPr>
          <w:p w:rsidR="008E2469" w:rsidRPr="00F70BCE" w:rsidP="00440472" w14:paraId="435EE574" w14:textId="08EE6455">
            <w:pPr>
              <w:jc w:val="center"/>
              <w:rPr>
                <w:rFonts w:ascii="Arial" w:hAnsi="Arial" w:cs="Arial"/>
                <w:b/>
                <w:sz w:val="18"/>
                <w:szCs w:val="18"/>
              </w:rPr>
            </w:pPr>
            <w:r w:rsidRPr="00F70BCE">
              <w:rPr>
                <w:rFonts w:ascii="Arial" w:hAnsi="Arial" w:cs="Arial"/>
                <w:b/>
                <w:sz w:val="18"/>
                <w:szCs w:val="18"/>
              </w:rPr>
              <w:t>0.625 hour</w:t>
            </w:r>
          </w:p>
        </w:tc>
        <w:tc>
          <w:tcPr>
            <w:tcW w:w="1625" w:type="dxa"/>
            <w:vAlign w:val="center"/>
          </w:tcPr>
          <w:p w:rsidR="008E2469" w:rsidRPr="00F70BCE" w:rsidP="00B2259E" w14:paraId="2A955F6B" w14:textId="0ADA7C30">
            <w:pPr>
              <w:jc w:val="center"/>
              <w:rPr>
                <w:rFonts w:ascii="Arial" w:hAnsi="Arial" w:cs="Arial"/>
                <w:b/>
                <w:sz w:val="20"/>
                <w:szCs w:val="20"/>
              </w:rPr>
            </w:pPr>
            <w:r w:rsidRPr="00F70BCE">
              <w:rPr>
                <w:rFonts w:ascii="Arial" w:hAnsi="Arial" w:cs="Arial"/>
                <w:b/>
                <w:sz w:val="20"/>
                <w:szCs w:val="20"/>
              </w:rPr>
              <w:t>37.5 hours</w:t>
            </w:r>
          </w:p>
        </w:tc>
      </w:tr>
    </w:tbl>
    <w:p w:rsidR="00B2259E" w:rsidRPr="00EA55F0" w:rsidP="00D73D2D" w14:paraId="76E420D3" w14:textId="528CAE70">
      <w:pPr>
        <w:rPr>
          <w:rFonts w:ascii="Arial" w:hAnsi="Arial" w:cs="Arial"/>
          <w:sz w:val="22"/>
          <w:szCs w:val="22"/>
        </w:rPr>
      </w:pPr>
    </w:p>
    <w:p w:rsidR="00774626" w:rsidRPr="00EA55F0" w:rsidP="00774626" w14:paraId="2391E5E3" w14:textId="3C4F6B64">
      <w:pPr>
        <w:suppressAutoHyphens/>
        <w:ind w:left="360"/>
        <w:rPr>
          <w:rFonts w:ascii="Arial" w:hAnsi="Arial" w:cs="Arial"/>
          <w:sz w:val="22"/>
          <w:szCs w:val="22"/>
        </w:rPr>
      </w:pPr>
      <w:r w:rsidRPr="00EA55F0">
        <w:rPr>
          <w:rFonts w:ascii="Arial" w:hAnsi="Arial" w:cs="Arial"/>
          <w:sz w:val="22"/>
          <w:szCs w:val="22"/>
          <w:u w:val="single"/>
        </w:rPr>
        <w:t>Estimated Respondent Labor Costs:</w:t>
      </w:r>
      <w:r w:rsidRPr="00EA55F0" w:rsidR="00007387">
        <w:rPr>
          <w:rFonts w:ascii="Arial" w:hAnsi="Arial" w:cs="Arial"/>
          <w:sz w:val="22"/>
          <w:szCs w:val="22"/>
        </w:rPr>
        <w:t xml:space="preserve">  </w:t>
      </w:r>
      <w:r w:rsidRPr="00EA55F0">
        <w:rPr>
          <w:rFonts w:ascii="Arial" w:hAnsi="Arial" w:cs="Arial"/>
          <w:sz w:val="22"/>
          <w:szCs w:val="22"/>
        </w:rPr>
        <w:t xml:space="preserve">TTB estimates respondent labor costs for this information collection as follows: </w:t>
      </w:r>
    </w:p>
    <w:p w:rsidR="00007387" w:rsidRPr="00EA55F0" w:rsidP="00774626" w14:paraId="4DD7B877"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171"/>
        <w:gridCol w:w="1174"/>
        <w:gridCol w:w="1091"/>
        <w:gridCol w:w="1257"/>
        <w:gridCol w:w="1332"/>
        <w:gridCol w:w="1260"/>
        <w:gridCol w:w="1355"/>
      </w:tblGrid>
      <w:tr w14:paraId="5EBBC6F4" w14:textId="77777777" w:rsidTr="00075679">
        <w:tblPrEx>
          <w:tblW w:w="8640" w:type="dxa"/>
          <w:jc w:val="center"/>
          <w:tblLayout w:type="fixed"/>
          <w:tblCellMar>
            <w:left w:w="29" w:type="dxa"/>
            <w:right w:w="29" w:type="dxa"/>
          </w:tblCellMar>
          <w:tblLook w:val="04A0"/>
        </w:tblPrEx>
        <w:trPr>
          <w:trHeight w:val="540"/>
          <w:jc w:val="center"/>
        </w:trPr>
        <w:tc>
          <w:tcPr>
            <w:tcW w:w="8640" w:type="dxa"/>
            <w:gridSpan w:val="7"/>
            <w:vAlign w:val="center"/>
          </w:tcPr>
          <w:p w:rsidR="003F7561" w:rsidRPr="00EA55F0" w:rsidP="00FF364E" w14:paraId="5F446AA3" w14:textId="73F7F086">
            <w:pPr>
              <w:suppressAutoHyphens/>
              <w:jc w:val="center"/>
              <w:rPr>
                <w:rFonts w:ascii="Arial" w:hAnsi="Arial" w:cs="Arial"/>
                <w:b/>
                <w:sz w:val="20"/>
                <w:szCs w:val="20"/>
              </w:rPr>
            </w:pPr>
            <w:r w:rsidRPr="00EA55F0">
              <w:rPr>
                <w:rFonts w:ascii="Arial" w:hAnsi="Arial" w:cs="Arial"/>
                <w:b/>
                <w:sz w:val="20"/>
                <w:szCs w:val="20"/>
              </w:rPr>
              <w:t>Average Fully-Loaded Wage for Chemists in the Pharmaceutical and Medicine (NAICS 325400) and the Soap, Cleaning Compound, and Toilet Preparation (NAIC 325600) Manufacturing Industries = $</w:t>
            </w:r>
            <w:r w:rsidRPr="00EA55F0" w:rsidR="00075679">
              <w:rPr>
                <w:rFonts w:ascii="Arial" w:hAnsi="Arial" w:cs="Arial"/>
                <w:b/>
                <w:sz w:val="20"/>
                <w:szCs w:val="20"/>
              </w:rPr>
              <w:t>59.76</w:t>
            </w:r>
            <w:r>
              <w:rPr>
                <w:rStyle w:val="FootnoteReference"/>
                <w:rFonts w:ascii="Arial" w:hAnsi="Arial" w:cs="Arial"/>
                <w:b/>
                <w:sz w:val="20"/>
                <w:szCs w:val="20"/>
              </w:rPr>
              <w:footnoteReference w:id="3"/>
            </w:r>
            <w:r w:rsidRPr="00EA55F0" w:rsidR="006A3745">
              <w:rPr>
                <w:rFonts w:ascii="Arial" w:hAnsi="Arial" w:cs="Arial"/>
                <w:b/>
                <w:sz w:val="20"/>
                <w:szCs w:val="20"/>
              </w:rPr>
              <w:t>*</w:t>
            </w:r>
          </w:p>
        </w:tc>
      </w:tr>
      <w:tr w14:paraId="617CE3E3" w14:textId="77777777" w:rsidTr="00075679">
        <w:tblPrEx>
          <w:tblW w:w="8640" w:type="dxa"/>
          <w:jc w:val="center"/>
          <w:tblLayout w:type="fixed"/>
          <w:tblCellMar>
            <w:left w:w="29" w:type="dxa"/>
            <w:right w:w="29" w:type="dxa"/>
          </w:tblCellMar>
          <w:tblLook w:val="04A0"/>
        </w:tblPrEx>
        <w:trPr>
          <w:trHeight w:val="540"/>
          <w:jc w:val="center"/>
        </w:trPr>
        <w:tc>
          <w:tcPr>
            <w:tcW w:w="1171" w:type="dxa"/>
            <w:vAlign w:val="center"/>
          </w:tcPr>
          <w:p w:rsidR="003F7561" w:rsidRPr="00EA55F0" w:rsidP="00FF364E" w14:paraId="64CC7361" w14:textId="77777777">
            <w:pPr>
              <w:suppressAutoHyphens/>
              <w:jc w:val="center"/>
              <w:rPr>
                <w:rFonts w:ascii="Arial" w:hAnsi="Arial" w:cs="Arial"/>
                <w:sz w:val="20"/>
                <w:szCs w:val="20"/>
              </w:rPr>
            </w:pPr>
            <w:r w:rsidRPr="00EA55F0">
              <w:rPr>
                <w:rFonts w:ascii="Arial" w:hAnsi="Arial" w:cs="Arial"/>
                <w:sz w:val="20"/>
                <w:szCs w:val="20"/>
              </w:rPr>
              <w:t>Format</w:t>
            </w:r>
          </w:p>
        </w:tc>
        <w:tc>
          <w:tcPr>
            <w:tcW w:w="1174" w:type="dxa"/>
            <w:tcMar>
              <w:left w:w="29" w:type="dxa"/>
              <w:right w:w="29" w:type="dxa"/>
            </w:tcMar>
            <w:vAlign w:val="center"/>
          </w:tcPr>
          <w:p w:rsidR="003F7561" w:rsidRPr="00EA55F0" w:rsidP="00FF364E" w14:paraId="127329EE" w14:textId="77777777">
            <w:pPr>
              <w:suppressAutoHyphens/>
              <w:jc w:val="center"/>
              <w:rPr>
                <w:rFonts w:ascii="Arial" w:hAnsi="Arial" w:cs="Arial"/>
                <w:sz w:val="20"/>
                <w:szCs w:val="20"/>
              </w:rPr>
            </w:pPr>
            <w:r w:rsidRPr="00EA55F0">
              <w:rPr>
                <w:rFonts w:ascii="Arial" w:hAnsi="Arial" w:cs="Arial"/>
                <w:sz w:val="20"/>
                <w:szCs w:val="20"/>
              </w:rPr>
              <w:t xml:space="preserve">Avg. Time / Response </w:t>
            </w:r>
          </w:p>
        </w:tc>
        <w:tc>
          <w:tcPr>
            <w:tcW w:w="1091" w:type="dxa"/>
            <w:tcMar>
              <w:left w:w="29" w:type="dxa"/>
              <w:right w:w="29" w:type="dxa"/>
            </w:tcMar>
            <w:vAlign w:val="center"/>
          </w:tcPr>
          <w:p w:rsidR="003F7561" w:rsidRPr="00EA55F0" w:rsidP="00E86361" w14:paraId="671C5332" w14:textId="19AA0FB8">
            <w:pPr>
              <w:suppressAutoHyphens/>
              <w:jc w:val="center"/>
              <w:rPr>
                <w:rFonts w:ascii="Arial" w:hAnsi="Arial" w:cs="Arial"/>
                <w:sz w:val="20"/>
                <w:szCs w:val="20"/>
              </w:rPr>
            </w:pPr>
            <w:r w:rsidRPr="00EA55F0">
              <w:rPr>
                <w:rFonts w:ascii="Arial" w:hAnsi="Arial" w:cs="Arial"/>
                <w:sz w:val="20"/>
                <w:szCs w:val="20"/>
              </w:rPr>
              <w:t>Labor Cost / Response</w:t>
            </w:r>
          </w:p>
        </w:tc>
        <w:tc>
          <w:tcPr>
            <w:tcW w:w="1257" w:type="dxa"/>
            <w:vAlign w:val="center"/>
          </w:tcPr>
          <w:p w:rsidR="003F7561" w:rsidRPr="00EA55F0" w:rsidP="006A3745" w14:paraId="44B086CC" w14:textId="262A9BD2">
            <w:pPr>
              <w:suppressAutoHyphens/>
              <w:jc w:val="center"/>
              <w:rPr>
                <w:rFonts w:ascii="Arial" w:hAnsi="Arial" w:cs="Arial"/>
                <w:sz w:val="20"/>
                <w:szCs w:val="20"/>
              </w:rPr>
            </w:pPr>
            <w:r w:rsidRPr="00EA55F0">
              <w:rPr>
                <w:rFonts w:ascii="Arial" w:hAnsi="Arial" w:cs="Arial"/>
                <w:sz w:val="20"/>
                <w:szCs w:val="20"/>
              </w:rPr>
              <w:t>Responses / Respondent</w:t>
            </w:r>
          </w:p>
        </w:tc>
        <w:tc>
          <w:tcPr>
            <w:tcW w:w="1332" w:type="dxa"/>
            <w:tcBorders>
              <w:right w:val="single" w:sz="12" w:space="0" w:color="auto"/>
            </w:tcBorders>
            <w:vAlign w:val="center"/>
          </w:tcPr>
          <w:p w:rsidR="003F7561" w:rsidRPr="00EA55F0" w:rsidP="00FF364E" w14:paraId="43300D96" w14:textId="146C9D30">
            <w:pPr>
              <w:suppressAutoHyphens/>
              <w:jc w:val="center"/>
              <w:rPr>
                <w:rFonts w:ascii="Arial" w:hAnsi="Arial" w:cs="Arial"/>
                <w:sz w:val="20"/>
                <w:szCs w:val="20"/>
              </w:rPr>
            </w:pPr>
            <w:r w:rsidRPr="00EA55F0">
              <w:rPr>
                <w:rFonts w:ascii="Arial" w:hAnsi="Arial" w:cs="Arial"/>
                <w:sz w:val="20"/>
                <w:szCs w:val="20"/>
              </w:rPr>
              <w:t>Labor Costs / Respondent</w:t>
            </w:r>
            <w:r w:rsidRPr="00EA55F0" w:rsidR="00440472">
              <w:rPr>
                <w:rFonts w:ascii="Arial" w:hAnsi="Arial" w:cs="Arial"/>
                <w:sz w:val="20"/>
                <w:szCs w:val="20"/>
              </w:rPr>
              <w:t>*</w:t>
            </w:r>
            <w:r w:rsidRPr="00EA55F0">
              <w:rPr>
                <w:rFonts w:ascii="Arial" w:hAnsi="Arial" w:cs="Arial"/>
                <w:sz w:val="20"/>
                <w:szCs w:val="20"/>
              </w:rPr>
              <w:t xml:space="preserve"> </w:t>
            </w:r>
          </w:p>
        </w:tc>
        <w:tc>
          <w:tcPr>
            <w:tcW w:w="1260" w:type="dxa"/>
            <w:tcBorders>
              <w:left w:val="single" w:sz="12" w:space="0" w:color="auto"/>
            </w:tcBorders>
            <w:tcMar>
              <w:left w:w="29" w:type="dxa"/>
              <w:right w:w="29" w:type="dxa"/>
            </w:tcMar>
            <w:vAlign w:val="center"/>
          </w:tcPr>
          <w:p w:rsidR="003F7561" w:rsidRPr="00EA55F0" w:rsidP="00FF364E" w14:paraId="2586064A" w14:textId="301FE533">
            <w:pPr>
              <w:suppressAutoHyphens/>
              <w:jc w:val="center"/>
              <w:rPr>
                <w:rFonts w:ascii="Arial" w:hAnsi="Arial" w:cs="Arial"/>
                <w:sz w:val="20"/>
                <w:szCs w:val="20"/>
              </w:rPr>
            </w:pPr>
            <w:r w:rsidRPr="00EA55F0">
              <w:rPr>
                <w:rFonts w:ascii="Arial" w:hAnsi="Arial" w:cs="Arial"/>
                <w:sz w:val="20"/>
                <w:szCs w:val="20"/>
              </w:rPr>
              <w:t>Total Respon</w:t>
            </w:r>
            <w:r w:rsidRPr="00EA55F0" w:rsidR="00075679">
              <w:rPr>
                <w:rFonts w:ascii="Arial" w:hAnsi="Arial" w:cs="Arial"/>
                <w:sz w:val="20"/>
                <w:szCs w:val="20"/>
              </w:rPr>
              <w:t>dents</w:t>
            </w:r>
          </w:p>
        </w:tc>
        <w:tc>
          <w:tcPr>
            <w:tcW w:w="1355" w:type="dxa"/>
            <w:tcMar>
              <w:left w:w="29" w:type="dxa"/>
              <w:right w:w="29" w:type="dxa"/>
            </w:tcMar>
            <w:vAlign w:val="center"/>
          </w:tcPr>
          <w:p w:rsidR="003F7561" w:rsidRPr="00EA55F0" w:rsidP="00FF364E" w14:paraId="21AC13B6" w14:textId="77777777">
            <w:pPr>
              <w:suppressAutoHyphens/>
              <w:jc w:val="center"/>
              <w:rPr>
                <w:rFonts w:ascii="Arial" w:hAnsi="Arial" w:cs="Arial"/>
                <w:sz w:val="20"/>
                <w:szCs w:val="20"/>
              </w:rPr>
            </w:pPr>
            <w:r w:rsidRPr="00EA55F0">
              <w:rPr>
                <w:rFonts w:ascii="Arial" w:hAnsi="Arial" w:cs="Arial"/>
                <w:sz w:val="20"/>
                <w:szCs w:val="20"/>
              </w:rPr>
              <w:t xml:space="preserve">Total Labor Costs </w:t>
            </w:r>
          </w:p>
        </w:tc>
      </w:tr>
      <w:tr w14:paraId="07C163E4" w14:textId="77777777" w:rsidTr="00075679">
        <w:tblPrEx>
          <w:tblW w:w="8640" w:type="dxa"/>
          <w:jc w:val="center"/>
          <w:tblLayout w:type="fixed"/>
          <w:tblCellMar>
            <w:left w:w="29" w:type="dxa"/>
            <w:right w:w="29" w:type="dxa"/>
          </w:tblCellMar>
          <w:tblLook w:val="04A0"/>
        </w:tblPrEx>
        <w:trPr>
          <w:trHeight w:val="540"/>
          <w:jc w:val="center"/>
        </w:trPr>
        <w:tc>
          <w:tcPr>
            <w:tcW w:w="1171" w:type="dxa"/>
            <w:tcBorders>
              <w:top w:val="nil"/>
              <w:left w:val="single" w:sz="8" w:space="0" w:color="auto"/>
              <w:bottom w:val="single" w:sz="8" w:space="0" w:color="auto"/>
              <w:right w:val="single" w:sz="8" w:space="0" w:color="auto"/>
            </w:tcBorders>
            <w:vAlign w:val="center"/>
          </w:tcPr>
          <w:p w:rsidR="003F7561" w:rsidRPr="00EA55F0" w:rsidP="00007387" w14:paraId="10334F69" w14:textId="3F3E09F7">
            <w:pPr>
              <w:jc w:val="center"/>
              <w:rPr>
                <w:rFonts w:ascii="Arial" w:hAnsi="Arial" w:cs="Arial"/>
                <w:sz w:val="20"/>
                <w:szCs w:val="20"/>
              </w:rPr>
            </w:pPr>
            <w:r w:rsidRPr="00EA55F0">
              <w:rPr>
                <w:rFonts w:ascii="Arial" w:hAnsi="Arial" w:cs="Arial"/>
                <w:sz w:val="20"/>
                <w:szCs w:val="20"/>
              </w:rPr>
              <w:t>F 51</w:t>
            </w:r>
            <w:r w:rsidRPr="00EA55F0" w:rsidR="00007387">
              <w:rPr>
                <w:rFonts w:ascii="Arial" w:hAnsi="Arial" w:cs="Arial"/>
                <w:sz w:val="20"/>
                <w:szCs w:val="20"/>
              </w:rPr>
              <w:t>50.19 (Paper)</w:t>
            </w:r>
            <w:r w:rsidRPr="00EA55F0">
              <w:rPr>
                <w:rFonts w:ascii="Arial" w:hAnsi="Arial" w:cs="Arial"/>
                <w:sz w:val="20"/>
                <w:szCs w:val="20"/>
              </w:rPr>
              <w:t xml:space="preserve"> </w:t>
            </w:r>
          </w:p>
        </w:tc>
        <w:tc>
          <w:tcPr>
            <w:tcW w:w="1174" w:type="dxa"/>
            <w:tcMar>
              <w:left w:w="29" w:type="dxa"/>
              <w:right w:w="29" w:type="dxa"/>
            </w:tcMar>
            <w:vAlign w:val="center"/>
          </w:tcPr>
          <w:p w:rsidR="003F7561" w:rsidRPr="00EA55F0" w:rsidP="00FF364E" w14:paraId="1B7A277E" w14:textId="77777777">
            <w:pPr>
              <w:suppressAutoHyphens/>
              <w:jc w:val="center"/>
              <w:rPr>
                <w:rFonts w:ascii="Arial" w:hAnsi="Arial" w:cs="Arial"/>
                <w:sz w:val="20"/>
                <w:szCs w:val="20"/>
              </w:rPr>
            </w:pPr>
            <w:r w:rsidRPr="00EA55F0">
              <w:rPr>
                <w:rFonts w:ascii="Arial" w:hAnsi="Arial" w:cs="Arial"/>
                <w:sz w:val="20"/>
                <w:szCs w:val="20"/>
              </w:rPr>
              <w:t>0.9 hour</w:t>
            </w:r>
          </w:p>
        </w:tc>
        <w:tc>
          <w:tcPr>
            <w:tcW w:w="1091" w:type="dxa"/>
            <w:tcMar>
              <w:left w:w="29" w:type="dxa"/>
              <w:right w:w="29" w:type="dxa"/>
            </w:tcMar>
            <w:vAlign w:val="center"/>
          </w:tcPr>
          <w:p w:rsidR="003F7561" w:rsidRPr="00EA55F0" w:rsidP="00FF364E" w14:paraId="3849D707" w14:textId="02D03A45">
            <w:pPr>
              <w:suppressAutoHyphens/>
              <w:jc w:val="center"/>
              <w:rPr>
                <w:rFonts w:ascii="Arial" w:hAnsi="Arial" w:cs="Arial"/>
                <w:sz w:val="20"/>
                <w:szCs w:val="20"/>
              </w:rPr>
            </w:pPr>
            <w:r w:rsidRPr="00EA55F0">
              <w:rPr>
                <w:rFonts w:ascii="Arial" w:hAnsi="Arial" w:cs="Arial"/>
                <w:sz w:val="20"/>
                <w:szCs w:val="20"/>
              </w:rPr>
              <w:t>$53.78</w:t>
            </w:r>
          </w:p>
        </w:tc>
        <w:tc>
          <w:tcPr>
            <w:tcW w:w="1257" w:type="dxa"/>
            <w:vAlign w:val="center"/>
          </w:tcPr>
          <w:p w:rsidR="003F7561" w:rsidRPr="00EA55F0" w:rsidP="00440472" w14:paraId="03CB019C" w14:textId="533CEF63">
            <w:pPr>
              <w:suppressAutoHyphens/>
              <w:jc w:val="center"/>
              <w:rPr>
                <w:rFonts w:ascii="Arial" w:hAnsi="Arial" w:cs="Arial"/>
                <w:sz w:val="20"/>
                <w:szCs w:val="20"/>
              </w:rPr>
            </w:pPr>
            <w:r w:rsidRPr="00EA55F0">
              <w:rPr>
                <w:rFonts w:ascii="Arial" w:hAnsi="Arial" w:cs="Arial"/>
                <w:sz w:val="20"/>
                <w:szCs w:val="20"/>
              </w:rPr>
              <w:t>1</w:t>
            </w:r>
          </w:p>
        </w:tc>
        <w:tc>
          <w:tcPr>
            <w:tcW w:w="1332" w:type="dxa"/>
            <w:tcBorders>
              <w:right w:val="single" w:sz="12" w:space="0" w:color="auto"/>
            </w:tcBorders>
            <w:vAlign w:val="center"/>
          </w:tcPr>
          <w:p w:rsidR="003F7561" w:rsidRPr="00EA55F0" w:rsidP="00FF364E" w14:paraId="1E097DE3" w14:textId="04278260">
            <w:pPr>
              <w:suppressAutoHyphens/>
              <w:jc w:val="center"/>
              <w:rPr>
                <w:rFonts w:ascii="Arial" w:hAnsi="Arial" w:cs="Arial"/>
                <w:sz w:val="20"/>
                <w:szCs w:val="20"/>
              </w:rPr>
            </w:pPr>
            <w:r w:rsidRPr="00EA55F0">
              <w:rPr>
                <w:rFonts w:ascii="Arial" w:hAnsi="Arial" w:cs="Arial"/>
                <w:sz w:val="20"/>
                <w:szCs w:val="20"/>
              </w:rPr>
              <w:t>$53.78</w:t>
            </w:r>
          </w:p>
        </w:tc>
        <w:tc>
          <w:tcPr>
            <w:tcW w:w="1260" w:type="dxa"/>
            <w:tcBorders>
              <w:left w:val="single" w:sz="12" w:space="0" w:color="auto"/>
            </w:tcBorders>
            <w:tcMar>
              <w:left w:w="29" w:type="dxa"/>
              <w:right w:w="29" w:type="dxa"/>
            </w:tcMar>
            <w:vAlign w:val="center"/>
          </w:tcPr>
          <w:p w:rsidR="003F7561" w:rsidRPr="00EA55F0" w:rsidP="00FF364E" w14:paraId="6D2F3A7D" w14:textId="52A8979D">
            <w:pPr>
              <w:suppressAutoHyphens/>
              <w:jc w:val="center"/>
              <w:rPr>
                <w:rFonts w:ascii="Arial" w:hAnsi="Arial" w:cs="Arial"/>
                <w:sz w:val="20"/>
                <w:szCs w:val="20"/>
              </w:rPr>
            </w:pPr>
            <w:r w:rsidRPr="00EA55F0">
              <w:rPr>
                <w:rFonts w:ascii="Arial" w:hAnsi="Arial" w:cs="Arial"/>
                <w:sz w:val="20"/>
                <w:szCs w:val="20"/>
              </w:rPr>
              <w:t>5</w:t>
            </w:r>
          </w:p>
        </w:tc>
        <w:tc>
          <w:tcPr>
            <w:tcW w:w="1355" w:type="dxa"/>
            <w:tcMar>
              <w:left w:w="29" w:type="dxa"/>
              <w:right w:w="29" w:type="dxa"/>
            </w:tcMar>
            <w:vAlign w:val="center"/>
          </w:tcPr>
          <w:p w:rsidR="003F7561" w:rsidRPr="00EA55F0" w:rsidP="00E86361" w14:paraId="47E3C31F" w14:textId="34EACC32">
            <w:pPr>
              <w:suppressAutoHyphens/>
              <w:jc w:val="center"/>
              <w:rPr>
                <w:rFonts w:ascii="Arial" w:hAnsi="Arial" w:cs="Arial"/>
                <w:sz w:val="20"/>
                <w:szCs w:val="20"/>
              </w:rPr>
            </w:pPr>
            <w:r w:rsidRPr="00EA55F0">
              <w:rPr>
                <w:rFonts w:ascii="Arial" w:hAnsi="Arial" w:cs="Arial"/>
                <w:sz w:val="20"/>
                <w:szCs w:val="20"/>
              </w:rPr>
              <w:t>$268.90</w:t>
            </w:r>
          </w:p>
        </w:tc>
      </w:tr>
      <w:tr w14:paraId="07170595" w14:textId="77777777" w:rsidTr="00075679">
        <w:tblPrEx>
          <w:tblW w:w="8640" w:type="dxa"/>
          <w:jc w:val="center"/>
          <w:tblLayout w:type="fixed"/>
          <w:tblCellMar>
            <w:left w:w="29" w:type="dxa"/>
            <w:right w:w="29" w:type="dxa"/>
          </w:tblCellMar>
          <w:tblLook w:val="04A0"/>
        </w:tblPrEx>
        <w:trPr>
          <w:trHeight w:val="540"/>
          <w:jc w:val="center"/>
        </w:trPr>
        <w:tc>
          <w:tcPr>
            <w:tcW w:w="1171" w:type="dxa"/>
            <w:tcBorders>
              <w:top w:val="nil"/>
              <w:left w:val="single" w:sz="8" w:space="0" w:color="auto"/>
              <w:bottom w:val="single" w:sz="8" w:space="0" w:color="auto"/>
              <w:right w:val="single" w:sz="8" w:space="0" w:color="auto"/>
            </w:tcBorders>
            <w:vAlign w:val="center"/>
          </w:tcPr>
          <w:p w:rsidR="003F7561" w:rsidRPr="00EA55F0" w:rsidP="00FF364E" w14:paraId="09901854" w14:textId="77777777">
            <w:pPr>
              <w:suppressAutoHyphens/>
              <w:jc w:val="center"/>
              <w:rPr>
                <w:rFonts w:ascii="Arial" w:hAnsi="Arial" w:cs="Arial"/>
                <w:sz w:val="20"/>
                <w:szCs w:val="20"/>
              </w:rPr>
            </w:pPr>
            <w:r w:rsidRPr="00EA55F0">
              <w:rPr>
                <w:rFonts w:ascii="Arial" w:hAnsi="Arial" w:cs="Arial"/>
                <w:sz w:val="20"/>
                <w:szCs w:val="20"/>
              </w:rPr>
              <w:t>FONL</w:t>
            </w:r>
            <w:r w:rsidRPr="00EA55F0" w:rsidR="00007387">
              <w:rPr>
                <w:rFonts w:ascii="Arial" w:hAnsi="Arial" w:cs="Arial"/>
                <w:sz w:val="20"/>
                <w:szCs w:val="20"/>
              </w:rPr>
              <w:t xml:space="preserve"> </w:t>
            </w:r>
          </w:p>
          <w:p w:rsidR="00007387" w:rsidRPr="00EA55F0" w:rsidP="00FF364E" w14:paraId="2121DD53" w14:textId="24973933">
            <w:pPr>
              <w:suppressAutoHyphens/>
              <w:jc w:val="center"/>
              <w:rPr>
                <w:rFonts w:ascii="Arial" w:hAnsi="Arial" w:cs="Arial"/>
                <w:sz w:val="20"/>
                <w:szCs w:val="20"/>
              </w:rPr>
            </w:pPr>
            <w:r w:rsidRPr="00EA55F0">
              <w:rPr>
                <w:rFonts w:ascii="Arial" w:hAnsi="Arial" w:cs="Arial"/>
                <w:sz w:val="20"/>
                <w:szCs w:val="20"/>
              </w:rPr>
              <w:t>(Online)</w:t>
            </w:r>
          </w:p>
        </w:tc>
        <w:tc>
          <w:tcPr>
            <w:tcW w:w="1174" w:type="dxa"/>
            <w:tcMar>
              <w:left w:w="29" w:type="dxa"/>
              <w:right w:w="29" w:type="dxa"/>
            </w:tcMar>
            <w:vAlign w:val="center"/>
          </w:tcPr>
          <w:p w:rsidR="003F7561" w:rsidRPr="00EA55F0" w:rsidP="00FF364E" w14:paraId="2B34752C" w14:textId="77777777">
            <w:pPr>
              <w:suppressAutoHyphens/>
              <w:jc w:val="center"/>
              <w:rPr>
                <w:rFonts w:ascii="Arial" w:hAnsi="Arial" w:cs="Arial"/>
                <w:sz w:val="20"/>
                <w:szCs w:val="20"/>
              </w:rPr>
            </w:pPr>
            <w:r w:rsidRPr="00EA55F0">
              <w:rPr>
                <w:rFonts w:ascii="Arial" w:hAnsi="Arial" w:cs="Arial"/>
                <w:sz w:val="20"/>
                <w:szCs w:val="20"/>
              </w:rPr>
              <w:t>0.6 hour</w:t>
            </w:r>
          </w:p>
        </w:tc>
        <w:tc>
          <w:tcPr>
            <w:tcW w:w="1091" w:type="dxa"/>
            <w:tcMar>
              <w:left w:w="29" w:type="dxa"/>
              <w:right w:w="29" w:type="dxa"/>
            </w:tcMar>
            <w:vAlign w:val="center"/>
          </w:tcPr>
          <w:p w:rsidR="003F7561" w:rsidRPr="00EA55F0" w:rsidP="00FF364E" w14:paraId="167FDF6B" w14:textId="676819EF">
            <w:pPr>
              <w:suppressAutoHyphens/>
              <w:jc w:val="center"/>
              <w:rPr>
                <w:rFonts w:ascii="Arial" w:hAnsi="Arial" w:cs="Arial"/>
                <w:sz w:val="20"/>
                <w:szCs w:val="20"/>
              </w:rPr>
            </w:pPr>
            <w:r w:rsidRPr="00EA55F0">
              <w:rPr>
                <w:rFonts w:ascii="Arial" w:hAnsi="Arial" w:cs="Arial"/>
                <w:sz w:val="20"/>
                <w:szCs w:val="20"/>
              </w:rPr>
              <w:t>$35.86</w:t>
            </w:r>
          </w:p>
        </w:tc>
        <w:tc>
          <w:tcPr>
            <w:tcW w:w="1257" w:type="dxa"/>
            <w:vAlign w:val="center"/>
          </w:tcPr>
          <w:p w:rsidR="003F7561" w:rsidRPr="00EA55F0" w:rsidP="00440472" w14:paraId="42AADBD2" w14:textId="63B8922A">
            <w:pPr>
              <w:suppressAutoHyphens/>
              <w:jc w:val="center"/>
              <w:rPr>
                <w:rFonts w:ascii="Arial" w:hAnsi="Arial" w:cs="Arial"/>
                <w:sz w:val="20"/>
                <w:szCs w:val="20"/>
              </w:rPr>
            </w:pPr>
            <w:r w:rsidRPr="00EA55F0">
              <w:rPr>
                <w:rFonts w:ascii="Arial" w:hAnsi="Arial" w:cs="Arial"/>
                <w:sz w:val="20"/>
                <w:szCs w:val="20"/>
              </w:rPr>
              <w:t>1</w:t>
            </w:r>
          </w:p>
        </w:tc>
        <w:tc>
          <w:tcPr>
            <w:tcW w:w="1332" w:type="dxa"/>
            <w:tcBorders>
              <w:right w:val="single" w:sz="12" w:space="0" w:color="auto"/>
            </w:tcBorders>
            <w:vAlign w:val="center"/>
          </w:tcPr>
          <w:p w:rsidR="003F7561" w:rsidRPr="00EA55F0" w:rsidP="00FF364E" w14:paraId="2FBFD9DD" w14:textId="55917760">
            <w:pPr>
              <w:suppressAutoHyphens/>
              <w:jc w:val="center"/>
              <w:rPr>
                <w:rFonts w:ascii="Arial" w:hAnsi="Arial" w:cs="Arial"/>
                <w:sz w:val="20"/>
                <w:szCs w:val="20"/>
              </w:rPr>
            </w:pPr>
            <w:r w:rsidRPr="00EA55F0">
              <w:rPr>
                <w:rFonts w:ascii="Arial" w:hAnsi="Arial" w:cs="Arial"/>
                <w:sz w:val="20"/>
                <w:szCs w:val="20"/>
              </w:rPr>
              <w:t>$35.86</w:t>
            </w:r>
          </w:p>
        </w:tc>
        <w:tc>
          <w:tcPr>
            <w:tcW w:w="1260" w:type="dxa"/>
            <w:tcBorders>
              <w:left w:val="single" w:sz="12" w:space="0" w:color="auto"/>
            </w:tcBorders>
            <w:tcMar>
              <w:left w:w="29" w:type="dxa"/>
              <w:right w:w="29" w:type="dxa"/>
            </w:tcMar>
            <w:vAlign w:val="center"/>
          </w:tcPr>
          <w:p w:rsidR="003F7561" w:rsidRPr="00EA55F0" w:rsidP="00FF364E" w14:paraId="6E15AD34" w14:textId="65AF8456">
            <w:pPr>
              <w:suppressAutoHyphens/>
              <w:jc w:val="center"/>
              <w:rPr>
                <w:rFonts w:ascii="Arial" w:hAnsi="Arial" w:cs="Arial"/>
                <w:sz w:val="20"/>
                <w:szCs w:val="20"/>
              </w:rPr>
            </w:pPr>
            <w:r w:rsidRPr="00EA55F0">
              <w:rPr>
                <w:rFonts w:ascii="Arial" w:hAnsi="Arial" w:cs="Arial"/>
                <w:sz w:val="20"/>
                <w:szCs w:val="20"/>
              </w:rPr>
              <w:t>55</w:t>
            </w:r>
          </w:p>
        </w:tc>
        <w:tc>
          <w:tcPr>
            <w:tcW w:w="1355" w:type="dxa"/>
            <w:tcMar>
              <w:left w:w="29" w:type="dxa"/>
              <w:right w:w="29" w:type="dxa"/>
            </w:tcMar>
            <w:vAlign w:val="center"/>
          </w:tcPr>
          <w:p w:rsidR="003F7561" w:rsidRPr="00EA55F0" w:rsidP="00FF364E" w14:paraId="50A28D64" w14:textId="41FE3A4C">
            <w:pPr>
              <w:suppressAutoHyphens/>
              <w:jc w:val="center"/>
              <w:rPr>
                <w:rFonts w:ascii="Arial" w:hAnsi="Arial" w:cs="Arial"/>
                <w:sz w:val="20"/>
                <w:szCs w:val="20"/>
              </w:rPr>
            </w:pPr>
            <w:r w:rsidRPr="00EA55F0">
              <w:rPr>
                <w:rFonts w:ascii="Arial" w:hAnsi="Arial" w:cs="Arial"/>
                <w:sz w:val="20"/>
                <w:szCs w:val="20"/>
              </w:rPr>
              <w:t>$1,972.08</w:t>
            </w:r>
          </w:p>
        </w:tc>
      </w:tr>
      <w:tr w14:paraId="24D7B059" w14:textId="77777777" w:rsidTr="00075679">
        <w:tblPrEx>
          <w:tblW w:w="8640" w:type="dxa"/>
          <w:jc w:val="center"/>
          <w:tblLayout w:type="fixed"/>
          <w:tblCellMar>
            <w:left w:w="29" w:type="dxa"/>
            <w:right w:w="29" w:type="dxa"/>
          </w:tblCellMar>
          <w:tblLook w:val="04A0"/>
        </w:tblPrEx>
        <w:trPr>
          <w:trHeight w:val="540"/>
          <w:jc w:val="center"/>
        </w:trPr>
        <w:tc>
          <w:tcPr>
            <w:tcW w:w="1171" w:type="dxa"/>
            <w:vAlign w:val="center"/>
          </w:tcPr>
          <w:p w:rsidR="003F7561" w:rsidRPr="00EA55F0" w:rsidP="00FF364E" w14:paraId="193DC6D9" w14:textId="77777777">
            <w:pPr>
              <w:suppressAutoHyphens/>
              <w:jc w:val="center"/>
              <w:rPr>
                <w:rFonts w:ascii="Arial" w:hAnsi="Arial" w:cs="Arial"/>
                <w:b/>
                <w:sz w:val="20"/>
                <w:szCs w:val="20"/>
              </w:rPr>
            </w:pPr>
            <w:r w:rsidRPr="00EA55F0">
              <w:rPr>
                <w:rFonts w:ascii="Arial" w:hAnsi="Arial" w:cs="Arial"/>
                <w:b/>
                <w:sz w:val="20"/>
                <w:szCs w:val="20"/>
              </w:rPr>
              <w:t>TOTALS</w:t>
            </w:r>
          </w:p>
        </w:tc>
        <w:tc>
          <w:tcPr>
            <w:tcW w:w="1174" w:type="dxa"/>
            <w:tcMar>
              <w:left w:w="29" w:type="dxa"/>
              <w:right w:w="29" w:type="dxa"/>
            </w:tcMar>
            <w:vAlign w:val="center"/>
          </w:tcPr>
          <w:p w:rsidR="003F7561" w:rsidRPr="00EA55F0" w:rsidP="005C2E54" w14:paraId="720242A1" w14:textId="75B01236">
            <w:pPr>
              <w:suppressAutoHyphens/>
              <w:jc w:val="center"/>
              <w:rPr>
                <w:rFonts w:ascii="Arial" w:hAnsi="Arial" w:cs="Arial"/>
                <w:b/>
                <w:sz w:val="20"/>
                <w:szCs w:val="20"/>
              </w:rPr>
            </w:pPr>
            <w:r w:rsidRPr="00EA55F0">
              <w:rPr>
                <w:rFonts w:ascii="Arial" w:hAnsi="Arial" w:cs="Arial"/>
                <w:b/>
                <w:sz w:val="20"/>
                <w:szCs w:val="20"/>
              </w:rPr>
              <w:t>0.62</w:t>
            </w:r>
            <w:r w:rsidR="00E66CBC">
              <w:rPr>
                <w:rFonts w:ascii="Arial" w:hAnsi="Arial" w:cs="Arial"/>
                <w:b/>
                <w:sz w:val="20"/>
                <w:szCs w:val="20"/>
              </w:rPr>
              <w:t>5</w:t>
            </w:r>
            <w:r w:rsidRPr="00EA55F0" w:rsidR="00EA55F0">
              <w:rPr>
                <w:rFonts w:ascii="Arial" w:hAnsi="Arial" w:cs="Arial"/>
                <w:b/>
                <w:sz w:val="20"/>
                <w:szCs w:val="20"/>
              </w:rPr>
              <w:t xml:space="preserve"> hours</w:t>
            </w:r>
          </w:p>
        </w:tc>
        <w:tc>
          <w:tcPr>
            <w:tcW w:w="1091" w:type="dxa"/>
            <w:tcMar>
              <w:left w:w="29" w:type="dxa"/>
              <w:right w:w="29" w:type="dxa"/>
            </w:tcMar>
            <w:vAlign w:val="center"/>
          </w:tcPr>
          <w:p w:rsidR="003F7561" w:rsidRPr="00EA55F0" w:rsidP="00E86361" w14:paraId="5BC3057C" w14:textId="39E2DDE0">
            <w:pPr>
              <w:suppressAutoHyphens/>
              <w:jc w:val="center"/>
              <w:rPr>
                <w:rFonts w:ascii="Arial" w:hAnsi="Arial" w:cs="Arial"/>
                <w:b/>
                <w:sz w:val="20"/>
                <w:szCs w:val="20"/>
              </w:rPr>
            </w:pPr>
            <w:r w:rsidRPr="00EA55F0">
              <w:rPr>
                <w:rFonts w:ascii="Arial" w:hAnsi="Arial" w:cs="Arial"/>
                <w:b/>
                <w:sz w:val="20"/>
                <w:szCs w:val="20"/>
              </w:rPr>
              <w:t>$37.35</w:t>
            </w:r>
          </w:p>
        </w:tc>
        <w:tc>
          <w:tcPr>
            <w:tcW w:w="1257" w:type="dxa"/>
            <w:vAlign w:val="center"/>
          </w:tcPr>
          <w:p w:rsidR="003F7561" w:rsidRPr="00EA55F0" w:rsidP="00FF364E" w14:paraId="63B64E92" w14:textId="4B8B58CE">
            <w:pPr>
              <w:suppressAutoHyphens/>
              <w:jc w:val="center"/>
              <w:rPr>
                <w:rFonts w:ascii="Arial" w:hAnsi="Arial" w:cs="Arial"/>
                <w:b/>
                <w:sz w:val="20"/>
                <w:szCs w:val="20"/>
              </w:rPr>
            </w:pPr>
            <w:r w:rsidRPr="00EA55F0">
              <w:rPr>
                <w:rFonts w:ascii="Arial" w:hAnsi="Arial" w:cs="Arial"/>
                <w:b/>
                <w:sz w:val="20"/>
                <w:szCs w:val="20"/>
              </w:rPr>
              <w:t>1</w:t>
            </w:r>
          </w:p>
        </w:tc>
        <w:tc>
          <w:tcPr>
            <w:tcW w:w="1332" w:type="dxa"/>
            <w:tcBorders>
              <w:right w:val="single" w:sz="12" w:space="0" w:color="auto"/>
            </w:tcBorders>
            <w:vAlign w:val="center"/>
          </w:tcPr>
          <w:p w:rsidR="003F7561" w:rsidRPr="00EA55F0" w:rsidP="00FF364E" w14:paraId="63F11FC9" w14:textId="30256A49">
            <w:pPr>
              <w:suppressAutoHyphens/>
              <w:jc w:val="center"/>
              <w:rPr>
                <w:rFonts w:ascii="Arial" w:hAnsi="Arial" w:cs="Arial"/>
                <w:b/>
                <w:sz w:val="20"/>
                <w:szCs w:val="20"/>
              </w:rPr>
            </w:pPr>
            <w:r w:rsidRPr="00EA55F0">
              <w:rPr>
                <w:rFonts w:ascii="Arial" w:hAnsi="Arial" w:cs="Arial"/>
                <w:b/>
                <w:sz w:val="20"/>
                <w:szCs w:val="20"/>
              </w:rPr>
              <w:t>$37.35</w:t>
            </w:r>
          </w:p>
        </w:tc>
        <w:tc>
          <w:tcPr>
            <w:tcW w:w="1260" w:type="dxa"/>
            <w:tcBorders>
              <w:left w:val="single" w:sz="12" w:space="0" w:color="auto"/>
            </w:tcBorders>
            <w:tcMar>
              <w:left w:w="29" w:type="dxa"/>
              <w:right w:w="29" w:type="dxa"/>
            </w:tcMar>
            <w:vAlign w:val="center"/>
          </w:tcPr>
          <w:p w:rsidR="003F7561" w:rsidRPr="00EA55F0" w:rsidP="00FF364E" w14:paraId="345D5FAD" w14:textId="302F9C78">
            <w:pPr>
              <w:suppressAutoHyphens/>
              <w:jc w:val="center"/>
              <w:rPr>
                <w:rFonts w:ascii="Arial" w:hAnsi="Arial" w:cs="Arial"/>
                <w:b/>
                <w:sz w:val="20"/>
                <w:szCs w:val="20"/>
              </w:rPr>
            </w:pPr>
            <w:r w:rsidRPr="00EA55F0">
              <w:rPr>
                <w:rFonts w:ascii="Arial" w:hAnsi="Arial" w:cs="Arial"/>
                <w:b/>
                <w:sz w:val="20"/>
                <w:szCs w:val="20"/>
              </w:rPr>
              <w:t>60</w:t>
            </w:r>
          </w:p>
        </w:tc>
        <w:tc>
          <w:tcPr>
            <w:tcW w:w="1355" w:type="dxa"/>
            <w:tcMar>
              <w:left w:w="29" w:type="dxa"/>
              <w:right w:w="29" w:type="dxa"/>
            </w:tcMar>
            <w:vAlign w:val="center"/>
          </w:tcPr>
          <w:p w:rsidR="003F7561" w:rsidRPr="00EA55F0" w:rsidP="00FF364E" w14:paraId="7D2C3AC6" w14:textId="626BC6E8">
            <w:pPr>
              <w:suppressAutoHyphens/>
              <w:jc w:val="center"/>
              <w:rPr>
                <w:rFonts w:ascii="Arial" w:hAnsi="Arial" w:cs="Arial"/>
                <w:b/>
                <w:sz w:val="20"/>
                <w:szCs w:val="20"/>
              </w:rPr>
            </w:pPr>
            <w:r w:rsidRPr="00EA55F0">
              <w:rPr>
                <w:rFonts w:ascii="Arial" w:hAnsi="Arial" w:cs="Arial"/>
                <w:b/>
                <w:sz w:val="20"/>
                <w:szCs w:val="20"/>
              </w:rPr>
              <w:t>$2,240.98</w:t>
            </w:r>
          </w:p>
        </w:tc>
      </w:tr>
    </w:tbl>
    <w:p w:rsidR="003F7561" w:rsidRPr="00EA55F0" w:rsidP="003F7561" w14:paraId="019507E6" w14:textId="77777777">
      <w:pPr>
        <w:ind w:left="360"/>
        <w:rPr>
          <w:rFonts w:ascii="Arial" w:hAnsi="Arial" w:cs="Arial"/>
          <w:sz w:val="12"/>
          <w:szCs w:val="12"/>
        </w:rPr>
      </w:pPr>
    </w:p>
    <w:p w:rsidR="003F7561" w:rsidRPr="00EA55F0" w:rsidP="003F7561" w14:paraId="4D5CB38F" w14:textId="3DCB8286">
      <w:pPr>
        <w:ind w:left="360"/>
        <w:rPr>
          <w:rFonts w:ascii="Arial" w:hAnsi="Arial" w:cs="Arial"/>
          <w:sz w:val="18"/>
          <w:szCs w:val="18"/>
        </w:rPr>
      </w:pPr>
      <w:r w:rsidRPr="00EA55F0">
        <w:rPr>
          <w:rFonts w:ascii="Arial" w:hAnsi="Arial" w:cs="Arial"/>
          <w:sz w:val="22"/>
          <w:szCs w:val="22"/>
        </w:rPr>
        <w:t xml:space="preserve">* </w:t>
      </w:r>
      <w:r w:rsidRPr="00EA55F0" w:rsidR="00075679">
        <w:rPr>
          <w:rFonts w:ascii="Arial" w:hAnsi="Arial" w:cs="Arial"/>
          <w:sz w:val="22"/>
          <w:szCs w:val="22"/>
        </w:rPr>
        <w:t>L</w:t>
      </w:r>
      <w:r w:rsidRPr="00EA55F0" w:rsidR="00440472">
        <w:rPr>
          <w:rFonts w:ascii="Arial" w:hAnsi="Arial" w:cs="Arial"/>
          <w:sz w:val="18"/>
          <w:szCs w:val="18"/>
        </w:rPr>
        <w:t xml:space="preserve">abor </w:t>
      </w:r>
      <w:r w:rsidRPr="00EA55F0" w:rsidR="00075679">
        <w:rPr>
          <w:rFonts w:ascii="Arial" w:hAnsi="Arial" w:cs="Arial"/>
          <w:sz w:val="18"/>
          <w:szCs w:val="18"/>
        </w:rPr>
        <w:t xml:space="preserve">costs </w:t>
      </w:r>
      <w:r w:rsidRPr="00EA55F0" w:rsidR="005C2E54">
        <w:rPr>
          <w:rFonts w:ascii="Arial" w:hAnsi="Arial" w:cs="Arial"/>
          <w:sz w:val="18"/>
          <w:szCs w:val="18"/>
        </w:rPr>
        <w:t xml:space="preserve">rounded to the nearest whole cent. </w:t>
      </w:r>
    </w:p>
    <w:p w:rsidR="003F7561" w:rsidRPr="00EA55F0" w:rsidP="003F7561" w14:paraId="786146D8" w14:textId="77777777">
      <w:pPr>
        <w:ind w:left="360"/>
        <w:rPr>
          <w:rFonts w:ascii="Arial" w:hAnsi="Arial" w:cs="Arial"/>
          <w:sz w:val="22"/>
          <w:szCs w:val="22"/>
        </w:rPr>
      </w:pPr>
    </w:p>
    <w:p w:rsidR="003F7561" w:rsidRPr="00EA55F0" w:rsidP="003F7561" w14:paraId="46E7C63A" w14:textId="664A97D5">
      <w:pPr>
        <w:ind w:left="360"/>
        <w:rPr>
          <w:rFonts w:ascii="Arial" w:hAnsi="Arial" w:cs="Arial"/>
          <w:sz w:val="22"/>
          <w:szCs w:val="22"/>
        </w:rPr>
      </w:pPr>
      <w:r w:rsidRPr="00EA55F0">
        <w:rPr>
          <w:rFonts w:ascii="Arial" w:hAnsi="Arial" w:cs="Arial"/>
          <w:sz w:val="22"/>
          <w:szCs w:val="22"/>
          <w:u w:val="single"/>
        </w:rPr>
        <w:t>Record retention:</w:t>
      </w:r>
      <w:r w:rsidRPr="00EA55F0">
        <w:rPr>
          <w:rFonts w:ascii="Arial" w:hAnsi="Arial" w:cs="Arial"/>
          <w:sz w:val="22"/>
          <w:szCs w:val="22"/>
        </w:rPr>
        <w:t xml:space="preserve">  </w:t>
      </w:r>
      <w:r w:rsidRPr="00EA55F0" w:rsidR="00CA6AEA">
        <w:rPr>
          <w:rFonts w:ascii="Arial" w:hAnsi="Arial" w:cs="Arial"/>
          <w:sz w:val="22"/>
          <w:szCs w:val="22"/>
        </w:rPr>
        <w:t xml:space="preserve">Under 27 CFR 29.91, respondents </w:t>
      </w:r>
      <w:r w:rsidRPr="00EA55F0">
        <w:rPr>
          <w:rFonts w:ascii="Arial" w:hAnsi="Arial" w:cs="Arial"/>
          <w:sz w:val="22"/>
          <w:szCs w:val="22"/>
        </w:rPr>
        <w:t xml:space="preserve">maintain </w:t>
      </w:r>
      <w:r w:rsidRPr="00EA55F0" w:rsidR="00CA6AEA">
        <w:rPr>
          <w:rFonts w:ascii="Arial" w:hAnsi="Arial" w:cs="Arial"/>
          <w:sz w:val="22"/>
          <w:szCs w:val="22"/>
        </w:rPr>
        <w:t xml:space="preserve">formula and statement of process approvals for as long as they use the approval formula or process, and they may submit discontinued or obsolete formulas or processes to TTB for cancellation. </w:t>
      </w:r>
    </w:p>
    <w:p w:rsidR="003F7561" w:rsidRPr="00EA55F0" w:rsidP="003F7561" w14:paraId="44AC7F5A" w14:textId="77777777">
      <w:pPr>
        <w:rPr>
          <w:rFonts w:ascii="Arial" w:hAnsi="Arial" w:cs="Arial"/>
          <w:sz w:val="28"/>
          <w:szCs w:val="28"/>
        </w:rPr>
      </w:pPr>
    </w:p>
    <w:p w:rsidR="003F7561" w:rsidRPr="00EA55F0" w:rsidP="003F7561" w14:paraId="6FE363D8" w14:textId="77777777">
      <w:pPr>
        <w:suppressAutoHyphens/>
        <w:rPr>
          <w:rFonts w:ascii="Arial" w:hAnsi="Arial" w:cs="Arial"/>
          <w:i/>
          <w:sz w:val="22"/>
          <w:szCs w:val="22"/>
        </w:rPr>
      </w:pPr>
      <w:r w:rsidRPr="00EA55F0">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3F7561" w:rsidRPr="00EA55F0" w:rsidP="003F7561" w14:paraId="017A5274" w14:textId="77777777">
      <w:pPr>
        <w:suppressAutoHyphens/>
        <w:ind w:left="480" w:hanging="480"/>
        <w:rPr>
          <w:rFonts w:ascii="Arial" w:hAnsi="Arial" w:cs="Arial"/>
          <w:sz w:val="22"/>
          <w:szCs w:val="22"/>
        </w:rPr>
      </w:pPr>
    </w:p>
    <w:p w:rsidR="003F7561" w:rsidRPr="00EA55F0" w:rsidP="003F7561" w14:paraId="4CB9DEB7" w14:textId="77777777">
      <w:pPr>
        <w:suppressAutoHyphens/>
        <w:ind w:left="360"/>
        <w:rPr>
          <w:rFonts w:ascii="Arial" w:hAnsi="Arial" w:cs="Arial"/>
          <w:sz w:val="22"/>
          <w:szCs w:val="22"/>
        </w:rPr>
      </w:pPr>
      <w:r w:rsidRPr="00EA55F0">
        <w:rPr>
          <w:rFonts w:ascii="Arial" w:hAnsi="Arial" w:cs="Arial"/>
          <w:sz w:val="22"/>
          <w:szCs w:val="22"/>
        </w:rPr>
        <w:t xml:space="preserve">Nonbeverage product manufacturers develop product formulas and production processes during the normal course of business, and, as such, TTB believes that there are no start-up, capital, or ongoing costs to respondents for this information collection.  </w:t>
      </w:r>
    </w:p>
    <w:p w:rsidR="003F7561" w:rsidRPr="00EA55F0" w:rsidP="003F7561" w14:paraId="11A203A0" w14:textId="77777777">
      <w:pPr>
        <w:suppressAutoHyphens/>
        <w:ind w:left="360"/>
        <w:rPr>
          <w:rFonts w:ascii="Arial" w:hAnsi="Arial" w:cs="Arial"/>
          <w:sz w:val="22"/>
          <w:szCs w:val="22"/>
        </w:rPr>
      </w:pPr>
    </w:p>
    <w:p w:rsidR="003F7561" w:rsidRPr="00EA55F0" w:rsidP="003F7561" w14:paraId="0F71DAB5" w14:textId="122C9856">
      <w:pPr>
        <w:suppressAutoHyphens/>
        <w:ind w:left="360"/>
        <w:rPr>
          <w:rFonts w:ascii="Arial" w:hAnsi="Arial" w:cs="Arial"/>
          <w:sz w:val="22"/>
          <w:szCs w:val="22"/>
        </w:rPr>
      </w:pPr>
      <w:r w:rsidRPr="00EA55F0">
        <w:rPr>
          <w:rFonts w:ascii="Arial" w:hAnsi="Arial" w:cs="Arial"/>
          <w:sz w:val="22"/>
          <w:szCs w:val="22"/>
        </w:rPr>
        <w:t>As for postage and mailing supply costs</w:t>
      </w:r>
      <w:r w:rsidRPr="00EA55F0" w:rsidR="006A3745">
        <w:rPr>
          <w:rFonts w:ascii="Arial" w:hAnsi="Arial" w:cs="Arial"/>
          <w:sz w:val="22"/>
          <w:szCs w:val="22"/>
        </w:rPr>
        <w:t xml:space="preserve"> for sending product samples</w:t>
      </w:r>
      <w:r w:rsidRPr="00EA55F0" w:rsidR="00DB3323">
        <w:rPr>
          <w:rFonts w:ascii="Arial" w:hAnsi="Arial" w:cs="Arial"/>
          <w:sz w:val="22"/>
          <w:szCs w:val="22"/>
        </w:rPr>
        <w:t xml:space="preserve"> (and, if used, paper forms, to TTB</w:t>
      </w:r>
      <w:r w:rsidRPr="00EA55F0" w:rsidR="006A3745">
        <w:rPr>
          <w:rFonts w:ascii="Arial" w:hAnsi="Arial" w:cs="Arial"/>
          <w:sz w:val="22"/>
          <w:szCs w:val="22"/>
        </w:rPr>
        <w:t xml:space="preserve">, </w:t>
      </w:r>
      <w:r w:rsidRPr="00EA55F0" w:rsidR="00DB3323">
        <w:rPr>
          <w:rFonts w:ascii="Arial" w:hAnsi="Arial" w:cs="Arial"/>
          <w:sz w:val="22"/>
          <w:szCs w:val="22"/>
        </w:rPr>
        <w:t xml:space="preserve">respondent costs are estimated as follows:  </w:t>
      </w:r>
    </w:p>
    <w:p w:rsidR="003F7561" w:rsidRPr="00EA55F0" w:rsidP="003F7561" w14:paraId="1DE01378" w14:textId="77777777">
      <w:pPr>
        <w:suppressAutoHyphens/>
        <w:ind w:left="360"/>
        <w:rPr>
          <w:rFonts w:ascii="Arial" w:hAnsi="Arial" w:cs="Arial"/>
          <w:sz w:val="22"/>
          <w:szCs w:val="22"/>
        </w:rPr>
      </w:pPr>
    </w:p>
    <w:tbl>
      <w:tblPr>
        <w:tblStyle w:val="TableGrid"/>
        <w:tblW w:w="7902" w:type="dxa"/>
        <w:jc w:val="center"/>
        <w:tblLook w:val="04A0"/>
      </w:tblPr>
      <w:tblGrid>
        <w:gridCol w:w="1694"/>
        <w:gridCol w:w="1454"/>
        <w:gridCol w:w="1433"/>
        <w:gridCol w:w="1592"/>
        <w:gridCol w:w="1729"/>
      </w:tblGrid>
      <w:tr w14:paraId="3003F83A" w14:textId="77777777" w:rsidTr="000D515B">
        <w:tblPrEx>
          <w:tblW w:w="7902" w:type="dxa"/>
          <w:jc w:val="center"/>
          <w:tblLook w:val="04A0"/>
        </w:tblPrEx>
        <w:trPr>
          <w:trHeight w:val="576"/>
          <w:jc w:val="center"/>
        </w:trPr>
        <w:tc>
          <w:tcPr>
            <w:tcW w:w="1694" w:type="dxa"/>
            <w:vAlign w:val="center"/>
          </w:tcPr>
          <w:p w:rsidR="00DB3323" w:rsidRPr="00EA55F0" w:rsidP="00DB3323" w14:paraId="3857A189" w14:textId="63BE42DC">
            <w:pPr>
              <w:suppressAutoHyphens/>
              <w:jc w:val="center"/>
              <w:rPr>
                <w:rFonts w:ascii="Arial" w:hAnsi="Arial" w:cs="Arial"/>
                <w:b/>
                <w:sz w:val="20"/>
                <w:szCs w:val="20"/>
              </w:rPr>
            </w:pPr>
            <w:r w:rsidRPr="00EA55F0">
              <w:rPr>
                <w:rFonts w:ascii="Arial" w:hAnsi="Arial" w:cs="Arial"/>
                <w:b/>
                <w:sz w:val="20"/>
                <w:szCs w:val="20"/>
              </w:rPr>
              <w:t>Postal Cost per Response</w:t>
            </w:r>
          </w:p>
        </w:tc>
        <w:tc>
          <w:tcPr>
            <w:tcW w:w="1454" w:type="dxa"/>
            <w:vAlign w:val="center"/>
          </w:tcPr>
          <w:p w:rsidR="00DB3323" w:rsidRPr="00EA55F0" w:rsidP="00FF364E" w14:paraId="14DCCE6D" w14:textId="463A61E9">
            <w:pPr>
              <w:suppressAutoHyphens/>
              <w:jc w:val="center"/>
              <w:rPr>
                <w:rFonts w:ascii="Arial" w:hAnsi="Arial" w:cs="Arial"/>
                <w:b/>
                <w:sz w:val="20"/>
                <w:szCs w:val="20"/>
              </w:rPr>
            </w:pPr>
            <w:r w:rsidRPr="00EA55F0">
              <w:rPr>
                <w:rFonts w:ascii="Arial" w:hAnsi="Arial" w:cs="Arial"/>
                <w:b/>
                <w:sz w:val="20"/>
                <w:szCs w:val="20"/>
              </w:rPr>
              <w:t>Responses / Respondent</w:t>
            </w:r>
          </w:p>
        </w:tc>
        <w:tc>
          <w:tcPr>
            <w:tcW w:w="1433" w:type="dxa"/>
            <w:vAlign w:val="center"/>
          </w:tcPr>
          <w:p w:rsidR="00DB3323" w:rsidRPr="00EA55F0" w:rsidP="006A3745" w14:paraId="75E7F446" w14:textId="7A785729">
            <w:pPr>
              <w:suppressAutoHyphens/>
              <w:jc w:val="center"/>
              <w:rPr>
                <w:rFonts w:ascii="Arial" w:hAnsi="Arial" w:cs="Arial"/>
                <w:b/>
                <w:sz w:val="20"/>
                <w:szCs w:val="20"/>
              </w:rPr>
            </w:pPr>
            <w:r w:rsidRPr="00EA55F0">
              <w:rPr>
                <w:rFonts w:ascii="Arial" w:hAnsi="Arial" w:cs="Arial"/>
                <w:b/>
                <w:sz w:val="20"/>
                <w:szCs w:val="20"/>
              </w:rPr>
              <w:t>Total Costs / Respondent</w:t>
            </w:r>
          </w:p>
        </w:tc>
        <w:tc>
          <w:tcPr>
            <w:tcW w:w="1592" w:type="dxa"/>
            <w:vAlign w:val="center"/>
          </w:tcPr>
          <w:p w:rsidR="00DB3323" w:rsidRPr="00EA55F0" w:rsidP="00DB3323" w14:paraId="5E9328F9" w14:textId="72282693">
            <w:pPr>
              <w:suppressAutoHyphens/>
              <w:jc w:val="center"/>
              <w:rPr>
                <w:rFonts w:ascii="Arial" w:hAnsi="Arial" w:cs="Arial"/>
                <w:b/>
                <w:sz w:val="20"/>
                <w:szCs w:val="20"/>
              </w:rPr>
            </w:pPr>
            <w:r w:rsidRPr="00EA55F0">
              <w:rPr>
                <w:rFonts w:ascii="Arial" w:hAnsi="Arial" w:cs="Arial"/>
                <w:b/>
                <w:sz w:val="20"/>
                <w:szCs w:val="20"/>
              </w:rPr>
              <w:t>No. of Respondents</w:t>
            </w:r>
          </w:p>
        </w:tc>
        <w:tc>
          <w:tcPr>
            <w:tcW w:w="1729" w:type="dxa"/>
            <w:vAlign w:val="center"/>
          </w:tcPr>
          <w:p w:rsidR="00DB3323" w:rsidRPr="00EA55F0" w:rsidP="00FF364E" w14:paraId="4E97C8ED" w14:textId="001B75E2">
            <w:pPr>
              <w:suppressAutoHyphens/>
              <w:jc w:val="center"/>
              <w:rPr>
                <w:rFonts w:ascii="Arial" w:hAnsi="Arial" w:cs="Arial"/>
                <w:b/>
                <w:sz w:val="20"/>
                <w:szCs w:val="20"/>
              </w:rPr>
            </w:pPr>
            <w:r w:rsidRPr="00EA55F0">
              <w:rPr>
                <w:rFonts w:ascii="Arial" w:hAnsi="Arial" w:cs="Arial"/>
                <w:b/>
                <w:sz w:val="20"/>
                <w:szCs w:val="20"/>
              </w:rPr>
              <w:t>Total Postal Costs</w:t>
            </w:r>
          </w:p>
        </w:tc>
      </w:tr>
      <w:tr w14:paraId="7AE5407D" w14:textId="77777777" w:rsidTr="000D515B">
        <w:tblPrEx>
          <w:tblW w:w="7902" w:type="dxa"/>
          <w:jc w:val="center"/>
          <w:tblLook w:val="04A0"/>
        </w:tblPrEx>
        <w:trPr>
          <w:trHeight w:val="575"/>
          <w:jc w:val="center"/>
        </w:trPr>
        <w:tc>
          <w:tcPr>
            <w:tcW w:w="1694" w:type="dxa"/>
            <w:vAlign w:val="center"/>
          </w:tcPr>
          <w:p w:rsidR="00DB3323" w:rsidRPr="00EA55F0" w:rsidP="00EA55F0" w14:paraId="23569187" w14:textId="64C156AC">
            <w:pPr>
              <w:suppressAutoHyphens/>
              <w:jc w:val="center"/>
              <w:rPr>
                <w:rFonts w:ascii="Arial" w:hAnsi="Arial" w:cs="Arial"/>
                <w:sz w:val="20"/>
                <w:szCs w:val="20"/>
              </w:rPr>
            </w:pPr>
            <w:r w:rsidRPr="00EA55F0">
              <w:rPr>
                <w:rFonts w:ascii="Arial" w:hAnsi="Arial" w:cs="Arial"/>
                <w:sz w:val="20"/>
                <w:szCs w:val="20"/>
              </w:rPr>
              <w:t>$20.00</w:t>
            </w:r>
          </w:p>
        </w:tc>
        <w:tc>
          <w:tcPr>
            <w:tcW w:w="1454" w:type="dxa"/>
            <w:vAlign w:val="center"/>
          </w:tcPr>
          <w:p w:rsidR="00DB3323" w:rsidRPr="00EA55F0" w:rsidP="00EA55F0" w14:paraId="4B19B452" w14:textId="2A8A7C77">
            <w:pPr>
              <w:suppressAutoHyphens/>
              <w:jc w:val="center"/>
              <w:rPr>
                <w:rFonts w:ascii="Arial" w:hAnsi="Arial" w:cs="Arial"/>
                <w:sz w:val="20"/>
                <w:szCs w:val="20"/>
              </w:rPr>
            </w:pPr>
            <w:r w:rsidRPr="00EA55F0">
              <w:rPr>
                <w:rFonts w:ascii="Arial" w:hAnsi="Arial" w:cs="Arial"/>
                <w:sz w:val="20"/>
                <w:szCs w:val="20"/>
              </w:rPr>
              <w:t>1</w:t>
            </w:r>
          </w:p>
        </w:tc>
        <w:tc>
          <w:tcPr>
            <w:tcW w:w="1433" w:type="dxa"/>
            <w:vAlign w:val="center"/>
          </w:tcPr>
          <w:p w:rsidR="00DB3323" w:rsidRPr="00EA55F0" w:rsidP="00EA55F0" w14:paraId="3427842F" w14:textId="0B04C4C8">
            <w:pPr>
              <w:suppressAutoHyphens/>
              <w:jc w:val="center"/>
              <w:rPr>
                <w:rFonts w:ascii="Arial" w:hAnsi="Arial" w:cs="Arial"/>
                <w:sz w:val="20"/>
                <w:szCs w:val="20"/>
              </w:rPr>
            </w:pPr>
            <w:r w:rsidRPr="00EA55F0">
              <w:rPr>
                <w:rFonts w:ascii="Arial" w:hAnsi="Arial" w:cs="Arial"/>
                <w:sz w:val="20"/>
                <w:szCs w:val="20"/>
              </w:rPr>
              <w:t>$</w:t>
            </w:r>
            <w:r w:rsidRPr="00EA55F0" w:rsidR="00EA55F0">
              <w:rPr>
                <w:rFonts w:ascii="Arial" w:hAnsi="Arial" w:cs="Arial"/>
                <w:sz w:val="20"/>
                <w:szCs w:val="20"/>
              </w:rPr>
              <w:t>20</w:t>
            </w:r>
            <w:r w:rsidRPr="00EA55F0">
              <w:rPr>
                <w:rFonts w:ascii="Arial" w:hAnsi="Arial" w:cs="Arial"/>
                <w:sz w:val="20"/>
                <w:szCs w:val="20"/>
              </w:rPr>
              <w:t>.00</w:t>
            </w:r>
          </w:p>
        </w:tc>
        <w:tc>
          <w:tcPr>
            <w:tcW w:w="1592" w:type="dxa"/>
            <w:vAlign w:val="center"/>
          </w:tcPr>
          <w:p w:rsidR="00DB3323" w:rsidRPr="00EA55F0" w:rsidP="00EA55F0" w14:paraId="6B06C31B" w14:textId="30B68BD3">
            <w:pPr>
              <w:suppressAutoHyphens/>
              <w:jc w:val="center"/>
              <w:rPr>
                <w:rFonts w:ascii="Arial" w:hAnsi="Arial" w:cs="Arial"/>
                <w:sz w:val="20"/>
                <w:szCs w:val="20"/>
              </w:rPr>
            </w:pPr>
            <w:r w:rsidRPr="00EA55F0">
              <w:rPr>
                <w:rFonts w:ascii="Arial" w:hAnsi="Arial" w:cs="Arial"/>
                <w:sz w:val="20"/>
                <w:szCs w:val="20"/>
              </w:rPr>
              <w:t>60</w:t>
            </w:r>
          </w:p>
        </w:tc>
        <w:tc>
          <w:tcPr>
            <w:tcW w:w="1729" w:type="dxa"/>
            <w:vAlign w:val="center"/>
          </w:tcPr>
          <w:p w:rsidR="00DB3323" w:rsidRPr="00EA55F0" w:rsidP="00EA55F0" w14:paraId="7D77E04F" w14:textId="089907A7">
            <w:pPr>
              <w:suppressAutoHyphens/>
              <w:jc w:val="center"/>
              <w:rPr>
                <w:rFonts w:ascii="Arial" w:hAnsi="Arial" w:cs="Arial"/>
                <w:sz w:val="20"/>
                <w:szCs w:val="20"/>
              </w:rPr>
            </w:pPr>
            <w:r w:rsidRPr="00EA55F0">
              <w:rPr>
                <w:rFonts w:ascii="Arial" w:hAnsi="Arial" w:cs="Arial"/>
                <w:sz w:val="20"/>
                <w:szCs w:val="20"/>
              </w:rPr>
              <w:t>$1,200.00</w:t>
            </w:r>
          </w:p>
        </w:tc>
      </w:tr>
    </w:tbl>
    <w:p w:rsidR="003F7561" w:rsidRPr="00EA55F0" w:rsidP="003F7561" w14:paraId="1638CE77" w14:textId="77777777">
      <w:pPr>
        <w:suppressAutoHyphens/>
        <w:rPr>
          <w:rFonts w:ascii="Arial" w:hAnsi="Arial" w:cs="Arial"/>
          <w:sz w:val="28"/>
          <w:szCs w:val="28"/>
        </w:rPr>
      </w:pPr>
    </w:p>
    <w:p w:rsidR="003F7561" w:rsidRPr="00EA55F0" w:rsidP="003F7561" w14:paraId="1C555B1D" w14:textId="77777777">
      <w:pPr>
        <w:suppressAutoHyphens/>
        <w:ind w:left="480" w:hanging="480"/>
        <w:rPr>
          <w:rFonts w:ascii="Arial" w:hAnsi="Arial" w:cs="Arial"/>
          <w:i/>
          <w:sz w:val="22"/>
          <w:szCs w:val="22"/>
        </w:rPr>
      </w:pPr>
      <w:r w:rsidRPr="00EA55F0">
        <w:rPr>
          <w:rFonts w:ascii="Arial" w:hAnsi="Arial" w:cs="Arial"/>
          <w:i/>
          <w:sz w:val="22"/>
          <w:szCs w:val="22"/>
        </w:rPr>
        <w:t xml:space="preserve">14.  What is the annualized cost to the Federal Government? </w:t>
      </w:r>
    </w:p>
    <w:p w:rsidR="003F7561" w:rsidRPr="00EA55F0" w:rsidP="003F7561" w14:paraId="11951DA3" w14:textId="77777777">
      <w:pPr>
        <w:suppressAutoHyphens/>
        <w:ind w:left="480" w:hanging="480"/>
        <w:rPr>
          <w:rFonts w:ascii="Arial" w:hAnsi="Arial" w:cs="Arial"/>
          <w:sz w:val="22"/>
          <w:szCs w:val="22"/>
        </w:rPr>
      </w:pPr>
    </w:p>
    <w:p w:rsidR="003F7561" w:rsidRPr="00E66CBC" w:rsidP="003F7561" w14:paraId="209EAF3D" w14:textId="18FC61F5">
      <w:pPr>
        <w:widowControl w:val="0"/>
        <w:autoSpaceDE w:val="0"/>
        <w:autoSpaceDN w:val="0"/>
        <w:adjustRightInd w:val="0"/>
        <w:ind w:left="360"/>
        <w:rPr>
          <w:rFonts w:ascii="Arial" w:hAnsi="Arial" w:cs="Arial"/>
          <w:sz w:val="22"/>
          <w:szCs w:val="22"/>
        </w:rPr>
      </w:pPr>
      <w:r w:rsidRPr="00E66CBC">
        <w:rPr>
          <w:rFonts w:ascii="Arial" w:hAnsi="Arial" w:cs="Arial"/>
          <w:sz w:val="22"/>
          <w:szCs w:val="22"/>
        </w:rPr>
        <w:t xml:space="preserve">TTB estimates its annual labor costs for this information collection as follows: </w:t>
      </w:r>
    </w:p>
    <w:p w:rsidR="003F7561" w:rsidRPr="00E66CBC" w:rsidP="003F7561" w14:paraId="02B57368"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885"/>
        <w:gridCol w:w="1710"/>
        <w:gridCol w:w="1260"/>
        <w:gridCol w:w="1350"/>
        <w:gridCol w:w="1080"/>
        <w:gridCol w:w="1355"/>
      </w:tblGrid>
      <w:tr w14:paraId="29416781" w14:textId="77777777" w:rsidTr="0054243D">
        <w:tblPrEx>
          <w:tblW w:w="8640" w:type="dxa"/>
          <w:jc w:val="center"/>
          <w:tblBorders>
            <w:insideH w:val="dotted" w:sz="4" w:space="0" w:color="auto"/>
          </w:tblBorders>
          <w:tblLayout w:type="fixed"/>
          <w:tblLook w:val="04A0"/>
        </w:tblPrEx>
        <w:trPr>
          <w:trHeight w:val="504"/>
          <w:jc w:val="center"/>
        </w:trPr>
        <w:tc>
          <w:tcPr>
            <w:tcW w:w="8640" w:type="dxa"/>
            <w:gridSpan w:val="6"/>
            <w:tcBorders>
              <w:top w:val="single" w:sz="4" w:space="0" w:color="auto"/>
              <w:bottom w:val="single" w:sz="4" w:space="0" w:color="auto"/>
            </w:tcBorders>
            <w:vAlign w:val="center"/>
          </w:tcPr>
          <w:p w:rsidR="003F7561" w:rsidRPr="00E66CBC" w:rsidP="00FF364E" w14:paraId="061911C2" w14:textId="77777777">
            <w:pPr>
              <w:suppressAutoHyphens/>
              <w:jc w:val="center"/>
              <w:rPr>
                <w:rFonts w:ascii="Arial" w:hAnsi="Arial" w:cs="Arial"/>
                <w:b/>
                <w:sz w:val="20"/>
                <w:szCs w:val="20"/>
              </w:rPr>
            </w:pPr>
            <w:r w:rsidRPr="00E66CBC">
              <w:rPr>
                <w:rFonts w:ascii="Arial" w:hAnsi="Arial" w:cs="Arial"/>
                <w:b/>
                <w:sz w:val="20"/>
                <w:szCs w:val="20"/>
              </w:rPr>
              <w:t xml:space="preserve">Labor Costs for TTB Laboratory Personnel (Washington, DC Pay Area) </w:t>
            </w:r>
          </w:p>
          <w:p w:rsidR="003F7561" w:rsidRPr="00E66CBC" w:rsidP="00FF364E" w14:paraId="0ACB0311" w14:textId="77777777">
            <w:pPr>
              <w:suppressAutoHyphens/>
              <w:jc w:val="center"/>
              <w:rPr>
                <w:rFonts w:ascii="Arial" w:hAnsi="Arial" w:cs="Arial"/>
                <w:b/>
                <w:sz w:val="20"/>
                <w:szCs w:val="20"/>
              </w:rPr>
            </w:pPr>
            <w:r w:rsidRPr="00E66CBC">
              <w:rPr>
                <w:rFonts w:ascii="Arial" w:hAnsi="Arial" w:cs="Arial"/>
                <w:b/>
                <w:sz w:val="20"/>
                <w:szCs w:val="20"/>
              </w:rPr>
              <w:t>for OMB No. 1513–0021</w:t>
            </w:r>
            <w:r w:rsidRPr="00E66CBC">
              <w:rPr>
                <w:rFonts w:ascii="Arial" w:hAnsi="Arial" w:cs="Arial"/>
                <w:b/>
                <w:sz w:val="22"/>
                <w:szCs w:val="22"/>
              </w:rPr>
              <w:t>*</w:t>
            </w:r>
          </w:p>
        </w:tc>
      </w:tr>
      <w:tr w14:paraId="20FBA08E" w14:textId="77777777" w:rsidTr="0054243D">
        <w:tblPrEx>
          <w:tblW w:w="8640" w:type="dxa"/>
          <w:jc w:val="center"/>
          <w:tblLayout w:type="fixed"/>
          <w:tblLook w:val="04A0"/>
        </w:tblPrEx>
        <w:trPr>
          <w:trHeight w:val="504"/>
          <w:jc w:val="center"/>
        </w:trPr>
        <w:tc>
          <w:tcPr>
            <w:tcW w:w="1885" w:type="dxa"/>
            <w:tcBorders>
              <w:top w:val="single" w:sz="4" w:space="0" w:color="auto"/>
              <w:left w:val="single" w:sz="4" w:space="0" w:color="auto"/>
              <w:bottom w:val="single" w:sz="4" w:space="0" w:color="auto"/>
              <w:right w:val="single" w:sz="2" w:space="0" w:color="auto"/>
            </w:tcBorders>
            <w:vAlign w:val="center"/>
          </w:tcPr>
          <w:p w:rsidR="003F7561" w:rsidRPr="00E66CBC" w:rsidP="00FF364E" w14:paraId="4D2C7D42" w14:textId="77777777">
            <w:pPr>
              <w:suppressAutoHyphens/>
              <w:jc w:val="center"/>
              <w:rPr>
                <w:rFonts w:ascii="Arial" w:hAnsi="Arial" w:cs="Arial"/>
                <w:sz w:val="20"/>
                <w:szCs w:val="20"/>
              </w:rPr>
            </w:pPr>
            <w:r w:rsidRPr="00E66CBC">
              <w:rPr>
                <w:rFonts w:ascii="Arial" w:hAnsi="Arial" w:cs="Arial"/>
                <w:sz w:val="20"/>
                <w:szCs w:val="20"/>
              </w:rPr>
              <w:t xml:space="preserve">Position </w:t>
            </w:r>
          </w:p>
        </w:tc>
        <w:tc>
          <w:tcPr>
            <w:tcW w:w="171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F7561" w:rsidRPr="00E66CBC" w:rsidP="00FF364E" w14:paraId="3ECE252B" w14:textId="77777777">
            <w:pPr>
              <w:suppressAutoHyphens/>
              <w:jc w:val="center"/>
              <w:rPr>
                <w:rFonts w:ascii="Arial" w:hAnsi="Arial" w:cs="Arial"/>
                <w:sz w:val="20"/>
                <w:szCs w:val="20"/>
              </w:rPr>
            </w:pPr>
            <w:r w:rsidRPr="00E66CBC">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F7561" w:rsidRPr="00E66CBC" w:rsidP="00FF364E" w14:paraId="0574B472" w14:textId="77777777">
            <w:pPr>
              <w:suppressAutoHyphens/>
              <w:jc w:val="center"/>
              <w:rPr>
                <w:rFonts w:ascii="Arial" w:hAnsi="Arial" w:cs="Arial"/>
                <w:sz w:val="20"/>
                <w:szCs w:val="20"/>
              </w:rPr>
            </w:pPr>
            <w:r w:rsidRPr="00E66CBC">
              <w:rPr>
                <w:rFonts w:ascii="Arial" w:hAnsi="Arial" w:cs="Arial"/>
                <w:sz w:val="20"/>
                <w:szCs w:val="20"/>
              </w:rPr>
              <w:t>Processing Time per Response</w:t>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F7561" w:rsidRPr="00E66CBC" w:rsidP="00FF364E" w14:paraId="693B3A60" w14:textId="77777777">
            <w:pPr>
              <w:suppressAutoHyphens/>
              <w:jc w:val="center"/>
              <w:rPr>
                <w:rFonts w:ascii="Arial" w:hAnsi="Arial" w:cs="Arial"/>
                <w:sz w:val="20"/>
                <w:szCs w:val="20"/>
              </w:rPr>
            </w:pPr>
            <w:r w:rsidRPr="00E66CBC">
              <w:rPr>
                <w:rFonts w:ascii="Arial" w:hAnsi="Arial" w:cs="Arial"/>
                <w:sz w:val="20"/>
                <w:szCs w:val="20"/>
              </w:rPr>
              <w:t>Labor Costs per Response</w:t>
            </w:r>
          </w:p>
        </w:tc>
        <w:tc>
          <w:tcPr>
            <w:tcW w:w="108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F7561" w:rsidRPr="00E66CBC" w:rsidP="00FF364E" w14:paraId="203B6139" w14:textId="77777777">
            <w:pPr>
              <w:suppressAutoHyphens/>
              <w:jc w:val="center"/>
              <w:rPr>
                <w:rFonts w:ascii="Arial" w:hAnsi="Arial" w:cs="Arial"/>
                <w:sz w:val="20"/>
                <w:szCs w:val="20"/>
              </w:rPr>
            </w:pPr>
            <w:r w:rsidRPr="00E66CBC">
              <w:rPr>
                <w:rFonts w:ascii="Arial" w:hAnsi="Arial" w:cs="Arial"/>
                <w:sz w:val="20"/>
                <w:szCs w:val="20"/>
              </w:rPr>
              <w:t>Total Responses</w:t>
            </w:r>
          </w:p>
        </w:tc>
        <w:tc>
          <w:tcPr>
            <w:tcW w:w="1355"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3F7561" w:rsidRPr="00E66CBC" w:rsidP="00FF364E" w14:paraId="210D9436" w14:textId="77777777">
            <w:pPr>
              <w:suppressAutoHyphens/>
              <w:jc w:val="center"/>
              <w:rPr>
                <w:rFonts w:ascii="Arial" w:hAnsi="Arial" w:cs="Arial"/>
                <w:sz w:val="20"/>
                <w:szCs w:val="20"/>
              </w:rPr>
            </w:pPr>
            <w:r w:rsidRPr="00E66CBC">
              <w:rPr>
                <w:rFonts w:ascii="Arial" w:hAnsi="Arial" w:cs="Arial"/>
                <w:sz w:val="20"/>
                <w:szCs w:val="20"/>
              </w:rPr>
              <w:t>Total TTB Labor Costs</w:t>
            </w:r>
          </w:p>
        </w:tc>
      </w:tr>
      <w:tr w14:paraId="72444410" w14:textId="77777777" w:rsidTr="0054243D">
        <w:tblPrEx>
          <w:tblW w:w="8640" w:type="dxa"/>
          <w:jc w:val="center"/>
          <w:tblLayout w:type="fixed"/>
          <w:tblLook w:val="04A0"/>
        </w:tblPrEx>
        <w:trPr>
          <w:trHeight w:val="504"/>
          <w:jc w:val="center"/>
        </w:trPr>
        <w:tc>
          <w:tcPr>
            <w:tcW w:w="1885" w:type="dxa"/>
            <w:tcBorders>
              <w:top w:val="single" w:sz="4" w:space="0" w:color="auto"/>
              <w:bottom w:val="single" w:sz="4" w:space="0" w:color="auto"/>
            </w:tcBorders>
            <w:vAlign w:val="center"/>
          </w:tcPr>
          <w:p w:rsidR="00C5167B" w:rsidRPr="00E66CBC" w:rsidP="00FF364E" w14:paraId="704B1F41" w14:textId="77777777">
            <w:pPr>
              <w:suppressAutoHyphens/>
              <w:jc w:val="center"/>
              <w:rPr>
                <w:rFonts w:ascii="Arial" w:hAnsi="Arial" w:cs="Arial"/>
                <w:sz w:val="20"/>
                <w:szCs w:val="20"/>
              </w:rPr>
            </w:pPr>
            <w:r w:rsidRPr="00E66CBC">
              <w:rPr>
                <w:rFonts w:ascii="Arial" w:hAnsi="Arial" w:cs="Arial"/>
                <w:sz w:val="20"/>
                <w:szCs w:val="20"/>
              </w:rPr>
              <w:t xml:space="preserve">GS–9, Step 5 Legal Instrument Examiner </w:t>
            </w:r>
          </w:p>
        </w:tc>
        <w:tc>
          <w:tcPr>
            <w:tcW w:w="1710" w:type="dxa"/>
            <w:tcBorders>
              <w:top w:val="single" w:sz="4" w:space="0" w:color="auto"/>
              <w:bottom w:val="single" w:sz="4" w:space="0" w:color="auto"/>
            </w:tcBorders>
            <w:tcMar>
              <w:left w:w="29" w:type="dxa"/>
              <w:right w:w="29" w:type="dxa"/>
            </w:tcMar>
            <w:vAlign w:val="center"/>
          </w:tcPr>
          <w:p w:rsidR="00C5167B" w:rsidRPr="00E66CBC" w:rsidP="00FF364E" w14:paraId="0CFAFF3F" w14:textId="0CDFBE62">
            <w:pPr>
              <w:suppressAutoHyphens/>
              <w:jc w:val="center"/>
              <w:rPr>
                <w:rFonts w:ascii="Arial" w:hAnsi="Arial" w:cs="Arial"/>
                <w:sz w:val="20"/>
                <w:szCs w:val="20"/>
              </w:rPr>
            </w:pPr>
            <w:r w:rsidRPr="00E66CBC">
              <w:rPr>
                <w:rFonts w:ascii="Arial" w:hAnsi="Arial" w:cs="Arial"/>
                <w:sz w:val="20"/>
                <w:szCs w:val="20"/>
              </w:rPr>
              <w:t>$62.51</w:t>
            </w:r>
          </w:p>
        </w:tc>
        <w:tc>
          <w:tcPr>
            <w:tcW w:w="1260" w:type="dxa"/>
            <w:tcBorders>
              <w:top w:val="single" w:sz="4" w:space="0" w:color="auto"/>
              <w:bottom w:val="single" w:sz="4" w:space="0" w:color="auto"/>
            </w:tcBorders>
            <w:tcMar>
              <w:left w:w="29" w:type="dxa"/>
              <w:right w:w="29" w:type="dxa"/>
            </w:tcMar>
            <w:vAlign w:val="center"/>
          </w:tcPr>
          <w:p w:rsidR="00C5167B" w:rsidRPr="00E66CBC" w:rsidP="00C5167B" w14:paraId="141EC677" w14:textId="2781DAF2">
            <w:pPr>
              <w:suppressAutoHyphens/>
              <w:jc w:val="center"/>
              <w:rPr>
                <w:rFonts w:ascii="Arial" w:hAnsi="Arial" w:cs="Arial"/>
                <w:sz w:val="20"/>
                <w:szCs w:val="20"/>
              </w:rPr>
            </w:pPr>
            <w:r w:rsidRPr="00E66CBC">
              <w:rPr>
                <w:rFonts w:ascii="Arial" w:hAnsi="Arial" w:cs="Arial"/>
                <w:sz w:val="20"/>
                <w:szCs w:val="20"/>
              </w:rPr>
              <w:t>0.2 hour</w:t>
            </w:r>
          </w:p>
        </w:tc>
        <w:tc>
          <w:tcPr>
            <w:tcW w:w="1350" w:type="dxa"/>
            <w:tcBorders>
              <w:top w:val="single" w:sz="4" w:space="0" w:color="auto"/>
              <w:bottom w:val="single" w:sz="4" w:space="0" w:color="auto"/>
            </w:tcBorders>
            <w:tcMar>
              <w:left w:w="29" w:type="dxa"/>
              <w:right w:w="29" w:type="dxa"/>
            </w:tcMar>
            <w:vAlign w:val="center"/>
          </w:tcPr>
          <w:p w:rsidR="00C5167B" w:rsidRPr="00E66CBC" w:rsidP="00FF364E" w14:paraId="7BB08E01" w14:textId="55C750B6">
            <w:pPr>
              <w:suppressAutoHyphens/>
              <w:jc w:val="center"/>
              <w:rPr>
                <w:rFonts w:ascii="Arial" w:hAnsi="Arial" w:cs="Arial"/>
                <w:sz w:val="20"/>
                <w:szCs w:val="20"/>
              </w:rPr>
            </w:pPr>
            <w:r w:rsidRPr="00E66CBC">
              <w:rPr>
                <w:rFonts w:ascii="Arial" w:hAnsi="Arial" w:cs="Arial"/>
                <w:sz w:val="20"/>
                <w:szCs w:val="20"/>
              </w:rPr>
              <w:t>$12.50</w:t>
            </w:r>
          </w:p>
        </w:tc>
        <w:tc>
          <w:tcPr>
            <w:tcW w:w="1080" w:type="dxa"/>
            <w:vMerge w:val="restart"/>
            <w:tcBorders>
              <w:top w:val="single" w:sz="4" w:space="0" w:color="auto"/>
            </w:tcBorders>
            <w:tcMar>
              <w:left w:w="29" w:type="dxa"/>
              <w:right w:w="29" w:type="dxa"/>
            </w:tcMar>
            <w:vAlign w:val="center"/>
          </w:tcPr>
          <w:p w:rsidR="00C5167B" w:rsidRPr="00E66CBC" w:rsidP="00FF364E" w14:paraId="3F44C735" w14:textId="29D7D821">
            <w:pPr>
              <w:suppressAutoHyphens/>
              <w:jc w:val="center"/>
              <w:rPr>
                <w:rFonts w:ascii="Arial" w:hAnsi="Arial" w:cs="Arial"/>
                <w:sz w:val="20"/>
                <w:szCs w:val="20"/>
              </w:rPr>
            </w:pPr>
            <w:r w:rsidRPr="00E66CBC">
              <w:rPr>
                <w:rFonts w:ascii="Arial" w:hAnsi="Arial" w:cs="Arial"/>
                <w:sz w:val="20"/>
                <w:szCs w:val="20"/>
              </w:rPr>
              <w:t>60</w:t>
            </w:r>
          </w:p>
        </w:tc>
        <w:tc>
          <w:tcPr>
            <w:tcW w:w="1355" w:type="dxa"/>
            <w:tcBorders>
              <w:top w:val="single" w:sz="4" w:space="0" w:color="auto"/>
              <w:bottom w:val="single" w:sz="4" w:space="0" w:color="auto"/>
            </w:tcBorders>
            <w:tcMar>
              <w:left w:w="29" w:type="dxa"/>
              <w:right w:w="29" w:type="dxa"/>
            </w:tcMar>
            <w:vAlign w:val="center"/>
          </w:tcPr>
          <w:p w:rsidR="00C5167B" w:rsidRPr="00E66CBC" w:rsidP="00FF364E" w14:paraId="4C9B060F" w14:textId="358B0BF6">
            <w:pPr>
              <w:suppressAutoHyphens/>
              <w:jc w:val="center"/>
              <w:rPr>
                <w:rFonts w:ascii="Arial" w:hAnsi="Arial" w:cs="Arial"/>
                <w:sz w:val="20"/>
                <w:szCs w:val="20"/>
              </w:rPr>
            </w:pPr>
            <w:r w:rsidRPr="00E66CBC">
              <w:rPr>
                <w:rFonts w:ascii="Arial" w:hAnsi="Arial" w:cs="Arial"/>
                <w:sz w:val="20"/>
                <w:szCs w:val="20"/>
              </w:rPr>
              <w:t>$750.00</w:t>
            </w:r>
          </w:p>
        </w:tc>
      </w:tr>
      <w:tr w14:paraId="774E13B0" w14:textId="77777777" w:rsidTr="0054243D">
        <w:tblPrEx>
          <w:tblW w:w="8640" w:type="dxa"/>
          <w:jc w:val="center"/>
          <w:tblLayout w:type="fixed"/>
          <w:tblLook w:val="04A0"/>
        </w:tblPrEx>
        <w:trPr>
          <w:trHeight w:val="504"/>
          <w:jc w:val="center"/>
        </w:trPr>
        <w:tc>
          <w:tcPr>
            <w:tcW w:w="1885" w:type="dxa"/>
            <w:tcBorders>
              <w:top w:val="single" w:sz="4" w:space="0" w:color="auto"/>
              <w:bottom w:val="single" w:sz="4" w:space="0" w:color="auto"/>
            </w:tcBorders>
            <w:vAlign w:val="center"/>
          </w:tcPr>
          <w:p w:rsidR="00C5167B" w:rsidRPr="00E66CBC" w:rsidP="00D11374" w14:paraId="3FF4191E" w14:textId="47273716">
            <w:pPr>
              <w:suppressAutoHyphens/>
              <w:jc w:val="center"/>
              <w:rPr>
                <w:rFonts w:ascii="Arial" w:hAnsi="Arial" w:cs="Arial"/>
                <w:sz w:val="20"/>
                <w:szCs w:val="20"/>
              </w:rPr>
            </w:pPr>
            <w:r w:rsidRPr="00E66CBC">
              <w:rPr>
                <w:rFonts w:ascii="Arial" w:hAnsi="Arial" w:cs="Arial"/>
                <w:sz w:val="20"/>
                <w:szCs w:val="20"/>
              </w:rPr>
              <w:t xml:space="preserve">GS–13 </w:t>
            </w:r>
            <w:r w:rsidRPr="00E66CBC" w:rsidR="008F5C4B">
              <w:rPr>
                <w:rFonts w:ascii="Arial" w:hAnsi="Arial" w:cs="Arial"/>
                <w:sz w:val="20"/>
                <w:szCs w:val="20"/>
              </w:rPr>
              <w:t xml:space="preserve">Chemist </w:t>
            </w:r>
          </w:p>
        </w:tc>
        <w:tc>
          <w:tcPr>
            <w:tcW w:w="1710" w:type="dxa"/>
            <w:tcBorders>
              <w:top w:val="single" w:sz="4" w:space="0" w:color="auto"/>
              <w:bottom w:val="single" w:sz="4" w:space="0" w:color="auto"/>
            </w:tcBorders>
            <w:tcMar>
              <w:left w:w="29" w:type="dxa"/>
              <w:right w:w="29" w:type="dxa"/>
            </w:tcMar>
            <w:vAlign w:val="center"/>
          </w:tcPr>
          <w:p w:rsidR="00C5167B" w:rsidRPr="00E66CBC" w:rsidP="00FF364E" w14:paraId="12745EC1" w14:textId="2AD31DE2">
            <w:pPr>
              <w:suppressAutoHyphens/>
              <w:jc w:val="center"/>
              <w:rPr>
                <w:rFonts w:ascii="Arial" w:hAnsi="Arial" w:cs="Arial"/>
                <w:sz w:val="20"/>
                <w:szCs w:val="20"/>
              </w:rPr>
            </w:pPr>
            <w:r w:rsidRPr="00E66CBC">
              <w:rPr>
                <w:rFonts w:ascii="Arial" w:hAnsi="Arial" w:cs="Arial"/>
                <w:sz w:val="20"/>
                <w:szCs w:val="20"/>
              </w:rPr>
              <w:t>$107.81</w:t>
            </w:r>
          </w:p>
        </w:tc>
        <w:tc>
          <w:tcPr>
            <w:tcW w:w="1260" w:type="dxa"/>
            <w:tcBorders>
              <w:top w:val="single" w:sz="4" w:space="0" w:color="auto"/>
              <w:bottom w:val="single" w:sz="4" w:space="0" w:color="auto"/>
            </w:tcBorders>
            <w:tcMar>
              <w:left w:w="29" w:type="dxa"/>
              <w:right w:w="29" w:type="dxa"/>
            </w:tcMar>
            <w:vAlign w:val="center"/>
          </w:tcPr>
          <w:p w:rsidR="00C5167B" w:rsidRPr="00E66CBC" w:rsidP="00C5167B" w14:paraId="1563D733" w14:textId="799FE93E">
            <w:pPr>
              <w:suppressAutoHyphens/>
              <w:jc w:val="center"/>
              <w:rPr>
                <w:rFonts w:ascii="Arial" w:hAnsi="Arial" w:cs="Arial"/>
                <w:sz w:val="20"/>
                <w:szCs w:val="20"/>
              </w:rPr>
            </w:pPr>
            <w:r w:rsidRPr="00E66CBC">
              <w:rPr>
                <w:rFonts w:ascii="Arial" w:hAnsi="Arial" w:cs="Arial"/>
                <w:sz w:val="20"/>
                <w:szCs w:val="20"/>
              </w:rPr>
              <w:t>3.2 hours</w:t>
            </w:r>
          </w:p>
        </w:tc>
        <w:tc>
          <w:tcPr>
            <w:tcW w:w="1350" w:type="dxa"/>
            <w:tcBorders>
              <w:top w:val="single" w:sz="4" w:space="0" w:color="auto"/>
              <w:bottom w:val="single" w:sz="4" w:space="0" w:color="auto"/>
            </w:tcBorders>
            <w:tcMar>
              <w:left w:w="29" w:type="dxa"/>
              <w:right w:w="29" w:type="dxa"/>
            </w:tcMar>
            <w:vAlign w:val="center"/>
          </w:tcPr>
          <w:p w:rsidR="00C5167B" w:rsidRPr="00E66CBC" w:rsidP="00FF364E" w14:paraId="32438523" w14:textId="1F8451C4">
            <w:pPr>
              <w:suppressAutoHyphens/>
              <w:jc w:val="center"/>
              <w:rPr>
                <w:rFonts w:ascii="Arial" w:hAnsi="Arial" w:cs="Arial"/>
                <w:sz w:val="20"/>
                <w:szCs w:val="20"/>
              </w:rPr>
            </w:pPr>
            <w:r w:rsidRPr="00E66CBC">
              <w:rPr>
                <w:rFonts w:ascii="Arial" w:hAnsi="Arial" w:cs="Arial"/>
                <w:sz w:val="20"/>
                <w:szCs w:val="20"/>
              </w:rPr>
              <w:t>$344.99</w:t>
            </w:r>
          </w:p>
        </w:tc>
        <w:tc>
          <w:tcPr>
            <w:tcW w:w="1080" w:type="dxa"/>
            <w:vMerge/>
            <w:tcMar>
              <w:left w:w="29" w:type="dxa"/>
              <w:right w:w="29" w:type="dxa"/>
            </w:tcMar>
            <w:vAlign w:val="center"/>
          </w:tcPr>
          <w:p w:rsidR="00C5167B" w:rsidRPr="00E66CBC" w:rsidP="00FF364E" w14:paraId="63575FBD" w14:textId="77777777">
            <w:pPr>
              <w:suppressAutoHyphens/>
              <w:jc w:val="center"/>
              <w:rPr>
                <w:rFonts w:ascii="Arial" w:hAnsi="Arial" w:cs="Arial"/>
                <w:sz w:val="20"/>
                <w:szCs w:val="20"/>
              </w:rPr>
            </w:pPr>
          </w:p>
        </w:tc>
        <w:tc>
          <w:tcPr>
            <w:tcW w:w="1355" w:type="dxa"/>
            <w:tcBorders>
              <w:top w:val="single" w:sz="4" w:space="0" w:color="auto"/>
              <w:bottom w:val="single" w:sz="4" w:space="0" w:color="auto"/>
            </w:tcBorders>
            <w:tcMar>
              <w:left w:w="29" w:type="dxa"/>
              <w:right w:w="29" w:type="dxa"/>
            </w:tcMar>
            <w:vAlign w:val="center"/>
          </w:tcPr>
          <w:p w:rsidR="00C5167B" w:rsidRPr="00E66CBC" w:rsidP="00FF364E" w14:paraId="2A00AF33" w14:textId="00FD1F1E">
            <w:pPr>
              <w:suppressAutoHyphens/>
              <w:jc w:val="center"/>
              <w:rPr>
                <w:rFonts w:ascii="Arial" w:hAnsi="Arial" w:cs="Arial"/>
                <w:sz w:val="20"/>
                <w:szCs w:val="20"/>
              </w:rPr>
            </w:pPr>
            <w:r w:rsidRPr="00E66CBC">
              <w:rPr>
                <w:rFonts w:ascii="Arial" w:hAnsi="Arial" w:cs="Arial"/>
                <w:sz w:val="20"/>
                <w:szCs w:val="20"/>
              </w:rPr>
              <w:t>$20,699.40</w:t>
            </w:r>
          </w:p>
        </w:tc>
      </w:tr>
      <w:tr w14:paraId="54F6359A" w14:textId="77777777" w:rsidTr="0054243D">
        <w:tblPrEx>
          <w:tblW w:w="8640" w:type="dxa"/>
          <w:jc w:val="center"/>
          <w:tblLayout w:type="fixed"/>
          <w:tblLook w:val="04A0"/>
        </w:tblPrEx>
        <w:trPr>
          <w:trHeight w:val="504"/>
          <w:jc w:val="center"/>
        </w:trPr>
        <w:tc>
          <w:tcPr>
            <w:tcW w:w="1885" w:type="dxa"/>
            <w:tcBorders>
              <w:top w:val="single" w:sz="4" w:space="0" w:color="auto"/>
              <w:bottom w:val="single" w:sz="12" w:space="0" w:color="auto"/>
            </w:tcBorders>
            <w:vAlign w:val="center"/>
          </w:tcPr>
          <w:p w:rsidR="00C5167B" w:rsidRPr="00E66CBC" w:rsidP="00FF364E" w14:paraId="27F44AE2" w14:textId="00F5ECB2">
            <w:pPr>
              <w:suppressAutoHyphens/>
              <w:jc w:val="center"/>
              <w:rPr>
                <w:rFonts w:ascii="Arial" w:hAnsi="Arial" w:cs="Arial"/>
                <w:sz w:val="20"/>
                <w:szCs w:val="20"/>
              </w:rPr>
            </w:pPr>
            <w:r w:rsidRPr="00E66CBC">
              <w:rPr>
                <w:rFonts w:ascii="Arial" w:hAnsi="Arial" w:cs="Arial"/>
                <w:sz w:val="20"/>
                <w:szCs w:val="20"/>
              </w:rPr>
              <w:t>GS–15 Deputy Director</w:t>
            </w:r>
          </w:p>
        </w:tc>
        <w:tc>
          <w:tcPr>
            <w:tcW w:w="1710" w:type="dxa"/>
            <w:tcBorders>
              <w:top w:val="single" w:sz="4" w:space="0" w:color="auto"/>
              <w:bottom w:val="single" w:sz="12" w:space="0" w:color="auto"/>
            </w:tcBorders>
            <w:tcMar>
              <w:left w:w="29" w:type="dxa"/>
              <w:right w:w="29" w:type="dxa"/>
            </w:tcMar>
            <w:vAlign w:val="center"/>
          </w:tcPr>
          <w:p w:rsidR="00C5167B" w:rsidRPr="00E66CBC" w:rsidP="00FF364E" w14:paraId="61E98E66" w14:textId="34CFD7B2">
            <w:pPr>
              <w:suppressAutoHyphens/>
              <w:jc w:val="center"/>
              <w:rPr>
                <w:rFonts w:ascii="Arial" w:hAnsi="Arial" w:cs="Arial"/>
                <w:sz w:val="20"/>
                <w:szCs w:val="20"/>
              </w:rPr>
            </w:pPr>
            <w:r w:rsidRPr="00E66CBC">
              <w:rPr>
                <w:rFonts w:ascii="Arial" w:hAnsi="Arial" w:cs="Arial"/>
                <w:sz w:val="20"/>
                <w:szCs w:val="20"/>
              </w:rPr>
              <w:t>$149.85</w:t>
            </w:r>
          </w:p>
        </w:tc>
        <w:tc>
          <w:tcPr>
            <w:tcW w:w="1260" w:type="dxa"/>
            <w:tcBorders>
              <w:top w:val="single" w:sz="4" w:space="0" w:color="auto"/>
              <w:bottom w:val="single" w:sz="12" w:space="0" w:color="auto"/>
            </w:tcBorders>
            <w:tcMar>
              <w:left w:w="29" w:type="dxa"/>
              <w:right w:w="29" w:type="dxa"/>
            </w:tcMar>
            <w:vAlign w:val="center"/>
          </w:tcPr>
          <w:p w:rsidR="00C5167B" w:rsidRPr="00E66CBC" w:rsidP="00FF364E" w14:paraId="5808D823" w14:textId="4C3BA6B7">
            <w:pPr>
              <w:suppressAutoHyphens/>
              <w:jc w:val="center"/>
              <w:rPr>
                <w:rFonts w:ascii="Arial" w:hAnsi="Arial" w:cs="Arial"/>
                <w:sz w:val="20"/>
                <w:szCs w:val="20"/>
              </w:rPr>
            </w:pPr>
            <w:r w:rsidRPr="00E66CBC">
              <w:rPr>
                <w:rFonts w:ascii="Arial" w:hAnsi="Arial" w:cs="Arial"/>
                <w:sz w:val="20"/>
                <w:szCs w:val="20"/>
              </w:rPr>
              <w:t>0.1 hour</w:t>
            </w:r>
          </w:p>
        </w:tc>
        <w:tc>
          <w:tcPr>
            <w:tcW w:w="1350" w:type="dxa"/>
            <w:tcBorders>
              <w:top w:val="single" w:sz="4" w:space="0" w:color="auto"/>
              <w:bottom w:val="single" w:sz="12" w:space="0" w:color="auto"/>
            </w:tcBorders>
            <w:tcMar>
              <w:left w:w="29" w:type="dxa"/>
              <w:right w:w="29" w:type="dxa"/>
            </w:tcMar>
            <w:vAlign w:val="center"/>
          </w:tcPr>
          <w:p w:rsidR="00C5167B" w:rsidRPr="00E66CBC" w:rsidP="00FF364E" w14:paraId="6658A4EF" w14:textId="2FB62C3C">
            <w:pPr>
              <w:suppressAutoHyphens/>
              <w:jc w:val="center"/>
              <w:rPr>
                <w:rFonts w:ascii="Arial" w:hAnsi="Arial" w:cs="Arial"/>
                <w:sz w:val="20"/>
                <w:szCs w:val="20"/>
              </w:rPr>
            </w:pPr>
            <w:r w:rsidRPr="00E66CBC">
              <w:rPr>
                <w:rFonts w:ascii="Arial" w:hAnsi="Arial" w:cs="Arial"/>
                <w:sz w:val="20"/>
                <w:szCs w:val="20"/>
              </w:rPr>
              <w:t>$14.99</w:t>
            </w:r>
          </w:p>
        </w:tc>
        <w:tc>
          <w:tcPr>
            <w:tcW w:w="1080" w:type="dxa"/>
            <w:vMerge/>
            <w:tcBorders>
              <w:bottom w:val="single" w:sz="12" w:space="0" w:color="auto"/>
            </w:tcBorders>
            <w:tcMar>
              <w:left w:w="29" w:type="dxa"/>
              <w:right w:w="29" w:type="dxa"/>
            </w:tcMar>
            <w:vAlign w:val="center"/>
          </w:tcPr>
          <w:p w:rsidR="00C5167B" w:rsidRPr="00E66CBC" w:rsidP="00FF364E" w14:paraId="71BC4614" w14:textId="77777777">
            <w:pPr>
              <w:suppressAutoHyphens/>
              <w:jc w:val="center"/>
              <w:rPr>
                <w:rFonts w:ascii="Arial" w:hAnsi="Arial" w:cs="Arial"/>
                <w:sz w:val="20"/>
                <w:szCs w:val="20"/>
              </w:rPr>
            </w:pPr>
          </w:p>
        </w:tc>
        <w:tc>
          <w:tcPr>
            <w:tcW w:w="1355" w:type="dxa"/>
            <w:tcBorders>
              <w:top w:val="single" w:sz="4" w:space="0" w:color="auto"/>
              <w:bottom w:val="single" w:sz="12" w:space="0" w:color="auto"/>
            </w:tcBorders>
            <w:tcMar>
              <w:left w:w="29" w:type="dxa"/>
              <w:right w:w="29" w:type="dxa"/>
            </w:tcMar>
            <w:vAlign w:val="center"/>
          </w:tcPr>
          <w:p w:rsidR="00C5167B" w:rsidRPr="00E66CBC" w:rsidP="00FF364E" w14:paraId="5ED964A0" w14:textId="3F57AFF1">
            <w:pPr>
              <w:suppressAutoHyphens/>
              <w:jc w:val="center"/>
              <w:rPr>
                <w:rFonts w:ascii="Arial" w:hAnsi="Arial" w:cs="Arial"/>
                <w:sz w:val="20"/>
                <w:szCs w:val="20"/>
              </w:rPr>
            </w:pPr>
            <w:r w:rsidRPr="00E66CBC">
              <w:rPr>
                <w:rFonts w:ascii="Arial" w:hAnsi="Arial" w:cs="Arial"/>
                <w:sz w:val="20"/>
                <w:szCs w:val="20"/>
              </w:rPr>
              <w:t>$899.40</w:t>
            </w:r>
          </w:p>
        </w:tc>
      </w:tr>
      <w:tr w14:paraId="56FFCFA3" w14:textId="77777777" w:rsidTr="0054243D">
        <w:tblPrEx>
          <w:tblW w:w="8640" w:type="dxa"/>
          <w:jc w:val="center"/>
          <w:tblLayout w:type="fixed"/>
          <w:tblLook w:val="04A0"/>
        </w:tblPrEx>
        <w:trPr>
          <w:trHeight w:val="504"/>
          <w:jc w:val="center"/>
        </w:trPr>
        <w:tc>
          <w:tcPr>
            <w:tcW w:w="1885" w:type="dxa"/>
            <w:tcBorders>
              <w:top w:val="single" w:sz="12" w:space="0" w:color="auto"/>
              <w:left w:val="single" w:sz="2" w:space="0" w:color="auto"/>
              <w:bottom w:val="single" w:sz="2" w:space="0" w:color="auto"/>
              <w:right w:val="single" w:sz="2" w:space="0" w:color="auto"/>
            </w:tcBorders>
            <w:vAlign w:val="center"/>
          </w:tcPr>
          <w:p w:rsidR="003F7561" w:rsidRPr="00E66CBC" w:rsidP="00FF364E" w14:paraId="095630D1" w14:textId="77777777">
            <w:pPr>
              <w:suppressAutoHyphens/>
              <w:jc w:val="center"/>
              <w:rPr>
                <w:rFonts w:ascii="Arial" w:hAnsi="Arial" w:cs="Arial"/>
                <w:b/>
                <w:bCs/>
                <w:sz w:val="20"/>
                <w:szCs w:val="20"/>
              </w:rPr>
            </w:pPr>
            <w:r w:rsidRPr="00E66CBC">
              <w:rPr>
                <w:rFonts w:ascii="Arial" w:hAnsi="Arial" w:cs="Arial"/>
                <w:b/>
                <w:bCs/>
                <w:sz w:val="20"/>
                <w:szCs w:val="20"/>
              </w:rPr>
              <w:t xml:space="preserve">TOTALS </w:t>
            </w:r>
          </w:p>
        </w:tc>
        <w:tc>
          <w:tcPr>
            <w:tcW w:w="1710" w:type="dxa"/>
            <w:tcBorders>
              <w:top w:val="single" w:sz="12" w:space="0" w:color="auto"/>
              <w:left w:val="single" w:sz="2" w:space="0" w:color="auto"/>
              <w:bottom w:val="single" w:sz="2" w:space="0" w:color="auto"/>
              <w:right w:val="single" w:sz="2" w:space="0" w:color="auto"/>
            </w:tcBorders>
            <w:tcMar>
              <w:left w:w="29" w:type="dxa"/>
              <w:right w:w="29" w:type="dxa"/>
            </w:tcMar>
            <w:vAlign w:val="center"/>
          </w:tcPr>
          <w:p w:rsidR="003F7561" w:rsidRPr="00E66CBC" w:rsidP="0054243D" w14:paraId="4A9B685D" w14:textId="27699C91">
            <w:pPr>
              <w:suppressAutoHyphens/>
              <w:jc w:val="center"/>
              <w:rPr>
                <w:rFonts w:ascii="Arial" w:hAnsi="Arial" w:cs="Arial"/>
                <w:b/>
                <w:bCs/>
                <w:sz w:val="20"/>
                <w:szCs w:val="20"/>
              </w:rPr>
            </w:pPr>
            <w:r w:rsidRPr="00E66CBC">
              <w:rPr>
                <w:rFonts w:ascii="Arial" w:hAnsi="Arial" w:cs="Arial"/>
                <w:b/>
                <w:bCs/>
                <w:sz w:val="20"/>
                <w:szCs w:val="20"/>
              </w:rPr>
              <w:t>($106.42285)</w:t>
            </w:r>
          </w:p>
        </w:tc>
        <w:tc>
          <w:tcPr>
            <w:tcW w:w="1260" w:type="dxa"/>
            <w:tcBorders>
              <w:top w:val="single" w:sz="12" w:space="0" w:color="auto"/>
              <w:left w:val="single" w:sz="2" w:space="0" w:color="auto"/>
              <w:bottom w:val="single" w:sz="2" w:space="0" w:color="auto"/>
              <w:right w:val="single" w:sz="2" w:space="0" w:color="auto"/>
            </w:tcBorders>
            <w:tcMar>
              <w:left w:w="29" w:type="dxa"/>
              <w:right w:w="29" w:type="dxa"/>
            </w:tcMar>
            <w:vAlign w:val="center"/>
          </w:tcPr>
          <w:p w:rsidR="003F7561" w:rsidRPr="00E66CBC" w:rsidP="00FF364E" w14:paraId="46FF9898" w14:textId="2216C10D">
            <w:pPr>
              <w:suppressAutoHyphens/>
              <w:jc w:val="center"/>
              <w:rPr>
                <w:rFonts w:ascii="Arial" w:hAnsi="Arial" w:cs="Arial"/>
                <w:b/>
                <w:bCs/>
                <w:sz w:val="20"/>
                <w:szCs w:val="20"/>
              </w:rPr>
            </w:pPr>
            <w:r w:rsidRPr="00E66CBC">
              <w:rPr>
                <w:rFonts w:ascii="Arial" w:hAnsi="Arial" w:cs="Arial"/>
                <w:b/>
                <w:bCs/>
                <w:sz w:val="20"/>
                <w:szCs w:val="20"/>
              </w:rPr>
              <w:t>3.5 hours</w:t>
            </w:r>
          </w:p>
        </w:tc>
        <w:tc>
          <w:tcPr>
            <w:tcW w:w="1350" w:type="dxa"/>
            <w:tcBorders>
              <w:top w:val="single" w:sz="12" w:space="0" w:color="auto"/>
              <w:left w:val="single" w:sz="2" w:space="0" w:color="auto"/>
              <w:bottom w:val="single" w:sz="2" w:space="0" w:color="auto"/>
              <w:right w:val="single" w:sz="2" w:space="0" w:color="auto"/>
            </w:tcBorders>
            <w:tcMar>
              <w:left w:w="29" w:type="dxa"/>
              <w:right w:w="29" w:type="dxa"/>
            </w:tcMar>
            <w:vAlign w:val="center"/>
          </w:tcPr>
          <w:p w:rsidR="003F7561" w:rsidRPr="00E66CBC" w:rsidP="00FF364E" w14:paraId="568DCCC5" w14:textId="237EEF2C">
            <w:pPr>
              <w:jc w:val="center"/>
              <w:rPr>
                <w:rFonts w:ascii="Arial" w:hAnsi="Arial" w:cs="Arial"/>
                <w:b/>
                <w:bCs/>
                <w:sz w:val="20"/>
                <w:szCs w:val="20"/>
              </w:rPr>
            </w:pPr>
            <w:r w:rsidRPr="00E66CBC">
              <w:rPr>
                <w:rFonts w:ascii="Arial" w:hAnsi="Arial" w:cs="Arial"/>
                <w:b/>
                <w:bCs/>
                <w:sz w:val="20"/>
                <w:szCs w:val="20"/>
              </w:rPr>
              <w:t>$372.48</w:t>
            </w:r>
          </w:p>
        </w:tc>
        <w:tc>
          <w:tcPr>
            <w:tcW w:w="1080" w:type="dxa"/>
            <w:tcBorders>
              <w:top w:val="single" w:sz="12" w:space="0" w:color="auto"/>
              <w:left w:val="single" w:sz="2" w:space="0" w:color="auto"/>
              <w:bottom w:val="single" w:sz="2" w:space="0" w:color="auto"/>
              <w:right w:val="single" w:sz="2" w:space="0" w:color="auto"/>
            </w:tcBorders>
            <w:tcMar>
              <w:left w:w="29" w:type="dxa"/>
              <w:right w:w="29" w:type="dxa"/>
            </w:tcMar>
            <w:vAlign w:val="center"/>
          </w:tcPr>
          <w:p w:rsidR="003F7561" w:rsidRPr="00E66CBC" w:rsidP="00FF364E" w14:paraId="18F57B55" w14:textId="6F5A5FD9">
            <w:pPr>
              <w:suppressAutoHyphens/>
              <w:jc w:val="center"/>
              <w:rPr>
                <w:rFonts w:ascii="Arial" w:hAnsi="Arial" w:cs="Arial"/>
                <w:b/>
                <w:bCs/>
                <w:sz w:val="20"/>
                <w:szCs w:val="20"/>
              </w:rPr>
            </w:pPr>
            <w:r w:rsidRPr="00E66CBC">
              <w:rPr>
                <w:rFonts w:ascii="Arial" w:hAnsi="Arial" w:cs="Arial"/>
                <w:b/>
                <w:bCs/>
                <w:sz w:val="20"/>
                <w:szCs w:val="20"/>
              </w:rPr>
              <w:t>60</w:t>
            </w:r>
          </w:p>
        </w:tc>
        <w:tc>
          <w:tcPr>
            <w:tcW w:w="1355" w:type="dxa"/>
            <w:tcBorders>
              <w:top w:val="single" w:sz="12" w:space="0" w:color="auto"/>
              <w:left w:val="single" w:sz="2" w:space="0" w:color="auto"/>
              <w:bottom w:val="single" w:sz="2" w:space="0" w:color="auto"/>
              <w:right w:val="single" w:sz="2" w:space="0" w:color="auto"/>
            </w:tcBorders>
            <w:tcMar>
              <w:left w:w="29" w:type="dxa"/>
              <w:right w:w="29" w:type="dxa"/>
            </w:tcMar>
            <w:vAlign w:val="center"/>
          </w:tcPr>
          <w:p w:rsidR="003F7561" w:rsidRPr="00E66CBC" w:rsidP="00FF364E" w14:paraId="1C893696" w14:textId="01C9C1F5">
            <w:pPr>
              <w:suppressAutoHyphens/>
              <w:jc w:val="center"/>
              <w:rPr>
                <w:rFonts w:ascii="Arial" w:hAnsi="Arial" w:cs="Arial"/>
                <w:b/>
                <w:bCs/>
                <w:sz w:val="20"/>
                <w:szCs w:val="20"/>
              </w:rPr>
            </w:pPr>
            <w:r w:rsidRPr="00E66CBC">
              <w:rPr>
                <w:rFonts w:ascii="Arial" w:hAnsi="Arial" w:cs="Arial"/>
                <w:b/>
                <w:bCs/>
                <w:sz w:val="20"/>
                <w:szCs w:val="20"/>
              </w:rPr>
              <w:t>$22,348.80</w:t>
            </w:r>
          </w:p>
        </w:tc>
      </w:tr>
    </w:tbl>
    <w:p w:rsidR="003F7561" w:rsidRPr="00E66CBC" w:rsidP="003F7561" w14:paraId="2ECD946E" w14:textId="77777777">
      <w:pPr>
        <w:ind w:left="360"/>
        <w:rPr>
          <w:rFonts w:ascii="Arial" w:hAnsi="Arial" w:cs="Arial"/>
          <w:sz w:val="8"/>
          <w:szCs w:val="8"/>
        </w:rPr>
      </w:pPr>
    </w:p>
    <w:p w:rsidR="003F7561" w:rsidRPr="00E66CBC" w:rsidP="003F7561" w14:paraId="1FC40F3D" w14:textId="6131B1F4">
      <w:pPr>
        <w:ind w:left="360"/>
        <w:rPr>
          <w:rFonts w:ascii="Arial" w:hAnsi="Arial" w:cs="Arial"/>
          <w:sz w:val="20"/>
          <w:szCs w:val="20"/>
        </w:rPr>
      </w:pPr>
      <w:r w:rsidRPr="00E66CBC">
        <w:rPr>
          <w:rFonts w:ascii="Arial" w:hAnsi="Arial" w:cs="Arial"/>
          <w:sz w:val="22"/>
          <w:szCs w:val="22"/>
        </w:rPr>
        <w:t xml:space="preserve">* </w:t>
      </w:r>
      <w:r w:rsidRPr="00E66CBC" w:rsidR="0054243D">
        <w:rPr>
          <w:rFonts w:ascii="Arial" w:hAnsi="Arial" w:cs="Arial"/>
          <w:sz w:val="18"/>
          <w:szCs w:val="18"/>
        </w:rPr>
        <w:t xml:space="preserve">Labor costs </w:t>
      </w:r>
      <w:r w:rsidRPr="00E66CBC">
        <w:rPr>
          <w:rFonts w:ascii="Arial" w:hAnsi="Arial" w:cs="Arial"/>
          <w:sz w:val="18"/>
          <w:szCs w:val="18"/>
        </w:rPr>
        <w:t>rounded</w:t>
      </w:r>
      <w:r w:rsidRPr="00E66CBC">
        <w:rPr>
          <w:rFonts w:ascii="Arial" w:hAnsi="Arial" w:cs="Arial"/>
          <w:sz w:val="20"/>
          <w:szCs w:val="20"/>
        </w:rPr>
        <w:t xml:space="preserve"> to the nearest whole cent unless otherwise noted. </w:t>
      </w:r>
    </w:p>
    <w:p w:rsidR="003F7561" w:rsidRPr="00E66CBC" w:rsidP="003F7561" w14:paraId="3F895161" w14:textId="77777777">
      <w:pPr>
        <w:widowControl w:val="0"/>
        <w:autoSpaceDE w:val="0"/>
        <w:autoSpaceDN w:val="0"/>
        <w:adjustRightInd w:val="0"/>
        <w:ind w:left="360"/>
        <w:rPr>
          <w:rFonts w:ascii="Arial" w:hAnsi="Arial" w:cs="Arial"/>
          <w:sz w:val="22"/>
          <w:szCs w:val="22"/>
        </w:rPr>
      </w:pPr>
    </w:p>
    <w:p w:rsidR="003F7561" w:rsidRPr="00E66CBC" w:rsidP="003F7561" w14:paraId="27583B09" w14:textId="15F481E5">
      <w:pPr>
        <w:widowControl w:val="0"/>
        <w:autoSpaceDE w:val="0"/>
        <w:autoSpaceDN w:val="0"/>
        <w:adjustRightInd w:val="0"/>
        <w:ind w:left="360"/>
        <w:rPr>
          <w:rFonts w:ascii="Arial" w:hAnsi="Arial" w:cs="Arial"/>
          <w:b/>
          <w:sz w:val="22"/>
          <w:szCs w:val="22"/>
        </w:rPr>
      </w:pPr>
      <w:r w:rsidRPr="00E66CBC">
        <w:rPr>
          <w:rFonts w:ascii="Arial" w:hAnsi="Arial" w:cs="Arial"/>
          <w:sz w:val="22"/>
          <w:szCs w:val="22"/>
        </w:rPr>
        <w:t>In addition, TTB estimates an average of $</w:t>
      </w:r>
      <w:r w:rsidRPr="00E66CBC" w:rsidR="00E66CBC">
        <w:rPr>
          <w:rFonts w:ascii="Arial" w:hAnsi="Arial" w:cs="Arial"/>
          <w:sz w:val="22"/>
          <w:szCs w:val="22"/>
        </w:rPr>
        <w:t>10.</w:t>
      </w:r>
      <w:r w:rsidRPr="00E66CBC">
        <w:rPr>
          <w:rFonts w:ascii="Arial" w:hAnsi="Arial" w:cs="Arial"/>
          <w:sz w:val="22"/>
          <w:szCs w:val="22"/>
        </w:rPr>
        <w:t xml:space="preserve">00 in overhead and laboratory supply costs for each non-beverage formula and process </w:t>
      </w:r>
      <w:r w:rsidRPr="00E66CBC" w:rsidR="0054243D">
        <w:rPr>
          <w:rFonts w:ascii="Arial" w:hAnsi="Arial" w:cs="Arial"/>
          <w:sz w:val="22"/>
          <w:szCs w:val="22"/>
        </w:rPr>
        <w:t xml:space="preserve">statement </w:t>
      </w:r>
      <w:r w:rsidRPr="00E66CBC">
        <w:rPr>
          <w:rFonts w:ascii="Arial" w:hAnsi="Arial" w:cs="Arial"/>
          <w:sz w:val="22"/>
          <w:szCs w:val="22"/>
        </w:rPr>
        <w:t>submission it reviews, for a total of $</w:t>
      </w:r>
      <w:r w:rsidRPr="00E66CBC" w:rsidR="00E66CBC">
        <w:rPr>
          <w:rFonts w:ascii="Arial" w:hAnsi="Arial" w:cs="Arial"/>
          <w:sz w:val="22"/>
          <w:szCs w:val="22"/>
        </w:rPr>
        <w:t xml:space="preserve">600.00 </w:t>
      </w:r>
      <w:r w:rsidRPr="00E66CBC">
        <w:rPr>
          <w:rFonts w:ascii="Arial" w:hAnsi="Arial" w:cs="Arial"/>
          <w:sz w:val="22"/>
          <w:szCs w:val="22"/>
        </w:rPr>
        <w:t>in such costs</w:t>
      </w:r>
      <w:r w:rsidRPr="00E66CBC" w:rsidR="00E66CBC">
        <w:rPr>
          <w:rFonts w:ascii="Arial" w:hAnsi="Arial" w:cs="Arial"/>
          <w:sz w:val="22"/>
          <w:szCs w:val="22"/>
        </w:rPr>
        <w:t xml:space="preserve"> for the estimated 60 annual responses</w:t>
      </w:r>
      <w:r w:rsidRPr="00E66CBC">
        <w:rPr>
          <w:rFonts w:ascii="Arial" w:hAnsi="Arial" w:cs="Arial"/>
          <w:sz w:val="22"/>
          <w:szCs w:val="22"/>
        </w:rPr>
        <w:t xml:space="preserve">.  However, TTB’s printing and distribution costs for this collection have decreased to $0.00 in due to the availability of its forms to the public on the TTB website’s forms page at </w:t>
      </w:r>
      <w:r w:rsidRPr="00E66CBC" w:rsidR="00E66CBC">
        <w:rPr>
          <w:rFonts w:ascii="Arial" w:hAnsi="Arial" w:cs="Arial"/>
          <w:sz w:val="22"/>
          <w:szCs w:val="22"/>
        </w:rPr>
        <w:t>https://www.ttb.gov/public-information/forms</w:t>
      </w:r>
      <w:r w:rsidRPr="00E66CBC">
        <w:rPr>
          <w:rFonts w:ascii="Arial" w:hAnsi="Arial" w:cs="Arial"/>
          <w:sz w:val="22"/>
          <w:szCs w:val="22"/>
        </w:rPr>
        <w:t xml:space="preserve">. </w:t>
      </w:r>
      <w:r w:rsidR="003E3212">
        <w:rPr>
          <w:rFonts w:ascii="Arial" w:hAnsi="Arial" w:cs="Arial"/>
          <w:sz w:val="22"/>
          <w:szCs w:val="22"/>
        </w:rPr>
        <w:t xml:space="preserve"> </w:t>
      </w:r>
      <w:r w:rsidRPr="00E66CBC">
        <w:rPr>
          <w:rFonts w:ascii="Arial" w:hAnsi="Arial" w:cs="Arial"/>
          <w:sz w:val="22"/>
          <w:szCs w:val="22"/>
        </w:rPr>
        <w:t xml:space="preserve">As such, total cost to the Federal Government for this information collection is </w:t>
      </w:r>
      <w:r w:rsidRPr="00E66CBC">
        <w:rPr>
          <w:rFonts w:ascii="Arial" w:hAnsi="Arial" w:cs="Arial"/>
          <w:b/>
          <w:sz w:val="22"/>
          <w:szCs w:val="22"/>
        </w:rPr>
        <w:t>$</w:t>
      </w:r>
      <w:r w:rsidRPr="00E66CBC" w:rsidR="00E66CBC">
        <w:rPr>
          <w:rFonts w:ascii="Arial" w:hAnsi="Arial" w:cs="Arial"/>
          <w:b/>
          <w:sz w:val="22"/>
          <w:szCs w:val="22"/>
        </w:rPr>
        <w:t>22</w:t>
      </w:r>
      <w:r w:rsidR="00E66CBC">
        <w:rPr>
          <w:rFonts w:ascii="Arial" w:hAnsi="Arial" w:cs="Arial"/>
          <w:b/>
          <w:sz w:val="22"/>
          <w:szCs w:val="22"/>
        </w:rPr>
        <w:t>,</w:t>
      </w:r>
      <w:r w:rsidRPr="00E66CBC" w:rsidR="00E66CBC">
        <w:rPr>
          <w:rFonts w:ascii="Arial" w:hAnsi="Arial" w:cs="Arial"/>
          <w:b/>
          <w:sz w:val="22"/>
          <w:szCs w:val="22"/>
        </w:rPr>
        <w:t>948.80</w:t>
      </w:r>
      <w:r w:rsidRPr="00E66CBC">
        <w:rPr>
          <w:rFonts w:ascii="Arial" w:hAnsi="Arial" w:cs="Arial"/>
          <w:b/>
          <w:sz w:val="22"/>
          <w:szCs w:val="22"/>
        </w:rPr>
        <w:t xml:space="preserve">. </w:t>
      </w:r>
    </w:p>
    <w:p w:rsidR="003F7561" w:rsidRPr="00E66CBC" w:rsidP="003F7561" w14:paraId="7EDD89FA" w14:textId="77777777">
      <w:pPr>
        <w:rPr>
          <w:rFonts w:ascii="Arial" w:hAnsi="Arial" w:cs="Arial"/>
          <w:sz w:val="28"/>
          <w:szCs w:val="28"/>
        </w:rPr>
      </w:pPr>
    </w:p>
    <w:p w:rsidR="003F7561" w:rsidRPr="00E66CBC" w:rsidP="003F7561" w14:paraId="59FF3523" w14:textId="6F9BE311">
      <w:pPr>
        <w:rPr>
          <w:rFonts w:ascii="Arial" w:hAnsi="Arial" w:cs="Arial"/>
          <w:i/>
          <w:sz w:val="22"/>
          <w:szCs w:val="22"/>
        </w:rPr>
      </w:pPr>
      <w:r w:rsidRPr="00E66CBC">
        <w:rPr>
          <w:rFonts w:ascii="Arial" w:hAnsi="Arial" w:cs="Arial"/>
          <w:i/>
          <w:sz w:val="22"/>
          <w:szCs w:val="22"/>
        </w:rPr>
        <w:t xml:space="preserve">15.  What is the reason for any program changes or adjustments reported? </w:t>
      </w:r>
    </w:p>
    <w:p w:rsidR="0044244B" w:rsidRPr="00E66CBC" w:rsidP="003F7561" w14:paraId="4A62F6CA" w14:textId="77777777">
      <w:pPr>
        <w:rPr>
          <w:rFonts w:ascii="Arial" w:hAnsi="Arial" w:cs="Arial"/>
          <w:sz w:val="22"/>
          <w:szCs w:val="22"/>
        </w:rPr>
      </w:pPr>
    </w:p>
    <w:p w:rsidR="003F7561" w:rsidRPr="00E66CBC" w:rsidP="001F7A31" w14:paraId="2EA677FA" w14:textId="56263EF9">
      <w:pPr>
        <w:ind w:left="360"/>
        <w:rPr>
          <w:rFonts w:ascii="Arial" w:hAnsi="Arial" w:cs="Arial"/>
          <w:sz w:val="22"/>
          <w:szCs w:val="22"/>
        </w:rPr>
      </w:pPr>
      <w:r w:rsidRPr="00E66CBC">
        <w:rPr>
          <w:rFonts w:ascii="Arial" w:hAnsi="Arial" w:cs="Arial"/>
          <w:sz w:val="22"/>
          <w:szCs w:val="22"/>
        </w:rPr>
        <w:t xml:space="preserve">There </w:t>
      </w:r>
      <w:r w:rsidRPr="00E66CBC">
        <w:rPr>
          <w:rFonts w:ascii="Arial" w:hAnsi="Arial" w:cs="Arial"/>
          <w:sz w:val="22"/>
          <w:szCs w:val="22"/>
        </w:rPr>
        <w:t>are</w:t>
      </w:r>
      <w:r w:rsidRPr="00E66CBC">
        <w:rPr>
          <w:rFonts w:ascii="Arial" w:hAnsi="Arial" w:cs="Arial"/>
          <w:sz w:val="22"/>
          <w:szCs w:val="22"/>
        </w:rPr>
        <w:t xml:space="preserve"> no program changes associated with this collection at this time</w:t>
      </w:r>
      <w:r w:rsidRPr="00E66CBC" w:rsidR="001F7A31">
        <w:rPr>
          <w:rFonts w:ascii="Arial" w:hAnsi="Arial" w:cs="Arial"/>
          <w:sz w:val="22"/>
          <w:szCs w:val="22"/>
        </w:rPr>
        <w:t>, and TTB is submitting it for extension purposes only</w:t>
      </w:r>
      <w:r w:rsidRPr="00E66CBC">
        <w:rPr>
          <w:rFonts w:ascii="Arial" w:hAnsi="Arial" w:cs="Arial"/>
          <w:sz w:val="22"/>
          <w:szCs w:val="22"/>
        </w:rPr>
        <w:t xml:space="preserve">.  As for adjustments, due to changes in agency estimates, TTB is </w:t>
      </w:r>
      <w:r w:rsidRPr="00E66CBC" w:rsidR="001F7A31">
        <w:rPr>
          <w:rFonts w:ascii="Arial" w:hAnsi="Arial" w:cs="Arial"/>
          <w:sz w:val="22"/>
          <w:szCs w:val="22"/>
        </w:rPr>
        <w:t>decreasing</w:t>
      </w:r>
      <w:r w:rsidRPr="00E66CBC" w:rsidR="00E66CBC">
        <w:rPr>
          <w:rFonts w:ascii="Arial" w:hAnsi="Arial" w:cs="Arial"/>
          <w:sz w:val="22"/>
          <w:szCs w:val="22"/>
        </w:rPr>
        <w:t xml:space="preserve"> its estimate of</w:t>
      </w:r>
      <w:r w:rsidRPr="00E66CBC" w:rsidR="00EF5282">
        <w:rPr>
          <w:rFonts w:ascii="Arial" w:hAnsi="Arial" w:cs="Arial"/>
          <w:sz w:val="22"/>
          <w:szCs w:val="22"/>
        </w:rPr>
        <w:t>:  (1)</w:t>
      </w:r>
      <w:r w:rsidRPr="00E66CBC" w:rsidR="001F7A31">
        <w:rPr>
          <w:rFonts w:ascii="Arial" w:hAnsi="Arial" w:cs="Arial"/>
          <w:sz w:val="22"/>
          <w:szCs w:val="22"/>
        </w:rPr>
        <w:t xml:space="preserve"> </w:t>
      </w:r>
      <w:r w:rsidRPr="00E66CBC">
        <w:rPr>
          <w:rFonts w:ascii="Arial" w:hAnsi="Arial" w:cs="Arial"/>
          <w:sz w:val="22"/>
          <w:szCs w:val="22"/>
        </w:rPr>
        <w:t xml:space="preserve">the number of annual respondents, </w:t>
      </w:r>
      <w:r w:rsidRPr="00E66CBC" w:rsidR="009F365E">
        <w:rPr>
          <w:rFonts w:ascii="Arial" w:hAnsi="Arial" w:cs="Arial"/>
          <w:sz w:val="22"/>
          <w:szCs w:val="22"/>
        </w:rPr>
        <w:t xml:space="preserve">from </w:t>
      </w:r>
      <w:r w:rsidRPr="00E66CBC" w:rsidR="00E66CBC">
        <w:rPr>
          <w:rFonts w:ascii="Arial" w:hAnsi="Arial" w:cs="Arial"/>
          <w:sz w:val="22"/>
          <w:szCs w:val="22"/>
        </w:rPr>
        <w:t xml:space="preserve">105 to 60; </w:t>
      </w:r>
      <w:r w:rsidRPr="00E66CBC" w:rsidR="00EF5282">
        <w:rPr>
          <w:rFonts w:ascii="Arial" w:hAnsi="Arial" w:cs="Arial"/>
          <w:sz w:val="22"/>
          <w:szCs w:val="22"/>
        </w:rPr>
        <w:t xml:space="preserve">(2) the </w:t>
      </w:r>
      <w:r w:rsidRPr="00E66CBC" w:rsidR="00E66CBC">
        <w:rPr>
          <w:rFonts w:ascii="Arial" w:hAnsi="Arial" w:cs="Arial"/>
          <w:sz w:val="22"/>
          <w:szCs w:val="22"/>
        </w:rPr>
        <w:t xml:space="preserve">average number of responses per respondent, from 2 to 1; (3) the total </w:t>
      </w:r>
      <w:r w:rsidRPr="00E66CBC" w:rsidR="00EF5282">
        <w:rPr>
          <w:rFonts w:ascii="Arial" w:hAnsi="Arial" w:cs="Arial"/>
          <w:sz w:val="22"/>
          <w:szCs w:val="22"/>
        </w:rPr>
        <w:t xml:space="preserve">number of </w:t>
      </w:r>
      <w:r w:rsidRPr="00E66CBC">
        <w:rPr>
          <w:rFonts w:ascii="Arial" w:hAnsi="Arial" w:cs="Arial"/>
          <w:sz w:val="22"/>
          <w:szCs w:val="22"/>
        </w:rPr>
        <w:t xml:space="preserve">responses, </w:t>
      </w:r>
      <w:r w:rsidRPr="00E66CBC" w:rsidR="00EF5282">
        <w:rPr>
          <w:rFonts w:ascii="Arial" w:hAnsi="Arial" w:cs="Arial"/>
          <w:sz w:val="22"/>
          <w:szCs w:val="22"/>
        </w:rPr>
        <w:t xml:space="preserve">from </w:t>
      </w:r>
      <w:r w:rsidRPr="00E66CBC" w:rsidR="00E66CBC">
        <w:rPr>
          <w:rFonts w:ascii="Arial" w:hAnsi="Arial" w:cs="Arial"/>
          <w:sz w:val="22"/>
          <w:szCs w:val="22"/>
        </w:rPr>
        <w:t>210 to 60</w:t>
      </w:r>
      <w:r w:rsidR="00835C62">
        <w:rPr>
          <w:rFonts w:ascii="Arial" w:hAnsi="Arial" w:cs="Arial"/>
          <w:sz w:val="22"/>
          <w:szCs w:val="22"/>
        </w:rPr>
        <w:t xml:space="preserve">; </w:t>
      </w:r>
      <w:r w:rsidRPr="00E66CBC" w:rsidR="00EF5282">
        <w:rPr>
          <w:rFonts w:ascii="Arial" w:hAnsi="Arial" w:cs="Arial"/>
          <w:sz w:val="22"/>
          <w:szCs w:val="22"/>
        </w:rPr>
        <w:t>and (</w:t>
      </w:r>
      <w:r w:rsidRPr="00E66CBC" w:rsidR="00E66CBC">
        <w:rPr>
          <w:rFonts w:ascii="Arial" w:hAnsi="Arial" w:cs="Arial"/>
          <w:sz w:val="22"/>
          <w:szCs w:val="22"/>
        </w:rPr>
        <w:t>4</w:t>
      </w:r>
      <w:r w:rsidRPr="00E66CBC" w:rsidR="00EF5282">
        <w:rPr>
          <w:rFonts w:ascii="Arial" w:hAnsi="Arial" w:cs="Arial"/>
          <w:sz w:val="22"/>
          <w:szCs w:val="22"/>
        </w:rPr>
        <w:t xml:space="preserve">) the total </w:t>
      </w:r>
      <w:r w:rsidRPr="00E66CBC" w:rsidR="00E66CBC">
        <w:rPr>
          <w:rFonts w:ascii="Arial" w:hAnsi="Arial" w:cs="Arial"/>
          <w:sz w:val="22"/>
          <w:szCs w:val="22"/>
        </w:rPr>
        <w:t xml:space="preserve">annual </w:t>
      </w:r>
      <w:r w:rsidRPr="00E66CBC" w:rsidR="00EF5282">
        <w:rPr>
          <w:rFonts w:ascii="Arial" w:hAnsi="Arial" w:cs="Arial"/>
          <w:sz w:val="22"/>
          <w:szCs w:val="22"/>
        </w:rPr>
        <w:t xml:space="preserve">burden hours, from </w:t>
      </w:r>
      <w:r w:rsidRPr="00E66CBC" w:rsidR="00E66CBC">
        <w:rPr>
          <w:rFonts w:ascii="Arial" w:hAnsi="Arial" w:cs="Arial"/>
          <w:sz w:val="22"/>
          <w:szCs w:val="22"/>
        </w:rPr>
        <w:t xml:space="preserve">138 to 37.5. </w:t>
      </w:r>
      <w:r w:rsidR="00835C62">
        <w:rPr>
          <w:rFonts w:ascii="Arial" w:hAnsi="Arial" w:cs="Arial"/>
          <w:sz w:val="22"/>
          <w:szCs w:val="22"/>
        </w:rPr>
        <w:t xml:space="preserve"> </w:t>
      </w:r>
      <w:r w:rsidR="0016089A">
        <w:rPr>
          <w:rFonts w:ascii="Arial" w:hAnsi="Arial" w:cs="Arial"/>
          <w:sz w:val="22"/>
          <w:szCs w:val="22"/>
        </w:rPr>
        <w:t>Also, d</w:t>
      </w:r>
      <w:r w:rsidR="00835C62">
        <w:rPr>
          <w:rFonts w:ascii="Arial" w:hAnsi="Arial" w:cs="Arial"/>
          <w:sz w:val="22"/>
          <w:szCs w:val="22"/>
        </w:rPr>
        <w:t xml:space="preserve">ue to an increase in the use of FONL by respondents, TTB estimates that the per-response burden has decreased from 0.6571 hours to 0.625 hours. </w:t>
      </w:r>
    </w:p>
    <w:p w:rsidR="00AF060A" w:rsidRPr="00E66CBC" w:rsidP="00AF060A" w14:paraId="4D5D31B7" w14:textId="77777777">
      <w:pPr>
        <w:suppressAutoHyphens/>
        <w:rPr>
          <w:rFonts w:ascii="Arial" w:hAnsi="Arial" w:cs="Arial"/>
          <w:sz w:val="28"/>
          <w:szCs w:val="28"/>
        </w:rPr>
      </w:pPr>
    </w:p>
    <w:p w:rsidR="00AF1157" w:rsidRPr="00E66CBC" w:rsidP="00D73D2D" w14:paraId="0B492980" w14:textId="77777777">
      <w:pPr>
        <w:suppressAutoHyphens/>
        <w:rPr>
          <w:rFonts w:ascii="Arial" w:hAnsi="Arial" w:cs="Arial"/>
          <w:i/>
          <w:sz w:val="22"/>
          <w:szCs w:val="22"/>
        </w:rPr>
      </w:pPr>
      <w:r w:rsidRPr="00E66CBC">
        <w:rPr>
          <w:rFonts w:ascii="Arial" w:hAnsi="Arial" w:cs="Arial"/>
          <w:i/>
          <w:sz w:val="22"/>
          <w:szCs w:val="22"/>
        </w:rPr>
        <w:t xml:space="preserve">16.  Outline plans for tabulation and publication for collections of information whose results will be published. </w:t>
      </w:r>
    </w:p>
    <w:p w:rsidR="00AF1157" w:rsidRPr="00E66CBC" w:rsidP="00D73D2D" w14:paraId="10C9DC2F" w14:textId="77777777">
      <w:pPr>
        <w:suppressAutoHyphens/>
        <w:ind w:left="480" w:hanging="480"/>
        <w:rPr>
          <w:rFonts w:ascii="Arial" w:hAnsi="Arial" w:cs="Arial"/>
          <w:sz w:val="22"/>
          <w:szCs w:val="22"/>
        </w:rPr>
      </w:pPr>
    </w:p>
    <w:p w:rsidR="00AF1157" w:rsidRPr="00227B1C" w:rsidP="004D086A" w14:paraId="2B10B1E5" w14:textId="6899839C">
      <w:pPr>
        <w:suppressAutoHyphens/>
        <w:ind w:left="360"/>
        <w:rPr>
          <w:rFonts w:ascii="Arial" w:hAnsi="Arial" w:cs="Arial"/>
          <w:sz w:val="22"/>
          <w:szCs w:val="22"/>
        </w:rPr>
      </w:pPr>
      <w:r w:rsidRPr="00227B1C">
        <w:rPr>
          <w:rFonts w:ascii="Arial" w:hAnsi="Arial" w:cs="Arial"/>
          <w:sz w:val="22"/>
          <w:szCs w:val="22"/>
        </w:rPr>
        <w:t xml:space="preserve">TTB will not publish the results of this </w:t>
      </w:r>
      <w:r w:rsidRPr="00227B1C" w:rsidR="001C3456">
        <w:rPr>
          <w:rFonts w:ascii="Arial" w:hAnsi="Arial" w:cs="Arial"/>
          <w:sz w:val="22"/>
          <w:szCs w:val="22"/>
        </w:rPr>
        <w:t xml:space="preserve">information </w:t>
      </w:r>
      <w:r w:rsidRPr="00227B1C">
        <w:rPr>
          <w:rFonts w:ascii="Arial" w:hAnsi="Arial" w:cs="Arial"/>
          <w:sz w:val="22"/>
          <w:szCs w:val="22"/>
        </w:rPr>
        <w:t>collection.</w:t>
      </w:r>
      <w:r w:rsidRPr="00227B1C" w:rsidR="00AF060A">
        <w:rPr>
          <w:rFonts w:ascii="Arial" w:hAnsi="Arial" w:cs="Arial"/>
          <w:sz w:val="22"/>
          <w:szCs w:val="22"/>
        </w:rPr>
        <w:t xml:space="preserve"> </w:t>
      </w:r>
    </w:p>
    <w:p w:rsidR="00AF1157" w:rsidRPr="00227B1C" w:rsidP="00D73D2D" w14:paraId="3A856839" w14:textId="77777777">
      <w:pPr>
        <w:suppressAutoHyphens/>
        <w:rPr>
          <w:rFonts w:ascii="Arial" w:hAnsi="Arial" w:cs="Arial"/>
          <w:sz w:val="28"/>
          <w:szCs w:val="28"/>
        </w:rPr>
      </w:pPr>
    </w:p>
    <w:p w:rsidR="00AF1157" w:rsidRPr="00227B1C" w:rsidP="00D73D2D" w14:paraId="2AFC17DE" w14:textId="77777777">
      <w:pPr>
        <w:suppressAutoHyphens/>
        <w:rPr>
          <w:rFonts w:ascii="Arial" w:hAnsi="Arial" w:cs="Arial"/>
          <w:sz w:val="22"/>
          <w:szCs w:val="22"/>
        </w:rPr>
      </w:pPr>
      <w:r w:rsidRPr="00227B1C">
        <w:rPr>
          <w:rFonts w:ascii="Arial" w:hAnsi="Arial" w:cs="Arial"/>
          <w:sz w:val="22"/>
          <w:szCs w:val="22"/>
        </w:rPr>
        <w:t>17.  If seeking approval to not display the expiration date for OMB approval of this information collection, what are the reasons that the display would be inappropriate?</w:t>
      </w:r>
      <w:r w:rsidRPr="00227B1C" w:rsidR="004D086A">
        <w:rPr>
          <w:rFonts w:ascii="Arial" w:hAnsi="Arial" w:cs="Arial"/>
          <w:sz w:val="22"/>
          <w:szCs w:val="22"/>
        </w:rPr>
        <w:t xml:space="preserve"> </w:t>
      </w:r>
    </w:p>
    <w:p w:rsidR="00AF1157" w:rsidRPr="00227B1C" w:rsidP="00D73D2D" w14:paraId="242C6C3A" w14:textId="77777777">
      <w:pPr>
        <w:suppressAutoHyphens/>
        <w:rPr>
          <w:rFonts w:ascii="Arial" w:hAnsi="Arial" w:cs="Arial"/>
          <w:sz w:val="22"/>
          <w:szCs w:val="22"/>
        </w:rPr>
      </w:pPr>
    </w:p>
    <w:p w:rsidR="000B6799" w:rsidRPr="00227B1C" w:rsidP="00014CEB" w14:paraId="5740B8F9" w14:textId="6E99FBC5">
      <w:pPr>
        <w:autoSpaceDE w:val="0"/>
        <w:autoSpaceDN w:val="0"/>
        <w:ind w:left="360"/>
        <w:rPr>
          <w:rFonts w:ascii="Arial" w:hAnsi="Arial" w:cs="Arial"/>
          <w:sz w:val="22"/>
          <w:szCs w:val="22"/>
        </w:rPr>
      </w:pPr>
      <w:r w:rsidRPr="00227B1C">
        <w:rPr>
          <w:rFonts w:ascii="Arial" w:hAnsi="Arial" w:cs="Arial"/>
          <w:sz w:val="22"/>
          <w:szCs w:val="22"/>
        </w:rPr>
        <w:t>TTB will display the expiration date of OMB approval for this information collection on TTB F 5150.19</w:t>
      </w:r>
      <w:r w:rsidR="0066740E">
        <w:rPr>
          <w:rFonts w:ascii="Arial" w:hAnsi="Arial" w:cs="Arial"/>
          <w:sz w:val="22"/>
          <w:szCs w:val="22"/>
        </w:rPr>
        <w:t>.</w:t>
      </w:r>
      <w:r w:rsidRPr="00227B1C">
        <w:rPr>
          <w:rFonts w:ascii="Arial" w:hAnsi="Arial" w:cs="Arial"/>
          <w:sz w:val="22"/>
          <w:szCs w:val="22"/>
        </w:rPr>
        <w:t xml:space="preserve"> </w:t>
      </w:r>
    </w:p>
    <w:p w:rsidR="00014CEB" w:rsidRPr="00227B1C" w:rsidP="00E85DE4" w14:paraId="6905025E" w14:textId="77777777">
      <w:pPr>
        <w:autoSpaceDE w:val="0"/>
        <w:autoSpaceDN w:val="0"/>
        <w:rPr>
          <w:rFonts w:ascii="Arial" w:hAnsi="Arial" w:cs="Arial"/>
          <w:sz w:val="28"/>
          <w:szCs w:val="28"/>
        </w:rPr>
      </w:pPr>
    </w:p>
    <w:p w:rsidR="00AF1157" w:rsidRPr="00227B1C" w:rsidP="00D73D2D" w14:paraId="0038CF28" w14:textId="77777777">
      <w:pPr>
        <w:suppressAutoHyphens/>
        <w:rPr>
          <w:rFonts w:ascii="Arial" w:hAnsi="Arial" w:cs="Arial"/>
          <w:i/>
          <w:sz w:val="22"/>
          <w:szCs w:val="22"/>
        </w:rPr>
      </w:pPr>
      <w:r w:rsidRPr="00227B1C">
        <w:rPr>
          <w:rFonts w:ascii="Arial" w:hAnsi="Arial" w:cs="Arial"/>
          <w:i/>
          <w:sz w:val="22"/>
          <w:szCs w:val="22"/>
        </w:rPr>
        <w:t>18.  What are the exceptions to the certification statement?</w:t>
      </w:r>
      <w:r w:rsidRPr="00227B1C" w:rsidR="00D56B01">
        <w:rPr>
          <w:rFonts w:ascii="Arial" w:hAnsi="Arial" w:cs="Arial"/>
          <w:i/>
          <w:sz w:val="22"/>
          <w:szCs w:val="22"/>
        </w:rPr>
        <w:t xml:space="preserve"> </w:t>
      </w:r>
    </w:p>
    <w:p w:rsidR="00AF1157" w:rsidRPr="00227B1C" w:rsidP="00BA1A21" w14:paraId="1E6FE070" w14:textId="77777777">
      <w:pPr>
        <w:suppressAutoHyphens/>
        <w:ind w:left="360"/>
        <w:rPr>
          <w:rFonts w:ascii="Arial" w:hAnsi="Arial" w:cs="Arial"/>
          <w:sz w:val="22"/>
          <w:szCs w:val="22"/>
        </w:rPr>
      </w:pPr>
    </w:p>
    <w:p w:rsidR="00851169" w:rsidRPr="00227B1C" w:rsidP="00FB3939" w14:paraId="4501F74A" w14:textId="6A9E184B">
      <w:pPr>
        <w:tabs>
          <w:tab w:val="left" w:pos="720"/>
        </w:tabs>
        <w:spacing w:after="120"/>
        <w:ind w:left="360"/>
        <w:rPr>
          <w:rFonts w:ascii="Arial" w:hAnsi="Arial" w:cs="Arial"/>
          <w:sz w:val="22"/>
          <w:szCs w:val="22"/>
        </w:rPr>
      </w:pPr>
      <w:r w:rsidRPr="00227B1C">
        <w:rPr>
          <w:rFonts w:ascii="Arial" w:hAnsi="Arial" w:cs="Arial"/>
          <w:sz w:val="22"/>
          <w:szCs w:val="22"/>
        </w:rPr>
        <w:t>(c)</w:t>
      </w:r>
      <w:r w:rsidRPr="00227B1C">
        <w:rPr>
          <w:rFonts w:ascii="Arial" w:hAnsi="Arial" w:cs="Arial"/>
          <w:sz w:val="22"/>
          <w:szCs w:val="22"/>
        </w:rPr>
        <w:tab/>
        <w:t xml:space="preserve">See item 5 above. </w:t>
      </w:r>
    </w:p>
    <w:p w:rsidR="00851169" w:rsidRPr="00227B1C" w:rsidP="00FB3939" w14:paraId="7778A87F" w14:textId="3209DC13">
      <w:pPr>
        <w:tabs>
          <w:tab w:val="left" w:pos="720"/>
        </w:tabs>
        <w:spacing w:after="120"/>
        <w:ind w:left="360"/>
        <w:rPr>
          <w:rFonts w:ascii="Arial" w:hAnsi="Arial" w:cs="Arial"/>
          <w:sz w:val="22"/>
          <w:szCs w:val="22"/>
        </w:rPr>
      </w:pPr>
      <w:r w:rsidRPr="00227B1C">
        <w:rPr>
          <w:rFonts w:ascii="Arial" w:hAnsi="Arial" w:cs="Arial"/>
          <w:sz w:val="22"/>
          <w:szCs w:val="22"/>
        </w:rPr>
        <w:t>(f)</w:t>
      </w:r>
      <w:r w:rsidRPr="00227B1C">
        <w:rPr>
          <w:rFonts w:ascii="Arial" w:hAnsi="Arial" w:cs="Arial"/>
          <w:sz w:val="22"/>
          <w:szCs w:val="22"/>
        </w:rPr>
        <w:tab/>
        <w:t xml:space="preserve">This is not a recordkeeping requirement. </w:t>
      </w:r>
    </w:p>
    <w:p w:rsidR="00851169" w:rsidRPr="00227B1C" w:rsidP="00FB3939" w14:paraId="6AE50F70" w14:textId="6828AC74">
      <w:pPr>
        <w:tabs>
          <w:tab w:val="left" w:pos="720"/>
        </w:tabs>
        <w:spacing w:after="120"/>
        <w:ind w:left="360"/>
        <w:rPr>
          <w:rFonts w:ascii="Arial" w:hAnsi="Arial" w:cs="Arial"/>
          <w:sz w:val="22"/>
          <w:szCs w:val="22"/>
        </w:rPr>
      </w:pPr>
      <w:r w:rsidRPr="00227B1C">
        <w:rPr>
          <w:rFonts w:ascii="Arial" w:hAnsi="Arial" w:cs="Arial"/>
          <w:sz w:val="22"/>
          <w:szCs w:val="22"/>
        </w:rPr>
        <w:t>(i)</w:t>
      </w:r>
      <w:r w:rsidRPr="00227B1C">
        <w:rPr>
          <w:rFonts w:ascii="Arial" w:hAnsi="Arial" w:cs="Arial"/>
          <w:sz w:val="22"/>
          <w:szCs w:val="22"/>
        </w:rPr>
        <w:tab/>
        <w:t xml:space="preserve">No statistics are involved. </w:t>
      </w:r>
    </w:p>
    <w:p w:rsidR="00613B42" w:rsidRPr="00227B1C" w:rsidP="00613B42" w14:paraId="2D40CDD8" w14:textId="77777777">
      <w:pPr>
        <w:rPr>
          <w:rFonts w:ascii="Arial" w:hAnsi="Arial" w:cs="Arial"/>
          <w:sz w:val="28"/>
          <w:szCs w:val="28"/>
        </w:rPr>
      </w:pPr>
    </w:p>
    <w:p w:rsidR="00613B42" w:rsidRPr="00227B1C" w:rsidP="00613B42" w14:paraId="2A2598CF" w14:textId="77777777">
      <w:pPr>
        <w:rPr>
          <w:rFonts w:ascii="Arial" w:hAnsi="Arial" w:cs="Arial"/>
          <w:sz w:val="28"/>
          <w:szCs w:val="28"/>
        </w:rPr>
      </w:pPr>
    </w:p>
    <w:p w:rsidR="00613B42" w:rsidRPr="00227B1C" w:rsidP="00613B42" w14:paraId="7F63FFA8" w14:textId="77777777">
      <w:pPr>
        <w:rPr>
          <w:rFonts w:ascii="Arial" w:hAnsi="Arial" w:cs="Arial"/>
          <w:b/>
          <w:bCs/>
          <w:sz w:val="22"/>
          <w:szCs w:val="22"/>
        </w:rPr>
      </w:pPr>
      <w:r w:rsidRPr="00227B1C">
        <w:rPr>
          <w:rFonts w:ascii="Arial" w:hAnsi="Arial" w:cs="Arial"/>
          <w:b/>
          <w:bCs/>
          <w:sz w:val="22"/>
          <w:szCs w:val="22"/>
        </w:rPr>
        <w:t xml:space="preserve">B.  </w:t>
      </w:r>
      <w:r w:rsidRPr="00227B1C">
        <w:rPr>
          <w:rFonts w:ascii="Arial" w:hAnsi="Arial" w:cs="Arial"/>
          <w:b/>
          <w:bCs/>
          <w:sz w:val="22"/>
          <w:szCs w:val="22"/>
          <w:u w:val="single"/>
        </w:rPr>
        <w:t>Collections of Information Employing Statistical Methods</w:t>
      </w:r>
      <w:r w:rsidRPr="00227B1C">
        <w:rPr>
          <w:rFonts w:ascii="Arial" w:hAnsi="Arial" w:cs="Arial"/>
          <w:b/>
          <w:bCs/>
          <w:sz w:val="22"/>
          <w:szCs w:val="22"/>
        </w:rPr>
        <w:t>.</w:t>
      </w:r>
    </w:p>
    <w:p w:rsidR="00613B42" w:rsidRPr="00227B1C" w:rsidP="00613B42" w14:paraId="3A53D4A8" w14:textId="77777777">
      <w:pPr>
        <w:pStyle w:val="Header"/>
        <w:tabs>
          <w:tab w:val="clear" w:pos="4320"/>
          <w:tab w:val="clear" w:pos="8640"/>
        </w:tabs>
        <w:rPr>
          <w:rFonts w:ascii="Arial" w:hAnsi="Arial" w:cs="Arial"/>
          <w:sz w:val="22"/>
          <w:szCs w:val="22"/>
        </w:rPr>
      </w:pPr>
    </w:p>
    <w:p w:rsidR="00613B42" w:rsidRPr="00227B1C" w:rsidP="00613B42" w14:paraId="3D11F7FD" w14:textId="206F6EDE">
      <w:pPr>
        <w:pStyle w:val="Header"/>
        <w:tabs>
          <w:tab w:val="clear" w:pos="4320"/>
          <w:tab w:val="clear" w:pos="8640"/>
        </w:tabs>
        <w:ind w:left="360"/>
        <w:rPr>
          <w:rFonts w:ascii="Arial" w:hAnsi="Arial" w:cs="Arial"/>
          <w:sz w:val="22"/>
          <w:szCs w:val="22"/>
        </w:rPr>
      </w:pPr>
      <w:r w:rsidRPr="00227B1C">
        <w:rPr>
          <w:rFonts w:ascii="Arial" w:hAnsi="Arial" w:cs="Arial"/>
          <w:sz w:val="22"/>
          <w:szCs w:val="22"/>
        </w:rPr>
        <w:t xml:space="preserve">This information collection does not employ statistical methods. </w:t>
      </w:r>
    </w:p>
    <w:p w:rsidR="0053025E" w:rsidRPr="00227B1C" w:rsidP="00D73D2D" w14:paraId="07C867D8" w14:textId="77777777">
      <w:pPr>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090" w:rsidRPr="009D2C71" w:rsidP="009D2C71" w14:paraId="175C55D7" w14:textId="7A7B93B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9D2C71">
      <w:rPr>
        <w:rFonts w:ascii="Arial" w:hAnsi="Arial" w:cs="Arial"/>
        <w:sz w:val="20"/>
        <w:szCs w:val="20"/>
      </w:rPr>
      <w:t>OMB No. 1513–0011 Supporting Statement (</w:t>
    </w:r>
    <w:r w:rsidR="00202530">
      <w:rPr>
        <w:rFonts w:ascii="Arial" w:hAnsi="Arial" w:cs="Arial"/>
        <w:sz w:val="20"/>
        <w:szCs w:val="20"/>
      </w:rPr>
      <w:t>04–2</w:t>
    </w:r>
    <w:r w:rsidRPr="009D2C71">
      <w:rPr>
        <w:rFonts w:ascii="Arial" w:hAnsi="Arial" w:cs="Arial"/>
        <w:sz w:val="20"/>
        <w:szCs w:val="20"/>
      </w:rPr>
      <w:t>02</w:t>
    </w:r>
    <w:r w:rsidR="00202530">
      <w:rPr>
        <w:rFonts w:ascii="Arial" w:hAnsi="Arial" w:cs="Arial"/>
        <w:sz w:val="20"/>
        <w:szCs w:val="20"/>
      </w:rPr>
      <w:t>6</w:t>
    </w:r>
    <w:r w:rsidRPr="009D2C71">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090" w:rsidRPr="009D2C71" w:rsidP="00DD65E0" w14:paraId="7471C21F" w14:textId="75950E9E">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9D2C71" w:rsidR="009D2C71">
      <w:rPr>
        <w:rFonts w:ascii="Arial" w:hAnsi="Arial" w:cs="Arial"/>
        <w:sz w:val="20"/>
        <w:szCs w:val="20"/>
      </w:rPr>
      <w:t xml:space="preserve">OMB No. </w:t>
    </w:r>
    <w:r w:rsidRPr="009D2C71">
      <w:rPr>
        <w:rFonts w:ascii="Arial" w:hAnsi="Arial" w:cs="Arial"/>
        <w:sz w:val="20"/>
        <w:szCs w:val="20"/>
      </w:rPr>
      <w:t>1513–0011 Supporting Statement (</w:t>
    </w:r>
    <w:r w:rsidR="00202530">
      <w:rPr>
        <w:rFonts w:ascii="Arial" w:hAnsi="Arial" w:cs="Arial"/>
        <w:sz w:val="20"/>
        <w:szCs w:val="20"/>
      </w:rPr>
      <w:t>04</w:t>
    </w:r>
    <w:r w:rsidRPr="009D2C71">
      <w:rPr>
        <w:rFonts w:ascii="Arial" w:hAnsi="Arial" w:cs="Arial"/>
        <w:sz w:val="20"/>
        <w:szCs w:val="20"/>
      </w:rPr>
      <w:t>–20</w:t>
    </w:r>
    <w:r w:rsidRPr="009D2C71" w:rsidR="009D2C71">
      <w:rPr>
        <w:rFonts w:ascii="Arial" w:hAnsi="Arial" w:cs="Arial"/>
        <w:sz w:val="20"/>
        <w:szCs w:val="20"/>
      </w:rPr>
      <w:t>2</w:t>
    </w:r>
    <w:r w:rsidR="00202530">
      <w:rPr>
        <w:rFonts w:ascii="Arial" w:hAnsi="Arial" w:cs="Arial"/>
        <w:sz w:val="20"/>
        <w:szCs w:val="20"/>
      </w:rPr>
      <w:t>6</w:t>
    </w:r>
    <w:r w:rsidRPr="009D2C71">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2090" w14:paraId="4EB12445" w14:textId="77777777">
      <w:r>
        <w:separator/>
      </w:r>
    </w:p>
  </w:footnote>
  <w:footnote w:type="continuationSeparator" w:id="1">
    <w:p w:rsidR="00882090" w14:paraId="52E08D5F" w14:textId="77777777">
      <w:r>
        <w:continuationSeparator/>
      </w:r>
    </w:p>
  </w:footnote>
  <w:footnote w:id="2">
    <w:p w:rsidR="00DB1A9F" w:rsidRPr="00F14540" w:rsidP="00DB1A9F" w14:paraId="0BEAFAAC" w14:textId="77777777">
      <w:pPr>
        <w:pStyle w:val="FootnoteText"/>
        <w:rPr>
          <w:rFonts w:ascii="Arial" w:hAnsi="Arial" w:cs="Arial"/>
        </w:rPr>
      </w:pPr>
      <w:r w:rsidRPr="000F3B3D">
        <w:rPr>
          <w:rStyle w:val="FootnoteReference"/>
          <w:rFonts w:ascii="Arial" w:hAnsi="Arial" w:cs="Arial"/>
          <w:sz w:val="22"/>
          <w:szCs w:val="22"/>
        </w:rPr>
        <w:footnoteRef/>
      </w:r>
      <w:r w:rsidRPr="000F3B3D">
        <w:rPr>
          <w:rFonts w:ascii="Arial" w:hAnsi="Arial" w:cs="Arial"/>
          <w:sz w:val="22"/>
          <w:szCs w:val="22"/>
        </w:rPr>
        <w:t xml:space="preserve"> </w:t>
      </w:r>
      <w:r>
        <w:rPr>
          <w:rFonts w:ascii="Arial" w:hAnsi="Arial" w:cs="Arial"/>
        </w:rPr>
        <w:t xml:space="preserve">Nonbeverage articles include </w:t>
      </w:r>
      <w:r w:rsidRPr="00DB1A9F">
        <w:rPr>
          <w:rFonts w:ascii="Arial" w:hAnsi="Arial" w:cs="Arial"/>
        </w:rPr>
        <w:t>medicines, medicinal preparations, food products, flavors, flavoring extracts, and perfume that are unfit for beverage purposes</w:t>
      </w:r>
      <w:r>
        <w:rPr>
          <w:rFonts w:ascii="Arial" w:hAnsi="Arial" w:cs="Arial"/>
        </w:rPr>
        <w:t xml:space="preserve">. </w:t>
      </w:r>
    </w:p>
  </w:footnote>
  <w:footnote w:id="3">
    <w:p w:rsidR="003F7561" w:rsidRPr="00320DFB" w:rsidP="003F7561" w14:paraId="289E8932" w14:textId="08E30577">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sidRPr="00320DFB">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w:t>
      </w:r>
      <w:r>
        <w:rPr>
          <w:rFonts w:ascii="Arial" w:hAnsi="Arial" w:cs="Arial"/>
          <w:sz w:val="18"/>
          <w:szCs w:val="18"/>
        </w:rPr>
        <w:t>, the averaged</w:t>
      </w:r>
      <w:r w:rsidR="00161950">
        <w:rPr>
          <w:rFonts w:ascii="Arial" w:hAnsi="Arial" w:cs="Arial"/>
          <w:sz w:val="18"/>
          <w:szCs w:val="18"/>
        </w:rPr>
        <w:t xml:space="preserve"> </w:t>
      </w:r>
      <w:r>
        <w:rPr>
          <w:rFonts w:ascii="Arial" w:hAnsi="Arial" w:cs="Arial"/>
          <w:sz w:val="18"/>
          <w:szCs w:val="18"/>
        </w:rPr>
        <w:t>fully-loaded wage</w:t>
      </w:r>
      <w:r w:rsidRPr="00320DFB">
        <w:rPr>
          <w:rFonts w:ascii="Arial" w:hAnsi="Arial" w:cs="Arial"/>
          <w:sz w:val="18"/>
          <w:szCs w:val="18"/>
        </w:rPr>
        <w:t xml:space="preserve"> for Chemists </w:t>
      </w:r>
      <w:r w:rsidR="00075679">
        <w:rPr>
          <w:rFonts w:ascii="Arial" w:hAnsi="Arial" w:cs="Arial"/>
          <w:sz w:val="18"/>
          <w:szCs w:val="18"/>
        </w:rPr>
        <w:t xml:space="preserve">(19–2031) </w:t>
      </w:r>
      <w:r w:rsidRPr="00320DFB">
        <w:rPr>
          <w:rFonts w:ascii="Arial" w:hAnsi="Arial" w:cs="Arial"/>
          <w:sz w:val="18"/>
          <w:szCs w:val="18"/>
        </w:rPr>
        <w:t>in the Pharmaceutical and Medicine (NAICS 325400) and the Soap, Cleaning Compound, and Toilet Preparation (NAIC 325600) Manufacturing Industries, is $5</w:t>
      </w:r>
      <w:r w:rsidR="00075679">
        <w:rPr>
          <w:rFonts w:ascii="Arial" w:hAnsi="Arial" w:cs="Arial"/>
          <w:sz w:val="18"/>
          <w:szCs w:val="18"/>
        </w:rPr>
        <w:t>9.76</w:t>
      </w:r>
      <w:r w:rsidRPr="00320DFB">
        <w:rPr>
          <w:rFonts w:ascii="Arial" w:hAnsi="Arial" w:cs="Arial"/>
          <w:sz w:val="18"/>
          <w:szCs w:val="18"/>
        </w:rPr>
        <w:t xml:space="preserve"> (</w:t>
      </w:r>
      <w:r w:rsidR="00075679">
        <w:rPr>
          <w:rFonts w:ascii="Arial" w:hAnsi="Arial" w:cs="Arial"/>
          <w:sz w:val="18"/>
          <w:szCs w:val="18"/>
        </w:rPr>
        <w:t xml:space="preserve">based on respective mean hourly wages of $42.11 and $40.89).  See </w:t>
      </w:r>
      <w:r w:rsidRPr="00075679" w:rsidR="00075679">
        <w:rPr>
          <w:rFonts w:ascii="Arial" w:hAnsi="Arial" w:cs="Arial"/>
          <w:i/>
          <w:iCs/>
          <w:sz w:val="18"/>
          <w:szCs w:val="18"/>
        </w:rPr>
        <w:t>https://data.bls.gov/oes/#/industry/325400</w:t>
      </w:r>
      <w:r w:rsidR="00075679">
        <w:rPr>
          <w:rFonts w:ascii="Arial" w:hAnsi="Arial" w:cs="Arial"/>
          <w:sz w:val="18"/>
          <w:szCs w:val="18"/>
        </w:rPr>
        <w:t xml:space="preserve"> and </w:t>
      </w:r>
      <w:r w:rsidRPr="00075679" w:rsidR="00075679">
        <w:rPr>
          <w:rFonts w:ascii="Arial" w:hAnsi="Arial" w:cs="Arial"/>
          <w:sz w:val="18"/>
          <w:szCs w:val="18"/>
        </w:rPr>
        <w:t>https://data.bls.gov/oes/#/industry/3250A2</w:t>
      </w:r>
      <w:r w:rsidR="00075679">
        <w:rPr>
          <w:rFonts w:ascii="Arial" w:hAnsi="Arial" w:cs="Arial"/>
          <w:sz w:val="18"/>
          <w:szCs w:val="18"/>
        </w:rPr>
        <w:t xml:space="preserve">. </w:t>
      </w:r>
    </w:p>
  </w:footnote>
  <w:footnote w:id="4">
    <w:p w:rsidR="003F7561" w:rsidRPr="003660A3" w:rsidP="003F7561" w14:paraId="1403477D" w14:textId="1B08A3CA">
      <w:pPr>
        <w:suppressAutoHyphens/>
        <w:rPr>
          <w:rFonts w:ascii="Arial" w:hAnsi="Arial" w:cs="Arial"/>
          <w:sz w:val="18"/>
          <w:szCs w:val="18"/>
        </w:rPr>
      </w:pPr>
      <w:r w:rsidRPr="00537036">
        <w:rPr>
          <w:rStyle w:val="FootnoteReference"/>
          <w:rFonts w:ascii="Arial" w:hAnsi="Arial" w:cs="Arial"/>
          <w:sz w:val="22"/>
          <w:szCs w:val="22"/>
        </w:rPr>
        <w:footnoteRef/>
      </w:r>
      <w:r w:rsidRPr="00537036">
        <w:rPr>
          <w:rFonts w:ascii="Arial" w:hAnsi="Arial" w:cs="Arial"/>
          <w:sz w:val="22"/>
          <w:szCs w:val="22"/>
        </w:rPr>
        <w:t xml:space="preserve"> </w:t>
      </w:r>
      <w:r w:rsidRPr="003660A3">
        <w:rPr>
          <w:rFonts w:ascii="Arial" w:hAnsi="Arial" w:cs="Arial"/>
          <w:sz w:val="18"/>
          <w:szCs w:val="18"/>
        </w:rPr>
        <w:t xml:space="preserve">Federal Government Fully-loaded Labor Rate = Hourly wage rate x 1.63 to account for benefit costs.  Per the most recent Office of Personnel Management (OPM) Federal hourly wage data, the fully-loaded labor rates for the </w:t>
      </w:r>
      <w:r>
        <w:rPr>
          <w:rFonts w:ascii="Arial" w:hAnsi="Arial" w:cs="Arial"/>
          <w:sz w:val="18"/>
          <w:szCs w:val="18"/>
        </w:rPr>
        <w:t>Washington, DC wage area are</w:t>
      </w:r>
      <w:r w:rsidR="00D11374">
        <w:rPr>
          <w:rFonts w:ascii="Arial" w:hAnsi="Arial" w:cs="Arial"/>
          <w:sz w:val="18"/>
          <w:szCs w:val="18"/>
        </w:rPr>
        <w:t xml:space="preserve"> </w:t>
      </w:r>
      <w:r>
        <w:rPr>
          <w:rFonts w:ascii="Arial" w:hAnsi="Arial" w:cs="Arial"/>
          <w:sz w:val="18"/>
          <w:szCs w:val="18"/>
        </w:rPr>
        <w:t>$53.22</w:t>
      </w:r>
      <w:r w:rsidR="00D11374">
        <w:rPr>
          <w:rFonts w:ascii="Arial" w:hAnsi="Arial" w:cs="Arial"/>
          <w:sz w:val="18"/>
          <w:szCs w:val="18"/>
        </w:rPr>
        <w:t xml:space="preserve"> for a GS-9, step 5, employee, and $120.85 for a GS-15, step 5, employee.  For TTB chemists, TTB calculates the average fully loaded labor rate as $78.32, as the TTB Nonbeverage Laboratory employs </w:t>
      </w:r>
      <w:r w:rsidRPr="00D11374" w:rsidR="00D11374">
        <w:rPr>
          <w:rFonts w:ascii="Arial" w:hAnsi="Arial" w:cs="Arial"/>
          <w:sz w:val="18"/>
          <w:szCs w:val="18"/>
        </w:rPr>
        <w:t xml:space="preserve">1 GS–9, 1 GS–11, 4 GS–12, 1 GS–13, and 1 GS–14 chemists.  </w:t>
      </w:r>
      <w:r w:rsidR="00D11374">
        <w:rPr>
          <w:rFonts w:ascii="Arial" w:hAnsi="Arial" w:cs="Arial"/>
          <w:sz w:val="18"/>
          <w:szCs w:val="18"/>
        </w:rPr>
        <w:t>At the step 5 level for each of those GS grades, t</w:t>
      </w:r>
      <w:r w:rsidRPr="00D11374" w:rsidR="00D11374">
        <w:rPr>
          <w:rFonts w:ascii="Arial" w:hAnsi="Arial" w:cs="Arial"/>
          <w:sz w:val="18"/>
          <w:szCs w:val="18"/>
        </w:rPr>
        <w:t>he average fully-loaded wage rate for those employees is $78.32.</w:t>
      </w:r>
      <w:r w:rsidR="00D11374">
        <w:rPr>
          <w:rFonts w:ascii="Arial" w:hAnsi="Arial" w:cs="Arial"/>
          <w:sz w:val="18"/>
          <w:szCs w:val="18"/>
        </w:rPr>
        <w:t xml:space="preserve">  </w:t>
      </w:r>
      <w:r w:rsidR="002950C3">
        <w:rPr>
          <w:rFonts w:ascii="Arial" w:hAnsi="Arial" w:cs="Arial"/>
          <w:sz w:val="18"/>
          <w:szCs w:val="18"/>
        </w:rPr>
        <w:t>See</w:t>
      </w:r>
      <w:r w:rsidRPr="003660A3">
        <w:rPr>
          <w:rFonts w:ascii="Arial" w:hAnsi="Arial" w:cs="Arial"/>
          <w:sz w:val="18"/>
          <w:szCs w:val="18"/>
        </w:rPr>
        <w:t xml:space="preserve"> the OPM website at </w:t>
      </w:r>
      <w:r w:rsidRPr="002950C3" w:rsidR="002950C3">
        <w:rPr>
          <w:rFonts w:ascii="Arial" w:hAnsi="Arial" w:cs="Arial"/>
          <w:i/>
          <w:sz w:val="18"/>
          <w:szCs w:val="18"/>
        </w:rPr>
        <w:t>https://www.opm.gov/policy-data-oversight/pay-leave/salaries-wages/salary-tables/pdf/2022/DCB_h.pdf</w:t>
      </w:r>
      <w:r w:rsidR="002950C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090" w:rsidRPr="007A5D4B" w:rsidP="007A5D4B" w14:paraId="63A4F76C" w14:textId="10FFE4D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847A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9306277">
    <w:abstractNumId w:val="6"/>
  </w:num>
  <w:num w:numId="2" w16cid:durableId="1881745083">
    <w:abstractNumId w:val="1"/>
  </w:num>
  <w:num w:numId="3" w16cid:durableId="2107261341">
    <w:abstractNumId w:val="0"/>
  </w:num>
  <w:num w:numId="4" w16cid:durableId="1220936936">
    <w:abstractNumId w:val="7"/>
  </w:num>
  <w:num w:numId="5" w16cid:durableId="877277012">
    <w:abstractNumId w:val="2"/>
  </w:num>
  <w:num w:numId="6" w16cid:durableId="20328639">
    <w:abstractNumId w:val="3"/>
  </w:num>
  <w:num w:numId="7" w16cid:durableId="633680160">
    <w:abstractNumId w:val="5"/>
  </w:num>
  <w:num w:numId="8" w16cid:durableId="1851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387"/>
    <w:rsid w:val="00010FCE"/>
    <w:rsid w:val="00012E43"/>
    <w:rsid w:val="00014CEB"/>
    <w:rsid w:val="00020953"/>
    <w:rsid w:val="0003032C"/>
    <w:rsid w:val="00030CEB"/>
    <w:rsid w:val="000329F4"/>
    <w:rsid w:val="00040D04"/>
    <w:rsid w:val="0004708F"/>
    <w:rsid w:val="000473AC"/>
    <w:rsid w:val="0004764C"/>
    <w:rsid w:val="00074898"/>
    <w:rsid w:val="00075679"/>
    <w:rsid w:val="000843D3"/>
    <w:rsid w:val="000865A0"/>
    <w:rsid w:val="00090251"/>
    <w:rsid w:val="00095F53"/>
    <w:rsid w:val="000A207A"/>
    <w:rsid w:val="000A2E33"/>
    <w:rsid w:val="000A4E1A"/>
    <w:rsid w:val="000B3E08"/>
    <w:rsid w:val="000B6799"/>
    <w:rsid w:val="000D515B"/>
    <w:rsid w:val="000D6313"/>
    <w:rsid w:val="000F3B3D"/>
    <w:rsid w:val="00101DE7"/>
    <w:rsid w:val="00123B4F"/>
    <w:rsid w:val="00145D1D"/>
    <w:rsid w:val="0016089A"/>
    <w:rsid w:val="001608E4"/>
    <w:rsid w:val="00161950"/>
    <w:rsid w:val="00170117"/>
    <w:rsid w:val="001B020D"/>
    <w:rsid w:val="001C3456"/>
    <w:rsid w:val="001D1BE8"/>
    <w:rsid w:val="001E7BDE"/>
    <w:rsid w:val="001F2913"/>
    <w:rsid w:val="001F7A31"/>
    <w:rsid w:val="00202530"/>
    <w:rsid w:val="002067F6"/>
    <w:rsid w:val="00207E00"/>
    <w:rsid w:val="00215DF5"/>
    <w:rsid w:val="00217540"/>
    <w:rsid w:val="0022156B"/>
    <w:rsid w:val="00223954"/>
    <w:rsid w:val="00226A39"/>
    <w:rsid w:val="002272EF"/>
    <w:rsid w:val="00227B1C"/>
    <w:rsid w:val="00240485"/>
    <w:rsid w:val="00250066"/>
    <w:rsid w:val="00262DA4"/>
    <w:rsid w:val="00273CEE"/>
    <w:rsid w:val="00276081"/>
    <w:rsid w:val="00276E99"/>
    <w:rsid w:val="0028082E"/>
    <w:rsid w:val="002950C3"/>
    <w:rsid w:val="002B47FB"/>
    <w:rsid w:val="002C3E57"/>
    <w:rsid w:val="002D1324"/>
    <w:rsid w:val="002E5319"/>
    <w:rsid w:val="002E6145"/>
    <w:rsid w:val="003116FF"/>
    <w:rsid w:val="00320DFB"/>
    <w:rsid w:val="003301DA"/>
    <w:rsid w:val="0033260C"/>
    <w:rsid w:val="003660A3"/>
    <w:rsid w:val="00381FFC"/>
    <w:rsid w:val="0038747C"/>
    <w:rsid w:val="003A4DFA"/>
    <w:rsid w:val="003C1FD2"/>
    <w:rsid w:val="003C4B7F"/>
    <w:rsid w:val="003D42D8"/>
    <w:rsid w:val="003E3212"/>
    <w:rsid w:val="003E41DB"/>
    <w:rsid w:val="003F29C3"/>
    <w:rsid w:val="003F7561"/>
    <w:rsid w:val="0040416C"/>
    <w:rsid w:val="00440472"/>
    <w:rsid w:val="0044244B"/>
    <w:rsid w:val="0044522E"/>
    <w:rsid w:val="00447B6B"/>
    <w:rsid w:val="00492D99"/>
    <w:rsid w:val="004A3DE5"/>
    <w:rsid w:val="004C3724"/>
    <w:rsid w:val="004D086A"/>
    <w:rsid w:val="004D1808"/>
    <w:rsid w:val="004D3468"/>
    <w:rsid w:val="004D4299"/>
    <w:rsid w:val="004E2C89"/>
    <w:rsid w:val="004E4336"/>
    <w:rsid w:val="004F58E2"/>
    <w:rsid w:val="004F62C7"/>
    <w:rsid w:val="0050368E"/>
    <w:rsid w:val="005278E4"/>
    <w:rsid w:val="0053025E"/>
    <w:rsid w:val="00536D29"/>
    <w:rsid w:val="00537036"/>
    <w:rsid w:val="0054243D"/>
    <w:rsid w:val="0054353B"/>
    <w:rsid w:val="00566208"/>
    <w:rsid w:val="005A5797"/>
    <w:rsid w:val="005A6AF2"/>
    <w:rsid w:val="005B2357"/>
    <w:rsid w:val="005C04CC"/>
    <w:rsid w:val="005C282B"/>
    <w:rsid w:val="005C2E54"/>
    <w:rsid w:val="005E4F99"/>
    <w:rsid w:val="005E4F9B"/>
    <w:rsid w:val="00613B42"/>
    <w:rsid w:val="006244FF"/>
    <w:rsid w:val="00625F0E"/>
    <w:rsid w:val="00631780"/>
    <w:rsid w:val="00631967"/>
    <w:rsid w:val="00663972"/>
    <w:rsid w:val="0066740E"/>
    <w:rsid w:val="006835BF"/>
    <w:rsid w:val="0069718A"/>
    <w:rsid w:val="006A35C6"/>
    <w:rsid w:val="006A3745"/>
    <w:rsid w:val="006B17E1"/>
    <w:rsid w:val="006B223B"/>
    <w:rsid w:val="006C7F52"/>
    <w:rsid w:val="006E56C4"/>
    <w:rsid w:val="006F2142"/>
    <w:rsid w:val="00721C76"/>
    <w:rsid w:val="00734B25"/>
    <w:rsid w:val="00736DD6"/>
    <w:rsid w:val="007440F1"/>
    <w:rsid w:val="007554DD"/>
    <w:rsid w:val="00774626"/>
    <w:rsid w:val="00786ADA"/>
    <w:rsid w:val="007A5D4B"/>
    <w:rsid w:val="007B30A2"/>
    <w:rsid w:val="007B4E08"/>
    <w:rsid w:val="007C66EA"/>
    <w:rsid w:val="007D5727"/>
    <w:rsid w:val="007D6E9B"/>
    <w:rsid w:val="007E319C"/>
    <w:rsid w:val="007E57D5"/>
    <w:rsid w:val="007F126B"/>
    <w:rsid w:val="007F40E3"/>
    <w:rsid w:val="008007F9"/>
    <w:rsid w:val="00804B0C"/>
    <w:rsid w:val="008074CD"/>
    <w:rsid w:val="00811A04"/>
    <w:rsid w:val="00827956"/>
    <w:rsid w:val="0083078E"/>
    <w:rsid w:val="00835C62"/>
    <w:rsid w:val="008440E5"/>
    <w:rsid w:val="0084640C"/>
    <w:rsid w:val="008471C7"/>
    <w:rsid w:val="00851169"/>
    <w:rsid w:val="00853E85"/>
    <w:rsid w:val="008603B9"/>
    <w:rsid w:val="00874C51"/>
    <w:rsid w:val="00882090"/>
    <w:rsid w:val="00895113"/>
    <w:rsid w:val="008A1799"/>
    <w:rsid w:val="008B0362"/>
    <w:rsid w:val="008B146B"/>
    <w:rsid w:val="008C399F"/>
    <w:rsid w:val="008C4CF1"/>
    <w:rsid w:val="008E2469"/>
    <w:rsid w:val="008E4131"/>
    <w:rsid w:val="008F5C4B"/>
    <w:rsid w:val="00905516"/>
    <w:rsid w:val="00922A15"/>
    <w:rsid w:val="00960326"/>
    <w:rsid w:val="0096457D"/>
    <w:rsid w:val="00965E7F"/>
    <w:rsid w:val="00987432"/>
    <w:rsid w:val="00990656"/>
    <w:rsid w:val="009A1CD5"/>
    <w:rsid w:val="009A6532"/>
    <w:rsid w:val="009B6E41"/>
    <w:rsid w:val="009C4A3F"/>
    <w:rsid w:val="009D2C71"/>
    <w:rsid w:val="009E4E4C"/>
    <w:rsid w:val="009F365E"/>
    <w:rsid w:val="00A06638"/>
    <w:rsid w:val="00A17E04"/>
    <w:rsid w:val="00A201BF"/>
    <w:rsid w:val="00A24D97"/>
    <w:rsid w:val="00A33644"/>
    <w:rsid w:val="00A5167D"/>
    <w:rsid w:val="00A5320B"/>
    <w:rsid w:val="00A55D85"/>
    <w:rsid w:val="00AA0366"/>
    <w:rsid w:val="00AA34C9"/>
    <w:rsid w:val="00AA3F8F"/>
    <w:rsid w:val="00AA64FB"/>
    <w:rsid w:val="00AA6881"/>
    <w:rsid w:val="00AC18B9"/>
    <w:rsid w:val="00AC686F"/>
    <w:rsid w:val="00AF060A"/>
    <w:rsid w:val="00AF1157"/>
    <w:rsid w:val="00B06EE5"/>
    <w:rsid w:val="00B1047F"/>
    <w:rsid w:val="00B2259E"/>
    <w:rsid w:val="00B23FF6"/>
    <w:rsid w:val="00B31E02"/>
    <w:rsid w:val="00B37231"/>
    <w:rsid w:val="00B508E9"/>
    <w:rsid w:val="00B72AC4"/>
    <w:rsid w:val="00B95061"/>
    <w:rsid w:val="00BA1A21"/>
    <w:rsid w:val="00BA1CD0"/>
    <w:rsid w:val="00BB67E5"/>
    <w:rsid w:val="00BC1D1F"/>
    <w:rsid w:val="00BD3333"/>
    <w:rsid w:val="00BE3C19"/>
    <w:rsid w:val="00BF1991"/>
    <w:rsid w:val="00C1362D"/>
    <w:rsid w:val="00C178A5"/>
    <w:rsid w:val="00C271EA"/>
    <w:rsid w:val="00C5167B"/>
    <w:rsid w:val="00C654BE"/>
    <w:rsid w:val="00C71838"/>
    <w:rsid w:val="00CA07BF"/>
    <w:rsid w:val="00CA4EA1"/>
    <w:rsid w:val="00CA6AEA"/>
    <w:rsid w:val="00CA7E3C"/>
    <w:rsid w:val="00CB7899"/>
    <w:rsid w:val="00CC2DE7"/>
    <w:rsid w:val="00CD1325"/>
    <w:rsid w:val="00CD21EC"/>
    <w:rsid w:val="00CF1C87"/>
    <w:rsid w:val="00CF4427"/>
    <w:rsid w:val="00D004D6"/>
    <w:rsid w:val="00D01AA2"/>
    <w:rsid w:val="00D03A61"/>
    <w:rsid w:val="00D059BB"/>
    <w:rsid w:val="00D11374"/>
    <w:rsid w:val="00D2179F"/>
    <w:rsid w:val="00D24970"/>
    <w:rsid w:val="00D33608"/>
    <w:rsid w:val="00D414AB"/>
    <w:rsid w:val="00D50640"/>
    <w:rsid w:val="00D56B01"/>
    <w:rsid w:val="00D6325C"/>
    <w:rsid w:val="00D656EA"/>
    <w:rsid w:val="00D73D2D"/>
    <w:rsid w:val="00D742EE"/>
    <w:rsid w:val="00D7555F"/>
    <w:rsid w:val="00D76DF0"/>
    <w:rsid w:val="00D85E10"/>
    <w:rsid w:val="00D87CE7"/>
    <w:rsid w:val="00DA29D8"/>
    <w:rsid w:val="00DB1A9F"/>
    <w:rsid w:val="00DB3323"/>
    <w:rsid w:val="00DC6A56"/>
    <w:rsid w:val="00DD0B6F"/>
    <w:rsid w:val="00DD3DD0"/>
    <w:rsid w:val="00DD65E0"/>
    <w:rsid w:val="00DD75AC"/>
    <w:rsid w:val="00DF1B05"/>
    <w:rsid w:val="00DF5F98"/>
    <w:rsid w:val="00E01FA2"/>
    <w:rsid w:val="00E115FD"/>
    <w:rsid w:val="00E12B0A"/>
    <w:rsid w:val="00E323CD"/>
    <w:rsid w:val="00E414F9"/>
    <w:rsid w:val="00E41ED9"/>
    <w:rsid w:val="00E45CBA"/>
    <w:rsid w:val="00E51AD7"/>
    <w:rsid w:val="00E56E11"/>
    <w:rsid w:val="00E66CBC"/>
    <w:rsid w:val="00E77AB4"/>
    <w:rsid w:val="00E847AF"/>
    <w:rsid w:val="00E85DE4"/>
    <w:rsid w:val="00E86361"/>
    <w:rsid w:val="00E86B1B"/>
    <w:rsid w:val="00E97392"/>
    <w:rsid w:val="00EA55F0"/>
    <w:rsid w:val="00EC4FC3"/>
    <w:rsid w:val="00ED4A03"/>
    <w:rsid w:val="00ED7233"/>
    <w:rsid w:val="00EE1585"/>
    <w:rsid w:val="00EE4237"/>
    <w:rsid w:val="00EE74CD"/>
    <w:rsid w:val="00EF5282"/>
    <w:rsid w:val="00F03208"/>
    <w:rsid w:val="00F058FA"/>
    <w:rsid w:val="00F10C50"/>
    <w:rsid w:val="00F14540"/>
    <w:rsid w:val="00F34360"/>
    <w:rsid w:val="00F3568D"/>
    <w:rsid w:val="00F441D1"/>
    <w:rsid w:val="00F618E0"/>
    <w:rsid w:val="00F70BCE"/>
    <w:rsid w:val="00F95A6D"/>
    <w:rsid w:val="00FA228E"/>
    <w:rsid w:val="00FA307E"/>
    <w:rsid w:val="00FA5928"/>
    <w:rsid w:val="00FA7DF9"/>
    <w:rsid w:val="00FB3939"/>
    <w:rsid w:val="00FD18EE"/>
    <w:rsid w:val="00FD70C3"/>
    <w:rsid w:val="00FE1B7A"/>
    <w:rsid w:val="00FE29D6"/>
    <w:rsid w:val="00FE6E61"/>
    <w:rsid w:val="00FF0C74"/>
    <w:rsid w:val="00FF2839"/>
    <w:rsid w:val="00FF3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52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Default">
    <w:name w:val="Default"/>
    <w:rsid w:val="0089511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6B17E1"/>
    <w:rPr>
      <w:sz w:val="20"/>
      <w:szCs w:val="20"/>
    </w:rPr>
  </w:style>
  <w:style w:type="character" w:customStyle="1" w:styleId="FootnoteTextChar">
    <w:name w:val="Footnote Text Char"/>
    <w:basedOn w:val="DefaultParagraphFont"/>
    <w:link w:val="FootnoteText"/>
    <w:rsid w:val="006B17E1"/>
  </w:style>
  <w:style w:type="character" w:styleId="FootnoteReference">
    <w:name w:val="footnote reference"/>
    <w:basedOn w:val="DefaultParagraphFont"/>
    <w:uiPriority w:val="99"/>
    <w:rsid w:val="006B17E1"/>
    <w:rPr>
      <w:vertAlign w:val="superscript"/>
    </w:rPr>
  </w:style>
  <w:style w:type="character" w:customStyle="1" w:styleId="HeaderChar">
    <w:name w:val="Header Char"/>
    <w:basedOn w:val="DefaultParagraphFont"/>
    <w:link w:val="Header"/>
    <w:uiPriority w:val="99"/>
    <w:rsid w:val="009D2C71"/>
  </w:style>
  <w:style w:type="paragraph" w:styleId="ListParagraph">
    <w:name w:val="List Paragraph"/>
    <w:basedOn w:val="Normal"/>
    <w:uiPriority w:val="34"/>
    <w:qFormat/>
    <w:rsid w:val="009D2C71"/>
    <w:pPr>
      <w:spacing w:after="200" w:line="276" w:lineRule="auto"/>
      <w:ind w:left="720"/>
    </w:pPr>
    <w:rPr>
      <w:rFonts w:ascii="Calibri" w:hAnsi="Calibri"/>
      <w:sz w:val="22"/>
      <w:szCs w:val="22"/>
    </w:rPr>
  </w:style>
  <w:style w:type="table" w:customStyle="1" w:styleId="TableGrid1">
    <w:name w:val="Table Grid1"/>
    <w:basedOn w:val="TableNormal"/>
    <w:next w:val="TableGrid"/>
    <w:uiPriority w:val="39"/>
    <w:rsid w:val="003F75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F75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416C"/>
    <w:rPr>
      <w:color w:val="605E5C"/>
      <w:shd w:val="clear" w:color="auto" w:fill="E1DFDD"/>
    </w:rPr>
  </w:style>
  <w:style w:type="paragraph" w:styleId="Revision">
    <w:name w:val="Revision"/>
    <w:hidden/>
    <w:uiPriority w:val="99"/>
    <w:semiHidden/>
    <w:rsid w:val="009C4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8A31-E32C-440B-B102-2D004D4C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2026-04-08T15:32:00Z</dcterms:created>
  <dcterms:modified xsi:type="dcterms:W3CDTF">2026-04-08T15:32:00Z</dcterms:modified>
</cp:coreProperties>
</file>