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sdt>
      <w:sdtPr>
        <w:rPr>
          <w:rFonts w:ascii="Times New Roman" w:hAnsi="Times New Roman" w:cs="Times New Roman"/>
          <w:noProof/>
        </w:rPr>
        <w:id w:val="37707067"/>
        <w:docPartObj>
          <w:docPartGallery w:val="Cover Pages"/>
        </w:docPartObj>
      </w:sdtPr>
      <w:sdtEndPr>
        <w:rPr>
          <w:noProof w:val="0"/>
        </w:rPr>
      </w:sdtEndPr>
      <w:sdtContent>
        <w:p w:rsidR="00041909" w:rsidRPr="00106C21" w:rsidP="00FE2197" w14:paraId="427FB855" w14:textId="39EBA449">
          <w:pPr>
            <w:rPr>
              <w:rFonts w:ascii="Times New Roman" w:hAnsi="Times New Roman" w:cs="Times New Roman"/>
            </w:rPr>
          </w:pPr>
          <w:r>
            <w:rPr>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0" b="0"/>
                    <wp:wrapThrough wrapText="bothSides">
                      <wp:wrapPolygon>
                        <wp:start x="0" y="0"/>
                        <wp:lineTo x="0" y="9000"/>
                        <wp:lineTo x="21540" y="9000"/>
                        <wp:lineTo x="21540" y="0"/>
                        <wp:lineTo x="0" y="0"/>
                      </wp:wrapPolygon>
                    </wp:wrapThrough>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w10:wrap type="through"/>
                  </v:rect>
                </w:pict>
              </mc:Fallback>
            </mc:AlternateContent>
          </w:r>
          <w:r w:rsidRPr="00106C21" w:rsidR="001F3A8F">
            <w:rPr>
              <w:rFonts w:ascii="Times New Roman" w:hAnsi="Times New Roman" w:cs="Times New Roman"/>
              <w:noProof/>
            </w:rPr>
            <w:softHyphen/>
          </w:r>
          <w:r w:rsidRPr="00106C21" w:rsidR="001F3A8F">
            <w:rPr>
              <w:rFonts w:ascii="Times New Roman" w:hAnsi="Times New Roman" w:cs="Times New Roman"/>
              <w:noProof/>
            </w:rPr>
            <w:softHyphen/>
          </w:r>
        </w:p>
      </w:sdtContent>
    </w:sdt>
    <w:p w:rsidR="00D928FD" w:rsidRPr="00106C21" w:rsidP="00D928FD" w14:paraId="38CF6102" w14:textId="0CDA5017">
      <w:pPr>
        <w:rPr>
          <w:rFonts w:ascii="Times New Roman" w:hAnsi="Times New Roman" w:cs="Times New Roman"/>
        </w:rPr>
      </w:pPr>
    </w:p>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RPr="00106C21" w:rsidP="00711414" w14:paraId="06C95230" w14:textId="1032CCA0">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DOE’s Title 17 Energy Financing Program</w:t>
          </w:r>
        </w:p>
      </w:sdtContent>
    </w:sdt>
    <w:p w:rsidR="00B041DD" w:rsidRPr="00106C21" w:rsidP="00632AE9" w14:paraId="56F9DC23" w14:textId="3533327F">
      <w:pPr>
        <w:pStyle w:val="Heading1"/>
        <w:rPr>
          <w:rFonts w:ascii="Times New Roman" w:hAnsi="Times New Roman" w:cs="Times New Roman"/>
          <w:b/>
          <w:bCs/>
        </w:rPr>
      </w:pPr>
      <w:bookmarkStart w:id="0" w:name="_Toc16271317"/>
      <w:r w:rsidRPr="00106C21">
        <w:rPr>
          <w:rFonts w:ascii="Times New Roman" w:hAnsi="Times New Roman" w:cs="Times New Roman"/>
          <w:b/>
          <w:bCs/>
        </w:rPr>
        <w:t>Part A: Justification</w:t>
      </w:r>
      <w:bookmarkEnd w:id="0"/>
    </w:p>
    <w:p w:rsidR="00B041DD" w:rsidRPr="00106C21" w:rsidP="00632AE9" w14:paraId="6204D2BC" w14:textId="2B9365B8">
      <w:pPr>
        <w:pStyle w:val="Heading1"/>
        <w:rPr>
          <w:rFonts w:ascii="Times New Roman" w:hAnsi="Times New Roman" w:cs="Times New Roman"/>
          <w:b/>
          <w:bCs/>
        </w:rPr>
      </w:pPr>
      <w:r w:rsidRPr="00106C21">
        <w:rPr>
          <w:rFonts w:ascii="Times New Roman" w:hAnsi="Times New Roman" w:cs="Times New Roman"/>
          <w:b/>
          <w:bCs/>
        </w:rPr>
        <w:t>OMB No. 1910-513</w:t>
      </w:r>
      <w:r w:rsidRPr="00106C21" w:rsidR="000863C0">
        <w:rPr>
          <w:rFonts w:ascii="Times New Roman" w:hAnsi="Times New Roman" w:cs="Times New Roman"/>
          <w:b/>
          <w:bCs/>
        </w:rPr>
        <w:t>4</w:t>
      </w:r>
    </w:p>
    <w:p w:rsidR="001F3A8F" w:rsidRPr="00106C21" w:rsidP="00711414" w14:paraId="2D3FC677" w14:textId="18BE5C47">
      <w:pPr>
        <w:rPr>
          <w:rFonts w:ascii="Times New Roman" w:hAnsi="Times New Roman" w:cs="Times New Roman"/>
          <w:i/>
          <w:sz w:val="28"/>
          <w:szCs w:val="28"/>
        </w:rPr>
      </w:pPr>
      <w:r>
        <w:rPr>
          <w:noProof/>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margin">
                  <wp:posOffset>3648075</wp:posOffset>
                </wp:positionV>
                <wp:extent cx="6019800" cy="3476625"/>
                <wp:effectExtent l="0" t="0" r="0" b="0"/>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476625"/>
                        </a:xfrm>
                        <a:prstGeom prst="rect">
                          <a:avLst/>
                        </a:prstGeom>
                        <a:noFill/>
                        <a:ln>
                          <a:noFill/>
                        </a:ln>
                      </wps:spPr>
                      <wps:txbx>
                        <w:txbxContent>
                          <w:p w:rsidR="00B041DD" w:rsidRPr="00F65005" w:rsidP="00FB6BF3" w14:textId="77777777">
                            <w:pPr>
                              <w:rPr>
                                <w:rFonts w:asciiTheme="majorHAnsi" w:hAnsiTheme="majorHAnsi" w:cstheme="majorHAnsi"/>
                                <w:i/>
                                <w:sz w:val="28"/>
                                <w:szCs w:val="28"/>
                              </w:rPr>
                            </w:pPr>
                            <w:r w:rsidRPr="00F65005">
                              <w:rPr>
                                <w:rFonts w:asciiTheme="majorHAnsi" w:hAnsiTheme="majorHAnsi" w:cstheme="majorHAnsi"/>
                                <w:i/>
                                <w:sz w:val="28"/>
                                <w:szCs w:val="28"/>
                              </w:rPr>
                              <w:t>Collection Instruments</w:t>
                            </w:r>
                            <w:r w:rsidRPr="00F65005" w:rsidR="00762782">
                              <w:rPr>
                                <w:rFonts w:asciiTheme="majorHAnsi" w:hAnsiTheme="majorHAnsi" w:cstheme="majorHAnsi"/>
                                <w:i/>
                                <w:sz w:val="28"/>
                                <w:szCs w:val="28"/>
                              </w:rPr>
                              <w:t>:</w:t>
                            </w:r>
                          </w:p>
                          <w:p w:rsidR="00D84D4F" w:rsidRPr="005715C2" w:rsidP="00C54121" w14:textId="4B79DDF0">
                            <w:pPr>
                              <w:pStyle w:val="ListParagraph"/>
                              <w:rPr>
                                <w:rFonts w:asciiTheme="majorHAnsi" w:hAnsiTheme="majorHAnsi" w:cstheme="majorHAnsi"/>
                              </w:rPr>
                            </w:pPr>
                            <w:r w:rsidRPr="005715C2">
                              <w:rPr>
                                <w:rFonts w:asciiTheme="majorHAnsi" w:hAnsiTheme="majorHAnsi" w:cstheme="majorHAnsi"/>
                              </w:rPr>
                              <w:t>Program Guidance for</w:t>
                            </w:r>
                            <w:r w:rsidR="0088266A">
                              <w:rPr>
                                <w:rFonts w:asciiTheme="majorHAnsi" w:hAnsiTheme="majorHAnsi" w:cstheme="majorHAnsi"/>
                              </w:rPr>
                              <w:t xml:space="preserve"> the</w:t>
                            </w:r>
                            <w:r w:rsidRPr="005715C2">
                              <w:rPr>
                                <w:rFonts w:asciiTheme="majorHAnsi" w:hAnsiTheme="majorHAnsi" w:cstheme="majorHAnsi"/>
                              </w:rPr>
                              <w:t xml:space="preserve"> Title 17 Energy Financing Program</w:t>
                            </w:r>
                            <w:r w:rsidR="0088266A">
                              <w:rPr>
                                <w:rFonts w:asciiTheme="majorHAnsi" w:hAnsiTheme="majorHAnsi" w:cstheme="majorHAnsi"/>
                              </w:rPr>
                              <w:t xml:space="preserve"> </w:t>
                            </w:r>
                            <w:r w:rsidRPr="00AD22F5" w:rsidR="0088266A">
                              <w:rPr>
                                <w:rFonts w:asciiTheme="majorHAnsi" w:hAnsiTheme="majorHAnsi" w:cstheme="majorHAnsi"/>
                                <w:i/>
                                <w:iCs/>
                              </w:rPr>
                              <w:t>Including the Energy Dominance</w:t>
                            </w:r>
                            <w:r w:rsidRPr="009561ED" w:rsidR="0088266A">
                              <w:rPr>
                                <w:rFonts w:asciiTheme="majorHAnsi" w:hAnsiTheme="majorHAnsi"/>
                                <w:i/>
                              </w:rPr>
                              <w:t xml:space="preserve"> Financing Program</w:t>
                            </w:r>
                            <w:r w:rsidRPr="005715C2" w:rsidR="00F65005">
                              <w:rPr>
                                <w:rFonts w:asciiTheme="majorHAnsi" w:hAnsiTheme="majorHAnsi" w:cstheme="majorHAnsi"/>
                              </w:rPr>
                              <w:t xml:space="preserve"> (“Program Guide”)</w:t>
                            </w:r>
                          </w:p>
                          <w:p w:rsidR="00F65005" w:rsidRPr="005715C2" w:rsidP="00C54121" w14:textId="057A33C6">
                            <w:pPr>
                              <w:pStyle w:val="ListParagraph"/>
                              <w:rPr>
                                <w:rFonts w:asciiTheme="majorHAnsi" w:hAnsiTheme="majorHAnsi" w:cstheme="majorHAnsi"/>
                              </w:rPr>
                            </w:pPr>
                            <w:r w:rsidRPr="005715C2">
                              <w:rPr>
                                <w:rFonts w:asciiTheme="majorHAnsi" w:hAnsiTheme="majorHAnsi" w:cstheme="majorHAnsi"/>
                              </w:rPr>
                              <w:t>Part I Application Instructions and Attachments (“Part I Application”)</w:t>
                            </w:r>
                          </w:p>
                          <w:p w:rsidR="00F65005" w:rsidRPr="005715C2" w:rsidP="00C54121" w14:textId="33F7E576">
                            <w:pPr>
                              <w:pStyle w:val="ListParagraph"/>
                              <w:rPr>
                                <w:rFonts w:asciiTheme="majorHAnsi" w:hAnsiTheme="majorHAnsi" w:cstheme="majorHAnsi"/>
                              </w:rPr>
                            </w:pPr>
                            <w:r w:rsidRPr="005715C2">
                              <w:rPr>
                                <w:rFonts w:asciiTheme="majorHAnsi" w:hAnsiTheme="majorHAnsi" w:cstheme="majorHAnsi"/>
                              </w:rPr>
                              <w:t>Part II Application Instructions and Attachments (“Part II Application”)</w:t>
                            </w:r>
                          </w:p>
                          <w:p w:rsidR="00F65005" w:rsidRPr="005715C2" w:rsidP="00C54121" w14:textId="7F5C156B">
                            <w:pPr>
                              <w:pStyle w:val="ListParagraph"/>
                              <w:rPr>
                                <w:rFonts w:asciiTheme="majorHAnsi" w:hAnsiTheme="majorHAnsi" w:cstheme="majorHAnsi"/>
                              </w:rPr>
                            </w:pPr>
                            <w:r w:rsidRPr="005715C2">
                              <w:rPr>
                                <w:rFonts w:asciiTheme="majorHAnsi" w:hAnsiTheme="majorHAnsi" w:cstheme="majorHAnsi"/>
                              </w:rPr>
                              <w:t>The Title 17 Clean Energy Financing Program Application Portal (“Application Portal”)</w:t>
                            </w:r>
                          </w:p>
                          <w:p w:rsidR="00D84D4F" w:rsidRPr="000863C0" w:rsidP="009B262C" w14:textId="77777777"/>
                          <w:p w:rsidR="00B041DD" w:rsidRPr="000863C0" w:rsidP="007B19F1" w14:textId="77777777"/>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width:474pt;height:273.75pt;margin-top:287.25pt;margin-left:422.8pt;mso-height-percent:0;mso-height-relative:margin;mso-position-horizontal:right;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B041DD" w:rsidRPr="00F65005" w:rsidP="00FB6BF3" w14:paraId="3E4BCAEB" w14:textId="77777777">
                      <w:pPr>
                        <w:rPr>
                          <w:rFonts w:asciiTheme="majorHAnsi" w:hAnsiTheme="majorHAnsi" w:cstheme="majorHAnsi"/>
                          <w:i/>
                          <w:sz w:val="28"/>
                          <w:szCs w:val="28"/>
                        </w:rPr>
                      </w:pPr>
                      <w:r w:rsidRPr="00F65005">
                        <w:rPr>
                          <w:rFonts w:asciiTheme="majorHAnsi" w:hAnsiTheme="majorHAnsi" w:cstheme="majorHAnsi"/>
                          <w:i/>
                          <w:sz w:val="28"/>
                          <w:szCs w:val="28"/>
                        </w:rPr>
                        <w:t>Collection Instruments</w:t>
                      </w:r>
                      <w:r w:rsidRPr="00F65005" w:rsidR="00762782">
                        <w:rPr>
                          <w:rFonts w:asciiTheme="majorHAnsi" w:hAnsiTheme="majorHAnsi" w:cstheme="majorHAnsi"/>
                          <w:i/>
                          <w:sz w:val="28"/>
                          <w:szCs w:val="28"/>
                        </w:rPr>
                        <w:t>:</w:t>
                      </w:r>
                    </w:p>
                    <w:p w:rsidR="00D84D4F" w:rsidRPr="005715C2" w:rsidP="00C54121" w14:paraId="2E817526" w14:textId="4B79DDF0">
                      <w:pPr>
                        <w:pStyle w:val="ListParagraph"/>
                        <w:rPr>
                          <w:rFonts w:asciiTheme="majorHAnsi" w:hAnsiTheme="majorHAnsi" w:cstheme="majorHAnsi"/>
                        </w:rPr>
                      </w:pPr>
                      <w:r w:rsidRPr="005715C2">
                        <w:rPr>
                          <w:rFonts w:asciiTheme="majorHAnsi" w:hAnsiTheme="majorHAnsi" w:cstheme="majorHAnsi"/>
                        </w:rPr>
                        <w:t>Program Guidance for</w:t>
                      </w:r>
                      <w:r w:rsidR="0088266A">
                        <w:rPr>
                          <w:rFonts w:asciiTheme="majorHAnsi" w:hAnsiTheme="majorHAnsi" w:cstheme="majorHAnsi"/>
                        </w:rPr>
                        <w:t xml:space="preserve"> the</w:t>
                      </w:r>
                      <w:r w:rsidRPr="005715C2">
                        <w:rPr>
                          <w:rFonts w:asciiTheme="majorHAnsi" w:hAnsiTheme="majorHAnsi" w:cstheme="majorHAnsi"/>
                        </w:rPr>
                        <w:t xml:space="preserve"> Title 17 Energy Financing Program</w:t>
                      </w:r>
                      <w:r w:rsidR="0088266A">
                        <w:rPr>
                          <w:rFonts w:asciiTheme="majorHAnsi" w:hAnsiTheme="majorHAnsi" w:cstheme="majorHAnsi"/>
                        </w:rPr>
                        <w:t xml:space="preserve"> </w:t>
                      </w:r>
                      <w:r w:rsidRPr="00AD22F5" w:rsidR="0088266A">
                        <w:rPr>
                          <w:rFonts w:asciiTheme="majorHAnsi" w:hAnsiTheme="majorHAnsi" w:cstheme="majorHAnsi"/>
                          <w:i/>
                          <w:iCs/>
                        </w:rPr>
                        <w:t>Including the Energy Dominance</w:t>
                      </w:r>
                      <w:r w:rsidRPr="009561ED" w:rsidR="0088266A">
                        <w:rPr>
                          <w:rFonts w:asciiTheme="majorHAnsi" w:hAnsiTheme="majorHAnsi"/>
                          <w:i/>
                        </w:rPr>
                        <w:t xml:space="preserve"> Financing Program</w:t>
                      </w:r>
                      <w:r w:rsidRPr="005715C2" w:rsidR="00F65005">
                        <w:rPr>
                          <w:rFonts w:asciiTheme="majorHAnsi" w:hAnsiTheme="majorHAnsi" w:cstheme="majorHAnsi"/>
                        </w:rPr>
                        <w:t xml:space="preserve"> (“Program Guide”)</w:t>
                      </w:r>
                    </w:p>
                    <w:p w:rsidR="00F65005" w:rsidRPr="005715C2" w:rsidP="00C54121" w14:paraId="0FD6C01E" w14:textId="057A33C6">
                      <w:pPr>
                        <w:pStyle w:val="ListParagraph"/>
                        <w:rPr>
                          <w:rFonts w:asciiTheme="majorHAnsi" w:hAnsiTheme="majorHAnsi" w:cstheme="majorHAnsi"/>
                        </w:rPr>
                      </w:pPr>
                      <w:r w:rsidRPr="005715C2">
                        <w:rPr>
                          <w:rFonts w:asciiTheme="majorHAnsi" w:hAnsiTheme="majorHAnsi" w:cstheme="majorHAnsi"/>
                        </w:rPr>
                        <w:t>Part I Application Instructions and Attachments (“Part I Application”)</w:t>
                      </w:r>
                    </w:p>
                    <w:p w:rsidR="00F65005" w:rsidRPr="005715C2" w:rsidP="00C54121" w14:paraId="5694D602" w14:textId="33F7E576">
                      <w:pPr>
                        <w:pStyle w:val="ListParagraph"/>
                        <w:rPr>
                          <w:rFonts w:asciiTheme="majorHAnsi" w:hAnsiTheme="majorHAnsi" w:cstheme="majorHAnsi"/>
                        </w:rPr>
                      </w:pPr>
                      <w:r w:rsidRPr="005715C2">
                        <w:rPr>
                          <w:rFonts w:asciiTheme="majorHAnsi" w:hAnsiTheme="majorHAnsi" w:cstheme="majorHAnsi"/>
                        </w:rPr>
                        <w:t>Part II Application Instructions and Attachments (“Part II Application”)</w:t>
                      </w:r>
                    </w:p>
                    <w:p w:rsidR="00F65005" w:rsidRPr="005715C2" w:rsidP="00C54121" w14:paraId="4471ED68" w14:textId="7F5C156B">
                      <w:pPr>
                        <w:pStyle w:val="ListParagraph"/>
                        <w:rPr>
                          <w:rFonts w:asciiTheme="majorHAnsi" w:hAnsiTheme="majorHAnsi" w:cstheme="majorHAnsi"/>
                        </w:rPr>
                      </w:pPr>
                      <w:r w:rsidRPr="005715C2">
                        <w:rPr>
                          <w:rFonts w:asciiTheme="majorHAnsi" w:hAnsiTheme="majorHAnsi" w:cstheme="majorHAnsi"/>
                        </w:rPr>
                        <w:t>The Title 17 Clean Energy Financing Program Application Portal (“Application Portal”)</w:t>
                      </w:r>
                    </w:p>
                    <w:p w:rsidR="00D84D4F" w:rsidRPr="000863C0" w:rsidP="009B262C" w14:paraId="3777FD82" w14:textId="77777777"/>
                    <w:p w:rsidR="00B041DD" w:rsidRPr="000863C0" w:rsidP="007B19F1" w14:paraId="114541BE" w14:textId="77777777"/>
                  </w:txbxContent>
                </v:textbox>
                <w10:wrap type="square"/>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column">
                  <wp:posOffset>-333375</wp:posOffset>
                </wp:positionH>
                <wp:positionV relativeFrom="paragraph">
                  <wp:posOffset>4630420</wp:posOffset>
                </wp:positionV>
                <wp:extent cx="6858000" cy="62865"/>
                <wp:effectExtent l="0" t="0" r="0" b="0"/>
                <wp:wrapThrough wrapText="bothSides">
                  <wp:wrapPolygon>
                    <wp:start x="0" y="0"/>
                    <wp:lineTo x="0" y="13091"/>
                    <wp:lineTo x="21540" y="13091"/>
                    <wp:lineTo x="21540" y="0"/>
                    <wp:lineTo x="0" y="0"/>
                  </wp:wrapPolygon>
                </wp:wrapThrough>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7" style="width:540pt;height:4.95pt;margin-top:364.6pt;margin-left:-26.25pt;mso-height-percent:0;mso-height-relative:page;mso-width-percent:0;mso-width-relative:page;mso-wrap-distance-bottom:0;mso-wrap-distance-left:9pt;mso-wrap-distance-right:9pt;mso-wrap-distance-top:0;mso-wrap-style:square;position:absolute;visibility:visible;v-text-anchor:top;z-index:-251653120" fillcolor="#0c95d3" stroked="f">
                <w10:wrap type="through"/>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margin">
                  <wp:posOffset>3835400</wp:posOffset>
                </wp:positionH>
                <wp:positionV relativeFrom="margin">
                  <wp:posOffset>8165465</wp:posOffset>
                </wp:positionV>
                <wp:extent cx="2717800" cy="609600"/>
                <wp:effectExtent l="0" t="0" r="0" b="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wps:spPr>
                      <wps:txbx>
                        <w:txbxContent>
                          <w:p w:rsidR="008F16EC" w:rsidRPr="00A607D1" w:rsidP="002556F3" w14:textId="77777777">
                            <w:pPr>
                              <w:spacing w:after="0"/>
                              <w:jc w:val="right"/>
                              <w:rPr>
                                <w:rFonts w:asciiTheme="majorHAnsi" w:hAnsiTheme="majorHAnsi" w:cstheme="majorHAnsi"/>
                                <w:color w:val="808080" w:themeColor="background1" w:themeShade="80"/>
                                <w:kern w:val="24"/>
                                <w:sz w:val="20"/>
                              </w:rPr>
                            </w:pPr>
                            <w:r w:rsidRPr="00A607D1">
                              <w:rPr>
                                <w:rFonts w:asciiTheme="majorHAnsi" w:hAnsiTheme="majorHAnsi" w:cstheme="majorHAnsi"/>
                                <w:color w:val="808080" w:themeColor="background1" w:themeShade="80"/>
                                <w:kern w:val="24"/>
                                <w:sz w:val="20"/>
                              </w:rPr>
                              <w:t>U.S. Department of Energy</w:t>
                            </w:r>
                          </w:p>
                          <w:p w:rsidR="008F16EC" w:rsidRPr="00A607D1" w:rsidP="002556F3" w14:textId="77777777">
                            <w:pPr>
                              <w:spacing w:before="40" w:after="0"/>
                              <w:jc w:val="right"/>
                              <w:rPr>
                                <w:rFonts w:eastAsia="Times New Roman" w:asciiTheme="majorHAnsi" w:hAnsiTheme="majorHAnsi" w:cstheme="majorHAnsi"/>
                                <w:color w:val="808080" w:themeColor="background1" w:themeShade="80"/>
                                <w:sz w:val="20"/>
                              </w:rPr>
                            </w:pPr>
                            <w:r w:rsidRPr="00A607D1">
                              <w:rPr>
                                <w:rFonts w:asciiTheme="majorHAnsi" w:hAnsiTheme="majorHAnsi" w:cstheme="majorHAnsi"/>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 o:spid="_x0000_s1028" type="#_x0000_t202" style="width:214pt;height:48pt;margin-top:642.95pt;margin-left:302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
                  <w:txbxContent>
                    <w:p w:rsidR="008F16EC" w:rsidRPr="00A607D1" w:rsidP="002556F3" w14:paraId="5AA313DE" w14:textId="77777777">
                      <w:pPr>
                        <w:spacing w:after="0"/>
                        <w:jc w:val="right"/>
                        <w:rPr>
                          <w:rFonts w:asciiTheme="majorHAnsi" w:hAnsiTheme="majorHAnsi" w:cstheme="majorHAnsi"/>
                          <w:color w:val="808080" w:themeColor="background1" w:themeShade="80"/>
                          <w:kern w:val="24"/>
                          <w:sz w:val="20"/>
                        </w:rPr>
                      </w:pPr>
                      <w:r w:rsidRPr="00A607D1">
                        <w:rPr>
                          <w:rFonts w:asciiTheme="majorHAnsi" w:hAnsiTheme="majorHAnsi" w:cstheme="majorHAnsi"/>
                          <w:color w:val="808080" w:themeColor="background1" w:themeShade="80"/>
                          <w:kern w:val="24"/>
                          <w:sz w:val="20"/>
                        </w:rPr>
                        <w:t>U.S. Department of Energy</w:t>
                      </w:r>
                    </w:p>
                    <w:p w:rsidR="008F16EC" w:rsidRPr="00A607D1" w:rsidP="002556F3" w14:paraId="3D3E0AA8" w14:textId="77777777">
                      <w:pPr>
                        <w:spacing w:before="40" w:after="0"/>
                        <w:jc w:val="right"/>
                        <w:rPr>
                          <w:rFonts w:eastAsia="Times New Roman" w:asciiTheme="majorHAnsi" w:hAnsiTheme="majorHAnsi" w:cstheme="majorHAnsi"/>
                          <w:color w:val="808080" w:themeColor="background1" w:themeShade="80"/>
                          <w:sz w:val="20"/>
                        </w:rPr>
                      </w:pPr>
                      <w:r w:rsidRPr="00A607D1">
                        <w:rPr>
                          <w:rFonts w:asciiTheme="majorHAnsi" w:hAnsiTheme="majorHAnsi" w:cstheme="majorHAnsi"/>
                          <w:color w:val="808080" w:themeColor="background1" w:themeShade="80"/>
                          <w:kern w:val="24"/>
                          <w:sz w:val="20"/>
                        </w:rPr>
                        <w:t>Washington, DC 20585</w:t>
                      </w:r>
                    </w:p>
                  </w:txbxContent>
                </v:textbox>
                <w10:wrap type="square"/>
              </v:shape>
            </w:pict>
          </mc:Fallback>
        </mc:AlternateContent>
      </w:r>
      <w:r w:rsidRPr="00106C21" w:rsidR="00FB6BF3">
        <w:rPr>
          <w:rFonts w:ascii="Times New Roman" w:hAnsi="Times New Roman" w:cs="Times New Roman"/>
          <w:noProof/>
        </w:rPr>
        <w:t xml:space="preserve"> </w:t>
      </w:r>
      <w:r>
        <w:rPr>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wps:spPr>
                      <wps:txbx>
                        <w:txbxContent>
                          <w:p w:rsidR="008F16E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42459D08" w14:textId="77777777">
                      <w:pPr>
                        <w:spacing w:line="240" w:lineRule="auto"/>
                        <w:ind w:left="90"/>
                        <w:rPr>
                          <w:sz w:val="52"/>
                          <w:szCs w:val="52"/>
                        </w:rPr>
                      </w:pP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margin">
                  <wp:posOffset>7975600</wp:posOffset>
                </wp:positionV>
                <wp:extent cx="2717800" cy="609600"/>
                <wp:effectExtent l="0" t="0" r="0"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1"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5408" filled="f" stroked="f">
                <v:textbox inset="0,,0">
                  <w:txbxContent>
                    <w:p w:rsidR="008F16EC" w:rsidP="00FE2197" w14:paraId="1C265601" w14:textId="77777777">
                      <w:pPr>
                        <w:spacing w:before="40" w:after="0"/>
                      </w:pPr>
                    </w:p>
                  </w:txbxContent>
                </v:textbox>
                <w10:wrap type="square"/>
              </v:shape>
            </w:pict>
          </mc:Fallback>
        </mc:AlternateContent>
      </w:r>
      <w:r w:rsidRPr="00106C21" w:rsidR="001F3A8F">
        <w:rPr>
          <w:rFonts w:ascii="Times New Roman" w:hAnsi="Times New Roman" w:cs="Times New Roman"/>
        </w:rPr>
        <w:br w:type="page"/>
      </w:r>
    </w:p>
    <w:p w:rsidR="00755C3D" w:rsidRPr="00106C21" w:rsidP="00D928FD" w14:paraId="02ADA158" w14:textId="77777777">
      <w:pPr>
        <w:rPr>
          <w:rFonts w:ascii="Times New Roman" w:hAnsi="Times New Roman" w:cs="Times New Roman"/>
        </w:rPr>
        <w:sectPr w:rsidSect="001F3A8F">
          <w:headerReference w:type="default" r:id="rId7"/>
          <w:footerReference w:type="default" r:id="rId8"/>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imes New Roman" w:hAnsi="Times New Roman" w:cs="Times New Roman"/>
          <w:b/>
          <w:bCs/>
          <w:color w:val="auto"/>
          <w:sz w:val="22"/>
          <w:szCs w:val="22"/>
        </w:rPr>
        <w:id w:val="819469860"/>
        <w:docPartObj>
          <w:docPartGallery w:val="Table of Contents"/>
          <w:docPartUnique/>
        </w:docPartObj>
      </w:sdtPr>
      <w:sdtEndPr>
        <w:rPr>
          <w:b w:val="0"/>
          <w:bCs w:val="0"/>
          <w:noProof/>
        </w:rPr>
      </w:sdtEndPr>
      <w:sdtContent>
        <w:p w:rsidR="0059212D" w:rsidRPr="00106C21" w:rsidP="00632AE9" w14:paraId="5A1365D7" w14:textId="77777777">
          <w:pPr>
            <w:pStyle w:val="TOCHeading"/>
            <w:rPr>
              <w:rFonts w:ascii="Times New Roman" w:hAnsi="Times New Roman" w:cs="Times New Roman"/>
            </w:rPr>
          </w:pPr>
          <w:r w:rsidRPr="00106C21">
            <w:rPr>
              <w:rFonts w:ascii="Times New Roman" w:hAnsi="Times New Roman" w:cs="Times New Roman"/>
            </w:rPr>
            <w:t>Table of Contents</w:t>
          </w:r>
        </w:p>
        <w:p w:rsidR="00537A91" w:rsidRPr="00A607D1" w14:paraId="3536BDC7" w14:textId="4EB1887A">
          <w:pPr>
            <w:pStyle w:val="TOC1"/>
            <w:rPr>
              <w:rFonts w:asciiTheme="majorHAnsi" w:eastAsiaTheme="minorEastAsia" w:hAnsiTheme="majorHAnsi" w:cstheme="majorHAnsi"/>
              <w:noProof/>
              <w:color w:val="auto"/>
            </w:rPr>
          </w:pPr>
          <w:r w:rsidRPr="00106C21">
            <w:rPr>
              <w:rFonts w:ascii="Times New Roman" w:hAnsi="Times New Roman" w:cs="Times New Roman"/>
            </w:rPr>
            <w:fldChar w:fldCharType="begin"/>
          </w:r>
          <w:r w:rsidRPr="00106C21">
            <w:rPr>
              <w:rFonts w:ascii="Times New Roman" w:hAnsi="Times New Roman" w:cs="Times New Roman"/>
            </w:rPr>
            <w:instrText xml:space="preserve"> TOC \o "1-3" \h \z \u </w:instrText>
          </w:r>
          <w:r w:rsidRPr="00106C21">
            <w:rPr>
              <w:rFonts w:ascii="Times New Roman" w:hAnsi="Times New Roman" w:cs="Times New Roman"/>
            </w:rPr>
            <w:fldChar w:fldCharType="separate"/>
          </w:r>
          <w:hyperlink w:anchor="_Toc16271317" w:history="1">
            <w:r w:rsidRPr="00A607D1">
              <w:rPr>
                <w:rStyle w:val="Hyperlink"/>
                <w:rFonts w:asciiTheme="majorHAnsi" w:hAnsiTheme="majorHAnsi" w:cstheme="majorHAnsi"/>
                <w:noProof/>
              </w:rPr>
              <w:t>Part A: Justification</w:t>
            </w:r>
            <w:r w:rsidRPr="00A607D1">
              <w:rPr>
                <w:rFonts w:asciiTheme="majorHAnsi" w:hAnsiTheme="majorHAnsi" w:cstheme="majorHAnsi"/>
                <w:noProof/>
                <w:webHidden/>
              </w:rPr>
              <w:tab/>
            </w:r>
            <w:r w:rsidRPr="00A607D1">
              <w:rPr>
                <w:rFonts w:asciiTheme="majorHAnsi" w:hAnsiTheme="majorHAnsi" w:cstheme="majorHAnsi"/>
                <w:noProof/>
                <w:webHidden/>
              </w:rPr>
              <w:fldChar w:fldCharType="begin"/>
            </w:r>
            <w:r w:rsidRPr="00A607D1">
              <w:rPr>
                <w:rFonts w:asciiTheme="majorHAnsi" w:hAnsiTheme="majorHAnsi" w:cstheme="majorHAnsi"/>
                <w:noProof/>
                <w:webHidden/>
              </w:rPr>
              <w:instrText xml:space="preserve"> PAGEREF _Toc16271317 \h </w:instrText>
            </w:r>
            <w:r w:rsidRPr="00A607D1">
              <w:rPr>
                <w:rFonts w:asciiTheme="majorHAnsi" w:hAnsiTheme="majorHAnsi" w:cstheme="majorHAnsi"/>
                <w:noProof/>
                <w:webHidden/>
              </w:rPr>
              <w:fldChar w:fldCharType="separate"/>
            </w:r>
            <w:r w:rsidR="003D3695">
              <w:rPr>
                <w:rFonts w:asciiTheme="majorHAnsi" w:hAnsiTheme="majorHAnsi" w:cstheme="majorHAnsi"/>
                <w:noProof/>
                <w:webHidden/>
              </w:rPr>
              <w:t>i</w:t>
            </w:r>
            <w:r w:rsidRPr="00A607D1">
              <w:rPr>
                <w:rFonts w:asciiTheme="majorHAnsi" w:hAnsiTheme="majorHAnsi" w:cstheme="majorHAnsi"/>
                <w:noProof/>
                <w:webHidden/>
              </w:rPr>
              <w:fldChar w:fldCharType="end"/>
            </w:r>
          </w:hyperlink>
        </w:p>
        <w:p w:rsidR="00537A91" w:rsidRPr="00A607D1" w:rsidP="008E2673" w14:paraId="101B4F84" w14:textId="3ACB45B6">
          <w:pPr>
            <w:pStyle w:val="TOC2"/>
            <w:rPr>
              <w:rFonts w:asciiTheme="majorHAnsi" w:eastAsiaTheme="minorEastAsia" w:hAnsiTheme="majorHAnsi" w:cstheme="majorHAnsi"/>
              <w:noProof/>
              <w:color w:val="auto"/>
            </w:rPr>
          </w:pPr>
          <w:hyperlink w:anchor="_Toc16271318" w:history="1">
            <w:r w:rsidRPr="00A607D1">
              <w:rPr>
                <w:rStyle w:val="Hyperlink"/>
                <w:rFonts w:asciiTheme="majorHAnsi" w:hAnsiTheme="majorHAnsi" w:cstheme="majorHAnsi"/>
                <w:noProof/>
              </w:rPr>
              <w:t>Introduction</w:t>
            </w:r>
            <w:r w:rsidRPr="00A607D1">
              <w:rPr>
                <w:rFonts w:asciiTheme="majorHAnsi" w:hAnsiTheme="majorHAnsi" w:cstheme="majorHAnsi"/>
                <w:noProof/>
                <w:webHidden/>
              </w:rPr>
              <w:tab/>
            </w:r>
            <w:r w:rsidRPr="00A607D1">
              <w:rPr>
                <w:rFonts w:asciiTheme="majorHAnsi" w:hAnsiTheme="majorHAnsi" w:cstheme="majorHAnsi"/>
                <w:noProof/>
                <w:webHidden/>
              </w:rPr>
              <w:fldChar w:fldCharType="begin"/>
            </w:r>
            <w:r w:rsidRPr="00A607D1">
              <w:rPr>
                <w:rFonts w:asciiTheme="majorHAnsi" w:hAnsiTheme="majorHAnsi" w:cstheme="majorHAnsi"/>
                <w:noProof/>
                <w:webHidden/>
              </w:rPr>
              <w:instrText xml:space="preserve"> PAGEREF _Toc16271318 \h </w:instrText>
            </w:r>
            <w:r w:rsidRPr="00A607D1">
              <w:rPr>
                <w:rFonts w:asciiTheme="majorHAnsi" w:hAnsiTheme="majorHAnsi" w:cstheme="majorHAnsi"/>
                <w:noProof/>
                <w:webHidden/>
              </w:rPr>
              <w:fldChar w:fldCharType="separate"/>
            </w:r>
            <w:r w:rsidR="003D3695">
              <w:rPr>
                <w:rFonts w:asciiTheme="majorHAnsi" w:hAnsiTheme="majorHAnsi" w:cstheme="majorHAnsi"/>
                <w:noProof/>
                <w:webHidden/>
              </w:rPr>
              <w:t>2</w:t>
            </w:r>
            <w:r w:rsidRPr="00A607D1">
              <w:rPr>
                <w:rFonts w:asciiTheme="majorHAnsi" w:hAnsiTheme="majorHAnsi" w:cstheme="majorHAnsi"/>
                <w:noProof/>
                <w:webHidden/>
              </w:rPr>
              <w:fldChar w:fldCharType="end"/>
            </w:r>
          </w:hyperlink>
        </w:p>
        <w:p w:rsidR="00537A91" w:rsidRPr="00A607D1" w:rsidP="008E2673" w14:paraId="02C634BA" w14:textId="253C296B">
          <w:pPr>
            <w:pStyle w:val="TOC2"/>
            <w:rPr>
              <w:rFonts w:asciiTheme="majorHAnsi" w:eastAsiaTheme="minorEastAsia" w:hAnsiTheme="majorHAnsi" w:cstheme="majorHAnsi"/>
              <w:noProof/>
              <w:color w:val="auto"/>
            </w:rPr>
          </w:pPr>
          <w:hyperlink w:anchor="_Toc16271319" w:history="1">
            <w:r w:rsidRPr="00A607D1">
              <w:rPr>
                <w:rStyle w:val="Hyperlink"/>
                <w:rFonts w:asciiTheme="majorHAnsi" w:hAnsiTheme="majorHAnsi" w:cstheme="majorHAnsi"/>
                <w:noProof/>
              </w:rPr>
              <w:t>A.1. Legal Justification</w:t>
            </w:r>
            <w:r w:rsidRPr="00A607D1">
              <w:rPr>
                <w:rFonts w:asciiTheme="majorHAnsi" w:hAnsiTheme="majorHAnsi" w:cstheme="majorHAnsi"/>
                <w:noProof/>
                <w:webHidden/>
              </w:rPr>
              <w:tab/>
            </w:r>
            <w:r w:rsidRPr="00A607D1">
              <w:rPr>
                <w:rFonts w:asciiTheme="majorHAnsi" w:hAnsiTheme="majorHAnsi" w:cstheme="majorHAnsi"/>
                <w:noProof/>
                <w:webHidden/>
              </w:rPr>
              <w:fldChar w:fldCharType="begin"/>
            </w:r>
            <w:r w:rsidRPr="00A607D1">
              <w:rPr>
                <w:rFonts w:asciiTheme="majorHAnsi" w:hAnsiTheme="majorHAnsi" w:cstheme="majorHAnsi"/>
                <w:noProof/>
                <w:webHidden/>
              </w:rPr>
              <w:instrText xml:space="preserve"> PAGEREF _Toc16271319 \h </w:instrText>
            </w:r>
            <w:r w:rsidRPr="00A607D1">
              <w:rPr>
                <w:rFonts w:asciiTheme="majorHAnsi" w:hAnsiTheme="majorHAnsi" w:cstheme="majorHAnsi"/>
                <w:noProof/>
                <w:webHidden/>
              </w:rPr>
              <w:fldChar w:fldCharType="separate"/>
            </w:r>
            <w:r w:rsidR="003D3695">
              <w:rPr>
                <w:rFonts w:asciiTheme="majorHAnsi" w:hAnsiTheme="majorHAnsi" w:cstheme="majorHAnsi"/>
                <w:noProof/>
                <w:webHidden/>
              </w:rPr>
              <w:t>3</w:t>
            </w:r>
            <w:r w:rsidRPr="00A607D1">
              <w:rPr>
                <w:rFonts w:asciiTheme="majorHAnsi" w:hAnsiTheme="majorHAnsi" w:cstheme="majorHAnsi"/>
                <w:noProof/>
                <w:webHidden/>
              </w:rPr>
              <w:fldChar w:fldCharType="end"/>
            </w:r>
          </w:hyperlink>
        </w:p>
        <w:p w:rsidR="00537A91" w:rsidRPr="00A607D1" w:rsidP="008E2673" w14:paraId="08E178C6" w14:textId="7FE063B4">
          <w:pPr>
            <w:pStyle w:val="TOC2"/>
            <w:rPr>
              <w:rFonts w:asciiTheme="majorHAnsi" w:eastAsiaTheme="minorEastAsia" w:hAnsiTheme="majorHAnsi" w:cstheme="majorHAnsi"/>
              <w:noProof/>
              <w:color w:val="auto"/>
            </w:rPr>
          </w:pPr>
          <w:hyperlink w:anchor="_Toc16271320" w:history="1">
            <w:r w:rsidRPr="00A607D1">
              <w:rPr>
                <w:rStyle w:val="Hyperlink"/>
                <w:rFonts w:asciiTheme="majorHAnsi" w:hAnsiTheme="majorHAnsi" w:cstheme="majorHAnsi"/>
                <w:noProof/>
              </w:rPr>
              <w:t>A.2. Needs and Uses of Data</w:t>
            </w:r>
            <w:r w:rsidRPr="00A607D1">
              <w:rPr>
                <w:rFonts w:asciiTheme="majorHAnsi" w:hAnsiTheme="majorHAnsi" w:cstheme="majorHAnsi"/>
                <w:noProof/>
                <w:webHidden/>
              </w:rPr>
              <w:tab/>
            </w:r>
            <w:r w:rsidRPr="00A607D1">
              <w:rPr>
                <w:rFonts w:asciiTheme="majorHAnsi" w:hAnsiTheme="majorHAnsi" w:cstheme="majorHAnsi"/>
                <w:noProof/>
                <w:webHidden/>
              </w:rPr>
              <w:fldChar w:fldCharType="begin"/>
            </w:r>
            <w:r w:rsidRPr="00A607D1">
              <w:rPr>
                <w:rFonts w:asciiTheme="majorHAnsi" w:hAnsiTheme="majorHAnsi" w:cstheme="majorHAnsi"/>
                <w:noProof/>
                <w:webHidden/>
              </w:rPr>
              <w:instrText xml:space="preserve"> PAGEREF _Toc16271320 \h </w:instrText>
            </w:r>
            <w:r w:rsidRPr="00A607D1">
              <w:rPr>
                <w:rFonts w:asciiTheme="majorHAnsi" w:hAnsiTheme="majorHAnsi" w:cstheme="majorHAnsi"/>
                <w:noProof/>
                <w:webHidden/>
              </w:rPr>
              <w:fldChar w:fldCharType="separate"/>
            </w:r>
            <w:r w:rsidR="003D3695">
              <w:rPr>
                <w:rFonts w:asciiTheme="majorHAnsi" w:hAnsiTheme="majorHAnsi" w:cstheme="majorHAnsi"/>
                <w:noProof/>
                <w:webHidden/>
              </w:rPr>
              <w:t>4</w:t>
            </w:r>
            <w:r w:rsidRPr="00A607D1">
              <w:rPr>
                <w:rFonts w:asciiTheme="majorHAnsi" w:hAnsiTheme="majorHAnsi" w:cstheme="majorHAnsi"/>
                <w:noProof/>
                <w:webHidden/>
              </w:rPr>
              <w:fldChar w:fldCharType="end"/>
            </w:r>
          </w:hyperlink>
        </w:p>
        <w:p w:rsidR="00537A91" w:rsidRPr="00A607D1" w:rsidP="008E2673" w14:paraId="4CE2F60F" w14:textId="5E5DE4C1">
          <w:pPr>
            <w:pStyle w:val="TOC2"/>
            <w:rPr>
              <w:rFonts w:asciiTheme="majorHAnsi" w:eastAsiaTheme="minorEastAsia" w:hAnsiTheme="majorHAnsi" w:cstheme="majorHAnsi"/>
              <w:noProof/>
              <w:color w:val="auto"/>
            </w:rPr>
          </w:pPr>
          <w:hyperlink w:anchor="_Toc16271321" w:history="1">
            <w:r w:rsidRPr="00A607D1">
              <w:rPr>
                <w:rStyle w:val="Hyperlink"/>
                <w:rFonts w:asciiTheme="majorHAnsi" w:hAnsiTheme="majorHAnsi" w:cstheme="majorHAnsi"/>
                <w:noProof/>
              </w:rPr>
              <w:t>A.3. Use of Technology</w:t>
            </w:r>
            <w:r w:rsidRPr="00A607D1">
              <w:rPr>
                <w:rFonts w:asciiTheme="majorHAnsi" w:hAnsiTheme="majorHAnsi" w:cstheme="majorHAnsi"/>
                <w:noProof/>
                <w:webHidden/>
              </w:rPr>
              <w:tab/>
            </w:r>
            <w:r w:rsidRPr="00A607D1">
              <w:rPr>
                <w:rFonts w:asciiTheme="majorHAnsi" w:hAnsiTheme="majorHAnsi" w:cstheme="majorHAnsi"/>
                <w:noProof/>
                <w:webHidden/>
              </w:rPr>
              <w:fldChar w:fldCharType="begin"/>
            </w:r>
            <w:r w:rsidRPr="00A607D1">
              <w:rPr>
                <w:rFonts w:asciiTheme="majorHAnsi" w:hAnsiTheme="majorHAnsi" w:cstheme="majorHAnsi"/>
                <w:noProof/>
                <w:webHidden/>
              </w:rPr>
              <w:instrText xml:space="preserve"> PAGEREF _Toc16271321 \h </w:instrText>
            </w:r>
            <w:r w:rsidRPr="00A607D1">
              <w:rPr>
                <w:rFonts w:asciiTheme="majorHAnsi" w:hAnsiTheme="majorHAnsi" w:cstheme="majorHAnsi"/>
                <w:noProof/>
                <w:webHidden/>
              </w:rPr>
              <w:fldChar w:fldCharType="separate"/>
            </w:r>
            <w:r w:rsidR="003D3695">
              <w:rPr>
                <w:rFonts w:asciiTheme="majorHAnsi" w:hAnsiTheme="majorHAnsi" w:cstheme="majorHAnsi"/>
                <w:noProof/>
                <w:webHidden/>
              </w:rPr>
              <w:t>4</w:t>
            </w:r>
            <w:r w:rsidRPr="00A607D1">
              <w:rPr>
                <w:rFonts w:asciiTheme="majorHAnsi" w:hAnsiTheme="majorHAnsi" w:cstheme="majorHAnsi"/>
                <w:noProof/>
                <w:webHidden/>
              </w:rPr>
              <w:fldChar w:fldCharType="end"/>
            </w:r>
          </w:hyperlink>
        </w:p>
        <w:p w:rsidR="00537A91" w:rsidRPr="00A607D1" w:rsidP="008E2673" w14:paraId="3A067BC6" w14:textId="531D9D66">
          <w:pPr>
            <w:pStyle w:val="TOC2"/>
            <w:rPr>
              <w:rFonts w:asciiTheme="majorHAnsi" w:eastAsiaTheme="minorEastAsia" w:hAnsiTheme="majorHAnsi" w:cstheme="majorHAnsi"/>
              <w:noProof/>
              <w:color w:val="auto"/>
            </w:rPr>
          </w:pPr>
          <w:hyperlink w:anchor="_Toc16271322" w:history="1">
            <w:r w:rsidRPr="00A607D1">
              <w:rPr>
                <w:rStyle w:val="Hyperlink"/>
                <w:rFonts w:asciiTheme="majorHAnsi" w:hAnsiTheme="majorHAnsi" w:cstheme="majorHAnsi"/>
                <w:noProof/>
              </w:rPr>
              <w:t>A.4. Efforts to Identify Duplication</w:t>
            </w:r>
            <w:r w:rsidRPr="00A607D1">
              <w:rPr>
                <w:rFonts w:asciiTheme="majorHAnsi" w:hAnsiTheme="majorHAnsi" w:cstheme="majorHAnsi"/>
                <w:noProof/>
                <w:webHidden/>
              </w:rPr>
              <w:tab/>
            </w:r>
            <w:r w:rsidRPr="00A607D1">
              <w:rPr>
                <w:rFonts w:asciiTheme="majorHAnsi" w:hAnsiTheme="majorHAnsi" w:cstheme="majorHAnsi"/>
                <w:noProof/>
                <w:webHidden/>
              </w:rPr>
              <w:fldChar w:fldCharType="begin"/>
            </w:r>
            <w:r w:rsidRPr="00A607D1">
              <w:rPr>
                <w:rFonts w:asciiTheme="majorHAnsi" w:hAnsiTheme="majorHAnsi" w:cstheme="majorHAnsi"/>
                <w:noProof/>
                <w:webHidden/>
              </w:rPr>
              <w:instrText xml:space="preserve"> PAGEREF _Toc16271322 \h </w:instrText>
            </w:r>
            <w:r w:rsidRPr="00A607D1">
              <w:rPr>
                <w:rFonts w:asciiTheme="majorHAnsi" w:hAnsiTheme="majorHAnsi" w:cstheme="majorHAnsi"/>
                <w:noProof/>
                <w:webHidden/>
              </w:rPr>
              <w:fldChar w:fldCharType="separate"/>
            </w:r>
            <w:r w:rsidR="003D3695">
              <w:rPr>
                <w:rFonts w:asciiTheme="majorHAnsi" w:hAnsiTheme="majorHAnsi" w:cstheme="majorHAnsi"/>
                <w:noProof/>
                <w:webHidden/>
              </w:rPr>
              <w:t>7</w:t>
            </w:r>
            <w:r w:rsidRPr="00A607D1">
              <w:rPr>
                <w:rFonts w:asciiTheme="majorHAnsi" w:hAnsiTheme="majorHAnsi" w:cstheme="majorHAnsi"/>
                <w:noProof/>
                <w:webHidden/>
              </w:rPr>
              <w:fldChar w:fldCharType="end"/>
            </w:r>
          </w:hyperlink>
        </w:p>
        <w:p w:rsidR="00537A91" w:rsidRPr="00A607D1" w:rsidP="008E2673" w14:paraId="25C73FC9" w14:textId="322C315D">
          <w:pPr>
            <w:pStyle w:val="TOC2"/>
            <w:rPr>
              <w:rFonts w:asciiTheme="majorHAnsi" w:eastAsiaTheme="minorEastAsia" w:hAnsiTheme="majorHAnsi" w:cstheme="majorHAnsi"/>
              <w:noProof/>
              <w:color w:val="auto"/>
            </w:rPr>
          </w:pPr>
          <w:hyperlink w:anchor="_Toc16271323" w:history="1">
            <w:r w:rsidRPr="00A607D1">
              <w:rPr>
                <w:rStyle w:val="Hyperlink"/>
                <w:rFonts w:asciiTheme="majorHAnsi" w:hAnsiTheme="majorHAnsi" w:cstheme="majorHAnsi"/>
                <w:noProof/>
              </w:rPr>
              <w:t>A.5. Provisions for Reducing Burden on Small Businesses</w:t>
            </w:r>
            <w:r w:rsidRPr="00A607D1">
              <w:rPr>
                <w:rFonts w:asciiTheme="majorHAnsi" w:hAnsiTheme="majorHAnsi" w:cstheme="majorHAnsi"/>
                <w:noProof/>
                <w:webHidden/>
              </w:rPr>
              <w:tab/>
            </w:r>
            <w:r w:rsidRPr="00A607D1">
              <w:rPr>
                <w:rFonts w:asciiTheme="majorHAnsi" w:hAnsiTheme="majorHAnsi" w:cstheme="majorHAnsi"/>
                <w:noProof/>
                <w:webHidden/>
              </w:rPr>
              <w:fldChar w:fldCharType="begin"/>
            </w:r>
            <w:r w:rsidRPr="00A607D1">
              <w:rPr>
                <w:rFonts w:asciiTheme="majorHAnsi" w:hAnsiTheme="majorHAnsi" w:cstheme="majorHAnsi"/>
                <w:noProof/>
                <w:webHidden/>
              </w:rPr>
              <w:instrText xml:space="preserve"> PAGEREF _Toc16271323 \h </w:instrText>
            </w:r>
            <w:r w:rsidRPr="00A607D1">
              <w:rPr>
                <w:rFonts w:asciiTheme="majorHAnsi" w:hAnsiTheme="majorHAnsi" w:cstheme="majorHAnsi"/>
                <w:noProof/>
                <w:webHidden/>
              </w:rPr>
              <w:fldChar w:fldCharType="separate"/>
            </w:r>
            <w:r w:rsidR="003D3695">
              <w:rPr>
                <w:rFonts w:asciiTheme="majorHAnsi" w:hAnsiTheme="majorHAnsi" w:cstheme="majorHAnsi"/>
                <w:noProof/>
                <w:webHidden/>
              </w:rPr>
              <w:t>7</w:t>
            </w:r>
            <w:r w:rsidRPr="00A607D1">
              <w:rPr>
                <w:rFonts w:asciiTheme="majorHAnsi" w:hAnsiTheme="majorHAnsi" w:cstheme="majorHAnsi"/>
                <w:noProof/>
                <w:webHidden/>
              </w:rPr>
              <w:fldChar w:fldCharType="end"/>
            </w:r>
          </w:hyperlink>
        </w:p>
        <w:p w:rsidR="00537A91" w:rsidRPr="00A607D1" w:rsidP="008E2673" w14:paraId="67E6C83A" w14:textId="646E986C">
          <w:pPr>
            <w:pStyle w:val="TOC2"/>
            <w:rPr>
              <w:rFonts w:asciiTheme="majorHAnsi" w:eastAsiaTheme="minorEastAsia" w:hAnsiTheme="majorHAnsi" w:cstheme="majorHAnsi"/>
              <w:noProof/>
              <w:color w:val="auto"/>
            </w:rPr>
          </w:pPr>
          <w:hyperlink w:anchor="_Toc16271324" w:history="1">
            <w:r w:rsidRPr="00A607D1">
              <w:rPr>
                <w:rStyle w:val="Hyperlink"/>
                <w:rFonts w:asciiTheme="majorHAnsi" w:hAnsiTheme="majorHAnsi" w:cstheme="majorHAnsi"/>
                <w:noProof/>
              </w:rPr>
              <w:t>A.6. Consequences of Less-Frequent Reporting</w:t>
            </w:r>
            <w:r w:rsidRPr="00A607D1">
              <w:rPr>
                <w:rFonts w:asciiTheme="majorHAnsi" w:hAnsiTheme="majorHAnsi" w:cstheme="majorHAnsi"/>
                <w:noProof/>
                <w:webHidden/>
              </w:rPr>
              <w:tab/>
            </w:r>
            <w:r w:rsidRPr="00A607D1">
              <w:rPr>
                <w:rFonts w:asciiTheme="majorHAnsi" w:hAnsiTheme="majorHAnsi" w:cstheme="majorHAnsi"/>
                <w:noProof/>
                <w:webHidden/>
              </w:rPr>
              <w:fldChar w:fldCharType="begin"/>
            </w:r>
            <w:r w:rsidRPr="00A607D1">
              <w:rPr>
                <w:rFonts w:asciiTheme="majorHAnsi" w:hAnsiTheme="majorHAnsi" w:cstheme="majorHAnsi"/>
                <w:noProof/>
                <w:webHidden/>
              </w:rPr>
              <w:instrText xml:space="preserve"> PAGEREF _Toc16271324 \h </w:instrText>
            </w:r>
            <w:r w:rsidRPr="00A607D1">
              <w:rPr>
                <w:rFonts w:asciiTheme="majorHAnsi" w:hAnsiTheme="majorHAnsi" w:cstheme="majorHAnsi"/>
                <w:noProof/>
                <w:webHidden/>
              </w:rPr>
              <w:fldChar w:fldCharType="separate"/>
            </w:r>
            <w:r w:rsidR="003D3695">
              <w:rPr>
                <w:rFonts w:asciiTheme="majorHAnsi" w:hAnsiTheme="majorHAnsi" w:cstheme="majorHAnsi"/>
                <w:noProof/>
                <w:webHidden/>
              </w:rPr>
              <w:t>8</w:t>
            </w:r>
            <w:r w:rsidRPr="00A607D1">
              <w:rPr>
                <w:rFonts w:asciiTheme="majorHAnsi" w:hAnsiTheme="majorHAnsi" w:cstheme="majorHAnsi"/>
                <w:noProof/>
                <w:webHidden/>
              </w:rPr>
              <w:fldChar w:fldCharType="end"/>
            </w:r>
          </w:hyperlink>
        </w:p>
        <w:p w:rsidR="00537A91" w:rsidRPr="00A607D1" w:rsidP="008E2673" w14:paraId="1B9C3A7B" w14:textId="01DA46B2">
          <w:pPr>
            <w:pStyle w:val="TOC2"/>
            <w:rPr>
              <w:rFonts w:asciiTheme="majorHAnsi" w:eastAsiaTheme="minorEastAsia" w:hAnsiTheme="majorHAnsi" w:cstheme="majorHAnsi"/>
              <w:noProof/>
              <w:color w:val="auto"/>
            </w:rPr>
          </w:pPr>
          <w:hyperlink w:anchor="_Toc16271325" w:history="1">
            <w:r w:rsidRPr="00A607D1">
              <w:rPr>
                <w:rStyle w:val="Hyperlink"/>
                <w:rFonts w:asciiTheme="majorHAnsi" w:hAnsiTheme="majorHAnsi" w:cstheme="majorHAnsi"/>
                <w:noProof/>
              </w:rPr>
              <w:t>A.7. Compliance with 5 CFR 1320.5</w:t>
            </w:r>
            <w:r w:rsidRPr="00A607D1">
              <w:rPr>
                <w:rFonts w:asciiTheme="majorHAnsi" w:hAnsiTheme="majorHAnsi" w:cstheme="majorHAnsi"/>
                <w:noProof/>
                <w:webHidden/>
              </w:rPr>
              <w:tab/>
            </w:r>
            <w:r w:rsidRPr="00A607D1">
              <w:rPr>
                <w:rFonts w:asciiTheme="majorHAnsi" w:hAnsiTheme="majorHAnsi" w:cstheme="majorHAnsi"/>
                <w:noProof/>
                <w:webHidden/>
              </w:rPr>
              <w:fldChar w:fldCharType="begin"/>
            </w:r>
            <w:r w:rsidRPr="00A607D1">
              <w:rPr>
                <w:rFonts w:asciiTheme="majorHAnsi" w:hAnsiTheme="majorHAnsi" w:cstheme="majorHAnsi"/>
                <w:noProof/>
                <w:webHidden/>
              </w:rPr>
              <w:instrText xml:space="preserve"> PAGEREF _Toc16271325 \h </w:instrText>
            </w:r>
            <w:r w:rsidRPr="00A607D1">
              <w:rPr>
                <w:rFonts w:asciiTheme="majorHAnsi" w:hAnsiTheme="majorHAnsi" w:cstheme="majorHAnsi"/>
                <w:noProof/>
                <w:webHidden/>
              </w:rPr>
              <w:fldChar w:fldCharType="separate"/>
            </w:r>
            <w:r w:rsidR="003D3695">
              <w:rPr>
                <w:rFonts w:asciiTheme="majorHAnsi" w:hAnsiTheme="majorHAnsi" w:cstheme="majorHAnsi"/>
                <w:noProof/>
                <w:webHidden/>
              </w:rPr>
              <w:t>8</w:t>
            </w:r>
            <w:r w:rsidRPr="00A607D1">
              <w:rPr>
                <w:rFonts w:asciiTheme="majorHAnsi" w:hAnsiTheme="majorHAnsi" w:cstheme="majorHAnsi"/>
                <w:noProof/>
                <w:webHidden/>
              </w:rPr>
              <w:fldChar w:fldCharType="end"/>
            </w:r>
          </w:hyperlink>
        </w:p>
        <w:p w:rsidR="00537A91" w:rsidRPr="00A607D1" w:rsidP="008E2673" w14:paraId="537C3941" w14:textId="2DD6DDE0">
          <w:pPr>
            <w:pStyle w:val="TOC2"/>
            <w:rPr>
              <w:rFonts w:asciiTheme="majorHAnsi" w:eastAsiaTheme="minorEastAsia" w:hAnsiTheme="majorHAnsi" w:cstheme="majorHAnsi"/>
              <w:noProof/>
              <w:color w:val="auto"/>
            </w:rPr>
          </w:pPr>
          <w:hyperlink w:anchor="_Toc16271326" w:history="1">
            <w:r w:rsidRPr="00A607D1">
              <w:rPr>
                <w:rStyle w:val="Hyperlink"/>
                <w:rFonts w:asciiTheme="majorHAnsi" w:hAnsiTheme="majorHAnsi" w:cstheme="majorHAnsi"/>
                <w:noProof/>
              </w:rPr>
              <w:t>A.8. Summary of Consultations Outside of the Agency</w:t>
            </w:r>
            <w:r w:rsidRPr="00A607D1">
              <w:rPr>
                <w:rFonts w:asciiTheme="majorHAnsi" w:hAnsiTheme="majorHAnsi" w:cstheme="majorHAnsi"/>
                <w:noProof/>
                <w:webHidden/>
              </w:rPr>
              <w:tab/>
            </w:r>
            <w:r w:rsidRPr="00A607D1">
              <w:rPr>
                <w:rFonts w:asciiTheme="majorHAnsi" w:hAnsiTheme="majorHAnsi" w:cstheme="majorHAnsi"/>
                <w:noProof/>
                <w:webHidden/>
              </w:rPr>
              <w:fldChar w:fldCharType="begin"/>
            </w:r>
            <w:r w:rsidRPr="00A607D1">
              <w:rPr>
                <w:rFonts w:asciiTheme="majorHAnsi" w:hAnsiTheme="majorHAnsi" w:cstheme="majorHAnsi"/>
                <w:noProof/>
                <w:webHidden/>
              </w:rPr>
              <w:instrText xml:space="preserve"> PAGEREF _Toc16271326 \h </w:instrText>
            </w:r>
            <w:r w:rsidRPr="00A607D1">
              <w:rPr>
                <w:rFonts w:asciiTheme="majorHAnsi" w:hAnsiTheme="majorHAnsi" w:cstheme="majorHAnsi"/>
                <w:noProof/>
                <w:webHidden/>
              </w:rPr>
              <w:fldChar w:fldCharType="separate"/>
            </w:r>
            <w:r w:rsidR="003D3695">
              <w:rPr>
                <w:rFonts w:asciiTheme="majorHAnsi" w:hAnsiTheme="majorHAnsi" w:cstheme="majorHAnsi"/>
                <w:noProof/>
                <w:webHidden/>
              </w:rPr>
              <w:t>9</w:t>
            </w:r>
            <w:r w:rsidRPr="00A607D1">
              <w:rPr>
                <w:rFonts w:asciiTheme="majorHAnsi" w:hAnsiTheme="majorHAnsi" w:cstheme="majorHAnsi"/>
                <w:noProof/>
                <w:webHidden/>
              </w:rPr>
              <w:fldChar w:fldCharType="end"/>
            </w:r>
          </w:hyperlink>
        </w:p>
        <w:p w:rsidR="00537A91" w:rsidRPr="00A607D1" w:rsidP="008E2673" w14:paraId="5FAD51C5" w14:textId="270AB199">
          <w:pPr>
            <w:pStyle w:val="TOC2"/>
            <w:rPr>
              <w:rFonts w:asciiTheme="majorHAnsi" w:eastAsiaTheme="minorEastAsia" w:hAnsiTheme="majorHAnsi" w:cstheme="majorHAnsi"/>
              <w:noProof/>
              <w:color w:val="auto"/>
            </w:rPr>
          </w:pPr>
          <w:hyperlink w:anchor="_Toc16271327" w:history="1">
            <w:r w:rsidRPr="00A607D1">
              <w:rPr>
                <w:rStyle w:val="Hyperlink"/>
                <w:rFonts w:asciiTheme="majorHAnsi" w:hAnsiTheme="majorHAnsi" w:cstheme="majorHAnsi"/>
                <w:noProof/>
              </w:rPr>
              <w:t>A.9. Payments or Gifts to Respondents</w:t>
            </w:r>
            <w:r w:rsidRPr="00A607D1">
              <w:rPr>
                <w:rFonts w:asciiTheme="majorHAnsi" w:hAnsiTheme="majorHAnsi" w:cstheme="majorHAnsi"/>
                <w:noProof/>
                <w:webHidden/>
              </w:rPr>
              <w:tab/>
            </w:r>
            <w:r w:rsidRPr="00A607D1">
              <w:rPr>
                <w:rFonts w:asciiTheme="majorHAnsi" w:hAnsiTheme="majorHAnsi" w:cstheme="majorHAnsi"/>
                <w:noProof/>
                <w:webHidden/>
              </w:rPr>
              <w:fldChar w:fldCharType="begin"/>
            </w:r>
            <w:r w:rsidRPr="00A607D1">
              <w:rPr>
                <w:rFonts w:asciiTheme="majorHAnsi" w:hAnsiTheme="majorHAnsi" w:cstheme="majorHAnsi"/>
                <w:noProof/>
                <w:webHidden/>
              </w:rPr>
              <w:instrText xml:space="preserve"> PAGEREF _Toc16271327 \h </w:instrText>
            </w:r>
            <w:r w:rsidRPr="00A607D1">
              <w:rPr>
                <w:rFonts w:asciiTheme="majorHAnsi" w:hAnsiTheme="majorHAnsi" w:cstheme="majorHAnsi"/>
                <w:noProof/>
                <w:webHidden/>
              </w:rPr>
              <w:fldChar w:fldCharType="separate"/>
            </w:r>
            <w:r w:rsidR="003D3695">
              <w:rPr>
                <w:rFonts w:asciiTheme="majorHAnsi" w:hAnsiTheme="majorHAnsi" w:cstheme="majorHAnsi"/>
                <w:noProof/>
                <w:webHidden/>
              </w:rPr>
              <w:t>10</w:t>
            </w:r>
            <w:r w:rsidRPr="00A607D1">
              <w:rPr>
                <w:rFonts w:asciiTheme="majorHAnsi" w:hAnsiTheme="majorHAnsi" w:cstheme="majorHAnsi"/>
                <w:noProof/>
                <w:webHidden/>
              </w:rPr>
              <w:fldChar w:fldCharType="end"/>
            </w:r>
          </w:hyperlink>
        </w:p>
        <w:p w:rsidR="00537A91" w:rsidRPr="00A607D1" w:rsidP="008E2673" w14:paraId="1726E6A2" w14:textId="604BEF2E">
          <w:pPr>
            <w:pStyle w:val="TOC2"/>
            <w:rPr>
              <w:rFonts w:asciiTheme="majorHAnsi" w:eastAsiaTheme="minorEastAsia" w:hAnsiTheme="majorHAnsi" w:cstheme="majorHAnsi"/>
              <w:noProof/>
              <w:color w:val="auto"/>
            </w:rPr>
          </w:pPr>
          <w:hyperlink w:anchor="_Toc16271328" w:history="1">
            <w:r w:rsidRPr="00A607D1">
              <w:rPr>
                <w:rStyle w:val="Hyperlink"/>
                <w:rFonts w:asciiTheme="majorHAnsi" w:hAnsiTheme="majorHAnsi" w:cstheme="majorHAnsi"/>
                <w:noProof/>
              </w:rPr>
              <w:t>A.10. Provisions for Protection of Information</w:t>
            </w:r>
            <w:r w:rsidRPr="00A607D1">
              <w:rPr>
                <w:rFonts w:asciiTheme="majorHAnsi" w:hAnsiTheme="majorHAnsi" w:cstheme="majorHAnsi"/>
                <w:noProof/>
                <w:webHidden/>
              </w:rPr>
              <w:tab/>
            </w:r>
            <w:r w:rsidRPr="00A607D1">
              <w:rPr>
                <w:rFonts w:asciiTheme="majorHAnsi" w:hAnsiTheme="majorHAnsi" w:cstheme="majorHAnsi"/>
                <w:noProof/>
                <w:webHidden/>
              </w:rPr>
              <w:fldChar w:fldCharType="begin"/>
            </w:r>
            <w:r w:rsidRPr="00A607D1">
              <w:rPr>
                <w:rFonts w:asciiTheme="majorHAnsi" w:hAnsiTheme="majorHAnsi" w:cstheme="majorHAnsi"/>
                <w:noProof/>
                <w:webHidden/>
              </w:rPr>
              <w:instrText xml:space="preserve"> PAGEREF _Toc16271328 \h </w:instrText>
            </w:r>
            <w:r w:rsidRPr="00A607D1">
              <w:rPr>
                <w:rFonts w:asciiTheme="majorHAnsi" w:hAnsiTheme="majorHAnsi" w:cstheme="majorHAnsi"/>
                <w:noProof/>
                <w:webHidden/>
              </w:rPr>
              <w:fldChar w:fldCharType="separate"/>
            </w:r>
            <w:r w:rsidR="003D3695">
              <w:rPr>
                <w:rFonts w:asciiTheme="majorHAnsi" w:hAnsiTheme="majorHAnsi" w:cstheme="majorHAnsi"/>
                <w:noProof/>
                <w:webHidden/>
              </w:rPr>
              <w:t>10</w:t>
            </w:r>
            <w:r w:rsidRPr="00A607D1">
              <w:rPr>
                <w:rFonts w:asciiTheme="majorHAnsi" w:hAnsiTheme="majorHAnsi" w:cstheme="majorHAnsi"/>
                <w:noProof/>
                <w:webHidden/>
              </w:rPr>
              <w:fldChar w:fldCharType="end"/>
            </w:r>
          </w:hyperlink>
        </w:p>
        <w:p w:rsidR="00537A91" w:rsidRPr="00A607D1" w:rsidP="008E2673" w14:paraId="4A6A9630" w14:textId="5C23A52E">
          <w:pPr>
            <w:pStyle w:val="TOC2"/>
            <w:rPr>
              <w:rFonts w:asciiTheme="majorHAnsi" w:eastAsiaTheme="minorEastAsia" w:hAnsiTheme="majorHAnsi" w:cstheme="majorHAnsi"/>
              <w:noProof/>
              <w:color w:val="auto"/>
            </w:rPr>
          </w:pPr>
          <w:hyperlink w:anchor="_Toc16271329" w:history="1">
            <w:r w:rsidRPr="00A607D1">
              <w:rPr>
                <w:rStyle w:val="Hyperlink"/>
                <w:rFonts w:asciiTheme="majorHAnsi" w:hAnsiTheme="majorHAnsi" w:cstheme="majorHAnsi"/>
                <w:noProof/>
              </w:rPr>
              <w:t>A.11. Justification for Sensitive Questions</w:t>
            </w:r>
            <w:r w:rsidRPr="00A607D1">
              <w:rPr>
                <w:rFonts w:asciiTheme="majorHAnsi" w:hAnsiTheme="majorHAnsi" w:cstheme="majorHAnsi"/>
                <w:noProof/>
                <w:webHidden/>
              </w:rPr>
              <w:tab/>
            </w:r>
            <w:r w:rsidRPr="00A607D1">
              <w:rPr>
                <w:rFonts w:asciiTheme="majorHAnsi" w:hAnsiTheme="majorHAnsi" w:cstheme="majorHAnsi"/>
                <w:noProof/>
                <w:webHidden/>
              </w:rPr>
              <w:fldChar w:fldCharType="begin"/>
            </w:r>
            <w:r w:rsidRPr="00A607D1">
              <w:rPr>
                <w:rFonts w:asciiTheme="majorHAnsi" w:hAnsiTheme="majorHAnsi" w:cstheme="majorHAnsi"/>
                <w:noProof/>
                <w:webHidden/>
              </w:rPr>
              <w:instrText xml:space="preserve"> PAGEREF _Toc16271329 \h </w:instrText>
            </w:r>
            <w:r w:rsidRPr="00A607D1">
              <w:rPr>
                <w:rFonts w:asciiTheme="majorHAnsi" w:hAnsiTheme="majorHAnsi" w:cstheme="majorHAnsi"/>
                <w:noProof/>
                <w:webHidden/>
              </w:rPr>
              <w:fldChar w:fldCharType="separate"/>
            </w:r>
            <w:r w:rsidR="003D3695">
              <w:rPr>
                <w:rFonts w:asciiTheme="majorHAnsi" w:hAnsiTheme="majorHAnsi" w:cstheme="majorHAnsi"/>
                <w:noProof/>
                <w:webHidden/>
              </w:rPr>
              <w:t>11</w:t>
            </w:r>
            <w:r w:rsidRPr="00A607D1">
              <w:rPr>
                <w:rFonts w:asciiTheme="majorHAnsi" w:hAnsiTheme="majorHAnsi" w:cstheme="majorHAnsi"/>
                <w:noProof/>
                <w:webHidden/>
              </w:rPr>
              <w:fldChar w:fldCharType="end"/>
            </w:r>
          </w:hyperlink>
        </w:p>
        <w:p w:rsidR="00537A91" w:rsidRPr="00A607D1" w:rsidP="008E2673" w14:paraId="76109842" w14:textId="5E84BE02">
          <w:pPr>
            <w:pStyle w:val="TOC2"/>
            <w:rPr>
              <w:rFonts w:asciiTheme="majorHAnsi" w:eastAsiaTheme="minorEastAsia" w:hAnsiTheme="majorHAnsi" w:cstheme="majorHAnsi"/>
              <w:noProof/>
              <w:color w:val="auto"/>
            </w:rPr>
          </w:pPr>
          <w:hyperlink w:anchor="_Toc16271330" w:history="1">
            <w:r w:rsidRPr="00A607D1">
              <w:rPr>
                <w:rStyle w:val="Hyperlink"/>
                <w:rFonts w:asciiTheme="majorHAnsi" w:hAnsiTheme="majorHAnsi" w:cstheme="majorHAnsi"/>
                <w:noProof/>
              </w:rPr>
              <w:t>A.12A. Estimate of Respondent Burden Hours</w:t>
            </w:r>
            <w:r w:rsidRPr="00A607D1">
              <w:rPr>
                <w:rFonts w:asciiTheme="majorHAnsi" w:hAnsiTheme="majorHAnsi" w:cstheme="majorHAnsi"/>
                <w:noProof/>
                <w:webHidden/>
              </w:rPr>
              <w:tab/>
            </w:r>
            <w:r w:rsidRPr="00A607D1">
              <w:rPr>
                <w:rFonts w:asciiTheme="majorHAnsi" w:hAnsiTheme="majorHAnsi" w:cstheme="majorHAnsi"/>
                <w:noProof/>
                <w:webHidden/>
              </w:rPr>
              <w:fldChar w:fldCharType="begin"/>
            </w:r>
            <w:r w:rsidRPr="00A607D1">
              <w:rPr>
                <w:rFonts w:asciiTheme="majorHAnsi" w:hAnsiTheme="majorHAnsi" w:cstheme="majorHAnsi"/>
                <w:noProof/>
                <w:webHidden/>
              </w:rPr>
              <w:instrText xml:space="preserve"> PAGEREF _Toc16271330 \h </w:instrText>
            </w:r>
            <w:r w:rsidRPr="00A607D1">
              <w:rPr>
                <w:rFonts w:asciiTheme="majorHAnsi" w:hAnsiTheme="majorHAnsi" w:cstheme="majorHAnsi"/>
                <w:noProof/>
                <w:webHidden/>
              </w:rPr>
              <w:fldChar w:fldCharType="separate"/>
            </w:r>
            <w:r w:rsidR="003D3695">
              <w:rPr>
                <w:rFonts w:asciiTheme="majorHAnsi" w:hAnsiTheme="majorHAnsi" w:cstheme="majorHAnsi"/>
                <w:noProof/>
                <w:webHidden/>
              </w:rPr>
              <w:t>11</w:t>
            </w:r>
            <w:r w:rsidRPr="00A607D1">
              <w:rPr>
                <w:rFonts w:asciiTheme="majorHAnsi" w:hAnsiTheme="majorHAnsi" w:cstheme="majorHAnsi"/>
                <w:noProof/>
                <w:webHidden/>
              </w:rPr>
              <w:fldChar w:fldCharType="end"/>
            </w:r>
          </w:hyperlink>
        </w:p>
        <w:p w:rsidR="00537A91" w:rsidRPr="00A607D1" w:rsidP="008E2673" w14:paraId="75AE2099" w14:textId="257A4CF0">
          <w:pPr>
            <w:pStyle w:val="TOC2"/>
            <w:rPr>
              <w:rFonts w:asciiTheme="majorHAnsi" w:eastAsiaTheme="minorEastAsia" w:hAnsiTheme="majorHAnsi" w:cstheme="majorHAnsi"/>
              <w:noProof/>
              <w:color w:val="auto"/>
            </w:rPr>
          </w:pPr>
          <w:hyperlink w:anchor="_Toc16271331" w:history="1">
            <w:r w:rsidRPr="00A607D1">
              <w:rPr>
                <w:rStyle w:val="Hyperlink"/>
                <w:rFonts w:asciiTheme="majorHAnsi" w:hAnsiTheme="majorHAnsi" w:cstheme="majorHAnsi"/>
                <w:noProof/>
              </w:rPr>
              <w:t>A.12B. Estimate of Annual Cost to Respondent for Burden Hours</w:t>
            </w:r>
            <w:r w:rsidRPr="00A607D1">
              <w:rPr>
                <w:rFonts w:asciiTheme="majorHAnsi" w:hAnsiTheme="majorHAnsi" w:cstheme="majorHAnsi"/>
                <w:noProof/>
                <w:webHidden/>
              </w:rPr>
              <w:tab/>
            </w:r>
            <w:r w:rsidRPr="00A607D1">
              <w:rPr>
                <w:rFonts w:asciiTheme="majorHAnsi" w:hAnsiTheme="majorHAnsi" w:cstheme="majorHAnsi"/>
                <w:noProof/>
                <w:webHidden/>
              </w:rPr>
              <w:fldChar w:fldCharType="begin"/>
            </w:r>
            <w:r w:rsidRPr="00A607D1">
              <w:rPr>
                <w:rFonts w:asciiTheme="majorHAnsi" w:hAnsiTheme="majorHAnsi" w:cstheme="majorHAnsi"/>
                <w:noProof/>
                <w:webHidden/>
              </w:rPr>
              <w:instrText xml:space="preserve"> PAGEREF _Toc16271331 \h </w:instrText>
            </w:r>
            <w:r w:rsidRPr="00A607D1">
              <w:rPr>
                <w:rFonts w:asciiTheme="majorHAnsi" w:hAnsiTheme="majorHAnsi" w:cstheme="majorHAnsi"/>
                <w:noProof/>
                <w:webHidden/>
              </w:rPr>
              <w:fldChar w:fldCharType="separate"/>
            </w:r>
            <w:r w:rsidR="003D3695">
              <w:rPr>
                <w:rFonts w:asciiTheme="majorHAnsi" w:hAnsiTheme="majorHAnsi" w:cstheme="majorHAnsi"/>
                <w:noProof/>
                <w:webHidden/>
              </w:rPr>
              <w:t>13</w:t>
            </w:r>
            <w:r w:rsidRPr="00A607D1">
              <w:rPr>
                <w:rFonts w:asciiTheme="majorHAnsi" w:hAnsiTheme="majorHAnsi" w:cstheme="majorHAnsi"/>
                <w:noProof/>
                <w:webHidden/>
              </w:rPr>
              <w:fldChar w:fldCharType="end"/>
            </w:r>
          </w:hyperlink>
        </w:p>
        <w:p w:rsidR="00537A91" w:rsidRPr="00A607D1" w:rsidP="008E2673" w14:paraId="34257AE7" w14:textId="5FE6507A">
          <w:pPr>
            <w:pStyle w:val="TOC2"/>
            <w:rPr>
              <w:rFonts w:asciiTheme="majorHAnsi" w:eastAsiaTheme="minorEastAsia" w:hAnsiTheme="majorHAnsi" w:cstheme="majorHAnsi"/>
              <w:noProof/>
              <w:color w:val="auto"/>
            </w:rPr>
          </w:pPr>
          <w:hyperlink w:anchor="_Toc16271332" w:history="1">
            <w:r w:rsidRPr="00A607D1">
              <w:rPr>
                <w:rStyle w:val="Hyperlink"/>
                <w:rFonts w:asciiTheme="majorHAnsi" w:hAnsiTheme="majorHAnsi" w:cstheme="majorHAnsi"/>
                <w:noProof/>
              </w:rPr>
              <w:t>A.13. Other Estimated Annual Cost to Respondents</w:t>
            </w:r>
            <w:r w:rsidRPr="00A607D1">
              <w:rPr>
                <w:rFonts w:asciiTheme="majorHAnsi" w:hAnsiTheme="majorHAnsi" w:cstheme="majorHAnsi"/>
                <w:noProof/>
                <w:webHidden/>
              </w:rPr>
              <w:tab/>
            </w:r>
            <w:r w:rsidRPr="00A607D1">
              <w:rPr>
                <w:rFonts w:asciiTheme="majorHAnsi" w:hAnsiTheme="majorHAnsi" w:cstheme="majorHAnsi"/>
                <w:noProof/>
                <w:webHidden/>
              </w:rPr>
              <w:fldChar w:fldCharType="begin"/>
            </w:r>
            <w:r w:rsidRPr="00A607D1">
              <w:rPr>
                <w:rFonts w:asciiTheme="majorHAnsi" w:hAnsiTheme="majorHAnsi" w:cstheme="majorHAnsi"/>
                <w:noProof/>
                <w:webHidden/>
              </w:rPr>
              <w:instrText xml:space="preserve"> PAGEREF _Toc16271332 \h </w:instrText>
            </w:r>
            <w:r w:rsidRPr="00A607D1">
              <w:rPr>
                <w:rFonts w:asciiTheme="majorHAnsi" w:hAnsiTheme="majorHAnsi" w:cstheme="majorHAnsi"/>
                <w:noProof/>
                <w:webHidden/>
              </w:rPr>
              <w:fldChar w:fldCharType="separate"/>
            </w:r>
            <w:r w:rsidR="003D3695">
              <w:rPr>
                <w:rFonts w:asciiTheme="majorHAnsi" w:hAnsiTheme="majorHAnsi" w:cstheme="majorHAnsi"/>
                <w:noProof/>
                <w:webHidden/>
              </w:rPr>
              <w:t>14</w:t>
            </w:r>
            <w:r w:rsidRPr="00A607D1">
              <w:rPr>
                <w:rFonts w:asciiTheme="majorHAnsi" w:hAnsiTheme="majorHAnsi" w:cstheme="majorHAnsi"/>
                <w:noProof/>
                <w:webHidden/>
              </w:rPr>
              <w:fldChar w:fldCharType="end"/>
            </w:r>
          </w:hyperlink>
        </w:p>
        <w:p w:rsidR="00537A91" w:rsidRPr="00A607D1" w:rsidP="008E2673" w14:paraId="1CE8CA5C" w14:textId="21AA487D">
          <w:pPr>
            <w:pStyle w:val="TOC2"/>
            <w:rPr>
              <w:rFonts w:asciiTheme="majorHAnsi" w:eastAsiaTheme="minorEastAsia" w:hAnsiTheme="majorHAnsi" w:cstheme="majorHAnsi"/>
              <w:noProof/>
              <w:color w:val="auto"/>
            </w:rPr>
          </w:pPr>
          <w:hyperlink w:anchor="_Toc16271333" w:history="1">
            <w:r w:rsidRPr="00A607D1">
              <w:rPr>
                <w:rStyle w:val="Hyperlink"/>
                <w:rFonts w:asciiTheme="majorHAnsi" w:hAnsiTheme="majorHAnsi" w:cstheme="majorHAnsi"/>
                <w:noProof/>
              </w:rPr>
              <w:t>A.14. Annual Cost to the Federal Government</w:t>
            </w:r>
            <w:r w:rsidRPr="00A607D1">
              <w:rPr>
                <w:rFonts w:asciiTheme="majorHAnsi" w:hAnsiTheme="majorHAnsi" w:cstheme="majorHAnsi"/>
                <w:noProof/>
                <w:webHidden/>
              </w:rPr>
              <w:tab/>
            </w:r>
            <w:r w:rsidRPr="00A607D1">
              <w:rPr>
                <w:rFonts w:asciiTheme="majorHAnsi" w:hAnsiTheme="majorHAnsi" w:cstheme="majorHAnsi"/>
                <w:noProof/>
                <w:webHidden/>
              </w:rPr>
              <w:fldChar w:fldCharType="begin"/>
            </w:r>
            <w:r w:rsidRPr="00A607D1">
              <w:rPr>
                <w:rFonts w:asciiTheme="majorHAnsi" w:hAnsiTheme="majorHAnsi" w:cstheme="majorHAnsi"/>
                <w:noProof/>
                <w:webHidden/>
              </w:rPr>
              <w:instrText xml:space="preserve"> PAGEREF _Toc16271333 \h </w:instrText>
            </w:r>
            <w:r w:rsidRPr="00A607D1">
              <w:rPr>
                <w:rFonts w:asciiTheme="majorHAnsi" w:hAnsiTheme="majorHAnsi" w:cstheme="majorHAnsi"/>
                <w:noProof/>
                <w:webHidden/>
              </w:rPr>
              <w:fldChar w:fldCharType="separate"/>
            </w:r>
            <w:r w:rsidR="003D3695">
              <w:rPr>
                <w:rFonts w:asciiTheme="majorHAnsi" w:hAnsiTheme="majorHAnsi" w:cstheme="majorHAnsi"/>
                <w:noProof/>
                <w:webHidden/>
              </w:rPr>
              <w:t>14</w:t>
            </w:r>
            <w:r w:rsidRPr="00A607D1">
              <w:rPr>
                <w:rFonts w:asciiTheme="majorHAnsi" w:hAnsiTheme="majorHAnsi" w:cstheme="majorHAnsi"/>
                <w:noProof/>
                <w:webHidden/>
              </w:rPr>
              <w:fldChar w:fldCharType="end"/>
            </w:r>
          </w:hyperlink>
        </w:p>
        <w:p w:rsidR="00537A91" w:rsidRPr="00A607D1" w:rsidP="008E2673" w14:paraId="29A7E81E" w14:textId="1CABBA08">
          <w:pPr>
            <w:pStyle w:val="TOC2"/>
            <w:rPr>
              <w:rFonts w:asciiTheme="majorHAnsi" w:eastAsiaTheme="minorEastAsia" w:hAnsiTheme="majorHAnsi" w:cstheme="majorHAnsi"/>
              <w:noProof/>
              <w:color w:val="auto"/>
            </w:rPr>
          </w:pPr>
          <w:hyperlink w:anchor="_Toc16271334" w:history="1">
            <w:r w:rsidRPr="00A607D1">
              <w:rPr>
                <w:rStyle w:val="Hyperlink"/>
                <w:rFonts w:asciiTheme="majorHAnsi" w:hAnsiTheme="majorHAnsi" w:cstheme="majorHAnsi"/>
                <w:noProof/>
              </w:rPr>
              <w:t>A.15. Reasons for Changes in Burden</w:t>
            </w:r>
            <w:r w:rsidRPr="00A607D1">
              <w:rPr>
                <w:rFonts w:asciiTheme="majorHAnsi" w:hAnsiTheme="majorHAnsi" w:cstheme="majorHAnsi"/>
                <w:noProof/>
                <w:webHidden/>
              </w:rPr>
              <w:tab/>
            </w:r>
            <w:r w:rsidRPr="00A607D1">
              <w:rPr>
                <w:rFonts w:asciiTheme="majorHAnsi" w:hAnsiTheme="majorHAnsi" w:cstheme="majorHAnsi"/>
                <w:noProof/>
                <w:webHidden/>
              </w:rPr>
              <w:fldChar w:fldCharType="begin"/>
            </w:r>
            <w:r w:rsidRPr="00A607D1">
              <w:rPr>
                <w:rFonts w:asciiTheme="majorHAnsi" w:hAnsiTheme="majorHAnsi" w:cstheme="majorHAnsi"/>
                <w:noProof/>
                <w:webHidden/>
              </w:rPr>
              <w:instrText xml:space="preserve"> PAGEREF _Toc16271334 \h </w:instrText>
            </w:r>
            <w:r w:rsidRPr="00A607D1">
              <w:rPr>
                <w:rFonts w:asciiTheme="majorHAnsi" w:hAnsiTheme="majorHAnsi" w:cstheme="majorHAnsi"/>
                <w:noProof/>
                <w:webHidden/>
              </w:rPr>
              <w:fldChar w:fldCharType="separate"/>
            </w:r>
            <w:r w:rsidR="003D3695">
              <w:rPr>
                <w:rFonts w:asciiTheme="majorHAnsi" w:hAnsiTheme="majorHAnsi" w:cstheme="majorHAnsi"/>
                <w:noProof/>
                <w:webHidden/>
              </w:rPr>
              <w:t>14</w:t>
            </w:r>
            <w:r w:rsidRPr="00A607D1">
              <w:rPr>
                <w:rFonts w:asciiTheme="majorHAnsi" w:hAnsiTheme="majorHAnsi" w:cstheme="majorHAnsi"/>
                <w:noProof/>
                <w:webHidden/>
              </w:rPr>
              <w:fldChar w:fldCharType="end"/>
            </w:r>
          </w:hyperlink>
        </w:p>
        <w:p w:rsidR="00537A91" w:rsidRPr="00A607D1" w:rsidP="008E2673" w14:paraId="29807F52" w14:textId="030C777D">
          <w:pPr>
            <w:pStyle w:val="TOC2"/>
            <w:rPr>
              <w:rFonts w:asciiTheme="majorHAnsi" w:eastAsiaTheme="minorEastAsia" w:hAnsiTheme="majorHAnsi" w:cstheme="majorHAnsi"/>
              <w:noProof/>
              <w:color w:val="auto"/>
            </w:rPr>
          </w:pPr>
          <w:hyperlink w:anchor="_Toc16271335" w:history="1">
            <w:r w:rsidRPr="00A607D1">
              <w:rPr>
                <w:rStyle w:val="Hyperlink"/>
                <w:rFonts w:asciiTheme="majorHAnsi" w:hAnsiTheme="majorHAnsi" w:cstheme="majorHAnsi"/>
                <w:noProof/>
              </w:rPr>
              <w:t>A.16. Collection, Tabulation, and Publication Plans</w:t>
            </w:r>
            <w:r w:rsidRPr="00A607D1">
              <w:rPr>
                <w:rFonts w:asciiTheme="majorHAnsi" w:hAnsiTheme="majorHAnsi" w:cstheme="majorHAnsi"/>
                <w:noProof/>
                <w:webHidden/>
              </w:rPr>
              <w:tab/>
            </w:r>
            <w:r w:rsidRPr="00A607D1">
              <w:rPr>
                <w:rFonts w:asciiTheme="majorHAnsi" w:hAnsiTheme="majorHAnsi" w:cstheme="majorHAnsi"/>
                <w:noProof/>
                <w:webHidden/>
              </w:rPr>
              <w:fldChar w:fldCharType="begin"/>
            </w:r>
            <w:r w:rsidRPr="00A607D1">
              <w:rPr>
                <w:rFonts w:asciiTheme="majorHAnsi" w:hAnsiTheme="majorHAnsi" w:cstheme="majorHAnsi"/>
                <w:noProof/>
                <w:webHidden/>
              </w:rPr>
              <w:instrText xml:space="preserve"> PAGEREF _Toc16271335 \h </w:instrText>
            </w:r>
            <w:r w:rsidRPr="00A607D1">
              <w:rPr>
                <w:rFonts w:asciiTheme="majorHAnsi" w:hAnsiTheme="majorHAnsi" w:cstheme="majorHAnsi"/>
                <w:noProof/>
                <w:webHidden/>
              </w:rPr>
              <w:fldChar w:fldCharType="separate"/>
            </w:r>
            <w:r w:rsidR="003D3695">
              <w:rPr>
                <w:rFonts w:asciiTheme="majorHAnsi" w:hAnsiTheme="majorHAnsi" w:cstheme="majorHAnsi"/>
                <w:noProof/>
                <w:webHidden/>
              </w:rPr>
              <w:t>15</w:t>
            </w:r>
            <w:r w:rsidRPr="00A607D1">
              <w:rPr>
                <w:rFonts w:asciiTheme="majorHAnsi" w:hAnsiTheme="majorHAnsi" w:cstheme="majorHAnsi"/>
                <w:noProof/>
                <w:webHidden/>
              </w:rPr>
              <w:fldChar w:fldCharType="end"/>
            </w:r>
          </w:hyperlink>
        </w:p>
        <w:p w:rsidR="00537A91" w:rsidRPr="00A607D1" w:rsidP="008E2673" w14:paraId="41A13E03" w14:textId="10509AD4">
          <w:pPr>
            <w:pStyle w:val="TOC2"/>
            <w:rPr>
              <w:rFonts w:asciiTheme="majorHAnsi" w:eastAsiaTheme="minorEastAsia" w:hAnsiTheme="majorHAnsi" w:cstheme="majorHAnsi"/>
              <w:noProof/>
              <w:color w:val="auto"/>
            </w:rPr>
          </w:pPr>
          <w:hyperlink w:anchor="_Toc16271336" w:history="1">
            <w:r w:rsidRPr="00A607D1">
              <w:rPr>
                <w:rStyle w:val="Hyperlink"/>
                <w:rFonts w:asciiTheme="majorHAnsi" w:hAnsiTheme="majorHAnsi" w:cstheme="majorHAnsi"/>
                <w:noProof/>
              </w:rPr>
              <w:t>A.17. OMB Number and Expiration Date</w:t>
            </w:r>
            <w:r w:rsidRPr="00A607D1">
              <w:rPr>
                <w:rFonts w:asciiTheme="majorHAnsi" w:hAnsiTheme="majorHAnsi" w:cstheme="majorHAnsi"/>
                <w:noProof/>
                <w:webHidden/>
              </w:rPr>
              <w:tab/>
            </w:r>
            <w:r w:rsidRPr="00A607D1">
              <w:rPr>
                <w:rFonts w:asciiTheme="majorHAnsi" w:hAnsiTheme="majorHAnsi" w:cstheme="majorHAnsi"/>
                <w:noProof/>
                <w:webHidden/>
              </w:rPr>
              <w:fldChar w:fldCharType="begin"/>
            </w:r>
            <w:r w:rsidRPr="00A607D1">
              <w:rPr>
                <w:rFonts w:asciiTheme="majorHAnsi" w:hAnsiTheme="majorHAnsi" w:cstheme="majorHAnsi"/>
                <w:noProof/>
                <w:webHidden/>
              </w:rPr>
              <w:instrText xml:space="preserve"> PAGEREF _Toc16271336 \h </w:instrText>
            </w:r>
            <w:r w:rsidRPr="00A607D1">
              <w:rPr>
                <w:rFonts w:asciiTheme="majorHAnsi" w:hAnsiTheme="majorHAnsi" w:cstheme="majorHAnsi"/>
                <w:noProof/>
                <w:webHidden/>
              </w:rPr>
              <w:fldChar w:fldCharType="separate"/>
            </w:r>
            <w:r w:rsidR="003D3695">
              <w:rPr>
                <w:rFonts w:asciiTheme="majorHAnsi" w:hAnsiTheme="majorHAnsi" w:cstheme="majorHAnsi"/>
                <w:noProof/>
                <w:webHidden/>
              </w:rPr>
              <w:t>16</w:t>
            </w:r>
            <w:r w:rsidRPr="00A607D1">
              <w:rPr>
                <w:rFonts w:asciiTheme="majorHAnsi" w:hAnsiTheme="majorHAnsi" w:cstheme="majorHAnsi"/>
                <w:noProof/>
                <w:webHidden/>
              </w:rPr>
              <w:fldChar w:fldCharType="end"/>
            </w:r>
          </w:hyperlink>
        </w:p>
        <w:p w:rsidR="00537A91" w:rsidRPr="00106C21" w:rsidP="008E2673" w14:paraId="61D4CF08" w14:textId="7F507521">
          <w:pPr>
            <w:pStyle w:val="TOC2"/>
            <w:rPr>
              <w:rFonts w:eastAsiaTheme="minorEastAsia"/>
              <w:noProof/>
              <w:color w:val="auto"/>
            </w:rPr>
          </w:pPr>
          <w:hyperlink w:anchor="_Toc16271337" w:history="1">
            <w:r w:rsidRPr="00A607D1">
              <w:rPr>
                <w:rStyle w:val="Hyperlink"/>
                <w:rFonts w:asciiTheme="majorHAnsi" w:hAnsiTheme="majorHAnsi" w:cstheme="majorHAnsi"/>
                <w:noProof/>
              </w:rPr>
              <w:t>A.18. Certification Statement</w:t>
            </w:r>
            <w:r w:rsidRPr="00A607D1">
              <w:rPr>
                <w:rFonts w:asciiTheme="majorHAnsi" w:hAnsiTheme="majorHAnsi" w:cstheme="majorHAnsi"/>
                <w:noProof/>
                <w:webHidden/>
              </w:rPr>
              <w:tab/>
            </w:r>
            <w:r w:rsidRPr="00A607D1">
              <w:rPr>
                <w:rFonts w:asciiTheme="majorHAnsi" w:hAnsiTheme="majorHAnsi" w:cstheme="majorHAnsi"/>
                <w:noProof/>
                <w:webHidden/>
              </w:rPr>
              <w:fldChar w:fldCharType="begin"/>
            </w:r>
            <w:r w:rsidRPr="00A607D1">
              <w:rPr>
                <w:rFonts w:asciiTheme="majorHAnsi" w:hAnsiTheme="majorHAnsi" w:cstheme="majorHAnsi"/>
                <w:noProof/>
                <w:webHidden/>
              </w:rPr>
              <w:instrText xml:space="preserve"> PAGEREF _Toc16271337 \h </w:instrText>
            </w:r>
            <w:r w:rsidRPr="00A607D1">
              <w:rPr>
                <w:rFonts w:asciiTheme="majorHAnsi" w:hAnsiTheme="majorHAnsi" w:cstheme="majorHAnsi"/>
                <w:noProof/>
                <w:webHidden/>
              </w:rPr>
              <w:fldChar w:fldCharType="separate"/>
            </w:r>
            <w:r w:rsidR="003D3695">
              <w:rPr>
                <w:rFonts w:asciiTheme="majorHAnsi" w:hAnsiTheme="majorHAnsi" w:cstheme="majorHAnsi"/>
                <w:noProof/>
                <w:webHidden/>
              </w:rPr>
              <w:t>16</w:t>
            </w:r>
            <w:r w:rsidRPr="00A607D1">
              <w:rPr>
                <w:rFonts w:asciiTheme="majorHAnsi" w:hAnsiTheme="majorHAnsi" w:cstheme="majorHAnsi"/>
                <w:noProof/>
                <w:webHidden/>
              </w:rPr>
              <w:fldChar w:fldCharType="end"/>
            </w:r>
          </w:hyperlink>
        </w:p>
        <w:p w:rsidR="0059212D" w:rsidRPr="00106C21" w14:paraId="3C174CDC" w14:textId="77777777">
          <w:pPr>
            <w:rPr>
              <w:rFonts w:ascii="Times New Roman" w:hAnsi="Times New Roman" w:cs="Times New Roman"/>
            </w:rPr>
          </w:pPr>
          <w:r w:rsidRPr="00106C21">
            <w:rPr>
              <w:rFonts w:ascii="Times New Roman" w:hAnsi="Times New Roman" w:cs="Times New Roman"/>
              <w:b/>
              <w:bCs/>
              <w:noProof/>
            </w:rPr>
            <w:fldChar w:fldCharType="end"/>
          </w:r>
        </w:p>
      </w:sdtContent>
    </w:sdt>
    <w:p w:rsidR="001F3A8F" w:rsidRPr="00106C21" w:rsidP="00D928FD" w14:paraId="64EC5D6D" w14:textId="77777777">
      <w:pPr>
        <w:rPr>
          <w:rFonts w:ascii="Times New Roman" w:hAnsi="Times New Roman" w:cs="Times New Roman"/>
        </w:rPr>
      </w:pPr>
    </w:p>
    <w:p w:rsidR="00D928FD" w:rsidRPr="00106C21" w:rsidP="00D928FD" w14:paraId="5AC8FFB4" w14:textId="77777777">
      <w:pPr>
        <w:rPr>
          <w:rFonts w:ascii="Times New Roman" w:hAnsi="Times New Roman" w:cs="Times New Roman"/>
        </w:rPr>
        <w:sectPr w:rsidSect="00725453">
          <w:footerReference w:type="first" r:id="rId9"/>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RPr="00106C21" w:rsidP="00836D62" w14:paraId="6C0685D0" w14:textId="77777777">
      <w:pPr>
        <w:spacing w:line="240" w:lineRule="auto"/>
        <w:rPr>
          <w:rFonts w:ascii="Times New Roman" w:hAnsi="Times New Roman" w:cs="Times New Roman"/>
        </w:rPr>
      </w:pPr>
    </w:p>
    <w:p w:rsidR="00933D5D" w:rsidRPr="00106C21" w:rsidP="00933D5D" w14:paraId="51486C34" w14:textId="77777777">
      <w:pPr>
        <w:tabs>
          <w:tab w:val="left" w:pos="7365"/>
        </w:tabs>
        <w:rPr>
          <w:rFonts w:ascii="Times New Roman" w:hAnsi="Times New Roman" w:cs="Times New Roman"/>
        </w:rPr>
      </w:pPr>
      <w:r w:rsidRPr="00106C21">
        <w:rPr>
          <w:rFonts w:ascii="Times New Roman" w:hAnsi="Times New Roman" w:cs="Times New Roman"/>
        </w:rPr>
        <w:tab/>
      </w:r>
    </w:p>
    <w:p w:rsidR="00041909" w:rsidRPr="00106C21" w:rsidP="00933D5D" w14:paraId="626BF99B" w14:textId="77777777">
      <w:pPr>
        <w:tabs>
          <w:tab w:val="left" w:pos="7365"/>
        </w:tabs>
        <w:rPr>
          <w:rFonts w:ascii="Times New Roman" w:hAnsi="Times New Roman" w:cs="Times New Roman"/>
        </w:rPr>
        <w:sectPr w:rsidSect="00725453">
          <w:footerReference w:type="first" r:id="rId10"/>
          <w:footnotePr>
            <w:pos w:val="beneathText"/>
          </w:footnotePr>
          <w:type w:val="continuous"/>
          <w:pgSz w:w="12240" w:h="15840"/>
          <w:pgMar w:top="1440" w:right="1440" w:bottom="1440" w:left="1440" w:header="720" w:footer="720" w:gutter="0"/>
          <w:pgNumType w:fmt="lowerRoman"/>
          <w:cols w:space="720"/>
          <w:docGrid w:linePitch="360"/>
        </w:sectPr>
      </w:pPr>
      <w:r w:rsidRPr="00106C21">
        <w:rPr>
          <w:rFonts w:ascii="Times New Roman" w:hAnsi="Times New Roman" w:cs="Times New Roman"/>
        </w:rPr>
        <w:tab/>
      </w:r>
    </w:p>
    <w:p w:rsidR="008C734C" w:rsidRPr="00106C21" w:rsidP="005A73A8" w14:paraId="52FD1B10" w14:textId="77777777">
      <w:pPr>
        <w:pStyle w:val="Heading2"/>
        <w:rPr>
          <w:rFonts w:ascii="Times New Roman" w:hAnsi="Times New Roman" w:cs="Times New Roman"/>
        </w:rPr>
      </w:pPr>
      <w:bookmarkStart w:id="1" w:name="_Toc16271318"/>
      <w:r w:rsidRPr="00106C21">
        <w:rPr>
          <w:rFonts w:ascii="Times New Roman" w:hAnsi="Times New Roman" w:cs="Times New Roman"/>
        </w:rPr>
        <w:t>Introdu</w:t>
      </w:r>
      <w:r w:rsidRPr="00106C21" w:rsidR="00844524">
        <w:rPr>
          <w:rFonts w:ascii="Times New Roman" w:hAnsi="Times New Roman" w:cs="Times New Roman"/>
        </w:rPr>
        <w:t>ction</w:t>
      </w:r>
      <w:bookmarkEnd w:id="1"/>
    </w:p>
    <w:p w:rsidR="00E3293C" w:rsidP="002A5CC2" w14:paraId="21DF04BA" w14:textId="3123484E">
      <w:pPr>
        <w:rPr>
          <w:rFonts w:ascii="Times New Roman" w:hAnsi="Times New Roman" w:cs="Times New Roman"/>
          <w:bCs/>
        </w:rPr>
      </w:pPr>
      <w:r w:rsidRPr="00106C21">
        <w:rPr>
          <w:rFonts w:ascii="Times New Roman" w:hAnsi="Times New Roman" w:cs="Times New Roman"/>
          <w:bCs/>
        </w:rPr>
        <w:t>The U.S. Department of Energy (the “Department” or “DOE”) requests</w:t>
      </w:r>
      <w:r w:rsidR="009B262C">
        <w:rPr>
          <w:rFonts w:ascii="Times New Roman" w:hAnsi="Times New Roman" w:cs="Times New Roman"/>
          <w:bCs/>
        </w:rPr>
        <w:t xml:space="preserve"> </w:t>
      </w:r>
      <w:r w:rsidRPr="00E6183E" w:rsidR="00E6183E">
        <w:rPr>
          <w:rFonts w:ascii="Times New Roman" w:hAnsi="Times New Roman" w:cs="Times New Roman"/>
          <w:bCs/>
        </w:rPr>
        <w:t>reinstatement, with change, of a previously approved collection for which approval has expired</w:t>
      </w:r>
      <w:r w:rsidR="00E6183E">
        <w:rPr>
          <w:rFonts w:ascii="Times New Roman" w:hAnsi="Times New Roman" w:cs="Times New Roman"/>
          <w:bCs/>
        </w:rPr>
        <w:t xml:space="preserve"> f</w:t>
      </w:r>
      <w:r w:rsidR="006D3D15">
        <w:rPr>
          <w:rFonts w:ascii="Times New Roman" w:hAnsi="Times New Roman" w:cs="Times New Roman"/>
          <w:bCs/>
        </w:rPr>
        <w:t xml:space="preserve"> </w:t>
      </w:r>
      <w:r w:rsidRPr="00106C21" w:rsidR="000863C0">
        <w:rPr>
          <w:rFonts w:ascii="Times New Roman" w:hAnsi="Times New Roman" w:cs="Times New Roman"/>
          <w:bCs/>
        </w:rPr>
        <w:t>under OMB Control Number 1910-5134 (the “ICR”)</w:t>
      </w:r>
      <w:r w:rsidR="00A04C3D">
        <w:rPr>
          <w:rFonts w:ascii="Times New Roman" w:hAnsi="Times New Roman" w:cs="Times New Roman"/>
          <w:bCs/>
        </w:rPr>
        <w:t>.</w:t>
      </w:r>
      <w:r w:rsidR="001F47D7">
        <w:rPr>
          <w:rFonts w:ascii="Times New Roman" w:hAnsi="Times New Roman" w:cs="Times New Roman"/>
          <w:bCs/>
        </w:rPr>
        <w:t xml:space="preserve"> </w:t>
      </w:r>
      <w:r w:rsidR="00A04C3D">
        <w:rPr>
          <w:rFonts w:ascii="Times New Roman" w:hAnsi="Times New Roman" w:cs="Times New Roman"/>
          <w:bCs/>
        </w:rPr>
        <w:t xml:space="preserve">The ICR </w:t>
      </w:r>
      <w:r w:rsidR="0080176C">
        <w:rPr>
          <w:rFonts w:ascii="Times New Roman" w:hAnsi="Times New Roman" w:cs="Times New Roman"/>
          <w:bCs/>
        </w:rPr>
        <w:t>is</w:t>
      </w:r>
      <w:r w:rsidR="00CC75FB">
        <w:rPr>
          <w:rFonts w:ascii="Times New Roman" w:hAnsi="Times New Roman" w:cs="Times New Roman"/>
          <w:bCs/>
        </w:rPr>
        <w:t xml:space="preserve"> </w:t>
      </w:r>
      <w:r w:rsidRPr="00106C21" w:rsidR="000863C0">
        <w:rPr>
          <w:rFonts w:ascii="Times New Roman" w:hAnsi="Times New Roman" w:cs="Times New Roman"/>
          <w:bCs/>
        </w:rPr>
        <w:t xml:space="preserve">utilized by </w:t>
      </w:r>
      <w:r w:rsidR="00EC0A50">
        <w:rPr>
          <w:rFonts w:ascii="Times New Roman" w:hAnsi="Times New Roman" w:cs="Times New Roman"/>
          <w:bCs/>
        </w:rPr>
        <w:t>the Department’s</w:t>
      </w:r>
      <w:r w:rsidRPr="00106C21" w:rsidR="00EC0A50">
        <w:rPr>
          <w:rFonts w:ascii="Times New Roman" w:hAnsi="Times New Roman" w:cs="Times New Roman"/>
          <w:bCs/>
        </w:rPr>
        <w:t xml:space="preserve"> </w:t>
      </w:r>
      <w:r w:rsidR="006F553B">
        <w:rPr>
          <w:rFonts w:ascii="Times New Roman" w:hAnsi="Times New Roman" w:cs="Times New Roman"/>
          <w:bCs/>
        </w:rPr>
        <w:t>Office of Energy Dominance Financing</w:t>
      </w:r>
      <w:r w:rsidRPr="00106C21">
        <w:rPr>
          <w:rFonts w:ascii="Times New Roman" w:hAnsi="Times New Roman" w:cs="Times New Roman"/>
          <w:bCs/>
        </w:rPr>
        <w:t xml:space="preserve"> (“</w:t>
      </w:r>
      <w:r w:rsidR="006F553B">
        <w:rPr>
          <w:rFonts w:ascii="Times New Roman" w:hAnsi="Times New Roman" w:cs="Times New Roman"/>
          <w:bCs/>
        </w:rPr>
        <w:t>EDF</w:t>
      </w:r>
      <w:r w:rsidRPr="00106C21">
        <w:rPr>
          <w:rFonts w:ascii="Times New Roman" w:hAnsi="Times New Roman" w:cs="Times New Roman"/>
          <w:bCs/>
        </w:rPr>
        <w:t xml:space="preserve">”) </w:t>
      </w:r>
      <w:r w:rsidRPr="00106C21" w:rsidR="000863C0">
        <w:rPr>
          <w:rFonts w:ascii="Times New Roman" w:hAnsi="Times New Roman" w:cs="Times New Roman"/>
          <w:bCs/>
        </w:rPr>
        <w:t xml:space="preserve">to administer </w:t>
      </w:r>
      <w:r w:rsidR="006E4CA5">
        <w:rPr>
          <w:rFonts w:ascii="Times New Roman" w:hAnsi="Times New Roman" w:cs="Times New Roman"/>
          <w:bCs/>
        </w:rPr>
        <w:t>the</w:t>
      </w:r>
      <w:r w:rsidR="00255A6E">
        <w:rPr>
          <w:rFonts w:ascii="Times New Roman" w:hAnsi="Times New Roman" w:cs="Times New Roman"/>
          <w:bCs/>
        </w:rPr>
        <w:t xml:space="preserve"> </w:t>
      </w:r>
      <w:r w:rsidRPr="00106C21" w:rsidR="003F2FA5">
        <w:rPr>
          <w:rFonts w:ascii="Times New Roman" w:hAnsi="Times New Roman" w:cs="Times New Roman"/>
          <w:bCs/>
        </w:rPr>
        <w:t>Title XVII</w:t>
      </w:r>
      <w:r w:rsidR="00E6183E">
        <w:rPr>
          <w:rFonts w:ascii="Times New Roman" w:hAnsi="Times New Roman" w:cs="Times New Roman"/>
          <w:bCs/>
        </w:rPr>
        <w:t xml:space="preserve"> (Title 17)</w:t>
      </w:r>
      <w:r w:rsidRPr="00106C21" w:rsidR="003F2FA5">
        <w:rPr>
          <w:rFonts w:ascii="Times New Roman" w:hAnsi="Times New Roman" w:cs="Times New Roman"/>
          <w:bCs/>
        </w:rPr>
        <w:t xml:space="preserve"> </w:t>
      </w:r>
      <w:r w:rsidR="008E7322">
        <w:rPr>
          <w:rFonts w:ascii="Times New Roman" w:hAnsi="Times New Roman" w:cs="Times New Roman"/>
          <w:bCs/>
        </w:rPr>
        <w:t>Energy Financing</w:t>
      </w:r>
      <w:r w:rsidRPr="00106C21" w:rsidR="006E4CA5">
        <w:rPr>
          <w:rFonts w:ascii="Times New Roman" w:hAnsi="Times New Roman" w:cs="Times New Roman"/>
          <w:bCs/>
        </w:rPr>
        <w:t xml:space="preserve"> Program</w:t>
      </w:r>
      <w:r w:rsidRPr="00106C21" w:rsidR="003F2FA5">
        <w:rPr>
          <w:rFonts w:ascii="Times New Roman" w:hAnsi="Times New Roman" w:cs="Times New Roman"/>
          <w:bCs/>
        </w:rPr>
        <w:t xml:space="preserve">. </w:t>
      </w:r>
    </w:p>
    <w:p w:rsidR="00C1076C" w:rsidP="002A5CC2" w14:paraId="70861606" w14:textId="0468E573">
      <w:pPr>
        <w:rPr>
          <w:rFonts w:ascii="Times New Roman" w:hAnsi="Times New Roman" w:cs="Times New Roman"/>
          <w:bCs/>
        </w:rPr>
      </w:pPr>
      <w:r>
        <w:rPr>
          <w:rFonts w:ascii="Times New Roman" w:hAnsi="Times New Roman" w:cs="Times New Roman"/>
          <w:bCs/>
        </w:rPr>
        <w:t xml:space="preserve">The need to revise the ICR </w:t>
      </w:r>
      <w:r w:rsidR="00F86623">
        <w:rPr>
          <w:rFonts w:ascii="Times New Roman" w:hAnsi="Times New Roman" w:cs="Times New Roman"/>
          <w:bCs/>
        </w:rPr>
        <w:t>was</w:t>
      </w:r>
      <w:r>
        <w:rPr>
          <w:rFonts w:ascii="Times New Roman" w:hAnsi="Times New Roman" w:cs="Times New Roman"/>
          <w:bCs/>
        </w:rPr>
        <w:t xml:space="preserve"> triggered by </w:t>
      </w:r>
      <w:r w:rsidR="00F86623">
        <w:rPr>
          <w:rFonts w:ascii="Times New Roman" w:hAnsi="Times New Roman" w:cs="Times New Roman"/>
          <w:bCs/>
        </w:rPr>
        <w:t xml:space="preserve">the </w:t>
      </w:r>
      <w:r>
        <w:rPr>
          <w:rFonts w:ascii="Times New Roman" w:hAnsi="Times New Roman" w:cs="Times New Roman"/>
          <w:bCs/>
        </w:rPr>
        <w:t xml:space="preserve">passage of the </w:t>
      </w:r>
      <w:r w:rsidRPr="00356F1A" w:rsidR="00356F1A">
        <w:rPr>
          <w:rFonts w:ascii="Times New Roman" w:hAnsi="Times New Roman" w:cs="Times New Roman"/>
          <w:bCs/>
        </w:rPr>
        <w:t>One Big Beautiful Bill Act</w:t>
      </w:r>
      <w:r w:rsidR="00356F1A">
        <w:rPr>
          <w:rFonts w:ascii="Times New Roman" w:hAnsi="Times New Roman" w:cs="Times New Roman"/>
          <w:bCs/>
        </w:rPr>
        <w:t xml:space="preserve">, which </w:t>
      </w:r>
      <w:r w:rsidR="00D54683">
        <w:rPr>
          <w:rFonts w:ascii="Times New Roman" w:hAnsi="Times New Roman" w:cs="Times New Roman"/>
          <w:bCs/>
        </w:rPr>
        <w:t xml:space="preserve">expressly </w:t>
      </w:r>
      <w:r w:rsidR="00356F1A">
        <w:rPr>
          <w:rFonts w:ascii="Times New Roman" w:hAnsi="Times New Roman" w:cs="Times New Roman"/>
          <w:bCs/>
        </w:rPr>
        <w:t xml:space="preserve">eliminated </w:t>
      </w:r>
      <w:r w:rsidR="008E7322">
        <w:rPr>
          <w:rFonts w:ascii="Times New Roman" w:hAnsi="Times New Roman" w:cs="Times New Roman"/>
          <w:bCs/>
        </w:rPr>
        <w:t xml:space="preserve">several </w:t>
      </w:r>
      <w:r w:rsidR="00E96361">
        <w:rPr>
          <w:rFonts w:ascii="Times New Roman" w:hAnsi="Times New Roman" w:cs="Times New Roman"/>
          <w:bCs/>
        </w:rPr>
        <w:t xml:space="preserve">loan application </w:t>
      </w:r>
      <w:r>
        <w:rPr>
          <w:rFonts w:ascii="Times New Roman" w:hAnsi="Times New Roman" w:cs="Times New Roman"/>
          <w:bCs/>
        </w:rPr>
        <w:t>requirement</w:t>
      </w:r>
      <w:r w:rsidR="008E7322">
        <w:rPr>
          <w:rFonts w:ascii="Times New Roman" w:hAnsi="Times New Roman" w:cs="Times New Roman"/>
          <w:bCs/>
        </w:rPr>
        <w:t>s</w:t>
      </w:r>
      <w:r w:rsidR="0087275E">
        <w:rPr>
          <w:rFonts w:ascii="Times New Roman" w:hAnsi="Times New Roman" w:cs="Times New Roman"/>
          <w:bCs/>
        </w:rPr>
        <w:t xml:space="preserve"> such as</w:t>
      </w:r>
      <w:r>
        <w:rPr>
          <w:rFonts w:ascii="Times New Roman" w:hAnsi="Times New Roman" w:cs="Times New Roman"/>
          <w:bCs/>
        </w:rPr>
        <w:t xml:space="preserve"> </w:t>
      </w:r>
      <w:r w:rsidR="00A42AFA">
        <w:rPr>
          <w:rFonts w:ascii="Times New Roman" w:hAnsi="Times New Roman" w:cs="Times New Roman"/>
          <w:bCs/>
        </w:rPr>
        <w:t>“</w:t>
      </w:r>
      <w:r w:rsidR="00E96361">
        <w:rPr>
          <w:rFonts w:ascii="Times New Roman" w:hAnsi="Times New Roman" w:cs="Times New Roman"/>
          <w:bCs/>
        </w:rPr>
        <w:t>an</w:t>
      </w:r>
      <w:r>
        <w:rPr>
          <w:rFonts w:ascii="Times New Roman" w:hAnsi="Times New Roman" w:cs="Times New Roman"/>
          <w:bCs/>
        </w:rPr>
        <w:t xml:space="preserve"> analysis of how the proposed project will engage with and affect associated communities</w:t>
      </w:r>
      <w:r w:rsidR="00C2131F">
        <w:rPr>
          <w:rFonts w:ascii="Times New Roman" w:hAnsi="Times New Roman" w:cs="Times New Roman"/>
          <w:bCs/>
        </w:rPr>
        <w:t>.</w:t>
      </w:r>
      <w:r>
        <w:rPr>
          <w:rFonts w:ascii="Times New Roman" w:hAnsi="Times New Roman" w:cs="Times New Roman"/>
          <w:bCs/>
        </w:rPr>
        <w:t xml:space="preserve">” </w:t>
      </w:r>
      <w:r w:rsidRPr="00213408" w:rsidR="0087275E">
        <w:rPr>
          <w:rFonts w:ascii="Times New Roman" w:hAnsi="Times New Roman" w:cs="Times New Roman"/>
          <w:bCs/>
          <w:i/>
          <w:iCs/>
        </w:rPr>
        <w:t>See</w:t>
      </w:r>
      <w:r w:rsidR="00F667C1">
        <w:rPr>
          <w:rFonts w:ascii="Times New Roman" w:hAnsi="Times New Roman" w:cs="Times New Roman"/>
          <w:bCs/>
          <w:i/>
          <w:iCs/>
        </w:rPr>
        <w:t xml:space="preserve"> </w:t>
      </w:r>
      <w:r w:rsidRPr="00213408" w:rsidR="00F667C1">
        <w:rPr>
          <w:rFonts w:ascii="Times New Roman" w:hAnsi="Times New Roman" w:cs="Times New Roman"/>
          <w:bCs/>
          <w:i/>
          <w:iCs/>
        </w:rPr>
        <w:t>e</w:t>
      </w:r>
      <w:r w:rsidR="00F667C1">
        <w:rPr>
          <w:rFonts w:ascii="Times New Roman" w:hAnsi="Times New Roman" w:cs="Times New Roman"/>
          <w:bCs/>
        </w:rPr>
        <w:t>.</w:t>
      </w:r>
      <w:r w:rsidRPr="00213408" w:rsidR="00F667C1">
        <w:rPr>
          <w:rFonts w:ascii="Times New Roman" w:hAnsi="Times New Roman" w:cs="Times New Roman"/>
          <w:bCs/>
          <w:i/>
          <w:iCs/>
        </w:rPr>
        <w:t>g</w:t>
      </w:r>
      <w:r w:rsidR="00F667C1">
        <w:rPr>
          <w:rFonts w:ascii="Times New Roman" w:hAnsi="Times New Roman" w:cs="Times New Roman"/>
          <w:bCs/>
        </w:rPr>
        <w:t>.</w:t>
      </w:r>
      <w:r w:rsidR="0087275E">
        <w:rPr>
          <w:rFonts w:ascii="Times New Roman" w:hAnsi="Times New Roman" w:cs="Times New Roman"/>
          <w:bCs/>
        </w:rPr>
        <w:t xml:space="preserve"> Pub. L. 119–21, </w:t>
      </w:r>
      <w:r w:rsidR="002B5332">
        <w:rPr>
          <w:rFonts w:ascii="Times New Roman" w:hAnsi="Times New Roman" w:cs="Times New Roman"/>
          <w:bCs/>
        </w:rPr>
        <w:t>Sec. 50403(</w:t>
      </w:r>
      <w:r w:rsidR="00F667C1">
        <w:rPr>
          <w:rFonts w:ascii="Times New Roman" w:hAnsi="Times New Roman" w:cs="Times New Roman"/>
          <w:bCs/>
        </w:rPr>
        <w:t xml:space="preserve">a), 139 Stat. 153 (Jul. 4, 2025). </w:t>
      </w:r>
      <w:r w:rsidR="004F027D">
        <w:rPr>
          <w:rFonts w:ascii="Times New Roman" w:hAnsi="Times New Roman" w:cs="Times New Roman"/>
          <w:bCs/>
        </w:rPr>
        <w:t xml:space="preserve">The </w:t>
      </w:r>
      <w:r w:rsidR="004F027D">
        <w:rPr>
          <w:rFonts w:ascii="Times New Roman" w:hAnsi="Times New Roman" w:cs="Times New Roman"/>
          <w:bCs/>
        </w:rPr>
        <w:t xml:space="preserve">aforementioned </w:t>
      </w:r>
      <w:r w:rsidR="00EC0A50">
        <w:rPr>
          <w:rFonts w:ascii="Times New Roman" w:hAnsi="Times New Roman" w:cs="Times New Roman"/>
          <w:bCs/>
        </w:rPr>
        <w:t>requirement</w:t>
      </w:r>
      <w:r w:rsidR="00EC0A50">
        <w:rPr>
          <w:rFonts w:ascii="Times New Roman" w:hAnsi="Times New Roman" w:cs="Times New Roman"/>
          <w:bCs/>
        </w:rPr>
        <w:t xml:space="preserve"> </w:t>
      </w:r>
      <w:r w:rsidR="0021476D">
        <w:rPr>
          <w:rFonts w:ascii="Times New Roman" w:hAnsi="Times New Roman" w:cs="Times New Roman"/>
          <w:bCs/>
        </w:rPr>
        <w:t xml:space="preserve">was mandated by the </w:t>
      </w:r>
      <w:r w:rsidRPr="0021476D" w:rsidR="0021476D">
        <w:rPr>
          <w:rFonts w:ascii="Times New Roman" w:hAnsi="Times New Roman" w:cs="Times New Roman"/>
          <w:bCs/>
        </w:rPr>
        <w:t>Inflation Reduction Act of 2022</w:t>
      </w:r>
      <w:r w:rsidR="0021476D">
        <w:rPr>
          <w:rFonts w:ascii="Times New Roman" w:hAnsi="Times New Roman" w:cs="Times New Roman"/>
          <w:bCs/>
        </w:rPr>
        <w:t xml:space="preserve">. </w:t>
      </w:r>
      <w:r w:rsidRPr="000705B0" w:rsidR="00046E16">
        <w:rPr>
          <w:rFonts w:ascii="Times New Roman" w:hAnsi="Times New Roman" w:cs="Times New Roman"/>
          <w:bCs/>
          <w:i/>
          <w:iCs/>
        </w:rPr>
        <w:t>See</w:t>
      </w:r>
      <w:r w:rsidR="00046E16">
        <w:rPr>
          <w:rFonts w:ascii="Times New Roman" w:hAnsi="Times New Roman" w:cs="Times New Roman"/>
          <w:bCs/>
          <w:i/>
          <w:iCs/>
        </w:rPr>
        <w:t xml:space="preserve"> </w:t>
      </w:r>
      <w:r w:rsidRPr="000705B0" w:rsidR="00046E16">
        <w:rPr>
          <w:rFonts w:ascii="Times New Roman" w:hAnsi="Times New Roman" w:cs="Times New Roman"/>
          <w:bCs/>
          <w:i/>
          <w:iCs/>
        </w:rPr>
        <w:t>e</w:t>
      </w:r>
      <w:r w:rsidR="00046E16">
        <w:rPr>
          <w:rFonts w:ascii="Times New Roman" w:hAnsi="Times New Roman" w:cs="Times New Roman"/>
          <w:bCs/>
        </w:rPr>
        <w:t>.</w:t>
      </w:r>
      <w:r w:rsidRPr="000705B0" w:rsidR="00046E16">
        <w:rPr>
          <w:rFonts w:ascii="Times New Roman" w:hAnsi="Times New Roman" w:cs="Times New Roman"/>
          <w:bCs/>
          <w:i/>
          <w:iCs/>
        </w:rPr>
        <w:t>g</w:t>
      </w:r>
      <w:r w:rsidR="00046E16">
        <w:rPr>
          <w:rFonts w:ascii="Times New Roman" w:hAnsi="Times New Roman" w:cs="Times New Roman"/>
          <w:bCs/>
        </w:rPr>
        <w:t xml:space="preserve">. Pub. L. 117–169, Sec. 50144(c), 136 Stat. 2045 (Aug. 16, 2022). </w:t>
      </w:r>
      <w:r w:rsidR="006B1189">
        <w:rPr>
          <w:rFonts w:ascii="Times New Roman" w:hAnsi="Times New Roman" w:cs="Times New Roman"/>
          <w:bCs/>
        </w:rPr>
        <w:t xml:space="preserve">Thus, </w:t>
      </w:r>
      <w:r w:rsidR="006B1189">
        <w:rPr>
          <w:rFonts w:ascii="Times New Roman" w:hAnsi="Times New Roman" w:cs="Times New Roman"/>
        </w:rPr>
        <w:t xml:space="preserve">prior to the passage of </w:t>
      </w:r>
      <w:r w:rsidR="006B1189">
        <w:rPr>
          <w:rFonts w:ascii="Times New Roman" w:hAnsi="Times New Roman" w:cs="Times New Roman"/>
          <w:bCs/>
        </w:rPr>
        <w:t xml:space="preserve">the </w:t>
      </w:r>
      <w:r w:rsidRPr="00356F1A" w:rsidR="006B1189">
        <w:rPr>
          <w:rFonts w:ascii="Times New Roman" w:hAnsi="Times New Roman" w:cs="Times New Roman"/>
          <w:bCs/>
        </w:rPr>
        <w:t>One Big Beautiful Bill Ac</w:t>
      </w:r>
      <w:r w:rsidR="006B1189">
        <w:rPr>
          <w:rFonts w:ascii="Times New Roman" w:hAnsi="Times New Roman" w:cs="Times New Roman"/>
          <w:bCs/>
        </w:rPr>
        <w:t>t</w:t>
      </w:r>
      <w:r w:rsidR="00046E16">
        <w:rPr>
          <w:rFonts w:ascii="Times New Roman" w:hAnsi="Times New Roman" w:cs="Times New Roman"/>
          <w:bCs/>
        </w:rPr>
        <w:t>,</w:t>
      </w:r>
      <w:r w:rsidR="006B1189">
        <w:rPr>
          <w:rFonts w:ascii="Times New Roman" w:hAnsi="Times New Roman" w:cs="Times New Roman"/>
          <w:bCs/>
        </w:rPr>
        <w:t xml:space="preserve"> a loan applicant would have been denied for their failure to submit </w:t>
      </w:r>
      <w:r w:rsidR="00046E16">
        <w:rPr>
          <w:rFonts w:ascii="Times New Roman" w:hAnsi="Times New Roman" w:cs="Times New Roman"/>
          <w:bCs/>
        </w:rPr>
        <w:t xml:space="preserve">the required plan, </w:t>
      </w:r>
      <w:r w:rsidR="001C158E">
        <w:rPr>
          <w:rFonts w:ascii="Times New Roman" w:hAnsi="Times New Roman" w:cs="Times New Roman"/>
          <w:bCs/>
        </w:rPr>
        <w:t>implemented as</w:t>
      </w:r>
      <w:r w:rsidR="00046E16">
        <w:rPr>
          <w:rFonts w:ascii="Times New Roman" w:hAnsi="Times New Roman" w:cs="Times New Roman"/>
          <w:bCs/>
        </w:rPr>
        <w:t xml:space="preserve"> a</w:t>
      </w:r>
      <w:r w:rsidR="006B1189">
        <w:rPr>
          <w:rFonts w:ascii="Times New Roman" w:hAnsi="Times New Roman" w:cs="Times New Roman"/>
          <w:bCs/>
        </w:rPr>
        <w:t xml:space="preserve"> Community Benefits Plan</w:t>
      </w:r>
      <w:r w:rsidR="00046E16">
        <w:rPr>
          <w:rFonts w:ascii="Times New Roman" w:hAnsi="Times New Roman" w:cs="Times New Roman"/>
          <w:bCs/>
        </w:rPr>
        <w:t>, otherwise a collection of information under the Paperwork Reduction Act</w:t>
      </w:r>
      <w:r w:rsidR="006B1189">
        <w:rPr>
          <w:rFonts w:ascii="Times New Roman" w:hAnsi="Times New Roman" w:cs="Times New Roman"/>
          <w:bCs/>
        </w:rPr>
        <w:t xml:space="preserve">. Other elements of the </w:t>
      </w:r>
      <w:r w:rsidRPr="00106C21" w:rsidR="00046E16">
        <w:rPr>
          <w:rFonts w:ascii="Times New Roman" w:hAnsi="Times New Roman" w:cs="Times New Roman"/>
          <w:bCs/>
        </w:rPr>
        <w:t>1910-5134</w:t>
      </w:r>
      <w:r w:rsidR="00046E16">
        <w:rPr>
          <w:rFonts w:ascii="Times New Roman" w:hAnsi="Times New Roman" w:cs="Times New Roman"/>
          <w:bCs/>
        </w:rPr>
        <w:t xml:space="preserve"> </w:t>
      </w:r>
      <w:r w:rsidR="006B1189">
        <w:rPr>
          <w:rFonts w:ascii="Times New Roman" w:hAnsi="Times New Roman" w:cs="Times New Roman"/>
          <w:bCs/>
        </w:rPr>
        <w:t>ICR</w:t>
      </w:r>
      <w:r w:rsidRPr="00621770" w:rsidR="006B1189">
        <w:rPr>
          <w:rFonts w:ascii="Times New Roman" w:hAnsi="Times New Roman" w:cs="Times New Roman"/>
          <w:bCs/>
        </w:rPr>
        <w:t xml:space="preserve"> not impacted or otherwise amended by the </w:t>
      </w:r>
      <w:r w:rsidRPr="00356F1A" w:rsidR="006B1189">
        <w:rPr>
          <w:rFonts w:ascii="Times New Roman" w:hAnsi="Times New Roman" w:cs="Times New Roman"/>
          <w:bCs/>
        </w:rPr>
        <w:t>One Big Beautiful Bill Act</w:t>
      </w:r>
      <w:r w:rsidRPr="00621770" w:rsidR="006B1189">
        <w:rPr>
          <w:rFonts w:ascii="Times New Roman" w:hAnsi="Times New Roman" w:cs="Times New Roman"/>
          <w:bCs/>
        </w:rPr>
        <w:t xml:space="preserve"> </w:t>
      </w:r>
      <w:r w:rsidR="006B1189">
        <w:rPr>
          <w:rFonts w:ascii="Times New Roman" w:hAnsi="Times New Roman" w:cs="Times New Roman"/>
          <w:bCs/>
        </w:rPr>
        <w:t xml:space="preserve">remain necessary to </w:t>
      </w:r>
      <w:r w:rsidRPr="00106C21" w:rsidR="006B1189">
        <w:rPr>
          <w:rFonts w:ascii="Times New Roman" w:hAnsi="Times New Roman" w:cs="Times New Roman"/>
          <w:bCs/>
        </w:rPr>
        <w:t xml:space="preserve">administer </w:t>
      </w:r>
      <w:r w:rsidR="006B1189">
        <w:rPr>
          <w:rFonts w:ascii="Times New Roman" w:hAnsi="Times New Roman" w:cs="Times New Roman"/>
          <w:bCs/>
        </w:rPr>
        <w:t>the</w:t>
      </w:r>
      <w:r w:rsidRPr="00106C21" w:rsidR="006B1189">
        <w:rPr>
          <w:rFonts w:ascii="Times New Roman" w:hAnsi="Times New Roman" w:cs="Times New Roman"/>
          <w:bCs/>
        </w:rPr>
        <w:t xml:space="preserve"> Title XVII </w:t>
      </w:r>
      <w:r w:rsidR="00046E16">
        <w:rPr>
          <w:rFonts w:ascii="Times New Roman" w:hAnsi="Times New Roman" w:cs="Times New Roman"/>
          <w:bCs/>
        </w:rPr>
        <w:t>p</w:t>
      </w:r>
      <w:r w:rsidRPr="00106C21" w:rsidR="006B1189">
        <w:rPr>
          <w:rFonts w:ascii="Times New Roman" w:hAnsi="Times New Roman" w:cs="Times New Roman"/>
          <w:bCs/>
        </w:rPr>
        <w:t>rogram</w:t>
      </w:r>
      <w:r w:rsidRPr="00621770" w:rsidR="006B1189">
        <w:rPr>
          <w:rFonts w:ascii="Times New Roman" w:hAnsi="Times New Roman" w:cs="Times New Roman"/>
          <w:bCs/>
        </w:rPr>
        <w:t>.</w:t>
      </w:r>
    </w:p>
    <w:p w:rsidR="00DA0D37" w:rsidP="002C1EF4" w14:paraId="321D81C5" w14:textId="0D8CC7A8">
      <w:pPr>
        <w:rPr>
          <w:rFonts w:ascii="Times New Roman" w:hAnsi="Times New Roman" w:cs="Times New Roman"/>
          <w:bCs/>
        </w:rPr>
      </w:pPr>
      <w:r>
        <w:rPr>
          <w:rFonts w:ascii="Times New Roman" w:hAnsi="Times New Roman" w:cs="Times New Roman"/>
          <w:bCs/>
        </w:rPr>
        <w:t xml:space="preserve">This </w:t>
      </w:r>
      <w:r w:rsidR="000D729B">
        <w:rPr>
          <w:rFonts w:ascii="Times New Roman" w:hAnsi="Times New Roman" w:cs="Times New Roman"/>
          <w:bCs/>
        </w:rPr>
        <w:t xml:space="preserve">revision </w:t>
      </w:r>
      <w:r w:rsidR="00B35AF0">
        <w:rPr>
          <w:rFonts w:ascii="Times New Roman" w:hAnsi="Times New Roman" w:cs="Times New Roman"/>
          <w:bCs/>
        </w:rPr>
        <w:t>request is made</w:t>
      </w:r>
      <w:r w:rsidRPr="00B35AF0" w:rsidR="00B35AF0">
        <w:rPr>
          <w:rFonts w:ascii="Times New Roman" w:hAnsi="Times New Roman" w:cs="Times New Roman"/>
          <w:bCs/>
        </w:rPr>
        <w:t xml:space="preserve"> in </w:t>
      </w:r>
      <w:r w:rsidR="00FF4CCF">
        <w:rPr>
          <w:rFonts w:ascii="Times New Roman" w:hAnsi="Times New Roman" w:cs="Times New Roman"/>
          <w:bCs/>
        </w:rPr>
        <w:t>association</w:t>
      </w:r>
      <w:r w:rsidRPr="00B35AF0" w:rsidR="00FF4CCF">
        <w:rPr>
          <w:rFonts w:ascii="Times New Roman" w:hAnsi="Times New Roman" w:cs="Times New Roman"/>
          <w:bCs/>
        </w:rPr>
        <w:t xml:space="preserve"> </w:t>
      </w:r>
      <w:r w:rsidRPr="00B35AF0" w:rsidR="00B35AF0">
        <w:rPr>
          <w:rFonts w:ascii="Times New Roman" w:hAnsi="Times New Roman" w:cs="Times New Roman"/>
          <w:bCs/>
        </w:rPr>
        <w:t>with</w:t>
      </w:r>
      <w:r w:rsidR="00FF4CCF">
        <w:rPr>
          <w:rFonts w:ascii="Times New Roman" w:hAnsi="Times New Roman" w:cs="Times New Roman"/>
          <w:bCs/>
        </w:rPr>
        <w:t>:</w:t>
      </w:r>
      <w:r w:rsidRPr="00B35AF0" w:rsidR="00B35AF0">
        <w:rPr>
          <w:rFonts w:ascii="Times New Roman" w:hAnsi="Times New Roman" w:cs="Times New Roman"/>
          <w:bCs/>
        </w:rPr>
        <w:t xml:space="preserve"> </w:t>
      </w:r>
      <w:r w:rsidR="00FF4CCF">
        <w:rPr>
          <w:rFonts w:ascii="Times New Roman" w:hAnsi="Times New Roman" w:cs="Times New Roman"/>
          <w:bCs/>
        </w:rPr>
        <w:t>(1)</w:t>
      </w:r>
      <w:r w:rsidRPr="00B35AF0" w:rsidR="00B35AF0">
        <w:rPr>
          <w:rFonts w:ascii="Times New Roman" w:hAnsi="Times New Roman" w:cs="Times New Roman"/>
          <w:bCs/>
        </w:rPr>
        <w:t xml:space="preserve"> </w:t>
      </w:r>
      <w:r w:rsidR="004A6AD4">
        <w:rPr>
          <w:rFonts w:ascii="Times New Roman" w:hAnsi="Times New Roman" w:cs="Times New Roman"/>
          <w:bCs/>
        </w:rPr>
        <w:t>amendments</w:t>
      </w:r>
      <w:r w:rsidR="00FF4CCF">
        <w:rPr>
          <w:rFonts w:ascii="Times New Roman" w:hAnsi="Times New Roman" w:cs="Times New Roman"/>
          <w:bCs/>
        </w:rPr>
        <w:t xml:space="preserve"> to 10 C.F.R. part 609 through</w:t>
      </w:r>
      <w:r w:rsidRPr="00B35AF0" w:rsidR="00B35AF0">
        <w:rPr>
          <w:rFonts w:ascii="Times New Roman" w:hAnsi="Times New Roman" w:cs="Times New Roman"/>
          <w:bCs/>
        </w:rPr>
        <w:t xml:space="preserve"> </w:t>
      </w:r>
      <w:r w:rsidR="00B35AF0">
        <w:rPr>
          <w:rFonts w:ascii="Times New Roman" w:hAnsi="Times New Roman" w:cs="Times New Roman"/>
          <w:bCs/>
        </w:rPr>
        <w:t xml:space="preserve">the </w:t>
      </w:r>
      <w:r w:rsidR="005953CF">
        <w:rPr>
          <w:rFonts w:ascii="Times New Roman" w:hAnsi="Times New Roman" w:cs="Times New Roman"/>
          <w:bCs/>
        </w:rPr>
        <w:t>“</w:t>
      </w:r>
      <w:r w:rsidRPr="0071048B" w:rsidR="0071048B">
        <w:rPr>
          <w:rFonts w:ascii="Times New Roman" w:hAnsi="Times New Roman" w:cs="Times New Roman"/>
          <w:bCs/>
        </w:rPr>
        <w:t>Energy Dominance Financing Amendments</w:t>
      </w:r>
      <w:r w:rsidR="005953CF">
        <w:rPr>
          <w:rFonts w:ascii="Times New Roman" w:hAnsi="Times New Roman" w:cs="Times New Roman"/>
          <w:bCs/>
        </w:rPr>
        <w:t>”</w:t>
      </w:r>
      <w:r w:rsidR="0071048B">
        <w:rPr>
          <w:rFonts w:ascii="Times New Roman" w:hAnsi="Times New Roman" w:cs="Times New Roman"/>
          <w:bCs/>
        </w:rPr>
        <w:t xml:space="preserve"> </w:t>
      </w:r>
      <w:r w:rsidR="00B35AF0">
        <w:rPr>
          <w:rFonts w:ascii="Times New Roman" w:hAnsi="Times New Roman" w:cs="Times New Roman"/>
          <w:bCs/>
        </w:rPr>
        <w:t>Interim Final Rule</w:t>
      </w:r>
      <w:r w:rsidR="00D644C0">
        <w:rPr>
          <w:rFonts w:ascii="Times New Roman" w:hAnsi="Times New Roman" w:cs="Times New Roman"/>
          <w:bCs/>
        </w:rPr>
        <w:t xml:space="preserve"> (“IFR”)</w:t>
      </w:r>
      <w:r w:rsidR="00FF4CCF">
        <w:rPr>
          <w:rFonts w:ascii="Times New Roman" w:hAnsi="Times New Roman" w:cs="Times New Roman"/>
          <w:bCs/>
        </w:rPr>
        <w:t xml:space="preserve"> published</w:t>
      </w:r>
      <w:r>
        <w:rPr>
          <w:rFonts w:ascii="Times New Roman" w:hAnsi="Times New Roman" w:cs="Times New Roman"/>
          <w:bCs/>
        </w:rPr>
        <w:t xml:space="preserve"> at </w:t>
      </w:r>
      <w:r w:rsidR="0098533E">
        <w:rPr>
          <w:rFonts w:ascii="Times New Roman" w:hAnsi="Times New Roman" w:cs="Times New Roman"/>
          <w:bCs/>
        </w:rPr>
        <w:t xml:space="preserve">90 </w:t>
      </w:r>
      <w:r w:rsidRPr="00213408" w:rsidR="0098533E">
        <w:rPr>
          <w:rFonts w:ascii="Times New Roman" w:hAnsi="Times New Roman" w:cs="Times New Roman"/>
          <w:bCs/>
          <w:i/>
          <w:iCs/>
        </w:rPr>
        <w:t>Fed</w:t>
      </w:r>
      <w:r w:rsidR="0098533E">
        <w:rPr>
          <w:rFonts w:ascii="Times New Roman" w:hAnsi="Times New Roman" w:cs="Times New Roman"/>
          <w:bCs/>
        </w:rPr>
        <w:t xml:space="preserve">. </w:t>
      </w:r>
      <w:r w:rsidRPr="00213408" w:rsidR="0098533E">
        <w:rPr>
          <w:rFonts w:ascii="Times New Roman" w:hAnsi="Times New Roman" w:cs="Times New Roman"/>
          <w:bCs/>
          <w:i/>
          <w:iCs/>
        </w:rPr>
        <w:t>Reg</w:t>
      </w:r>
      <w:r w:rsidR="0098533E">
        <w:rPr>
          <w:rFonts w:ascii="Times New Roman" w:hAnsi="Times New Roman" w:cs="Times New Roman"/>
          <w:bCs/>
        </w:rPr>
        <w:t>. 48705 on October 28, 2025</w:t>
      </w:r>
      <w:r w:rsidR="00FF4CCF">
        <w:rPr>
          <w:rFonts w:ascii="Times New Roman" w:hAnsi="Times New Roman" w:cs="Times New Roman"/>
          <w:bCs/>
        </w:rPr>
        <w:t xml:space="preserve">; and (2) </w:t>
      </w:r>
      <w:r w:rsidR="00B60880">
        <w:rPr>
          <w:rFonts w:ascii="Times New Roman" w:hAnsi="Times New Roman" w:cs="Times New Roman"/>
          <w:bCs/>
        </w:rPr>
        <w:t>revisions</w:t>
      </w:r>
      <w:r w:rsidR="00FF4CCF">
        <w:rPr>
          <w:rFonts w:ascii="Times New Roman" w:hAnsi="Times New Roman" w:cs="Times New Roman"/>
          <w:bCs/>
        </w:rPr>
        <w:t xml:space="preserve"> to </w:t>
      </w:r>
      <w:r>
        <w:rPr>
          <w:rFonts w:ascii="Times New Roman" w:hAnsi="Times New Roman" w:cs="Times New Roman"/>
          <w:bCs/>
        </w:rPr>
        <w:t xml:space="preserve">the </w:t>
      </w:r>
      <w:r w:rsidRPr="00F55C30" w:rsidR="00F55C30">
        <w:rPr>
          <w:rFonts w:ascii="Times New Roman" w:hAnsi="Times New Roman" w:cs="Times New Roman"/>
          <w:bCs/>
        </w:rPr>
        <w:t xml:space="preserve">Program Guidance for the Title 17 Energy Financing Program </w:t>
      </w:r>
      <w:r w:rsidRPr="00AD22F5" w:rsidR="00F55C30">
        <w:rPr>
          <w:rFonts w:ascii="Times New Roman" w:hAnsi="Times New Roman" w:cs="Times New Roman"/>
          <w:bCs/>
          <w:i/>
          <w:iCs/>
        </w:rPr>
        <w:t>Including the Energy Dominance Financing Program</w:t>
      </w:r>
      <w:r w:rsidRPr="00F55C30" w:rsidR="00F55C30">
        <w:rPr>
          <w:rFonts w:ascii="Times New Roman" w:hAnsi="Times New Roman" w:cs="Times New Roman"/>
          <w:bCs/>
        </w:rPr>
        <w:t xml:space="preserve"> </w:t>
      </w:r>
      <w:r w:rsidR="00F55C30">
        <w:rPr>
          <w:rFonts w:ascii="Times New Roman" w:hAnsi="Times New Roman" w:cs="Times New Roman"/>
          <w:bCs/>
        </w:rPr>
        <w:t>(“Program Guide”</w:t>
      </w:r>
      <w:r w:rsidRPr="00F60334" w:rsidR="00F55C30">
        <w:rPr>
          <w:rFonts w:ascii="Times New Roman" w:hAnsi="Times New Roman" w:cs="Times New Roman"/>
          <w:bCs/>
        </w:rPr>
        <w:t xml:space="preserve"> </w:t>
      </w:r>
      <w:r w:rsidR="00F55C30">
        <w:rPr>
          <w:rFonts w:ascii="Times New Roman" w:hAnsi="Times New Roman" w:cs="Times New Roman"/>
          <w:bCs/>
        </w:rPr>
        <w:t xml:space="preserve">formerly known as the </w:t>
      </w:r>
      <w:r w:rsidRPr="00F60334">
        <w:rPr>
          <w:rFonts w:ascii="Times New Roman" w:hAnsi="Times New Roman" w:cs="Times New Roman"/>
          <w:bCs/>
        </w:rPr>
        <w:t>“Program Guidance for Title 17 Clean Energy Financing Program”</w:t>
      </w:r>
      <w:r w:rsidR="00674E77">
        <w:rPr>
          <w:rFonts w:ascii="Times New Roman" w:hAnsi="Times New Roman" w:cs="Times New Roman"/>
          <w:bCs/>
        </w:rPr>
        <w:t xml:space="preserve">). </w:t>
      </w:r>
      <w:r w:rsidR="0098533E">
        <w:rPr>
          <w:rFonts w:ascii="Times New Roman" w:hAnsi="Times New Roman" w:cs="Times New Roman"/>
          <w:bCs/>
        </w:rPr>
        <w:t xml:space="preserve"> </w:t>
      </w:r>
    </w:p>
    <w:p w:rsidR="002229CB" w:rsidP="002C1EF4" w14:paraId="3A5A49AE" w14:textId="48B23BA0">
      <w:pPr>
        <w:rPr>
          <w:rFonts w:ascii="Times New Roman" w:hAnsi="Times New Roman" w:cs="Times New Roman"/>
          <w:bCs/>
        </w:rPr>
      </w:pPr>
      <w:r>
        <w:rPr>
          <w:rFonts w:ascii="Times New Roman" w:hAnsi="Times New Roman" w:cs="Times New Roman"/>
          <w:bCs/>
        </w:rPr>
        <w:t xml:space="preserve">The IFR </w:t>
      </w:r>
      <w:r w:rsidRPr="008B166C">
        <w:rPr>
          <w:rFonts w:ascii="Times New Roman" w:hAnsi="Times New Roman" w:cs="Times New Roman"/>
          <w:bCs/>
        </w:rPr>
        <w:t>amend</w:t>
      </w:r>
      <w:r w:rsidR="009970E3">
        <w:rPr>
          <w:rFonts w:ascii="Times New Roman" w:hAnsi="Times New Roman" w:cs="Times New Roman"/>
          <w:bCs/>
        </w:rPr>
        <w:t>ed</w:t>
      </w:r>
      <w:r w:rsidRPr="008B166C">
        <w:rPr>
          <w:rFonts w:ascii="Times New Roman" w:hAnsi="Times New Roman" w:cs="Times New Roman"/>
          <w:bCs/>
        </w:rPr>
        <w:t xml:space="preserve"> the Department’s loan guarantee regulations to </w:t>
      </w:r>
      <w:r>
        <w:rPr>
          <w:rFonts w:ascii="Times New Roman" w:hAnsi="Times New Roman" w:cs="Times New Roman"/>
          <w:bCs/>
        </w:rPr>
        <w:t xml:space="preserve">directly </w:t>
      </w:r>
      <w:r w:rsidRPr="008B166C">
        <w:rPr>
          <w:rFonts w:ascii="Times New Roman" w:hAnsi="Times New Roman" w:cs="Times New Roman"/>
          <w:bCs/>
        </w:rPr>
        <w:t>implement the Energy Dominance Financing provisions of the One Big Beautiful Bill Act</w:t>
      </w:r>
      <w:r>
        <w:rPr>
          <w:rFonts w:ascii="Times New Roman" w:hAnsi="Times New Roman" w:cs="Times New Roman"/>
          <w:bCs/>
        </w:rPr>
        <w:t xml:space="preserve">. </w:t>
      </w:r>
      <w:r w:rsidR="0016743D">
        <w:rPr>
          <w:rFonts w:ascii="Times New Roman" w:hAnsi="Times New Roman" w:cs="Times New Roman"/>
          <w:bCs/>
        </w:rPr>
        <w:t xml:space="preserve">The IFR </w:t>
      </w:r>
      <w:r w:rsidRPr="0016743D" w:rsidR="0016743D">
        <w:rPr>
          <w:rFonts w:ascii="Times New Roman" w:hAnsi="Times New Roman" w:cs="Times New Roman"/>
          <w:bCs/>
        </w:rPr>
        <w:t>expand</w:t>
      </w:r>
      <w:r w:rsidR="009970E3">
        <w:rPr>
          <w:rFonts w:ascii="Times New Roman" w:hAnsi="Times New Roman" w:cs="Times New Roman"/>
          <w:bCs/>
        </w:rPr>
        <w:t>ed</w:t>
      </w:r>
      <w:r w:rsidRPr="0016743D" w:rsidR="0016743D">
        <w:rPr>
          <w:rFonts w:ascii="Times New Roman" w:hAnsi="Times New Roman" w:cs="Times New Roman"/>
          <w:bCs/>
        </w:rPr>
        <w:t xml:space="preserve"> definition</w:t>
      </w:r>
      <w:r w:rsidR="009970E3">
        <w:rPr>
          <w:rFonts w:ascii="Times New Roman" w:hAnsi="Times New Roman" w:cs="Times New Roman"/>
          <w:bCs/>
        </w:rPr>
        <w:t>s</w:t>
      </w:r>
      <w:r w:rsidRPr="0016743D" w:rsidR="0016743D">
        <w:rPr>
          <w:rFonts w:ascii="Times New Roman" w:hAnsi="Times New Roman" w:cs="Times New Roman"/>
          <w:bCs/>
        </w:rPr>
        <w:t xml:space="preserve">, criteria, and </w:t>
      </w:r>
      <w:r w:rsidR="00522EC3">
        <w:rPr>
          <w:rFonts w:ascii="Times New Roman" w:hAnsi="Times New Roman" w:cs="Times New Roman"/>
          <w:bCs/>
        </w:rPr>
        <w:t xml:space="preserve">other eligibility </w:t>
      </w:r>
      <w:r w:rsidRPr="0016743D" w:rsidR="0016743D">
        <w:rPr>
          <w:rFonts w:ascii="Times New Roman" w:hAnsi="Times New Roman" w:cs="Times New Roman"/>
          <w:bCs/>
        </w:rPr>
        <w:t xml:space="preserve">requirements of projects under </w:t>
      </w:r>
      <w:r w:rsidR="000B2847">
        <w:rPr>
          <w:rFonts w:ascii="Times New Roman" w:hAnsi="Times New Roman" w:cs="Times New Roman"/>
          <w:bCs/>
        </w:rPr>
        <w:t xml:space="preserve">the </w:t>
      </w:r>
      <w:r w:rsidR="009970E3">
        <w:rPr>
          <w:rFonts w:ascii="Times New Roman" w:hAnsi="Times New Roman" w:cs="Times New Roman"/>
          <w:bCs/>
        </w:rPr>
        <w:t>s</w:t>
      </w:r>
      <w:r w:rsidR="00522EC3">
        <w:rPr>
          <w:rFonts w:ascii="Times New Roman" w:hAnsi="Times New Roman" w:cs="Times New Roman"/>
          <w:bCs/>
        </w:rPr>
        <w:t>ection 1706</w:t>
      </w:r>
      <w:r w:rsidR="000B2847">
        <w:rPr>
          <w:rFonts w:ascii="Times New Roman" w:hAnsi="Times New Roman" w:cs="Times New Roman"/>
          <w:bCs/>
        </w:rPr>
        <w:t xml:space="preserve"> program (now</w:t>
      </w:r>
      <w:r w:rsidR="009970E3">
        <w:rPr>
          <w:rFonts w:ascii="Times New Roman" w:hAnsi="Times New Roman" w:cs="Times New Roman"/>
          <w:bCs/>
        </w:rPr>
        <w:t xml:space="preserve"> </w:t>
      </w:r>
      <w:r w:rsidR="000B2847">
        <w:rPr>
          <w:rFonts w:ascii="Times New Roman" w:hAnsi="Times New Roman" w:cs="Times New Roman"/>
          <w:bCs/>
        </w:rPr>
        <w:t xml:space="preserve">known as “Energy Dominance Financing Program.” </w:t>
      </w:r>
      <w:r w:rsidR="00771FE2">
        <w:rPr>
          <w:rFonts w:ascii="Times New Roman" w:hAnsi="Times New Roman" w:cs="Times New Roman"/>
          <w:bCs/>
        </w:rPr>
        <w:t xml:space="preserve">The </w:t>
      </w:r>
      <w:r w:rsidR="00522EC3">
        <w:rPr>
          <w:rFonts w:ascii="Times New Roman" w:hAnsi="Times New Roman" w:cs="Times New Roman"/>
          <w:bCs/>
        </w:rPr>
        <w:t xml:space="preserve">IFR </w:t>
      </w:r>
      <w:r w:rsidR="00E1382B">
        <w:rPr>
          <w:rFonts w:ascii="Times New Roman" w:hAnsi="Times New Roman" w:cs="Times New Roman"/>
          <w:bCs/>
        </w:rPr>
        <w:t>was</w:t>
      </w:r>
      <w:r w:rsidR="00522EC3">
        <w:rPr>
          <w:rFonts w:ascii="Times New Roman" w:hAnsi="Times New Roman" w:cs="Times New Roman"/>
          <w:bCs/>
        </w:rPr>
        <w:t xml:space="preserve"> published </w:t>
      </w:r>
      <w:r w:rsidR="00B35AF0">
        <w:rPr>
          <w:rFonts w:ascii="Times New Roman" w:hAnsi="Times New Roman" w:cs="Times New Roman"/>
          <w:bCs/>
        </w:rPr>
        <w:t xml:space="preserve">in the </w:t>
      </w:r>
      <w:r w:rsidRPr="009561ED" w:rsidR="00B35AF0">
        <w:rPr>
          <w:rFonts w:ascii="Times New Roman" w:hAnsi="Times New Roman"/>
          <w:i/>
        </w:rPr>
        <w:t>Federal</w:t>
      </w:r>
      <w:r w:rsidRPr="00F60334" w:rsidR="00B35AF0">
        <w:rPr>
          <w:rFonts w:ascii="Times New Roman" w:hAnsi="Times New Roman" w:cs="Times New Roman"/>
          <w:bCs/>
        </w:rPr>
        <w:t xml:space="preserve"> </w:t>
      </w:r>
      <w:r w:rsidRPr="009561ED" w:rsidR="00B35AF0">
        <w:rPr>
          <w:rFonts w:ascii="Times New Roman" w:hAnsi="Times New Roman"/>
          <w:i/>
        </w:rPr>
        <w:t>Register</w:t>
      </w:r>
      <w:r w:rsidR="00522EC3">
        <w:rPr>
          <w:rFonts w:ascii="Times New Roman" w:hAnsi="Times New Roman" w:cs="Times New Roman"/>
          <w:bCs/>
        </w:rPr>
        <w:t>,</w:t>
      </w:r>
      <w:r w:rsidRPr="00F60334" w:rsidR="00B35AF0">
        <w:rPr>
          <w:rFonts w:ascii="Times New Roman" w:hAnsi="Times New Roman" w:cs="Times New Roman"/>
          <w:bCs/>
        </w:rPr>
        <w:t xml:space="preserve"> and</w:t>
      </w:r>
      <w:r w:rsidRPr="00F60334" w:rsidR="00B35AF0">
        <w:rPr>
          <w:rFonts w:ascii="Times New Roman" w:hAnsi="Times New Roman" w:cs="Times New Roman"/>
          <w:bCs/>
        </w:rPr>
        <w:t xml:space="preserve"> </w:t>
      </w:r>
      <w:r w:rsidR="00E1382B">
        <w:rPr>
          <w:rFonts w:ascii="Times New Roman" w:hAnsi="Times New Roman" w:cs="Times New Roman"/>
          <w:bCs/>
        </w:rPr>
        <w:t>is set forth at</w:t>
      </w:r>
      <w:r w:rsidRPr="00F60334" w:rsidR="00B35AF0">
        <w:rPr>
          <w:rFonts w:ascii="Times New Roman" w:hAnsi="Times New Roman" w:cs="Times New Roman"/>
          <w:bCs/>
        </w:rPr>
        <w:t xml:space="preserve"> 10 C.F.R. </w:t>
      </w:r>
      <w:r w:rsidR="009B7435">
        <w:rPr>
          <w:rFonts w:ascii="Times New Roman" w:hAnsi="Times New Roman" w:cs="Times New Roman"/>
          <w:bCs/>
        </w:rPr>
        <w:t>p</w:t>
      </w:r>
      <w:r w:rsidR="00522EC3">
        <w:rPr>
          <w:rFonts w:ascii="Times New Roman" w:hAnsi="Times New Roman" w:cs="Times New Roman"/>
          <w:bCs/>
        </w:rPr>
        <w:t xml:space="preserve">art </w:t>
      </w:r>
      <w:r w:rsidRPr="00F60334" w:rsidR="00B35AF0">
        <w:rPr>
          <w:rFonts w:ascii="Times New Roman" w:hAnsi="Times New Roman" w:cs="Times New Roman"/>
          <w:bCs/>
        </w:rPr>
        <w:t>609</w:t>
      </w:r>
      <w:r w:rsidR="004C2E53">
        <w:rPr>
          <w:rFonts w:ascii="Times New Roman" w:hAnsi="Times New Roman" w:cs="Times New Roman"/>
          <w:bCs/>
        </w:rPr>
        <w:t xml:space="preserve">. </w:t>
      </w:r>
    </w:p>
    <w:p w:rsidR="00E0403A" w:rsidP="00136B14" w14:paraId="0505CB64" w14:textId="141E3A53">
      <w:pPr>
        <w:rPr>
          <w:rFonts w:ascii="Times New Roman" w:hAnsi="Times New Roman" w:cs="Times New Roman"/>
          <w:bCs/>
        </w:rPr>
      </w:pPr>
      <w:r>
        <w:rPr>
          <w:rFonts w:ascii="Times New Roman" w:hAnsi="Times New Roman" w:cs="Times New Roman"/>
          <w:bCs/>
        </w:rPr>
        <w:t>T</w:t>
      </w:r>
      <w:r w:rsidRPr="00DD6EE6">
        <w:rPr>
          <w:rFonts w:ascii="Times New Roman" w:hAnsi="Times New Roman" w:cs="Times New Roman"/>
          <w:bCs/>
        </w:rPr>
        <w:t>he Program Guid</w:t>
      </w:r>
      <w:r w:rsidR="00674E77">
        <w:rPr>
          <w:rFonts w:ascii="Times New Roman" w:hAnsi="Times New Roman" w:cs="Times New Roman"/>
          <w:bCs/>
        </w:rPr>
        <w:t xml:space="preserve">e </w:t>
      </w:r>
      <w:r w:rsidR="00C326E9">
        <w:rPr>
          <w:rFonts w:ascii="Times New Roman" w:hAnsi="Times New Roman" w:cs="Times New Roman"/>
          <w:bCs/>
        </w:rPr>
        <w:t>was cleared by</w:t>
      </w:r>
      <w:r w:rsidR="00674E77">
        <w:rPr>
          <w:rFonts w:ascii="Times New Roman" w:hAnsi="Times New Roman" w:cs="Times New Roman"/>
          <w:bCs/>
        </w:rPr>
        <w:t xml:space="preserve"> </w:t>
      </w:r>
      <w:r w:rsidRPr="00DD6EE6">
        <w:rPr>
          <w:rFonts w:ascii="Times New Roman" w:hAnsi="Times New Roman" w:cs="Times New Roman"/>
          <w:bCs/>
        </w:rPr>
        <w:t>the Office of Management and Budget (“OMB”), Office of Information and Regulatory Affairs (“OIRA”)</w:t>
      </w:r>
      <w:r w:rsidR="00DA4DDD">
        <w:rPr>
          <w:rFonts w:ascii="Times New Roman" w:hAnsi="Times New Roman" w:cs="Times New Roman"/>
          <w:bCs/>
        </w:rPr>
        <w:t xml:space="preserve"> on March 13, 2026, u</w:t>
      </w:r>
      <w:r w:rsidR="00C91C4D">
        <w:rPr>
          <w:rFonts w:ascii="Times New Roman" w:hAnsi="Times New Roman" w:cs="Times New Roman"/>
          <w:bCs/>
        </w:rPr>
        <w:t>nder (RIN: 1901-ZA03)</w:t>
      </w:r>
      <w:r w:rsidR="00674E77">
        <w:rPr>
          <w:rFonts w:ascii="Times New Roman" w:hAnsi="Times New Roman" w:cs="Times New Roman"/>
          <w:bCs/>
        </w:rPr>
        <w:t>.</w:t>
      </w:r>
      <w:r w:rsidR="00C22892">
        <w:rPr>
          <w:rFonts w:ascii="Times New Roman" w:hAnsi="Times New Roman" w:cs="Times New Roman"/>
          <w:bCs/>
        </w:rPr>
        <w:t xml:space="preserve"> Accordingly, this request reflects</w:t>
      </w:r>
      <w:r w:rsidR="00674E77">
        <w:rPr>
          <w:rFonts w:ascii="Times New Roman" w:hAnsi="Times New Roman" w:cs="Times New Roman"/>
          <w:bCs/>
        </w:rPr>
        <w:t xml:space="preserve"> changes to the Program Guide as the </w:t>
      </w:r>
      <w:r w:rsidR="00674E77">
        <w:rPr>
          <w:rFonts w:ascii="Times New Roman" w:hAnsi="Times New Roman" w:cs="Times New Roman"/>
          <w:bCs/>
        </w:rPr>
        <w:t>principle</w:t>
      </w:r>
      <w:r w:rsidR="00674E77">
        <w:rPr>
          <w:rFonts w:ascii="Times New Roman" w:hAnsi="Times New Roman" w:cs="Times New Roman"/>
          <w:bCs/>
        </w:rPr>
        <w:t xml:space="preserve"> collection instrument, </w:t>
      </w:r>
      <w:r w:rsidR="00C22892">
        <w:rPr>
          <w:rFonts w:ascii="Times New Roman" w:hAnsi="Times New Roman" w:cs="Times New Roman"/>
          <w:bCs/>
        </w:rPr>
        <w:t xml:space="preserve">as well as </w:t>
      </w:r>
      <w:r w:rsidRPr="002C1EF4" w:rsidR="002C1EF4">
        <w:rPr>
          <w:rFonts w:ascii="Times New Roman" w:eastAsia="Times New Roman" w:hAnsi="Times New Roman" w:cs="Times New Roman"/>
        </w:rPr>
        <w:t xml:space="preserve">the Part I </w:t>
      </w:r>
      <w:r w:rsidR="00674E77">
        <w:rPr>
          <w:rFonts w:ascii="Times New Roman" w:eastAsia="Times New Roman" w:hAnsi="Times New Roman" w:cs="Times New Roman"/>
        </w:rPr>
        <w:t xml:space="preserve">Application, the </w:t>
      </w:r>
      <w:r w:rsidRPr="002C1EF4" w:rsidR="002C1EF4">
        <w:rPr>
          <w:rFonts w:ascii="Times New Roman" w:eastAsia="Times New Roman" w:hAnsi="Times New Roman" w:cs="Times New Roman"/>
        </w:rPr>
        <w:t>Part II Application</w:t>
      </w:r>
      <w:r w:rsidR="000033B6">
        <w:rPr>
          <w:rFonts w:ascii="Times New Roman" w:eastAsia="Times New Roman" w:hAnsi="Times New Roman" w:cs="Times New Roman"/>
        </w:rPr>
        <w:t>,</w:t>
      </w:r>
      <w:r w:rsidR="002C1EF4">
        <w:rPr>
          <w:rFonts w:ascii="Times New Roman" w:eastAsia="Times New Roman" w:hAnsi="Times New Roman" w:cs="Times New Roman"/>
        </w:rPr>
        <w:t xml:space="preserve"> and </w:t>
      </w:r>
      <w:r w:rsidR="00752547">
        <w:rPr>
          <w:rFonts w:ascii="Times New Roman" w:eastAsia="Times New Roman" w:hAnsi="Times New Roman" w:cs="Times New Roman"/>
        </w:rPr>
        <w:t>the Application Portal</w:t>
      </w:r>
      <w:r w:rsidR="00F05DA3">
        <w:rPr>
          <w:rFonts w:ascii="Times New Roman" w:eastAsia="Times New Roman" w:hAnsi="Times New Roman" w:cs="Times New Roman"/>
        </w:rPr>
        <w:t>.</w:t>
      </w:r>
      <w:r w:rsidR="00A56AC4">
        <w:rPr>
          <w:rFonts w:ascii="Times New Roman" w:eastAsia="Times New Roman" w:hAnsi="Times New Roman" w:cs="Times New Roman"/>
          <w:sz w:val="24"/>
          <w:szCs w:val="24"/>
        </w:rPr>
        <w:t xml:space="preserve"> </w:t>
      </w:r>
      <w:r w:rsidRPr="00106C21" w:rsidR="00586D0D">
        <w:rPr>
          <w:rFonts w:ascii="Times New Roman" w:hAnsi="Times New Roman" w:cs="Times New Roman"/>
          <w:bCs/>
        </w:rPr>
        <w:t>The ICR collection instrument</w:t>
      </w:r>
      <w:r w:rsidR="003F188A">
        <w:rPr>
          <w:rFonts w:ascii="Times New Roman" w:hAnsi="Times New Roman" w:cs="Times New Roman"/>
          <w:bCs/>
        </w:rPr>
        <w:t>(</w:t>
      </w:r>
      <w:r w:rsidRPr="00106C21" w:rsidR="00586D0D">
        <w:rPr>
          <w:rFonts w:ascii="Times New Roman" w:hAnsi="Times New Roman" w:cs="Times New Roman"/>
          <w:bCs/>
        </w:rPr>
        <w:t>s</w:t>
      </w:r>
      <w:r w:rsidR="003F188A">
        <w:rPr>
          <w:rFonts w:ascii="Times New Roman" w:hAnsi="Times New Roman" w:cs="Times New Roman"/>
          <w:bCs/>
        </w:rPr>
        <w:t>)</w:t>
      </w:r>
      <w:r w:rsidRPr="00106C21" w:rsidR="00586D0D">
        <w:rPr>
          <w:rFonts w:ascii="Times New Roman" w:hAnsi="Times New Roman" w:cs="Times New Roman"/>
          <w:bCs/>
        </w:rPr>
        <w:t xml:space="preserve"> </w:t>
      </w:r>
      <w:r w:rsidRPr="00106C21" w:rsidR="002309C9">
        <w:rPr>
          <w:rFonts w:ascii="Times New Roman" w:hAnsi="Times New Roman" w:cs="Times New Roman"/>
          <w:bCs/>
        </w:rPr>
        <w:t>describe the</w:t>
      </w:r>
      <w:r w:rsidR="00B93742">
        <w:rPr>
          <w:rFonts w:ascii="Times New Roman" w:hAnsi="Times New Roman" w:cs="Times New Roman"/>
          <w:bCs/>
        </w:rPr>
        <w:t xml:space="preserve"> </w:t>
      </w:r>
      <w:r w:rsidRPr="00106C21" w:rsidR="002309C9">
        <w:rPr>
          <w:rFonts w:ascii="Times New Roman" w:hAnsi="Times New Roman" w:cs="Times New Roman"/>
          <w:bCs/>
        </w:rPr>
        <w:t xml:space="preserve">information </w:t>
      </w:r>
      <w:r w:rsidRPr="00106C21" w:rsidR="00072BD0">
        <w:rPr>
          <w:rFonts w:ascii="Times New Roman" w:hAnsi="Times New Roman" w:cs="Times New Roman"/>
          <w:bCs/>
        </w:rPr>
        <w:t xml:space="preserve">that </w:t>
      </w:r>
      <w:r w:rsidRPr="00106C21" w:rsidR="007B0C43">
        <w:rPr>
          <w:rFonts w:ascii="Times New Roman" w:hAnsi="Times New Roman" w:cs="Times New Roman"/>
          <w:bCs/>
        </w:rPr>
        <w:t>an</w:t>
      </w:r>
      <w:r w:rsidRPr="00106C21" w:rsidR="002309C9">
        <w:rPr>
          <w:rFonts w:ascii="Times New Roman" w:hAnsi="Times New Roman" w:cs="Times New Roman"/>
          <w:bCs/>
        </w:rPr>
        <w:t xml:space="preserve"> applicant (“Applicant”) </w:t>
      </w:r>
      <w:r w:rsidR="006D0215">
        <w:rPr>
          <w:rFonts w:ascii="Times New Roman" w:hAnsi="Times New Roman" w:cs="Times New Roman"/>
          <w:bCs/>
        </w:rPr>
        <w:t>need</w:t>
      </w:r>
      <w:r w:rsidR="009143A1">
        <w:rPr>
          <w:rFonts w:ascii="Times New Roman" w:hAnsi="Times New Roman" w:cs="Times New Roman"/>
          <w:bCs/>
        </w:rPr>
        <w:t>s</w:t>
      </w:r>
      <w:r w:rsidR="006D0215">
        <w:rPr>
          <w:rFonts w:ascii="Times New Roman" w:hAnsi="Times New Roman" w:cs="Times New Roman"/>
          <w:bCs/>
        </w:rPr>
        <w:t xml:space="preserve"> to</w:t>
      </w:r>
      <w:r w:rsidRPr="00106C21" w:rsidR="006D0215">
        <w:rPr>
          <w:rFonts w:ascii="Times New Roman" w:hAnsi="Times New Roman" w:cs="Times New Roman"/>
          <w:bCs/>
        </w:rPr>
        <w:t xml:space="preserve"> </w:t>
      </w:r>
      <w:r w:rsidRPr="00106C21" w:rsidR="002309C9">
        <w:rPr>
          <w:rFonts w:ascii="Times New Roman" w:hAnsi="Times New Roman" w:cs="Times New Roman"/>
          <w:bCs/>
        </w:rPr>
        <w:t xml:space="preserve">submit to </w:t>
      </w:r>
      <w:r w:rsidR="006D0215">
        <w:rPr>
          <w:rFonts w:ascii="Times New Roman" w:hAnsi="Times New Roman" w:cs="Times New Roman"/>
          <w:bCs/>
        </w:rPr>
        <w:t>EDF</w:t>
      </w:r>
      <w:r w:rsidRPr="00106C21" w:rsidR="00A97D38">
        <w:rPr>
          <w:rFonts w:ascii="Times New Roman" w:hAnsi="Times New Roman" w:cs="Times New Roman"/>
          <w:bCs/>
        </w:rPr>
        <w:t xml:space="preserve">.  </w:t>
      </w:r>
      <w:r w:rsidR="007757C6">
        <w:rPr>
          <w:rFonts w:ascii="Times New Roman" w:hAnsi="Times New Roman" w:cs="Times New Roman"/>
          <w:bCs/>
        </w:rPr>
        <w:t>Alluded to above, and as d</w:t>
      </w:r>
      <w:r w:rsidR="00F7388E">
        <w:rPr>
          <w:rFonts w:ascii="Times New Roman" w:hAnsi="Times New Roman" w:cs="Times New Roman"/>
          <w:bCs/>
        </w:rPr>
        <w:t xml:space="preserve">irected by Congress, </w:t>
      </w:r>
      <w:r w:rsidR="006D0215">
        <w:rPr>
          <w:rFonts w:ascii="Times New Roman" w:hAnsi="Times New Roman" w:cs="Times New Roman"/>
          <w:bCs/>
        </w:rPr>
        <w:t>EDF</w:t>
      </w:r>
      <w:r w:rsidRPr="00D63F56" w:rsidR="006D0215">
        <w:rPr>
          <w:rFonts w:ascii="Times New Roman" w:hAnsi="Times New Roman" w:cs="Times New Roman"/>
          <w:bCs/>
        </w:rPr>
        <w:t xml:space="preserve"> </w:t>
      </w:r>
      <w:r w:rsidRPr="00D63F56" w:rsidR="00F7388E">
        <w:rPr>
          <w:rFonts w:ascii="Times New Roman" w:hAnsi="Times New Roman" w:cs="Times New Roman"/>
          <w:bCs/>
        </w:rPr>
        <w:t>no longer require</w:t>
      </w:r>
      <w:r w:rsidR="006D0215">
        <w:rPr>
          <w:rFonts w:ascii="Times New Roman" w:hAnsi="Times New Roman" w:cs="Times New Roman"/>
          <w:bCs/>
        </w:rPr>
        <w:t>s</w:t>
      </w:r>
      <w:r w:rsidRPr="00D63F56" w:rsidR="00F7388E">
        <w:rPr>
          <w:rFonts w:ascii="Times New Roman" w:hAnsi="Times New Roman" w:cs="Times New Roman"/>
          <w:bCs/>
        </w:rPr>
        <w:t xml:space="preserve"> a Community Benefits Plan.</w:t>
      </w:r>
      <w:r w:rsidR="00461C8E">
        <w:rPr>
          <w:rFonts w:ascii="Times New Roman" w:hAnsi="Times New Roman" w:cs="Times New Roman"/>
          <w:bCs/>
        </w:rPr>
        <w:t xml:space="preserve"> Similarly, EDF has revised application requirements related to </w:t>
      </w:r>
      <w:r w:rsidR="00204DC4">
        <w:rPr>
          <w:rFonts w:ascii="Times New Roman" w:hAnsi="Times New Roman" w:cs="Times New Roman"/>
          <w:bCs/>
        </w:rPr>
        <w:t xml:space="preserve">the lifecycle greenhouse gas emissions analysis and </w:t>
      </w:r>
      <w:r w:rsidR="00950D1D">
        <w:rPr>
          <w:rFonts w:ascii="Times New Roman" w:hAnsi="Times New Roman" w:cs="Times New Roman"/>
          <w:bCs/>
        </w:rPr>
        <w:t xml:space="preserve">certain </w:t>
      </w:r>
      <w:r w:rsidR="00204DC4">
        <w:rPr>
          <w:rFonts w:ascii="Times New Roman" w:hAnsi="Times New Roman" w:cs="Times New Roman"/>
          <w:bCs/>
        </w:rPr>
        <w:t xml:space="preserve">environmental </w:t>
      </w:r>
      <w:r w:rsidR="007757C6">
        <w:rPr>
          <w:rFonts w:ascii="Times New Roman" w:hAnsi="Times New Roman" w:cs="Times New Roman"/>
          <w:bCs/>
        </w:rPr>
        <w:t>e</w:t>
      </w:r>
      <w:r w:rsidR="00B63E0B">
        <w:rPr>
          <w:rFonts w:ascii="Times New Roman" w:hAnsi="Times New Roman" w:cs="Times New Roman"/>
          <w:bCs/>
        </w:rPr>
        <w:t>valuations</w:t>
      </w:r>
      <w:r w:rsidR="007261A1">
        <w:rPr>
          <w:rFonts w:ascii="Times New Roman" w:hAnsi="Times New Roman" w:cs="Times New Roman"/>
          <w:bCs/>
        </w:rPr>
        <w:t xml:space="preserve"> in accordance with changes to </w:t>
      </w:r>
      <w:r w:rsidR="00717AFF">
        <w:rPr>
          <w:rFonts w:ascii="Times New Roman" w:hAnsi="Times New Roman" w:cs="Times New Roman"/>
          <w:bCs/>
        </w:rPr>
        <w:t xml:space="preserve">the </w:t>
      </w:r>
      <w:r w:rsidRPr="00907762" w:rsidR="00907762">
        <w:rPr>
          <w:rFonts w:ascii="Times New Roman" w:hAnsi="Times New Roman" w:cs="Times New Roman"/>
          <w:bCs/>
        </w:rPr>
        <w:t>Council on Environmental Quality</w:t>
      </w:r>
      <w:r w:rsidR="00907762">
        <w:rPr>
          <w:rFonts w:ascii="Times New Roman" w:hAnsi="Times New Roman" w:cs="Times New Roman"/>
          <w:bCs/>
        </w:rPr>
        <w:t>’s (“</w:t>
      </w:r>
      <w:r w:rsidR="007261A1">
        <w:rPr>
          <w:rFonts w:ascii="Times New Roman" w:hAnsi="Times New Roman" w:cs="Times New Roman"/>
          <w:bCs/>
        </w:rPr>
        <w:t>CEQ</w:t>
      </w:r>
      <w:r w:rsidR="00907762">
        <w:rPr>
          <w:rFonts w:ascii="Times New Roman" w:hAnsi="Times New Roman" w:cs="Times New Roman"/>
          <w:bCs/>
        </w:rPr>
        <w:t>”)</w:t>
      </w:r>
      <w:r w:rsidR="007261A1">
        <w:rPr>
          <w:rFonts w:ascii="Times New Roman" w:hAnsi="Times New Roman" w:cs="Times New Roman"/>
          <w:bCs/>
        </w:rPr>
        <w:t xml:space="preserve"> re</w:t>
      </w:r>
      <w:r w:rsidR="00F378AB">
        <w:rPr>
          <w:rFonts w:ascii="Times New Roman" w:hAnsi="Times New Roman" w:cs="Times New Roman"/>
          <w:bCs/>
        </w:rPr>
        <w:t>gulations and departmental objectives</w:t>
      </w:r>
      <w:r w:rsidR="00950D1D">
        <w:rPr>
          <w:rFonts w:ascii="Times New Roman" w:hAnsi="Times New Roman" w:cs="Times New Roman"/>
          <w:bCs/>
        </w:rPr>
        <w:t>.</w:t>
      </w:r>
      <w:r w:rsidR="00136B14">
        <w:rPr>
          <w:rFonts w:ascii="Times New Roman" w:hAnsi="Times New Roman" w:cs="Times New Roman"/>
          <w:bCs/>
        </w:rPr>
        <w:t xml:space="preserve"> </w:t>
      </w:r>
      <w:r w:rsidR="00065F76">
        <w:rPr>
          <w:rFonts w:ascii="Times New Roman" w:hAnsi="Times New Roman" w:cs="Times New Roman"/>
          <w:bCs/>
        </w:rPr>
        <w:t>Accordingly, t</w:t>
      </w:r>
      <w:r w:rsidRPr="00EC66BE" w:rsidR="007B5F6E">
        <w:rPr>
          <w:rFonts w:ascii="Times New Roman" w:hAnsi="Times New Roman" w:cs="Times New Roman"/>
          <w:bCs/>
        </w:rPr>
        <w:t xml:space="preserve">he </w:t>
      </w:r>
      <w:r w:rsidRPr="002A0F4C" w:rsidR="007B5F6E">
        <w:rPr>
          <w:rFonts w:ascii="Times New Roman" w:hAnsi="Times New Roman" w:cs="Times New Roman"/>
          <w:bCs/>
        </w:rPr>
        <w:t xml:space="preserve">Department requests </w:t>
      </w:r>
      <w:r w:rsidR="00950D1D">
        <w:rPr>
          <w:rFonts w:ascii="Times New Roman" w:hAnsi="Times New Roman" w:cs="Times New Roman"/>
          <w:bCs/>
        </w:rPr>
        <w:t>reinstatement</w:t>
      </w:r>
      <w:r w:rsidR="00841BE1">
        <w:rPr>
          <w:rFonts w:ascii="Times New Roman" w:hAnsi="Times New Roman" w:cs="Times New Roman"/>
          <w:bCs/>
        </w:rPr>
        <w:t xml:space="preserve"> of</w:t>
      </w:r>
      <w:r w:rsidRPr="002A0F4C" w:rsidR="007B5F6E">
        <w:rPr>
          <w:rFonts w:ascii="Times New Roman" w:hAnsi="Times New Roman" w:cs="Times New Roman"/>
          <w:bCs/>
        </w:rPr>
        <w:t xml:space="preserve"> </w:t>
      </w:r>
      <w:r w:rsidRPr="00106C21" w:rsidR="007B5F6E">
        <w:rPr>
          <w:rFonts w:ascii="Times New Roman" w:hAnsi="Times New Roman" w:cs="Times New Roman"/>
          <w:bCs/>
        </w:rPr>
        <w:t>OMB Control Number 1910-5134</w:t>
      </w:r>
      <w:r w:rsidR="007B5F6E">
        <w:rPr>
          <w:rFonts w:ascii="Times New Roman" w:hAnsi="Times New Roman" w:cs="Times New Roman"/>
          <w:bCs/>
        </w:rPr>
        <w:t>.</w:t>
      </w:r>
      <w:r w:rsidR="00E868EA">
        <w:rPr>
          <w:rFonts w:ascii="Times New Roman" w:hAnsi="Times New Roman" w:cs="Times New Roman"/>
          <w:bCs/>
        </w:rPr>
        <w:t xml:space="preserve"> </w:t>
      </w:r>
    </w:p>
    <w:p w:rsidR="000367E0" w:rsidRPr="00106C21" w:rsidP="008042A9" w14:paraId="16CA19FC" w14:textId="7AE7193B">
      <w:pPr>
        <w:rPr>
          <w:rFonts w:ascii="Times New Roman" w:eastAsia="Times New Roman" w:hAnsi="Times New Roman" w:cs="Times New Roman"/>
        </w:rPr>
      </w:pPr>
      <w:r w:rsidRPr="00EC66BE">
        <w:rPr>
          <w:rFonts w:ascii="Times New Roman" w:hAnsi="Times New Roman" w:cs="Times New Roman"/>
          <w:bCs/>
        </w:rPr>
        <w:t xml:space="preserve">The information collected through the ICR assists the Department </w:t>
      </w:r>
      <w:r>
        <w:rPr>
          <w:rFonts w:ascii="Times New Roman" w:hAnsi="Times New Roman" w:cs="Times New Roman"/>
          <w:bCs/>
        </w:rPr>
        <w:t>in meeting its mission</w:t>
      </w:r>
      <w:r w:rsidR="003068C3">
        <w:rPr>
          <w:rFonts w:ascii="Times New Roman" w:hAnsi="Times New Roman" w:cs="Times New Roman"/>
          <w:bCs/>
        </w:rPr>
        <w:t xml:space="preserve">, </w:t>
      </w:r>
      <w:r w:rsidRPr="00EC66BE">
        <w:rPr>
          <w:rFonts w:ascii="Times New Roman" w:hAnsi="Times New Roman" w:cs="Times New Roman"/>
          <w:bCs/>
        </w:rPr>
        <w:t xml:space="preserve">public transparency and accountability obligations, </w:t>
      </w:r>
      <w:r w:rsidR="003068C3">
        <w:rPr>
          <w:rFonts w:ascii="Times New Roman" w:hAnsi="Times New Roman" w:cs="Times New Roman"/>
          <w:bCs/>
        </w:rPr>
        <w:t xml:space="preserve">and </w:t>
      </w:r>
      <w:r w:rsidR="00432F3F">
        <w:rPr>
          <w:rFonts w:ascii="Times New Roman" w:hAnsi="Times New Roman" w:cs="Times New Roman"/>
          <w:bCs/>
        </w:rPr>
        <w:t xml:space="preserve">helps DOE </w:t>
      </w:r>
      <w:r w:rsidRPr="00EC66BE">
        <w:rPr>
          <w:rFonts w:ascii="Times New Roman" w:hAnsi="Times New Roman" w:cs="Times New Roman"/>
          <w:bCs/>
        </w:rPr>
        <w:t xml:space="preserve">deliver timely information on Title XVII </w:t>
      </w:r>
      <w:r w:rsidR="003068C3">
        <w:rPr>
          <w:rFonts w:ascii="Times New Roman" w:hAnsi="Times New Roman" w:cs="Times New Roman"/>
          <w:bCs/>
        </w:rPr>
        <w:t>p</w:t>
      </w:r>
      <w:r w:rsidRPr="00EC66BE">
        <w:rPr>
          <w:rFonts w:ascii="Times New Roman" w:hAnsi="Times New Roman" w:cs="Times New Roman"/>
          <w:bCs/>
        </w:rPr>
        <w:t xml:space="preserve">rogram activities to OMB, Congress, and the public. </w:t>
      </w:r>
    </w:p>
    <w:p w:rsidR="008C734C" w:rsidRPr="00106C21" w:rsidP="005A73A8" w14:paraId="148ABAB1" w14:textId="3198F4F3">
      <w:pPr>
        <w:pStyle w:val="Heading2"/>
        <w:rPr>
          <w:rFonts w:ascii="Times New Roman" w:hAnsi="Times New Roman" w:cs="Times New Roman"/>
        </w:rPr>
      </w:pPr>
      <w:bookmarkStart w:id="2" w:name="_Toc16271319"/>
      <w:r w:rsidRPr="00106C21">
        <w:rPr>
          <w:rFonts w:ascii="Times New Roman" w:hAnsi="Times New Roman" w:cs="Times New Roman"/>
        </w:rPr>
        <w:t>A.1. Legal Justification</w:t>
      </w:r>
      <w:bookmarkEnd w:id="2"/>
    </w:p>
    <w:p w:rsidR="00A41763" w:rsidRPr="00106C21" w:rsidP="00A41763" w14:paraId="2928E63A" w14:textId="1B55D0A6">
      <w:pPr>
        <w:rPr>
          <w:rFonts w:ascii="Times New Roman" w:hAnsi="Times New Roman" w:cs="Times New Roman"/>
        </w:rPr>
      </w:pPr>
      <w:r w:rsidRPr="00106C21">
        <w:rPr>
          <w:rFonts w:ascii="Times New Roman" w:hAnsi="Times New Roman" w:cs="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w:t>
      </w:r>
    </w:p>
    <w:p w:rsidR="002678D3" w:rsidP="00A754CE" w14:paraId="10ED0CFC" w14:textId="0EBFD5C9">
      <w:pPr>
        <w:rPr>
          <w:rFonts w:ascii="Times New Roman" w:hAnsi="Times New Roman" w:cs="Times New Roman"/>
          <w:bCs/>
        </w:rPr>
      </w:pPr>
      <w:r>
        <w:rPr>
          <w:rFonts w:ascii="Times New Roman" w:hAnsi="Times New Roman" w:cs="Times New Roman"/>
          <w:bCs/>
        </w:rPr>
        <w:t xml:space="preserve">Title XVII of the Energy Policy Act of 2005 created the Title XVII program. </w:t>
      </w:r>
      <w:r w:rsidRPr="00CA6D68" w:rsidR="00CA6D68">
        <w:rPr>
          <w:rFonts w:ascii="Times New Roman" w:hAnsi="Times New Roman" w:cs="Times New Roman"/>
          <w:bCs/>
        </w:rPr>
        <w:t>Pub. L. 1</w:t>
      </w:r>
      <w:r w:rsidR="00CA6D68">
        <w:rPr>
          <w:rFonts w:ascii="Times New Roman" w:hAnsi="Times New Roman" w:cs="Times New Roman"/>
          <w:bCs/>
        </w:rPr>
        <w:t>0</w:t>
      </w:r>
      <w:r w:rsidRPr="00CA6D68" w:rsidR="00CA6D68">
        <w:rPr>
          <w:rFonts w:ascii="Times New Roman" w:hAnsi="Times New Roman" w:cs="Times New Roman"/>
          <w:bCs/>
        </w:rPr>
        <w:t>9–</w:t>
      </w:r>
      <w:r w:rsidR="00CA6D68">
        <w:rPr>
          <w:rFonts w:ascii="Times New Roman" w:hAnsi="Times New Roman" w:cs="Times New Roman"/>
          <w:bCs/>
        </w:rPr>
        <w:t>58</w:t>
      </w:r>
      <w:r w:rsidRPr="00CA6D68" w:rsidR="00CA6D68">
        <w:rPr>
          <w:rFonts w:ascii="Times New Roman" w:hAnsi="Times New Roman" w:cs="Times New Roman"/>
          <w:bCs/>
        </w:rPr>
        <w:t xml:space="preserve">, </w:t>
      </w:r>
      <w:r w:rsidR="00CA0BDA">
        <w:rPr>
          <w:rFonts w:ascii="Times New Roman" w:hAnsi="Times New Roman" w:cs="Times New Roman"/>
          <w:bCs/>
        </w:rPr>
        <w:t>Title XVII—Incentives for Innovative,</w:t>
      </w:r>
      <w:r w:rsidR="00AA3DE8">
        <w:rPr>
          <w:rFonts w:ascii="Times New Roman" w:hAnsi="Times New Roman" w:cs="Times New Roman"/>
          <w:bCs/>
        </w:rPr>
        <w:t xml:space="preserve"> </w:t>
      </w:r>
      <w:r w:rsidRPr="00CA6D68" w:rsidR="00CA6D68">
        <w:rPr>
          <w:rFonts w:ascii="Times New Roman" w:hAnsi="Times New Roman" w:cs="Times New Roman"/>
          <w:bCs/>
        </w:rPr>
        <w:t>1</w:t>
      </w:r>
      <w:r w:rsidR="00AA3DE8">
        <w:rPr>
          <w:rFonts w:ascii="Times New Roman" w:hAnsi="Times New Roman" w:cs="Times New Roman"/>
          <w:bCs/>
        </w:rPr>
        <w:t>1</w:t>
      </w:r>
      <w:r w:rsidRPr="00CA6D68" w:rsidR="00CA6D68">
        <w:rPr>
          <w:rFonts w:ascii="Times New Roman" w:hAnsi="Times New Roman" w:cs="Times New Roman"/>
          <w:bCs/>
        </w:rPr>
        <w:t xml:space="preserve">9 Stat. </w:t>
      </w:r>
      <w:r w:rsidR="00AA3DE8">
        <w:rPr>
          <w:rFonts w:ascii="Times New Roman" w:hAnsi="Times New Roman" w:cs="Times New Roman"/>
          <w:bCs/>
        </w:rPr>
        <w:t>1117</w:t>
      </w:r>
      <w:r w:rsidRPr="00CA6D68" w:rsidR="00CA6D68">
        <w:rPr>
          <w:rFonts w:ascii="Times New Roman" w:hAnsi="Times New Roman" w:cs="Times New Roman"/>
          <w:bCs/>
        </w:rPr>
        <w:t xml:space="preserve"> (</w:t>
      </w:r>
      <w:r w:rsidR="00AA3DE8">
        <w:rPr>
          <w:rFonts w:ascii="Times New Roman" w:hAnsi="Times New Roman" w:cs="Times New Roman"/>
          <w:bCs/>
        </w:rPr>
        <w:t>Aug</w:t>
      </w:r>
      <w:r w:rsidRPr="00CA6D68" w:rsidR="00CA6D68">
        <w:rPr>
          <w:rFonts w:ascii="Times New Roman" w:hAnsi="Times New Roman" w:cs="Times New Roman"/>
          <w:bCs/>
        </w:rPr>
        <w:t xml:space="preserve">. </w:t>
      </w:r>
      <w:r w:rsidR="00AA3DE8">
        <w:rPr>
          <w:rFonts w:ascii="Times New Roman" w:hAnsi="Times New Roman" w:cs="Times New Roman"/>
          <w:bCs/>
        </w:rPr>
        <w:t>8</w:t>
      </w:r>
      <w:r w:rsidRPr="00CA6D68" w:rsidR="00CA6D68">
        <w:rPr>
          <w:rFonts w:ascii="Times New Roman" w:hAnsi="Times New Roman" w:cs="Times New Roman"/>
          <w:bCs/>
        </w:rPr>
        <w:t>, 20</w:t>
      </w:r>
      <w:r w:rsidR="00AA3DE8">
        <w:rPr>
          <w:rFonts w:ascii="Times New Roman" w:hAnsi="Times New Roman" w:cs="Times New Roman"/>
          <w:bCs/>
        </w:rPr>
        <w:t>0</w:t>
      </w:r>
      <w:r w:rsidRPr="00CA6D68" w:rsidR="00CA6D68">
        <w:rPr>
          <w:rFonts w:ascii="Times New Roman" w:hAnsi="Times New Roman" w:cs="Times New Roman"/>
          <w:bCs/>
        </w:rPr>
        <w:t>5).</w:t>
      </w:r>
      <w:r w:rsidR="00F916E5">
        <w:rPr>
          <w:rFonts w:ascii="Times New Roman" w:hAnsi="Times New Roman" w:cs="Times New Roman"/>
          <w:bCs/>
        </w:rPr>
        <w:t xml:space="preserve"> The Title XVII program</w:t>
      </w:r>
      <w:r>
        <w:rPr>
          <w:rFonts w:ascii="Times New Roman" w:hAnsi="Times New Roman" w:cs="Times New Roman"/>
          <w:bCs/>
        </w:rPr>
        <w:t>, as amended,</w:t>
      </w:r>
      <w:r w:rsidR="00F916E5">
        <w:rPr>
          <w:rFonts w:ascii="Times New Roman" w:hAnsi="Times New Roman" w:cs="Times New Roman"/>
          <w:bCs/>
        </w:rPr>
        <w:t xml:space="preserve"> is codified at 42 U.S.C. § 16511</w:t>
      </w:r>
      <w:r w:rsidR="009D63DE">
        <w:rPr>
          <w:rFonts w:ascii="Times New Roman" w:hAnsi="Times New Roman" w:cs="Times New Roman"/>
          <w:bCs/>
        </w:rPr>
        <w:t xml:space="preserve"> </w:t>
      </w:r>
      <w:r w:rsidRPr="00213408" w:rsidR="009D63DE">
        <w:rPr>
          <w:rFonts w:ascii="Times New Roman" w:hAnsi="Times New Roman" w:cs="Times New Roman"/>
          <w:bCs/>
          <w:i/>
          <w:iCs/>
        </w:rPr>
        <w:t>et</w:t>
      </w:r>
      <w:r w:rsidR="009D63DE">
        <w:rPr>
          <w:rFonts w:ascii="Times New Roman" w:hAnsi="Times New Roman" w:cs="Times New Roman"/>
          <w:bCs/>
        </w:rPr>
        <w:t xml:space="preserve"> </w:t>
      </w:r>
      <w:r w:rsidRPr="00213408" w:rsidR="009D63DE">
        <w:rPr>
          <w:rFonts w:ascii="Times New Roman" w:hAnsi="Times New Roman" w:cs="Times New Roman"/>
          <w:bCs/>
          <w:i/>
          <w:iCs/>
        </w:rPr>
        <w:t>seq</w:t>
      </w:r>
      <w:r w:rsidR="009D63DE">
        <w:rPr>
          <w:rFonts w:ascii="Times New Roman" w:hAnsi="Times New Roman" w:cs="Times New Roman"/>
          <w:bCs/>
        </w:rPr>
        <w:t>.</w:t>
      </w:r>
      <w:r w:rsidR="00A754CE">
        <w:rPr>
          <w:rFonts w:ascii="Times New Roman" w:hAnsi="Times New Roman" w:cs="Times New Roman"/>
          <w:bCs/>
        </w:rPr>
        <w:t xml:space="preserve"> </w:t>
      </w:r>
    </w:p>
    <w:p w:rsidR="00317589" w:rsidP="00A754CE" w14:paraId="2C42C783" w14:textId="22D999C6">
      <w:pPr>
        <w:rPr>
          <w:rFonts w:ascii="Times New Roman" w:hAnsi="Times New Roman" w:cs="Times New Roman"/>
          <w:bCs/>
        </w:rPr>
      </w:pPr>
      <w:r>
        <w:rPr>
          <w:rFonts w:ascii="Times New Roman" w:hAnsi="Times New Roman" w:cs="Times New Roman"/>
          <w:bCs/>
        </w:rPr>
        <w:t>Among other things, Congress requires “</w:t>
      </w:r>
      <w:r w:rsidRPr="00A754CE">
        <w:rPr>
          <w:rFonts w:ascii="Times New Roman" w:hAnsi="Times New Roman" w:cs="Times New Roman"/>
          <w:bCs/>
        </w:rPr>
        <w:t>(1) programmatic, technical, and financial</w:t>
      </w:r>
      <w:r>
        <w:rPr>
          <w:rFonts w:ascii="Times New Roman" w:hAnsi="Times New Roman" w:cs="Times New Roman"/>
          <w:bCs/>
        </w:rPr>
        <w:t xml:space="preserve"> </w:t>
      </w:r>
      <w:r w:rsidRPr="00A754CE">
        <w:rPr>
          <w:rFonts w:ascii="Times New Roman" w:hAnsi="Times New Roman" w:cs="Times New Roman"/>
          <w:bCs/>
        </w:rPr>
        <w:t>factors the Secretary will use to select</w:t>
      </w:r>
      <w:r>
        <w:rPr>
          <w:rFonts w:ascii="Times New Roman" w:hAnsi="Times New Roman" w:cs="Times New Roman"/>
          <w:bCs/>
        </w:rPr>
        <w:t xml:space="preserve"> </w:t>
      </w:r>
      <w:r w:rsidRPr="00A754CE">
        <w:rPr>
          <w:rFonts w:ascii="Times New Roman" w:hAnsi="Times New Roman" w:cs="Times New Roman"/>
          <w:bCs/>
        </w:rPr>
        <w:t>projects for loan guarantees;</w:t>
      </w:r>
      <w:r>
        <w:rPr>
          <w:rFonts w:ascii="Times New Roman" w:hAnsi="Times New Roman" w:cs="Times New Roman"/>
          <w:bCs/>
        </w:rPr>
        <w:t xml:space="preserve"> </w:t>
      </w:r>
      <w:r w:rsidRPr="00A754CE">
        <w:rPr>
          <w:rFonts w:ascii="Times New Roman" w:hAnsi="Times New Roman" w:cs="Times New Roman"/>
          <w:bCs/>
        </w:rPr>
        <w:t>(2) policies and procedures for selecting and</w:t>
      </w:r>
      <w:r>
        <w:rPr>
          <w:rFonts w:ascii="Times New Roman" w:hAnsi="Times New Roman" w:cs="Times New Roman"/>
          <w:bCs/>
        </w:rPr>
        <w:t xml:space="preserve"> </w:t>
      </w:r>
      <w:r w:rsidRPr="00A754CE">
        <w:rPr>
          <w:rFonts w:ascii="Times New Roman" w:hAnsi="Times New Roman" w:cs="Times New Roman"/>
          <w:bCs/>
        </w:rPr>
        <w:t>monitoring lenders and loan performance; and</w:t>
      </w:r>
      <w:r>
        <w:rPr>
          <w:rFonts w:ascii="Times New Roman" w:hAnsi="Times New Roman" w:cs="Times New Roman"/>
          <w:bCs/>
        </w:rPr>
        <w:t xml:space="preserve"> </w:t>
      </w:r>
      <w:r w:rsidRPr="00A754CE">
        <w:rPr>
          <w:rFonts w:ascii="Times New Roman" w:hAnsi="Times New Roman" w:cs="Times New Roman"/>
          <w:bCs/>
        </w:rPr>
        <w:t>(3) any other policies, procedures, or information</w:t>
      </w:r>
      <w:r>
        <w:rPr>
          <w:rFonts w:ascii="Times New Roman" w:hAnsi="Times New Roman" w:cs="Times New Roman"/>
          <w:bCs/>
        </w:rPr>
        <w:t xml:space="preserve"> </w:t>
      </w:r>
      <w:r w:rsidRPr="00A754CE">
        <w:rPr>
          <w:rFonts w:ascii="Times New Roman" w:hAnsi="Times New Roman" w:cs="Times New Roman"/>
          <w:bCs/>
        </w:rPr>
        <w:t>necessary to implement title XVII of</w:t>
      </w:r>
      <w:r>
        <w:rPr>
          <w:rFonts w:ascii="Times New Roman" w:hAnsi="Times New Roman" w:cs="Times New Roman"/>
          <w:bCs/>
        </w:rPr>
        <w:t xml:space="preserve"> </w:t>
      </w:r>
      <w:r w:rsidRPr="00A754CE">
        <w:rPr>
          <w:rFonts w:ascii="Times New Roman" w:hAnsi="Times New Roman" w:cs="Times New Roman"/>
          <w:bCs/>
        </w:rPr>
        <w:t>the Energy Policy Act of 2005.</w:t>
      </w:r>
      <w:r>
        <w:rPr>
          <w:rFonts w:ascii="Times New Roman" w:hAnsi="Times New Roman" w:cs="Times New Roman"/>
          <w:bCs/>
        </w:rPr>
        <w:t xml:space="preserve">” § 16515(b)(1)-(3). </w:t>
      </w:r>
      <w:r w:rsidR="002A69CD">
        <w:rPr>
          <w:rFonts w:ascii="Times New Roman" w:hAnsi="Times New Roman" w:cs="Times New Roman"/>
          <w:bCs/>
        </w:rPr>
        <w:t xml:space="preserve">These requirements are the basis for the regulations set forth at </w:t>
      </w:r>
      <w:r w:rsidRPr="00F60334" w:rsidR="002A69CD">
        <w:rPr>
          <w:rFonts w:ascii="Times New Roman" w:hAnsi="Times New Roman" w:cs="Times New Roman"/>
          <w:bCs/>
        </w:rPr>
        <w:t xml:space="preserve">10 C.F.R. </w:t>
      </w:r>
      <w:r w:rsidR="002A69CD">
        <w:rPr>
          <w:rFonts w:ascii="Times New Roman" w:hAnsi="Times New Roman" w:cs="Times New Roman"/>
          <w:bCs/>
        </w:rPr>
        <w:t xml:space="preserve">part </w:t>
      </w:r>
      <w:r w:rsidRPr="00F60334" w:rsidR="002A69CD">
        <w:rPr>
          <w:rFonts w:ascii="Times New Roman" w:hAnsi="Times New Roman" w:cs="Times New Roman"/>
          <w:bCs/>
        </w:rPr>
        <w:t>609</w:t>
      </w:r>
      <w:r w:rsidR="002A69CD">
        <w:rPr>
          <w:rFonts w:ascii="Times New Roman" w:hAnsi="Times New Roman" w:cs="Times New Roman"/>
          <w:bCs/>
        </w:rPr>
        <w:t xml:space="preserve">; the Program Guide; and the Title XVII applications materials. </w:t>
      </w:r>
    </w:p>
    <w:p w:rsidR="009B7435" w14:paraId="7F6A3D66" w14:textId="16F4B697">
      <w:pPr>
        <w:rPr>
          <w:rFonts w:ascii="Times New Roman" w:hAnsi="Times New Roman" w:cs="Times New Roman"/>
          <w:bCs/>
        </w:rPr>
      </w:pPr>
      <w:r w:rsidRPr="00A607D1">
        <w:rPr>
          <w:rFonts w:ascii="Times New Roman" w:hAnsi="Times New Roman" w:cs="Times New Roman"/>
          <w:bCs/>
        </w:rPr>
        <w:t xml:space="preserve">Section 50144 of the </w:t>
      </w:r>
      <w:r w:rsidRPr="00A607D1" w:rsidR="00AB36A2">
        <w:rPr>
          <w:rFonts w:ascii="Times New Roman" w:hAnsi="Times New Roman" w:cs="Times New Roman"/>
          <w:bCs/>
        </w:rPr>
        <w:t xml:space="preserve">Inflation Reduction Act of 2022 amended </w:t>
      </w:r>
      <w:r w:rsidRPr="00A607D1" w:rsidR="00586D0D">
        <w:rPr>
          <w:rFonts w:ascii="Times New Roman" w:hAnsi="Times New Roman" w:cs="Times New Roman"/>
          <w:bCs/>
        </w:rPr>
        <w:t>Title XVII</w:t>
      </w:r>
      <w:r w:rsidR="0088630B">
        <w:rPr>
          <w:rFonts w:ascii="Times New Roman" w:hAnsi="Times New Roman" w:cs="Times New Roman"/>
          <w:bCs/>
        </w:rPr>
        <w:t xml:space="preserve"> (in part)</w:t>
      </w:r>
      <w:r w:rsidRPr="00A607D1" w:rsidR="00586D0D">
        <w:rPr>
          <w:rFonts w:ascii="Times New Roman" w:hAnsi="Times New Roman" w:cs="Times New Roman"/>
          <w:bCs/>
        </w:rPr>
        <w:t xml:space="preserve"> </w:t>
      </w:r>
      <w:r w:rsidRPr="00A607D1" w:rsidR="00AB36A2">
        <w:rPr>
          <w:rFonts w:ascii="Times New Roman" w:hAnsi="Times New Roman" w:cs="Times New Roman"/>
          <w:bCs/>
        </w:rPr>
        <w:t xml:space="preserve">to </w:t>
      </w:r>
      <w:r w:rsidRPr="00A607D1" w:rsidR="00563983">
        <w:rPr>
          <w:rFonts w:ascii="Times New Roman" w:hAnsi="Times New Roman" w:cs="Times New Roman"/>
          <w:bCs/>
        </w:rPr>
        <w:t xml:space="preserve">introduce </w:t>
      </w:r>
      <w:r w:rsidRPr="00A607D1" w:rsidR="00C60EF9">
        <w:rPr>
          <w:rFonts w:ascii="Times New Roman" w:hAnsi="Times New Roman" w:cs="Times New Roman"/>
          <w:bCs/>
        </w:rPr>
        <w:t xml:space="preserve">the </w:t>
      </w:r>
      <w:r w:rsidR="00142F87">
        <w:rPr>
          <w:rFonts w:ascii="Times New Roman" w:hAnsi="Times New Roman" w:cs="Times New Roman"/>
          <w:bCs/>
        </w:rPr>
        <w:t>s</w:t>
      </w:r>
      <w:r w:rsidRPr="00A607D1" w:rsidR="0073373C">
        <w:rPr>
          <w:rFonts w:ascii="Times New Roman" w:hAnsi="Times New Roman" w:cs="Times New Roman"/>
          <w:bCs/>
        </w:rPr>
        <w:t>ection 1706 “Energy Infrastructure Reinvestment Financing”</w:t>
      </w:r>
      <w:r w:rsidRPr="00A607D1" w:rsidR="00C60EF9">
        <w:rPr>
          <w:rFonts w:ascii="Times New Roman" w:hAnsi="Times New Roman" w:cs="Times New Roman"/>
          <w:bCs/>
        </w:rPr>
        <w:t xml:space="preserve"> </w:t>
      </w:r>
      <w:r w:rsidR="00142F87">
        <w:rPr>
          <w:rFonts w:ascii="Times New Roman" w:hAnsi="Times New Roman" w:cs="Times New Roman"/>
          <w:bCs/>
        </w:rPr>
        <w:t>program</w:t>
      </w:r>
      <w:r w:rsidRPr="00A607D1" w:rsidR="00C60EF9">
        <w:rPr>
          <w:rFonts w:ascii="Times New Roman" w:hAnsi="Times New Roman" w:cs="Times New Roman"/>
          <w:bCs/>
        </w:rPr>
        <w:t>.</w:t>
      </w:r>
      <w:r w:rsidR="005F62BE">
        <w:rPr>
          <w:rFonts w:ascii="Times New Roman" w:hAnsi="Times New Roman" w:cs="Times New Roman"/>
          <w:bCs/>
        </w:rPr>
        <w:t xml:space="preserve"> </w:t>
      </w:r>
      <w:r w:rsidRPr="00A607D1" w:rsidR="00544DC8">
        <w:rPr>
          <w:rFonts w:ascii="Times New Roman" w:hAnsi="Times New Roman" w:cs="Times New Roman"/>
          <w:bCs/>
        </w:rPr>
        <w:t>Section 1706</w:t>
      </w:r>
      <w:r w:rsidR="005F62BE">
        <w:rPr>
          <w:rFonts w:ascii="Times New Roman" w:hAnsi="Times New Roman" w:cs="Times New Roman"/>
          <w:bCs/>
        </w:rPr>
        <w:t xml:space="preserve"> initially</w:t>
      </w:r>
      <w:r w:rsidRPr="00A607D1" w:rsidR="00544DC8">
        <w:rPr>
          <w:rFonts w:ascii="Times New Roman" w:hAnsi="Times New Roman" w:cs="Times New Roman"/>
          <w:bCs/>
        </w:rPr>
        <w:t xml:space="preserve"> authorized the Secretary of Energy to make guarantees, including refinancing, for projects that (1) retool, repower, repurpose, or replace energy infrastructure that has ceased operations</w:t>
      </w:r>
      <w:r w:rsidRPr="00A607D1" w:rsidR="0051360C">
        <w:rPr>
          <w:rFonts w:ascii="Times New Roman" w:hAnsi="Times New Roman" w:cs="Times New Roman"/>
          <w:bCs/>
        </w:rPr>
        <w:t xml:space="preserve">; or (2) </w:t>
      </w:r>
      <w:r w:rsidRPr="00A607D1" w:rsidR="00544DC8">
        <w:rPr>
          <w:rFonts w:ascii="Times New Roman" w:hAnsi="Times New Roman" w:cs="Times New Roman"/>
          <w:bCs/>
        </w:rPr>
        <w:t>enable operating energy infrastructure to avoid, reduce,</w:t>
      </w:r>
      <w:r w:rsidRPr="00A607D1" w:rsidR="0051360C">
        <w:rPr>
          <w:rFonts w:ascii="Times New Roman" w:hAnsi="Times New Roman" w:cs="Times New Roman"/>
          <w:bCs/>
        </w:rPr>
        <w:t xml:space="preserve"> </w:t>
      </w:r>
      <w:r w:rsidRPr="00A607D1" w:rsidR="00544DC8">
        <w:rPr>
          <w:rFonts w:ascii="Times New Roman" w:hAnsi="Times New Roman" w:cs="Times New Roman"/>
          <w:bCs/>
        </w:rPr>
        <w:t>utilize, or sequester air pollutants or anthropogenic emissions</w:t>
      </w:r>
      <w:r w:rsidRPr="00A607D1" w:rsidR="0051360C">
        <w:rPr>
          <w:rFonts w:ascii="Times New Roman" w:hAnsi="Times New Roman" w:cs="Times New Roman"/>
          <w:bCs/>
        </w:rPr>
        <w:t xml:space="preserve"> </w:t>
      </w:r>
      <w:r w:rsidRPr="00A607D1" w:rsidR="00544DC8">
        <w:rPr>
          <w:rFonts w:ascii="Times New Roman" w:hAnsi="Times New Roman" w:cs="Times New Roman"/>
          <w:bCs/>
        </w:rPr>
        <w:t xml:space="preserve">of greenhouse gases. </w:t>
      </w:r>
      <w:r>
        <w:rPr>
          <w:rFonts w:ascii="Times New Roman" w:hAnsi="Times New Roman" w:cs="Times New Roman"/>
          <w:bCs/>
        </w:rPr>
        <w:t xml:space="preserve">At that time, </w:t>
      </w:r>
      <w:r w:rsidRPr="00A607D1" w:rsidR="0051360C">
        <w:rPr>
          <w:rFonts w:ascii="Times New Roman" w:hAnsi="Times New Roman" w:cs="Times New Roman"/>
          <w:bCs/>
        </w:rPr>
        <w:t>Section 1706(d)</w:t>
      </w:r>
      <w:r>
        <w:rPr>
          <w:rFonts w:ascii="Times New Roman" w:hAnsi="Times New Roman" w:cs="Times New Roman"/>
          <w:bCs/>
        </w:rPr>
        <w:t xml:space="preserve"> also</w:t>
      </w:r>
      <w:r w:rsidRPr="00A607D1" w:rsidR="00242D0A">
        <w:rPr>
          <w:rFonts w:ascii="Times New Roman" w:hAnsi="Times New Roman" w:cs="Times New Roman"/>
          <w:bCs/>
        </w:rPr>
        <w:t xml:space="preserve"> </w:t>
      </w:r>
      <w:r w:rsidRPr="00A607D1" w:rsidR="007B2D62">
        <w:rPr>
          <w:rFonts w:ascii="Times New Roman" w:hAnsi="Times New Roman" w:cs="Times New Roman"/>
          <w:bCs/>
        </w:rPr>
        <w:t>stated: “To apply for a guarantee under this section, an applicant shall submit to the Secretary an application at such time, in such manner, and containing such information as the Secretary may require, including</w:t>
      </w:r>
      <w:r w:rsidRPr="00A607D1" w:rsidR="00AB5843">
        <w:rPr>
          <w:rFonts w:ascii="Times New Roman" w:hAnsi="Times New Roman" w:cs="Times New Roman"/>
          <w:bCs/>
        </w:rPr>
        <w:t xml:space="preserve"> […] </w:t>
      </w:r>
      <w:r w:rsidRPr="009561ED" w:rsidR="007B2D62">
        <w:rPr>
          <w:rFonts w:ascii="Times New Roman" w:hAnsi="Times New Roman"/>
          <w:u w:val="single"/>
        </w:rPr>
        <w:t>an analysis of how the proposed project will engage</w:t>
      </w:r>
      <w:r w:rsidRPr="009561ED" w:rsidR="00AB5843">
        <w:rPr>
          <w:rFonts w:ascii="Times New Roman" w:hAnsi="Times New Roman"/>
          <w:u w:val="single"/>
        </w:rPr>
        <w:t xml:space="preserve"> </w:t>
      </w:r>
      <w:r w:rsidRPr="009561ED" w:rsidR="007B2D62">
        <w:rPr>
          <w:rFonts w:ascii="Times New Roman" w:hAnsi="Times New Roman"/>
          <w:u w:val="single"/>
        </w:rPr>
        <w:t>with and affect associated communities</w:t>
      </w:r>
      <w:r w:rsidRPr="00A607D1" w:rsidR="00AB5843">
        <w:rPr>
          <w:rFonts w:ascii="Times New Roman" w:hAnsi="Times New Roman" w:cs="Times New Roman"/>
          <w:bCs/>
        </w:rPr>
        <w:t>.” Pub. L. 117–169</w:t>
      </w:r>
      <w:r w:rsidRPr="00A607D1" w:rsidR="00F659F5">
        <w:rPr>
          <w:rFonts w:ascii="Times New Roman" w:hAnsi="Times New Roman" w:cs="Times New Roman"/>
          <w:bCs/>
        </w:rPr>
        <w:t>, 136 Stat. 2045, Aug. 16, 2022</w:t>
      </w:r>
      <w:r w:rsidRPr="00A607D1" w:rsidR="00384054">
        <w:rPr>
          <w:rFonts w:ascii="Times New Roman" w:hAnsi="Times New Roman" w:cs="Times New Roman"/>
          <w:bCs/>
        </w:rPr>
        <w:t xml:space="preserve">; </w:t>
      </w:r>
      <w:r w:rsidRPr="00A607D1" w:rsidR="00586D0D">
        <w:rPr>
          <w:rFonts w:ascii="Times New Roman" w:hAnsi="Times New Roman" w:cs="Times New Roman"/>
          <w:bCs/>
        </w:rPr>
        <w:t>42 U.S.C. 1651</w:t>
      </w:r>
      <w:r w:rsidRPr="00A607D1" w:rsidR="008275BC">
        <w:rPr>
          <w:rFonts w:ascii="Times New Roman" w:hAnsi="Times New Roman" w:cs="Times New Roman"/>
          <w:bCs/>
        </w:rPr>
        <w:t>7</w:t>
      </w:r>
      <w:r w:rsidRPr="00A607D1" w:rsidR="002C3946">
        <w:rPr>
          <w:rFonts w:ascii="Times New Roman" w:hAnsi="Times New Roman" w:cs="Times New Roman"/>
          <w:bCs/>
        </w:rPr>
        <w:t>(d)(2).</w:t>
      </w:r>
      <w:r w:rsidR="008D0044">
        <w:rPr>
          <w:rFonts w:ascii="Times New Roman" w:hAnsi="Times New Roman" w:cs="Times New Roman"/>
          <w:bCs/>
        </w:rPr>
        <w:t xml:space="preserve"> (emphasis added)</w:t>
      </w:r>
      <w:r w:rsidRPr="00A607D1" w:rsidR="000A5528">
        <w:rPr>
          <w:rFonts w:ascii="Times New Roman" w:hAnsi="Times New Roman" w:cs="Times New Roman"/>
          <w:bCs/>
        </w:rPr>
        <w:t xml:space="preserve"> </w:t>
      </w:r>
    </w:p>
    <w:p w:rsidR="001C4727" w:rsidRPr="00A607D1" w:rsidP="00A607D1" w14:paraId="441C4C74" w14:textId="5F14983A">
      <w:pPr>
        <w:rPr>
          <w:rFonts w:ascii="Times New Roman" w:hAnsi="Times New Roman" w:cs="Times New Roman"/>
          <w:bCs/>
        </w:rPr>
      </w:pPr>
      <w:r w:rsidRPr="00A607D1">
        <w:rPr>
          <w:rFonts w:ascii="Times New Roman" w:hAnsi="Times New Roman" w:cs="Times New Roman"/>
          <w:bCs/>
        </w:rPr>
        <w:t xml:space="preserve">On July 4, 2025, Congress </w:t>
      </w:r>
      <w:r w:rsidRPr="00A607D1" w:rsidR="00A13E00">
        <w:rPr>
          <w:rFonts w:ascii="Times New Roman" w:hAnsi="Times New Roman" w:cs="Times New Roman"/>
          <w:bCs/>
        </w:rPr>
        <w:t>passed,</w:t>
      </w:r>
      <w:r w:rsidRPr="00A607D1">
        <w:rPr>
          <w:rFonts w:ascii="Times New Roman" w:hAnsi="Times New Roman" w:cs="Times New Roman"/>
          <w:bCs/>
        </w:rPr>
        <w:t xml:space="preserve"> and the </w:t>
      </w:r>
      <w:r w:rsidRPr="00A607D1" w:rsidR="00392AFF">
        <w:rPr>
          <w:rFonts w:ascii="Times New Roman" w:hAnsi="Times New Roman" w:cs="Times New Roman"/>
          <w:bCs/>
        </w:rPr>
        <w:t>President signed into law the One Big Beautiful Bill Act</w:t>
      </w:r>
      <w:r w:rsidRPr="00A607D1" w:rsidR="00BC3FF8">
        <w:rPr>
          <w:rFonts w:ascii="Times New Roman" w:hAnsi="Times New Roman" w:cs="Times New Roman"/>
          <w:bCs/>
        </w:rPr>
        <w:t xml:space="preserve">. Section 50403 of the One Big Beautiful Bill Act </w:t>
      </w:r>
      <w:r w:rsidR="002C285A">
        <w:rPr>
          <w:rFonts w:ascii="Times New Roman" w:hAnsi="Times New Roman" w:cs="Times New Roman"/>
          <w:bCs/>
        </w:rPr>
        <w:t xml:space="preserve">further </w:t>
      </w:r>
      <w:r w:rsidRPr="00A607D1" w:rsidR="00BC3FF8">
        <w:rPr>
          <w:rFonts w:ascii="Times New Roman" w:hAnsi="Times New Roman" w:cs="Times New Roman"/>
          <w:bCs/>
        </w:rPr>
        <w:t>amended Title XVII</w:t>
      </w:r>
      <w:r w:rsidR="002C285A">
        <w:rPr>
          <w:rFonts w:ascii="Times New Roman" w:hAnsi="Times New Roman" w:cs="Times New Roman"/>
          <w:bCs/>
        </w:rPr>
        <w:t>, including its</w:t>
      </w:r>
      <w:r w:rsidRPr="00A607D1" w:rsidR="00BC3FF8">
        <w:rPr>
          <w:rFonts w:ascii="Times New Roman" w:hAnsi="Times New Roman" w:cs="Times New Roman"/>
          <w:bCs/>
        </w:rPr>
        <w:t xml:space="preserve"> </w:t>
      </w:r>
      <w:r w:rsidRPr="00A607D1" w:rsidR="009452C5">
        <w:rPr>
          <w:rFonts w:ascii="Times New Roman" w:hAnsi="Times New Roman" w:cs="Times New Roman"/>
          <w:bCs/>
        </w:rPr>
        <w:t>definition</w:t>
      </w:r>
      <w:r w:rsidRPr="00A607D1" w:rsidR="009A51BC">
        <w:rPr>
          <w:rFonts w:ascii="Times New Roman" w:hAnsi="Times New Roman" w:cs="Times New Roman"/>
          <w:bCs/>
        </w:rPr>
        <w:t>s</w:t>
      </w:r>
      <w:r w:rsidRPr="00A607D1" w:rsidR="009452C5">
        <w:rPr>
          <w:rFonts w:ascii="Times New Roman" w:hAnsi="Times New Roman" w:cs="Times New Roman"/>
          <w:bCs/>
        </w:rPr>
        <w:t xml:space="preserve">, criteria, and </w:t>
      </w:r>
      <w:r w:rsidRPr="00A607D1" w:rsidR="009A51BC">
        <w:rPr>
          <w:rFonts w:ascii="Times New Roman" w:hAnsi="Times New Roman" w:cs="Times New Roman"/>
          <w:bCs/>
        </w:rPr>
        <w:t xml:space="preserve">other eligibility </w:t>
      </w:r>
      <w:r w:rsidRPr="00A607D1" w:rsidR="009452C5">
        <w:rPr>
          <w:rFonts w:ascii="Times New Roman" w:hAnsi="Times New Roman" w:cs="Times New Roman"/>
          <w:bCs/>
        </w:rPr>
        <w:t>requirements</w:t>
      </w:r>
      <w:r w:rsidRPr="00A607D1" w:rsidR="009A51BC">
        <w:rPr>
          <w:rFonts w:ascii="Times New Roman" w:hAnsi="Times New Roman" w:cs="Times New Roman"/>
          <w:bCs/>
        </w:rPr>
        <w:t xml:space="preserve"> related to </w:t>
      </w:r>
      <w:r w:rsidR="002C285A">
        <w:rPr>
          <w:rFonts w:ascii="Times New Roman" w:hAnsi="Times New Roman" w:cs="Times New Roman"/>
          <w:bCs/>
        </w:rPr>
        <w:t>the s</w:t>
      </w:r>
      <w:r w:rsidRPr="00A607D1" w:rsidR="002C285A">
        <w:rPr>
          <w:rFonts w:ascii="Times New Roman" w:hAnsi="Times New Roman" w:cs="Times New Roman"/>
          <w:bCs/>
        </w:rPr>
        <w:t xml:space="preserve">ection </w:t>
      </w:r>
      <w:r w:rsidRPr="00A607D1" w:rsidR="009A51BC">
        <w:rPr>
          <w:rFonts w:ascii="Times New Roman" w:hAnsi="Times New Roman" w:cs="Times New Roman"/>
          <w:bCs/>
        </w:rPr>
        <w:t>1706</w:t>
      </w:r>
      <w:r w:rsidR="002C285A">
        <w:rPr>
          <w:rFonts w:ascii="Times New Roman" w:hAnsi="Times New Roman" w:cs="Times New Roman"/>
          <w:bCs/>
        </w:rPr>
        <w:t xml:space="preserve"> program</w:t>
      </w:r>
      <w:r w:rsidRPr="00A607D1" w:rsidR="009A51BC">
        <w:rPr>
          <w:rFonts w:ascii="Times New Roman" w:hAnsi="Times New Roman" w:cs="Times New Roman"/>
          <w:bCs/>
        </w:rPr>
        <w:t>.</w:t>
      </w:r>
      <w:r w:rsidRPr="00A607D1" w:rsidR="00111AA9">
        <w:rPr>
          <w:rFonts w:ascii="Times New Roman" w:hAnsi="Times New Roman" w:cs="Times New Roman"/>
          <w:bCs/>
        </w:rPr>
        <w:t xml:space="preserve"> Pub. L. 119–21, 139 Stat. 153, Jul. 4, 2025.</w:t>
      </w:r>
      <w:r>
        <w:rPr>
          <w:rStyle w:val="FootnoteReference"/>
          <w:rFonts w:asciiTheme="majorHAnsi" w:hAnsiTheme="majorHAnsi" w:cstheme="majorHAnsi"/>
        </w:rPr>
        <w:footnoteReference w:id="2"/>
      </w:r>
      <w:r w:rsidRPr="00A607D1" w:rsidR="00111AA9">
        <w:rPr>
          <w:rStyle w:val="FootnoteReference"/>
          <w:rFonts w:asciiTheme="majorHAnsi" w:hAnsiTheme="majorHAnsi" w:cstheme="majorHAnsi"/>
        </w:rPr>
        <w:t xml:space="preserve"> </w:t>
      </w:r>
      <w:r w:rsidR="009B7435">
        <w:rPr>
          <w:rFonts w:asciiTheme="majorHAnsi" w:hAnsiTheme="majorHAnsi" w:cstheme="majorHAnsi"/>
        </w:rPr>
        <w:t xml:space="preserve"> </w:t>
      </w:r>
    </w:p>
    <w:p w:rsidR="00F85EB5" w:rsidRPr="00A607D1" w:rsidP="00A607D1" w14:paraId="16272313" w14:textId="589767D5">
      <w:pPr>
        <w:rPr>
          <w:rFonts w:ascii="Times New Roman" w:hAnsi="Times New Roman" w:cs="Times New Roman"/>
          <w:bCs/>
        </w:rPr>
      </w:pPr>
      <w:r w:rsidRPr="00A607D1">
        <w:rPr>
          <w:rFonts w:ascii="Times New Roman" w:hAnsi="Times New Roman" w:cs="Times New Roman"/>
          <w:bCs/>
        </w:rPr>
        <w:t>Accordingly, the Department revis</w:t>
      </w:r>
      <w:r w:rsidR="00A372AF">
        <w:rPr>
          <w:rFonts w:ascii="Times New Roman" w:hAnsi="Times New Roman" w:cs="Times New Roman"/>
          <w:bCs/>
        </w:rPr>
        <w:t>ed</w:t>
      </w:r>
      <w:r w:rsidRPr="00A607D1">
        <w:rPr>
          <w:rFonts w:ascii="Times New Roman" w:hAnsi="Times New Roman" w:cs="Times New Roman"/>
          <w:bCs/>
        </w:rPr>
        <w:t xml:space="preserve"> 10 C</w:t>
      </w:r>
      <w:r w:rsidR="003130B8">
        <w:rPr>
          <w:rFonts w:ascii="Times New Roman" w:hAnsi="Times New Roman" w:cs="Times New Roman"/>
          <w:bCs/>
        </w:rPr>
        <w:t>.</w:t>
      </w:r>
      <w:r w:rsidRPr="00A607D1">
        <w:rPr>
          <w:rFonts w:ascii="Times New Roman" w:hAnsi="Times New Roman" w:cs="Times New Roman"/>
          <w:bCs/>
        </w:rPr>
        <w:t>F</w:t>
      </w:r>
      <w:r w:rsidR="003130B8">
        <w:rPr>
          <w:rFonts w:ascii="Times New Roman" w:hAnsi="Times New Roman" w:cs="Times New Roman"/>
          <w:bCs/>
        </w:rPr>
        <w:t>.</w:t>
      </w:r>
      <w:r w:rsidRPr="00A607D1">
        <w:rPr>
          <w:rFonts w:ascii="Times New Roman" w:hAnsi="Times New Roman" w:cs="Times New Roman"/>
          <w:bCs/>
        </w:rPr>
        <w:t>R</w:t>
      </w:r>
      <w:r w:rsidR="003130B8">
        <w:rPr>
          <w:rFonts w:ascii="Times New Roman" w:hAnsi="Times New Roman" w:cs="Times New Roman"/>
          <w:bCs/>
        </w:rPr>
        <w:t>.</w:t>
      </w:r>
      <w:r w:rsidRPr="00A607D1">
        <w:rPr>
          <w:rFonts w:ascii="Times New Roman" w:hAnsi="Times New Roman" w:cs="Times New Roman"/>
          <w:bCs/>
        </w:rPr>
        <w:t xml:space="preserve"> part 609 to reflect the</w:t>
      </w:r>
      <w:r w:rsidRPr="00A607D1" w:rsidR="00FD77FC">
        <w:rPr>
          <w:rFonts w:ascii="Times New Roman" w:hAnsi="Times New Roman" w:cs="Times New Roman"/>
          <w:bCs/>
        </w:rPr>
        <w:t xml:space="preserve"> enactment of the</w:t>
      </w:r>
      <w:r w:rsidRPr="00A607D1">
        <w:rPr>
          <w:rFonts w:ascii="Times New Roman" w:hAnsi="Times New Roman" w:cs="Times New Roman"/>
          <w:bCs/>
        </w:rPr>
        <w:t xml:space="preserve"> </w:t>
      </w:r>
      <w:r w:rsidRPr="00A607D1" w:rsidR="00FD77FC">
        <w:rPr>
          <w:rFonts w:ascii="Times New Roman" w:hAnsi="Times New Roman" w:cs="Times New Roman"/>
          <w:bCs/>
        </w:rPr>
        <w:t>One Big Beautiful Bill Act</w:t>
      </w:r>
      <w:r w:rsidR="003130B8">
        <w:rPr>
          <w:rFonts w:ascii="Times New Roman" w:hAnsi="Times New Roman" w:cs="Times New Roman"/>
          <w:bCs/>
        </w:rPr>
        <w:t>.</w:t>
      </w:r>
      <w:r w:rsidR="00A372AF">
        <w:rPr>
          <w:rFonts w:ascii="Times New Roman" w:hAnsi="Times New Roman" w:cs="Times New Roman"/>
          <w:bCs/>
        </w:rPr>
        <w:t xml:space="preserve"> </w:t>
      </w:r>
      <w:r w:rsidR="003B556C">
        <w:rPr>
          <w:rFonts w:ascii="Times New Roman" w:hAnsi="Times New Roman" w:cs="Times New Roman"/>
          <w:bCs/>
        </w:rPr>
        <w:t xml:space="preserve">And now, DOE </w:t>
      </w:r>
      <w:r w:rsidR="00A372AF">
        <w:rPr>
          <w:rFonts w:ascii="Times New Roman" w:hAnsi="Times New Roman" w:cs="Times New Roman"/>
          <w:bCs/>
        </w:rPr>
        <w:t>is revising the Program Guide and application materials</w:t>
      </w:r>
      <w:r w:rsidRPr="00A607D1">
        <w:rPr>
          <w:rFonts w:ascii="Times New Roman" w:hAnsi="Times New Roman" w:cs="Times New Roman"/>
          <w:bCs/>
        </w:rPr>
        <w:t>.</w:t>
      </w:r>
      <w:r w:rsidRPr="00A607D1" w:rsidR="0018542C">
        <w:rPr>
          <w:rFonts w:ascii="Times New Roman" w:hAnsi="Times New Roman" w:cs="Times New Roman"/>
          <w:bCs/>
        </w:rPr>
        <w:t xml:space="preserve"> </w:t>
      </w:r>
      <w:r w:rsidR="009B7435">
        <w:rPr>
          <w:rFonts w:ascii="Times New Roman" w:hAnsi="Times New Roman" w:cs="Times New Roman"/>
          <w:bCs/>
        </w:rPr>
        <w:t>Congress’s r</w:t>
      </w:r>
      <w:r w:rsidRPr="00A607D1" w:rsidR="0018542C">
        <w:rPr>
          <w:rFonts w:ascii="Times New Roman" w:hAnsi="Times New Roman" w:cs="Times New Roman"/>
          <w:bCs/>
        </w:rPr>
        <w:t>emoval of the loan application requirement for “an analysis of how the proposed project will engage with and affect associated communities”</w:t>
      </w:r>
      <w:r w:rsidRPr="00A607D1" w:rsidR="004B15FE">
        <w:rPr>
          <w:rFonts w:ascii="Times New Roman" w:hAnsi="Times New Roman" w:cs="Times New Roman"/>
          <w:bCs/>
        </w:rPr>
        <w:t xml:space="preserve"> makes the </w:t>
      </w:r>
      <w:r w:rsidR="009B7435">
        <w:rPr>
          <w:rFonts w:ascii="Times New Roman" w:hAnsi="Times New Roman" w:cs="Times New Roman"/>
          <w:bCs/>
        </w:rPr>
        <w:t xml:space="preserve">ongoing </w:t>
      </w:r>
      <w:r w:rsidRPr="00A607D1" w:rsidR="004B15FE">
        <w:rPr>
          <w:rFonts w:ascii="Times New Roman" w:hAnsi="Times New Roman" w:cs="Times New Roman"/>
          <w:bCs/>
        </w:rPr>
        <w:t>collection of this information unnecessary.</w:t>
      </w:r>
      <w:r w:rsidRPr="00A607D1" w:rsidR="00AB3C4C">
        <w:rPr>
          <w:rFonts w:ascii="Times New Roman" w:hAnsi="Times New Roman" w:cs="Times New Roman"/>
          <w:bCs/>
        </w:rPr>
        <w:t xml:space="preserve"> </w:t>
      </w:r>
      <w:r w:rsidRPr="00A607D1" w:rsidR="00EB4B43">
        <w:rPr>
          <w:rFonts w:ascii="Times New Roman" w:hAnsi="Times New Roman" w:cs="Times New Roman"/>
          <w:bCs/>
        </w:rPr>
        <w:t xml:space="preserve">In other words, the statutory </w:t>
      </w:r>
      <w:r w:rsidR="00273446">
        <w:rPr>
          <w:rFonts w:ascii="Times New Roman" w:hAnsi="Times New Roman" w:cs="Times New Roman"/>
          <w:bCs/>
        </w:rPr>
        <w:t>amendments</w:t>
      </w:r>
      <w:r w:rsidRPr="00A607D1" w:rsidR="00273446">
        <w:rPr>
          <w:rFonts w:ascii="Times New Roman" w:hAnsi="Times New Roman" w:cs="Times New Roman"/>
          <w:bCs/>
        </w:rPr>
        <w:t xml:space="preserve"> </w:t>
      </w:r>
      <w:r w:rsidRPr="00A607D1" w:rsidR="004E3E2C">
        <w:rPr>
          <w:rFonts w:ascii="Times New Roman" w:hAnsi="Times New Roman" w:cs="Times New Roman"/>
          <w:bCs/>
        </w:rPr>
        <w:t>require</w:t>
      </w:r>
      <w:r w:rsidRPr="00A607D1" w:rsidR="00185D91">
        <w:rPr>
          <w:rFonts w:ascii="Times New Roman" w:hAnsi="Times New Roman" w:cs="Times New Roman"/>
          <w:bCs/>
        </w:rPr>
        <w:t xml:space="preserve"> the revision of the previously approved ICR.</w:t>
      </w:r>
      <w:r w:rsidRPr="00A607D1" w:rsidR="004E3E2C">
        <w:rPr>
          <w:rFonts w:ascii="Times New Roman" w:hAnsi="Times New Roman" w:cs="Times New Roman"/>
          <w:bCs/>
        </w:rPr>
        <w:t xml:space="preserve"> </w:t>
      </w:r>
      <w:r w:rsidR="00422D91">
        <w:rPr>
          <w:rFonts w:ascii="Times New Roman" w:hAnsi="Times New Roman" w:cs="Times New Roman"/>
          <w:bCs/>
        </w:rPr>
        <w:t xml:space="preserve">Similarly, application requirements related to the lifecycle greenhouse gas emissions analysis and certain environmental </w:t>
      </w:r>
      <w:r w:rsidR="003B556C">
        <w:rPr>
          <w:rFonts w:ascii="Times New Roman" w:hAnsi="Times New Roman" w:cs="Times New Roman"/>
          <w:bCs/>
        </w:rPr>
        <w:t>evaluations</w:t>
      </w:r>
      <w:r w:rsidR="00F428AB">
        <w:rPr>
          <w:rFonts w:ascii="Times New Roman" w:hAnsi="Times New Roman" w:cs="Times New Roman"/>
          <w:bCs/>
        </w:rPr>
        <w:t xml:space="preserve"> require revision</w:t>
      </w:r>
      <w:r w:rsidR="003B556C">
        <w:rPr>
          <w:rFonts w:ascii="Times New Roman" w:hAnsi="Times New Roman" w:cs="Times New Roman"/>
          <w:bCs/>
        </w:rPr>
        <w:t xml:space="preserve">s to reflect </w:t>
      </w:r>
      <w:r w:rsidR="00717AFF">
        <w:rPr>
          <w:rFonts w:ascii="Times New Roman" w:hAnsi="Times New Roman" w:cs="Times New Roman"/>
          <w:bCs/>
        </w:rPr>
        <w:t xml:space="preserve">updated </w:t>
      </w:r>
      <w:r w:rsidRPr="003B556C" w:rsidR="003B556C">
        <w:rPr>
          <w:rFonts w:ascii="Times New Roman" w:hAnsi="Times New Roman" w:cs="Times New Roman"/>
          <w:bCs/>
        </w:rPr>
        <w:t>CEQ regulations and departmental objectives</w:t>
      </w:r>
      <w:r w:rsidR="00422D91">
        <w:rPr>
          <w:rFonts w:ascii="Times New Roman" w:hAnsi="Times New Roman" w:cs="Times New Roman"/>
          <w:bCs/>
        </w:rPr>
        <w:t xml:space="preserve">. </w:t>
      </w:r>
    </w:p>
    <w:p w:rsidR="003500EF" w:rsidRPr="00106C21" w:rsidP="00A607D1" w14:paraId="09CE0174" w14:textId="72192462">
      <w:pPr>
        <w:rPr>
          <w:rFonts w:ascii="Times New Roman" w:eastAsia="Times New Roman" w:hAnsi="Times New Roman" w:cs="Times New Roman"/>
        </w:rPr>
      </w:pPr>
    </w:p>
    <w:p w:rsidR="008C734C" w:rsidRPr="00106C21" w:rsidP="005A73A8" w14:paraId="4CC8B66B" w14:textId="77777777">
      <w:pPr>
        <w:pStyle w:val="Heading2"/>
        <w:rPr>
          <w:rFonts w:ascii="Times New Roman" w:hAnsi="Times New Roman" w:cs="Times New Roman"/>
        </w:rPr>
      </w:pPr>
      <w:bookmarkStart w:id="3" w:name="_Toc16271320"/>
      <w:r w:rsidRPr="00106C21">
        <w:rPr>
          <w:rFonts w:ascii="Times New Roman" w:hAnsi="Times New Roman" w:cs="Times New Roman"/>
        </w:rPr>
        <w:t>A.2. Needs and Uses of Data</w:t>
      </w:r>
      <w:bookmarkEnd w:id="3"/>
    </w:p>
    <w:p w:rsidR="00A41763" w:rsidRPr="00106C21" w:rsidP="00A41763" w14:paraId="4B0B0235" w14:textId="568FE27C">
      <w:pPr>
        <w:rPr>
          <w:rFonts w:ascii="Times New Roman" w:hAnsi="Times New Roman" w:cs="Times New Roman"/>
        </w:rPr>
      </w:pPr>
      <w:r w:rsidRPr="00106C21">
        <w:rPr>
          <w:rFonts w:ascii="Times New Roman" w:hAnsi="Times New Roman" w:cs="Times New Roman"/>
          <w:b/>
          <w:bCs/>
        </w:rPr>
        <w:t>Indicate how, by whom, and for what purpose the information is to be used. Except for a new collection, indicate the actual use the agency has made of the information received from the current collection</w:t>
      </w:r>
      <w:r w:rsidRPr="00106C21" w:rsidR="00DB17E9">
        <w:rPr>
          <w:rFonts w:ascii="Times New Roman" w:hAnsi="Times New Roman" w:cs="Times New Roman"/>
          <w:b/>
          <w:bCs/>
        </w:rPr>
        <w:t>.</w:t>
      </w:r>
    </w:p>
    <w:p w:rsidR="005F136B" w:rsidP="00F85EB5" w14:paraId="32CDA355" w14:textId="4180BAC5">
      <w:pPr>
        <w:rPr>
          <w:rFonts w:asciiTheme="majorHAnsi" w:hAnsiTheme="majorHAnsi" w:cstheme="majorHAnsi"/>
          <w:bCs/>
        </w:rPr>
      </w:pPr>
      <w:bookmarkStart w:id="4" w:name="_Hlk224660208"/>
      <w:bookmarkStart w:id="5" w:name="_Toc16271321"/>
      <w:r w:rsidRPr="00FA3FFA">
        <w:rPr>
          <w:rFonts w:asciiTheme="majorHAnsi" w:hAnsiTheme="majorHAnsi" w:cstheme="majorHAnsi"/>
          <w:bCs/>
        </w:rPr>
        <w:t xml:space="preserve">The </w:t>
      </w:r>
      <w:r w:rsidR="00715670">
        <w:rPr>
          <w:rFonts w:asciiTheme="majorHAnsi" w:hAnsiTheme="majorHAnsi" w:cstheme="majorHAnsi"/>
          <w:bCs/>
        </w:rPr>
        <w:t>information collected</w:t>
      </w:r>
      <w:r w:rsidRPr="00FA3FFA">
        <w:rPr>
          <w:rFonts w:asciiTheme="majorHAnsi" w:hAnsiTheme="majorHAnsi" w:cstheme="majorHAnsi"/>
          <w:bCs/>
        </w:rPr>
        <w:t xml:space="preserve"> is utilized by the Department</w:t>
      </w:r>
      <w:r w:rsidR="00F4757C">
        <w:rPr>
          <w:rFonts w:asciiTheme="majorHAnsi" w:hAnsiTheme="majorHAnsi" w:cstheme="majorHAnsi"/>
          <w:bCs/>
        </w:rPr>
        <w:t xml:space="preserve"> </w:t>
      </w:r>
      <w:r w:rsidRPr="00FA3FFA">
        <w:rPr>
          <w:rFonts w:asciiTheme="majorHAnsi" w:hAnsiTheme="majorHAnsi" w:cstheme="majorHAnsi"/>
          <w:bCs/>
        </w:rPr>
        <w:t xml:space="preserve">to administer the Title XVII </w:t>
      </w:r>
      <w:r w:rsidR="00F4757C">
        <w:rPr>
          <w:rFonts w:asciiTheme="majorHAnsi" w:hAnsiTheme="majorHAnsi" w:cstheme="majorHAnsi"/>
          <w:bCs/>
        </w:rPr>
        <w:t>p</w:t>
      </w:r>
      <w:r w:rsidRPr="00FA3FFA">
        <w:rPr>
          <w:rFonts w:asciiTheme="majorHAnsi" w:hAnsiTheme="majorHAnsi" w:cstheme="majorHAnsi"/>
          <w:bCs/>
        </w:rPr>
        <w:t>rogram</w:t>
      </w:r>
      <w:r w:rsidR="00665AF0">
        <w:rPr>
          <w:rFonts w:asciiTheme="majorHAnsi" w:hAnsiTheme="majorHAnsi" w:cstheme="majorHAnsi"/>
          <w:bCs/>
        </w:rPr>
        <w:t>.</w:t>
      </w:r>
      <w:r>
        <w:rPr>
          <w:rFonts w:asciiTheme="majorHAnsi" w:hAnsiTheme="majorHAnsi" w:cstheme="majorHAnsi"/>
          <w:bCs/>
        </w:rPr>
        <w:t xml:space="preserve"> </w:t>
      </w:r>
      <w:r w:rsidRPr="00213408" w:rsidR="006C5BA2">
        <w:rPr>
          <w:rFonts w:asciiTheme="majorHAnsi" w:hAnsiTheme="majorHAnsi" w:cstheme="majorHAnsi"/>
          <w:bCs/>
        </w:rPr>
        <w:t>The Department</w:t>
      </w:r>
      <w:r w:rsidRPr="00213408" w:rsidR="00312E1B">
        <w:rPr>
          <w:rFonts w:asciiTheme="majorHAnsi" w:hAnsiTheme="majorHAnsi" w:cstheme="majorHAnsi"/>
          <w:bCs/>
        </w:rPr>
        <w:t xml:space="preserve"> uses the </w:t>
      </w:r>
      <w:r w:rsidR="00715670">
        <w:rPr>
          <w:rFonts w:asciiTheme="majorHAnsi" w:hAnsiTheme="majorHAnsi" w:cstheme="majorHAnsi"/>
          <w:bCs/>
        </w:rPr>
        <w:t>collection instruments</w:t>
      </w:r>
      <w:r w:rsidRPr="00213408" w:rsidR="00715670">
        <w:rPr>
          <w:rFonts w:asciiTheme="majorHAnsi" w:hAnsiTheme="majorHAnsi" w:cstheme="majorHAnsi"/>
          <w:bCs/>
        </w:rPr>
        <w:t xml:space="preserve"> </w:t>
      </w:r>
      <w:r w:rsidRPr="00213408" w:rsidR="00312E1B">
        <w:rPr>
          <w:rFonts w:asciiTheme="majorHAnsi" w:hAnsiTheme="majorHAnsi" w:cstheme="majorHAnsi"/>
          <w:bCs/>
        </w:rPr>
        <w:t>to obtain business, financial, and technical information from an Applicant</w:t>
      </w:r>
      <w:r w:rsidR="000818B4">
        <w:rPr>
          <w:rFonts w:asciiTheme="majorHAnsi" w:hAnsiTheme="majorHAnsi" w:cstheme="majorHAnsi"/>
          <w:bCs/>
        </w:rPr>
        <w:t xml:space="preserve"> (or prospective Borrower)</w:t>
      </w:r>
      <w:r w:rsidR="00715670">
        <w:rPr>
          <w:rFonts w:asciiTheme="majorHAnsi" w:hAnsiTheme="majorHAnsi" w:cstheme="majorHAnsi"/>
          <w:bCs/>
        </w:rPr>
        <w:t xml:space="preserve">. </w:t>
      </w:r>
      <w:r>
        <w:rPr>
          <w:rFonts w:asciiTheme="majorHAnsi" w:hAnsiTheme="majorHAnsi" w:cstheme="majorHAnsi"/>
          <w:bCs/>
        </w:rPr>
        <w:t>The Department uses this information to</w:t>
      </w:r>
      <w:r w:rsidRPr="00AD22F5" w:rsidR="00312E1B">
        <w:rPr>
          <w:rFonts w:asciiTheme="majorHAnsi" w:hAnsiTheme="majorHAnsi" w:cstheme="majorHAnsi"/>
          <w:bCs/>
        </w:rPr>
        <w:t xml:space="preserve"> </w:t>
      </w:r>
      <w:r w:rsidR="001F6D3F">
        <w:rPr>
          <w:rFonts w:asciiTheme="majorHAnsi" w:hAnsiTheme="majorHAnsi" w:cstheme="majorHAnsi"/>
          <w:bCs/>
        </w:rPr>
        <w:t xml:space="preserve">review and ensure </w:t>
      </w:r>
      <w:r w:rsidRPr="00213408" w:rsidR="00312E1B">
        <w:rPr>
          <w:rFonts w:asciiTheme="majorHAnsi" w:hAnsiTheme="majorHAnsi" w:cstheme="majorHAnsi"/>
          <w:bCs/>
        </w:rPr>
        <w:t>compl</w:t>
      </w:r>
      <w:r w:rsidR="001F6D3F">
        <w:rPr>
          <w:rFonts w:asciiTheme="majorHAnsi" w:hAnsiTheme="majorHAnsi" w:cstheme="majorHAnsi"/>
          <w:bCs/>
        </w:rPr>
        <w:t>iance</w:t>
      </w:r>
      <w:r w:rsidRPr="00AD22F5" w:rsidR="00312E1B">
        <w:rPr>
          <w:rFonts w:asciiTheme="majorHAnsi" w:hAnsiTheme="majorHAnsi" w:cstheme="majorHAnsi"/>
          <w:bCs/>
        </w:rPr>
        <w:t xml:space="preserve"> with Title XVII</w:t>
      </w:r>
      <w:r w:rsidR="001F6D3F">
        <w:rPr>
          <w:rFonts w:asciiTheme="majorHAnsi" w:hAnsiTheme="majorHAnsi" w:cstheme="majorHAnsi"/>
          <w:bCs/>
        </w:rPr>
        <w:t xml:space="preserve"> program requirements</w:t>
      </w:r>
      <w:r w:rsidRPr="00AD22F5" w:rsidR="00312E1B">
        <w:rPr>
          <w:rFonts w:asciiTheme="majorHAnsi" w:hAnsiTheme="majorHAnsi" w:cstheme="majorHAnsi"/>
          <w:bCs/>
        </w:rPr>
        <w:t>, and other federal law</w:t>
      </w:r>
      <w:r w:rsidR="001F6D3F">
        <w:rPr>
          <w:rFonts w:asciiTheme="majorHAnsi" w:hAnsiTheme="majorHAnsi" w:cstheme="majorHAnsi"/>
          <w:bCs/>
        </w:rPr>
        <w:t>s</w:t>
      </w:r>
      <w:r w:rsidRPr="00AD22F5" w:rsidR="00312E1B">
        <w:rPr>
          <w:rFonts w:asciiTheme="majorHAnsi" w:hAnsiTheme="majorHAnsi" w:cstheme="majorHAnsi"/>
          <w:bCs/>
        </w:rPr>
        <w:t xml:space="preserve"> as applicable.</w:t>
      </w:r>
      <w:r w:rsidR="00B73D46">
        <w:rPr>
          <w:rFonts w:asciiTheme="majorHAnsi" w:hAnsiTheme="majorHAnsi" w:cstheme="majorHAnsi"/>
          <w:bCs/>
        </w:rPr>
        <w:t xml:space="preserve"> </w:t>
      </w:r>
    </w:p>
    <w:p w:rsidR="009551C2" w:rsidRPr="00213408" w:rsidP="00F85EB5" w14:paraId="2323100F" w14:textId="6FBB32E7">
      <w:pPr>
        <w:rPr>
          <w:rFonts w:asciiTheme="majorHAnsi" w:hAnsiTheme="majorHAnsi" w:cstheme="majorHAnsi"/>
          <w:bCs/>
        </w:rPr>
      </w:pPr>
      <w:r w:rsidRPr="009E73FA">
        <w:rPr>
          <w:rFonts w:asciiTheme="majorHAnsi" w:hAnsiTheme="majorHAnsi" w:cstheme="majorHAnsi"/>
          <w:bCs/>
        </w:rPr>
        <w:t xml:space="preserve">Congress </w:t>
      </w:r>
      <w:r w:rsidR="000A7EC8">
        <w:rPr>
          <w:rFonts w:asciiTheme="majorHAnsi" w:hAnsiTheme="majorHAnsi" w:cstheme="majorHAnsi"/>
          <w:bCs/>
        </w:rPr>
        <w:t>has authorized this collection</w:t>
      </w:r>
      <w:r w:rsidR="002F56CA">
        <w:rPr>
          <w:rFonts w:asciiTheme="majorHAnsi" w:hAnsiTheme="majorHAnsi" w:cstheme="majorHAnsi"/>
          <w:bCs/>
        </w:rPr>
        <w:t>.</w:t>
      </w:r>
      <w:r w:rsidR="00FD3F82">
        <w:rPr>
          <w:rFonts w:asciiTheme="majorHAnsi" w:hAnsiTheme="majorHAnsi" w:cstheme="majorHAnsi"/>
          <w:bCs/>
        </w:rPr>
        <w:t xml:space="preserve"> DOE is required to </w:t>
      </w:r>
      <w:r w:rsidR="00FD3F82">
        <w:rPr>
          <w:rFonts w:asciiTheme="majorHAnsi" w:hAnsiTheme="majorHAnsi" w:cstheme="majorHAnsi"/>
          <w:bCs/>
        </w:rPr>
        <w:t>have</w:t>
      </w:r>
      <w:r w:rsidR="002F56CA">
        <w:rPr>
          <w:rFonts w:asciiTheme="majorHAnsi" w:hAnsiTheme="majorHAnsi" w:cstheme="majorHAnsi"/>
          <w:bCs/>
        </w:rPr>
        <w:t xml:space="preserve"> </w:t>
      </w:r>
      <w:r w:rsidRPr="009E73FA">
        <w:rPr>
          <w:rFonts w:asciiTheme="majorHAnsi" w:hAnsiTheme="majorHAnsi" w:cstheme="majorHAnsi"/>
          <w:bCs/>
        </w:rPr>
        <w:t xml:space="preserve"> “</w:t>
      </w:r>
      <w:r w:rsidRPr="009E73FA">
        <w:rPr>
          <w:rFonts w:asciiTheme="majorHAnsi" w:hAnsiTheme="majorHAnsi" w:cstheme="majorHAnsi"/>
          <w:bCs/>
        </w:rPr>
        <w:t xml:space="preserve">(1) programmatic, technical, and financial factors the Secretary will use to select projects for loan guarantees; (2) policies and procedures for selecting and monitoring lenders and loan performance; and (3) </w:t>
      </w:r>
      <w:r w:rsidR="00FD3F82">
        <w:rPr>
          <w:rFonts w:asciiTheme="majorHAnsi" w:hAnsiTheme="majorHAnsi" w:cstheme="majorHAnsi"/>
          <w:bCs/>
        </w:rPr>
        <w:t>[]</w:t>
      </w:r>
      <w:r w:rsidRPr="009E73FA">
        <w:rPr>
          <w:rFonts w:asciiTheme="majorHAnsi" w:hAnsiTheme="majorHAnsi" w:cstheme="majorHAnsi"/>
          <w:bCs/>
        </w:rPr>
        <w:t xml:space="preserve"> other policies, procedures, or information necessary to implement title XVII of the Energy Policy Act of 2005.” § 16515(b)(1)-(3).</w:t>
      </w:r>
      <w:r>
        <w:rPr>
          <w:rFonts w:asciiTheme="majorHAnsi" w:hAnsiTheme="majorHAnsi" w:cstheme="majorHAnsi"/>
          <w:bCs/>
        </w:rPr>
        <w:t xml:space="preserve"> </w:t>
      </w:r>
      <w:r w:rsidR="009444F6">
        <w:rPr>
          <w:rFonts w:asciiTheme="majorHAnsi" w:hAnsiTheme="majorHAnsi" w:cstheme="majorHAnsi"/>
          <w:bCs/>
        </w:rPr>
        <w:t xml:space="preserve">Additionally, the Department is prohibited from </w:t>
      </w:r>
      <w:r w:rsidR="00261392">
        <w:rPr>
          <w:rFonts w:asciiTheme="majorHAnsi" w:hAnsiTheme="majorHAnsi" w:cstheme="majorHAnsi"/>
          <w:bCs/>
        </w:rPr>
        <w:t xml:space="preserve">issuing a loan, loan guarantee, or other forms of financial assistance unless it has determined that </w:t>
      </w:r>
      <w:r w:rsidRPr="009444F6" w:rsidR="009444F6">
        <w:rPr>
          <w:rFonts w:asciiTheme="majorHAnsi" w:hAnsiTheme="majorHAnsi" w:cstheme="majorHAnsi"/>
          <w:bCs/>
        </w:rPr>
        <w:t>there is</w:t>
      </w:r>
      <w:r w:rsidR="00261392">
        <w:rPr>
          <w:rFonts w:asciiTheme="majorHAnsi" w:hAnsiTheme="majorHAnsi" w:cstheme="majorHAnsi"/>
          <w:bCs/>
        </w:rPr>
        <w:t xml:space="preserve"> a</w:t>
      </w:r>
      <w:r w:rsidRPr="009444F6" w:rsidR="009444F6">
        <w:rPr>
          <w:rFonts w:asciiTheme="majorHAnsi" w:hAnsiTheme="majorHAnsi" w:cstheme="majorHAnsi"/>
          <w:bCs/>
        </w:rPr>
        <w:t xml:space="preserve"> </w:t>
      </w:r>
      <w:r w:rsidR="00261392">
        <w:rPr>
          <w:rFonts w:asciiTheme="majorHAnsi" w:hAnsiTheme="majorHAnsi" w:cstheme="majorHAnsi"/>
          <w:bCs/>
        </w:rPr>
        <w:t>“</w:t>
      </w:r>
      <w:r w:rsidRPr="009444F6" w:rsidR="009444F6">
        <w:rPr>
          <w:rFonts w:asciiTheme="majorHAnsi" w:hAnsiTheme="majorHAnsi" w:cstheme="majorHAnsi"/>
          <w:bCs/>
        </w:rPr>
        <w:t>reasonable</w:t>
      </w:r>
      <w:r w:rsidR="00261392">
        <w:rPr>
          <w:rFonts w:asciiTheme="majorHAnsi" w:hAnsiTheme="majorHAnsi" w:cstheme="majorHAnsi"/>
          <w:bCs/>
        </w:rPr>
        <w:t xml:space="preserve"> </w:t>
      </w:r>
      <w:r w:rsidRPr="009444F6" w:rsidR="009444F6">
        <w:rPr>
          <w:rFonts w:asciiTheme="majorHAnsi" w:hAnsiTheme="majorHAnsi" w:cstheme="majorHAnsi"/>
          <w:bCs/>
        </w:rPr>
        <w:t>prospect of repayment of the principal and</w:t>
      </w:r>
      <w:r w:rsidR="00261392">
        <w:rPr>
          <w:rFonts w:asciiTheme="majorHAnsi" w:hAnsiTheme="majorHAnsi" w:cstheme="majorHAnsi"/>
          <w:bCs/>
        </w:rPr>
        <w:t xml:space="preserve"> </w:t>
      </w:r>
      <w:r w:rsidRPr="009444F6" w:rsidR="009444F6">
        <w:rPr>
          <w:rFonts w:asciiTheme="majorHAnsi" w:hAnsiTheme="majorHAnsi" w:cstheme="majorHAnsi"/>
          <w:bCs/>
        </w:rPr>
        <w:t>interest on the obligation</w:t>
      </w:r>
      <w:r w:rsidR="00261392">
        <w:rPr>
          <w:rFonts w:asciiTheme="majorHAnsi" w:hAnsiTheme="majorHAnsi" w:cstheme="majorHAnsi"/>
          <w:bCs/>
        </w:rPr>
        <w:t>”</w:t>
      </w:r>
      <w:r w:rsidRPr="009444F6" w:rsidR="009444F6">
        <w:rPr>
          <w:rFonts w:asciiTheme="majorHAnsi" w:hAnsiTheme="majorHAnsi" w:cstheme="majorHAnsi"/>
          <w:bCs/>
        </w:rPr>
        <w:t xml:space="preserve"> by the </w:t>
      </w:r>
      <w:r w:rsidR="00261392">
        <w:rPr>
          <w:rFonts w:asciiTheme="majorHAnsi" w:hAnsiTheme="majorHAnsi" w:cstheme="majorHAnsi"/>
          <w:bCs/>
        </w:rPr>
        <w:t>B</w:t>
      </w:r>
      <w:r w:rsidRPr="009444F6" w:rsidR="009444F6">
        <w:rPr>
          <w:rFonts w:asciiTheme="majorHAnsi" w:hAnsiTheme="majorHAnsi" w:cstheme="majorHAnsi"/>
          <w:bCs/>
        </w:rPr>
        <w:t>orrower</w:t>
      </w:r>
      <w:r w:rsidR="00261392">
        <w:rPr>
          <w:rFonts w:asciiTheme="majorHAnsi" w:hAnsiTheme="majorHAnsi" w:cstheme="majorHAnsi"/>
          <w:bCs/>
        </w:rPr>
        <w:t xml:space="preserve">. </w:t>
      </w:r>
      <w:r w:rsidRPr="00213408" w:rsidR="00F75B8C">
        <w:rPr>
          <w:rFonts w:asciiTheme="majorHAnsi" w:hAnsiTheme="majorHAnsi" w:cstheme="majorHAnsi"/>
          <w:bCs/>
          <w:i/>
          <w:iCs/>
        </w:rPr>
        <w:t>See</w:t>
      </w:r>
      <w:r w:rsidR="00F75B8C">
        <w:rPr>
          <w:rFonts w:asciiTheme="majorHAnsi" w:hAnsiTheme="majorHAnsi" w:cstheme="majorHAnsi"/>
          <w:bCs/>
        </w:rPr>
        <w:t xml:space="preserve"> </w:t>
      </w:r>
      <w:r w:rsidR="00261392">
        <w:rPr>
          <w:rFonts w:asciiTheme="majorHAnsi" w:hAnsiTheme="majorHAnsi" w:cstheme="majorHAnsi"/>
          <w:bCs/>
        </w:rPr>
        <w:t xml:space="preserve">42 U.S.C. </w:t>
      </w:r>
      <w:r w:rsidR="00F75B8C">
        <w:rPr>
          <w:rFonts w:asciiTheme="majorHAnsi" w:hAnsiTheme="majorHAnsi" w:cstheme="majorHAnsi"/>
          <w:bCs/>
        </w:rPr>
        <w:t xml:space="preserve">§ </w:t>
      </w:r>
      <w:r w:rsidR="00261392">
        <w:rPr>
          <w:rFonts w:asciiTheme="majorHAnsi" w:hAnsiTheme="majorHAnsi" w:cstheme="majorHAnsi"/>
          <w:bCs/>
        </w:rPr>
        <w:t>16512(</w:t>
      </w:r>
      <w:r w:rsidR="00F75B8C">
        <w:rPr>
          <w:rFonts w:asciiTheme="majorHAnsi" w:hAnsiTheme="majorHAnsi" w:cstheme="majorHAnsi"/>
          <w:bCs/>
        </w:rPr>
        <w:t xml:space="preserve">d). </w:t>
      </w:r>
      <w:r w:rsidR="001B02F0">
        <w:rPr>
          <w:rFonts w:asciiTheme="majorHAnsi" w:hAnsiTheme="majorHAnsi" w:cstheme="majorHAnsi"/>
          <w:bCs/>
        </w:rPr>
        <w:t xml:space="preserve">The Department uses </w:t>
      </w:r>
      <w:r w:rsidRPr="00213408" w:rsidR="00423B31">
        <w:rPr>
          <w:rFonts w:asciiTheme="majorHAnsi" w:hAnsiTheme="majorHAnsi" w:cstheme="majorHAnsi"/>
          <w:bCs/>
        </w:rPr>
        <w:t xml:space="preserve">the </w:t>
      </w:r>
      <w:r w:rsidR="00423B31">
        <w:rPr>
          <w:rFonts w:asciiTheme="majorHAnsi" w:hAnsiTheme="majorHAnsi" w:cstheme="majorHAnsi"/>
          <w:bCs/>
        </w:rPr>
        <w:t>collection instruments</w:t>
      </w:r>
      <w:r w:rsidRPr="00213408" w:rsidR="00423B31">
        <w:rPr>
          <w:rFonts w:asciiTheme="majorHAnsi" w:hAnsiTheme="majorHAnsi" w:cstheme="majorHAnsi"/>
          <w:bCs/>
        </w:rPr>
        <w:t xml:space="preserve"> </w:t>
      </w:r>
      <w:r w:rsidR="00423B31">
        <w:rPr>
          <w:rFonts w:asciiTheme="majorHAnsi" w:hAnsiTheme="majorHAnsi" w:cstheme="majorHAnsi"/>
          <w:bCs/>
        </w:rPr>
        <w:t xml:space="preserve">to obtain </w:t>
      </w:r>
      <w:r w:rsidR="00617769">
        <w:rPr>
          <w:rFonts w:asciiTheme="majorHAnsi" w:hAnsiTheme="majorHAnsi" w:cstheme="majorHAnsi"/>
          <w:bCs/>
        </w:rPr>
        <w:t xml:space="preserve">data </w:t>
      </w:r>
      <w:r w:rsidR="002D2A18">
        <w:rPr>
          <w:rFonts w:asciiTheme="majorHAnsi" w:hAnsiTheme="majorHAnsi" w:cstheme="majorHAnsi"/>
          <w:bCs/>
        </w:rPr>
        <w:t xml:space="preserve">to </w:t>
      </w:r>
      <w:r w:rsidR="00617769">
        <w:rPr>
          <w:rFonts w:asciiTheme="majorHAnsi" w:hAnsiTheme="majorHAnsi" w:cstheme="majorHAnsi"/>
          <w:bCs/>
        </w:rPr>
        <w:t>meet</w:t>
      </w:r>
      <w:r w:rsidR="003968D1">
        <w:rPr>
          <w:rFonts w:asciiTheme="majorHAnsi" w:hAnsiTheme="majorHAnsi" w:cstheme="majorHAnsi"/>
          <w:bCs/>
        </w:rPr>
        <w:t xml:space="preserve"> these statutory requirements. </w:t>
      </w:r>
    </w:p>
    <w:p w:rsidR="000B2D61" w:rsidP="00F85EB5" w14:paraId="77188433" w14:textId="11B4D1D0">
      <w:pPr>
        <w:rPr>
          <w:rFonts w:asciiTheme="majorHAnsi" w:hAnsiTheme="majorHAnsi" w:cstheme="majorHAnsi"/>
          <w:bCs/>
        </w:rPr>
      </w:pPr>
      <w:r>
        <w:rPr>
          <w:rFonts w:asciiTheme="majorHAnsi" w:hAnsiTheme="majorHAnsi" w:cstheme="majorHAnsi"/>
          <w:bCs/>
        </w:rPr>
        <w:t>The Department’s t</w:t>
      </w:r>
      <w:r w:rsidRPr="009551C2">
        <w:rPr>
          <w:rFonts w:asciiTheme="majorHAnsi" w:hAnsiTheme="majorHAnsi" w:cstheme="majorHAnsi"/>
          <w:bCs/>
        </w:rPr>
        <w:t xml:space="preserve">eams of credit analysts, engineers, lawyers, risk managers, and other professionals rely on the information provided by Applicants to determine whether </w:t>
      </w:r>
      <w:r w:rsidR="00423B31">
        <w:rPr>
          <w:rFonts w:asciiTheme="majorHAnsi" w:hAnsiTheme="majorHAnsi" w:cstheme="majorHAnsi"/>
          <w:bCs/>
        </w:rPr>
        <w:t>(</w:t>
      </w:r>
      <w:r w:rsidRPr="009551C2">
        <w:rPr>
          <w:rFonts w:asciiTheme="majorHAnsi" w:hAnsiTheme="majorHAnsi" w:cstheme="majorHAnsi"/>
          <w:bCs/>
        </w:rPr>
        <w:t>and on what terms</w:t>
      </w:r>
      <w:r w:rsidR="00423B31">
        <w:rPr>
          <w:rFonts w:asciiTheme="majorHAnsi" w:hAnsiTheme="majorHAnsi" w:cstheme="majorHAnsi"/>
          <w:bCs/>
        </w:rPr>
        <w:t>)</w:t>
      </w:r>
      <w:r w:rsidRPr="009551C2">
        <w:rPr>
          <w:rFonts w:asciiTheme="majorHAnsi" w:hAnsiTheme="majorHAnsi" w:cstheme="majorHAnsi"/>
          <w:bCs/>
        </w:rPr>
        <w:t xml:space="preserve"> to issue </w:t>
      </w:r>
      <w:r w:rsidR="007F673E">
        <w:rPr>
          <w:rFonts w:asciiTheme="majorHAnsi" w:hAnsiTheme="majorHAnsi" w:cstheme="majorHAnsi"/>
          <w:bCs/>
        </w:rPr>
        <w:t>financial assistance to the Applicant and its proposed project.</w:t>
      </w:r>
      <w:r w:rsidR="00A84E25">
        <w:rPr>
          <w:rFonts w:asciiTheme="majorHAnsi" w:hAnsiTheme="majorHAnsi" w:cstheme="majorHAnsi"/>
          <w:bCs/>
        </w:rPr>
        <w:t xml:space="preserve"> More specifically, DOE needs the data it collects to:</w:t>
      </w:r>
      <w:r w:rsidR="007F673E">
        <w:rPr>
          <w:rFonts w:asciiTheme="majorHAnsi" w:hAnsiTheme="majorHAnsi" w:cstheme="majorHAnsi"/>
          <w:bCs/>
        </w:rPr>
        <w:t xml:space="preserve"> </w:t>
      </w:r>
      <w:r w:rsidRPr="009551C2">
        <w:rPr>
          <w:rFonts w:asciiTheme="majorHAnsi" w:hAnsiTheme="majorHAnsi" w:cstheme="majorHAnsi"/>
          <w:bCs/>
        </w:rPr>
        <w:t>evaluat</w:t>
      </w:r>
      <w:r w:rsidR="00A84E25">
        <w:rPr>
          <w:rFonts w:asciiTheme="majorHAnsi" w:hAnsiTheme="majorHAnsi" w:cstheme="majorHAnsi"/>
          <w:bCs/>
        </w:rPr>
        <w:t>e</w:t>
      </w:r>
      <w:r w:rsidRPr="009551C2">
        <w:rPr>
          <w:rFonts w:asciiTheme="majorHAnsi" w:hAnsiTheme="majorHAnsi" w:cstheme="majorHAnsi"/>
          <w:bCs/>
        </w:rPr>
        <w:t xml:space="preserve"> the eligibility of </w:t>
      </w:r>
      <w:r w:rsidR="00A84E25">
        <w:rPr>
          <w:rFonts w:asciiTheme="majorHAnsi" w:hAnsiTheme="majorHAnsi" w:cstheme="majorHAnsi"/>
          <w:bCs/>
        </w:rPr>
        <w:t xml:space="preserve">a </w:t>
      </w:r>
      <w:r w:rsidRPr="009551C2">
        <w:rPr>
          <w:rFonts w:asciiTheme="majorHAnsi" w:hAnsiTheme="majorHAnsi" w:cstheme="majorHAnsi"/>
          <w:bCs/>
        </w:rPr>
        <w:t xml:space="preserve">proposed borrowers and </w:t>
      </w:r>
      <w:r w:rsidR="00A84E25">
        <w:rPr>
          <w:rFonts w:asciiTheme="majorHAnsi" w:hAnsiTheme="majorHAnsi" w:cstheme="majorHAnsi"/>
          <w:bCs/>
        </w:rPr>
        <w:t xml:space="preserve">a proposed </w:t>
      </w:r>
      <w:r w:rsidRPr="009551C2">
        <w:rPr>
          <w:rFonts w:asciiTheme="majorHAnsi" w:hAnsiTheme="majorHAnsi" w:cstheme="majorHAnsi"/>
          <w:bCs/>
        </w:rPr>
        <w:t>project under the requirements of the program</w:t>
      </w:r>
      <w:r w:rsidR="00A84E25">
        <w:rPr>
          <w:rFonts w:asciiTheme="majorHAnsi" w:hAnsiTheme="majorHAnsi" w:cstheme="majorHAnsi"/>
          <w:bCs/>
        </w:rPr>
        <w:t>;</w:t>
      </w:r>
      <w:r w:rsidRPr="009551C2">
        <w:rPr>
          <w:rFonts w:asciiTheme="majorHAnsi" w:hAnsiTheme="majorHAnsi" w:cstheme="majorHAnsi"/>
          <w:bCs/>
        </w:rPr>
        <w:t xml:space="preserve"> evaluat</w:t>
      </w:r>
      <w:r w:rsidR="00A84E25">
        <w:rPr>
          <w:rFonts w:asciiTheme="majorHAnsi" w:hAnsiTheme="majorHAnsi" w:cstheme="majorHAnsi"/>
          <w:bCs/>
        </w:rPr>
        <w:t>e</w:t>
      </w:r>
      <w:r w:rsidRPr="009551C2">
        <w:rPr>
          <w:rFonts w:asciiTheme="majorHAnsi" w:hAnsiTheme="majorHAnsi" w:cstheme="majorHAnsi"/>
          <w:bCs/>
        </w:rPr>
        <w:t xml:space="preserve"> the financial, policy, and engineering merits of applications and </w:t>
      </w:r>
      <w:r w:rsidR="00F87624">
        <w:rPr>
          <w:rFonts w:asciiTheme="majorHAnsi" w:hAnsiTheme="majorHAnsi" w:cstheme="majorHAnsi"/>
          <w:bCs/>
        </w:rPr>
        <w:t xml:space="preserve">proposed </w:t>
      </w:r>
      <w:r w:rsidRPr="009551C2">
        <w:rPr>
          <w:rFonts w:asciiTheme="majorHAnsi" w:hAnsiTheme="majorHAnsi" w:cstheme="majorHAnsi"/>
          <w:bCs/>
        </w:rPr>
        <w:t>projects</w:t>
      </w:r>
      <w:r w:rsidR="00F87624">
        <w:rPr>
          <w:rFonts w:asciiTheme="majorHAnsi" w:hAnsiTheme="majorHAnsi" w:cstheme="majorHAnsi"/>
          <w:bCs/>
        </w:rPr>
        <w:t>;</w:t>
      </w:r>
      <w:r w:rsidRPr="009551C2">
        <w:rPr>
          <w:rFonts w:asciiTheme="majorHAnsi" w:hAnsiTheme="majorHAnsi" w:cstheme="majorHAnsi"/>
          <w:bCs/>
        </w:rPr>
        <w:t xml:space="preserve"> and </w:t>
      </w:r>
      <w:r w:rsidR="00F87624">
        <w:rPr>
          <w:rFonts w:asciiTheme="majorHAnsi" w:hAnsiTheme="majorHAnsi" w:cstheme="majorHAnsi"/>
          <w:bCs/>
        </w:rPr>
        <w:t xml:space="preserve">to </w:t>
      </w:r>
      <w:r w:rsidRPr="009551C2">
        <w:rPr>
          <w:rFonts w:asciiTheme="majorHAnsi" w:hAnsiTheme="majorHAnsi" w:cstheme="majorHAnsi"/>
          <w:bCs/>
        </w:rPr>
        <w:t>structur</w:t>
      </w:r>
      <w:r w:rsidR="00F87624">
        <w:rPr>
          <w:rFonts w:asciiTheme="majorHAnsi" w:hAnsiTheme="majorHAnsi" w:cstheme="majorHAnsi"/>
          <w:bCs/>
        </w:rPr>
        <w:t>e</w:t>
      </w:r>
      <w:r w:rsidRPr="009551C2">
        <w:rPr>
          <w:rFonts w:asciiTheme="majorHAnsi" w:hAnsiTheme="majorHAnsi" w:cstheme="majorHAnsi"/>
          <w:bCs/>
        </w:rPr>
        <w:t xml:space="preserve"> the terms of the </w:t>
      </w:r>
      <w:r w:rsidR="00F87624">
        <w:rPr>
          <w:rFonts w:asciiTheme="majorHAnsi" w:hAnsiTheme="majorHAnsi" w:cstheme="majorHAnsi"/>
          <w:bCs/>
        </w:rPr>
        <w:t>financial assistance to</w:t>
      </w:r>
      <w:r w:rsidRPr="009551C2">
        <w:rPr>
          <w:rFonts w:asciiTheme="majorHAnsi" w:hAnsiTheme="majorHAnsi" w:cstheme="majorHAnsi"/>
          <w:bCs/>
        </w:rPr>
        <w:t xml:space="preserve"> protect the federal government’s financial interests and achieve its policy objectives.  </w:t>
      </w:r>
    </w:p>
    <w:p w:rsidR="009E3A8C" w:rsidRPr="00AD22F5" w:rsidP="00213408" w14:paraId="7F5EDE74" w14:textId="178A8550">
      <w:pPr>
        <w:rPr>
          <w:rFonts w:asciiTheme="majorHAnsi" w:hAnsiTheme="majorHAnsi" w:cstheme="majorHAnsi"/>
        </w:rPr>
      </w:pPr>
      <w:r w:rsidRPr="009551C2">
        <w:rPr>
          <w:rFonts w:asciiTheme="majorHAnsi" w:hAnsiTheme="majorHAnsi" w:cstheme="majorHAnsi"/>
          <w:bCs/>
        </w:rPr>
        <w:t xml:space="preserve">Each project is unique, but historically projects receiving loan guarantees under Title XVII cost hundreds of millions of dollars, deploy innovative technology, and enter uncertain markets.  In such complex situations and with such large sums of money at stake, </w:t>
      </w:r>
      <w:r w:rsidR="00066615">
        <w:rPr>
          <w:rFonts w:asciiTheme="majorHAnsi" w:hAnsiTheme="majorHAnsi" w:cstheme="majorHAnsi"/>
          <w:bCs/>
        </w:rPr>
        <w:t>the</w:t>
      </w:r>
      <w:r w:rsidRPr="009551C2">
        <w:rPr>
          <w:rFonts w:asciiTheme="majorHAnsi" w:hAnsiTheme="majorHAnsi" w:cstheme="majorHAnsi"/>
          <w:bCs/>
        </w:rPr>
        <w:t xml:space="preserve"> process for evaluating applications is necessarily deep and exacting.  Because of scale and complexity, these projects typically take years to develop</w:t>
      </w:r>
      <w:r w:rsidR="008F4427">
        <w:rPr>
          <w:rFonts w:asciiTheme="majorHAnsi" w:hAnsiTheme="majorHAnsi" w:cstheme="majorHAnsi"/>
          <w:bCs/>
        </w:rPr>
        <w:t>.</w:t>
      </w:r>
      <w:r w:rsidR="00066615">
        <w:rPr>
          <w:rFonts w:asciiTheme="majorHAnsi" w:hAnsiTheme="majorHAnsi" w:cstheme="majorHAnsi"/>
          <w:bCs/>
        </w:rPr>
        <w:t xml:space="preserve"> </w:t>
      </w:r>
      <w:r w:rsidR="008F4427">
        <w:rPr>
          <w:rFonts w:asciiTheme="majorHAnsi" w:hAnsiTheme="majorHAnsi" w:cstheme="majorHAnsi"/>
          <w:bCs/>
        </w:rPr>
        <w:t>T</w:t>
      </w:r>
      <w:r w:rsidR="00066615">
        <w:rPr>
          <w:rFonts w:asciiTheme="majorHAnsi" w:hAnsiTheme="majorHAnsi" w:cstheme="majorHAnsi"/>
          <w:bCs/>
        </w:rPr>
        <w:t>he Department</w:t>
      </w:r>
      <w:r w:rsidRPr="009551C2">
        <w:rPr>
          <w:rFonts w:asciiTheme="majorHAnsi" w:hAnsiTheme="majorHAnsi" w:cstheme="majorHAnsi"/>
          <w:bCs/>
        </w:rPr>
        <w:t xml:space="preserve"> could not carry out the </w:t>
      </w:r>
      <w:r w:rsidR="00066615">
        <w:rPr>
          <w:rFonts w:asciiTheme="majorHAnsi" w:hAnsiTheme="majorHAnsi" w:cstheme="majorHAnsi"/>
          <w:bCs/>
        </w:rPr>
        <w:t>program</w:t>
      </w:r>
      <w:r w:rsidRPr="009551C2">
        <w:rPr>
          <w:rFonts w:asciiTheme="majorHAnsi" w:hAnsiTheme="majorHAnsi" w:cstheme="majorHAnsi"/>
          <w:bCs/>
        </w:rPr>
        <w:t xml:space="preserve"> without the </w:t>
      </w:r>
      <w:r w:rsidR="008F4427">
        <w:rPr>
          <w:rFonts w:asciiTheme="majorHAnsi" w:hAnsiTheme="majorHAnsi" w:cstheme="majorHAnsi"/>
          <w:bCs/>
        </w:rPr>
        <w:t xml:space="preserve">data </w:t>
      </w:r>
      <w:r w:rsidRPr="009551C2">
        <w:rPr>
          <w:rFonts w:asciiTheme="majorHAnsi" w:hAnsiTheme="majorHAnsi" w:cstheme="majorHAnsi"/>
          <w:bCs/>
        </w:rPr>
        <w:t xml:space="preserve">obtains through the </w:t>
      </w:r>
      <w:r w:rsidR="00B73CB8">
        <w:rPr>
          <w:rFonts w:asciiTheme="majorHAnsi" w:hAnsiTheme="majorHAnsi" w:cstheme="majorHAnsi"/>
          <w:bCs/>
        </w:rPr>
        <w:t>collection</w:t>
      </w:r>
      <w:r w:rsidRPr="009551C2">
        <w:rPr>
          <w:rFonts w:asciiTheme="majorHAnsi" w:hAnsiTheme="majorHAnsi" w:cstheme="majorHAnsi"/>
          <w:bCs/>
        </w:rPr>
        <w:t>.</w:t>
      </w:r>
      <w:r w:rsidR="00AF761F">
        <w:rPr>
          <w:rFonts w:asciiTheme="majorHAnsi" w:hAnsiTheme="majorHAnsi" w:cstheme="majorHAnsi"/>
          <w:bCs/>
        </w:rPr>
        <w:t xml:space="preserve"> T</w:t>
      </w:r>
      <w:r w:rsidR="007D5114">
        <w:rPr>
          <w:rFonts w:asciiTheme="majorHAnsi" w:hAnsiTheme="majorHAnsi" w:cstheme="majorHAnsi"/>
          <w:bCs/>
        </w:rPr>
        <w:t>he Department</w:t>
      </w:r>
      <w:r w:rsidRPr="00213408" w:rsidR="00020286">
        <w:rPr>
          <w:rFonts w:asciiTheme="majorHAnsi" w:hAnsiTheme="majorHAnsi" w:cstheme="majorHAnsi"/>
          <w:bCs/>
        </w:rPr>
        <w:t xml:space="preserve"> </w:t>
      </w:r>
      <w:r w:rsidR="00AF761F">
        <w:rPr>
          <w:rFonts w:asciiTheme="majorHAnsi" w:hAnsiTheme="majorHAnsi" w:cstheme="majorHAnsi"/>
          <w:bCs/>
        </w:rPr>
        <w:t>uses</w:t>
      </w:r>
      <w:r w:rsidRPr="00213408" w:rsidR="00586D0D">
        <w:rPr>
          <w:rFonts w:asciiTheme="majorHAnsi" w:hAnsiTheme="majorHAnsi" w:cstheme="majorHAnsi"/>
          <w:bCs/>
        </w:rPr>
        <w:t xml:space="preserve">, and </w:t>
      </w:r>
      <w:r w:rsidR="00AF761F">
        <w:rPr>
          <w:rFonts w:asciiTheme="majorHAnsi" w:hAnsiTheme="majorHAnsi" w:cstheme="majorHAnsi"/>
          <w:bCs/>
        </w:rPr>
        <w:t>seeks continued use of</w:t>
      </w:r>
      <w:r w:rsidR="00036C86">
        <w:rPr>
          <w:rFonts w:asciiTheme="majorHAnsi" w:hAnsiTheme="majorHAnsi" w:cstheme="majorHAnsi"/>
          <w:bCs/>
        </w:rPr>
        <w:t>,</w:t>
      </w:r>
      <w:r w:rsidRPr="00213408" w:rsidR="00586D0D">
        <w:rPr>
          <w:rFonts w:asciiTheme="majorHAnsi" w:hAnsiTheme="majorHAnsi" w:cstheme="majorHAnsi"/>
          <w:bCs/>
        </w:rPr>
        <w:t xml:space="preserve"> the information it collects </w:t>
      </w:r>
      <w:r w:rsidRPr="00213408" w:rsidR="00FB2DF2">
        <w:rPr>
          <w:rFonts w:asciiTheme="majorHAnsi" w:hAnsiTheme="majorHAnsi" w:cstheme="majorHAnsi"/>
        </w:rPr>
        <w:t>for</w:t>
      </w:r>
      <w:r w:rsidRPr="00213408" w:rsidR="00586D0D">
        <w:rPr>
          <w:rFonts w:asciiTheme="majorHAnsi" w:hAnsiTheme="majorHAnsi" w:cstheme="majorHAnsi"/>
        </w:rPr>
        <w:t xml:space="preserve"> planning, management, and evaluation of</w:t>
      </w:r>
      <w:r w:rsidR="00066615">
        <w:rPr>
          <w:rFonts w:asciiTheme="majorHAnsi" w:hAnsiTheme="majorHAnsi" w:cstheme="majorHAnsi"/>
        </w:rPr>
        <w:t xml:space="preserve"> </w:t>
      </w:r>
      <w:r w:rsidR="00036C86">
        <w:rPr>
          <w:rFonts w:asciiTheme="majorHAnsi" w:hAnsiTheme="majorHAnsi" w:cstheme="majorHAnsi"/>
        </w:rPr>
        <w:t xml:space="preserve">the </w:t>
      </w:r>
      <w:r w:rsidR="00066615">
        <w:rPr>
          <w:rFonts w:asciiTheme="majorHAnsi" w:hAnsiTheme="majorHAnsi" w:cstheme="majorHAnsi"/>
        </w:rPr>
        <w:t>program;</w:t>
      </w:r>
      <w:r w:rsidR="00C5394D">
        <w:rPr>
          <w:rFonts w:asciiTheme="majorHAnsi" w:hAnsiTheme="majorHAnsi" w:cstheme="majorHAnsi"/>
        </w:rPr>
        <w:t xml:space="preserve"> </w:t>
      </w:r>
      <w:r w:rsidRPr="00AD22F5" w:rsidR="00586D0D">
        <w:rPr>
          <w:rFonts w:asciiTheme="majorHAnsi" w:hAnsiTheme="majorHAnsi" w:cstheme="majorHAnsi"/>
        </w:rPr>
        <w:t>to manage its funds and make projections of risks;</w:t>
      </w:r>
      <w:r w:rsidR="00C5394D">
        <w:rPr>
          <w:rFonts w:asciiTheme="majorHAnsi" w:hAnsiTheme="majorHAnsi" w:cstheme="majorHAnsi"/>
        </w:rPr>
        <w:t xml:space="preserve"> </w:t>
      </w:r>
      <w:r w:rsidR="00CD533A">
        <w:rPr>
          <w:rFonts w:asciiTheme="majorHAnsi" w:hAnsiTheme="majorHAnsi" w:cstheme="majorHAnsi"/>
        </w:rPr>
        <w:t xml:space="preserve">and </w:t>
      </w:r>
      <w:r w:rsidRPr="00213408" w:rsidR="00586D0D">
        <w:rPr>
          <w:rFonts w:asciiTheme="majorHAnsi" w:hAnsiTheme="majorHAnsi" w:cstheme="majorHAnsi"/>
        </w:rPr>
        <w:t>to answer congressional, OMB</w:t>
      </w:r>
      <w:r w:rsidR="00036C86">
        <w:rPr>
          <w:rFonts w:asciiTheme="majorHAnsi" w:hAnsiTheme="majorHAnsi" w:cstheme="majorHAnsi"/>
        </w:rPr>
        <w:t>,</w:t>
      </w:r>
      <w:r w:rsidRPr="00213408" w:rsidR="00586D0D">
        <w:rPr>
          <w:rFonts w:asciiTheme="majorHAnsi" w:hAnsiTheme="majorHAnsi" w:cstheme="majorHAnsi"/>
        </w:rPr>
        <w:t xml:space="preserve"> and </w:t>
      </w:r>
      <w:r w:rsidR="00036C86">
        <w:rPr>
          <w:rFonts w:asciiTheme="majorHAnsi" w:hAnsiTheme="majorHAnsi" w:cstheme="majorHAnsi"/>
        </w:rPr>
        <w:t xml:space="preserve">other </w:t>
      </w:r>
      <w:r w:rsidRPr="00213408" w:rsidR="00586D0D">
        <w:rPr>
          <w:rFonts w:asciiTheme="majorHAnsi" w:hAnsiTheme="majorHAnsi" w:cstheme="majorHAnsi"/>
        </w:rPr>
        <w:t>inquiries</w:t>
      </w:r>
      <w:r w:rsidR="00C5394D">
        <w:rPr>
          <w:rFonts w:asciiTheme="majorHAnsi" w:hAnsiTheme="majorHAnsi" w:cstheme="majorHAnsi"/>
        </w:rPr>
        <w:t xml:space="preserve">. </w:t>
      </w:r>
      <w:r w:rsidR="00020286">
        <w:rPr>
          <w:rFonts w:asciiTheme="majorHAnsi" w:hAnsiTheme="majorHAnsi" w:cstheme="majorHAnsi"/>
          <w:bCs/>
        </w:rPr>
        <w:t>In other words, t</w:t>
      </w:r>
      <w:r w:rsidRPr="00617769" w:rsidR="00020286">
        <w:rPr>
          <w:rFonts w:asciiTheme="majorHAnsi" w:hAnsiTheme="majorHAnsi" w:cstheme="majorHAnsi"/>
          <w:bCs/>
        </w:rPr>
        <w:t>he information collected assists the Department in meeting its mission, public transparency and accountability obligations, and helps DOE deliver timely information on Title XVII program activities to Congress and the public.</w:t>
      </w:r>
      <w:r w:rsidR="00615DD1">
        <w:rPr>
          <w:rFonts w:asciiTheme="majorHAnsi" w:hAnsiTheme="majorHAnsi" w:cstheme="majorHAnsi"/>
          <w:bCs/>
        </w:rPr>
        <w:t xml:space="preserve"> </w:t>
      </w:r>
    </w:p>
    <w:bookmarkEnd w:id="4"/>
    <w:p w:rsidR="00615DD1" w14:paraId="2A97B46E" w14:textId="77777777">
      <w:pPr>
        <w:spacing w:line="240" w:lineRule="auto"/>
        <w:rPr>
          <w:rFonts w:ascii="Times New Roman" w:hAnsi="Times New Roman" w:eastAsiaTheme="majorEastAsia" w:cs="Times New Roman"/>
          <w:b/>
          <w:color w:val="1396D8"/>
          <w:sz w:val="28"/>
          <w:szCs w:val="26"/>
        </w:rPr>
      </w:pPr>
      <w:r>
        <w:rPr>
          <w:rFonts w:ascii="Times New Roman" w:hAnsi="Times New Roman" w:cs="Times New Roman"/>
        </w:rPr>
        <w:br w:type="page"/>
      </w:r>
    </w:p>
    <w:p w:rsidR="008C734C" w:rsidRPr="00106C21" w:rsidP="005A73A8" w14:paraId="1448BF97" w14:textId="3EF726C9">
      <w:pPr>
        <w:pStyle w:val="Heading2"/>
        <w:rPr>
          <w:rFonts w:ascii="Times New Roman" w:hAnsi="Times New Roman" w:cs="Times New Roman"/>
        </w:rPr>
      </w:pPr>
      <w:r w:rsidRPr="00106C21">
        <w:rPr>
          <w:rFonts w:ascii="Times New Roman" w:hAnsi="Times New Roman" w:cs="Times New Roman"/>
        </w:rPr>
        <w:t>A.</w:t>
      </w:r>
      <w:r w:rsidRPr="00106C21" w:rsidR="00A41763">
        <w:rPr>
          <w:rFonts w:ascii="Times New Roman" w:hAnsi="Times New Roman" w:cs="Times New Roman"/>
        </w:rPr>
        <w:t xml:space="preserve">3. </w:t>
      </w:r>
      <w:r w:rsidRPr="00106C21">
        <w:rPr>
          <w:rFonts w:ascii="Times New Roman" w:hAnsi="Times New Roman" w:cs="Times New Roman"/>
        </w:rPr>
        <w:t>Use of Technology</w:t>
      </w:r>
      <w:bookmarkEnd w:id="5"/>
    </w:p>
    <w:p w:rsidR="00A41763" w:rsidRPr="00106C21" w:rsidP="00A41763" w14:paraId="45EAB336" w14:textId="77777777">
      <w:pPr>
        <w:rPr>
          <w:rFonts w:ascii="Times New Roman" w:hAnsi="Times New Roman" w:cs="Times New Roman"/>
        </w:rPr>
      </w:pPr>
      <w:r w:rsidRPr="00106C21">
        <w:rPr>
          <w:rFonts w:ascii="Times New Roman" w:hAnsi="Times New Roman" w:cs="Times New Roman"/>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3500EF" w:rsidRPr="00A607D1" w:rsidP="00A607D1" w14:paraId="6E6359CE" w14:textId="627B5763">
      <w:pPr>
        <w:rPr>
          <w:rFonts w:ascii="Times New Roman" w:hAnsi="Times New Roman" w:cs="Times New Roman"/>
          <w:bCs/>
        </w:rPr>
      </w:pPr>
      <w:r>
        <w:rPr>
          <w:rFonts w:ascii="Times New Roman" w:hAnsi="Times New Roman" w:cs="Times New Roman"/>
          <w:bCs/>
        </w:rPr>
        <w:t>The Department</w:t>
      </w:r>
      <w:r w:rsidRPr="00A607D1">
        <w:rPr>
          <w:rFonts w:ascii="Times New Roman" w:hAnsi="Times New Roman" w:cs="Times New Roman"/>
          <w:bCs/>
        </w:rPr>
        <w:t xml:space="preserve"> </w:t>
      </w:r>
      <w:r w:rsidRPr="00A607D1" w:rsidR="00586D0D">
        <w:rPr>
          <w:rFonts w:ascii="Times New Roman" w:hAnsi="Times New Roman" w:cs="Times New Roman"/>
          <w:bCs/>
        </w:rPr>
        <w:t xml:space="preserve">requires Applicants to submit their applications in electronic form through </w:t>
      </w:r>
      <w:r>
        <w:rPr>
          <w:rFonts w:ascii="Times New Roman" w:hAnsi="Times New Roman" w:cs="Times New Roman"/>
          <w:bCs/>
        </w:rPr>
        <w:t>an</w:t>
      </w:r>
      <w:r w:rsidRPr="00A607D1">
        <w:rPr>
          <w:rFonts w:ascii="Times New Roman" w:hAnsi="Times New Roman" w:cs="Times New Roman"/>
          <w:bCs/>
        </w:rPr>
        <w:t xml:space="preserve"> </w:t>
      </w:r>
      <w:r w:rsidRPr="00A607D1" w:rsidR="00932BDF">
        <w:rPr>
          <w:rFonts w:ascii="Times New Roman" w:hAnsi="Times New Roman" w:cs="Times New Roman"/>
          <w:bCs/>
        </w:rPr>
        <w:t>Application Portal</w:t>
      </w:r>
      <w:r w:rsidRPr="00A607D1" w:rsidR="00586D0D">
        <w:rPr>
          <w:rFonts w:ascii="Times New Roman" w:hAnsi="Times New Roman" w:cs="Times New Roman"/>
          <w:bCs/>
        </w:rPr>
        <w:t xml:space="preserve">, which </w:t>
      </w:r>
      <w:r w:rsidRPr="00A607D1" w:rsidR="002B5D3E">
        <w:rPr>
          <w:rFonts w:ascii="Times New Roman" w:hAnsi="Times New Roman" w:cs="Times New Roman"/>
          <w:bCs/>
        </w:rPr>
        <w:t>can</w:t>
      </w:r>
      <w:r w:rsidR="009A1B4E">
        <w:rPr>
          <w:rFonts w:ascii="Times New Roman" w:hAnsi="Times New Roman" w:cs="Times New Roman"/>
          <w:bCs/>
        </w:rPr>
        <w:t xml:space="preserve"> be</w:t>
      </w:r>
      <w:r w:rsidRPr="00A607D1" w:rsidR="002B5D3E">
        <w:rPr>
          <w:rFonts w:ascii="Times New Roman" w:hAnsi="Times New Roman" w:cs="Times New Roman"/>
          <w:bCs/>
        </w:rPr>
        <w:t xml:space="preserve"> </w:t>
      </w:r>
      <w:r w:rsidRPr="00A607D1" w:rsidR="00586D0D">
        <w:rPr>
          <w:rFonts w:ascii="Times New Roman" w:hAnsi="Times New Roman" w:cs="Times New Roman"/>
          <w:bCs/>
        </w:rPr>
        <w:t>access</w:t>
      </w:r>
      <w:r w:rsidR="009A1B4E">
        <w:rPr>
          <w:rFonts w:ascii="Times New Roman" w:hAnsi="Times New Roman" w:cs="Times New Roman"/>
          <w:bCs/>
        </w:rPr>
        <w:t>ed</w:t>
      </w:r>
      <w:r w:rsidRPr="00A607D1" w:rsidR="00586D0D">
        <w:rPr>
          <w:rFonts w:ascii="Times New Roman" w:hAnsi="Times New Roman" w:cs="Times New Roman"/>
          <w:bCs/>
        </w:rPr>
        <w:t xml:space="preserve"> via an internet address</w:t>
      </w:r>
      <w:r w:rsidR="00261FFF">
        <w:rPr>
          <w:rFonts w:ascii="Times New Roman" w:hAnsi="Times New Roman" w:cs="Times New Roman"/>
          <w:bCs/>
        </w:rPr>
        <w:t xml:space="preserve"> that</w:t>
      </w:r>
      <w:r w:rsidRPr="00A607D1" w:rsidR="002D0609">
        <w:rPr>
          <w:rFonts w:ascii="Times New Roman" w:hAnsi="Times New Roman" w:cs="Times New Roman"/>
          <w:bCs/>
        </w:rPr>
        <w:t xml:space="preserve"> </w:t>
      </w:r>
      <w:r>
        <w:rPr>
          <w:rFonts w:ascii="Times New Roman" w:hAnsi="Times New Roman" w:cs="Times New Roman"/>
          <w:bCs/>
        </w:rPr>
        <w:t>EDF</w:t>
      </w:r>
      <w:r w:rsidRPr="00A607D1">
        <w:rPr>
          <w:rFonts w:ascii="Times New Roman" w:hAnsi="Times New Roman" w:cs="Times New Roman"/>
          <w:bCs/>
        </w:rPr>
        <w:t xml:space="preserve"> </w:t>
      </w:r>
      <w:r w:rsidRPr="00A607D1" w:rsidR="002D0609">
        <w:rPr>
          <w:rFonts w:ascii="Times New Roman" w:hAnsi="Times New Roman" w:cs="Times New Roman"/>
          <w:bCs/>
        </w:rPr>
        <w:t>provides upon request</w:t>
      </w:r>
      <w:r w:rsidR="009A1B4E">
        <w:rPr>
          <w:rFonts w:asciiTheme="majorHAnsi" w:hAnsiTheme="majorHAnsi" w:cstheme="majorHAnsi"/>
          <w:bCs/>
        </w:rPr>
        <w:t>.</w:t>
      </w:r>
      <w:r w:rsidRPr="00A607D1" w:rsidR="002D0609">
        <w:rPr>
          <w:rFonts w:asciiTheme="majorHAnsi" w:hAnsiTheme="majorHAnsi" w:cstheme="majorHAnsi"/>
          <w:bCs/>
        </w:rPr>
        <w:t xml:space="preserve"> </w:t>
      </w:r>
      <w:r w:rsidRPr="00A607D1" w:rsidR="002D0609">
        <w:rPr>
          <w:rFonts w:ascii="Times New Roman" w:hAnsi="Times New Roman" w:cs="Times New Roman"/>
          <w:bCs/>
        </w:rPr>
        <w:t xml:space="preserve"> As a result, 100% of the ICR is collected in electronic form</w:t>
      </w:r>
      <w:r w:rsidRPr="00A607D1" w:rsidR="00BD728B">
        <w:rPr>
          <w:rFonts w:ascii="Times New Roman" w:hAnsi="Times New Roman" w:cs="Times New Roman"/>
          <w:bCs/>
        </w:rPr>
        <w:t>.</w:t>
      </w:r>
      <w:r w:rsidR="00FC5D60">
        <w:rPr>
          <w:rFonts w:ascii="Times New Roman" w:hAnsi="Times New Roman" w:cs="Times New Roman"/>
          <w:bCs/>
        </w:rPr>
        <w:t xml:space="preserve"> </w:t>
      </w:r>
      <w:r w:rsidRPr="00A607D1" w:rsidR="00586D0D">
        <w:rPr>
          <w:rFonts w:ascii="Times New Roman" w:hAnsi="Times New Roman" w:cs="Times New Roman"/>
          <w:bCs/>
        </w:rPr>
        <w:t xml:space="preserve">This </w:t>
      </w:r>
      <w:r w:rsidR="00261FFF">
        <w:rPr>
          <w:rFonts w:ascii="Times New Roman" w:hAnsi="Times New Roman" w:cs="Times New Roman"/>
          <w:bCs/>
        </w:rPr>
        <w:t xml:space="preserve">collection method </w:t>
      </w:r>
      <w:r w:rsidRPr="00A607D1" w:rsidR="00586D0D">
        <w:rPr>
          <w:rFonts w:ascii="Times New Roman" w:hAnsi="Times New Roman" w:cs="Times New Roman"/>
          <w:bCs/>
        </w:rPr>
        <w:t xml:space="preserve">reduces hour and cost burdens on Applicants by allowing them to </w:t>
      </w:r>
      <w:r w:rsidR="00261FFF">
        <w:rPr>
          <w:rFonts w:ascii="Times New Roman" w:hAnsi="Times New Roman" w:cs="Times New Roman"/>
          <w:bCs/>
        </w:rPr>
        <w:t>efficiently</w:t>
      </w:r>
      <w:r w:rsidRPr="00A607D1" w:rsidR="00586D0D">
        <w:rPr>
          <w:rFonts w:ascii="Times New Roman" w:hAnsi="Times New Roman" w:cs="Times New Roman"/>
          <w:bCs/>
        </w:rPr>
        <w:t xml:space="preserve"> </w:t>
      </w:r>
      <w:r w:rsidRPr="00A607D1" w:rsidR="001A28F2">
        <w:rPr>
          <w:rFonts w:ascii="Times New Roman" w:hAnsi="Times New Roman" w:cs="Times New Roman"/>
          <w:bCs/>
        </w:rPr>
        <w:t xml:space="preserve">deliver, </w:t>
      </w:r>
      <w:r w:rsidRPr="00A607D1" w:rsidR="00586D0D">
        <w:rPr>
          <w:rFonts w:ascii="Times New Roman" w:hAnsi="Times New Roman" w:cs="Times New Roman"/>
          <w:bCs/>
        </w:rPr>
        <w:t>store, review, and amend their applications using contemporary methods and technologies.</w:t>
      </w:r>
    </w:p>
    <w:p w:rsidR="008C734C" w:rsidRPr="00106C21" w:rsidP="005A73A8" w14:paraId="0DE5859D" w14:textId="77777777">
      <w:pPr>
        <w:pStyle w:val="Heading2"/>
        <w:rPr>
          <w:rFonts w:ascii="Times New Roman" w:hAnsi="Times New Roman" w:cs="Times New Roman"/>
        </w:rPr>
      </w:pPr>
      <w:bookmarkStart w:id="6" w:name="_Toc16271322"/>
      <w:r w:rsidRPr="00106C21">
        <w:rPr>
          <w:rFonts w:ascii="Times New Roman" w:hAnsi="Times New Roman" w:cs="Times New Roman"/>
        </w:rPr>
        <w:t>A.</w:t>
      </w:r>
      <w:r w:rsidRPr="00106C21" w:rsidR="00A41763">
        <w:rPr>
          <w:rFonts w:ascii="Times New Roman" w:hAnsi="Times New Roman" w:cs="Times New Roman"/>
        </w:rPr>
        <w:t xml:space="preserve">4. </w:t>
      </w:r>
      <w:r w:rsidRPr="00106C21">
        <w:rPr>
          <w:rFonts w:ascii="Times New Roman" w:hAnsi="Times New Roman" w:cs="Times New Roman"/>
        </w:rPr>
        <w:t>Efforts to Identify Duplication</w:t>
      </w:r>
      <w:bookmarkEnd w:id="6"/>
    </w:p>
    <w:p w:rsidR="00A41763" w:rsidRPr="00106C21" w:rsidP="00A41763" w14:paraId="39439627" w14:textId="77777777">
      <w:pPr>
        <w:rPr>
          <w:rFonts w:ascii="Times New Roman" w:hAnsi="Times New Roman" w:cs="Times New Roman"/>
        </w:rPr>
      </w:pPr>
      <w:r w:rsidRPr="00106C21">
        <w:rPr>
          <w:rFonts w:ascii="Times New Roman" w:hAnsi="Times New Roman" w:cs="Times New Roman"/>
          <w:b/>
          <w:bCs/>
        </w:rPr>
        <w:t xml:space="preserve">Describe efforts to identify duplication. </w:t>
      </w:r>
    </w:p>
    <w:p w:rsidR="00FC5D60" w:rsidRPr="000705B0" w:rsidP="00FC5D60" w14:paraId="02B591A7" w14:textId="1BC3F95B">
      <w:pPr>
        <w:rPr>
          <w:rFonts w:asciiTheme="majorHAnsi" w:hAnsiTheme="majorHAnsi" w:cstheme="majorHAnsi"/>
          <w:bCs/>
        </w:rPr>
      </w:pPr>
      <w:r>
        <w:rPr>
          <w:rFonts w:asciiTheme="majorHAnsi" w:hAnsiTheme="majorHAnsi" w:cstheme="majorHAnsi"/>
          <w:bCs/>
        </w:rPr>
        <w:t xml:space="preserve">Applicants provide much of the same </w:t>
      </w:r>
      <w:r w:rsidRPr="000705B0">
        <w:rPr>
          <w:rFonts w:asciiTheme="majorHAnsi" w:hAnsiTheme="majorHAnsi" w:cstheme="majorHAnsi"/>
          <w:bCs/>
        </w:rPr>
        <w:t>financial and technical information as the Applicant would provide</w:t>
      </w:r>
      <w:r w:rsidR="00126B36">
        <w:rPr>
          <w:rFonts w:asciiTheme="majorHAnsi" w:hAnsiTheme="majorHAnsi" w:cstheme="majorHAnsi"/>
          <w:bCs/>
        </w:rPr>
        <w:t xml:space="preserve"> (or would have already provided)</w:t>
      </w:r>
      <w:r w:rsidRPr="000705B0">
        <w:rPr>
          <w:rFonts w:asciiTheme="majorHAnsi" w:hAnsiTheme="majorHAnsi" w:cstheme="majorHAnsi"/>
          <w:bCs/>
        </w:rPr>
        <w:t xml:space="preserve"> in the private sector when seeking financing for a project of similar complexity, size, and risk.  For </w:t>
      </w:r>
      <w:r w:rsidR="0005467F">
        <w:rPr>
          <w:rFonts w:asciiTheme="majorHAnsi" w:hAnsiTheme="majorHAnsi" w:cstheme="majorHAnsi"/>
          <w:bCs/>
        </w:rPr>
        <w:t>example</w:t>
      </w:r>
      <w:r w:rsidRPr="000705B0">
        <w:rPr>
          <w:rFonts w:asciiTheme="majorHAnsi" w:hAnsiTheme="majorHAnsi" w:cstheme="majorHAnsi"/>
          <w:bCs/>
        </w:rPr>
        <w:t>,</w:t>
      </w:r>
      <w:r w:rsidR="0005467F">
        <w:rPr>
          <w:rFonts w:asciiTheme="majorHAnsi" w:hAnsiTheme="majorHAnsi" w:cstheme="majorHAnsi"/>
          <w:bCs/>
        </w:rPr>
        <w:t xml:space="preserve"> t</w:t>
      </w:r>
      <w:r>
        <w:rPr>
          <w:rFonts w:asciiTheme="majorHAnsi" w:hAnsiTheme="majorHAnsi" w:cstheme="majorHAnsi"/>
          <w:bCs/>
        </w:rPr>
        <w:t>he Department</w:t>
      </w:r>
      <w:r w:rsidRPr="000705B0">
        <w:rPr>
          <w:rFonts w:asciiTheme="majorHAnsi" w:hAnsiTheme="majorHAnsi" w:cstheme="majorHAnsi"/>
          <w:bCs/>
        </w:rPr>
        <w:t xml:space="preserve"> requires Applicants submit: a description of the nature and scope of the project, including key milestones and location; a detailed estimate of the total project costs; a detailed overall financial plan for the project, including all sources and uses of funding, equity, and debt, and the liabilities of parties associated with the project; the Applicant’s business on which the project is based and Applicant’s financial model presenting project pro forma statements for the proposed term of the loan including income statements, balance sheets, and cash flows; an analysis of the projected market use for any product; etc.</w:t>
      </w:r>
      <w:r w:rsidR="000D595F">
        <w:rPr>
          <w:rFonts w:asciiTheme="majorHAnsi" w:hAnsiTheme="majorHAnsi" w:cstheme="majorHAnsi"/>
          <w:bCs/>
        </w:rPr>
        <w:t xml:space="preserve"> </w:t>
      </w:r>
      <w:r w:rsidRPr="000D595F" w:rsidR="000D595F">
        <w:rPr>
          <w:rFonts w:asciiTheme="majorHAnsi" w:hAnsiTheme="majorHAnsi" w:cstheme="majorHAnsi"/>
          <w:bCs/>
        </w:rPr>
        <w:t>The information DOE seeks is predominately data that Applicants possess in the ordinary course of business</w:t>
      </w:r>
      <w:r w:rsidR="004C0E27">
        <w:rPr>
          <w:rFonts w:asciiTheme="majorHAnsi" w:hAnsiTheme="majorHAnsi" w:cstheme="majorHAnsi"/>
          <w:bCs/>
        </w:rPr>
        <w:t xml:space="preserve"> or would have generated in</w:t>
      </w:r>
      <w:r w:rsidRPr="000D595F" w:rsidR="000D595F">
        <w:rPr>
          <w:rFonts w:asciiTheme="majorHAnsi" w:hAnsiTheme="majorHAnsi" w:cstheme="majorHAnsi"/>
          <w:bCs/>
        </w:rPr>
        <w:t xml:space="preserve"> some form for the purposes developing the project, raising equity and exploring other financing sources.</w:t>
      </w:r>
    </w:p>
    <w:p w:rsidR="00020286" w:rsidRPr="00A607D1" w:rsidP="00A607D1" w14:paraId="655894F7" w14:textId="327EA4A9">
      <w:pPr>
        <w:rPr>
          <w:rFonts w:ascii="Times New Roman" w:hAnsi="Times New Roman" w:cs="Times New Roman"/>
          <w:bCs/>
        </w:rPr>
      </w:pPr>
      <w:r>
        <w:rPr>
          <w:rFonts w:ascii="Times New Roman" w:hAnsi="Times New Roman" w:cs="Times New Roman"/>
          <w:bCs/>
        </w:rPr>
        <w:t xml:space="preserve">Certain </w:t>
      </w:r>
      <w:r w:rsidR="00B42359">
        <w:rPr>
          <w:rFonts w:ascii="Times New Roman" w:hAnsi="Times New Roman" w:cs="Times New Roman"/>
          <w:bCs/>
        </w:rPr>
        <w:t xml:space="preserve">elements of the Title XVII program </w:t>
      </w:r>
      <w:r>
        <w:rPr>
          <w:rFonts w:ascii="Times New Roman" w:hAnsi="Times New Roman" w:cs="Times New Roman"/>
          <w:bCs/>
        </w:rPr>
        <w:t>are</w:t>
      </w:r>
      <w:r w:rsidR="00B42359">
        <w:rPr>
          <w:rFonts w:ascii="Times New Roman" w:hAnsi="Times New Roman" w:cs="Times New Roman"/>
          <w:bCs/>
        </w:rPr>
        <w:t xml:space="preserve"> unique to </w:t>
      </w:r>
      <w:r w:rsidR="00572A52">
        <w:rPr>
          <w:rFonts w:ascii="Times New Roman" w:hAnsi="Times New Roman" w:cs="Times New Roman"/>
          <w:bCs/>
        </w:rPr>
        <w:t>the Department and</w:t>
      </w:r>
      <w:r w:rsidRPr="00A607D1" w:rsidR="00572A52">
        <w:rPr>
          <w:rFonts w:ascii="Times New Roman" w:hAnsi="Times New Roman" w:cs="Times New Roman"/>
          <w:bCs/>
        </w:rPr>
        <w:t xml:space="preserve"> </w:t>
      </w:r>
      <w:r w:rsidRPr="00A607D1" w:rsidR="00586D0D">
        <w:rPr>
          <w:rFonts w:ascii="Times New Roman" w:hAnsi="Times New Roman" w:cs="Times New Roman"/>
          <w:bCs/>
        </w:rPr>
        <w:t>the federal government,</w:t>
      </w:r>
      <w:r>
        <w:rPr>
          <w:rFonts w:ascii="Times New Roman" w:hAnsi="Times New Roman" w:cs="Times New Roman"/>
          <w:bCs/>
        </w:rPr>
        <w:t xml:space="preserve"> however.</w:t>
      </w:r>
      <w:r w:rsidRPr="00A607D1" w:rsidR="00586D0D">
        <w:rPr>
          <w:rFonts w:ascii="Times New Roman" w:hAnsi="Times New Roman" w:cs="Times New Roman"/>
          <w:bCs/>
        </w:rPr>
        <w:t xml:space="preserve"> </w:t>
      </w:r>
      <w:r w:rsidR="00F17D74">
        <w:rPr>
          <w:rFonts w:ascii="Times New Roman" w:hAnsi="Times New Roman" w:cs="Times New Roman"/>
          <w:bCs/>
        </w:rPr>
        <w:t xml:space="preserve">In this case, DOE strives to ensure applicants can utilize information already provided to other </w:t>
      </w:r>
      <w:r w:rsidR="00AD5BE9">
        <w:rPr>
          <w:rFonts w:ascii="Times New Roman" w:hAnsi="Times New Roman" w:cs="Times New Roman"/>
          <w:bCs/>
        </w:rPr>
        <w:t>federal agencies (e.g. financial statements, permit applications)</w:t>
      </w:r>
      <w:r w:rsidR="00C522D7">
        <w:rPr>
          <w:rFonts w:ascii="Times New Roman" w:hAnsi="Times New Roman" w:cs="Times New Roman"/>
          <w:bCs/>
        </w:rPr>
        <w:t xml:space="preserve"> and in the same standard form if possible (e.g. an SF-LL). B</w:t>
      </w:r>
      <w:r w:rsidRPr="00A607D1" w:rsidR="00586D0D">
        <w:rPr>
          <w:rFonts w:ascii="Times New Roman" w:hAnsi="Times New Roman" w:cs="Times New Roman"/>
          <w:bCs/>
        </w:rPr>
        <w:t xml:space="preserve">ecause Applicants </w:t>
      </w:r>
      <w:r w:rsidR="00C522D7">
        <w:rPr>
          <w:rFonts w:ascii="Times New Roman" w:hAnsi="Times New Roman" w:cs="Times New Roman"/>
          <w:bCs/>
        </w:rPr>
        <w:t xml:space="preserve">often </w:t>
      </w:r>
      <w:r w:rsidRPr="00A607D1" w:rsidR="00586D0D">
        <w:rPr>
          <w:rFonts w:ascii="Times New Roman" w:hAnsi="Times New Roman" w:cs="Times New Roman"/>
          <w:bCs/>
        </w:rPr>
        <w:t xml:space="preserve">will have already developed the same or similar information </w:t>
      </w:r>
      <w:r w:rsidRPr="00A607D1" w:rsidR="00586D0D">
        <w:rPr>
          <w:rFonts w:ascii="Times New Roman" w:hAnsi="Times New Roman" w:cs="Times New Roman"/>
          <w:bCs/>
        </w:rPr>
        <w:t>in the course of</w:t>
      </w:r>
      <w:r w:rsidRPr="00A607D1" w:rsidR="00586D0D">
        <w:rPr>
          <w:rFonts w:ascii="Times New Roman" w:hAnsi="Times New Roman" w:cs="Times New Roman"/>
          <w:bCs/>
        </w:rPr>
        <w:t xml:space="preserve"> seeking private sector-capital for their projects, they are able to respond to </w:t>
      </w:r>
      <w:r w:rsidR="00C522D7">
        <w:rPr>
          <w:rFonts w:ascii="Times New Roman" w:hAnsi="Times New Roman" w:cs="Times New Roman"/>
          <w:bCs/>
        </w:rPr>
        <w:t>DOE</w:t>
      </w:r>
      <w:r w:rsidRPr="00A607D1" w:rsidR="00586D0D">
        <w:rPr>
          <w:rFonts w:ascii="Times New Roman" w:hAnsi="Times New Roman" w:cs="Times New Roman"/>
          <w:bCs/>
        </w:rPr>
        <w:t xml:space="preserve"> using existing information reducing potential burdens</w:t>
      </w:r>
      <w:r w:rsidRPr="00A607D1" w:rsidR="00BD728B">
        <w:rPr>
          <w:rFonts w:ascii="Times New Roman" w:hAnsi="Times New Roman" w:cs="Times New Roman"/>
          <w:bCs/>
        </w:rPr>
        <w:t>.</w:t>
      </w:r>
      <w:r w:rsidRPr="00A607D1" w:rsidR="00586D0D">
        <w:rPr>
          <w:rFonts w:ascii="Times New Roman" w:hAnsi="Times New Roman" w:cs="Times New Roman"/>
          <w:bCs/>
        </w:rPr>
        <w:t xml:space="preserve">  </w:t>
      </w:r>
    </w:p>
    <w:p w:rsidR="008C734C" w:rsidRPr="00106C21" w:rsidP="005A73A8" w14:paraId="2ECACA07" w14:textId="77777777">
      <w:pPr>
        <w:pStyle w:val="Heading2"/>
        <w:rPr>
          <w:rFonts w:ascii="Times New Roman" w:hAnsi="Times New Roman" w:cs="Times New Roman"/>
        </w:rPr>
      </w:pPr>
      <w:bookmarkStart w:id="7" w:name="_Toc16271323"/>
      <w:r w:rsidRPr="00106C21">
        <w:rPr>
          <w:rFonts w:ascii="Times New Roman" w:hAnsi="Times New Roman" w:cs="Times New Roman"/>
        </w:rPr>
        <w:t>A.</w:t>
      </w:r>
      <w:r w:rsidRPr="00106C21" w:rsidR="00A41763">
        <w:rPr>
          <w:rFonts w:ascii="Times New Roman" w:hAnsi="Times New Roman" w:cs="Times New Roman"/>
        </w:rPr>
        <w:t xml:space="preserve">5. </w:t>
      </w:r>
      <w:r w:rsidRPr="00106C21">
        <w:rPr>
          <w:rFonts w:ascii="Times New Roman" w:hAnsi="Times New Roman" w:cs="Times New Roman"/>
        </w:rPr>
        <w:t>Provisions for Reducing Burden on Small Businesses</w:t>
      </w:r>
      <w:bookmarkEnd w:id="7"/>
      <w:r w:rsidRPr="00106C21">
        <w:rPr>
          <w:rFonts w:ascii="Times New Roman" w:hAnsi="Times New Roman" w:cs="Times New Roman"/>
        </w:rPr>
        <w:t xml:space="preserve"> </w:t>
      </w:r>
    </w:p>
    <w:p w:rsidR="00A41763" w:rsidRPr="00106C21" w:rsidP="00A41763" w14:paraId="34B53FFE" w14:textId="77777777">
      <w:pPr>
        <w:rPr>
          <w:rFonts w:ascii="Times New Roman" w:hAnsi="Times New Roman" w:cs="Times New Roman"/>
        </w:rPr>
      </w:pPr>
      <w:r w:rsidRPr="00106C21">
        <w:rPr>
          <w:rFonts w:ascii="Times New Roman" w:hAnsi="Times New Roman" w:cs="Times New Roman"/>
          <w:b/>
          <w:bCs/>
        </w:rPr>
        <w:t xml:space="preserve">If the collection of information impacts small businesses or other small entities, describe any methods used to minimize burden. </w:t>
      </w:r>
    </w:p>
    <w:p w:rsidR="00EF0029" w:rsidRPr="00106C21" w:rsidP="00A607D1" w14:paraId="5533A171" w14:textId="7E01DD2B">
      <w:pPr>
        <w:rPr>
          <w:rFonts w:ascii="Times New Roman" w:eastAsia="Times New Roman" w:hAnsi="Times New Roman" w:cs="Times New Roman"/>
        </w:rPr>
      </w:pPr>
      <w:r w:rsidRPr="00A607D1">
        <w:rPr>
          <w:rFonts w:ascii="Times New Roman" w:hAnsi="Times New Roman" w:cs="Times New Roman"/>
          <w:bCs/>
        </w:rPr>
        <w:t xml:space="preserve">Most </w:t>
      </w:r>
      <w:r w:rsidR="00FA00C5">
        <w:rPr>
          <w:rFonts w:ascii="Times New Roman" w:hAnsi="Times New Roman" w:cs="Times New Roman"/>
          <w:bCs/>
        </w:rPr>
        <w:t xml:space="preserve">applications concern </w:t>
      </w:r>
      <w:r w:rsidRPr="00A607D1">
        <w:rPr>
          <w:rFonts w:ascii="Times New Roman" w:hAnsi="Times New Roman" w:cs="Times New Roman"/>
          <w:bCs/>
        </w:rPr>
        <w:t xml:space="preserve">eligible projects larger than those </w:t>
      </w:r>
      <w:r w:rsidR="00FA00C5">
        <w:rPr>
          <w:rFonts w:ascii="Times New Roman" w:hAnsi="Times New Roman" w:cs="Times New Roman"/>
          <w:bCs/>
        </w:rPr>
        <w:t>a</w:t>
      </w:r>
      <w:r w:rsidRPr="00A607D1" w:rsidR="00FA00C5">
        <w:rPr>
          <w:rFonts w:ascii="Times New Roman" w:hAnsi="Times New Roman" w:cs="Times New Roman"/>
          <w:bCs/>
        </w:rPr>
        <w:t xml:space="preserve"> </w:t>
      </w:r>
      <w:r w:rsidRPr="00A607D1">
        <w:rPr>
          <w:rFonts w:ascii="Times New Roman" w:hAnsi="Times New Roman" w:cs="Times New Roman"/>
          <w:bCs/>
        </w:rPr>
        <w:t>small business</w:t>
      </w:r>
      <w:r w:rsidR="00FA00C5">
        <w:rPr>
          <w:rFonts w:ascii="Times New Roman" w:hAnsi="Times New Roman" w:cs="Times New Roman"/>
          <w:bCs/>
        </w:rPr>
        <w:t xml:space="preserve"> would</w:t>
      </w:r>
      <w:r w:rsidRPr="00A607D1">
        <w:rPr>
          <w:rFonts w:ascii="Times New Roman" w:hAnsi="Times New Roman" w:cs="Times New Roman"/>
          <w:bCs/>
        </w:rPr>
        <w:t xml:space="preserve"> </w:t>
      </w:r>
      <w:r w:rsidR="00FA00C5">
        <w:rPr>
          <w:rFonts w:ascii="Times New Roman" w:hAnsi="Times New Roman" w:cs="Times New Roman"/>
          <w:bCs/>
        </w:rPr>
        <w:t>typically</w:t>
      </w:r>
      <w:r w:rsidRPr="00A607D1" w:rsidR="00FA00C5">
        <w:rPr>
          <w:rFonts w:ascii="Times New Roman" w:hAnsi="Times New Roman" w:cs="Times New Roman"/>
          <w:bCs/>
        </w:rPr>
        <w:t xml:space="preserve"> </w:t>
      </w:r>
      <w:r w:rsidRPr="00A607D1">
        <w:rPr>
          <w:rFonts w:ascii="Times New Roman" w:hAnsi="Times New Roman" w:cs="Times New Roman"/>
          <w:bCs/>
        </w:rPr>
        <w:t xml:space="preserve">undertake.  Nevertheless, </w:t>
      </w:r>
      <w:r w:rsidR="00E74058">
        <w:rPr>
          <w:rFonts w:ascii="Times New Roman" w:hAnsi="Times New Roman" w:cs="Times New Roman"/>
          <w:bCs/>
        </w:rPr>
        <w:t>the Department</w:t>
      </w:r>
      <w:r w:rsidRPr="00A607D1" w:rsidR="00E74058">
        <w:rPr>
          <w:rFonts w:ascii="Times New Roman" w:hAnsi="Times New Roman" w:cs="Times New Roman"/>
          <w:bCs/>
        </w:rPr>
        <w:t xml:space="preserve"> </w:t>
      </w:r>
      <w:r w:rsidRPr="00A607D1">
        <w:rPr>
          <w:rFonts w:ascii="Times New Roman" w:hAnsi="Times New Roman" w:cs="Times New Roman"/>
          <w:bCs/>
        </w:rPr>
        <w:t xml:space="preserve">has taken steps that may increase the attractiveness of </w:t>
      </w:r>
      <w:r w:rsidR="00E74058">
        <w:rPr>
          <w:rFonts w:ascii="Times New Roman" w:hAnsi="Times New Roman" w:cs="Times New Roman"/>
          <w:bCs/>
        </w:rPr>
        <w:t>its</w:t>
      </w:r>
      <w:r w:rsidRPr="00A607D1" w:rsidR="00E74058">
        <w:rPr>
          <w:rFonts w:ascii="Times New Roman" w:hAnsi="Times New Roman" w:cs="Times New Roman"/>
          <w:bCs/>
        </w:rPr>
        <w:t xml:space="preserve"> </w:t>
      </w:r>
      <w:r w:rsidR="00E74058">
        <w:rPr>
          <w:rFonts w:ascii="Times New Roman" w:hAnsi="Times New Roman" w:cs="Times New Roman"/>
          <w:bCs/>
        </w:rPr>
        <w:t>programs</w:t>
      </w:r>
      <w:r w:rsidRPr="00A607D1" w:rsidR="00E74058">
        <w:rPr>
          <w:rFonts w:ascii="Times New Roman" w:hAnsi="Times New Roman" w:cs="Times New Roman"/>
          <w:bCs/>
        </w:rPr>
        <w:t xml:space="preserve"> </w:t>
      </w:r>
      <w:r w:rsidRPr="00A607D1">
        <w:rPr>
          <w:rFonts w:ascii="Times New Roman" w:hAnsi="Times New Roman" w:cs="Times New Roman"/>
          <w:bCs/>
        </w:rPr>
        <w:t>to small businesses</w:t>
      </w:r>
      <w:r w:rsidRPr="00A607D1" w:rsidR="00246476">
        <w:rPr>
          <w:rFonts w:ascii="Times New Roman" w:hAnsi="Times New Roman" w:cs="Times New Roman"/>
          <w:bCs/>
        </w:rPr>
        <w:t>.</w:t>
      </w:r>
      <w:r w:rsidR="005A590F">
        <w:rPr>
          <w:rFonts w:ascii="Times New Roman" w:hAnsi="Times New Roman" w:cs="Times New Roman"/>
          <w:bCs/>
        </w:rPr>
        <w:t xml:space="preserve"> For example, t</w:t>
      </w:r>
      <w:r w:rsidRPr="00A607D1">
        <w:rPr>
          <w:rFonts w:ascii="Times New Roman" w:hAnsi="Times New Roman" w:cs="Times New Roman"/>
          <w:bCs/>
        </w:rPr>
        <w:t>here are no application fees under the Title XVII Program</w:t>
      </w:r>
      <w:r w:rsidR="005A590F">
        <w:rPr>
          <w:rFonts w:ascii="Times New Roman" w:hAnsi="Times New Roman" w:cs="Times New Roman"/>
          <w:bCs/>
        </w:rPr>
        <w:t>. Additionally, the Department</w:t>
      </w:r>
      <w:r w:rsidRPr="00A607D1">
        <w:rPr>
          <w:rFonts w:ascii="Times New Roman" w:hAnsi="Times New Roman" w:cs="Times New Roman"/>
          <w:bCs/>
        </w:rPr>
        <w:t xml:space="preserve"> and encourages prospective Applicants to consult with program staff before </w:t>
      </w:r>
      <w:r w:rsidRPr="00A607D1" w:rsidR="002D0609">
        <w:rPr>
          <w:rFonts w:ascii="Times New Roman" w:hAnsi="Times New Roman" w:cs="Times New Roman"/>
          <w:bCs/>
        </w:rPr>
        <w:t>applying</w:t>
      </w:r>
      <w:r w:rsidRPr="00A607D1">
        <w:rPr>
          <w:rFonts w:ascii="Times New Roman" w:hAnsi="Times New Roman" w:cs="Times New Roman"/>
          <w:bCs/>
        </w:rPr>
        <w:t>.  This allows prospective Applicants to better understand eligibility and program requirements before incurring the burden</w:t>
      </w:r>
      <w:r w:rsidR="00392E96">
        <w:rPr>
          <w:rFonts w:ascii="Times New Roman" w:hAnsi="Times New Roman" w:cs="Times New Roman"/>
          <w:bCs/>
        </w:rPr>
        <w:t>s</w:t>
      </w:r>
      <w:r w:rsidRPr="00A607D1">
        <w:rPr>
          <w:rFonts w:ascii="Times New Roman" w:hAnsi="Times New Roman" w:cs="Times New Roman"/>
          <w:bCs/>
        </w:rPr>
        <w:t xml:space="preserve"> associated with</w:t>
      </w:r>
      <w:r w:rsidR="00392E96">
        <w:rPr>
          <w:rFonts w:ascii="Times New Roman" w:hAnsi="Times New Roman" w:cs="Times New Roman"/>
          <w:bCs/>
        </w:rPr>
        <w:t xml:space="preserve"> the preparation and</w:t>
      </w:r>
      <w:r w:rsidRPr="00A607D1">
        <w:rPr>
          <w:rFonts w:ascii="Times New Roman" w:hAnsi="Times New Roman" w:cs="Times New Roman"/>
          <w:bCs/>
        </w:rPr>
        <w:t xml:space="preserve"> submission of an application.</w:t>
      </w:r>
      <w:r w:rsidRPr="00A607D1" w:rsidR="00F472E0">
        <w:rPr>
          <w:rFonts w:ascii="Times New Roman" w:hAnsi="Times New Roman" w:cs="Times New Roman"/>
          <w:bCs/>
        </w:rPr>
        <w:t xml:space="preserve">  Similarly, </w:t>
      </w:r>
      <w:r w:rsidR="00422A7F">
        <w:rPr>
          <w:rFonts w:ascii="Times New Roman" w:hAnsi="Times New Roman" w:cs="Times New Roman"/>
          <w:bCs/>
        </w:rPr>
        <w:t>the Department’s</w:t>
      </w:r>
      <w:r w:rsidRPr="00A607D1" w:rsidR="00422A7F">
        <w:rPr>
          <w:rFonts w:ascii="Times New Roman" w:hAnsi="Times New Roman" w:cs="Times New Roman"/>
          <w:bCs/>
        </w:rPr>
        <w:t xml:space="preserve"> </w:t>
      </w:r>
      <w:r w:rsidRPr="00A607D1" w:rsidR="00F472E0">
        <w:rPr>
          <w:rFonts w:ascii="Times New Roman" w:hAnsi="Times New Roman" w:cs="Times New Roman"/>
          <w:bCs/>
        </w:rPr>
        <w:t xml:space="preserve">two-part </w:t>
      </w:r>
      <w:r w:rsidR="00422A7F">
        <w:rPr>
          <w:rFonts w:ascii="Times New Roman" w:hAnsi="Times New Roman" w:cs="Times New Roman"/>
          <w:bCs/>
        </w:rPr>
        <w:t xml:space="preserve">application </w:t>
      </w:r>
      <w:r w:rsidRPr="00A607D1" w:rsidR="00F472E0">
        <w:rPr>
          <w:rFonts w:ascii="Times New Roman" w:hAnsi="Times New Roman" w:cs="Times New Roman"/>
          <w:bCs/>
        </w:rPr>
        <w:t xml:space="preserve">process </w:t>
      </w:r>
      <w:r w:rsidRPr="00A607D1" w:rsidR="005F7A3B">
        <w:rPr>
          <w:rFonts w:ascii="Times New Roman" w:hAnsi="Times New Roman" w:cs="Times New Roman"/>
          <w:bCs/>
        </w:rPr>
        <w:t>(see A.6 below)</w:t>
      </w:r>
      <w:r w:rsidRPr="00A607D1" w:rsidR="00F472E0">
        <w:rPr>
          <w:rFonts w:ascii="Times New Roman" w:hAnsi="Times New Roman" w:cs="Times New Roman"/>
          <w:bCs/>
        </w:rPr>
        <w:t xml:space="preserve"> helps </w:t>
      </w:r>
      <w:r w:rsidRPr="00A607D1" w:rsidR="005F7A3B">
        <w:rPr>
          <w:rFonts w:ascii="Times New Roman" w:hAnsi="Times New Roman" w:cs="Times New Roman"/>
          <w:bCs/>
        </w:rPr>
        <w:t>Applicants avoid unnecessary</w:t>
      </w:r>
      <w:r w:rsidRPr="00A607D1" w:rsidR="00EA223F">
        <w:rPr>
          <w:rFonts w:ascii="Times New Roman" w:hAnsi="Times New Roman" w:cs="Times New Roman"/>
          <w:bCs/>
        </w:rPr>
        <w:t xml:space="preserve"> burdens</w:t>
      </w:r>
      <w:r w:rsidRPr="00A607D1" w:rsidR="004128A9">
        <w:rPr>
          <w:rFonts w:ascii="Times New Roman" w:hAnsi="Times New Roman" w:cs="Times New Roman"/>
          <w:bCs/>
        </w:rPr>
        <w:t>.</w:t>
      </w:r>
    </w:p>
    <w:p w:rsidR="008C734C" w:rsidRPr="00106C21" w:rsidP="005A73A8" w14:paraId="4DA71ECE" w14:textId="77777777">
      <w:pPr>
        <w:pStyle w:val="Heading2"/>
        <w:rPr>
          <w:rFonts w:ascii="Times New Roman" w:hAnsi="Times New Roman" w:cs="Times New Roman"/>
        </w:rPr>
      </w:pPr>
      <w:bookmarkStart w:id="8" w:name="_Toc16271324"/>
      <w:r w:rsidRPr="00106C21">
        <w:rPr>
          <w:rFonts w:ascii="Times New Roman" w:hAnsi="Times New Roman" w:cs="Times New Roman"/>
        </w:rPr>
        <w:t>A.</w:t>
      </w:r>
      <w:r w:rsidRPr="00106C21" w:rsidR="00A41763">
        <w:rPr>
          <w:rFonts w:ascii="Times New Roman" w:hAnsi="Times New Roman" w:cs="Times New Roman"/>
        </w:rPr>
        <w:t xml:space="preserve">6. </w:t>
      </w:r>
      <w:r w:rsidRPr="00106C21">
        <w:rPr>
          <w:rFonts w:ascii="Times New Roman" w:hAnsi="Times New Roman" w:cs="Times New Roman"/>
        </w:rPr>
        <w:t xml:space="preserve">Consequences of </w:t>
      </w:r>
      <w:r w:rsidRPr="00106C21">
        <w:rPr>
          <w:rFonts w:ascii="Times New Roman" w:hAnsi="Times New Roman" w:cs="Times New Roman"/>
        </w:rPr>
        <w:t>Less-Frequent</w:t>
      </w:r>
      <w:r w:rsidRPr="00106C21">
        <w:rPr>
          <w:rFonts w:ascii="Times New Roman" w:hAnsi="Times New Roman" w:cs="Times New Roman"/>
        </w:rPr>
        <w:t xml:space="preserve"> Reporting</w:t>
      </w:r>
      <w:bookmarkEnd w:id="8"/>
    </w:p>
    <w:p w:rsidR="00A41763" w:rsidRPr="00106C21" w:rsidP="00A41763" w14:paraId="1F559B61" w14:textId="77777777">
      <w:pPr>
        <w:rPr>
          <w:rFonts w:ascii="Times New Roman" w:hAnsi="Times New Roman" w:cs="Times New Roman"/>
        </w:rPr>
      </w:pPr>
      <w:r w:rsidRPr="00106C21">
        <w:rPr>
          <w:rFonts w:ascii="Times New Roman" w:hAnsi="Times New Roman" w:cs="Times New Roman"/>
          <w:b/>
          <w:bCs/>
        </w:rPr>
        <w:t xml:space="preserve">Describe the </w:t>
      </w:r>
      <w:r w:rsidRPr="00106C21">
        <w:rPr>
          <w:rFonts w:ascii="Times New Roman" w:hAnsi="Times New Roman" w:cs="Times New Roman"/>
          <w:b/>
          <w:bCs/>
        </w:rPr>
        <w:t>consequence</w:t>
      </w:r>
      <w:r w:rsidRPr="00106C21">
        <w:rPr>
          <w:rFonts w:ascii="Times New Roman" w:hAnsi="Times New Roman" w:cs="Times New Roman"/>
          <w:b/>
          <w:bCs/>
        </w:rPr>
        <w:t xml:space="preserve"> </w:t>
      </w:r>
      <w:r w:rsidRPr="00106C21">
        <w:rPr>
          <w:rFonts w:ascii="Times New Roman" w:hAnsi="Times New Roman" w:cs="Times New Roman"/>
          <w:b/>
          <w:bCs/>
        </w:rPr>
        <w:t>to</w:t>
      </w:r>
      <w:r w:rsidRPr="00106C21">
        <w:rPr>
          <w:rFonts w:ascii="Times New Roman" w:hAnsi="Times New Roman" w:cs="Times New Roman"/>
          <w:b/>
          <w:bCs/>
        </w:rPr>
        <w:t xml:space="preserve"> Federal program or policy activities if the collection is not conducted or is conducted less frequently, as well as any technical or legal obstacles to reducing burden. </w:t>
      </w:r>
    </w:p>
    <w:p w:rsidR="008F4D86" w:rsidP="002B7C4C" w14:paraId="5E0322C7" w14:textId="39BCE8C0">
      <w:pPr>
        <w:rPr>
          <w:rFonts w:ascii="Times New Roman" w:hAnsi="Times New Roman" w:cs="Times New Roman"/>
          <w:bCs/>
        </w:rPr>
      </w:pPr>
      <w:r w:rsidRPr="009E73FA">
        <w:rPr>
          <w:rFonts w:asciiTheme="majorHAnsi" w:hAnsiTheme="majorHAnsi" w:cstheme="majorHAnsi"/>
          <w:bCs/>
        </w:rPr>
        <w:t xml:space="preserve">Congress </w:t>
      </w:r>
      <w:r>
        <w:rPr>
          <w:rFonts w:asciiTheme="majorHAnsi" w:hAnsiTheme="majorHAnsi" w:cstheme="majorHAnsi"/>
          <w:bCs/>
        </w:rPr>
        <w:t xml:space="preserve">has authorized this collection to the extent </w:t>
      </w:r>
      <w:r w:rsidRPr="00A607D1">
        <w:rPr>
          <w:rFonts w:ascii="Times New Roman" w:hAnsi="Times New Roman" w:cs="Times New Roman"/>
          <w:bCs/>
        </w:rPr>
        <w:t>Title XVII</w:t>
      </w:r>
      <w:r w:rsidRPr="009E73FA">
        <w:rPr>
          <w:rFonts w:asciiTheme="majorHAnsi" w:hAnsiTheme="majorHAnsi" w:cstheme="majorHAnsi"/>
          <w:bCs/>
        </w:rPr>
        <w:t xml:space="preserve"> </w:t>
      </w:r>
      <w:r w:rsidRPr="009E73FA" w:rsidR="008C094D">
        <w:rPr>
          <w:rFonts w:asciiTheme="majorHAnsi" w:hAnsiTheme="majorHAnsi" w:cstheme="majorHAnsi"/>
          <w:bCs/>
        </w:rPr>
        <w:t>requires “(1) programmatic, technical, and financial factors the Secretary will use to select projects for loan guarantees; (2) policies and procedures for selecting and monitoring lenders and loan performance; and (3) any other policies, procedures, or information necessary to implement title XVII of the Energy Policy Act of 2005.” § 16515(b)(1)-(3).</w:t>
      </w:r>
      <w:r w:rsidR="008C094D">
        <w:rPr>
          <w:rFonts w:asciiTheme="majorHAnsi" w:hAnsiTheme="majorHAnsi" w:cstheme="majorHAnsi"/>
          <w:bCs/>
        </w:rPr>
        <w:t xml:space="preserve"> </w:t>
      </w:r>
      <w:r w:rsidR="003D73EB">
        <w:rPr>
          <w:rFonts w:asciiTheme="majorHAnsi" w:hAnsiTheme="majorHAnsi" w:cstheme="majorHAnsi"/>
          <w:bCs/>
        </w:rPr>
        <w:t xml:space="preserve">Without the </w:t>
      </w:r>
      <w:r w:rsidR="003D73EB">
        <w:rPr>
          <w:rFonts w:asciiTheme="majorHAnsi" w:hAnsiTheme="majorHAnsi" w:cstheme="majorHAnsi"/>
          <w:bCs/>
        </w:rPr>
        <w:t>collection</w:t>
      </w:r>
      <w:r w:rsidR="003D73EB">
        <w:rPr>
          <w:rFonts w:asciiTheme="majorHAnsi" w:hAnsiTheme="majorHAnsi" w:cstheme="majorHAnsi"/>
          <w:bCs/>
        </w:rPr>
        <w:t xml:space="preserve"> instruments, </w:t>
      </w:r>
      <w:r w:rsidRPr="00A607D1" w:rsidR="00586D0D">
        <w:rPr>
          <w:rFonts w:ascii="Times New Roman" w:hAnsi="Times New Roman" w:cs="Times New Roman"/>
          <w:bCs/>
        </w:rPr>
        <w:t xml:space="preserve">DOE </w:t>
      </w:r>
      <w:r w:rsidR="003D73EB">
        <w:rPr>
          <w:rFonts w:ascii="Times New Roman" w:hAnsi="Times New Roman" w:cs="Times New Roman"/>
          <w:bCs/>
        </w:rPr>
        <w:t xml:space="preserve">would be </w:t>
      </w:r>
      <w:r w:rsidRPr="00A607D1" w:rsidR="00586D0D">
        <w:rPr>
          <w:rFonts w:ascii="Times New Roman" w:hAnsi="Times New Roman" w:cs="Times New Roman"/>
          <w:bCs/>
        </w:rPr>
        <w:t xml:space="preserve">unable to </w:t>
      </w:r>
      <w:r>
        <w:rPr>
          <w:rFonts w:ascii="Times New Roman" w:hAnsi="Times New Roman" w:cs="Times New Roman"/>
          <w:bCs/>
        </w:rPr>
        <w:t xml:space="preserve">successfully implement and administer the </w:t>
      </w:r>
      <w:r w:rsidR="00712E82">
        <w:rPr>
          <w:rFonts w:ascii="Times New Roman" w:hAnsi="Times New Roman" w:cs="Times New Roman"/>
          <w:bCs/>
        </w:rPr>
        <w:t>Title XVII program</w:t>
      </w:r>
      <w:r w:rsidRPr="00A607D1" w:rsidR="00B1640C">
        <w:rPr>
          <w:rFonts w:ascii="Times New Roman" w:hAnsi="Times New Roman" w:cs="Times New Roman"/>
          <w:bCs/>
        </w:rPr>
        <w:t xml:space="preserve">. </w:t>
      </w:r>
      <w:r w:rsidRPr="00A607D1" w:rsidR="002E327B">
        <w:rPr>
          <w:rFonts w:ascii="Times New Roman" w:hAnsi="Times New Roman" w:cs="Times New Roman"/>
          <w:bCs/>
        </w:rPr>
        <w:t xml:space="preserve"> </w:t>
      </w:r>
    </w:p>
    <w:p w:rsidR="007A349E" w:rsidP="00CB0760" w14:paraId="68B9EFF6" w14:textId="11DA9282">
      <w:pPr>
        <w:rPr>
          <w:rFonts w:ascii="Times New Roman" w:hAnsi="Times New Roman" w:cs="Times New Roman"/>
          <w:bCs/>
        </w:rPr>
      </w:pPr>
      <w:r>
        <w:rPr>
          <w:rFonts w:ascii="Times New Roman" w:hAnsi="Times New Roman" w:cs="Times New Roman"/>
          <w:bCs/>
        </w:rPr>
        <w:t xml:space="preserve">If a collection is not conduct, or conducted less frequently, the Department would be unable to </w:t>
      </w:r>
      <w:r w:rsidR="00000D7A">
        <w:rPr>
          <w:rFonts w:ascii="Times New Roman" w:hAnsi="Times New Roman" w:cs="Times New Roman"/>
          <w:bCs/>
        </w:rPr>
        <w:t xml:space="preserve">fulfil its congressional mandates that include recent </w:t>
      </w:r>
      <w:r w:rsidRPr="00A607D1" w:rsidR="000E31B4">
        <w:rPr>
          <w:rFonts w:ascii="Times New Roman" w:hAnsi="Times New Roman" w:cs="Times New Roman"/>
          <w:bCs/>
        </w:rPr>
        <w:t>appropriation</w:t>
      </w:r>
      <w:r w:rsidR="00000D7A">
        <w:rPr>
          <w:rFonts w:ascii="Times New Roman" w:hAnsi="Times New Roman" w:cs="Times New Roman"/>
          <w:bCs/>
        </w:rPr>
        <w:t>s</w:t>
      </w:r>
      <w:r w:rsidR="00BB3AF7">
        <w:rPr>
          <w:rFonts w:ascii="Times New Roman" w:hAnsi="Times New Roman" w:cs="Times New Roman"/>
          <w:bCs/>
        </w:rPr>
        <w:t xml:space="preserve"> (</w:t>
      </w:r>
      <w:r w:rsidR="00DD169A">
        <w:rPr>
          <w:rFonts w:ascii="Times New Roman" w:hAnsi="Times New Roman" w:cs="Times New Roman"/>
          <w:bCs/>
        </w:rPr>
        <w:t xml:space="preserve">the </w:t>
      </w:r>
      <w:r w:rsidRPr="00DD169A" w:rsidR="00DD169A">
        <w:rPr>
          <w:rFonts w:ascii="Times New Roman" w:hAnsi="Times New Roman" w:cs="Times New Roman"/>
          <w:bCs/>
        </w:rPr>
        <w:t>One Big Beautiful Bill Act</w:t>
      </w:r>
      <w:r w:rsidR="00DD169A">
        <w:rPr>
          <w:rFonts w:ascii="Times New Roman" w:hAnsi="Times New Roman" w:cs="Times New Roman"/>
          <w:bCs/>
        </w:rPr>
        <w:t xml:space="preserve"> and its Energy Dominance Financing provisions </w:t>
      </w:r>
      <w:r w:rsidR="00BB3AF7">
        <w:rPr>
          <w:rFonts w:ascii="Times New Roman" w:hAnsi="Times New Roman" w:cs="Times New Roman"/>
          <w:bCs/>
        </w:rPr>
        <w:t>re</w:t>
      </w:r>
      <w:r>
        <w:rPr>
          <w:rFonts w:ascii="Times New Roman" w:hAnsi="Times New Roman" w:cs="Times New Roman"/>
          <w:bCs/>
        </w:rPr>
        <w:t>authorized</w:t>
      </w:r>
      <w:r w:rsidRPr="007A349E">
        <w:rPr>
          <w:rFonts w:ascii="Times New Roman" w:hAnsi="Times New Roman" w:cs="Times New Roman"/>
          <w:bCs/>
        </w:rPr>
        <w:t xml:space="preserve"> guarantee</w:t>
      </w:r>
      <w:r w:rsidR="00BB3AF7">
        <w:rPr>
          <w:rFonts w:ascii="Times New Roman" w:hAnsi="Times New Roman" w:cs="Times New Roman"/>
          <w:bCs/>
        </w:rPr>
        <w:t>s</w:t>
      </w:r>
      <w:r w:rsidRPr="007A349E">
        <w:rPr>
          <w:rFonts w:ascii="Times New Roman" w:hAnsi="Times New Roman" w:cs="Times New Roman"/>
          <w:bCs/>
        </w:rPr>
        <w:t xml:space="preserve"> up to a total principal amount of $250 billion through September 30, 2028</w:t>
      </w:r>
      <w:r w:rsidR="00BB3AF7">
        <w:rPr>
          <w:rFonts w:ascii="Times New Roman" w:hAnsi="Times New Roman" w:cs="Times New Roman"/>
          <w:bCs/>
        </w:rPr>
        <w:t>; th</w:t>
      </w:r>
      <w:r w:rsidR="00174757">
        <w:rPr>
          <w:rFonts w:ascii="Times New Roman" w:hAnsi="Times New Roman" w:cs="Times New Roman"/>
          <w:bCs/>
        </w:rPr>
        <w:t xml:space="preserve">e Energy and Water Development and Related Agencies Appropriations Act, 2026, appropriated </w:t>
      </w:r>
      <w:r w:rsidR="00CB0760">
        <w:rPr>
          <w:rFonts w:ascii="Times New Roman" w:hAnsi="Times New Roman" w:cs="Times New Roman"/>
          <w:bCs/>
        </w:rPr>
        <w:t xml:space="preserve">$150,000,000 for certain section 1703 projects). </w:t>
      </w:r>
    </w:p>
    <w:p w:rsidR="003E7726" w:rsidRPr="00A607D1" w:rsidP="00A607D1" w14:paraId="5C51B8F3" w14:textId="523BB88E">
      <w:pPr>
        <w:rPr>
          <w:rFonts w:ascii="Times New Roman" w:hAnsi="Times New Roman" w:cs="Times New Roman"/>
          <w:bCs/>
        </w:rPr>
      </w:pPr>
      <w:r>
        <w:rPr>
          <w:rFonts w:ascii="Times New Roman" w:hAnsi="Times New Roman" w:cs="Times New Roman"/>
          <w:bCs/>
        </w:rPr>
        <w:t xml:space="preserve">The </w:t>
      </w:r>
      <w:r>
        <w:rPr>
          <w:rFonts w:ascii="Times New Roman" w:hAnsi="Times New Roman" w:cs="Times New Roman"/>
          <w:bCs/>
        </w:rPr>
        <w:t>Department</w:t>
      </w:r>
      <w:r w:rsidRPr="00A607D1">
        <w:rPr>
          <w:rFonts w:ascii="Times New Roman" w:hAnsi="Times New Roman" w:cs="Times New Roman"/>
          <w:bCs/>
        </w:rPr>
        <w:t xml:space="preserve"> </w:t>
      </w:r>
      <w:r w:rsidR="0007425C">
        <w:rPr>
          <w:rFonts w:ascii="Times New Roman" w:hAnsi="Times New Roman" w:cs="Times New Roman"/>
          <w:bCs/>
        </w:rPr>
        <w:t xml:space="preserve"> does</w:t>
      </w:r>
      <w:r w:rsidR="0007425C">
        <w:rPr>
          <w:rFonts w:ascii="Times New Roman" w:hAnsi="Times New Roman" w:cs="Times New Roman"/>
          <w:bCs/>
        </w:rPr>
        <w:t>, however,</w:t>
      </w:r>
      <w:r w:rsidRPr="00A607D1" w:rsidR="00586D0D">
        <w:rPr>
          <w:rFonts w:ascii="Times New Roman" w:hAnsi="Times New Roman" w:cs="Times New Roman"/>
          <w:bCs/>
        </w:rPr>
        <w:t xml:space="preserve"> </w:t>
      </w:r>
      <w:r>
        <w:rPr>
          <w:rFonts w:ascii="Times New Roman" w:hAnsi="Times New Roman" w:cs="Times New Roman"/>
          <w:bCs/>
        </w:rPr>
        <w:t xml:space="preserve">reduce burdens </w:t>
      </w:r>
      <w:r>
        <w:rPr>
          <w:rFonts w:ascii="Times New Roman" w:hAnsi="Times New Roman" w:cs="Times New Roman"/>
          <w:bCs/>
        </w:rPr>
        <w:t xml:space="preserve">through the </w:t>
      </w:r>
      <w:r w:rsidRPr="00A607D1" w:rsidR="00586D0D">
        <w:rPr>
          <w:rFonts w:ascii="Times New Roman" w:hAnsi="Times New Roman" w:cs="Times New Roman"/>
          <w:bCs/>
        </w:rPr>
        <w:t>use</w:t>
      </w:r>
      <w:r>
        <w:rPr>
          <w:rFonts w:ascii="Times New Roman" w:hAnsi="Times New Roman" w:cs="Times New Roman"/>
          <w:bCs/>
        </w:rPr>
        <w:t xml:space="preserve"> of</w:t>
      </w:r>
      <w:r w:rsidRPr="00A607D1" w:rsidR="00586D0D">
        <w:rPr>
          <w:rFonts w:ascii="Times New Roman" w:hAnsi="Times New Roman" w:cs="Times New Roman"/>
          <w:bCs/>
        </w:rPr>
        <w:t xml:space="preserve"> a two-part application process.  </w:t>
      </w:r>
      <w:r>
        <w:rPr>
          <w:rFonts w:ascii="Times New Roman" w:hAnsi="Times New Roman" w:cs="Times New Roman"/>
          <w:bCs/>
        </w:rPr>
        <w:t>The Department</w:t>
      </w:r>
      <w:r w:rsidRPr="00A607D1">
        <w:rPr>
          <w:rFonts w:ascii="Times New Roman" w:hAnsi="Times New Roman" w:cs="Times New Roman"/>
          <w:bCs/>
        </w:rPr>
        <w:t xml:space="preserve"> </w:t>
      </w:r>
      <w:r w:rsidRPr="00A607D1" w:rsidR="00664437">
        <w:rPr>
          <w:rFonts w:ascii="Times New Roman" w:hAnsi="Times New Roman" w:cs="Times New Roman"/>
          <w:bCs/>
        </w:rPr>
        <w:t>uses Part I of the application to screen for project eligibility and readiness to proceed before inviting an Applicant to submit Part II of the application.</w:t>
      </w:r>
      <w:r w:rsidRPr="00A607D1" w:rsidR="0089351E">
        <w:rPr>
          <w:rFonts w:ascii="Times New Roman" w:hAnsi="Times New Roman" w:cs="Times New Roman"/>
          <w:bCs/>
        </w:rPr>
        <w:t xml:space="preserve"> </w:t>
      </w:r>
      <w:r w:rsidRPr="00A607D1" w:rsidR="00664437">
        <w:rPr>
          <w:rFonts w:ascii="Times New Roman" w:hAnsi="Times New Roman" w:cs="Times New Roman"/>
          <w:bCs/>
        </w:rPr>
        <w:t xml:space="preserve"> </w:t>
      </w:r>
      <w:r w:rsidRPr="00A607D1" w:rsidR="00F77C5E">
        <w:rPr>
          <w:rFonts w:ascii="Times New Roman" w:hAnsi="Times New Roman" w:cs="Times New Roman"/>
          <w:bCs/>
        </w:rPr>
        <w:t xml:space="preserve">The initial review </w:t>
      </w:r>
      <w:r w:rsidRPr="00A607D1" w:rsidR="002052D6">
        <w:rPr>
          <w:rFonts w:ascii="Times New Roman" w:hAnsi="Times New Roman" w:cs="Times New Roman"/>
          <w:bCs/>
        </w:rPr>
        <w:t xml:space="preserve">conducted </w:t>
      </w:r>
      <w:r>
        <w:rPr>
          <w:rFonts w:ascii="Times New Roman" w:hAnsi="Times New Roman" w:cs="Times New Roman"/>
          <w:bCs/>
        </w:rPr>
        <w:t>under</w:t>
      </w:r>
      <w:r w:rsidRPr="00A607D1">
        <w:rPr>
          <w:rFonts w:ascii="Times New Roman" w:hAnsi="Times New Roman" w:cs="Times New Roman"/>
          <w:bCs/>
        </w:rPr>
        <w:t xml:space="preserve"> </w:t>
      </w:r>
      <w:r w:rsidRPr="00A607D1" w:rsidR="00F77C5E">
        <w:rPr>
          <w:rFonts w:ascii="Times New Roman" w:hAnsi="Times New Roman" w:cs="Times New Roman"/>
          <w:bCs/>
        </w:rPr>
        <w:t>Part I</w:t>
      </w:r>
      <w:r w:rsidRPr="00A607D1" w:rsidR="00C131B8">
        <w:rPr>
          <w:rFonts w:ascii="Times New Roman" w:hAnsi="Times New Roman" w:cs="Times New Roman"/>
          <w:bCs/>
        </w:rPr>
        <w:t xml:space="preserve"> may save Applicants the costs of submitting Part II for projects </w:t>
      </w:r>
      <w:r>
        <w:rPr>
          <w:rFonts w:ascii="Times New Roman" w:hAnsi="Times New Roman" w:cs="Times New Roman"/>
          <w:bCs/>
        </w:rPr>
        <w:t>the Department</w:t>
      </w:r>
      <w:r w:rsidRPr="00A607D1">
        <w:rPr>
          <w:rFonts w:ascii="Times New Roman" w:hAnsi="Times New Roman" w:cs="Times New Roman"/>
          <w:bCs/>
        </w:rPr>
        <w:t xml:space="preserve"> </w:t>
      </w:r>
      <w:r w:rsidRPr="00A607D1" w:rsidR="002052D6">
        <w:rPr>
          <w:rFonts w:ascii="Times New Roman" w:hAnsi="Times New Roman" w:cs="Times New Roman"/>
          <w:bCs/>
        </w:rPr>
        <w:t>does not expect to</w:t>
      </w:r>
      <w:r w:rsidRPr="00A607D1" w:rsidR="00586D0D">
        <w:rPr>
          <w:rFonts w:ascii="Times New Roman" w:hAnsi="Times New Roman" w:cs="Times New Roman"/>
          <w:bCs/>
        </w:rPr>
        <w:t xml:space="preserve"> successfully proceed</w:t>
      </w:r>
      <w:r w:rsidRPr="00A607D1" w:rsidR="002052D6">
        <w:rPr>
          <w:rFonts w:ascii="Times New Roman" w:hAnsi="Times New Roman" w:cs="Times New Roman"/>
          <w:bCs/>
        </w:rPr>
        <w:t xml:space="preserve"> through the </w:t>
      </w:r>
      <w:r>
        <w:rPr>
          <w:rFonts w:ascii="Times New Roman" w:hAnsi="Times New Roman" w:cs="Times New Roman"/>
          <w:bCs/>
        </w:rPr>
        <w:t xml:space="preserve">Title XVII </w:t>
      </w:r>
      <w:r w:rsidRPr="00A607D1" w:rsidR="002052D6">
        <w:rPr>
          <w:rFonts w:ascii="Times New Roman" w:hAnsi="Times New Roman" w:cs="Times New Roman"/>
          <w:bCs/>
        </w:rPr>
        <w:t>program</w:t>
      </w:r>
      <w:r w:rsidRPr="00A607D1" w:rsidR="001541B6">
        <w:rPr>
          <w:rFonts w:ascii="Times New Roman" w:hAnsi="Times New Roman" w:cs="Times New Roman"/>
          <w:bCs/>
        </w:rPr>
        <w:t>.</w:t>
      </w:r>
      <w:r w:rsidR="00287D01">
        <w:rPr>
          <w:rFonts w:ascii="Times New Roman" w:hAnsi="Times New Roman" w:cs="Times New Roman"/>
          <w:bCs/>
        </w:rPr>
        <w:t xml:space="preserve"> T</w:t>
      </w:r>
      <w:r w:rsidRPr="00365853" w:rsidR="00287D01">
        <w:rPr>
          <w:rFonts w:ascii="Times New Roman" w:hAnsi="Times New Roman" w:cs="Times New Roman"/>
          <w:bCs/>
        </w:rPr>
        <w:t>herefore</w:t>
      </w:r>
      <w:r w:rsidR="00560A6E">
        <w:rPr>
          <w:rFonts w:ascii="Times New Roman" w:hAnsi="Times New Roman" w:cs="Times New Roman"/>
          <w:bCs/>
        </w:rPr>
        <w:t>,</w:t>
      </w:r>
      <w:r w:rsidR="00DD6B83">
        <w:rPr>
          <w:rFonts w:ascii="Times New Roman" w:hAnsi="Times New Roman" w:cs="Times New Roman"/>
          <w:bCs/>
        </w:rPr>
        <w:t xml:space="preserve"> the Department believes requir</w:t>
      </w:r>
      <w:r w:rsidR="00307525">
        <w:rPr>
          <w:rFonts w:ascii="Times New Roman" w:hAnsi="Times New Roman" w:cs="Times New Roman"/>
          <w:bCs/>
        </w:rPr>
        <w:t>ing</w:t>
      </w:r>
      <w:r w:rsidR="00DD6B83">
        <w:rPr>
          <w:rFonts w:ascii="Times New Roman" w:hAnsi="Times New Roman" w:cs="Times New Roman"/>
          <w:bCs/>
        </w:rPr>
        <w:t xml:space="preserve"> </w:t>
      </w:r>
      <w:r w:rsidR="00560A6E">
        <w:rPr>
          <w:rFonts w:ascii="Times New Roman" w:hAnsi="Times New Roman" w:cs="Times New Roman"/>
          <w:bCs/>
        </w:rPr>
        <w:t>a</w:t>
      </w:r>
      <w:r w:rsidRPr="00365853" w:rsidR="00560A6E">
        <w:rPr>
          <w:rFonts w:ascii="Times New Roman" w:hAnsi="Times New Roman" w:cs="Times New Roman"/>
          <w:bCs/>
        </w:rPr>
        <w:t xml:space="preserve">n Applicant </w:t>
      </w:r>
      <w:r w:rsidR="00307525">
        <w:rPr>
          <w:rFonts w:ascii="Times New Roman" w:hAnsi="Times New Roman" w:cs="Times New Roman"/>
          <w:bCs/>
        </w:rPr>
        <w:t>to submit a single</w:t>
      </w:r>
      <w:r w:rsidR="00560A6E">
        <w:rPr>
          <w:rFonts w:ascii="Times New Roman" w:hAnsi="Times New Roman" w:cs="Times New Roman"/>
          <w:bCs/>
        </w:rPr>
        <w:t xml:space="preserve"> </w:t>
      </w:r>
      <w:r w:rsidR="00CD13A2">
        <w:rPr>
          <w:rFonts w:ascii="Times New Roman" w:hAnsi="Times New Roman" w:cs="Times New Roman"/>
          <w:bCs/>
        </w:rPr>
        <w:t>(</w:t>
      </w:r>
      <w:r w:rsidR="00560A6E">
        <w:rPr>
          <w:rFonts w:ascii="Times New Roman" w:hAnsi="Times New Roman" w:cs="Times New Roman"/>
          <w:bCs/>
        </w:rPr>
        <w:t>two-part</w:t>
      </w:r>
      <w:r w:rsidR="00CD13A2">
        <w:rPr>
          <w:rFonts w:ascii="Times New Roman" w:hAnsi="Times New Roman" w:cs="Times New Roman"/>
          <w:bCs/>
        </w:rPr>
        <w:t>)</w:t>
      </w:r>
      <w:r w:rsidRPr="00365853" w:rsidR="00560A6E">
        <w:rPr>
          <w:rFonts w:ascii="Times New Roman" w:hAnsi="Times New Roman" w:cs="Times New Roman"/>
          <w:bCs/>
        </w:rPr>
        <w:t xml:space="preserve"> application </w:t>
      </w:r>
      <w:r w:rsidR="00DD6B83">
        <w:rPr>
          <w:rFonts w:ascii="Times New Roman" w:hAnsi="Times New Roman" w:cs="Times New Roman"/>
          <w:bCs/>
        </w:rPr>
        <w:t xml:space="preserve">has appropriately reduced </w:t>
      </w:r>
      <w:r w:rsidR="001079B9">
        <w:rPr>
          <w:rFonts w:ascii="Times New Roman" w:hAnsi="Times New Roman" w:cs="Times New Roman"/>
          <w:bCs/>
        </w:rPr>
        <w:t xml:space="preserve">some </w:t>
      </w:r>
      <w:r>
        <w:rPr>
          <w:rFonts w:ascii="Times New Roman" w:hAnsi="Times New Roman" w:cs="Times New Roman"/>
          <w:bCs/>
        </w:rPr>
        <w:t>burden</w:t>
      </w:r>
      <w:r w:rsidR="001079B9">
        <w:rPr>
          <w:rFonts w:ascii="Times New Roman" w:hAnsi="Times New Roman" w:cs="Times New Roman"/>
          <w:bCs/>
        </w:rPr>
        <w:t>s</w:t>
      </w:r>
      <w:r>
        <w:rPr>
          <w:rFonts w:ascii="Times New Roman" w:hAnsi="Times New Roman" w:cs="Times New Roman"/>
          <w:bCs/>
        </w:rPr>
        <w:t>.</w:t>
      </w:r>
      <w:r w:rsidRPr="00A607D1">
        <w:rPr>
          <w:rFonts w:ascii="Times New Roman" w:hAnsi="Times New Roman" w:cs="Times New Roman"/>
          <w:bCs/>
        </w:rPr>
        <w:t xml:space="preserve"> </w:t>
      </w:r>
    </w:p>
    <w:p w:rsidR="008C734C" w:rsidRPr="00106C21" w:rsidP="005A73A8" w14:paraId="2A49B40F" w14:textId="77777777">
      <w:pPr>
        <w:pStyle w:val="Heading2"/>
        <w:rPr>
          <w:rFonts w:ascii="Times New Roman" w:hAnsi="Times New Roman" w:cs="Times New Roman"/>
        </w:rPr>
      </w:pPr>
      <w:bookmarkStart w:id="9" w:name="_Toc16271325"/>
      <w:r w:rsidRPr="00106C21">
        <w:rPr>
          <w:rFonts w:ascii="Times New Roman" w:hAnsi="Times New Roman" w:cs="Times New Roman"/>
        </w:rPr>
        <w:t>A.</w:t>
      </w:r>
      <w:r w:rsidRPr="00106C21" w:rsidR="00A41763">
        <w:rPr>
          <w:rFonts w:ascii="Times New Roman" w:hAnsi="Times New Roman" w:cs="Times New Roman"/>
        </w:rPr>
        <w:t xml:space="preserve">7. </w:t>
      </w:r>
      <w:r w:rsidRPr="00106C21">
        <w:rPr>
          <w:rFonts w:ascii="Times New Roman" w:hAnsi="Times New Roman" w:cs="Times New Roman"/>
        </w:rPr>
        <w:t>Compliance with 5 CFR 1320.5</w:t>
      </w:r>
      <w:bookmarkEnd w:id="9"/>
    </w:p>
    <w:p w:rsidR="00DB6FBD" w:rsidRPr="00106C21" w:rsidP="00A41763" w14:paraId="688D70B3" w14:textId="77777777">
      <w:pPr>
        <w:rPr>
          <w:rFonts w:ascii="Times New Roman" w:hAnsi="Times New Roman" w:cs="Times New Roman"/>
          <w:b/>
          <w:bCs/>
        </w:rPr>
      </w:pPr>
      <w:r w:rsidRPr="00106C21">
        <w:rPr>
          <w:rFonts w:ascii="Times New Roman" w:hAnsi="Times New Roman" w:cs="Times New Roman"/>
          <w:b/>
          <w:bCs/>
        </w:rPr>
        <w:t xml:space="preserve">Explain any special circumstances that require the collection to be conducted in a manner inconsistent with OMB guidelines: </w:t>
      </w:r>
    </w:p>
    <w:p w:rsidR="00DB6FBD" w:rsidRPr="00106C21" w:rsidP="00A41763" w14:paraId="15296749" w14:textId="77777777">
      <w:pPr>
        <w:rPr>
          <w:rFonts w:ascii="Times New Roman" w:hAnsi="Times New Roman" w:cs="Times New Roman"/>
          <w:b/>
          <w:bCs/>
        </w:rPr>
      </w:pPr>
      <w:r w:rsidRPr="00106C21">
        <w:rPr>
          <w:rFonts w:ascii="Times New Roman" w:hAnsi="Times New Roman" w:cs="Times New Roman"/>
          <w:b/>
          <w:bCs/>
        </w:rPr>
        <w:t xml:space="preserve">(a) requiring respondents to report information to the agency more often than </w:t>
      </w:r>
      <w:r w:rsidRPr="00106C21">
        <w:rPr>
          <w:rFonts w:ascii="Times New Roman" w:hAnsi="Times New Roman" w:cs="Times New Roman"/>
          <w:b/>
          <w:bCs/>
        </w:rPr>
        <w:t>quarterly;</w:t>
      </w:r>
      <w:r w:rsidRPr="00106C21">
        <w:rPr>
          <w:rFonts w:ascii="Times New Roman" w:hAnsi="Times New Roman" w:cs="Times New Roman"/>
          <w:b/>
          <w:bCs/>
        </w:rPr>
        <w:t xml:space="preserve"> </w:t>
      </w:r>
    </w:p>
    <w:p w:rsidR="00DB6FBD" w:rsidRPr="00106C21" w:rsidP="00A41763" w14:paraId="706C1057" w14:textId="77777777">
      <w:pPr>
        <w:rPr>
          <w:rFonts w:ascii="Times New Roman" w:hAnsi="Times New Roman" w:cs="Times New Roman"/>
          <w:b/>
          <w:bCs/>
        </w:rPr>
      </w:pPr>
      <w:r w:rsidRPr="00106C21">
        <w:rPr>
          <w:rFonts w:ascii="Times New Roman" w:hAnsi="Times New Roman" w:cs="Times New Roman"/>
          <w:b/>
          <w:bCs/>
        </w:rPr>
        <w:t xml:space="preserve">(b) requiring respondents to prepare a written response to a collection of information in fewer than 30 days after receipt of </w:t>
      </w:r>
      <w:r w:rsidRPr="00106C21">
        <w:rPr>
          <w:rFonts w:ascii="Times New Roman" w:hAnsi="Times New Roman" w:cs="Times New Roman"/>
          <w:b/>
          <w:bCs/>
        </w:rPr>
        <w:t>it;</w:t>
      </w:r>
      <w:r w:rsidRPr="00106C21">
        <w:rPr>
          <w:rFonts w:ascii="Times New Roman" w:hAnsi="Times New Roman" w:cs="Times New Roman"/>
          <w:b/>
          <w:bCs/>
        </w:rPr>
        <w:t xml:space="preserve"> </w:t>
      </w:r>
    </w:p>
    <w:p w:rsidR="00DB6FBD" w:rsidRPr="00106C21" w:rsidP="00A41763" w14:paraId="7CBBDBFA" w14:textId="77777777">
      <w:pPr>
        <w:rPr>
          <w:rFonts w:ascii="Times New Roman" w:hAnsi="Times New Roman" w:cs="Times New Roman"/>
          <w:b/>
          <w:bCs/>
        </w:rPr>
      </w:pPr>
      <w:r w:rsidRPr="00106C21">
        <w:rPr>
          <w:rFonts w:ascii="Times New Roman" w:hAnsi="Times New Roman" w:cs="Times New Roman"/>
          <w:b/>
          <w:bCs/>
        </w:rPr>
        <w:t xml:space="preserve">(c) requiring respondents to submit more than an original and two copies of any </w:t>
      </w:r>
      <w:r w:rsidRPr="00106C21">
        <w:rPr>
          <w:rFonts w:ascii="Times New Roman" w:hAnsi="Times New Roman" w:cs="Times New Roman"/>
          <w:b/>
          <w:bCs/>
        </w:rPr>
        <w:t>document;</w:t>
      </w:r>
      <w:r w:rsidRPr="00106C21">
        <w:rPr>
          <w:rFonts w:ascii="Times New Roman" w:hAnsi="Times New Roman" w:cs="Times New Roman"/>
          <w:b/>
          <w:bCs/>
        </w:rPr>
        <w:t xml:space="preserve"> </w:t>
      </w:r>
    </w:p>
    <w:p w:rsidR="00DB6FBD" w:rsidRPr="00106C21" w:rsidP="00A41763" w14:paraId="4DF3081F" w14:textId="77777777">
      <w:pPr>
        <w:rPr>
          <w:rFonts w:ascii="Times New Roman" w:hAnsi="Times New Roman" w:cs="Times New Roman"/>
          <w:b/>
          <w:bCs/>
        </w:rPr>
      </w:pPr>
      <w:r w:rsidRPr="00106C21">
        <w:rPr>
          <w:rFonts w:ascii="Times New Roman" w:hAnsi="Times New Roman" w:cs="Times New Roman"/>
          <w:b/>
          <w:bCs/>
        </w:rPr>
        <w:t xml:space="preserve">(d) requiring respondents to retain records, other than health, medical government contract, grant-in-aid, or tax records, for more than three </w:t>
      </w:r>
      <w:r w:rsidRPr="00106C21">
        <w:rPr>
          <w:rFonts w:ascii="Times New Roman" w:hAnsi="Times New Roman" w:cs="Times New Roman"/>
          <w:b/>
          <w:bCs/>
        </w:rPr>
        <w:t>years;</w:t>
      </w:r>
      <w:r w:rsidRPr="00106C21">
        <w:rPr>
          <w:rFonts w:ascii="Times New Roman" w:hAnsi="Times New Roman" w:cs="Times New Roman"/>
          <w:b/>
          <w:bCs/>
        </w:rPr>
        <w:t xml:space="preserve"> </w:t>
      </w:r>
    </w:p>
    <w:p w:rsidR="00DB6FBD" w:rsidRPr="00106C21" w:rsidP="00A41763" w14:paraId="7F8B624D" w14:textId="575B56EA">
      <w:pPr>
        <w:rPr>
          <w:rFonts w:ascii="Times New Roman" w:hAnsi="Times New Roman" w:cs="Times New Roman"/>
          <w:b/>
          <w:bCs/>
        </w:rPr>
      </w:pPr>
      <w:r w:rsidRPr="00106C21">
        <w:rPr>
          <w:rFonts w:ascii="Times New Roman" w:hAnsi="Times New Roman" w:cs="Times New Roman"/>
          <w:b/>
          <w:bCs/>
        </w:rPr>
        <w:t>(e) in connection with a statistical survey, that is not designed to produc</w:t>
      </w:r>
      <w:r w:rsidRPr="00106C21" w:rsidR="008F25A3">
        <w:rPr>
          <w:rFonts w:ascii="Times New Roman" w:hAnsi="Times New Roman" w:cs="Times New Roman"/>
          <w:b/>
          <w:bCs/>
        </w:rPr>
        <w:t>e</w:t>
      </w:r>
      <w:r w:rsidRPr="00106C21">
        <w:rPr>
          <w:rFonts w:ascii="Times New Roman" w:hAnsi="Times New Roman" w:cs="Times New Roman"/>
          <w:b/>
          <w:bCs/>
        </w:rPr>
        <w:t xml:space="preserve"> valid and reliable results that can be generalized to the universe of </w:t>
      </w:r>
      <w:r w:rsidRPr="00106C21">
        <w:rPr>
          <w:rFonts w:ascii="Times New Roman" w:hAnsi="Times New Roman" w:cs="Times New Roman"/>
          <w:b/>
          <w:bCs/>
        </w:rPr>
        <w:t>study;</w:t>
      </w:r>
      <w:r w:rsidRPr="00106C21">
        <w:rPr>
          <w:rFonts w:ascii="Times New Roman" w:hAnsi="Times New Roman" w:cs="Times New Roman"/>
          <w:b/>
          <w:bCs/>
        </w:rPr>
        <w:t xml:space="preserve"> </w:t>
      </w:r>
    </w:p>
    <w:p w:rsidR="00DB6FBD" w:rsidRPr="00106C21" w:rsidP="00A41763" w14:paraId="21472A65" w14:textId="77777777">
      <w:pPr>
        <w:rPr>
          <w:rFonts w:ascii="Times New Roman" w:hAnsi="Times New Roman" w:cs="Times New Roman"/>
          <w:b/>
          <w:bCs/>
        </w:rPr>
      </w:pPr>
      <w:r w:rsidRPr="00106C21">
        <w:rPr>
          <w:rFonts w:ascii="Times New Roman" w:hAnsi="Times New Roman" w:cs="Times New Roman"/>
          <w:b/>
          <w:bCs/>
        </w:rPr>
        <w:t xml:space="preserve">(f) requiring the use of statistical data classification that has not been reviewed and approved by </w:t>
      </w:r>
      <w:r w:rsidRPr="00106C21">
        <w:rPr>
          <w:rFonts w:ascii="Times New Roman" w:hAnsi="Times New Roman" w:cs="Times New Roman"/>
          <w:b/>
          <w:bCs/>
        </w:rPr>
        <w:t>OMB;</w:t>
      </w:r>
      <w:r w:rsidRPr="00106C21">
        <w:rPr>
          <w:rFonts w:ascii="Times New Roman" w:hAnsi="Times New Roman" w:cs="Times New Roman"/>
          <w:b/>
          <w:bCs/>
        </w:rPr>
        <w:t xml:space="preserve"> </w:t>
      </w:r>
    </w:p>
    <w:p w:rsidR="00DB6FBD" w:rsidRPr="00106C21" w:rsidP="00A41763" w14:paraId="4232396F" w14:textId="77777777">
      <w:pPr>
        <w:rPr>
          <w:rFonts w:ascii="Times New Roman" w:hAnsi="Times New Roman" w:cs="Times New Roman"/>
          <w:b/>
          <w:bCs/>
        </w:rPr>
      </w:pPr>
      <w:r w:rsidRPr="00106C21">
        <w:rPr>
          <w:rFonts w:ascii="Times New Roman" w:hAnsi="Times New Roman" w:cs="Times New Roman"/>
          <w:b/>
          <w:bCs/>
        </w:rPr>
        <w:t xml:space="preserve">(g) that includes a pledge of </w:t>
      </w:r>
      <w:r w:rsidRPr="00106C21">
        <w:rPr>
          <w:rFonts w:ascii="Times New Roman" w:hAnsi="Times New Roman" w:cs="Times New Roman"/>
          <w:b/>
          <w:bCs/>
        </w:rPr>
        <w:t>confidentially</w:t>
      </w:r>
      <w:r w:rsidRPr="00106C21">
        <w:rPr>
          <w:rFonts w:ascii="Times New Roman" w:hAnsi="Times New Roman" w:cs="Times New Roman"/>
          <w:b/>
          <w:bCs/>
        </w:rPr>
        <w:t xml:space="preserve"> that is not supported by authority established in stature of regulation, that is not supported by disclosure and data security policies that are consistent with </w:t>
      </w:r>
      <w:r w:rsidRPr="00106C21">
        <w:rPr>
          <w:rFonts w:ascii="Times New Roman" w:hAnsi="Times New Roman" w:cs="Times New Roman"/>
          <w:b/>
          <w:bCs/>
        </w:rPr>
        <w:t>the pledge, or which unnecessarily impedes sharing of data with other agencies for compatible confidential use; or</w:t>
      </w:r>
    </w:p>
    <w:p w:rsidR="00A41763" w:rsidRPr="00106C21" w:rsidP="00A41763" w14:paraId="1BD241E0" w14:textId="77777777">
      <w:pPr>
        <w:rPr>
          <w:rFonts w:ascii="Times New Roman" w:hAnsi="Times New Roman" w:cs="Times New Roman"/>
        </w:rPr>
      </w:pPr>
      <w:r w:rsidRPr="00106C21">
        <w:rPr>
          <w:rFonts w:ascii="Times New Roman" w:hAnsi="Times New Roman" w:cs="Times New Roman"/>
          <w:b/>
          <w:bCs/>
        </w:rPr>
        <w:t xml:space="preserve">(h) </w:t>
      </w:r>
      <w:r w:rsidRPr="00106C21">
        <w:rPr>
          <w:rFonts w:ascii="Times New Roman" w:hAnsi="Times New Roman" w:cs="Times New Roman"/>
          <w:b/>
          <w:bCs/>
        </w:rPr>
        <w:t>requiring</w:t>
      </w:r>
      <w:r w:rsidRPr="00106C21">
        <w:rPr>
          <w:rFonts w:ascii="Times New Roman" w:hAnsi="Times New Roman" w:cs="Times New Roman"/>
          <w:b/>
          <w:bCs/>
        </w:rPr>
        <w:t xml:space="preserve"> respondents to submit proprietary trade secrets, or other confidential information unless the agency can demonstrate that it has instituted procedures to protect the information’s confidentiality to the extent permitted by law. </w:t>
      </w:r>
    </w:p>
    <w:p w:rsidR="003500EF" w:rsidRPr="00A607D1" w:rsidP="00A607D1" w14:paraId="6EBDC035" w14:textId="7A907408">
      <w:pPr>
        <w:rPr>
          <w:rFonts w:ascii="Times New Roman" w:hAnsi="Times New Roman" w:cs="Times New Roman"/>
          <w:bCs/>
        </w:rPr>
      </w:pPr>
      <w:r w:rsidRPr="00A607D1">
        <w:rPr>
          <w:rFonts w:ascii="Times New Roman" w:hAnsi="Times New Roman" w:cs="Times New Roman"/>
          <w:bCs/>
        </w:rPr>
        <w:t>The ICR is consistent with OMB guidelines.  No special circumstances require the ICR to be conducted in a manner inconsistent with OMB guidelines.</w:t>
      </w:r>
    </w:p>
    <w:p w:rsidR="008C734C" w:rsidRPr="00106C21" w:rsidP="005A73A8" w14:paraId="74C8DEA2" w14:textId="77777777">
      <w:pPr>
        <w:pStyle w:val="Heading2"/>
        <w:rPr>
          <w:rFonts w:ascii="Times New Roman" w:hAnsi="Times New Roman" w:cs="Times New Roman"/>
        </w:rPr>
      </w:pPr>
      <w:bookmarkStart w:id="10" w:name="_Toc16271326"/>
      <w:r w:rsidRPr="00106C21">
        <w:rPr>
          <w:rFonts w:ascii="Times New Roman" w:hAnsi="Times New Roman" w:cs="Times New Roman"/>
        </w:rPr>
        <w:t>A.</w:t>
      </w:r>
      <w:r w:rsidRPr="00106C21" w:rsidR="00A41763">
        <w:rPr>
          <w:rFonts w:ascii="Times New Roman" w:hAnsi="Times New Roman" w:cs="Times New Roman"/>
        </w:rPr>
        <w:t xml:space="preserve">8. </w:t>
      </w:r>
      <w:r w:rsidRPr="00106C21">
        <w:rPr>
          <w:rFonts w:ascii="Times New Roman" w:hAnsi="Times New Roman" w:cs="Times New Roman"/>
        </w:rPr>
        <w:t>Summary of Consultations Outside of the Agency</w:t>
      </w:r>
      <w:bookmarkEnd w:id="10"/>
    </w:p>
    <w:p w:rsidR="003500EF" w:rsidRPr="00A607D1" w:rsidP="00A607D1" w14:paraId="25BE2F0A" w14:textId="6CA84831">
      <w:pPr>
        <w:rPr>
          <w:rFonts w:ascii="Times New Roman" w:hAnsi="Times New Roman" w:cs="Times New Roman"/>
          <w:bCs/>
        </w:rPr>
      </w:pPr>
      <w:r w:rsidRPr="00106C21">
        <w:rPr>
          <w:rFonts w:ascii="Times New Roman" w:hAnsi="Times New Roman" w:cs="Times New Roman"/>
          <w:b/>
          <w:bCs/>
        </w:rPr>
        <w:t xml:space="preserve">If applicable, provide a copy and identify the date and page number of </w:t>
      </w:r>
      <w:r w:rsidRPr="00106C21">
        <w:rPr>
          <w:rFonts w:ascii="Times New Roman" w:hAnsi="Times New Roman" w:cs="Times New Roman"/>
          <w:b/>
          <w:bCs/>
        </w:rPr>
        <w:t>publication</w:t>
      </w:r>
      <w:r w:rsidRPr="00106C21">
        <w:rPr>
          <w:rFonts w:ascii="Times New Roman" w:hAnsi="Times New Roman" w:cs="Times New Roman"/>
          <w:b/>
          <w:bCs/>
        </w:rPr>
        <w:t xml:space="preserve"> in the Federal Register of the agency’s notice, required by 5</w:t>
      </w:r>
      <w:r>
        <w:rPr>
          <w:rFonts w:ascii="Times New Roman" w:hAnsi="Times New Roman" w:cs="Times New Roman"/>
          <w:b/>
          <w:bCs/>
        </w:rPr>
        <w:t xml:space="preserve"> </w:t>
      </w:r>
      <w:r w:rsidRPr="00106C21">
        <w:rPr>
          <w:rFonts w:ascii="Times New Roman" w:hAnsi="Times New Roman" w:cs="Times New Roman"/>
          <w:b/>
          <w:bCs/>
        </w:rPr>
        <w:t xml:space="preserve">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w:t>
      </w:r>
      <w:r w:rsidRPr="00106C21">
        <w:rPr>
          <w:rFonts w:ascii="Times New Roman" w:hAnsi="Times New Roman" w:cs="Times New Roman"/>
          <w:b/>
          <w:bCs/>
        </w:rPr>
        <w:t>persons</w:t>
      </w:r>
      <w:r w:rsidRPr="00106C21">
        <w:rPr>
          <w:rFonts w:ascii="Times New Roman" w:hAnsi="Times New Roman" w:cs="Times New Roman"/>
          <w:b/>
          <w:bCs/>
        </w:rPr>
        <w:t xml:space="preserve"> outside DOE to obtain their views on the availability of data, frequency of collection, the clarity of instructions and recordkeeping, disclosure, or reporting format (if any), and on the data elements to be recorded, disclosed, or report.</w:t>
      </w:r>
    </w:p>
    <w:p w:rsidR="001C2B95" w:rsidRPr="001C2B95" w:rsidP="001C2B95" w14:paraId="2F301689" w14:textId="33FB2CEB">
      <w:pPr>
        <w:rPr>
          <w:rFonts w:ascii="Times New Roman" w:hAnsi="Times New Roman" w:cs="Times New Roman"/>
          <w:bCs/>
        </w:rPr>
      </w:pPr>
      <w:r w:rsidRPr="001C2B95">
        <w:rPr>
          <w:rFonts w:ascii="Times New Roman" w:hAnsi="Times New Roman" w:cs="Times New Roman"/>
          <w:bCs/>
        </w:rPr>
        <w:t xml:space="preserve">On February 18, 2026, </w:t>
      </w:r>
      <w:r>
        <w:rPr>
          <w:rFonts w:ascii="Times New Roman" w:hAnsi="Times New Roman" w:cs="Times New Roman"/>
          <w:bCs/>
        </w:rPr>
        <w:t>the Department</w:t>
      </w:r>
      <w:r w:rsidRPr="001C2B95">
        <w:rPr>
          <w:rFonts w:ascii="Times New Roman" w:hAnsi="Times New Roman" w:cs="Times New Roman"/>
          <w:bCs/>
        </w:rPr>
        <w:t xml:space="preserve"> published in the </w:t>
      </w:r>
      <w:r w:rsidRPr="00AD22F5">
        <w:rPr>
          <w:rFonts w:ascii="Times New Roman" w:hAnsi="Times New Roman" w:cs="Times New Roman"/>
          <w:bCs/>
          <w:i/>
          <w:iCs/>
        </w:rPr>
        <w:t>Federal</w:t>
      </w:r>
      <w:r w:rsidRPr="001C2B95">
        <w:rPr>
          <w:rFonts w:ascii="Times New Roman" w:hAnsi="Times New Roman" w:cs="Times New Roman"/>
          <w:bCs/>
        </w:rPr>
        <w:t xml:space="preserve"> </w:t>
      </w:r>
      <w:r w:rsidRPr="00AD22F5">
        <w:rPr>
          <w:rFonts w:ascii="Times New Roman" w:hAnsi="Times New Roman" w:cs="Times New Roman"/>
          <w:bCs/>
          <w:i/>
          <w:iCs/>
        </w:rPr>
        <w:t>Register</w:t>
      </w:r>
      <w:r w:rsidRPr="001C2B95">
        <w:rPr>
          <w:rFonts w:ascii="Times New Roman" w:hAnsi="Times New Roman" w:cs="Times New Roman"/>
          <w:bCs/>
        </w:rPr>
        <w:t xml:space="preserve"> an initial notice and request for comment on </w:t>
      </w:r>
      <w:r w:rsidR="00776EF1">
        <w:rPr>
          <w:rFonts w:ascii="Times New Roman" w:hAnsi="Times New Roman" w:cs="Times New Roman"/>
          <w:bCs/>
        </w:rPr>
        <w:t>the</w:t>
      </w:r>
      <w:r w:rsidRPr="001C2B95">
        <w:rPr>
          <w:rFonts w:ascii="Times New Roman" w:hAnsi="Times New Roman" w:cs="Times New Roman"/>
          <w:bCs/>
        </w:rPr>
        <w:t xml:space="preserve"> proposed information collection (91 FR 7469). That public comment period concluded on April 20, 2026. One comment was received. </w:t>
      </w:r>
      <w:r w:rsidR="00D50F27">
        <w:rPr>
          <w:rFonts w:ascii="Times New Roman" w:hAnsi="Times New Roman" w:cs="Times New Roman"/>
          <w:bCs/>
        </w:rPr>
        <w:t>The Department</w:t>
      </w:r>
      <w:r w:rsidRPr="001C2B95">
        <w:rPr>
          <w:rFonts w:ascii="Times New Roman" w:hAnsi="Times New Roman" w:cs="Times New Roman"/>
          <w:bCs/>
        </w:rPr>
        <w:t xml:space="preserve"> has considered the comment</w:t>
      </w:r>
      <w:r w:rsidR="004C5661">
        <w:rPr>
          <w:rFonts w:ascii="Times New Roman" w:hAnsi="Times New Roman" w:cs="Times New Roman"/>
          <w:bCs/>
        </w:rPr>
        <w:t>, which among other things requested</w:t>
      </w:r>
      <w:r w:rsidRPr="001C2B95">
        <w:rPr>
          <w:rFonts w:ascii="Times New Roman" w:hAnsi="Times New Roman" w:cs="Times New Roman"/>
          <w:bCs/>
        </w:rPr>
        <w:t xml:space="preserve"> DOE publish the basis of its proposed certification to OMB</w:t>
      </w:r>
      <w:r w:rsidR="000D21D8">
        <w:rPr>
          <w:rFonts w:ascii="Times New Roman" w:hAnsi="Times New Roman" w:cs="Times New Roman"/>
          <w:bCs/>
        </w:rPr>
        <w:t xml:space="preserve">. The comment specifically requested DOE </w:t>
      </w:r>
      <w:r w:rsidR="00CB0884">
        <w:rPr>
          <w:rFonts w:ascii="Times New Roman" w:hAnsi="Times New Roman" w:cs="Times New Roman"/>
          <w:bCs/>
        </w:rPr>
        <w:t>p</w:t>
      </w:r>
      <w:r w:rsidRPr="001F7507" w:rsidR="001F7507">
        <w:rPr>
          <w:rFonts w:ascii="Times New Roman" w:hAnsi="Times New Roman" w:cs="Times New Roman"/>
          <w:bCs/>
        </w:rPr>
        <w:t xml:space="preserve">ublish </w:t>
      </w:r>
      <w:r w:rsidR="00CB0884">
        <w:rPr>
          <w:rFonts w:ascii="Times New Roman" w:hAnsi="Times New Roman" w:cs="Times New Roman"/>
          <w:bCs/>
        </w:rPr>
        <w:t>this</w:t>
      </w:r>
      <w:r w:rsidRPr="001F7507" w:rsidR="001F7507">
        <w:rPr>
          <w:rFonts w:ascii="Times New Roman" w:hAnsi="Times New Roman" w:cs="Times New Roman"/>
          <w:bCs/>
        </w:rPr>
        <w:t xml:space="preserve"> supporting statement, </w:t>
      </w:r>
      <w:r w:rsidR="00CB0884">
        <w:rPr>
          <w:rFonts w:ascii="Times New Roman" w:hAnsi="Times New Roman" w:cs="Times New Roman"/>
          <w:bCs/>
        </w:rPr>
        <w:t xml:space="preserve">its </w:t>
      </w:r>
      <w:r w:rsidRPr="001F7507" w:rsidR="001F7507">
        <w:rPr>
          <w:rFonts w:ascii="Times New Roman" w:hAnsi="Times New Roman" w:cs="Times New Roman"/>
          <w:bCs/>
        </w:rPr>
        <w:t>burden model, and per-task wage assumptions before OMB disposition.</w:t>
      </w:r>
      <w:r w:rsidR="00CB0884">
        <w:rPr>
          <w:rFonts w:ascii="Times New Roman" w:hAnsi="Times New Roman" w:cs="Times New Roman"/>
          <w:bCs/>
        </w:rPr>
        <w:t xml:space="preserve"> </w:t>
      </w:r>
      <w:r w:rsidRPr="001C2B95">
        <w:rPr>
          <w:rFonts w:ascii="Times New Roman" w:hAnsi="Times New Roman" w:cs="Times New Roman"/>
          <w:bCs/>
        </w:rPr>
        <w:t xml:space="preserve">The docket web page </w:t>
      </w:r>
      <w:r w:rsidR="002F3BF9">
        <w:rPr>
          <w:rFonts w:ascii="Times New Roman" w:hAnsi="Times New Roman" w:cs="Times New Roman"/>
          <w:bCs/>
        </w:rPr>
        <w:t xml:space="preserve">associated with this ICR will contain this </w:t>
      </w:r>
      <w:r w:rsidRPr="001C2B95">
        <w:rPr>
          <w:rFonts w:ascii="Times New Roman" w:hAnsi="Times New Roman" w:cs="Times New Roman"/>
          <w:bCs/>
        </w:rPr>
        <w:t xml:space="preserve">Supporting Statement. It </w:t>
      </w:r>
      <w:r w:rsidR="002F3BF9">
        <w:rPr>
          <w:rFonts w:ascii="Times New Roman" w:hAnsi="Times New Roman" w:cs="Times New Roman"/>
          <w:bCs/>
        </w:rPr>
        <w:t xml:space="preserve">will be docketed under </w:t>
      </w:r>
      <w:r w:rsidRPr="001C2B95" w:rsidR="002F3BF9">
        <w:rPr>
          <w:rFonts w:ascii="Times New Roman" w:hAnsi="Times New Roman" w:cs="Times New Roman"/>
          <w:bCs/>
        </w:rPr>
        <w:t>DOE-HQ-2026-</w:t>
      </w:r>
      <w:r w:rsidRPr="001C2B95" w:rsidR="002F3BF9">
        <w:rPr>
          <w:rFonts w:ascii="Times New Roman" w:hAnsi="Times New Roman" w:cs="Times New Roman"/>
          <w:bCs/>
        </w:rPr>
        <w:t>0463</w:t>
      </w:r>
      <w:r w:rsidR="001D7419">
        <w:rPr>
          <w:rFonts w:ascii="Times New Roman" w:hAnsi="Times New Roman" w:cs="Times New Roman"/>
          <w:bCs/>
        </w:rPr>
        <w:t>, or</w:t>
      </w:r>
      <w:r w:rsidRPr="001C2B95">
        <w:rPr>
          <w:rFonts w:ascii="Times New Roman" w:hAnsi="Times New Roman" w:cs="Times New Roman"/>
          <w:bCs/>
        </w:rPr>
        <w:t xml:space="preserve"> found at www.regulations.gov/docket/DOE-HQ-2026-0463. </w:t>
      </w:r>
    </w:p>
    <w:p w:rsidR="00C13AA6" w:rsidRPr="00C13AA6" w:rsidP="0092519D" w14:paraId="2DC30C9C" w14:textId="38780BAC">
      <w:pPr>
        <w:rPr>
          <w:rFonts w:ascii="Times New Roman" w:hAnsi="Times New Roman" w:cs="Times New Roman"/>
          <w:bCs/>
        </w:rPr>
      </w:pPr>
      <w:r w:rsidRPr="001C2B95">
        <w:rPr>
          <w:rFonts w:ascii="Times New Roman" w:hAnsi="Times New Roman" w:cs="Times New Roman"/>
          <w:bCs/>
        </w:rPr>
        <w:t xml:space="preserve">As explained </w:t>
      </w:r>
      <w:r w:rsidR="002747D9">
        <w:rPr>
          <w:rFonts w:ascii="Times New Roman" w:hAnsi="Times New Roman" w:cs="Times New Roman"/>
          <w:bCs/>
        </w:rPr>
        <w:t>below</w:t>
      </w:r>
      <w:r w:rsidRPr="001C2B95">
        <w:rPr>
          <w:rFonts w:ascii="Times New Roman" w:hAnsi="Times New Roman" w:cs="Times New Roman"/>
          <w:bCs/>
        </w:rPr>
        <w:t xml:space="preserve">, DOE anticipates approximately the same number of respondents to the program. Where DOE once estimated </w:t>
      </w:r>
      <w:r w:rsidR="002259D6">
        <w:rPr>
          <w:rFonts w:ascii="Times New Roman" w:hAnsi="Times New Roman" w:cs="Times New Roman"/>
          <w:bCs/>
        </w:rPr>
        <w:t>92</w:t>
      </w:r>
      <w:r w:rsidRPr="001C2B95" w:rsidR="002259D6">
        <w:rPr>
          <w:rFonts w:ascii="Times New Roman" w:hAnsi="Times New Roman" w:cs="Times New Roman"/>
          <w:bCs/>
        </w:rPr>
        <w:t xml:space="preserve"> </w:t>
      </w:r>
      <w:r w:rsidRPr="001C2B95">
        <w:rPr>
          <w:rFonts w:ascii="Times New Roman" w:hAnsi="Times New Roman" w:cs="Times New Roman"/>
          <w:bCs/>
        </w:rPr>
        <w:t>applicants, it now assumes 100 applicants. DOE also anticipates approximately the same number of burden hours to produce an application. DOE notes that applicants</w:t>
      </w:r>
      <w:r w:rsidRPr="009561ED">
        <w:rPr>
          <w:rFonts w:ascii="Times New Roman" w:hAnsi="Times New Roman"/>
        </w:rPr>
        <w:t xml:space="preserve"> provide much of the same financial and technical information in the private sector when seeking financing for a project of similar complexity, size, and risk. For this reason, </w:t>
      </w:r>
      <w:r w:rsidRPr="001C2B95">
        <w:rPr>
          <w:rFonts w:ascii="Times New Roman" w:hAnsi="Times New Roman" w:cs="Times New Roman"/>
          <w:bCs/>
        </w:rPr>
        <w:t xml:space="preserve">DOE reverted to a prior estimate of 132.5 hours per application, </w:t>
      </w:r>
      <w:r w:rsidR="00315B57">
        <w:rPr>
          <w:rFonts w:ascii="Times New Roman" w:hAnsi="Times New Roman" w:cs="Times New Roman"/>
          <w:bCs/>
        </w:rPr>
        <w:t xml:space="preserve">excluding </w:t>
      </w:r>
      <w:r w:rsidRPr="001C2B95">
        <w:rPr>
          <w:rFonts w:ascii="Times New Roman" w:hAnsi="Times New Roman" w:cs="Times New Roman"/>
          <w:bCs/>
        </w:rPr>
        <w:t xml:space="preserve">14 hours attributable to a change in law (the elimination of the statutory requirement for an applicant to submit “an analysis of how the proposed project will engage with and affect associated communities” implemented in the form of a required “Community Benefits Plan”). </w:t>
      </w:r>
      <w:r w:rsidRPr="00AD22F5">
        <w:rPr>
          <w:rFonts w:ascii="Times New Roman" w:hAnsi="Times New Roman" w:cs="Times New Roman"/>
          <w:bCs/>
          <w:i/>
          <w:iCs/>
        </w:rPr>
        <w:t>See</w:t>
      </w:r>
      <w:r w:rsidRPr="001C2B95">
        <w:rPr>
          <w:rFonts w:ascii="Times New Roman" w:hAnsi="Times New Roman" w:cs="Times New Roman"/>
          <w:bCs/>
        </w:rPr>
        <w:t xml:space="preserve"> Pub. L. 119–21, Sec. 50403, 139 Stat. 153 (Jul. 4, 2025).  Finally, DOE applied 2025 hourly wage rates (published by the U.S. Bureau of Labor Statistics) by functional categories to estimate the cost burden to an applicant ($$33,711).  </w:t>
      </w:r>
    </w:p>
    <w:p w:rsidR="0094358A" w:rsidP="0094358A" w14:paraId="7783FA34" w14:textId="74AE301B">
      <w:pPr>
        <w:rPr>
          <w:rFonts w:ascii="Times New Roman" w:hAnsi="Times New Roman" w:cs="Times New Roman"/>
          <w:bCs/>
        </w:rPr>
      </w:pPr>
      <w:r>
        <w:rPr>
          <w:rFonts w:ascii="Times New Roman" w:hAnsi="Times New Roman" w:cs="Times New Roman"/>
          <w:bCs/>
        </w:rPr>
        <w:t xml:space="preserve">The Department </w:t>
      </w:r>
      <w:r w:rsidR="0092519D">
        <w:rPr>
          <w:rFonts w:ascii="Times New Roman" w:hAnsi="Times New Roman" w:cs="Times New Roman"/>
          <w:bCs/>
        </w:rPr>
        <w:t xml:space="preserve">also </w:t>
      </w:r>
      <w:r>
        <w:rPr>
          <w:rFonts w:ascii="Times New Roman" w:hAnsi="Times New Roman" w:cs="Times New Roman"/>
          <w:bCs/>
        </w:rPr>
        <w:t xml:space="preserve">published </w:t>
      </w:r>
      <w:r w:rsidRPr="007060F4" w:rsidR="007060F4">
        <w:rPr>
          <w:rFonts w:ascii="Times New Roman" w:hAnsi="Times New Roman" w:cs="Times New Roman"/>
          <w:bCs/>
        </w:rPr>
        <w:t xml:space="preserve">changes to 10 C.F.R. part 609 through the “Energy Dominance Financing Amendments” Interim Final Rule (“IFR”) at 90 </w:t>
      </w:r>
      <w:r w:rsidRPr="00213408" w:rsidR="007060F4">
        <w:rPr>
          <w:rFonts w:ascii="Times New Roman" w:hAnsi="Times New Roman" w:cs="Times New Roman"/>
          <w:bCs/>
          <w:i/>
          <w:iCs/>
        </w:rPr>
        <w:t>Fed</w:t>
      </w:r>
      <w:r w:rsidRPr="007060F4" w:rsidR="007060F4">
        <w:rPr>
          <w:rFonts w:ascii="Times New Roman" w:hAnsi="Times New Roman" w:cs="Times New Roman"/>
          <w:bCs/>
        </w:rPr>
        <w:t xml:space="preserve">. </w:t>
      </w:r>
      <w:r w:rsidRPr="00213408" w:rsidR="007060F4">
        <w:rPr>
          <w:rFonts w:ascii="Times New Roman" w:hAnsi="Times New Roman" w:cs="Times New Roman"/>
          <w:bCs/>
          <w:i/>
          <w:iCs/>
        </w:rPr>
        <w:t>Reg</w:t>
      </w:r>
      <w:r w:rsidRPr="007060F4" w:rsidR="007060F4">
        <w:rPr>
          <w:rFonts w:ascii="Times New Roman" w:hAnsi="Times New Roman" w:cs="Times New Roman"/>
          <w:bCs/>
        </w:rPr>
        <w:t>. 48705 on October 28, 2025</w:t>
      </w:r>
      <w:r w:rsidR="00175492">
        <w:rPr>
          <w:rFonts w:ascii="Times New Roman" w:hAnsi="Times New Roman" w:cs="Times New Roman"/>
          <w:bCs/>
        </w:rPr>
        <w:t xml:space="preserve">. </w:t>
      </w:r>
      <w:r w:rsidRPr="00175492" w:rsidR="00175492">
        <w:rPr>
          <w:rFonts w:ascii="Times New Roman" w:hAnsi="Times New Roman" w:cs="Times New Roman"/>
          <w:bCs/>
        </w:rPr>
        <w:t>OIRA</w:t>
      </w:r>
      <w:r w:rsidR="00175492">
        <w:rPr>
          <w:rFonts w:ascii="Times New Roman" w:hAnsi="Times New Roman" w:cs="Times New Roman"/>
          <w:bCs/>
        </w:rPr>
        <w:t xml:space="preserve"> </w:t>
      </w:r>
      <w:r w:rsidRPr="00175492" w:rsidR="00175492">
        <w:rPr>
          <w:rFonts w:ascii="Times New Roman" w:hAnsi="Times New Roman" w:cs="Times New Roman"/>
          <w:bCs/>
        </w:rPr>
        <w:t>determined t</w:t>
      </w:r>
      <w:r w:rsidR="00175492">
        <w:rPr>
          <w:rFonts w:ascii="Times New Roman" w:hAnsi="Times New Roman" w:cs="Times New Roman"/>
          <w:bCs/>
        </w:rPr>
        <w:t>he IFR was a “significant</w:t>
      </w:r>
      <w:r w:rsidRPr="00175492" w:rsidR="00175492">
        <w:rPr>
          <w:rFonts w:ascii="Times New Roman" w:hAnsi="Times New Roman" w:cs="Times New Roman"/>
          <w:bCs/>
        </w:rPr>
        <w:t xml:space="preserve"> regulatory action</w:t>
      </w:r>
      <w:r w:rsidR="00175492">
        <w:rPr>
          <w:rFonts w:ascii="Times New Roman" w:hAnsi="Times New Roman" w:cs="Times New Roman"/>
          <w:bCs/>
        </w:rPr>
        <w:t>”</w:t>
      </w:r>
      <w:r w:rsidR="00D80119">
        <w:rPr>
          <w:rFonts w:ascii="Times New Roman" w:hAnsi="Times New Roman" w:cs="Times New Roman"/>
          <w:bCs/>
        </w:rPr>
        <w:t xml:space="preserve"> </w:t>
      </w:r>
      <w:r w:rsidRPr="00D80119" w:rsidR="00D80119">
        <w:rPr>
          <w:rFonts w:ascii="Times New Roman" w:hAnsi="Times New Roman" w:cs="Times New Roman"/>
          <w:bCs/>
        </w:rPr>
        <w:t>under section 3(f) of E.O. 12866.</w:t>
      </w:r>
      <w:r w:rsidR="00D80119">
        <w:rPr>
          <w:rFonts w:ascii="Times New Roman" w:hAnsi="Times New Roman" w:cs="Times New Roman"/>
          <w:bCs/>
        </w:rPr>
        <w:t xml:space="preserve"> The IFR was also determined to be a</w:t>
      </w:r>
      <w:r>
        <w:rPr>
          <w:rFonts w:ascii="Times New Roman" w:hAnsi="Times New Roman" w:cs="Times New Roman"/>
          <w:bCs/>
        </w:rPr>
        <w:t xml:space="preserve">n </w:t>
      </w:r>
    </w:p>
    <w:p w:rsidR="00175492" w:rsidP="00AF3D93" w14:paraId="0EBB06C9" w14:textId="03A0DDC6">
      <w:pPr>
        <w:ind w:left="720"/>
        <w:rPr>
          <w:rFonts w:ascii="Times New Roman" w:hAnsi="Times New Roman" w:cs="Times New Roman"/>
          <w:bCs/>
        </w:rPr>
      </w:pPr>
      <w:r w:rsidRPr="0094358A">
        <w:rPr>
          <w:rFonts w:ascii="Times New Roman" w:hAnsi="Times New Roman" w:cs="Times New Roman"/>
          <w:bCs/>
        </w:rPr>
        <w:t>‘‘E.O. 14192 deregulatory action’’</w:t>
      </w:r>
      <w:r>
        <w:rPr>
          <w:rFonts w:ascii="Times New Roman" w:hAnsi="Times New Roman" w:cs="Times New Roman"/>
          <w:bCs/>
        </w:rPr>
        <w:t xml:space="preserve"> </w:t>
      </w:r>
      <w:r w:rsidRPr="0094358A">
        <w:rPr>
          <w:rFonts w:ascii="Times New Roman" w:hAnsi="Times New Roman" w:cs="Times New Roman"/>
          <w:bCs/>
        </w:rPr>
        <w:t>under E.O. 14192, ‘‘Unleashing</w:t>
      </w:r>
      <w:r>
        <w:rPr>
          <w:rFonts w:ascii="Times New Roman" w:hAnsi="Times New Roman" w:cs="Times New Roman"/>
          <w:bCs/>
        </w:rPr>
        <w:t xml:space="preserve"> </w:t>
      </w:r>
      <w:r w:rsidRPr="0094358A">
        <w:rPr>
          <w:rFonts w:ascii="Times New Roman" w:hAnsi="Times New Roman" w:cs="Times New Roman"/>
          <w:bCs/>
        </w:rPr>
        <w:t>Prosperity Through Deregulation,’’ 90</w:t>
      </w:r>
      <w:r>
        <w:rPr>
          <w:rFonts w:ascii="Times New Roman" w:hAnsi="Times New Roman" w:cs="Times New Roman"/>
          <w:bCs/>
        </w:rPr>
        <w:t xml:space="preserve"> </w:t>
      </w:r>
      <w:r w:rsidRPr="0094358A">
        <w:rPr>
          <w:rFonts w:ascii="Times New Roman" w:hAnsi="Times New Roman" w:cs="Times New Roman"/>
          <w:bCs/>
        </w:rPr>
        <w:t>FR 9065 (February 6, 2025) because it</w:t>
      </w:r>
      <w:r>
        <w:rPr>
          <w:rFonts w:ascii="Times New Roman" w:hAnsi="Times New Roman" w:cs="Times New Roman"/>
          <w:bCs/>
        </w:rPr>
        <w:t xml:space="preserve"> </w:t>
      </w:r>
      <w:r w:rsidRPr="0094358A">
        <w:rPr>
          <w:rFonts w:ascii="Times New Roman" w:hAnsi="Times New Roman" w:cs="Times New Roman"/>
          <w:bCs/>
        </w:rPr>
        <w:t>eliminates the loan application</w:t>
      </w:r>
      <w:r>
        <w:rPr>
          <w:rFonts w:ascii="Times New Roman" w:hAnsi="Times New Roman" w:cs="Times New Roman"/>
          <w:bCs/>
        </w:rPr>
        <w:t xml:space="preserve"> </w:t>
      </w:r>
      <w:r w:rsidRPr="0094358A">
        <w:rPr>
          <w:rFonts w:ascii="Times New Roman" w:hAnsi="Times New Roman" w:cs="Times New Roman"/>
          <w:bCs/>
        </w:rPr>
        <w:t>requirement to submit ‘‘an analysis of</w:t>
      </w:r>
      <w:r>
        <w:rPr>
          <w:rFonts w:ascii="Times New Roman" w:hAnsi="Times New Roman" w:cs="Times New Roman"/>
          <w:bCs/>
        </w:rPr>
        <w:t xml:space="preserve"> </w:t>
      </w:r>
      <w:r w:rsidRPr="0094358A">
        <w:rPr>
          <w:rFonts w:ascii="Times New Roman" w:hAnsi="Times New Roman" w:cs="Times New Roman"/>
          <w:bCs/>
        </w:rPr>
        <w:t>how the proposed project will engage</w:t>
      </w:r>
      <w:r>
        <w:rPr>
          <w:rFonts w:ascii="Times New Roman" w:hAnsi="Times New Roman" w:cs="Times New Roman"/>
          <w:bCs/>
        </w:rPr>
        <w:t xml:space="preserve"> </w:t>
      </w:r>
      <w:r w:rsidRPr="0094358A">
        <w:rPr>
          <w:rFonts w:ascii="Times New Roman" w:hAnsi="Times New Roman" w:cs="Times New Roman"/>
          <w:bCs/>
        </w:rPr>
        <w:t>with and affect associated</w:t>
      </w:r>
      <w:r>
        <w:rPr>
          <w:rFonts w:ascii="Times New Roman" w:hAnsi="Times New Roman" w:cs="Times New Roman"/>
          <w:bCs/>
        </w:rPr>
        <w:t xml:space="preserve"> </w:t>
      </w:r>
      <w:r w:rsidRPr="0094358A">
        <w:rPr>
          <w:rFonts w:ascii="Times New Roman" w:hAnsi="Times New Roman" w:cs="Times New Roman"/>
          <w:bCs/>
        </w:rPr>
        <w:t>communities.’’ As previously stated,</w:t>
      </w:r>
      <w:r>
        <w:rPr>
          <w:rFonts w:ascii="Times New Roman" w:hAnsi="Times New Roman" w:cs="Times New Roman"/>
          <w:bCs/>
        </w:rPr>
        <w:t xml:space="preserve"> </w:t>
      </w:r>
      <w:r w:rsidRPr="0094358A">
        <w:rPr>
          <w:rFonts w:ascii="Times New Roman" w:hAnsi="Times New Roman" w:cs="Times New Roman"/>
          <w:bCs/>
        </w:rPr>
        <w:t>this application requirement was</w:t>
      </w:r>
      <w:r>
        <w:rPr>
          <w:rFonts w:ascii="Times New Roman" w:hAnsi="Times New Roman" w:cs="Times New Roman"/>
          <w:bCs/>
        </w:rPr>
        <w:t xml:space="preserve"> </w:t>
      </w:r>
      <w:r w:rsidRPr="0094358A">
        <w:rPr>
          <w:rFonts w:ascii="Times New Roman" w:hAnsi="Times New Roman" w:cs="Times New Roman"/>
          <w:bCs/>
        </w:rPr>
        <w:t>introduced by the IRA and incorporated</w:t>
      </w:r>
      <w:r>
        <w:rPr>
          <w:rFonts w:ascii="Times New Roman" w:hAnsi="Times New Roman" w:cs="Times New Roman"/>
          <w:bCs/>
        </w:rPr>
        <w:t xml:space="preserve"> </w:t>
      </w:r>
      <w:r w:rsidRPr="0094358A">
        <w:rPr>
          <w:rFonts w:ascii="Times New Roman" w:hAnsi="Times New Roman" w:cs="Times New Roman"/>
          <w:bCs/>
        </w:rPr>
        <w:t>into part 609. 88 FR 34419 (May 30,</w:t>
      </w:r>
      <w:r>
        <w:rPr>
          <w:rFonts w:ascii="Times New Roman" w:hAnsi="Times New Roman" w:cs="Times New Roman"/>
          <w:bCs/>
        </w:rPr>
        <w:t xml:space="preserve"> </w:t>
      </w:r>
      <w:r w:rsidRPr="0094358A">
        <w:rPr>
          <w:rFonts w:ascii="Times New Roman" w:hAnsi="Times New Roman" w:cs="Times New Roman"/>
          <w:bCs/>
        </w:rPr>
        <w:t>2023).</w:t>
      </w:r>
      <w:r w:rsidR="00AF3D93">
        <w:rPr>
          <w:rFonts w:ascii="Times New Roman" w:hAnsi="Times New Roman" w:cs="Times New Roman"/>
          <w:bCs/>
        </w:rPr>
        <w:t xml:space="preserve"> </w:t>
      </w:r>
      <w:r w:rsidRPr="00AF3D93" w:rsidR="00AF3D93">
        <w:rPr>
          <w:rFonts w:ascii="Times New Roman" w:hAnsi="Times New Roman" w:cs="Times New Roman"/>
          <w:bCs/>
        </w:rPr>
        <w:t>Therefore, prior to passage of the</w:t>
      </w:r>
      <w:r w:rsidR="00AF3D93">
        <w:rPr>
          <w:rFonts w:ascii="Times New Roman" w:hAnsi="Times New Roman" w:cs="Times New Roman"/>
          <w:bCs/>
        </w:rPr>
        <w:t xml:space="preserve"> </w:t>
      </w:r>
      <w:r w:rsidRPr="00AF3D93" w:rsidR="00AF3D93">
        <w:rPr>
          <w:rFonts w:ascii="Times New Roman" w:hAnsi="Times New Roman" w:cs="Times New Roman"/>
          <w:bCs/>
        </w:rPr>
        <w:t>OBBBA, an energy infrastructure</w:t>
      </w:r>
      <w:r w:rsidR="00AF3D93">
        <w:rPr>
          <w:rFonts w:ascii="Times New Roman" w:hAnsi="Times New Roman" w:cs="Times New Roman"/>
          <w:bCs/>
        </w:rPr>
        <w:t xml:space="preserve"> </w:t>
      </w:r>
      <w:r w:rsidRPr="00AF3D93" w:rsidR="00AF3D93">
        <w:rPr>
          <w:rFonts w:ascii="Times New Roman" w:hAnsi="Times New Roman" w:cs="Times New Roman"/>
          <w:bCs/>
        </w:rPr>
        <w:t>reinvestment project application would</w:t>
      </w:r>
      <w:r w:rsidR="00AF3D93">
        <w:rPr>
          <w:rFonts w:ascii="Times New Roman" w:hAnsi="Times New Roman" w:cs="Times New Roman"/>
          <w:bCs/>
        </w:rPr>
        <w:t xml:space="preserve"> </w:t>
      </w:r>
      <w:r w:rsidRPr="00AF3D93" w:rsidR="00AF3D93">
        <w:rPr>
          <w:rFonts w:ascii="Times New Roman" w:hAnsi="Times New Roman" w:cs="Times New Roman"/>
          <w:bCs/>
        </w:rPr>
        <w:t>have been denied if it failed to include</w:t>
      </w:r>
      <w:r w:rsidR="00AF3D93">
        <w:rPr>
          <w:rFonts w:ascii="Times New Roman" w:hAnsi="Times New Roman" w:cs="Times New Roman"/>
          <w:bCs/>
        </w:rPr>
        <w:t xml:space="preserve"> </w:t>
      </w:r>
      <w:r w:rsidRPr="00AF3D93" w:rsidR="00AF3D93">
        <w:rPr>
          <w:rFonts w:ascii="Times New Roman" w:hAnsi="Times New Roman" w:cs="Times New Roman"/>
          <w:bCs/>
        </w:rPr>
        <w:t>an analysis of how the proposed project</w:t>
      </w:r>
      <w:r w:rsidR="00AF3D93">
        <w:rPr>
          <w:rFonts w:ascii="Times New Roman" w:hAnsi="Times New Roman" w:cs="Times New Roman"/>
          <w:bCs/>
        </w:rPr>
        <w:t xml:space="preserve"> </w:t>
      </w:r>
      <w:r w:rsidRPr="00AF3D93" w:rsidR="00AF3D93">
        <w:rPr>
          <w:rFonts w:ascii="Times New Roman" w:hAnsi="Times New Roman" w:cs="Times New Roman"/>
          <w:bCs/>
        </w:rPr>
        <w:t>will engage with and affect associated</w:t>
      </w:r>
      <w:r w:rsidR="00AF3D93">
        <w:rPr>
          <w:rFonts w:ascii="Times New Roman" w:hAnsi="Times New Roman" w:cs="Times New Roman"/>
          <w:bCs/>
        </w:rPr>
        <w:t xml:space="preserve"> </w:t>
      </w:r>
      <w:r w:rsidRPr="00AF3D93" w:rsidR="00AF3D93">
        <w:rPr>
          <w:rFonts w:ascii="Times New Roman" w:hAnsi="Times New Roman" w:cs="Times New Roman"/>
          <w:bCs/>
        </w:rPr>
        <w:t>communities. DOE previously estimated</w:t>
      </w:r>
      <w:r w:rsidR="00AF3D93">
        <w:rPr>
          <w:rFonts w:ascii="Times New Roman" w:hAnsi="Times New Roman" w:cs="Times New Roman"/>
          <w:bCs/>
        </w:rPr>
        <w:t xml:space="preserve"> </w:t>
      </w:r>
      <w:r w:rsidRPr="00AF3D93" w:rsidR="00AF3D93">
        <w:rPr>
          <w:rFonts w:ascii="Times New Roman" w:hAnsi="Times New Roman" w:cs="Times New Roman"/>
          <w:bCs/>
        </w:rPr>
        <w:t xml:space="preserve">‘‘14 hours per </w:t>
      </w:r>
      <w:r w:rsidRPr="00AF3D93" w:rsidR="00AF3D93">
        <w:rPr>
          <w:rFonts w:ascii="Times New Roman" w:hAnsi="Times New Roman" w:cs="Times New Roman"/>
          <w:bCs/>
        </w:rPr>
        <w:t>response’’</w:t>
      </w:r>
      <w:r w:rsidRPr="00AF3D93" w:rsidR="00AF3D93">
        <w:rPr>
          <w:rFonts w:ascii="Times New Roman" w:hAnsi="Times New Roman" w:cs="Times New Roman"/>
          <w:bCs/>
        </w:rPr>
        <w:t xml:space="preserve"> for the</w:t>
      </w:r>
      <w:r w:rsidR="00AF3D93">
        <w:rPr>
          <w:rFonts w:ascii="Times New Roman" w:hAnsi="Times New Roman" w:cs="Times New Roman"/>
          <w:bCs/>
        </w:rPr>
        <w:t xml:space="preserve"> </w:t>
      </w:r>
      <w:r w:rsidRPr="00AF3D93" w:rsidR="00AF3D93">
        <w:rPr>
          <w:rFonts w:ascii="Times New Roman" w:hAnsi="Times New Roman" w:cs="Times New Roman"/>
          <w:bCs/>
        </w:rPr>
        <w:t>inclusion of information regarding an</w:t>
      </w:r>
      <w:r w:rsidR="00AF3D93">
        <w:rPr>
          <w:rFonts w:ascii="Times New Roman" w:hAnsi="Times New Roman" w:cs="Times New Roman"/>
          <w:bCs/>
        </w:rPr>
        <w:t xml:space="preserve"> </w:t>
      </w:r>
      <w:r w:rsidRPr="00AF3D93" w:rsidR="00AF3D93">
        <w:rPr>
          <w:rFonts w:ascii="Times New Roman" w:hAnsi="Times New Roman" w:cs="Times New Roman"/>
          <w:bCs/>
        </w:rPr>
        <w:t>applicant’s community benefits plan;</w:t>
      </w:r>
      <w:r w:rsidR="00AF3D93">
        <w:rPr>
          <w:rFonts w:ascii="Times New Roman" w:hAnsi="Times New Roman" w:cs="Times New Roman"/>
          <w:bCs/>
        </w:rPr>
        <w:t xml:space="preserve"> </w:t>
      </w:r>
      <w:r w:rsidRPr="00AF3D93" w:rsidR="00AF3D93">
        <w:rPr>
          <w:rFonts w:ascii="Times New Roman" w:hAnsi="Times New Roman" w:cs="Times New Roman"/>
          <w:bCs/>
        </w:rPr>
        <w:t xml:space="preserve">and ‘‘89 </w:t>
      </w:r>
      <w:r w:rsidRPr="00AF3D93" w:rsidR="00AF3D93">
        <w:rPr>
          <w:rFonts w:ascii="Times New Roman" w:hAnsi="Times New Roman" w:cs="Times New Roman"/>
          <w:bCs/>
        </w:rPr>
        <w:t>respondents’’</w:t>
      </w:r>
      <w:r w:rsidRPr="00AF3D93" w:rsidR="00AF3D93">
        <w:rPr>
          <w:rFonts w:ascii="Times New Roman" w:hAnsi="Times New Roman" w:cs="Times New Roman"/>
          <w:bCs/>
        </w:rPr>
        <w:t xml:space="preserve"> to the</w:t>
      </w:r>
      <w:r w:rsidR="00AF3D93">
        <w:rPr>
          <w:rFonts w:ascii="Times New Roman" w:hAnsi="Times New Roman" w:cs="Times New Roman"/>
          <w:bCs/>
        </w:rPr>
        <w:t xml:space="preserve"> </w:t>
      </w:r>
      <w:r w:rsidRPr="00AF3D93" w:rsidR="00AF3D93">
        <w:rPr>
          <w:rFonts w:ascii="Times New Roman" w:hAnsi="Times New Roman" w:cs="Times New Roman"/>
          <w:bCs/>
        </w:rPr>
        <w:t>information collection request annually.</w:t>
      </w:r>
      <w:r w:rsidR="00AF3D93">
        <w:rPr>
          <w:rFonts w:ascii="Times New Roman" w:hAnsi="Times New Roman" w:cs="Times New Roman"/>
          <w:bCs/>
        </w:rPr>
        <w:t xml:space="preserve"> </w:t>
      </w:r>
      <w:r w:rsidRPr="00AF3D93" w:rsidR="00AF3D93">
        <w:rPr>
          <w:rFonts w:ascii="Times New Roman" w:hAnsi="Times New Roman" w:cs="Times New Roman"/>
          <w:bCs/>
        </w:rPr>
        <w:t>Id. at 88 FR 34426. This IFR eliminates</w:t>
      </w:r>
      <w:r w:rsidR="00AF3D93">
        <w:rPr>
          <w:rFonts w:ascii="Times New Roman" w:hAnsi="Times New Roman" w:cs="Times New Roman"/>
          <w:bCs/>
        </w:rPr>
        <w:t xml:space="preserve"> </w:t>
      </w:r>
      <w:r w:rsidRPr="00AF3D93" w:rsidR="00AF3D93">
        <w:rPr>
          <w:rFonts w:ascii="Times New Roman" w:hAnsi="Times New Roman" w:cs="Times New Roman"/>
          <w:bCs/>
        </w:rPr>
        <w:t>the application requirement, and</w:t>
      </w:r>
      <w:r w:rsidR="00AF3D93">
        <w:rPr>
          <w:rFonts w:ascii="Times New Roman" w:hAnsi="Times New Roman" w:cs="Times New Roman"/>
          <w:bCs/>
        </w:rPr>
        <w:t xml:space="preserve"> </w:t>
      </w:r>
      <w:r w:rsidRPr="00AF3D93" w:rsidR="00AF3D93">
        <w:rPr>
          <w:rFonts w:ascii="Times New Roman" w:hAnsi="Times New Roman" w:cs="Times New Roman"/>
          <w:bCs/>
        </w:rPr>
        <w:t>associated burdens, from part 609,</w:t>
      </w:r>
      <w:r w:rsidR="00AF3D93">
        <w:rPr>
          <w:rFonts w:ascii="Times New Roman" w:hAnsi="Times New Roman" w:cs="Times New Roman"/>
          <w:bCs/>
        </w:rPr>
        <w:t xml:space="preserve"> </w:t>
      </w:r>
      <w:r w:rsidRPr="00AF3D93" w:rsidR="00AF3D93">
        <w:rPr>
          <w:rFonts w:ascii="Times New Roman" w:hAnsi="Times New Roman" w:cs="Times New Roman"/>
          <w:bCs/>
        </w:rPr>
        <w:t>making it a E.O. 14192 deregulatory</w:t>
      </w:r>
      <w:r w:rsidR="00AF3D93">
        <w:rPr>
          <w:rFonts w:ascii="Times New Roman" w:hAnsi="Times New Roman" w:cs="Times New Roman"/>
          <w:bCs/>
        </w:rPr>
        <w:t xml:space="preserve"> </w:t>
      </w:r>
      <w:r w:rsidRPr="00AF3D93" w:rsidR="00AF3D93">
        <w:rPr>
          <w:rFonts w:ascii="Times New Roman" w:hAnsi="Times New Roman" w:cs="Times New Roman"/>
          <w:bCs/>
        </w:rPr>
        <w:t>action.</w:t>
      </w:r>
      <w:r w:rsidR="00AF3D93">
        <w:rPr>
          <w:rFonts w:ascii="Times New Roman" w:hAnsi="Times New Roman" w:cs="Times New Roman"/>
          <w:bCs/>
        </w:rPr>
        <w:t>”</w:t>
      </w:r>
    </w:p>
    <w:p w:rsidR="00AF3D93" w:rsidRPr="00175492" w:rsidP="00AF3D93" w14:paraId="4B922F42" w14:textId="34317F75">
      <w:pPr>
        <w:rPr>
          <w:rFonts w:ascii="Times New Roman" w:hAnsi="Times New Roman" w:cs="Times New Roman"/>
          <w:bCs/>
        </w:rPr>
      </w:pPr>
      <w:r>
        <w:rPr>
          <w:rFonts w:ascii="Times New Roman" w:hAnsi="Times New Roman" w:cs="Times New Roman"/>
          <w:bCs/>
        </w:rPr>
        <w:t xml:space="preserve">90 </w:t>
      </w:r>
      <w:r w:rsidRPr="00213408">
        <w:rPr>
          <w:rFonts w:ascii="Times New Roman" w:hAnsi="Times New Roman" w:cs="Times New Roman"/>
          <w:bCs/>
          <w:i/>
          <w:iCs/>
        </w:rPr>
        <w:t>Fed</w:t>
      </w:r>
      <w:r>
        <w:rPr>
          <w:rFonts w:ascii="Times New Roman" w:hAnsi="Times New Roman" w:cs="Times New Roman"/>
          <w:bCs/>
        </w:rPr>
        <w:t xml:space="preserve">. </w:t>
      </w:r>
      <w:r w:rsidRPr="00213408">
        <w:rPr>
          <w:rFonts w:ascii="Times New Roman" w:hAnsi="Times New Roman" w:cs="Times New Roman"/>
          <w:bCs/>
          <w:i/>
          <w:iCs/>
        </w:rPr>
        <w:t>Reg</w:t>
      </w:r>
      <w:r>
        <w:rPr>
          <w:rFonts w:ascii="Times New Roman" w:hAnsi="Times New Roman" w:cs="Times New Roman"/>
          <w:bCs/>
        </w:rPr>
        <w:t xml:space="preserve">. </w:t>
      </w:r>
      <w:r w:rsidR="009A186F">
        <w:rPr>
          <w:rFonts w:ascii="Times New Roman" w:hAnsi="Times New Roman" w:cs="Times New Roman"/>
          <w:bCs/>
        </w:rPr>
        <w:t xml:space="preserve">48705, </w:t>
      </w:r>
      <w:r>
        <w:rPr>
          <w:rFonts w:ascii="Times New Roman" w:hAnsi="Times New Roman" w:cs="Times New Roman"/>
          <w:bCs/>
        </w:rPr>
        <w:t>48708 (Oct. 28, 2025).</w:t>
      </w:r>
    </w:p>
    <w:p w:rsidR="00F062CC" w:rsidP="00175492" w14:paraId="2DFA4058" w14:textId="0B6CB67F">
      <w:pPr>
        <w:rPr>
          <w:rFonts w:ascii="Times New Roman" w:hAnsi="Times New Roman" w:cs="Times New Roman"/>
          <w:bCs/>
        </w:rPr>
      </w:pPr>
      <w:r>
        <w:rPr>
          <w:rFonts w:ascii="Times New Roman" w:hAnsi="Times New Roman" w:cs="Times New Roman"/>
          <w:bCs/>
        </w:rPr>
        <w:t>That IFR</w:t>
      </w:r>
      <w:r w:rsidR="008D68E4">
        <w:rPr>
          <w:rFonts w:ascii="Times New Roman" w:hAnsi="Times New Roman" w:cs="Times New Roman"/>
          <w:bCs/>
        </w:rPr>
        <w:t xml:space="preserve"> invited </w:t>
      </w:r>
      <w:r w:rsidR="00502E41">
        <w:rPr>
          <w:rFonts w:ascii="Times New Roman" w:hAnsi="Times New Roman" w:cs="Times New Roman"/>
          <w:bCs/>
        </w:rPr>
        <w:t xml:space="preserve">public participation and </w:t>
      </w:r>
      <w:r w:rsidR="008D68E4">
        <w:rPr>
          <w:rFonts w:ascii="Times New Roman" w:hAnsi="Times New Roman" w:cs="Times New Roman"/>
          <w:bCs/>
        </w:rPr>
        <w:t xml:space="preserve">comments from all interested </w:t>
      </w:r>
      <w:r w:rsidR="008D68E4">
        <w:rPr>
          <w:rFonts w:ascii="Times New Roman" w:hAnsi="Times New Roman" w:cs="Times New Roman"/>
          <w:bCs/>
        </w:rPr>
        <w:t>persons</w:t>
      </w:r>
      <w:r w:rsidR="00502E41">
        <w:rPr>
          <w:rFonts w:ascii="Times New Roman" w:hAnsi="Times New Roman" w:cs="Times New Roman"/>
          <w:bCs/>
        </w:rPr>
        <w:t xml:space="preserve">. </w:t>
      </w:r>
      <w:r w:rsidR="00371554">
        <w:rPr>
          <w:rFonts w:ascii="Times New Roman" w:hAnsi="Times New Roman" w:cs="Times New Roman"/>
          <w:bCs/>
        </w:rPr>
        <w:t xml:space="preserve">The IFR also alluded to </w:t>
      </w:r>
      <w:r w:rsidR="00D26D6A">
        <w:rPr>
          <w:rFonts w:ascii="Times New Roman" w:hAnsi="Times New Roman" w:cs="Times New Roman"/>
          <w:bCs/>
        </w:rPr>
        <w:t>the</w:t>
      </w:r>
      <w:r w:rsidR="00371554">
        <w:rPr>
          <w:rFonts w:ascii="Times New Roman" w:hAnsi="Times New Roman" w:cs="Times New Roman"/>
          <w:bCs/>
        </w:rPr>
        <w:t xml:space="preserve"> forthcoming revision to the information collection request. </w:t>
      </w:r>
      <w:r w:rsidR="00382931">
        <w:rPr>
          <w:rFonts w:ascii="Times New Roman" w:hAnsi="Times New Roman" w:cs="Times New Roman"/>
          <w:bCs/>
        </w:rPr>
        <w:t xml:space="preserve">No comments were received on cost and hour burdens. </w:t>
      </w:r>
    </w:p>
    <w:p w:rsidR="008C734C" w:rsidRPr="00106C21" w:rsidP="005A73A8" w14:paraId="72BD7E79" w14:textId="4127CCE6">
      <w:pPr>
        <w:pStyle w:val="Heading2"/>
        <w:rPr>
          <w:rFonts w:ascii="Times New Roman" w:hAnsi="Times New Roman" w:cs="Times New Roman"/>
        </w:rPr>
      </w:pPr>
      <w:bookmarkStart w:id="11" w:name="_Toc16271327"/>
      <w:r w:rsidRPr="00106C21">
        <w:rPr>
          <w:rFonts w:ascii="Times New Roman" w:hAnsi="Times New Roman" w:cs="Times New Roman"/>
        </w:rPr>
        <w:t>A.</w:t>
      </w:r>
      <w:r w:rsidRPr="00106C21" w:rsidR="00A41763">
        <w:rPr>
          <w:rFonts w:ascii="Times New Roman" w:hAnsi="Times New Roman" w:cs="Times New Roman"/>
        </w:rPr>
        <w:t xml:space="preserve">9. </w:t>
      </w:r>
      <w:r w:rsidRPr="00106C21">
        <w:rPr>
          <w:rFonts w:ascii="Times New Roman" w:hAnsi="Times New Roman" w:cs="Times New Roman"/>
        </w:rPr>
        <w:t>Payments or Gifts to Respondents</w:t>
      </w:r>
      <w:bookmarkEnd w:id="11"/>
      <w:r w:rsidRPr="00106C21">
        <w:rPr>
          <w:rFonts w:ascii="Times New Roman" w:hAnsi="Times New Roman" w:cs="Times New Roman"/>
        </w:rPr>
        <w:t xml:space="preserve"> </w:t>
      </w:r>
    </w:p>
    <w:p w:rsidR="00A41763" w:rsidRPr="00106C21" w:rsidP="00A41763" w14:paraId="6AA9DE7E" w14:textId="77777777">
      <w:pPr>
        <w:rPr>
          <w:rFonts w:ascii="Times New Roman" w:hAnsi="Times New Roman" w:cs="Times New Roman"/>
        </w:rPr>
      </w:pPr>
      <w:r w:rsidRPr="00106C21">
        <w:rPr>
          <w:rFonts w:ascii="Times New Roman" w:hAnsi="Times New Roman" w:cs="Times New Roman"/>
          <w:b/>
          <w:bCs/>
        </w:rPr>
        <w:t xml:space="preserve">Explain any decision to provide any payment or gift to respondents, other than </w:t>
      </w:r>
      <w:r w:rsidRPr="00106C21" w:rsidR="001A6E9A">
        <w:rPr>
          <w:rFonts w:ascii="Times New Roman" w:hAnsi="Times New Roman" w:cs="Times New Roman"/>
          <w:b/>
          <w:bCs/>
        </w:rPr>
        <w:t>remuneration</w:t>
      </w:r>
      <w:r w:rsidRPr="00106C21">
        <w:rPr>
          <w:rFonts w:ascii="Times New Roman" w:hAnsi="Times New Roman" w:cs="Times New Roman"/>
          <w:b/>
          <w:bCs/>
        </w:rPr>
        <w:t xml:space="preserve"> of contractors or grantees. </w:t>
      </w:r>
    </w:p>
    <w:p w:rsidR="003500EF" w:rsidRPr="00106C21" w:rsidP="003500EF" w14:paraId="31893600" w14:textId="1E137649">
      <w:pPr>
        <w:spacing w:after="0" w:line="240" w:lineRule="auto"/>
        <w:rPr>
          <w:rFonts w:ascii="Times New Roman" w:eastAsia="Times New Roman" w:hAnsi="Times New Roman" w:cs="Times New Roman"/>
        </w:rPr>
      </w:pPr>
      <w:r w:rsidRPr="00106C21">
        <w:rPr>
          <w:rFonts w:ascii="Times New Roman" w:eastAsia="Times New Roman" w:hAnsi="Times New Roman" w:cs="Times New Roman"/>
        </w:rPr>
        <w:t xml:space="preserve">No payment or gift to Applicants is being proposed under this ICR.  </w:t>
      </w:r>
      <w:r w:rsidR="00522492">
        <w:rPr>
          <w:rFonts w:ascii="Times New Roman" w:eastAsia="Times New Roman" w:hAnsi="Times New Roman" w:cs="Times New Roman"/>
        </w:rPr>
        <w:t>P</w:t>
      </w:r>
      <w:r w:rsidRPr="00106C21">
        <w:rPr>
          <w:rFonts w:ascii="Times New Roman" w:eastAsia="Times New Roman" w:hAnsi="Times New Roman" w:cs="Times New Roman"/>
        </w:rPr>
        <w:t xml:space="preserve">roviding the information requested by </w:t>
      </w:r>
      <w:r w:rsidR="00522492">
        <w:rPr>
          <w:rFonts w:ascii="Times New Roman" w:eastAsia="Times New Roman" w:hAnsi="Times New Roman" w:cs="Times New Roman"/>
        </w:rPr>
        <w:t xml:space="preserve">DOE is </w:t>
      </w:r>
      <w:r>
        <w:rPr>
          <w:rFonts w:ascii="Times New Roman" w:eastAsia="Times New Roman" w:hAnsi="Times New Roman" w:cs="Times New Roman"/>
        </w:rPr>
        <w:t>a necessary prerequisite</w:t>
      </w:r>
      <w:r>
        <w:rPr>
          <w:rFonts w:ascii="Times New Roman" w:eastAsia="Times New Roman" w:hAnsi="Times New Roman" w:cs="Times New Roman"/>
        </w:rPr>
        <w:t xml:space="preserve">, as described above, </w:t>
      </w:r>
      <w:r w:rsidRPr="00106C21">
        <w:rPr>
          <w:rFonts w:ascii="Times New Roman" w:eastAsia="Times New Roman" w:hAnsi="Times New Roman" w:cs="Times New Roman"/>
        </w:rPr>
        <w:t xml:space="preserve">to receiving </w:t>
      </w:r>
      <w:r w:rsidR="00522492">
        <w:rPr>
          <w:rFonts w:ascii="Times New Roman" w:eastAsia="Times New Roman" w:hAnsi="Times New Roman" w:cs="Times New Roman"/>
        </w:rPr>
        <w:t>financial assistance</w:t>
      </w:r>
      <w:r w:rsidRPr="00106C21">
        <w:rPr>
          <w:rFonts w:ascii="Times New Roman" w:eastAsia="Times New Roman" w:hAnsi="Times New Roman" w:cs="Times New Roman"/>
        </w:rPr>
        <w:t xml:space="preserve"> under the</w:t>
      </w:r>
      <w:r w:rsidRPr="00106C21" w:rsidR="0019050E">
        <w:rPr>
          <w:rFonts w:ascii="Times New Roman" w:eastAsia="Times New Roman" w:hAnsi="Times New Roman" w:cs="Times New Roman"/>
        </w:rPr>
        <w:t xml:space="preserve"> </w:t>
      </w:r>
      <w:r w:rsidR="00353349">
        <w:rPr>
          <w:rFonts w:ascii="Times New Roman" w:eastAsia="Times New Roman" w:hAnsi="Times New Roman" w:cs="Times New Roman"/>
        </w:rPr>
        <w:t>Title XVII program</w:t>
      </w:r>
      <w:r w:rsidRPr="00106C21" w:rsidR="00C95586">
        <w:rPr>
          <w:rFonts w:ascii="Times New Roman" w:eastAsia="Times New Roman" w:hAnsi="Times New Roman" w:cs="Times New Roman"/>
        </w:rPr>
        <w:t>.</w:t>
      </w:r>
    </w:p>
    <w:p w:rsidR="008C734C" w:rsidRPr="00106C21" w:rsidP="005A73A8" w14:paraId="21C23607" w14:textId="77777777">
      <w:pPr>
        <w:pStyle w:val="Heading2"/>
        <w:rPr>
          <w:rFonts w:ascii="Times New Roman" w:hAnsi="Times New Roman" w:cs="Times New Roman"/>
        </w:rPr>
      </w:pPr>
      <w:bookmarkStart w:id="12" w:name="_Toc16271328"/>
      <w:r w:rsidRPr="00106C21">
        <w:rPr>
          <w:rFonts w:ascii="Times New Roman" w:hAnsi="Times New Roman" w:cs="Times New Roman"/>
        </w:rPr>
        <w:t>A.</w:t>
      </w:r>
      <w:r w:rsidRPr="00106C21" w:rsidR="00A41763">
        <w:rPr>
          <w:rFonts w:ascii="Times New Roman" w:hAnsi="Times New Roman" w:cs="Times New Roman"/>
        </w:rPr>
        <w:t xml:space="preserve">10. </w:t>
      </w:r>
      <w:r w:rsidRPr="00106C21">
        <w:rPr>
          <w:rFonts w:ascii="Times New Roman" w:hAnsi="Times New Roman" w:cs="Times New Roman"/>
        </w:rPr>
        <w:t>Provisions for Protection of Information</w:t>
      </w:r>
      <w:bookmarkEnd w:id="12"/>
      <w:r w:rsidRPr="00106C21">
        <w:rPr>
          <w:rFonts w:ascii="Times New Roman" w:hAnsi="Times New Roman" w:cs="Times New Roman"/>
        </w:rPr>
        <w:t xml:space="preserve"> </w:t>
      </w:r>
    </w:p>
    <w:p w:rsidR="00A41763" w:rsidRPr="00106C21" w:rsidP="00A41763" w14:paraId="329F710D" w14:textId="77777777">
      <w:pPr>
        <w:rPr>
          <w:rFonts w:ascii="Times New Roman" w:hAnsi="Times New Roman" w:cs="Times New Roman"/>
        </w:rPr>
      </w:pPr>
      <w:r w:rsidRPr="00106C21">
        <w:rPr>
          <w:rFonts w:ascii="Times New Roman" w:hAnsi="Times New Roman" w:cs="Times New Roman"/>
          <w:b/>
          <w:bCs/>
        </w:rPr>
        <w:t xml:space="preserve">Describe any assurance of confidentiality provided to respondents and the basis for the assurance in statute, regulation, or agency policy. </w:t>
      </w:r>
    </w:p>
    <w:p w:rsidR="003500EF" w:rsidRPr="00106C21" w:rsidP="003500EF" w14:paraId="4B3C18E3" w14:textId="63321F50">
      <w:pPr>
        <w:spacing w:after="0" w:line="240" w:lineRule="auto"/>
        <w:rPr>
          <w:rFonts w:ascii="Times New Roman" w:eastAsia="Times New Roman" w:hAnsi="Times New Roman" w:cs="Times New Roman"/>
        </w:rPr>
      </w:pPr>
      <w:r>
        <w:rPr>
          <w:rFonts w:ascii="Times New Roman" w:eastAsia="Times New Roman" w:hAnsi="Times New Roman" w:cs="Times New Roman"/>
        </w:rPr>
        <w:t>The Department</w:t>
      </w:r>
      <w:r w:rsidRPr="00106C21">
        <w:rPr>
          <w:rFonts w:ascii="Times New Roman" w:eastAsia="Times New Roman" w:hAnsi="Times New Roman" w:cs="Times New Roman"/>
        </w:rPr>
        <w:t xml:space="preserve"> </w:t>
      </w:r>
      <w:r w:rsidRPr="00106C21" w:rsidR="00586D0D">
        <w:rPr>
          <w:rFonts w:ascii="Times New Roman" w:eastAsia="Times New Roman" w:hAnsi="Times New Roman" w:cs="Times New Roman"/>
        </w:rPr>
        <w:t>seeks information that Applicants are likely to deem proprietary trade secret</w:t>
      </w:r>
      <w:r w:rsidR="00F013A8">
        <w:rPr>
          <w:rFonts w:ascii="Times New Roman" w:eastAsia="Times New Roman" w:hAnsi="Times New Roman" w:cs="Times New Roman"/>
        </w:rPr>
        <w:t>s</w:t>
      </w:r>
      <w:r w:rsidRPr="00106C21" w:rsidR="00586D0D">
        <w:rPr>
          <w:rFonts w:ascii="Times New Roman" w:eastAsia="Times New Roman" w:hAnsi="Times New Roman" w:cs="Times New Roman"/>
        </w:rPr>
        <w:t xml:space="preserve"> and confidential business information.  </w:t>
      </w:r>
      <w:r w:rsidRPr="00117B20" w:rsidR="00117B20">
        <w:rPr>
          <w:rFonts w:ascii="Times New Roman" w:eastAsia="Times New Roman" w:hAnsi="Times New Roman" w:cs="Times New Roman"/>
        </w:rPr>
        <w:t xml:space="preserve">Applicants understand </w:t>
      </w:r>
      <w:r w:rsidR="00117B20">
        <w:rPr>
          <w:rFonts w:ascii="Times New Roman" w:eastAsia="Times New Roman" w:hAnsi="Times New Roman" w:cs="Times New Roman"/>
        </w:rPr>
        <w:t xml:space="preserve">that the collection </w:t>
      </w:r>
      <w:r w:rsidRPr="00117B20" w:rsidR="00117B20">
        <w:rPr>
          <w:rFonts w:ascii="Times New Roman" w:eastAsia="Times New Roman" w:hAnsi="Times New Roman" w:cs="Times New Roman"/>
        </w:rPr>
        <w:t>is necessary and customary when seeking financing, whether in the private or public sector, for projects of such size, complexity, and risk.</w:t>
      </w:r>
      <w:r w:rsidR="00117B20">
        <w:rPr>
          <w:rFonts w:ascii="Times New Roman" w:eastAsia="Times New Roman" w:hAnsi="Times New Roman" w:cs="Times New Roman"/>
        </w:rPr>
        <w:t xml:space="preserve"> As explained above, t</w:t>
      </w:r>
      <w:r w:rsidR="006B60F0">
        <w:rPr>
          <w:rFonts w:ascii="Times New Roman" w:eastAsia="Times New Roman" w:hAnsi="Times New Roman" w:cs="Times New Roman"/>
        </w:rPr>
        <w:t>he Department</w:t>
      </w:r>
      <w:r w:rsidRPr="00106C21" w:rsidR="006B60F0">
        <w:rPr>
          <w:rFonts w:ascii="Times New Roman" w:eastAsia="Times New Roman" w:hAnsi="Times New Roman" w:cs="Times New Roman"/>
        </w:rPr>
        <w:t xml:space="preserve"> </w:t>
      </w:r>
      <w:r w:rsidRPr="00106C21" w:rsidR="00586D0D">
        <w:rPr>
          <w:rFonts w:ascii="Times New Roman" w:eastAsia="Times New Roman" w:hAnsi="Times New Roman" w:cs="Times New Roman"/>
        </w:rPr>
        <w:t xml:space="preserve">must </w:t>
      </w:r>
      <w:r w:rsidR="00F013A8">
        <w:rPr>
          <w:rFonts w:ascii="Times New Roman" w:eastAsia="Times New Roman" w:hAnsi="Times New Roman" w:cs="Times New Roman"/>
        </w:rPr>
        <w:t>obtain</w:t>
      </w:r>
      <w:r w:rsidRPr="00106C21" w:rsidR="00F013A8">
        <w:rPr>
          <w:rFonts w:ascii="Times New Roman" w:eastAsia="Times New Roman" w:hAnsi="Times New Roman" w:cs="Times New Roman"/>
        </w:rPr>
        <w:t xml:space="preserve"> </w:t>
      </w:r>
      <w:r w:rsidRPr="00106C21" w:rsidR="00586D0D">
        <w:rPr>
          <w:rFonts w:ascii="Times New Roman" w:eastAsia="Times New Roman" w:hAnsi="Times New Roman" w:cs="Times New Roman"/>
        </w:rPr>
        <w:t xml:space="preserve">this information to evaluate the financial and technical merits of the </w:t>
      </w:r>
      <w:r w:rsidR="00F013A8">
        <w:rPr>
          <w:rFonts w:ascii="Times New Roman" w:eastAsia="Times New Roman" w:hAnsi="Times New Roman" w:cs="Times New Roman"/>
        </w:rPr>
        <w:t xml:space="preserve">proposed </w:t>
      </w:r>
      <w:r w:rsidRPr="00106C21" w:rsidR="00586D0D">
        <w:rPr>
          <w:rFonts w:ascii="Times New Roman" w:eastAsia="Times New Roman" w:hAnsi="Times New Roman" w:cs="Times New Roman"/>
        </w:rPr>
        <w:t xml:space="preserve">project </w:t>
      </w:r>
      <w:r w:rsidR="00F013A8">
        <w:rPr>
          <w:rFonts w:ascii="Times New Roman" w:eastAsia="Times New Roman" w:hAnsi="Times New Roman" w:cs="Times New Roman"/>
        </w:rPr>
        <w:t xml:space="preserve">and prospective Borrower. </w:t>
      </w:r>
    </w:p>
    <w:p w:rsidR="003500EF" w:rsidRPr="00106C21" w:rsidP="003500EF" w14:paraId="5B938AC3" w14:textId="77777777">
      <w:pPr>
        <w:spacing w:after="0" w:line="240" w:lineRule="auto"/>
        <w:rPr>
          <w:rFonts w:ascii="Times New Roman" w:eastAsia="Times New Roman" w:hAnsi="Times New Roman" w:cs="Times New Roman"/>
        </w:rPr>
      </w:pPr>
    </w:p>
    <w:p w:rsidR="003500EF" w:rsidRPr="00106C21" w:rsidP="003500EF" w14:paraId="463F53ED" w14:textId="1AA0B201">
      <w:pPr>
        <w:spacing w:after="0" w:line="240" w:lineRule="auto"/>
        <w:rPr>
          <w:rFonts w:ascii="Times New Roman" w:eastAsia="Times New Roman" w:hAnsi="Times New Roman" w:cs="Times New Roman"/>
        </w:rPr>
      </w:pPr>
      <w:r>
        <w:rPr>
          <w:rFonts w:ascii="Times New Roman" w:eastAsia="Times New Roman" w:hAnsi="Times New Roman" w:cs="Times New Roman"/>
        </w:rPr>
        <w:t>The Department</w:t>
      </w:r>
      <w:r w:rsidRPr="00106C21">
        <w:rPr>
          <w:rFonts w:ascii="Times New Roman" w:eastAsia="Times New Roman" w:hAnsi="Times New Roman" w:cs="Times New Roman"/>
        </w:rPr>
        <w:t xml:space="preserve"> </w:t>
      </w:r>
      <w:r w:rsidRPr="00106C21" w:rsidR="00586D0D">
        <w:rPr>
          <w:rFonts w:ascii="Times New Roman" w:eastAsia="Times New Roman" w:hAnsi="Times New Roman" w:cs="Times New Roman"/>
        </w:rPr>
        <w:t xml:space="preserve">protects an Applicant’s trade secret and confidential business information from public disclosure to the maximum extent permitted by law, including under the Trade Secrets Act, 18 U.S.C. 1905, which prohibits federal employees from unauthorized disclosure of such information, and under the Freedom of Information Act’s exemption from disclosure for trade secret and confidential business information </w:t>
      </w:r>
      <w:r w:rsidRPr="00106C21" w:rsidR="00586D0D">
        <w:rPr>
          <w:rFonts w:ascii="Times New Roman" w:eastAsia="Times New Roman" w:hAnsi="Times New Roman" w:cs="Times New Roman"/>
          <w:lang w:val="en"/>
        </w:rPr>
        <w:t>(5 U.S.C. § 552a)</w:t>
      </w:r>
      <w:r w:rsidRPr="00106C21" w:rsidR="00586D0D">
        <w:rPr>
          <w:rFonts w:ascii="Times New Roman" w:eastAsia="Times New Roman" w:hAnsi="Times New Roman" w:cs="Times New Roman"/>
        </w:rPr>
        <w:t xml:space="preserve">.  </w:t>
      </w:r>
      <w:r w:rsidR="008C46F0">
        <w:rPr>
          <w:rFonts w:ascii="Times New Roman" w:eastAsia="Times New Roman" w:hAnsi="Times New Roman" w:cs="Times New Roman"/>
        </w:rPr>
        <w:t>A</w:t>
      </w:r>
      <w:r w:rsidRPr="00106C21" w:rsidR="00586D0D">
        <w:rPr>
          <w:rFonts w:ascii="Times New Roman" w:eastAsia="Times New Roman" w:hAnsi="Times New Roman" w:cs="Times New Roman"/>
        </w:rPr>
        <w:t>n Applicant’s trade secret and confidential business information is deemed “</w:t>
      </w:r>
      <w:r w:rsidR="005813E2">
        <w:rPr>
          <w:rFonts w:ascii="Times New Roman" w:eastAsia="Times New Roman" w:hAnsi="Times New Roman" w:cs="Times New Roman"/>
        </w:rPr>
        <w:t>Confidential Unclassified Information</w:t>
      </w:r>
      <w:r w:rsidRPr="00106C21" w:rsidR="00586D0D">
        <w:rPr>
          <w:rFonts w:ascii="Times New Roman" w:eastAsia="Times New Roman" w:hAnsi="Times New Roman" w:cs="Times New Roman"/>
        </w:rPr>
        <w:t>” information under DOE policy (DOE O 471.</w:t>
      </w:r>
      <w:r w:rsidR="00D1312F">
        <w:rPr>
          <w:rFonts w:ascii="Times New Roman" w:eastAsia="Times New Roman" w:hAnsi="Times New Roman" w:cs="Times New Roman"/>
        </w:rPr>
        <w:t>7</w:t>
      </w:r>
      <w:r w:rsidRPr="00106C21" w:rsidR="00586D0D">
        <w:rPr>
          <w:rFonts w:ascii="Times New Roman" w:eastAsia="Times New Roman" w:hAnsi="Times New Roman" w:cs="Times New Roman"/>
        </w:rPr>
        <w:t xml:space="preserve">) and is to be labeled as such by DOE personnel to guard against inadvertent public disclosure and to limit distribution to only those within the U.S. Government who have a need to know.  </w:t>
      </w:r>
      <w:r w:rsidR="002C6AD8">
        <w:rPr>
          <w:rFonts w:ascii="Times New Roman" w:eastAsia="Times New Roman" w:hAnsi="Times New Roman" w:cs="Times New Roman"/>
        </w:rPr>
        <w:t>The</w:t>
      </w:r>
      <w:r w:rsidR="00FA1EC2">
        <w:rPr>
          <w:rFonts w:ascii="Times New Roman" w:eastAsia="Times New Roman" w:hAnsi="Times New Roman" w:cs="Times New Roman"/>
        </w:rPr>
        <w:t xml:space="preserve"> Program </w:t>
      </w:r>
      <w:r w:rsidR="00EF5980">
        <w:rPr>
          <w:rFonts w:ascii="Times New Roman" w:eastAsia="Times New Roman" w:hAnsi="Times New Roman" w:cs="Times New Roman"/>
        </w:rPr>
        <w:t xml:space="preserve">Guide </w:t>
      </w:r>
      <w:r w:rsidRPr="00106C21" w:rsidR="00586D0D">
        <w:rPr>
          <w:rFonts w:ascii="Times New Roman" w:eastAsia="Times New Roman" w:hAnsi="Times New Roman" w:cs="Times New Roman"/>
        </w:rPr>
        <w:t>provide</w:t>
      </w:r>
      <w:r w:rsidR="005813E2">
        <w:rPr>
          <w:rFonts w:ascii="Times New Roman" w:eastAsia="Times New Roman" w:hAnsi="Times New Roman" w:cs="Times New Roman"/>
        </w:rPr>
        <w:t>s</w:t>
      </w:r>
      <w:r w:rsidRPr="00106C21" w:rsidR="00586D0D">
        <w:rPr>
          <w:rFonts w:ascii="Times New Roman" w:eastAsia="Times New Roman" w:hAnsi="Times New Roman" w:cs="Times New Roman"/>
        </w:rPr>
        <w:t xml:space="preserve"> detailed instructions to Applicants about how </w:t>
      </w:r>
      <w:r w:rsidR="002C6AD8">
        <w:rPr>
          <w:rFonts w:ascii="Times New Roman" w:eastAsia="Times New Roman" w:hAnsi="Times New Roman" w:cs="Times New Roman"/>
        </w:rPr>
        <w:t>to</w:t>
      </w:r>
      <w:r w:rsidRPr="00106C21" w:rsidR="00586D0D">
        <w:rPr>
          <w:rFonts w:ascii="Times New Roman" w:eastAsia="Times New Roman" w:hAnsi="Times New Roman" w:cs="Times New Roman"/>
        </w:rPr>
        <w:t xml:space="preserve"> mark trade secret and business confidential information </w:t>
      </w:r>
      <w:r w:rsidR="002C6AD8">
        <w:rPr>
          <w:rFonts w:ascii="Times New Roman" w:eastAsia="Times New Roman" w:hAnsi="Times New Roman" w:cs="Times New Roman"/>
        </w:rPr>
        <w:t>such</w:t>
      </w:r>
      <w:r w:rsidRPr="00106C21" w:rsidR="002C6AD8">
        <w:rPr>
          <w:rFonts w:ascii="Times New Roman" w:eastAsia="Times New Roman" w:hAnsi="Times New Roman" w:cs="Times New Roman"/>
        </w:rPr>
        <w:t xml:space="preserve"> </w:t>
      </w:r>
      <w:r w:rsidRPr="00106C21" w:rsidR="00586D0D">
        <w:rPr>
          <w:rFonts w:ascii="Times New Roman" w:eastAsia="Times New Roman" w:hAnsi="Times New Roman" w:cs="Times New Roman"/>
        </w:rPr>
        <w:t xml:space="preserve">that DOE can readily recognize it as subject to a claim of confidentiality and accord it appropriate protections.  </w:t>
      </w:r>
      <w:r w:rsidR="00EF5980">
        <w:rPr>
          <w:rFonts w:ascii="Times New Roman" w:eastAsia="Times New Roman" w:hAnsi="Times New Roman" w:cs="Times New Roman"/>
        </w:rPr>
        <w:t>Finally, the Department</w:t>
      </w:r>
      <w:r w:rsidRPr="00106C21" w:rsidR="00EF5980">
        <w:rPr>
          <w:rFonts w:ascii="Times New Roman" w:eastAsia="Times New Roman" w:hAnsi="Times New Roman" w:cs="Times New Roman"/>
        </w:rPr>
        <w:t xml:space="preserve"> </w:t>
      </w:r>
      <w:r w:rsidRPr="00106C21" w:rsidR="00586D0D">
        <w:rPr>
          <w:rFonts w:ascii="Times New Roman" w:eastAsia="Times New Roman" w:hAnsi="Times New Roman" w:cs="Times New Roman"/>
        </w:rPr>
        <w:t xml:space="preserve">stores Applicant information on DOE’s computer </w:t>
      </w:r>
      <w:r w:rsidRPr="00106C21" w:rsidR="00586D0D">
        <w:rPr>
          <w:rFonts w:ascii="Times New Roman" w:eastAsia="Times New Roman" w:hAnsi="Times New Roman" w:cs="Times New Roman"/>
        </w:rPr>
        <w:t>systems, which are protected by government IT security measures and allow access only to authorized personnel.</w:t>
      </w:r>
    </w:p>
    <w:p w:rsidR="00F056C3" w:rsidRPr="00106C21" w:rsidP="005A73A8" w14:paraId="54948D33" w14:textId="77777777">
      <w:pPr>
        <w:pStyle w:val="Heading2"/>
        <w:rPr>
          <w:rFonts w:ascii="Times New Roman" w:hAnsi="Times New Roman" w:cs="Times New Roman"/>
        </w:rPr>
      </w:pPr>
      <w:bookmarkStart w:id="13" w:name="_Toc16271329"/>
      <w:r w:rsidRPr="00106C21">
        <w:rPr>
          <w:rFonts w:ascii="Times New Roman" w:hAnsi="Times New Roman" w:cs="Times New Roman"/>
        </w:rPr>
        <w:t>A.</w:t>
      </w:r>
      <w:r w:rsidRPr="00106C21" w:rsidR="00A41763">
        <w:rPr>
          <w:rFonts w:ascii="Times New Roman" w:hAnsi="Times New Roman" w:cs="Times New Roman"/>
        </w:rPr>
        <w:t xml:space="preserve">11. </w:t>
      </w:r>
      <w:r w:rsidRPr="00106C21">
        <w:rPr>
          <w:rFonts w:ascii="Times New Roman" w:hAnsi="Times New Roman" w:cs="Times New Roman"/>
        </w:rPr>
        <w:t>Justification for Sensitive Questions</w:t>
      </w:r>
      <w:bookmarkEnd w:id="13"/>
      <w:r w:rsidRPr="00106C21">
        <w:rPr>
          <w:rFonts w:ascii="Times New Roman" w:hAnsi="Times New Roman" w:cs="Times New Roman"/>
        </w:rPr>
        <w:t xml:space="preserve"> </w:t>
      </w:r>
    </w:p>
    <w:p w:rsidR="00A41763" w:rsidRPr="00106C21" w:rsidP="00A41763" w14:paraId="61F9C381" w14:textId="77777777">
      <w:pPr>
        <w:rPr>
          <w:rFonts w:ascii="Times New Roman" w:hAnsi="Times New Roman" w:cs="Times New Roman"/>
        </w:rPr>
      </w:pPr>
      <w:r w:rsidRPr="00106C21">
        <w:rPr>
          <w:rFonts w:ascii="Times New Roman" w:hAnsi="Times New Roman" w:cs="Times New Roman"/>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106C21" w:rsidR="00F056C3">
        <w:rPr>
          <w:rFonts w:ascii="Times New Roman" w:hAnsi="Times New Roman" w:cs="Times New Roman"/>
          <w:b/>
          <w:bCs/>
        </w:rPr>
        <w:t>s to be made of the information</w:t>
      </w:r>
      <w:r w:rsidRPr="00106C21">
        <w:rPr>
          <w:rFonts w:ascii="Times New Roman" w:hAnsi="Times New Roman" w:cs="Times New Roman"/>
          <w:b/>
          <w:bCs/>
        </w:rPr>
        <w:t xml:space="preserve">, the explanation to be given to </w:t>
      </w:r>
      <w:r w:rsidRPr="00106C21">
        <w:rPr>
          <w:rFonts w:ascii="Times New Roman" w:hAnsi="Times New Roman" w:cs="Times New Roman"/>
          <w:b/>
          <w:bCs/>
        </w:rPr>
        <w:t>persons</w:t>
      </w:r>
      <w:r w:rsidRPr="00106C21">
        <w:rPr>
          <w:rFonts w:ascii="Times New Roman" w:hAnsi="Times New Roman" w:cs="Times New Roman"/>
          <w:b/>
          <w:bCs/>
        </w:rPr>
        <w:t xml:space="preserve"> from whom the information is requested, and any steps to be taken to obtain their consent. </w:t>
      </w:r>
    </w:p>
    <w:p w:rsidR="003500EF" w:rsidRPr="00106C21" w:rsidP="00117B20" w14:paraId="08AEDEEC" w14:textId="272EE377">
      <w:pPr>
        <w:spacing w:after="0" w:line="240" w:lineRule="auto"/>
        <w:rPr>
          <w:rFonts w:ascii="Times New Roman" w:eastAsia="Times New Roman" w:hAnsi="Times New Roman" w:cs="Times New Roman"/>
        </w:rPr>
      </w:pPr>
      <w:r w:rsidRPr="00106C21">
        <w:rPr>
          <w:rFonts w:ascii="Times New Roman" w:eastAsia="Times New Roman" w:hAnsi="Times New Roman" w:cs="Times New Roman"/>
        </w:rPr>
        <w:t xml:space="preserve">No questions of a personally sensitive nature </w:t>
      </w:r>
      <w:r w:rsidR="00117B20">
        <w:rPr>
          <w:rFonts w:ascii="Times New Roman" w:eastAsia="Times New Roman" w:hAnsi="Times New Roman" w:cs="Times New Roman"/>
        </w:rPr>
        <w:t>(</w:t>
      </w:r>
      <w:r w:rsidRPr="00106C21">
        <w:rPr>
          <w:rFonts w:ascii="Times New Roman" w:eastAsia="Times New Roman" w:hAnsi="Times New Roman" w:cs="Times New Roman"/>
        </w:rPr>
        <w:t>such as sexual behavior and attitudes, religious beliefs, and other matters that are commonly considered private</w:t>
      </w:r>
      <w:r w:rsidR="00117B20">
        <w:rPr>
          <w:rFonts w:ascii="Times New Roman" w:eastAsia="Times New Roman" w:hAnsi="Times New Roman" w:cs="Times New Roman"/>
        </w:rPr>
        <w:t>)</w:t>
      </w:r>
      <w:r w:rsidRPr="00106C21">
        <w:rPr>
          <w:rFonts w:ascii="Times New Roman" w:eastAsia="Times New Roman" w:hAnsi="Times New Roman" w:cs="Times New Roman"/>
        </w:rPr>
        <w:t xml:space="preserve"> are</w:t>
      </w:r>
      <w:r w:rsidR="00117B20">
        <w:rPr>
          <w:rFonts w:ascii="Times New Roman" w:eastAsia="Times New Roman" w:hAnsi="Times New Roman" w:cs="Times New Roman"/>
        </w:rPr>
        <w:t xml:space="preserve"> requested or collection</w:t>
      </w:r>
      <w:r w:rsidRPr="00106C21">
        <w:rPr>
          <w:rFonts w:ascii="Times New Roman" w:eastAsia="Times New Roman" w:hAnsi="Times New Roman" w:cs="Times New Roman"/>
        </w:rPr>
        <w:t>.</w:t>
      </w:r>
      <w:r w:rsidR="00117B20">
        <w:rPr>
          <w:rFonts w:ascii="Times New Roman" w:eastAsia="Times New Roman" w:hAnsi="Times New Roman" w:cs="Times New Roman"/>
        </w:rPr>
        <w:t xml:space="preserve"> </w:t>
      </w:r>
      <w:r w:rsidRPr="00106C21">
        <w:rPr>
          <w:rFonts w:ascii="Times New Roman" w:eastAsia="Times New Roman" w:hAnsi="Times New Roman" w:cs="Times New Roman"/>
        </w:rPr>
        <w:t xml:space="preserve"> </w:t>
      </w:r>
    </w:p>
    <w:p w:rsidR="00F056C3" w:rsidRPr="00106C21" w:rsidP="005A73A8" w14:paraId="78140148" w14:textId="77777777">
      <w:pPr>
        <w:pStyle w:val="Heading2"/>
        <w:rPr>
          <w:rFonts w:ascii="Times New Roman" w:hAnsi="Times New Roman" w:cs="Times New Roman"/>
        </w:rPr>
      </w:pPr>
      <w:bookmarkStart w:id="14" w:name="_Toc16271330"/>
      <w:r w:rsidRPr="00106C21">
        <w:rPr>
          <w:rFonts w:ascii="Times New Roman" w:hAnsi="Times New Roman" w:cs="Times New Roman"/>
        </w:rPr>
        <w:t>A.</w:t>
      </w:r>
      <w:r w:rsidRPr="00106C21" w:rsidR="00A41763">
        <w:rPr>
          <w:rFonts w:ascii="Times New Roman" w:hAnsi="Times New Roman" w:cs="Times New Roman"/>
        </w:rPr>
        <w:t>12</w:t>
      </w:r>
      <w:r w:rsidRPr="00106C21" w:rsidR="006F3C12">
        <w:rPr>
          <w:rFonts w:ascii="Times New Roman" w:hAnsi="Times New Roman" w:cs="Times New Roman"/>
        </w:rPr>
        <w:t>A</w:t>
      </w:r>
      <w:r w:rsidRPr="00106C21" w:rsidR="00A41763">
        <w:rPr>
          <w:rFonts w:ascii="Times New Roman" w:hAnsi="Times New Roman" w:cs="Times New Roman"/>
        </w:rPr>
        <w:t xml:space="preserve">. </w:t>
      </w:r>
      <w:r w:rsidRPr="00106C21">
        <w:rPr>
          <w:rFonts w:ascii="Times New Roman" w:hAnsi="Times New Roman" w:cs="Times New Roman"/>
        </w:rPr>
        <w:t>Estimate of Respondent Burden Hours</w:t>
      </w:r>
      <w:bookmarkEnd w:id="14"/>
      <w:r w:rsidRPr="00106C21">
        <w:rPr>
          <w:rFonts w:ascii="Times New Roman" w:hAnsi="Times New Roman" w:cs="Times New Roman"/>
        </w:rPr>
        <w:t xml:space="preserve"> </w:t>
      </w:r>
    </w:p>
    <w:p w:rsidR="00AC69E8" w:rsidRPr="00106C21" w:rsidP="00AC69E8" w14:paraId="32821E38" w14:textId="77777777">
      <w:pPr>
        <w:pStyle w:val="Default"/>
      </w:pPr>
      <w:r w:rsidRPr="00106C21">
        <w:rPr>
          <w:b/>
          <w:bCs/>
        </w:rPr>
        <w:t xml:space="preserve">Provide estimates of the hour burden of the collection of information. The statement should indicate the number of respondents, frequency of response, annual hour burden, and </w:t>
      </w:r>
      <w:r w:rsidRPr="00106C21">
        <w:rPr>
          <w:b/>
          <w:bCs/>
          <w:u w:val="single"/>
        </w:rPr>
        <w:t>an explanation of how the burden was estimated</w:t>
      </w:r>
      <w:r w:rsidRPr="00106C21">
        <w:rPr>
          <w:b/>
          <w:bCs/>
        </w:rPr>
        <w:t xml:space="preserve">. Unless directed to do so, DOE should not conduct special surveys to obtain information on which to base hour burden estimates. Consultation with a sample fewer than 10 potential respondents is desirable. </w:t>
      </w:r>
    </w:p>
    <w:p w:rsidR="00762782" w:rsidRPr="00106C21" w:rsidP="002E4FAD" w14:paraId="7CFF4268" w14:textId="264D791C">
      <w:pPr>
        <w:pStyle w:val="Default"/>
        <w:rPr>
          <w:i/>
          <w:iCs/>
        </w:rPr>
      </w:pPr>
    </w:p>
    <w:p w:rsidR="00762782" w:rsidRPr="00106C21" w:rsidP="00762782" w14:paraId="2DF20101" w14:textId="3D942061">
      <w:pPr>
        <w:rPr>
          <w:rFonts w:ascii="Times New Roman" w:hAnsi="Times New Roman" w:cs="Times New Roman"/>
        </w:rPr>
      </w:pPr>
      <w:r>
        <w:rPr>
          <w:rFonts w:ascii="Times New Roman" w:hAnsi="Times New Roman" w:cs="Times New Roman"/>
        </w:rPr>
        <w:t>The Department</w:t>
      </w:r>
      <w:r w:rsidRPr="00106C21" w:rsidR="00586D0D">
        <w:rPr>
          <w:rFonts w:ascii="Times New Roman" w:hAnsi="Times New Roman" w:cs="Times New Roman"/>
        </w:rPr>
        <w:t xml:space="preserve"> seeks </w:t>
      </w:r>
      <w:r w:rsidRPr="00106C21" w:rsidR="00E37EB0">
        <w:rPr>
          <w:rFonts w:ascii="Times New Roman" w:hAnsi="Times New Roman" w:cs="Times New Roman"/>
        </w:rPr>
        <w:t xml:space="preserve">business, financial, and </w:t>
      </w:r>
      <w:r w:rsidRPr="00106C21" w:rsidR="00586D0D">
        <w:rPr>
          <w:rFonts w:ascii="Times New Roman" w:hAnsi="Times New Roman" w:cs="Times New Roman"/>
        </w:rPr>
        <w:t>technical information, including information regarding innovative technologies and financial models.  Accordingly, the estimate of hour burden of the information collection is as follows:</w:t>
      </w:r>
    </w:p>
    <w:p w:rsidR="00762782" w:rsidRPr="00106C21" w:rsidP="00762782" w14:paraId="552C5800" w14:textId="015D27A0">
      <w:pPr>
        <w:rPr>
          <w:rFonts w:ascii="Times New Roman" w:hAnsi="Times New Roman" w:cs="Times New Roman"/>
        </w:rPr>
      </w:pPr>
      <w:r w:rsidRPr="00106C21">
        <w:rPr>
          <w:rFonts w:ascii="Times New Roman" w:hAnsi="Times New Roman" w:cs="Times New Roman"/>
        </w:rPr>
        <w:t xml:space="preserve">Total number of unduplicated respondents: </w:t>
      </w:r>
      <w:r w:rsidR="00641A10">
        <w:rPr>
          <w:rFonts w:ascii="Times New Roman" w:hAnsi="Times New Roman" w:cs="Times New Roman"/>
        </w:rPr>
        <w:t>100</w:t>
      </w:r>
    </w:p>
    <w:p w:rsidR="00762782" w:rsidRPr="00106C21" w:rsidP="00762782" w14:paraId="2138CD58" w14:textId="77777777">
      <w:pPr>
        <w:rPr>
          <w:rFonts w:ascii="Times New Roman" w:hAnsi="Times New Roman" w:cs="Times New Roman"/>
        </w:rPr>
      </w:pPr>
      <w:r w:rsidRPr="00106C21">
        <w:rPr>
          <w:rFonts w:ascii="Times New Roman" w:hAnsi="Times New Roman" w:cs="Times New Roman"/>
        </w:rPr>
        <w:t>Reports filed per respondent: 1</w:t>
      </w:r>
    </w:p>
    <w:p w:rsidR="00762782" w:rsidRPr="00106C21" w:rsidP="00762782" w14:paraId="1B2A7E8A" w14:textId="6DC5E543">
      <w:pPr>
        <w:rPr>
          <w:rFonts w:ascii="Times New Roman" w:hAnsi="Times New Roman" w:cs="Times New Roman"/>
        </w:rPr>
      </w:pPr>
      <w:r w:rsidRPr="00106C21">
        <w:rPr>
          <w:rFonts w:ascii="Times New Roman" w:hAnsi="Times New Roman" w:cs="Times New Roman"/>
        </w:rPr>
        <w:t xml:space="preserve">Total annual responses: </w:t>
      </w:r>
      <w:r w:rsidR="00641A10">
        <w:rPr>
          <w:rFonts w:ascii="Times New Roman" w:hAnsi="Times New Roman" w:cs="Times New Roman"/>
        </w:rPr>
        <w:t>100</w:t>
      </w:r>
    </w:p>
    <w:p w:rsidR="00762782" w:rsidRPr="00106C21" w:rsidP="00762782" w14:paraId="4845383E" w14:textId="007742EE">
      <w:pPr>
        <w:rPr>
          <w:rFonts w:ascii="Times New Roman" w:hAnsi="Times New Roman" w:cs="Times New Roman"/>
        </w:rPr>
      </w:pPr>
      <w:r w:rsidRPr="00106C21">
        <w:rPr>
          <w:rFonts w:ascii="Times New Roman" w:hAnsi="Times New Roman" w:cs="Times New Roman"/>
        </w:rPr>
        <w:t xml:space="preserve">Total annual burden hours: </w:t>
      </w:r>
      <w:r w:rsidRPr="002439F6" w:rsidR="002439F6">
        <w:rPr>
          <w:rFonts w:ascii="Times New Roman" w:hAnsi="Times New Roman" w:cs="Times New Roman"/>
        </w:rPr>
        <w:t>13,</w:t>
      </w:r>
      <w:r w:rsidR="00641A10">
        <w:rPr>
          <w:rFonts w:ascii="Times New Roman" w:hAnsi="Times New Roman" w:cs="Times New Roman"/>
        </w:rPr>
        <w:t xml:space="preserve">250 </w:t>
      </w:r>
      <w:r w:rsidRPr="00106C21">
        <w:rPr>
          <w:rFonts w:ascii="Times New Roman" w:hAnsi="Times New Roman" w:cs="Times New Roman"/>
        </w:rPr>
        <w:t>hours</w:t>
      </w:r>
    </w:p>
    <w:p w:rsidR="00762782" w:rsidRPr="00106C21" w:rsidP="00762782" w14:paraId="5CD2A616" w14:textId="77777777">
      <w:pPr>
        <w:rPr>
          <w:rFonts w:ascii="Times New Roman" w:hAnsi="Times New Roman" w:cs="Times New Roman"/>
        </w:rPr>
      </w:pPr>
      <w:r w:rsidRPr="00106C21">
        <w:rPr>
          <w:rFonts w:ascii="Times New Roman" w:hAnsi="Times New Roman" w:cs="Times New Roman"/>
        </w:rPr>
        <w:t>Average Burden</w:t>
      </w:r>
    </w:p>
    <w:p w:rsidR="00762782" w:rsidRPr="00106C21" w:rsidP="00762782" w14:paraId="183A6EAA" w14:textId="7A4F44D4">
      <w:pPr>
        <w:rPr>
          <w:rFonts w:ascii="Times New Roman" w:hAnsi="Times New Roman" w:cs="Times New Roman"/>
        </w:rPr>
      </w:pPr>
      <w:r w:rsidRPr="00106C21">
        <w:rPr>
          <w:rFonts w:ascii="Times New Roman" w:hAnsi="Times New Roman" w:cs="Times New Roman"/>
        </w:rPr>
        <w:t xml:space="preserve"> </w:t>
      </w:r>
      <w:r w:rsidRPr="00106C21">
        <w:rPr>
          <w:rFonts w:ascii="Times New Roman" w:hAnsi="Times New Roman" w:cs="Times New Roman"/>
        </w:rPr>
        <w:tab/>
        <w:t xml:space="preserve">Per Collection: </w:t>
      </w:r>
      <w:r w:rsidR="00AA4FC2">
        <w:rPr>
          <w:rFonts w:ascii="Times New Roman" w:hAnsi="Times New Roman" w:cs="Times New Roman"/>
        </w:rPr>
        <w:t>1</w:t>
      </w:r>
      <w:r w:rsidR="00641A10">
        <w:rPr>
          <w:rFonts w:ascii="Times New Roman" w:hAnsi="Times New Roman" w:cs="Times New Roman"/>
        </w:rPr>
        <w:t>32</w:t>
      </w:r>
      <w:r w:rsidRPr="00106C21">
        <w:rPr>
          <w:rFonts w:ascii="Times New Roman" w:hAnsi="Times New Roman" w:cs="Times New Roman"/>
        </w:rPr>
        <w:t xml:space="preserve">.5 hours </w:t>
      </w:r>
    </w:p>
    <w:p w:rsidR="00762782" w:rsidRPr="00106C21" w:rsidP="00762782" w14:paraId="14B42CFA" w14:textId="4E1064D7">
      <w:pPr>
        <w:rPr>
          <w:rFonts w:ascii="Times New Roman" w:hAnsi="Times New Roman" w:cs="Times New Roman"/>
        </w:rPr>
      </w:pPr>
      <w:r w:rsidRPr="00106C21">
        <w:rPr>
          <w:rFonts w:ascii="Times New Roman" w:hAnsi="Times New Roman" w:cs="Times New Roman"/>
        </w:rPr>
        <w:tab/>
        <w:t xml:space="preserve">Per Applicant: </w:t>
      </w:r>
      <w:r w:rsidR="009B262C">
        <w:rPr>
          <w:rFonts w:ascii="Times New Roman" w:hAnsi="Times New Roman" w:cs="Times New Roman"/>
        </w:rPr>
        <w:t>1</w:t>
      </w:r>
      <w:r w:rsidR="002364F7">
        <w:rPr>
          <w:rFonts w:ascii="Times New Roman" w:hAnsi="Times New Roman" w:cs="Times New Roman"/>
        </w:rPr>
        <w:t>32</w:t>
      </w:r>
      <w:r w:rsidRPr="00106C21">
        <w:rPr>
          <w:rFonts w:ascii="Times New Roman" w:hAnsi="Times New Roman" w:cs="Times New Roman"/>
        </w:rPr>
        <w:t>.5 hours</w:t>
      </w:r>
    </w:p>
    <w:p w:rsidR="0000024B" w:rsidRPr="00B11784" w:rsidP="00612912" w14:paraId="5E5D57BD" w14:textId="57CBF985">
      <w:pPr>
        <w:pStyle w:val="Default"/>
        <w:rPr>
          <w:sz w:val="22"/>
          <w:szCs w:val="22"/>
        </w:rPr>
      </w:pPr>
      <w:r w:rsidRPr="00B11784">
        <w:rPr>
          <w:sz w:val="22"/>
          <w:szCs w:val="22"/>
        </w:rPr>
        <w:t xml:space="preserve">The forgoing estimates are based on </w:t>
      </w:r>
      <w:r w:rsidR="00943B55">
        <w:rPr>
          <w:sz w:val="22"/>
          <w:szCs w:val="22"/>
        </w:rPr>
        <w:t>DOE’s</w:t>
      </w:r>
      <w:r w:rsidRPr="00B11784" w:rsidR="00943B55">
        <w:rPr>
          <w:sz w:val="22"/>
          <w:szCs w:val="22"/>
        </w:rPr>
        <w:t xml:space="preserve"> </w:t>
      </w:r>
      <w:r w:rsidRPr="00B11784">
        <w:rPr>
          <w:sz w:val="22"/>
          <w:szCs w:val="22"/>
        </w:rPr>
        <w:t xml:space="preserve">years of experience administering the </w:t>
      </w:r>
      <w:r w:rsidRPr="00B11784" w:rsidR="00DA5825">
        <w:rPr>
          <w:sz w:val="22"/>
          <w:szCs w:val="22"/>
        </w:rPr>
        <w:t>Title XVII</w:t>
      </w:r>
      <w:r w:rsidRPr="00B11784">
        <w:rPr>
          <w:sz w:val="22"/>
          <w:szCs w:val="22"/>
        </w:rPr>
        <w:t xml:space="preserve"> </w:t>
      </w:r>
      <w:r w:rsidR="0012366B">
        <w:rPr>
          <w:sz w:val="22"/>
          <w:szCs w:val="22"/>
        </w:rPr>
        <w:t>p</w:t>
      </w:r>
      <w:r w:rsidRPr="00B11784" w:rsidR="0012366B">
        <w:rPr>
          <w:sz w:val="22"/>
          <w:szCs w:val="22"/>
        </w:rPr>
        <w:t xml:space="preserve">rogram </w:t>
      </w:r>
      <w:r w:rsidRPr="00B11784">
        <w:rPr>
          <w:sz w:val="22"/>
          <w:szCs w:val="22"/>
        </w:rPr>
        <w:t xml:space="preserve">and other </w:t>
      </w:r>
      <w:r w:rsidR="00943B55">
        <w:rPr>
          <w:sz w:val="22"/>
          <w:szCs w:val="22"/>
        </w:rPr>
        <w:t xml:space="preserve">loan, loan guarantee, and financial assistance </w:t>
      </w:r>
      <w:r w:rsidRPr="00B11784">
        <w:rPr>
          <w:sz w:val="22"/>
          <w:szCs w:val="22"/>
        </w:rPr>
        <w:t>programs</w:t>
      </w:r>
      <w:r w:rsidR="00C41DCA">
        <w:rPr>
          <w:sz w:val="22"/>
          <w:szCs w:val="22"/>
        </w:rPr>
        <w:t>. DOE receives</w:t>
      </w:r>
      <w:r w:rsidRPr="00B11784">
        <w:rPr>
          <w:sz w:val="22"/>
          <w:szCs w:val="22"/>
        </w:rPr>
        <w:t xml:space="preserve"> feedback working </w:t>
      </w:r>
      <w:r w:rsidR="00C41DCA">
        <w:rPr>
          <w:sz w:val="22"/>
          <w:szCs w:val="22"/>
        </w:rPr>
        <w:t>alongside</w:t>
      </w:r>
      <w:r w:rsidRPr="00B11784" w:rsidR="00C41DCA">
        <w:rPr>
          <w:sz w:val="22"/>
          <w:szCs w:val="22"/>
        </w:rPr>
        <w:t xml:space="preserve"> </w:t>
      </w:r>
      <w:r w:rsidRPr="00B11784" w:rsidR="002D0609">
        <w:rPr>
          <w:sz w:val="22"/>
          <w:szCs w:val="22"/>
        </w:rPr>
        <w:t>A</w:t>
      </w:r>
      <w:r w:rsidRPr="00B11784">
        <w:rPr>
          <w:sz w:val="22"/>
          <w:szCs w:val="22"/>
        </w:rPr>
        <w:t xml:space="preserve">pplicants to collect the information.  The estimates are based on </w:t>
      </w:r>
      <w:r w:rsidR="00C41DCA">
        <w:rPr>
          <w:sz w:val="22"/>
          <w:szCs w:val="22"/>
        </w:rPr>
        <w:t xml:space="preserve">DOE’s experience, Applicant feedback, and </w:t>
      </w:r>
      <w:r w:rsidR="00E2581E">
        <w:rPr>
          <w:sz w:val="22"/>
          <w:szCs w:val="22"/>
        </w:rPr>
        <w:t xml:space="preserve">details described </w:t>
      </w:r>
      <w:r w:rsidRPr="00B11784" w:rsidR="002D0609">
        <w:rPr>
          <w:sz w:val="22"/>
          <w:szCs w:val="22"/>
        </w:rPr>
        <w:t xml:space="preserve">below regarding the functional/occupational categories of personnel working for the Applicant </w:t>
      </w:r>
      <w:r w:rsidRPr="00B11784" w:rsidR="002D0609">
        <w:rPr>
          <w:sz w:val="22"/>
          <w:szCs w:val="22"/>
        </w:rPr>
        <w:t>who</w:t>
      </w:r>
      <w:r w:rsidR="00E2581E">
        <w:rPr>
          <w:sz w:val="22"/>
          <w:szCs w:val="22"/>
        </w:rPr>
        <w:t>m</w:t>
      </w:r>
      <w:r w:rsidRPr="00B11784" w:rsidR="002D0609">
        <w:rPr>
          <w:sz w:val="22"/>
          <w:szCs w:val="22"/>
        </w:rPr>
        <w:t xml:space="preserve"> would typically </w:t>
      </w:r>
      <w:r w:rsidRPr="00B11784" w:rsidR="00582141">
        <w:rPr>
          <w:sz w:val="22"/>
          <w:szCs w:val="22"/>
        </w:rPr>
        <w:t>be</w:t>
      </w:r>
      <w:r w:rsidRPr="00B11784" w:rsidR="002D0609">
        <w:rPr>
          <w:sz w:val="22"/>
          <w:szCs w:val="22"/>
        </w:rPr>
        <w:t xml:space="preserve"> involved in furnishing the required information and the time required of each category. </w:t>
      </w:r>
    </w:p>
    <w:p w:rsidR="0000024B" w:rsidRPr="00B11784" w:rsidP="00612912" w14:paraId="7F57E8B6" w14:textId="77777777">
      <w:pPr>
        <w:pStyle w:val="Default"/>
        <w:rPr>
          <w:sz w:val="22"/>
          <w:szCs w:val="22"/>
        </w:rPr>
      </w:pPr>
    </w:p>
    <w:p w:rsidR="0000024B" w:rsidRPr="00B11784" w:rsidP="00612912" w14:paraId="6D1E14F3" w14:textId="10FDDF68">
      <w:pPr>
        <w:pStyle w:val="Default"/>
        <w:rPr>
          <w:sz w:val="22"/>
          <w:szCs w:val="22"/>
        </w:rPr>
      </w:pPr>
      <w:r w:rsidRPr="004C0E27">
        <w:rPr>
          <w:rFonts w:eastAsia="Times New Roman"/>
          <w:sz w:val="22"/>
          <w:szCs w:val="22"/>
        </w:rPr>
        <w:t>The information DOE seeks is predominately data that Applicants possess in the ordinary course of business or would have generated in some form for the purposes developing the project, raising equity and exploring other financing sources.</w:t>
      </w:r>
      <w:r w:rsidRPr="00B11784" w:rsidR="00586D0D">
        <w:rPr>
          <w:rFonts w:eastAsia="Times New Roman"/>
          <w:sz w:val="22"/>
          <w:szCs w:val="22"/>
        </w:rPr>
        <w:t xml:space="preserve"> Thus, the </w:t>
      </w:r>
      <w:r w:rsidR="0012366B">
        <w:rPr>
          <w:rFonts w:eastAsia="Times New Roman"/>
          <w:sz w:val="22"/>
          <w:szCs w:val="22"/>
        </w:rPr>
        <w:t>Department’s</w:t>
      </w:r>
      <w:r w:rsidRPr="00B11784" w:rsidR="0012366B">
        <w:rPr>
          <w:rFonts w:eastAsia="Times New Roman"/>
          <w:sz w:val="22"/>
          <w:szCs w:val="22"/>
        </w:rPr>
        <w:t xml:space="preserve"> </w:t>
      </w:r>
      <w:r w:rsidRPr="00B11784" w:rsidR="00586D0D">
        <w:rPr>
          <w:rFonts w:eastAsia="Times New Roman"/>
          <w:sz w:val="22"/>
          <w:szCs w:val="22"/>
        </w:rPr>
        <w:t xml:space="preserve">hour burden estimate </w:t>
      </w:r>
      <w:r w:rsidR="00A87DBD">
        <w:rPr>
          <w:rFonts w:eastAsia="Times New Roman"/>
          <w:sz w:val="22"/>
          <w:szCs w:val="22"/>
        </w:rPr>
        <w:t xml:space="preserve">considers </w:t>
      </w:r>
      <w:r w:rsidR="00E64B85">
        <w:rPr>
          <w:rFonts w:eastAsia="Times New Roman"/>
          <w:sz w:val="22"/>
          <w:szCs w:val="22"/>
        </w:rPr>
        <w:t xml:space="preserve">(1) </w:t>
      </w:r>
      <w:r w:rsidRPr="00B11784" w:rsidR="00586D0D">
        <w:rPr>
          <w:rFonts w:eastAsia="Times New Roman"/>
          <w:sz w:val="22"/>
          <w:szCs w:val="22"/>
        </w:rPr>
        <w:t xml:space="preserve">the time it takes Applicants to assemble, organize and upload into the application portal information they </w:t>
      </w:r>
      <w:r w:rsidRPr="00B11784" w:rsidR="00586D0D">
        <w:rPr>
          <w:rFonts w:eastAsia="Times New Roman"/>
          <w:sz w:val="22"/>
          <w:szCs w:val="22"/>
        </w:rPr>
        <w:t>already have</w:t>
      </w:r>
      <w:r w:rsidR="00A87DBD">
        <w:rPr>
          <w:rFonts w:eastAsia="Times New Roman"/>
          <w:sz w:val="22"/>
          <w:szCs w:val="22"/>
        </w:rPr>
        <w:t xml:space="preserve">, as well as </w:t>
      </w:r>
      <w:r w:rsidR="00E64B85">
        <w:rPr>
          <w:rFonts w:eastAsia="Times New Roman"/>
          <w:sz w:val="22"/>
          <w:szCs w:val="22"/>
        </w:rPr>
        <w:t xml:space="preserve">(2) </w:t>
      </w:r>
      <w:r w:rsidR="00A87DBD">
        <w:rPr>
          <w:rFonts w:eastAsia="Times New Roman"/>
          <w:sz w:val="22"/>
          <w:szCs w:val="22"/>
        </w:rPr>
        <w:t xml:space="preserve">information that is </w:t>
      </w:r>
      <w:r w:rsidRPr="00A87DBD" w:rsidR="00A87DBD">
        <w:rPr>
          <w:rFonts w:eastAsia="Times New Roman"/>
          <w:sz w:val="22"/>
          <w:szCs w:val="22"/>
        </w:rPr>
        <w:t>unique to the federal government,</w:t>
      </w:r>
      <w:r w:rsidR="00E64B85">
        <w:rPr>
          <w:rFonts w:eastAsia="Times New Roman"/>
          <w:sz w:val="22"/>
          <w:szCs w:val="22"/>
        </w:rPr>
        <w:t xml:space="preserve"> the Department, and the Title XVII program. </w:t>
      </w:r>
    </w:p>
    <w:p w:rsidR="0000024B" w:rsidRPr="00B11784" w:rsidP="00612912" w14:paraId="1E8C9DE1" w14:textId="77777777">
      <w:pPr>
        <w:pStyle w:val="Default"/>
        <w:rPr>
          <w:sz w:val="22"/>
          <w:szCs w:val="22"/>
        </w:rPr>
      </w:pPr>
    </w:p>
    <w:p w:rsidR="00B868C6" w:rsidRPr="00B11784" w:rsidP="00B868C6" w14:paraId="7F9BCC3D" w14:textId="7064882B">
      <w:pPr>
        <w:pStyle w:val="Default"/>
        <w:rPr>
          <w:sz w:val="22"/>
          <w:szCs w:val="22"/>
        </w:rPr>
      </w:pPr>
      <w:r w:rsidRPr="00B11784">
        <w:rPr>
          <w:sz w:val="22"/>
          <w:szCs w:val="22"/>
        </w:rPr>
        <w:t>The burden hours per response (</w:t>
      </w:r>
      <w:r w:rsidRPr="00B11784" w:rsidR="0009140D">
        <w:rPr>
          <w:sz w:val="22"/>
          <w:szCs w:val="22"/>
        </w:rPr>
        <w:t>1</w:t>
      </w:r>
      <w:r w:rsidR="00582141">
        <w:rPr>
          <w:sz w:val="22"/>
          <w:szCs w:val="22"/>
        </w:rPr>
        <w:t>32</w:t>
      </w:r>
      <w:r w:rsidRPr="00B11784">
        <w:rPr>
          <w:sz w:val="22"/>
          <w:szCs w:val="22"/>
        </w:rPr>
        <w:t>.5 hours)</w:t>
      </w:r>
      <w:r>
        <w:rPr>
          <w:sz w:val="22"/>
          <w:szCs w:val="22"/>
        </w:rPr>
        <w:t xml:space="preserve">. </w:t>
      </w:r>
      <w:r w:rsidRPr="00876E4D">
        <w:rPr>
          <w:sz w:val="22"/>
          <w:szCs w:val="22"/>
        </w:rPr>
        <w:t xml:space="preserve">DOE </w:t>
      </w:r>
      <w:r>
        <w:rPr>
          <w:sz w:val="22"/>
          <w:szCs w:val="22"/>
        </w:rPr>
        <w:t xml:space="preserve">reviewed and </w:t>
      </w:r>
      <w:r w:rsidRPr="00876E4D">
        <w:rPr>
          <w:sz w:val="22"/>
          <w:szCs w:val="22"/>
        </w:rPr>
        <w:t xml:space="preserve">reverted </w:t>
      </w:r>
      <w:r>
        <w:rPr>
          <w:sz w:val="22"/>
          <w:szCs w:val="22"/>
        </w:rPr>
        <w:t>back</w:t>
      </w:r>
      <w:r>
        <w:rPr>
          <w:sz w:val="22"/>
          <w:szCs w:val="22"/>
        </w:rPr>
        <w:t xml:space="preserve"> </w:t>
      </w:r>
      <w:r w:rsidRPr="00876E4D">
        <w:rPr>
          <w:sz w:val="22"/>
          <w:szCs w:val="22"/>
        </w:rPr>
        <w:t xml:space="preserve">to a prior estimate of 132.5 hours per application, </w:t>
      </w:r>
      <w:r w:rsidR="00315B57">
        <w:rPr>
          <w:sz w:val="22"/>
          <w:szCs w:val="22"/>
        </w:rPr>
        <w:t>excluding</w:t>
      </w:r>
      <w:r w:rsidRPr="00876E4D" w:rsidR="00315B57">
        <w:rPr>
          <w:sz w:val="22"/>
          <w:szCs w:val="22"/>
        </w:rPr>
        <w:t xml:space="preserve"> </w:t>
      </w:r>
      <w:r w:rsidRPr="00876E4D">
        <w:rPr>
          <w:sz w:val="22"/>
          <w:szCs w:val="22"/>
        </w:rPr>
        <w:t xml:space="preserve">14 hours attributable to a change in law (the elimination of the statutory requirement for an applicant to submit “an analysis of how the proposed project will engage with and affect associated communities” implemented in the form of a required “Community Benefits Plan”). </w:t>
      </w:r>
      <w:r w:rsidRPr="00AD22F5">
        <w:rPr>
          <w:i/>
          <w:iCs/>
          <w:sz w:val="22"/>
          <w:szCs w:val="22"/>
        </w:rPr>
        <w:t>See</w:t>
      </w:r>
      <w:r w:rsidRPr="00876E4D">
        <w:rPr>
          <w:sz w:val="22"/>
          <w:szCs w:val="22"/>
        </w:rPr>
        <w:t xml:space="preserve"> Pub. L. 119–21, Sec. 50403, 139 Stat. 153 (Jul. 4, 2025).</w:t>
      </w:r>
    </w:p>
    <w:p w:rsidR="002E4FAD" w:rsidRPr="009561ED" w:rsidP="009561ED" w14:paraId="4B5E24D8" w14:textId="77777777">
      <w:pPr>
        <w:pStyle w:val="Default"/>
      </w:pPr>
    </w:p>
    <w:tbl>
      <w:tblPr>
        <w:tblW w:w="10020" w:type="dxa"/>
        <w:tblLook w:val="04A0"/>
      </w:tblPr>
      <w:tblGrid>
        <w:gridCol w:w="2513"/>
        <w:gridCol w:w="37"/>
        <w:gridCol w:w="1269"/>
        <w:gridCol w:w="27"/>
        <w:gridCol w:w="1279"/>
        <w:gridCol w:w="17"/>
        <w:gridCol w:w="1141"/>
        <w:gridCol w:w="17"/>
        <w:gridCol w:w="1421"/>
        <w:gridCol w:w="17"/>
        <w:gridCol w:w="1155"/>
        <w:gridCol w:w="1127"/>
      </w:tblGrid>
      <w:tr w14:paraId="572EE9F5" w14:textId="77777777" w:rsidTr="009B262C">
        <w:tblPrEx>
          <w:tblW w:w="10020" w:type="dxa"/>
          <w:tblLook w:val="04A0"/>
        </w:tblPrEx>
        <w:trPr>
          <w:trHeight w:val="360"/>
        </w:trPr>
        <w:tc>
          <w:tcPr>
            <w:tcW w:w="8893" w:type="dxa"/>
            <w:gridSpan w:val="11"/>
            <w:tcBorders>
              <w:top w:val="nil"/>
              <w:left w:val="nil"/>
              <w:bottom w:val="single" w:sz="4" w:space="0" w:color="auto"/>
              <w:right w:val="nil"/>
            </w:tcBorders>
            <w:hideMark/>
          </w:tcPr>
          <w:p w:rsidR="006F3C12" w:rsidRPr="00106C21" w:rsidP="006F3C12" w14:paraId="1E34118D" w14:textId="77777777">
            <w:pPr>
              <w:spacing w:after="0" w:line="240" w:lineRule="auto"/>
              <w:jc w:val="center"/>
              <w:rPr>
                <w:rFonts w:ascii="Times New Roman" w:eastAsia="Times New Roman" w:hAnsi="Times New Roman" w:cs="Times New Roman"/>
                <w:b/>
                <w:bCs/>
                <w:color w:val="0070C0"/>
                <w:sz w:val="28"/>
                <w:szCs w:val="28"/>
              </w:rPr>
            </w:pPr>
            <w:r w:rsidRPr="00106C21">
              <w:rPr>
                <w:rFonts w:ascii="Times New Roman" w:eastAsia="Times New Roman" w:hAnsi="Times New Roman" w:cs="Times New Roman"/>
                <w:b/>
                <w:bCs/>
                <w:color w:val="0070C0"/>
                <w:sz w:val="28"/>
                <w:szCs w:val="28"/>
              </w:rPr>
              <w:t xml:space="preserve">Table A1. Estimated Respondent </w:t>
            </w:r>
            <w:r w:rsidRPr="00106C21" w:rsidR="00537A91">
              <w:rPr>
                <w:rFonts w:ascii="Times New Roman" w:eastAsia="Times New Roman" w:hAnsi="Times New Roman" w:cs="Times New Roman"/>
                <w:b/>
                <w:bCs/>
                <w:color w:val="0070C0"/>
                <w:sz w:val="28"/>
                <w:szCs w:val="28"/>
              </w:rPr>
              <w:t xml:space="preserve">Hour </w:t>
            </w:r>
            <w:r w:rsidRPr="00106C21">
              <w:rPr>
                <w:rFonts w:ascii="Times New Roman" w:eastAsia="Times New Roman" w:hAnsi="Times New Roman" w:cs="Times New Roman"/>
                <w:b/>
                <w:bCs/>
                <w:color w:val="0070C0"/>
                <w:sz w:val="28"/>
                <w:szCs w:val="28"/>
              </w:rPr>
              <w:t>Burden</w:t>
            </w:r>
          </w:p>
        </w:tc>
        <w:tc>
          <w:tcPr>
            <w:tcW w:w="1127" w:type="dxa"/>
            <w:tcBorders>
              <w:top w:val="nil"/>
              <w:left w:val="nil"/>
              <w:bottom w:val="nil"/>
              <w:right w:val="nil"/>
            </w:tcBorders>
            <w:noWrap/>
            <w:vAlign w:val="bottom"/>
            <w:hideMark/>
          </w:tcPr>
          <w:p w:rsidR="006F3C12" w:rsidRPr="00106C21" w:rsidP="006F3C12" w14:paraId="4E9221FE" w14:textId="77777777">
            <w:pPr>
              <w:spacing w:after="0" w:line="240" w:lineRule="auto"/>
              <w:jc w:val="center"/>
              <w:rPr>
                <w:rFonts w:ascii="Times New Roman" w:eastAsia="Times New Roman" w:hAnsi="Times New Roman" w:cs="Times New Roman"/>
                <w:b/>
                <w:bCs/>
                <w:color w:val="0070C0"/>
                <w:sz w:val="28"/>
                <w:szCs w:val="28"/>
              </w:rPr>
            </w:pPr>
          </w:p>
        </w:tc>
      </w:tr>
      <w:tr w14:paraId="4F69B1FB" w14:textId="77777777" w:rsidTr="00CC4FAB">
        <w:tblPrEx>
          <w:tblW w:w="10020" w:type="dxa"/>
          <w:tblLook w:val="04A0"/>
        </w:tblPrEx>
        <w:trPr>
          <w:trHeight w:val="765"/>
        </w:trPr>
        <w:tc>
          <w:tcPr>
            <w:tcW w:w="2513" w:type="dxa"/>
            <w:tcBorders>
              <w:top w:val="nil"/>
              <w:left w:val="single" w:sz="4" w:space="0" w:color="auto"/>
              <w:bottom w:val="single" w:sz="4" w:space="0" w:color="auto"/>
              <w:right w:val="single" w:sz="4" w:space="0" w:color="auto"/>
            </w:tcBorders>
            <w:shd w:val="clear" w:color="000000" w:fill="00B0F0"/>
            <w:vAlign w:val="center"/>
            <w:hideMark/>
          </w:tcPr>
          <w:p w:rsidR="006F3C12" w:rsidRPr="00106C21" w:rsidP="006F3C12" w14:paraId="3DD2504B" w14:textId="77777777">
            <w:pPr>
              <w:spacing w:after="0" w:line="240" w:lineRule="auto"/>
              <w:jc w:val="center"/>
              <w:rPr>
                <w:rFonts w:ascii="Times New Roman" w:eastAsia="Times New Roman" w:hAnsi="Times New Roman" w:cs="Times New Roman"/>
                <w:b/>
                <w:bCs/>
                <w:sz w:val="20"/>
                <w:szCs w:val="20"/>
              </w:rPr>
            </w:pPr>
            <w:r w:rsidRPr="00106C21">
              <w:rPr>
                <w:rFonts w:ascii="Times New Roman" w:eastAsia="Times New Roman" w:hAnsi="Times New Roman" w:cs="Times New Roman"/>
                <w:b/>
                <w:bCs/>
                <w:sz w:val="20"/>
                <w:szCs w:val="20"/>
              </w:rPr>
              <w:t>Form</w:t>
            </w:r>
            <w:r w:rsidRPr="00106C21">
              <w:rPr>
                <w:rFonts w:ascii="Times New Roman" w:eastAsia="Times New Roman" w:hAnsi="Times New Roman" w:cs="Times New Roman"/>
                <w:b/>
                <w:bCs/>
                <w:sz w:val="20"/>
                <w:szCs w:val="20"/>
              </w:rPr>
              <w:t xml:space="preserve"> Number/Title (</w:t>
            </w:r>
            <w:r w:rsidRPr="00106C21">
              <w:rPr>
                <w:rFonts w:ascii="Times New Roman" w:eastAsia="Times New Roman" w:hAnsi="Times New Roman" w:cs="Times New Roman"/>
                <w:b/>
                <w:bCs/>
                <w:sz w:val="20"/>
                <w:szCs w:val="20"/>
              </w:rPr>
              <w:t xml:space="preserve">and/or </w:t>
            </w:r>
            <w:r w:rsidRPr="00106C21">
              <w:rPr>
                <w:rFonts w:ascii="Times New Roman" w:eastAsia="Times New Roman" w:hAnsi="Times New Roman" w:cs="Times New Roman"/>
                <w:b/>
                <w:bCs/>
                <w:sz w:val="20"/>
                <w:szCs w:val="20"/>
              </w:rPr>
              <w:t>other Collection Instrument name)</w:t>
            </w:r>
          </w:p>
        </w:tc>
        <w:tc>
          <w:tcPr>
            <w:tcW w:w="1306" w:type="dxa"/>
            <w:gridSpan w:val="2"/>
            <w:tcBorders>
              <w:top w:val="nil"/>
              <w:left w:val="nil"/>
              <w:bottom w:val="single" w:sz="4" w:space="0" w:color="auto"/>
              <w:right w:val="single" w:sz="4" w:space="0" w:color="auto"/>
            </w:tcBorders>
            <w:shd w:val="clear" w:color="000000" w:fill="00B0F0"/>
            <w:vAlign w:val="center"/>
            <w:hideMark/>
          </w:tcPr>
          <w:p w:rsidR="006F3C12" w:rsidRPr="00106C21" w:rsidP="006F3C12" w14:paraId="485F237D" w14:textId="77777777">
            <w:pPr>
              <w:spacing w:after="0" w:line="240" w:lineRule="auto"/>
              <w:jc w:val="center"/>
              <w:rPr>
                <w:rFonts w:ascii="Times New Roman" w:eastAsia="Times New Roman" w:hAnsi="Times New Roman" w:cs="Times New Roman"/>
                <w:b/>
                <w:bCs/>
                <w:sz w:val="20"/>
                <w:szCs w:val="20"/>
              </w:rPr>
            </w:pPr>
            <w:r w:rsidRPr="00106C21">
              <w:rPr>
                <w:rFonts w:ascii="Times New Roman" w:eastAsia="Times New Roman" w:hAnsi="Times New Roman" w:cs="Times New Roman"/>
                <w:b/>
                <w:bCs/>
                <w:sz w:val="20"/>
                <w:szCs w:val="20"/>
              </w:rPr>
              <w:t>Type of Respondents</w:t>
            </w:r>
          </w:p>
        </w:tc>
        <w:tc>
          <w:tcPr>
            <w:tcW w:w="1306" w:type="dxa"/>
            <w:gridSpan w:val="2"/>
            <w:tcBorders>
              <w:top w:val="nil"/>
              <w:left w:val="nil"/>
              <w:bottom w:val="single" w:sz="4" w:space="0" w:color="auto"/>
              <w:right w:val="single" w:sz="4" w:space="0" w:color="auto"/>
            </w:tcBorders>
            <w:shd w:val="clear" w:color="000000" w:fill="00B0F0"/>
            <w:vAlign w:val="center"/>
            <w:hideMark/>
          </w:tcPr>
          <w:p w:rsidR="006F3C12" w:rsidRPr="00106C21" w:rsidP="006F3C12" w14:paraId="04E14EE0" w14:textId="77777777">
            <w:pPr>
              <w:spacing w:after="0" w:line="240" w:lineRule="auto"/>
              <w:jc w:val="center"/>
              <w:rPr>
                <w:rFonts w:ascii="Times New Roman" w:eastAsia="Times New Roman" w:hAnsi="Times New Roman" w:cs="Times New Roman"/>
                <w:b/>
                <w:bCs/>
                <w:sz w:val="20"/>
                <w:szCs w:val="20"/>
              </w:rPr>
            </w:pPr>
            <w:r w:rsidRPr="00106C21">
              <w:rPr>
                <w:rFonts w:ascii="Times New Roman" w:eastAsia="Times New Roman" w:hAnsi="Times New Roman" w:cs="Times New Roman"/>
                <w:b/>
                <w:bCs/>
                <w:sz w:val="20"/>
                <w:szCs w:val="20"/>
              </w:rPr>
              <w:t>Number of Respondents</w:t>
            </w:r>
          </w:p>
        </w:tc>
        <w:tc>
          <w:tcPr>
            <w:tcW w:w="1158" w:type="dxa"/>
            <w:gridSpan w:val="2"/>
            <w:tcBorders>
              <w:top w:val="nil"/>
              <w:left w:val="nil"/>
              <w:bottom w:val="single" w:sz="4" w:space="0" w:color="auto"/>
              <w:right w:val="single" w:sz="4" w:space="0" w:color="auto"/>
            </w:tcBorders>
            <w:shd w:val="clear" w:color="000000" w:fill="00B0F0"/>
            <w:vAlign w:val="center"/>
            <w:hideMark/>
          </w:tcPr>
          <w:p w:rsidR="006F3C12" w:rsidRPr="00106C21" w:rsidP="006F3C12" w14:paraId="529BA065" w14:textId="77777777">
            <w:pPr>
              <w:spacing w:after="0" w:line="240" w:lineRule="auto"/>
              <w:jc w:val="center"/>
              <w:rPr>
                <w:rFonts w:ascii="Times New Roman" w:eastAsia="Times New Roman" w:hAnsi="Times New Roman" w:cs="Times New Roman"/>
                <w:b/>
                <w:bCs/>
                <w:sz w:val="20"/>
                <w:szCs w:val="20"/>
              </w:rPr>
            </w:pPr>
            <w:r w:rsidRPr="00106C21">
              <w:rPr>
                <w:rFonts w:ascii="Times New Roman" w:eastAsia="Times New Roman" w:hAnsi="Times New Roman" w:cs="Times New Roman"/>
                <w:b/>
                <w:bCs/>
                <w:sz w:val="20"/>
                <w:szCs w:val="20"/>
              </w:rPr>
              <w:t>Annual Number of Responses</w:t>
            </w:r>
          </w:p>
        </w:tc>
        <w:tc>
          <w:tcPr>
            <w:tcW w:w="1438" w:type="dxa"/>
            <w:gridSpan w:val="2"/>
            <w:tcBorders>
              <w:top w:val="nil"/>
              <w:left w:val="nil"/>
              <w:bottom w:val="single" w:sz="4" w:space="0" w:color="auto"/>
              <w:right w:val="single" w:sz="4" w:space="0" w:color="auto"/>
            </w:tcBorders>
            <w:shd w:val="clear" w:color="000000" w:fill="00B0F0"/>
            <w:vAlign w:val="center"/>
            <w:hideMark/>
          </w:tcPr>
          <w:p w:rsidR="006F3C12" w:rsidRPr="00106C21" w:rsidP="006F3C12" w14:paraId="3765254C" w14:textId="77777777">
            <w:pPr>
              <w:spacing w:after="0" w:line="240" w:lineRule="auto"/>
              <w:jc w:val="center"/>
              <w:rPr>
                <w:rFonts w:ascii="Times New Roman" w:eastAsia="Times New Roman" w:hAnsi="Times New Roman" w:cs="Times New Roman"/>
                <w:b/>
                <w:bCs/>
                <w:sz w:val="20"/>
                <w:szCs w:val="20"/>
              </w:rPr>
            </w:pPr>
            <w:r w:rsidRPr="00106C21">
              <w:rPr>
                <w:rFonts w:ascii="Times New Roman" w:eastAsia="Times New Roman" w:hAnsi="Times New Roman" w:cs="Times New Roman"/>
                <w:b/>
                <w:bCs/>
                <w:sz w:val="20"/>
                <w:szCs w:val="20"/>
              </w:rPr>
              <w:t>Burden Hours Per Response</w:t>
            </w:r>
          </w:p>
        </w:tc>
        <w:tc>
          <w:tcPr>
            <w:tcW w:w="1172" w:type="dxa"/>
            <w:gridSpan w:val="2"/>
            <w:tcBorders>
              <w:top w:val="nil"/>
              <w:left w:val="nil"/>
              <w:bottom w:val="single" w:sz="4" w:space="0" w:color="auto"/>
              <w:right w:val="single" w:sz="4" w:space="0" w:color="auto"/>
            </w:tcBorders>
            <w:shd w:val="clear" w:color="000000" w:fill="00B0F0"/>
            <w:vAlign w:val="center"/>
            <w:hideMark/>
          </w:tcPr>
          <w:p w:rsidR="006F3C12" w:rsidRPr="00106C21" w:rsidP="006F3C12" w14:paraId="3E54AFF3" w14:textId="77777777">
            <w:pPr>
              <w:spacing w:after="0" w:line="240" w:lineRule="auto"/>
              <w:jc w:val="center"/>
              <w:rPr>
                <w:rFonts w:ascii="Times New Roman" w:eastAsia="Times New Roman" w:hAnsi="Times New Roman" w:cs="Times New Roman"/>
                <w:b/>
                <w:bCs/>
                <w:sz w:val="20"/>
                <w:szCs w:val="20"/>
              </w:rPr>
            </w:pPr>
            <w:r w:rsidRPr="00106C21">
              <w:rPr>
                <w:rFonts w:ascii="Times New Roman" w:eastAsia="Times New Roman" w:hAnsi="Times New Roman" w:cs="Times New Roman"/>
                <w:b/>
                <w:bCs/>
                <w:sz w:val="20"/>
                <w:szCs w:val="20"/>
              </w:rPr>
              <w:t>Annual Burden Hours</w:t>
            </w:r>
          </w:p>
        </w:tc>
        <w:tc>
          <w:tcPr>
            <w:tcW w:w="1127" w:type="dxa"/>
            <w:tcBorders>
              <w:top w:val="single" w:sz="4" w:space="0" w:color="auto"/>
              <w:left w:val="nil"/>
              <w:bottom w:val="single" w:sz="4" w:space="0" w:color="auto"/>
              <w:right w:val="single" w:sz="4" w:space="0" w:color="auto"/>
            </w:tcBorders>
            <w:shd w:val="clear" w:color="000000" w:fill="00B0F0"/>
            <w:vAlign w:val="center"/>
            <w:hideMark/>
          </w:tcPr>
          <w:p w:rsidR="006F3C12" w:rsidRPr="00106C21" w:rsidP="006F3C12" w14:paraId="51EEC0DD" w14:textId="77777777">
            <w:pPr>
              <w:spacing w:after="0" w:line="240" w:lineRule="auto"/>
              <w:jc w:val="center"/>
              <w:rPr>
                <w:rFonts w:ascii="Times New Roman" w:eastAsia="Times New Roman" w:hAnsi="Times New Roman" w:cs="Times New Roman"/>
                <w:b/>
                <w:bCs/>
                <w:sz w:val="20"/>
                <w:szCs w:val="20"/>
              </w:rPr>
            </w:pPr>
            <w:r w:rsidRPr="00106C21">
              <w:rPr>
                <w:rFonts w:ascii="Times New Roman" w:eastAsia="Times New Roman" w:hAnsi="Times New Roman" w:cs="Times New Roman"/>
                <w:b/>
                <w:bCs/>
                <w:sz w:val="20"/>
                <w:szCs w:val="20"/>
              </w:rPr>
              <w:t>Annual Reporting Frequency</w:t>
            </w:r>
          </w:p>
        </w:tc>
      </w:tr>
      <w:tr w14:paraId="6ADE4812" w14:textId="77777777" w:rsidTr="00F10E8E">
        <w:tblPrEx>
          <w:tblW w:w="10020" w:type="dxa"/>
          <w:tblLook w:val="04A0"/>
        </w:tblPrEx>
        <w:trPr>
          <w:trHeight w:val="255"/>
        </w:trPr>
        <w:tc>
          <w:tcPr>
            <w:tcW w:w="2513" w:type="dxa"/>
            <w:tcBorders>
              <w:top w:val="nil"/>
              <w:left w:val="single" w:sz="4" w:space="0" w:color="auto"/>
              <w:bottom w:val="single" w:sz="4" w:space="0" w:color="auto"/>
              <w:right w:val="single" w:sz="4" w:space="0" w:color="auto"/>
            </w:tcBorders>
          </w:tcPr>
          <w:p w:rsidR="00C524DC" w:rsidP="00982614" w14:paraId="7C378DEF" w14:textId="77777777">
            <w:pPr>
              <w:spacing w:after="0" w:line="240" w:lineRule="auto"/>
              <w:rPr>
                <w:rFonts w:eastAsia="Times New Roman" w:asciiTheme="majorHAnsi" w:hAnsiTheme="majorHAnsi" w:cstheme="majorHAnsi"/>
                <w:color w:val="000000"/>
                <w:sz w:val="20"/>
                <w:szCs w:val="20"/>
              </w:rPr>
            </w:pPr>
            <w:r w:rsidRPr="00F10E8E">
              <w:rPr>
                <w:rFonts w:eastAsia="Times New Roman" w:asciiTheme="majorHAnsi" w:hAnsiTheme="majorHAnsi" w:cstheme="majorHAnsi"/>
                <w:color w:val="000000"/>
                <w:sz w:val="20"/>
                <w:szCs w:val="20"/>
              </w:rPr>
              <w:t xml:space="preserve">OMB Control Number </w:t>
            </w:r>
          </w:p>
          <w:p w:rsidR="00C54121" w:rsidP="00982614" w14:paraId="0EA89292" w14:textId="73B6D7A4">
            <w:pPr>
              <w:spacing w:after="0" w:line="240" w:lineRule="auto"/>
              <w:rPr>
                <w:rFonts w:eastAsia="Times New Roman" w:asciiTheme="majorHAnsi" w:hAnsiTheme="majorHAnsi" w:cstheme="majorHAnsi"/>
                <w:color w:val="000000"/>
                <w:sz w:val="20"/>
                <w:szCs w:val="20"/>
              </w:rPr>
            </w:pPr>
            <w:r w:rsidRPr="00F10E8E">
              <w:rPr>
                <w:rFonts w:eastAsia="Times New Roman" w:asciiTheme="majorHAnsi" w:hAnsiTheme="majorHAnsi" w:cstheme="majorHAnsi"/>
                <w:color w:val="000000"/>
                <w:sz w:val="20"/>
                <w:szCs w:val="20"/>
              </w:rPr>
              <w:t xml:space="preserve">1910-5134 </w:t>
            </w:r>
          </w:p>
          <w:p w:rsidR="00C524DC" w:rsidRPr="00F10E8E" w:rsidP="00982614" w14:paraId="31AA4F3B" w14:textId="77777777">
            <w:pPr>
              <w:spacing w:after="0" w:line="240" w:lineRule="auto"/>
              <w:rPr>
                <w:rFonts w:eastAsia="Times New Roman" w:asciiTheme="majorHAnsi" w:hAnsiTheme="majorHAnsi" w:cstheme="majorHAnsi"/>
                <w:color w:val="000000"/>
                <w:sz w:val="20"/>
                <w:szCs w:val="20"/>
              </w:rPr>
            </w:pPr>
          </w:p>
          <w:p w:rsidR="00C524DC" w:rsidP="00C524DC" w14:paraId="6507803F" w14:textId="194FE6A3">
            <w:pPr>
              <w:pStyle w:val="ListParagraph"/>
              <w:rPr>
                <w:rFonts w:asciiTheme="majorHAnsi" w:hAnsiTheme="majorHAnsi" w:cstheme="majorHAnsi"/>
                <w:sz w:val="20"/>
                <w:szCs w:val="20"/>
              </w:rPr>
            </w:pPr>
            <w:r w:rsidRPr="00F10E8E">
              <w:rPr>
                <w:rFonts w:asciiTheme="majorHAnsi" w:hAnsiTheme="majorHAnsi" w:cstheme="majorHAnsi"/>
                <w:sz w:val="20"/>
                <w:szCs w:val="20"/>
              </w:rPr>
              <w:t>Program Guide</w:t>
            </w:r>
          </w:p>
          <w:p w:rsidR="003A15D2" w:rsidRPr="003A15D2" w:rsidP="00C524DC" w14:paraId="7FBCEDBE" w14:textId="294FC1B9">
            <w:pPr>
              <w:pStyle w:val="ListParagraph"/>
              <w:rPr>
                <w:rFonts w:asciiTheme="majorHAnsi" w:hAnsiTheme="majorHAnsi" w:cstheme="majorHAnsi"/>
                <w:sz w:val="20"/>
                <w:szCs w:val="20"/>
              </w:rPr>
            </w:pPr>
            <w:r w:rsidRPr="003A15D2">
              <w:rPr>
                <w:rFonts w:asciiTheme="majorHAnsi" w:hAnsiTheme="majorHAnsi" w:cstheme="majorHAnsi"/>
                <w:sz w:val="20"/>
                <w:szCs w:val="20"/>
              </w:rPr>
              <w:t>Part I</w:t>
            </w:r>
            <w:r w:rsidR="00C524DC">
              <w:rPr>
                <w:rFonts w:asciiTheme="majorHAnsi" w:hAnsiTheme="majorHAnsi" w:cstheme="majorHAnsi"/>
                <w:sz w:val="20"/>
                <w:szCs w:val="20"/>
              </w:rPr>
              <w:t xml:space="preserve"> </w:t>
            </w:r>
            <w:r w:rsidRPr="003A15D2">
              <w:rPr>
                <w:rFonts w:asciiTheme="majorHAnsi" w:hAnsiTheme="majorHAnsi" w:cstheme="majorHAnsi"/>
                <w:sz w:val="20"/>
                <w:szCs w:val="20"/>
              </w:rPr>
              <w:t>Application</w:t>
            </w:r>
          </w:p>
          <w:p w:rsidR="00C524DC" w:rsidP="00C524DC" w14:paraId="6CEA3B0E" w14:textId="77777777">
            <w:pPr>
              <w:pStyle w:val="ListParagraph"/>
              <w:rPr>
                <w:rFonts w:asciiTheme="majorHAnsi" w:hAnsiTheme="majorHAnsi" w:cstheme="majorHAnsi"/>
                <w:sz w:val="20"/>
                <w:szCs w:val="20"/>
              </w:rPr>
            </w:pPr>
            <w:r w:rsidRPr="003A15D2">
              <w:rPr>
                <w:rFonts w:asciiTheme="majorHAnsi" w:hAnsiTheme="majorHAnsi" w:cstheme="majorHAnsi"/>
                <w:sz w:val="20"/>
                <w:szCs w:val="20"/>
              </w:rPr>
              <w:t>Part II Application</w:t>
            </w:r>
          </w:p>
          <w:p w:rsidR="003A15D2" w:rsidRPr="00F10E8E" w:rsidP="00F10E8E" w14:paraId="0526F19C" w14:textId="592309E8">
            <w:pPr>
              <w:pStyle w:val="ListParagraph"/>
              <w:rPr>
                <w:rFonts w:asciiTheme="majorHAnsi" w:hAnsiTheme="majorHAnsi" w:cstheme="majorHAnsi"/>
                <w:sz w:val="20"/>
                <w:szCs w:val="20"/>
              </w:rPr>
            </w:pPr>
            <w:r w:rsidRPr="003A15D2">
              <w:rPr>
                <w:rFonts w:asciiTheme="majorHAnsi" w:hAnsiTheme="majorHAnsi" w:cstheme="majorHAnsi"/>
                <w:sz w:val="20"/>
                <w:szCs w:val="20"/>
              </w:rPr>
              <w:t>Application Portal</w:t>
            </w:r>
          </w:p>
        </w:tc>
        <w:tc>
          <w:tcPr>
            <w:tcW w:w="1306" w:type="dxa"/>
            <w:gridSpan w:val="2"/>
            <w:tcBorders>
              <w:top w:val="nil"/>
              <w:left w:val="nil"/>
              <w:bottom w:val="single" w:sz="4" w:space="0" w:color="auto"/>
              <w:right w:val="single" w:sz="4" w:space="0" w:color="auto"/>
            </w:tcBorders>
            <w:noWrap/>
            <w:vAlign w:val="bottom"/>
          </w:tcPr>
          <w:p w:rsidR="009B262C" w:rsidRPr="00106C21" w:rsidP="00982614" w14:paraId="420F9323" w14:textId="665D8DA1">
            <w:pPr>
              <w:spacing w:after="0" w:line="240" w:lineRule="auto"/>
              <w:rPr>
                <w:rFonts w:ascii="Times New Roman" w:eastAsia="Times New Roman" w:hAnsi="Times New Roman" w:cs="Times New Roman"/>
                <w:color w:val="000000"/>
                <w:sz w:val="20"/>
                <w:szCs w:val="20"/>
              </w:rPr>
            </w:pPr>
            <w:r w:rsidRPr="00106C21">
              <w:rPr>
                <w:rFonts w:ascii="Times New Roman" w:eastAsia="Times New Roman" w:hAnsi="Times New Roman" w:cs="Times New Roman"/>
                <w:color w:val="000000"/>
                <w:sz w:val="20"/>
                <w:szCs w:val="20"/>
              </w:rPr>
              <w:t>Applicant</w:t>
            </w:r>
            <w:r w:rsidR="00525112">
              <w:rPr>
                <w:rFonts w:ascii="Times New Roman" w:eastAsia="Times New Roman" w:hAnsi="Times New Roman" w:cs="Times New Roman"/>
                <w:color w:val="000000"/>
                <w:sz w:val="20"/>
                <w:szCs w:val="20"/>
              </w:rPr>
              <w:t>s</w:t>
            </w:r>
            <w:r w:rsidRPr="00106C21">
              <w:rPr>
                <w:rFonts w:ascii="Times New Roman" w:eastAsia="Times New Roman" w:hAnsi="Times New Roman" w:cs="Times New Roman"/>
                <w:color w:val="000000"/>
                <w:sz w:val="20"/>
                <w:szCs w:val="20"/>
              </w:rPr>
              <w:t xml:space="preserve"> for Title XVII Program loan guarantee (business or other for-profit)</w:t>
            </w:r>
          </w:p>
        </w:tc>
        <w:tc>
          <w:tcPr>
            <w:tcW w:w="1306" w:type="dxa"/>
            <w:gridSpan w:val="2"/>
            <w:tcBorders>
              <w:top w:val="nil"/>
              <w:left w:val="nil"/>
              <w:bottom w:val="single" w:sz="4" w:space="0" w:color="auto"/>
              <w:right w:val="single" w:sz="4" w:space="0" w:color="auto"/>
            </w:tcBorders>
            <w:noWrap/>
            <w:vAlign w:val="bottom"/>
          </w:tcPr>
          <w:p w:rsidR="009B262C" w:rsidRPr="00106C21" w:rsidP="00982614" w14:paraId="6A8C78A8" w14:textId="4034A5F7">
            <w:pPr>
              <w:spacing w:after="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158" w:type="dxa"/>
            <w:gridSpan w:val="2"/>
            <w:tcBorders>
              <w:top w:val="nil"/>
              <w:left w:val="nil"/>
              <w:bottom w:val="single" w:sz="4" w:space="0" w:color="auto"/>
              <w:right w:val="single" w:sz="4" w:space="0" w:color="auto"/>
            </w:tcBorders>
            <w:shd w:val="clear" w:color="000000" w:fill="E2A5AC"/>
            <w:noWrap/>
            <w:vAlign w:val="bottom"/>
          </w:tcPr>
          <w:p w:rsidR="009B262C" w:rsidRPr="00106C21" w:rsidP="00982614" w14:paraId="29FDC828" w14:textId="3ECFD769">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438" w:type="dxa"/>
            <w:gridSpan w:val="2"/>
            <w:tcBorders>
              <w:top w:val="nil"/>
              <w:left w:val="nil"/>
              <w:bottom w:val="single" w:sz="4" w:space="0" w:color="auto"/>
              <w:right w:val="single" w:sz="4" w:space="0" w:color="auto"/>
            </w:tcBorders>
            <w:noWrap/>
            <w:vAlign w:val="bottom"/>
          </w:tcPr>
          <w:p w:rsidR="009B262C" w:rsidRPr="00106C21" w:rsidP="00982614" w14:paraId="07F47B6E" w14:textId="4687B973">
            <w:pPr>
              <w:spacing w:after="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132.5</w:t>
            </w:r>
          </w:p>
        </w:tc>
        <w:tc>
          <w:tcPr>
            <w:tcW w:w="1172" w:type="dxa"/>
            <w:gridSpan w:val="2"/>
            <w:tcBorders>
              <w:top w:val="nil"/>
              <w:left w:val="nil"/>
              <w:bottom w:val="single" w:sz="4" w:space="0" w:color="auto"/>
              <w:right w:val="single" w:sz="4" w:space="0" w:color="auto"/>
            </w:tcBorders>
            <w:shd w:val="clear" w:color="000000" w:fill="E2A5AC"/>
            <w:noWrap/>
            <w:vAlign w:val="bottom"/>
          </w:tcPr>
          <w:p w:rsidR="009B262C" w:rsidRPr="00106C21" w:rsidP="00982614" w14:paraId="492FD6B8" w14:textId="5FE256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r w:rsidR="00641A10">
              <w:rPr>
                <w:rFonts w:ascii="Times New Roman" w:eastAsia="Times New Roman" w:hAnsi="Times New Roman" w:cs="Times New Roman"/>
                <w:color w:val="000000"/>
                <w:sz w:val="20"/>
                <w:szCs w:val="20"/>
              </w:rPr>
              <w:t>250</w:t>
            </w:r>
          </w:p>
        </w:tc>
        <w:tc>
          <w:tcPr>
            <w:tcW w:w="1127" w:type="dxa"/>
            <w:tcBorders>
              <w:top w:val="nil"/>
              <w:left w:val="nil"/>
              <w:bottom w:val="single" w:sz="4" w:space="0" w:color="auto"/>
              <w:right w:val="single" w:sz="4" w:space="0" w:color="auto"/>
            </w:tcBorders>
            <w:noWrap/>
            <w:vAlign w:val="bottom"/>
          </w:tcPr>
          <w:p w:rsidR="009B262C" w:rsidRPr="00106C21" w:rsidP="00A6655F" w14:paraId="4B4D2DAE" w14:textId="2FB657FB">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14:paraId="41314169" w14:textId="77777777" w:rsidTr="00CC4FAB">
        <w:tblPrEx>
          <w:tblW w:w="10020" w:type="dxa"/>
          <w:tblLook w:val="04A0"/>
        </w:tblPrEx>
        <w:trPr>
          <w:trHeight w:val="255"/>
        </w:trPr>
        <w:tc>
          <w:tcPr>
            <w:tcW w:w="2550" w:type="dxa"/>
            <w:gridSpan w:val="2"/>
            <w:tcBorders>
              <w:top w:val="nil"/>
              <w:left w:val="single" w:sz="4" w:space="0" w:color="auto"/>
              <w:bottom w:val="single" w:sz="4" w:space="0" w:color="auto"/>
              <w:right w:val="single" w:sz="4" w:space="0" w:color="auto"/>
            </w:tcBorders>
            <w:vAlign w:val="bottom"/>
            <w:hideMark/>
          </w:tcPr>
          <w:p w:rsidR="00982614" w:rsidRPr="00106C21" w:rsidP="00982614" w14:paraId="27BDE759" w14:textId="77777777">
            <w:pPr>
              <w:spacing w:after="0" w:line="240" w:lineRule="auto"/>
              <w:rPr>
                <w:rFonts w:ascii="Times New Roman" w:eastAsia="Times New Roman" w:hAnsi="Times New Roman" w:cs="Times New Roman"/>
                <w:b/>
                <w:bCs/>
                <w:color w:val="000000"/>
                <w:sz w:val="20"/>
                <w:szCs w:val="20"/>
              </w:rPr>
            </w:pPr>
            <w:r w:rsidRPr="00106C21">
              <w:rPr>
                <w:rFonts w:ascii="Times New Roman" w:eastAsia="Times New Roman" w:hAnsi="Times New Roman" w:cs="Times New Roman"/>
                <w:b/>
                <w:bCs/>
                <w:color w:val="000000"/>
                <w:sz w:val="20"/>
                <w:szCs w:val="20"/>
              </w:rPr>
              <w:t>TOTAL</w:t>
            </w:r>
          </w:p>
        </w:tc>
        <w:tc>
          <w:tcPr>
            <w:tcW w:w="1296" w:type="dxa"/>
            <w:gridSpan w:val="2"/>
            <w:tcBorders>
              <w:top w:val="nil"/>
              <w:left w:val="nil"/>
              <w:bottom w:val="single" w:sz="4" w:space="0" w:color="auto"/>
              <w:right w:val="single" w:sz="4" w:space="0" w:color="auto"/>
            </w:tcBorders>
            <w:shd w:val="clear" w:color="000000" w:fill="333333"/>
            <w:noWrap/>
            <w:vAlign w:val="bottom"/>
            <w:hideMark/>
          </w:tcPr>
          <w:p w:rsidR="00982614" w:rsidRPr="00106C21" w:rsidP="00982614" w14:paraId="3B6104EB" w14:textId="77777777">
            <w:pPr>
              <w:spacing w:after="0" w:line="240" w:lineRule="auto"/>
              <w:rPr>
                <w:rFonts w:ascii="Times New Roman" w:eastAsia="Times New Roman" w:hAnsi="Times New Roman" w:cs="Times New Roman"/>
                <w:b/>
                <w:bCs/>
                <w:color w:val="000000"/>
                <w:sz w:val="20"/>
                <w:szCs w:val="20"/>
              </w:rPr>
            </w:pPr>
            <w:r w:rsidRPr="00106C21">
              <w:rPr>
                <w:rFonts w:ascii="Times New Roman" w:eastAsia="Times New Roman" w:hAnsi="Times New Roman" w:cs="Times New Roman"/>
                <w:b/>
                <w:bCs/>
                <w:color w:val="000000"/>
                <w:sz w:val="20"/>
                <w:szCs w:val="20"/>
              </w:rPr>
              <w:t> </w:t>
            </w:r>
          </w:p>
        </w:tc>
        <w:tc>
          <w:tcPr>
            <w:tcW w:w="1296" w:type="dxa"/>
            <w:gridSpan w:val="2"/>
            <w:tcBorders>
              <w:top w:val="nil"/>
              <w:left w:val="nil"/>
              <w:bottom w:val="single" w:sz="4" w:space="0" w:color="auto"/>
              <w:right w:val="single" w:sz="4" w:space="0" w:color="auto"/>
            </w:tcBorders>
            <w:shd w:val="clear" w:color="000000" w:fill="E2A5AC"/>
            <w:noWrap/>
            <w:vAlign w:val="bottom"/>
            <w:hideMark/>
          </w:tcPr>
          <w:p w:rsidR="00982614" w:rsidRPr="00106C21" w:rsidP="00982614" w14:paraId="14067F12" w14:textId="73C7AD1F">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100</w:t>
            </w:r>
          </w:p>
        </w:tc>
        <w:tc>
          <w:tcPr>
            <w:tcW w:w="1158" w:type="dxa"/>
            <w:gridSpan w:val="2"/>
            <w:tcBorders>
              <w:top w:val="nil"/>
              <w:left w:val="nil"/>
              <w:bottom w:val="single" w:sz="4" w:space="0" w:color="auto"/>
              <w:right w:val="single" w:sz="4" w:space="0" w:color="auto"/>
            </w:tcBorders>
            <w:shd w:val="clear" w:color="000000" w:fill="E2A5AC"/>
            <w:noWrap/>
            <w:vAlign w:val="bottom"/>
            <w:hideMark/>
          </w:tcPr>
          <w:p w:rsidR="00982614" w:rsidRPr="00106C21" w:rsidP="00982614" w14:paraId="584584E5" w14:textId="4E497313">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100</w:t>
            </w:r>
          </w:p>
        </w:tc>
        <w:tc>
          <w:tcPr>
            <w:tcW w:w="1438" w:type="dxa"/>
            <w:gridSpan w:val="2"/>
            <w:tcBorders>
              <w:top w:val="nil"/>
              <w:left w:val="nil"/>
              <w:bottom w:val="single" w:sz="4" w:space="0" w:color="auto"/>
              <w:right w:val="single" w:sz="4" w:space="0" w:color="auto"/>
            </w:tcBorders>
            <w:shd w:val="clear" w:color="000000" w:fill="333333"/>
            <w:noWrap/>
            <w:vAlign w:val="bottom"/>
            <w:hideMark/>
          </w:tcPr>
          <w:p w:rsidR="00982614" w:rsidRPr="00106C21" w:rsidP="00982614" w14:paraId="7E08173C" w14:textId="77777777">
            <w:pPr>
              <w:spacing w:after="0" w:line="240" w:lineRule="auto"/>
              <w:rPr>
                <w:rFonts w:ascii="Times New Roman" w:eastAsia="Times New Roman" w:hAnsi="Times New Roman" w:cs="Times New Roman"/>
                <w:b/>
                <w:bCs/>
                <w:color w:val="000000"/>
                <w:sz w:val="20"/>
                <w:szCs w:val="20"/>
              </w:rPr>
            </w:pPr>
            <w:r w:rsidRPr="00106C21">
              <w:rPr>
                <w:rFonts w:ascii="Times New Roman" w:eastAsia="Times New Roman" w:hAnsi="Times New Roman" w:cs="Times New Roman"/>
                <w:b/>
                <w:bCs/>
                <w:color w:val="000000"/>
                <w:sz w:val="20"/>
                <w:szCs w:val="20"/>
              </w:rPr>
              <w:t> </w:t>
            </w:r>
          </w:p>
        </w:tc>
        <w:tc>
          <w:tcPr>
            <w:tcW w:w="1155" w:type="dxa"/>
            <w:tcBorders>
              <w:top w:val="nil"/>
              <w:left w:val="nil"/>
              <w:bottom w:val="single" w:sz="4" w:space="0" w:color="auto"/>
              <w:right w:val="single" w:sz="4" w:space="0" w:color="auto"/>
            </w:tcBorders>
            <w:shd w:val="clear" w:color="000000" w:fill="E2A5AC"/>
            <w:noWrap/>
            <w:vAlign w:val="bottom"/>
            <w:hideMark/>
          </w:tcPr>
          <w:p w:rsidR="00982614" w:rsidRPr="00106C21" w:rsidP="00982614" w14:paraId="17705508" w14:textId="5D7BF76F">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13,250</w:t>
            </w:r>
          </w:p>
        </w:tc>
        <w:tc>
          <w:tcPr>
            <w:tcW w:w="1127" w:type="dxa"/>
            <w:tcBorders>
              <w:top w:val="nil"/>
              <w:left w:val="nil"/>
              <w:bottom w:val="single" w:sz="4" w:space="0" w:color="auto"/>
              <w:right w:val="single" w:sz="4" w:space="0" w:color="auto"/>
            </w:tcBorders>
            <w:shd w:val="clear" w:color="000000" w:fill="333333"/>
            <w:noWrap/>
            <w:vAlign w:val="bottom"/>
            <w:hideMark/>
          </w:tcPr>
          <w:p w:rsidR="00982614" w:rsidRPr="00106C21" w:rsidP="00982614" w14:paraId="4B7ACDAD" w14:textId="77777777">
            <w:pPr>
              <w:spacing w:after="0" w:line="240" w:lineRule="auto"/>
              <w:rPr>
                <w:rFonts w:ascii="Times New Roman" w:eastAsia="Times New Roman" w:hAnsi="Times New Roman" w:cs="Times New Roman"/>
                <w:b/>
                <w:bCs/>
                <w:color w:val="000000"/>
                <w:sz w:val="20"/>
                <w:szCs w:val="20"/>
              </w:rPr>
            </w:pPr>
            <w:r w:rsidRPr="00106C21">
              <w:rPr>
                <w:rFonts w:ascii="Times New Roman" w:eastAsia="Times New Roman" w:hAnsi="Times New Roman" w:cs="Times New Roman"/>
                <w:b/>
                <w:bCs/>
                <w:color w:val="000000"/>
                <w:sz w:val="20"/>
                <w:szCs w:val="20"/>
              </w:rPr>
              <w:t> </w:t>
            </w:r>
          </w:p>
        </w:tc>
      </w:tr>
    </w:tbl>
    <w:p w:rsidR="00AE6862" w:rsidRPr="00106C21" w:rsidP="00A41763" w14:paraId="19A731A3" w14:textId="77777777">
      <w:pPr>
        <w:rPr>
          <w:rFonts w:ascii="Times New Roman" w:hAnsi="Times New Roman" w:cs="Times New Roman"/>
        </w:rPr>
      </w:pPr>
    </w:p>
    <w:p w:rsidR="006F3C12" w:rsidRPr="00106C21" w:rsidP="005A73A8" w14:paraId="3E28018C" w14:textId="77777777">
      <w:pPr>
        <w:pStyle w:val="Heading2"/>
        <w:rPr>
          <w:rFonts w:ascii="Times New Roman" w:hAnsi="Times New Roman" w:cs="Times New Roman"/>
        </w:rPr>
      </w:pPr>
      <w:bookmarkStart w:id="15" w:name="_Toc16271331"/>
      <w:r w:rsidRPr="00106C21">
        <w:rPr>
          <w:rFonts w:ascii="Times New Roman" w:hAnsi="Times New Roman" w:cs="Times New Roman"/>
        </w:rPr>
        <w:t>A.12B. Estimate of Annual Cost to Respondent for Burden Hours</w:t>
      </w:r>
      <w:bookmarkEnd w:id="15"/>
      <w:r w:rsidRPr="00106C21">
        <w:rPr>
          <w:rFonts w:ascii="Times New Roman" w:hAnsi="Times New Roman" w:cs="Times New Roman"/>
        </w:rPr>
        <w:t xml:space="preserve"> </w:t>
      </w:r>
    </w:p>
    <w:p w:rsidR="000B43BF" w:rsidRPr="00106C21" w:rsidP="000B43BF" w14:paraId="1FD02EB4" w14:textId="78CD8BB5">
      <w:pPr>
        <w:pStyle w:val="Default"/>
        <w:rPr>
          <w:b/>
          <w:bCs/>
        </w:rPr>
      </w:pPr>
      <w:r w:rsidRPr="00106C21">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2E4FAD" w:rsidRPr="00106C21" w:rsidP="000B43BF" w14:paraId="007592F9" w14:textId="39940372">
      <w:pPr>
        <w:pStyle w:val="Default"/>
        <w:rPr>
          <w:b/>
          <w:bCs/>
        </w:rPr>
      </w:pPr>
    </w:p>
    <w:p w:rsidR="005C634B" w:rsidRPr="009B262C" w:rsidP="00C16044" w14:paraId="1F224C8D" w14:textId="55D7C2F3">
      <w:pPr>
        <w:pStyle w:val="Default"/>
        <w:rPr>
          <w:sz w:val="22"/>
          <w:szCs w:val="22"/>
        </w:rPr>
      </w:pPr>
      <w:r>
        <w:rPr>
          <w:sz w:val="22"/>
          <w:szCs w:val="22"/>
        </w:rPr>
        <w:t>The Department</w:t>
      </w:r>
      <w:r w:rsidRPr="009B262C">
        <w:rPr>
          <w:sz w:val="22"/>
          <w:szCs w:val="22"/>
        </w:rPr>
        <w:t xml:space="preserve"> </w:t>
      </w:r>
      <w:r w:rsidRPr="009B262C" w:rsidR="00586D0D">
        <w:rPr>
          <w:sz w:val="22"/>
          <w:szCs w:val="22"/>
        </w:rPr>
        <w:t>estimates the cost for the hour burden of the information collection is $</w:t>
      </w:r>
      <w:r w:rsidR="0097407E">
        <w:rPr>
          <w:sz w:val="22"/>
          <w:szCs w:val="22"/>
        </w:rPr>
        <w:t xml:space="preserve">33,711 </w:t>
      </w:r>
      <w:r w:rsidRPr="009B262C" w:rsidR="00586D0D">
        <w:rPr>
          <w:sz w:val="22"/>
          <w:szCs w:val="22"/>
        </w:rPr>
        <w:t xml:space="preserve">per </w:t>
      </w:r>
      <w:r w:rsidR="00CC4FAB">
        <w:rPr>
          <w:sz w:val="22"/>
          <w:szCs w:val="22"/>
        </w:rPr>
        <w:t xml:space="preserve">Title </w:t>
      </w:r>
      <w:r w:rsidR="00B868C6">
        <w:rPr>
          <w:sz w:val="22"/>
          <w:szCs w:val="22"/>
        </w:rPr>
        <w:t xml:space="preserve">XVII </w:t>
      </w:r>
      <w:r w:rsidRPr="009B262C" w:rsidR="00586D0D">
        <w:rPr>
          <w:sz w:val="22"/>
          <w:szCs w:val="22"/>
        </w:rPr>
        <w:t>Applicant</w:t>
      </w:r>
      <w:r w:rsidRPr="009B262C" w:rsidR="00DA5825">
        <w:rPr>
          <w:sz w:val="22"/>
          <w:szCs w:val="22"/>
        </w:rPr>
        <w:t>, totaling $</w:t>
      </w:r>
      <w:r w:rsidR="00F31E91">
        <w:rPr>
          <w:sz w:val="22"/>
          <w:szCs w:val="22"/>
        </w:rPr>
        <w:t>3,371,100</w:t>
      </w:r>
      <w:r w:rsidRPr="009B262C" w:rsidR="00586D0D">
        <w:rPr>
          <w:sz w:val="22"/>
          <w:szCs w:val="22"/>
        </w:rPr>
        <w:t xml:space="preserve">.  </w:t>
      </w:r>
      <w:r w:rsidRPr="009B262C" w:rsidR="00CF0D2C">
        <w:rPr>
          <w:sz w:val="22"/>
          <w:szCs w:val="22"/>
        </w:rPr>
        <w:t xml:space="preserve">This estimate is based on </w:t>
      </w:r>
      <w:r w:rsidR="00AF207D">
        <w:rPr>
          <w:sz w:val="22"/>
          <w:szCs w:val="22"/>
        </w:rPr>
        <w:t xml:space="preserve">the last revision and extension request to OMB. </w:t>
      </w:r>
      <w:r w:rsidRPr="00876E4D" w:rsidR="00AF207D">
        <w:rPr>
          <w:sz w:val="22"/>
          <w:szCs w:val="22"/>
        </w:rPr>
        <w:t xml:space="preserve">DOE </w:t>
      </w:r>
      <w:r w:rsidR="00AF207D">
        <w:rPr>
          <w:sz w:val="22"/>
          <w:szCs w:val="22"/>
        </w:rPr>
        <w:t xml:space="preserve">reviewed and </w:t>
      </w:r>
      <w:r w:rsidRPr="00876E4D" w:rsidR="00AF207D">
        <w:rPr>
          <w:sz w:val="22"/>
          <w:szCs w:val="22"/>
        </w:rPr>
        <w:t xml:space="preserve">reverted </w:t>
      </w:r>
      <w:r w:rsidR="00AF207D">
        <w:rPr>
          <w:sz w:val="22"/>
          <w:szCs w:val="22"/>
        </w:rPr>
        <w:t>back</w:t>
      </w:r>
      <w:r w:rsidR="00AF207D">
        <w:rPr>
          <w:sz w:val="22"/>
          <w:szCs w:val="22"/>
        </w:rPr>
        <w:t xml:space="preserve"> </w:t>
      </w:r>
      <w:r w:rsidRPr="00876E4D" w:rsidR="00AF207D">
        <w:rPr>
          <w:sz w:val="22"/>
          <w:szCs w:val="22"/>
        </w:rPr>
        <w:t xml:space="preserve">to a prior estimate of </w:t>
      </w:r>
      <w:r w:rsidRPr="009B262C" w:rsidR="00CF0D2C">
        <w:rPr>
          <w:sz w:val="22"/>
          <w:szCs w:val="22"/>
        </w:rPr>
        <w:t>(</w:t>
      </w:r>
      <w:r w:rsidRPr="009B262C" w:rsidR="00923135">
        <w:rPr>
          <w:sz w:val="22"/>
          <w:szCs w:val="22"/>
        </w:rPr>
        <w:t>1</w:t>
      </w:r>
      <w:r w:rsidR="003150A9">
        <w:rPr>
          <w:sz w:val="22"/>
          <w:szCs w:val="22"/>
        </w:rPr>
        <w:t>32</w:t>
      </w:r>
      <w:r w:rsidRPr="009B262C" w:rsidR="00CF0D2C">
        <w:rPr>
          <w:sz w:val="22"/>
          <w:szCs w:val="22"/>
        </w:rPr>
        <w:t xml:space="preserve">.5 hours) distributed in the same amounts across the same functional/occupational categories of personnel.  </w:t>
      </w:r>
    </w:p>
    <w:p w:rsidR="005C634B" w:rsidRPr="009B262C" w:rsidP="00C16044" w14:paraId="100104B1" w14:textId="77777777">
      <w:pPr>
        <w:pStyle w:val="Default"/>
        <w:rPr>
          <w:sz w:val="22"/>
          <w:szCs w:val="22"/>
        </w:rPr>
      </w:pPr>
    </w:p>
    <w:p w:rsidR="00E34937" w:rsidP="00CF0D2C" w14:paraId="7A1D2D3A" w14:textId="0F008783">
      <w:pPr>
        <w:rPr>
          <w:rFonts w:ascii="Times New Roman" w:hAnsi="Times New Roman" w:cs="Times New Roman"/>
        </w:rPr>
      </w:pPr>
      <w:r w:rsidRPr="00106C21">
        <w:rPr>
          <w:rFonts w:ascii="Times New Roman" w:hAnsi="Times New Roman" w:cs="Times New Roman"/>
        </w:rPr>
        <w:t xml:space="preserve">In the following table, </w:t>
      </w:r>
      <w:r w:rsidR="002D32CD">
        <w:rPr>
          <w:rFonts w:ascii="Times New Roman" w:hAnsi="Times New Roman" w:cs="Times New Roman"/>
        </w:rPr>
        <w:t>the Department</w:t>
      </w:r>
      <w:r w:rsidRPr="00106C21" w:rsidR="002D32CD">
        <w:rPr>
          <w:rFonts w:ascii="Times New Roman" w:hAnsi="Times New Roman" w:cs="Times New Roman"/>
        </w:rPr>
        <w:t xml:space="preserve"> </w:t>
      </w:r>
      <w:r w:rsidRPr="00106C21">
        <w:rPr>
          <w:rFonts w:ascii="Times New Roman" w:hAnsi="Times New Roman" w:cs="Times New Roman"/>
        </w:rPr>
        <w:t xml:space="preserve">breaks out the various functional/occupational categories involved in preparing and </w:t>
      </w:r>
      <w:r w:rsidRPr="00106C21">
        <w:rPr>
          <w:rFonts w:ascii="Times New Roman" w:hAnsi="Times New Roman" w:cs="Times New Roman"/>
        </w:rPr>
        <w:t>submitting an application</w:t>
      </w:r>
      <w:r w:rsidRPr="00106C21">
        <w:rPr>
          <w:rFonts w:ascii="Times New Roman" w:hAnsi="Times New Roman" w:cs="Times New Roman"/>
        </w:rPr>
        <w:t xml:space="preserve">, the estimated amount of time for the activities in each functional/occupational category, and an estimate of the hourly wage rate of the personnel in each functional/occupational working for a hypothetical and typical Applicant.  </w:t>
      </w:r>
    </w:p>
    <w:p w:rsidR="000E73C9" w:rsidP="00CF0D2C" w14:paraId="4BA55C88" w14:textId="7A4E9536">
      <w:pPr>
        <w:rPr>
          <w:rFonts w:ascii="Times New Roman" w:hAnsi="Times New Roman" w:cs="Times New Roman"/>
        </w:rPr>
      </w:pPr>
      <w:r w:rsidRPr="00106C21">
        <w:rPr>
          <w:rFonts w:ascii="Times New Roman" w:hAnsi="Times New Roman" w:cs="Times New Roman"/>
        </w:rPr>
        <w:t>These figures are multiplied and added to produce the estimated total cost per Applicant.  Then, multiplying the estimated cost of $</w:t>
      </w:r>
      <w:r w:rsidR="003E5F51">
        <w:rPr>
          <w:rFonts w:ascii="Times New Roman" w:hAnsi="Times New Roman" w:cs="Times New Roman"/>
        </w:rPr>
        <w:t>33,711</w:t>
      </w:r>
      <w:r w:rsidRPr="00106C21">
        <w:rPr>
          <w:rFonts w:ascii="Times New Roman" w:hAnsi="Times New Roman" w:cs="Times New Roman"/>
        </w:rPr>
        <w:t xml:space="preserve"> per Applicant </w:t>
      </w:r>
      <w:r w:rsidR="00E34937">
        <w:rPr>
          <w:rFonts w:ascii="Times New Roman" w:hAnsi="Times New Roman" w:cs="Times New Roman"/>
        </w:rPr>
        <w:t xml:space="preserve">(x) </w:t>
      </w:r>
      <w:r w:rsidRPr="009561ED">
        <w:rPr>
          <w:rFonts w:ascii="Times New Roman" w:hAnsi="Times New Roman"/>
          <w:i/>
        </w:rPr>
        <w:t>times</w:t>
      </w:r>
      <w:r w:rsidRPr="00106C21">
        <w:rPr>
          <w:rFonts w:ascii="Times New Roman" w:hAnsi="Times New Roman" w:cs="Times New Roman"/>
        </w:rPr>
        <w:t xml:space="preserve"> the estimated </w:t>
      </w:r>
      <w:r w:rsidR="00B97EC2">
        <w:rPr>
          <w:rFonts w:ascii="Times New Roman" w:hAnsi="Times New Roman" w:cs="Times New Roman"/>
        </w:rPr>
        <w:t>100</w:t>
      </w:r>
      <w:r w:rsidRPr="00106C21" w:rsidR="00B97EC2">
        <w:rPr>
          <w:rFonts w:ascii="Times New Roman" w:hAnsi="Times New Roman" w:cs="Times New Roman"/>
        </w:rPr>
        <w:t xml:space="preserve"> </w:t>
      </w:r>
      <w:r w:rsidRPr="00106C21">
        <w:rPr>
          <w:rFonts w:ascii="Times New Roman" w:hAnsi="Times New Roman" w:cs="Times New Roman"/>
        </w:rPr>
        <w:t xml:space="preserve">annual Applicants </w:t>
      </w:r>
      <w:r w:rsidR="00E34937">
        <w:rPr>
          <w:rFonts w:ascii="Times New Roman" w:hAnsi="Times New Roman" w:cs="Times New Roman"/>
        </w:rPr>
        <w:t>EDF</w:t>
      </w:r>
      <w:r w:rsidRPr="00106C21" w:rsidR="00E34937">
        <w:rPr>
          <w:rFonts w:ascii="Times New Roman" w:hAnsi="Times New Roman" w:cs="Times New Roman"/>
        </w:rPr>
        <w:t xml:space="preserve"> </w:t>
      </w:r>
      <w:r w:rsidRPr="00106C21">
        <w:rPr>
          <w:rFonts w:ascii="Times New Roman" w:hAnsi="Times New Roman" w:cs="Times New Roman"/>
        </w:rPr>
        <w:t xml:space="preserve">expects produces an annual combined cost estimate for </w:t>
      </w:r>
      <w:r w:rsidR="00B97EC2">
        <w:rPr>
          <w:rFonts w:ascii="Times New Roman" w:hAnsi="Times New Roman" w:cs="Times New Roman"/>
        </w:rPr>
        <w:t>100</w:t>
      </w:r>
      <w:r w:rsidRPr="00106C21" w:rsidR="00B97EC2">
        <w:rPr>
          <w:rFonts w:ascii="Times New Roman" w:hAnsi="Times New Roman" w:cs="Times New Roman"/>
        </w:rPr>
        <w:t xml:space="preserve"> </w:t>
      </w:r>
      <w:r w:rsidRPr="00106C21">
        <w:rPr>
          <w:rFonts w:ascii="Times New Roman" w:hAnsi="Times New Roman" w:cs="Times New Roman"/>
        </w:rPr>
        <w:t xml:space="preserve">Applicants equal to </w:t>
      </w:r>
      <w:r w:rsidRPr="00CF51F4" w:rsidR="00CF51F4">
        <w:rPr>
          <w:rFonts w:ascii="Times New Roman" w:hAnsi="Times New Roman" w:cs="Times New Roman"/>
        </w:rPr>
        <w:t>$</w:t>
      </w:r>
      <w:r w:rsidR="003E5F51">
        <w:rPr>
          <w:rFonts w:ascii="Times New Roman" w:hAnsi="Times New Roman" w:cs="Times New Roman"/>
        </w:rPr>
        <w:t>3,371,100</w:t>
      </w:r>
      <w:r w:rsidRPr="00106C21" w:rsidR="007155EB">
        <w:rPr>
          <w:rFonts w:ascii="Times New Roman" w:hAnsi="Times New Roman" w:cs="Times New Roman"/>
        </w:rPr>
        <w:t>.</w:t>
      </w:r>
    </w:p>
    <w:p w:rsidR="000E73C9" w14:paraId="00AF2474" w14:textId="77777777">
      <w:pPr>
        <w:spacing w:line="240" w:lineRule="auto"/>
        <w:rPr>
          <w:rFonts w:ascii="Times New Roman" w:hAnsi="Times New Roman" w:cs="Times New Roman"/>
        </w:rPr>
      </w:pPr>
      <w:r>
        <w:rPr>
          <w:rFonts w:ascii="Times New Roman" w:hAnsi="Times New Roman" w:cs="Times New Roman"/>
        </w:rPr>
        <w:br w:type="page"/>
      </w:r>
    </w:p>
    <w:p w:rsidR="00E34937" w:rsidP="00CF0D2C" w14:paraId="7A1BF323" w14:textId="21DB99FC">
      <w:pPr>
        <w:rPr>
          <w:rFonts w:ascii="Times New Roman" w:hAnsi="Times New Roman" w:cs="Times New Roman"/>
        </w:rPr>
      </w:pPr>
      <w:r>
        <w:rPr>
          <w:rFonts w:ascii="Times New Roman" w:hAnsi="Times New Roman" w:cs="Times New Roman"/>
        </w:rPr>
        <w:t xml:space="preserve"> </w:t>
      </w:r>
    </w:p>
    <w:tbl>
      <w:tblPr>
        <w:tblStyle w:val="TableGrid"/>
        <w:tblW w:w="0" w:type="auto"/>
        <w:tblLook w:val="04A0"/>
      </w:tblPr>
      <w:tblGrid>
        <w:gridCol w:w="4135"/>
        <w:gridCol w:w="1260"/>
        <w:gridCol w:w="1350"/>
        <w:gridCol w:w="1885"/>
      </w:tblGrid>
      <w:tr w14:paraId="5B57C447" w14:textId="77777777" w:rsidTr="001B120A">
        <w:tblPrEx>
          <w:tblW w:w="0" w:type="auto"/>
          <w:tblLook w:val="04A0"/>
        </w:tblPrEx>
        <w:tc>
          <w:tcPr>
            <w:tcW w:w="8630" w:type="dxa"/>
            <w:gridSpan w:val="4"/>
          </w:tcPr>
          <w:p w:rsidR="00762782" w:rsidRPr="00106C21" w:rsidP="00721BDB" w14:paraId="457CAF24" w14:textId="77777777">
            <w:pPr>
              <w:rPr>
                <w:rFonts w:ascii="Times New Roman" w:hAnsi="Times New Roman" w:cs="Times New Roman"/>
                <w:color w:val="001C29" w:themeColor="text2" w:themeShade="80"/>
                <w:sz w:val="32"/>
                <w:szCs w:val="32"/>
              </w:rPr>
            </w:pPr>
            <w:r w:rsidRPr="00106C21">
              <w:rPr>
                <w:rFonts w:ascii="Times New Roman" w:hAnsi="Times New Roman" w:cs="Times New Roman"/>
                <w:color w:val="001C29" w:themeColor="text2" w:themeShade="80"/>
                <w:sz w:val="32"/>
                <w:szCs w:val="32"/>
              </w:rPr>
              <w:t>ESTIMATED COST BURDEN TO APPLICANT</w:t>
            </w:r>
          </w:p>
        </w:tc>
      </w:tr>
      <w:tr w14:paraId="4BD84EAA" w14:textId="77777777" w:rsidTr="001B120A">
        <w:tblPrEx>
          <w:tblW w:w="0" w:type="auto"/>
          <w:tblLook w:val="04A0"/>
        </w:tblPrEx>
        <w:tc>
          <w:tcPr>
            <w:tcW w:w="4135" w:type="dxa"/>
          </w:tcPr>
          <w:p w:rsidR="00762782" w:rsidRPr="00106C21" w:rsidP="00721BDB" w14:paraId="5111CD94" w14:textId="77777777">
            <w:pPr>
              <w:rPr>
                <w:rFonts w:ascii="Times New Roman" w:hAnsi="Times New Roman" w:cs="Times New Roman"/>
              </w:rPr>
            </w:pPr>
            <w:r w:rsidRPr="00106C21">
              <w:rPr>
                <w:rFonts w:ascii="Times New Roman" w:hAnsi="Times New Roman" w:cs="Times New Roman"/>
              </w:rPr>
              <w:t>FUNCTION</w:t>
            </w:r>
          </w:p>
        </w:tc>
        <w:tc>
          <w:tcPr>
            <w:tcW w:w="1260" w:type="dxa"/>
          </w:tcPr>
          <w:p w:rsidR="00762782" w:rsidRPr="00106C21" w:rsidP="00721BDB" w14:paraId="33089549" w14:textId="77777777">
            <w:pPr>
              <w:rPr>
                <w:rFonts w:ascii="Times New Roman" w:hAnsi="Times New Roman" w:cs="Times New Roman"/>
              </w:rPr>
            </w:pPr>
            <w:r w:rsidRPr="00106C21">
              <w:rPr>
                <w:rFonts w:ascii="Times New Roman" w:hAnsi="Times New Roman" w:cs="Times New Roman"/>
              </w:rPr>
              <w:t>RATE</w:t>
            </w:r>
          </w:p>
        </w:tc>
        <w:tc>
          <w:tcPr>
            <w:tcW w:w="1350" w:type="dxa"/>
          </w:tcPr>
          <w:p w:rsidR="00762782" w:rsidRPr="00106C21" w:rsidP="00721BDB" w14:paraId="6B53E849" w14:textId="77777777">
            <w:pPr>
              <w:rPr>
                <w:rFonts w:ascii="Times New Roman" w:hAnsi="Times New Roman" w:cs="Times New Roman"/>
              </w:rPr>
            </w:pPr>
            <w:r w:rsidRPr="00106C21">
              <w:rPr>
                <w:rFonts w:ascii="Times New Roman" w:hAnsi="Times New Roman" w:cs="Times New Roman"/>
              </w:rPr>
              <w:t>HOURS</w:t>
            </w:r>
          </w:p>
        </w:tc>
        <w:tc>
          <w:tcPr>
            <w:tcW w:w="1885" w:type="dxa"/>
          </w:tcPr>
          <w:p w:rsidR="00762782" w:rsidRPr="00106C21" w:rsidP="00721BDB" w14:paraId="0D031F66" w14:textId="77777777">
            <w:pPr>
              <w:rPr>
                <w:rFonts w:ascii="Times New Roman" w:hAnsi="Times New Roman" w:cs="Times New Roman"/>
                <w:color w:val="001C29" w:themeColor="text2" w:themeShade="80"/>
              </w:rPr>
            </w:pPr>
            <w:r w:rsidRPr="00106C21">
              <w:rPr>
                <w:rFonts w:ascii="Times New Roman" w:hAnsi="Times New Roman" w:cs="Times New Roman"/>
                <w:color w:val="001C29" w:themeColor="text2" w:themeShade="80"/>
              </w:rPr>
              <w:t>TOTAL COST</w:t>
            </w:r>
          </w:p>
        </w:tc>
      </w:tr>
      <w:tr w14:paraId="3A577103" w14:textId="77777777" w:rsidTr="001B120A">
        <w:tblPrEx>
          <w:tblW w:w="0" w:type="auto"/>
          <w:tblLook w:val="04A0"/>
        </w:tblPrEx>
        <w:tc>
          <w:tcPr>
            <w:tcW w:w="4135" w:type="dxa"/>
            <w:vAlign w:val="bottom"/>
          </w:tcPr>
          <w:p w:rsidR="00762782" w:rsidRPr="00106C21" w:rsidP="00721BDB" w14:paraId="444EBBF4" w14:textId="77777777">
            <w:pPr>
              <w:rPr>
                <w:rFonts w:ascii="Times New Roman" w:hAnsi="Times New Roman" w:cs="Times New Roman"/>
              </w:rPr>
            </w:pPr>
            <w:r w:rsidRPr="00106C21">
              <w:rPr>
                <w:rFonts w:ascii="Times New Roman" w:hAnsi="Times New Roman" w:cs="Times New Roman"/>
                <w:color w:val="000000"/>
                <w:sz w:val="22"/>
              </w:rPr>
              <w:t>Collecting information</w:t>
            </w:r>
          </w:p>
        </w:tc>
        <w:tc>
          <w:tcPr>
            <w:tcW w:w="1260" w:type="dxa"/>
            <w:vAlign w:val="bottom"/>
          </w:tcPr>
          <w:p w:rsidR="00762782" w:rsidRPr="00106C21" w:rsidP="00721BDB" w14:paraId="1B8D6492" w14:textId="160AB3FE">
            <w:pPr>
              <w:rPr>
                <w:rFonts w:ascii="Times New Roman" w:hAnsi="Times New Roman" w:cs="Times New Roman"/>
              </w:rPr>
            </w:pPr>
            <w:r w:rsidRPr="00106C21">
              <w:rPr>
                <w:rFonts w:ascii="Times New Roman" w:hAnsi="Times New Roman" w:cs="Times New Roman"/>
                <w:color w:val="000000"/>
                <w:sz w:val="22"/>
              </w:rPr>
              <w:t xml:space="preserve"> $    </w:t>
            </w:r>
            <w:r w:rsidR="00507450">
              <w:rPr>
                <w:rFonts w:ascii="Times New Roman" w:hAnsi="Times New Roman" w:cs="Times New Roman"/>
                <w:color w:val="000000"/>
                <w:sz w:val="22"/>
              </w:rPr>
              <w:t>95</w:t>
            </w:r>
            <w:r w:rsidRPr="00106C21" w:rsidR="00507450">
              <w:rPr>
                <w:rFonts w:ascii="Times New Roman" w:hAnsi="Times New Roman" w:cs="Times New Roman"/>
                <w:color w:val="000000"/>
                <w:sz w:val="22"/>
              </w:rPr>
              <w:t xml:space="preserve"> </w:t>
            </w:r>
          </w:p>
        </w:tc>
        <w:tc>
          <w:tcPr>
            <w:tcW w:w="1350" w:type="dxa"/>
            <w:vAlign w:val="bottom"/>
          </w:tcPr>
          <w:p w:rsidR="00762782" w:rsidRPr="00106C21" w:rsidP="00721BDB" w14:paraId="1A580238" w14:textId="777CAC71">
            <w:pPr>
              <w:rPr>
                <w:rFonts w:ascii="Times New Roman" w:hAnsi="Times New Roman" w:cs="Times New Roman"/>
              </w:rPr>
            </w:pPr>
            <w:r w:rsidRPr="00106C21">
              <w:rPr>
                <w:rFonts w:ascii="Times New Roman" w:hAnsi="Times New Roman" w:cs="Times New Roman"/>
                <w:color w:val="000000"/>
                <w:sz w:val="22"/>
              </w:rPr>
              <w:t xml:space="preserve">      </w:t>
            </w:r>
            <w:r w:rsidRPr="00106C21" w:rsidR="000E5242">
              <w:rPr>
                <w:rFonts w:ascii="Times New Roman" w:hAnsi="Times New Roman" w:cs="Times New Roman"/>
                <w:color w:val="000000"/>
                <w:sz w:val="22"/>
              </w:rPr>
              <w:t>4</w:t>
            </w:r>
            <w:r w:rsidR="000E5242">
              <w:rPr>
                <w:rFonts w:ascii="Times New Roman" w:hAnsi="Times New Roman" w:cs="Times New Roman"/>
                <w:color w:val="000000"/>
                <w:sz w:val="22"/>
              </w:rPr>
              <w:t>0</w:t>
            </w:r>
            <w:r w:rsidRPr="00106C21">
              <w:rPr>
                <w:rFonts w:ascii="Times New Roman" w:hAnsi="Times New Roman" w:cs="Times New Roman"/>
                <w:color w:val="000000"/>
                <w:sz w:val="22"/>
              </w:rPr>
              <w:t>.0</w:t>
            </w:r>
          </w:p>
        </w:tc>
        <w:tc>
          <w:tcPr>
            <w:tcW w:w="1885" w:type="dxa"/>
            <w:vAlign w:val="bottom"/>
          </w:tcPr>
          <w:p w:rsidR="00762782" w:rsidRPr="00106C21" w:rsidP="00721BDB" w14:paraId="3D59D544" w14:textId="49F138B4">
            <w:pPr>
              <w:rPr>
                <w:rFonts w:ascii="Times New Roman" w:hAnsi="Times New Roman" w:cs="Times New Roman"/>
              </w:rPr>
            </w:pPr>
            <w:r w:rsidRPr="00106C21">
              <w:rPr>
                <w:rFonts w:ascii="Times New Roman" w:hAnsi="Times New Roman" w:cs="Times New Roman"/>
                <w:color w:val="000000"/>
                <w:sz w:val="22"/>
              </w:rPr>
              <w:t xml:space="preserve">     $    </w:t>
            </w:r>
            <w:r w:rsidR="00507450">
              <w:rPr>
                <w:rFonts w:ascii="Times New Roman" w:hAnsi="Times New Roman" w:cs="Times New Roman"/>
                <w:color w:val="000000"/>
                <w:sz w:val="22"/>
              </w:rPr>
              <w:t>3,800</w:t>
            </w:r>
            <w:r w:rsidRPr="00106C21" w:rsidR="0048173B">
              <w:rPr>
                <w:rFonts w:ascii="Times New Roman" w:hAnsi="Times New Roman" w:cs="Times New Roman"/>
                <w:color w:val="000000"/>
                <w:sz w:val="22"/>
              </w:rPr>
              <w:t xml:space="preserve"> </w:t>
            </w:r>
          </w:p>
        </w:tc>
      </w:tr>
      <w:tr w14:paraId="1BE7ACDC" w14:textId="77777777" w:rsidTr="001B120A">
        <w:tblPrEx>
          <w:tblW w:w="0" w:type="auto"/>
          <w:tblLook w:val="04A0"/>
        </w:tblPrEx>
        <w:tc>
          <w:tcPr>
            <w:tcW w:w="4135" w:type="dxa"/>
            <w:vAlign w:val="bottom"/>
          </w:tcPr>
          <w:p w:rsidR="00762782" w:rsidRPr="00106C21" w:rsidP="00721BDB" w14:paraId="47975BBA" w14:textId="77777777">
            <w:pPr>
              <w:rPr>
                <w:rFonts w:ascii="Times New Roman" w:hAnsi="Times New Roman" w:cs="Times New Roman"/>
              </w:rPr>
            </w:pPr>
            <w:r w:rsidRPr="00106C21">
              <w:rPr>
                <w:rFonts w:ascii="Times New Roman" w:hAnsi="Times New Roman" w:cs="Times New Roman"/>
                <w:color w:val="000000"/>
                <w:sz w:val="22"/>
              </w:rPr>
              <w:t>Compiling information</w:t>
            </w:r>
          </w:p>
        </w:tc>
        <w:tc>
          <w:tcPr>
            <w:tcW w:w="1260" w:type="dxa"/>
            <w:vAlign w:val="bottom"/>
          </w:tcPr>
          <w:p w:rsidR="00762782" w:rsidRPr="00106C21" w:rsidP="00721BDB" w14:paraId="14A6CE08" w14:textId="461923F6">
            <w:pPr>
              <w:rPr>
                <w:rFonts w:ascii="Times New Roman" w:hAnsi="Times New Roman" w:cs="Times New Roman"/>
              </w:rPr>
            </w:pPr>
            <w:r w:rsidRPr="00106C21">
              <w:rPr>
                <w:rFonts w:ascii="Times New Roman" w:hAnsi="Times New Roman" w:cs="Times New Roman"/>
                <w:color w:val="000000"/>
                <w:sz w:val="22"/>
              </w:rPr>
              <w:t xml:space="preserve"> $    </w:t>
            </w:r>
            <w:r w:rsidR="00507450">
              <w:rPr>
                <w:rFonts w:ascii="Times New Roman" w:hAnsi="Times New Roman" w:cs="Times New Roman"/>
                <w:color w:val="000000"/>
                <w:sz w:val="22"/>
              </w:rPr>
              <w:t>95</w:t>
            </w:r>
            <w:r w:rsidRPr="00106C21" w:rsidR="00507450">
              <w:rPr>
                <w:rFonts w:ascii="Times New Roman" w:hAnsi="Times New Roman" w:cs="Times New Roman"/>
                <w:color w:val="000000"/>
                <w:sz w:val="22"/>
              </w:rPr>
              <w:t xml:space="preserve"> </w:t>
            </w:r>
          </w:p>
        </w:tc>
        <w:tc>
          <w:tcPr>
            <w:tcW w:w="1350" w:type="dxa"/>
            <w:vAlign w:val="bottom"/>
          </w:tcPr>
          <w:p w:rsidR="00762782" w:rsidRPr="00106C21" w:rsidP="00721BDB" w14:paraId="5E3ACC1E" w14:textId="04F05501">
            <w:pPr>
              <w:rPr>
                <w:rFonts w:ascii="Times New Roman" w:hAnsi="Times New Roman" w:cs="Times New Roman"/>
              </w:rPr>
            </w:pPr>
            <w:r w:rsidRPr="00106C21">
              <w:rPr>
                <w:rFonts w:ascii="Times New Roman" w:hAnsi="Times New Roman" w:cs="Times New Roman"/>
                <w:color w:val="000000"/>
                <w:sz w:val="22"/>
              </w:rPr>
              <w:t xml:space="preserve">      </w:t>
            </w:r>
            <w:r w:rsidRPr="00106C21" w:rsidR="003C68DB">
              <w:rPr>
                <w:rFonts w:ascii="Times New Roman" w:hAnsi="Times New Roman" w:cs="Times New Roman"/>
                <w:color w:val="000000"/>
                <w:sz w:val="22"/>
              </w:rPr>
              <w:t>4</w:t>
            </w:r>
            <w:r w:rsidR="000E5242">
              <w:rPr>
                <w:rFonts w:ascii="Times New Roman" w:hAnsi="Times New Roman" w:cs="Times New Roman"/>
                <w:color w:val="000000"/>
                <w:sz w:val="22"/>
              </w:rPr>
              <w:t>0</w:t>
            </w:r>
            <w:r w:rsidRPr="00106C21">
              <w:rPr>
                <w:rFonts w:ascii="Times New Roman" w:hAnsi="Times New Roman" w:cs="Times New Roman"/>
                <w:color w:val="000000"/>
                <w:sz w:val="22"/>
              </w:rPr>
              <w:t>.0</w:t>
            </w:r>
          </w:p>
        </w:tc>
        <w:tc>
          <w:tcPr>
            <w:tcW w:w="1885" w:type="dxa"/>
            <w:vAlign w:val="bottom"/>
          </w:tcPr>
          <w:p w:rsidR="00762782" w:rsidRPr="00106C21" w:rsidP="00721BDB" w14:paraId="10B5721E" w14:textId="13D8EDCF">
            <w:pPr>
              <w:rPr>
                <w:rFonts w:ascii="Times New Roman" w:hAnsi="Times New Roman" w:cs="Times New Roman"/>
              </w:rPr>
            </w:pPr>
            <w:r w:rsidRPr="00106C21">
              <w:rPr>
                <w:rFonts w:ascii="Times New Roman" w:hAnsi="Times New Roman" w:cs="Times New Roman"/>
                <w:color w:val="000000"/>
                <w:sz w:val="22"/>
              </w:rPr>
              <w:t xml:space="preserve">     $    </w:t>
            </w:r>
            <w:r w:rsidR="00507450">
              <w:rPr>
                <w:rFonts w:ascii="Times New Roman" w:hAnsi="Times New Roman" w:cs="Times New Roman"/>
                <w:color w:val="000000"/>
                <w:sz w:val="22"/>
              </w:rPr>
              <w:t>3,800</w:t>
            </w:r>
          </w:p>
        </w:tc>
      </w:tr>
      <w:tr w14:paraId="2ABFB94C" w14:textId="77777777" w:rsidTr="001B120A">
        <w:tblPrEx>
          <w:tblW w:w="0" w:type="auto"/>
          <w:tblLook w:val="04A0"/>
        </w:tblPrEx>
        <w:tc>
          <w:tcPr>
            <w:tcW w:w="4135" w:type="dxa"/>
            <w:vAlign w:val="bottom"/>
          </w:tcPr>
          <w:p w:rsidR="00762782" w:rsidRPr="00106C21" w:rsidP="00721BDB" w14:paraId="21DF4419" w14:textId="77777777">
            <w:pPr>
              <w:rPr>
                <w:rFonts w:ascii="Times New Roman" w:hAnsi="Times New Roman" w:cs="Times New Roman"/>
              </w:rPr>
            </w:pPr>
            <w:r w:rsidRPr="00106C21">
              <w:rPr>
                <w:rFonts w:ascii="Times New Roman" w:hAnsi="Times New Roman" w:cs="Times New Roman"/>
                <w:color w:val="000000"/>
                <w:sz w:val="22"/>
              </w:rPr>
              <w:t>Management review</w:t>
            </w:r>
          </w:p>
        </w:tc>
        <w:tc>
          <w:tcPr>
            <w:tcW w:w="1260" w:type="dxa"/>
            <w:vAlign w:val="bottom"/>
          </w:tcPr>
          <w:p w:rsidR="00762782" w:rsidRPr="00106C21" w:rsidP="00721BDB" w14:paraId="0D443433" w14:textId="0427C817">
            <w:pPr>
              <w:rPr>
                <w:rFonts w:ascii="Times New Roman" w:hAnsi="Times New Roman" w:cs="Times New Roman"/>
              </w:rPr>
            </w:pPr>
            <w:r w:rsidRPr="00106C21">
              <w:rPr>
                <w:rFonts w:ascii="Times New Roman" w:hAnsi="Times New Roman" w:cs="Times New Roman"/>
                <w:color w:val="000000"/>
                <w:sz w:val="22"/>
              </w:rPr>
              <w:t xml:space="preserve"> </w:t>
            </w:r>
            <w:r w:rsidRPr="00106C21">
              <w:rPr>
                <w:rFonts w:ascii="Times New Roman" w:hAnsi="Times New Roman" w:cs="Times New Roman"/>
                <w:color w:val="000000"/>
                <w:sz w:val="22"/>
              </w:rPr>
              <w:t xml:space="preserve">$  </w:t>
            </w:r>
            <w:r w:rsidR="00507450">
              <w:rPr>
                <w:rFonts w:ascii="Times New Roman" w:hAnsi="Times New Roman" w:cs="Times New Roman"/>
                <w:color w:val="000000"/>
                <w:sz w:val="22"/>
              </w:rPr>
              <w:t>347</w:t>
            </w:r>
            <w:r w:rsidRPr="00106C21" w:rsidR="00507450">
              <w:rPr>
                <w:rFonts w:ascii="Times New Roman" w:hAnsi="Times New Roman" w:cs="Times New Roman"/>
                <w:color w:val="000000"/>
                <w:sz w:val="22"/>
              </w:rPr>
              <w:t xml:space="preserve"> </w:t>
            </w:r>
          </w:p>
        </w:tc>
        <w:tc>
          <w:tcPr>
            <w:tcW w:w="1350" w:type="dxa"/>
            <w:vAlign w:val="bottom"/>
          </w:tcPr>
          <w:p w:rsidR="00762782" w:rsidRPr="00106C21" w:rsidP="00721BDB" w14:paraId="0C933616" w14:textId="12F9B4D9">
            <w:pPr>
              <w:rPr>
                <w:rFonts w:ascii="Times New Roman" w:hAnsi="Times New Roman" w:cs="Times New Roman"/>
              </w:rPr>
            </w:pPr>
            <w:r w:rsidRPr="00106C21">
              <w:rPr>
                <w:rFonts w:ascii="Times New Roman" w:hAnsi="Times New Roman" w:cs="Times New Roman"/>
                <w:color w:val="000000"/>
                <w:sz w:val="22"/>
              </w:rPr>
              <w:t xml:space="preserve">      </w:t>
            </w:r>
            <w:r w:rsidRPr="00106C21" w:rsidR="00403A9D">
              <w:rPr>
                <w:rFonts w:ascii="Times New Roman" w:hAnsi="Times New Roman" w:cs="Times New Roman"/>
                <w:color w:val="000000"/>
                <w:sz w:val="22"/>
              </w:rPr>
              <w:t>2</w:t>
            </w:r>
            <w:r w:rsidR="000E5242">
              <w:rPr>
                <w:rFonts w:ascii="Times New Roman" w:hAnsi="Times New Roman" w:cs="Times New Roman"/>
                <w:color w:val="000000"/>
                <w:sz w:val="22"/>
              </w:rPr>
              <w:t>0</w:t>
            </w:r>
            <w:r w:rsidRPr="00106C21">
              <w:rPr>
                <w:rFonts w:ascii="Times New Roman" w:hAnsi="Times New Roman" w:cs="Times New Roman"/>
                <w:color w:val="000000"/>
                <w:sz w:val="22"/>
              </w:rPr>
              <w:t xml:space="preserve">.0 </w:t>
            </w:r>
          </w:p>
        </w:tc>
        <w:tc>
          <w:tcPr>
            <w:tcW w:w="1885" w:type="dxa"/>
            <w:vAlign w:val="bottom"/>
          </w:tcPr>
          <w:p w:rsidR="00762782" w:rsidRPr="00106C21" w:rsidP="00721BDB" w14:paraId="068EAE41" w14:textId="2CC2F4B4">
            <w:pPr>
              <w:rPr>
                <w:rFonts w:ascii="Times New Roman" w:hAnsi="Times New Roman" w:cs="Times New Roman"/>
              </w:rPr>
            </w:pPr>
            <w:r w:rsidRPr="00106C21">
              <w:rPr>
                <w:rFonts w:ascii="Times New Roman" w:hAnsi="Times New Roman" w:cs="Times New Roman"/>
                <w:color w:val="000000"/>
                <w:sz w:val="22"/>
              </w:rPr>
              <w:t xml:space="preserve">     $    </w:t>
            </w:r>
            <w:r w:rsidR="00507450">
              <w:rPr>
                <w:rFonts w:ascii="Times New Roman" w:hAnsi="Times New Roman" w:cs="Times New Roman"/>
                <w:color w:val="000000"/>
                <w:sz w:val="22"/>
              </w:rPr>
              <w:t>6,940</w:t>
            </w:r>
          </w:p>
        </w:tc>
      </w:tr>
      <w:tr w14:paraId="51320B90" w14:textId="77777777" w:rsidTr="001B120A">
        <w:tblPrEx>
          <w:tblW w:w="0" w:type="auto"/>
          <w:tblLook w:val="04A0"/>
        </w:tblPrEx>
        <w:tc>
          <w:tcPr>
            <w:tcW w:w="4135" w:type="dxa"/>
            <w:vAlign w:val="bottom"/>
          </w:tcPr>
          <w:p w:rsidR="00762782" w:rsidRPr="00106C21" w:rsidP="00721BDB" w14:paraId="18346F9B" w14:textId="77777777">
            <w:pPr>
              <w:rPr>
                <w:rFonts w:ascii="Times New Roman" w:hAnsi="Times New Roman" w:cs="Times New Roman"/>
              </w:rPr>
            </w:pPr>
            <w:r w:rsidRPr="00106C21">
              <w:rPr>
                <w:rFonts w:ascii="Times New Roman" w:hAnsi="Times New Roman" w:cs="Times New Roman"/>
                <w:color w:val="000000"/>
                <w:sz w:val="22"/>
              </w:rPr>
              <w:t>Legal review</w:t>
            </w:r>
          </w:p>
        </w:tc>
        <w:tc>
          <w:tcPr>
            <w:tcW w:w="1260" w:type="dxa"/>
            <w:vAlign w:val="bottom"/>
          </w:tcPr>
          <w:p w:rsidR="00762782" w:rsidRPr="00106C21" w:rsidP="00721BDB" w14:paraId="2EAA3C5D" w14:textId="4E326206">
            <w:pPr>
              <w:rPr>
                <w:rFonts w:ascii="Times New Roman" w:hAnsi="Times New Roman" w:cs="Times New Roman"/>
              </w:rPr>
            </w:pPr>
            <w:r w:rsidRPr="00106C21">
              <w:rPr>
                <w:rFonts w:ascii="Times New Roman" w:hAnsi="Times New Roman" w:cs="Times New Roman"/>
                <w:color w:val="000000"/>
                <w:sz w:val="22"/>
              </w:rPr>
              <w:t xml:space="preserve"> </w:t>
            </w:r>
            <w:r w:rsidRPr="00106C21">
              <w:rPr>
                <w:rFonts w:ascii="Times New Roman" w:hAnsi="Times New Roman" w:cs="Times New Roman"/>
                <w:color w:val="000000"/>
                <w:sz w:val="22"/>
              </w:rPr>
              <w:t xml:space="preserve">$  </w:t>
            </w:r>
            <w:r w:rsidR="00507450">
              <w:rPr>
                <w:rFonts w:ascii="Times New Roman" w:hAnsi="Times New Roman" w:cs="Times New Roman"/>
                <w:color w:val="000000"/>
                <w:sz w:val="22"/>
              </w:rPr>
              <w:t>867</w:t>
            </w:r>
            <w:r w:rsidRPr="00106C21" w:rsidR="00507450">
              <w:rPr>
                <w:rFonts w:ascii="Times New Roman" w:hAnsi="Times New Roman" w:cs="Times New Roman"/>
                <w:color w:val="000000"/>
                <w:sz w:val="22"/>
              </w:rPr>
              <w:t xml:space="preserve"> </w:t>
            </w:r>
          </w:p>
        </w:tc>
        <w:tc>
          <w:tcPr>
            <w:tcW w:w="1350" w:type="dxa"/>
            <w:vAlign w:val="bottom"/>
          </w:tcPr>
          <w:p w:rsidR="00762782" w:rsidRPr="00106C21" w:rsidP="00721BDB" w14:paraId="53DA9852" w14:textId="77777777">
            <w:pPr>
              <w:rPr>
                <w:rFonts w:ascii="Times New Roman" w:hAnsi="Times New Roman" w:cs="Times New Roman"/>
              </w:rPr>
            </w:pPr>
            <w:r w:rsidRPr="00106C21">
              <w:rPr>
                <w:rFonts w:ascii="Times New Roman" w:hAnsi="Times New Roman" w:cs="Times New Roman"/>
                <w:color w:val="000000"/>
                <w:sz w:val="22"/>
              </w:rPr>
              <w:t xml:space="preserve">      20.0 </w:t>
            </w:r>
          </w:p>
        </w:tc>
        <w:tc>
          <w:tcPr>
            <w:tcW w:w="1885" w:type="dxa"/>
            <w:vAlign w:val="bottom"/>
          </w:tcPr>
          <w:p w:rsidR="00762782" w:rsidRPr="00106C21" w:rsidP="00721BDB" w14:paraId="04126825" w14:textId="7DE768B4">
            <w:pPr>
              <w:rPr>
                <w:rFonts w:ascii="Times New Roman" w:hAnsi="Times New Roman" w:cs="Times New Roman"/>
              </w:rPr>
            </w:pPr>
            <w:r w:rsidRPr="00106C21">
              <w:rPr>
                <w:rFonts w:ascii="Times New Roman" w:hAnsi="Times New Roman" w:cs="Times New Roman"/>
                <w:color w:val="000000"/>
                <w:sz w:val="22"/>
              </w:rPr>
              <w:t xml:space="preserve">     </w:t>
            </w:r>
            <w:r w:rsidRPr="00106C21">
              <w:rPr>
                <w:rFonts w:ascii="Times New Roman" w:hAnsi="Times New Roman" w:cs="Times New Roman"/>
                <w:color w:val="000000"/>
                <w:sz w:val="22"/>
              </w:rPr>
              <w:t xml:space="preserve">$  </w:t>
            </w:r>
            <w:r w:rsidR="00507450">
              <w:rPr>
                <w:rFonts w:ascii="Times New Roman" w:hAnsi="Times New Roman" w:cs="Times New Roman"/>
                <w:color w:val="000000"/>
                <w:sz w:val="22"/>
              </w:rPr>
              <w:t>17,340</w:t>
            </w:r>
            <w:r w:rsidRPr="00106C21">
              <w:rPr>
                <w:rFonts w:ascii="Times New Roman" w:hAnsi="Times New Roman" w:cs="Times New Roman"/>
                <w:color w:val="000000"/>
                <w:sz w:val="22"/>
              </w:rPr>
              <w:t xml:space="preserve"> </w:t>
            </w:r>
          </w:p>
        </w:tc>
      </w:tr>
      <w:tr w14:paraId="2D44E481" w14:textId="77777777" w:rsidTr="001B120A">
        <w:tblPrEx>
          <w:tblW w:w="0" w:type="auto"/>
          <w:tblLook w:val="04A0"/>
        </w:tblPrEx>
        <w:tc>
          <w:tcPr>
            <w:tcW w:w="4135" w:type="dxa"/>
            <w:vAlign w:val="bottom"/>
          </w:tcPr>
          <w:p w:rsidR="00762782" w:rsidRPr="00106C21" w:rsidP="00721BDB" w14:paraId="07F26F07" w14:textId="77777777">
            <w:pPr>
              <w:rPr>
                <w:rFonts w:ascii="Times New Roman" w:hAnsi="Times New Roman" w:cs="Times New Roman"/>
              </w:rPr>
            </w:pPr>
            <w:r w:rsidRPr="00106C21">
              <w:rPr>
                <w:rFonts w:ascii="Times New Roman" w:hAnsi="Times New Roman" w:cs="Times New Roman"/>
                <w:color w:val="000000"/>
                <w:sz w:val="22"/>
              </w:rPr>
              <w:t>Submitting information</w:t>
            </w:r>
          </w:p>
        </w:tc>
        <w:tc>
          <w:tcPr>
            <w:tcW w:w="1260" w:type="dxa"/>
            <w:vAlign w:val="bottom"/>
          </w:tcPr>
          <w:p w:rsidR="00762782" w:rsidRPr="00106C21" w:rsidP="00721BDB" w14:paraId="7A9A1F9A" w14:textId="31A8AA24">
            <w:pPr>
              <w:rPr>
                <w:rFonts w:ascii="Times New Roman" w:hAnsi="Times New Roman" w:cs="Times New Roman"/>
              </w:rPr>
            </w:pPr>
            <w:r w:rsidRPr="00106C21">
              <w:rPr>
                <w:rFonts w:ascii="Times New Roman" w:hAnsi="Times New Roman" w:cs="Times New Roman"/>
                <w:color w:val="000000"/>
                <w:sz w:val="22"/>
              </w:rPr>
              <w:t xml:space="preserve"> $    </w:t>
            </w:r>
            <w:r w:rsidR="00507450">
              <w:rPr>
                <w:rFonts w:ascii="Times New Roman" w:hAnsi="Times New Roman" w:cs="Times New Roman"/>
                <w:color w:val="000000"/>
                <w:sz w:val="22"/>
              </w:rPr>
              <w:t>41</w:t>
            </w:r>
            <w:r w:rsidRPr="00106C21" w:rsidR="00507450">
              <w:rPr>
                <w:rFonts w:ascii="Times New Roman" w:hAnsi="Times New Roman" w:cs="Times New Roman"/>
                <w:color w:val="000000"/>
                <w:sz w:val="22"/>
              </w:rPr>
              <w:t xml:space="preserve"> </w:t>
            </w:r>
          </w:p>
        </w:tc>
        <w:tc>
          <w:tcPr>
            <w:tcW w:w="1350" w:type="dxa"/>
            <w:vAlign w:val="bottom"/>
          </w:tcPr>
          <w:p w:rsidR="00762782" w:rsidRPr="00106C21" w:rsidP="00721BDB" w14:paraId="05BB62C4" w14:textId="77777777">
            <w:pPr>
              <w:rPr>
                <w:rFonts w:ascii="Times New Roman" w:hAnsi="Times New Roman" w:cs="Times New Roman"/>
              </w:rPr>
            </w:pPr>
            <w:r w:rsidRPr="00106C21">
              <w:rPr>
                <w:rFonts w:ascii="Times New Roman" w:hAnsi="Times New Roman" w:cs="Times New Roman"/>
                <w:color w:val="000000"/>
                <w:sz w:val="22"/>
              </w:rPr>
              <w:t xml:space="preserve">      10.0 </w:t>
            </w:r>
          </w:p>
        </w:tc>
        <w:tc>
          <w:tcPr>
            <w:tcW w:w="1885" w:type="dxa"/>
            <w:vAlign w:val="bottom"/>
          </w:tcPr>
          <w:p w:rsidR="00762782" w:rsidRPr="00106C21" w:rsidP="00721BDB" w14:paraId="00C8AA96" w14:textId="2E93FE85">
            <w:pPr>
              <w:rPr>
                <w:rFonts w:ascii="Times New Roman" w:hAnsi="Times New Roman" w:cs="Times New Roman"/>
              </w:rPr>
            </w:pPr>
            <w:r w:rsidRPr="00106C21">
              <w:rPr>
                <w:rFonts w:ascii="Times New Roman" w:hAnsi="Times New Roman" w:cs="Times New Roman"/>
                <w:color w:val="000000"/>
                <w:sz w:val="22"/>
              </w:rPr>
              <w:t xml:space="preserve">     $        </w:t>
            </w:r>
            <w:r w:rsidR="00507450">
              <w:rPr>
                <w:rFonts w:ascii="Times New Roman" w:hAnsi="Times New Roman" w:cs="Times New Roman"/>
                <w:color w:val="000000"/>
                <w:sz w:val="22"/>
              </w:rPr>
              <w:t>410</w:t>
            </w:r>
          </w:p>
        </w:tc>
      </w:tr>
      <w:tr w14:paraId="36F92318" w14:textId="77777777" w:rsidTr="001B120A">
        <w:tblPrEx>
          <w:tblW w:w="0" w:type="auto"/>
          <w:tblLook w:val="04A0"/>
        </w:tblPrEx>
        <w:tc>
          <w:tcPr>
            <w:tcW w:w="4135" w:type="dxa"/>
            <w:vAlign w:val="bottom"/>
          </w:tcPr>
          <w:p w:rsidR="00762782" w:rsidRPr="00106C21" w:rsidP="00721BDB" w14:paraId="46FF028E" w14:textId="77777777">
            <w:pPr>
              <w:rPr>
                <w:rFonts w:ascii="Times New Roman" w:hAnsi="Times New Roman" w:cs="Times New Roman"/>
              </w:rPr>
            </w:pPr>
            <w:r w:rsidRPr="00106C21">
              <w:rPr>
                <w:rFonts w:ascii="Times New Roman" w:hAnsi="Times New Roman" w:cs="Times New Roman"/>
                <w:color w:val="000000"/>
                <w:sz w:val="22"/>
              </w:rPr>
              <w:t>Other labor/services</w:t>
            </w:r>
          </w:p>
        </w:tc>
        <w:tc>
          <w:tcPr>
            <w:tcW w:w="1260" w:type="dxa"/>
            <w:vAlign w:val="bottom"/>
          </w:tcPr>
          <w:p w:rsidR="00762782" w:rsidRPr="00106C21" w:rsidP="00721BDB" w14:paraId="4011D0D3" w14:textId="7E980D2E">
            <w:pPr>
              <w:rPr>
                <w:rFonts w:ascii="Times New Roman" w:hAnsi="Times New Roman" w:cs="Times New Roman"/>
              </w:rPr>
            </w:pPr>
            <w:r w:rsidRPr="00106C21">
              <w:rPr>
                <w:rFonts w:ascii="Times New Roman" w:hAnsi="Times New Roman" w:cs="Times New Roman"/>
                <w:color w:val="000000"/>
                <w:sz w:val="22"/>
              </w:rPr>
              <w:t xml:space="preserve"> $    </w:t>
            </w:r>
            <w:r w:rsidR="00507450">
              <w:rPr>
                <w:rFonts w:ascii="Times New Roman" w:hAnsi="Times New Roman" w:cs="Times New Roman"/>
                <w:color w:val="000000"/>
                <w:sz w:val="22"/>
              </w:rPr>
              <w:t>41</w:t>
            </w:r>
            <w:r w:rsidRPr="00106C21" w:rsidR="00507450">
              <w:rPr>
                <w:rFonts w:ascii="Times New Roman" w:hAnsi="Times New Roman" w:cs="Times New Roman"/>
                <w:color w:val="000000"/>
                <w:sz w:val="22"/>
              </w:rPr>
              <w:t xml:space="preserve"> </w:t>
            </w:r>
          </w:p>
        </w:tc>
        <w:tc>
          <w:tcPr>
            <w:tcW w:w="1350" w:type="dxa"/>
            <w:vAlign w:val="bottom"/>
          </w:tcPr>
          <w:p w:rsidR="00762782" w:rsidRPr="00106C21" w:rsidP="00721BDB" w14:paraId="0684F889" w14:textId="77777777">
            <w:pPr>
              <w:rPr>
                <w:rFonts w:ascii="Times New Roman" w:hAnsi="Times New Roman" w:cs="Times New Roman"/>
              </w:rPr>
            </w:pPr>
            <w:r w:rsidRPr="00106C21">
              <w:rPr>
                <w:rFonts w:ascii="Times New Roman" w:hAnsi="Times New Roman" w:cs="Times New Roman"/>
                <w:color w:val="000000"/>
                <w:sz w:val="22"/>
              </w:rPr>
              <w:t xml:space="preserve">        2.5</w:t>
            </w:r>
          </w:p>
        </w:tc>
        <w:tc>
          <w:tcPr>
            <w:tcW w:w="1885" w:type="dxa"/>
            <w:vAlign w:val="bottom"/>
          </w:tcPr>
          <w:p w:rsidR="00762782" w:rsidRPr="00106C21" w:rsidP="00721BDB" w14:paraId="363F56FE" w14:textId="2A3E87E3">
            <w:pPr>
              <w:rPr>
                <w:rFonts w:ascii="Times New Roman" w:hAnsi="Times New Roman" w:cs="Times New Roman"/>
              </w:rPr>
            </w:pPr>
            <w:r w:rsidRPr="00106C21">
              <w:rPr>
                <w:rFonts w:ascii="Times New Roman" w:hAnsi="Times New Roman" w:cs="Times New Roman"/>
                <w:color w:val="000000"/>
                <w:sz w:val="22"/>
              </w:rPr>
              <w:t xml:space="preserve">     $          </w:t>
            </w:r>
            <w:r w:rsidR="00507450">
              <w:rPr>
                <w:rFonts w:ascii="Times New Roman" w:hAnsi="Times New Roman" w:cs="Times New Roman"/>
                <w:color w:val="000000"/>
                <w:sz w:val="22"/>
              </w:rPr>
              <w:t>103</w:t>
            </w:r>
          </w:p>
        </w:tc>
      </w:tr>
      <w:tr w14:paraId="696DE11E" w14:textId="77777777" w:rsidTr="001B120A">
        <w:tblPrEx>
          <w:tblW w:w="0" w:type="auto"/>
          <w:tblLook w:val="04A0"/>
        </w:tblPrEx>
        <w:tc>
          <w:tcPr>
            <w:tcW w:w="4135" w:type="dxa"/>
            <w:vAlign w:val="bottom"/>
          </w:tcPr>
          <w:p w:rsidR="00762782" w:rsidRPr="00106C21" w:rsidP="00721BDB" w14:paraId="0EC41AE0" w14:textId="77777777">
            <w:pPr>
              <w:rPr>
                <w:rFonts w:ascii="Times New Roman" w:hAnsi="Times New Roman" w:cs="Times New Roman"/>
                <w:color w:val="000000"/>
                <w:sz w:val="22"/>
              </w:rPr>
            </w:pPr>
            <w:r w:rsidRPr="00106C21">
              <w:rPr>
                <w:rFonts w:ascii="Times New Roman" w:hAnsi="Times New Roman" w:cs="Times New Roman"/>
                <w:color w:val="000000"/>
                <w:sz w:val="22"/>
              </w:rPr>
              <w:t>General expense*</w:t>
            </w:r>
          </w:p>
        </w:tc>
        <w:tc>
          <w:tcPr>
            <w:tcW w:w="1260" w:type="dxa"/>
            <w:vAlign w:val="bottom"/>
          </w:tcPr>
          <w:p w:rsidR="00762782" w:rsidRPr="00106C21" w:rsidP="00721BDB" w14:paraId="1447BDF9" w14:textId="77777777">
            <w:pPr>
              <w:jc w:val="center"/>
              <w:rPr>
                <w:rFonts w:ascii="Times New Roman" w:hAnsi="Times New Roman" w:cs="Times New Roman"/>
              </w:rPr>
            </w:pPr>
            <w:r w:rsidRPr="00106C21">
              <w:rPr>
                <w:rFonts w:ascii="Times New Roman" w:hAnsi="Times New Roman" w:cs="Times New Roman"/>
              </w:rPr>
              <w:t>n/a</w:t>
            </w:r>
          </w:p>
        </w:tc>
        <w:tc>
          <w:tcPr>
            <w:tcW w:w="1350" w:type="dxa"/>
            <w:vAlign w:val="bottom"/>
          </w:tcPr>
          <w:p w:rsidR="00762782" w:rsidRPr="00106C21" w:rsidP="00721BDB" w14:paraId="1F4FAE95" w14:textId="77777777">
            <w:pPr>
              <w:jc w:val="center"/>
              <w:rPr>
                <w:rFonts w:ascii="Times New Roman" w:hAnsi="Times New Roman" w:cs="Times New Roman"/>
              </w:rPr>
            </w:pPr>
            <w:r w:rsidRPr="00106C21">
              <w:rPr>
                <w:rFonts w:ascii="Times New Roman" w:hAnsi="Times New Roman" w:cs="Times New Roman"/>
              </w:rPr>
              <w:t>n/a</w:t>
            </w:r>
          </w:p>
        </w:tc>
        <w:tc>
          <w:tcPr>
            <w:tcW w:w="1885" w:type="dxa"/>
            <w:vAlign w:val="bottom"/>
          </w:tcPr>
          <w:p w:rsidR="00762782" w:rsidRPr="00106C21" w:rsidP="00721BDB" w14:paraId="4EE95BA6" w14:textId="3BEFD1C7">
            <w:pPr>
              <w:rPr>
                <w:rFonts w:ascii="Times New Roman" w:hAnsi="Times New Roman" w:cs="Times New Roman"/>
                <w:color w:val="000000"/>
                <w:sz w:val="22"/>
              </w:rPr>
            </w:pPr>
            <w:r w:rsidRPr="00106C21">
              <w:rPr>
                <w:rFonts w:ascii="Times New Roman" w:hAnsi="Times New Roman" w:cs="Times New Roman"/>
                <w:color w:val="000000"/>
                <w:sz w:val="22"/>
              </w:rPr>
              <w:t xml:space="preserve">     $     </w:t>
            </w:r>
            <w:r w:rsidR="00507450">
              <w:rPr>
                <w:rFonts w:ascii="Times New Roman" w:hAnsi="Times New Roman" w:cs="Times New Roman"/>
                <w:color w:val="000000"/>
                <w:sz w:val="22"/>
              </w:rPr>
              <w:t>1,318</w:t>
            </w:r>
            <w:r w:rsidRPr="00106C21">
              <w:rPr>
                <w:rFonts w:ascii="Times New Roman" w:hAnsi="Times New Roman" w:cs="Times New Roman"/>
                <w:color w:val="000000"/>
                <w:sz w:val="22"/>
              </w:rPr>
              <w:t xml:space="preserve"> </w:t>
            </w:r>
          </w:p>
        </w:tc>
      </w:tr>
      <w:tr w14:paraId="33AFFA52" w14:textId="77777777" w:rsidTr="001B120A">
        <w:tblPrEx>
          <w:tblW w:w="0" w:type="auto"/>
          <w:tblLook w:val="04A0"/>
        </w:tblPrEx>
        <w:tc>
          <w:tcPr>
            <w:tcW w:w="4135" w:type="dxa"/>
            <w:vAlign w:val="bottom"/>
          </w:tcPr>
          <w:p w:rsidR="00762782" w:rsidRPr="00106C21" w:rsidP="00721BDB" w14:paraId="376238BB" w14:textId="77777777">
            <w:pPr>
              <w:rPr>
                <w:rFonts w:ascii="Times New Roman" w:hAnsi="Times New Roman" w:cs="Times New Roman"/>
              </w:rPr>
            </w:pPr>
            <w:r w:rsidRPr="00106C21">
              <w:rPr>
                <w:rFonts w:ascii="Times New Roman" w:hAnsi="Times New Roman" w:cs="Times New Roman"/>
                <w:bCs/>
                <w:color w:val="000000"/>
                <w:sz w:val="22"/>
              </w:rPr>
              <w:t>TOTAL</w:t>
            </w:r>
          </w:p>
        </w:tc>
        <w:tc>
          <w:tcPr>
            <w:tcW w:w="1260" w:type="dxa"/>
            <w:vAlign w:val="bottom"/>
          </w:tcPr>
          <w:p w:rsidR="00762782" w:rsidRPr="00106C21" w:rsidP="00721BDB" w14:paraId="4E2728F0" w14:textId="77777777">
            <w:pPr>
              <w:rPr>
                <w:rFonts w:ascii="Times New Roman" w:hAnsi="Times New Roman" w:cs="Times New Roman"/>
              </w:rPr>
            </w:pPr>
          </w:p>
        </w:tc>
        <w:tc>
          <w:tcPr>
            <w:tcW w:w="1350" w:type="dxa"/>
            <w:vAlign w:val="bottom"/>
          </w:tcPr>
          <w:p w:rsidR="00762782" w:rsidRPr="00106C21" w:rsidP="00721BDB" w14:paraId="4F5A5235" w14:textId="77777777">
            <w:pPr>
              <w:rPr>
                <w:rFonts w:ascii="Times New Roman" w:hAnsi="Times New Roman" w:cs="Times New Roman"/>
              </w:rPr>
            </w:pPr>
          </w:p>
        </w:tc>
        <w:tc>
          <w:tcPr>
            <w:tcW w:w="1885" w:type="dxa"/>
            <w:vAlign w:val="bottom"/>
          </w:tcPr>
          <w:p w:rsidR="00762782" w:rsidRPr="00106C21" w:rsidP="00721BDB" w14:paraId="57109EFB" w14:textId="0BA8937D">
            <w:pPr>
              <w:rPr>
                <w:rFonts w:ascii="Times New Roman" w:hAnsi="Times New Roman" w:cs="Times New Roman"/>
              </w:rPr>
            </w:pPr>
            <w:r w:rsidRPr="00106C21">
              <w:rPr>
                <w:rFonts w:ascii="Times New Roman" w:hAnsi="Times New Roman" w:cs="Times New Roman"/>
                <w:color w:val="000000"/>
                <w:sz w:val="22"/>
              </w:rPr>
              <w:t xml:space="preserve">     $   </w:t>
            </w:r>
            <w:r w:rsidR="006B1D05">
              <w:rPr>
                <w:rFonts w:ascii="Times New Roman" w:hAnsi="Times New Roman" w:cs="Times New Roman"/>
                <w:color w:val="000000"/>
                <w:sz w:val="22"/>
              </w:rPr>
              <w:t>33,711</w:t>
            </w:r>
          </w:p>
        </w:tc>
      </w:tr>
      <w:tr w14:paraId="341C3FD6" w14:textId="77777777" w:rsidTr="001B120A">
        <w:tblPrEx>
          <w:tblW w:w="0" w:type="auto"/>
          <w:tblLook w:val="04A0"/>
        </w:tblPrEx>
        <w:tc>
          <w:tcPr>
            <w:tcW w:w="8630" w:type="dxa"/>
            <w:gridSpan w:val="4"/>
            <w:vAlign w:val="bottom"/>
          </w:tcPr>
          <w:p w:rsidR="00762782" w:rsidRPr="00106C21" w:rsidP="00721BDB" w14:paraId="0122EE4A" w14:textId="77777777">
            <w:pPr>
              <w:rPr>
                <w:rFonts w:ascii="Times New Roman" w:hAnsi="Times New Roman" w:cs="Times New Roman"/>
              </w:rPr>
            </w:pPr>
            <w:r w:rsidRPr="00106C21">
              <w:rPr>
                <w:rFonts w:ascii="Times New Roman" w:hAnsi="Times New Roman" w:cs="Times New Roman"/>
              </w:rPr>
              <w:t>* General expenses include supplies, delivery charges, mailing, copying, telecommunications, etc.</w:t>
            </w:r>
          </w:p>
        </w:tc>
      </w:tr>
    </w:tbl>
    <w:p w:rsidR="00762782" w:rsidRPr="00106C21" w:rsidP="00762782" w14:paraId="3AC9BC00" w14:textId="7EB76E79">
      <w:pPr>
        <w:rPr>
          <w:rFonts w:ascii="Times New Roman" w:hAnsi="Times New Roman" w:cs="Times New Roman"/>
        </w:rPr>
      </w:pPr>
    </w:p>
    <w:p w:rsidR="00CF0D2C" w:rsidP="00762782" w14:paraId="5E1606B3" w14:textId="01475977">
      <w:pPr>
        <w:rPr>
          <w:rFonts w:ascii="Times New Roman" w:hAnsi="Times New Roman" w:cs="Times New Roman"/>
        </w:rPr>
      </w:pPr>
      <w:r>
        <w:rPr>
          <w:rFonts w:ascii="Times New Roman" w:hAnsi="Times New Roman" w:cs="Times New Roman"/>
        </w:rPr>
        <w:t>For consistency</w:t>
      </w:r>
      <w:r w:rsidR="00E15B9F">
        <w:rPr>
          <w:rFonts w:ascii="Times New Roman" w:hAnsi="Times New Roman" w:cs="Times New Roman"/>
        </w:rPr>
        <w:t xml:space="preserve"> with prior burden estimates</w:t>
      </w:r>
      <w:r w:rsidR="00E92D40">
        <w:rPr>
          <w:rFonts w:ascii="Times New Roman" w:hAnsi="Times New Roman" w:cs="Times New Roman"/>
        </w:rPr>
        <w:t>, and the estimates provided in the published interim final rule</w:t>
      </w:r>
      <w:r>
        <w:rPr>
          <w:rFonts w:ascii="Times New Roman" w:hAnsi="Times New Roman" w:cs="Times New Roman"/>
        </w:rPr>
        <w:t xml:space="preserve">, </w:t>
      </w:r>
      <w:r w:rsidR="00E92D40">
        <w:rPr>
          <w:rFonts w:ascii="Times New Roman" w:hAnsi="Times New Roman" w:cs="Times New Roman"/>
        </w:rPr>
        <w:t>DOE</w:t>
      </w:r>
      <w:r w:rsidRPr="00106C21" w:rsidR="00E92D40">
        <w:rPr>
          <w:rFonts w:ascii="Times New Roman" w:hAnsi="Times New Roman" w:cs="Times New Roman"/>
        </w:rPr>
        <w:t xml:space="preserve"> </w:t>
      </w:r>
      <w:r w:rsidR="00E15B9F">
        <w:rPr>
          <w:rFonts w:ascii="Times New Roman" w:hAnsi="Times New Roman" w:cs="Times New Roman"/>
        </w:rPr>
        <w:t xml:space="preserve">used </w:t>
      </w:r>
      <w:r w:rsidRPr="00106C21" w:rsidR="00586D0D">
        <w:rPr>
          <w:rFonts w:ascii="Times New Roman" w:hAnsi="Times New Roman" w:cs="Times New Roman"/>
        </w:rPr>
        <w:t xml:space="preserve">the U.S. Bureau of Labor Statistics’ </w:t>
      </w:r>
      <w:r w:rsidR="001024C8">
        <w:rPr>
          <w:rFonts w:ascii="Times New Roman" w:hAnsi="Times New Roman" w:cs="Times New Roman"/>
        </w:rPr>
        <w:t>2025</w:t>
      </w:r>
      <w:r w:rsidRPr="00106C21" w:rsidR="001024C8">
        <w:rPr>
          <w:rFonts w:ascii="Times New Roman" w:hAnsi="Times New Roman" w:cs="Times New Roman"/>
        </w:rPr>
        <w:t xml:space="preserve"> </w:t>
      </w:r>
      <w:r w:rsidRPr="00106C21" w:rsidR="00586D0D">
        <w:rPr>
          <w:rFonts w:ascii="Times New Roman" w:hAnsi="Times New Roman" w:cs="Times New Roman"/>
        </w:rPr>
        <w:t>data</w:t>
      </w:r>
      <w:r w:rsidR="00E15B9F">
        <w:rPr>
          <w:rFonts w:ascii="Times New Roman" w:hAnsi="Times New Roman" w:cs="Times New Roman"/>
        </w:rPr>
        <w:t xml:space="preserve"> set</w:t>
      </w:r>
      <w:r w:rsidRPr="00106C21" w:rsidR="00586D0D">
        <w:rPr>
          <w:rFonts w:ascii="Times New Roman" w:hAnsi="Times New Roman" w:cs="Times New Roman"/>
        </w:rPr>
        <w:t xml:space="preserve"> regarding </w:t>
      </w:r>
      <w:r w:rsidR="00B530DF">
        <w:rPr>
          <w:rFonts w:ascii="Times New Roman" w:hAnsi="Times New Roman" w:cs="Times New Roman"/>
        </w:rPr>
        <w:t>employer costs for total employee compensation</w:t>
      </w:r>
      <w:r w:rsidR="002E5A88">
        <w:rPr>
          <w:rFonts w:ascii="Times New Roman" w:hAnsi="Times New Roman" w:cs="Times New Roman"/>
        </w:rPr>
        <w:t>.</w:t>
      </w:r>
      <w:r w:rsidRPr="00106C21" w:rsidR="00586D0D">
        <w:rPr>
          <w:rFonts w:ascii="Times New Roman" w:hAnsi="Times New Roman" w:cs="Times New Roman"/>
        </w:rPr>
        <w:t xml:space="preserve">  </w:t>
      </w:r>
      <w:r w:rsidR="002E5A88">
        <w:rPr>
          <w:rFonts w:ascii="Times New Roman" w:hAnsi="Times New Roman" w:cs="Times New Roman"/>
        </w:rPr>
        <w:t>EDF</w:t>
      </w:r>
      <w:r w:rsidRPr="00106C21" w:rsidR="002E5A88">
        <w:rPr>
          <w:rFonts w:ascii="Times New Roman" w:hAnsi="Times New Roman" w:cs="Times New Roman"/>
        </w:rPr>
        <w:t xml:space="preserve"> </w:t>
      </w:r>
      <w:r w:rsidRPr="00106C21" w:rsidR="00586D0D">
        <w:rPr>
          <w:rFonts w:ascii="Times New Roman" w:hAnsi="Times New Roman" w:cs="Times New Roman"/>
        </w:rPr>
        <w:t xml:space="preserve">also drew from its 10+ years of institutional knowledge and experience administering the Title XVII </w:t>
      </w:r>
      <w:r w:rsidR="00E370AB">
        <w:rPr>
          <w:rFonts w:ascii="Times New Roman" w:hAnsi="Times New Roman" w:cs="Times New Roman"/>
        </w:rPr>
        <w:t>p</w:t>
      </w:r>
      <w:r w:rsidRPr="00106C21" w:rsidR="00E370AB">
        <w:rPr>
          <w:rFonts w:ascii="Times New Roman" w:hAnsi="Times New Roman" w:cs="Times New Roman"/>
        </w:rPr>
        <w:t xml:space="preserve">rogram </w:t>
      </w:r>
      <w:r w:rsidRPr="00106C21" w:rsidR="00586D0D">
        <w:rPr>
          <w:rFonts w:ascii="Times New Roman" w:hAnsi="Times New Roman" w:cs="Times New Roman"/>
        </w:rPr>
        <w:t xml:space="preserve">and other loan programs, including its experience working with hundreds of prospective </w:t>
      </w:r>
      <w:r w:rsidRPr="00106C21" w:rsidR="00815ADC">
        <w:rPr>
          <w:rFonts w:ascii="Times New Roman" w:hAnsi="Times New Roman" w:cs="Times New Roman"/>
        </w:rPr>
        <w:t>Applicant</w:t>
      </w:r>
      <w:r w:rsidRPr="00106C21" w:rsidR="00586D0D">
        <w:rPr>
          <w:rFonts w:ascii="Times New Roman" w:hAnsi="Times New Roman" w:cs="Times New Roman"/>
        </w:rPr>
        <w:t>s as they prepared and</w:t>
      </w:r>
      <w:r w:rsidRPr="00106C21" w:rsidR="006777E0">
        <w:rPr>
          <w:rFonts w:ascii="Times New Roman" w:hAnsi="Times New Roman" w:cs="Times New Roman"/>
        </w:rPr>
        <w:t>/or</w:t>
      </w:r>
      <w:r w:rsidRPr="00106C21" w:rsidR="00586D0D">
        <w:rPr>
          <w:rFonts w:ascii="Times New Roman" w:hAnsi="Times New Roman" w:cs="Times New Roman"/>
        </w:rPr>
        <w:t xml:space="preserve"> submitted applications. </w:t>
      </w:r>
    </w:p>
    <w:p w:rsidR="001A4DC5" w:rsidP="00197509" w14:paraId="0A474D66" w14:textId="09F593A9">
      <w:pPr>
        <w:rPr>
          <w:rFonts w:ascii="Times New Roman" w:hAnsi="Times New Roman" w:cs="Times New Roman"/>
        </w:rPr>
      </w:pPr>
      <w:r>
        <w:rPr>
          <w:rFonts w:ascii="Times New Roman" w:hAnsi="Times New Roman" w:cs="Times New Roman"/>
          <w:bCs/>
        </w:rPr>
        <w:t xml:space="preserve">As </w:t>
      </w:r>
      <w:r w:rsidR="00DE0211">
        <w:rPr>
          <w:rFonts w:ascii="Times New Roman" w:hAnsi="Times New Roman" w:cs="Times New Roman"/>
          <w:bCs/>
        </w:rPr>
        <w:t xml:space="preserve">explained above, </w:t>
      </w:r>
      <w:r w:rsidR="00E370AB">
        <w:rPr>
          <w:rFonts w:ascii="Times New Roman" w:hAnsi="Times New Roman" w:cs="Times New Roman"/>
          <w:bCs/>
        </w:rPr>
        <w:t>the Department</w:t>
      </w:r>
      <w:r w:rsidRPr="00D63F56" w:rsidR="00E370AB">
        <w:rPr>
          <w:rFonts w:ascii="Times New Roman" w:hAnsi="Times New Roman" w:cs="Times New Roman"/>
          <w:bCs/>
        </w:rPr>
        <w:t xml:space="preserve"> </w:t>
      </w:r>
      <w:r w:rsidRPr="00D63F56">
        <w:rPr>
          <w:rFonts w:ascii="Times New Roman" w:hAnsi="Times New Roman" w:cs="Times New Roman"/>
          <w:bCs/>
        </w:rPr>
        <w:t xml:space="preserve">will no longer require a Community Benefits Plan.  </w:t>
      </w:r>
      <w:r>
        <w:rPr>
          <w:rFonts w:ascii="Times New Roman" w:hAnsi="Times New Roman" w:cs="Times New Roman"/>
          <w:bCs/>
        </w:rPr>
        <w:t>Prior to</w:t>
      </w:r>
      <w:r>
        <w:rPr>
          <w:rFonts w:ascii="Times New Roman" w:hAnsi="Times New Roman" w:cs="Times New Roman"/>
        </w:rPr>
        <w:t xml:space="preserve"> the passage of </w:t>
      </w:r>
      <w:r>
        <w:rPr>
          <w:rFonts w:ascii="Times New Roman" w:hAnsi="Times New Roman" w:cs="Times New Roman"/>
          <w:bCs/>
        </w:rPr>
        <w:t xml:space="preserve">the </w:t>
      </w:r>
      <w:r w:rsidRPr="00356F1A">
        <w:rPr>
          <w:rFonts w:ascii="Times New Roman" w:hAnsi="Times New Roman" w:cs="Times New Roman"/>
          <w:bCs/>
        </w:rPr>
        <w:t>One Big Beautiful Bill Ac</w:t>
      </w:r>
      <w:r>
        <w:rPr>
          <w:rFonts w:ascii="Times New Roman" w:hAnsi="Times New Roman" w:cs="Times New Roman"/>
          <w:bCs/>
        </w:rPr>
        <w:t xml:space="preserve">t, </w:t>
      </w:r>
      <w:r w:rsidR="00E370AB">
        <w:rPr>
          <w:rFonts w:ascii="Times New Roman" w:hAnsi="Times New Roman" w:cs="Times New Roman"/>
          <w:bCs/>
        </w:rPr>
        <w:t xml:space="preserve">DOE </w:t>
      </w:r>
      <w:r>
        <w:rPr>
          <w:rFonts w:ascii="Times New Roman" w:hAnsi="Times New Roman" w:cs="Times New Roman"/>
          <w:bCs/>
        </w:rPr>
        <w:t xml:space="preserve">used the Community Benefits Plan </w:t>
      </w:r>
      <w:r>
        <w:rPr>
          <w:rFonts w:ascii="Times New Roman" w:hAnsi="Times New Roman" w:cs="Times New Roman"/>
        </w:rPr>
        <w:t xml:space="preserve">and </w:t>
      </w:r>
      <w:r w:rsidRPr="00106C21">
        <w:rPr>
          <w:rFonts w:ascii="Times New Roman" w:hAnsi="Times New Roman" w:cs="Times New Roman"/>
        </w:rPr>
        <w:t>the</w:t>
      </w:r>
      <w:r>
        <w:rPr>
          <w:rFonts w:ascii="Times New Roman" w:hAnsi="Times New Roman" w:cs="Times New Roman"/>
        </w:rPr>
        <w:t xml:space="preserve"> other</w:t>
      </w:r>
      <w:r w:rsidRPr="00106C21">
        <w:rPr>
          <w:rFonts w:ascii="Times New Roman" w:hAnsi="Times New Roman" w:cs="Times New Roman"/>
        </w:rPr>
        <w:t xml:space="preserve"> information</w:t>
      </w:r>
      <w:r>
        <w:rPr>
          <w:rFonts w:ascii="Times New Roman" w:hAnsi="Times New Roman" w:cs="Times New Roman"/>
        </w:rPr>
        <w:t xml:space="preserve"> to</w:t>
      </w:r>
      <w:r w:rsidRPr="00106C21">
        <w:rPr>
          <w:rFonts w:ascii="Times New Roman" w:hAnsi="Times New Roman" w:cs="Times New Roman"/>
        </w:rPr>
        <w:t xml:space="preserve"> determine </w:t>
      </w:r>
      <w:r>
        <w:rPr>
          <w:rFonts w:ascii="Times New Roman" w:hAnsi="Times New Roman" w:cs="Times New Roman"/>
        </w:rPr>
        <w:t>eligibility</w:t>
      </w:r>
      <w:r w:rsidRPr="00106C21">
        <w:rPr>
          <w:rFonts w:ascii="Times New Roman" w:hAnsi="Times New Roman" w:cs="Times New Roman"/>
        </w:rPr>
        <w:t>.</w:t>
      </w:r>
      <w:r w:rsidR="002532F8">
        <w:rPr>
          <w:rFonts w:ascii="Times New Roman" w:hAnsi="Times New Roman" w:cs="Times New Roman"/>
        </w:rPr>
        <w:t xml:space="preserve"> </w:t>
      </w:r>
      <w:r w:rsidRPr="002532F8" w:rsidR="002532F8">
        <w:rPr>
          <w:rFonts w:ascii="Times New Roman" w:hAnsi="Times New Roman" w:cs="Times New Roman"/>
        </w:rPr>
        <w:t xml:space="preserve">Similarly, </w:t>
      </w:r>
      <w:r w:rsidR="002532F8">
        <w:rPr>
          <w:rFonts w:ascii="Times New Roman" w:hAnsi="Times New Roman" w:cs="Times New Roman"/>
        </w:rPr>
        <w:t>the Department</w:t>
      </w:r>
      <w:r w:rsidRPr="002532F8" w:rsidR="002532F8">
        <w:rPr>
          <w:rFonts w:ascii="Times New Roman" w:hAnsi="Times New Roman" w:cs="Times New Roman"/>
        </w:rPr>
        <w:t xml:space="preserve"> has revised its application requirements related to the lifecycle greenhouse gas emissions analysis and certain environmental </w:t>
      </w:r>
      <w:r>
        <w:rPr>
          <w:rFonts w:ascii="Times New Roman" w:hAnsi="Times New Roman" w:cs="Times New Roman"/>
        </w:rPr>
        <w:t>evaluations</w:t>
      </w:r>
      <w:r w:rsidR="004068C6">
        <w:rPr>
          <w:rFonts w:ascii="Times New Roman" w:hAnsi="Times New Roman" w:cs="Times New Roman"/>
        </w:rPr>
        <w:t>.</w:t>
      </w:r>
      <w:r>
        <w:rPr>
          <w:rFonts w:ascii="Times New Roman" w:hAnsi="Times New Roman" w:cs="Times New Roman"/>
        </w:rPr>
        <w:t xml:space="preserve"> </w:t>
      </w:r>
    </w:p>
    <w:p w:rsidR="003B3B66" w:rsidRPr="002B2E5F" w:rsidP="00197509" w14:paraId="135BFC51" w14:textId="5A13E38A">
      <w:pPr>
        <w:rPr>
          <w:rFonts w:ascii="Times New Roman" w:hAnsi="Times New Roman" w:cs="Times New Roman"/>
          <w:bCs/>
        </w:rPr>
      </w:pPr>
      <w:r>
        <w:rPr>
          <w:rFonts w:ascii="Times New Roman" w:hAnsi="Times New Roman" w:cs="Times New Roman"/>
        </w:rPr>
        <w:t xml:space="preserve">Note: a </w:t>
      </w:r>
      <w:r w:rsidRPr="002532F8" w:rsidR="004068C6">
        <w:rPr>
          <w:rFonts w:ascii="Times New Roman" w:hAnsi="Times New Roman" w:cs="Times New Roman"/>
        </w:rPr>
        <w:t>greenhouse gas emissions analysis</w:t>
      </w:r>
      <w:r w:rsidR="004068C6">
        <w:rPr>
          <w:rFonts w:ascii="Times New Roman" w:hAnsi="Times New Roman" w:cs="Times New Roman"/>
        </w:rPr>
        <w:t xml:space="preserve"> </w:t>
      </w:r>
      <w:r>
        <w:rPr>
          <w:rFonts w:ascii="Times New Roman" w:hAnsi="Times New Roman" w:cs="Times New Roman"/>
        </w:rPr>
        <w:t>is</w:t>
      </w:r>
      <w:r w:rsidR="004068C6">
        <w:rPr>
          <w:rFonts w:ascii="Times New Roman" w:hAnsi="Times New Roman" w:cs="Times New Roman"/>
        </w:rPr>
        <w:t xml:space="preserve"> still </w:t>
      </w:r>
      <w:r>
        <w:rPr>
          <w:rFonts w:ascii="Times New Roman" w:hAnsi="Times New Roman" w:cs="Times New Roman"/>
        </w:rPr>
        <w:t xml:space="preserve">required </w:t>
      </w:r>
      <w:r w:rsidR="004068C6">
        <w:rPr>
          <w:rFonts w:ascii="Times New Roman" w:hAnsi="Times New Roman" w:cs="Times New Roman"/>
        </w:rPr>
        <w:t>under certain Title XVII programs (</w:t>
      </w:r>
      <w:r>
        <w:rPr>
          <w:rFonts w:ascii="Times New Roman" w:hAnsi="Times New Roman" w:cs="Times New Roman"/>
        </w:rPr>
        <w:t xml:space="preserve">i.e. </w:t>
      </w:r>
      <w:r w:rsidR="004068C6">
        <w:rPr>
          <w:rFonts w:ascii="Times New Roman" w:hAnsi="Times New Roman" w:cs="Times New Roman"/>
        </w:rPr>
        <w:t>section 1703</w:t>
      </w:r>
      <w:r>
        <w:rPr>
          <w:rFonts w:ascii="Times New Roman" w:hAnsi="Times New Roman" w:cs="Times New Roman"/>
        </w:rPr>
        <w:t>,</w:t>
      </w:r>
      <w:r w:rsidR="00FB5271">
        <w:rPr>
          <w:rFonts w:ascii="Times New Roman" w:hAnsi="Times New Roman" w:cs="Times New Roman"/>
        </w:rPr>
        <w:t xml:space="preserve"> but not section 1706); and certain environmental data</w:t>
      </w:r>
      <w:r>
        <w:rPr>
          <w:rFonts w:ascii="Times New Roman" w:hAnsi="Times New Roman" w:cs="Times New Roman"/>
        </w:rPr>
        <w:t xml:space="preserve"> and environmental evaluations are</w:t>
      </w:r>
      <w:r w:rsidR="00FB5271">
        <w:rPr>
          <w:rFonts w:ascii="Times New Roman" w:hAnsi="Times New Roman" w:cs="Times New Roman"/>
        </w:rPr>
        <w:t xml:space="preserve"> still required to ensure compliance with </w:t>
      </w:r>
      <w:r w:rsidR="008171BF">
        <w:rPr>
          <w:rFonts w:ascii="Times New Roman" w:hAnsi="Times New Roman" w:cs="Times New Roman"/>
        </w:rPr>
        <w:t>applicable</w:t>
      </w:r>
      <w:r w:rsidR="00FB5271">
        <w:rPr>
          <w:rFonts w:ascii="Times New Roman" w:hAnsi="Times New Roman" w:cs="Times New Roman"/>
        </w:rPr>
        <w:t xml:space="preserve"> Federal, State, and local requirements. </w:t>
      </w:r>
      <w:r w:rsidR="00214CBB">
        <w:rPr>
          <w:rFonts w:ascii="Times New Roman" w:hAnsi="Times New Roman" w:cs="Times New Roman"/>
        </w:rPr>
        <w:t xml:space="preserve">In accordance with </w:t>
      </w:r>
      <w:r w:rsidR="002730C7">
        <w:rPr>
          <w:rFonts w:ascii="Times New Roman" w:hAnsi="Times New Roman" w:cs="Times New Roman"/>
        </w:rPr>
        <w:t xml:space="preserve">Executive Order 14192 of January 31, 2025, “Unleashing Prosperity Through Deregulation,” </w:t>
      </w:r>
      <w:r w:rsidR="00E370AB">
        <w:rPr>
          <w:rFonts w:ascii="Times New Roman" w:hAnsi="Times New Roman" w:cs="Times New Roman"/>
        </w:rPr>
        <w:t xml:space="preserve">the Department </w:t>
      </w:r>
      <w:r w:rsidR="006770C1">
        <w:rPr>
          <w:rFonts w:ascii="Times New Roman" w:hAnsi="Times New Roman" w:cs="Times New Roman"/>
        </w:rPr>
        <w:t>estimate</w:t>
      </w:r>
      <w:r w:rsidR="00197509">
        <w:rPr>
          <w:rFonts w:ascii="Times New Roman" w:hAnsi="Times New Roman" w:cs="Times New Roman"/>
        </w:rPr>
        <w:t>d</w:t>
      </w:r>
      <w:r w:rsidR="006770C1">
        <w:rPr>
          <w:rFonts w:ascii="Times New Roman" w:hAnsi="Times New Roman" w:cs="Times New Roman"/>
        </w:rPr>
        <w:t xml:space="preserve"> the reduction in burden </w:t>
      </w:r>
      <w:r w:rsidR="002730C7">
        <w:rPr>
          <w:rFonts w:ascii="Times New Roman" w:hAnsi="Times New Roman" w:cs="Times New Roman"/>
        </w:rPr>
        <w:t xml:space="preserve">from the elimination of the </w:t>
      </w:r>
      <w:r w:rsidRPr="00D63F56" w:rsidR="002730C7">
        <w:rPr>
          <w:rFonts w:ascii="Times New Roman" w:hAnsi="Times New Roman" w:cs="Times New Roman"/>
          <w:bCs/>
        </w:rPr>
        <w:t>Community Benefits Plan</w:t>
      </w:r>
      <w:r w:rsidR="002730C7">
        <w:rPr>
          <w:rFonts w:ascii="Times New Roman" w:hAnsi="Times New Roman" w:cs="Times New Roman"/>
          <w:bCs/>
        </w:rPr>
        <w:t xml:space="preserve"> as a total cost savings of </w:t>
      </w:r>
      <w:r w:rsidR="006F47D3">
        <w:rPr>
          <w:rFonts w:ascii="Times New Roman" w:hAnsi="Times New Roman" w:cs="Times New Roman"/>
          <w:bCs/>
        </w:rPr>
        <w:t xml:space="preserve">over </w:t>
      </w:r>
      <w:r w:rsidRPr="002D0A60" w:rsidR="002730C7">
        <w:rPr>
          <w:rFonts w:ascii="Times New Roman" w:hAnsi="Times New Roman" w:cs="Times New Roman"/>
        </w:rPr>
        <w:t>$</w:t>
      </w:r>
      <w:r w:rsidR="006F47D3">
        <w:rPr>
          <w:rFonts w:ascii="Times New Roman" w:hAnsi="Times New Roman" w:cs="Times New Roman"/>
        </w:rPr>
        <w:t>30</w:t>
      </w:r>
      <w:r w:rsidRPr="002D0A60" w:rsidR="00E55937">
        <w:rPr>
          <w:rFonts w:ascii="Times New Roman" w:hAnsi="Times New Roman" w:cs="Times New Roman"/>
        </w:rPr>
        <w:t>0</w:t>
      </w:r>
      <w:r w:rsidRPr="002D0A60" w:rsidR="002730C7">
        <w:rPr>
          <w:rFonts w:ascii="Times New Roman" w:hAnsi="Times New Roman" w:cs="Times New Roman"/>
        </w:rPr>
        <w:t>,000 (2025$)</w:t>
      </w:r>
      <w:r w:rsidR="002730C7">
        <w:rPr>
          <w:rFonts w:ascii="Times New Roman" w:hAnsi="Times New Roman" w:cs="Times New Roman"/>
        </w:rPr>
        <w:t xml:space="preserve">. This estimate was developed </w:t>
      </w:r>
      <w:r w:rsidR="006F47D3">
        <w:rPr>
          <w:rFonts w:ascii="Times New Roman" w:hAnsi="Times New Roman" w:cs="Times New Roman"/>
        </w:rPr>
        <w:t xml:space="preserve">in part by </w:t>
      </w:r>
      <w:r w:rsidR="002730C7">
        <w:rPr>
          <w:rFonts w:ascii="Times New Roman" w:hAnsi="Times New Roman" w:cs="Times New Roman"/>
        </w:rPr>
        <w:t xml:space="preserve">the </w:t>
      </w:r>
      <w:r w:rsidRPr="00A92EDC" w:rsidR="00A92EDC">
        <w:rPr>
          <w:rFonts w:ascii="Times New Roman" w:hAnsi="Times New Roman" w:cs="Times New Roman"/>
        </w:rPr>
        <w:t>Loan Guarantees for Clean Energy Projects” interim final rule</w:t>
      </w:r>
      <w:r w:rsidR="00A92EDC">
        <w:rPr>
          <w:rFonts w:ascii="Times New Roman" w:hAnsi="Times New Roman" w:cs="Times New Roman"/>
        </w:rPr>
        <w:t xml:space="preserve"> published in the Federal Register</w:t>
      </w:r>
      <w:r w:rsidR="00D46D29">
        <w:rPr>
          <w:rFonts w:ascii="Times New Roman" w:hAnsi="Times New Roman" w:cs="Times New Roman"/>
        </w:rPr>
        <w:t xml:space="preserve"> at</w:t>
      </w:r>
      <w:r w:rsidRPr="00A92EDC" w:rsidR="00A92EDC">
        <w:rPr>
          <w:rFonts w:ascii="Times New Roman" w:hAnsi="Times New Roman" w:cs="Times New Roman"/>
        </w:rPr>
        <w:t xml:space="preserve"> 88 FR 34419 </w:t>
      </w:r>
      <w:r w:rsidR="00D46D29">
        <w:rPr>
          <w:rFonts w:ascii="Times New Roman" w:hAnsi="Times New Roman" w:cs="Times New Roman"/>
        </w:rPr>
        <w:t xml:space="preserve">on </w:t>
      </w:r>
      <w:r w:rsidRPr="00A92EDC" w:rsidR="00A92EDC">
        <w:rPr>
          <w:rFonts w:ascii="Times New Roman" w:hAnsi="Times New Roman" w:cs="Times New Roman"/>
        </w:rPr>
        <w:t xml:space="preserve">May 30, 2023. The 2023 </w:t>
      </w:r>
      <w:r w:rsidR="00D46D29">
        <w:rPr>
          <w:rFonts w:ascii="Times New Roman" w:hAnsi="Times New Roman" w:cs="Times New Roman"/>
        </w:rPr>
        <w:t xml:space="preserve">interim final </w:t>
      </w:r>
      <w:r w:rsidRPr="00A92EDC" w:rsidR="00A92EDC">
        <w:rPr>
          <w:rFonts w:ascii="Times New Roman" w:hAnsi="Times New Roman" w:cs="Times New Roman"/>
        </w:rPr>
        <w:t>rule estimated “14 hours per response” for the inclusion of information regarding an applicant’s community benefits plan</w:t>
      </w:r>
      <w:r w:rsidR="00D46D29">
        <w:rPr>
          <w:rFonts w:ascii="Times New Roman" w:hAnsi="Times New Roman" w:cs="Times New Roman"/>
        </w:rPr>
        <w:t>.</w:t>
      </w:r>
    </w:p>
    <w:p w:rsidR="00F056C3" w:rsidRPr="00106C21" w:rsidP="005A73A8" w14:paraId="17CAAADC" w14:textId="77777777">
      <w:pPr>
        <w:pStyle w:val="Heading2"/>
        <w:rPr>
          <w:rFonts w:ascii="Times New Roman" w:hAnsi="Times New Roman" w:cs="Times New Roman"/>
        </w:rPr>
      </w:pPr>
      <w:bookmarkStart w:id="16" w:name="_Toc16271332"/>
      <w:r w:rsidRPr="00106C21">
        <w:rPr>
          <w:rFonts w:ascii="Times New Roman" w:hAnsi="Times New Roman" w:cs="Times New Roman"/>
        </w:rPr>
        <w:t>A.</w:t>
      </w:r>
      <w:r w:rsidRPr="00106C21" w:rsidR="00A41763">
        <w:rPr>
          <w:rFonts w:ascii="Times New Roman" w:hAnsi="Times New Roman" w:cs="Times New Roman"/>
        </w:rPr>
        <w:t xml:space="preserve">13. </w:t>
      </w:r>
      <w:r w:rsidRPr="00106C21" w:rsidR="006F3C12">
        <w:rPr>
          <w:rFonts w:ascii="Times New Roman" w:hAnsi="Times New Roman" w:cs="Times New Roman"/>
        </w:rPr>
        <w:t xml:space="preserve">Other Estimated </w:t>
      </w:r>
      <w:r w:rsidRPr="00106C21">
        <w:rPr>
          <w:rFonts w:ascii="Times New Roman" w:hAnsi="Times New Roman" w:cs="Times New Roman"/>
        </w:rPr>
        <w:t xml:space="preserve">Annual Cost to </w:t>
      </w:r>
      <w:r w:rsidRPr="00106C21" w:rsidR="00FE2197">
        <w:rPr>
          <w:rFonts w:ascii="Times New Roman" w:hAnsi="Times New Roman" w:cs="Times New Roman"/>
        </w:rPr>
        <w:t>Respondents</w:t>
      </w:r>
      <w:bookmarkEnd w:id="16"/>
    </w:p>
    <w:p w:rsidR="00A41763" w:rsidRPr="00106C21" w:rsidP="00A41763" w14:paraId="5509891F" w14:textId="77777777">
      <w:pPr>
        <w:rPr>
          <w:rFonts w:ascii="Times New Roman" w:hAnsi="Times New Roman" w:cs="Times New Roman"/>
        </w:rPr>
      </w:pPr>
      <w:r w:rsidRPr="00106C21">
        <w:rPr>
          <w:rFonts w:ascii="Times New Roman" w:hAnsi="Times New Roman" w:cs="Times New Roman"/>
          <w:b/>
          <w:bCs/>
        </w:rPr>
        <w:t xml:space="preserve">Provide an estimate for the total annual cost burden to respondents or recordkeepers resulting from the collection of information. </w:t>
      </w:r>
    </w:p>
    <w:p w:rsidR="005A73A8" w:rsidRPr="00106C21" w:rsidP="005A73A8" w14:paraId="6974AB92" w14:textId="1DC58D4F">
      <w:pPr>
        <w:rPr>
          <w:rFonts w:ascii="Times New Roman" w:hAnsi="Times New Roman" w:cs="Times New Roman"/>
        </w:rPr>
      </w:pPr>
      <w:r w:rsidRPr="0009463B">
        <w:rPr>
          <w:rFonts w:ascii="Times New Roman" w:hAnsi="Times New Roman" w:cs="Times New Roman"/>
        </w:rPr>
        <w:t xml:space="preserve">The Department estimates the cost for the hour burden of </w:t>
      </w:r>
      <w:r w:rsidRPr="0009463B">
        <w:rPr>
          <w:rFonts w:ascii="Times New Roman" w:hAnsi="Times New Roman" w:cs="Times New Roman"/>
        </w:rPr>
        <w:t>the information</w:t>
      </w:r>
      <w:r w:rsidRPr="0009463B">
        <w:rPr>
          <w:rFonts w:ascii="Times New Roman" w:hAnsi="Times New Roman" w:cs="Times New Roman"/>
        </w:rPr>
        <w:t xml:space="preserve"> collection is $33,711 per Title XVII Applicant</w:t>
      </w:r>
      <w:r>
        <w:rPr>
          <w:rFonts w:ascii="Times New Roman" w:hAnsi="Times New Roman" w:cs="Times New Roman"/>
        </w:rPr>
        <w:t>, s</w:t>
      </w:r>
      <w:r w:rsidR="00151704">
        <w:rPr>
          <w:rFonts w:ascii="Times New Roman" w:hAnsi="Times New Roman" w:cs="Times New Roman"/>
        </w:rPr>
        <w:t>ee the response above</w:t>
      </w:r>
      <w:r>
        <w:rPr>
          <w:rFonts w:ascii="Times New Roman" w:hAnsi="Times New Roman" w:cs="Times New Roman"/>
        </w:rPr>
        <w:t xml:space="preserve"> for details</w:t>
      </w:r>
      <w:r w:rsidR="00151704">
        <w:rPr>
          <w:rFonts w:ascii="Times New Roman" w:hAnsi="Times New Roman" w:cs="Times New Roman"/>
        </w:rPr>
        <w:t>.</w:t>
      </w:r>
    </w:p>
    <w:p w:rsidR="00F056C3" w:rsidRPr="00106C21" w:rsidP="005A73A8" w14:paraId="249D505C" w14:textId="77777777">
      <w:pPr>
        <w:pStyle w:val="Heading2"/>
        <w:rPr>
          <w:rFonts w:ascii="Times New Roman" w:hAnsi="Times New Roman" w:cs="Times New Roman"/>
        </w:rPr>
      </w:pPr>
      <w:bookmarkStart w:id="17" w:name="_Toc16271333"/>
      <w:r w:rsidRPr="00106C21">
        <w:rPr>
          <w:rFonts w:ascii="Times New Roman" w:hAnsi="Times New Roman" w:cs="Times New Roman"/>
        </w:rPr>
        <w:t>A.</w:t>
      </w:r>
      <w:r w:rsidRPr="00106C21" w:rsidR="00A41763">
        <w:rPr>
          <w:rFonts w:ascii="Times New Roman" w:hAnsi="Times New Roman" w:cs="Times New Roman"/>
        </w:rPr>
        <w:t xml:space="preserve">14. </w:t>
      </w:r>
      <w:r w:rsidRPr="00106C21" w:rsidR="00FE2197">
        <w:rPr>
          <w:rFonts w:ascii="Times New Roman" w:hAnsi="Times New Roman" w:cs="Times New Roman"/>
        </w:rPr>
        <w:t>Annual Cost to the Federal Government</w:t>
      </w:r>
      <w:bookmarkEnd w:id="17"/>
      <w:r w:rsidRPr="00106C21">
        <w:rPr>
          <w:rFonts w:ascii="Times New Roman" w:hAnsi="Times New Roman" w:cs="Times New Roman"/>
        </w:rPr>
        <w:t xml:space="preserve"> </w:t>
      </w:r>
    </w:p>
    <w:p w:rsidR="00A41763" w:rsidRPr="00106C21" w:rsidP="00A41763" w14:paraId="42208E52" w14:textId="77777777">
      <w:pPr>
        <w:rPr>
          <w:rFonts w:ascii="Times New Roman" w:hAnsi="Times New Roman" w:cs="Times New Roman"/>
        </w:rPr>
      </w:pPr>
      <w:bookmarkStart w:id="18" w:name="_Hlk57385461"/>
      <w:r w:rsidRPr="00106C21">
        <w:rPr>
          <w:rFonts w:ascii="Times New Roman" w:hAnsi="Times New Roman" w:cs="Times New Roman"/>
          <w:b/>
          <w:bCs/>
        </w:rPr>
        <w:t xml:space="preserve">Provide estimates of annualized cost to the Federal government. </w:t>
      </w:r>
    </w:p>
    <w:p w:rsidR="003500EF" w:rsidRPr="00A607D1" w:rsidP="00A607D1" w14:paraId="436BB9FE" w14:textId="6EAC03B9">
      <w:pPr>
        <w:rPr>
          <w:rFonts w:ascii="Times New Roman" w:hAnsi="Times New Roman" w:cs="Times New Roman"/>
        </w:rPr>
      </w:pPr>
      <w:bookmarkStart w:id="19" w:name="_Toc16271334"/>
      <w:bookmarkEnd w:id="18"/>
      <w:r>
        <w:rPr>
          <w:rFonts w:ascii="Times New Roman" w:hAnsi="Times New Roman" w:cs="Times New Roman"/>
        </w:rPr>
        <w:t>The Department</w:t>
      </w:r>
      <w:r w:rsidRPr="00A607D1">
        <w:rPr>
          <w:rFonts w:ascii="Times New Roman" w:hAnsi="Times New Roman" w:cs="Times New Roman"/>
        </w:rPr>
        <w:t xml:space="preserve"> </w:t>
      </w:r>
      <w:r w:rsidRPr="00A607D1" w:rsidR="00586D0D">
        <w:rPr>
          <w:rFonts w:ascii="Times New Roman" w:hAnsi="Times New Roman" w:cs="Times New Roman"/>
        </w:rPr>
        <w:t>estimates that</w:t>
      </w:r>
      <w:r w:rsidR="00A63A6D">
        <w:rPr>
          <w:rFonts w:ascii="Times New Roman" w:hAnsi="Times New Roman" w:cs="Times New Roman"/>
        </w:rPr>
        <w:t xml:space="preserve"> </w:t>
      </w:r>
      <w:r w:rsidR="0009463B">
        <w:rPr>
          <w:rFonts w:ascii="Times New Roman" w:hAnsi="Times New Roman" w:cs="Times New Roman"/>
        </w:rPr>
        <w:t xml:space="preserve">it </w:t>
      </w:r>
      <w:r w:rsidRPr="00A607D1" w:rsidR="00A63A6D">
        <w:rPr>
          <w:rFonts w:ascii="Times New Roman" w:hAnsi="Times New Roman" w:cs="Times New Roman"/>
        </w:rPr>
        <w:t>incurs annual costs of $72,500,000</w:t>
      </w:r>
      <w:r w:rsidRPr="00A607D1" w:rsidR="00586D0D">
        <w:rPr>
          <w:rFonts w:ascii="Times New Roman" w:hAnsi="Times New Roman" w:cs="Times New Roman"/>
        </w:rPr>
        <w:t xml:space="preserve"> in utilizing the information it collects through applications </w:t>
      </w:r>
      <w:r w:rsidRPr="00A607D1" w:rsidR="00DE6B5B">
        <w:rPr>
          <w:rFonts w:ascii="Times New Roman" w:hAnsi="Times New Roman" w:cs="Times New Roman"/>
        </w:rPr>
        <w:t xml:space="preserve">under the </w:t>
      </w:r>
      <w:r w:rsidR="00A63A6D">
        <w:rPr>
          <w:rFonts w:ascii="Times New Roman" w:hAnsi="Times New Roman" w:cs="Times New Roman"/>
        </w:rPr>
        <w:t>Title XVII program.</w:t>
      </w:r>
    </w:p>
    <w:p w:rsidR="006D0BC8" w:rsidP="00A607D1" w14:paraId="485240D8" w14:textId="234B2C73">
      <w:pPr>
        <w:rPr>
          <w:rFonts w:ascii="Times New Roman" w:hAnsi="Times New Roman" w:cs="Times New Roman"/>
        </w:rPr>
      </w:pPr>
      <w:r>
        <w:rPr>
          <w:rFonts w:ascii="Times New Roman" w:hAnsi="Times New Roman" w:cs="Times New Roman"/>
        </w:rPr>
        <w:t>The Department</w:t>
      </w:r>
      <w:r w:rsidR="00AA75C1">
        <w:rPr>
          <w:rFonts w:ascii="Times New Roman" w:hAnsi="Times New Roman" w:cs="Times New Roman"/>
        </w:rPr>
        <w:t xml:space="preserve"> </w:t>
      </w:r>
      <w:r w:rsidRPr="00A607D1" w:rsidR="00586D0D">
        <w:rPr>
          <w:rFonts w:ascii="Times New Roman" w:hAnsi="Times New Roman" w:cs="Times New Roman"/>
        </w:rPr>
        <w:t>derive</w:t>
      </w:r>
      <w:r w:rsidR="00AA75C1">
        <w:rPr>
          <w:rFonts w:ascii="Times New Roman" w:hAnsi="Times New Roman" w:cs="Times New Roman"/>
        </w:rPr>
        <w:t>d</w:t>
      </w:r>
      <w:r w:rsidRPr="00A607D1" w:rsidR="00586D0D">
        <w:rPr>
          <w:rFonts w:ascii="Times New Roman" w:hAnsi="Times New Roman" w:cs="Times New Roman"/>
        </w:rPr>
        <w:t xml:space="preserve"> this estimate from its Cost Estimation Model and from its experience originating loans under the </w:t>
      </w:r>
      <w:r w:rsidRPr="00A607D1" w:rsidR="00ED1F3D">
        <w:rPr>
          <w:rFonts w:ascii="Times New Roman" w:hAnsi="Times New Roman" w:cs="Times New Roman"/>
        </w:rPr>
        <w:t xml:space="preserve">Title XVII </w:t>
      </w:r>
      <w:r w:rsidR="00A63A6D">
        <w:rPr>
          <w:rFonts w:ascii="Times New Roman" w:hAnsi="Times New Roman" w:cs="Times New Roman"/>
        </w:rPr>
        <w:t>p</w:t>
      </w:r>
      <w:r w:rsidRPr="00A607D1" w:rsidR="00A63A6D">
        <w:rPr>
          <w:rFonts w:ascii="Times New Roman" w:hAnsi="Times New Roman" w:cs="Times New Roman"/>
        </w:rPr>
        <w:t>rogram</w:t>
      </w:r>
      <w:r w:rsidRPr="00A607D1" w:rsidR="00586D0D">
        <w:rPr>
          <w:rFonts w:ascii="Times New Roman" w:hAnsi="Times New Roman" w:cs="Times New Roman"/>
        </w:rPr>
        <w:t xml:space="preserve">.  </w:t>
      </w:r>
      <w:r>
        <w:rPr>
          <w:rFonts w:ascii="Times New Roman" w:hAnsi="Times New Roman" w:cs="Times New Roman"/>
        </w:rPr>
        <w:t>DOE</w:t>
      </w:r>
      <w:r w:rsidRPr="00A607D1" w:rsidR="007B0C54">
        <w:rPr>
          <w:rFonts w:ascii="Times New Roman" w:hAnsi="Times New Roman" w:cs="Times New Roman"/>
        </w:rPr>
        <w:t xml:space="preserve"> </w:t>
      </w:r>
      <w:r w:rsidRPr="00A607D1" w:rsidR="00586D0D">
        <w:rPr>
          <w:rFonts w:ascii="Times New Roman" w:hAnsi="Times New Roman" w:cs="Times New Roman"/>
        </w:rPr>
        <w:t xml:space="preserve">most recently updated its Cost Estimation Model in 2021.  </w:t>
      </w:r>
      <w:r w:rsidR="006B7FD8">
        <w:rPr>
          <w:rFonts w:ascii="Times New Roman" w:hAnsi="Times New Roman" w:cs="Times New Roman"/>
        </w:rPr>
        <w:t>The Cost Estimate</w:t>
      </w:r>
      <w:r w:rsidRPr="00A607D1" w:rsidR="00586D0D">
        <w:rPr>
          <w:rFonts w:ascii="Times New Roman" w:hAnsi="Times New Roman" w:cs="Times New Roman"/>
        </w:rPr>
        <w:t xml:space="preserve"> Model </w:t>
      </w:r>
      <w:r w:rsidR="006B7FD8">
        <w:rPr>
          <w:rFonts w:ascii="Times New Roman" w:hAnsi="Times New Roman" w:cs="Times New Roman"/>
        </w:rPr>
        <w:t>suggests</w:t>
      </w:r>
      <w:r w:rsidRPr="00A607D1" w:rsidR="006B7FD8">
        <w:rPr>
          <w:rFonts w:ascii="Times New Roman" w:hAnsi="Times New Roman" w:cs="Times New Roman"/>
        </w:rPr>
        <w:t xml:space="preserve"> </w:t>
      </w:r>
      <w:r w:rsidRPr="00A607D1" w:rsidR="00586D0D">
        <w:rPr>
          <w:rFonts w:ascii="Times New Roman" w:hAnsi="Times New Roman" w:cs="Times New Roman"/>
        </w:rPr>
        <w:t xml:space="preserve">the cost to originate a single loan as $1,450,000 over an assumed 24-month period from receipt of the Application through loan closing.  Annualized, this is $725,000 per Application.  </w:t>
      </w:r>
    </w:p>
    <w:p w:rsidR="003500EF" w:rsidRPr="00A607D1" w:rsidP="00A607D1" w14:paraId="2FA7287D" w14:textId="3C30D620">
      <w:pPr>
        <w:rPr>
          <w:rFonts w:ascii="Times New Roman" w:hAnsi="Times New Roman" w:cs="Times New Roman"/>
          <w:b/>
        </w:rPr>
      </w:pPr>
      <w:r>
        <w:rPr>
          <w:rFonts w:ascii="Times New Roman" w:hAnsi="Times New Roman" w:cs="Times New Roman"/>
        </w:rPr>
        <w:t>Note: t</w:t>
      </w:r>
      <w:r w:rsidR="00637EB4">
        <w:rPr>
          <w:rFonts w:ascii="Times New Roman" w:hAnsi="Times New Roman" w:cs="Times New Roman"/>
        </w:rPr>
        <w:t>h</w:t>
      </w:r>
      <w:r w:rsidRPr="00A607D1" w:rsidR="00586D0D">
        <w:rPr>
          <w:rFonts w:ascii="Times New Roman" w:hAnsi="Times New Roman" w:cs="Times New Roman"/>
        </w:rPr>
        <w:t xml:space="preserve">e circumstances regarding each Application vary greatly, </w:t>
      </w:r>
      <w:r w:rsidR="00637EB4">
        <w:rPr>
          <w:rFonts w:ascii="Times New Roman" w:hAnsi="Times New Roman" w:cs="Times New Roman"/>
        </w:rPr>
        <w:t>therefore DOE</w:t>
      </w:r>
      <w:r w:rsidRPr="00A607D1" w:rsidR="00637EB4">
        <w:rPr>
          <w:rFonts w:ascii="Times New Roman" w:hAnsi="Times New Roman" w:cs="Times New Roman"/>
        </w:rPr>
        <w:t xml:space="preserve"> </w:t>
      </w:r>
      <w:r w:rsidRPr="00A607D1" w:rsidR="00586D0D">
        <w:rPr>
          <w:rFonts w:ascii="Times New Roman" w:hAnsi="Times New Roman" w:cs="Times New Roman"/>
        </w:rPr>
        <w:t>a</w:t>
      </w:r>
      <w:r w:rsidRPr="00A607D1" w:rsidR="00CF0D2C">
        <w:rPr>
          <w:rFonts w:ascii="Times New Roman" w:hAnsi="Times New Roman" w:cs="Times New Roman"/>
        </w:rPr>
        <w:t>scribes</w:t>
      </w:r>
      <w:r w:rsidRPr="00A607D1" w:rsidR="00586D0D">
        <w:rPr>
          <w:rFonts w:ascii="Times New Roman" w:hAnsi="Times New Roman" w:cs="Times New Roman"/>
        </w:rPr>
        <w:t xml:space="preserve"> a +/- 45% confidence level to </w:t>
      </w:r>
      <w:r w:rsidRPr="00A607D1" w:rsidR="00CF0D2C">
        <w:rPr>
          <w:rFonts w:ascii="Times New Roman" w:hAnsi="Times New Roman" w:cs="Times New Roman"/>
        </w:rPr>
        <w:t xml:space="preserve">this </w:t>
      </w:r>
      <w:r w:rsidRPr="00A607D1" w:rsidR="00586D0D">
        <w:rPr>
          <w:rFonts w:ascii="Times New Roman" w:hAnsi="Times New Roman" w:cs="Times New Roman"/>
        </w:rPr>
        <w:t>estimate</w:t>
      </w:r>
      <w:r w:rsidRPr="00A607D1" w:rsidR="00CF0D2C">
        <w:rPr>
          <w:rFonts w:ascii="Times New Roman" w:hAnsi="Times New Roman" w:cs="Times New Roman"/>
        </w:rPr>
        <w:t>, resulting in</w:t>
      </w:r>
      <w:r w:rsidRPr="00A607D1" w:rsidR="00586D0D">
        <w:rPr>
          <w:rFonts w:ascii="Times New Roman" w:hAnsi="Times New Roman" w:cs="Times New Roman"/>
        </w:rPr>
        <w:t xml:space="preserve"> a range of $400,000 to $1,050,000 annually per Application.  Multiplying </w:t>
      </w:r>
      <w:r w:rsidRPr="00A607D1" w:rsidR="00E01DCC">
        <w:rPr>
          <w:rFonts w:ascii="Times New Roman" w:hAnsi="Times New Roman" w:cs="Times New Roman"/>
        </w:rPr>
        <w:t>the middle of that range (</w:t>
      </w:r>
      <w:r w:rsidRPr="00A607D1" w:rsidR="00CF0D2C">
        <w:rPr>
          <w:rFonts w:ascii="Times New Roman" w:hAnsi="Times New Roman" w:cs="Times New Roman"/>
        </w:rPr>
        <w:t>$725,000</w:t>
      </w:r>
      <w:r w:rsidRPr="00A607D1" w:rsidR="00E01DCC">
        <w:rPr>
          <w:rFonts w:ascii="Times New Roman" w:hAnsi="Times New Roman" w:cs="Times New Roman"/>
        </w:rPr>
        <w:t>)</w:t>
      </w:r>
      <w:r w:rsidRPr="00A607D1" w:rsidR="00CF0D2C">
        <w:rPr>
          <w:rFonts w:ascii="Times New Roman" w:hAnsi="Times New Roman" w:cs="Times New Roman"/>
        </w:rPr>
        <w:t xml:space="preserve"> </w:t>
      </w:r>
      <w:r w:rsidRPr="00A607D1" w:rsidR="00586D0D">
        <w:rPr>
          <w:rFonts w:ascii="Times New Roman" w:hAnsi="Times New Roman" w:cs="Times New Roman"/>
        </w:rPr>
        <w:t xml:space="preserve">by </w:t>
      </w:r>
      <w:r>
        <w:rPr>
          <w:rFonts w:ascii="Times New Roman" w:hAnsi="Times New Roman" w:cs="Times New Roman"/>
        </w:rPr>
        <w:t>DOE’s</w:t>
      </w:r>
      <w:r w:rsidRPr="00A607D1" w:rsidR="007B0C54">
        <w:rPr>
          <w:rFonts w:ascii="Times New Roman" w:hAnsi="Times New Roman" w:cs="Times New Roman"/>
        </w:rPr>
        <w:t xml:space="preserve"> </w:t>
      </w:r>
      <w:r w:rsidRPr="00A607D1" w:rsidR="00586D0D">
        <w:rPr>
          <w:rFonts w:ascii="Times New Roman" w:hAnsi="Times New Roman" w:cs="Times New Roman"/>
        </w:rPr>
        <w:t xml:space="preserve">estimate of </w:t>
      </w:r>
      <w:r w:rsidRPr="00A607D1" w:rsidR="004F5DEC">
        <w:rPr>
          <w:rFonts w:ascii="Times New Roman" w:hAnsi="Times New Roman" w:cs="Times New Roman"/>
        </w:rPr>
        <w:t>100</w:t>
      </w:r>
      <w:r w:rsidRPr="00A607D1" w:rsidR="00586D0D">
        <w:rPr>
          <w:rFonts w:ascii="Times New Roman" w:hAnsi="Times New Roman" w:cs="Times New Roman"/>
        </w:rPr>
        <w:t xml:space="preserve"> Applications per year yields </w:t>
      </w:r>
      <w:r w:rsidRPr="00A607D1" w:rsidR="00CF0D2C">
        <w:rPr>
          <w:rFonts w:ascii="Times New Roman" w:hAnsi="Times New Roman" w:cs="Times New Roman"/>
        </w:rPr>
        <w:t>$</w:t>
      </w:r>
      <w:r w:rsidRPr="00A607D1" w:rsidR="003D2065">
        <w:rPr>
          <w:rFonts w:ascii="Times New Roman" w:hAnsi="Times New Roman" w:cs="Times New Roman"/>
        </w:rPr>
        <w:t>72</w:t>
      </w:r>
      <w:r w:rsidRPr="00A607D1" w:rsidR="00CF0D2C">
        <w:rPr>
          <w:rFonts w:ascii="Times New Roman" w:hAnsi="Times New Roman" w:cs="Times New Roman"/>
        </w:rPr>
        <w:t>,</w:t>
      </w:r>
      <w:r w:rsidRPr="00A607D1" w:rsidR="003D2065">
        <w:rPr>
          <w:rFonts w:ascii="Times New Roman" w:hAnsi="Times New Roman" w:cs="Times New Roman"/>
        </w:rPr>
        <w:t>5</w:t>
      </w:r>
      <w:r w:rsidRPr="00A607D1" w:rsidR="00CF0D2C">
        <w:rPr>
          <w:rFonts w:ascii="Times New Roman" w:hAnsi="Times New Roman" w:cs="Times New Roman"/>
        </w:rPr>
        <w:t>00,000</w:t>
      </w:r>
      <w:r w:rsidRPr="00A607D1" w:rsidR="00586D0D">
        <w:rPr>
          <w:rFonts w:ascii="Times New Roman" w:hAnsi="Times New Roman" w:cs="Times New Roman"/>
        </w:rPr>
        <w:t xml:space="preserve"> </w:t>
      </w:r>
      <w:r w:rsidRPr="00A607D1" w:rsidR="00CF0D2C">
        <w:rPr>
          <w:rFonts w:ascii="Times New Roman" w:hAnsi="Times New Roman" w:cs="Times New Roman"/>
        </w:rPr>
        <w:t xml:space="preserve">as its </w:t>
      </w:r>
      <w:r w:rsidRPr="00A607D1" w:rsidR="00586D0D">
        <w:rPr>
          <w:rFonts w:ascii="Times New Roman" w:hAnsi="Times New Roman" w:cs="Times New Roman"/>
        </w:rPr>
        <w:t>estimate of annual cost</w:t>
      </w:r>
      <w:r w:rsidRPr="00A607D1" w:rsidR="00CF0D2C">
        <w:rPr>
          <w:rFonts w:ascii="Times New Roman" w:hAnsi="Times New Roman" w:cs="Times New Roman"/>
        </w:rPr>
        <w:t xml:space="preserve"> (with a confidence range from </w:t>
      </w:r>
      <w:r w:rsidRPr="00A607D1" w:rsidR="00586D0D">
        <w:rPr>
          <w:rFonts w:ascii="Times New Roman" w:hAnsi="Times New Roman" w:cs="Times New Roman"/>
        </w:rPr>
        <w:t>$</w:t>
      </w:r>
      <w:r w:rsidRPr="00A607D1" w:rsidR="00ED1F3D">
        <w:rPr>
          <w:rFonts w:ascii="Times New Roman" w:hAnsi="Times New Roman" w:cs="Times New Roman"/>
        </w:rPr>
        <w:t>3</w:t>
      </w:r>
      <w:r w:rsidRPr="00A607D1" w:rsidR="00586D0D">
        <w:rPr>
          <w:rFonts w:ascii="Times New Roman" w:hAnsi="Times New Roman" w:cs="Times New Roman"/>
        </w:rPr>
        <w:t>6,</w:t>
      </w:r>
      <w:r w:rsidRPr="00A607D1" w:rsidR="00ED1F3D">
        <w:rPr>
          <w:rFonts w:ascii="Times New Roman" w:hAnsi="Times New Roman" w:cs="Times New Roman"/>
        </w:rPr>
        <w:t>8</w:t>
      </w:r>
      <w:r w:rsidRPr="00A607D1" w:rsidR="00586D0D">
        <w:rPr>
          <w:rFonts w:ascii="Times New Roman" w:hAnsi="Times New Roman" w:cs="Times New Roman"/>
        </w:rPr>
        <w:t>00,000 and $</w:t>
      </w:r>
      <w:r w:rsidRPr="00A607D1" w:rsidR="00ED1F3D">
        <w:rPr>
          <w:rFonts w:ascii="Times New Roman" w:hAnsi="Times New Roman" w:cs="Times New Roman"/>
        </w:rPr>
        <w:t>96</w:t>
      </w:r>
      <w:r w:rsidRPr="00A607D1" w:rsidR="00586D0D">
        <w:rPr>
          <w:rFonts w:ascii="Times New Roman" w:hAnsi="Times New Roman" w:cs="Times New Roman"/>
        </w:rPr>
        <w:t>,</w:t>
      </w:r>
      <w:r w:rsidRPr="00A607D1" w:rsidR="00ED1F3D">
        <w:rPr>
          <w:rFonts w:ascii="Times New Roman" w:hAnsi="Times New Roman" w:cs="Times New Roman"/>
        </w:rPr>
        <w:t>6</w:t>
      </w:r>
      <w:r w:rsidRPr="00A607D1" w:rsidR="00586D0D">
        <w:rPr>
          <w:rFonts w:ascii="Times New Roman" w:hAnsi="Times New Roman" w:cs="Times New Roman"/>
        </w:rPr>
        <w:t>00,000</w:t>
      </w:r>
      <w:r w:rsidRPr="00A607D1" w:rsidR="00CF0D2C">
        <w:rPr>
          <w:rFonts w:ascii="Times New Roman" w:hAnsi="Times New Roman" w:cs="Times New Roman"/>
        </w:rPr>
        <w:t>)</w:t>
      </w:r>
      <w:r w:rsidRPr="00A607D1" w:rsidR="00ED1F3D">
        <w:rPr>
          <w:rFonts w:ascii="Times New Roman" w:hAnsi="Times New Roman" w:cs="Times New Roman"/>
        </w:rPr>
        <w:t>.</w:t>
      </w:r>
    </w:p>
    <w:p w:rsidR="006D42EC" w:rsidRPr="00106C21" w:rsidP="005A73A8" w14:paraId="163CD763" w14:textId="7BDB85C1">
      <w:pPr>
        <w:pStyle w:val="Heading2"/>
        <w:rPr>
          <w:rFonts w:ascii="Times New Roman" w:hAnsi="Times New Roman" w:cs="Times New Roman"/>
        </w:rPr>
      </w:pPr>
      <w:r w:rsidRPr="00106C21">
        <w:rPr>
          <w:rFonts w:ascii="Times New Roman" w:hAnsi="Times New Roman" w:cs="Times New Roman"/>
        </w:rPr>
        <w:t>A.</w:t>
      </w:r>
      <w:r w:rsidRPr="00106C21" w:rsidR="00A41763">
        <w:rPr>
          <w:rFonts w:ascii="Times New Roman" w:hAnsi="Times New Roman" w:cs="Times New Roman"/>
        </w:rPr>
        <w:t xml:space="preserve">15. </w:t>
      </w:r>
      <w:r w:rsidRPr="00106C21">
        <w:rPr>
          <w:rFonts w:ascii="Times New Roman" w:hAnsi="Times New Roman" w:cs="Times New Roman"/>
        </w:rPr>
        <w:t>Reasons for Changes in Burden</w:t>
      </w:r>
      <w:bookmarkEnd w:id="19"/>
    </w:p>
    <w:p w:rsidR="00A41763" w:rsidRPr="00106C21" w:rsidP="00A41763" w14:paraId="371F9FF2" w14:textId="77777777">
      <w:pPr>
        <w:rPr>
          <w:rFonts w:ascii="Times New Roman" w:hAnsi="Times New Roman" w:cs="Times New Roman"/>
        </w:rPr>
      </w:pPr>
      <w:bookmarkStart w:id="20" w:name="_Hlk57385469"/>
      <w:r w:rsidRPr="00106C21">
        <w:rPr>
          <w:rFonts w:ascii="Times New Roman" w:hAnsi="Times New Roman" w:cs="Times New Roman"/>
          <w:b/>
          <w:bCs/>
        </w:rPr>
        <w:t xml:space="preserve">Explain the reasons for any program changes or adjustments reported in Items 13 (or 14) of OMB Form 83-I. </w:t>
      </w:r>
    </w:p>
    <w:bookmarkEnd w:id="20"/>
    <w:p w:rsidR="00062967" w:rsidP="00A607D1" w14:paraId="0F8E6BA2" w14:textId="5F2A6927">
      <w:pPr>
        <w:rPr>
          <w:rFonts w:ascii="Times New Roman" w:hAnsi="Times New Roman" w:cs="Times New Roman"/>
        </w:rPr>
      </w:pPr>
      <w:r w:rsidRPr="00A607D1">
        <w:rPr>
          <w:rFonts w:ascii="Times New Roman" w:hAnsi="Times New Roman" w:cs="Times New Roman"/>
        </w:rPr>
        <w:t xml:space="preserve">The </w:t>
      </w:r>
      <w:r w:rsidRPr="00A607D1" w:rsidR="003D2065">
        <w:rPr>
          <w:rFonts w:ascii="Times New Roman" w:hAnsi="Times New Roman" w:cs="Times New Roman"/>
        </w:rPr>
        <w:t xml:space="preserve">revision </w:t>
      </w:r>
      <w:r w:rsidR="00292F47">
        <w:rPr>
          <w:rFonts w:ascii="Times New Roman" w:hAnsi="Times New Roman" w:cs="Times New Roman"/>
        </w:rPr>
        <w:t xml:space="preserve">in burden hours </w:t>
      </w:r>
      <w:r w:rsidRPr="00A607D1" w:rsidR="003D2065">
        <w:rPr>
          <w:rFonts w:ascii="Times New Roman" w:hAnsi="Times New Roman" w:cs="Times New Roman"/>
        </w:rPr>
        <w:t xml:space="preserve">is driven by the elimination </w:t>
      </w:r>
      <w:r w:rsidRPr="00A607D1">
        <w:rPr>
          <w:rFonts w:ascii="Times New Roman" w:hAnsi="Times New Roman" w:cs="Times New Roman"/>
        </w:rPr>
        <w:t xml:space="preserve">of </w:t>
      </w:r>
      <w:r w:rsidR="00387787">
        <w:rPr>
          <w:rFonts w:ascii="Times New Roman" w:hAnsi="Times New Roman" w:cs="Times New Roman"/>
        </w:rPr>
        <w:t xml:space="preserve">the </w:t>
      </w:r>
      <w:r w:rsidRPr="00A607D1">
        <w:rPr>
          <w:rFonts w:ascii="Times New Roman" w:hAnsi="Times New Roman" w:cs="Times New Roman"/>
        </w:rPr>
        <w:t>Community Benefits Plan</w:t>
      </w:r>
      <w:r w:rsidR="00387787">
        <w:rPr>
          <w:rFonts w:ascii="Times New Roman" w:hAnsi="Times New Roman" w:cs="Times New Roman"/>
        </w:rPr>
        <w:t xml:space="preserve"> requirement</w:t>
      </w:r>
      <w:r w:rsidRPr="00A607D1">
        <w:rPr>
          <w:rFonts w:ascii="Times New Roman" w:hAnsi="Times New Roman" w:cs="Times New Roman"/>
        </w:rPr>
        <w:t>.</w:t>
      </w:r>
      <w:r w:rsidR="0080521F">
        <w:rPr>
          <w:rFonts w:ascii="Times New Roman" w:hAnsi="Times New Roman" w:cs="Times New Roman"/>
        </w:rPr>
        <w:t xml:space="preserve"> </w:t>
      </w:r>
      <w:r w:rsidR="00387787">
        <w:rPr>
          <w:rFonts w:ascii="Times New Roman" w:hAnsi="Times New Roman" w:cs="Times New Roman"/>
        </w:rPr>
        <w:t>T</w:t>
      </w:r>
      <w:r w:rsidRPr="0080521F" w:rsidR="0080521F">
        <w:rPr>
          <w:rFonts w:ascii="Times New Roman" w:hAnsi="Times New Roman" w:cs="Times New Roman"/>
        </w:rPr>
        <w:t>he Department will no longer require a Community Benefits Plan</w:t>
      </w:r>
      <w:r w:rsidR="00D17839">
        <w:rPr>
          <w:rFonts w:ascii="Times New Roman" w:hAnsi="Times New Roman" w:cs="Times New Roman"/>
        </w:rPr>
        <w:t xml:space="preserve">, which </w:t>
      </w:r>
      <w:r w:rsidR="00333EF0">
        <w:rPr>
          <w:rFonts w:ascii="Times New Roman" w:hAnsi="Times New Roman" w:cs="Times New Roman"/>
        </w:rPr>
        <w:t>was estimated</w:t>
      </w:r>
      <w:r w:rsidR="00D17839">
        <w:rPr>
          <w:rFonts w:ascii="Times New Roman" w:hAnsi="Times New Roman" w:cs="Times New Roman"/>
        </w:rPr>
        <w:t xml:space="preserve"> </w:t>
      </w:r>
      <w:r w:rsidR="00333EF0">
        <w:rPr>
          <w:rFonts w:ascii="Times New Roman" w:hAnsi="Times New Roman" w:cs="Times New Roman"/>
        </w:rPr>
        <w:t>at</w:t>
      </w:r>
      <w:r w:rsidR="00D17839">
        <w:rPr>
          <w:rFonts w:ascii="Times New Roman" w:hAnsi="Times New Roman" w:cs="Times New Roman"/>
        </w:rPr>
        <w:t xml:space="preserve"> 14 hours per</w:t>
      </w:r>
      <w:r w:rsidR="00333EF0">
        <w:rPr>
          <w:rFonts w:ascii="Times New Roman" w:hAnsi="Times New Roman" w:cs="Times New Roman"/>
        </w:rPr>
        <w:t xml:space="preserve"> application</w:t>
      </w:r>
      <w:r w:rsidRPr="0080521F" w:rsidR="0080521F">
        <w:rPr>
          <w:rFonts w:ascii="Times New Roman" w:hAnsi="Times New Roman" w:cs="Times New Roman"/>
        </w:rPr>
        <w:t>.</w:t>
      </w:r>
      <w:r w:rsidR="009348CC">
        <w:rPr>
          <w:rFonts w:ascii="Times New Roman" w:hAnsi="Times New Roman" w:cs="Times New Roman"/>
        </w:rPr>
        <w:t xml:space="preserve"> </w:t>
      </w:r>
      <w:r w:rsidR="00333EF0">
        <w:rPr>
          <w:rFonts w:ascii="Times New Roman" w:hAnsi="Times New Roman" w:cs="Times New Roman"/>
        </w:rPr>
        <w:t>A</w:t>
      </w:r>
      <w:r w:rsidRPr="009348CC" w:rsidR="009348CC">
        <w:rPr>
          <w:rFonts w:ascii="Times New Roman" w:hAnsi="Times New Roman" w:cs="Times New Roman"/>
        </w:rPr>
        <w:t xml:space="preserve">s explained </w:t>
      </w:r>
      <w:r w:rsidR="009348CC">
        <w:rPr>
          <w:rFonts w:ascii="Times New Roman" w:hAnsi="Times New Roman" w:cs="Times New Roman"/>
        </w:rPr>
        <w:t>above</w:t>
      </w:r>
      <w:r w:rsidRPr="009348CC" w:rsidR="009348CC">
        <w:rPr>
          <w:rFonts w:ascii="Times New Roman" w:hAnsi="Times New Roman" w:cs="Times New Roman"/>
        </w:rPr>
        <w:t xml:space="preserve">, DOE anticipates approximately the same number of respondents to the program. Where DOE once </w:t>
      </w:r>
      <w:r w:rsidR="00C24A64">
        <w:rPr>
          <w:rFonts w:ascii="Times New Roman" w:hAnsi="Times New Roman" w:cs="Times New Roman"/>
        </w:rPr>
        <w:t>assumed</w:t>
      </w:r>
      <w:r w:rsidRPr="009348CC" w:rsidR="00C24A64">
        <w:rPr>
          <w:rFonts w:ascii="Times New Roman" w:hAnsi="Times New Roman" w:cs="Times New Roman"/>
        </w:rPr>
        <w:t xml:space="preserve"> </w:t>
      </w:r>
      <w:r w:rsidR="0008564C">
        <w:rPr>
          <w:rFonts w:ascii="Times New Roman" w:hAnsi="Times New Roman" w:cs="Times New Roman"/>
        </w:rPr>
        <w:t>92</w:t>
      </w:r>
      <w:r w:rsidRPr="009348CC" w:rsidR="0008564C">
        <w:rPr>
          <w:rFonts w:ascii="Times New Roman" w:hAnsi="Times New Roman" w:cs="Times New Roman"/>
        </w:rPr>
        <w:t xml:space="preserve"> </w:t>
      </w:r>
      <w:r w:rsidRPr="009348CC" w:rsidR="009348CC">
        <w:rPr>
          <w:rFonts w:ascii="Times New Roman" w:hAnsi="Times New Roman" w:cs="Times New Roman"/>
        </w:rPr>
        <w:t xml:space="preserve">applicants, it now </w:t>
      </w:r>
      <w:r w:rsidR="00C24A64">
        <w:rPr>
          <w:rFonts w:ascii="Times New Roman" w:hAnsi="Times New Roman" w:cs="Times New Roman"/>
        </w:rPr>
        <w:t>estimates</w:t>
      </w:r>
      <w:r w:rsidRPr="009348CC" w:rsidR="00C24A64">
        <w:rPr>
          <w:rFonts w:ascii="Times New Roman" w:hAnsi="Times New Roman" w:cs="Times New Roman"/>
        </w:rPr>
        <w:t xml:space="preserve"> </w:t>
      </w:r>
      <w:r w:rsidRPr="009348CC" w:rsidR="009348CC">
        <w:rPr>
          <w:rFonts w:ascii="Times New Roman" w:hAnsi="Times New Roman" w:cs="Times New Roman"/>
        </w:rPr>
        <w:t>100 applicants</w:t>
      </w:r>
      <w:r>
        <w:rPr>
          <w:rFonts w:ascii="Times New Roman" w:hAnsi="Times New Roman" w:cs="Times New Roman"/>
        </w:rPr>
        <w:t xml:space="preserve"> given recent appropriations and program expiry dates</w:t>
      </w:r>
      <w:r w:rsidRPr="009348CC" w:rsidR="009348CC">
        <w:rPr>
          <w:rFonts w:ascii="Times New Roman" w:hAnsi="Times New Roman" w:cs="Times New Roman"/>
        </w:rPr>
        <w:t>. DOE anticipates approximately the same number of burden hours to produce an application</w:t>
      </w:r>
      <w:r w:rsidR="00B20B20">
        <w:rPr>
          <w:rFonts w:ascii="Times New Roman" w:hAnsi="Times New Roman" w:cs="Times New Roman"/>
        </w:rPr>
        <w:t xml:space="preserve">, </w:t>
      </w:r>
      <w:r w:rsidR="00B20B20">
        <w:rPr>
          <w:rFonts w:ascii="Times New Roman" w:hAnsi="Times New Roman" w:cs="Times New Roman"/>
        </w:rPr>
        <w:t>and  approximately</w:t>
      </w:r>
      <w:r w:rsidR="00B20B20">
        <w:rPr>
          <w:rFonts w:ascii="Times New Roman" w:hAnsi="Times New Roman" w:cs="Times New Roman"/>
        </w:rPr>
        <w:t xml:space="preserve"> </w:t>
      </w:r>
      <w:r w:rsidR="00EB6366">
        <w:rPr>
          <w:rFonts w:ascii="Times New Roman" w:hAnsi="Times New Roman" w:cs="Times New Roman"/>
        </w:rPr>
        <w:t xml:space="preserve">the same </w:t>
      </w:r>
      <w:r w:rsidR="00B20B20">
        <w:rPr>
          <w:rFonts w:ascii="Times New Roman" w:hAnsi="Times New Roman" w:cs="Times New Roman"/>
        </w:rPr>
        <w:t>number of applicants</w:t>
      </w:r>
      <w:r w:rsidR="006A064B">
        <w:rPr>
          <w:rFonts w:ascii="Times New Roman" w:hAnsi="Times New Roman" w:cs="Times New Roman"/>
        </w:rPr>
        <w:t>.</w:t>
      </w:r>
      <w:r w:rsidR="00B20B20">
        <w:rPr>
          <w:rFonts w:ascii="Times New Roman" w:hAnsi="Times New Roman" w:cs="Times New Roman"/>
        </w:rPr>
        <w:t xml:space="preserve"> </w:t>
      </w:r>
      <w:r w:rsidR="006A064B">
        <w:rPr>
          <w:rFonts w:ascii="Times New Roman" w:hAnsi="Times New Roman" w:cs="Times New Roman"/>
        </w:rPr>
        <w:t>H</w:t>
      </w:r>
      <w:r w:rsidR="00B20B20">
        <w:rPr>
          <w:rFonts w:ascii="Times New Roman" w:hAnsi="Times New Roman" w:cs="Times New Roman"/>
        </w:rPr>
        <w:t xml:space="preserve">owever, </w:t>
      </w:r>
      <w:r w:rsidR="00DD28E0">
        <w:rPr>
          <w:rFonts w:ascii="Times New Roman" w:hAnsi="Times New Roman" w:cs="Times New Roman"/>
        </w:rPr>
        <w:t>there is a net</w:t>
      </w:r>
      <w:r w:rsidR="00B20B20">
        <w:rPr>
          <w:rFonts w:ascii="Times New Roman" w:hAnsi="Times New Roman" w:cs="Times New Roman"/>
        </w:rPr>
        <w:t xml:space="preserve"> </w:t>
      </w:r>
      <w:r w:rsidR="00DD28E0">
        <w:rPr>
          <w:rFonts w:ascii="Times New Roman" w:hAnsi="Times New Roman" w:cs="Times New Roman"/>
        </w:rPr>
        <w:t xml:space="preserve">increase in total </w:t>
      </w:r>
      <w:r w:rsidR="002779BD">
        <w:rPr>
          <w:rFonts w:ascii="Times New Roman" w:hAnsi="Times New Roman" w:cs="Times New Roman"/>
        </w:rPr>
        <w:t xml:space="preserve">time </w:t>
      </w:r>
      <w:r w:rsidR="005C0DFF">
        <w:rPr>
          <w:rFonts w:ascii="Times New Roman" w:hAnsi="Times New Roman" w:cs="Times New Roman"/>
        </w:rPr>
        <w:t>burden</w:t>
      </w:r>
      <w:r w:rsidR="002779BD">
        <w:rPr>
          <w:rFonts w:ascii="Times New Roman" w:hAnsi="Times New Roman" w:cs="Times New Roman"/>
        </w:rPr>
        <w:t>, attributable to the inc</w:t>
      </w:r>
      <w:r w:rsidR="004935C6">
        <w:rPr>
          <w:rFonts w:ascii="Times New Roman" w:hAnsi="Times New Roman" w:cs="Times New Roman"/>
        </w:rPr>
        <w:t>reased number of applicants; and a net increase in total cost burden</w:t>
      </w:r>
      <w:r w:rsidR="005C0DFF">
        <w:rPr>
          <w:rFonts w:ascii="Times New Roman" w:hAnsi="Times New Roman" w:cs="Times New Roman"/>
        </w:rPr>
        <w:t xml:space="preserve"> attributable to increases in employer costs for total employee compensation</w:t>
      </w:r>
      <w:r w:rsidR="006A064B">
        <w:rPr>
          <w:rFonts w:ascii="Times New Roman" w:hAnsi="Times New Roman" w:cs="Times New Roman"/>
        </w:rPr>
        <w:t xml:space="preserve"> from</w:t>
      </w:r>
      <w:r w:rsidR="005C0DFF">
        <w:rPr>
          <w:rFonts w:ascii="Times New Roman" w:hAnsi="Times New Roman" w:cs="Times New Roman"/>
        </w:rPr>
        <w:t xml:space="preserve"> 2020 </w:t>
      </w:r>
      <w:r w:rsidR="006A064B">
        <w:rPr>
          <w:rFonts w:ascii="Times New Roman" w:hAnsi="Times New Roman" w:cs="Times New Roman"/>
        </w:rPr>
        <w:t>to</w:t>
      </w:r>
      <w:r w:rsidR="005C0DFF">
        <w:rPr>
          <w:rFonts w:ascii="Times New Roman" w:hAnsi="Times New Roman" w:cs="Times New Roman"/>
        </w:rPr>
        <w:t xml:space="preserve"> 2025</w:t>
      </w:r>
      <w:r w:rsidR="00956E69">
        <w:rPr>
          <w:rFonts w:ascii="Times New Roman" w:hAnsi="Times New Roman" w:cs="Times New Roman"/>
        </w:rPr>
        <w:t xml:space="preserve"> across all </w:t>
      </w:r>
      <w:r w:rsidRPr="00106C21" w:rsidR="005C0DFF">
        <w:rPr>
          <w:rFonts w:ascii="Times New Roman" w:hAnsi="Times New Roman" w:cs="Times New Roman"/>
        </w:rPr>
        <w:t>occupational categories and functions</w:t>
      </w:r>
      <w:r w:rsidR="00956E69">
        <w:rPr>
          <w:rFonts w:ascii="Times New Roman" w:hAnsi="Times New Roman" w:cs="Times New Roman"/>
        </w:rPr>
        <w:t xml:space="preserve">. </w:t>
      </w:r>
    </w:p>
    <w:p w:rsidR="003500EF" w:rsidRPr="00106C21" w:rsidP="003500EF" w14:paraId="39F8A9F6" w14:textId="4DAB8489">
      <w:pPr>
        <w:spacing w:after="0" w:line="240" w:lineRule="auto"/>
        <w:rPr>
          <w:rFonts w:ascii="Times New Roman" w:eastAsia="Times New Roman" w:hAnsi="Times New Roman" w:cs="Times New Roman"/>
          <w:highlight w:val="yellow"/>
        </w:rPr>
      </w:pPr>
    </w:p>
    <w:tbl>
      <w:tblPr>
        <w:tblW w:w="9360" w:type="dxa"/>
        <w:jc w:val="center"/>
        <w:tblLayout w:type="fixed"/>
        <w:tblCellMar>
          <w:left w:w="115" w:type="dxa"/>
          <w:right w:w="115" w:type="dxa"/>
        </w:tblCellMar>
        <w:tblLook w:val="04A0"/>
      </w:tblPr>
      <w:tblGrid>
        <w:gridCol w:w="1872"/>
        <w:gridCol w:w="1872"/>
        <w:gridCol w:w="1872"/>
        <w:gridCol w:w="1872"/>
        <w:gridCol w:w="1872"/>
      </w:tblGrid>
      <w:tr w14:paraId="094BCB55" w14:textId="25D79C84" w:rsidTr="0080066E">
        <w:tblPrEx>
          <w:tblW w:w="9360" w:type="dxa"/>
          <w:jc w:val="center"/>
          <w:tblLayout w:type="fixed"/>
          <w:tblCellMar>
            <w:left w:w="115" w:type="dxa"/>
            <w:right w:w="115" w:type="dxa"/>
          </w:tblCellMar>
          <w:tblLook w:val="04A0"/>
        </w:tblPrEx>
        <w:trPr>
          <w:trHeight w:val="510"/>
          <w:jc w:val="center"/>
        </w:trPr>
        <w:tc>
          <w:tcPr>
            <w:tcW w:w="1872"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8A7E5F" w:rsidRPr="00106C21" w:rsidP="008F16EC" w14:paraId="2D408BD0" w14:textId="0591F346">
            <w:pPr>
              <w:spacing w:after="0" w:line="240" w:lineRule="auto"/>
              <w:jc w:val="center"/>
              <w:rPr>
                <w:rFonts w:ascii="Times New Roman" w:eastAsia="Times New Roman" w:hAnsi="Times New Roman" w:cs="Times New Roman"/>
                <w:b/>
                <w:bCs/>
                <w:color w:val="FFFFFF"/>
                <w:sz w:val="20"/>
                <w:szCs w:val="20"/>
              </w:rPr>
            </w:pPr>
            <w:bookmarkStart w:id="21" w:name="_Hlk57385531"/>
            <w:r w:rsidRPr="00106C21">
              <w:rPr>
                <w:rFonts w:ascii="Times New Roman" w:eastAsia="Times New Roman" w:hAnsi="Times New Roman" w:cs="Times New Roman"/>
                <w:b/>
                <w:bCs/>
                <w:color w:val="FFFFFF"/>
                <w:sz w:val="20"/>
                <w:szCs w:val="20"/>
              </w:rPr>
              <w:t> </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106C21" w:rsidP="008F16EC" w14:paraId="20407F3C" w14:textId="52BA79EF">
            <w:pPr>
              <w:spacing w:after="0" w:line="240" w:lineRule="auto"/>
              <w:jc w:val="center"/>
              <w:rPr>
                <w:rFonts w:ascii="Times New Roman" w:eastAsia="Times New Roman" w:hAnsi="Times New Roman" w:cs="Times New Roman"/>
                <w:b/>
                <w:bCs/>
                <w:sz w:val="20"/>
                <w:szCs w:val="20"/>
              </w:rPr>
            </w:pPr>
            <w:r w:rsidRPr="00106C21">
              <w:rPr>
                <w:rFonts w:ascii="Times New Roman" w:eastAsia="Times New Roman" w:hAnsi="Times New Roman" w:cs="Times New Roman"/>
                <w:b/>
                <w:bCs/>
                <w:sz w:val="20"/>
                <w:szCs w:val="20"/>
              </w:rPr>
              <w:t>Requested</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106C21" w:rsidP="008F16EC" w14:paraId="655DDE03" w14:textId="1B0A973A">
            <w:pPr>
              <w:spacing w:after="0" w:line="240" w:lineRule="auto"/>
              <w:jc w:val="center"/>
              <w:rPr>
                <w:rFonts w:ascii="Times New Roman" w:eastAsia="Times New Roman" w:hAnsi="Times New Roman" w:cs="Times New Roman"/>
                <w:b/>
                <w:bCs/>
                <w:sz w:val="20"/>
                <w:szCs w:val="20"/>
              </w:rPr>
            </w:pPr>
            <w:r w:rsidRPr="00106C21">
              <w:rPr>
                <w:rFonts w:ascii="Times New Roman" w:eastAsia="Times New Roman" w:hAnsi="Times New Roman" w:cs="Times New Roman"/>
                <w:b/>
                <w:bCs/>
                <w:sz w:val="20"/>
                <w:szCs w:val="20"/>
              </w:rPr>
              <w:t>Program Change Due to Agency Discretion</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106C21" w:rsidP="008F16EC" w14:paraId="5D1B024A" w14:textId="5639DC22">
            <w:pPr>
              <w:spacing w:after="0" w:line="240" w:lineRule="auto"/>
              <w:jc w:val="center"/>
              <w:rPr>
                <w:rFonts w:ascii="Times New Roman" w:eastAsia="Times New Roman" w:hAnsi="Times New Roman" w:cs="Times New Roman"/>
                <w:b/>
                <w:bCs/>
                <w:sz w:val="20"/>
                <w:szCs w:val="20"/>
              </w:rPr>
            </w:pPr>
            <w:r w:rsidRPr="00106C21">
              <w:rPr>
                <w:rFonts w:ascii="Times New Roman" w:eastAsia="Times New Roman" w:hAnsi="Times New Roman" w:cs="Times New Roman"/>
                <w:b/>
                <w:bCs/>
                <w:sz w:val="20"/>
                <w:szCs w:val="20"/>
              </w:rPr>
              <w:t>Change Due to Adjustment in Agency Estimate</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106C21" w:rsidP="008F16EC" w14:paraId="7033AB9E" w14:textId="28A6E623">
            <w:pPr>
              <w:spacing w:after="0" w:line="240" w:lineRule="auto"/>
              <w:jc w:val="center"/>
              <w:rPr>
                <w:rFonts w:ascii="Times New Roman" w:eastAsia="Times New Roman" w:hAnsi="Times New Roman" w:cs="Times New Roman"/>
                <w:b/>
                <w:bCs/>
                <w:sz w:val="20"/>
                <w:szCs w:val="20"/>
              </w:rPr>
            </w:pPr>
            <w:r w:rsidRPr="00106C21">
              <w:rPr>
                <w:rFonts w:ascii="Times New Roman" w:eastAsia="Times New Roman" w:hAnsi="Times New Roman" w:cs="Times New Roman"/>
                <w:b/>
                <w:bCs/>
                <w:sz w:val="20"/>
                <w:szCs w:val="20"/>
              </w:rPr>
              <w:t>Previously Approved</w:t>
            </w:r>
          </w:p>
        </w:tc>
      </w:tr>
      <w:tr w14:paraId="012B505E" w14:textId="08440800" w:rsidTr="0080066E">
        <w:tblPrEx>
          <w:tblW w:w="9360" w:type="dxa"/>
          <w:jc w:val="center"/>
          <w:tblLayout w:type="fixed"/>
          <w:tblCellMar>
            <w:left w:w="115" w:type="dxa"/>
            <w:right w:w="115" w:type="dxa"/>
          </w:tblCellMar>
          <w:tblLook w:val="04A0"/>
        </w:tblPrEx>
        <w:trPr>
          <w:trHeight w:val="525"/>
          <w:jc w:val="center"/>
        </w:trPr>
        <w:tc>
          <w:tcPr>
            <w:tcW w:w="1872" w:type="dxa"/>
            <w:tcBorders>
              <w:top w:val="nil"/>
              <w:left w:val="single" w:sz="4" w:space="0" w:color="auto"/>
              <w:bottom w:val="single" w:sz="4" w:space="0" w:color="auto"/>
              <w:right w:val="single" w:sz="4" w:space="0" w:color="auto"/>
            </w:tcBorders>
            <w:vAlign w:val="center"/>
            <w:hideMark/>
          </w:tcPr>
          <w:p w:rsidR="008A7E5F" w:rsidRPr="00106C21" w:rsidP="008F16EC" w14:paraId="3BC423F7" w14:textId="429A7134">
            <w:pPr>
              <w:spacing w:after="0" w:line="240" w:lineRule="auto"/>
              <w:rPr>
                <w:rFonts w:ascii="Times New Roman" w:eastAsia="Times New Roman" w:hAnsi="Times New Roman" w:cs="Times New Roman"/>
                <w:color w:val="576170"/>
                <w:sz w:val="20"/>
                <w:szCs w:val="20"/>
              </w:rPr>
            </w:pPr>
            <w:r w:rsidRPr="00106C21">
              <w:rPr>
                <w:rFonts w:ascii="Times New Roman" w:eastAsia="Times New Roman" w:hAnsi="Times New Roman" w:cs="Times New Roman"/>
                <w:color w:val="576170"/>
                <w:sz w:val="20"/>
                <w:szCs w:val="20"/>
              </w:rPr>
              <w:t>Total Number of Responses</w:t>
            </w:r>
          </w:p>
        </w:tc>
        <w:tc>
          <w:tcPr>
            <w:tcW w:w="1872" w:type="dxa"/>
            <w:tcBorders>
              <w:top w:val="nil"/>
              <w:left w:val="nil"/>
              <w:bottom w:val="single" w:sz="4" w:space="0" w:color="auto"/>
              <w:right w:val="single" w:sz="4" w:space="0" w:color="auto"/>
            </w:tcBorders>
            <w:vAlign w:val="center"/>
            <w:hideMark/>
          </w:tcPr>
          <w:p w:rsidR="008A7E5F" w:rsidRPr="00106C21" w:rsidP="008F16EC" w14:paraId="6EA49B63" w14:textId="27BB56E7">
            <w:pPr>
              <w:spacing w:after="0" w:line="240" w:lineRule="auto"/>
              <w:rPr>
                <w:rFonts w:ascii="Times New Roman" w:eastAsia="Times New Roman" w:hAnsi="Times New Roman" w:cs="Times New Roman"/>
                <w:color w:val="576170"/>
                <w:sz w:val="20"/>
                <w:szCs w:val="20"/>
              </w:rPr>
            </w:pPr>
            <w:r w:rsidRPr="00106C21">
              <w:rPr>
                <w:rFonts w:ascii="Times New Roman" w:eastAsia="Times New Roman" w:hAnsi="Times New Roman" w:cs="Times New Roman"/>
                <w:color w:val="576170"/>
                <w:sz w:val="20"/>
                <w:szCs w:val="20"/>
              </w:rPr>
              <w:t> </w:t>
            </w:r>
            <w:r w:rsidR="00364CC6">
              <w:rPr>
                <w:rFonts w:ascii="Times New Roman" w:eastAsia="Times New Roman" w:hAnsi="Times New Roman" w:cs="Times New Roman"/>
                <w:color w:val="576170"/>
                <w:sz w:val="20"/>
                <w:szCs w:val="20"/>
              </w:rPr>
              <w:t>100</w:t>
            </w:r>
          </w:p>
        </w:tc>
        <w:tc>
          <w:tcPr>
            <w:tcW w:w="1872" w:type="dxa"/>
            <w:tcBorders>
              <w:top w:val="nil"/>
              <w:left w:val="nil"/>
              <w:bottom w:val="single" w:sz="4" w:space="0" w:color="auto"/>
              <w:right w:val="single" w:sz="4" w:space="0" w:color="auto"/>
            </w:tcBorders>
            <w:vAlign w:val="center"/>
            <w:hideMark/>
          </w:tcPr>
          <w:p w:rsidR="008A7E5F" w:rsidRPr="00106C21" w:rsidP="008F16EC" w14:paraId="3BEA0AF1" w14:textId="1EDBF04F">
            <w:pPr>
              <w:spacing w:after="0" w:line="240" w:lineRule="auto"/>
              <w:rPr>
                <w:rFonts w:ascii="Times New Roman" w:eastAsia="Times New Roman" w:hAnsi="Times New Roman" w:cs="Times New Roman"/>
                <w:color w:val="576170"/>
                <w:sz w:val="20"/>
                <w:szCs w:val="20"/>
              </w:rPr>
            </w:pPr>
            <w:r w:rsidRPr="00106C21">
              <w:rPr>
                <w:rFonts w:ascii="Times New Roman" w:eastAsia="Times New Roman" w:hAnsi="Times New Roman" w:cs="Times New Roman"/>
                <w:color w:val="576170"/>
                <w:sz w:val="20"/>
                <w:szCs w:val="20"/>
              </w:rPr>
              <w:t> </w:t>
            </w:r>
            <w:r w:rsidRPr="00106C21" w:rsidR="00A84162">
              <w:rPr>
                <w:rFonts w:ascii="Times New Roman" w:eastAsia="Times New Roman" w:hAnsi="Times New Roman" w:cs="Times New Roman"/>
                <w:color w:val="576170"/>
                <w:sz w:val="20"/>
                <w:szCs w:val="20"/>
              </w:rPr>
              <w:t>0</w:t>
            </w:r>
          </w:p>
        </w:tc>
        <w:tc>
          <w:tcPr>
            <w:tcW w:w="1872" w:type="dxa"/>
            <w:tcBorders>
              <w:top w:val="nil"/>
              <w:left w:val="nil"/>
              <w:bottom w:val="single" w:sz="4" w:space="0" w:color="auto"/>
              <w:right w:val="single" w:sz="4" w:space="0" w:color="auto"/>
            </w:tcBorders>
            <w:vAlign w:val="center"/>
            <w:hideMark/>
          </w:tcPr>
          <w:p w:rsidR="008A7E5F" w:rsidRPr="00106C21" w:rsidP="008F16EC" w14:paraId="1CB2A1A2" w14:textId="5901B24F">
            <w:pPr>
              <w:spacing w:after="0" w:line="240" w:lineRule="auto"/>
              <w:rPr>
                <w:rFonts w:ascii="Times New Roman" w:eastAsia="Times New Roman" w:hAnsi="Times New Roman" w:cs="Times New Roman"/>
                <w:color w:val="576170"/>
                <w:sz w:val="20"/>
                <w:szCs w:val="20"/>
              </w:rPr>
            </w:pPr>
            <w:r w:rsidRPr="00106C21">
              <w:rPr>
                <w:rFonts w:ascii="Times New Roman" w:eastAsia="Times New Roman" w:hAnsi="Times New Roman" w:cs="Times New Roman"/>
                <w:color w:val="576170"/>
                <w:sz w:val="20"/>
                <w:szCs w:val="20"/>
              </w:rPr>
              <w:t> </w:t>
            </w:r>
            <w:r w:rsidR="001278A3">
              <w:rPr>
                <w:rFonts w:ascii="Times New Roman" w:eastAsia="Times New Roman" w:hAnsi="Times New Roman" w:cs="Times New Roman"/>
                <w:color w:val="576170"/>
                <w:sz w:val="20"/>
                <w:szCs w:val="20"/>
              </w:rPr>
              <w:t>+8</w:t>
            </w:r>
            <w:r w:rsidR="0000743A">
              <w:rPr>
                <w:rFonts w:ascii="Times New Roman" w:eastAsia="Times New Roman" w:hAnsi="Times New Roman" w:cs="Times New Roman"/>
                <w:color w:val="576170"/>
                <w:sz w:val="20"/>
                <w:szCs w:val="20"/>
              </w:rPr>
              <w:t xml:space="preserve"> responses</w:t>
            </w:r>
          </w:p>
        </w:tc>
        <w:tc>
          <w:tcPr>
            <w:tcW w:w="1872" w:type="dxa"/>
            <w:tcBorders>
              <w:top w:val="nil"/>
              <w:left w:val="nil"/>
              <w:bottom w:val="single" w:sz="4" w:space="0" w:color="auto"/>
              <w:right w:val="single" w:sz="4" w:space="0" w:color="auto"/>
            </w:tcBorders>
            <w:vAlign w:val="center"/>
            <w:hideMark/>
          </w:tcPr>
          <w:p w:rsidR="008A7E5F" w:rsidRPr="00106C21" w:rsidP="008F16EC" w14:paraId="0BEF94C7" w14:textId="178F0CFB">
            <w:pPr>
              <w:spacing w:after="0" w:line="240" w:lineRule="auto"/>
              <w:rPr>
                <w:rFonts w:ascii="Times New Roman" w:eastAsia="Times New Roman" w:hAnsi="Times New Roman" w:cs="Times New Roman"/>
                <w:color w:val="576170"/>
                <w:sz w:val="20"/>
                <w:szCs w:val="20"/>
              </w:rPr>
            </w:pPr>
            <w:r>
              <w:rPr>
                <w:rFonts w:ascii="Times New Roman" w:eastAsia="Times New Roman" w:hAnsi="Times New Roman" w:cs="Times New Roman"/>
                <w:color w:val="576170"/>
                <w:sz w:val="20"/>
                <w:szCs w:val="20"/>
              </w:rPr>
              <w:t>92</w:t>
            </w:r>
          </w:p>
        </w:tc>
      </w:tr>
      <w:tr w14:paraId="1464B5B9" w14:textId="3B7AC8BD" w:rsidTr="0080066E">
        <w:tblPrEx>
          <w:tblW w:w="9360" w:type="dxa"/>
          <w:jc w:val="center"/>
          <w:tblLayout w:type="fixed"/>
          <w:tblCellMar>
            <w:left w:w="115" w:type="dxa"/>
            <w:right w:w="115" w:type="dxa"/>
          </w:tblCellMar>
          <w:tblLook w:val="04A0"/>
        </w:tblPrEx>
        <w:trPr>
          <w:trHeight w:val="525"/>
          <w:jc w:val="center"/>
        </w:trPr>
        <w:tc>
          <w:tcPr>
            <w:tcW w:w="1872" w:type="dxa"/>
            <w:tcBorders>
              <w:top w:val="single" w:sz="4" w:space="0" w:color="auto"/>
              <w:left w:val="single" w:sz="4" w:space="0" w:color="auto"/>
              <w:bottom w:val="single" w:sz="4" w:space="0" w:color="auto"/>
              <w:right w:val="single" w:sz="4" w:space="0" w:color="auto"/>
            </w:tcBorders>
            <w:vAlign w:val="center"/>
            <w:hideMark/>
          </w:tcPr>
          <w:p w:rsidR="008A7E5F" w:rsidRPr="00106C21" w:rsidP="008F16EC" w14:paraId="75B6D0DB" w14:textId="1902E4DB">
            <w:pPr>
              <w:spacing w:after="0" w:line="240" w:lineRule="auto"/>
              <w:rPr>
                <w:rFonts w:ascii="Times New Roman" w:eastAsia="Times New Roman" w:hAnsi="Times New Roman" w:cs="Times New Roman"/>
                <w:color w:val="576170"/>
                <w:sz w:val="20"/>
                <w:szCs w:val="20"/>
              </w:rPr>
            </w:pPr>
            <w:r w:rsidRPr="00106C21">
              <w:rPr>
                <w:rFonts w:ascii="Times New Roman" w:eastAsia="Times New Roman" w:hAnsi="Times New Roman" w:cs="Times New Roman"/>
                <w:color w:val="576170"/>
                <w:sz w:val="20"/>
                <w:szCs w:val="20"/>
              </w:rPr>
              <w:t>Total Time Burden (</w:t>
            </w:r>
            <w:r w:rsidRPr="00106C21">
              <w:rPr>
                <w:rFonts w:ascii="Times New Roman" w:eastAsia="Times New Roman" w:hAnsi="Times New Roman" w:cs="Times New Roman"/>
                <w:color w:val="576170"/>
                <w:sz w:val="20"/>
                <w:szCs w:val="20"/>
              </w:rPr>
              <w:t>Hr</w:t>
            </w:r>
            <w:r w:rsidRPr="00106C21">
              <w:rPr>
                <w:rFonts w:ascii="Times New Roman" w:eastAsia="Times New Roman" w:hAnsi="Times New Roman" w:cs="Times New Roman"/>
                <w:color w:val="576170"/>
                <w:sz w:val="20"/>
                <w:szCs w:val="20"/>
              </w:rPr>
              <w:t>)</w:t>
            </w:r>
          </w:p>
        </w:tc>
        <w:tc>
          <w:tcPr>
            <w:tcW w:w="1872" w:type="dxa"/>
            <w:tcBorders>
              <w:top w:val="single" w:sz="4" w:space="0" w:color="auto"/>
              <w:left w:val="nil"/>
              <w:bottom w:val="single" w:sz="4" w:space="0" w:color="auto"/>
              <w:right w:val="single" w:sz="4" w:space="0" w:color="auto"/>
            </w:tcBorders>
            <w:vAlign w:val="center"/>
            <w:hideMark/>
          </w:tcPr>
          <w:p w:rsidR="008A7E5F" w:rsidRPr="00106C21" w:rsidP="008F16EC" w14:paraId="01774FEF" w14:textId="31226B19">
            <w:pPr>
              <w:spacing w:after="0" w:line="240" w:lineRule="auto"/>
              <w:rPr>
                <w:rFonts w:ascii="Times New Roman" w:eastAsia="Times New Roman" w:hAnsi="Times New Roman" w:cs="Times New Roman"/>
                <w:color w:val="576170"/>
                <w:sz w:val="20"/>
                <w:szCs w:val="20"/>
              </w:rPr>
            </w:pPr>
            <w:r>
              <w:rPr>
                <w:rFonts w:ascii="Times New Roman" w:eastAsia="Times New Roman" w:hAnsi="Times New Roman" w:cs="Times New Roman"/>
                <w:color w:val="576170"/>
                <w:sz w:val="20"/>
                <w:szCs w:val="20"/>
              </w:rPr>
              <w:t>13,250</w:t>
            </w:r>
          </w:p>
        </w:tc>
        <w:tc>
          <w:tcPr>
            <w:tcW w:w="1872" w:type="dxa"/>
            <w:tcBorders>
              <w:top w:val="single" w:sz="4" w:space="0" w:color="auto"/>
              <w:left w:val="nil"/>
              <w:bottom w:val="single" w:sz="4" w:space="0" w:color="auto"/>
              <w:right w:val="single" w:sz="4" w:space="0" w:color="auto"/>
            </w:tcBorders>
            <w:vAlign w:val="center"/>
            <w:hideMark/>
          </w:tcPr>
          <w:p w:rsidR="008A7E5F" w:rsidRPr="00106C21" w:rsidP="008F16EC" w14:paraId="594231E7" w14:textId="106F612E">
            <w:pPr>
              <w:spacing w:after="0" w:line="240" w:lineRule="auto"/>
              <w:rPr>
                <w:rFonts w:ascii="Times New Roman" w:eastAsia="Times New Roman" w:hAnsi="Times New Roman" w:cs="Times New Roman"/>
                <w:color w:val="576170"/>
                <w:sz w:val="20"/>
                <w:szCs w:val="20"/>
              </w:rPr>
            </w:pPr>
            <w:r w:rsidRPr="00106C21">
              <w:rPr>
                <w:rFonts w:ascii="Times New Roman" w:eastAsia="Times New Roman" w:hAnsi="Times New Roman" w:cs="Times New Roman"/>
                <w:color w:val="576170"/>
                <w:sz w:val="20"/>
                <w:szCs w:val="20"/>
              </w:rPr>
              <w:t> </w:t>
            </w:r>
            <w:r w:rsidR="007F79F9">
              <w:rPr>
                <w:rFonts w:ascii="Times New Roman" w:eastAsia="Times New Roman" w:hAnsi="Times New Roman" w:cs="Times New Roman"/>
                <w:color w:val="576170"/>
                <w:sz w:val="20"/>
                <w:szCs w:val="20"/>
              </w:rPr>
              <w:t>0</w:t>
            </w:r>
          </w:p>
        </w:tc>
        <w:tc>
          <w:tcPr>
            <w:tcW w:w="1872" w:type="dxa"/>
            <w:tcBorders>
              <w:top w:val="single" w:sz="4" w:space="0" w:color="auto"/>
              <w:left w:val="nil"/>
              <w:bottom w:val="single" w:sz="4" w:space="0" w:color="auto"/>
              <w:right w:val="single" w:sz="4" w:space="0" w:color="auto"/>
            </w:tcBorders>
            <w:vAlign w:val="center"/>
            <w:hideMark/>
          </w:tcPr>
          <w:p w:rsidR="008A7E5F" w:rsidRPr="00106C21" w:rsidP="008F16EC" w14:paraId="5B815FF5" w14:textId="226C463A">
            <w:pPr>
              <w:spacing w:after="0" w:line="240" w:lineRule="auto"/>
              <w:rPr>
                <w:rFonts w:ascii="Times New Roman" w:eastAsia="Times New Roman" w:hAnsi="Times New Roman" w:cs="Times New Roman"/>
                <w:color w:val="576170"/>
                <w:sz w:val="20"/>
                <w:szCs w:val="20"/>
              </w:rPr>
            </w:pPr>
            <w:r>
              <w:rPr>
                <w:rFonts w:ascii="Times New Roman" w:eastAsia="Times New Roman" w:hAnsi="Times New Roman" w:cs="Times New Roman"/>
                <w:color w:val="576170"/>
                <w:sz w:val="20"/>
                <w:szCs w:val="20"/>
              </w:rPr>
              <w:t>+</w:t>
            </w:r>
            <w:r w:rsidRPr="00106C21" w:rsidR="00586D0D">
              <w:rPr>
                <w:rFonts w:ascii="Times New Roman" w:eastAsia="Times New Roman" w:hAnsi="Times New Roman" w:cs="Times New Roman"/>
                <w:color w:val="576170"/>
                <w:sz w:val="20"/>
                <w:szCs w:val="20"/>
              </w:rPr>
              <w:t> </w:t>
            </w:r>
            <w:r w:rsidRPr="009C65A2">
              <w:rPr>
                <w:rFonts w:ascii="Times New Roman" w:eastAsia="Times New Roman" w:hAnsi="Times New Roman" w:cs="Times New Roman"/>
                <w:color w:val="576170"/>
                <w:sz w:val="20"/>
                <w:szCs w:val="20"/>
              </w:rPr>
              <w:t>1,060</w:t>
            </w:r>
          </w:p>
        </w:tc>
        <w:tc>
          <w:tcPr>
            <w:tcW w:w="1872" w:type="dxa"/>
            <w:tcBorders>
              <w:top w:val="single" w:sz="4" w:space="0" w:color="auto"/>
              <w:left w:val="nil"/>
              <w:bottom w:val="single" w:sz="4" w:space="0" w:color="auto"/>
              <w:right w:val="single" w:sz="4" w:space="0" w:color="auto"/>
            </w:tcBorders>
            <w:vAlign w:val="center"/>
            <w:hideMark/>
          </w:tcPr>
          <w:p w:rsidR="008A7E5F" w:rsidRPr="00106C21" w:rsidP="008F16EC" w14:paraId="0D4B14AC" w14:textId="2ECEE3C8">
            <w:pPr>
              <w:spacing w:after="0" w:line="240" w:lineRule="auto"/>
              <w:rPr>
                <w:rFonts w:ascii="Times New Roman" w:eastAsia="Times New Roman" w:hAnsi="Times New Roman" w:cs="Times New Roman"/>
                <w:color w:val="576170"/>
                <w:sz w:val="20"/>
                <w:szCs w:val="20"/>
              </w:rPr>
            </w:pPr>
            <w:r w:rsidRPr="00106C21">
              <w:rPr>
                <w:rFonts w:ascii="Times New Roman" w:eastAsia="Times New Roman" w:hAnsi="Times New Roman" w:cs="Times New Roman"/>
                <w:color w:val="576170"/>
                <w:sz w:val="20"/>
                <w:szCs w:val="20"/>
              </w:rPr>
              <w:t> </w:t>
            </w:r>
            <w:r w:rsidRPr="009C65A2" w:rsidR="009C65A2">
              <w:rPr>
                <w:rFonts w:ascii="Times New Roman" w:eastAsia="Times New Roman" w:hAnsi="Times New Roman" w:cs="Times New Roman"/>
                <w:color w:val="576170"/>
                <w:sz w:val="20"/>
                <w:szCs w:val="20"/>
              </w:rPr>
              <w:t>12,190</w:t>
            </w:r>
          </w:p>
        </w:tc>
      </w:tr>
      <w:tr w14:paraId="5D31347B" w14:textId="26415620" w:rsidTr="0080066E">
        <w:tblPrEx>
          <w:tblW w:w="9360" w:type="dxa"/>
          <w:jc w:val="center"/>
          <w:tblLayout w:type="fixed"/>
          <w:tblCellMar>
            <w:left w:w="115" w:type="dxa"/>
            <w:right w:w="115" w:type="dxa"/>
          </w:tblCellMar>
          <w:tblLook w:val="04A0"/>
        </w:tblPrEx>
        <w:trPr>
          <w:trHeight w:val="525"/>
          <w:jc w:val="center"/>
        </w:trPr>
        <w:tc>
          <w:tcPr>
            <w:tcW w:w="1872" w:type="dxa"/>
            <w:tcBorders>
              <w:top w:val="single" w:sz="4" w:space="0" w:color="auto"/>
              <w:left w:val="single" w:sz="4" w:space="0" w:color="auto"/>
              <w:bottom w:val="single" w:sz="4" w:space="0" w:color="auto"/>
              <w:right w:val="single" w:sz="4" w:space="0" w:color="auto"/>
            </w:tcBorders>
            <w:vAlign w:val="center"/>
          </w:tcPr>
          <w:p w:rsidR="00144760" w:rsidRPr="00106C21" w:rsidP="008F16EC" w14:paraId="769C2643" w14:textId="27F3B56E">
            <w:pPr>
              <w:spacing w:after="0" w:line="240" w:lineRule="auto"/>
              <w:rPr>
                <w:rFonts w:ascii="Times New Roman" w:eastAsia="Times New Roman" w:hAnsi="Times New Roman" w:cs="Times New Roman"/>
                <w:color w:val="576170"/>
                <w:sz w:val="20"/>
                <w:szCs w:val="20"/>
              </w:rPr>
            </w:pPr>
            <w:r w:rsidRPr="00106C21">
              <w:rPr>
                <w:rFonts w:ascii="Times New Roman" w:eastAsia="Times New Roman" w:hAnsi="Times New Roman" w:cs="Times New Roman"/>
                <w:color w:val="576170"/>
                <w:sz w:val="20"/>
                <w:szCs w:val="20"/>
              </w:rPr>
              <w:t>Total Cost Burden</w:t>
            </w:r>
          </w:p>
        </w:tc>
        <w:tc>
          <w:tcPr>
            <w:tcW w:w="1872" w:type="dxa"/>
            <w:tcBorders>
              <w:top w:val="single" w:sz="4" w:space="0" w:color="auto"/>
              <w:left w:val="nil"/>
              <w:bottom w:val="single" w:sz="4" w:space="0" w:color="auto"/>
              <w:right w:val="single" w:sz="4" w:space="0" w:color="auto"/>
            </w:tcBorders>
            <w:vAlign w:val="center"/>
          </w:tcPr>
          <w:p w:rsidR="00144760" w:rsidRPr="00106C21" w:rsidP="008F16EC" w14:paraId="5F74D10C" w14:textId="520538C9">
            <w:pPr>
              <w:spacing w:after="0" w:line="240" w:lineRule="auto"/>
              <w:rPr>
                <w:rFonts w:ascii="Times New Roman" w:eastAsia="Times New Roman" w:hAnsi="Times New Roman" w:cs="Times New Roman"/>
                <w:color w:val="576170"/>
                <w:sz w:val="20"/>
                <w:szCs w:val="20"/>
                <w:highlight w:val="yellow"/>
              </w:rPr>
            </w:pPr>
            <w:r w:rsidRPr="0058622B">
              <w:rPr>
                <w:rFonts w:ascii="Times New Roman" w:eastAsia="Times New Roman" w:hAnsi="Times New Roman" w:cs="Times New Roman"/>
                <w:color w:val="576170"/>
                <w:sz w:val="20"/>
                <w:szCs w:val="20"/>
              </w:rPr>
              <w:t>$</w:t>
            </w:r>
            <w:r w:rsidR="002B2D03">
              <w:rPr>
                <w:rFonts w:ascii="Times New Roman" w:eastAsia="Times New Roman" w:hAnsi="Times New Roman" w:cs="Times New Roman"/>
                <w:color w:val="576170"/>
                <w:sz w:val="20"/>
                <w:szCs w:val="20"/>
              </w:rPr>
              <w:t>3,371,100</w:t>
            </w:r>
            <w:r w:rsidR="00165CAE">
              <w:rPr>
                <w:rFonts w:ascii="Times New Roman" w:eastAsia="Times New Roman" w:hAnsi="Times New Roman" w:cs="Times New Roman"/>
                <w:color w:val="576170"/>
                <w:sz w:val="20"/>
                <w:szCs w:val="20"/>
              </w:rPr>
              <w:t xml:space="preserve"> </w:t>
            </w:r>
          </w:p>
        </w:tc>
        <w:tc>
          <w:tcPr>
            <w:tcW w:w="1872" w:type="dxa"/>
            <w:tcBorders>
              <w:top w:val="single" w:sz="4" w:space="0" w:color="auto"/>
              <w:left w:val="nil"/>
              <w:bottom w:val="single" w:sz="4" w:space="0" w:color="auto"/>
              <w:right w:val="single" w:sz="4" w:space="0" w:color="auto"/>
            </w:tcBorders>
            <w:vAlign w:val="center"/>
          </w:tcPr>
          <w:p w:rsidR="00144760" w:rsidRPr="00106C21" w:rsidP="008F16EC" w14:paraId="1F84AB2E" w14:textId="352F7AD7">
            <w:pPr>
              <w:spacing w:after="0" w:line="240" w:lineRule="auto"/>
              <w:rPr>
                <w:rFonts w:ascii="Times New Roman" w:eastAsia="Times New Roman" w:hAnsi="Times New Roman" w:cs="Times New Roman"/>
                <w:color w:val="576170"/>
                <w:sz w:val="20"/>
                <w:szCs w:val="20"/>
              </w:rPr>
            </w:pPr>
            <w:r w:rsidRPr="00106C21">
              <w:rPr>
                <w:rFonts w:ascii="Times New Roman" w:eastAsia="Times New Roman" w:hAnsi="Times New Roman" w:cs="Times New Roman"/>
                <w:color w:val="576170"/>
                <w:sz w:val="20"/>
                <w:szCs w:val="20"/>
              </w:rPr>
              <w:t>0</w:t>
            </w:r>
          </w:p>
        </w:tc>
        <w:tc>
          <w:tcPr>
            <w:tcW w:w="1872" w:type="dxa"/>
            <w:tcBorders>
              <w:top w:val="single" w:sz="4" w:space="0" w:color="auto"/>
              <w:left w:val="nil"/>
              <w:bottom w:val="single" w:sz="4" w:space="0" w:color="auto"/>
              <w:right w:val="single" w:sz="4" w:space="0" w:color="auto"/>
            </w:tcBorders>
            <w:vAlign w:val="center"/>
          </w:tcPr>
          <w:p w:rsidR="00144760" w:rsidRPr="00106C21" w:rsidP="008F16EC" w14:paraId="3FA7B3D1" w14:textId="2D605BA6">
            <w:pPr>
              <w:spacing w:after="0" w:line="240" w:lineRule="auto"/>
              <w:rPr>
                <w:rFonts w:ascii="Times New Roman" w:eastAsia="Times New Roman" w:hAnsi="Times New Roman" w:cs="Times New Roman"/>
                <w:color w:val="576170"/>
                <w:sz w:val="20"/>
                <w:szCs w:val="20"/>
              </w:rPr>
            </w:pPr>
            <w:r>
              <w:rPr>
                <w:rFonts w:ascii="Times New Roman" w:eastAsia="Times New Roman" w:hAnsi="Times New Roman" w:cs="Times New Roman"/>
                <w:color w:val="576170"/>
                <w:sz w:val="20"/>
                <w:szCs w:val="20"/>
              </w:rPr>
              <w:t>+</w:t>
            </w:r>
            <w:r w:rsidRPr="00106C21" w:rsidR="00586D0D">
              <w:rPr>
                <w:rFonts w:ascii="Times New Roman" w:eastAsia="Times New Roman" w:hAnsi="Times New Roman" w:cs="Times New Roman"/>
                <w:color w:val="576170"/>
                <w:sz w:val="20"/>
                <w:szCs w:val="20"/>
              </w:rPr>
              <w:t>$</w:t>
            </w:r>
            <w:r w:rsidRPr="009C65A2" w:rsidR="009C65A2">
              <w:rPr>
                <w:rFonts w:ascii="Times New Roman" w:eastAsia="Times New Roman" w:hAnsi="Times New Roman" w:cs="Times New Roman"/>
                <w:color w:val="576170"/>
                <w:sz w:val="20"/>
                <w:szCs w:val="20"/>
              </w:rPr>
              <w:t>880,200</w:t>
            </w:r>
          </w:p>
        </w:tc>
        <w:tc>
          <w:tcPr>
            <w:tcW w:w="1872" w:type="dxa"/>
            <w:tcBorders>
              <w:top w:val="single" w:sz="4" w:space="0" w:color="auto"/>
              <w:left w:val="nil"/>
              <w:bottom w:val="single" w:sz="4" w:space="0" w:color="auto"/>
              <w:right w:val="single" w:sz="4" w:space="0" w:color="auto"/>
            </w:tcBorders>
            <w:vAlign w:val="center"/>
          </w:tcPr>
          <w:p w:rsidR="00144760" w:rsidRPr="00106C21" w:rsidP="008F16EC" w14:paraId="1FAA23EE" w14:textId="487BCD18">
            <w:pPr>
              <w:spacing w:after="0" w:line="240" w:lineRule="auto"/>
              <w:rPr>
                <w:rFonts w:ascii="Times New Roman" w:eastAsia="Times New Roman" w:hAnsi="Times New Roman" w:cs="Times New Roman"/>
                <w:color w:val="576170"/>
                <w:sz w:val="20"/>
                <w:szCs w:val="20"/>
              </w:rPr>
            </w:pPr>
            <w:r w:rsidRPr="00106C21">
              <w:rPr>
                <w:rFonts w:ascii="Times New Roman" w:eastAsia="Times New Roman" w:hAnsi="Times New Roman" w:cs="Times New Roman"/>
                <w:color w:val="576170"/>
                <w:sz w:val="20"/>
                <w:szCs w:val="20"/>
              </w:rPr>
              <w:t>$</w:t>
            </w:r>
            <w:r w:rsidRPr="009C65A2" w:rsidR="009C65A2">
              <w:rPr>
                <w:rFonts w:ascii="Times New Roman" w:eastAsia="Times New Roman" w:hAnsi="Times New Roman" w:cs="Times New Roman"/>
                <w:color w:val="576170"/>
                <w:sz w:val="20"/>
                <w:szCs w:val="20"/>
              </w:rPr>
              <w:t>2,490,900</w:t>
            </w:r>
          </w:p>
        </w:tc>
      </w:tr>
      <w:bookmarkEnd w:id="21"/>
    </w:tbl>
    <w:p w:rsidR="00D854D8" w:rsidRPr="00106C21" w:rsidP="00A41763" w14:paraId="43B7366A" w14:textId="4A8EFF31">
      <w:pPr>
        <w:rPr>
          <w:rFonts w:ascii="Times New Roman" w:hAnsi="Times New Roman" w:cs="Times New Roman"/>
        </w:rPr>
      </w:pPr>
    </w:p>
    <w:p w:rsidR="00F056C3" w:rsidRPr="00106C21" w:rsidP="005A73A8" w14:paraId="66AF5147" w14:textId="77777777">
      <w:pPr>
        <w:pStyle w:val="Heading2"/>
        <w:rPr>
          <w:rFonts w:ascii="Times New Roman" w:hAnsi="Times New Roman" w:cs="Times New Roman"/>
        </w:rPr>
      </w:pPr>
      <w:bookmarkStart w:id="22" w:name="_Toc16271335"/>
      <w:r w:rsidRPr="00106C21">
        <w:rPr>
          <w:rFonts w:ascii="Times New Roman" w:hAnsi="Times New Roman" w:cs="Times New Roman"/>
        </w:rPr>
        <w:t>A.</w:t>
      </w:r>
      <w:r w:rsidRPr="00106C21" w:rsidR="00A41763">
        <w:rPr>
          <w:rFonts w:ascii="Times New Roman" w:hAnsi="Times New Roman" w:cs="Times New Roman"/>
        </w:rPr>
        <w:t xml:space="preserve">16. </w:t>
      </w:r>
      <w:r w:rsidRPr="00106C21">
        <w:rPr>
          <w:rFonts w:ascii="Times New Roman" w:hAnsi="Times New Roman" w:cs="Times New Roman"/>
        </w:rPr>
        <w:t>Collection, Tabulation, and Publication Plans</w:t>
      </w:r>
      <w:bookmarkEnd w:id="22"/>
      <w:r w:rsidRPr="00106C21">
        <w:rPr>
          <w:rFonts w:ascii="Times New Roman" w:hAnsi="Times New Roman" w:cs="Times New Roman"/>
        </w:rPr>
        <w:t xml:space="preserve"> </w:t>
      </w:r>
    </w:p>
    <w:p w:rsidR="00A41763" w:rsidRPr="00106C21" w:rsidP="00A41763" w14:paraId="6ECE09A6" w14:textId="77777777">
      <w:pPr>
        <w:rPr>
          <w:rFonts w:ascii="Times New Roman" w:hAnsi="Times New Roman" w:cs="Times New Roman"/>
        </w:rPr>
      </w:pPr>
      <w:bookmarkStart w:id="23" w:name="_Hlk57385487"/>
      <w:r w:rsidRPr="00106C21">
        <w:rPr>
          <w:rFonts w:ascii="Times New Roman" w:hAnsi="Times New Roman" w:cs="Times New Roman"/>
          <w:b/>
          <w:bCs/>
        </w:rPr>
        <w:t xml:space="preserve">For collections whose results will be published, outline the plans for tabulation and publication. </w:t>
      </w:r>
    </w:p>
    <w:bookmarkEnd w:id="23"/>
    <w:p w:rsidR="003500EF" w:rsidRPr="00106C21" w:rsidP="003500EF" w14:paraId="2FCC4745" w14:textId="2303CDF1">
      <w:pPr>
        <w:spacing w:after="0" w:line="240" w:lineRule="auto"/>
        <w:rPr>
          <w:rFonts w:ascii="Times New Roman" w:eastAsia="Times New Roman" w:hAnsi="Times New Roman" w:cs="Times New Roman"/>
        </w:rPr>
      </w:pPr>
      <w:r w:rsidRPr="00106C21">
        <w:rPr>
          <w:rFonts w:ascii="Times New Roman" w:eastAsia="Times New Roman" w:hAnsi="Times New Roman" w:cs="Times New Roman"/>
        </w:rPr>
        <w:t>The</w:t>
      </w:r>
      <w:r w:rsidR="00F31585">
        <w:rPr>
          <w:rFonts w:ascii="Times New Roman" w:eastAsia="Times New Roman" w:hAnsi="Times New Roman" w:cs="Times New Roman"/>
        </w:rPr>
        <w:t xml:space="preserve"> Department does not intend to publish</w:t>
      </w:r>
      <w:r w:rsidR="00607BB2">
        <w:rPr>
          <w:rFonts w:ascii="Times New Roman" w:eastAsia="Times New Roman" w:hAnsi="Times New Roman" w:cs="Times New Roman"/>
        </w:rPr>
        <w:t xml:space="preserve"> the</w:t>
      </w:r>
      <w:r w:rsidRPr="00106C21">
        <w:rPr>
          <w:rFonts w:ascii="Times New Roman" w:eastAsia="Times New Roman" w:hAnsi="Times New Roman" w:cs="Times New Roman"/>
        </w:rPr>
        <w:t xml:space="preserve"> information collected </w:t>
      </w:r>
      <w:r w:rsidR="00607BB2">
        <w:rPr>
          <w:rFonts w:ascii="Times New Roman" w:eastAsia="Times New Roman" w:hAnsi="Times New Roman" w:cs="Times New Roman"/>
        </w:rPr>
        <w:t xml:space="preserve">for statistical use. </w:t>
      </w:r>
      <w:r w:rsidRPr="00106C21">
        <w:rPr>
          <w:rFonts w:ascii="Times New Roman" w:eastAsia="Times New Roman" w:hAnsi="Times New Roman" w:cs="Times New Roman"/>
        </w:rPr>
        <w:t xml:space="preserve">No complex analytical techniques </w:t>
      </w:r>
      <w:r w:rsidR="00607BB2">
        <w:rPr>
          <w:rFonts w:ascii="Times New Roman" w:eastAsia="Times New Roman" w:hAnsi="Times New Roman" w:cs="Times New Roman"/>
        </w:rPr>
        <w:t>are</w:t>
      </w:r>
      <w:r w:rsidRPr="00106C21">
        <w:rPr>
          <w:rFonts w:ascii="Times New Roman" w:eastAsia="Times New Roman" w:hAnsi="Times New Roman" w:cs="Times New Roman"/>
        </w:rPr>
        <w:t xml:space="preserve"> employed. </w:t>
      </w:r>
      <w:r w:rsidR="00B52A08">
        <w:rPr>
          <w:rFonts w:ascii="Times New Roman" w:eastAsia="Times New Roman" w:hAnsi="Times New Roman" w:cs="Times New Roman"/>
        </w:rPr>
        <w:t xml:space="preserve">The Department does report on the Title XVII program from time to </w:t>
      </w:r>
      <w:r w:rsidR="00B52A08">
        <w:rPr>
          <w:rFonts w:ascii="Times New Roman" w:eastAsia="Times New Roman" w:hAnsi="Times New Roman" w:cs="Times New Roman"/>
        </w:rPr>
        <w:t xml:space="preserve">time, </w:t>
      </w:r>
      <w:r w:rsidR="00702B26">
        <w:rPr>
          <w:rFonts w:ascii="Times New Roman" w:eastAsia="Times New Roman" w:hAnsi="Times New Roman" w:cs="Times New Roman"/>
        </w:rPr>
        <w:t>but</w:t>
      </w:r>
      <w:r w:rsidR="00702B26">
        <w:rPr>
          <w:rFonts w:ascii="Times New Roman" w:eastAsia="Times New Roman" w:hAnsi="Times New Roman" w:cs="Times New Roman"/>
        </w:rPr>
        <w:t xml:space="preserve"> does so</w:t>
      </w:r>
      <w:r w:rsidR="00B52A08">
        <w:rPr>
          <w:rFonts w:ascii="Times New Roman" w:eastAsia="Times New Roman" w:hAnsi="Times New Roman" w:cs="Times New Roman"/>
        </w:rPr>
        <w:t xml:space="preserve"> on an aggregated basis (e.g. total number of applications approved in FY26).</w:t>
      </w:r>
    </w:p>
    <w:p w:rsidR="00F056C3" w:rsidRPr="00106C21" w:rsidP="005A73A8" w14:paraId="307114C9" w14:textId="77777777">
      <w:pPr>
        <w:pStyle w:val="Heading2"/>
        <w:rPr>
          <w:rFonts w:ascii="Times New Roman" w:hAnsi="Times New Roman" w:cs="Times New Roman"/>
        </w:rPr>
      </w:pPr>
      <w:bookmarkStart w:id="24" w:name="_Toc16271336"/>
      <w:r w:rsidRPr="00106C21">
        <w:rPr>
          <w:rFonts w:ascii="Times New Roman" w:hAnsi="Times New Roman" w:cs="Times New Roman"/>
        </w:rPr>
        <w:t>A.</w:t>
      </w:r>
      <w:r w:rsidRPr="00106C21" w:rsidR="00A41763">
        <w:rPr>
          <w:rFonts w:ascii="Times New Roman" w:hAnsi="Times New Roman" w:cs="Times New Roman"/>
        </w:rPr>
        <w:t xml:space="preserve">17. </w:t>
      </w:r>
      <w:r w:rsidRPr="00106C21">
        <w:rPr>
          <w:rFonts w:ascii="Times New Roman" w:hAnsi="Times New Roman" w:cs="Times New Roman"/>
        </w:rPr>
        <w:t>OMB Number and Expiration Date</w:t>
      </w:r>
      <w:bookmarkEnd w:id="24"/>
      <w:r w:rsidRPr="00106C21">
        <w:rPr>
          <w:rFonts w:ascii="Times New Roman" w:hAnsi="Times New Roman" w:cs="Times New Roman"/>
        </w:rPr>
        <w:t xml:space="preserve"> </w:t>
      </w:r>
    </w:p>
    <w:p w:rsidR="00A41763" w:rsidRPr="00106C21" w:rsidP="00A41763" w14:paraId="7D373596" w14:textId="77777777">
      <w:pPr>
        <w:rPr>
          <w:rFonts w:ascii="Times New Roman" w:hAnsi="Times New Roman" w:cs="Times New Roman"/>
        </w:rPr>
      </w:pPr>
      <w:bookmarkStart w:id="25" w:name="_Hlk57385506"/>
      <w:r w:rsidRPr="00106C21">
        <w:rPr>
          <w:rFonts w:ascii="Times New Roman" w:hAnsi="Times New Roman" w:cs="Times New Roman"/>
          <w:b/>
          <w:bCs/>
        </w:rPr>
        <w:t xml:space="preserve">If seeking approval to not display the expiration date for OMB approval of the information collection, explain the reasons why display would be inappropriate. </w:t>
      </w:r>
    </w:p>
    <w:bookmarkEnd w:id="25"/>
    <w:p w:rsidR="00B041DD" w:rsidRPr="00106C21" w:rsidP="00B041DD" w14:paraId="52E306B1" w14:textId="560E4D1C">
      <w:pPr>
        <w:spacing w:after="0" w:line="240" w:lineRule="auto"/>
        <w:rPr>
          <w:rFonts w:ascii="Times New Roman" w:eastAsia="Times New Roman" w:hAnsi="Times New Roman" w:cs="Times New Roman"/>
        </w:rPr>
      </w:pPr>
      <w:r w:rsidRPr="00106C21">
        <w:rPr>
          <w:rFonts w:ascii="Times New Roman" w:eastAsia="Times New Roman" w:hAnsi="Times New Roman" w:cs="Times New Roman"/>
        </w:rPr>
        <w:t xml:space="preserve">The OMB control number, OMB expiration date, and burden disclosure statement will be included on all forms and instructions, including </w:t>
      </w:r>
      <w:r w:rsidR="0067115F">
        <w:rPr>
          <w:rFonts w:ascii="Times New Roman" w:eastAsia="Times New Roman" w:hAnsi="Times New Roman" w:cs="Times New Roman"/>
        </w:rPr>
        <w:t>the</w:t>
      </w:r>
      <w:r w:rsidRPr="00106C21" w:rsidR="0067115F">
        <w:rPr>
          <w:rFonts w:ascii="Times New Roman" w:eastAsia="Times New Roman" w:hAnsi="Times New Roman" w:cs="Times New Roman"/>
        </w:rPr>
        <w:t xml:space="preserve"> </w:t>
      </w:r>
      <w:r w:rsidRPr="00106C21" w:rsidR="0016224D">
        <w:rPr>
          <w:rFonts w:ascii="Times New Roman" w:eastAsia="Times New Roman" w:hAnsi="Times New Roman" w:cs="Times New Roman"/>
        </w:rPr>
        <w:t xml:space="preserve">web-based </w:t>
      </w:r>
      <w:r w:rsidRPr="00106C21">
        <w:rPr>
          <w:rFonts w:ascii="Times New Roman" w:eastAsia="Times New Roman" w:hAnsi="Times New Roman" w:cs="Times New Roman"/>
        </w:rPr>
        <w:t xml:space="preserve">application portal. </w:t>
      </w:r>
    </w:p>
    <w:p w:rsidR="00F056C3" w:rsidRPr="00106C21" w:rsidP="005A73A8" w14:paraId="2939C81A" w14:textId="77777777">
      <w:pPr>
        <w:pStyle w:val="Heading2"/>
        <w:rPr>
          <w:rFonts w:ascii="Times New Roman" w:hAnsi="Times New Roman" w:cs="Times New Roman"/>
        </w:rPr>
      </w:pPr>
      <w:bookmarkStart w:id="26" w:name="_Toc16271337"/>
      <w:r w:rsidRPr="00106C21">
        <w:rPr>
          <w:rFonts w:ascii="Times New Roman" w:hAnsi="Times New Roman" w:cs="Times New Roman"/>
        </w:rPr>
        <w:t>A.</w:t>
      </w:r>
      <w:r w:rsidRPr="00106C21" w:rsidR="00A41763">
        <w:rPr>
          <w:rFonts w:ascii="Times New Roman" w:hAnsi="Times New Roman" w:cs="Times New Roman"/>
        </w:rPr>
        <w:t xml:space="preserve">18. </w:t>
      </w:r>
      <w:r w:rsidRPr="00106C21">
        <w:rPr>
          <w:rFonts w:ascii="Times New Roman" w:hAnsi="Times New Roman" w:cs="Times New Roman"/>
        </w:rPr>
        <w:t>Certification Statement</w:t>
      </w:r>
      <w:bookmarkEnd w:id="26"/>
      <w:r w:rsidRPr="00106C21">
        <w:rPr>
          <w:rFonts w:ascii="Times New Roman" w:hAnsi="Times New Roman" w:cs="Times New Roman"/>
        </w:rPr>
        <w:t xml:space="preserve"> </w:t>
      </w:r>
    </w:p>
    <w:p w:rsidR="00A41763" w:rsidRPr="00106C21" w:rsidP="00A41763" w14:paraId="28BE5168" w14:textId="77777777">
      <w:pPr>
        <w:rPr>
          <w:rFonts w:ascii="Times New Roman" w:hAnsi="Times New Roman" w:cs="Times New Roman"/>
        </w:rPr>
      </w:pPr>
      <w:bookmarkStart w:id="27" w:name="_Hlk57385515"/>
      <w:r w:rsidRPr="00106C21">
        <w:rPr>
          <w:rFonts w:ascii="Times New Roman" w:hAnsi="Times New Roman" w:cs="Times New Roman"/>
          <w:b/>
          <w:bCs/>
        </w:rPr>
        <w:t xml:space="preserve">Explain each exception to the certification statement identified in Item 19 of OMB Form 83-I. </w:t>
      </w:r>
    </w:p>
    <w:bookmarkEnd w:id="27"/>
    <w:p w:rsidR="00B041DD" w:rsidRPr="00106C21" w:rsidP="00B041DD" w14:paraId="11450974" w14:textId="77777777">
      <w:pPr>
        <w:rPr>
          <w:rFonts w:ascii="Times New Roman" w:hAnsi="Times New Roman" w:cs="Times New Roman"/>
          <w:color w:val="001C29" w:themeColor="text2" w:themeShade="80"/>
        </w:rPr>
      </w:pPr>
      <w:r w:rsidRPr="00106C21">
        <w:rPr>
          <w:rFonts w:ascii="Times New Roman" w:hAnsi="Times New Roman" w:cs="Times New Roman"/>
        </w:rPr>
        <w:t>There are no exceptions to the certification statement in Item 19 of the OMB Form 83-I to which this Supplemental Statement pertains.</w:t>
      </w:r>
    </w:p>
    <w:p w:rsidR="00A41763" w:rsidRPr="00106C21" w:rsidP="00B041DD" w14:paraId="2845D2F5" w14:textId="06DAC1AF">
      <w:pPr>
        <w:rPr>
          <w:rFonts w:ascii="Times New Roman" w:hAnsi="Times New Roman" w:cs="Times New Roman"/>
        </w:rPr>
      </w:pPr>
    </w:p>
    <w:sectPr w:rsidSect="00933D5D">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14:paraId="2A6CDFFA" w14:textId="1C2CDB7D">
    <w:pPr>
      <w:pStyle w:val="Footer"/>
    </w:pPr>
    <w:r w:rsidRPr="001A009F">
      <w:t xml:space="preserve">U.S. Department of Energy   |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3B77AE">
          <w:t>Supporting Statement for DOE’s Title 17 Energy Financing Program</w:t>
        </w:r>
      </w:sdtContent>
    </w:sdt>
    <w:r>
      <w:t xml:space="preserve"> </w:t>
    </w:r>
    <w:r>
      <w:tab/>
    </w:r>
    <w:r w:rsidRPr="001A009F">
      <w:t xml:space="preserve"> </w:t>
    </w:r>
    <w:r w:rsidRPr="001A009F">
      <w:fldChar w:fldCharType="begin"/>
    </w:r>
    <w:r w:rsidRPr="001A009F">
      <w:instrText xml:space="preserve"> PAGE   \* MERGEFORMAT </w:instrText>
    </w:r>
    <w:r w:rsidRPr="001A009F">
      <w:fldChar w:fldCharType="separate"/>
    </w:r>
    <w:r w:rsidRPr="001A009F" w:rsidR="00D701F6">
      <w:rPr>
        <w:noProof/>
      </w:rPr>
      <w:t>2</w:t>
    </w:r>
    <w:r w:rsidRPr="001A009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1A009F" w14:paraId="035783FF" w14:textId="77777777">
    <w:pPr>
      <w:pStyle w:val="Footer"/>
    </w:pPr>
    <w:sdt>
      <w:sdtPr>
        <w:id w:val="272451101"/>
        <w:docPartObj>
          <w:docPartGallery w:val="Page Numbers (Bottom of Page)"/>
          <w:docPartUnique/>
        </w:docPartObj>
      </w:sdtPr>
      <w:sdtContent>
        <w:r w:rsidRPr="00CB180D" w:rsidR="00586D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rsidR="00586D0D">
              <w:t>Improving the Quality and Scope of EIA Data</w:t>
            </w:r>
          </w:sdtContent>
        </w:sdt>
        <w:r w:rsidRPr="00CB180D" w:rsidR="00586D0D">
          <w:tab/>
        </w:r>
      </w:sdtContent>
    </w:sdt>
    <w:r w:rsidRPr="00760677" w:rsidR="00586D0D">
      <w:t xml:space="preserve"> </w:t>
    </w:r>
    <w:r w:rsidR="00586D0D">
      <w:fldChar w:fldCharType="begin"/>
    </w:r>
    <w:r w:rsidR="00586D0D">
      <w:instrText xml:space="preserve"> PAGE   \* MERGEFORMAT </w:instrText>
    </w:r>
    <w:r w:rsidR="00586D0D">
      <w:fldChar w:fldCharType="separate"/>
    </w:r>
    <w:r w:rsidR="00586D0D">
      <w:rPr>
        <w:noProof/>
      </w:rPr>
      <w:t>i</w:t>
    </w:r>
    <w:r w:rsidR="00586D0D">
      <w:rPr>
        <w:noProof/>
      </w:rPr>
      <w:fldChar w:fldCharType="end"/>
    </w:r>
  </w:p>
  <w:p w:rsidR="008F16EC" w:rsidP="001A009F" w14:paraId="4F6F7B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1A009F" w14:paraId="56CEF768" w14:textId="77777777">
    <w:pPr>
      <w:pStyle w:val="Footer"/>
    </w:pPr>
    <w:sdt>
      <w:sdtPr>
        <w:id w:val="-22715443"/>
        <w:docPartObj>
          <w:docPartGallery w:val="Page Numbers (Bottom of Page)"/>
          <w:docPartUnique/>
        </w:docPartObj>
      </w:sdtPr>
      <w:sdtContent>
        <w:r w:rsidRPr="00CB180D" w:rsidR="00586D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rsidR="00586D0D">
              <w:t>Improving the Quality and Scope of EIA Data</w:t>
            </w:r>
          </w:sdtContent>
        </w:sdt>
        <w:r w:rsidRPr="00CB180D" w:rsidR="00586D0D">
          <w:tab/>
        </w:r>
      </w:sdtContent>
    </w:sdt>
    <w:r w:rsidRPr="00760677" w:rsidR="00586D0D">
      <w:t xml:space="preserve"> </w:t>
    </w:r>
    <w:r w:rsidR="00586D0D">
      <w:fldChar w:fldCharType="begin"/>
    </w:r>
    <w:r w:rsidR="00586D0D">
      <w:instrText xml:space="preserve"> PAGE   \* MERGEFORMAT </w:instrText>
    </w:r>
    <w:r w:rsidR="00586D0D">
      <w:fldChar w:fldCharType="separate"/>
    </w:r>
    <w:r w:rsidR="00586D0D">
      <w:rPr>
        <w:noProof/>
      </w:rPr>
      <w:t>ii</w:t>
    </w:r>
    <w:r w:rsidR="00586D0D">
      <w:rPr>
        <w:noProof/>
      </w:rPr>
      <w:fldChar w:fldCharType="end"/>
    </w:r>
  </w:p>
  <w:p w:rsidR="008F16EC" w:rsidP="001A009F" w14:paraId="5CF62AC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A009F" w14:paraId="18230B7E" w14:textId="053B3556">
    <w:pPr>
      <w:pStyle w:val="Footer"/>
    </w:pPr>
    <w:r w:rsidRPr="001A009F">
      <w:t xml:space="preserve">U.S. Department of Energy   |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3B77AE">
          <w:t>Supporting Statement for DOE’s Title 17 Energy Financing Program</w:t>
        </w:r>
      </w:sdtContent>
    </w:sdt>
    <w:r w:rsidRPr="001A009F">
      <w:t xml:space="preserve"> </w:t>
    </w:r>
    <w:r w:rsidRPr="001A009F">
      <w:tab/>
      <w:t xml:space="preserve"> </w:t>
    </w:r>
    <w:r w:rsidRPr="001A009F">
      <w:fldChar w:fldCharType="begin"/>
    </w:r>
    <w:r w:rsidRPr="001A009F">
      <w:instrText xml:space="preserve"> PAGE   \* MERGEFORMAT </w:instrText>
    </w:r>
    <w:r w:rsidRPr="001A009F">
      <w:fldChar w:fldCharType="separate"/>
    </w:r>
    <w:r w:rsidRPr="001A009F" w:rsidR="00D701F6">
      <w:rPr>
        <w:noProof/>
      </w:rPr>
      <w:t>8</w:t>
    </w:r>
    <w:r w:rsidRPr="001A009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02DF" w14:paraId="447EFFA6" w14:textId="77777777">
      <w:pPr>
        <w:spacing w:after="0" w:line="240" w:lineRule="auto"/>
      </w:pPr>
      <w:r>
        <w:separator/>
      </w:r>
    </w:p>
  </w:footnote>
  <w:footnote w:type="continuationSeparator" w:id="1">
    <w:p w:rsidR="007902DF" w14:paraId="5C3C9E8A" w14:textId="77777777">
      <w:pPr>
        <w:spacing w:after="0" w:line="240" w:lineRule="auto"/>
      </w:pPr>
      <w:r>
        <w:continuationSeparator/>
      </w:r>
    </w:p>
  </w:footnote>
  <w:footnote w:id="2">
    <w:p w:rsidR="000E0C41" w:rsidRPr="000E0C41" w:rsidP="000E0C41" w14:paraId="41BF847C" w14:textId="60F3CB03">
      <w:pPr>
        <w:pStyle w:val="FootnoteText"/>
        <w:rPr>
          <w:rFonts w:ascii="Times New Roman" w:eastAsia="Times New Roman" w:hAnsi="Times New Roman" w:cs="Times New Roman"/>
        </w:rPr>
      </w:pPr>
      <w:r w:rsidRPr="007663BF">
        <w:rPr>
          <w:rStyle w:val="FootnoteReference"/>
        </w:rPr>
        <w:footnoteRef/>
      </w:r>
      <w:r w:rsidRPr="007663BF">
        <w:t xml:space="preserve"> Attached are </w:t>
      </w:r>
      <w:r w:rsidRPr="007663BF">
        <w:rPr>
          <w:rFonts w:ascii="Times New Roman" w:eastAsia="Times New Roman" w:hAnsi="Times New Roman" w:cs="Times New Roman"/>
        </w:rPr>
        <w:t>Pub. L. 117–169; Pub. L. 119–21</w:t>
      </w:r>
      <w:r w:rsidRPr="007663BF" w:rsidR="000E57F7">
        <w:rPr>
          <w:rFonts w:ascii="Times New Roman" w:eastAsia="Times New Roman" w:hAnsi="Times New Roman" w:cs="Times New Roman"/>
        </w:rPr>
        <w:t xml:space="preserve"> that make </w:t>
      </w:r>
      <w:r w:rsidR="008D0044">
        <w:rPr>
          <w:rFonts w:ascii="Times New Roman" w:eastAsia="Times New Roman" w:hAnsi="Times New Roman" w:cs="Times New Roman"/>
        </w:rPr>
        <w:t xml:space="preserve">the </w:t>
      </w:r>
      <w:r w:rsidRPr="007663BF" w:rsidR="000E57F7">
        <w:rPr>
          <w:rFonts w:ascii="Times New Roman" w:eastAsia="Times New Roman" w:hAnsi="Times New Roman" w:cs="Times New Roman"/>
        </w:rPr>
        <w:t>collection necessary</w:t>
      </w:r>
      <w:r w:rsidRPr="007663BF">
        <w:rPr>
          <w:rFonts w:ascii="Times New Roman" w:eastAsia="Times New Roman" w:hAnsi="Times New Roman" w:cs="Times New Roman"/>
        </w:rPr>
        <w:t xml:space="preserve">; </w:t>
      </w:r>
      <w:r w:rsidR="009327EC">
        <w:rPr>
          <w:rFonts w:ascii="Times New Roman" w:eastAsia="Times New Roman" w:hAnsi="Times New Roman" w:cs="Times New Roman"/>
        </w:rPr>
        <w:t xml:space="preserve">the </w:t>
      </w:r>
      <w:r w:rsidRPr="000E0C41">
        <w:rPr>
          <w:rFonts w:ascii="Times New Roman" w:eastAsia="Times New Roman" w:hAnsi="Times New Roman" w:cs="Times New Roman"/>
        </w:rPr>
        <w:t>Energy Dominance Financing</w:t>
      </w:r>
    </w:p>
    <w:p w:rsidR="00111AA9" w:rsidP="000E0C41" w14:paraId="243B885D" w14:textId="575093D9">
      <w:pPr>
        <w:pStyle w:val="FootnoteText"/>
      </w:pPr>
      <w:r w:rsidRPr="000E0C41">
        <w:rPr>
          <w:rFonts w:ascii="Times New Roman" w:eastAsia="Times New Roman" w:hAnsi="Times New Roman" w:cs="Times New Roman"/>
        </w:rPr>
        <w:t>Amendments</w:t>
      </w:r>
      <w:r>
        <w:rPr>
          <w:rFonts w:ascii="Times New Roman" w:eastAsia="Times New Roman" w:hAnsi="Times New Roman" w:cs="Times New Roman"/>
        </w:rPr>
        <w:t xml:space="preserve"> Interim Final Rule; </w:t>
      </w:r>
      <w:r w:rsidRPr="007663BF">
        <w:rPr>
          <w:rFonts w:ascii="Times New Roman" w:eastAsia="Times New Roman" w:hAnsi="Times New Roman" w:cs="Times New Roman"/>
        </w:rPr>
        <w:t xml:space="preserve">and an unofficial markup of </w:t>
      </w:r>
      <w:r w:rsidRPr="007663BF">
        <w:rPr>
          <w:rFonts w:ascii="Times New Roman" w:hAnsi="Times New Roman" w:cs="Times New Roman"/>
          <w:bCs/>
        </w:rPr>
        <w:t xml:space="preserve">42 U.S.C. 16517 and </w:t>
      </w:r>
      <w:r w:rsidRPr="007663BF">
        <w:rPr>
          <w:rFonts w:ascii="Times New Roman" w:eastAsia="Times New Roman" w:hAnsi="Times New Roman" w:cs="Times New Roman"/>
        </w:rPr>
        <w:t xml:space="preserve">10 </w:t>
      </w:r>
      <w:r>
        <w:rPr>
          <w:rFonts w:ascii="Times New Roman" w:eastAsia="Times New Roman" w:hAnsi="Times New Roman" w:cs="Times New Roman"/>
        </w:rPr>
        <w:t>C.F.R.</w:t>
      </w:r>
      <w:r w:rsidRPr="007663BF">
        <w:rPr>
          <w:rFonts w:ascii="Times New Roman" w:eastAsia="Times New Roman" w:hAnsi="Times New Roman" w:cs="Times New Roman"/>
        </w:rPr>
        <w:t xml:space="preserve"> part 609.</w:t>
      </w:r>
      <w:r>
        <w:rPr>
          <w:rFonts w:ascii="Times New Roman" w:eastAsia="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3394AB6F"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129C209F"/>
    <w:multiLevelType w:val="hybridMultilevel"/>
    <w:tmpl w:val="479CBDB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695F8A"/>
    <w:multiLevelType w:val="hybridMultilevel"/>
    <w:tmpl w:val="92F2D8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7601DE5"/>
    <w:multiLevelType w:val="hybridMultilevel"/>
    <w:tmpl w:val="B09848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C60FD6"/>
    <w:multiLevelType w:val="hybridMultilevel"/>
    <w:tmpl w:val="7FA67E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7805036"/>
    <w:multiLevelType w:val="hybridMultilevel"/>
    <w:tmpl w:val="3AA06A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314641"/>
    <w:multiLevelType w:val="hybridMultilevel"/>
    <w:tmpl w:val="B852C9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F3A3D05"/>
    <w:multiLevelType w:val="hybridMultilevel"/>
    <w:tmpl w:val="169CD024"/>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F863061"/>
    <w:multiLevelType w:val="multilevel"/>
    <w:tmpl w:val="940ACA3C"/>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2135827634">
    <w:abstractNumId w:val="3"/>
  </w:num>
  <w:num w:numId="2" w16cid:durableId="1563564848">
    <w:abstractNumId w:val="5"/>
  </w:num>
  <w:num w:numId="3" w16cid:durableId="392970442">
    <w:abstractNumId w:val="4"/>
  </w:num>
  <w:num w:numId="4" w16cid:durableId="856504275">
    <w:abstractNumId w:val="2"/>
  </w:num>
  <w:num w:numId="5" w16cid:durableId="1061565058">
    <w:abstractNumId w:val="1"/>
  </w:num>
  <w:num w:numId="6" w16cid:durableId="1908418485">
    <w:abstractNumId w:val="0"/>
  </w:num>
  <w:num w:numId="7" w16cid:durableId="1041323325">
    <w:abstractNumId w:val="13"/>
  </w:num>
  <w:num w:numId="8" w16cid:durableId="1361392206">
    <w:abstractNumId w:val="8"/>
  </w:num>
  <w:num w:numId="9" w16cid:durableId="1786192802">
    <w:abstractNumId w:val="6"/>
  </w:num>
  <w:num w:numId="10" w16cid:durableId="956986559">
    <w:abstractNumId w:val="7"/>
  </w:num>
  <w:num w:numId="11" w16cid:durableId="1818453271">
    <w:abstractNumId w:val="11"/>
  </w:num>
  <w:num w:numId="12" w16cid:durableId="1830562977">
    <w:abstractNumId w:val="10"/>
  </w:num>
  <w:num w:numId="13" w16cid:durableId="1943220885">
    <w:abstractNumId w:val="9"/>
  </w:num>
  <w:num w:numId="14" w16cid:durableId="28384851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characterSpacingControl w:val="doNotCompress"/>
  <w:footnotePr>
    <w:pos w:val="beneathTex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63"/>
    <w:rsid w:val="0000019D"/>
    <w:rsid w:val="0000024B"/>
    <w:rsid w:val="00000D7A"/>
    <w:rsid w:val="000010F8"/>
    <w:rsid w:val="000033B6"/>
    <w:rsid w:val="0000364C"/>
    <w:rsid w:val="00004135"/>
    <w:rsid w:val="000041A1"/>
    <w:rsid w:val="000053BB"/>
    <w:rsid w:val="0000743A"/>
    <w:rsid w:val="00010E28"/>
    <w:rsid w:val="00011B3F"/>
    <w:rsid w:val="00013373"/>
    <w:rsid w:val="00013EF4"/>
    <w:rsid w:val="00014002"/>
    <w:rsid w:val="000142E5"/>
    <w:rsid w:val="00015DA7"/>
    <w:rsid w:val="00020286"/>
    <w:rsid w:val="00022457"/>
    <w:rsid w:val="000248CE"/>
    <w:rsid w:val="00024E1E"/>
    <w:rsid w:val="00031211"/>
    <w:rsid w:val="00034254"/>
    <w:rsid w:val="00034A4B"/>
    <w:rsid w:val="000367E0"/>
    <w:rsid w:val="00036C86"/>
    <w:rsid w:val="00036DEF"/>
    <w:rsid w:val="00041909"/>
    <w:rsid w:val="00043D82"/>
    <w:rsid w:val="00045643"/>
    <w:rsid w:val="000457E4"/>
    <w:rsid w:val="00046593"/>
    <w:rsid w:val="00046ADA"/>
    <w:rsid w:val="00046E16"/>
    <w:rsid w:val="00047C08"/>
    <w:rsid w:val="000539FF"/>
    <w:rsid w:val="0005401F"/>
    <w:rsid w:val="0005467F"/>
    <w:rsid w:val="00055769"/>
    <w:rsid w:val="00056EC3"/>
    <w:rsid w:val="000626D8"/>
    <w:rsid w:val="00062967"/>
    <w:rsid w:val="00062CFE"/>
    <w:rsid w:val="00065F76"/>
    <w:rsid w:val="000665B3"/>
    <w:rsid w:val="00066615"/>
    <w:rsid w:val="000704A4"/>
    <w:rsid w:val="000705B0"/>
    <w:rsid w:val="0007129A"/>
    <w:rsid w:val="00072081"/>
    <w:rsid w:val="00072BD0"/>
    <w:rsid w:val="0007425C"/>
    <w:rsid w:val="0007450B"/>
    <w:rsid w:val="000776BC"/>
    <w:rsid w:val="0008184D"/>
    <w:rsid w:val="000818B4"/>
    <w:rsid w:val="00081D97"/>
    <w:rsid w:val="000831C4"/>
    <w:rsid w:val="000844CA"/>
    <w:rsid w:val="0008564C"/>
    <w:rsid w:val="000863C0"/>
    <w:rsid w:val="0009140D"/>
    <w:rsid w:val="00091694"/>
    <w:rsid w:val="00091897"/>
    <w:rsid w:val="0009463B"/>
    <w:rsid w:val="00095FA9"/>
    <w:rsid w:val="00097EB1"/>
    <w:rsid w:val="00097ECF"/>
    <w:rsid w:val="000A180D"/>
    <w:rsid w:val="000A4D98"/>
    <w:rsid w:val="000A5528"/>
    <w:rsid w:val="000A5DA5"/>
    <w:rsid w:val="000A6F86"/>
    <w:rsid w:val="000A7EC8"/>
    <w:rsid w:val="000B1244"/>
    <w:rsid w:val="000B266B"/>
    <w:rsid w:val="000B2847"/>
    <w:rsid w:val="000B2D61"/>
    <w:rsid w:val="000B359F"/>
    <w:rsid w:val="000B39A6"/>
    <w:rsid w:val="000B3FBE"/>
    <w:rsid w:val="000B43BF"/>
    <w:rsid w:val="000B7D8D"/>
    <w:rsid w:val="000C28E1"/>
    <w:rsid w:val="000C5311"/>
    <w:rsid w:val="000C5786"/>
    <w:rsid w:val="000D0AA2"/>
    <w:rsid w:val="000D21D8"/>
    <w:rsid w:val="000D595F"/>
    <w:rsid w:val="000D5989"/>
    <w:rsid w:val="000D5AFE"/>
    <w:rsid w:val="000D729B"/>
    <w:rsid w:val="000E0C41"/>
    <w:rsid w:val="000E2BF1"/>
    <w:rsid w:val="000E31B4"/>
    <w:rsid w:val="000E4E9C"/>
    <w:rsid w:val="000E5242"/>
    <w:rsid w:val="000E57F7"/>
    <w:rsid w:val="000E7314"/>
    <w:rsid w:val="000E73C9"/>
    <w:rsid w:val="000F040A"/>
    <w:rsid w:val="000F24F2"/>
    <w:rsid w:val="000F7623"/>
    <w:rsid w:val="00100B95"/>
    <w:rsid w:val="001024C8"/>
    <w:rsid w:val="001025B9"/>
    <w:rsid w:val="001034E8"/>
    <w:rsid w:val="00103828"/>
    <w:rsid w:val="001040D6"/>
    <w:rsid w:val="00106C21"/>
    <w:rsid w:val="001079B9"/>
    <w:rsid w:val="00111AA9"/>
    <w:rsid w:val="00112A69"/>
    <w:rsid w:val="0011340C"/>
    <w:rsid w:val="00114CF2"/>
    <w:rsid w:val="0011541D"/>
    <w:rsid w:val="00115ACD"/>
    <w:rsid w:val="0011772C"/>
    <w:rsid w:val="00117B20"/>
    <w:rsid w:val="0012366B"/>
    <w:rsid w:val="00123723"/>
    <w:rsid w:val="00126B36"/>
    <w:rsid w:val="001278A3"/>
    <w:rsid w:val="001314F6"/>
    <w:rsid w:val="00132F4A"/>
    <w:rsid w:val="00135407"/>
    <w:rsid w:val="00136B14"/>
    <w:rsid w:val="00140206"/>
    <w:rsid w:val="0014191B"/>
    <w:rsid w:val="001425CD"/>
    <w:rsid w:val="00142F87"/>
    <w:rsid w:val="00144589"/>
    <w:rsid w:val="00144760"/>
    <w:rsid w:val="00145F52"/>
    <w:rsid w:val="00151704"/>
    <w:rsid w:val="00152DA4"/>
    <w:rsid w:val="00154192"/>
    <w:rsid w:val="001541B6"/>
    <w:rsid w:val="001575A9"/>
    <w:rsid w:val="00160BC8"/>
    <w:rsid w:val="0016224D"/>
    <w:rsid w:val="001650A2"/>
    <w:rsid w:val="00165CAE"/>
    <w:rsid w:val="00167425"/>
    <w:rsid w:val="0016743D"/>
    <w:rsid w:val="00170AA2"/>
    <w:rsid w:val="00171667"/>
    <w:rsid w:val="00174757"/>
    <w:rsid w:val="00174B06"/>
    <w:rsid w:val="00175492"/>
    <w:rsid w:val="00177996"/>
    <w:rsid w:val="001807A3"/>
    <w:rsid w:val="0018542C"/>
    <w:rsid w:val="0018593D"/>
    <w:rsid w:val="00185D91"/>
    <w:rsid w:val="001867EA"/>
    <w:rsid w:val="00186D4B"/>
    <w:rsid w:val="001877CC"/>
    <w:rsid w:val="0019050E"/>
    <w:rsid w:val="001947D5"/>
    <w:rsid w:val="00196381"/>
    <w:rsid w:val="00197509"/>
    <w:rsid w:val="001A009F"/>
    <w:rsid w:val="001A28F2"/>
    <w:rsid w:val="001A33C3"/>
    <w:rsid w:val="001A4DC5"/>
    <w:rsid w:val="001A6E1E"/>
    <w:rsid w:val="001A6E9A"/>
    <w:rsid w:val="001B02F0"/>
    <w:rsid w:val="001B0596"/>
    <w:rsid w:val="001B0E69"/>
    <w:rsid w:val="001B120A"/>
    <w:rsid w:val="001B39E7"/>
    <w:rsid w:val="001B6585"/>
    <w:rsid w:val="001C158E"/>
    <w:rsid w:val="001C1AB6"/>
    <w:rsid w:val="001C2B95"/>
    <w:rsid w:val="001C4727"/>
    <w:rsid w:val="001D0237"/>
    <w:rsid w:val="001D03A8"/>
    <w:rsid w:val="001D0789"/>
    <w:rsid w:val="001D0C77"/>
    <w:rsid w:val="001D60DD"/>
    <w:rsid w:val="001D7419"/>
    <w:rsid w:val="001F254B"/>
    <w:rsid w:val="001F26B6"/>
    <w:rsid w:val="001F3A8F"/>
    <w:rsid w:val="001F47D7"/>
    <w:rsid w:val="001F6D3F"/>
    <w:rsid w:val="001F7121"/>
    <w:rsid w:val="001F7507"/>
    <w:rsid w:val="002008B4"/>
    <w:rsid w:val="00201F24"/>
    <w:rsid w:val="00203526"/>
    <w:rsid w:val="00204DC3"/>
    <w:rsid w:val="00204DC4"/>
    <w:rsid w:val="002052D6"/>
    <w:rsid w:val="002055F7"/>
    <w:rsid w:val="00206820"/>
    <w:rsid w:val="00207791"/>
    <w:rsid w:val="00211704"/>
    <w:rsid w:val="002127CE"/>
    <w:rsid w:val="00213408"/>
    <w:rsid w:val="0021476D"/>
    <w:rsid w:val="00214CBB"/>
    <w:rsid w:val="00215842"/>
    <w:rsid w:val="002207DF"/>
    <w:rsid w:val="00221AC2"/>
    <w:rsid w:val="002229CB"/>
    <w:rsid w:val="00222A59"/>
    <w:rsid w:val="00222DB8"/>
    <w:rsid w:val="002259D6"/>
    <w:rsid w:val="00227E4B"/>
    <w:rsid w:val="0023015A"/>
    <w:rsid w:val="002309C9"/>
    <w:rsid w:val="00231447"/>
    <w:rsid w:val="00234652"/>
    <w:rsid w:val="002364F7"/>
    <w:rsid w:val="002366CB"/>
    <w:rsid w:val="0023708A"/>
    <w:rsid w:val="0023724E"/>
    <w:rsid w:val="00240FDF"/>
    <w:rsid w:val="00241D18"/>
    <w:rsid w:val="00242D0A"/>
    <w:rsid w:val="002439F6"/>
    <w:rsid w:val="002447B0"/>
    <w:rsid w:val="00244874"/>
    <w:rsid w:val="00245101"/>
    <w:rsid w:val="00246476"/>
    <w:rsid w:val="002469CD"/>
    <w:rsid w:val="0025022D"/>
    <w:rsid w:val="002530BB"/>
    <w:rsid w:val="002532F8"/>
    <w:rsid w:val="0025438D"/>
    <w:rsid w:val="00254B77"/>
    <w:rsid w:val="00254F9A"/>
    <w:rsid w:val="002556F3"/>
    <w:rsid w:val="00255A6E"/>
    <w:rsid w:val="0025646B"/>
    <w:rsid w:val="002603C4"/>
    <w:rsid w:val="00260EDF"/>
    <w:rsid w:val="002611FF"/>
    <w:rsid w:val="00261392"/>
    <w:rsid w:val="00261FFF"/>
    <w:rsid w:val="002640DE"/>
    <w:rsid w:val="00264148"/>
    <w:rsid w:val="00266E6A"/>
    <w:rsid w:val="002678D3"/>
    <w:rsid w:val="002722D9"/>
    <w:rsid w:val="002730C7"/>
    <w:rsid w:val="00273446"/>
    <w:rsid w:val="00273C11"/>
    <w:rsid w:val="00274179"/>
    <w:rsid w:val="002747D9"/>
    <w:rsid w:val="00276953"/>
    <w:rsid w:val="002772B5"/>
    <w:rsid w:val="002779BD"/>
    <w:rsid w:val="00281676"/>
    <w:rsid w:val="00286EE6"/>
    <w:rsid w:val="00287D01"/>
    <w:rsid w:val="00292F47"/>
    <w:rsid w:val="002941C6"/>
    <w:rsid w:val="002945BD"/>
    <w:rsid w:val="002973AF"/>
    <w:rsid w:val="002A0F4C"/>
    <w:rsid w:val="002A5CC2"/>
    <w:rsid w:val="002A69CD"/>
    <w:rsid w:val="002A75A8"/>
    <w:rsid w:val="002B0FD2"/>
    <w:rsid w:val="002B2D03"/>
    <w:rsid w:val="002B2E5F"/>
    <w:rsid w:val="002B4586"/>
    <w:rsid w:val="002B5332"/>
    <w:rsid w:val="002B5D3E"/>
    <w:rsid w:val="002B628D"/>
    <w:rsid w:val="002B6549"/>
    <w:rsid w:val="002B7C4C"/>
    <w:rsid w:val="002C0DB4"/>
    <w:rsid w:val="002C1EF4"/>
    <w:rsid w:val="002C285A"/>
    <w:rsid w:val="002C3419"/>
    <w:rsid w:val="002C378C"/>
    <w:rsid w:val="002C3946"/>
    <w:rsid w:val="002C4568"/>
    <w:rsid w:val="002C5DE4"/>
    <w:rsid w:val="002C6AD8"/>
    <w:rsid w:val="002D0609"/>
    <w:rsid w:val="002D0A60"/>
    <w:rsid w:val="002D2A18"/>
    <w:rsid w:val="002D32CD"/>
    <w:rsid w:val="002D70BE"/>
    <w:rsid w:val="002E327B"/>
    <w:rsid w:val="002E3FD5"/>
    <w:rsid w:val="002E4FAD"/>
    <w:rsid w:val="002E5A88"/>
    <w:rsid w:val="002E7A38"/>
    <w:rsid w:val="002F069C"/>
    <w:rsid w:val="002F1143"/>
    <w:rsid w:val="002F3BF9"/>
    <w:rsid w:val="002F56CA"/>
    <w:rsid w:val="002F5BCE"/>
    <w:rsid w:val="003022C3"/>
    <w:rsid w:val="00306516"/>
    <w:rsid w:val="003068C3"/>
    <w:rsid w:val="00307525"/>
    <w:rsid w:val="00311E36"/>
    <w:rsid w:val="00312E1B"/>
    <w:rsid w:val="003130B8"/>
    <w:rsid w:val="003150A9"/>
    <w:rsid w:val="003157DD"/>
    <w:rsid w:val="00315B57"/>
    <w:rsid w:val="00317589"/>
    <w:rsid w:val="00325B93"/>
    <w:rsid w:val="00325C34"/>
    <w:rsid w:val="003268EE"/>
    <w:rsid w:val="00330AE9"/>
    <w:rsid w:val="00333EF0"/>
    <w:rsid w:val="00335C48"/>
    <w:rsid w:val="00336809"/>
    <w:rsid w:val="003402FD"/>
    <w:rsid w:val="0034617E"/>
    <w:rsid w:val="003467C0"/>
    <w:rsid w:val="003469CB"/>
    <w:rsid w:val="003500EF"/>
    <w:rsid w:val="00350C8B"/>
    <w:rsid w:val="00351313"/>
    <w:rsid w:val="00351A73"/>
    <w:rsid w:val="00352E1B"/>
    <w:rsid w:val="00353349"/>
    <w:rsid w:val="00355CBB"/>
    <w:rsid w:val="00356836"/>
    <w:rsid w:val="00356F1A"/>
    <w:rsid w:val="00357B97"/>
    <w:rsid w:val="00360AB3"/>
    <w:rsid w:val="00360DED"/>
    <w:rsid w:val="00363331"/>
    <w:rsid w:val="00364CC6"/>
    <w:rsid w:val="00365853"/>
    <w:rsid w:val="0036651A"/>
    <w:rsid w:val="00370C6A"/>
    <w:rsid w:val="00371554"/>
    <w:rsid w:val="00371929"/>
    <w:rsid w:val="00371E14"/>
    <w:rsid w:val="00373208"/>
    <w:rsid w:val="0037362B"/>
    <w:rsid w:val="00373AFB"/>
    <w:rsid w:val="00382931"/>
    <w:rsid w:val="00383DB3"/>
    <w:rsid w:val="00384054"/>
    <w:rsid w:val="003854B2"/>
    <w:rsid w:val="00385AE6"/>
    <w:rsid w:val="00387787"/>
    <w:rsid w:val="00387C8D"/>
    <w:rsid w:val="00392AFF"/>
    <w:rsid w:val="00392DD0"/>
    <w:rsid w:val="00392E96"/>
    <w:rsid w:val="003937A8"/>
    <w:rsid w:val="00393EA7"/>
    <w:rsid w:val="00396606"/>
    <w:rsid w:val="003968D1"/>
    <w:rsid w:val="00396BCB"/>
    <w:rsid w:val="00397825"/>
    <w:rsid w:val="003A1073"/>
    <w:rsid w:val="003A10F3"/>
    <w:rsid w:val="003A15D2"/>
    <w:rsid w:val="003A1A5C"/>
    <w:rsid w:val="003A2D3C"/>
    <w:rsid w:val="003A3906"/>
    <w:rsid w:val="003A43F5"/>
    <w:rsid w:val="003A68C8"/>
    <w:rsid w:val="003B03A4"/>
    <w:rsid w:val="003B154C"/>
    <w:rsid w:val="003B2A7C"/>
    <w:rsid w:val="003B3B66"/>
    <w:rsid w:val="003B4102"/>
    <w:rsid w:val="003B41FE"/>
    <w:rsid w:val="003B556C"/>
    <w:rsid w:val="003B609A"/>
    <w:rsid w:val="003B77AE"/>
    <w:rsid w:val="003C03EA"/>
    <w:rsid w:val="003C1002"/>
    <w:rsid w:val="003C17B5"/>
    <w:rsid w:val="003C68DB"/>
    <w:rsid w:val="003C690C"/>
    <w:rsid w:val="003D0FB5"/>
    <w:rsid w:val="003D2065"/>
    <w:rsid w:val="003D3695"/>
    <w:rsid w:val="003D73EB"/>
    <w:rsid w:val="003E1072"/>
    <w:rsid w:val="003E40FA"/>
    <w:rsid w:val="003E5F51"/>
    <w:rsid w:val="003E7726"/>
    <w:rsid w:val="003F188A"/>
    <w:rsid w:val="003F24ED"/>
    <w:rsid w:val="003F26C2"/>
    <w:rsid w:val="003F2FA5"/>
    <w:rsid w:val="003F4B75"/>
    <w:rsid w:val="003F529E"/>
    <w:rsid w:val="004016E6"/>
    <w:rsid w:val="00401D0A"/>
    <w:rsid w:val="00403696"/>
    <w:rsid w:val="00403A9D"/>
    <w:rsid w:val="00404660"/>
    <w:rsid w:val="00404D90"/>
    <w:rsid w:val="004061EE"/>
    <w:rsid w:val="004068C6"/>
    <w:rsid w:val="00407CCE"/>
    <w:rsid w:val="004128A9"/>
    <w:rsid w:val="004200A2"/>
    <w:rsid w:val="0042083A"/>
    <w:rsid w:val="00421FA9"/>
    <w:rsid w:val="00422A7F"/>
    <w:rsid w:val="00422B53"/>
    <w:rsid w:val="00422D91"/>
    <w:rsid w:val="004239E8"/>
    <w:rsid w:val="00423B31"/>
    <w:rsid w:val="00424195"/>
    <w:rsid w:val="00426481"/>
    <w:rsid w:val="00430650"/>
    <w:rsid w:val="00432966"/>
    <w:rsid w:val="00432F3F"/>
    <w:rsid w:val="00434D4F"/>
    <w:rsid w:val="00442D25"/>
    <w:rsid w:val="004445A8"/>
    <w:rsid w:val="00447802"/>
    <w:rsid w:val="00450713"/>
    <w:rsid w:val="00452DF8"/>
    <w:rsid w:val="00455670"/>
    <w:rsid w:val="0045608E"/>
    <w:rsid w:val="0045662F"/>
    <w:rsid w:val="00461C8E"/>
    <w:rsid w:val="0046314D"/>
    <w:rsid w:val="004648FF"/>
    <w:rsid w:val="00466959"/>
    <w:rsid w:val="00466A9B"/>
    <w:rsid w:val="00470C68"/>
    <w:rsid w:val="00471481"/>
    <w:rsid w:val="00475C97"/>
    <w:rsid w:val="0047784B"/>
    <w:rsid w:val="004808E9"/>
    <w:rsid w:val="00481152"/>
    <w:rsid w:val="0048173B"/>
    <w:rsid w:val="00485579"/>
    <w:rsid w:val="00492B36"/>
    <w:rsid w:val="004935C6"/>
    <w:rsid w:val="004946F0"/>
    <w:rsid w:val="00495016"/>
    <w:rsid w:val="00495D4D"/>
    <w:rsid w:val="00496C2E"/>
    <w:rsid w:val="00497C2A"/>
    <w:rsid w:val="00497C6B"/>
    <w:rsid w:val="004A264A"/>
    <w:rsid w:val="004A5275"/>
    <w:rsid w:val="004A6AD4"/>
    <w:rsid w:val="004A7A90"/>
    <w:rsid w:val="004B1075"/>
    <w:rsid w:val="004B15FE"/>
    <w:rsid w:val="004B22AA"/>
    <w:rsid w:val="004B2FF6"/>
    <w:rsid w:val="004B45B2"/>
    <w:rsid w:val="004B54A4"/>
    <w:rsid w:val="004B5A4D"/>
    <w:rsid w:val="004B7BF4"/>
    <w:rsid w:val="004C0E27"/>
    <w:rsid w:val="004C277B"/>
    <w:rsid w:val="004C2E53"/>
    <w:rsid w:val="004C340E"/>
    <w:rsid w:val="004C4B7B"/>
    <w:rsid w:val="004C5661"/>
    <w:rsid w:val="004C5AE7"/>
    <w:rsid w:val="004D05FB"/>
    <w:rsid w:val="004D1486"/>
    <w:rsid w:val="004D29C7"/>
    <w:rsid w:val="004E0CAF"/>
    <w:rsid w:val="004E0E02"/>
    <w:rsid w:val="004E1312"/>
    <w:rsid w:val="004E3E2C"/>
    <w:rsid w:val="004F027D"/>
    <w:rsid w:val="004F1CA3"/>
    <w:rsid w:val="004F5DEC"/>
    <w:rsid w:val="00502965"/>
    <w:rsid w:val="00502A1D"/>
    <w:rsid w:val="00502DA6"/>
    <w:rsid w:val="00502E41"/>
    <w:rsid w:val="00504119"/>
    <w:rsid w:val="0050647E"/>
    <w:rsid w:val="005065CF"/>
    <w:rsid w:val="00506BB4"/>
    <w:rsid w:val="0050705F"/>
    <w:rsid w:val="00507450"/>
    <w:rsid w:val="00512D39"/>
    <w:rsid w:val="0051360C"/>
    <w:rsid w:val="005139CF"/>
    <w:rsid w:val="005170D3"/>
    <w:rsid w:val="00520049"/>
    <w:rsid w:val="00522492"/>
    <w:rsid w:val="00522EC3"/>
    <w:rsid w:val="00523E4F"/>
    <w:rsid w:val="0052493A"/>
    <w:rsid w:val="00525112"/>
    <w:rsid w:val="0052554D"/>
    <w:rsid w:val="00525743"/>
    <w:rsid w:val="00525A02"/>
    <w:rsid w:val="00526AA2"/>
    <w:rsid w:val="0052783E"/>
    <w:rsid w:val="005322E6"/>
    <w:rsid w:val="00532626"/>
    <w:rsid w:val="00534079"/>
    <w:rsid w:val="00535CAF"/>
    <w:rsid w:val="00536054"/>
    <w:rsid w:val="0053654B"/>
    <w:rsid w:val="00536CE1"/>
    <w:rsid w:val="005374B5"/>
    <w:rsid w:val="00537A91"/>
    <w:rsid w:val="00540965"/>
    <w:rsid w:val="0054180D"/>
    <w:rsid w:val="005424A1"/>
    <w:rsid w:val="00544DC8"/>
    <w:rsid w:val="00545C0F"/>
    <w:rsid w:val="005463E2"/>
    <w:rsid w:val="00547B53"/>
    <w:rsid w:val="005515CD"/>
    <w:rsid w:val="00560A6E"/>
    <w:rsid w:val="00560ECC"/>
    <w:rsid w:val="00563983"/>
    <w:rsid w:val="005656D2"/>
    <w:rsid w:val="0056739D"/>
    <w:rsid w:val="005715C2"/>
    <w:rsid w:val="00571D8F"/>
    <w:rsid w:val="00572980"/>
    <w:rsid w:val="00572A52"/>
    <w:rsid w:val="0057367D"/>
    <w:rsid w:val="00573FAA"/>
    <w:rsid w:val="005813E2"/>
    <w:rsid w:val="00581518"/>
    <w:rsid w:val="00582141"/>
    <w:rsid w:val="00585BE3"/>
    <w:rsid w:val="0058622B"/>
    <w:rsid w:val="00586D0D"/>
    <w:rsid w:val="005916B4"/>
    <w:rsid w:val="00591CF3"/>
    <w:rsid w:val="0059212D"/>
    <w:rsid w:val="00594D7A"/>
    <w:rsid w:val="005953CF"/>
    <w:rsid w:val="00596B33"/>
    <w:rsid w:val="005978F2"/>
    <w:rsid w:val="005A0673"/>
    <w:rsid w:val="005A16A2"/>
    <w:rsid w:val="005A37DD"/>
    <w:rsid w:val="005A5107"/>
    <w:rsid w:val="005A590F"/>
    <w:rsid w:val="005A73A8"/>
    <w:rsid w:val="005B121F"/>
    <w:rsid w:val="005B2B58"/>
    <w:rsid w:val="005B4B74"/>
    <w:rsid w:val="005B5FEA"/>
    <w:rsid w:val="005C00FA"/>
    <w:rsid w:val="005C0DFF"/>
    <w:rsid w:val="005C24A9"/>
    <w:rsid w:val="005C2D89"/>
    <w:rsid w:val="005C485B"/>
    <w:rsid w:val="005C634B"/>
    <w:rsid w:val="005D39D7"/>
    <w:rsid w:val="005D5956"/>
    <w:rsid w:val="005D6F63"/>
    <w:rsid w:val="005D7B23"/>
    <w:rsid w:val="005E2616"/>
    <w:rsid w:val="005F136B"/>
    <w:rsid w:val="005F29B6"/>
    <w:rsid w:val="005F4848"/>
    <w:rsid w:val="005F4A52"/>
    <w:rsid w:val="005F5317"/>
    <w:rsid w:val="005F62BE"/>
    <w:rsid w:val="005F7A3B"/>
    <w:rsid w:val="00601697"/>
    <w:rsid w:val="00607BB2"/>
    <w:rsid w:val="00612912"/>
    <w:rsid w:val="00615DD1"/>
    <w:rsid w:val="00616E46"/>
    <w:rsid w:val="00617769"/>
    <w:rsid w:val="00617CDB"/>
    <w:rsid w:val="0062008C"/>
    <w:rsid w:val="00620797"/>
    <w:rsid w:val="00621770"/>
    <w:rsid w:val="00623EF9"/>
    <w:rsid w:val="00626494"/>
    <w:rsid w:val="00627805"/>
    <w:rsid w:val="00632AE9"/>
    <w:rsid w:val="00633B94"/>
    <w:rsid w:val="00636259"/>
    <w:rsid w:val="00637EB4"/>
    <w:rsid w:val="00641A10"/>
    <w:rsid w:val="00641DE2"/>
    <w:rsid w:val="00643384"/>
    <w:rsid w:val="006478A0"/>
    <w:rsid w:val="00647FBA"/>
    <w:rsid w:val="00650500"/>
    <w:rsid w:val="006539C2"/>
    <w:rsid w:val="00653DD9"/>
    <w:rsid w:val="0065406F"/>
    <w:rsid w:val="00660318"/>
    <w:rsid w:val="00660D9F"/>
    <w:rsid w:val="006617B3"/>
    <w:rsid w:val="006620B2"/>
    <w:rsid w:val="00662FB0"/>
    <w:rsid w:val="00663EC4"/>
    <w:rsid w:val="00664437"/>
    <w:rsid w:val="00665AF0"/>
    <w:rsid w:val="00670047"/>
    <w:rsid w:val="0067115F"/>
    <w:rsid w:val="00674E77"/>
    <w:rsid w:val="00676392"/>
    <w:rsid w:val="006770C1"/>
    <w:rsid w:val="00677205"/>
    <w:rsid w:val="006777E0"/>
    <w:rsid w:val="00677C5F"/>
    <w:rsid w:val="00680541"/>
    <w:rsid w:val="00680F26"/>
    <w:rsid w:val="00681A77"/>
    <w:rsid w:val="00687BDA"/>
    <w:rsid w:val="00691430"/>
    <w:rsid w:val="00691620"/>
    <w:rsid w:val="006A064B"/>
    <w:rsid w:val="006A0BC7"/>
    <w:rsid w:val="006A2F7D"/>
    <w:rsid w:val="006A3B02"/>
    <w:rsid w:val="006A59F2"/>
    <w:rsid w:val="006B1189"/>
    <w:rsid w:val="006B1D05"/>
    <w:rsid w:val="006B60F0"/>
    <w:rsid w:val="006B7FD8"/>
    <w:rsid w:val="006C0062"/>
    <w:rsid w:val="006C097E"/>
    <w:rsid w:val="006C2DC3"/>
    <w:rsid w:val="006C5BA2"/>
    <w:rsid w:val="006C63AD"/>
    <w:rsid w:val="006D0215"/>
    <w:rsid w:val="006D0439"/>
    <w:rsid w:val="006D078A"/>
    <w:rsid w:val="006D0BC8"/>
    <w:rsid w:val="006D3D15"/>
    <w:rsid w:val="006D42EC"/>
    <w:rsid w:val="006D5C59"/>
    <w:rsid w:val="006D5F61"/>
    <w:rsid w:val="006D65F9"/>
    <w:rsid w:val="006D748E"/>
    <w:rsid w:val="006E0435"/>
    <w:rsid w:val="006E4718"/>
    <w:rsid w:val="006E4CA5"/>
    <w:rsid w:val="006E671C"/>
    <w:rsid w:val="006F3C12"/>
    <w:rsid w:val="006F443C"/>
    <w:rsid w:val="006F44D0"/>
    <w:rsid w:val="006F47D3"/>
    <w:rsid w:val="006F553B"/>
    <w:rsid w:val="006F5E60"/>
    <w:rsid w:val="006F616B"/>
    <w:rsid w:val="006F7FA1"/>
    <w:rsid w:val="0070200B"/>
    <w:rsid w:val="00702B26"/>
    <w:rsid w:val="007049EC"/>
    <w:rsid w:val="00704B7D"/>
    <w:rsid w:val="007060F4"/>
    <w:rsid w:val="0071048B"/>
    <w:rsid w:val="00711414"/>
    <w:rsid w:val="00712E82"/>
    <w:rsid w:val="00714478"/>
    <w:rsid w:val="007149E5"/>
    <w:rsid w:val="00714A51"/>
    <w:rsid w:val="007155EB"/>
    <w:rsid w:val="00715670"/>
    <w:rsid w:val="00715CC5"/>
    <w:rsid w:val="00717AFF"/>
    <w:rsid w:val="00721BDB"/>
    <w:rsid w:val="00725453"/>
    <w:rsid w:val="007255AA"/>
    <w:rsid w:val="0072579C"/>
    <w:rsid w:val="007261A1"/>
    <w:rsid w:val="007274FC"/>
    <w:rsid w:val="00730DA0"/>
    <w:rsid w:val="00731A0C"/>
    <w:rsid w:val="0073373C"/>
    <w:rsid w:val="00733C3B"/>
    <w:rsid w:val="00737591"/>
    <w:rsid w:val="00737BB8"/>
    <w:rsid w:val="00741935"/>
    <w:rsid w:val="00741ED3"/>
    <w:rsid w:val="0074200B"/>
    <w:rsid w:val="007423BA"/>
    <w:rsid w:val="007438F2"/>
    <w:rsid w:val="00745F23"/>
    <w:rsid w:val="00746AA3"/>
    <w:rsid w:val="0075056A"/>
    <w:rsid w:val="00752547"/>
    <w:rsid w:val="007527E2"/>
    <w:rsid w:val="00755C3D"/>
    <w:rsid w:val="007576EF"/>
    <w:rsid w:val="00760677"/>
    <w:rsid w:val="00761C12"/>
    <w:rsid w:val="00762782"/>
    <w:rsid w:val="00764563"/>
    <w:rsid w:val="007658BA"/>
    <w:rsid w:val="007663BF"/>
    <w:rsid w:val="007708B5"/>
    <w:rsid w:val="00771FE2"/>
    <w:rsid w:val="00775757"/>
    <w:rsid w:val="007757C6"/>
    <w:rsid w:val="0077597A"/>
    <w:rsid w:val="00776CF4"/>
    <w:rsid w:val="00776D50"/>
    <w:rsid w:val="00776EF1"/>
    <w:rsid w:val="00777E63"/>
    <w:rsid w:val="007806FA"/>
    <w:rsid w:val="007828C5"/>
    <w:rsid w:val="00784F89"/>
    <w:rsid w:val="00786336"/>
    <w:rsid w:val="007865D8"/>
    <w:rsid w:val="00787A46"/>
    <w:rsid w:val="007902DF"/>
    <w:rsid w:val="007951D6"/>
    <w:rsid w:val="00796993"/>
    <w:rsid w:val="00796C41"/>
    <w:rsid w:val="007A0E7F"/>
    <w:rsid w:val="007A1D49"/>
    <w:rsid w:val="007A2668"/>
    <w:rsid w:val="007A349E"/>
    <w:rsid w:val="007A4378"/>
    <w:rsid w:val="007A4CE4"/>
    <w:rsid w:val="007A7F46"/>
    <w:rsid w:val="007B0C43"/>
    <w:rsid w:val="007B0C54"/>
    <w:rsid w:val="007B19F1"/>
    <w:rsid w:val="007B26D5"/>
    <w:rsid w:val="007B29C2"/>
    <w:rsid w:val="007B2D62"/>
    <w:rsid w:val="007B2DA7"/>
    <w:rsid w:val="007B5F6E"/>
    <w:rsid w:val="007C5CE9"/>
    <w:rsid w:val="007D0DCA"/>
    <w:rsid w:val="007D1BC1"/>
    <w:rsid w:val="007D284A"/>
    <w:rsid w:val="007D332E"/>
    <w:rsid w:val="007D333E"/>
    <w:rsid w:val="007D39CC"/>
    <w:rsid w:val="007D5114"/>
    <w:rsid w:val="007D51C4"/>
    <w:rsid w:val="007D6129"/>
    <w:rsid w:val="007D6155"/>
    <w:rsid w:val="007D6AAF"/>
    <w:rsid w:val="007E1391"/>
    <w:rsid w:val="007E19DC"/>
    <w:rsid w:val="007E29F8"/>
    <w:rsid w:val="007E4917"/>
    <w:rsid w:val="007E5A11"/>
    <w:rsid w:val="007E73E6"/>
    <w:rsid w:val="007F00D5"/>
    <w:rsid w:val="007F1954"/>
    <w:rsid w:val="007F21D7"/>
    <w:rsid w:val="007F260E"/>
    <w:rsid w:val="007F2D47"/>
    <w:rsid w:val="007F38C8"/>
    <w:rsid w:val="007F48D0"/>
    <w:rsid w:val="007F5537"/>
    <w:rsid w:val="007F673E"/>
    <w:rsid w:val="007F79F9"/>
    <w:rsid w:val="0080066E"/>
    <w:rsid w:val="008009BB"/>
    <w:rsid w:val="00800DE7"/>
    <w:rsid w:val="00801305"/>
    <w:rsid w:val="00801683"/>
    <w:rsid w:val="0080176C"/>
    <w:rsid w:val="008042A9"/>
    <w:rsid w:val="0080521F"/>
    <w:rsid w:val="008057F8"/>
    <w:rsid w:val="00807927"/>
    <w:rsid w:val="0081032D"/>
    <w:rsid w:val="0081045E"/>
    <w:rsid w:val="00811910"/>
    <w:rsid w:val="00812C91"/>
    <w:rsid w:val="008157D8"/>
    <w:rsid w:val="00815ADC"/>
    <w:rsid w:val="00816784"/>
    <w:rsid w:val="008171BF"/>
    <w:rsid w:val="008177C7"/>
    <w:rsid w:val="008213F9"/>
    <w:rsid w:val="008275BC"/>
    <w:rsid w:val="008307E1"/>
    <w:rsid w:val="00836D62"/>
    <w:rsid w:val="00837A56"/>
    <w:rsid w:val="00837F15"/>
    <w:rsid w:val="00841BE1"/>
    <w:rsid w:val="00843F78"/>
    <w:rsid w:val="00844524"/>
    <w:rsid w:val="0084683B"/>
    <w:rsid w:val="008468E5"/>
    <w:rsid w:val="00846A2E"/>
    <w:rsid w:val="00850872"/>
    <w:rsid w:val="00860842"/>
    <w:rsid w:val="00860905"/>
    <w:rsid w:val="00862FD2"/>
    <w:rsid w:val="00867160"/>
    <w:rsid w:val="008675B9"/>
    <w:rsid w:val="0087205B"/>
    <w:rsid w:val="0087275E"/>
    <w:rsid w:val="00874D62"/>
    <w:rsid w:val="00874FB8"/>
    <w:rsid w:val="0087594D"/>
    <w:rsid w:val="00876E4D"/>
    <w:rsid w:val="00877108"/>
    <w:rsid w:val="00881A0A"/>
    <w:rsid w:val="0088266A"/>
    <w:rsid w:val="00882A4E"/>
    <w:rsid w:val="00883BD6"/>
    <w:rsid w:val="00884BAB"/>
    <w:rsid w:val="0088630B"/>
    <w:rsid w:val="00886B47"/>
    <w:rsid w:val="00890D34"/>
    <w:rsid w:val="00892EF7"/>
    <w:rsid w:val="0089351E"/>
    <w:rsid w:val="0089390C"/>
    <w:rsid w:val="00895669"/>
    <w:rsid w:val="00897946"/>
    <w:rsid w:val="008A3276"/>
    <w:rsid w:val="008A3447"/>
    <w:rsid w:val="008A552D"/>
    <w:rsid w:val="008A56C9"/>
    <w:rsid w:val="008A7E5F"/>
    <w:rsid w:val="008B166C"/>
    <w:rsid w:val="008B3C0D"/>
    <w:rsid w:val="008B50CC"/>
    <w:rsid w:val="008B6ECE"/>
    <w:rsid w:val="008C094D"/>
    <w:rsid w:val="008C46F0"/>
    <w:rsid w:val="008C7325"/>
    <w:rsid w:val="008C734C"/>
    <w:rsid w:val="008D0044"/>
    <w:rsid w:val="008D1997"/>
    <w:rsid w:val="008D19D1"/>
    <w:rsid w:val="008D2AB7"/>
    <w:rsid w:val="008D68E4"/>
    <w:rsid w:val="008E2673"/>
    <w:rsid w:val="008E4BF2"/>
    <w:rsid w:val="008E6102"/>
    <w:rsid w:val="008E63DC"/>
    <w:rsid w:val="008E7322"/>
    <w:rsid w:val="008F16EC"/>
    <w:rsid w:val="008F25A3"/>
    <w:rsid w:val="008F4427"/>
    <w:rsid w:val="008F4CBD"/>
    <w:rsid w:val="008F4D86"/>
    <w:rsid w:val="00900696"/>
    <w:rsid w:val="00901741"/>
    <w:rsid w:val="009017AD"/>
    <w:rsid w:val="00901BED"/>
    <w:rsid w:val="00905432"/>
    <w:rsid w:val="00905735"/>
    <w:rsid w:val="00905968"/>
    <w:rsid w:val="00906967"/>
    <w:rsid w:val="00907762"/>
    <w:rsid w:val="00912277"/>
    <w:rsid w:val="00913186"/>
    <w:rsid w:val="009131B9"/>
    <w:rsid w:val="009139B7"/>
    <w:rsid w:val="0091409C"/>
    <w:rsid w:val="009143A1"/>
    <w:rsid w:val="00914D19"/>
    <w:rsid w:val="00915AFE"/>
    <w:rsid w:val="009161F2"/>
    <w:rsid w:val="00916DF3"/>
    <w:rsid w:val="00917D6B"/>
    <w:rsid w:val="00917F09"/>
    <w:rsid w:val="009200A5"/>
    <w:rsid w:val="0092091C"/>
    <w:rsid w:val="00920D65"/>
    <w:rsid w:val="00922756"/>
    <w:rsid w:val="00923135"/>
    <w:rsid w:val="0092519D"/>
    <w:rsid w:val="0092541B"/>
    <w:rsid w:val="00927A05"/>
    <w:rsid w:val="009327EC"/>
    <w:rsid w:val="00932BDF"/>
    <w:rsid w:val="00933D5D"/>
    <w:rsid w:val="009348CC"/>
    <w:rsid w:val="00935252"/>
    <w:rsid w:val="00935805"/>
    <w:rsid w:val="009368F3"/>
    <w:rsid w:val="00936F19"/>
    <w:rsid w:val="0094358A"/>
    <w:rsid w:val="00943B55"/>
    <w:rsid w:val="009444F6"/>
    <w:rsid w:val="00944983"/>
    <w:rsid w:val="009452C5"/>
    <w:rsid w:val="009458E5"/>
    <w:rsid w:val="009459E2"/>
    <w:rsid w:val="009476B0"/>
    <w:rsid w:val="00947722"/>
    <w:rsid w:val="00947C42"/>
    <w:rsid w:val="00950489"/>
    <w:rsid w:val="0095051B"/>
    <w:rsid w:val="00950D1D"/>
    <w:rsid w:val="00953F1E"/>
    <w:rsid w:val="009548F5"/>
    <w:rsid w:val="009551C2"/>
    <w:rsid w:val="00955471"/>
    <w:rsid w:val="009561ED"/>
    <w:rsid w:val="00956E69"/>
    <w:rsid w:val="009573F0"/>
    <w:rsid w:val="00957DE9"/>
    <w:rsid w:val="009616F7"/>
    <w:rsid w:val="00965A44"/>
    <w:rsid w:val="009666FC"/>
    <w:rsid w:val="00967D7C"/>
    <w:rsid w:val="00970BC7"/>
    <w:rsid w:val="00970EA2"/>
    <w:rsid w:val="00971CFF"/>
    <w:rsid w:val="0097299A"/>
    <w:rsid w:val="00973786"/>
    <w:rsid w:val="0097407E"/>
    <w:rsid w:val="0097408C"/>
    <w:rsid w:val="00974AEA"/>
    <w:rsid w:val="009757AD"/>
    <w:rsid w:val="00980B6A"/>
    <w:rsid w:val="009818F9"/>
    <w:rsid w:val="00982614"/>
    <w:rsid w:val="0098265B"/>
    <w:rsid w:val="0098283E"/>
    <w:rsid w:val="0098533E"/>
    <w:rsid w:val="0098618F"/>
    <w:rsid w:val="00987808"/>
    <w:rsid w:val="00987C32"/>
    <w:rsid w:val="009907F6"/>
    <w:rsid w:val="00991646"/>
    <w:rsid w:val="0099448B"/>
    <w:rsid w:val="0099505F"/>
    <w:rsid w:val="00995140"/>
    <w:rsid w:val="0099654F"/>
    <w:rsid w:val="009970E3"/>
    <w:rsid w:val="00997347"/>
    <w:rsid w:val="009A186F"/>
    <w:rsid w:val="009A1B4E"/>
    <w:rsid w:val="009A31C1"/>
    <w:rsid w:val="009A51BC"/>
    <w:rsid w:val="009B19CE"/>
    <w:rsid w:val="009B24F2"/>
    <w:rsid w:val="009B262C"/>
    <w:rsid w:val="009B4D1F"/>
    <w:rsid w:val="009B620E"/>
    <w:rsid w:val="009B7435"/>
    <w:rsid w:val="009C0C73"/>
    <w:rsid w:val="009C1362"/>
    <w:rsid w:val="009C202F"/>
    <w:rsid w:val="009C4536"/>
    <w:rsid w:val="009C5612"/>
    <w:rsid w:val="009C62E2"/>
    <w:rsid w:val="009C65A2"/>
    <w:rsid w:val="009C77F7"/>
    <w:rsid w:val="009D0B2A"/>
    <w:rsid w:val="009D4379"/>
    <w:rsid w:val="009D4B28"/>
    <w:rsid w:val="009D63DE"/>
    <w:rsid w:val="009D72D7"/>
    <w:rsid w:val="009E0723"/>
    <w:rsid w:val="009E1D30"/>
    <w:rsid w:val="009E3A8C"/>
    <w:rsid w:val="009E48F1"/>
    <w:rsid w:val="009E5ABC"/>
    <w:rsid w:val="009E5B9C"/>
    <w:rsid w:val="009E73FA"/>
    <w:rsid w:val="009E75B6"/>
    <w:rsid w:val="009F0874"/>
    <w:rsid w:val="009F2351"/>
    <w:rsid w:val="009F48CC"/>
    <w:rsid w:val="009F4ED1"/>
    <w:rsid w:val="009F725F"/>
    <w:rsid w:val="00A00C4E"/>
    <w:rsid w:val="00A00C54"/>
    <w:rsid w:val="00A00D71"/>
    <w:rsid w:val="00A00EDF"/>
    <w:rsid w:val="00A04C3D"/>
    <w:rsid w:val="00A11E89"/>
    <w:rsid w:val="00A13052"/>
    <w:rsid w:val="00A13E00"/>
    <w:rsid w:val="00A15CDB"/>
    <w:rsid w:val="00A20BFB"/>
    <w:rsid w:val="00A25EE7"/>
    <w:rsid w:val="00A26A17"/>
    <w:rsid w:val="00A30169"/>
    <w:rsid w:val="00A312A3"/>
    <w:rsid w:val="00A33D9F"/>
    <w:rsid w:val="00A37229"/>
    <w:rsid w:val="00A372AF"/>
    <w:rsid w:val="00A400BE"/>
    <w:rsid w:val="00A41763"/>
    <w:rsid w:val="00A418C9"/>
    <w:rsid w:val="00A42AFA"/>
    <w:rsid w:val="00A441BB"/>
    <w:rsid w:val="00A44C74"/>
    <w:rsid w:val="00A465E5"/>
    <w:rsid w:val="00A50936"/>
    <w:rsid w:val="00A56AC4"/>
    <w:rsid w:val="00A60097"/>
    <w:rsid w:val="00A607D1"/>
    <w:rsid w:val="00A61140"/>
    <w:rsid w:val="00A61A3A"/>
    <w:rsid w:val="00A63A6D"/>
    <w:rsid w:val="00A6655F"/>
    <w:rsid w:val="00A7224E"/>
    <w:rsid w:val="00A723B7"/>
    <w:rsid w:val="00A724D4"/>
    <w:rsid w:val="00A72AA8"/>
    <w:rsid w:val="00A74C9B"/>
    <w:rsid w:val="00A754CE"/>
    <w:rsid w:val="00A775DB"/>
    <w:rsid w:val="00A82212"/>
    <w:rsid w:val="00A83C35"/>
    <w:rsid w:val="00A84162"/>
    <w:rsid w:val="00A84E25"/>
    <w:rsid w:val="00A87174"/>
    <w:rsid w:val="00A874E4"/>
    <w:rsid w:val="00A87DBD"/>
    <w:rsid w:val="00A92EDC"/>
    <w:rsid w:val="00A93478"/>
    <w:rsid w:val="00A97D38"/>
    <w:rsid w:val="00A97FE7"/>
    <w:rsid w:val="00AA1A34"/>
    <w:rsid w:val="00AA2087"/>
    <w:rsid w:val="00AA3D91"/>
    <w:rsid w:val="00AA3DE8"/>
    <w:rsid w:val="00AA3FD0"/>
    <w:rsid w:val="00AA46CA"/>
    <w:rsid w:val="00AA4FC2"/>
    <w:rsid w:val="00AA6FF6"/>
    <w:rsid w:val="00AA700F"/>
    <w:rsid w:val="00AA75C1"/>
    <w:rsid w:val="00AA7EFA"/>
    <w:rsid w:val="00AB36A2"/>
    <w:rsid w:val="00AB3C4C"/>
    <w:rsid w:val="00AB5843"/>
    <w:rsid w:val="00AB61B3"/>
    <w:rsid w:val="00AC323A"/>
    <w:rsid w:val="00AC3615"/>
    <w:rsid w:val="00AC3E9E"/>
    <w:rsid w:val="00AC5249"/>
    <w:rsid w:val="00AC5361"/>
    <w:rsid w:val="00AC5510"/>
    <w:rsid w:val="00AC69E8"/>
    <w:rsid w:val="00AD05D7"/>
    <w:rsid w:val="00AD22F5"/>
    <w:rsid w:val="00AD305C"/>
    <w:rsid w:val="00AD5BE9"/>
    <w:rsid w:val="00AD6357"/>
    <w:rsid w:val="00AD6BD8"/>
    <w:rsid w:val="00AD7F81"/>
    <w:rsid w:val="00AD7FE0"/>
    <w:rsid w:val="00AE4CA9"/>
    <w:rsid w:val="00AE6862"/>
    <w:rsid w:val="00AE75B4"/>
    <w:rsid w:val="00AE7A98"/>
    <w:rsid w:val="00AF07AC"/>
    <w:rsid w:val="00AF1536"/>
    <w:rsid w:val="00AF207D"/>
    <w:rsid w:val="00AF367D"/>
    <w:rsid w:val="00AF3D93"/>
    <w:rsid w:val="00AF45FD"/>
    <w:rsid w:val="00AF6113"/>
    <w:rsid w:val="00AF761F"/>
    <w:rsid w:val="00B01FDE"/>
    <w:rsid w:val="00B041DD"/>
    <w:rsid w:val="00B058F6"/>
    <w:rsid w:val="00B061C5"/>
    <w:rsid w:val="00B11784"/>
    <w:rsid w:val="00B13A47"/>
    <w:rsid w:val="00B1499D"/>
    <w:rsid w:val="00B1640C"/>
    <w:rsid w:val="00B200CE"/>
    <w:rsid w:val="00B20B20"/>
    <w:rsid w:val="00B2183C"/>
    <w:rsid w:val="00B2386E"/>
    <w:rsid w:val="00B25034"/>
    <w:rsid w:val="00B254EA"/>
    <w:rsid w:val="00B310B6"/>
    <w:rsid w:val="00B32175"/>
    <w:rsid w:val="00B32E24"/>
    <w:rsid w:val="00B33EE6"/>
    <w:rsid w:val="00B35AF0"/>
    <w:rsid w:val="00B35CB3"/>
    <w:rsid w:val="00B35E2A"/>
    <w:rsid w:val="00B4157D"/>
    <w:rsid w:val="00B42359"/>
    <w:rsid w:val="00B4263D"/>
    <w:rsid w:val="00B4547C"/>
    <w:rsid w:val="00B51648"/>
    <w:rsid w:val="00B52A08"/>
    <w:rsid w:val="00B52DD9"/>
    <w:rsid w:val="00B530DF"/>
    <w:rsid w:val="00B56F49"/>
    <w:rsid w:val="00B60880"/>
    <w:rsid w:val="00B63E0B"/>
    <w:rsid w:val="00B66711"/>
    <w:rsid w:val="00B730C3"/>
    <w:rsid w:val="00B73CB8"/>
    <w:rsid w:val="00B73CBF"/>
    <w:rsid w:val="00B73D46"/>
    <w:rsid w:val="00B7442A"/>
    <w:rsid w:val="00B776E7"/>
    <w:rsid w:val="00B81F80"/>
    <w:rsid w:val="00B83AFC"/>
    <w:rsid w:val="00B868C6"/>
    <w:rsid w:val="00B91EC8"/>
    <w:rsid w:val="00B93742"/>
    <w:rsid w:val="00B95077"/>
    <w:rsid w:val="00B97002"/>
    <w:rsid w:val="00B97EC2"/>
    <w:rsid w:val="00BA0C43"/>
    <w:rsid w:val="00BA40BB"/>
    <w:rsid w:val="00BA44AF"/>
    <w:rsid w:val="00BB0B31"/>
    <w:rsid w:val="00BB2F70"/>
    <w:rsid w:val="00BB324D"/>
    <w:rsid w:val="00BB3AF7"/>
    <w:rsid w:val="00BB6249"/>
    <w:rsid w:val="00BB6890"/>
    <w:rsid w:val="00BB6CF4"/>
    <w:rsid w:val="00BB77E9"/>
    <w:rsid w:val="00BC14C3"/>
    <w:rsid w:val="00BC1ABE"/>
    <w:rsid w:val="00BC2512"/>
    <w:rsid w:val="00BC3FF8"/>
    <w:rsid w:val="00BD10FB"/>
    <w:rsid w:val="00BD1834"/>
    <w:rsid w:val="00BD2B72"/>
    <w:rsid w:val="00BD2F20"/>
    <w:rsid w:val="00BD3953"/>
    <w:rsid w:val="00BD4F62"/>
    <w:rsid w:val="00BD6824"/>
    <w:rsid w:val="00BD6973"/>
    <w:rsid w:val="00BD728B"/>
    <w:rsid w:val="00BE469C"/>
    <w:rsid w:val="00BE4AFD"/>
    <w:rsid w:val="00BE5AD7"/>
    <w:rsid w:val="00BF1477"/>
    <w:rsid w:val="00BF348B"/>
    <w:rsid w:val="00C00590"/>
    <w:rsid w:val="00C021DD"/>
    <w:rsid w:val="00C041CE"/>
    <w:rsid w:val="00C04647"/>
    <w:rsid w:val="00C058CF"/>
    <w:rsid w:val="00C07B87"/>
    <w:rsid w:val="00C1076C"/>
    <w:rsid w:val="00C12551"/>
    <w:rsid w:val="00C131B8"/>
    <w:rsid w:val="00C13AA6"/>
    <w:rsid w:val="00C1527D"/>
    <w:rsid w:val="00C1578A"/>
    <w:rsid w:val="00C16044"/>
    <w:rsid w:val="00C1680B"/>
    <w:rsid w:val="00C211CD"/>
    <w:rsid w:val="00C2131F"/>
    <w:rsid w:val="00C21D88"/>
    <w:rsid w:val="00C22892"/>
    <w:rsid w:val="00C228EE"/>
    <w:rsid w:val="00C235A3"/>
    <w:rsid w:val="00C24A64"/>
    <w:rsid w:val="00C25328"/>
    <w:rsid w:val="00C32372"/>
    <w:rsid w:val="00C326E9"/>
    <w:rsid w:val="00C32768"/>
    <w:rsid w:val="00C371AA"/>
    <w:rsid w:val="00C3744D"/>
    <w:rsid w:val="00C41DCA"/>
    <w:rsid w:val="00C420AC"/>
    <w:rsid w:val="00C43978"/>
    <w:rsid w:val="00C43A84"/>
    <w:rsid w:val="00C522D7"/>
    <w:rsid w:val="00C524DC"/>
    <w:rsid w:val="00C5394D"/>
    <w:rsid w:val="00C54121"/>
    <w:rsid w:val="00C54132"/>
    <w:rsid w:val="00C57864"/>
    <w:rsid w:val="00C60EF9"/>
    <w:rsid w:val="00C611AE"/>
    <w:rsid w:val="00C61C4C"/>
    <w:rsid w:val="00C64137"/>
    <w:rsid w:val="00C658E4"/>
    <w:rsid w:val="00C67B2A"/>
    <w:rsid w:val="00C710E0"/>
    <w:rsid w:val="00C711A2"/>
    <w:rsid w:val="00C7266E"/>
    <w:rsid w:val="00C76C66"/>
    <w:rsid w:val="00C82420"/>
    <w:rsid w:val="00C82DF9"/>
    <w:rsid w:val="00C87190"/>
    <w:rsid w:val="00C9012A"/>
    <w:rsid w:val="00C91C4D"/>
    <w:rsid w:val="00C94B89"/>
    <w:rsid w:val="00C95586"/>
    <w:rsid w:val="00CA0BDA"/>
    <w:rsid w:val="00CA1564"/>
    <w:rsid w:val="00CA1F9E"/>
    <w:rsid w:val="00CA4764"/>
    <w:rsid w:val="00CA66BC"/>
    <w:rsid w:val="00CA6A2C"/>
    <w:rsid w:val="00CA6D68"/>
    <w:rsid w:val="00CA7C8A"/>
    <w:rsid w:val="00CB0760"/>
    <w:rsid w:val="00CB0884"/>
    <w:rsid w:val="00CB180D"/>
    <w:rsid w:val="00CB1E57"/>
    <w:rsid w:val="00CB2952"/>
    <w:rsid w:val="00CB44E8"/>
    <w:rsid w:val="00CB5D34"/>
    <w:rsid w:val="00CB7978"/>
    <w:rsid w:val="00CC1D12"/>
    <w:rsid w:val="00CC4FAB"/>
    <w:rsid w:val="00CC53C5"/>
    <w:rsid w:val="00CC6C19"/>
    <w:rsid w:val="00CC75FB"/>
    <w:rsid w:val="00CD13A2"/>
    <w:rsid w:val="00CD50B4"/>
    <w:rsid w:val="00CD533A"/>
    <w:rsid w:val="00CD53E4"/>
    <w:rsid w:val="00CD568F"/>
    <w:rsid w:val="00CD625A"/>
    <w:rsid w:val="00CD6390"/>
    <w:rsid w:val="00CE42E9"/>
    <w:rsid w:val="00CF0798"/>
    <w:rsid w:val="00CF0D2C"/>
    <w:rsid w:val="00CF11D7"/>
    <w:rsid w:val="00CF19A9"/>
    <w:rsid w:val="00CF22AB"/>
    <w:rsid w:val="00CF4FC0"/>
    <w:rsid w:val="00CF51F4"/>
    <w:rsid w:val="00CF7217"/>
    <w:rsid w:val="00CF7AB6"/>
    <w:rsid w:val="00D001E4"/>
    <w:rsid w:val="00D00AA8"/>
    <w:rsid w:val="00D01BEA"/>
    <w:rsid w:val="00D02778"/>
    <w:rsid w:val="00D07D94"/>
    <w:rsid w:val="00D07DDB"/>
    <w:rsid w:val="00D10DFF"/>
    <w:rsid w:val="00D1312F"/>
    <w:rsid w:val="00D132F4"/>
    <w:rsid w:val="00D13E84"/>
    <w:rsid w:val="00D16D50"/>
    <w:rsid w:val="00D16E4D"/>
    <w:rsid w:val="00D17839"/>
    <w:rsid w:val="00D17918"/>
    <w:rsid w:val="00D232F1"/>
    <w:rsid w:val="00D261A9"/>
    <w:rsid w:val="00D26D6A"/>
    <w:rsid w:val="00D300F4"/>
    <w:rsid w:val="00D30E28"/>
    <w:rsid w:val="00D3344B"/>
    <w:rsid w:val="00D355BF"/>
    <w:rsid w:val="00D40175"/>
    <w:rsid w:val="00D40468"/>
    <w:rsid w:val="00D4201D"/>
    <w:rsid w:val="00D441D6"/>
    <w:rsid w:val="00D4624C"/>
    <w:rsid w:val="00D46D29"/>
    <w:rsid w:val="00D4765F"/>
    <w:rsid w:val="00D50B31"/>
    <w:rsid w:val="00D50F27"/>
    <w:rsid w:val="00D53926"/>
    <w:rsid w:val="00D54683"/>
    <w:rsid w:val="00D55243"/>
    <w:rsid w:val="00D5547F"/>
    <w:rsid w:val="00D56B26"/>
    <w:rsid w:val="00D62F90"/>
    <w:rsid w:val="00D63566"/>
    <w:rsid w:val="00D63E74"/>
    <w:rsid w:val="00D63F56"/>
    <w:rsid w:val="00D644C0"/>
    <w:rsid w:val="00D66310"/>
    <w:rsid w:val="00D701F6"/>
    <w:rsid w:val="00D715C4"/>
    <w:rsid w:val="00D7431D"/>
    <w:rsid w:val="00D75D89"/>
    <w:rsid w:val="00D80119"/>
    <w:rsid w:val="00D84D4F"/>
    <w:rsid w:val="00D854D8"/>
    <w:rsid w:val="00D8761C"/>
    <w:rsid w:val="00D90086"/>
    <w:rsid w:val="00D91526"/>
    <w:rsid w:val="00D928FD"/>
    <w:rsid w:val="00D93BFD"/>
    <w:rsid w:val="00DA0D37"/>
    <w:rsid w:val="00DA3D93"/>
    <w:rsid w:val="00DA4DDD"/>
    <w:rsid w:val="00DA5825"/>
    <w:rsid w:val="00DA61BA"/>
    <w:rsid w:val="00DA7CC5"/>
    <w:rsid w:val="00DB17E9"/>
    <w:rsid w:val="00DB2EBD"/>
    <w:rsid w:val="00DB5B46"/>
    <w:rsid w:val="00DB67D5"/>
    <w:rsid w:val="00DB6FBD"/>
    <w:rsid w:val="00DC03B8"/>
    <w:rsid w:val="00DC0AD0"/>
    <w:rsid w:val="00DC6465"/>
    <w:rsid w:val="00DC79E3"/>
    <w:rsid w:val="00DD169A"/>
    <w:rsid w:val="00DD1EBA"/>
    <w:rsid w:val="00DD28E0"/>
    <w:rsid w:val="00DD3B68"/>
    <w:rsid w:val="00DD51E1"/>
    <w:rsid w:val="00DD6B83"/>
    <w:rsid w:val="00DD6EE6"/>
    <w:rsid w:val="00DE0211"/>
    <w:rsid w:val="00DE2D54"/>
    <w:rsid w:val="00DE6B5B"/>
    <w:rsid w:val="00DF6D82"/>
    <w:rsid w:val="00E01311"/>
    <w:rsid w:val="00E01DCC"/>
    <w:rsid w:val="00E02BB0"/>
    <w:rsid w:val="00E03CE6"/>
    <w:rsid w:val="00E0403A"/>
    <w:rsid w:val="00E13716"/>
    <w:rsid w:val="00E1382B"/>
    <w:rsid w:val="00E15B9F"/>
    <w:rsid w:val="00E15CE5"/>
    <w:rsid w:val="00E20B81"/>
    <w:rsid w:val="00E23CD4"/>
    <w:rsid w:val="00E24098"/>
    <w:rsid w:val="00E244DD"/>
    <w:rsid w:val="00E24F55"/>
    <w:rsid w:val="00E2581E"/>
    <w:rsid w:val="00E266FF"/>
    <w:rsid w:val="00E27661"/>
    <w:rsid w:val="00E3181C"/>
    <w:rsid w:val="00E3293C"/>
    <w:rsid w:val="00E34937"/>
    <w:rsid w:val="00E370AB"/>
    <w:rsid w:val="00E37EB0"/>
    <w:rsid w:val="00E44F46"/>
    <w:rsid w:val="00E4550F"/>
    <w:rsid w:val="00E46017"/>
    <w:rsid w:val="00E47654"/>
    <w:rsid w:val="00E47DB3"/>
    <w:rsid w:val="00E47DFA"/>
    <w:rsid w:val="00E509A9"/>
    <w:rsid w:val="00E51F8B"/>
    <w:rsid w:val="00E5242A"/>
    <w:rsid w:val="00E53398"/>
    <w:rsid w:val="00E53D48"/>
    <w:rsid w:val="00E55937"/>
    <w:rsid w:val="00E5628C"/>
    <w:rsid w:val="00E615FD"/>
    <w:rsid w:val="00E6183E"/>
    <w:rsid w:val="00E64B85"/>
    <w:rsid w:val="00E66AE2"/>
    <w:rsid w:val="00E67012"/>
    <w:rsid w:val="00E70474"/>
    <w:rsid w:val="00E70964"/>
    <w:rsid w:val="00E72F86"/>
    <w:rsid w:val="00E74058"/>
    <w:rsid w:val="00E74DA4"/>
    <w:rsid w:val="00E81B89"/>
    <w:rsid w:val="00E857F9"/>
    <w:rsid w:val="00E868EA"/>
    <w:rsid w:val="00E869B6"/>
    <w:rsid w:val="00E909CC"/>
    <w:rsid w:val="00E91432"/>
    <w:rsid w:val="00E91B5A"/>
    <w:rsid w:val="00E92D40"/>
    <w:rsid w:val="00E92EF8"/>
    <w:rsid w:val="00E94EA8"/>
    <w:rsid w:val="00E96361"/>
    <w:rsid w:val="00EA03CE"/>
    <w:rsid w:val="00EA0A67"/>
    <w:rsid w:val="00EA223F"/>
    <w:rsid w:val="00EA255A"/>
    <w:rsid w:val="00EA27BD"/>
    <w:rsid w:val="00EA32DB"/>
    <w:rsid w:val="00EA5C54"/>
    <w:rsid w:val="00EA6FE6"/>
    <w:rsid w:val="00EB2CFA"/>
    <w:rsid w:val="00EB40D5"/>
    <w:rsid w:val="00EB41E2"/>
    <w:rsid w:val="00EB4B43"/>
    <w:rsid w:val="00EB6366"/>
    <w:rsid w:val="00EC0A50"/>
    <w:rsid w:val="00EC32F0"/>
    <w:rsid w:val="00EC66BE"/>
    <w:rsid w:val="00ED05CD"/>
    <w:rsid w:val="00ED1F3D"/>
    <w:rsid w:val="00ED47E0"/>
    <w:rsid w:val="00ED6C2A"/>
    <w:rsid w:val="00ED6E45"/>
    <w:rsid w:val="00ED6F3D"/>
    <w:rsid w:val="00EE2948"/>
    <w:rsid w:val="00EE2CAF"/>
    <w:rsid w:val="00EE3D43"/>
    <w:rsid w:val="00EE407F"/>
    <w:rsid w:val="00EE43E4"/>
    <w:rsid w:val="00EE5982"/>
    <w:rsid w:val="00EE6B89"/>
    <w:rsid w:val="00EF0029"/>
    <w:rsid w:val="00EF3B21"/>
    <w:rsid w:val="00EF3E50"/>
    <w:rsid w:val="00EF5980"/>
    <w:rsid w:val="00EF7041"/>
    <w:rsid w:val="00EF7927"/>
    <w:rsid w:val="00F001EA"/>
    <w:rsid w:val="00F013A8"/>
    <w:rsid w:val="00F056C3"/>
    <w:rsid w:val="00F05A49"/>
    <w:rsid w:val="00F05DA3"/>
    <w:rsid w:val="00F05DE5"/>
    <w:rsid w:val="00F062CC"/>
    <w:rsid w:val="00F10E8E"/>
    <w:rsid w:val="00F153BE"/>
    <w:rsid w:val="00F16B90"/>
    <w:rsid w:val="00F16E48"/>
    <w:rsid w:val="00F17D74"/>
    <w:rsid w:val="00F22027"/>
    <w:rsid w:val="00F30BE8"/>
    <w:rsid w:val="00F30C4F"/>
    <w:rsid w:val="00F31585"/>
    <w:rsid w:val="00F31E91"/>
    <w:rsid w:val="00F34F19"/>
    <w:rsid w:val="00F36618"/>
    <w:rsid w:val="00F378AB"/>
    <w:rsid w:val="00F4164C"/>
    <w:rsid w:val="00F41C1A"/>
    <w:rsid w:val="00F428AB"/>
    <w:rsid w:val="00F43829"/>
    <w:rsid w:val="00F44A21"/>
    <w:rsid w:val="00F472E0"/>
    <w:rsid w:val="00F4757C"/>
    <w:rsid w:val="00F55C30"/>
    <w:rsid w:val="00F55F2E"/>
    <w:rsid w:val="00F575F0"/>
    <w:rsid w:val="00F60334"/>
    <w:rsid w:val="00F60F4F"/>
    <w:rsid w:val="00F64142"/>
    <w:rsid w:val="00F64203"/>
    <w:rsid w:val="00F6483E"/>
    <w:rsid w:val="00F65005"/>
    <w:rsid w:val="00F651FB"/>
    <w:rsid w:val="00F659F5"/>
    <w:rsid w:val="00F65D0E"/>
    <w:rsid w:val="00F6664C"/>
    <w:rsid w:val="00F667C1"/>
    <w:rsid w:val="00F726D1"/>
    <w:rsid w:val="00F7388E"/>
    <w:rsid w:val="00F750E7"/>
    <w:rsid w:val="00F75B8C"/>
    <w:rsid w:val="00F75FAE"/>
    <w:rsid w:val="00F77C5E"/>
    <w:rsid w:val="00F80AF1"/>
    <w:rsid w:val="00F8298C"/>
    <w:rsid w:val="00F83418"/>
    <w:rsid w:val="00F85850"/>
    <w:rsid w:val="00F85A9A"/>
    <w:rsid w:val="00F85EB5"/>
    <w:rsid w:val="00F86623"/>
    <w:rsid w:val="00F87624"/>
    <w:rsid w:val="00F90245"/>
    <w:rsid w:val="00F916E5"/>
    <w:rsid w:val="00F920D9"/>
    <w:rsid w:val="00F93192"/>
    <w:rsid w:val="00F94781"/>
    <w:rsid w:val="00F96048"/>
    <w:rsid w:val="00F96EF9"/>
    <w:rsid w:val="00FA00C5"/>
    <w:rsid w:val="00FA1EC2"/>
    <w:rsid w:val="00FA3FFA"/>
    <w:rsid w:val="00FA47FC"/>
    <w:rsid w:val="00FA5388"/>
    <w:rsid w:val="00FA5C53"/>
    <w:rsid w:val="00FB08E3"/>
    <w:rsid w:val="00FB2DF2"/>
    <w:rsid w:val="00FB5271"/>
    <w:rsid w:val="00FB6BF3"/>
    <w:rsid w:val="00FB743B"/>
    <w:rsid w:val="00FC5D60"/>
    <w:rsid w:val="00FD0C06"/>
    <w:rsid w:val="00FD2B92"/>
    <w:rsid w:val="00FD397B"/>
    <w:rsid w:val="00FD3AF3"/>
    <w:rsid w:val="00FD3F82"/>
    <w:rsid w:val="00FD4B01"/>
    <w:rsid w:val="00FD52F2"/>
    <w:rsid w:val="00FD77FC"/>
    <w:rsid w:val="00FD7CDC"/>
    <w:rsid w:val="00FE2197"/>
    <w:rsid w:val="00FE25B9"/>
    <w:rsid w:val="00FE58E0"/>
    <w:rsid w:val="00FE74D0"/>
    <w:rsid w:val="00FF0A84"/>
    <w:rsid w:val="00FF4CCF"/>
    <w:rsid w:val="00FF4E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7B241F"/>
  <w15:docId w15:val="{806958A8-F023-43C0-B11F-B90D2E60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632AE9"/>
    <w:pPr>
      <w:keepNext/>
      <w:keepLines/>
      <w:numPr>
        <w:numId w:val="7"/>
      </w:numPr>
      <w:pBdr>
        <w:bottom w:val="single" w:sz="8" w:space="1" w:color="A6A6A6" w:themeColor="background1" w:themeShade="A6"/>
      </w:pBdr>
      <w:spacing w:after="120" w:line="380" w:lineRule="atLeast"/>
      <w:outlineLvl w:val="0"/>
    </w:pPr>
    <w:rPr>
      <w:rFonts w:cstheme="minorHAnsi"/>
      <w:sz w:val="36"/>
      <w:szCs w:val="36"/>
    </w:rPr>
  </w:style>
  <w:style w:type="paragraph" w:styleId="Heading2">
    <w:name w:val="heading 2"/>
    <w:next w:val="Normal"/>
    <w:link w:val="Heading2Char"/>
    <w:autoRedefine/>
    <w:uiPriority w:val="1"/>
    <w:qFormat/>
    <w:rsid w:val="005A73A8"/>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32AE9"/>
    <w:rPr>
      <w:rFonts w:cstheme="minorHAnsi"/>
      <w:sz w:val="36"/>
      <w:szCs w:val="36"/>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5A73A8"/>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1A009F"/>
    <w:pPr>
      <w:tabs>
        <w:tab w:val="center" w:pos="2160"/>
        <w:tab w:val="left" w:pos="8655"/>
      </w:tabs>
      <w:spacing w:after="0" w:line="240" w:lineRule="auto"/>
      <w:ind w:left="3600" w:hanging="3600"/>
    </w:pPr>
    <w:rPr>
      <w:rFonts w:asciiTheme="majorHAnsi" w:hAnsiTheme="majorHAnsi" w:cstheme="majorHAnsi"/>
      <w:sz w:val="16"/>
    </w:rPr>
  </w:style>
  <w:style w:type="character" w:customStyle="1" w:styleId="FooterChar">
    <w:name w:val="Footer Char"/>
    <w:basedOn w:val="DefaultParagraphFont"/>
    <w:link w:val="Footer"/>
    <w:uiPriority w:val="99"/>
    <w:rsid w:val="001A009F"/>
    <w:rPr>
      <w:rFonts w:asciiTheme="majorHAnsi" w:hAnsiTheme="majorHAnsi" w:cstheme="majorHAnsi"/>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C54121"/>
    <w:pPr>
      <w:numPr>
        <w:numId w:val="14"/>
      </w:numPr>
      <w:spacing w:after="0" w:line="240" w:lineRule="auto"/>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8E2673"/>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5463E2"/>
    <w:pPr>
      <w:spacing w:after="0" w:line="240" w:lineRule="atLeast"/>
      <w:contextualSpacing/>
    </w:pPr>
    <w:rPr>
      <w:rFonts w:asciiTheme="majorHAnsi" w:hAnsiTheme="majorHAnsi" w:cstheme="majorHAnsi"/>
      <w:sz w:val="18"/>
    </w:rPr>
  </w:style>
  <w:style w:type="character" w:customStyle="1" w:styleId="FootnoteTextChar">
    <w:name w:val="Footnote Text Char"/>
    <w:basedOn w:val="DefaultParagraphFont"/>
    <w:link w:val="FootnoteText"/>
    <w:uiPriority w:val="7"/>
    <w:rsid w:val="005463E2"/>
    <w:rPr>
      <w:rFonts w:asciiTheme="majorHAnsi" w:hAnsiTheme="majorHAnsi" w:cstheme="majorHAnsi"/>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762782"/>
    <w:rPr>
      <w:sz w:val="16"/>
      <w:szCs w:val="16"/>
    </w:rPr>
  </w:style>
  <w:style w:type="paragraph" w:styleId="CommentText">
    <w:name w:val="annotation text"/>
    <w:basedOn w:val="Normal"/>
    <w:link w:val="CommentTextChar"/>
    <w:uiPriority w:val="99"/>
    <w:unhideWhenUsed/>
    <w:locked/>
    <w:rsid w:val="00762782"/>
    <w:pPr>
      <w:spacing w:line="240" w:lineRule="auto"/>
    </w:pPr>
    <w:rPr>
      <w:sz w:val="20"/>
      <w:szCs w:val="20"/>
    </w:rPr>
  </w:style>
  <w:style w:type="character" w:customStyle="1" w:styleId="CommentTextChar">
    <w:name w:val="Comment Text Char"/>
    <w:basedOn w:val="DefaultParagraphFont"/>
    <w:link w:val="CommentText"/>
    <w:uiPriority w:val="99"/>
    <w:rsid w:val="00762782"/>
    <w:rPr>
      <w:sz w:val="20"/>
      <w:szCs w:val="20"/>
    </w:rPr>
  </w:style>
  <w:style w:type="paragraph" w:styleId="CommentSubject">
    <w:name w:val="annotation subject"/>
    <w:basedOn w:val="CommentText"/>
    <w:next w:val="CommentText"/>
    <w:link w:val="CommentSubjectChar"/>
    <w:uiPriority w:val="99"/>
    <w:semiHidden/>
    <w:unhideWhenUsed/>
    <w:locked/>
    <w:rsid w:val="00762782"/>
    <w:rPr>
      <w:b/>
      <w:bCs/>
    </w:rPr>
  </w:style>
  <w:style w:type="character" w:customStyle="1" w:styleId="CommentSubjectChar">
    <w:name w:val="Comment Subject Char"/>
    <w:basedOn w:val="CommentTextChar"/>
    <w:link w:val="CommentSubject"/>
    <w:uiPriority w:val="99"/>
    <w:semiHidden/>
    <w:rsid w:val="00762782"/>
    <w:rPr>
      <w:b/>
      <w:bCs/>
      <w:sz w:val="20"/>
      <w:szCs w:val="20"/>
    </w:rPr>
  </w:style>
  <w:style w:type="paragraph" w:styleId="Revision">
    <w:name w:val="Revision"/>
    <w:hidden/>
    <w:uiPriority w:val="99"/>
    <w:semiHidden/>
    <w:rsid w:val="00034254"/>
    <w:pPr>
      <w:spacing w:after="0"/>
    </w:pPr>
  </w:style>
  <w:style w:type="character" w:styleId="FollowedHyperlink">
    <w:name w:val="FollowedHyperlink"/>
    <w:basedOn w:val="DefaultParagraphFont"/>
    <w:uiPriority w:val="99"/>
    <w:semiHidden/>
    <w:unhideWhenUsed/>
    <w:locked/>
    <w:rsid w:val="000863C0"/>
    <w:rPr>
      <w:color w:val="5D9732" w:themeColor="followedHyperlink"/>
      <w:u w:val="single"/>
    </w:rPr>
  </w:style>
  <w:style w:type="paragraph" w:styleId="PlainText">
    <w:name w:val="Plain Text"/>
    <w:basedOn w:val="Normal"/>
    <w:link w:val="PlainTextChar"/>
    <w:uiPriority w:val="99"/>
    <w:unhideWhenUsed/>
    <w:locked/>
    <w:rsid w:val="00F85EB5"/>
    <w:pPr>
      <w:spacing w:after="0" w:line="240" w:lineRule="auto"/>
    </w:pPr>
    <w:rPr>
      <w:rFonts w:ascii="Consolas" w:eastAsia="Calibri" w:hAnsi="Consolas" w:cs="Times New Roman"/>
      <w:color w:val="FF0000"/>
      <w:sz w:val="21"/>
      <w:szCs w:val="21"/>
    </w:rPr>
  </w:style>
  <w:style w:type="character" w:customStyle="1" w:styleId="PlainTextChar">
    <w:name w:val="Plain Text Char"/>
    <w:basedOn w:val="DefaultParagraphFont"/>
    <w:link w:val="PlainText"/>
    <w:uiPriority w:val="99"/>
    <w:rsid w:val="00F85EB5"/>
    <w:rPr>
      <w:rFonts w:ascii="Consolas" w:eastAsia="Calibri" w:hAnsi="Consolas" w:cs="Times New Roman"/>
      <w:color w:val="FF0000"/>
      <w:sz w:val="21"/>
      <w:szCs w:val="21"/>
    </w:rPr>
  </w:style>
  <w:style w:type="character" w:styleId="UnresolvedMention">
    <w:name w:val="Unresolved Mention"/>
    <w:basedOn w:val="DefaultParagraphFont"/>
    <w:uiPriority w:val="99"/>
    <w:semiHidden/>
    <w:unhideWhenUsed/>
    <w:rsid w:val="00BD7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643"/>
    <w:rsid w:val="000457E4"/>
    <w:rsid w:val="00072081"/>
    <w:rsid w:val="00103828"/>
    <w:rsid w:val="001040D6"/>
    <w:rsid w:val="00134E27"/>
    <w:rsid w:val="0014191B"/>
    <w:rsid w:val="00174B06"/>
    <w:rsid w:val="002055F7"/>
    <w:rsid w:val="00216BF1"/>
    <w:rsid w:val="00241D18"/>
    <w:rsid w:val="00281676"/>
    <w:rsid w:val="002D70BE"/>
    <w:rsid w:val="003157DD"/>
    <w:rsid w:val="003435F4"/>
    <w:rsid w:val="003968F5"/>
    <w:rsid w:val="004016E6"/>
    <w:rsid w:val="00416709"/>
    <w:rsid w:val="00430650"/>
    <w:rsid w:val="0046314D"/>
    <w:rsid w:val="00495D4D"/>
    <w:rsid w:val="004B54A4"/>
    <w:rsid w:val="004F0D4A"/>
    <w:rsid w:val="00523EA0"/>
    <w:rsid w:val="00577466"/>
    <w:rsid w:val="0061000A"/>
    <w:rsid w:val="0065501B"/>
    <w:rsid w:val="00671521"/>
    <w:rsid w:val="0070200B"/>
    <w:rsid w:val="00793F31"/>
    <w:rsid w:val="00845A4C"/>
    <w:rsid w:val="00886B47"/>
    <w:rsid w:val="008921FB"/>
    <w:rsid w:val="008A1535"/>
    <w:rsid w:val="008A2CF3"/>
    <w:rsid w:val="008A4A9E"/>
    <w:rsid w:val="008A56C9"/>
    <w:rsid w:val="008F4DE7"/>
    <w:rsid w:val="009476B0"/>
    <w:rsid w:val="00955471"/>
    <w:rsid w:val="0097548D"/>
    <w:rsid w:val="009E75B6"/>
    <w:rsid w:val="00A13052"/>
    <w:rsid w:val="00AE3AD9"/>
    <w:rsid w:val="00BA34D4"/>
    <w:rsid w:val="00BF1477"/>
    <w:rsid w:val="00C611AE"/>
    <w:rsid w:val="00D17918"/>
    <w:rsid w:val="00D5602D"/>
    <w:rsid w:val="00D92A98"/>
    <w:rsid w:val="00DB309F"/>
    <w:rsid w:val="00DC0AD0"/>
    <w:rsid w:val="00DC56E6"/>
    <w:rsid w:val="00E06825"/>
    <w:rsid w:val="00E076EF"/>
    <w:rsid w:val="00E46017"/>
    <w:rsid w:val="00EF7927"/>
    <w:rsid w:val="00F153BE"/>
    <w:rsid w:val="00F60F4F"/>
    <w:rsid w:val="00F736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5435</Words>
  <Characters>30983</Characters>
  <Application>Microsoft Office Word</Application>
  <DocSecurity>0</DocSecurity>
  <Lines>573</Lines>
  <Paragraphs>256</Paragraphs>
  <ScaleCrop>false</ScaleCrop>
  <HeadingPairs>
    <vt:vector size="2" baseType="variant">
      <vt:variant>
        <vt:lpstr>Title</vt:lpstr>
      </vt:variant>
      <vt:variant>
        <vt:i4>1</vt:i4>
      </vt:variant>
    </vt:vector>
  </HeadingPairs>
  <TitlesOfParts>
    <vt:vector size="1" baseType="lpstr">
      <vt:lpstr>Supporting Statement for DOE’s Title 17 Energy Financing Program</vt:lpstr>
    </vt:vector>
  </TitlesOfParts>
  <Company/>
  <LinksUpToDate>false</LinksUpToDate>
  <CharactersWithSpaces>36162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DOE’s Title 17 Energy Financing Program</dc:title>
  <dc:subject>Improving the Quality and Scope of EIA Data</dc:subject>
  <dc:creator>Stroud, Lawrence</dc:creator>
  <cp:lastModifiedBy>Oparah, Alexus (CONTR)</cp:lastModifiedBy>
  <cp:revision>2</cp:revision>
  <cp:lastPrinted>2026-03-11T20:20:00Z</cp:lastPrinted>
  <dcterms:created xsi:type="dcterms:W3CDTF">2026-05-28T16:55:00Z</dcterms:created>
  <dcterms:modified xsi:type="dcterms:W3CDTF">2026-05-28T16:55:00Z</dcterms:modified>
</cp:coreProperties>
</file>