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rPr>
          <w:noProof/>
        </w:rPr>
        <w:id w:val="37707067"/>
        <w:docPartObj>
          <w:docPartGallery w:val="Cover Pages"/>
        </w:docPartObj>
      </w:sdtPr>
      <w:sdtEndPr>
        <w:rPr>
          <w:noProof w:val="0"/>
        </w:rPr>
      </w:sdtEndPr>
      <w:sdtContent>
        <w:p w:rsidR="00041909" w:rsidP="00FE2197" w14:paraId="4CD19172" w14:textId="3174B107">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p>
      </w:sdtContent>
    </w:sdt>
    <w:p w:rsidR="00D928FD" w:rsidP="00D928FD" w14:paraId="1EC5B056" w14:textId="14498E46"/>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210A98A1" w14:textId="7F306B7E">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Chronic Beryllium Disease Prevention Program (64 FR 68854)</w:t>
          </w:r>
        </w:p>
      </w:sdtContent>
    </w:sdt>
    <w:p w:rsidR="0059212D" w:rsidRPr="00EE2CAF" w:rsidP="00EE2CAF" w14:paraId="2E8E139C" w14:textId="2B1F4DA5">
      <w:pPr>
        <w:pStyle w:val="Heading1"/>
      </w:pPr>
      <w:bookmarkStart w:id="0" w:name="_Toc184648831"/>
      <w:r w:rsidRPr="00EE2CAF">
        <w:t>Part A: Justification</w:t>
      </w:r>
      <w:bookmarkEnd w:id="0"/>
    </w:p>
    <w:p w:rsidR="008A3609" w:rsidRPr="009818F9" w:rsidP="008A3609" w14:paraId="7918DF31" w14:textId="35EBD572">
      <w:pPr>
        <w:rPr>
          <w:color w:val="A6A6A6" w:themeColor="background1" w:themeShade="A6"/>
          <w:sz w:val="36"/>
        </w:rPr>
      </w:pPr>
      <w:r>
        <w:rPr>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2901950</wp:posOffset>
                </wp:positionV>
                <wp:extent cx="6019800" cy="2822575"/>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2822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7C23" w:rsidP="00F52EB0" w14:textId="77777777">
                            <w:pPr>
                              <w:rPr>
                                <w:b/>
                                <w:bCs/>
                                <w:i/>
                                <w:sz w:val="24"/>
                                <w:szCs w:val="24"/>
                              </w:rPr>
                            </w:pPr>
                          </w:p>
                          <w:p w:rsidR="000A7C23" w:rsidRPr="00F52EB0" w:rsidP="00F52EB0" w14:textId="653B0815">
                            <w:pPr>
                              <w:rPr>
                                <w:b/>
                                <w:bCs/>
                                <w:i/>
                                <w:sz w:val="24"/>
                                <w:szCs w:val="24"/>
                              </w:rPr>
                            </w:pPr>
                            <w:r w:rsidRPr="00F52EB0">
                              <w:rPr>
                                <w:b/>
                                <w:bCs/>
                                <w:i/>
                                <w:sz w:val="24"/>
                                <w:szCs w:val="24"/>
                              </w:rPr>
                              <w:t>Collection Instruments</w:t>
                            </w:r>
                          </w:p>
                          <w:p w:rsidR="000A7C23" w:rsidRPr="00F52EB0" w:rsidP="00F52EB0" w14:textId="31DC0A39">
                            <w:pPr>
                              <w:rPr>
                                <w:i/>
                                <w:sz w:val="24"/>
                                <w:szCs w:val="24"/>
                              </w:rPr>
                            </w:pPr>
                            <w:r w:rsidRPr="00F52EB0">
                              <w:rPr>
                                <w:i/>
                                <w:sz w:val="24"/>
                                <w:szCs w:val="24"/>
                              </w:rPr>
                              <w:t>Annual Revision to CBDPP Plans</w:t>
                            </w:r>
                          </w:p>
                          <w:p w:rsidR="000A7C23" w:rsidRPr="00F52EB0" w:rsidP="00F52EB0" w14:textId="77777777">
                            <w:pPr>
                              <w:rPr>
                                <w:i/>
                                <w:sz w:val="24"/>
                                <w:szCs w:val="24"/>
                              </w:rPr>
                            </w:pPr>
                            <w:r w:rsidRPr="00F52EB0">
                              <w:rPr>
                                <w:i/>
                                <w:sz w:val="24"/>
                                <w:szCs w:val="24"/>
                              </w:rPr>
                              <w:t>Worker Notification of Monitoring Results</w:t>
                            </w:r>
                          </w:p>
                          <w:p w:rsidR="000A7C23" w:rsidRPr="00F52EB0" w:rsidP="00F52EB0" w14:textId="591336AD">
                            <w:pPr>
                              <w:rPr>
                                <w:i/>
                                <w:sz w:val="24"/>
                                <w:szCs w:val="24"/>
                              </w:rPr>
                            </w:pPr>
                            <w:r w:rsidRPr="00F52EB0">
                              <w:rPr>
                                <w:i/>
                                <w:sz w:val="24"/>
                                <w:szCs w:val="24"/>
                              </w:rPr>
                              <w:t>Signed Consent Forms for Medical Exams</w:t>
                            </w:r>
                            <w:r>
                              <w:rPr>
                                <w:i/>
                                <w:sz w:val="24"/>
                                <w:szCs w:val="24"/>
                              </w:rPr>
                              <w:t xml:space="preserve"> (DOE F 440.1)</w:t>
                            </w:r>
                          </w:p>
                          <w:p w:rsidR="000A7C23" w:rsidRPr="00F52EB0" w:rsidP="00F52EB0" w14:textId="77777777">
                            <w:pPr>
                              <w:rPr>
                                <w:i/>
                                <w:sz w:val="24"/>
                                <w:szCs w:val="24"/>
                              </w:rPr>
                            </w:pPr>
                            <w:r w:rsidRPr="00F52EB0">
                              <w:rPr>
                                <w:i/>
                                <w:sz w:val="24"/>
                                <w:szCs w:val="24"/>
                              </w:rPr>
                              <w:t>Maintain Beryllium Registry</w:t>
                            </w:r>
                          </w:p>
                          <w:p w:rsidR="000A7C23" w:rsidRPr="00F52EB0" w:rsidP="00F52EB0" w14:textId="77777777">
                            <w:pPr>
                              <w:rPr>
                                <w:i/>
                                <w:sz w:val="24"/>
                                <w:szCs w:val="24"/>
                              </w:rPr>
                            </w:pPr>
                            <w:r w:rsidRPr="00F52EB0">
                              <w:rPr>
                                <w:i/>
                                <w:sz w:val="24"/>
                                <w:szCs w:val="24"/>
                              </w:rPr>
                              <w:t>Annual Recordkeeping</w:t>
                            </w:r>
                          </w:p>
                          <w:p w:rsidR="000A7C23" w:rsidRPr="00F52EB0" w:rsidP="00F52EB0" w14:textId="321E70C7">
                            <w:pPr>
                              <w:rPr>
                                <w:i/>
                                <w:sz w:val="24"/>
                                <w:szCs w:val="24"/>
                              </w:rPr>
                            </w:pPr>
                            <w:r w:rsidRPr="00F52EB0">
                              <w:rPr>
                                <w:i/>
                                <w:sz w:val="24"/>
                                <w:szCs w:val="24"/>
                              </w:rPr>
                              <w:t>Annual Performance Feedback</w:t>
                            </w:r>
                          </w:p>
                          <w:p w:rsidR="000A7C23" w:rsidRPr="00F52EB0" w:rsidP="00FB6BF3" w14:textId="77777777">
                            <w:pPr>
                              <w:rPr>
                                <w:b/>
                                <w:bCs/>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22.25pt;margin-top:228.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0A7C23" w:rsidP="00F52EB0" w14:paraId="24B2025F" w14:textId="77777777">
                      <w:pPr>
                        <w:rPr>
                          <w:b/>
                          <w:bCs/>
                          <w:i/>
                          <w:sz w:val="24"/>
                          <w:szCs w:val="24"/>
                        </w:rPr>
                      </w:pPr>
                    </w:p>
                    <w:p w:rsidR="000A7C23" w:rsidRPr="00F52EB0" w:rsidP="00F52EB0" w14:paraId="61810665" w14:textId="653B0815">
                      <w:pPr>
                        <w:rPr>
                          <w:b/>
                          <w:bCs/>
                          <w:i/>
                          <w:sz w:val="24"/>
                          <w:szCs w:val="24"/>
                        </w:rPr>
                      </w:pPr>
                      <w:r w:rsidRPr="00F52EB0">
                        <w:rPr>
                          <w:b/>
                          <w:bCs/>
                          <w:i/>
                          <w:sz w:val="24"/>
                          <w:szCs w:val="24"/>
                        </w:rPr>
                        <w:t>Collection Instruments</w:t>
                      </w:r>
                    </w:p>
                    <w:p w:rsidR="000A7C23" w:rsidRPr="00F52EB0" w:rsidP="00F52EB0" w14:paraId="0ED39BD0" w14:textId="31DC0A39">
                      <w:pPr>
                        <w:rPr>
                          <w:i/>
                          <w:sz w:val="24"/>
                          <w:szCs w:val="24"/>
                        </w:rPr>
                      </w:pPr>
                      <w:r w:rsidRPr="00F52EB0">
                        <w:rPr>
                          <w:i/>
                          <w:sz w:val="24"/>
                          <w:szCs w:val="24"/>
                        </w:rPr>
                        <w:t>Annual Revision to CBDPP Plans</w:t>
                      </w:r>
                    </w:p>
                    <w:p w:rsidR="000A7C23" w:rsidRPr="00F52EB0" w:rsidP="00F52EB0" w14:paraId="670D44F7" w14:textId="77777777">
                      <w:pPr>
                        <w:rPr>
                          <w:i/>
                          <w:sz w:val="24"/>
                          <w:szCs w:val="24"/>
                        </w:rPr>
                      </w:pPr>
                      <w:r w:rsidRPr="00F52EB0">
                        <w:rPr>
                          <w:i/>
                          <w:sz w:val="24"/>
                          <w:szCs w:val="24"/>
                        </w:rPr>
                        <w:t>Worker Notification of Monitoring Results</w:t>
                      </w:r>
                    </w:p>
                    <w:p w:rsidR="000A7C23" w:rsidRPr="00F52EB0" w:rsidP="00F52EB0" w14:paraId="031B9FBC" w14:textId="591336AD">
                      <w:pPr>
                        <w:rPr>
                          <w:i/>
                          <w:sz w:val="24"/>
                          <w:szCs w:val="24"/>
                        </w:rPr>
                      </w:pPr>
                      <w:r w:rsidRPr="00F52EB0">
                        <w:rPr>
                          <w:i/>
                          <w:sz w:val="24"/>
                          <w:szCs w:val="24"/>
                        </w:rPr>
                        <w:t>Signed Consent Forms for Medical Exams</w:t>
                      </w:r>
                      <w:r>
                        <w:rPr>
                          <w:i/>
                          <w:sz w:val="24"/>
                          <w:szCs w:val="24"/>
                        </w:rPr>
                        <w:t xml:space="preserve"> (DOE F 440.1)</w:t>
                      </w:r>
                    </w:p>
                    <w:p w:rsidR="000A7C23" w:rsidRPr="00F52EB0" w:rsidP="00F52EB0" w14:paraId="55CBA744" w14:textId="77777777">
                      <w:pPr>
                        <w:rPr>
                          <w:i/>
                          <w:sz w:val="24"/>
                          <w:szCs w:val="24"/>
                        </w:rPr>
                      </w:pPr>
                      <w:r w:rsidRPr="00F52EB0">
                        <w:rPr>
                          <w:i/>
                          <w:sz w:val="24"/>
                          <w:szCs w:val="24"/>
                        </w:rPr>
                        <w:t>Maintain Beryllium Registry</w:t>
                      </w:r>
                    </w:p>
                    <w:p w:rsidR="000A7C23" w:rsidRPr="00F52EB0" w:rsidP="00F52EB0" w14:paraId="00DCCFD9" w14:textId="77777777">
                      <w:pPr>
                        <w:rPr>
                          <w:i/>
                          <w:sz w:val="24"/>
                          <w:szCs w:val="24"/>
                        </w:rPr>
                      </w:pPr>
                      <w:r w:rsidRPr="00F52EB0">
                        <w:rPr>
                          <w:i/>
                          <w:sz w:val="24"/>
                          <w:szCs w:val="24"/>
                        </w:rPr>
                        <w:t>Annual Recordkeeping</w:t>
                      </w:r>
                    </w:p>
                    <w:p w:rsidR="000A7C23" w:rsidRPr="00F52EB0" w:rsidP="00F52EB0" w14:paraId="5F2BBAF9" w14:textId="321E70C7">
                      <w:pPr>
                        <w:rPr>
                          <w:i/>
                          <w:sz w:val="24"/>
                          <w:szCs w:val="24"/>
                        </w:rPr>
                      </w:pPr>
                      <w:r w:rsidRPr="00F52EB0">
                        <w:rPr>
                          <w:i/>
                          <w:sz w:val="24"/>
                          <w:szCs w:val="24"/>
                        </w:rPr>
                        <w:t>Annual Performance Feedback</w:t>
                      </w:r>
                    </w:p>
                    <w:p w:rsidR="000A7C23" w:rsidRPr="00F52EB0" w:rsidP="00FB6BF3" w14:paraId="06D78AE8" w14:textId="77777777">
                      <w:pPr>
                        <w:rPr>
                          <w:b/>
                          <w:bCs/>
                          <w:i/>
                          <w:sz w:val="28"/>
                          <w:szCs w:val="28"/>
                        </w:rPr>
                      </w:pP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margin">
                  <wp:posOffset>3996193</wp:posOffset>
                </wp:positionV>
                <wp:extent cx="2377440" cy="497205"/>
                <wp:effectExtent l="0" t="0" r="0" b="381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7C23" w:rsidP="00F52EB0" w14:textId="4BD18DDA"/>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314.6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0A7C23" w:rsidP="00F52EB0" w14:paraId="6B60058E" w14:textId="4BD18DDA"/>
                  </w:txbxContent>
                </v:textbox>
                <w10:wrap type="square"/>
              </v:shape>
            </w:pict>
          </mc:Fallback>
        </mc:AlternateContent>
      </w:r>
      <w:r w:rsidRPr="00711414" w:rsidR="00711414">
        <w:rPr>
          <w:rFonts w:ascii="Times New Roman" w:hAnsi="Times New Roman" w:cs="Times New Roman"/>
          <w:b/>
          <w:sz w:val="36"/>
          <w:szCs w:val="36"/>
        </w:rPr>
        <w:t xml:space="preserve">OMB No. </w:t>
      </w:r>
      <w:r w:rsidRPr="0030256A" w:rsidR="0030256A">
        <w:rPr>
          <w:rFonts w:ascii="Times New Roman" w:hAnsi="Times New Roman" w:cs="Times New Roman"/>
          <w:b/>
          <w:sz w:val="36"/>
          <w:szCs w:val="36"/>
        </w:rPr>
        <w:t>1910-5112</w:t>
      </w:r>
    </w:p>
    <w:p w:rsidR="001F3A8F" w:rsidRPr="00711414" w:rsidP="00711414" w14:paraId="72887DA7" w14:textId="7C25FE62">
      <w:pPr>
        <w:rPr>
          <w:i/>
          <w:sz w:val="28"/>
          <w:szCs w:val="28"/>
        </w:rPr>
      </w:pPr>
      <w:r>
        <w:rPr>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7C23"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0A7C23" w:rsidRPr="00AA3D91" w:rsidP="00D001E4" w14:paraId="4543AB50"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7C23"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0A7C23" w:rsidP="00FE2197" w14:paraId="1017280F" w14:textId="77777777">
                      <w:pPr>
                        <w:spacing w:before="40" w:after="0"/>
                      </w:pPr>
                    </w:p>
                  </w:txbxContent>
                </v:textbox>
                <w10:wrap type="square"/>
              </v:shape>
            </w:pict>
          </mc:Fallback>
        </mc:AlternateContent>
      </w:r>
      <w:r w:rsidR="00711414">
        <w:rPr>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7C23" w:rsidRPr="008F4CBD" w:rsidP="006208FA" w14:textId="77777777">
                            <w:pPr>
                              <w:spacing w:after="0" w:line="240" w:lineRule="auto"/>
                              <w:jc w:val="right"/>
                              <w:rPr>
                                <w:color w:val="808080" w:themeColor="background1" w:themeShade="80"/>
                                <w:kern w:val="24"/>
                                <w:sz w:val="20"/>
                              </w:rPr>
                            </w:pPr>
                            <w:r w:rsidRPr="008F4CBD">
                              <w:rPr>
                                <w:color w:val="808080" w:themeColor="background1" w:themeShade="80"/>
                                <w:kern w:val="24"/>
                                <w:sz w:val="20"/>
                              </w:rPr>
                              <w:t>U.S. Department of Energy</w:t>
                            </w:r>
                          </w:p>
                          <w:p w:rsidR="000A7C23" w:rsidRPr="008F4CBD" w:rsidP="006208FA" w14:textId="77777777">
                            <w:pPr>
                              <w:spacing w:before="40" w:after="0" w:line="240" w:lineRule="auto"/>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0A7C23" w:rsidRPr="008F4CBD" w:rsidP="006208FA" w14:paraId="39AB2E7F" w14:textId="77777777">
                      <w:pPr>
                        <w:spacing w:after="0" w:line="240" w:lineRule="auto"/>
                        <w:jc w:val="right"/>
                        <w:rPr>
                          <w:color w:val="808080" w:themeColor="background1" w:themeShade="80"/>
                          <w:kern w:val="24"/>
                          <w:sz w:val="20"/>
                        </w:rPr>
                      </w:pPr>
                      <w:r w:rsidRPr="008F4CBD">
                        <w:rPr>
                          <w:color w:val="808080" w:themeColor="background1" w:themeShade="80"/>
                          <w:kern w:val="24"/>
                          <w:sz w:val="20"/>
                        </w:rPr>
                        <w:t>U.S. Department of Energy</w:t>
                      </w:r>
                    </w:p>
                    <w:p w:rsidR="000A7C23" w:rsidRPr="008F4CBD" w:rsidP="006208FA" w14:paraId="772387A3" w14:textId="77777777">
                      <w:pPr>
                        <w:spacing w:before="40" w:after="0" w:line="240" w:lineRule="auto"/>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7949641A" w14:textId="77777777">
      <w:pPr>
        <w:sectPr w:rsidSect="001F3A8F">
          <w:headerReference w:type="default" r:id="rId11"/>
          <w:footerReference w:type="default" r:id="rId12"/>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14:paraId="0F924424" w14:textId="77777777">
          <w:pPr>
            <w:pStyle w:val="TOCHeading"/>
          </w:pPr>
          <w:r>
            <w:t>Table of Contents</w:t>
          </w:r>
        </w:p>
        <w:p w:rsidR="00B30324" w14:paraId="50C51DC9" w14:textId="1DB24893">
          <w:pPr>
            <w:pStyle w:val="TOC1"/>
            <w:rPr>
              <w:rFonts w:eastAsiaTheme="minorEastAsia"/>
              <w:noProof/>
              <w:color w:val="auto"/>
              <w:kern w:val="2"/>
              <w:sz w:val="24"/>
              <w:szCs w:val="24"/>
              <w14:ligatures w14:val="standardContextual"/>
            </w:rPr>
          </w:pPr>
          <w:r>
            <w:fldChar w:fldCharType="begin"/>
          </w:r>
          <w:r>
            <w:instrText xml:space="preserve"> TOC \o "1-3" \h \z \u </w:instrText>
          </w:r>
          <w:r>
            <w:fldChar w:fldCharType="separate"/>
          </w:r>
          <w:hyperlink w:anchor="_Toc184648831" w:history="1">
            <w:r w:rsidRPr="00FC6505">
              <w:rPr>
                <w:rStyle w:val="Hyperlink"/>
                <w:noProof/>
              </w:rPr>
              <w:t>Part A: Justification</w:t>
            </w:r>
            <w:r>
              <w:rPr>
                <w:noProof/>
                <w:webHidden/>
              </w:rPr>
              <w:tab/>
            </w:r>
            <w:r>
              <w:rPr>
                <w:noProof/>
                <w:webHidden/>
              </w:rPr>
              <w:fldChar w:fldCharType="begin"/>
            </w:r>
            <w:r>
              <w:rPr>
                <w:noProof/>
                <w:webHidden/>
              </w:rPr>
              <w:instrText xml:space="preserve"> PAGEREF _Toc184648831 \h </w:instrText>
            </w:r>
            <w:r>
              <w:rPr>
                <w:noProof/>
                <w:webHidden/>
              </w:rPr>
              <w:fldChar w:fldCharType="separate"/>
            </w:r>
            <w:r>
              <w:rPr>
                <w:noProof/>
                <w:webHidden/>
              </w:rPr>
              <w:t>i</w:t>
            </w:r>
            <w:r>
              <w:rPr>
                <w:noProof/>
                <w:webHidden/>
              </w:rPr>
              <w:fldChar w:fldCharType="end"/>
            </w:r>
          </w:hyperlink>
        </w:p>
        <w:p w:rsidR="00B30324" w14:paraId="35147E0A" w14:textId="5192B099">
          <w:pPr>
            <w:pStyle w:val="TOC2"/>
            <w:rPr>
              <w:rFonts w:eastAsiaTheme="minorEastAsia"/>
              <w:noProof/>
              <w:color w:val="auto"/>
              <w:kern w:val="2"/>
              <w:sz w:val="24"/>
              <w:szCs w:val="24"/>
              <w14:ligatures w14:val="standardContextual"/>
            </w:rPr>
          </w:pPr>
          <w:hyperlink w:anchor="_Toc184648832" w:history="1">
            <w:r w:rsidRPr="00FC6505">
              <w:rPr>
                <w:rStyle w:val="Hyperlink"/>
                <w:noProof/>
              </w:rPr>
              <w:t>Introduction</w:t>
            </w:r>
            <w:r>
              <w:rPr>
                <w:noProof/>
                <w:webHidden/>
              </w:rPr>
              <w:tab/>
            </w:r>
            <w:r>
              <w:rPr>
                <w:noProof/>
                <w:webHidden/>
              </w:rPr>
              <w:fldChar w:fldCharType="begin"/>
            </w:r>
            <w:r>
              <w:rPr>
                <w:noProof/>
                <w:webHidden/>
              </w:rPr>
              <w:instrText xml:space="preserve"> PAGEREF _Toc184648832 \h </w:instrText>
            </w:r>
            <w:r>
              <w:rPr>
                <w:noProof/>
                <w:webHidden/>
              </w:rPr>
              <w:fldChar w:fldCharType="separate"/>
            </w:r>
            <w:r>
              <w:rPr>
                <w:noProof/>
                <w:webHidden/>
              </w:rPr>
              <w:t>1</w:t>
            </w:r>
            <w:r>
              <w:rPr>
                <w:noProof/>
                <w:webHidden/>
              </w:rPr>
              <w:fldChar w:fldCharType="end"/>
            </w:r>
          </w:hyperlink>
        </w:p>
        <w:p w:rsidR="00B30324" w14:paraId="6E340D30" w14:textId="7AF8A3EF">
          <w:pPr>
            <w:pStyle w:val="TOC2"/>
            <w:rPr>
              <w:rFonts w:eastAsiaTheme="minorEastAsia"/>
              <w:noProof/>
              <w:color w:val="auto"/>
              <w:kern w:val="2"/>
              <w:sz w:val="24"/>
              <w:szCs w:val="24"/>
              <w14:ligatures w14:val="standardContextual"/>
            </w:rPr>
          </w:pPr>
          <w:hyperlink w:anchor="_Toc184648833" w:history="1">
            <w:r w:rsidRPr="00FC6505">
              <w:rPr>
                <w:rStyle w:val="Hyperlink"/>
                <w:noProof/>
              </w:rPr>
              <w:t>A.1. Legal Justification</w:t>
            </w:r>
            <w:r>
              <w:rPr>
                <w:noProof/>
                <w:webHidden/>
              </w:rPr>
              <w:tab/>
            </w:r>
            <w:r>
              <w:rPr>
                <w:noProof/>
                <w:webHidden/>
              </w:rPr>
              <w:fldChar w:fldCharType="begin"/>
            </w:r>
            <w:r>
              <w:rPr>
                <w:noProof/>
                <w:webHidden/>
              </w:rPr>
              <w:instrText xml:space="preserve"> PAGEREF _Toc184648833 \h </w:instrText>
            </w:r>
            <w:r>
              <w:rPr>
                <w:noProof/>
                <w:webHidden/>
              </w:rPr>
              <w:fldChar w:fldCharType="separate"/>
            </w:r>
            <w:r>
              <w:rPr>
                <w:noProof/>
                <w:webHidden/>
              </w:rPr>
              <w:t>1</w:t>
            </w:r>
            <w:r>
              <w:rPr>
                <w:noProof/>
                <w:webHidden/>
              </w:rPr>
              <w:fldChar w:fldCharType="end"/>
            </w:r>
          </w:hyperlink>
        </w:p>
        <w:p w:rsidR="00B30324" w14:paraId="5DEAD62F" w14:textId="4036504D">
          <w:pPr>
            <w:pStyle w:val="TOC2"/>
            <w:rPr>
              <w:rFonts w:eastAsiaTheme="minorEastAsia"/>
              <w:noProof/>
              <w:color w:val="auto"/>
              <w:kern w:val="2"/>
              <w:sz w:val="24"/>
              <w:szCs w:val="24"/>
              <w14:ligatures w14:val="standardContextual"/>
            </w:rPr>
          </w:pPr>
          <w:hyperlink w:anchor="_Toc184648834" w:history="1">
            <w:r w:rsidRPr="00FC6505">
              <w:rPr>
                <w:rStyle w:val="Hyperlink"/>
                <w:noProof/>
              </w:rPr>
              <w:t>A.2. Needs and Uses of Data</w:t>
            </w:r>
            <w:r>
              <w:rPr>
                <w:noProof/>
                <w:webHidden/>
              </w:rPr>
              <w:tab/>
            </w:r>
            <w:r>
              <w:rPr>
                <w:noProof/>
                <w:webHidden/>
              </w:rPr>
              <w:fldChar w:fldCharType="begin"/>
            </w:r>
            <w:r>
              <w:rPr>
                <w:noProof/>
                <w:webHidden/>
              </w:rPr>
              <w:instrText xml:space="preserve"> PAGEREF _Toc184648834 \h </w:instrText>
            </w:r>
            <w:r>
              <w:rPr>
                <w:noProof/>
                <w:webHidden/>
              </w:rPr>
              <w:fldChar w:fldCharType="separate"/>
            </w:r>
            <w:r>
              <w:rPr>
                <w:noProof/>
                <w:webHidden/>
              </w:rPr>
              <w:t>2</w:t>
            </w:r>
            <w:r>
              <w:rPr>
                <w:noProof/>
                <w:webHidden/>
              </w:rPr>
              <w:fldChar w:fldCharType="end"/>
            </w:r>
          </w:hyperlink>
        </w:p>
        <w:p w:rsidR="00B30324" w14:paraId="1527AAB5" w14:textId="6A86E167">
          <w:pPr>
            <w:pStyle w:val="TOC2"/>
            <w:rPr>
              <w:rFonts w:eastAsiaTheme="minorEastAsia"/>
              <w:noProof/>
              <w:color w:val="auto"/>
              <w:kern w:val="2"/>
              <w:sz w:val="24"/>
              <w:szCs w:val="24"/>
              <w14:ligatures w14:val="standardContextual"/>
            </w:rPr>
          </w:pPr>
          <w:hyperlink w:anchor="_Toc184648835" w:history="1">
            <w:r w:rsidRPr="00FC6505">
              <w:rPr>
                <w:rStyle w:val="Hyperlink"/>
                <w:noProof/>
              </w:rPr>
              <w:t>A.3. Use of Technology</w:t>
            </w:r>
            <w:r>
              <w:rPr>
                <w:noProof/>
                <w:webHidden/>
              </w:rPr>
              <w:tab/>
            </w:r>
            <w:r>
              <w:rPr>
                <w:noProof/>
                <w:webHidden/>
              </w:rPr>
              <w:fldChar w:fldCharType="begin"/>
            </w:r>
            <w:r>
              <w:rPr>
                <w:noProof/>
                <w:webHidden/>
              </w:rPr>
              <w:instrText xml:space="preserve"> PAGEREF _Toc184648835 \h </w:instrText>
            </w:r>
            <w:r>
              <w:rPr>
                <w:noProof/>
                <w:webHidden/>
              </w:rPr>
              <w:fldChar w:fldCharType="separate"/>
            </w:r>
            <w:r>
              <w:rPr>
                <w:noProof/>
                <w:webHidden/>
              </w:rPr>
              <w:t>3</w:t>
            </w:r>
            <w:r>
              <w:rPr>
                <w:noProof/>
                <w:webHidden/>
              </w:rPr>
              <w:fldChar w:fldCharType="end"/>
            </w:r>
          </w:hyperlink>
        </w:p>
        <w:p w:rsidR="00B30324" w14:paraId="2DCCAF3B" w14:textId="620669A1">
          <w:pPr>
            <w:pStyle w:val="TOC2"/>
            <w:rPr>
              <w:rFonts w:eastAsiaTheme="minorEastAsia"/>
              <w:noProof/>
              <w:color w:val="auto"/>
              <w:kern w:val="2"/>
              <w:sz w:val="24"/>
              <w:szCs w:val="24"/>
              <w14:ligatures w14:val="standardContextual"/>
            </w:rPr>
          </w:pPr>
          <w:hyperlink w:anchor="_Toc184648836" w:history="1">
            <w:r w:rsidRPr="00FC6505">
              <w:rPr>
                <w:rStyle w:val="Hyperlink"/>
                <w:noProof/>
              </w:rPr>
              <w:t>A.4. Efforts to Identify Duplication</w:t>
            </w:r>
            <w:r>
              <w:rPr>
                <w:noProof/>
                <w:webHidden/>
              </w:rPr>
              <w:tab/>
            </w:r>
            <w:r>
              <w:rPr>
                <w:noProof/>
                <w:webHidden/>
              </w:rPr>
              <w:fldChar w:fldCharType="begin"/>
            </w:r>
            <w:r>
              <w:rPr>
                <w:noProof/>
                <w:webHidden/>
              </w:rPr>
              <w:instrText xml:space="preserve"> PAGEREF _Toc184648836 \h </w:instrText>
            </w:r>
            <w:r>
              <w:rPr>
                <w:noProof/>
                <w:webHidden/>
              </w:rPr>
              <w:fldChar w:fldCharType="separate"/>
            </w:r>
            <w:r>
              <w:rPr>
                <w:noProof/>
                <w:webHidden/>
              </w:rPr>
              <w:t>3</w:t>
            </w:r>
            <w:r>
              <w:rPr>
                <w:noProof/>
                <w:webHidden/>
              </w:rPr>
              <w:fldChar w:fldCharType="end"/>
            </w:r>
          </w:hyperlink>
        </w:p>
        <w:p w:rsidR="00B30324" w14:paraId="206B3D3B" w14:textId="0B9AD165">
          <w:pPr>
            <w:pStyle w:val="TOC2"/>
            <w:rPr>
              <w:rFonts w:eastAsiaTheme="minorEastAsia"/>
              <w:noProof/>
              <w:color w:val="auto"/>
              <w:kern w:val="2"/>
              <w:sz w:val="24"/>
              <w:szCs w:val="24"/>
              <w14:ligatures w14:val="standardContextual"/>
            </w:rPr>
          </w:pPr>
          <w:hyperlink w:anchor="_Toc184648837" w:history="1">
            <w:r w:rsidRPr="00FC6505">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_Toc184648837 \h </w:instrText>
            </w:r>
            <w:r>
              <w:rPr>
                <w:noProof/>
                <w:webHidden/>
              </w:rPr>
              <w:fldChar w:fldCharType="separate"/>
            </w:r>
            <w:r>
              <w:rPr>
                <w:noProof/>
                <w:webHidden/>
              </w:rPr>
              <w:t>3</w:t>
            </w:r>
            <w:r>
              <w:rPr>
                <w:noProof/>
                <w:webHidden/>
              </w:rPr>
              <w:fldChar w:fldCharType="end"/>
            </w:r>
          </w:hyperlink>
        </w:p>
        <w:p w:rsidR="00B30324" w14:paraId="4D18CF42" w14:textId="04551B4A">
          <w:pPr>
            <w:pStyle w:val="TOC2"/>
            <w:rPr>
              <w:rFonts w:eastAsiaTheme="minorEastAsia"/>
              <w:noProof/>
              <w:color w:val="auto"/>
              <w:kern w:val="2"/>
              <w:sz w:val="24"/>
              <w:szCs w:val="24"/>
              <w14:ligatures w14:val="standardContextual"/>
            </w:rPr>
          </w:pPr>
          <w:hyperlink w:anchor="_Toc184648838" w:history="1">
            <w:r w:rsidRPr="00FC6505">
              <w:rPr>
                <w:rStyle w:val="Hyperlink"/>
                <w:noProof/>
              </w:rPr>
              <w:t>A.6. Consequences of Less-Frequent Reporting</w:t>
            </w:r>
            <w:r>
              <w:rPr>
                <w:noProof/>
                <w:webHidden/>
              </w:rPr>
              <w:tab/>
            </w:r>
            <w:r>
              <w:rPr>
                <w:noProof/>
                <w:webHidden/>
              </w:rPr>
              <w:fldChar w:fldCharType="begin"/>
            </w:r>
            <w:r>
              <w:rPr>
                <w:noProof/>
                <w:webHidden/>
              </w:rPr>
              <w:instrText xml:space="preserve"> PAGEREF _Toc184648838 \h </w:instrText>
            </w:r>
            <w:r>
              <w:rPr>
                <w:noProof/>
                <w:webHidden/>
              </w:rPr>
              <w:fldChar w:fldCharType="separate"/>
            </w:r>
            <w:r>
              <w:rPr>
                <w:noProof/>
                <w:webHidden/>
              </w:rPr>
              <w:t>4</w:t>
            </w:r>
            <w:r>
              <w:rPr>
                <w:noProof/>
                <w:webHidden/>
              </w:rPr>
              <w:fldChar w:fldCharType="end"/>
            </w:r>
          </w:hyperlink>
        </w:p>
        <w:p w:rsidR="00B30324" w14:paraId="4BD3F41D" w14:textId="6D509C3D">
          <w:pPr>
            <w:pStyle w:val="TOC2"/>
            <w:rPr>
              <w:rFonts w:eastAsiaTheme="minorEastAsia"/>
              <w:noProof/>
              <w:color w:val="auto"/>
              <w:kern w:val="2"/>
              <w:sz w:val="24"/>
              <w:szCs w:val="24"/>
              <w14:ligatures w14:val="standardContextual"/>
            </w:rPr>
          </w:pPr>
          <w:hyperlink w:anchor="_Toc184648839" w:history="1">
            <w:r w:rsidRPr="00FC6505">
              <w:rPr>
                <w:rStyle w:val="Hyperlink"/>
                <w:noProof/>
              </w:rPr>
              <w:t>A.7. Compliance with 5 CFR 1320.5</w:t>
            </w:r>
            <w:r>
              <w:rPr>
                <w:noProof/>
                <w:webHidden/>
              </w:rPr>
              <w:tab/>
            </w:r>
            <w:r>
              <w:rPr>
                <w:noProof/>
                <w:webHidden/>
              </w:rPr>
              <w:fldChar w:fldCharType="begin"/>
            </w:r>
            <w:r>
              <w:rPr>
                <w:noProof/>
                <w:webHidden/>
              </w:rPr>
              <w:instrText xml:space="preserve"> PAGEREF _Toc184648839 \h </w:instrText>
            </w:r>
            <w:r>
              <w:rPr>
                <w:noProof/>
                <w:webHidden/>
              </w:rPr>
              <w:fldChar w:fldCharType="separate"/>
            </w:r>
            <w:r>
              <w:rPr>
                <w:noProof/>
                <w:webHidden/>
              </w:rPr>
              <w:t>4</w:t>
            </w:r>
            <w:r>
              <w:rPr>
                <w:noProof/>
                <w:webHidden/>
              </w:rPr>
              <w:fldChar w:fldCharType="end"/>
            </w:r>
          </w:hyperlink>
        </w:p>
        <w:p w:rsidR="00B30324" w14:paraId="1D48CDE9" w14:textId="7AA9C476">
          <w:pPr>
            <w:pStyle w:val="TOC2"/>
            <w:rPr>
              <w:rFonts w:eastAsiaTheme="minorEastAsia"/>
              <w:noProof/>
              <w:color w:val="auto"/>
              <w:kern w:val="2"/>
              <w:sz w:val="24"/>
              <w:szCs w:val="24"/>
              <w14:ligatures w14:val="standardContextual"/>
            </w:rPr>
          </w:pPr>
          <w:hyperlink w:anchor="_Toc184648840" w:history="1">
            <w:r w:rsidRPr="00FC6505">
              <w:rPr>
                <w:rStyle w:val="Hyperlink"/>
                <w:noProof/>
              </w:rPr>
              <w:t>A.8. Summary of Consultations Outside of the Agency</w:t>
            </w:r>
            <w:r>
              <w:rPr>
                <w:noProof/>
                <w:webHidden/>
              </w:rPr>
              <w:tab/>
            </w:r>
            <w:r>
              <w:rPr>
                <w:noProof/>
                <w:webHidden/>
              </w:rPr>
              <w:fldChar w:fldCharType="begin"/>
            </w:r>
            <w:r>
              <w:rPr>
                <w:noProof/>
                <w:webHidden/>
              </w:rPr>
              <w:instrText xml:space="preserve"> PAGEREF _Toc184648840 \h </w:instrText>
            </w:r>
            <w:r>
              <w:rPr>
                <w:noProof/>
                <w:webHidden/>
              </w:rPr>
              <w:fldChar w:fldCharType="separate"/>
            </w:r>
            <w:r>
              <w:rPr>
                <w:noProof/>
                <w:webHidden/>
              </w:rPr>
              <w:t>5</w:t>
            </w:r>
            <w:r>
              <w:rPr>
                <w:noProof/>
                <w:webHidden/>
              </w:rPr>
              <w:fldChar w:fldCharType="end"/>
            </w:r>
          </w:hyperlink>
        </w:p>
        <w:p w:rsidR="00B30324" w14:paraId="0D10212A" w14:textId="7C74127F">
          <w:pPr>
            <w:pStyle w:val="TOC2"/>
            <w:rPr>
              <w:rFonts w:eastAsiaTheme="minorEastAsia"/>
              <w:noProof/>
              <w:color w:val="auto"/>
              <w:kern w:val="2"/>
              <w:sz w:val="24"/>
              <w:szCs w:val="24"/>
              <w14:ligatures w14:val="standardContextual"/>
            </w:rPr>
          </w:pPr>
          <w:hyperlink w:anchor="_Toc184648841" w:history="1">
            <w:r w:rsidRPr="00FC6505">
              <w:rPr>
                <w:rStyle w:val="Hyperlink"/>
                <w:noProof/>
              </w:rPr>
              <w:t>A.9. Payments or Gifts to Respondents</w:t>
            </w:r>
            <w:r>
              <w:rPr>
                <w:noProof/>
                <w:webHidden/>
              </w:rPr>
              <w:tab/>
            </w:r>
            <w:r>
              <w:rPr>
                <w:noProof/>
                <w:webHidden/>
              </w:rPr>
              <w:fldChar w:fldCharType="begin"/>
            </w:r>
            <w:r>
              <w:rPr>
                <w:noProof/>
                <w:webHidden/>
              </w:rPr>
              <w:instrText xml:space="preserve"> PAGEREF _Toc184648841 \h </w:instrText>
            </w:r>
            <w:r>
              <w:rPr>
                <w:noProof/>
                <w:webHidden/>
              </w:rPr>
              <w:fldChar w:fldCharType="separate"/>
            </w:r>
            <w:r>
              <w:rPr>
                <w:noProof/>
                <w:webHidden/>
              </w:rPr>
              <w:t>6</w:t>
            </w:r>
            <w:r>
              <w:rPr>
                <w:noProof/>
                <w:webHidden/>
              </w:rPr>
              <w:fldChar w:fldCharType="end"/>
            </w:r>
          </w:hyperlink>
        </w:p>
        <w:p w:rsidR="00B30324" w14:paraId="3ED5009B" w14:textId="0C72D628">
          <w:pPr>
            <w:pStyle w:val="TOC2"/>
            <w:rPr>
              <w:rFonts w:eastAsiaTheme="minorEastAsia"/>
              <w:noProof/>
              <w:color w:val="auto"/>
              <w:kern w:val="2"/>
              <w:sz w:val="24"/>
              <w:szCs w:val="24"/>
              <w14:ligatures w14:val="standardContextual"/>
            </w:rPr>
          </w:pPr>
          <w:hyperlink w:anchor="_Toc184648842" w:history="1">
            <w:r w:rsidRPr="00FC6505">
              <w:rPr>
                <w:rStyle w:val="Hyperlink"/>
                <w:noProof/>
              </w:rPr>
              <w:t>A.10. Provisions for Protection of Information</w:t>
            </w:r>
            <w:r>
              <w:rPr>
                <w:noProof/>
                <w:webHidden/>
              </w:rPr>
              <w:tab/>
            </w:r>
            <w:r>
              <w:rPr>
                <w:noProof/>
                <w:webHidden/>
              </w:rPr>
              <w:fldChar w:fldCharType="begin"/>
            </w:r>
            <w:r>
              <w:rPr>
                <w:noProof/>
                <w:webHidden/>
              </w:rPr>
              <w:instrText xml:space="preserve"> PAGEREF _Toc184648842 \h </w:instrText>
            </w:r>
            <w:r>
              <w:rPr>
                <w:noProof/>
                <w:webHidden/>
              </w:rPr>
              <w:fldChar w:fldCharType="separate"/>
            </w:r>
            <w:r>
              <w:rPr>
                <w:noProof/>
                <w:webHidden/>
              </w:rPr>
              <w:t>6</w:t>
            </w:r>
            <w:r>
              <w:rPr>
                <w:noProof/>
                <w:webHidden/>
              </w:rPr>
              <w:fldChar w:fldCharType="end"/>
            </w:r>
          </w:hyperlink>
        </w:p>
        <w:p w:rsidR="00B30324" w14:paraId="0C850491" w14:textId="118FBBE4">
          <w:pPr>
            <w:pStyle w:val="TOC2"/>
            <w:rPr>
              <w:rFonts w:eastAsiaTheme="minorEastAsia"/>
              <w:noProof/>
              <w:color w:val="auto"/>
              <w:kern w:val="2"/>
              <w:sz w:val="24"/>
              <w:szCs w:val="24"/>
              <w14:ligatures w14:val="standardContextual"/>
            </w:rPr>
          </w:pPr>
          <w:hyperlink w:anchor="_Toc184648843" w:history="1">
            <w:r w:rsidRPr="00FC6505">
              <w:rPr>
                <w:rStyle w:val="Hyperlink"/>
                <w:noProof/>
              </w:rPr>
              <w:t>A.11. Justification for Sensitive Questions</w:t>
            </w:r>
            <w:r>
              <w:rPr>
                <w:noProof/>
                <w:webHidden/>
              </w:rPr>
              <w:tab/>
            </w:r>
            <w:r>
              <w:rPr>
                <w:noProof/>
                <w:webHidden/>
              </w:rPr>
              <w:fldChar w:fldCharType="begin"/>
            </w:r>
            <w:r>
              <w:rPr>
                <w:noProof/>
                <w:webHidden/>
              </w:rPr>
              <w:instrText xml:space="preserve"> PAGEREF _Toc184648843 \h </w:instrText>
            </w:r>
            <w:r>
              <w:rPr>
                <w:noProof/>
                <w:webHidden/>
              </w:rPr>
              <w:fldChar w:fldCharType="separate"/>
            </w:r>
            <w:r>
              <w:rPr>
                <w:noProof/>
                <w:webHidden/>
              </w:rPr>
              <w:t>6</w:t>
            </w:r>
            <w:r>
              <w:rPr>
                <w:noProof/>
                <w:webHidden/>
              </w:rPr>
              <w:fldChar w:fldCharType="end"/>
            </w:r>
          </w:hyperlink>
        </w:p>
        <w:p w:rsidR="00B30324" w14:paraId="660CE260" w14:textId="7436AB28">
          <w:pPr>
            <w:pStyle w:val="TOC2"/>
            <w:rPr>
              <w:rFonts w:eastAsiaTheme="minorEastAsia"/>
              <w:noProof/>
              <w:color w:val="auto"/>
              <w:kern w:val="2"/>
              <w:sz w:val="24"/>
              <w:szCs w:val="24"/>
              <w14:ligatures w14:val="standardContextual"/>
            </w:rPr>
          </w:pPr>
          <w:hyperlink w:anchor="_Toc184648844" w:history="1">
            <w:r w:rsidRPr="00FC6505">
              <w:rPr>
                <w:rStyle w:val="Hyperlink"/>
                <w:noProof/>
              </w:rPr>
              <w:t>A.12A. Estimate of Respondent Burden Hours</w:t>
            </w:r>
            <w:r>
              <w:rPr>
                <w:noProof/>
                <w:webHidden/>
              </w:rPr>
              <w:tab/>
            </w:r>
            <w:r>
              <w:rPr>
                <w:noProof/>
                <w:webHidden/>
              </w:rPr>
              <w:fldChar w:fldCharType="begin"/>
            </w:r>
            <w:r>
              <w:rPr>
                <w:noProof/>
                <w:webHidden/>
              </w:rPr>
              <w:instrText xml:space="preserve"> PAGEREF _Toc184648844 \h </w:instrText>
            </w:r>
            <w:r>
              <w:rPr>
                <w:noProof/>
                <w:webHidden/>
              </w:rPr>
              <w:fldChar w:fldCharType="separate"/>
            </w:r>
            <w:r>
              <w:rPr>
                <w:noProof/>
                <w:webHidden/>
              </w:rPr>
              <w:t>6</w:t>
            </w:r>
            <w:r>
              <w:rPr>
                <w:noProof/>
                <w:webHidden/>
              </w:rPr>
              <w:fldChar w:fldCharType="end"/>
            </w:r>
          </w:hyperlink>
        </w:p>
        <w:p w:rsidR="00B30324" w14:paraId="17556374" w14:textId="7D77AA65">
          <w:pPr>
            <w:pStyle w:val="TOC3"/>
            <w:rPr>
              <w:rFonts w:eastAsiaTheme="minorEastAsia"/>
              <w:noProof/>
              <w:color w:val="auto"/>
              <w:kern w:val="2"/>
              <w:sz w:val="24"/>
              <w:szCs w:val="24"/>
              <w14:ligatures w14:val="standardContextual"/>
            </w:rPr>
          </w:pPr>
          <w:hyperlink w:anchor="_Toc184648845" w:history="1">
            <w:r w:rsidRPr="00FC6505">
              <w:rPr>
                <w:rStyle w:val="Hyperlink"/>
                <w:noProof/>
              </w:rPr>
              <w:t>Burden Calculation Verification</w:t>
            </w:r>
            <w:r>
              <w:rPr>
                <w:noProof/>
                <w:webHidden/>
              </w:rPr>
              <w:tab/>
            </w:r>
            <w:r>
              <w:rPr>
                <w:noProof/>
                <w:webHidden/>
              </w:rPr>
              <w:fldChar w:fldCharType="begin"/>
            </w:r>
            <w:r>
              <w:rPr>
                <w:noProof/>
                <w:webHidden/>
              </w:rPr>
              <w:instrText xml:space="preserve"> PAGEREF _Toc184648845 \h </w:instrText>
            </w:r>
            <w:r>
              <w:rPr>
                <w:noProof/>
                <w:webHidden/>
              </w:rPr>
              <w:fldChar w:fldCharType="separate"/>
            </w:r>
            <w:r>
              <w:rPr>
                <w:noProof/>
                <w:webHidden/>
              </w:rPr>
              <w:t>7</w:t>
            </w:r>
            <w:r>
              <w:rPr>
                <w:noProof/>
                <w:webHidden/>
              </w:rPr>
              <w:fldChar w:fldCharType="end"/>
            </w:r>
          </w:hyperlink>
        </w:p>
        <w:p w:rsidR="00B30324" w14:paraId="41D5262B" w14:textId="12AFEFDD">
          <w:pPr>
            <w:pStyle w:val="TOC3"/>
            <w:rPr>
              <w:rFonts w:eastAsiaTheme="minorEastAsia"/>
              <w:noProof/>
              <w:color w:val="auto"/>
              <w:kern w:val="2"/>
              <w:sz w:val="24"/>
              <w:szCs w:val="24"/>
              <w14:ligatures w14:val="standardContextual"/>
            </w:rPr>
          </w:pPr>
          <w:hyperlink w:anchor="_Toc184648846" w:history="1">
            <w:r w:rsidRPr="00FC6505">
              <w:rPr>
                <w:rStyle w:val="Hyperlink"/>
                <w:noProof/>
              </w:rPr>
              <w:t>Respondents</w:t>
            </w:r>
            <w:r>
              <w:rPr>
                <w:noProof/>
                <w:webHidden/>
              </w:rPr>
              <w:tab/>
            </w:r>
            <w:r>
              <w:rPr>
                <w:noProof/>
                <w:webHidden/>
              </w:rPr>
              <w:fldChar w:fldCharType="begin"/>
            </w:r>
            <w:r>
              <w:rPr>
                <w:noProof/>
                <w:webHidden/>
              </w:rPr>
              <w:instrText xml:space="preserve"> PAGEREF _Toc184648846 \h </w:instrText>
            </w:r>
            <w:r>
              <w:rPr>
                <w:noProof/>
                <w:webHidden/>
              </w:rPr>
              <w:fldChar w:fldCharType="separate"/>
            </w:r>
            <w:r>
              <w:rPr>
                <w:noProof/>
                <w:webHidden/>
              </w:rPr>
              <w:t>7</w:t>
            </w:r>
            <w:r>
              <w:rPr>
                <w:noProof/>
                <w:webHidden/>
              </w:rPr>
              <w:fldChar w:fldCharType="end"/>
            </w:r>
          </w:hyperlink>
        </w:p>
        <w:p w:rsidR="00B30324" w14:paraId="29260EF9" w14:textId="738C7709">
          <w:pPr>
            <w:pStyle w:val="TOC3"/>
            <w:rPr>
              <w:rFonts w:eastAsiaTheme="minorEastAsia"/>
              <w:noProof/>
              <w:color w:val="auto"/>
              <w:kern w:val="2"/>
              <w:sz w:val="24"/>
              <w:szCs w:val="24"/>
              <w14:ligatures w14:val="standardContextual"/>
            </w:rPr>
          </w:pPr>
          <w:hyperlink w:anchor="_Toc184648847" w:history="1">
            <w:r w:rsidRPr="00FC6505">
              <w:rPr>
                <w:rStyle w:val="Hyperlink"/>
                <w:noProof/>
              </w:rPr>
              <w:t>Responses</w:t>
            </w:r>
            <w:r>
              <w:rPr>
                <w:noProof/>
                <w:webHidden/>
              </w:rPr>
              <w:tab/>
            </w:r>
            <w:r>
              <w:rPr>
                <w:noProof/>
                <w:webHidden/>
              </w:rPr>
              <w:fldChar w:fldCharType="begin"/>
            </w:r>
            <w:r>
              <w:rPr>
                <w:noProof/>
                <w:webHidden/>
              </w:rPr>
              <w:instrText xml:space="preserve"> PAGEREF _Toc184648847 \h </w:instrText>
            </w:r>
            <w:r>
              <w:rPr>
                <w:noProof/>
                <w:webHidden/>
              </w:rPr>
              <w:fldChar w:fldCharType="separate"/>
            </w:r>
            <w:r>
              <w:rPr>
                <w:noProof/>
                <w:webHidden/>
              </w:rPr>
              <w:t>7</w:t>
            </w:r>
            <w:r>
              <w:rPr>
                <w:noProof/>
                <w:webHidden/>
              </w:rPr>
              <w:fldChar w:fldCharType="end"/>
            </w:r>
          </w:hyperlink>
        </w:p>
        <w:p w:rsidR="00B30324" w14:paraId="341927A5" w14:textId="60ACAA4A">
          <w:pPr>
            <w:pStyle w:val="TOC3"/>
            <w:rPr>
              <w:rFonts w:eastAsiaTheme="minorEastAsia"/>
              <w:noProof/>
              <w:color w:val="auto"/>
              <w:kern w:val="2"/>
              <w:sz w:val="24"/>
              <w:szCs w:val="24"/>
              <w14:ligatures w14:val="standardContextual"/>
            </w:rPr>
          </w:pPr>
          <w:hyperlink w:anchor="_Toc184648848" w:history="1">
            <w:r w:rsidRPr="00FC6505">
              <w:rPr>
                <w:rStyle w:val="Hyperlink"/>
                <w:noProof/>
              </w:rPr>
              <w:t>Electronic Responses</w:t>
            </w:r>
            <w:r>
              <w:rPr>
                <w:noProof/>
                <w:webHidden/>
              </w:rPr>
              <w:tab/>
            </w:r>
            <w:r>
              <w:rPr>
                <w:noProof/>
                <w:webHidden/>
              </w:rPr>
              <w:fldChar w:fldCharType="begin"/>
            </w:r>
            <w:r>
              <w:rPr>
                <w:noProof/>
                <w:webHidden/>
              </w:rPr>
              <w:instrText xml:space="preserve"> PAGEREF _Toc184648848 \h </w:instrText>
            </w:r>
            <w:r>
              <w:rPr>
                <w:noProof/>
                <w:webHidden/>
              </w:rPr>
              <w:fldChar w:fldCharType="separate"/>
            </w:r>
            <w:r>
              <w:rPr>
                <w:noProof/>
                <w:webHidden/>
              </w:rPr>
              <w:t>8</w:t>
            </w:r>
            <w:r>
              <w:rPr>
                <w:noProof/>
                <w:webHidden/>
              </w:rPr>
              <w:fldChar w:fldCharType="end"/>
            </w:r>
          </w:hyperlink>
        </w:p>
        <w:p w:rsidR="00B30324" w14:paraId="4412BFD4" w14:textId="0E1BBC02">
          <w:pPr>
            <w:pStyle w:val="TOC3"/>
            <w:rPr>
              <w:rFonts w:eastAsiaTheme="minorEastAsia"/>
              <w:noProof/>
              <w:color w:val="auto"/>
              <w:kern w:val="2"/>
              <w:sz w:val="24"/>
              <w:szCs w:val="24"/>
              <w14:ligatures w14:val="standardContextual"/>
            </w:rPr>
          </w:pPr>
          <w:hyperlink w:anchor="_Toc184648849" w:history="1">
            <w:r w:rsidRPr="00FC6505">
              <w:rPr>
                <w:rStyle w:val="Hyperlink"/>
                <w:noProof/>
              </w:rPr>
              <w:t>Burden Hours</w:t>
            </w:r>
            <w:r>
              <w:rPr>
                <w:noProof/>
                <w:webHidden/>
              </w:rPr>
              <w:tab/>
            </w:r>
            <w:r>
              <w:rPr>
                <w:noProof/>
                <w:webHidden/>
              </w:rPr>
              <w:fldChar w:fldCharType="begin"/>
            </w:r>
            <w:r>
              <w:rPr>
                <w:noProof/>
                <w:webHidden/>
              </w:rPr>
              <w:instrText xml:space="preserve"> PAGEREF _Toc184648849 \h </w:instrText>
            </w:r>
            <w:r>
              <w:rPr>
                <w:noProof/>
                <w:webHidden/>
              </w:rPr>
              <w:fldChar w:fldCharType="separate"/>
            </w:r>
            <w:r>
              <w:rPr>
                <w:noProof/>
                <w:webHidden/>
              </w:rPr>
              <w:t>8</w:t>
            </w:r>
            <w:r>
              <w:rPr>
                <w:noProof/>
                <w:webHidden/>
              </w:rPr>
              <w:fldChar w:fldCharType="end"/>
            </w:r>
          </w:hyperlink>
        </w:p>
        <w:p w:rsidR="00B30324" w14:paraId="1E560E85" w14:textId="0F32EAF4">
          <w:pPr>
            <w:pStyle w:val="TOC2"/>
            <w:rPr>
              <w:rFonts w:eastAsiaTheme="minorEastAsia"/>
              <w:noProof/>
              <w:color w:val="auto"/>
              <w:kern w:val="2"/>
              <w:sz w:val="24"/>
              <w:szCs w:val="24"/>
              <w14:ligatures w14:val="standardContextual"/>
            </w:rPr>
          </w:pPr>
          <w:hyperlink w:anchor="_Toc184648850" w:history="1">
            <w:r w:rsidRPr="00FC6505">
              <w:rPr>
                <w:rStyle w:val="Hyperlink"/>
                <w:noProof/>
              </w:rPr>
              <w:t>A.12B. Estimate of Annual Cost to Respondent for Burden Hours</w:t>
            </w:r>
            <w:r>
              <w:rPr>
                <w:noProof/>
                <w:webHidden/>
              </w:rPr>
              <w:tab/>
            </w:r>
            <w:r>
              <w:rPr>
                <w:noProof/>
                <w:webHidden/>
              </w:rPr>
              <w:fldChar w:fldCharType="begin"/>
            </w:r>
            <w:r>
              <w:rPr>
                <w:noProof/>
                <w:webHidden/>
              </w:rPr>
              <w:instrText xml:space="preserve"> PAGEREF _Toc184648850 \h </w:instrText>
            </w:r>
            <w:r>
              <w:rPr>
                <w:noProof/>
                <w:webHidden/>
              </w:rPr>
              <w:fldChar w:fldCharType="separate"/>
            </w:r>
            <w:r>
              <w:rPr>
                <w:noProof/>
                <w:webHidden/>
              </w:rPr>
              <w:t>10</w:t>
            </w:r>
            <w:r>
              <w:rPr>
                <w:noProof/>
                <w:webHidden/>
              </w:rPr>
              <w:fldChar w:fldCharType="end"/>
            </w:r>
          </w:hyperlink>
        </w:p>
        <w:p w:rsidR="00B30324" w14:paraId="6677CA5F" w14:textId="4E2C25A3">
          <w:pPr>
            <w:pStyle w:val="TOC2"/>
            <w:rPr>
              <w:rFonts w:eastAsiaTheme="minorEastAsia"/>
              <w:noProof/>
              <w:color w:val="auto"/>
              <w:kern w:val="2"/>
              <w:sz w:val="24"/>
              <w:szCs w:val="24"/>
              <w14:ligatures w14:val="standardContextual"/>
            </w:rPr>
          </w:pPr>
          <w:hyperlink w:anchor="_Toc184648851" w:history="1">
            <w:r w:rsidRPr="00FC6505">
              <w:rPr>
                <w:rStyle w:val="Hyperlink"/>
                <w:noProof/>
              </w:rPr>
              <w:t>A.13. Other Estimated Annual Cost to Respondents</w:t>
            </w:r>
            <w:r>
              <w:rPr>
                <w:noProof/>
                <w:webHidden/>
              </w:rPr>
              <w:tab/>
            </w:r>
            <w:r>
              <w:rPr>
                <w:noProof/>
                <w:webHidden/>
              </w:rPr>
              <w:fldChar w:fldCharType="begin"/>
            </w:r>
            <w:r>
              <w:rPr>
                <w:noProof/>
                <w:webHidden/>
              </w:rPr>
              <w:instrText xml:space="preserve"> PAGEREF _Toc184648851 \h </w:instrText>
            </w:r>
            <w:r>
              <w:rPr>
                <w:noProof/>
                <w:webHidden/>
              </w:rPr>
              <w:fldChar w:fldCharType="separate"/>
            </w:r>
            <w:r>
              <w:rPr>
                <w:noProof/>
                <w:webHidden/>
              </w:rPr>
              <w:t>11</w:t>
            </w:r>
            <w:r>
              <w:rPr>
                <w:noProof/>
                <w:webHidden/>
              </w:rPr>
              <w:fldChar w:fldCharType="end"/>
            </w:r>
          </w:hyperlink>
        </w:p>
        <w:p w:rsidR="00B30324" w14:paraId="1C9B9859" w14:textId="25377AD5">
          <w:pPr>
            <w:pStyle w:val="TOC2"/>
            <w:rPr>
              <w:rFonts w:eastAsiaTheme="minorEastAsia"/>
              <w:noProof/>
              <w:color w:val="auto"/>
              <w:kern w:val="2"/>
              <w:sz w:val="24"/>
              <w:szCs w:val="24"/>
              <w14:ligatures w14:val="standardContextual"/>
            </w:rPr>
          </w:pPr>
          <w:hyperlink w:anchor="_Toc184648852" w:history="1">
            <w:r w:rsidRPr="00FC6505">
              <w:rPr>
                <w:rStyle w:val="Hyperlink"/>
                <w:noProof/>
              </w:rPr>
              <w:t>A.14. Annual Cost to the Federal Government</w:t>
            </w:r>
            <w:r>
              <w:rPr>
                <w:noProof/>
                <w:webHidden/>
              </w:rPr>
              <w:tab/>
            </w:r>
            <w:r>
              <w:rPr>
                <w:noProof/>
                <w:webHidden/>
              </w:rPr>
              <w:fldChar w:fldCharType="begin"/>
            </w:r>
            <w:r>
              <w:rPr>
                <w:noProof/>
                <w:webHidden/>
              </w:rPr>
              <w:instrText xml:space="preserve"> PAGEREF _Toc184648852 \h </w:instrText>
            </w:r>
            <w:r>
              <w:rPr>
                <w:noProof/>
                <w:webHidden/>
              </w:rPr>
              <w:fldChar w:fldCharType="separate"/>
            </w:r>
            <w:r>
              <w:rPr>
                <w:noProof/>
                <w:webHidden/>
              </w:rPr>
              <w:t>11</w:t>
            </w:r>
            <w:r>
              <w:rPr>
                <w:noProof/>
                <w:webHidden/>
              </w:rPr>
              <w:fldChar w:fldCharType="end"/>
            </w:r>
          </w:hyperlink>
        </w:p>
        <w:p w:rsidR="00B30324" w14:paraId="18304F26" w14:textId="412F33A3">
          <w:pPr>
            <w:pStyle w:val="TOC2"/>
            <w:rPr>
              <w:rFonts w:eastAsiaTheme="minorEastAsia"/>
              <w:noProof/>
              <w:color w:val="auto"/>
              <w:kern w:val="2"/>
              <w:sz w:val="24"/>
              <w:szCs w:val="24"/>
              <w14:ligatures w14:val="standardContextual"/>
            </w:rPr>
          </w:pPr>
          <w:hyperlink w:anchor="_Toc184648853" w:history="1">
            <w:r w:rsidRPr="00FC6505">
              <w:rPr>
                <w:rStyle w:val="Hyperlink"/>
                <w:noProof/>
              </w:rPr>
              <w:t>A.15. Reasons for Changes in Burden</w:t>
            </w:r>
            <w:r>
              <w:rPr>
                <w:noProof/>
                <w:webHidden/>
              </w:rPr>
              <w:tab/>
            </w:r>
            <w:r>
              <w:rPr>
                <w:noProof/>
                <w:webHidden/>
              </w:rPr>
              <w:fldChar w:fldCharType="begin"/>
            </w:r>
            <w:r>
              <w:rPr>
                <w:noProof/>
                <w:webHidden/>
              </w:rPr>
              <w:instrText xml:space="preserve"> PAGEREF _Toc184648853 \h </w:instrText>
            </w:r>
            <w:r>
              <w:rPr>
                <w:noProof/>
                <w:webHidden/>
              </w:rPr>
              <w:fldChar w:fldCharType="separate"/>
            </w:r>
            <w:r>
              <w:rPr>
                <w:noProof/>
                <w:webHidden/>
              </w:rPr>
              <w:t>12</w:t>
            </w:r>
            <w:r>
              <w:rPr>
                <w:noProof/>
                <w:webHidden/>
              </w:rPr>
              <w:fldChar w:fldCharType="end"/>
            </w:r>
          </w:hyperlink>
        </w:p>
        <w:p w:rsidR="00B30324" w14:paraId="10591CDB" w14:textId="4512B9CF">
          <w:pPr>
            <w:pStyle w:val="TOC2"/>
            <w:rPr>
              <w:rFonts w:eastAsiaTheme="minorEastAsia"/>
              <w:noProof/>
              <w:color w:val="auto"/>
              <w:kern w:val="2"/>
              <w:sz w:val="24"/>
              <w:szCs w:val="24"/>
              <w14:ligatures w14:val="standardContextual"/>
            </w:rPr>
          </w:pPr>
          <w:hyperlink w:anchor="_Toc184648854" w:history="1">
            <w:r w:rsidRPr="00FC6505">
              <w:rPr>
                <w:rStyle w:val="Hyperlink"/>
                <w:noProof/>
              </w:rPr>
              <w:t>A.16. Collection, Tabulation, and Publication Plans</w:t>
            </w:r>
            <w:r>
              <w:rPr>
                <w:noProof/>
                <w:webHidden/>
              </w:rPr>
              <w:tab/>
            </w:r>
            <w:r>
              <w:rPr>
                <w:noProof/>
                <w:webHidden/>
              </w:rPr>
              <w:fldChar w:fldCharType="begin"/>
            </w:r>
            <w:r>
              <w:rPr>
                <w:noProof/>
                <w:webHidden/>
              </w:rPr>
              <w:instrText xml:space="preserve"> PAGEREF _Toc184648854 \h </w:instrText>
            </w:r>
            <w:r>
              <w:rPr>
                <w:noProof/>
                <w:webHidden/>
              </w:rPr>
              <w:fldChar w:fldCharType="separate"/>
            </w:r>
            <w:r>
              <w:rPr>
                <w:noProof/>
                <w:webHidden/>
              </w:rPr>
              <w:t>12</w:t>
            </w:r>
            <w:r>
              <w:rPr>
                <w:noProof/>
                <w:webHidden/>
              </w:rPr>
              <w:fldChar w:fldCharType="end"/>
            </w:r>
          </w:hyperlink>
        </w:p>
        <w:p w:rsidR="00B30324" w14:paraId="45B4ABF0" w14:textId="735D0B6E">
          <w:pPr>
            <w:pStyle w:val="TOC2"/>
            <w:rPr>
              <w:rFonts w:eastAsiaTheme="minorEastAsia"/>
              <w:noProof/>
              <w:color w:val="auto"/>
              <w:kern w:val="2"/>
              <w:sz w:val="24"/>
              <w:szCs w:val="24"/>
              <w14:ligatures w14:val="standardContextual"/>
            </w:rPr>
          </w:pPr>
          <w:hyperlink w:anchor="_Toc184648855" w:history="1">
            <w:r w:rsidRPr="00FC6505">
              <w:rPr>
                <w:rStyle w:val="Hyperlink"/>
                <w:noProof/>
              </w:rPr>
              <w:t>A.17. OMB Number and Expiration Date</w:t>
            </w:r>
            <w:r>
              <w:rPr>
                <w:noProof/>
                <w:webHidden/>
              </w:rPr>
              <w:tab/>
            </w:r>
            <w:r>
              <w:rPr>
                <w:noProof/>
                <w:webHidden/>
              </w:rPr>
              <w:fldChar w:fldCharType="begin"/>
            </w:r>
            <w:r>
              <w:rPr>
                <w:noProof/>
                <w:webHidden/>
              </w:rPr>
              <w:instrText xml:space="preserve"> PAGEREF _Toc184648855 \h </w:instrText>
            </w:r>
            <w:r>
              <w:rPr>
                <w:noProof/>
                <w:webHidden/>
              </w:rPr>
              <w:fldChar w:fldCharType="separate"/>
            </w:r>
            <w:r>
              <w:rPr>
                <w:noProof/>
                <w:webHidden/>
              </w:rPr>
              <w:t>12</w:t>
            </w:r>
            <w:r>
              <w:rPr>
                <w:noProof/>
                <w:webHidden/>
              </w:rPr>
              <w:fldChar w:fldCharType="end"/>
            </w:r>
          </w:hyperlink>
        </w:p>
        <w:p w:rsidR="00B30324" w14:paraId="3F3500BC" w14:textId="6A56D092">
          <w:pPr>
            <w:pStyle w:val="TOC2"/>
            <w:rPr>
              <w:rFonts w:eastAsiaTheme="minorEastAsia"/>
              <w:noProof/>
              <w:color w:val="auto"/>
              <w:kern w:val="2"/>
              <w:sz w:val="24"/>
              <w:szCs w:val="24"/>
              <w14:ligatures w14:val="standardContextual"/>
            </w:rPr>
          </w:pPr>
          <w:hyperlink w:anchor="_Toc184648856" w:history="1">
            <w:r w:rsidRPr="00FC6505">
              <w:rPr>
                <w:rStyle w:val="Hyperlink"/>
                <w:noProof/>
              </w:rPr>
              <w:t>A.18. Certification Statement</w:t>
            </w:r>
            <w:r>
              <w:rPr>
                <w:noProof/>
                <w:webHidden/>
              </w:rPr>
              <w:tab/>
            </w:r>
            <w:r>
              <w:rPr>
                <w:noProof/>
                <w:webHidden/>
              </w:rPr>
              <w:fldChar w:fldCharType="begin"/>
            </w:r>
            <w:r>
              <w:rPr>
                <w:noProof/>
                <w:webHidden/>
              </w:rPr>
              <w:instrText xml:space="preserve"> PAGEREF _Toc184648856 \h </w:instrText>
            </w:r>
            <w:r>
              <w:rPr>
                <w:noProof/>
                <w:webHidden/>
              </w:rPr>
              <w:fldChar w:fldCharType="separate"/>
            </w:r>
            <w:r>
              <w:rPr>
                <w:noProof/>
                <w:webHidden/>
              </w:rPr>
              <w:t>13</w:t>
            </w:r>
            <w:r>
              <w:rPr>
                <w:noProof/>
                <w:webHidden/>
              </w:rPr>
              <w:fldChar w:fldCharType="end"/>
            </w:r>
          </w:hyperlink>
        </w:p>
        <w:p w:rsidR="00B30324" w14:paraId="6F6A115F" w14:textId="29816D75">
          <w:pPr>
            <w:pStyle w:val="TOC2"/>
            <w:rPr>
              <w:rFonts w:eastAsiaTheme="minorEastAsia"/>
              <w:noProof/>
              <w:color w:val="auto"/>
              <w:kern w:val="2"/>
              <w:sz w:val="24"/>
              <w:szCs w:val="24"/>
              <w14:ligatures w14:val="standardContextual"/>
            </w:rPr>
          </w:pPr>
          <w:hyperlink w:anchor="_Toc184648857" w:history="1">
            <w:r w:rsidRPr="00FC6505">
              <w:rPr>
                <w:rStyle w:val="Hyperlink"/>
                <w:noProof/>
              </w:rPr>
              <w:t>Sources</w:t>
            </w:r>
            <w:r>
              <w:rPr>
                <w:noProof/>
                <w:webHidden/>
              </w:rPr>
              <w:tab/>
            </w:r>
            <w:r>
              <w:rPr>
                <w:noProof/>
                <w:webHidden/>
              </w:rPr>
              <w:fldChar w:fldCharType="begin"/>
            </w:r>
            <w:r>
              <w:rPr>
                <w:noProof/>
                <w:webHidden/>
              </w:rPr>
              <w:instrText xml:space="preserve"> PAGEREF _Toc184648857 \h </w:instrText>
            </w:r>
            <w:r>
              <w:rPr>
                <w:noProof/>
                <w:webHidden/>
              </w:rPr>
              <w:fldChar w:fldCharType="separate"/>
            </w:r>
            <w:r>
              <w:rPr>
                <w:noProof/>
                <w:webHidden/>
              </w:rPr>
              <w:t>13</w:t>
            </w:r>
            <w:r>
              <w:rPr>
                <w:noProof/>
                <w:webHidden/>
              </w:rPr>
              <w:fldChar w:fldCharType="end"/>
            </w:r>
          </w:hyperlink>
        </w:p>
        <w:p w:rsidR="0059212D" w14:paraId="6F9A72AC" w14:textId="53296AFD">
          <w:r>
            <w:rPr>
              <w:b/>
              <w:bCs/>
              <w:noProof/>
            </w:rPr>
            <w:fldChar w:fldCharType="end"/>
          </w:r>
        </w:p>
      </w:sdtContent>
    </w:sdt>
    <w:p w:rsidR="00041909" w:rsidRPr="00933D5D" w:rsidP="00933D5D" w14:paraId="7828C5F1" w14:textId="62708663">
      <w:pPr>
        <w:tabs>
          <w:tab w:val="left" w:pos="7365"/>
        </w:tabs>
        <w:sectPr w:rsidSect="00725453">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p>
    <w:p w:rsidR="008C734C" w:rsidP="00CD1D70" w14:paraId="4F3EAD41" w14:textId="77777777">
      <w:pPr>
        <w:pStyle w:val="Heading2"/>
        <w:spacing w:before="0"/>
      </w:pPr>
      <w:bookmarkStart w:id="1" w:name="_Toc184648832"/>
      <w:r>
        <w:t>Introdu</w:t>
      </w:r>
      <w:r w:rsidR="00844524">
        <w:t>ction</w:t>
      </w:r>
      <w:bookmarkEnd w:id="1"/>
    </w:p>
    <w:p w:rsidR="006D42EC" w:rsidRPr="00CD1D70" w:rsidP="00CD1D70" w14:paraId="32897673" w14:textId="3E7C852A">
      <w:pPr>
        <w:spacing w:after="0"/>
        <w:rPr>
          <w:b/>
          <w:sz w:val="24"/>
          <w:szCs w:val="24"/>
        </w:rPr>
      </w:pPr>
      <w:r w:rsidRPr="00CD1D70">
        <w:rPr>
          <w:b/>
          <w:sz w:val="24"/>
          <w:szCs w:val="24"/>
        </w:rPr>
        <w:t>Provide a brief introduction of the Information Collection Request</w:t>
      </w:r>
      <w:r w:rsidRPr="00CD1D70" w:rsidR="00E86580">
        <w:rPr>
          <w:b/>
          <w:sz w:val="24"/>
          <w:szCs w:val="24"/>
        </w:rPr>
        <w:t xml:space="preserve">. </w:t>
      </w:r>
      <w:r w:rsidRPr="00CD1D70">
        <w:rPr>
          <w:b/>
          <w:sz w:val="24"/>
          <w:szCs w:val="24"/>
        </w:rPr>
        <w:t>Include the purpose of this collection, note the publication of the 60-Day Federal Register Notice, and provide the list of forms within this collection.</w:t>
      </w:r>
    </w:p>
    <w:p w:rsidR="00CD1D70" w:rsidP="008F45CA" w14:paraId="4DC0C3BE" w14:textId="77777777">
      <w:pPr>
        <w:spacing w:after="0" w:line="240" w:lineRule="auto"/>
      </w:pPr>
    </w:p>
    <w:p w:rsidR="00A41763" w:rsidRPr="00D5687E" w:rsidP="00CD1D70" w14:paraId="5E91D977" w14:textId="487309CF">
      <w:pPr>
        <w:spacing w:after="0" w:line="240" w:lineRule="auto"/>
      </w:pPr>
      <w:r w:rsidRPr="00D5687E">
        <w:t>This supporting statement provides information regarding the Department of Energy (DOE) paperwork reduction act submission request pertaining to the Chronic Beryllium Disease Prevention Program (CBDPP)</w:t>
      </w:r>
      <w:r w:rsidRPr="00D5687E" w:rsidR="00E86580">
        <w:t xml:space="preserve">. </w:t>
      </w:r>
    </w:p>
    <w:p w:rsidR="00F52EB0" w:rsidP="00CD1D70" w14:paraId="004C3414" w14:textId="067689A2">
      <w:pPr>
        <w:spacing w:after="0" w:line="240" w:lineRule="auto"/>
      </w:pPr>
    </w:p>
    <w:p w:rsidR="00F52EB0" w:rsidP="00F52EB0" w14:paraId="127618FC" w14:textId="226B6F65">
      <w:pPr>
        <w:spacing w:after="0" w:line="240" w:lineRule="auto"/>
      </w:pPr>
      <w:r>
        <w:t xml:space="preserve">The Department published a 60-day Federal Register Notice and Request for Comments concerning this collection in the </w:t>
      </w:r>
      <w:r w:rsidRPr="004E57A0" w:rsidR="004E57A0">
        <w:t>Federal Register on May 19, 2025, volume 90, number 90</w:t>
      </w:r>
      <w:r>
        <w:t>.  The notice described the collection and invited interested parties to submit comments or recommendations regarding the collection.  No comments were received.</w:t>
      </w:r>
    </w:p>
    <w:p w:rsidR="00F52EB0" w:rsidP="00F52EB0" w14:paraId="3ED149C4" w14:textId="77777777">
      <w:pPr>
        <w:spacing w:after="0" w:line="240" w:lineRule="auto"/>
      </w:pPr>
    </w:p>
    <w:p w:rsidR="00F52EB0" w:rsidP="00F52EB0" w14:paraId="57A94187" w14:textId="612D5B62">
      <w:pPr>
        <w:spacing w:after="0" w:line="240" w:lineRule="auto"/>
      </w:pPr>
      <w:r>
        <w:t xml:space="preserve">Information in the collection is collected through a series of methods (listed below): </w:t>
      </w:r>
    </w:p>
    <w:p w:rsidR="00D5687E" w:rsidP="00F52EB0" w14:paraId="24179A2A" w14:textId="77777777">
      <w:pPr>
        <w:spacing w:after="0" w:line="240" w:lineRule="auto"/>
      </w:pPr>
    </w:p>
    <w:p w:rsidR="00F52EB0" w:rsidP="00F52EB0" w14:paraId="7F7A6355" w14:textId="77777777">
      <w:pPr>
        <w:spacing w:after="0" w:line="240" w:lineRule="auto"/>
      </w:pPr>
      <w:r>
        <w:t>Annual Revision to CBDPP Plans</w:t>
      </w:r>
    </w:p>
    <w:p w:rsidR="00F52EB0" w:rsidP="00F52EB0" w14:paraId="1541A2B3" w14:textId="77777777">
      <w:pPr>
        <w:spacing w:after="0" w:line="240" w:lineRule="auto"/>
      </w:pPr>
      <w:r>
        <w:t>Worker Notification of Monitoring Results</w:t>
      </w:r>
    </w:p>
    <w:p w:rsidR="00F52EB0" w:rsidP="00F52EB0" w14:paraId="120B7962" w14:textId="0F83D6C7">
      <w:pPr>
        <w:spacing w:after="0" w:line="240" w:lineRule="auto"/>
      </w:pPr>
      <w:r>
        <w:t>Signed Consent Forms for Medical Exams</w:t>
      </w:r>
      <w:r w:rsidR="00A75E56">
        <w:t xml:space="preserve"> (DOE F 440.1)</w:t>
      </w:r>
    </w:p>
    <w:p w:rsidR="00F52EB0" w:rsidP="00F52EB0" w14:paraId="5D3C5B99" w14:textId="77777777">
      <w:pPr>
        <w:spacing w:after="0" w:line="240" w:lineRule="auto"/>
      </w:pPr>
      <w:r>
        <w:t>Maintain Beryllium Registry</w:t>
      </w:r>
    </w:p>
    <w:p w:rsidR="00F52EB0" w:rsidP="00F52EB0" w14:paraId="6F92E2DB" w14:textId="77777777">
      <w:pPr>
        <w:spacing w:after="0" w:line="240" w:lineRule="auto"/>
      </w:pPr>
      <w:r>
        <w:t>Annual Recordkeeping</w:t>
      </w:r>
    </w:p>
    <w:p w:rsidR="00CD1D70" w:rsidP="00F52EB0" w14:paraId="69C50D10" w14:textId="70A94D85">
      <w:pPr>
        <w:spacing w:after="0" w:line="240" w:lineRule="auto"/>
      </w:pPr>
      <w:r>
        <w:t>Annual Performance Feedback</w:t>
      </w:r>
    </w:p>
    <w:p w:rsidR="00F52EB0" w:rsidP="00F52EB0" w14:paraId="2A0FCD72" w14:textId="77777777">
      <w:pPr>
        <w:spacing w:after="0" w:line="240" w:lineRule="auto"/>
      </w:pPr>
    </w:p>
    <w:p w:rsidR="008C734C" w:rsidP="00CD1D70" w14:paraId="1C509335" w14:textId="77777777">
      <w:pPr>
        <w:pStyle w:val="Heading2"/>
        <w:spacing w:before="0"/>
      </w:pPr>
      <w:bookmarkStart w:id="2" w:name="_Toc184648833"/>
      <w:r>
        <w:t>A.1. Legal Justification</w:t>
      </w:r>
      <w:bookmarkEnd w:id="2"/>
    </w:p>
    <w:p w:rsidR="00A41763" w:rsidRPr="00CD1D70" w:rsidP="00CD1D70" w14:paraId="5A2C1E16" w14:textId="62E168DA">
      <w:pPr>
        <w:spacing w:after="0"/>
        <w:rPr>
          <w:b/>
          <w:bCs/>
          <w:sz w:val="24"/>
          <w:szCs w:val="24"/>
        </w:rPr>
      </w:pPr>
      <w:r w:rsidRPr="00CD1D70">
        <w:rPr>
          <w:b/>
          <w:bCs/>
          <w:sz w:val="24"/>
          <w:szCs w:val="24"/>
        </w:rPr>
        <w:t xml:space="preserve">Explain the circumstances that make the collection of information necessary. Identify any legal or administrative requirements that necessitate the collection. </w:t>
      </w:r>
      <w:r w:rsidR="00275419">
        <w:rPr>
          <w:b/>
          <w:bCs/>
          <w:sz w:val="24"/>
          <w:szCs w:val="24"/>
        </w:rPr>
        <w:t xml:space="preserve"> </w:t>
      </w:r>
      <w:r w:rsidRPr="00CD1D70">
        <w:rPr>
          <w:b/>
          <w:bCs/>
          <w:sz w:val="24"/>
          <w:szCs w:val="24"/>
        </w:rPr>
        <w:t xml:space="preserve">Attach a copy of the appropriate section of each statute and regulation mandating or authorizing the information collection. </w:t>
      </w:r>
    </w:p>
    <w:p w:rsidR="00CD1D70" w:rsidRPr="00CD1D70" w:rsidP="00CD1D70" w14:paraId="2EB6CE80" w14:textId="77777777">
      <w:pPr>
        <w:spacing w:after="0"/>
        <w:rPr>
          <w:sz w:val="24"/>
          <w:szCs w:val="24"/>
        </w:rPr>
      </w:pPr>
    </w:p>
    <w:p w:rsidR="008C734C" w:rsidP="00CD1D70" w14:paraId="698B16EB" w14:textId="551859B3">
      <w:pPr>
        <w:spacing w:after="0"/>
        <w:rPr>
          <w:sz w:val="24"/>
          <w:szCs w:val="24"/>
        </w:rPr>
      </w:pPr>
      <w:r w:rsidRPr="00CD1D70">
        <w:rPr>
          <w:sz w:val="24"/>
          <w:szCs w:val="24"/>
        </w:rPr>
        <w:t xml:space="preserve">The Department of Energy (DOE) issued 10 CFR Part 850, </w:t>
      </w:r>
      <w:bookmarkStart w:id="3" w:name="_Hlk63415039"/>
      <w:r w:rsidRPr="00CD1D70">
        <w:rPr>
          <w:sz w:val="24"/>
          <w:szCs w:val="24"/>
        </w:rPr>
        <w:t xml:space="preserve">Chronic Beryllium Disease Prevention Program, </w:t>
      </w:r>
      <w:bookmarkEnd w:id="3"/>
      <w:r w:rsidRPr="00CD1D70">
        <w:rPr>
          <w:sz w:val="24"/>
          <w:szCs w:val="24"/>
        </w:rPr>
        <w:t xml:space="preserve">which included provisions that impose collections of information </w:t>
      </w:r>
      <w:bookmarkStart w:id="4" w:name="_Hlk63415052"/>
      <w:r w:rsidRPr="00CD1D70">
        <w:rPr>
          <w:sz w:val="24"/>
          <w:szCs w:val="24"/>
        </w:rPr>
        <w:t>(64 FR 68854)</w:t>
      </w:r>
      <w:r w:rsidRPr="00CD1D70" w:rsidR="00E86580">
        <w:rPr>
          <w:sz w:val="24"/>
          <w:szCs w:val="24"/>
        </w:rPr>
        <w:t xml:space="preserve">. </w:t>
      </w:r>
      <w:r w:rsidRPr="00CD1D70" w:rsidR="00C05DD0">
        <w:rPr>
          <w:sz w:val="24"/>
          <w:szCs w:val="24"/>
        </w:rPr>
        <w:t xml:space="preserve"> </w:t>
      </w:r>
      <w:bookmarkEnd w:id="4"/>
      <w:r w:rsidRPr="00CD1D70">
        <w:rPr>
          <w:sz w:val="24"/>
          <w:szCs w:val="24"/>
        </w:rPr>
        <w:t>This information collection request (ICR) is a renewal, requesting approval of an existing ICR</w:t>
      </w:r>
      <w:r w:rsidRPr="00CD1D70" w:rsidR="00E86580">
        <w:rPr>
          <w:sz w:val="24"/>
          <w:szCs w:val="24"/>
        </w:rPr>
        <w:t xml:space="preserve">. </w:t>
      </w:r>
      <w:r w:rsidRPr="00CD1D70" w:rsidR="00C05DD0">
        <w:rPr>
          <w:sz w:val="24"/>
          <w:szCs w:val="24"/>
        </w:rPr>
        <w:t xml:space="preserve"> </w:t>
      </w:r>
      <w:r w:rsidRPr="00CD1D70">
        <w:rPr>
          <w:sz w:val="24"/>
          <w:szCs w:val="24"/>
        </w:rPr>
        <w:t>The information continues to be necessary to provide DOE with the information needed to reduce the number of workers currently exposed to beryllium in the course of their work at sites managed by DOE or its contractors; minimize the levels of and potential for exposure to beryllium; and provide medical surveillance to ensure early detection of chronic beryllium disease.</w:t>
      </w:r>
    </w:p>
    <w:p w:rsidR="00CD1D70" w:rsidP="00CD1D70" w14:paraId="712838FC" w14:textId="16850C87">
      <w:pPr>
        <w:spacing w:after="0"/>
        <w:rPr>
          <w:sz w:val="24"/>
          <w:szCs w:val="24"/>
        </w:rPr>
      </w:pPr>
    </w:p>
    <w:p w:rsidR="008C734C" w:rsidP="00CD1D70" w14:paraId="17FB28EA" w14:textId="77777777">
      <w:pPr>
        <w:pStyle w:val="Heading2"/>
        <w:spacing w:before="0"/>
      </w:pPr>
      <w:bookmarkStart w:id="5" w:name="_Toc184648834"/>
      <w:r>
        <w:t>A.2. Needs and Uses of Data</w:t>
      </w:r>
      <w:bookmarkEnd w:id="5"/>
    </w:p>
    <w:p w:rsidR="00CD1D70" w:rsidRPr="00CD1D70" w:rsidP="00CD1D70" w14:paraId="56A771D6" w14:textId="77777777">
      <w:pPr>
        <w:spacing w:after="0" w:line="240" w:lineRule="auto"/>
        <w:rPr>
          <w:b/>
          <w:bCs/>
          <w:sz w:val="24"/>
          <w:szCs w:val="24"/>
        </w:rPr>
      </w:pPr>
      <w:r w:rsidRPr="00A41763">
        <w:rPr>
          <w:b/>
          <w:bCs/>
        </w:rPr>
        <w:t xml:space="preserve">Indicate how, by whom, and for what purpose the information is to be used. Except for a new </w:t>
      </w:r>
      <w:r w:rsidRPr="00CD1D70">
        <w:rPr>
          <w:b/>
          <w:bCs/>
          <w:sz w:val="24"/>
          <w:szCs w:val="24"/>
        </w:rPr>
        <w:t>collection, indicate the actual use the agency has made of the information received from the current collection</w:t>
      </w:r>
      <w:r w:rsidRPr="00CD1D70">
        <w:rPr>
          <w:b/>
          <w:bCs/>
          <w:sz w:val="24"/>
          <w:szCs w:val="24"/>
        </w:rPr>
        <w:t>.</w:t>
      </w:r>
    </w:p>
    <w:p w:rsidR="00CD1D70" w:rsidRPr="00CD1D70" w:rsidP="00CD1D70" w14:paraId="1FF592DE" w14:textId="77777777">
      <w:pPr>
        <w:spacing w:after="0" w:line="240" w:lineRule="auto"/>
        <w:rPr>
          <w:b/>
          <w:bCs/>
          <w:sz w:val="24"/>
          <w:szCs w:val="24"/>
        </w:rPr>
      </w:pPr>
    </w:p>
    <w:p w:rsidR="0072142D" w:rsidRPr="00CD1D70" w:rsidP="00CD1D70" w14:paraId="2BD03CC5" w14:textId="0519E4FE">
      <w:pPr>
        <w:pStyle w:val="BodyTextIndent"/>
        <w:spacing w:after="0" w:line="240" w:lineRule="auto"/>
        <w:ind w:left="0"/>
        <w:rPr>
          <w:sz w:val="24"/>
          <w:szCs w:val="24"/>
        </w:rPr>
      </w:pPr>
      <w:r w:rsidRPr="00CD1D70">
        <w:rPr>
          <w:sz w:val="24"/>
          <w:szCs w:val="24"/>
        </w:rPr>
        <w:t>DOE and DOE contractors continue to use this information to manage their chronic beryllium disease prevention programs, provide information to employees, and permit oversight of the programs by its management</w:t>
      </w:r>
      <w:r w:rsidRPr="00CD1D70" w:rsidR="00E86580">
        <w:rPr>
          <w:sz w:val="24"/>
          <w:szCs w:val="24"/>
        </w:rPr>
        <w:t xml:space="preserve">. </w:t>
      </w:r>
      <w:r w:rsidR="00275419">
        <w:rPr>
          <w:sz w:val="24"/>
          <w:szCs w:val="24"/>
        </w:rPr>
        <w:t xml:space="preserve"> </w:t>
      </w:r>
      <w:r w:rsidRPr="00CD1D70">
        <w:rPr>
          <w:sz w:val="24"/>
          <w:szCs w:val="24"/>
        </w:rPr>
        <w:t>10 CFR Part 850 requires collections in the following areas:</w:t>
      </w:r>
    </w:p>
    <w:p w:rsidR="00CD1D70" w:rsidRPr="00CD1D70" w:rsidP="00CD1D70" w14:paraId="22114192" w14:textId="77777777">
      <w:pPr>
        <w:pStyle w:val="BodyTextIndent"/>
        <w:spacing w:after="0" w:line="240" w:lineRule="auto"/>
        <w:ind w:left="0"/>
        <w:rPr>
          <w:sz w:val="24"/>
          <w:szCs w:val="24"/>
        </w:rPr>
      </w:pPr>
    </w:p>
    <w:p w:rsidR="0072142D" w:rsidP="00F36824" w14:paraId="6EB82D34" w14:textId="18E8ADD1">
      <w:pPr>
        <w:spacing w:after="0" w:line="240" w:lineRule="auto"/>
        <w:ind w:left="360"/>
        <w:rPr>
          <w:rFonts w:cstheme="minorHAnsi"/>
          <w:sz w:val="24"/>
          <w:szCs w:val="24"/>
        </w:rPr>
      </w:pPr>
      <w:r w:rsidRPr="00CD1D70">
        <w:rPr>
          <w:rFonts w:cstheme="minorHAnsi"/>
          <w:i/>
          <w:sz w:val="24"/>
          <w:szCs w:val="24"/>
        </w:rPr>
        <w:t>Chronic Beryllium Disease Prevention Program Plan (</w:t>
      </w:r>
      <w:r w:rsidRPr="00CD1D70">
        <w:rPr>
          <w:rFonts w:cstheme="minorHAnsi"/>
          <w:sz w:val="24"/>
          <w:szCs w:val="24"/>
        </w:rPr>
        <w:t xml:space="preserve">§ </w:t>
      </w:r>
      <w:r w:rsidRPr="00CD1D70">
        <w:rPr>
          <w:rFonts w:cstheme="minorHAnsi"/>
          <w:i/>
          <w:sz w:val="24"/>
          <w:szCs w:val="24"/>
        </w:rPr>
        <w:t>850.10)</w:t>
      </w:r>
      <w:r w:rsidR="009A5412">
        <w:rPr>
          <w:rFonts w:cstheme="minorHAnsi"/>
          <w:i/>
          <w:sz w:val="24"/>
          <w:szCs w:val="24"/>
        </w:rPr>
        <w:t xml:space="preserve"> </w:t>
      </w:r>
      <w:r w:rsidRPr="00CD1D70">
        <w:rPr>
          <w:rFonts w:cstheme="minorHAnsi"/>
          <w:sz w:val="24"/>
          <w:szCs w:val="24"/>
        </w:rPr>
        <w:t>- Requires employers to prepare and submit an initial CBDPP Plan to DOE for approval, and to submit updates of the CBDPP Plan periodically to DOE for approval</w:t>
      </w:r>
      <w:r w:rsidRPr="00CD1D70" w:rsidR="00E86580">
        <w:rPr>
          <w:rFonts w:cstheme="minorHAnsi"/>
          <w:sz w:val="24"/>
          <w:szCs w:val="24"/>
        </w:rPr>
        <w:t xml:space="preserve">. </w:t>
      </w:r>
      <w:r w:rsidRPr="00CD1D70">
        <w:rPr>
          <w:rFonts w:cstheme="minorHAnsi"/>
          <w:sz w:val="24"/>
          <w:szCs w:val="24"/>
        </w:rPr>
        <w:t>Under the current ICR, only paperwork burdens for revising the annual plans will be incurred, since no new plans are expected to be submitted.</w:t>
      </w:r>
    </w:p>
    <w:p w:rsidR="00F36824" w:rsidRPr="00CD1D70" w:rsidP="00F36824" w14:paraId="2189F200" w14:textId="77777777">
      <w:pPr>
        <w:spacing w:after="0" w:line="240" w:lineRule="auto"/>
        <w:ind w:left="360"/>
        <w:rPr>
          <w:rFonts w:cstheme="minorHAnsi"/>
          <w:sz w:val="24"/>
          <w:szCs w:val="24"/>
        </w:rPr>
      </w:pPr>
    </w:p>
    <w:p w:rsidR="0072142D" w:rsidP="00F36824" w14:paraId="2AAB035A" w14:textId="77777777">
      <w:pPr>
        <w:spacing w:after="0" w:line="240" w:lineRule="auto"/>
        <w:ind w:left="360"/>
        <w:rPr>
          <w:rFonts w:cstheme="minorHAnsi"/>
          <w:sz w:val="24"/>
          <w:szCs w:val="24"/>
        </w:rPr>
      </w:pPr>
      <w:r w:rsidRPr="00CD1D70">
        <w:rPr>
          <w:rFonts w:cstheme="minorHAnsi"/>
          <w:i/>
          <w:sz w:val="24"/>
          <w:szCs w:val="24"/>
        </w:rPr>
        <w:t>Baseline Inventory (</w:t>
      </w:r>
      <w:r w:rsidRPr="00CD1D70">
        <w:rPr>
          <w:rFonts w:cstheme="minorHAnsi"/>
          <w:sz w:val="24"/>
          <w:szCs w:val="24"/>
        </w:rPr>
        <w:t xml:space="preserve">§ </w:t>
      </w:r>
      <w:r w:rsidRPr="00CD1D70">
        <w:rPr>
          <w:rFonts w:cstheme="minorHAnsi"/>
          <w:i/>
          <w:sz w:val="24"/>
          <w:szCs w:val="24"/>
        </w:rPr>
        <w:t>850.20)</w:t>
      </w:r>
      <w:r w:rsidRPr="00CD1D70">
        <w:rPr>
          <w:rFonts w:cstheme="minorHAnsi"/>
          <w:sz w:val="24"/>
          <w:szCs w:val="24"/>
        </w:rPr>
        <w:t xml:space="preserve"> - This ICR does not include paperwork burdens for this requirement since these inventories have been completed, and no new inventories are expected.</w:t>
      </w:r>
    </w:p>
    <w:p w:rsidR="00F36824" w:rsidP="00F36824" w14:paraId="4415AB7D" w14:textId="77777777">
      <w:pPr>
        <w:spacing w:after="0" w:line="240" w:lineRule="auto"/>
        <w:ind w:left="360"/>
        <w:rPr>
          <w:rFonts w:cstheme="minorHAnsi"/>
          <w:sz w:val="24"/>
          <w:szCs w:val="24"/>
        </w:rPr>
      </w:pPr>
    </w:p>
    <w:p w:rsidR="0072142D" w:rsidP="00F36824" w14:paraId="7DAC570D" w14:textId="646C6A21">
      <w:pPr>
        <w:spacing w:after="0" w:line="240" w:lineRule="auto"/>
        <w:ind w:left="360"/>
        <w:rPr>
          <w:rFonts w:cstheme="minorHAnsi"/>
          <w:sz w:val="24"/>
          <w:szCs w:val="24"/>
        </w:rPr>
      </w:pPr>
      <w:r w:rsidRPr="00CD1D70">
        <w:rPr>
          <w:rFonts w:cstheme="minorHAnsi"/>
          <w:i/>
          <w:sz w:val="24"/>
          <w:szCs w:val="24"/>
        </w:rPr>
        <w:t>Exposure Monitoring/Worker Notification (</w:t>
      </w:r>
      <w:r w:rsidRPr="00CD1D70">
        <w:rPr>
          <w:rFonts w:cstheme="minorHAnsi"/>
          <w:sz w:val="24"/>
          <w:szCs w:val="24"/>
        </w:rPr>
        <w:t xml:space="preserve">§ </w:t>
      </w:r>
      <w:r w:rsidRPr="00CD1D70">
        <w:rPr>
          <w:rFonts w:cstheme="minorHAnsi"/>
          <w:i/>
          <w:sz w:val="24"/>
          <w:szCs w:val="24"/>
        </w:rPr>
        <w:t>850.24) -</w:t>
      </w:r>
      <w:r w:rsidRPr="00CD1D70">
        <w:rPr>
          <w:rFonts w:cstheme="minorHAnsi"/>
          <w:sz w:val="24"/>
          <w:szCs w:val="24"/>
        </w:rPr>
        <w:t xml:space="preserve"> Requires employers to notify workers of the results of exposure monitoring</w:t>
      </w:r>
      <w:r w:rsidRPr="00CD1D70" w:rsidR="00E86580">
        <w:rPr>
          <w:rFonts w:cstheme="minorHAnsi"/>
          <w:sz w:val="24"/>
          <w:szCs w:val="24"/>
        </w:rPr>
        <w:t xml:space="preserve">. </w:t>
      </w:r>
      <w:r w:rsidRPr="00CD1D70">
        <w:rPr>
          <w:rFonts w:cstheme="minorHAnsi"/>
          <w:sz w:val="24"/>
          <w:szCs w:val="24"/>
        </w:rPr>
        <w:t>This ICR includes paperwork burdens for providing written notification to workers of the results of their exposure monitoring results.</w:t>
      </w:r>
    </w:p>
    <w:p w:rsidR="00F36824" w:rsidRPr="00CD1D70" w:rsidP="00F36824" w14:paraId="0E60AAD0" w14:textId="77777777">
      <w:pPr>
        <w:spacing w:after="0" w:line="240" w:lineRule="auto"/>
        <w:ind w:left="360"/>
        <w:rPr>
          <w:rFonts w:cstheme="minorHAnsi"/>
          <w:sz w:val="24"/>
          <w:szCs w:val="24"/>
        </w:rPr>
      </w:pPr>
    </w:p>
    <w:p w:rsidR="0072142D" w:rsidP="00F36824" w14:paraId="7AC79B63" w14:textId="10CFD10A">
      <w:pPr>
        <w:spacing w:after="0" w:line="240" w:lineRule="auto"/>
        <w:ind w:left="360"/>
        <w:rPr>
          <w:rFonts w:cstheme="minorHAnsi"/>
          <w:sz w:val="24"/>
          <w:szCs w:val="24"/>
        </w:rPr>
      </w:pPr>
      <w:r w:rsidRPr="00CD1D70">
        <w:rPr>
          <w:rFonts w:cstheme="minorHAnsi"/>
          <w:i/>
          <w:sz w:val="24"/>
          <w:szCs w:val="24"/>
        </w:rPr>
        <w:t>Signed Consent Forms (</w:t>
      </w:r>
      <w:r w:rsidRPr="00CD1D70">
        <w:rPr>
          <w:rFonts w:cstheme="minorHAnsi"/>
          <w:sz w:val="24"/>
          <w:szCs w:val="24"/>
        </w:rPr>
        <w:t>§</w:t>
      </w:r>
      <w:r w:rsidRPr="00CD1D70">
        <w:rPr>
          <w:rFonts w:cstheme="minorHAnsi"/>
          <w:i/>
          <w:sz w:val="24"/>
          <w:szCs w:val="24"/>
        </w:rPr>
        <w:t xml:space="preserve"> 850.36)</w:t>
      </w:r>
      <w:r w:rsidRPr="00CD1D70">
        <w:rPr>
          <w:rFonts w:cstheme="minorHAnsi"/>
          <w:sz w:val="24"/>
          <w:szCs w:val="24"/>
        </w:rPr>
        <w:t xml:space="preserve"> - Requires employers to obtain the signed consent form from workers prior to medical evaluations</w:t>
      </w:r>
      <w:r w:rsidRPr="00CD1D70" w:rsidR="00E86580">
        <w:rPr>
          <w:rFonts w:cstheme="minorHAnsi"/>
          <w:sz w:val="24"/>
          <w:szCs w:val="24"/>
        </w:rPr>
        <w:t xml:space="preserve">. </w:t>
      </w:r>
      <w:r w:rsidRPr="00CD1D70">
        <w:rPr>
          <w:rFonts w:cstheme="minorHAnsi"/>
          <w:sz w:val="24"/>
          <w:szCs w:val="24"/>
        </w:rPr>
        <w:t>This ICR includes paperwork burdens for obtaining a signed consent form (DOE F 440.1) from workers who voluntarily participate in the medical surveillance program prior to a medical evaluation.</w:t>
      </w:r>
    </w:p>
    <w:p w:rsidR="00F36824" w:rsidRPr="00CD1D70" w:rsidP="00F36824" w14:paraId="79ED34E6" w14:textId="77777777">
      <w:pPr>
        <w:spacing w:after="0" w:line="240" w:lineRule="auto"/>
        <w:ind w:left="360"/>
        <w:rPr>
          <w:rFonts w:cstheme="minorHAnsi"/>
          <w:sz w:val="24"/>
          <w:szCs w:val="24"/>
        </w:rPr>
      </w:pPr>
    </w:p>
    <w:p w:rsidR="0072142D" w:rsidP="00F36824" w14:paraId="56A12A30" w14:textId="7E9144C3">
      <w:pPr>
        <w:spacing w:after="0" w:line="240" w:lineRule="auto"/>
        <w:ind w:left="360"/>
        <w:rPr>
          <w:rFonts w:cstheme="minorHAnsi"/>
          <w:sz w:val="24"/>
          <w:szCs w:val="24"/>
        </w:rPr>
      </w:pPr>
      <w:r w:rsidRPr="00CD1D70">
        <w:rPr>
          <w:rFonts w:cstheme="minorHAnsi"/>
          <w:i/>
          <w:sz w:val="24"/>
          <w:szCs w:val="24"/>
        </w:rPr>
        <w:t>Registry of Beryllium-Associated Workers (</w:t>
      </w:r>
      <w:r w:rsidRPr="00CD1D70">
        <w:rPr>
          <w:rFonts w:cstheme="minorHAnsi"/>
          <w:sz w:val="24"/>
          <w:szCs w:val="24"/>
        </w:rPr>
        <w:t>§</w:t>
      </w:r>
      <w:r w:rsidRPr="00CD1D70">
        <w:rPr>
          <w:rFonts w:cstheme="minorHAnsi"/>
          <w:i/>
          <w:sz w:val="24"/>
          <w:szCs w:val="24"/>
        </w:rPr>
        <w:t xml:space="preserve"> 850.39)</w:t>
      </w:r>
      <w:r w:rsidRPr="00CD1D70">
        <w:rPr>
          <w:rFonts w:cstheme="minorHAnsi"/>
          <w:sz w:val="24"/>
          <w:szCs w:val="24"/>
        </w:rPr>
        <w:t xml:space="preserve"> - Requires employers to establish and maintain a registry of beryllium-associated workers</w:t>
      </w:r>
      <w:r w:rsidRPr="00CD1D70" w:rsidR="00E86580">
        <w:rPr>
          <w:rFonts w:cstheme="minorHAnsi"/>
          <w:sz w:val="24"/>
          <w:szCs w:val="24"/>
        </w:rPr>
        <w:t>.</w:t>
      </w:r>
      <w:r w:rsidR="00275419">
        <w:rPr>
          <w:rFonts w:cstheme="minorHAnsi"/>
          <w:sz w:val="24"/>
          <w:szCs w:val="24"/>
        </w:rPr>
        <w:t xml:space="preserve"> </w:t>
      </w:r>
      <w:r w:rsidRPr="00CD1D70">
        <w:rPr>
          <w:rFonts w:cstheme="minorHAnsi"/>
          <w:sz w:val="24"/>
          <w:szCs w:val="24"/>
        </w:rPr>
        <w:t>This ICR includes paperwork burdens for maintaining the registry since these registries have been established by currently-affected reporting organizations and no new registries are expected under the rule.</w:t>
      </w:r>
    </w:p>
    <w:p w:rsidR="00F36824" w:rsidRPr="00CD1D70" w:rsidP="00F36824" w14:paraId="1C13474E" w14:textId="77777777">
      <w:pPr>
        <w:spacing w:after="0" w:line="240" w:lineRule="auto"/>
        <w:ind w:left="360"/>
        <w:rPr>
          <w:rFonts w:cstheme="minorHAnsi"/>
          <w:sz w:val="24"/>
          <w:szCs w:val="24"/>
        </w:rPr>
      </w:pPr>
    </w:p>
    <w:p w:rsidR="0072142D" w:rsidP="00F36824" w14:paraId="7FDC4BC6" w14:textId="2607D6B7">
      <w:pPr>
        <w:spacing w:after="0" w:line="240" w:lineRule="auto"/>
        <w:ind w:left="360"/>
        <w:rPr>
          <w:rFonts w:cstheme="minorHAnsi"/>
          <w:sz w:val="24"/>
          <w:szCs w:val="24"/>
        </w:rPr>
      </w:pPr>
      <w:r w:rsidRPr="00CD1D70">
        <w:rPr>
          <w:rFonts w:cstheme="minorHAnsi"/>
          <w:i/>
          <w:sz w:val="24"/>
          <w:szCs w:val="24"/>
        </w:rPr>
        <w:t>Recordkeeping (</w:t>
      </w:r>
      <w:r w:rsidRPr="00CD1D70">
        <w:rPr>
          <w:rFonts w:cstheme="minorHAnsi"/>
          <w:sz w:val="24"/>
          <w:szCs w:val="24"/>
        </w:rPr>
        <w:t>§</w:t>
      </w:r>
      <w:r w:rsidRPr="00CD1D70">
        <w:rPr>
          <w:rFonts w:cstheme="minorHAnsi"/>
          <w:i/>
          <w:sz w:val="24"/>
          <w:szCs w:val="24"/>
        </w:rPr>
        <w:t xml:space="preserve"> 850.39) - </w:t>
      </w:r>
      <w:r w:rsidRPr="00CD1D70">
        <w:rPr>
          <w:rFonts w:cstheme="minorHAnsi"/>
          <w:sz w:val="24"/>
          <w:szCs w:val="24"/>
        </w:rPr>
        <w:t>Requires employers to establish and maintain records related to the beryllium inventory and hazard assessment, exposure monitoring, workplace controls and medical surveillance</w:t>
      </w:r>
      <w:r w:rsidRPr="00CD1D70" w:rsidR="00E86580">
        <w:rPr>
          <w:rFonts w:cstheme="minorHAnsi"/>
          <w:sz w:val="24"/>
          <w:szCs w:val="24"/>
        </w:rPr>
        <w:t xml:space="preserve">. </w:t>
      </w:r>
      <w:r w:rsidRPr="00CD1D70">
        <w:rPr>
          <w:rFonts w:cstheme="minorHAnsi"/>
          <w:sz w:val="24"/>
          <w:szCs w:val="24"/>
        </w:rPr>
        <w:t>This ICR only includes paperwork burdens for maintaining the records of these recordkeeping systems since they have been established by the affected reporting organizations and no new systems are expected under the rule.</w:t>
      </w:r>
    </w:p>
    <w:p w:rsidR="00F36824" w:rsidRPr="00CD1D70" w:rsidP="00F36824" w14:paraId="2AA3369B" w14:textId="77777777">
      <w:pPr>
        <w:spacing w:after="0" w:line="240" w:lineRule="auto"/>
        <w:ind w:left="360"/>
        <w:rPr>
          <w:rFonts w:cstheme="minorHAnsi"/>
          <w:sz w:val="24"/>
          <w:szCs w:val="24"/>
        </w:rPr>
      </w:pPr>
    </w:p>
    <w:p w:rsidR="0072142D" w:rsidP="00CD1D70" w14:paraId="4153F10D" w14:textId="77777777">
      <w:pPr>
        <w:spacing w:after="0" w:line="240" w:lineRule="auto"/>
        <w:ind w:left="360"/>
        <w:rPr>
          <w:rFonts w:cstheme="minorHAnsi"/>
          <w:sz w:val="24"/>
          <w:szCs w:val="24"/>
        </w:rPr>
      </w:pPr>
      <w:r w:rsidRPr="00CD1D70">
        <w:rPr>
          <w:rFonts w:cstheme="minorHAnsi"/>
          <w:i/>
          <w:sz w:val="24"/>
          <w:szCs w:val="24"/>
        </w:rPr>
        <w:t>Performance Feedback (</w:t>
      </w:r>
      <w:r w:rsidRPr="00CD1D70">
        <w:rPr>
          <w:rFonts w:cstheme="minorHAnsi"/>
          <w:sz w:val="24"/>
          <w:szCs w:val="24"/>
        </w:rPr>
        <w:t>§</w:t>
      </w:r>
      <w:r w:rsidRPr="00CD1D70">
        <w:rPr>
          <w:rFonts w:cstheme="minorHAnsi"/>
          <w:i/>
          <w:sz w:val="24"/>
          <w:szCs w:val="24"/>
        </w:rPr>
        <w:t xml:space="preserve"> 850.40)</w:t>
      </w:r>
      <w:r w:rsidRPr="00CD1D70">
        <w:rPr>
          <w:rFonts w:cstheme="minorHAnsi"/>
          <w:sz w:val="24"/>
          <w:szCs w:val="24"/>
        </w:rPr>
        <w:t xml:space="preserve"> - DOE reporting organizations continue to incur paperwork burdens in performing the performance feedback for continuous improvements to the program.</w:t>
      </w:r>
    </w:p>
    <w:p w:rsidR="00CD1D70" w:rsidRPr="00CD1D70" w:rsidP="00CD1D70" w14:paraId="0B0D55A2" w14:textId="77777777">
      <w:pPr>
        <w:spacing w:after="0" w:line="240" w:lineRule="auto"/>
        <w:ind w:left="360"/>
        <w:rPr>
          <w:rFonts w:cstheme="minorHAnsi"/>
          <w:sz w:val="24"/>
          <w:szCs w:val="24"/>
        </w:rPr>
      </w:pPr>
    </w:p>
    <w:p w:rsidR="0072142D" w:rsidP="00F36824" w14:paraId="4C535EF5" w14:textId="67B62E23">
      <w:pPr>
        <w:pStyle w:val="BodyText"/>
        <w:spacing w:after="0" w:line="240" w:lineRule="auto"/>
        <w:rPr>
          <w:rFonts w:cstheme="minorHAnsi"/>
          <w:sz w:val="24"/>
          <w:szCs w:val="24"/>
        </w:rPr>
      </w:pPr>
      <w:r w:rsidRPr="00CD1D70">
        <w:rPr>
          <w:rFonts w:cstheme="minorHAnsi"/>
          <w:sz w:val="24"/>
          <w:szCs w:val="24"/>
        </w:rPr>
        <w:t>This ICR submission request</w:t>
      </w:r>
      <w:r w:rsidR="003F4CD1">
        <w:rPr>
          <w:rFonts w:cstheme="minorHAnsi"/>
          <w:sz w:val="24"/>
          <w:szCs w:val="24"/>
        </w:rPr>
        <w:t>s</w:t>
      </w:r>
      <w:r w:rsidRPr="00CD1D70">
        <w:rPr>
          <w:rFonts w:cstheme="minorHAnsi"/>
          <w:sz w:val="24"/>
          <w:szCs w:val="24"/>
        </w:rPr>
        <w:t xml:space="preserve"> approval </w:t>
      </w:r>
      <w:r w:rsidR="003F4CD1">
        <w:rPr>
          <w:rFonts w:cstheme="minorHAnsi"/>
          <w:sz w:val="24"/>
          <w:szCs w:val="24"/>
        </w:rPr>
        <w:t>to reinstate an</w:t>
      </w:r>
      <w:r w:rsidRPr="00CD1D70">
        <w:rPr>
          <w:rFonts w:cstheme="minorHAnsi"/>
          <w:sz w:val="24"/>
          <w:szCs w:val="24"/>
        </w:rPr>
        <w:t xml:space="preserve"> ex</w:t>
      </w:r>
      <w:r w:rsidR="003F4CD1">
        <w:rPr>
          <w:rFonts w:cstheme="minorHAnsi"/>
          <w:sz w:val="24"/>
          <w:szCs w:val="24"/>
        </w:rPr>
        <w:t>pired</w:t>
      </w:r>
      <w:r w:rsidRPr="00CD1D70">
        <w:rPr>
          <w:rFonts w:cstheme="minorHAnsi"/>
          <w:sz w:val="24"/>
          <w:szCs w:val="24"/>
        </w:rPr>
        <w:t xml:space="preserve"> ICR</w:t>
      </w:r>
      <w:r w:rsidRPr="00CD1D70" w:rsidR="00E86580">
        <w:rPr>
          <w:rFonts w:cstheme="minorHAnsi"/>
          <w:sz w:val="24"/>
          <w:szCs w:val="24"/>
        </w:rPr>
        <w:t xml:space="preserve">. </w:t>
      </w:r>
      <w:r w:rsidRPr="00CD1D70">
        <w:rPr>
          <w:rFonts w:cstheme="minorHAnsi"/>
          <w:sz w:val="24"/>
          <w:szCs w:val="24"/>
        </w:rPr>
        <w:t>Only recurring requirements will impose burden on the respondents since no new requirements have been added.</w:t>
      </w:r>
    </w:p>
    <w:p w:rsidR="00F36824" w:rsidP="00F36824" w14:paraId="5272A5C9" w14:textId="77777777">
      <w:pPr>
        <w:pStyle w:val="BodyText"/>
        <w:spacing w:after="0" w:line="240" w:lineRule="auto"/>
        <w:rPr>
          <w:rFonts w:cstheme="minorHAnsi"/>
          <w:sz w:val="24"/>
          <w:szCs w:val="24"/>
        </w:rPr>
      </w:pPr>
    </w:p>
    <w:p w:rsidR="008C734C" w:rsidP="00F36824" w14:paraId="356EB1AD" w14:textId="77777777">
      <w:pPr>
        <w:pStyle w:val="Heading2"/>
        <w:spacing w:before="0"/>
      </w:pPr>
      <w:bookmarkStart w:id="6" w:name="_Toc184648835"/>
      <w:r>
        <w:t>A.</w:t>
      </w:r>
      <w:r w:rsidRPr="00A41763" w:rsidR="00A41763">
        <w:t xml:space="preserve">3. </w:t>
      </w:r>
      <w:r>
        <w:t>Use of Technology</w:t>
      </w:r>
      <w:bookmarkEnd w:id="6"/>
    </w:p>
    <w:p w:rsidR="00A41763" w:rsidRPr="00F36824" w:rsidP="00F36824" w14:paraId="72A2F710" w14:textId="77777777">
      <w:pPr>
        <w:spacing w:after="0"/>
        <w:rPr>
          <w:b/>
          <w:bCs/>
          <w:sz w:val="24"/>
          <w:szCs w:val="24"/>
        </w:rPr>
      </w:pPr>
      <w:r w:rsidRPr="00F36824">
        <w:rPr>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F36824" w:rsidRPr="00F36824" w:rsidP="00F36824" w14:paraId="54603AC0" w14:textId="77777777">
      <w:pPr>
        <w:spacing w:after="0"/>
        <w:rPr>
          <w:sz w:val="24"/>
          <w:szCs w:val="24"/>
        </w:rPr>
      </w:pPr>
    </w:p>
    <w:p w:rsidR="00F95A95" w:rsidRPr="00F36824" w:rsidP="00F36824" w14:paraId="70ED0A02" w14:textId="5314EE53">
      <w:pPr>
        <w:spacing w:after="0"/>
        <w:rPr>
          <w:sz w:val="24"/>
          <w:szCs w:val="24"/>
        </w:rPr>
      </w:pPr>
      <w:r w:rsidRPr="00F36824">
        <w:rPr>
          <w:sz w:val="24"/>
          <w:szCs w:val="24"/>
        </w:rPr>
        <w:t>Within existing budget and resource constraints, Department program managers and contractors continually work to apply the latest appropriate-level information collection burden and improve the timeliness and usefulness of the information being collected</w:t>
      </w:r>
      <w:r w:rsidRPr="00F36824" w:rsidR="00E86580">
        <w:rPr>
          <w:sz w:val="24"/>
          <w:szCs w:val="24"/>
        </w:rPr>
        <w:t xml:space="preserve">. </w:t>
      </w:r>
      <w:r w:rsidR="006C56B3">
        <w:rPr>
          <w:sz w:val="24"/>
          <w:szCs w:val="24"/>
        </w:rPr>
        <w:t>54.9% of responses are being collected electronically.</w:t>
      </w:r>
    </w:p>
    <w:p w:rsidR="00F36824" w:rsidRPr="00F36824" w:rsidP="00F36824" w14:paraId="0ABAB4E4" w14:textId="77777777">
      <w:pPr>
        <w:spacing w:after="0"/>
        <w:rPr>
          <w:sz w:val="24"/>
          <w:szCs w:val="24"/>
        </w:rPr>
      </w:pPr>
    </w:p>
    <w:p w:rsidR="008C734C" w:rsidRPr="00F36824" w:rsidP="00F36824" w14:paraId="50A5EFD4" w14:textId="404F65F7">
      <w:pPr>
        <w:spacing w:after="0"/>
        <w:rPr>
          <w:sz w:val="24"/>
          <w:szCs w:val="24"/>
        </w:rPr>
      </w:pPr>
      <w:r w:rsidRPr="00F36824">
        <w:rPr>
          <w:sz w:val="24"/>
          <w:szCs w:val="24"/>
        </w:rPr>
        <w:t>The 10 CFR Part 850 requires that the “Registry” of beryllium associated workers, inventory of beryllium locations and operations, hazard assessments, exposure measurements, exposure controls, and medical surveillance records are maintained electronically</w:t>
      </w:r>
      <w:r w:rsidRPr="00F36824" w:rsidR="00E86580">
        <w:rPr>
          <w:sz w:val="24"/>
          <w:szCs w:val="24"/>
        </w:rPr>
        <w:t xml:space="preserve">. </w:t>
      </w:r>
      <w:r w:rsidRPr="00F36824">
        <w:rPr>
          <w:sz w:val="24"/>
          <w:szCs w:val="24"/>
        </w:rPr>
        <w:t>Accurate records are essential for effectively implementing the CBDPP, assessing the plan’s adequacy, and studying the relationship between workplace conditions and chronic beryllium disease</w:t>
      </w:r>
      <w:r w:rsidRPr="00F36824" w:rsidR="00E86580">
        <w:rPr>
          <w:sz w:val="24"/>
          <w:szCs w:val="24"/>
        </w:rPr>
        <w:t xml:space="preserve">. </w:t>
      </w:r>
      <w:r w:rsidR="00275419">
        <w:rPr>
          <w:sz w:val="24"/>
          <w:szCs w:val="24"/>
        </w:rPr>
        <w:t xml:space="preserve"> </w:t>
      </w:r>
      <w:r w:rsidRPr="00F36824">
        <w:rPr>
          <w:sz w:val="24"/>
          <w:szCs w:val="24"/>
        </w:rPr>
        <w:t>DOE further expects that both updating CBDPP plans and notifying workers of exposure monitoring results are being handled electronically through the Department’s secure e-mail system.</w:t>
      </w:r>
    </w:p>
    <w:p w:rsidR="00F36824" w:rsidP="00F36824" w14:paraId="37BA39D6" w14:textId="77777777">
      <w:pPr>
        <w:spacing w:after="0"/>
      </w:pPr>
    </w:p>
    <w:p w:rsidR="008C734C" w:rsidP="00F36824" w14:paraId="08EE70A9" w14:textId="77777777">
      <w:pPr>
        <w:pStyle w:val="Heading2"/>
        <w:spacing w:before="0"/>
      </w:pPr>
      <w:bookmarkStart w:id="7" w:name="_Toc184648836"/>
      <w:r>
        <w:t>A.</w:t>
      </w:r>
      <w:r w:rsidRPr="00A41763" w:rsidR="00A41763">
        <w:t xml:space="preserve">4. </w:t>
      </w:r>
      <w:r>
        <w:t>Efforts to Identify Duplication</w:t>
      </w:r>
      <w:bookmarkEnd w:id="7"/>
    </w:p>
    <w:p w:rsidR="00A41763" w:rsidRPr="00F36824" w:rsidP="00F36824" w14:paraId="3E64B24D" w14:textId="77777777">
      <w:pPr>
        <w:spacing w:after="0"/>
        <w:rPr>
          <w:b/>
          <w:bCs/>
          <w:sz w:val="24"/>
          <w:szCs w:val="24"/>
        </w:rPr>
      </w:pPr>
      <w:r w:rsidRPr="00F36824">
        <w:rPr>
          <w:b/>
          <w:bCs/>
          <w:sz w:val="24"/>
          <w:szCs w:val="24"/>
        </w:rPr>
        <w:t xml:space="preserve">Describe efforts to identify duplication. </w:t>
      </w:r>
    </w:p>
    <w:p w:rsidR="00F36824" w:rsidRPr="00F36824" w:rsidP="00F36824" w14:paraId="52B5DD29" w14:textId="77777777">
      <w:pPr>
        <w:spacing w:after="0"/>
        <w:rPr>
          <w:sz w:val="24"/>
          <w:szCs w:val="24"/>
        </w:rPr>
      </w:pPr>
    </w:p>
    <w:p w:rsidR="00F95A95" w:rsidRPr="00F36824" w:rsidP="00F36824" w14:paraId="38190293" w14:textId="743AF201">
      <w:pPr>
        <w:spacing w:after="0"/>
        <w:rPr>
          <w:sz w:val="24"/>
          <w:szCs w:val="24"/>
        </w:rPr>
      </w:pPr>
      <w:r w:rsidRPr="00F36824">
        <w:rPr>
          <w:sz w:val="24"/>
          <w:szCs w:val="24"/>
        </w:rPr>
        <w:t xml:space="preserve">DOE is a self-regulating </w:t>
      </w:r>
      <w:r w:rsidRPr="00F36824">
        <w:rPr>
          <w:sz w:val="24"/>
          <w:szCs w:val="24"/>
        </w:rPr>
        <w:t>agency,</w:t>
      </w:r>
      <w:r w:rsidRPr="00F36824">
        <w:rPr>
          <w:sz w:val="24"/>
          <w:szCs w:val="24"/>
        </w:rPr>
        <w:t xml:space="preserve"> therefore, its contractors are not under the Occupational Safety and Health Administration’s (OSHA’s) </w:t>
      </w:r>
      <w:r w:rsidRPr="00F36824" w:rsidR="00DC3BA3">
        <w:rPr>
          <w:sz w:val="24"/>
          <w:szCs w:val="24"/>
        </w:rPr>
        <w:t>jurisdiction and</w:t>
      </w:r>
      <w:r w:rsidRPr="00F36824">
        <w:rPr>
          <w:sz w:val="24"/>
          <w:szCs w:val="24"/>
        </w:rPr>
        <w:t xml:space="preserve"> must comply with DOE regulations</w:t>
      </w:r>
      <w:r w:rsidRPr="00F36824" w:rsidR="00E86580">
        <w:rPr>
          <w:sz w:val="24"/>
          <w:szCs w:val="24"/>
        </w:rPr>
        <w:t xml:space="preserve">. </w:t>
      </w:r>
      <w:r w:rsidRPr="00F36824">
        <w:rPr>
          <w:sz w:val="24"/>
          <w:szCs w:val="24"/>
        </w:rPr>
        <w:t>However, DOE adopted OSHA’s permissible exposure limit for beryllium</w:t>
      </w:r>
      <w:r w:rsidRPr="00F36824" w:rsidR="00E86580">
        <w:rPr>
          <w:sz w:val="24"/>
          <w:szCs w:val="24"/>
        </w:rPr>
        <w:t xml:space="preserve">. </w:t>
      </w:r>
      <w:r w:rsidR="00275419">
        <w:rPr>
          <w:sz w:val="24"/>
          <w:szCs w:val="24"/>
        </w:rPr>
        <w:t xml:space="preserve"> </w:t>
      </w:r>
      <w:r w:rsidRPr="00F36824">
        <w:rPr>
          <w:sz w:val="24"/>
          <w:szCs w:val="24"/>
        </w:rPr>
        <w:t xml:space="preserve">DOE periodically contacts OSHA regarding their beryllium </w:t>
      </w:r>
      <w:r w:rsidRPr="00F36824" w:rsidR="00DC3BA3">
        <w:rPr>
          <w:sz w:val="24"/>
          <w:szCs w:val="24"/>
        </w:rPr>
        <w:t>rule and</w:t>
      </w:r>
      <w:r w:rsidRPr="00F36824">
        <w:rPr>
          <w:sz w:val="24"/>
          <w:szCs w:val="24"/>
        </w:rPr>
        <w:t xml:space="preserve"> is not aware of any beryllium reporting requirements required by OSHA or the CDC of its employees or contractors</w:t>
      </w:r>
      <w:r w:rsidRPr="00F36824" w:rsidR="00E86580">
        <w:rPr>
          <w:sz w:val="24"/>
          <w:szCs w:val="24"/>
        </w:rPr>
        <w:t xml:space="preserve">. </w:t>
      </w:r>
    </w:p>
    <w:p w:rsidR="00F36824" w:rsidRPr="00F36824" w:rsidP="00F36824" w14:paraId="6D0EABB2" w14:textId="77777777">
      <w:pPr>
        <w:spacing w:after="0"/>
        <w:rPr>
          <w:sz w:val="24"/>
          <w:szCs w:val="24"/>
        </w:rPr>
      </w:pPr>
    </w:p>
    <w:p w:rsidR="008C734C" w:rsidRPr="00F36824" w:rsidP="00F36824" w14:paraId="328489A2" w14:textId="14630A59">
      <w:pPr>
        <w:spacing w:after="0"/>
        <w:rPr>
          <w:sz w:val="24"/>
          <w:szCs w:val="24"/>
        </w:rPr>
      </w:pPr>
      <w:r w:rsidRPr="00F36824">
        <w:rPr>
          <w:sz w:val="24"/>
          <w:szCs w:val="24"/>
        </w:rPr>
        <w:t xml:space="preserve">This information collection applies to the management of a program required by DOE, therefore, meaningful duplication in other agencies </w:t>
      </w:r>
      <w:r w:rsidRPr="00F36824" w:rsidR="00DC3BA3">
        <w:rPr>
          <w:sz w:val="24"/>
          <w:szCs w:val="24"/>
        </w:rPr>
        <w:t>is</w:t>
      </w:r>
      <w:r w:rsidRPr="00F36824">
        <w:rPr>
          <w:sz w:val="24"/>
          <w:szCs w:val="24"/>
        </w:rPr>
        <w:t xml:space="preserve"> unlikely</w:t>
      </w:r>
      <w:r w:rsidRPr="00F36824" w:rsidR="00E86580">
        <w:rPr>
          <w:sz w:val="24"/>
          <w:szCs w:val="24"/>
        </w:rPr>
        <w:t xml:space="preserve">. </w:t>
      </w:r>
    </w:p>
    <w:p w:rsidR="00970EEF" w:rsidP="00F36824" w14:paraId="1EDF84E3" w14:textId="77777777">
      <w:pPr>
        <w:pStyle w:val="Heading2"/>
        <w:spacing w:before="0"/>
      </w:pPr>
    </w:p>
    <w:p w:rsidR="008C734C" w:rsidP="00F36824" w14:paraId="21A0E997" w14:textId="55404D3A">
      <w:pPr>
        <w:pStyle w:val="Heading2"/>
        <w:spacing w:before="0"/>
      </w:pPr>
      <w:bookmarkStart w:id="8" w:name="_Toc184648837"/>
      <w:r>
        <w:t>A.</w:t>
      </w:r>
      <w:r w:rsidRPr="00A41763" w:rsidR="00A41763">
        <w:t xml:space="preserve">5. </w:t>
      </w:r>
      <w:r w:rsidRPr="008C734C">
        <w:t>Provisions for Reducing Burden on Small Businesses</w:t>
      </w:r>
      <w:bookmarkEnd w:id="8"/>
      <w:r w:rsidRPr="008C734C">
        <w:t xml:space="preserve"> </w:t>
      </w:r>
    </w:p>
    <w:p w:rsidR="00A41763" w:rsidRPr="007E68F5" w:rsidP="007E68F5" w14:paraId="352E0240" w14:textId="77777777">
      <w:pPr>
        <w:spacing w:after="0" w:line="240" w:lineRule="auto"/>
        <w:rPr>
          <w:b/>
          <w:bCs/>
          <w:sz w:val="24"/>
          <w:szCs w:val="24"/>
        </w:rPr>
      </w:pPr>
      <w:r w:rsidRPr="007E68F5">
        <w:rPr>
          <w:b/>
          <w:bCs/>
          <w:sz w:val="24"/>
          <w:szCs w:val="24"/>
        </w:rPr>
        <w:t xml:space="preserve">If the collection of information impacts small businesses or other small entities, describe any methods used to minimize burden. </w:t>
      </w:r>
    </w:p>
    <w:p w:rsidR="007E68F5" w:rsidRPr="00A41763" w:rsidP="007E68F5" w14:paraId="465E099E" w14:textId="77777777">
      <w:pPr>
        <w:spacing w:after="0" w:line="240" w:lineRule="auto"/>
      </w:pPr>
    </w:p>
    <w:p w:rsidR="007E68F5" w:rsidP="007E68F5" w14:paraId="20A3DB73" w14:textId="31AF7820">
      <w:pPr>
        <w:spacing w:after="0" w:line="240" w:lineRule="auto"/>
        <w:rPr>
          <w:sz w:val="24"/>
          <w:szCs w:val="24"/>
        </w:rPr>
      </w:pPr>
      <w:r>
        <w:rPr>
          <w:sz w:val="24"/>
          <w:szCs w:val="24"/>
        </w:rPr>
        <w:t>All respondents under this collection are</w:t>
      </w:r>
      <w:r w:rsidR="00774CD9">
        <w:rPr>
          <w:sz w:val="24"/>
          <w:szCs w:val="24"/>
        </w:rPr>
        <w:t xml:space="preserve"> the</w:t>
      </w:r>
      <w:r>
        <w:rPr>
          <w:sz w:val="24"/>
          <w:szCs w:val="24"/>
        </w:rPr>
        <w:t xml:space="preserve"> DOE contractors</w:t>
      </w:r>
      <w:r w:rsidR="00774CD9">
        <w:rPr>
          <w:sz w:val="24"/>
          <w:szCs w:val="24"/>
        </w:rPr>
        <w:t xml:space="preserve"> that operate the DOE sites with workers potentially exposed to beryllium</w:t>
      </w:r>
      <w:r>
        <w:rPr>
          <w:sz w:val="24"/>
          <w:szCs w:val="24"/>
        </w:rPr>
        <w:t xml:space="preserve">. </w:t>
      </w:r>
      <w:r w:rsidRPr="007E68F5" w:rsidR="00F21B3C">
        <w:rPr>
          <w:sz w:val="24"/>
          <w:szCs w:val="24"/>
        </w:rPr>
        <w:t>The impact of collecting this information from small business was considered in the development of the contract requirements, and documents were minimized to the extent permitted by applicable statutory requirements and other legal and management constraints</w:t>
      </w:r>
      <w:r w:rsidRPr="007E68F5" w:rsidR="00E86580">
        <w:rPr>
          <w:sz w:val="24"/>
          <w:szCs w:val="24"/>
        </w:rPr>
        <w:t>.</w:t>
      </w:r>
    </w:p>
    <w:p w:rsidR="00C96270" w:rsidP="007B1725" w14:paraId="646D3E6A" w14:textId="77777777">
      <w:pPr>
        <w:spacing w:after="0" w:line="240" w:lineRule="auto"/>
        <w:rPr>
          <w:sz w:val="24"/>
          <w:szCs w:val="24"/>
        </w:rPr>
      </w:pPr>
      <w:r>
        <w:rPr>
          <w:sz w:val="24"/>
          <w:szCs w:val="24"/>
        </w:rPr>
        <w:t xml:space="preserve">Many of the respondents are large universities or large companies with </w:t>
      </w:r>
      <w:r w:rsidR="00BF1A83">
        <w:rPr>
          <w:sz w:val="24"/>
          <w:szCs w:val="24"/>
        </w:rPr>
        <w:t xml:space="preserve">revenue and employment figures orders of magnitude above the Small Business Administration’s (SBA) small business definitions for the relevant NAICS code. (Many of the DOE contract annual funding </w:t>
      </w:r>
      <w:r w:rsidR="00BF1A83">
        <w:rPr>
          <w:sz w:val="24"/>
          <w:szCs w:val="24"/>
        </w:rPr>
        <w:t xml:space="preserve">levels are themselves above the </w:t>
      </w:r>
      <w:r>
        <w:rPr>
          <w:sz w:val="24"/>
          <w:szCs w:val="24"/>
        </w:rPr>
        <w:t>SBA definition, even excluding the companies’ other revenue streams.)</w:t>
      </w:r>
      <w:r w:rsidR="001B09CF">
        <w:rPr>
          <w:sz w:val="24"/>
          <w:szCs w:val="24"/>
        </w:rPr>
        <w:t xml:space="preserve"> </w:t>
      </w:r>
    </w:p>
    <w:p w:rsidR="00C96270" w:rsidP="007B1725" w14:paraId="0067A3AC" w14:textId="77777777">
      <w:pPr>
        <w:spacing w:after="0" w:line="240" w:lineRule="auto"/>
        <w:rPr>
          <w:sz w:val="24"/>
          <w:szCs w:val="24"/>
        </w:rPr>
      </w:pPr>
    </w:p>
    <w:p w:rsidR="002C105F" w:rsidP="007B1725" w14:paraId="33A03FCA" w14:textId="12088A99">
      <w:pPr>
        <w:spacing w:after="0" w:line="240" w:lineRule="auto"/>
        <w:rPr>
          <w:sz w:val="24"/>
          <w:szCs w:val="24"/>
        </w:rPr>
      </w:pPr>
      <w:r>
        <w:rPr>
          <w:sz w:val="24"/>
          <w:szCs w:val="24"/>
        </w:rPr>
        <w:t xml:space="preserve">Of </w:t>
      </w:r>
      <w:r w:rsidR="001B09CF">
        <w:rPr>
          <w:sz w:val="24"/>
          <w:szCs w:val="24"/>
        </w:rPr>
        <w:t>the reporting organizations</w:t>
      </w:r>
      <w:r>
        <w:rPr>
          <w:sz w:val="24"/>
          <w:szCs w:val="24"/>
        </w:rPr>
        <w:t xml:space="preserve"> covered under this collection</w:t>
      </w:r>
      <w:r w:rsidR="009610DE">
        <w:rPr>
          <w:sz w:val="24"/>
          <w:szCs w:val="24"/>
        </w:rPr>
        <w:t>, only one appears to</w:t>
      </w:r>
      <w:r w:rsidR="00D018DD">
        <w:rPr>
          <w:sz w:val="24"/>
          <w:szCs w:val="24"/>
        </w:rPr>
        <w:t xml:space="preserve"> have any potential of being</w:t>
      </w:r>
      <w:r w:rsidR="009610DE">
        <w:rPr>
          <w:sz w:val="24"/>
          <w:szCs w:val="24"/>
        </w:rPr>
        <w:t xml:space="preserve"> small by SBA definitions.</w:t>
      </w:r>
      <w:r>
        <w:rPr>
          <w:rStyle w:val="FootnoteReference"/>
          <w:sz w:val="24"/>
          <w:szCs w:val="24"/>
        </w:rPr>
        <w:footnoteReference w:id="2"/>
      </w:r>
      <w:r>
        <w:rPr>
          <w:sz w:val="24"/>
          <w:szCs w:val="24"/>
        </w:rPr>
        <w:t xml:space="preserve"> Because this company is performing the work covered by this collection under contract to DOE, the burden and cost of performing the recordkeeping would have been </w:t>
      </w:r>
      <w:r>
        <w:rPr>
          <w:sz w:val="24"/>
          <w:szCs w:val="24"/>
        </w:rPr>
        <w:t>taken into account</w:t>
      </w:r>
      <w:r>
        <w:rPr>
          <w:sz w:val="24"/>
          <w:szCs w:val="24"/>
        </w:rPr>
        <w:t xml:space="preserve"> during the contract bidding process.</w:t>
      </w:r>
    </w:p>
    <w:p w:rsidR="007B1725" w:rsidP="007E68F5" w14:paraId="06E750DD" w14:textId="77777777">
      <w:pPr>
        <w:spacing w:after="0" w:line="240" w:lineRule="auto"/>
        <w:rPr>
          <w:sz w:val="24"/>
          <w:szCs w:val="24"/>
        </w:rPr>
      </w:pPr>
    </w:p>
    <w:p w:rsidR="002C105F" w:rsidRPr="007E68F5" w:rsidP="007E68F5" w14:paraId="35557CEB" w14:textId="7DBB726D">
      <w:pPr>
        <w:spacing w:after="0" w:line="240" w:lineRule="auto"/>
        <w:rPr>
          <w:sz w:val="24"/>
          <w:szCs w:val="24"/>
        </w:rPr>
      </w:pPr>
      <w:r>
        <w:rPr>
          <w:sz w:val="24"/>
          <w:szCs w:val="24"/>
        </w:rPr>
        <w:t>The prime contractors</w:t>
      </w:r>
      <w:r w:rsidR="007B1725">
        <w:rPr>
          <w:sz w:val="24"/>
          <w:szCs w:val="24"/>
        </w:rPr>
        <w:t xml:space="preserve"> responding to this information collection</w:t>
      </w:r>
      <w:r>
        <w:rPr>
          <w:sz w:val="24"/>
          <w:szCs w:val="24"/>
        </w:rPr>
        <w:t xml:space="preserve"> may subcontract with small businesses. However, the prime contractor is responsible for most elements of the information collection, such as preparing </w:t>
      </w:r>
      <w:r w:rsidR="00E246C4">
        <w:rPr>
          <w:sz w:val="24"/>
          <w:szCs w:val="24"/>
        </w:rPr>
        <w:t xml:space="preserve">and submitting </w:t>
      </w:r>
      <w:r>
        <w:rPr>
          <w:sz w:val="24"/>
          <w:szCs w:val="24"/>
        </w:rPr>
        <w:t xml:space="preserve">the </w:t>
      </w:r>
      <w:r w:rsidRPr="00E246C4" w:rsidR="00E246C4">
        <w:rPr>
          <w:sz w:val="24"/>
          <w:szCs w:val="24"/>
        </w:rPr>
        <w:t>CBDPP</w:t>
      </w:r>
      <w:r w:rsidR="00E246C4">
        <w:rPr>
          <w:sz w:val="24"/>
          <w:szCs w:val="24"/>
        </w:rPr>
        <w:t xml:space="preserve"> plan and reporting registry data</w:t>
      </w:r>
      <w:r w:rsidR="00AB2E1C">
        <w:rPr>
          <w:sz w:val="24"/>
          <w:szCs w:val="24"/>
        </w:rPr>
        <w:t>. To the extent that any small subcontractor is performing</w:t>
      </w:r>
      <w:r w:rsidR="00E246C4">
        <w:rPr>
          <w:sz w:val="24"/>
          <w:szCs w:val="24"/>
        </w:rPr>
        <w:t xml:space="preserve"> </w:t>
      </w:r>
      <w:r w:rsidR="00AB2E1C">
        <w:rPr>
          <w:sz w:val="24"/>
          <w:szCs w:val="24"/>
        </w:rPr>
        <w:t xml:space="preserve">work that would </w:t>
      </w:r>
      <w:r w:rsidR="00FE17B0">
        <w:rPr>
          <w:sz w:val="24"/>
          <w:szCs w:val="24"/>
        </w:rPr>
        <w:t xml:space="preserve">require </w:t>
      </w:r>
      <w:r w:rsidR="000B5924">
        <w:rPr>
          <w:sz w:val="24"/>
          <w:szCs w:val="24"/>
        </w:rPr>
        <w:t>beryllium-related reporting</w:t>
      </w:r>
      <w:r w:rsidR="00AB2E1C">
        <w:rPr>
          <w:sz w:val="24"/>
          <w:szCs w:val="24"/>
        </w:rPr>
        <w:t>, their subcontract</w:t>
      </w:r>
      <w:r w:rsidRPr="00AB2E1C" w:rsidR="00AB2E1C">
        <w:rPr>
          <w:sz w:val="24"/>
          <w:szCs w:val="24"/>
        </w:rPr>
        <w:t xml:space="preserve"> would include funding to cover the</w:t>
      </w:r>
      <w:r w:rsidR="00AB2E1C">
        <w:rPr>
          <w:sz w:val="24"/>
          <w:szCs w:val="24"/>
        </w:rPr>
        <w:t xml:space="preserve"> associated burden and cost.</w:t>
      </w:r>
    </w:p>
    <w:p w:rsidR="000A7C23" w:rsidP="007E68F5" w14:paraId="3ED044A5" w14:textId="77777777">
      <w:pPr>
        <w:pStyle w:val="Heading2"/>
        <w:spacing w:before="0"/>
      </w:pPr>
    </w:p>
    <w:p w:rsidR="008C734C" w:rsidP="007E68F5" w14:paraId="7A274A99" w14:textId="558DDFD1">
      <w:pPr>
        <w:pStyle w:val="Heading2"/>
        <w:spacing w:before="0"/>
      </w:pPr>
      <w:bookmarkStart w:id="9" w:name="_Toc184648838"/>
      <w:r>
        <w:t>A.</w:t>
      </w:r>
      <w:r w:rsidRPr="00A41763" w:rsidR="00A41763">
        <w:t xml:space="preserve">6. </w:t>
      </w:r>
      <w:r w:rsidRPr="008C734C">
        <w:t>Consequences of Less-Frequent Reporting</w:t>
      </w:r>
      <w:bookmarkEnd w:id="9"/>
    </w:p>
    <w:p w:rsidR="00A41763" w:rsidRPr="007E68F5" w:rsidP="007E68F5" w14:paraId="5065CA64" w14:textId="77777777">
      <w:pPr>
        <w:spacing w:after="0" w:line="240" w:lineRule="auto"/>
        <w:rPr>
          <w:b/>
          <w:bCs/>
          <w:sz w:val="24"/>
          <w:szCs w:val="24"/>
        </w:rPr>
      </w:pPr>
      <w:r w:rsidRPr="007E68F5">
        <w:rPr>
          <w:b/>
          <w:bCs/>
          <w:sz w:val="24"/>
          <w:szCs w:val="24"/>
        </w:rPr>
        <w:t xml:space="preserve">Describe the consequence to Federal program or policy activities if the collection is not conducted or is conducted less frequently, as well as any technical or legal obstacles to reducing burden. </w:t>
      </w:r>
    </w:p>
    <w:p w:rsidR="007E68F5" w:rsidRPr="007E68F5" w:rsidP="007E68F5" w14:paraId="1689E37D" w14:textId="77777777">
      <w:pPr>
        <w:spacing w:after="0" w:line="240" w:lineRule="auto"/>
        <w:rPr>
          <w:sz w:val="24"/>
          <w:szCs w:val="24"/>
        </w:rPr>
      </w:pPr>
    </w:p>
    <w:p w:rsidR="00914BDA" w:rsidRPr="007E68F5" w:rsidP="00914BDA" w14:paraId="77A06CED" w14:textId="7687052C">
      <w:pPr>
        <w:spacing w:after="0" w:line="240" w:lineRule="auto"/>
        <w:rPr>
          <w:sz w:val="24"/>
          <w:szCs w:val="24"/>
        </w:rPr>
      </w:pPr>
      <w:r>
        <w:rPr>
          <w:sz w:val="24"/>
          <w:szCs w:val="24"/>
        </w:rPr>
        <w:t>This collection is required by</w:t>
      </w:r>
      <w:r w:rsidRPr="00914BDA">
        <w:rPr>
          <w:sz w:val="24"/>
          <w:szCs w:val="24"/>
        </w:rPr>
        <w:t xml:space="preserve"> 10 CFR 850</w:t>
      </w:r>
      <w:r>
        <w:rPr>
          <w:sz w:val="24"/>
          <w:szCs w:val="24"/>
        </w:rPr>
        <w:t>, which</w:t>
      </w:r>
      <w:r w:rsidRPr="00914BDA">
        <w:rPr>
          <w:sz w:val="24"/>
          <w:szCs w:val="24"/>
        </w:rPr>
        <w:t xml:space="preserve"> requires DOE sites to inventory and assess beryllium exposure hazards and transmit all records generated as required by this rule to DOE.</w:t>
      </w:r>
      <w:r>
        <w:rPr>
          <w:sz w:val="24"/>
          <w:szCs w:val="24"/>
        </w:rPr>
        <w:t xml:space="preserve"> Changes to the reporting requirements would require a rulemaking process that modified these requirements.</w:t>
      </w:r>
    </w:p>
    <w:p w:rsidR="00914BDA" w:rsidP="007E68F5" w14:paraId="1F37E4C6" w14:textId="77777777">
      <w:pPr>
        <w:spacing w:after="0" w:line="240" w:lineRule="auto"/>
        <w:rPr>
          <w:sz w:val="24"/>
          <w:szCs w:val="24"/>
        </w:rPr>
      </w:pPr>
    </w:p>
    <w:p w:rsidR="008C734C" w:rsidP="007E68F5" w14:paraId="6C122D13" w14:textId="607FBB0E">
      <w:pPr>
        <w:spacing w:after="0" w:line="240" w:lineRule="auto"/>
        <w:rPr>
          <w:sz w:val="24"/>
          <w:szCs w:val="24"/>
        </w:rPr>
      </w:pPr>
      <w:r w:rsidRPr="007E68F5">
        <w:rPr>
          <w:sz w:val="24"/>
          <w:szCs w:val="24"/>
        </w:rPr>
        <w:t>The frequency of collection is dictated by sound health, safety, and management practice</w:t>
      </w:r>
      <w:r w:rsidRPr="007E68F5" w:rsidR="00E86580">
        <w:rPr>
          <w:sz w:val="24"/>
          <w:szCs w:val="24"/>
        </w:rPr>
        <w:t xml:space="preserve">. </w:t>
      </w:r>
      <w:r w:rsidRPr="007E68F5">
        <w:rPr>
          <w:sz w:val="24"/>
          <w:szCs w:val="24"/>
        </w:rPr>
        <w:t>When any of these conditions change to permit a reduction of the frequency of information collections, a reduction is encouraged.</w:t>
      </w:r>
    </w:p>
    <w:p w:rsidR="00914BDA" w:rsidP="007E68F5" w14:paraId="43A9F863" w14:textId="443990B1">
      <w:pPr>
        <w:spacing w:after="0" w:line="240" w:lineRule="auto"/>
        <w:rPr>
          <w:sz w:val="24"/>
          <w:szCs w:val="24"/>
        </w:rPr>
      </w:pPr>
    </w:p>
    <w:p w:rsidR="00914BDA" w:rsidP="007E68F5" w14:paraId="541B17CC" w14:textId="5A5CC0D6">
      <w:pPr>
        <w:spacing w:after="0" w:line="240" w:lineRule="auto"/>
        <w:rPr>
          <w:sz w:val="24"/>
          <w:szCs w:val="24"/>
        </w:rPr>
      </w:pPr>
      <w:r>
        <w:rPr>
          <w:sz w:val="24"/>
          <w:szCs w:val="24"/>
        </w:rPr>
        <w:t xml:space="preserve">If the collection were not conducted or was conducted less frequently, </w:t>
      </w:r>
      <w:r w:rsidR="00CD69A2">
        <w:rPr>
          <w:sz w:val="24"/>
          <w:szCs w:val="24"/>
        </w:rPr>
        <w:t>workers</w:t>
      </w:r>
      <w:r w:rsidRPr="00CD69A2" w:rsidR="00CD69A2">
        <w:rPr>
          <w:sz w:val="24"/>
          <w:szCs w:val="24"/>
        </w:rPr>
        <w:t xml:space="preserve"> exposed to beryllium dust</w:t>
      </w:r>
      <w:r w:rsidR="00CD69A2">
        <w:rPr>
          <w:sz w:val="24"/>
          <w:szCs w:val="24"/>
        </w:rPr>
        <w:t xml:space="preserve"> could develop </w:t>
      </w:r>
      <w:r w:rsidRPr="00CD69A2" w:rsidR="00CD69A2">
        <w:rPr>
          <w:sz w:val="24"/>
          <w:szCs w:val="24"/>
        </w:rPr>
        <w:t>beryllium sensitization</w:t>
      </w:r>
      <w:r w:rsidR="00CD69A2">
        <w:rPr>
          <w:sz w:val="24"/>
          <w:szCs w:val="24"/>
        </w:rPr>
        <w:t xml:space="preserve"> or </w:t>
      </w:r>
      <w:r w:rsidRPr="00CD69A2" w:rsidR="00CD69A2">
        <w:rPr>
          <w:sz w:val="24"/>
          <w:szCs w:val="24"/>
        </w:rPr>
        <w:t>chronic beryllium disease, a chronic lung disease</w:t>
      </w:r>
      <w:r w:rsidR="00E95319">
        <w:rPr>
          <w:sz w:val="24"/>
          <w:szCs w:val="24"/>
        </w:rPr>
        <w:t>,</w:t>
      </w:r>
      <w:r w:rsidR="00CD69A2">
        <w:rPr>
          <w:sz w:val="24"/>
          <w:szCs w:val="24"/>
        </w:rPr>
        <w:t xml:space="preserve"> without </w:t>
      </w:r>
      <w:r w:rsidR="009E7E99">
        <w:rPr>
          <w:sz w:val="24"/>
          <w:szCs w:val="24"/>
        </w:rPr>
        <w:t xml:space="preserve">the early detection that can help prevent </w:t>
      </w:r>
      <w:r w:rsidR="00E95319">
        <w:rPr>
          <w:sz w:val="24"/>
          <w:szCs w:val="24"/>
        </w:rPr>
        <w:t>the associated illness and death</w:t>
      </w:r>
      <w:r w:rsidR="009E7E99">
        <w:rPr>
          <w:sz w:val="24"/>
          <w:szCs w:val="24"/>
        </w:rPr>
        <w:t>.</w:t>
      </w:r>
    </w:p>
    <w:p w:rsidR="007E68F5" w:rsidP="007E68F5" w14:paraId="5F40E7BF" w14:textId="77777777">
      <w:pPr>
        <w:spacing w:after="0" w:line="240" w:lineRule="auto"/>
      </w:pPr>
    </w:p>
    <w:p w:rsidR="008C734C" w:rsidP="007E68F5" w14:paraId="10582E70" w14:textId="77777777">
      <w:pPr>
        <w:pStyle w:val="Heading2"/>
        <w:spacing w:before="0"/>
      </w:pPr>
      <w:bookmarkStart w:id="10" w:name="_Toc184648839"/>
      <w:r>
        <w:t>A.</w:t>
      </w:r>
      <w:r w:rsidRPr="00A41763" w:rsidR="00A41763">
        <w:t xml:space="preserve">7. </w:t>
      </w:r>
      <w:r w:rsidRPr="008C734C">
        <w:t>Compliance with 5 CFR 1320.5</w:t>
      </w:r>
      <w:bookmarkEnd w:id="10"/>
    </w:p>
    <w:p w:rsidR="00DB6FBD" w:rsidRPr="007E68F5" w:rsidP="007E68F5" w14:paraId="21FA2DF8" w14:textId="77777777">
      <w:pPr>
        <w:spacing w:after="0"/>
        <w:rPr>
          <w:b/>
          <w:bCs/>
          <w:sz w:val="24"/>
          <w:szCs w:val="24"/>
        </w:rPr>
      </w:pPr>
      <w:r w:rsidRPr="007E68F5">
        <w:rPr>
          <w:b/>
          <w:bCs/>
          <w:sz w:val="24"/>
          <w:szCs w:val="24"/>
        </w:rPr>
        <w:t>Explain any special circumstances that require the collection to be conducted in a manner i</w:t>
      </w:r>
      <w:r w:rsidRPr="007E68F5">
        <w:rPr>
          <w:b/>
          <w:bCs/>
          <w:sz w:val="24"/>
          <w:szCs w:val="24"/>
        </w:rPr>
        <w:t>nconsistent with OMB guidelines:</w:t>
      </w:r>
      <w:r w:rsidRPr="007E68F5">
        <w:rPr>
          <w:b/>
          <w:bCs/>
          <w:sz w:val="24"/>
          <w:szCs w:val="24"/>
        </w:rPr>
        <w:t xml:space="preserve"> </w:t>
      </w:r>
    </w:p>
    <w:p w:rsidR="007E68F5" w:rsidRPr="007E68F5" w:rsidP="007E68F5" w14:paraId="57DA5363" w14:textId="77777777">
      <w:pPr>
        <w:spacing w:after="0"/>
        <w:rPr>
          <w:b/>
          <w:bCs/>
          <w:sz w:val="24"/>
          <w:szCs w:val="24"/>
        </w:rPr>
      </w:pPr>
    </w:p>
    <w:p w:rsidR="00DB6FBD" w:rsidRPr="007E68F5" w:rsidP="007E68F5" w14:paraId="15C24E2D" w14:textId="77777777">
      <w:pPr>
        <w:spacing w:after="0"/>
        <w:rPr>
          <w:b/>
          <w:bCs/>
          <w:sz w:val="24"/>
          <w:szCs w:val="24"/>
        </w:rPr>
      </w:pPr>
      <w:r w:rsidRPr="007E68F5">
        <w:rPr>
          <w:b/>
          <w:bCs/>
          <w:sz w:val="24"/>
          <w:szCs w:val="24"/>
        </w:rPr>
        <w:t xml:space="preserve">(a) requiring respondents to report information to the agency more often than </w:t>
      </w:r>
      <w:r w:rsidRPr="007E68F5">
        <w:rPr>
          <w:b/>
          <w:bCs/>
          <w:sz w:val="24"/>
          <w:szCs w:val="24"/>
        </w:rPr>
        <w:t>quarterly;</w:t>
      </w:r>
      <w:r w:rsidRPr="007E68F5">
        <w:rPr>
          <w:b/>
          <w:bCs/>
          <w:sz w:val="24"/>
          <w:szCs w:val="24"/>
        </w:rPr>
        <w:t xml:space="preserve"> </w:t>
      </w:r>
    </w:p>
    <w:p w:rsidR="007E68F5" w:rsidRPr="007E68F5" w:rsidP="007E68F5" w14:paraId="6DBDDDFF" w14:textId="77777777">
      <w:pPr>
        <w:spacing w:after="0"/>
        <w:rPr>
          <w:b/>
          <w:bCs/>
          <w:sz w:val="24"/>
          <w:szCs w:val="24"/>
        </w:rPr>
      </w:pPr>
    </w:p>
    <w:p w:rsidR="00DB6FBD" w:rsidRPr="007E68F5" w:rsidP="007E68F5" w14:paraId="5A3DC7F9" w14:textId="77777777">
      <w:pPr>
        <w:spacing w:after="0"/>
        <w:rPr>
          <w:b/>
          <w:bCs/>
          <w:sz w:val="24"/>
          <w:szCs w:val="24"/>
        </w:rPr>
      </w:pPr>
      <w:r w:rsidRPr="007E68F5">
        <w:rPr>
          <w:b/>
          <w:bCs/>
          <w:sz w:val="24"/>
          <w:szCs w:val="24"/>
        </w:rPr>
        <w:t xml:space="preserve">(b) requiring respondents to prepare a written response to a collection of information in fewer than 30 days after receipt of it; </w:t>
      </w:r>
    </w:p>
    <w:p w:rsidR="007E68F5" w:rsidRPr="007E68F5" w:rsidP="007E68F5" w14:paraId="27FA6218" w14:textId="77777777">
      <w:pPr>
        <w:spacing w:after="0"/>
        <w:rPr>
          <w:b/>
          <w:bCs/>
          <w:sz w:val="24"/>
          <w:szCs w:val="24"/>
        </w:rPr>
      </w:pPr>
    </w:p>
    <w:p w:rsidR="00DB6FBD" w:rsidRPr="007E68F5" w:rsidP="007E68F5" w14:paraId="0F2D7B12" w14:textId="77777777">
      <w:pPr>
        <w:spacing w:after="0"/>
        <w:rPr>
          <w:b/>
          <w:bCs/>
          <w:sz w:val="24"/>
          <w:szCs w:val="24"/>
        </w:rPr>
      </w:pPr>
      <w:r w:rsidRPr="007E68F5">
        <w:rPr>
          <w:b/>
          <w:bCs/>
          <w:sz w:val="24"/>
          <w:szCs w:val="24"/>
        </w:rPr>
        <w:t xml:space="preserve">(c) requiring respondents to submit more than an original and two copies of any document; </w:t>
      </w:r>
    </w:p>
    <w:p w:rsidR="007E68F5" w:rsidRPr="007E68F5" w:rsidP="007E68F5" w14:paraId="4B920045" w14:textId="77777777">
      <w:pPr>
        <w:spacing w:after="0"/>
        <w:rPr>
          <w:b/>
          <w:bCs/>
          <w:sz w:val="24"/>
          <w:szCs w:val="24"/>
        </w:rPr>
      </w:pPr>
    </w:p>
    <w:p w:rsidR="00DB6FBD" w:rsidRPr="007E68F5" w:rsidP="007E68F5" w14:paraId="5ED70C52" w14:textId="77777777">
      <w:pPr>
        <w:spacing w:after="0"/>
        <w:rPr>
          <w:b/>
          <w:bCs/>
          <w:sz w:val="24"/>
          <w:szCs w:val="24"/>
        </w:rPr>
      </w:pPr>
      <w:r w:rsidRPr="007E68F5">
        <w:rPr>
          <w:b/>
          <w:bCs/>
          <w:sz w:val="24"/>
          <w:szCs w:val="24"/>
        </w:rPr>
        <w:t xml:space="preserve">(d) requiring respondents to retain records, other than health, medical government contract, grant-in-aid, or tax records, for more than three years; </w:t>
      </w:r>
    </w:p>
    <w:p w:rsidR="007E68F5" w:rsidRPr="007E68F5" w:rsidP="007E68F5" w14:paraId="3B2130D5" w14:textId="77777777">
      <w:pPr>
        <w:spacing w:after="0"/>
        <w:rPr>
          <w:b/>
          <w:bCs/>
          <w:sz w:val="24"/>
          <w:szCs w:val="24"/>
        </w:rPr>
      </w:pPr>
    </w:p>
    <w:p w:rsidR="00DB6FBD" w:rsidRPr="007E68F5" w:rsidP="007E68F5" w14:paraId="7B009B20" w14:textId="77777777">
      <w:pPr>
        <w:spacing w:after="0"/>
        <w:rPr>
          <w:b/>
          <w:bCs/>
          <w:sz w:val="24"/>
          <w:szCs w:val="24"/>
        </w:rPr>
      </w:pPr>
      <w:r w:rsidRPr="007E68F5">
        <w:rPr>
          <w:b/>
          <w:bCs/>
          <w:sz w:val="24"/>
          <w:szCs w:val="24"/>
        </w:rPr>
        <w:t xml:space="preserve">(e) in connection with a statistical survey, that is not designed to product valid and reliable results that can be generalized to the universe of study; </w:t>
      </w:r>
    </w:p>
    <w:p w:rsidR="007E68F5" w:rsidRPr="007E68F5" w:rsidP="007E68F5" w14:paraId="035B2616" w14:textId="77777777">
      <w:pPr>
        <w:spacing w:after="0"/>
        <w:rPr>
          <w:b/>
          <w:bCs/>
          <w:sz w:val="24"/>
          <w:szCs w:val="24"/>
        </w:rPr>
      </w:pPr>
    </w:p>
    <w:p w:rsidR="00DB6FBD" w:rsidRPr="007E68F5" w:rsidP="007E68F5" w14:paraId="614C05B2" w14:textId="77777777">
      <w:pPr>
        <w:spacing w:after="0"/>
        <w:rPr>
          <w:b/>
          <w:bCs/>
          <w:sz w:val="24"/>
          <w:szCs w:val="24"/>
        </w:rPr>
      </w:pPr>
      <w:r w:rsidRPr="007E68F5">
        <w:rPr>
          <w:b/>
          <w:bCs/>
          <w:sz w:val="24"/>
          <w:szCs w:val="24"/>
        </w:rPr>
        <w:t xml:space="preserve">(f) requiring the use of statistical data classification that has not been reviewed and approved by OMB; </w:t>
      </w:r>
    </w:p>
    <w:p w:rsidR="007E68F5" w:rsidRPr="007E68F5" w:rsidP="007E68F5" w14:paraId="5AD0D123" w14:textId="77777777">
      <w:pPr>
        <w:spacing w:after="0"/>
        <w:rPr>
          <w:b/>
          <w:bCs/>
          <w:sz w:val="24"/>
          <w:szCs w:val="24"/>
        </w:rPr>
      </w:pPr>
    </w:p>
    <w:p w:rsidR="00DB6FBD" w:rsidRPr="007E68F5" w:rsidP="007E68F5" w14:paraId="3C836D3C" w14:textId="77777777">
      <w:pPr>
        <w:spacing w:after="0"/>
        <w:rPr>
          <w:b/>
          <w:bCs/>
          <w:sz w:val="24"/>
          <w:szCs w:val="24"/>
        </w:rPr>
      </w:pPr>
      <w:r w:rsidRPr="007E68F5">
        <w:rPr>
          <w:b/>
          <w:bCs/>
          <w:sz w:val="24"/>
          <w:szCs w:val="24"/>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7E68F5">
        <w:rPr>
          <w:b/>
          <w:bCs/>
          <w:sz w:val="24"/>
          <w:szCs w:val="24"/>
        </w:rPr>
        <w:t>or</w:t>
      </w:r>
    </w:p>
    <w:p w:rsidR="007E68F5" w:rsidRPr="007E68F5" w:rsidP="007E68F5" w14:paraId="17F41FEE" w14:textId="77777777">
      <w:pPr>
        <w:spacing w:after="0"/>
        <w:rPr>
          <w:b/>
          <w:bCs/>
          <w:sz w:val="24"/>
          <w:szCs w:val="24"/>
        </w:rPr>
      </w:pPr>
    </w:p>
    <w:p w:rsidR="00A41763" w:rsidRPr="007E68F5" w:rsidP="007E68F5" w14:paraId="19025C09" w14:textId="77777777">
      <w:pPr>
        <w:spacing w:after="0"/>
        <w:rPr>
          <w:b/>
          <w:bCs/>
          <w:sz w:val="24"/>
          <w:szCs w:val="24"/>
        </w:rPr>
      </w:pPr>
      <w:r w:rsidRPr="007E68F5">
        <w:rPr>
          <w:b/>
          <w:bCs/>
          <w:sz w:val="24"/>
          <w:szCs w:val="24"/>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7E68F5" w:rsidRPr="007E68F5" w:rsidP="007E68F5" w14:paraId="0B79BCBD" w14:textId="77777777">
      <w:pPr>
        <w:spacing w:after="0"/>
        <w:rPr>
          <w:sz w:val="24"/>
          <w:szCs w:val="24"/>
        </w:rPr>
      </w:pPr>
    </w:p>
    <w:p w:rsidR="007E68F5" w:rsidP="007E68F5" w14:paraId="584A58E1" w14:textId="0E79297C">
      <w:pPr>
        <w:spacing w:after="0"/>
        <w:rPr>
          <w:sz w:val="24"/>
          <w:szCs w:val="24"/>
        </w:rPr>
      </w:pPr>
      <w:r w:rsidRPr="007E68F5">
        <w:rPr>
          <w:sz w:val="24"/>
          <w:szCs w:val="24"/>
        </w:rPr>
        <w:t>Departmental orders and other internal DOE requirements are collected in a manner consistent with 5 CFR 1320 guidelines.</w:t>
      </w:r>
    </w:p>
    <w:p w:rsidR="007E68F5" w:rsidP="007E68F5" w14:paraId="593938FC" w14:textId="77777777">
      <w:pPr>
        <w:spacing w:after="0"/>
        <w:rPr>
          <w:sz w:val="24"/>
          <w:szCs w:val="24"/>
        </w:rPr>
      </w:pPr>
    </w:p>
    <w:p w:rsidR="008C734C" w:rsidP="007E68F5" w14:paraId="08E093ED" w14:textId="77777777">
      <w:pPr>
        <w:pStyle w:val="Heading2"/>
        <w:spacing w:before="0"/>
      </w:pPr>
      <w:bookmarkStart w:id="11" w:name="_Toc184648840"/>
      <w:r>
        <w:t>A.</w:t>
      </w:r>
      <w:r w:rsidRPr="00A41763" w:rsidR="00A41763">
        <w:t xml:space="preserve">8. </w:t>
      </w:r>
      <w:r w:rsidRPr="008C734C">
        <w:t>Summary of Consultations Outside of the Agency</w:t>
      </w:r>
      <w:bookmarkEnd w:id="11"/>
    </w:p>
    <w:p w:rsidR="00A41763" w:rsidRPr="007E68F5" w:rsidP="007E68F5" w14:paraId="2A979F06" w14:textId="77777777">
      <w:pPr>
        <w:spacing w:after="0"/>
        <w:rPr>
          <w:b/>
          <w:bCs/>
          <w:sz w:val="24"/>
          <w:szCs w:val="24"/>
        </w:rPr>
      </w:pPr>
      <w:r w:rsidRPr="007E68F5">
        <w:rPr>
          <w:b/>
          <w:bCs/>
          <w:sz w:val="24"/>
          <w:szCs w:val="24"/>
        </w:rPr>
        <w:t xml:space="preserve">If applicable, provide a copy and identify the date and page number of </w:t>
      </w:r>
      <w:r w:rsidRPr="007E68F5">
        <w:rPr>
          <w:b/>
          <w:bCs/>
          <w:sz w:val="24"/>
          <w:szCs w:val="24"/>
        </w:rPr>
        <w:t>publication</w:t>
      </w:r>
      <w:r w:rsidRPr="007E68F5">
        <w:rPr>
          <w:b/>
          <w:bCs/>
          <w:sz w:val="24"/>
          <w:szCs w:val="24"/>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7E68F5" w:rsidRPr="00A41763" w:rsidP="007E68F5" w14:paraId="7334318E" w14:textId="77777777">
      <w:pPr>
        <w:spacing w:after="0"/>
      </w:pPr>
    </w:p>
    <w:p w:rsidR="00774CD9" w:rsidP="005A0D99" w14:paraId="0FC31D1C" w14:textId="1E05484C">
      <w:pPr>
        <w:spacing w:after="0"/>
        <w:rPr>
          <w:sz w:val="24"/>
          <w:szCs w:val="24"/>
        </w:rPr>
      </w:pPr>
      <w:r w:rsidRPr="005A0D99">
        <w:rPr>
          <w:sz w:val="24"/>
          <w:szCs w:val="24"/>
        </w:rPr>
        <w:t>The Department published a 60-day Federal Register Notice and Request for Comments concerning this collection in the Federal Register on</w:t>
      </w:r>
      <w:r w:rsidR="005A0D99">
        <w:rPr>
          <w:sz w:val="24"/>
          <w:szCs w:val="24"/>
        </w:rPr>
        <w:t xml:space="preserve"> </w:t>
      </w:r>
      <w:r w:rsidR="00E10546">
        <w:rPr>
          <w:sz w:val="24"/>
          <w:szCs w:val="24"/>
        </w:rPr>
        <w:t>May 19</w:t>
      </w:r>
      <w:r w:rsidR="0090787B">
        <w:rPr>
          <w:sz w:val="24"/>
          <w:szCs w:val="24"/>
        </w:rPr>
        <w:t>, 202</w:t>
      </w:r>
      <w:r w:rsidR="00E10546">
        <w:rPr>
          <w:sz w:val="24"/>
          <w:szCs w:val="24"/>
        </w:rPr>
        <w:t>5</w:t>
      </w:r>
      <w:r w:rsidRPr="003F0A28" w:rsidR="003F0A28">
        <w:rPr>
          <w:sz w:val="24"/>
          <w:szCs w:val="24"/>
        </w:rPr>
        <w:t xml:space="preserve">, volume </w:t>
      </w:r>
      <w:r w:rsidR="00E10546">
        <w:rPr>
          <w:sz w:val="24"/>
          <w:szCs w:val="24"/>
        </w:rPr>
        <w:t>90</w:t>
      </w:r>
      <w:r w:rsidRPr="003F0A28" w:rsidR="003F0A28">
        <w:rPr>
          <w:sz w:val="24"/>
          <w:szCs w:val="24"/>
        </w:rPr>
        <w:t xml:space="preserve">, number </w:t>
      </w:r>
      <w:r w:rsidR="00E10546">
        <w:rPr>
          <w:sz w:val="24"/>
          <w:szCs w:val="24"/>
        </w:rPr>
        <w:t>90</w:t>
      </w:r>
      <w:r w:rsidRPr="005A0D99" w:rsidR="00E86580">
        <w:rPr>
          <w:sz w:val="24"/>
          <w:szCs w:val="24"/>
        </w:rPr>
        <w:t xml:space="preserve">. </w:t>
      </w:r>
      <w:r w:rsidRPr="005A0D99" w:rsidR="005A0D99">
        <w:rPr>
          <w:sz w:val="24"/>
          <w:szCs w:val="24"/>
        </w:rPr>
        <w:t xml:space="preserve"> </w:t>
      </w:r>
      <w:r w:rsidRPr="005A0D99">
        <w:rPr>
          <w:sz w:val="24"/>
          <w:szCs w:val="24"/>
        </w:rPr>
        <w:t>The notice described the collection and invited interested parties to submit comments or recommendations regarding the collection</w:t>
      </w:r>
      <w:r w:rsidRPr="005A0D99" w:rsidR="00E86580">
        <w:rPr>
          <w:sz w:val="24"/>
          <w:szCs w:val="24"/>
        </w:rPr>
        <w:t xml:space="preserve">. </w:t>
      </w:r>
      <w:r w:rsidR="00193574">
        <w:rPr>
          <w:sz w:val="24"/>
          <w:szCs w:val="24"/>
        </w:rPr>
        <w:t xml:space="preserve"> </w:t>
      </w:r>
      <w:r w:rsidRPr="005A0D99">
        <w:rPr>
          <w:sz w:val="24"/>
          <w:szCs w:val="24"/>
        </w:rPr>
        <w:t>No comments were received</w:t>
      </w:r>
      <w:r w:rsidRPr="005A0D99" w:rsidR="00E86580">
        <w:rPr>
          <w:sz w:val="24"/>
          <w:szCs w:val="24"/>
        </w:rPr>
        <w:t>.</w:t>
      </w:r>
    </w:p>
    <w:p w:rsidR="00774CD9" w:rsidP="005A0D99" w14:paraId="03713601" w14:textId="77777777">
      <w:pPr>
        <w:spacing w:after="0"/>
        <w:rPr>
          <w:sz w:val="24"/>
          <w:szCs w:val="24"/>
        </w:rPr>
      </w:pPr>
    </w:p>
    <w:p w:rsidR="008C734C" w:rsidP="005A0D99" w14:paraId="15BC7E4D" w14:textId="7B4EEED3">
      <w:pPr>
        <w:spacing w:after="0"/>
        <w:rPr>
          <w:sz w:val="24"/>
          <w:szCs w:val="24"/>
        </w:rPr>
      </w:pPr>
      <w:r>
        <w:rPr>
          <w:sz w:val="24"/>
          <w:szCs w:val="24"/>
        </w:rPr>
        <w:t xml:space="preserve">The Department subsequently published a 30-day Federal Register Notice and Request for Comments </w:t>
      </w:r>
      <w:r w:rsidRPr="00AB4850">
        <w:rPr>
          <w:sz w:val="24"/>
          <w:szCs w:val="24"/>
        </w:rPr>
        <w:t xml:space="preserve">concerning this collection in the Federal Register on </w:t>
      </w:r>
      <w:r w:rsidRPr="00AB4850" w:rsidR="00AB4850">
        <w:rPr>
          <w:sz w:val="24"/>
          <w:szCs w:val="24"/>
        </w:rPr>
        <w:t>August 20</w:t>
      </w:r>
      <w:r w:rsidRPr="00AB4850" w:rsidR="00AB4850">
        <w:rPr>
          <w:sz w:val="24"/>
          <w:szCs w:val="24"/>
        </w:rPr>
        <w:t xml:space="preserve"> </w:t>
      </w:r>
      <w:r w:rsidRPr="00AB4850" w:rsidR="00EA48DD">
        <w:rPr>
          <w:sz w:val="24"/>
          <w:szCs w:val="24"/>
        </w:rPr>
        <w:t>2025</w:t>
      </w:r>
      <w:r w:rsidRPr="00AB4850" w:rsidR="00EA48DD">
        <w:rPr>
          <w:sz w:val="24"/>
          <w:szCs w:val="24"/>
        </w:rPr>
        <w:t>,</w:t>
      </w:r>
      <w:r w:rsidRPr="00AB4850">
        <w:rPr>
          <w:sz w:val="24"/>
          <w:szCs w:val="24"/>
        </w:rPr>
        <w:t xml:space="preserve"> volume </w:t>
      </w:r>
      <w:r w:rsidRPr="00AB4850" w:rsidR="00AB4850">
        <w:rPr>
          <w:sz w:val="24"/>
          <w:szCs w:val="24"/>
        </w:rPr>
        <w:t>90</w:t>
      </w:r>
      <w:r w:rsidRPr="00AB4850" w:rsidR="005F387B">
        <w:rPr>
          <w:sz w:val="24"/>
          <w:szCs w:val="24"/>
        </w:rPr>
        <w:t xml:space="preserve">, </w:t>
      </w:r>
      <w:r w:rsidRPr="00AB4850" w:rsidR="00AB4850">
        <w:rPr>
          <w:sz w:val="24"/>
          <w:szCs w:val="24"/>
        </w:rPr>
        <w:t>Issue 159, page 40593</w:t>
      </w:r>
      <w:r w:rsidRPr="00AB4850" w:rsidR="005F387B">
        <w:rPr>
          <w:sz w:val="24"/>
          <w:szCs w:val="24"/>
        </w:rPr>
        <w:t xml:space="preserve">. </w:t>
      </w:r>
    </w:p>
    <w:p w:rsidR="00C5274C" w:rsidP="005A0D99" w14:paraId="7BEFE6F2" w14:textId="3D7BC41B">
      <w:pPr>
        <w:spacing w:after="0"/>
        <w:rPr>
          <w:sz w:val="24"/>
          <w:szCs w:val="24"/>
        </w:rPr>
      </w:pPr>
    </w:p>
    <w:p w:rsidR="00C5274C" w:rsidP="005A0D99" w14:paraId="501F12C1" w14:textId="1D9C1573">
      <w:pPr>
        <w:spacing w:after="0"/>
        <w:rPr>
          <w:sz w:val="24"/>
          <w:szCs w:val="24"/>
        </w:rPr>
      </w:pPr>
      <w:r>
        <w:rPr>
          <w:sz w:val="24"/>
          <w:szCs w:val="24"/>
        </w:rPr>
        <w:t>Beyond the publication of the Federal Register notices, DO</w:t>
      </w:r>
      <w:r w:rsidR="00876C32">
        <w:rPr>
          <w:sz w:val="24"/>
          <w:szCs w:val="24"/>
        </w:rPr>
        <w:t>E</w:t>
      </w:r>
      <w:r>
        <w:rPr>
          <w:sz w:val="24"/>
          <w:szCs w:val="24"/>
        </w:rPr>
        <w:t xml:space="preserve"> did not consult with persons outside of DOE and does not plan to.</w:t>
      </w:r>
    </w:p>
    <w:p w:rsidR="005A0D99" w:rsidP="005A0D99" w14:paraId="329B132E" w14:textId="77777777">
      <w:pPr>
        <w:spacing w:after="0"/>
        <w:rPr>
          <w:sz w:val="24"/>
          <w:szCs w:val="24"/>
        </w:rPr>
      </w:pPr>
    </w:p>
    <w:p w:rsidR="008C734C" w:rsidP="005A0D99" w14:paraId="7B4610A2" w14:textId="77777777">
      <w:pPr>
        <w:pStyle w:val="Heading2"/>
        <w:spacing w:before="0"/>
      </w:pPr>
      <w:bookmarkStart w:id="12" w:name="_Toc184648841"/>
      <w:r>
        <w:t>A.</w:t>
      </w:r>
      <w:r w:rsidRPr="00A41763" w:rsidR="00A41763">
        <w:t xml:space="preserve">9. </w:t>
      </w:r>
      <w:r w:rsidRPr="008C734C">
        <w:t>Payments or Gifts to Respondents</w:t>
      </w:r>
      <w:bookmarkEnd w:id="12"/>
      <w:r w:rsidRPr="008C734C">
        <w:t xml:space="preserve"> </w:t>
      </w:r>
    </w:p>
    <w:p w:rsidR="00A41763" w:rsidP="005A0D99" w14:paraId="49F90DB0" w14:textId="77777777">
      <w:pPr>
        <w:spacing w:after="0"/>
        <w:rPr>
          <w:b/>
          <w:bCs/>
          <w:sz w:val="24"/>
          <w:szCs w:val="24"/>
        </w:rPr>
      </w:pPr>
      <w:r w:rsidRPr="005A0D99">
        <w:rPr>
          <w:b/>
          <w:bCs/>
          <w:sz w:val="24"/>
          <w:szCs w:val="24"/>
        </w:rPr>
        <w:t xml:space="preserve">Explain any decision to provide any payment or gift to respondents, other than </w:t>
      </w:r>
      <w:r w:rsidRPr="005A0D99" w:rsidR="001A6E9A">
        <w:rPr>
          <w:b/>
          <w:bCs/>
          <w:sz w:val="24"/>
          <w:szCs w:val="24"/>
        </w:rPr>
        <w:t>remuneration</w:t>
      </w:r>
      <w:r w:rsidRPr="005A0D99">
        <w:rPr>
          <w:b/>
          <w:bCs/>
          <w:sz w:val="24"/>
          <w:szCs w:val="24"/>
        </w:rPr>
        <w:t xml:space="preserve"> of contractors or grantees. </w:t>
      </w:r>
    </w:p>
    <w:p w:rsidR="005A0D99" w:rsidRPr="005A0D99" w:rsidP="005A0D99" w14:paraId="79BD96AB" w14:textId="77777777">
      <w:pPr>
        <w:spacing w:after="0"/>
        <w:rPr>
          <w:sz w:val="24"/>
          <w:szCs w:val="24"/>
        </w:rPr>
      </w:pPr>
    </w:p>
    <w:p w:rsidR="008C734C" w:rsidP="005A0D99" w14:paraId="728EF612" w14:textId="77777777">
      <w:pPr>
        <w:spacing w:after="0"/>
        <w:rPr>
          <w:sz w:val="24"/>
          <w:szCs w:val="24"/>
        </w:rPr>
      </w:pPr>
      <w:r w:rsidRPr="005A0D99">
        <w:rPr>
          <w:sz w:val="24"/>
          <w:szCs w:val="24"/>
        </w:rPr>
        <w:t>There was no remuneration given for submission of any of the information other than the fact that the expense of responding was treated as an allowable cost.</w:t>
      </w:r>
    </w:p>
    <w:p w:rsidR="005A0D99" w:rsidP="005A0D99" w14:paraId="794A0A17" w14:textId="77777777">
      <w:pPr>
        <w:spacing w:after="0"/>
        <w:rPr>
          <w:sz w:val="24"/>
          <w:szCs w:val="24"/>
        </w:rPr>
      </w:pPr>
    </w:p>
    <w:p w:rsidR="008C734C" w:rsidP="005A0D99" w14:paraId="71830846" w14:textId="77777777">
      <w:pPr>
        <w:pStyle w:val="Heading2"/>
        <w:spacing w:before="0"/>
      </w:pPr>
      <w:bookmarkStart w:id="13" w:name="_Toc184648842"/>
      <w:r>
        <w:t>A.</w:t>
      </w:r>
      <w:r w:rsidRPr="00A41763" w:rsidR="00A41763">
        <w:t xml:space="preserve">10. </w:t>
      </w:r>
      <w:r w:rsidRPr="008C734C">
        <w:t>Provisions for Protection of Information</w:t>
      </w:r>
      <w:bookmarkEnd w:id="13"/>
      <w:r w:rsidRPr="008C734C">
        <w:t xml:space="preserve"> </w:t>
      </w:r>
    </w:p>
    <w:p w:rsidR="00A41763" w:rsidRPr="005A0D99" w:rsidP="005A0D99" w14:paraId="4AE14975" w14:textId="77777777">
      <w:pPr>
        <w:spacing w:after="0" w:line="240" w:lineRule="auto"/>
        <w:rPr>
          <w:b/>
          <w:bCs/>
          <w:sz w:val="24"/>
          <w:szCs w:val="24"/>
        </w:rPr>
      </w:pPr>
      <w:r w:rsidRPr="005A0D99">
        <w:rPr>
          <w:b/>
          <w:bCs/>
          <w:sz w:val="24"/>
          <w:szCs w:val="24"/>
        </w:rPr>
        <w:t xml:space="preserve">Describe any assurance of confidentiality provided to respondents and the basis for the assurance in statute, regulation, or agency policy. </w:t>
      </w:r>
    </w:p>
    <w:p w:rsidR="005A0D99" w:rsidRPr="00A41763" w:rsidP="005A0D99" w14:paraId="27DA09ED" w14:textId="77777777">
      <w:pPr>
        <w:spacing w:after="0" w:line="240" w:lineRule="auto"/>
      </w:pPr>
    </w:p>
    <w:p w:rsidR="00F056C3" w:rsidP="005A0D99" w14:paraId="3FCBFA3A" w14:textId="77777777">
      <w:pPr>
        <w:spacing w:after="0" w:line="240" w:lineRule="auto"/>
        <w:rPr>
          <w:sz w:val="24"/>
          <w:szCs w:val="24"/>
        </w:rPr>
      </w:pPr>
      <w:r w:rsidRPr="005A0D99">
        <w:rPr>
          <w:sz w:val="24"/>
          <w:szCs w:val="24"/>
        </w:rPr>
        <w:t>Where confidential information was involved in the information collection the provisions for dealing with this confidential information were set forth in the contract documents, and the related Departmental regulations were normal to the handling of management and program information by the Department.</w:t>
      </w:r>
    </w:p>
    <w:p w:rsidR="005A0D99" w:rsidP="005A0D99" w14:paraId="72BB92C0" w14:textId="77777777">
      <w:pPr>
        <w:spacing w:after="0" w:line="240" w:lineRule="auto"/>
        <w:rPr>
          <w:sz w:val="24"/>
          <w:szCs w:val="24"/>
        </w:rPr>
      </w:pPr>
    </w:p>
    <w:p w:rsidR="00F056C3" w:rsidP="005A0D99" w14:paraId="0F4B4C0E" w14:textId="77777777">
      <w:pPr>
        <w:pStyle w:val="Heading2"/>
        <w:spacing w:before="0"/>
      </w:pPr>
      <w:bookmarkStart w:id="14" w:name="_Toc184648843"/>
      <w:r>
        <w:t>A.</w:t>
      </w:r>
      <w:r w:rsidRPr="00A41763" w:rsidR="00A41763">
        <w:t xml:space="preserve">11. </w:t>
      </w:r>
      <w:r w:rsidRPr="00F056C3">
        <w:t>Justification for Sensitive Questions</w:t>
      </w:r>
      <w:bookmarkEnd w:id="14"/>
      <w:r w:rsidRPr="00F056C3">
        <w:t xml:space="preserve"> </w:t>
      </w:r>
    </w:p>
    <w:p w:rsidR="005A0D99" w:rsidP="005A0D99" w14:paraId="64EA00B6" w14:textId="49A791CA">
      <w:pPr>
        <w:spacing w:after="0" w:line="240" w:lineRule="auto"/>
        <w:rPr>
          <w:b/>
          <w:bCs/>
          <w:sz w:val="24"/>
          <w:szCs w:val="24"/>
        </w:rPr>
      </w:pPr>
      <w:r w:rsidRPr="005A0D99">
        <w:rPr>
          <w:b/>
          <w:bCs/>
          <w:sz w:val="24"/>
          <w:szCs w:val="24"/>
        </w:rPr>
        <w:t xml:space="preserve">Provide additional justification for any questions of a sensitive nature, such as sexual behavior and attitudes, religious beliefs, and other matters that are commonly considered private. </w:t>
      </w:r>
      <w:r w:rsidR="00193574">
        <w:rPr>
          <w:b/>
          <w:bCs/>
          <w:sz w:val="24"/>
          <w:szCs w:val="24"/>
        </w:rPr>
        <w:t xml:space="preserve"> </w:t>
      </w:r>
      <w:r w:rsidRPr="005A0D99">
        <w:rPr>
          <w:b/>
          <w:bCs/>
          <w:sz w:val="24"/>
          <w:szCs w:val="24"/>
        </w:rPr>
        <w:t>This justification should include the reasons why DOE considers the questions necessary, the specific use</w:t>
      </w:r>
      <w:r w:rsidRPr="005A0D99" w:rsidR="00F056C3">
        <w:rPr>
          <w:b/>
          <w:bCs/>
          <w:sz w:val="24"/>
          <w:szCs w:val="24"/>
        </w:rPr>
        <w:t>s to be made of the information</w:t>
      </w:r>
      <w:r w:rsidRPr="005A0D99">
        <w:rPr>
          <w:b/>
          <w:bCs/>
          <w:sz w:val="24"/>
          <w:szCs w:val="24"/>
        </w:rPr>
        <w:t>, the explanation to be given to persons from whom the information is requested, and any steps to be taken to obtain their consent.</w:t>
      </w:r>
    </w:p>
    <w:p w:rsidR="00A41763" w:rsidRPr="005A0D99" w:rsidP="005A0D99" w14:paraId="56B1656A" w14:textId="002A39E3">
      <w:pPr>
        <w:spacing w:after="0" w:line="240" w:lineRule="auto"/>
        <w:rPr>
          <w:sz w:val="24"/>
          <w:szCs w:val="24"/>
        </w:rPr>
      </w:pPr>
      <w:r w:rsidRPr="005A0D99">
        <w:rPr>
          <w:b/>
          <w:bCs/>
          <w:sz w:val="24"/>
          <w:szCs w:val="24"/>
        </w:rPr>
        <w:t xml:space="preserve"> </w:t>
      </w:r>
    </w:p>
    <w:p w:rsidR="00F056C3" w:rsidRPr="00A54AA3" w:rsidP="005A0D99" w14:paraId="6E8C736A" w14:textId="45AA3A54">
      <w:pPr>
        <w:spacing w:after="0" w:line="240" w:lineRule="auto"/>
        <w:rPr>
          <w:sz w:val="24"/>
          <w:szCs w:val="24"/>
        </w:rPr>
      </w:pPr>
      <w:r w:rsidRPr="00A54AA3">
        <w:rPr>
          <w:sz w:val="24"/>
          <w:szCs w:val="24"/>
        </w:rPr>
        <w:t>Per departmental regulations, any request for information on an individual’s exposure to radiation is handled in accordance with the Privacy Act (5 U.S.C.552a)</w:t>
      </w:r>
      <w:r w:rsidRPr="00A54AA3" w:rsidR="00E86580">
        <w:rPr>
          <w:sz w:val="24"/>
          <w:szCs w:val="24"/>
        </w:rPr>
        <w:t xml:space="preserve">. </w:t>
      </w:r>
      <w:r w:rsidRPr="00A54AA3">
        <w:rPr>
          <w:sz w:val="24"/>
          <w:szCs w:val="24"/>
        </w:rPr>
        <w:t>Other than data on individual exposures, there continues to be no information collected that is of a sensitive or personal nature.</w:t>
      </w:r>
    </w:p>
    <w:p w:rsidR="005A0D99" w:rsidP="005A0D99" w14:paraId="6EFB5EED" w14:textId="77777777">
      <w:pPr>
        <w:spacing w:after="0" w:line="240" w:lineRule="auto"/>
      </w:pPr>
    </w:p>
    <w:p w:rsidR="00F056C3" w:rsidP="005A0D99" w14:paraId="1D349688" w14:textId="77777777">
      <w:pPr>
        <w:pStyle w:val="Heading2"/>
        <w:spacing w:before="0"/>
      </w:pPr>
      <w:bookmarkStart w:id="15" w:name="_Toc184648844"/>
      <w:r>
        <w:t>A.</w:t>
      </w:r>
      <w:r w:rsidRPr="00A41763" w:rsidR="00A41763">
        <w:t>12</w:t>
      </w:r>
      <w:r w:rsidR="006F3C12">
        <w:t>A</w:t>
      </w:r>
      <w:r w:rsidRPr="00A41763" w:rsidR="00A41763">
        <w:t xml:space="preserve">. </w:t>
      </w:r>
      <w:r w:rsidRPr="00F056C3">
        <w:t>Estimate of Respondent Burden Hours</w:t>
      </w:r>
      <w:bookmarkEnd w:id="15"/>
      <w:r w:rsidRPr="00F056C3">
        <w:t xml:space="preserve"> </w:t>
      </w:r>
    </w:p>
    <w:p w:rsidR="00AC69E8" w:rsidP="00AC69E8" w14:paraId="057F9DFA" w14:textId="3C90D4FD">
      <w:pPr>
        <w:pStyle w:val="Default"/>
        <w:rPr>
          <w:rFonts w:asciiTheme="minorHAnsi" w:hAnsiTheme="minorHAnsi" w:cstheme="minorHAnsi"/>
          <w:b/>
          <w:bCs/>
        </w:rPr>
      </w:pPr>
      <w:r w:rsidRPr="005A0D99">
        <w:rPr>
          <w:rFonts w:asciiTheme="minorHAnsi" w:hAnsiTheme="minorHAnsi" w:cstheme="minorHAnsi"/>
          <w:b/>
          <w:bCs/>
        </w:rPr>
        <w:t xml:space="preserve">Provide estimates of the hour burden of the collection of information. </w:t>
      </w:r>
      <w:r w:rsidR="00193574">
        <w:rPr>
          <w:rFonts w:asciiTheme="minorHAnsi" w:hAnsiTheme="minorHAnsi" w:cstheme="minorHAnsi"/>
          <w:b/>
          <w:bCs/>
        </w:rPr>
        <w:t xml:space="preserve"> </w:t>
      </w:r>
      <w:r w:rsidRPr="005A0D99">
        <w:rPr>
          <w:rFonts w:asciiTheme="minorHAnsi" w:hAnsiTheme="minorHAnsi" w:cstheme="minorHAnsi"/>
          <w:b/>
          <w:bCs/>
        </w:rPr>
        <w:t xml:space="preserve">The statement should indicate the number of respondents, frequency of response, annual hour burden, and </w:t>
      </w:r>
      <w:r w:rsidRPr="005A0D99">
        <w:rPr>
          <w:rFonts w:asciiTheme="minorHAnsi" w:hAnsiTheme="minorHAnsi" w:cstheme="minorHAnsi"/>
          <w:b/>
          <w:bCs/>
          <w:u w:val="single"/>
        </w:rPr>
        <w:t>an explanation of how the burden was estimated</w:t>
      </w:r>
      <w:r w:rsidRPr="005A0D99">
        <w:rPr>
          <w:rFonts w:asciiTheme="minorHAnsi" w:hAnsiTheme="minorHAnsi" w:cstheme="minorHAnsi"/>
          <w:b/>
          <w:bCs/>
        </w:rPr>
        <w:t xml:space="preserve">. </w:t>
      </w:r>
      <w:r w:rsidR="00193574">
        <w:rPr>
          <w:rFonts w:asciiTheme="minorHAnsi" w:hAnsiTheme="minorHAnsi" w:cstheme="minorHAnsi"/>
          <w:b/>
          <w:bCs/>
        </w:rPr>
        <w:t xml:space="preserve"> </w:t>
      </w:r>
      <w:r w:rsidRPr="005A0D99">
        <w:rPr>
          <w:rFonts w:asciiTheme="minorHAnsi" w:hAnsiTheme="minorHAnsi" w:cstheme="minorHAnsi"/>
          <w:b/>
          <w:bCs/>
        </w:rPr>
        <w:t xml:space="preserve">Unless directed to do so, DOE should not conduct special surveys to obtain information on which to base hour burden estimates. Consultation with a sample fewer than 10 potential respondents is desirable. </w:t>
      </w:r>
    </w:p>
    <w:p w:rsidR="005A0D99" w:rsidRPr="005A0D99" w:rsidP="00AC69E8" w14:paraId="16C463C0" w14:textId="77777777">
      <w:pPr>
        <w:pStyle w:val="Default"/>
        <w:rPr>
          <w:rFonts w:asciiTheme="minorHAnsi" w:hAnsiTheme="minorHAnsi" w:cstheme="minorHAnsi"/>
        </w:rPr>
      </w:pPr>
    </w:p>
    <w:p w:rsidR="00F72EBB" w:rsidP="005A0D99" w14:paraId="17C2F224" w14:textId="133E615C">
      <w:pPr>
        <w:pStyle w:val="Heading3"/>
        <w:spacing w:before="0" w:after="0"/>
      </w:pPr>
      <w:bookmarkStart w:id="16" w:name="_Toc184648845"/>
      <w:r w:rsidRPr="00E86580">
        <w:t>Burden Calculation Verification</w:t>
      </w:r>
      <w:bookmarkEnd w:id="16"/>
    </w:p>
    <w:p w:rsidR="005A0D99" w:rsidRPr="005A0D99" w:rsidP="00A54AA3" w14:paraId="5EA5B959" w14:textId="77777777">
      <w:pPr>
        <w:spacing w:after="0" w:line="240" w:lineRule="auto"/>
      </w:pPr>
    </w:p>
    <w:p w:rsidR="00F72EBB" w:rsidRPr="00A54AA3" w:rsidP="00A54AA3" w14:paraId="2CD00806" w14:textId="791B90D8">
      <w:pPr>
        <w:spacing w:after="0"/>
        <w:rPr>
          <w:sz w:val="24"/>
          <w:szCs w:val="24"/>
        </w:rPr>
      </w:pPr>
      <w:r w:rsidRPr="00A54AA3">
        <w:rPr>
          <w:sz w:val="24"/>
          <w:szCs w:val="24"/>
        </w:rPr>
        <w:t>Total Number of Unduplicated Respondents = Total Annual Responses ÷ Reports Filed Per Person:</w:t>
      </w:r>
      <w:r w:rsidR="008A3609">
        <w:rPr>
          <w:sz w:val="24"/>
          <w:szCs w:val="24"/>
        </w:rPr>
        <w:t xml:space="preserve"> </w:t>
      </w:r>
      <w:r w:rsidRPr="00A54AA3">
        <w:rPr>
          <w:sz w:val="24"/>
          <w:szCs w:val="24"/>
        </w:rPr>
        <w:t xml:space="preserve"> </w:t>
      </w:r>
      <w:r w:rsidR="00377C86">
        <w:rPr>
          <w:sz w:val="24"/>
          <w:szCs w:val="24"/>
        </w:rPr>
        <w:t>6,471</w:t>
      </w:r>
      <w:r w:rsidRPr="00A54AA3">
        <w:rPr>
          <w:sz w:val="24"/>
          <w:szCs w:val="24"/>
        </w:rPr>
        <w:t xml:space="preserve"> = </w:t>
      </w:r>
      <w:r w:rsidR="00377C86">
        <w:rPr>
          <w:sz w:val="24"/>
          <w:szCs w:val="24"/>
        </w:rPr>
        <w:t>14,359</w:t>
      </w:r>
      <w:r w:rsidRPr="00A54AA3">
        <w:rPr>
          <w:sz w:val="24"/>
          <w:szCs w:val="24"/>
        </w:rPr>
        <w:t xml:space="preserve"> ÷ ~ </w:t>
      </w:r>
      <w:r w:rsidR="00377C86">
        <w:rPr>
          <w:sz w:val="24"/>
          <w:szCs w:val="24"/>
        </w:rPr>
        <w:t>2.22</w:t>
      </w:r>
      <w:r w:rsidRPr="00A54AA3">
        <w:rPr>
          <w:sz w:val="24"/>
          <w:szCs w:val="24"/>
        </w:rPr>
        <w:t>.</w:t>
      </w:r>
      <w:r>
        <w:rPr>
          <w:sz w:val="24"/>
          <w:szCs w:val="24"/>
          <w:vertAlign w:val="superscript"/>
        </w:rPr>
        <w:footnoteReference w:id="3"/>
      </w:r>
    </w:p>
    <w:p w:rsidR="00A54AA3" w:rsidRPr="00A54AA3" w:rsidP="00A54AA3" w14:paraId="5669093B" w14:textId="77777777">
      <w:pPr>
        <w:spacing w:after="0"/>
        <w:rPr>
          <w:sz w:val="24"/>
          <w:szCs w:val="24"/>
        </w:rPr>
      </w:pPr>
    </w:p>
    <w:p w:rsidR="00F72EBB" w:rsidRPr="00A54AA3" w:rsidP="00A54AA3" w14:paraId="43D0A9D1" w14:textId="3598A811">
      <w:pPr>
        <w:spacing w:after="0"/>
        <w:rPr>
          <w:sz w:val="24"/>
          <w:szCs w:val="24"/>
        </w:rPr>
      </w:pPr>
      <w:r w:rsidRPr="00A54AA3">
        <w:rPr>
          <w:sz w:val="24"/>
          <w:szCs w:val="24"/>
        </w:rPr>
        <w:t xml:space="preserve">Total Annual Burden Hours = Average Burden per Applicant </w:t>
      </w:r>
      <w:r w:rsidRPr="00A54AA3">
        <w:rPr>
          <w:rFonts w:ascii="Symbol" w:hAnsi="Symbol"/>
          <w:sz w:val="24"/>
          <w:szCs w:val="24"/>
        </w:rPr>
        <w:sym w:font="Symbol" w:char="F0B4"/>
      </w:r>
      <w:r w:rsidRPr="00A54AA3">
        <w:rPr>
          <w:sz w:val="24"/>
          <w:szCs w:val="24"/>
        </w:rPr>
        <w:t xml:space="preserve"> Number of Unduplicated Respondents: </w:t>
      </w:r>
      <w:r w:rsidR="008A3609">
        <w:rPr>
          <w:sz w:val="24"/>
          <w:szCs w:val="24"/>
        </w:rPr>
        <w:t xml:space="preserve"> </w:t>
      </w:r>
      <w:r w:rsidR="00377C86">
        <w:rPr>
          <w:sz w:val="24"/>
          <w:szCs w:val="24"/>
        </w:rPr>
        <w:t>29,794</w:t>
      </w:r>
      <w:r w:rsidRPr="00A54AA3">
        <w:rPr>
          <w:sz w:val="24"/>
          <w:szCs w:val="24"/>
        </w:rPr>
        <w:t xml:space="preserve"> = ~ </w:t>
      </w:r>
      <w:r w:rsidR="00377C86">
        <w:rPr>
          <w:sz w:val="24"/>
          <w:szCs w:val="24"/>
        </w:rPr>
        <w:t>4.60</w:t>
      </w:r>
      <w:r w:rsidRPr="00A54AA3">
        <w:rPr>
          <w:sz w:val="24"/>
          <w:szCs w:val="24"/>
        </w:rPr>
        <w:t xml:space="preserve"> </w:t>
      </w:r>
      <w:r w:rsidRPr="00A54AA3">
        <w:rPr>
          <w:rFonts w:ascii="Symbol" w:hAnsi="Symbol"/>
          <w:sz w:val="24"/>
          <w:szCs w:val="24"/>
        </w:rPr>
        <w:sym w:font="Symbol" w:char="F0B4"/>
      </w:r>
      <w:r w:rsidRPr="00A54AA3">
        <w:rPr>
          <w:sz w:val="24"/>
          <w:szCs w:val="24"/>
        </w:rPr>
        <w:t xml:space="preserve"> </w:t>
      </w:r>
      <w:r w:rsidR="00377C86">
        <w:rPr>
          <w:sz w:val="24"/>
          <w:szCs w:val="24"/>
        </w:rPr>
        <w:t>6,471</w:t>
      </w:r>
      <w:r w:rsidRPr="00A54AA3">
        <w:rPr>
          <w:sz w:val="24"/>
          <w:szCs w:val="24"/>
        </w:rPr>
        <w:t>.</w:t>
      </w:r>
    </w:p>
    <w:p w:rsidR="00A54AA3" w:rsidRPr="00A54AA3" w:rsidP="00A54AA3" w14:paraId="16940B68" w14:textId="77777777">
      <w:pPr>
        <w:spacing w:after="0"/>
        <w:rPr>
          <w:sz w:val="24"/>
          <w:szCs w:val="24"/>
        </w:rPr>
      </w:pPr>
    </w:p>
    <w:p w:rsidR="00F72EBB" w:rsidRPr="00A54AA3" w:rsidP="00A54AA3" w14:paraId="370F9663" w14:textId="6767DFAC">
      <w:pPr>
        <w:spacing w:after="0"/>
        <w:rPr>
          <w:sz w:val="24"/>
          <w:szCs w:val="24"/>
        </w:rPr>
      </w:pPr>
      <w:r w:rsidRPr="00A54AA3">
        <w:rPr>
          <w:sz w:val="24"/>
          <w:szCs w:val="24"/>
        </w:rPr>
        <w:t>Average Burden per Collection = Average Burden per Applicant ÷ Reports Filed per Person:</w:t>
      </w:r>
      <w:r w:rsidRPr="00A54AA3" w:rsidR="00B435D2">
        <w:rPr>
          <w:sz w:val="24"/>
          <w:szCs w:val="24"/>
        </w:rPr>
        <w:t xml:space="preserve"> </w:t>
      </w:r>
      <w:r w:rsidR="008A3609">
        <w:rPr>
          <w:sz w:val="24"/>
          <w:szCs w:val="24"/>
        </w:rPr>
        <w:t xml:space="preserve"> </w:t>
      </w:r>
      <w:r w:rsidR="00377C86">
        <w:rPr>
          <w:sz w:val="24"/>
          <w:szCs w:val="24"/>
        </w:rPr>
        <w:t>2.07</w:t>
      </w:r>
      <w:r w:rsidR="00AE0228">
        <w:rPr>
          <w:sz w:val="24"/>
          <w:szCs w:val="24"/>
        </w:rPr>
        <w:t xml:space="preserve"> </w:t>
      </w:r>
      <w:r w:rsidRPr="00A54AA3">
        <w:rPr>
          <w:sz w:val="24"/>
          <w:szCs w:val="24"/>
        </w:rPr>
        <w:t>= ~</w:t>
      </w:r>
      <w:r w:rsidR="00377C86">
        <w:rPr>
          <w:sz w:val="24"/>
          <w:szCs w:val="24"/>
        </w:rPr>
        <w:t>4.60</w:t>
      </w:r>
      <w:r w:rsidRPr="00A54AA3">
        <w:rPr>
          <w:sz w:val="24"/>
          <w:szCs w:val="24"/>
        </w:rPr>
        <w:t xml:space="preserve"> ÷ ~</w:t>
      </w:r>
      <w:r w:rsidR="00377C86">
        <w:rPr>
          <w:sz w:val="24"/>
          <w:szCs w:val="24"/>
        </w:rPr>
        <w:t>2.22</w:t>
      </w:r>
      <w:r w:rsidRPr="00A54AA3">
        <w:rPr>
          <w:sz w:val="24"/>
          <w:szCs w:val="24"/>
        </w:rPr>
        <w:t>.</w:t>
      </w:r>
    </w:p>
    <w:p w:rsidR="00A54AA3" w:rsidP="00A54AA3" w14:paraId="453A1426" w14:textId="77777777">
      <w:pPr>
        <w:spacing w:after="0"/>
      </w:pPr>
    </w:p>
    <w:p w:rsidR="00F72EBB" w:rsidP="00A54AA3" w14:paraId="6C09172C" w14:textId="77777777">
      <w:pPr>
        <w:pStyle w:val="Heading3"/>
        <w:spacing w:before="0" w:after="0"/>
      </w:pPr>
      <w:bookmarkStart w:id="17" w:name="_Toc184648846"/>
      <w:r w:rsidRPr="00E86580">
        <w:t>Respondents</w:t>
      </w:r>
      <w:bookmarkEnd w:id="17"/>
    </w:p>
    <w:p w:rsidR="00A54AA3" w:rsidRPr="00A54AA3" w:rsidP="00A54AA3" w14:paraId="488648A2" w14:textId="77777777">
      <w:pPr>
        <w:spacing w:after="0" w:line="240" w:lineRule="auto"/>
      </w:pPr>
    </w:p>
    <w:p w:rsidR="00F72EBB" w:rsidRPr="00A54AA3" w:rsidP="00A54AA3" w14:paraId="33CAF091" w14:textId="1542C035">
      <w:pPr>
        <w:pStyle w:val="BodyTextIndent"/>
        <w:spacing w:after="0"/>
        <w:ind w:left="0"/>
        <w:rPr>
          <w:sz w:val="24"/>
          <w:szCs w:val="24"/>
        </w:rPr>
      </w:pPr>
      <w:r w:rsidRPr="00A54AA3">
        <w:rPr>
          <w:sz w:val="24"/>
          <w:szCs w:val="24"/>
        </w:rPr>
        <w:t xml:space="preserve">DOE estimates that the total annual number of respondents is </w:t>
      </w:r>
      <w:r w:rsidR="00377C86">
        <w:rPr>
          <w:sz w:val="24"/>
          <w:szCs w:val="24"/>
        </w:rPr>
        <w:t>6,471</w:t>
      </w:r>
      <w:r w:rsidRPr="00A54AA3" w:rsidR="00E86580">
        <w:rPr>
          <w:sz w:val="24"/>
          <w:szCs w:val="24"/>
        </w:rPr>
        <w:t xml:space="preserve">. </w:t>
      </w:r>
      <w:r w:rsidRPr="00A54AA3">
        <w:rPr>
          <w:sz w:val="24"/>
          <w:szCs w:val="24"/>
        </w:rPr>
        <w:t xml:space="preserve">This includes the </w:t>
      </w:r>
      <w:r w:rsidRPr="00A54AA3" w:rsidR="00377C86">
        <w:rPr>
          <w:sz w:val="24"/>
          <w:szCs w:val="24"/>
        </w:rPr>
        <w:t>2</w:t>
      </w:r>
      <w:r w:rsidR="00377C86">
        <w:rPr>
          <w:sz w:val="24"/>
          <w:szCs w:val="24"/>
        </w:rPr>
        <w:t>7</w:t>
      </w:r>
      <w:r w:rsidRPr="00A54AA3" w:rsidR="00377C86">
        <w:rPr>
          <w:sz w:val="24"/>
          <w:szCs w:val="24"/>
        </w:rPr>
        <w:t xml:space="preserve"> </w:t>
      </w:r>
      <w:r w:rsidRPr="00A54AA3">
        <w:rPr>
          <w:sz w:val="24"/>
          <w:szCs w:val="24"/>
        </w:rPr>
        <w:t>DOE reporting organizations affected</w:t>
      </w:r>
      <w:r>
        <w:rPr>
          <w:rStyle w:val="FootnoteReference"/>
          <w:sz w:val="24"/>
          <w:szCs w:val="24"/>
        </w:rPr>
        <w:footnoteReference w:id="4"/>
      </w:r>
      <w:r w:rsidRPr="00A54AA3">
        <w:rPr>
          <w:sz w:val="24"/>
          <w:szCs w:val="24"/>
        </w:rPr>
        <w:t xml:space="preserve">, and </w:t>
      </w:r>
      <w:r w:rsidRPr="00A54AA3" w:rsidR="00B354D3">
        <w:rPr>
          <w:sz w:val="24"/>
          <w:szCs w:val="24"/>
        </w:rPr>
        <w:t>6,</w:t>
      </w:r>
      <w:r w:rsidR="000D39E4">
        <w:rPr>
          <w:sz w:val="24"/>
          <w:szCs w:val="24"/>
        </w:rPr>
        <w:t>444</w:t>
      </w:r>
      <w:r w:rsidRPr="00A54AA3" w:rsidR="000D39E4">
        <w:rPr>
          <w:sz w:val="24"/>
          <w:szCs w:val="24"/>
        </w:rPr>
        <w:t xml:space="preserve"> </w:t>
      </w:r>
      <w:r w:rsidRPr="00A54AA3">
        <w:rPr>
          <w:sz w:val="24"/>
          <w:szCs w:val="24"/>
        </w:rPr>
        <w:t>workers also affected</w:t>
      </w:r>
      <w:r w:rsidRPr="00A54AA3" w:rsidR="00E86580">
        <w:rPr>
          <w:sz w:val="24"/>
          <w:szCs w:val="24"/>
        </w:rPr>
        <w:t>.</w:t>
      </w:r>
      <w:r w:rsidR="00193574">
        <w:rPr>
          <w:sz w:val="24"/>
          <w:szCs w:val="24"/>
        </w:rPr>
        <w:t xml:space="preserve"> </w:t>
      </w:r>
      <w:r w:rsidRPr="00A54AA3">
        <w:rPr>
          <w:sz w:val="24"/>
          <w:szCs w:val="24"/>
        </w:rPr>
        <w:t>All of</w:t>
      </w:r>
      <w:r w:rsidRPr="00A54AA3">
        <w:rPr>
          <w:sz w:val="24"/>
          <w:szCs w:val="24"/>
        </w:rPr>
        <w:t xml:space="preserve"> the reporting organizations are responsible for four of the requirements (see Table </w:t>
      </w:r>
      <w:r w:rsidRPr="00A54AA3" w:rsidR="00B41687">
        <w:rPr>
          <w:sz w:val="24"/>
          <w:szCs w:val="24"/>
        </w:rPr>
        <w:t>A</w:t>
      </w:r>
      <w:r w:rsidRPr="00A54AA3">
        <w:rPr>
          <w:sz w:val="24"/>
          <w:szCs w:val="24"/>
        </w:rPr>
        <w:t xml:space="preserve">1) and </w:t>
      </w:r>
      <w:r w:rsidR="000D39E4">
        <w:rPr>
          <w:sz w:val="24"/>
          <w:szCs w:val="24"/>
        </w:rPr>
        <w:t>16</w:t>
      </w:r>
      <w:r w:rsidRPr="00A54AA3" w:rsidR="000D39E4">
        <w:rPr>
          <w:sz w:val="24"/>
          <w:szCs w:val="24"/>
        </w:rPr>
        <w:t xml:space="preserve"> </w:t>
      </w:r>
      <w:r w:rsidRPr="00A54AA3">
        <w:rPr>
          <w:sz w:val="24"/>
          <w:szCs w:val="24"/>
        </w:rPr>
        <w:t xml:space="preserve">of the reporting organizations are responsible for another requirement (see Table </w:t>
      </w:r>
      <w:r w:rsidRPr="00A54AA3" w:rsidR="00B41687">
        <w:rPr>
          <w:sz w:val="24"/>
          <w:szCs w:val="24"/>
        </w:rPr>
        <w:t>A</w:t>
      </w:r>
      <w:r w:rsidRPr="00A54AA3">
        <w:rPr>
          <w:sz w:val="24"/>
          <w:szCs w:val="24"/>
        </w:rPr>
        <w:t>1)</w:t>
      </w:r>
      <w:r>
        <w:rPr>
          <w:rStyle w:val="FootnoteReference"/>
          <w:sz w:val="24"/>
          <w:szCs w:val="24"/>
        </w:rPr>
        <w:footnoteReference w:id="5"/>
      </w:r>
      <w:r w:rsidRPr="00A54AA3" w:rsidR="00E86580">
        <w:rPr>
          <w:sz w:val="24"/>
          <w:szCs w:val="24"/>
        </w:rPr>
        <w:t xml:space="preserve">. </w:t>
      </w:r>
      <w:r w:rsidR="008A3609">
        <w:rPr>
          <w:sz w:val="24"/>
          <w:szCs w:val="24"/>
        </w:rPr>
        <w:t xml:space="preserve"> </w:t>
      </w:r>
      <w:r w:rsidRPr="00A54AA3">
        <w:rPr>
          <w:sz w:val="24"/>
          <w:szCs w:val="24"/>
        </w:rPr>
        <w:t xml:space="preserve">The </w:t>
      </w:r>
      <w:r w:rsidRPr="00A54AA3" w:rsidR="00B354D3">
        <w:rPr>
          <w:sz w:val="24"/>
          <w:szCs w:val="24"/>
        </w:rPr>
        <w:t>6,</w:t>
      </w:r>
      <w:r w:rsidR="000D39E4">
        <w:rPr>
          <w:sz w:val="24"/>
          <w:szCs w:val="24"/>
        </w:rPr>
        <w:t>444</w:t>
      </w:r>
      <w:r w:rsidRPr="00A54AA3" w:rsidR="000D39E4">
        <w:rPr>
          <w:sz w:val="24"/>
          <w:szCs w:val="24"/>
        </w:rPr>
        <w:t xml:space="preserve"> </w:t>
      </w:r>
      <w:r w:rsidRPr="00A54AA3">
        <w:rPr>
          <w:sz w:val="24"/>
          <w:szCs w:val="24"/>
        </w:rPr>
        <w:t xml:space="preserve">workers responsible for signing the consent forms are thus also counted as respondents. </w:t>
      </w:r>
    </w:p>
    <w:p w:rsidR="00A54AA3" w:rsidRPr="00E86580" w:rsidP="00A54AA3" w14:paraId="6798A0A3" w14:textId="77777777">
      <w:pPr>
        <w:pStyle w:val="BodyTextIndent"/>
        <w:spacing w:after="0" w:line="240" w:lineRule="auto"/>
        <w:ind w:left="0"/>
      </w:pPr>
    </w:p>
    <w:p w:rsidR="00F72EBB" w:rsidP="00A54AA3" w14:paraId="0B7BAEA4" w14:textId="77777777">
      <w:pPr>
        <w:pStyle w:val="Heading3"/>
        <w:spacing w:before="0" w:after="0"/>
      </w:pPr>
      <w:bookmarkStart w:id="19" w:name="_Toc184648847"/>
      <w:r w:rsidRPr="00E86580">
        <w:t>Responses</w:t>
      </w:r>
      <w:bookmarkEnd w:id="19"/>
    </w:p>
    <w:p w:rsidR="00A54AA3" w:rsidRPr="00A54AA3" w:rsidP="00A54AA3" w14:paraId="65577776" w14:textId="77777777">
      <w:pPr>
        <w:spacing w:after="0"/>
        <w:rPr>
          <w:sz w:val="24"/>
          <w:szCs w:val="24"/>
        </w:rPr>
      </w:pPr>
    </w:p>
    <w:p w:rsidR="00F72EBB" w:rsidP="00A54AA3" w14:paraId="22E77364" w14:textId="4CF8F34A">
      <w:pPr>
        <w:pStyle w:val="BodyTextIndent"/>
        <w:spacing w:after="0"/>
        <w:ind w:left="0"/>
        <w:rPr>
          <w:sz w:val="24"/>
          <w:szCs w:val="24"/>
        </w:rPr>
      </w:pPr>
      <w:r w:rsidRPr="00A54AA3">
        <w:rPr>
          <w:sz w:val="24"/>
          <w:szCs w:val="24"/>
        </w:rPr>
        <w:t>Table A1</w:t>
      </w:r>
      <w:r w:rsidRPr="00A54AA3">
        <w:rPr>
          <w:sz w:val="24"/>
          <w:szCs w:val="24"/>
        </w:rPr>
        <w:t xml:space="preserve"> details the number of responses per respondent and the total annual responses for each Information Collection</w:t>
      </w:r>
      <w:r w:rsidRPr="00A54AA3" w:rsidR="00E86580">
        <w:rPr>
          <w:sz w:val="24"/>
          <w:szCs w:val="24"/>
        </w:rPr>
        <w:t xml:space="preserve">. </w:t>
      </w:r>
      <w:r w:rsidR="008A3609">
        <w:rPr>
          <w:sz w:val="24"/>
          <w:szCs w:val="24"/>
        </w:rPr>
        <w:t xml:space="preserve"> </w:t>
      </w:r>
      <w:r w:rsidRPr="00A54AA3">
        <w:rPr>
          <w:sz w:val="24"/>
          <w:szCs w:val="24"/>
        </w:rPr>
        <w:t>Three of the Information Collections under this ICR requires only one response per site:  annual revision to CBDPP plans, recordkeeping, and performance feedback</w:t>
      </w:r>
      <w:r w:rsidRPr="00A54AA3" w:rsidR="00E86580">
        <w:rPr>
          <w:sz w:val="24"/>
          <w:szCs w:val="24"/>
        </w:rPr>
        <w:t xml:space="preserve">. </w:t>
      </w:r>
      <w:r w:rsidR="008A3609">
        <w:rPr>
          <w:sz w:val="24"/>
          <w:szCs w:val="24"/>
        </w:rPr>
        <w:t xml:space="preserve"> </w:t>
      </w:r>
      <w:r w:rsidRPr="00A54AA3">
        <w:rPr>
          <w:sz w:val="24"/>
          <w:szCs w:val="24"/>
        </w:rPr>
        <w:t>The other three Information Collections (worker notification, signed consent forms, and maintaining the beryllium registry) requires more than one response per respondent</w:t>
      </w:r>
      <w:r w:rsidRPr="00A54AA3" w:rsidR="00E86580">
        <w:rPr>
          <w:sz w:val="24"/>
          <w:szCs w:val="24"/>
        </w:rPr>
        <w:t xml:space="preserve">. </w:t>
      </w:r>
      <w:r w:rsidRPr="00A54AA3">
        <w:rPr>
          <w:sz w:val="24"/>
          <w:szCs w:val="24"/>
        </w:rPr>
        <w:t xml:space="preserve">Details of these multiple responses per respondent are provided in the notes to </w:t>
      </w:r>
      <w:r w:rsidRPr="00A54AA3">
        <w:rPr>
          <w:sz w:val="24"/>
          <w:szCs w:val="24"/>
        </w:rPr>
        <w:t>Table A1</w:t>
      </w:r>
      <w:r w:rsidRPr="00A54AA3">
        <w:rPr>
          <w:sz w:val="24"/>
          <w:szCs w:val="24"/>
        </w:rPr>
        <w:t>.</w:t>
      </w:r>
    </w:p>
    <w:p w:rsidR="00AE0228" w:rsidRPr="00A54AA3" w:rsidP="00A54AA3" w14:paraId="059A328E" w14:textId="77777777">
      <w:pPr>
        <w:pStyle w:val="BodyTextIndent"/>
        <w:spacing w:after="0"/>
        <w:ind w:left="0"/>
        <w:rPr>
          <w:sz w:val="24"/>
          <w:szCs w:val="24"/>
        </w:rPr>
      </w:pPr>
    </w:p>
    <w:p w:rsidR="00F72EBB" w:rsidRPr="00A54AA3" w:rsidP="00A54AA3" w14:paraId="24428471" w14:textId="6276092D">
      <w:pPr>
        <w:pStyle w:val="BodyTextIndent"/>
        <w:spacing w:after="0"/>
        <w:ind w:left="0"/>
        <w:rPr>
          <w:sz w:val="24"/>
          <w:szCs w:val="24"/>
        </w:rPr>
      </w:pPr>
      <w:r>
        <w:rPr>
          <w:sz w:val="24"/>
          <w:szCs w:val="24"/>
        </w:rPr>
        <w:t xml:space="preserve">There are </w:t>
      </w:r>
      <w:r w:rsidR="00297C60">
        <w:rPr>
          <w:sz w:val="24"/>
          <w:szCs w:val="24"/>
        </w:rPr>
        <w:t>three</w:t>
      </w:r>
      <w:r>
        <w:rPr>
          <w:sz w:val="24"/>
          <w:szCs w:val="24"/>
        </w:rPr>
        <w:t xml:space="preserve"> r</w:t>
      </w:r>
      <w:r w:rsidRPr="00A54AA3">
        <w:rPr>
          <w:sz w:val="24"/>
          <w:szCs w:val="24"/>
        </w:rPr>
        <w:t>equirements</w:t>
      </w:r>
      <w:r>
        <w:rPr>
          <w:sz w:val="24"/>
          <w:szCs w:val="24"/>
        </w:rPr>
        <w:t xml:space="preserve"> </w:t>
      </w:r>
      <w:r w:rsidR="003C4B6B">
        <w:rPr>
          <w:sz w:val="24"/>
          <w:szCs w:val="24"/>
        </w:rPr>
        <w:t xml:space="preserve">for which </w:t>
      </w:r>
      <w:r>
        <w:rPr>
          <w:sz w:val="24"/>
          <w:szCs w:val="24"/>
        </w:rPr>
        <w:t xml:space="preserve">each of </w:t>
      </w:r>
      <w:r w:rsidRPr="00A54AA3">
        <w:rPr>
          <w:sz w:val="24"/>
          <w:szCs w:val="24"/>
        </w:rPr>
        <w:t>the 2</w:t>
      </w:r>
      <w:r w:rsidR="000D39E4">
        <w:rPr>
          <w:sz w:val="24"/>
          <w:szCs w:val="24"/>
        </w:rPr>
        <w:t>7</w:t>
      </w:r>
      <w:r w:rsidRPr="00A54AA3">
        <w:rPr>
          <w:sz w:val="24"/>
          <w:szCs w:val="24"/>
        </w:rPr>
        <w:t xml:space="preserve"> reporting organizations</w:t>
      </w:r>
      <w:r w:rsidRPr="00A54AA3">
        <w:rPr>
          <w:sz w:val="24"/>
          <w:szCs w:val="24"/>
        </w:rPr>
        <w:t xml:space="preserve"> </w:t>
      </w:r>
      <w:r w:rsidR="00965D4E">
        <w:rPr>
          <w:sz w:val="24"/>
          <w:szCs w:val="24"/>
        </w:rPr>
        <w:t>submits one response per organization</w:t>
      </w:r>
      <w:r w:rsidR="003C4B6B">
        <w:rPr>
          <w:sz w:val="24"/>
          <w:szCs w:val="24"/>
        </w:rPr>
        <w:t>.</w:t>
      </w:r>
      <w:r w:rsidR="00970EEF">
        <w:rPr>
          <w:sz w:val="24"/>
          <w:szCs w:val="24"/>
        </w:rPr>
        <w:t xml:space="preserve"> </w:t>
      </w:r>
      <w:r w:rsidR="003C4B6B">
        <w:rPr>
          <w:sz w:val="24"/>
          <w:szCs w:val="24"/>
        </w:rPr>
        <w:t xml:space="preserve">These are </w:t>
      </w:r>
      <w:r w:rsidRPr="00A54AA3">
        <w:rPr>
          <w:sz w:val="24"/>
          <w:szCs w:val="24"/>
        </w:rPr>
        <w:t xml:space="preserve">revising CBDPP plans, </w:t>
      </w:r>
      <w:r w:rsidR="00965D4E">
        <w:rPr>
          <w:sz w:val="24"/>
          <w:szCs w:val="24"/>
        </w:rPr>
        <w:t>annual recordkeeping</w:t>
      </w:r>
      <w:r w:rsidRPr="00A54AA3">
        <w:rPr>
          <w:sz w:val="24"/>
          <w:szCs w:val="24"/>
        </w:rPr>
        <w:t xml:space="preserve">, and </w:t>
      </w:r>
      <w:r w:rsidR="00965D4E">
        <w:rPr>
          <w:sz w:val="24"/>
          <w:szCs w:val="24"/>
        </w:rPr>
        <w:t xml:space="preserve">annual </w:t>
      </w:r>
      <w:r w:rsidRPr="00A54AA3">
        <w:rPr>
          <w:sz w:val="24"/>
          <w:szCs w:val="24"/>
        </w:rPr>
        <w:t>performance feedback</w:t>
      </w:r>
      <w:r w:rsidR="00965D4E">
        <w:rPr>
          <w:sz w:val="24"/>
          <w:szCs w:val="24"/>
        </w:rPr>
        <w:t xml:space="preserve"> (see the “All” row for these requirements in the “</w:t>
      </w:r>
      <w:r w:rsidRPr="00965D4E" w:rsidR="00965D4E">
        <w:rPr>
          <w:sz w:val="24"/>
          <w:szCs w:val="24"/>
        </w:rPr>
        <w:t>Annual Number of Responses</w:t>
      </w:r>
      <w:r w:rsidR="00965D4E">
        <w:rPr>
          <w:sz w:val="24"/>
          <w:szCs w:val="24"/>
        </w:rPr>
        <w:t>” column of Table A1)</w:t>
      </w:r>
      <w:r w:rsidR="00297C60">
        <w:rPr>
          <w:sz w:val="24"/>
          <w:szCs w:val="24"/>
        </w:rPr>
        <w:t xml:space="preserve">. </w:t>
      </w:r>
      <w:r w:rsidR="000A7C23">
        <w:rPr>
          <w:sz w:val="24"/>
          <w:szCs w:val="24"/>
        </w:rPr>
        <w:t xml:space="preserve"> </w:t>
      </w:r>
      <w:r w:rsidR="00297C60">
        <w:rPr>
          <w:sz w:val="24"/>
          <w:szCs w:val="24"/>
        </w:rPr>
        <w:t>Multiplying the 2</w:t>
      </w:r>
      <w:r w:rsidR="000D39E4">
        <w:rPr>
          <w:sz w:val="24"/>
          <w:szCs w:val="24"/>
        </w:rPr>
        <w:t>7</w:t>
      </w:r>
      <w:r w:rsidR="00297C60">
        <w:rPr>
          <w:sz w:val="24"/>
          <w:szCs w:val="24"/>
        </w:rPr>
        <w:t xml:space="preserve"> reporting organizations by the </w:t>
      </w:r>
      <w:r w:rsidR="00965D4E">
        <w:rPr>
          <w:sz w:val="24"/>
          <w:szCs w:val="24"/>
        </w:rPr>
        <w:t>three</w:t>
      </w:r>
      <w:r w:rsidR="00297C60">
        <w:rPr>
          <w:sz w:val="24"/>
          <w:szCs w:val="24"/>
        </w:rPr>
        <w:t xml:space="preserve"> </w:t>
      </w:r>
      <w:r w:rsidR="00297C60">
        <w:rPr>
          <w:sz w:val="24"/>
          <w:szCs w:val="24"/>
        </w:rPr>
        <w:t xml:space="preserve">requirements </w:t>
      </w:r>
      <w:r w:rsidRPr="00A54AA3">
        <w:rPr>
          <w:sz w:val="24"/>
          <w:szCs w:val="24"/>
        </w:rPr>
        <w:t>result</w:t>
      </w:r>
      <w:r w:rsidR="00297C60">
        <w:rPr>
          <w:sz w:val="24"/>
          <w:szCs w:val="24"/>
        </w:rPr>
        <w:t>s</w:t>
      </w:r>
      <w:r w:rsidRPr="00A54AA3">
        <w:rPr>
          <w:sz w:val="24"/>
          <w:szCs w:val="24"/>
        </w:rPr>
        <w:t xml:space="preserve"> in </w:t>
      </w:r>
      <w:r w:rsidR="000D39E4">
        <w:rPr>
          <w:sz w:val="24"/>
          <w:szCs w:val="24"/>
        </w:rPr>
        <w:t>81</w:t>
      </w:r>
      <w:r w:rsidRPr="00A54AA3" w:rsidR="000D39E4">
        <w:rPr>
          <w:sz w:val="24"/>
          <w:szCs w:val="24"/>
        </w:rPr>
        <w:t xml:space="preserve"> </w:t>
      </w:r>
      <w:r w:rsidRPr="00A54AA3">
        <w:rPr>
          <w:sz w:val="24"/>
          <w:szCs w:val="24"/>
        </w:rPr>
        <w:t>responses annually (</w:t>
      </w:r>
      <w:r w:rsidRPr="00A54AA3" w:rsidR="000D39E4">
        <w:rPr>
          <w:sz w:val="24"/>
          <w:szCs w:val="24"/>
        </w:rPr>
        <w:t>2</w:t>
      </w:r>
      <w:r w:rsidR="000D39E4">
        <w:rPr>
          <w:sz w:val="24"/>
          <w:szCs w:val="24"/>
        </w:rPr>
        <w:t>7</w:t>
      </w:r>
      <w:r w:rsidRPr="00A54AA3" w:rsidR="000D39E4">
        <w:rPr>
          <w:sz w:val="24"/>
          <w:szCs w:val="24"/>
        </w:rPr>
        <w:t xml:space="preserve"> </w:t>
      </w:r>
      <w:r w:rsidRPr="00A54AA3">
        <w:rPr>
          <w:sz w:val="24"/>
          <w:szCs w:val="24"/>
        </w:rPr>
        <w:t>responses for each requirement × 3 requirements).</w:t>
      </w:r>
    </w:p>
    <w:p w:rsidR="00A54AA3" w:rsidRPr="00A54AA3" w:rsidP="00A54AA3" w14:paraId="6E3862EB" w14:textId="77777777">
      <w:pPr>
        <w:pStyle w:val="BodyTextIndent"/>
        <w:spacing w:after="0"/>
        <w:ind w:left="0"/>
        <w:rPr>
          <w:sz w:val="24"/>
          <w:szCs w:val="24"/>
        </w:rPr>
      </w:pPr>
    </w:p>
    <w:p w:rsidR="00F72EBB" w:rsidRPr="00A54AA3" w:rsidP="00A54AA3" w14:paraId="26DFB6F9" w14:textId="73C305BE">
      <w:pPr>
        <w:pStyle w:val="BodyTextIndent"/>
        <w:spacing w:after="0"/>
        <w:ind w:left="0"/>
        <w:rPr>
          <w:sz w:val="24"/>
          <w:szCs w:val="24"/>
        </w:rPr>
      </w:pPr>
      <w:r w:rsidRPr="00A54AA3">
        <w:rPr>
          <w:sz w:val="24"/>
          <w:szCs w:val="24"/>
        </w:rPr>
        <w:t>For notifying employees of exposure monitoring results, DOE assumes that each monitoring occasion (</w:t>
      </w:r>
      <w:r w:rsidRPr="00A54AA3">
        <w:rPr>
          <w:i/>
          <w:sz w:val="24"/>
          <w:szCs w:val="24"/>
        </w:rPr>
        <w:t>i.e.,</w:t>
      </w:r>
      <w:r w:rsidRPr="00A54AA3">
        <w:rPr>
          <w:sz w:val="24"/>
          <w:szCs w:val="24"/>
        </w:rPr>
        <w:t xml:space="preserve"> each time a sample is taken) will constitute a response</w:t>
      </w:r>
      <w:r w:rsidRPr="00A54AA3" w:rsidR="00E86580">
        <w:rPr>
          <w:sz w:val="24"/>
          <w:szCs w:val="24"/>
        </w:rPr>
        <w:t xml:space="preserve">. </w:t>
      </w:r>
      <w:r w:rsidR="008A3609">
        <w:rPr>
          <w:sz w:val="24"/>
          <w:szCs w:val="24"/>
        </w:rPr>
        <w:t xml:space="preserve"> </w:t>
      </w:r>
      <w:r w:rsidRPr="00A54AA3">
        <w:rPr>
          <w:sz w:val="24"/>
          <w:szCs w:val="24"/>
        </w:rPr>
        <w:t xml:space="preserve">Based on information in the Beryllium registry, </w:t>
      </w:r>
      <w:r w:rsidR="000D39E4">
        <w:rPr>
          <w:sz w:val="24"/>
          <w:szCs w:val="24"/>
        </w:rPr>
        <w:t>1,388</w:t>
      </w:r>
      <w:r w:rsidRPr="00A54AA3" w:rsidR="001D67DF">
        <w:rPr>
          <w:sz w:val="24"/>
          <w:szCs w:val="24"/>
        </w:rPr>
        <w:t xml:space="preserve"> </w:t>
      </w:r>
      <w:r w:rsidRPr="00A54AA3">
        <w:rPr>
          <w:sz w:val="24"/>
          <w:szCs w:val="24"/>
        </w:rPr>
        <w:t xml:space="preserve">new (incremental) samples were collected in </w:t>
      </w:r>
      <w:r w:rsidRPr="00A54AA3" w:rsidR="000D39E4">
        <w:rPr>
          <w:sz w:val="24"/>
          <w:szCs w:val="24"/>
        </w:rPr>
        <w:t>20</w:t>
      </w:r>
      <w:r w:rsidR="000D39E4">
        <w:rPr>
          <w:sz w:val="24"/>
          <w:szCs w:val="24"/>
        </w:rPr>
        <w:t>23</w:t>
      </w:r>
      <w:r w:rsidRPr="00A54AA3" w:rsidR="00E86580">
        <w:rPr>
          <w:sz w:val="24"/>
          <w:szCs w:val="24"/>
        </w:rPr>
        <w:t xml:space="preserve">. </w:t>
      </w:r>
      <w:r w:rsidR="008A3609">
        <w:rPr>
          <w:sz w:val="24"/>
          <w:szCs w:val="24"/>
        </w:rPr>
        <w:t xml:space="preserve"> </w:t>
      </w:r>
      <w:r w:rsidRPr="00A54AA3">
        <w:rPr>
          <w:sz w:val="24"/>
          <w:szCs w:val="24"/>
        </w:rPr>
        <w:t xml:space="preserve">Thus, notifying workers will involve close to </w:t>
      </w:r>
      <w:r w:rsidR="000D39E4">
        <w:rPr>
          <w:sz w:val="24"/>
          <w:szCs w:val="24"/>
        </w:rPr>
        <w:t>1,388</w:t>
      </w:r>
      <w:r w:rsidRPr="00A54AA3">
        <w:rPr>
          <w:sz w:val="24"/>
          <w:szCs w:val="24"/>
        </w:rPr>
        <w:t xml:space="preserve"> annual responses. </w:t>
      </w:r>
    </w:p>
    <w:p w:rsidR="00A54AA3" w:rsidRPr="00A54AA3" w:rsidP="00A54AA3" w14:paraId="0437CB49" w14:textId="77777777">
      <w:pPr>
        <w:pStyle w:val="BodyTextIndent"/>
        <w:spacing w:after="0"/>
        <w:ind w:left="0"/>
        <w:rPr>
          <w:sz w:val="24"/>
          <w:szCs w:val="24"/>
        </w:rPr>
      </w:pPr>
    </w:p>
    <w:p w:rsidR="00F72EBB" w:rsidRPr="00A54AA3" w:rsidP="00A54AA3" w14:paraId="6F7B32B7" w14:textId="50D10EE8">
      <w:pPr>
        <w:pStyle w:val="BodyTextIndent"/>
        <w:spacing w:after="0"/>
        <w:ind w:left="0"/>
        <w:rPr>
          <w:sz w:val="24"/>
          <w:szCs w:val="24"/>
        </w:rPr>
      </w:pPr>
      <w:r w:rsidRPr="00A54AA3">
        <w:rPr>
          <w:sz w:val="24"/>
          <w:szCs w:val="24"/>
        </w:rPr>
        <w:t>Consent forms are signed for each medical exam</w:t>
      </w:r>
      <w:r w:rsidRPr="00A54AA3" w:rsidR="00E86580">
        <w:rPr>
          <w:sz w:val="24"/>
          <w:szCs w:val="24"/>
        </w:rPr>
        <w:t xml:space="preserve">. </w:t>
      </w:r>
      <w:r w:rsidR="008A3609">
        <w:rPr>
          <w:sz w:val="24"/>
          <w:szCs w:val="24"/>
        </w:rPr>
        <w:t xml:space="preserve"> </w:t>
      </w:r>
      <w:r w:rsidRPr="00A54AA3">
        <w:rPr>
          <w:sz w:val="24"/>
          <w:szCs w:val="24"/>
        </w:rPr>
        <w:t xml:space="preserve">As estimated above, DOE expects there to be </w:t>
      </w:r>
      <w:r w:rsidR="000D39E4">
        <w:rPr>
          <w:sz w:val="24"/>
          <w:szCs w:val="24"/>
        </w:rPr>
        <w:t>6,445</w:t>
      </w:r>
      <w:r w:rsidRPr="00A54AA3">
        <w:rPr>
          <w:sz w:val="24"/>
          <w:szCs w:val="24"/>
        </w:rPr>
        <w:t xml:space="preserve"> exams annually, therefore </w:t>
      </w:r>
      <w:r w:rsidR="000D39E4">
        <w:rPr>
          <w:sz w:val="24"/>
          <w:szCs w:val="24"/>
        </w:rPr>
        <w:t>6,445</w:t>
      </w:r>
      <w:r w:rsidRPr="00A54AA3">
        <w:rPr>
          <w:sz w:val="24"/>
          <w:szCs w:val="24"/>
        </w:rPr>
        <w:t xml:space="preserve"> annual responses are obtained from signed consent forms (</w:t>
      </w:r>
      <w:r w:rsidRPr="00A54AA3">
        <w:rPr>
          <w:i/>
          <w:sz w:val="24"/>
          <w:szCs w:val="24"/>
        </w:rPr>
        <w:t>i.e.,</w:t>
      </w:r>
      <w:r w:rsidRPr="00A54AA3">
        <w:rPr>
          <w:sz w:val="24"/>
          <w:szCs w:val="24"/>
        </w:rPr>
        <w:t xml:space="preserve"> equal to the number of exams for affected workers). </w:t>
      </w:r>
      <w:r w:rsidR="008A3609">
        <w:rPr>
          <w:sz w:val="24"/>
          <w:szCs w:val="24"/>
        </w:rPr>
        <w:t xml:space="preserve"> </w:t>
      </w:r>
      <w:r w:rsidRPr="00A54AA3">
        <w:rPr>
          <w:sz w:val="24"/>
          <w:szCs w:val="24"/>
        </w:rPr>
        <w:t>Note that</w:t>
      </w:r>
      <w:r w:rsidRPr="00A54AA3" w:rsidR="00AD7EBB">
        <w:rPr>
          <w:sz w:val="24"/>
          <w:szCs w:val="24"/>
        </w:rPr>
        <w:t xml:space="preserve"> </w:t>
      </w:r>
      <w:r w:rsidR="000D39E4">
        <w:rPr>
          <w:sz w:val="24"/>
          <w:szCs w:val="24"/>
        </w:rPr>
        <w:t>one</w:t>
      </w:r>
      <w:r w:rsidRPr="00A54AA3" w:rsidR="000D39E4">
        <w:rPr>
          <w:sz w:val="24"/>
          <w:szCs w:val="24"/>
        </w:rPr>
        <w:t xml:space="preserve"> </w:t>
      </w:r>
      <w:r w:rsidRPr="00A54AA3">
        <w:rPr>
          <w:sz w:val="24"/>
          <w:szCs w:val="24"/>
        </w:rPr>
        <w:t xml:space="preserve">worker had </w:t>
      </w:r>
      <w:r w:rsidR="000D39E4">
        <w:rPr>
          <w:sz w:val="24"/>
          <w:szCs w:val="24"/>
        </w:rPr>
        <w:t xml:space="preserve">a </w:t>
      </w:r>
      <w:r w:rsidRPr="00A54AA3">
        <w:rPr>
          <w:sz w:val="24"/>
          <w:szCs w:val="24"/>
        </w:rPr>
        <w:t xml:space="preserve">follow-up medical exam so </w:t>
      </w:r>
      <w:r w:rsidRPr="00A54AA3" w:rsidR="000D39E4">
        <w:rPr>
          <w:sz w:val="24"/>
          <w:szCs w:val="24"/>
        </w:rPr>
        <w:t>w</w:t>
      </w:r>
      <w:r w:rsidR="000D39E4">
        <w:rPr>
          <w:sz w:val="24"/>
          <w:szCs w:val="24"/>
        </w:rPr>
        <w:t>as</w:t>
      </w:r>
      <w:r w:rsidRPr="00A54AA3" w:rsidR="000D39E4">
        <w:rPr>
          <w:sz w:val="24"/>
          <w:szCs w:val="24"/>
        </w:rPr>
        <w:t xml:space="preserve"> </w:t>
      </w:r>
      <w:r w:rsidRPr="00A54AA3">
        <w:rPr>
          <w:sz w:val="24"/>
          <w:szCs w:val="24"/>
        </w:rPr>
        <w:t xml:space="preserve">required to sign the consent form a second time resulting in </w:t>
      </w:r>
      <w:r w:rsidR="000D39E4">
        <w:rPr>
          <w:sz w:val="24"/>
          <w:szCs w:val="24"/>
        </w:rPr>
        <w:t>one</w:t>
      </w:r>
      <w:r w:rsidRPr="00A54AA3" w:rsidR="000D39E4">
        <w:rPr>
          <w:sz w:val="24"/>
          <w:szCs w:val="24"/>
        </w:rPr>
        <w:t xml:space="preserve"> </w:t>
      </w:r>
      <w:r w:rsidRPr="00A54AA3">
        <w:rPr>
          <w:sz w:val="24"/>
          <w:szCs w:val="24"/>
        </w:rPr>
        <w:t>more response than respondents.</w:t>
      </w:r>
    </w:p>
    <w:p w:rsidR="00A54AA3" w:rsidRPr="00A54AA3" w:rsidP="00A54AA3" w14:paraId="6B7E5103" w14:textId="77777777">
      <w:pPr>
        <w:pStyle w:val="BodyTextIndent"/>
        <w:spacing w:after="0"/>
        <w:ind w:left="0"/>
        <w:rPr>
          <w:sz w:val="24"/>
          <w:szCs w:val="24"/>
        </w:rPr>
      </w:pPr>
    </w:p>
    <w:p w:rsidR="00F72EBB" w:rsidRPr="00A54AA3" w:rsidP="00A54AA3" w14:paraId="64558286" w14:textId="60F883B6">
      <w:pPr>
        <w:pStyle w:val="BodyTextIndent"/>
        <w:spacing w:after="0"/>
        <w:ind w:left="0"/>
        <w:rPr>
          <w:sz w:val="24"/>
          <w:szCs w:val="24"/>
        </w:rPr>
      </w:pPr>
      <w:r w:rsidRPr="00A54AA3">
        <w:rPr>
          <w:sz w:val="24"/>
          <w:szCs w:val="24"/>
        </w:rPr>
        <w:t xml:space="preserve">For maintaining the beryllium registry, DOE noted that only </w:t>
      </w:r>
      <w:r w:rsidR="000D39E4">
        <w:rPr>
          <w:sz w:val="24"/>
          <w:szCs w:val="24"/>
        </w:rPr>
        <w:t>16</w:t>
      </w:r>
      <w:r w:rsidRPr="00A54AA3" w:rsidR="000D39E4">
        <w:rPr>
          <w:sz w:val="24"/>
          <w:szCs w:val="24"/>
        </w:rPr>
        <w:t xml:space="preserve"> </w:t>
      </w:r>
      <w:r w:rsidRPr="00A54AA3">
        <w:rPr>
          <w:sz w:val="24"/>
          <w:szCs w:val="24"/>
        </w:rPr>
        <w:t>reporting organizations currently report monitoring and medical examination results to the registry</w:t>
      </w:r>
      <w:r w:rsidRPr="00A54AA3" w:rsidR="00E86580">
        <w:rPr>
          <w:sz w:val="24"/>
          <w:szCs w:val="24"/>
        </w:rPr>
        <w:t xml:space="preserve">. </w:t>
      </w:r>
      <w:r w:rsidRPr="00A54AA3">
        <w:rPr>
          <w:sz w:val="24"/>
          <w:szCs w:val="24"/>
        </w:rPr>
        <w:t>DOE has assumed that each time the registry is updated constitutes a response</w:t>
      </w:r>
      <w:r w:rsidRPr="00A54AA3" w:rsidR="00E86580">
        <w:rPr>
          <w:sz w:val="24"/>
          <w:szCs w:val="24"/>
        </w:rPr>
        <w:t xml:space="preserve">. </w:t>
      </w:r>
      <w:r w:rsidR="008A3609">
        <w:rPr>
          <w:sz w:val="24"/>
          <w:szCs w:val="24"/>
        </w:rPr>
        <w:t xml:space="preserve"> </w:t>
      </w:r>
      <w:r w:rsidRPr="00A54AA3">
        <w:rPr>
          <w:sz w:val="24"/>
          <w:szCs w:val="24"/>
        </w:rPr>
        <w:t>The registry would be updated for each medical exam</w:t>
      </w:r>
      <w:r w:rsidRPr="00A54AA3" w:rsidR="00E86580">
        <w:rPr>
          <w:sz w:val="24"/>
          <w:szCs w:val="24"/>
        </w:rPr>
        <w:t xml:space="preserve">. </w:t>
      </w:r>
      <w:r w:rsidR="00193574">
        <w:rPr>
          <w:sz w:val="24"/>
          <w:szCs w:val="24"/>
        </w:rPr>
        <w:t xml:space="preserve"> </w:t>
      </w:r>
      <w:r w:rsidRPr="00A54AA3">
        <w:rPr>
          <w:sz w:val="24"/>
          <w:szCs w:val="24"/>
        </w:rPr>
        <w:t xml:space="preserve">The registry reported </w:t>
      </w:r>
      <w:r w:rsidR="000D39E4">
        <w:rPr>
          <w:sz w:val="24"/>
          <w:szCs w:val="24"/>
        </w:rPr>
        <w:t>6,444</w:t>
      </w:r>
      <w:r w:rsidRPr="00A54AA3">
        <w:rPr>
          <w:sz w:val="24"/>
          <w:szCs w:val="24"/>
        </w:rPr>
        <w:t xml:space="preserve"> employees’ medical screening results for </w:t>
      </w:r>
      <w:r w:rsidRPr="00A54AA3" w:rsidR="000D39E4">
        <w:rPr>
          <w:sz w:val="24"/>
          <w:szCs w:val="24"/>
        </w:rPr>
        <w:t>20</w:t>
      </w:r>
      <w:r w:rsidR="000D39E4">
        <w:rPr>
          <w:sz w:val="24"/>
          <w:szCs w:val="24"/>
        </w:rPr>
        <w:t>23</w:t>
      </w:r>
      <w:r w:rsidRPr="00A54AA3">
        <w:rPr>
          <w:sz w:val="24"/>
          <w:szCs w:val="24"/>
        </w:rPr>
        <w:t>.</w:t>
      </w:r>
      <w:r>
        <w:rPr>
          <w:rStyle w:val="FootnoteReference"/>
          <w:sz w:val="24"/>
          <w:szCs w:val="24"/>
        </w:rPr>
        <w:footnoteReference w:id="6"/>
      </w:r>
      <w:r w:rsidRPr="00A54AA3">
        <w:rPr>
          <w:sz w:val="24"/>
          <w:szCs w:val="24"/>
        </w:rPr>
        <w:t xml:space="preserve"> Of these employees, </w:t>
      </w:r>
      <w:r w:rsidR="002E0D9A">
        <w:rPr>
          <w:sz w:val="24"/>
          <w:szCs w:val="24"/>
        </w:rPr>
        <w:t>one</w:t>
      </w:r>
      <w:r w:rsidRPr="00A54AA3" w:rsidR="002E0D9A">
        <w:rPr>
          <w:sz w:val="24"/>
          <w:szCs w:val="24"/>
        </w:rPr>
        <w:t xml:space="preserve"> </w:t>
      </w:r>
      <w:r w:rsidRPr="00A54AA3">
        <w:rPr>
          <w:sz w:val="24"/>
          <w:szCs w:val="24"/>
        </w:rPr>
        <w:t>(0.</w:t>
      </w:r>
      <w:r w:rsidR="002E0D9A">
        <w:rPr>
          <w:sz w:val="24"/>
          <w:szCs w:val="24"/>
        </w:rPr>
        <w:t>0</w:t>
      </w:r>
      <w:r w:rsidRPr="00A54AA3" w:rsidR="002E0D9A">
        <w:rPr>
          <w:sz w:val="24"/>
          <w:szCs w:val="24"/>
        </w:rPr>
        <w:t xml:space="preserve">2 </w:t>
      </w:r>
      <w:r w:rsidRPr="00A54AA3" w:rsidR="00AD7EBB">
        <w:rPr>
          <w:sz w:val="24"/>
          <w:szCs w:val="24"/>
        </w:rPr>
        <w:t>percent</w:t>
      </w:r>
      <w:r w:rsidRPr="00A54AA3">
        <w:rPr>
          <w:sz w:val="24"/>
          <w:szCs w:val="24"/>
        </w:rPr>
        <w:t xml:space="preserve">) had at least two medical exams, as they were diagnosed as “sensitized” the first time (in </w:t>
      </w:r>
      <w:r w:rsidRPr="00A54AA3" w:rsidR="002E0D9A">
        <w:rPr>
          <w:sz w:val="24"/>
          <w:szCs w:val="24"/>
        </w:rPr>
        <w:t>20</w:t>
      </w:r>
      <w:r w:rsidR="002E0D9A">
        <w:rPr>
          <w:sz w:val="24"/>
          <w:szCs w:val="24"/>
        </w:rPr>
        <w:t>23</w:t>
      </w:r>
      <w:r w:rsidRPr="00A54AA3">
        <w:rPr>
          <w:sz w:val="24"/>
          <w:szCs w:val="24"/>
        </w:rPr>
        <w:t>)</w:t>
      </w:r>
      <w:r w:rsidRPr="00A54AA3" w:rsidR="00E86580">
        <w:rPr>
          <w:sz w:val="24"/>
          <w:szCs w:val="24"/>
        </w:rPr>
        <w:t xml:space="preserve">. </w:t>
      </w:r>
      <w:r w:rsidRPr="00A54AA3">
        <w:rPr>
          <w:sz w:val="24"/>
          <w:szCs w:val="24"/>
        </w:rPr>
        <w:t>No employees were diagnosed with CBD the first time</w:t>
      </w:r>
      <w:r w:rsidRPr="00A54AA3" w:rsidR="00E86580">
        <w:rPr>
          <w:sz w:val="24"/>
          <w:szCs w:val="24"/>
        </w:rPr>
        <w:t xml:space="preserve">. </w:t>
      </w:r>
      <w:r w:rsidR="008A3609">
        <w:rPr>
          <w:sz w:val="24"/>
          <w:szCs w:val="24"/>
        </w:rPr>
        <w:t xml:space="preserve"> </w:t>
      </w:r>
      <w:r w:rsidRPr="00A54AA3">
        <w:rPr>
          <w:sz w:val="24"/>
          <w:szCs w:val="24"/>
        </w:rPr>
        <w:t xml:space="preserve">Thus, close to </w:t>
      </w:r>
      <w:r w:rsidR="002E0D9A">
        <w:rPr>
          <w:sz w:val="24"/>
          <w:szCs w:val="24"/>
        </w:rPr>
        <w:t>6,445</w:t>
      </w:r>
      <w:r w:rsidRPr="00A54AA3">
        <w:rPr>
          <w:sz w:val="24"/>
          <w:szCs w:val="24"/>
        </w:rPr>
        <w:t xml:space="preserve"> exams will occur annually (</w:t>
      </w:r>
      <w:r w:rsidRPr="00A54AA3" w:rsidR="009C0796">
        <w:rPr>
          <w:sz w:val="24"/>
          <w:szCs w:val="24"/>
        </w:rPr>
        <w:t>6,</w:t>
      </w:r>
      <w:r w:rsidR="002E0D9A">
        <w:rPr>
          <w:sz w:val="24"/>
          <w:szCs w:val="24"/>
        </w:rPr>
        <w:t>444</w:t>
      </w:r>
      <w:r w:rsidRPr="00A54AA3" w:rsidR="002E0D9A">
        <w:rPr>
          <w:sz w:val="24"/>
          <w:szCs w:val="24"/>
        </w:rPr>
        <w:t xml:space="preserve"> </w:t>
      </w:r>
      <w:r w:rsidRPr="00A54AA3">
        <w:rPr>
          <w:sz w:val="24"/>
          <w:szCs w:val="24"/>
        </w:rPr>
        <w:t xml:space="preserve">+ </w:t>
      </w:r>
      <w:r w:rsidR="002E0D9A">
        <w:rPr>
          <w:sz w:val="24"/>
          <w:szCs w:val="24"/>
        </w:rPr>
        <w:t>1</w:t>
      </w:r>
      <w:r w:rsidRPr="00A54AA3">
        <w:rPr>
          <w:sz w:val="24"/>
          <w:szCs w:val="24"/>
        </w:rPr>
        <w:t xml:space="preserve">), and thus, </w:t>
      </w:r>
      <w:r w:rsidRPr="00A54AA3" w:rsidR="009C0796">
        <w:rPr>
          <w:sz w:val="24"/>
          <w:szCs w:val="24"/>
        </w:rPr>
        <w:t>6,</w:t>
      </w:r>
      <w:r w:rsidR="002E0D9A">
        <w:rPr>
          <w:sz w:val="24"/>
          <w:szCs w:val="24"/>
        </w:rPr>
        <w:t>445</w:t>
      </w:r>
      <w:r w:rsidRPr="00A54AA3" w:rsidR="002E0D9A">
        <w:rPr>
          <w:sz w:val="24"/>
          <w:szCs w:val="24"/>
        </w:rPr>
        <w:t xml:space="preserve"> </w:t>
      </w:r>
      <w:r w:rsidRPr="00A54AA3">
        <w:rPr>
          <w:sz w:val="24"/>
          <w:szCs w:val="24"/>
        </w:rPr>
        <w:t xml:space="preserve">updates to beryllium registries will occur. </w:t>
      </w:r>
    </w:p>
    <w:p w:rsidR="00A54AA3" w:rsidRPr="00A54AA3" w:rsidP="00A54AA3" w14:paraId="67F6C158" w14:textId="77777777">
      <w:pPr>
        <w:pStyle w:val="BodyTextIndent"/>
        <w:spacing w:after="0"/>
        <w:ind w:left="0"/>
        <w:rPr>
          <w:sz w:val="24"/>
          <w:szCs w:val="24"/>
        </w:rPr>
      </w:pPr>
    </w:p>
    <w:p w:rsidR="00F72EBB" w:rsidRPr="00A54AA3" w:rsidP="00A54AA3" w14:paraId="3F7D4C2F" w14:textId="0B3A18FA">
      <w:pPr>
        <w:pStyle w:val="BodyTextIndent"/>
        <w:spacing w:after="0"/>
        <w:ind w:left="0"/>
        <w:rPr>
          <w:sz w:val="24"/>
          <w:szCs w:val="24"/>
        </w:rPr>
      </w:pPr>
      <w:r w:rsidRPr="00A54AA3">
        <w:rPr>
          <w:sz w:val="24"/>
          <w:szCs w:val="24"/>
        </w:rPr>
        <w:t xml:space="preserve">The total number of annual responses is estimated to be </w:t>
      </w:r>
      <w:r w:rsidR="002E0D9A">
        <w:rPr>
          <w:sz w:val="24"/>
          <w:szCs w:val="24"/>
        </w:rPr>
        <w:t>14,359</w:t>
      </w:r>
      <w:r w:rsidRPr="00A54AA3">
        <w:rPr>
          <w:sz w:val="24"/>
          <w:szCs w:val="24"/>
        </w:rPr>
        <w:t xml:space="preserve"> </w:t>
      </w:r>
      <w:r w:rsidRPr="00A54AA3">
        <w:rPr>
          <w:sz w:val="24"/>
          <w:szCs w:val="24"/>
        </w:rPr>
        <w:t>(</w:t>
      </w:r>
      <w:r w:rsidRPr="00A54AA3" w:rsidR="002E0D9A">
        <w:rPr>
          <w:sz w:val="24"/>
          <w:szCs w:val="24"/>
        </w:rPr>
        <w:t>2</w:t>
      </w:r>
      <w:r w:rsidR="002E0D9A">
        <w:rPr>
          <w:sz w:val="24"/>
          <w:szCs w:val="24"/>
        </w:rPr>
        <w:t>7</w:t>
      </w:r>
      <w:r w:rsidRPr="00A54AA3" w:rsidR="002E0D9A">
        <w:rPr>
          <w:sz w:val="24"/>
          <w:szCs w:val="24"/>
        </w:rPr>
        <w:t xml:space="preserve"> </w:t>
      </w:r>
      <w:r w:rsidRPr="00A54AA3">
        <w:rPr>
          <w:sz w:val="24"/>
          <w:szCs w:val="24"/>
        </w:rPr>
        <w:t xml:space="preserve">+ </w:t>
      </w:r>
      <w:r w:rsidR="002E0D9A">
        <w:rPr>
          <w:sz w:val="24"/>
          <w:szCs w:val="24"/>
        </w:rPr>
        <w:t>1,388</w:t>
      </w:r>
      <w:r w:rsidRPr="00A54AA3">
        <w:rPr>
          <w:sz w:val="24"/>
          <w:szCs w:val="24"/>
        </w:rPr>
        <w:t xml:space="preserve"> + </w:t>
      </w:r>
      <w:r w:rsidR="002E0D9A">
        <w:rPr>
          <w:sz w:val="24"/>
          <w:szCs w:val="24"/>
        </w:rPr>
        <w:t>6,445</w:t>
      </w:r>
      <w:r w:rsidRPr="00A54AA3">
        <w:rPr>
          <w:sz w:val="24"/>
          <w:szCs w:val="24"/>
        </w:rPr>
        <w:t xml:space="preserve"> + </w:t>
      </w:r>
      <w:r w:rsidR="002E0D9A">
        <w:rPr>
          <w:sz w:val="24"/>
          <w:szCs w:val="24"/>
        </w:rPr>
        <w:t>6,445</w:t>
      </w:r>
      <w:r w:rsidRPr="00A54AA3">
        <w:rPr>
          <w:sz w:val="24"/>
          <w:szCs w:val="24"/>
        </w:rPr>
        <w:t xml:space="preserve"> + </w:t>
      </w:r>
      <w:r w:rsidRPr="00A54AA3" w:rsidR="002E0D9A">
        <w:rPr>
          <w:sz w:val="24"/>
          <w:szCs w:val="24"/>
        </w:rPr>
        <w:t>2</w:t>
      </w:r>
      <w:r w:rsidR="002E0D9A">
        <w:rPr>
          <w:sz w:val="24"/>
          <w:szCs w:val="24"/>
        </w:rPr>
        <w:t>7</w:t>
      </w:r>
      <w:r w:rsidRPr="00A54AA3" w:rsidR="002E0D9A">
        <w:rPr>
          <w:sz w:val="24"/>
          <w:szCs w:val="24"/>
        </w:rPr>
        <w:t xml:space="preserve"> </w:t>
      </w:r>
      <w:r w:rsidRPr="00A54AA3">
        <w:rPr>
          <w:sz w:val="24"/>
          <w:szCs w:val="24"/>
        </w:rPr>
        <w:t xml:space="preserve">+ </w:t>
      </w:r>
      <w:r w:rsidRPr="00A54AA3" w:rsidR="002E0D9A">
        <w:rPr>
          <w:sz w:val="24"/>
          <w:szCs w:val="24"/>
        </w:rPr>
        <w:t>2</w:t>
      </w:r>
      <w:r w:rsidR="002E0D9A">
        <w:rPr>
          <w:sz w:val="24"/>
          <w:szCs w:val="24"/>
        </w:rPr>
        <w:t>7</w:t>
      </w:r>
      <w:r w:rsidRPr="00A54AA3">
        <w:rPr>
          <w:sz w:val="24"/>
          <w:szCs w:val="24"/>
        </w:rPr>
        <w:t>).</w:t>
      </w:r>
    </w:p>
    <w:p w:rsidR="00A54AA3" w:rsidRPr="00E86580" w:rsidP="00A54AA3" w14:paraId="0064447C" w14:textId="77777777">
      <w:pPr>
        <w:pStyle w:val="BodyTextIndent"/>
        <w:spacing w:after="0" w:line="240" w:lineRule="auto"/>
        <w:ind w:left="0"/>
      </w:pPr>
    </w:p>
    <w:p w:rsidR="00AE78B6" w:rsidP="00A54AA3" w14:paraId="44E08A6E" w14:textId="77777777">
      <w:pPr>
        <w:pStyle w:val="Heading3"/>
        <w:spacing w:before="0" w:after="0"/>
      </w:pPr>
      <w:bookmarkStart w:id="20" w:name="_Toc184648848"/>
      <w:r w:rsidRPr="00E86580">
        <w:t>Electronic Responses</w:t>
      </w:r>
      <w:bookmarkEnd w:id="20"/>
    </w:p>
    <w:p w:rsidR="00A54AA3" w:rsidRPr="00A54AA3" w:rsidP="00A54AA3" w14:paraId="611CD453" w14:textId="77777777">
      <w:pPr>
        <w:spacing w:after="0"/>
      </w:pPr>
    </w:p>
    <w:p w:rsidR="00AE78B6" w:rsidRPr="00A54AA3" w:rsidP="00A54AA3" w14:paraId="752B7241" w14:textId="109545A1">
      <w:pPr>
        <w:pStyle w:val="BodyTextIndent"/>
        <w:spacing w:after="0"/>
        <w:ind w:left="0"/>
        <w:rPr>
          <w:rFonts w:cstheme="minorHAnsi"/>
          <w:sz w:val="24"/>
          <w:szCs w:val="24"/>
        </w:rPr>
      </w:pPr>
      <w:r w:rsidRPr="00A54AA3">
        <w:rPr>
          <w:sz w:val="24"/>
          <w:szCs w:val="24"/>
        </w:rPr>
        <w:t>As noted in question 3, both the beryllium registry and r</w:t>
      </w:r>
      <w:r w:rsidRPr="00A54AA3">
        <w:rPr>
          <w:rFonts w:cstheme="minorHAnsi"/>
          <w:sz w:val="24"/>
          <w:szCs w:val="24"/>
        </w:rPr>
        <w:t>ecordkeeping</w:t>
      </w:r>
      <w:r w:rsidR="00C1645C">
        <w:rPr>
          <w:rFonts w:cstheme="minorHAnsi"/>
          <w:sz w:val="24"/>
          <w:szCs w:val="24"/>
        </w:rPr>
        <w:t xml:space="preserve"> are</w:t>
      </w:r>
      <w:r w:rsidRPr="00A54AA3">
        <w:rPr>
          <w:rFonts w:cstheme="minorHAnsi"/>
          <w:sz w:val="24"/>
          <w:szCs w:val="24"/>
        </w:rPr>
        <w:t xml:space="preserve"> to be accomplished through electronic means</w:t>
      </w:r>
      <w:r w:rsidRPr="00A54AA3" w:rsidR="00E86580">
        <w:rPr>
          <w:rFonts w:cstheme="minorHAnsi"/>
          <w:sz w:val="24"/>
          <w:szCs w:val="24"/>
        </w:rPr>
        <w:t xml:space="preserve">. </w:t>
      </w:r>
      <w:r w:rsidR="008A3609">
        <w:rPr>
          <w:rFonts w:cstheme="minorHAnsi"/>
          <w:sz w:val="24"/>
          <w:szCs w:val="24"/>
        </w:rPr>
        <w:t xml:space="preserve"> </w:t>
      </w:r>
      <w:r w:rsidRPr="00A54AA3">
        <w:rPr>
          <w:rFonts w:cstheme="minorHAnsi"/>
          <w:sz w:val="24"/>
          <w:szCs w:val="24"/>
        </w:rPr>
        <w:t>DOE further expects that both submitting CBDPP plans and notifying workers of exposure monitoring results are handled electronically</w:t>
      </w:r>
      <w:r w:rsidRPr="00A54AA3" w:rsidR="00E86580">
        <w:rPr>
          <w:rFonts w:cstheme="minorHAnsi"/>
          <w:sz w:val="24"/>
          <w:szCs w:val="24"/>
        </w:rPr>
        <w:t xml:space="preserve">. </w:t>
      </w:r>
      <w:r w:rsidR="008A3609">
        <w:rPr>
          <w:rFonts w:cstheme="minorHAnsi"/>
          <w:sz w:val="24"/>
          <w:szCs w:val="24"/>
        </w:rPr>
        <w:t xml:space="preserve"> </w:t>
      </w:r>
      <w:r w:rsidRPr="00A54AA3">
        <w:rPr>
          <w:rFonts w:cstheme="minorHAnsi"/>
          <w:sz w:val="24"/>
          <w:szCs w:val="24"/>
        </w:rPr>
        <w:t xml:space="preserve">This encompasses </w:t>
      </w:r>
      <w:r w:rsidR="006404AA">
        <w:rPr>
          <w:rFonts w:cstheme="minorHAnsi"/>
          <w:sz w:val="24"/>
          <w:szCs w:val="24"/>
        </w:rPr>
        <w:t>7,887</w:t>
      </w:r>
      <w:r w:rsidRPr="00A54AA3">
        <w:rPr>
          <w:rFonts w:cstheme="minorHAnsi"/>
          <w:sz w:val="24"/>
          <w:szCs w:val="24"/>
        </w:rPr>
        <w:t xml:space="preserve"> annual responses (</w:t>
      </w:r>
      <w:r w:rsidRPr="00A54AA3" w:rsidR="002E0D9A">
        <w:rPr>
          <w:rFonts w:cstheme="minorHAnsi"/>
          <w:sz w:val="24"/>
          <w:szCs w:val="24"/>
        </w:rPr>
        <w:t>2</w:t>
      </w:r>
      <w:r w:rsidR="002E0D9A">
        <w:rPr>
          <w:rFonts w:cstheme="minorHAnsi"/>
          <w:sz w:val="24"/>
          <w:szCs w:val="24"/>
        </w:rPr>
        <w:t>7</w:t>
      </w:r>
      <w:r w:rsidRPr="00A54AA3" w:rsidR="002E0D9A">
        <w:rPr>
          <w:rFonts w:cstheme="minorHAnsi"/>
          <w:sz w:val="24"/>
          <w:szCs w:val="24"/>
        </w:rPr>
        <w:t xml:space="preserve"> </w:t>
      </w:r>
      <w:r w:rsidRPr="00A54AA3">
        <w:rPr>
          <w:rFonts w:cstheme="minorHAnsi"/>
          <w:sz w:val="24"/>
          <w:szCs w:val="24"/>
        </w:rPr>
        <w:t xml:space="preserve">each for revising the CBDPP plans annually and recordkeeping; </w:t>
      </w:r>
      <w:r w:rsidRPr="00A54AA3" w:rsidR="009C0796">
        <w:rPr>
          <w:rFonts w:cstheme="minorHAnsi"/>
          <w:sz w:val="24"/>
          <w:szCs w:val="24"/>
        </w:rPr>
        <w:t>6,</w:t>
      </w:r>
      <w:r w:rsidR="002E0D9A">
        <w:rPr>
          <w:rFonts w:cstheme="minorHAnsi"/>
          <w:sz w:val="24"/>
          <w:szCs w:val="24"/>
        </w:rPr>
        <w:t>445</w:t>
      </w:r>
      <w:r w:rsidRPr="00A54AA3" w:rsidR="002E0D9A">
        <w:rPr>
          <w:rFonts w:cstheme="minorHAnsi"/>
          <w:sz w:val="24"/>
          <w:szCs w:val="24"/>
        </w:rPr>
        <w:t xml:space="preserve"> </w:t>
      </w:r>
      <w:r w:rsidRPr="00A54AA3">
        <w:rPr>
          <w:rFonts w:cstheme="minorHAnsi"/>
          <w:sz w:val="24"/>
          <w:szCs w:val="24"/>
        </w:rPr>
        <w:t xml:space="preserve">for maintaining the beryllium registry, and </w:t>
      </w:r>
      <w:r w:rsidR="002E0D9A">
        <w:rPr>
          <w:rFonts w:cstheme="minorHAnsi"/>
          <w:sz w:val="24"/>
          <w:szCs w:val="24"/>
        </w:rPr>
        <w:t>1,388</w:t>
      </w:r>
      <w:r w:rsidRPr="00A54AA3">
        <w:rPr>
          <w:rFonts w:cstheme="minorHAnsi"/>
          <w:sz w:val="24"/>
          <w:szCs w:val="24"/>
        </w:rPr>
        <w:t xml:space="preserve"> for notifying workers; see the previous section for details on these estimates), or </w:t>
      </w:r>
      <w:r w:rsidRPr="00A54AA3" w:rsidR="00680E59">
        <w:rPr>
          <w:rFonts w:cstheme="minorHAnsi"/>
          <w:sz w:val="24"/>
          <w:szCs w:val="24"/>
        </w:rPr>
        <w:t>~</w:t>
      </w:r>
      <w:r w:rsidR="002E0D9A">
        <w:rPr>
          <w:rFonts w:cstheme="minorHAnsi"/>
          <w:sz w:val="24"/>
          <w:szCs w:val="24"/>
        </w:rPr>
        <w:t>55</w:t>
      </w:r>
      <w:r w:rsidRPr="00A54AA3" w:rsidR="002E0D9A">
        <w:rPr>
          <w:rFonts w:cstheme="minorHAnsi"/>
          <w:b/>
          <w:bCs/>
          <w:sz w:val="24"/>
          <w:szCs w:val="24"/>
        </w:rPr>
        <w:t xml:space="preserve"> </w:t>
      </w:r>
      <w:r w:rsidRPr="00A54AA3">
        <w:rPr>
          <w:rFonts w:cstheme="minorHAnsi"/>
          <w:sz w:val="24"/>
          <w:szCs w:val="24"/>
        </w:rPr>
        <w:t xml:space="preserve">percent of the total number of responses. </w:t>
      </w:r>
    </w:p>
    <w:p w:rsidR="00A54AA3" w:rsidRPr="00BD1951" w:rsidP="00A54AA3" w14:paraId="2A0A53FD" w14:textId="77777777">
      <w:pPr>
        <w:pStyle w:val="BodyTextIndent"/>
        <w:spacing w:after="0"/>
        <w:ind w:left="0"/>
        <w:rPr>
          <w:rFonts w:cstheme="minorHAnsi"/>
        </w:rPr>
      </w:pPr>
    </w:p>
    <w:p w:rsidR="00AE78B6" w:rsidP="00A54AA3" w14:paraId="1ECB0EB8" w14:textId="77777777">
      <w:pPr>
        <w:pStyle w:val="Heading3"/>
        <w:spacing w:before="0" w:after="0"/>
      </w:pPr>
      <w:bookmarkStart w:id="21" w:name="_Toc184648849"/>
      <w:r w:rsidRPr="00E86580">
        <w:t>Burden Hours</w:t>
      </w:r>
      <w:bookmarkEnd w:id="21"/>
    </w:p>
    <w:p w:rsidR="00A54AA3" w:rsidRPr="00A54AA3" w:rsidP="00A54AA3" w14:paraId="6D8241C8" w14:textId="77777777">
      <w:pPr>
        <w:spacing w:after="0"/>
      </w:pPr>
    </w:p>
    <w:p w:rsidR="00AE78B6" w:rsidRPr="00A54AA3" w:rsidP="00A54AA3" w14:paraId="6F0059EB" w14:textId="7EED2328">
      <w:pPr>
        <w:pStyle w:val="BodyTextIndent"/>
        <w:spacing w:after="0" w:line="240" w:lineRule="auto"/>
        <w:ind w:left="0"/>
        <w:rPr>
          <w:sz w:val="24"/>
          <w:szCs w:val="24"/>
        </w:rPr>
      </w:pPr>
      <w:r w:rsidRPr="00A54AA3">
        <w:rPr>
          <w:sz w:val="24"/>
          <w:szCs w:val="24"/>
        </w:rPr>
        <w:t>Table A1</w:t>
      </w:r>
      <w:r w:rsidRPr="00A54AA3">
        <w:rPr>
          <w:sz w:val="24"/>
          <w:szCs w:val="24"/>
        </w:rPr>
        <w:t xml:space="preserve"> below summarizes the estimates of the annual burden hours for each of the requirements</w:t>
      </w:r>
      <w:r w:rsidRPr="00A54AA3" w:rsidR="00E86580">
        <w:rPr>
          <w:sz w:val="24"/>
          <w:szCs w:val="24"/>
        </w:rPr>
        <w:t xml:space="preserve">. </w:t>
      </w:r>
      <w:r w:rsidR="008A3609">
        <w:rPr>
          <w:sz w:val="24"/>
          <w:szCs w:val="24"/>
        </w:rPr>
        <w:t xml:space="preserve"> </w:t>
      </w:r>
      <w:r w:rsidRPr="00A54AA3">
        <w:rPr>
          <w:sz w:val="24"/>
          <w:szCs w:val="24"/>
        </w:rPr>
        <w:t xml:space="preserve">The notes to </w:t>
      </w:r>
      <w:r w:rsidRPr="00A54AA3">
        <w:rPr>
          <w:sz w:val="24"/>
          <w:szCs w:val="24"/>
        </w:rPr>
        <w:t xml:space="preserve">Table A1 </w:t>
      </w:r>
      <w:r w:rsidRPr="00A54AA3">
        <w:rPr>
          <w:sz w:val="24"/>
          <w:szCs w:val="24"/>
        </w:rPr>
        <w:t>provide details of the estimates for each of the requirements</w:t>
      </w:r>
      <w:r w:rsidRPr="00A54AA3" w:rsidR="00E86580">
        <w:rPr>
          <w:sz w:val="24"/>
          <w:szCs w:val="24"/>
        </w:rPr>
        <w:t xml:space="preserve">. </w:t>
      </w:r>
      <w:r w:rsidR="008A3609">
        <w:rPr>
          <w:sz w:val="24"/>
          <w:szCs w:val="24"/>
        </w:rPr>
        <w:t xml:space="preserve"> </w:t>
      </w:r>
      <w:r w:rsidRPr="00A54AA3">
        <w:rPr>
          <w:sz w:val="24"/>
          <w:szCs w:val="24"/>
        </w:rPr>
        <w:t xml:space="preserve">Where appropriate, DOE refers to the Economic Analysis for 10 CFR 850. </w:t>
      </w:r>
    </w:p>
    <w:p w:rsidR="00A54AA3" w:rsidRPr="00A54AA3" w:rsidP="00A54AA3" w14:paraId="39227A96" w14:textId="77777777">
      <w:pPr>
        <w:pStyle w:val="BodyTextIndent"/>
        <w:spacing w:after="0" w:line="240" w:lineRule="auto"/>
        <w:ind w:left="0"/>
        <w:rPr>
          <w:sz w:val="24"/>
          <w:szCs w:val="24"/>
        </w:rPr>
      </w:pPr>
    </w:p>
    <w:p w:rsidR="00795A0D" w:rsidP="00A54AA3" w14:paraId="160F3B20" w14:textId="23FF7218">
      <w:pPr>
        <w:pStyle w:val="BodyTextIndent"/>
        <w:spacing w:after="0"/>
        <w:ind w:left="0"/>
        <w:rPr>
          <w:sz w:val="24"/>
          <w:szCs w:val="24"/>
        </w:rPr>
      </w:pPr>
      <w:r w:rsidRPr="00A54AA3">
        <w:rPr>
          <w:sz w:val="24"/>
          <w:szCs w:val="24"/>
        </w:rPr>
        <w:t>As noted above, this</w:t>
      </w:r>
      <w:r w:rsidRPr="00A54AA3">
        <w:rPr>
          <w:rFonts w:ascii="Times New Roman" w:hAnsi="Times New Roman"/>
          <w:sz w:val="24"/>
          <w:szCs w:val="24"/>
        </w:rPr>
        <w:t xml:space="preserve"> </w:t>
      </w:r>
      <w:r w:rsidRPr="00A54AA3">
        <w:rPr>
          <w:sz w:val="24"/>
          <w:szCs w:val="24"/>
        </w:rPr>
        <w:t>ICR submission is a renewal, requesting approval of an existing ICR</w:t>
      </w:r>
      <w:r w:rsidRPr="00A54AA3" w:rsidR="00E86580">
        <w:rPr>
          <w:sz w:val="24"/>
          <w:szCs w:val="24"/>
        </w:rPr>
        <w:t xml:space="preserve">. </w:t>
      </w:r>
      <w:r w:rsidRPr="00A54AA3">
        <w:rPr>
          <w:sz w:val="24"/>
          <w:szCs w:val="24"/>
        </w:rPr>
        <w:t xml:space="preserve">Thus, only annual recurring </w:t>
      </w:r>
      <w:r w:rsidR="00C1645C">
        <w:rPr>
          <w:sz w:val="24"/>
          <w:szCs w:val="24"/>
        </w:rPr>
        <w:t>hours</w:t>
      </w:r>
      <w:r w:rsidRPr="00A54AA3" w:rsidR="00C1645C">
        <w:rPr>
          <w:sz w:val="24"/>
          <w:szCs w:val="24"/>
        </w:rPr>
        <w:t xml:space="preserve"> </w:t>
      </w:r>
      <w:r w:rsidRPr="00A54AA3">
        <w:rPr>
          <w:sz w:val="24"/>
          <w:szCs w:val="24"/>
        </w:rPr>
        <w:t xml:space="preserve">have been included in these estimates. </w:t>
      </w:r>
      <w:r w:rsidR="008A3609">
        <w:rPr>
          <w:sz w:val="24"/>
          <w:szCs w:val="24"/>
        </w:rPr>
        <w:t xml:space="preserve"> </w:t>
      </w:r>
      <w:r w:rsidRPr="00A54AA3">
        <w:rPr>
          <w:sz w:val="24"/>
          <w:szCs w:val="24"/>
        </w:rPr>
        <w:t xml:space="preserve">DOE estimates that the CBDPP rule imposes </w:t>
      </w:r>
      <w:r w:rsidR="002E0D9A">
        <w:rPr>
          <w:sz w:val="24"/>
          <w:szCs w:val="24"/>
        </w:rPr>
        <w:t>29,794</w:t>
      </w:r>
      <w:r w:rsidRPr="00A54AA3">
        <w:rPr>
          <w:sz w:val="24"/>
          <w:szCs w:val="24"/>
        </w:rPr>
        <w:t xml:space="preserve"> </w:t>
      </w:r>
      <w:r w:rsidRPr="00A54AA3">
        <w:rPr>
          <w:sz w:val="24"/>
          <w:szCs w:val="24"/>
        </w:rPr>
        <w:t>annual recurring hours (combined professional</w:t>
      </w:r>
      <w:r w:rsidRPr="00A54AA3" w:rsidR="00680E59">
        <w:rPr>
          <w:sz w:val="24"/>
          <w:szCs w:val="24"/>
        </w:rPr>
        <w:t>, worker,</w:t>
      </w:r>
      <w:r w:rsidRPr="00A54AA3">
        <w:rPr>
          <w:sz w:val="24"/>
          <w:szCs w:val="24"/>
        </w:rPr>
        <w:t xml:space="preserve"> and clerical). </w:t>
      </w:r>
    </w:p>
    <w:p w:rsidR="00B30324" w14:paraId="3FC298C2" w14:textId="77777777">
      <w:pPr>
        <w:spacing w:line="240" w:lineRule="auto"/>
      </w:pPr>
    </w:p>
    <w:tbl>
      <w:tblPr>
        <w:tblW w:w="0" w:type="auto"/>
        <w:jc w:val="center"/>
        <w:tblLook w:val="04A0"/>
      </w:tblPr>
      <w:tblGrid>
        <w:gridCol w:w="1614"/>
        <w:gridCol w:w="1440"/>
        <w:gridCol w:w="1469"/>
        <w:gridCol w:w="1319"/>
        <w:gridCol w:w="1228"/>
        <w:gridCol w:w="991"/>
        <w:gridCol w:w="1299"/>
      </w:tblGrid>
      <w:tr w14:paraId="4DB97625" w14:textId="77777777" w:rsidTr="002E0D9A">
        <w:tblPrEx>
          <w:tblW w:w="0" w:type="auto"/>
          <w:jc w:val="center"/>
          <w:tblLook w:val="04A0"/>
        </w:tblPrEx>
        <w:trPr>
          <w:trHeight w:val="360"/>
          <w:tblHeader/>
          <w:jc w:val="center"/>
        </w:trPr>
        <w:tc>
          <w:tcPr>
            <w:tcW w:w="0" w:type="auto"/>
            <w:gridSpan w:val="7"/>
            <w:tcBorders>
              <w:top w:val="nil"/>
              <w:left w:val="nil"/>
              <w:bottom w:val="nil"/>
              <w:right w:val="nil"/>
            </w:tcBorders>
            <w:shd w:val="clear" w:color="auto" w:fill="auto"/>
            <w:vAlign w:val="center"/>
            <w:hideMark/>
          </w:tcPr>
          <w:p w:rsidR="002E0D9A" w:rsidRPr="002E0D9A" w:rsidP="002E0D9A" w14:paraId="4CDCCD36" w14:textId="77777777">
            <w:pPr>
              <w:spacing w:after="0" w:line="240" w:lineRule="auto"/>
              <w:jc w:val="center"/>
              <w:rPr>
                <w:rFonts w:ascii="Calibri" w:eastAsia="Times New Roman" w:hAnsi="Calibri" w:cs="Calibri"/>
                <w:b/>
                <w:bCs/>
                <w:color w:val="0070C0"/>
                <w:sz w:val="28"/>
                <w:szCs w:val="28"/>
              </w:rPr>
            </w:pPr>
            <w:r w:rsidRPr="002E0D9A">
              <w:rPr>
                <w:rFonts w:ascii="Calibri" w:eastAsia="Times New Roman" w:hAnsi="Calibri" w:cs="Calibri"/>
                <w:b/>
                <w:bCs/>
                <w:color w:val="0070C0"/>
                <w:sz w:val="28"/>
                <w:szCs w:val="28"/>
              </w:rPr>
              <w:t>Table A1. Estimated Respondent Hour Burden</w:t>
            </w:r>
          </w:p>
        </w:tc>
      </w:tr>
      <w:tr w14:paraId="4B0EC8BF" w14:textId="77777777" w:rsidTr="002E0D9A">
        <w:tblPrEx>
          <w:tblW w:w="0" w:type="auto"/>
          <w:jc w:val="center"/>
          <w:tblLook w:val="04A0"/>
        </w:tblPrEx>
        <w:trPr>
          <w:trHeight w:val="255"/>
          <w:jc w:val="center"/>
        </w:trPr>
        <w:tc>
          <w:tcPr>
            <w:tcW w:w="0" w:type="auto"/>
            <w:tcBorders>
              <w:top w:val="single" w:sz="8" w:space="0" w:color="auto"/>
              <w:left w:val="single" w:sz="8" w:space="0" w:color="auto"/>
              <w:bottom w:val="single" w:sz="8" w:space="0" w:color="auto"/>
              <w:right w:val="single" w:sz="4" w:space="0" w:color="auto"/>
            </w:tcBorders>
            <w:shd w:val="clear" w:color="000000" w:fill="00B0F0"/>
            <w:vAlign w:val="center"/>
            <w:hideMark/>
          </w:tcPr>
          <w:p w:rsidR="002E0D9A" w:rsidRPr="002E0D9A" w:rsidP="002E0D9A" w14:paraId="5EF64800" w14:textId="77777777">
            <w:pPr>
              <w:spacing w:after="0" w:line="240" w:lineRule="auto"/>
              <w:jc w:val="center"/>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Form Number/Title (and/or other Collection Instrument name)</w:t>
            </w:r>
          </w:p>
        </w:tc>
        <w:tc>
          <w:tcPr>
            <w:tcW w:w="0" w:type="auto"/>
            <w:tcBorders>
              <w:top w:val="single" w:sz="8" w:space="0" w:color="auto"/>
              <w:left w:val="nil"/>
              <w:bottom w:val="single" w:sz="8" w:space="0" w:color="auto"/>
              <w:right w:val="single" w:sz="4" w:space="0" w:color="auto"/>
            </w:tcBorders>
            <w:shd w:val="clear" w:color="000000" w:fill="00B0F0"/>
            <w:vAlign w:val="center"/>
            <w:hideMark/>
          </w:tcPr>
          <w:p w:rsidR="002E0D9A" w:rsidRPr="002E0D9A" w:rsidP="002E0D9A" w14:paraId="29350AAF" w14:textId="77777777">
            <w:pPr>
              <w:spacing w:after="0" w:line="240" w:lineRule="auto"/>
              <w:jc w:val="center"/>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Type of Respondents</w:t>
            </w:r>
          </w:p>
        </w:tc>
        <w:tc>
          <w:tcPr>
            <w:tcW w:w="0" w:type="auto"/>
            <w:tcBorders>
              <w:top w:val="single" w:sz="8" w:space="0" w:color="auto"/>
              <w:left w:val="nil"/>
              <w:bottom w:val="single" w:sz="8" w:space="0" w:color="auto"/>
              <w:right w:val="single" w:sz="4" w:space="0" w:color="auto"/>
            </w:tcBorders>
            <w:shd w:val="clear" w:color="000000" w:fill="00B0F0"/>
            <w:vAlign w:val="center"/>
            <w:hideMark/>
          </w:tcPr>
          <w:p w:rsidR="002E0D9A" w:rsidRPr="002E0D9A" w:rsidP="002E0D9A" w14:paraId="72E79784" w14:textId="77777777">
            <w:pPr>
              <w:spacing w:after="0" w:line="240" w:lineRule="auto"/>
              <w:jc w:val="center"/>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Number of Respondents</w:t>
            </w:r>
          </w:p>
        </w:tc>
        <w:tc>
          <w:tcPr>
            <w:tcW w:w="0" w:type="auto"/>
            <w:tcBorders>
              <w:top w:val="single" w:sz="8" w:space="0" w:color="auto"/>
              <w:left w:val="nil"/>
              <w:bottom w:val="single" w:sz="8" w:space="0" w:color="auto"/>
              <w:right w:val="single" w:sz="4" w:space="0" w:color="auto"/>
            </w:tcBorders>
            <w:shd w:val="clear" w:color="000000" w:fill="00B0F0"/>
            <w:vAlign w:val="center"/>
            <w:hideMark/>
          </w:tcPr>
          <w:p w:rsidR="002E0D9A" w:rsidRPr="002E0D9A" w:rsidP="002E0D9A" w14:paraId="39AC88C8" w14:textId="77777777">
            <w:pPr>
              <w:spacing w:after="0" w:line="240" w:lineRule="auto"/>
              <w:jc w:val="center"/>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Annual Number of Responses</w:t>
            </w:r>
          </w:p>
        </w:tc>
        <w:tc>
          <w:tcPr>
            <w:tcW w:w="0" w:type="auto"/>
            <w:tcBorders>
              <w:top w:val="single" w:sz="8" w:space="0" w:color="auto"/>
              <w:left w:val="nil"/>
              <w:bottom w:val="single" w:sz="8" w:space="0" w:color="auto"/>
              <w:right w:val="single" w:sz="4" w:space="0" w:color="auto"/>
            </w:tcBorders>
            <w:shd w:val="clear" w:color="000000" w:fill="00B0F0"/>
            <w:vAlign w:val="center"/>
            <w:hideMark/>
          </w:tcPr>
          <w:p w:rsidR="002E0D9A" w:rsidRPr="002E0D9A" w:rsidP="002E0D9A" w14:paraId="2B0834CD" w14:textId="77777777">
            <w:pPr>
              <w:spacing w:after="0" w:line="240" w:lineRule="auto"/>
              <w:jc w:val="center"/>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Burden Hours Per Response</w:t>
            </w:r>
          </w:p>
        </w:tc>
        <w:tc>
          <w:tcPr>
            <w:tcW w:w="0" w:type="auto"/>
            <w:tcBorders>
              <w:top w:val="single" w:sz="8" w:space="0" w:color="auto"/>
              <w:left w:val="nil"/>
              <w:bottom w:val="single" w:sz="8" w:space="0" w:color="auto"/>
              <w:right w:val="single" w:sz="4" w:space="0" w:color="auto"/>
            </w:tcBorders>
            <w:shd w:val="clear" w:color="000000" w:fill="00B0F0"/>
            <w:vAlign w:val="center"/>
            <w:hideMark/>
          </w:tcPr>
          <w:p w:rsidR="002E0D9A" w:rsidRPr="002E0D9A" w:rsidP="002E0D9A" w14:paraId="74DE75A2" w14:textId="77777777">
            <w:pPr>
              <w:spacing w:after="0" w:line="240" w:lineRule="auto"/>
              <w:jc w:val="center"/>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Annual Burden Hours</w:t>
            </w:r>
          </w:p>
        </w:tc>
        <w:tc>
          <w:tcPr>
            <w:tcW w:w="0" w:type="auto"/>
            <w:tcBorders>
              <w:top w:val="single" w:sz="8" w:space="0" w:color="auto"/>
              <w:left w:val="nil"/>
              <w:bottom w:val="single" w:sz="8" w:space="0" w:color="auto"/>
              <w:right w:val="single" w:sz="8" w:space="0" w:color="auto"/>
            </w:tcBorders>
            <w:shd w:val="clear" w:color="000000" w:fill="00B0F0"/>
            <w:vAlign w:val="center"/>
            <w:hideMark/>
          </w:tcPr>
          <w:p w:rsidR="002E0D9A" w:rsidRPr="002E0D9A" w:rsidP="002E0D9A" w14:paraId="1553CDE7" w14:textId="77777777">
            <w:pPr>
              <w:spacing w:after="0" w:line="240" w:lineRule="auto"/>
              <w:jc w:val="center"/>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Annual Reporting Frequency</w:t>
            </w:r>
          </w:p>
        </w:tc>
      </w:tr>
      <w:tr w14:paraId="1D3E8665" w14:textId="77777777" w:rsidTr="002E0D9A">
        <w:tblPrEx>
          <w:tblW w:w="0" w:type="auto"/>
          <w:jc w:val="center"/>
          <w:tblLook w:val="04A0"/>
        </w:tblPrEx>
        <w:trPr>
          <w:trHeight w:val="255"/>
          <w:jc w:val="center"/>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2E0D9A" w:rsidRPr="002E0D9A" w:rsidP="002E0D9A" w14:paraId="11381936" w14:textId="77777777">
            <w:pPr>
              <w:spacing w:after="0" w:line="240" w:lineRule="auto"/>
              <w:rPr>
                <w:rFonts w:ascii="Calibri" w:eastAsia="Times New Roman" w:hAnsi="Calibri" w:cs="Calibri"/>
                <w:color w:val="000000"/>
                <w:sz w:val="20"/>
                <w:szCs w:val="20"/>
              </w:rPr>
            </w:pPr>
            <w:r w:rsidRPr="002E0D9A">
              <w:rPr>
                <w:rFonts w:ascii="Calibri" w:eastAsia="Times New Roman" w:hAnsi="Calibri" w:cs="Calibri"/>
                <w:color w:val="000000"/>
                <w:sz w:val="20"/>
                <w:szCs w:val="20"/>
              </w:rPr>
              <w:t>Annual Revision to CBDPP Plans</w:t>
            </w:r>
          </w:p>
        </w:tc>
        <w:tc>
          <w:tcPr>
            <w:tcW w:w="0" w:type="auto"/>
            <w:tcBorders>
              <w:top w:val="nil"/>
              <w:left w:val="nil"/>
              <w:bottom w:val="single" w:sz="4" w:space="0" w:color="auto"/>
              <w:right w:val="single" w:sz="4" w:space="0" w:color="auto"/>
            </w:tcBorders>
            <w:shd w:val="clear" w:color="auto" w:fill="auto"/>
            <w:noWrap/>
            <w:vAlign w:val="center"/>
            <w:hideMark/>
          </w:tcPr>
          <w:p w:rsidR="002E0D9A" w:rsidRPr="002E0D9A" w:rsidP="002E0D9A" w14:paraId="302BED95" w14:textId="77777777">
            <w:pPr>
              <w:spacing w:after="0" w:line="240" w:lineRule="auto"/>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All</w:t>
            </w:r>
          </w:p>
        </w:tc>
        <w:tc>
          <w:tcPr>
            <w:tcW w:w="0" w:type="auto"/>
            <w:tcBorders>
              <w:top w:val="nil"/>
              <w:left w:val="nil"/>
              <w:bottom w:val="single" w:sz="4" w:space="0" w:color="auto"/>
              <w:right w:val="single" w:sz="4" w:space="0" w:color="auto"/>
            </w:tcBorders>
            <w:shd w:val="clear" w:color="auto" w:fill="auto"/>
            <w:vAlign w:val="center"/>
            <w:hideMark/>
          </w:tcPr>
          <w:p w:rsidR="002E0D9A" w:rsidRPr="002E0D9A" w:rsidP="002E0D9A" w14:paraId="2046331D"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27</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4023AC0A"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27</w:t>
            </w:r>
          </w:p>
        </w:tc>
        <w:tc>
          <w:tcPr>
            <w:tcW w:w="0" w:type="auto"/>
            <w:tcBorders>
              <w:top w:val="nil"/>
              <w:left w:val="nil"/>
              <w:bottom w:val="single" w:sz="4" w:space="0" w:color="auto"/>
              <w:right w:val="single" w:sz="4" w:space="0" w:color="auto"/>
            </w:tcBorders>
            <w:shd w:val="clear" w:color="000000" w:fill="000000"/>
            <w:noWrap/>
            <w:vAlign w:val="center"/>
            <w:hideMark/>
          </w:tcPr>
          <w:p w:rsidR="002E0D9A" w:rsidRPr="002E0D9A" w:rsidP="002E0D9A" w14:paraId="338BC091"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136758B7"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3,317</w:t>
            </w:r>
          </w:p>
        </w:tc>
        <w:tc>
          <w:tcPr>
            <w:tcW w:w="0" w:type="auto"/>
            <w:vMerge w:val="restart"/>
            <w:tcBorders>
              <w:top w:val="nil"/>
              <w:left w:val="single" w:sz="4" w:space="0" w:color="auto"/>
              <w:bottom w:val="single" w:sz="8" w:space="0" w:color="000000"/>
              <w:right w:val="single" w:sz="8" w:space="0" w:color="auto"/>
            </w:tcBorders>
            <w:shd w:val="clear" w:color="auto" w:fill="auto"/>
            <w:noWrap/>
            <w:vAlign w:val="center"/>
            <w:hideMark/>
          </w:tcPr>
          <w:p w:rsidR="002E0D9A" w:rsidRPr="002E0D9A" w:rsidP="002E0D9A" w14:paraId="7EC31661"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1</w:t>
            </w:r>
          </w:p>
        </w:tc>
      </w:tr>
      <w:tr w14:paraId="4617FCBB" w14:textId="77777777" w:rsidTr="002E0D9A">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2E0D9A" w:rsidRPr="002E0D9A" w:rsidP="002E0D9A" w14:paraId="02B68D9D"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2E0D9A" w:rsidRPr="002E0D9A" w:rsidP="002E0D9A" w14:paraId="30636700" w14:textId="77777777">
            <w:pPr>
              <w:spacing w:after="0" w:line="240" w:lineRule="auto"/>
              <w:rPr>
                <w:rFonts w:ascii="Calibri" w:eastAsia="Times New Roman" w:hAnsi="Calibri" w:cs="Calibri"/>
                <w:color w:val="000000"/>
                <w:sz w:val="20"/>
                <w:szCs w:val="20"/>
              </w:rPr>
            </w:pPr>
            <w:r w:rsidRPr="002E0D9A">
              <w:rPr>
                <w:rFonts w:ascii="Calibri" w:eastAsia="Times New Roman" w:hAnsi="Calibri" w:cs="Calibri"/>
                <w:color w:val="000000"/>
                <w:sz w:val="20"/>
                <w:szCs w:val="20"/>
              </w:rPr>
              <w:t>Professional</w:t>
            </w:r>
          </w:p>
        </w:tc>
        <w:tc>
          <w:tcPr>
            <w:tcW w:w="0" w:type="auto"/>
            <w:tcBorders>
              <w:top w:val="nil"/>
              <w:left w:val="nil"/>
              <w:bottom w:val="single" w:sz="4" w:space="0" w:color="auto"/>
              <w:right w:val="single" w:sz="4" w:space="0" w:color="auto"/>
            </w:tcBorders>
            <w:shd w:val="clear" w:color="auto" w:fill="auto"/>
            <w:noWrap/>
            <w:vAlign w:val="center"/>
            <w:hideMark/>
          </w:tcPr>
          <w:p w:rsidR="002E0D9A" w:rsidRPr="002E0D9A" w:rsidP="002E0D9A" w14:paraId="70732FDC"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27</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0DFFF8FF"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27</w:t>
            </w:r>
          </w:p>
        </w:tc>
        <w:tc>
          <w:tcPr>
            <w:tcW w:w="0" w:type="auto"/>
            <w:tcBorders>
              <w:top w:val="nil"/>
              <w:left w:val="nil"/>
              <w:bottom w:val="single" w:sz="4" w:space="0" w:color="auto"/>
              <w:right w:val="single" w:sz="4" w:space="0" w:color="auto"/>
            </w:tcBorders>
            <w:shd w:val="clear" w:color="auto" w:fill="auto"/>
            <w:noWrap/>
            <w:vAlign w:val="center"/>
            <w:hideMark/>
          </w:tcPr>
          <w:p w:rsidR="002E0D9A" w:rsidRPr="002E0D9A" w:rsidP="002E0D9A" w14:paraId="2FFFFBAC"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96.8 [f]</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0A66AF55"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2,614</w:t>
            </w:r>
          </w:p>
        </w:tc>
        <w:tc>
          <w:tcPr>
            <w:tcW w:w="0" w:type="auto"/>
            <w:vMerge/>
            <w:tcBorders>
              <w:top w:val="nil"/>
              <w:left w:val="single" w:sz="4" w:space="0" w:color="auto"/>
              <w:bottom w:val="single" w:sz="8" w:space="0" w:color="000000"/>
              <w:right w:val="single" w:sz="8" w:space="0" w:color="auto"/>
            </w:tcBorders>
            <w:vAlign w:val="center"/>
            <w:hideMark/>
          </w:tcPr>
          <w:p w:rsidR="002E0D9A" w:rsidRPr="002E0D9A" w:rsidP="002E0D9A" w14:paraId="20610C0C" w14:textId="77777777">
            <w:pPr>
              <w:spacing w:after="0" w:line="240" w:lineRule="auto"/>
              <w:rPr>
                <w:rFonts w:ascii="Calibri" w:eastAsia="Times New Roman" w:hAnsi="Calibri" w:cs="Calibri"/>
                <w:color w:val="000000"/>
                <w:sz w:val="20"/>
                <w:szCs w:val="20"/>
              </w:rPr>
            </w:pPr>
          </w:p>
        </w:tc>
      </w:tr>
      <w:tr w14:paraId="433CA742" w14:textId="77777777" w:rsidTr="002E0D9A">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2E0D9A" w:rsidRPr="002E0D9A" w:rsidP="002E0D9A" w14:paraId="214759A4"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8" w:space="0" w:color="auto"/>
              <w:right w:val="single" w:sz="4" w:space="0" w:color="auto"/>
            </w:tcBorders>
            <w:shd w:val="clear" w:color="auto" w:fill="auto"/>
            <w:noWrap/>
            <w:vAlign w:val="center"/>
            <w:hideMark/>
          </w:tcPr>
          <w:p w:rsidR="002E0D9A" w:rsidRPr="002E0D9A" w:rsidP="002E0D9A" w14:paraId="4946BBE6" w14:textId="77777777">
            <w:pPr>
              <w:spacing w:after="0" w:line="240" w:lineRule="auto"/>
              <w:rPr>
                <w:rFonts w:ascii="Calibri" w:eastAsia="Times New Roman" w:hAnsi="Calibri" w:cs="Calibri"/>
                <w:color w:val="000000"/>
                <w:sz w:val="20"/>
                <w:szCs w:val="20"/>
              </w:rPr>
            </w:pPr>
            <w:r w:rsidRPr="002E0D9A">
              <w:rPr>
                <w:rFonts w:ascii="Calibri" w:eastAsia="Times New Roman" w:hAnsi="Calibri" w:cs="Calibri"/>
                <w:color w:val="000000"/>
                <w:sz w:val="20"/>
                <w:szCs w:val="20"/>
              </w:rPr>
              <w:t>Clerical</w:t>
            </w:r>
          </w:p>
        </w:tc>
        <w:tc>
          <w:tcPr>
            <w:tcW w:w="0" w:type="auto"/>
            <w:tcBorders>
              <w:top w:val="nil"/>
              <w:left w:val="nil"/>
              <w:bottom w:val="single" w:sz="8" w:space="0" w:color="auto"/>
              <w:right w:val="single" w:sz="4" w:space="0" w:color="auto"/>
            </w:tcBorders>
            <w:shd w:val="clear" w:color="auto" w:fill="auto"/>
            <w:noWrap/>
            <w:vAlign w:val="center"/>
            <w:hideMark/>
          </w:tcPr>
          <w:p w:rsidR="002E0D9A" w:rsidRPr="002E0D9A" w:rsidP="002E0D9A" w14:paraId="39A33FCC"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27</w:t>
            </w:r>
          </w:p>
        </w:tc>
        <w:tc>
          <w:tcPr>
            <w:tcW w:w="0" w:type="auto"/>
            <w:tcBorders>
              <w:top w:val="nil"/>
              <w:left w:val="nil"/>
              <w:bottom w:val="single" w:sz="8" w:space="0" w:color="auto"/>
              <w:right w:val="single" w:sz="4" w:space="0" w:color="auto"/>
            </w:tcBorders>
            <w:shd w:val="clear" w:color="000000" w:fill="E2A5AC"/>
            <w:noWrap/>
            <w:vAlign w:val="center"/>
            <w:hideMark/>
          </w:tcPr>
          <w:p w:rsidR="002E0D9A" w:rsidRPr="002E0D9A" w:rsidP="002E0D9A" w14:paraId="46D33566"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27</w:t>
            </w:r>
          </w:p>
        </w:tc>
        <w:tc>
          <w:tcPr>
            <w:tcW w:w="0" w:type="auto"/>
            <w:tcBorders>
              <w:top w:val="nil"/>
              <w:left w:val="nil"/>
              <w:bottom w:val="single" w:sz="8" w:space="0" w:color="auto"/>
              <w:right w:val="single" w:sz="4" w:space="0" w:color="auto"/>
            </w:tcBorders>
            <w:shd w:val="clear" w:color="auto" w:fill="auto"/>
            <w:noWrap/>
            <w:vAlign w:val="center"/>
            <w:hideMark/>
          </w:tcPr>
          <w:p w:rsidR="002E0D9A" w:rsidRPr="002E0D9A" w:rsidP="002E0D9A" w14:paraId="2FB45E0D"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26.05 [f]</w:t>
            </w:r>
          </w:p>
        </w:tc>
        <w:tc>
          <w:tcPr>
            <w:tcW w:w="0" w:type="auto"/>
            <w:tcBorders>
              <w:top w:val="nil"/>
              <w:left w:val="nil"/>
              <w:bottom w:val="single" w:sz="8" w:space="0" w:color="auto"/>
              <w:right w:val="single" w:sz="4" w:space="0" w:color="auto"/>
            </w:tcBorders>
            <w:shd w:val="clear" w:color="000000" w:fill="E2A5AC"/>
            <w:noWrap/>
            <w:vAlign w:val="center"/>
            <w:hideMark/>
          </w:tcPr>
          <w:p w:rsidR="002E0D9A" w:rsidRPr="002E0D9A" w:rsidP="002E0D9A" w14:paraId="3588E3F4"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703</w:t>
            </w:r>
          </w:p>
        </w:tc>
        <w:tc>
          <w:tcPr>
            <w:tcW w:w="0" w:type="auto"/>
            <w:vMerge/>
            <w:tcBorders>
              <w:top w:val="nil"/>
              <w:left w:val="single" w:sz="4" w:space="0" w:color="auto"/>
              <w:bottom w:val="single" w:sz="8" w:space="0" w:color="000000"/>
              <w:right w:val="single" w:sz="8" w:space="0" w:color="auto"/>
            </w:tcBorders>
            <w:vAlign w:val="center"/>
            <w:hideMark/>
          </w:tcPr>
          <w:p w:rsidR="002E0D9A" w:rsidRPr="002E0D9A" w:rsidP="002E0D9A" w14:paraId="5F9DC934" w14:textId="77777777">
            <w:pPr>
              <w:spacing w:after="0" w:line="240" w:lineRule="auto"/>
              <w:rPr>
                <w:rFonts w:ascii="Calibri" w:eastAsia="Times New Roman" w:hAnsi="Calibri" w:cs="Calibri"/>
                <w:color w:val="000000"/>
                <w:sz w:val="20"/>
                <w:szCs w:val="20"/>
              </w:rPr>
            </w:pPr>
          </w:p>
        </w:tc>
      </w:tr>
      <w:tr w14:paraId="70118311" w14:textId="77777777" w:rsidTr="002E0D9A">
        <w:tblPrEx>
          <w:tblW w:w="0" w:type="auto"/>
          <w:jc w:val="center"/>
          <w:tblLook w:val="04A0"/>
        </w:tblPrEx>
        <w:trPr>
          <w:trHeight w:val="255"/>
          <w:jc w:val="center"/>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2E0D9A" w:rsidRPr="002E0D9A" w:rsidP="002E0D9A" w14:paraId="08E960E0" w14:textId="77777777">
            <w:pPr>
              <w:spacing w:after="0" w:line="240" w:lineRule="auto"/>
              <w:rPr>
                <w:rFonts w:ascii="Calibri" w:eastAsia="Times New Roman" w:hAnsi="Calibri" w:cs="Calibri"/>
                <w:color w:val="000000"/>
                <w:sz w:val="20"/>
                <w:szCs w:val="20"/>
              </w:rPr>
            </w:pPr>
            <w:r w:rsidRPr="002E0D9A">
              <w:rPr>
                <w:rFonts w:ascii="Calibri" w:eastAsia="Times New Roman" w:hAnsi="Calibri" w:cs="Calibri"/>
                <w:color w:val="000000"/>
                <w:sz w:val="20"/>
                <w:szCs w:val="20"/>
              </w:rPr>
              <w:t>Worker Notification of Monitoring Results</w:t>
            </w:r>
          </w:p>
        </w:tc>
        <w:tc>
          <w:tcPr>
            <w:tcW w:w="0" w:type="auto"/>
            <w:tcBorders>
              <w:top w:val="nil"/>
              <w:left w:val="nil"/>
              <w:bottom w:val="single" w:sz="4" w:space="0" w:color="auto"/>
              <w:right w:val="single" w:sz="4" w:space="0" w:color="auto"/>
            </w:tcBorders>
            <w:shd w:val="clear" w:color="auto" w:fill="auto"/>
            <w:noWrap/>
            <w:vAlign w:val="center"/>
            <w:hideMark/>
          </w:tcPr>
          <w:p w:rsidR="002E0D9A" w:rsidRPr="002E0D9A" w:rsidP="002E0D9A" w14:paraId="7C36394E" w14:textId="77777777">
            <w:pPr>
              <w:spacing w:after="0" w:line="240" w:lineRule="auto"/>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All</w:t>
            </w:r>
          </w:p>
        </w:tc>
        <w:tc>
          <w:tcPr>
            <w:tcW w:w="0" w:type="auto"/>
            <w:tcBorders>
              <w:top w:val="nil"/>
              <w:left w:val="nil"/>
              <w:bottom w:val="single" w:sz="4" w:space="0" w:color="auto"/>
              <w:right w:val="single" w:sz="4" w:space="0" w:color="auto"/>
            </w:tcBorders>
            <w:shd w:val="clear" w:color="auto" w:fill="auto"/>
            <w:vAlign w:val="center"/>
            <w:hideMark/>
          </w:tcPr>
          <w:p w:rsidR="002E0D9A" w:rsidRPr="002E0D9A" w:rsidP="002E0D9A" w14:paraId="47414D90"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16[c]</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2F495A44"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1,388 [e]</w:t>
            </w:r>
          </w:p>
        </w:tc>
        <w:tc>
          <w:tcPr>
            <w:tcW w:w="0" w:type="auto"/>
            <w:tcBorders>
              <w:top w:val="nil"/>
              <w:left w:val="nil"/>
              <w:bottom w:val="single" w:sz="4" w:space="0" w:color="auto"/>
              <w:right w:val="single" w:sz="4" w:space="0" w:color="auto"/>
            </w:tcBorders>
            <w:shd w:val="clear" w:color="000000" w:fill="000000"/>
            <w:noWrap/>
            <w:vAlign w:val="center"/>
            <w:hideMark/>
          </w:tcPr>
          <w:p w:rsidR="002E0D9A" w:rsidRPr="002E0D9A" w:rsidP="002E0D9A" w14:paraId="2C18AB16"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4968304D"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278</w:t>
            </w:r>
          </w:p>
        </w:tc>
        <w:tc>
          <w:tcPr>
            <w:tcW w:w="0" w:type="auto"/>
            <w:vMerge w:val="restart"/>
            <w:tcBorders>
              <w:top w:val="nil"/>
              <w:left w:val="single" w:sz="4" w:space="0" w:color="auto"/>
              <w:bottom w:val="single" w:sz="8" w:space="0" w:color="000000"/>
              <w:right w:val="single" w:sz="8" w:space="0" w:color="auto"/>
            </w:tcBorders>
            <w:shd w:val="clear" w:color="auto" w:fill="auto"/>
            <w:noWrap/>
            <w:vAlign w:val="center"/>
            <w:hideMark/>
          </w:tcPr>
          <w:p w:rsidR="002E0D9A" w:rsidRPr="002E0D9A" w:rsidP="002E0D9A" w14:paraId="3D11D47D"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87 [l]</w:t>
            </w:r>
          </w:p>
        </w:tc>
      </w:tr>
      <w:tr w14:paraId="5CD034BB" w14:textId="77777777" w:rsidTr="002E0D9A">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2E0D9A" w:rsidRPr="002E0D9A" w:rsidP="002E0D9A" w14:paraId="6ADE2433"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2E0D9A" w:rsidRPr="002E0D9A" w:rsidP="002E0D9A" w14:paraId="671FB0A3" w14:textId="77777777">
            <w:pPr>
              <w:spacing w:after="0" w:line="240" w:lineRule="auto"/>
              <w:rPr>
                <w:rFonts w:ascii="Calibri" w:eastAsia="Times New Roman" w:hAnsi="Calibri" w:cs="Calibri"/>
                <w:color w:val="000000"/>
                <w:sz w:val="20"/>
                <w:szCs w:val="20"/>
              </w:rPr>
            </w:pPr>
            <w:r w:rsidRPr="002E0D9A">
              <w:rPr>
                <w:rFonts w:ascii="Calibri" w:eastAsia="Times New Roman" w:hAnsi="Calibri" w:cs="Calibri"/>
                <w:color w:val="000000"/>
                <w:sz w:val="20"/>
                <w:szCs w:val="20"/>
              </w:rPr>
              <w:t>Professional</w:t>
            </w:r>
          </w:p>
        </w:tc>
        <w:tc>
          <w:tcPr>
            <w:tcW w:w="0" w:type="auto"/>
            <w:tcBorders>
              <w:top w:val="nil"/>
              <w:left w:val="nil"/>
              <w:bottom w:val="single" w:sz="4" w:space="0" w:color="auto"/>
              <w:right w:val="single" w:sz="4" w:space="0" w:color="auto"/>
            </w:tcBorders>
            <w:shd w:val="clear" w:color="auto" w:fill="auto"/>
            <w:noWrap/>
            <w:vAlign w:val="center"/>
            <w:hideMark/>
          </w:tcPr>
          <w:p w:rsidR="002E0D9A" w:rsidRPr="002E0D9A" w:rsidP="002E0D9A" w14:paraId="45C83DA6"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16[c]</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2DF1DA61"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1,388 [e]</w:t>
            </w:r>
          </w:p>
        </w:tc>
        <w:tc>
          <w:tcPr>
            <w:tcW w:w="0" w:type="auto"/>
            <w:tcBorders>
              <w:top w:val="nil"/>
              <w:left w:val="nil"/>
              <w:bottom w:val="single" w:sz="4" w:space="0" w:color="auto"/>
              <w:right w:val="single" w:sz="4" w:space="0" w:color="auto"/>
            </w:tcBorders>
            <w:shd w:val="clear" w:color="auto" w:fill="auto"/>
            <w:vAlign w:val="center"/>
            <w:hideMark/>
          </w:tcPr>
          <w:p w:rsidR="002E0D9A" w:rsidRPr="002E0D9A" w:rsidP="002E0D9A" w14:paraId="3253833F"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0.0</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48DED0B8"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0</w:t>
            </w:r>
          </w:p>
        </w:tc>
        <w:tc>
          <w:tcPr>
            <w:tcW w:w="0" w:type="auto"/>
            <w:vMerge/>
            <w:tcBorders>
              <w:top w:val="nil"/>
              <w:left w:val="single" w:sz="4" w:space="0" w:color="auto"/>
              <w:bottom w:val="single" w:sz="8" w:space="0" w:color="000000"/>
              <w:right w:val="single" w:sz="8" w:space="0" w:color="auto"/>
            </w:tcBorders>
            <w:vAlign w:val="center"/>
            <w:hideMark/>
          </w:tcPr>
          <w:p w:rsidR="002E0D9A" w:rsidRPr="002E0D9A" w:rsidP="002E0D9A" w14:paraId="26F9EB9A" w14:textId="77777777">
            <w:pPr>
              <w:spacing w:after="0" w:line="240" w:lineRule="auto"/>
              <w:rPr>
                <w:rFonts w:ascii="Calibri" w:eastAsia="Times New Roman" w:hAnsi="Calibri" w:cs="Calibri"/>
                <w:color w:val="000000"/>
                <w:sz w:val="20"/>
                <w:szCs w:val="20"/>
              </w:rPr>
            </w:pPr>
          </w:p>
        </w:tc>
      </w:tr>
      <w:tr w14:paraId="1426A94E" w14:textId="77777777" w:rsidTr="002E0D9A">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2E0D9A" w:rsidRPr="002E0D9A" w:rsidP="002E0D9A" w14:paraId="3A83D635"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8" w:space="0" w:color="auto"/>
              <w:right w:val="single" w:sz="4" w:space="0" w:color="auto"/>
            </w:tcBorders>
            <w:shd w:val="clear" w:color="auto" w:fill="auto"/>
            <w:noWrap/>
            <w:vAlign w:val="center"/>
            <w:hideMark/>
          </w:tcPr>
          <w:p w:rsidR="002E0D9A" w:rsidRPr="002E0D9A" w:rsidP="002E0D9A" w14:paraId="6EBD74C9" w14:textId="77777777">
            <w:pPr>
              <w:spacing w:after="0" w:line="240" w:lineRule="auto"/>
              <w:rPr>
                <w:rFonts w:ascii="Calibri" w:eastAsia="Times New Roman" w:hAnsi="Calibri" w:cs="Calibri"/>
                <w:color w:val="000000"/>
                <w:sz w:val="20"/>
                <w:szCs w:val="20"/>
              </w:rPr>
            </w:pPr>
            <w:r w:rsidRPr="002E0D9A">
              <w:rPr>
                <w:rFonts w:ascii="Calibri" w:eastAsia="Times New Roman" w:hAnsi="Calibri" w:cs="Calibri"/>
                <w:color w:val="000000"/>
                <w:sz w:val="20"/>
                <w:szCs w:val="20"/>
              </w:rPr>
              <w:t>Clerical</w:t>
            </w:r>
          </w:p>
        </w:tc>
        <w:tc>
          <w:tcPr>
            <w:tcW w:w="0" w:type="auto"/>
            <w:tcBorders>
              <w:top w:val="nil"/>
              <w:left w:val="nil"/>
              <w:bottom w:val="single" w:sz="8" w:space="0" w:color="auto"/>
              <w:right w:val="single" w:sz="4" w:space="0" w:color="auto"/>
            </w:tcBorders>
            <w:shd w:val="clear" w:color="auto" w:fill="auto"/>
            <w:noWrap/>
            <w:vAlign w:val="center"/>
            <w:hideMark/>
          </w:tcPr>
          <w:p w:rsidR="002E0D9A" w:rsidRPr="002E0D9A" w:rsidP="002E0D9A" w14:paraId="7536326F"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16[c]</w:t>
            </w:r>
          </w:p>
        </w:tc>
        <w:tc>
          <w:tcPr>
            <w:tcW w:w="0" w:type="auto"/>
            <w:tcBorders>
              <w:top w:val="nil"/>
              <w:left w:val="nil"/>
              <w:bottom w:val="single" w:sz="8" w:space="0" w:color="auto"/>
              <w:right w:val="single" w:sz="4" w:space="0" w:color="auto"/>
            </w:tcBorders>
            <w:shd w:val="clear" w:color="000000" w:fill="E2A5AC"/>
            <w:noWrap/>
            <w:vAlign w:val="center"/>
            <w:hideMark/>
          </w:tcPr>
          <w:p w:rsidR="002E0D9A" w:rsidRPr="002E0D9A" w:rsidP="002E0D9A" w14:paraId="3B39D06C"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1,388 [e]</w:t>
            </w:r>
          </w:p>
        </w:tc>
        <w:tc>
          <w:tcPr>
            <w:tcW w:w="0" w:type="auto"/>
            <w:tcBorders>
              <w:top w:val="nil"/>
              <w:left w:val="nil"/>
              <w:bottom w:val="single" w:sz="8" w:space="0" w:color="auto"/>
              <w:right w:val="single" w:sz="4" w:space="0" w:color="auto"/>
            </w:tcBorders>
            <w:shd w:val="clear" w:color="auto" w:fill="auto"/>
            <w:vAlign w:val="center"/>
            <w:hideMark/>
          </w:tcPr>
          <w:p w:rsidR="002E0D9A" w:rsidRPr="002E0D9A" w:rsidP="002E0D9A" w14:paraId="33FDA211"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0.2 [g]</w:t>
            </w:r>
          </w:p>
        </w:tc>
        <w:tc>
          <w:tcPr>
            <w:tcW w:w="0" w:type="auto"/>
            <w:tcBorders>
              <w:top w:val="nil"/>
              <w:left w:val="nil"/>
              <w:bottom w:val="single" w:sz="8" w:space="0" w:color="auto"/>
              <w:right w:val="single" w:sz="4" w:space="0" w:color="auto"/>
            </w:tcBorders>
            <w:shd w:val="clear" w:color="000000" w:fill="E2A5AC"/>
            <w:noWrap/>
            <w:vAlign w:val="center"/>
            <w:hideMark/>
          </w:tcPr>
          <w:p w:rsidR="002E0D9A" w:rsidRPr="002E0D9A" w:rsidP="002E0D9A" w14:paraId="243F300F"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278</w:t>
            </w:r>
          </w:p>
        </w:tc>
        <w:tc>
          <w:tcPr>
            <w:tcW w:w="0" w:type="auto"/>
            <w:vMerge/>
            <w:tcBorders>
              <w:top w:val="nil"/>
              <w:left w:val="single" w:sz="4" w:space="0" w:color="auto"/>
              <w:bottom w:val="single" w:sz="8" w:space="0" w:color="000000"/>
              <w:right w:val="single" w:sz="8" w:space="0" w:color="auto"/>
            </w:tcBorders>
            <w:vAlign w:val="center"/>
            <w:hideMark/>
          </w:tcPr>
          <w:p w:rsidR="002E0D9A" w:rsidRPr="002E0D9A" w:rsidP="002E0D9A" w14:paraId="272366AC" w14:textId="77777777">
            <w:pPr>
              <w:spacing w:after="0" w:line="240" w:lineRule="auto"/>
              <w:rPr>
                <w:rFonts w:ascii="Calibri" w:eastAsia="Times New Roman" w:hAnsi="Calibri" w:cs="Calibri"/>
                <w:color w:val="000000"/>
                <w:sz w:val="20"/>
                <w:szCs w:val="20"/>
              </w:rPr>
            </w:pPr>
          </w:p>
        </w:tc>
      </w:tr>
      <w:tr w14:paraId="04FF4A2C" w14:textId="77777777" w:rsidTr="002E0D9A">
        <w:tblPrEx>
          <w:tblW w:w="0" w:type="auto"/>
          <w:jc w:val="center"/>
          <w:tblLook w:val="04A0"/>
        </w:tblPrEx>
        <w:trPr>
          <w:trHeight w:val="255"/>
          <w:jc w:val="center"/>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2E0D9A" w:rsidRPr="002E0D9A" w:rsidP="002E0D9A" w14:paraId="2A39E07E" w14:textId="77777777">
            <w:pPr>
              <w:spacing w:after="0" w:line="240" w:lineRule="auto"/>
              <w:rPr>
                <w:rFonts w:ascii="Calibri" w:eastAsia="Times New Roman" w:hAnsi="Calibri" w:cs="Calibri"/>
                <w:color w:val="000000"/>
                <w:sz w:val="20"/>
                <w:szCs w:val="20"/>
              </w:rPr>
            </w:pPr>
            <w:r w:rsidRPr="002E0D9A">
              <w:rPr>
                <w:rFonts w:ascii="Calibri" w:eastAsia="Times New Roman" w:hAnsi="Calibri" w:cs="Calibri"/>
                <w:color w:val="000000"/>
                <w:sz w:val="20"/>
                <w:szCs w:val="20"/>
              </w:rPr>
              <w:t>Signed Consent Forms for Medical Exams</w:t>
            </w:r>
          </w:p>
        </w:tc>
        <w:tc>
          <w:tcPr>
            <w:tcW w:w="0" w:type="auto"/>
            <w:tcBorders>
              <w:top w:val="nil"/>
              <w:left w:val="nil"/>
              <w:bottom w:val="single" w:sz="4" w:space="0" w:color="auto"/>
              <w:right w:val="single" w:sz="4" w:space="0" w:color="auto"/>
            </w:tcBorders>
            <w:shd w:val="clear" w:color="auto" w:fill="auto"/>
            <w:noWrap/>
            <w:vAlign w:val="center"/>
            <w:hideMark/>
          </w:tcPr>
          <w:p w:rsidR="002E0D9A" w:rsidRPr="002E0D9A" w:rsidP="002E0D9A" w14:paraId="0965FC5F" w14:textId="77777777">
            <w:pPr>
              <w:spacing w:after="0" w:line="240" w:lineRule="auto"/>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All</w:t>
            </w:r>
          </w:p>
        </w:tc>
        <w:tc>
          <w:tcPr>
            <w:tcW w:w="0" w:type="auto"/>
            <w:tcBorders>
              <w:top w:val="nil"/>
              <w:left w:val="nil"/>
              <w:bottom w:val="single" w:sz="4" w:space="0" w:color="auto"/>
              <w:right w:val="single" w:sz="4" w:space="0" w:color="auto"/>
            </w:tcBorders>
            <w:shd w:val="clear" w:color="auto" w:fill="auto"/>
            <w:vAlign w:val="center"/>
            <w:hideMark/>
          </w:tcPr>
          <w:p w:rsidR="002E0D9A" w:rsidRPr="002E0D9A" w:rsidP="002E0D9A" w14:paraId="288F7DA3"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6,444</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23D3A7BD"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6,445</w:t>
            </w:r>
          </w:p>
        </w:tc>
        <w:tc>
          <w:tcPr>
            <w:tcW w:w="0" w:type="auto"/>
            <w:tcBorders>
              <w:top w:val="nil"/>
              <w:left w:val="nil"/>
              <w:bottom w:val="single" w:sz="4" w:space="0" w:color="auto"/>
              <w:right w:val="single" w:sz="4" w:space="0" w:color="auto"/>
            </w:tcBorders>
            <w:shd w:val="clear" w:color="000000" w:fill="000000"/>
            <w:noWrap/>
            <w:vAlign w:val="center"/>
            <w:hideMark/>
          </w:tcPr>
          <w:p w:rsidR="002E0D9A" w:rsidRPr="002E0D9A" w:rsidP="002E0D9A" w14:paraId="09D6C91E"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0FEE3401"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1,611</w:t>
            </w:r>
          </w:p>
        </w:tc>
        <w:tc>
          <w:tcPr>
            <w:tcW w:w="0" w:type="auto"/>
            <w:vMerge w:val="restart"/>
            <w:tcBorders>
              <w:top w:val="nil"/>
              <w:left w:val="single" w:sz="4" w:space="0" w:color="auto"/>
              <w:bottom w:val="single" w:sz="8" w:space="0" w:color="000000"/>
              <w:right w:val="single" w:sz="8" w:space="0" w:color="auto"/>
            </w:tcBorders>
            <w:shd w:val="clear" w:color="auto" w:fill="auto"/>
            <w:noWrap/>
            <w:vAlign w:val="center"/>
            <w:hideMark/>
          </w:tcPr>
          <w:p w:rsidR="002E0D9A" w:rsidRPr="002E0D9A" w:rsidP="002E0D9A" w14:paraId="404DD55E"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1 or 2 [m]</w:t>
            </w:r>
          </w:p>
        </w:tc>
      </w:tr>
      <w:tr w14:paraId="27825375" w14:textId="77777777" w:rsidTr="002E0D9A">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2E0D9A" w:rsidRPr="002E0D9A" w:rsidP="002E0D9A" w14:paraId="50CD375A"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2E0D9A" w:rsidRPr="002E0D9A" w:rsidP="002E0D9A" w14:paraId="6BD14877" w14:textId="77777777">
            <w:pPr>
              <w:spacing w:after="0" w:line="240" w:lineRule="auto"/>
              <w:rPr>
                <w:rFonts w:ascii="Calibri" w:eastAsia="Times New Roman" w:hAnsi="Calibri" w:cs="Calibri"/>
                <w:color w:val="000000"/>
                <w:sz w:val="20"/>
                <w:szCs w:val="20"/>
              </w:rPr>
            </w:pPr>
            <w:r w:rsidRPr="002E0D9A">
              <w:rPr>
                <w:rFonts w:ascii="Calibri" w:eastAsia="Times New Roman" w:hAnsi="Calibri" w:cs="Calibri"/>
                <w:color w:val="000000"/>
                <w:sz w:val="20"/>
                <w:szCs w:val="20"/>
              </w:rPr>
              <w:t>Worker</w:t>
            </w:r>
          </w:p>
        </w:tc>
        <w:tc>
          <w:tcPr>
            <w:tcW w:w="0" w:type="auto"/>
            <w:tcBorders>
              <w:top w:val="nil"/>
              <w:left w:val="nil"/>
              <w:bottom w:val="single" w:sz="4" w:space="0" w:color="auto"/>
              <w:right w:val="single" w:sz="4" w:space="0" w:color="auto"/>
            </w:tcBorders>
            <w:shd w:val="clear" w:color="auto" w:fill="auto"/>
            <w:noWrap/>
            <w:vAlign w:val="center"/>
            <w:hideMark/>
          </w:tcPr>
          <w:p w:rsidR="002E0D9A" w:rsidRPr="002E0D9A" w:rsidP="002E0D9A" w14:paraId="56D5F617"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6,444</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694EA9BE"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6,445</w:t>
            </w:r>
          </w:p>
        </w:tc>
        <w:tc>
          <w:tcPr>
            <w:tcW w:w="0" w:type="auto"/>
            <w:tcBorders>
              <w:top w:val="nil"/>
              <w:left w:val="nil"/>
              <w:bottom w:val="single" w:sz="4" w:space="0" w:color="auto"/>
              <w:right w:val="single" w:sz="4" w:space="0" w:color="auto"/>
            </w:tcBorders>
            <w:shd w:val="clear" w:color="auto" w:fill="auto"/>
            <w:vAlign w:val="center"/>
            <w:hideMark/>
          </w:tcPr>
          <w:p w:rsidR="002E0D9A" w:rsidRPr="002E0D9A" w:rsidP="002E0D9A" w14:paraId="09D2D29E"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0.25 [h]</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77E69CC9"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1,611</w:t>
            </w:r>
          </w:p>
        </w:tc>
        <w:tc>
          <w:tcPr>
            <w:tcW w:w="0" w:type="auto"/>
            <w:vMerge/>
            <w:tcBorders>
              <w:top w:val="nil"/>
              <w:left w:val="single" w:sz="4" w:space="0" w:color="auto"/>
              <w:bottom w:val="single" w:sz="8" w:space="0" w:color="000000"/>
              <w:right w:val="single" w:sz="8" w:space="0" w:color="auto"/>
            </w:tcBorders>
            <w:vAlign w:val="center"/>
            <w:hideMark/>
          </w:tcPr>
          <w:p w:rsidR="002E0D9A" w:rsidRPr="002E0D9A" w:rsidP="002E0D9A" w14:paraId="6519BD5C" w14:textId="77777777">
            <w:pPr>
              <w:spacing w:after="0" w:line="240" w:lineRule="auto"/>
              <w:rPr>
                <w:rFonts w:ascii="Calibri" w:eastAsia="Times New Roman" w:hAnsi="Calibri" w:cs="Calibri"/>
                <w:color w:val="000000"/>
                <w:sz w:val="20"/>
                <w:szCs w:val="20"/>
              </w:rPr>
            </w:pPr>
          </w:p>
        </w:tc>
      </w:tr>
      <w:tr w14:paraId="7A766F26" w14:textId="77777777" w:rsidTr="002E0D9A">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2E0D9A" w:rsidRPr="002E0D9A" w:rsidP="002E0D9A" w14:paraId="4DC86B99"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8" w:space="0" w:color="auto"/>
              <w:right w:val="single" w:sz="4" w:space="0" w:color="auto"/>
            </w:tcBorders>
            <w:shd w:val="clear" w:color="auto" w:fill="auto"/>
            <w:noWrap/>
            <w:vAlign w:val="center"/>
            <w:hideMark/>
          </w:tcPr>
          <w:p w:rsidR="002E0D9A" w:rsidRPr="002E0D9A" w:rsidP="002E0D9A" w14:paraId="1CD499FC" w14:textId="77777777">
            <w:pPr>
              <w:spacing w:after="0" w:line="240" w:lineRule="auto"/>
              <w:rPr>
                <w:rFonts w:ascii="Calibri" w:eastAsia="Times New Roman" w:hAnsi="Calibri" w:cs="Calibri"/>
                <w:color w:val="000000"/>
                <w:sz w:val="20"/>
                <w:szCs w:val="20"/>
              </w:rPr>
            </w:pPr>
            <w:r w:rsidRPr="002E0D9A">
              <w:rPr>
                <w:rFonts w:ascii="Calibri" w:eastAsia="Times New Roman" w:hAnsi="Calibri" w:cs="Calibri"/>
                <w:color w:val="000000"/>
                <w:sz w:val="20"/>
                <w:szCs w:val="20"/>
              </w:rPr>
              <w:t>Clerical</w:t>
            </w:r>
          </w:p>
        </w:tc>
        <w:tc>
          <w:tcPr>
            <w:tcW w:w="0" w:type="auto"/>
            <w:tcBorders>
              <w:top w:val="nil"/>
              <w:left w:val="nil"/>
              <w:bottom w:val="single" w:sz="8" w:space="0" w:color="auto"/>
              <w:right w:val="single" w:sz="4" w:space="0" w:color="auto"/>
            </w:tcBorders>
            <w:shd w:val="clear" w:color="auto" w:fill="auto"/>
            <w:noWrap/>
            <w:vAlign w:val="center"/>
            <w:hideMark/>
          </w:tcPr>
          <w:p w:rsidR="002E0D9A" w:rsidRPr="002E0D9A" w:rsidP="002E0D9A" w14:paraId="23242460"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6,444</w:t>
            </w:r>
          </w:p>
        </w:tc>
        <w:tc>
          <w:tcPr>
            <w:tcW w:w="0" w:type="auto"/>
            <w:tcBorders>
              <w:top w:val="nil"/>
              <w:left w:val="nil"/>
              <w:bottom w:val="single" w:sz="8" w:space="0" w:color="auto"/>
              <w:right w:val="single" w:sz="4" w:space="0" w:color="auto"/>
            </w:tcBorders>
            <w:shd w:val="clear" w:color="000000" w:fill="E2A5AC"/>
            <w:noWrap/>
            <w:vAlign w:val="center"/>
            <w:hideMark/>
          </w:tcPr>
          <w:p w:rsidR="002E0D9A" w:rsidRPr="002E0D9A" w:rsidP="002E0D9A" w14:paraId="3C9449D2"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6,445</w:t>
            </w:r>
          </w:p>
        </w:tc>
        <w:tc>
          <w:tcPr>
            <w:tcW w:w="0" w:type="auto"/>
            <w:tcBorders>
              <w:top w:val="nil"/>
              <w:left w:val="nil"/>
              <w:bottom w:val="single" w:sz="8" w:space="0" w:color="auto"/>
              <w:right w:val="single" w:sz="4" w:space="0" w:color="auto"/>
            </w:tcBorders>
            <w:shd w:val="clear" w:color="auto" w:fill="auto"/>
            <w:vAlign w:val="center"/>
            <w:hideMark/>
          </w:tcPr>
          <w:p w:rsidR="002E0D9A" w:rsidRPr="002E0D9A" w:rsidP="002E0D9A" w14:paraId="1FE0DA0D"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0</w:t>
            </w:r>
          </w:p>
        </w:tc>
        <w:tc>
          <w:tcPr>
            <w:tcW w:w="0" w:type="auto"/>
            <w:tcBorders>
              <w:top w:val="nil"/>
              <w:left w:val="nil"/>
              <w:bottom w:val="single" w:sz="8" w:space="0" w:color="auto"/>
              <w:right w:val="single" w:sz="4" w:space="0" w:color="auto"/>
            </w:tcBorders>
            <w:shd w:val="clear" w:color="000000" w:fill="E2A5AC"/>
            <w:noWrap/>
            <w:vAlign w:val="center"/>
            <w:hideMark/>
          </w:tcPr>
          <w:p w:rsidR="002E0D9A" w:rsidRPr="002E0D9A" w:rsidP="002E0D9A" w14:paraId="1019F99F"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0</w:t>
            </w:r>
          </w:p>
        </w:tc>
        <w:tc>
          <w:tcPr>
            <w:tcW w:w="0" w:type="auto"/>
            <w:vMerge/>
            <w:tcBorders>
              <w:top w:val="nil"/>
              <w:left w:val="single" w:sz="4" w:space="0" w:color="auto"/>
              <w:bottom w:val="single" w:sz="8" w:space="0" w:color="000000"/>
              <w:right w:val="single" w:sz="8" w:space="0" w:color="auto"/>
            </w:tcBorders>
            <w:vAlign w:val="center"/>
            <w:hideMark/>
          </w:tcPr>
          <w:p w:rsidR="002E0D9A" w:rsidRPr="002E0D9A" w:rsidP="002E0D9A" w14:paraId="4F89F485" w14:textId="77777777">
            <w:pPr>
              <w:spacing w:after="0" w:line="240" w:lineRule="auto"/>
              <w:rPr>
                <w:rFonts w:ascii="Calibri" w:eastAsia="Times New Roman" w:hAnsi="Calibri" w:cs="Calibri"/>
                <w:color w:val="000000"/>
                <w:sz w:val="20"/>
                <w:szCs w:val="20"/>
              </w:rPr>
            </w:pPr>
          </w:p>
        </w:tc>
      </w:tr>
      <w:tr w14:paraId="145BF1CE" w14:textId="77777777" w:rsidTr="002E0D9A">
        <w:tblPrEx>
          <w:tblW w:w="0" w:type="auto"/>
          <w:jc w:val="center"/>
          <w:tblLook w:val="04A0"/>
        </w:tblPrEx>
        <w:trPr>
          <w:trHeight w:val="255"/>
          <w:jc w:val="center"/>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2E0D9A" w:rsidRPr="002E0D9A" w:rsidP="002E0D9A" w14:paraId="2C930708" w14:textId="77777777">
            <w:pPr>
              <w:spacing w:after="0" w:line="240" w:lineRule="auto"/>
              <w:rPr>
                <w:rFonts w:ascii="Calibri" w:eastAsia="Times New Roman" w:hAnsi="Calibri" w:cs="Calibri"/>
                <w:color w:val="000000"/>
                <w:sz w:val="20"/>
                <w:szCs w:val="20"/>
              </w:rPr>
            </w:pPr>
            <w:r w:rsidRPr="002E0D9A">
              <w:rPr>
                <w:rFonts w:ascii="Calibri" w:eastAsia="Times New Roman" w:hAnsi="Calibri" w:cs="Calibri"/>
                <w:color w:val="000000"/>
                <w:sz w:val="20"/>
                <w:szCs w:val="20"/>
              </w:rPr>
              <w:t>Maintain Beryllium Registry</w:t>
            </w:r>
          </w:p>
        </w:tc>
        <w:tc>
          <w:tcPr>
            <w:tcW w:w="0" w:type="auto"/>
            <w:tcBorders>
              <w:top w:val="nil"/>
              <w:left w:val="nil"/>
              <w:bottom w:val="single" w:sz="4" w:space="0" w:color="auto"/>
              <w:right w:val="single" w:sz="4" w:space="0" w:color="auto"/>
            </w:tcBorders>
            <w:shd w:val="clear" w:color="auto" w:fill="auto"/>
            <w:noWrap/>
            <w:vAlign w:val="center"/>
            <w:hideMark/>
          </w:tcPr>
          <w:p w:rsidR="002E0D9A" w:rsidRPr="002E0D9A" w:rsidP="002E0D9A" w14:paraId="1F818C0F" w14:textId="77777777">
            <w:pPr>
              <w:spacing w:after="0" w:line="240" w:lineRule="auto"/>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All</w:t>
            </w:r>
          </w:p>
        </w:tc>
        <w:tc>
          <w:tcPr>
            <w:tcW w:w="0" w:type="auto"/>
            <w:tcBorders>
              <w:top w:val="nil"/>
              <w:left w:val="nil"/>
              <w:bottom w:val="single" w:sz="4" w:space="0" w:color="auto"/>
              <w:right w:val="single" w:sz="4" w:space="0" w:color="auto"/>
            </w:tcBorders>
            <w:shd w:val="clear" w:color="auto" w:fill="auto"/>
            <w:vAlign w:val="center"/>
            <w:hideMark/>
          </w:tcPr>
          <w:p w:rsidR="002E0D9A" w:rsidRPr="002E0D9A" w:rsidP="002E0D9A" w14:paraId="47E6E03C"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27</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7F352DE4"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6,445</w:t>
            </w:r>
          </w:p>
        </w:tc>
        <w:tc>
          <w:tcPr>
            <w:tcW w:w="0" w:type="auto"/>
            <w:tcBorders>
              <w:top w:val="nil"/>
              <w:left w:val="nil"/>
              <w:bottom w:val="single" w:sz="4" w:space="0" w:color="auto"/>
              <w:right w:val="single" w:sz="4" w:space="0" w:color="auto"/>
            </w:tcBorders>
            <w:shd w:val="clear" w:color="000000" w:fill="000000"/>
            <w:noWrap/>
            <w:vAlign w:val="center"/>
            <w:hideMark/>
          </w:tcPr>
          <w:p w:rsidR="002E0D9A" w:rsidRPr="002E0D9A" w:rsidP="002E0D9A" w14:paraId="362E8AB3"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328BCD12"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1,611</w:t>
            </w:r>
          </w:p>
        </w:tc>
        <w:tc>
          <w:tcPr>
            <w:tcW w:w="0" w:type="auto"/>
            <w:vMerge w:val="restart"/>
            <w:tcBorders>
              <w:top w:val="nil"/>
              <w:left w:val="single" w:sz="4" w:space="0" w:color="auto"/>
              <w:bottom w:val="single" w:sz="8" w:space="0" w:color="000000"/>
              <w:right w:val="single" w:sz="8" w:space="0" w:color="auto"/>
            </w:tcBorders>
            <w:shd w:val="clear" w:color="auto" w:fill="auto"/>
            <w:noWrap/>
            <w:vAlign w:val="center"/>
            <w:hideMark/>
          </w:tcPr>
          <w:p w:rsidR="002E0D9A" w:rsidRPr="002E0D9A" w:rsidP="002E0D9A" w14:paraId="3846EF6D"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238.70 [n]</w:t>
            </w:r>
          </w:p>
        </w:tc>
      </w:tr>
      <w:tr w14:paraId="265785BF" w14:textId="77777777" w:rsidTr="002E0D9A">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2E0D9A" w:rsidRPr="002E0D9A" w:rsidP="002E0D9A" w14:paraId="26583112"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2E0D9A" w:rsidRPr="002E0D9A" w:rsidP="002E0D9A" w14:paraId="205F5316" w14:textId="77777777">
            <w:pPr>
              <w:spacing w:after="0" w:line="240" w:lineRule="auto"/>
              <w:rPr>
                <w:rFonts w:ascii="Calibri" w:eastAsia="Times New Roman" w:hAnsi="Calibri" w:cs="Calibri"/>
                <w:color w:val="000000"/>
                <w:sz w:val="20"/>
                <w:szCs w:val="20"/>
              </w:rPr>
            </w:pPr>
            <w:r w:rsidRPr="002E0D9A">
              <w:rPr>
                <w:rFonts w:ascii="Calibri" w:eastAsia="Times New Roman" w:hAnsi="Calibri" w:cs="Calibri"/>
                <w:color w:val="000000"/>
                <w:sz w:val="20"/>
                <w:szCs w:val="20"/>
              </w:rPr>
              <w:t>Professional</w:t>
            </w:r>
          </w:p>
        </w:tc>
        <w:tc>
          <w:tcPr>
            <w:tcW w:w="0" w:type="auto"/>
            <w:tcBorders>
              <w:top w:val="nil"/>
              <w:left w:val="nil"/>
              <w:bottom w:val="single" w:sz="4" w:space="0" w:color="auto"/>
              <w:right w:val="single" w:sz="4" w:space="0" w:color="auto"/>
            </w:tcBorders>
            <w:shd w:val="clear" w:color="auto" w:fill="auto"/>
            <w:noWrap/>
            <w:vAlign w:val="center"/>
            <w:hideMark/>
          </w:tcPr>
          <w:p w:rsidR="002E0D9A" w:rsidRPr="002E0D9A" w:rsidP="002E0D9A" w14:paraId="04033AC7"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27</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0AF29839"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6,445</w:t>
            </w:r>
          </w:p>
        </w:tc>
        <w:tc>
          <w:tcPr>
            <w:tcW w:w="0" w:type="auto"/>
            <w:tcBorders>
              <w:top w:val="nil"/>
              <w:left w:val="nil"/>
              <w:bottom w:val="single" w:sz="4" w:space="0" w:color="auto"/>
              <w:right w:val="single" w:sz="4" w:space="0" w:color="auto"/>
            </w:tcBorders>
            <w:shd w:val="clear" w:color="auto" w:fill="auto"/>
            <w:vAlign w:val="center"/>
            <w:hideMark/>
          </w:tcPr>
          <w:p w:rsidR="002E0D9A" w:rsidRPr="002E0D9A" w:rsidP="002E0D9A" w14:paraId="17C67177"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0</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32FBA2E5"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0</w:t>
            </w:r>
          </w:p>
        </w:tc>
        <w:tc>
          <w:tcPr>
            <w:tcW w:w="0" w:type="auto"/>
            <w:vMerge/>
            <w:tcBorders>
              <w:top w:val="nil"/>
              <w:left w:val="single" w:sz="4" w:space="0" w:color="auto"/>
              <w:bottom w:val="single" w:sz="8" w:space="0" w:color="000000"/>
              <w:right w:val="single" w:sz="8" w:space="0" w:color="auto"/>
            </w:tcBorders>
            <w:vAlign w:val="center"/>
            <w:hideMark/>
          </w:tcPr>
          <w:p w:rsidR="002E0D9A" w:rsidRPr="002E0D9A" w:rsidP="002E0D9A" w14:paraId="7AA4FBA9" w14:textId="77777777">
            <w:pPr>
              <w:spacing w:after="0" w:line="240" w:lineRule="auto"/>
              <w:rPr>
                <w:rFonts w:ascii="Calibri" w:eastAsia="Times New Roman" w:hAnsi="Calibri" w:cs="Calibri"/>
                <w:color w:val="000000"/>
                <w:sz w:val="20"/>
                <w:szCs w:val="20"/>
              </w:rPr>
            </w:pPr>
          </w:p>
        </w:tc>
      </w:tr>
      <w:tr w14:paraId="19C35F15" w14:textId="77777777" w:rsidTr="002E0D9A">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2E0D9A" w:rsidRPr="002E0D9A" w:rsidP="002E0D9A" w14:paraId="06B2B3E7"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8" w:space="0" w:color="auto"/>
              <w:right w:val="single" w:sz="4" w:space="0" w:color="auto"/>
            </w:tcBorders>
            <w:shd w:val="clear" w:color="auto" w:fill="auto"/>
            <w:noWrap/>
            <w:vAlign w:val="center"/>
            <w:hideMark/>
          </w:tcPr>
          <w:p w:rsidR="002E0D9A" w:rsidRPr="002E0D9A" w:rsidP="002E0D9A" w14:paraId="10AC4B49" w14:textId="77777777">
            <w:pPr>
              <w:spacing w:after="0" w:line="240" w:lineRule="auto"/>
              <w:rPr>
                <w:rFonts w:ascii="Calibri" w:eastAsia="Times New Roman" w:hAnsi="Calibri" w:cs="Calibri"/>
                <w:color w:val="000000"/>
                <w:sz w:val="20"/>
                <w:szCs w:val="20"/>
              </w:rPr>
            </w:pPr>
            <w:r w:rsidRPr="002E0D9A">
              <w:rPr>
                <w:rFonts w:ascii="Calibri" w:eastAsia="Times New Roman" w:hAnsi="Calibri" w:cs="Calibri"/>
                <w:color w:val="000000"/>
                <w:sz w:val="20"/>
                <w:szCs w:val="20"/>
              </w:rPr>
              <w:t>Clerical</w:t>
            </w:r>
          </w:p>
        </w:tc>
        <w:tc>
          <w:tcPr>
            <w:tcW w:w="0" w:type="auto"/>
            <w:tcBorders>
              <w:top w:val="nil"/>
              <w:left w:val="nil"/>
              <w:bottom w:val="single" w:sz="8" w:space="0" w:color="auto"/>
              <w:right w:val="single" w:sz="4" w:space="0" w:color="auto"/>
            </w:tcBorders>
            <w:shd w:val="clear" w:color="auto" w:fill="auto"/>
            <w:noWrap/>
            <w:vAlign w:val="center"/>
            <w:hideMark/>
          </w:tcPr>
          <w:p w:rsidR="002E0D9A" w:rsidRPr="002E0D9A" w:rsidP="002E0D9A" w14:paraId="3CD0E2FF"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27</w:t>
            </w:r>
          </w:p>
        </w:tc>
        <w:tc>
          <w:tcPr>
            <w:tcW w:w="0" w:type="auto"/>
            <w:tcBorders>
              <w:top w:val="nil"/>
              <w:left w:val="nil"/>
              <w:bottom w:val="single" w:sz="8" w:space="0" w:color="auto"/>
              <w:right w:val="single" w:sz="4" w:space="0" w:color="auto"/>
            </w:tcBorders>
            <w:shd w:val="clear" w:color="000000" w:fill="E2A5AC"/>
            <w:noWrap/>
            <w:vAlign w:val="center"/>
            <w:hideMark/>
          </w:tcPr>
          <w:p w:rsidR="002E0D9A" w:rsidRPr="002E0D9A" w:rsidP="002E0D9A" w14:paraId="34A1224F"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6,445</w:t>
            </w:r>
          </w:p>
        </w:tc>
        <w:tc>
          <w:tcPr>
            <w:tcW w:w="0" w:type="auto"/>
            <w:tcBorders>
              <w:top w:val="nil"/>
              <w:left w:val="nil"/>
              <w:bottom w:val="single" w:sz="8" w:space="0" w:color="auto"/>
              <w:right w:val="single" w:sz="4" w:space="0" w:color="auto"/>
            </w:tcBorders>
            <w:shd w:val="clear" w:color="auto" w:fill="auto"/>
            <w:vAlign w:val="center"/>
            <w:hideMark/>
          </w:tcPr>
          <w:p w:rsidR="002E0D9A" w:rsidRPr="002E0D9A" w:rsidP="002E0D9A" w14:paraId="24AE0A17"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0.25 [i]</w:t>
            </w:r>
          </w:p>
        </w:tc>
        <w:tc>
          <w:tcPr>
            <w:tcW w:w="0" w:type="auto"/>
            <w:tcBorders>
              <w:top w:val="nil"/>
              <w:left w:val="nil"/>
              <w:bottom w:val="single" w:sz="8" w:space="0" w:color="auto"/>
              <w:right w:val="single" w:sz="4" w:space="0" w:color="auto"/>
            </w:tcBorders>
            <w:shd w:val="clear" w:color="000000" w:fill="E2A5AC"/>
            <w:noWrap/>
            <w:vAlign w:val="center"/>
            <w:hideMark/>
          </w:tcPr>
          <w:p w:rsidR="002E0D9A" w:rsidRPr="002E0D9A" w:rsidP="002E0D9A" w14:paraId="43C5E295"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1,611</w:t>
            </w:r>
          </w:p>
        </w:tc>
        <w:tc>
          <w:tcPr>
            <w:tcW w:w="0" w:type="auto"/>
            <w:vMerge/>
            <w:tcBorders>
              <w:top w:val="nil"/>
              <w:left w:val="single" w:sz="4" w:space="0" w:color="auto"/>
              <w:bottom w:val="single" w:sz="8" w:space="0" w:color="000000"/>
              <w:right w:val="single" w:sz="8" w:space="0" w:color="auto"/>
            </w:tcBorders>
            <w:vAlign w:val="center"/>
            <w:hideMark/>
          </w:tcPr>
          <w:p w:rsidR="002E0D9A" w:rsidRPr="002E0D9A" w:rsidP="002E0D9A" w14:paraId="199239E2" w14:textId="77777777">
            <w:pPr>
              <w:spacing w:after="0" w:line="240" w:lineRule="auto"/>
              <w:rPr>
                <w:rFonts w:ascii="Calibri" w:eastAsia="Times New Roman" w:hAnsi="Calibri" w:cs="Calibri"/>
                <w:color w:val="000000"/>
                <w:sz w:val="20"/>
                <w:szCs w:val="20"/>
              </w:rPr>
            </w:pPr>
          </w:p>
        </w:tc>
      </w:tr>
      <w:tr w14:paraId="79848F64" w14:textId="77777777" w:rsidTr="002E0D9A">
        <w:tblPrEx>
          <w:tblW w:w="0" w:type="auto"/>
          <w:jc w:val="center"/>
          <w:tblLook w:val="04A0"/>
        </w:tblPrEx>
        <w:trPr>
          <w:trHeight w:val="255"/>
          <w:jc w:val="center"/>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2E0D9A" w:rsidRPr="002E0D9A" w:rsidP="002E0D9A" w14:paraId="77236325" w14:textId="77777777">
            <w:pPr>
              <w:spacing w:after="0" w:line="240" w:lineRule="auto"/>
              <w:rPr>
                <w:rFonts w:ascii="Calibri" w:eastAsia="Times New Roman" w:hAnsi="Calibri" w:cs="Calibri"/>
                <w:color w:val="000000"/>
                <w:sz w:val="20"/>
                <w:szCs w:val="20"/>
              </w:rPr>
            </w:pPr>
            <w:r w:rsidRPr="002E0D9A">
              <w:rPr>
                <w:rFonts w:ascii="Calibri" w:eastAsia="Times New Roman" w:hAnsi="Calibri" w:cs="Calibri"/>
                <w:color w:val="000000"/>
                <w:sz w:val="20"/>
                <w:szCs w:val="20"/>
              </w:rPr>
              <w:t>Annual Recordkeeping [a]</w:t>
            </w:r>
          </w:p>
        </w:tc>
        <w:tc>
          <w:tcPr>
            <w:tcW w:w="0" w:type="auto"/>
            <w:tcBorders>
              <w:top w:val="nil"/>
              <w:left w:val="nil"/>
              <w:bottom w:val="single" w:sz="4" w:space="0" w:color="auto"/>
              <w:right w:val="single" w:sz="4" w:space="0" w:color="auto"/>
            </w:tcBorders>
            <w:shd w:val="clear" w:color="auto" w:fill="auto"/>
            <w:noWrap/>
            <w:vAlign w:val="center"/>
            <w:hideMark/>
          </w:tcPr>
          <w:p w:rsidR="002E0D9A" w:rsidRPr="002E0D9A" w:rsidP="002E0D9A" w14:paraId="239F7D53" w14:textId="77777777">
            <w:pPr>
              <w:spacing w:after="0" w:line="240" w:lineRule="auto"/>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All</w:t>
            </w:r>
          </w:p>
        </w:tc>
        <w:tc>
          <w:tcPr>
            <w:tcW w:w="0" w:type="auto"/>
            <w:tcBorders>
              <w:top w:val="nil"/>
              <w:left w:val="nil"/>
              <w:bottom w:val="single" w:sz="4" w:space="0" w:color="auto"/>
              <w:right w:val="single" w:sz="4" w:space="0" w:color="auto"/>
            </w:tcBorders>
            <w:shd w:val="clear" w:color="auto" w:fill="auto"/>
            <w:vAlign w:val="center"/>
            <w:hideMark/>
          </w:tcPr>
          <w:p w:rsidR="002E0D9A" w:rsidRPr="002E0D9A" w:rsidP="002E0D9A" w14:paraId="3897AECC"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27</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2E199330"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27</w:t>
            </w:r>
          </w:p>
        </w:tc>
        <w:tc>
          <w:tcPr>
            <w:tcW w:w="0" w:type="auto"/>
            <w:tcBorders>
              <w:top w:val="nil"/>
              <w:left w:val="nil"/>
              <w:bottom w:val="single" w:sz="4" w:space="0" w:color="auto"/>
              <w:right w:val="single" w:sz="4" w:space="0" w:color="auto"/>
            </w:tcBorders>
            <w:shd w:val="clear" w:color="000000" w:fill="000000"/>
            <w:noWrap/>
            <w:vAlign w:val="center"/>
            <w:hideMark/>
          </w:tcPr>
          <w:p w:rsidR="002E0D9A" w:rsidRPr="002E0D9A" w:rsidP="002E0D9A" w14:paraId="2630726E"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2BA29F35"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18,495</w:t>
            </w:r>
          </w:p>
        </w:tc>
        <w:tc>
          <w:tcPr>
            <w:tcW w:w="0" w:type="auto"/>
            <w:vMerge w:val="restart"/>
            <w:tcBorders>
              <w:top w:val="nil"/>
              <w:left w:val="single" w:sz="4" w:space="0" w:color="auto"/>
              <w:bottom w:val="single" w:sz="8" w:space="0" w:color="000000"/>
              <w:right w:val="single" w:sz="8" w:space="0" w:color="auto"/>
            </w:tcBorders>
            <w:shd w:val="clear" w:color="auto" w:fill="auto"/>
            <w:noWrap/>
            <w:vAlign w:val="center"/>
            <w:hideMark/>
          </w:tcPr>
          <w:p w:rsidR="002E0D9A" w:rsidRPr="002E0D9A" w:rsidP="002E0D9A" w14:paraId="18C28567"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1</w:t>
            </w:r>
          </w:p>
        </w:tc>
      </w:tr>
      <w:tr w14:paraId="40ACBC33" w14:textId="77777777" w:rsidTr="002E0D9A">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2E0D9A" w:rsidRPr="002E0D9A" w:rsidP="002E0D9A" w14:paraId="6D7DDA66"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2E0D9A" w:rsidRPr="002E0D9A" w:rsidP="002E0D9A" w14:paraId="10306AA0" w14:textId="77777777">
            <w:pPr>
              <w:spacing w:after="0" w:line="240" w:lineRule="auto"/>
              <w:rPr>
                <w:rFonts w:ascii="Calibri" w:eastAsia="Times New Roman" w:hAnsi="Calibri" w:cs="Calibri"/>
                <w:color w:val="000000"/>
                <w:sz w:val="20"/>
                <w:szCs w:val="20"/>
              </w:rPr>
            </w:pPr>
            <w:r w:rsidRPr="002E0D9A">
              <w:rPr>
                <w:rFonts w:ascii="Calibri" w:eastAsia="Times New Roman" w:hAnsi="Calibri" w:cs="Calibri"/>
                <w:color w:val="000000"/>
                <w:sz w:val="20"/>
                <w:szCs w:val="20"/>
              </w:rPr>
              <w:t>Professional</w:t>
            </w:r>
          </w:p>
        </w:tc>
        <w:tc>
          <w:tcPr>
            <w:tcW w:w="0" w:type="auto"/>
            <w:tcBorders>
              <w:top w:val="nil"/>
              <w:left w:val="nil"/>
              <w:bottom w:val="single" w:sz="4" w:space="0" w:color="auto"/>
              <w:right w:val="single" w:sz="4" w:space="0" w:color="auto"/>
            </w:tcBorders>
            <w:shd w:val="clear" w:color="auto" w:fill="auto"/>
            <w:noWrap/>
            <w:vAlign w:val="center"/>
            <w:hideMark/>
          </w:tcPr>
          <w:p w:rsidR="002E0D9A" w:rsidRPr="002E0D9A" w:rsidP="002E0D9A" w14:paraId="2C77416F"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27</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761619D6"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27</w:t>
            </w:r>
          </w:p>
        </w:tc>
        <w:tc>
          <w:tcPr>
            <w:tcW w:w="0" w:type="auto"/>
            <w:tcBorders>
              <w:top w:val="nil"/>
              <w:left w:val="nil"/>
              <w:bottom w:val="single" w:sz="4" w:space="0" w:color="auto"/>
              <w:right w:val="single" w:sz="4" w:space="0" w:color="auto"/>
            </w:tcBorders>
            <w:shd w:val="clear" w:color="auto" w:fill="auto"/>
            <w:vAlign w:val="center"/>
            <w:hideMark/>
          </w:tcPr>
          <w:p w:rsidR="002E0D9A" w:rsidRPr="002E0D9A" w:rsidP="002E0D9A" w14:paraId="48EA10C4"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0</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569209F1"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0</w:t>
            </w:r>
          </w:p>
        </w:tc>
        <w:tc>
          <w:tcPr>
            <w:tcW w:w="0" w:type="auto"/>
            <w:vMerge/>
            <w:tcBorders>
              <w:top w:val="nil"/>
              <w:left w:val="single" w:sz="4" w:space="0" w:color="auto"/>
              <w:bottom w:val="single" w:sz="8" w:space="0" w:color="000000"/>
              <w:right w:val="single" w:sz="8" w:space="0" w:color="auto"/>
            </w:tcBorders>
            <w:vAlign w:val="center"/>
            <w:hideMark/>
          </w:tcPr>
          <w:p w:rsidR="002E0D9A" w:rsidRPr="002E0D9A" w:rsidP="002E0D9A" w14:paraId="3B943B1E" w14:textId="77777777">
            <w:pPr>
              <w:spacing w:after="0" w:line="240" w:lineRule="auto"/>
              <w:rPr>
                <w:rFonts w:ascii="Calibri" w:eastAsia="Times New Roman" w:hAnsi="Calibri" w:cs="Calibri"/>
                <w:color w:val="000000"/>
                <w:sz w:val="20"/>
                <w:szCs w:val="20"/>
              </w:rPr>
            </w:pPr>
          </w:p>
        </w:tc>
      </w:tr>
      <w:tr w14:paraId="128115B9" w14:textId="77777777" w:rsidTr="002E0D9A">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2E0D9A" w:rsidRPr="002E0D9A" w:rsidP="002E0D9A" w14:paraId="3DBCC340"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8" w:space="0" w:color="auto"/>
              <w:right w:val="single" w:sz="4" w:space="0" w:color="auto"/>
            </w:tcBorders>
            <w:shd w:val="clear" w:color="auto" w:fill="auto"/>
            <w:noWrap/>
            <w:vAlign w:val="center"/>
            <w:hideMark/>
          </w:tcPr>
          <w:p w:rsidR="002E0D9A" w:rsidRPr="002E0D9A" w:rsidP="002E0D9A" w14:paraId="0D9B361C" w14:textId="77777777">
            <w:pPr>
              <w:spacing w:after="0" w:line="240" w:lineRule="auto"/>
              <w:rPr>
                <w:rFonts w:ascii="Calibri" w:eastAsia="Times New Roman" w:hAnsi="Calibri" w:cs="Calibri"/>
                <w:color w:val="000000"/>
                <w:sz w:val="20"/>
                <w:szCs w:val="20"/>
              </w:rPr>
            </w:pPr>
            <w:r w:rsidRPr="002E0D9A">
              <w:rPr>
                <w:rFonts w:ascii="Calibri" w:eastAsia="Times New Roman" w:hAnsi="Calibri" w:cs="Calibri"/>
                <w:color w:val="000000"/>
                <w:sz w:val="20"/>
                <w:szCs w:val="20"/>
              </w:rPr>
              <w:t>Clerical</w:t>
            </w:r>
          </w:p>
        </w:tc>
        <w:tc>
          <w:tcPr>
            <w:tcW w:w="0" w:type="auto"/>
            <w:tcBorders>
              <w:top w:val="nil"/>
              <w:left w:val="nil"/>
              <w:bottom w:val="single" w:sz="8" w:space="0" w:color="auto"/>
              <w:right w:val="single" w:sz="4" w:space="0" w:color="auto"/>
            </w:tcBorders>
            <w:shd w:val="clear" w:color="auto" w:fill="auto"/>
            <w:noWrap/>
            <w:vAlign w:val="center"/>
            <w:hideMark/>
          </w:tcPr>
          <w:p w:rsidR="002E0D9A" w:rsidRPr="002E0D9A" w:rsidP="002E0D9A" w14:paraId="16778B12"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27</w:t>
            </w:r>
          </w:p>
        </w:tc>
        <w:tc>
          <w:tcPr>
            <w:tcW w:w="0" w:type="auto"/>
            <w:tcBorders>
              <w:top w:val="nil"/>
              <w:left w:val="nil"/>
              <w:bottom w:val="single" w:sz="8" w:space="0" w:color="auto"/>
              <w:right w:val="single" w:sz="4" w:space="0" w:color="auto"/>
            </w:tcBorders>
            <w:shd w:val="clear" w:color="000000" w:fill="E2A5AC"/>
            <w:noWrap/>
            <w:vAlign w:val="center"/>
            <w:hideMark/>
          </w:tcPr>
          <w:p w:rsidR="002E0D9A" w:rsidRPr="002E0D9A" w:rsidP="002E0D9A" w14:paraId="031EDC2D"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27</w:t>
            </w:r>
          </w:p>
        </w:tc>
        <w:tc>
          <w:tcPr>
            <w:tcW w:w="0" w:type="auto"/>
            <w:tcBorders>
              <w:top w:val="nil"/>
              <w:left w:val="nil"/>
              <w:bottom w:val="single" w:sz="8" w:space="0" w:color="auto"/>
              <w:right w:val="single" w:sz="4" w:space="0" w:color="auto"/>
            </w:tcBorders>
            <w:shd w:val="clear" w:color="auto" w:fill="auto"/>
            <w:vAlign w:val="center"/>
            <w:hideMark/>
          </w:tcPr>
          <w:p w:rsidR="002E0D9A" w:rsidRPr="002E0D9A" w:rsidP="002E0D9A" w14:paraId="51F16B62"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685 [j]</w:t>
            </w:r>
          </w:p>
        </w:tc>
        <w:tc>
          <w:tcPr>
            <w:tcW w:w="0" w:type="auto"/>
            <w:tcBorders>
              <w:top w:val="nil"/>
              <w:left w:val="nil"/>
              <w:bottom w:val="single" w:sz="8" w:space="0" w:color="auto"/>
              <w:right w:val="single" w:sz="4" w:space="0" w:color="auto"/>
            </w:tcBorders>
            <w:shd w:val="clear" w:color="000000" w:fill="E2A5AC"/>
            <w:noWrap/>
            <w:vAlign w:val="center"/>
            <w:hideMark/>
          </w:tcPr>
          <w:p w:rsidR="002E0D9A" w:rsidRPr="002E0D9A" w:rsidP="002E0D9A" w14:paraId="35B181EB"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18,495</w:t>
            </w:r>
          </w:p>
        </w:tc>
        <w:tc>
          <w:tcPr>
            <w:tcW w:w="0" w:type="auto"/>
            <w:vMerge/>
            <w:tcBorders>
              <w:top w:val="nil"/>
              <w:left w:val="single" w:sz="4" w:space="0" w:color="auto"/>
              <w:bottom w:val="single" w:sz="8" w:space="0" w:color="000000"/>
              <w:right w:val="single" w:sz="8" w:space="0" w:color="auto"/>
            </w:tcBorders>
            <w:vAlign w:val="center"/>
            <w:hideMark/>
          </w:tcPr>
          <w:p w:rsidR="002E0D9A" w:rsidRPr="002E0D9A" w:rsidP="002E0D9A" w14:paraId="75D1F3C0" w14:textId="77777777">
            <w:pPr>
              <w:spacing w:after="0" w:line="240" w:lineRule="auto"/>
              <w:rPr>
                <w:rFonts w:ascii="Calibri" w:eastAsia="Times New Roman" w:hAnsi="Calibri" w:cs="Calibri"/>
                <w:color w:val="000000"/>
                <w:sz w:val="20"/>
                <w:szCs w:val="20"/>
              </w:rPr>
            </w:pPr>
          </w:p>
        </w:tc>
      </w:tr>
      <w:tr w14:paraId="3ADB0D47" w14:textId="77777777" w:rsidTr="002E0D9A">
        <w:tblPrEx>
          <w:tblW w:w="0" w:type="auto"/>
          <w:jc w:val="center"/>
          <w:tblLook w:val="04A0"/>
        </w:tblPrEx>
        <w:trPr>
          <w:trHeight w:val="255"/>
          <w:jc w:val="center"/>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2E0D9A" w:rsidRPr="002E0D9A" w:rsidP="002E0D9A" w14:paraId="7D2B0F2E" w14:textId="77777777">
            <w:pPr>
              <w:spacing w:after="0" w:line="240" w:lineRule="auto"/>
              <w:rPr>
                <w:rFonts w:ascii="Calibri" w:eastAsia="Times New Roman" w:hAnsi="Calibri" w:cs="Calibri"/>
                <w:color w:val="000000"/>
                <w:sz w:val="20"/>
                <w:szCs w:val="20"/>
              </w:rPr>
            </w:pPr>
            <w:r w:rsidRPr="002E0D9A">
              <w:rPr>
                <w:rFonts w:ascii="Calibri" w:eastAsia="Times New Roman" w:hAnsi="Calibri" w:cs="Calibri"/>
                <w:color w:val="000000"/>
                <w:sz w:val="20"/>
                <w:szCs w:val="20"/>
              </w:rPr>
              <w:t>Annual Performance Feedback [b]</w:t>
            </w:r>
          </w:p>
        </w:tc>
        <w:tc>
          <w:tcPr>
            <w:tcW w:w="0" w:type="auto"/>
            <w:tcBorders>
              <w:top w:val="nil"/>
              <w:left w:val="nil"/>
              <w:bottom w:val="single" w:sz="4" w:space="0" w:color="auto"/>
              <w:right w:val="single" w:sz="4" w:space="0" w:color="auto"/>
            </w:tcBorders>
            <w:shd w:val="clear" w:color="auto" w:fill="auto"/>
            <w:noWrap/>
            <w:vAlign w:val="center"/>
            <w:hideMark/>
          </w:tcPr>
          <w:p w:rsidR="002E0D9A" w:rsidRPr="002E0D9A" w:rsidP="002E0D9A" w14:paraId="77F241A8" w14:textId="77777777">
            <w:pPr>
              <w:spacing w:after="0" w:line="240" w:lineRule="auto"/>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All</w:t>
            </w:r>
          </w:p>
        </w:tc>
        <w:tc>
          <w:tcPr>
            <w:tcW w:w="0" w:type="auto"/>
            <w:tcBorders>
              <w:top w:val="nil"/>
              <w:left w:val="nil"/>
              <w:bottom w:val="single" w:sz="4" w:space="0" w:color="auto"/>
              <w:right w:val="single" w:sz="4" w:space="0" w:color="auto"/>
            </w:tcBorders>
            <w:shd w:val="clear" w:color="auto" w:fill="auto"/>
            <w:vAlign w:val="center"/>
            <w:hideMark/>
          </w:tcPr>
          <w:p w:rsidR="002E0D9A" w:rsidRPr="002E0D9A" w:rsidP="002E0D9A" w14:paraId="23CDC43E"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27</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27EE3BE4"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27</w:t>
            </w:r>
          </w:p>
        </w:tc>
        <w:tc>
          <w:tcPr>
            <w:tcW w:w="0" w:type="auto"/>
            <w:tcBorders>
              <w:top w:val="nil"/>
              <w:left w:val="nil"/>
              <w:bottom w:val="single" w:sz="4" w:space="0" w:color="auto"/>
              <w:right w:val="single" w:sz="4" w:space="0" w:color="auto"/>
            </w:tcBorders>
            <w:shd w:val="clear" w:color="000000" w:fill="000000"/>
            <w:noWrap/>
            <w:vAlign w:val="center"/>
            <w:hideMark/>
          </w:tcPr>
          <w:p w:rsidR="002E0D9A" w:rsidRPr="002E0D9A" w:rsidP="002E0D9A" w14:paraId="797C6A99"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35126871"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4,482</w:t>
            </w:r>
          </w:p>
        </w:tc>
        <w:tc>
          <w:tcPr>
            <w:tcW w:w="0" w:type="auto"/>
            <w:vMerge w:val="restart"/>
            <w:tcBorders>
              <w:top w:val="nil"/>
              <w:left w:val="single" w:sz="4" w:space="0" w:color="auto"/>
              <w:bottom w:val="single" w:sz="8" w:space="0" w:color="000000"/>
              <w:right w:val="single" w:sz="8" w:space="0" w:color="auto"/>
            </w:tcBorders>
            <w:shd w:val="clear" w:color="auto" w:fill="auto"/>
            <w:noWrap/>
            <w:vAlign w:val="center"/>
            <w:hideMark/>
          </w:tcPr>
          <w:p w:rsidR="002E0D9A" w:rsidRPr="002E0D9A" w:rsidP="002E0D9A" w14:paraId="1E3D9071"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1</w:t>
            </w:r>
          </w:p>
        </w:tc>
      </w:tr>
      <w:tr w14:paraId="09A5A432" w14:textId="77777777" w:rsidTr="002E0D9A">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2E0D9A" w:rsidRPr="002E0D9A" w:rsidP="002E0D9A" w14:paraId="0099288D"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2E0D9A" w:rsidRPr="002E0D9A" w:rsidP="002E0D9A" w14:paraId="0EB54ED7" w14:textId="77777777">
            <w:pPr>
              <w:spacing w:after="0" w:line="240" w:lineRule="auto"/>
              <w:rPr>
                <w:rFonts w:ascii="Calibri" w:eastAsia="Times New Roman" w:hAnsi="Calibri" w:cs="Calibri"/>
                <w:color w:val="000000"/>
                <w:sz w:val="20"/>
                <w:szCs w:val="20"/>
              </w:rPr>
            </w:pPr>
            <w:r w:rsidRPr="002E0D9A">
              <w:rPr>
                <w:rFonts w:ascii="Calibri" w:eastAsia="Times New Roman" w:hAnsi="Calibri" w:cs="Calibri"/>
                <w:color w:val="000000"/>
                <w:sz w:val="20"/>
                <w:szCs w:val="20"/>
              </w:rPr>
              <w:t>Professional</w:t>
            </w:r>
          </w:p>
        </w:tc>
        <w:tc>
          <w:tcPr>
            <w:tcW w:w="0" w:type="auto"/>
            <w:tcBorders>
              <w:top w:val="nil"/>
              <w:left w:val="nil"/>
              <w:bottom w:val="single" w:sz="4" w:space="0" w:color="auto"/>
              <w:right w:val="single" w:sz="4" w:space="0" w:color="auto"/>
            </w:tcBorders>
            <w:shd w:val="clear" w:color="auto" w:fill="auto"/>
            <w:noWrap/>
            <w:vAlign w:val="center"/>
            <w:hideMark/>
          </w:tcPr>
          <w:p w:rsidR="002E0D9A" w:rsidRPr="002E0D9A" w:rsidP="002E0D9A" w14:paraId="5C9E48A0"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27</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3F550225"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27</w:t>
            </w:r>
          </w:p>
        </w:tc>
        <w:tc>
          <w:tcPr>
            <w:tcW w:w="0" w:type="auto"/>
            <w:tcBorders>
              <w:top w:val="nil"/>
              <w:left w:val="nil"/>
              <w:bottom w:val="single" w:sz="4" w:space="0" w:color="auto"/>
              <w:right w:val="single" w:sz="4" w:space="0" w:color="auto"/>
            </w:tcBorders>
            <w:shd w:val="clear" w:color="auto" w:fill="auto"/>
            <w:vAlign w:val="center"/>
            <w:hideMark/>
          </w:tcPr>
          <w:p w:rsidR="002E0D9A" w:rsidRPr="002E0D9A" w:rsidP="002E0D9A" w14:paraId="3B4029B2"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166 [k]</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278C6CDB"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4,482</w:t>
            </w:r>
          </w:p>
        </w:tc>
        <w:tc>
          <w:tcPr>
            <w:tcW w:w="0" w:type="auto"/>
            <w:vMerge/>
            <w:tcBorders>
              <w:top w:val="nil"/>
              <w:left w:val="single" w:sz="4" w:space="0" w:color="auto"/>
              <w:bottom w:val="single" w:sz="8" w:space="0" w:color="000000"/>
              <w:right w:val="single" w:sz="8" w:space="0" w:color="auto"/>
            </w:tcBorders>
            <w:vAlign w:val="center"/>
            <w:hideMark/>
          </w:tcPr>
          <w:p w:rsidR="002E0D9A" w:rsidRPr="002E0D9A" w:rsidP="002E0D9A" w14:paraId="5138C335" w14:textId="77777777">
            <w:pPr>
              <w:spacing w:after="0" w:line="240" w:lineRule="auto"/>
              <w:rPr>
                <w:rFonts w:ascii="Calibri" w:eastAsia="Times New Roman" w:hAnsi="Calibri" w:cs="Calibri"/>
                <w:color w:val="000000"/>
                <w:sz w:val="20"/>
                <w:szCs w:val="20"/>
              </w:rPr>
            </w:pPr>
          </w:p>
        </w:tc>
      </w:tr>
      <w:tr w14:paraId="59327E2E" w14:textId="77777777" w:rsidTr="002E0D9A">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2E0D9A" w:rsidRPr="002E0D9A" w:rsidP="002E0D9A" w14:paraId="3298C0C5"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8" w:space="0" w:color="auto"/>
              <w:right w:val="single" w:sz="4" w:space="0" w:color="auto"/>
            </w:tcBorders>
            <w:shd w:val="clear" w:color="auto" w:fill="auto"/>
            <w:noWrap/>
            <w:vAlign w:val="center"/>
            <w:hideMark/>
          </w:tcPr>
          <w:p w:rsidR="002E0D9A" w:rsidRPr="002E0D9A" w:rsidP="002E0D9A" w14:paraId="29281EA8" w14:textId="77777777">
            <w:pPr>
              <w:spacing w:after="0" w:line="240" w:lineRule="auto"/>
              <w:rPr>
                <w:rFonts w:ascii="Calibri" w:eastAsia="Times New Roman" w:hAnsi="Calibri" w:cs="Calibri"/>
                <w:color w:val="000000"/>
                <w:sz w:val="20"/>
                <w:szCs w:val="20"/>
              </w:rPr>
            </w:pPr>
            <w:r w:rsidRPr="002E0D9A">
              <w:rPr>
                <w:rFonts w:ascii="Calibri" w:eastAsia="Times New Roman" w:hAnsi="Calibri" w:cs="Calibri"/>
                <w:color w:val="000000"/>
                <w:sz w:val="20"/>
                <w:szCs w:val="20"/>
              </w:rPr>
              <w:t>Clerical</w:t>
            </w:r>
          </w:p>
        </w:tc>
        <w:tc>
          <w:tcPr>
            <w:tcW w:w="0" w:type="auto"/>
            <w:tcBorders>
              <w:top w:val="nil"/>
              <w:left w:val="nil"/>
              <w:bottom w:val="single" w:sz="8" w:space="0" w:color="auto"/>
              <w:right w:val="single" w:sz="4" w:space="0" w:color="auto"/>
            </w:tcBorders>
            <w:shd w:val="clear" w:color="auto" w:fill="auto"/>
            <w:noWrap/>
            <w:vAlign w:val="center"/>
            <w:hideMark/>
          </w:tcPr>
          <w:p w:rsidR="002E0D9A" w:rsidRPr="002E0D9A" w:rsidP="002E0D9A" w14:paraId="032CEBC0"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27</w:t>
            </w:r>
          </w:p>
        </w:tc>
        <w:tc>
          <w:tcPr>
            <w:tcW w:w="0" w:type="auto"/>
            <w:tcBorders>
              <w:top w:val="nil"/>
              <w:left w:val="nil"/>
              <w:bottom w:val="single" w:sz="8" w:space="0" w:color="auto"/>
              <w:right w:val="single" w:sz="4" w:space="0" w:color="auto"/>
            </w:tcBorders>
            <w:shd w:val="clear" w:color="000000" w:fill="E2A5AC"/>
            <w:noWrap/>
            <w:vAlign w:val="center"/>
            <w:hideMark/>
          </w:tcPr>
          <w:p w:rsidR="002E0D9A" w:rsidRPr="002E0D9A" w:rsidP="002E0D9A" w14:paraId="6D5CDA9F"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27</w:t>
            </w:r>
          </w:p>
        </w:tc>
        <w:tc>
          <w:tcPr>
            <w:tcW w:w="0" w:type="auto"/>
            <w:tcBorders>
              <w:top w:val="nil"/>
              <w:left w:val="nil"/>
              <w:bottom w:val="single" w:sz="8" w:space="0" w:color="auto"/>
              <w:right w:val="single" w:sz="4" w:space="0" w:color="auto"/>
            </w:tcBorders>
            <w:shd w:val="clear" w:color="auto" w:fill="auto"/>
            <w:vAlign w:val="center"/>
            <w:hideMark/>
          </w:tcPr>
          <w:p w:rsidR="002E0D9A" w:rsidRPr="002E0D9A" w:rsidP="002E0D9A" w14:paraId="1E3BF69C"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0</w:t>
            </w:r>
          </w:p>
        </w:tc>
        <w:tc>
          <w:tcPr>
            <w:tcW w:w="0" w:type="auto"/>
            <w:tcBorders>
              <w:top w:val="nil"/>
              <w:left w:val="nil"/>
              <w:bottom w:val="single" w:sz="8" w:space="0" w:color="auto"/>
              <w:right w:val="single" w:sz="4" w:space="0" w:color="auto"/>
            </w:tcBorders>
            <w:shd w:val="clear" w:color="000000" w:fill="E2A5AC"/>
            <w:noWrap/>
            <w:vAlign w:val="center"/>
            <w:hideMark/>
          </w:tcPr>
          <w:p w:rsidR="002E0D9A" w:rsidRPr="002E0D9A" w:rsidP="002E0D9A" w14:paraId="7D7077FD"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0</w:t>
            </w:r>
          </w:p>
        </w:tc>
        <w:tc>
          <w:tcPr>
            <w:tcW w:w="0" w:type="auto"/>
            <w:vMerge/>
            <w:tcBorders>
              <w:top w:val="nil"/>
              <w:left w:val="single" w:sz="4" w:space="0" w:color="auto"/>
              <w:bottom w:val="single" w:sz="8" w:space="0" w:color="000000"/>
              <w:right w:val="single" w:sz="8" w:space="0" w:color="auto"/>
            </w:tcBorders>
            <w:vAlign w:val="center"/>
            <w:hideMark/>
          </w:tcPr>
          <w:p w:rsidR="002E0D9A" w:rsidRPr="002E0D9A" w:rsidP="002E0D9A" w14:paraId="5EB82363" w14:textId="77777777">
            <w:pPr>
              <w:spacing w:after="0" w:line="240" w:lineRule="auto"/>
              <w:rPr>
                <w:rFonts w:ascii="Calibri" w:eastAsia="Times New Roman" w:hAnsi="Calibri" w:cs="Calibri"/>
                <w:color w:val="000000"/>
                <w:sz w:val="20"/>
                <w:szCs w:val="20"/>
              </w:rPr>
            </w:pPr>
          </w:p>
        </w:tc>
      </w:tr>
      <w:tr w14:paraId="29689825" w14:textId="77777777" w:rsidTr="002E0D9A">
        <w:tblPrEx>
          <w:tblW w:w="0" w:type="auto"/>
          <w:jc w:val="center"/>
          <w:tblLook w:val="04A0"/>
        </w:tblPrEx>
        <w:trPr>
          <w:trHeight w:val="255"/>
          <w:jc w:val="center"/>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2E0D9A" w:rsidRPr="002E0D9A" w:rsidP="002E0D9A" w14:paraId="011F962A" w14:textId="77777777">
            <w:pPr>
              <w:spacing w:after="0" w:line="240" w:lineRule="auto"/>
              <w:rPr>
                <w:rFonts w:ascii="Calibri" w:eastAsia="Times New Roman" w:hAnsi="Calibri" w:cs="Calibri"/>
                <w:color w:val="000000"/>
                <w:sz w:val="20"/>
                <w:szCs w:val="20"/>
              </w:rPr>
            </w:pPr>
            <w:r w:rsidRPr="002E0D9A">
              <w:rPr>
                <w:rFonts w:ascii="Calibri" w:eastAsia="Times New Roman" w:hAnsi="Calibri" w:cs="Calibri"/>
                <w:color w:val="000000"/>
                <w:sz w:val="20"/>
                <w:szCs w:val="20"/>
              </w:rPr>
              <w:t>TOTAL</w:t>
            </w:r>
          </w:p>
        </w:tc>
        <w:tc>
          <w:tcPr>
            <w:tcW w:w="0" w:type="auto"/>
            <w:tcBorders>
              <w:top w:val="nil"/>
              <w:left w:val="nil"/>
              <w:bottom w:val="single" w:sz="4" w:space="0" w:color="auto"/>
              <w:right w:val="single" w:sz="4" w:space="0" w:color="auto"/>
            </w:tcBorders>
            <w:shd w:val="clear" w:color="auto" w:fill="auto"/>
            <w:noWrap/>
            <w:vAlign w:val="center"/>
            <w:hideMark/>
          </w:tcPr>
          <w:p w:rsidR="002E0D9A" w:rsidRPr="002E0D9A" w:rsidP="002E0D9A" w14:paraId="33D06881" w14:textId="77777777">
            <w:pPr>
              <w:spacing w:after="0" w:line="240" w:lineRule="auto"/>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All</w:t>
            </w:r>
          </w:p>
        </w:tc>
        <w:tc>
          <w:tcPr>
            <w:tcW w:w="0" w:type="auto"/>
            <w:tcBorders>
              <w:top w:val="nil"/>
              <w:left w:val="nil"/>
              <w:bottom w:val="single" w:sz="4" w:space="0" w:color="auto"/>
              <w:right w:val="single" w:sz="4" w:space="0" w:color="auto"/>
            </w:tcBorders>
            <w:shd w:val="clear" w:color="auto" w:fill="auto"/>
            <w:vAlign w:val="center"/>
            <w:hideMark/>
          </w:tcPr>
          <w:p w:rsidR="002E0D9A" w:rsidRPr="002E0D9A" w:rsidP="002E0D9A" w14:paraId="5D45ECE3"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6,471 [d]</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5E9DA581"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14,359</w:t>
            </w:r>
          </w:p>
        </w:tc>
        <w:tc>
          <w:tcPr>
            <w:tcW w:w="0" w:type="auto"/>
            <w:tcBorders>
              <w:top w:val="nil"/>
              <w:left w:val="nil"/>
              <w:bottom w:val="single" w:sz="4" w:space="0" w:color="auto"/>
              <w:right w:val="single" w:sz="4" w:space="0" w:color="auto"/>
            </w:tcBorders>
            <w:shd w:val="clear" w:color="000000" w:fill="000000"/>
            <w:noWrap/>
            <w:vAlign w:val="center"/>
            <w:hideMark/>
          </w:tcPr>
          <w:p w:rsidR="002E0D9A" w:rsidRPr="002E0D9A" w:rsidP="002E0D9A" w14:paraId="60E330B6"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06D090B6"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29,794</w:t>
            </w:r>
          </w:p>
        </w:tc>
        <w:tc>
          <w:tcPr>
            <w:tcW w:w="0" w:type="auto"/>
            <w:tcBorders>
              <w:top w:val="nil"/>
              <w:left w:val="nil"/>
              <w:bottom w:val="single" w:sz="4" w:space="0" w:color="auto"/>
              <w:right w:val="single" w:sz="4" w:space="0" w:color="auto"/>
            </w:tcBorders>
            <w:shd w:val="clear" w:color="000000" w:fill="000000"/>
            <w:noWrap/>
            <w:vAlign w:val="center"/>
            <w:hideMark/>
          </w:tcPr>
          <w:p w:rsidR="002E0D9A" w:rsidRPr="002E0D9A" w:rsidP="002E0D9A" w14:paraId="0A4C3A63"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 </w:t>
            </w:r>
          </w:p>
        </w:tc>
      </w:tr>
      <w:tr w14:paraId="45503F42" w14:textId="77777777" w:rsidTr="002E0D9A">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2E0D9A" w:rsidRPr="002E0D9A" w:rsidP="002E0D9A" w14:paraId="2CA1956A"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2E0D9A" w:rsidRPr="002E0D9A" w:rsidP="002E0D9A" w14:paraId="4DEDD268" w14:textId="77777777">
            <w:pPr>
              <w:spacing w:after="0" w:line="240" w:lineRule="auto"/>
              <w:rPr>
                <w:rFonts w:ascii="Calibri" w:eastAsia="Times New Roman" w:hAnsi="Calibri" w:cs="Calibri"/>
                <w:color w:val="000000"/>
                <w:sz w:val="20"/>
                <w:szCs w:val="20"/>
              </w:rPr>
            </w:pPr>
            <w:r w:rsidRPr="002E0D9A">
              <w:rPr>
                <w:rFonts w:ascii="Calibri" w:eastAsia="Times New Roman" w:hAnsi="Calibri" w:cs="Calibri"/>
                <w:color w:val="000000"/>
                <w:sz w:val="20"/>
                <w:szCs w:val="20"/>
              </w:rPr>
              <w:t>Professional</w:t>
            </w:r>
          </w:p>
        </w:tc>
        <w:tc>
          <w:tcPr>
            <w:tcW w:w="0" w:type="auto"/>
            <w:tcBorders>
              <w:top w:val="nil"/>
              <w:left w:val="nil"/>
              <w:bottom w:val="single" w:sz="4" w:space="0" w:color="auto"/>
              <w:right w:val="single" w:sz="4" w:space="0" w:color="auto"/>
            </w:tcBorders>
            <w:shd w:val="clear" w:color="auto" w:fill="auto"/>
            <w:noWrap/>
            <w:vAlign w:val="center"/>
            <w:hideMark/>
          </w:tcPr>
          <w:p w:rsidR="002E0D9A" w:rsidRPr="002E0D9A" w:rsidP="002E0D9A" w14:paraId="37ADC3E3"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6,471 [d]</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2040A8B8"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14,359</w:t>
            </w:r>
          </w:p>
        </w:tc>
        <w:tc>
          <w:tcPr>
            <w:tcW w:w="0" w:type="auto"/>
            <w:tcBorders>
              <w:top w:val="single" w:sz="8" w:space="0" w:color="auto"/>
              <w:left w:val="nil"/>
              <w:bottom w:val="single" w:sz="4" w:space="0" w:color="auto"/>
              <w:right w:val="single" w:sz="4" w:space="0" w:color="auto"/>
            </w:tcBorders>
            <w:shd w:val="clear" w:color="000000" w:fill="000000"/>
            <w:noWrap/>
            <w:vAlign w:val="center"/>
            <w:hideMark/>
          </w:tcPr>
          <w:p w:rsidR="002E0D9A" w:rsidRPr="002E0D9A" w:rsidP="002E0D9A" w14:paraId="6B9558BB"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5B79FF7C"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7,096</w:t>
            </w:r>
          </w:p>
        </w:tc>
        <w:tc>
          <w:tcPr>
            <w:tcW w:w="0" w:type="auto"/>
            <w:tcBorders>
              <w:top w:val="single" w:sz="8" w:space="0" w:color="auto"/>
              <w:left w:val="nil"/>
              <w:bottom w:val="single" w:sz="4" w:space="0" w:color="auto"/>
              <w:right w:val="single" w:sz="4" w:space="0" w:color="auto"/>
            </w:tcBorders>
            <w:shd w:val="clear" w:color="000000" w:fill="000000"/>
            <w:noWrap/>
            <w:vAlign w:val="center"/>
            <w:hideMark/>
          </w:tcPr>
          <w:p w:rsidR="002E0D9A" w:rsidRPr="002E0D9A" w:rsidP="002E0D9A" w14:paraId="724B1422"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 </w:t>
            </w:r>
          </w:p>
        </w:tc>
      </w:tr>
      <w:tr w14:paraId="03CB8619" w14:textId="77777777" w:rsidTr="002E0D9A">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2E0D9A" w:rsidRPr="002E0D9A" w:rsidP="002E0D9A" w14:paraId="329797D3" w14:textId="77777777">
            <w:pPr>
              <w:spacing w:after="0" w:line="240" w:lineRule="auto"/>
              <w:rPr>
                <w:rFonts w:ascii="Calibri" w:eastAsia="Times New Roman" w:hAnsi="Calibri" w:cs="Calibri"/>
                <w:color w:val="000000"/>
                <w:sz w:val="20"/>
                <w:szCs w:val="20"/>
              </w:rPr>
            </w:pPr>
          </w:p>
        </w:tc>
        <w:tc>
          <w:tcPr>
            <w:tcW w:w="0" w:type="auto"/>
            <w:tcBorders>
              <w:top w:val="nil"/>
              <w:left w:val="nil"/>
              <w:bottom w:val="nil"/>
              <w:right w:val="single" w:sz="4" w:space="0" w:color="auto"/>
            </w:tcBorders>
            <w:shd w:val="clear" w:color="auto" w:fill="auto"/>
            <w:noWrap/>
            <w:vAlign w:val="center"/>
            <w:hideMark/>
          </w:tcPr>
          <w:p w:rsidR="002E0D9A" w:rsidRPr="002E0D9A" w:rsidP="002E0D9A" w14:paraId="7CA8531D" w14:textId="77777777">
            <w:pPr>
              <w:spacing w:after="0" w:line="240" w:lineRule="auto"/>
              <w:rPr>
                <w:rFonts w:ascii="Calibri" w:eastAsia="Times New Roman" w:hAnsi="Calibri" w:cs="Calibri"/>
                <w:color w:val="000000"/>
                <w:sz w:val="20"/>
                <w:szCs w:val="20"/>
              </w:rPr>
            </w:pPr>
            <w:r w:rsidRPr="002E0D9A">
              <w:rPr>
                <w:rFonts w:ascii="Calibri" w:eastAsia="Times New Roman" w:hAnsi="Calibri" w:cs="Calibri"/>
                <w:color w:val="000000"/>
                <w:sz w:val="20"/>
                <w:szCs w:val="20"/>
              </w:rPr>
              <w:t>Worker</w:t>
            </w:r>
          </w:p>
        </w:tc>
        <w:tc>
          <w:tcPr>
            <w:tcW w:w="0" w:type="auto"/>
            <w:tcBorders>
              <w:top w:val="nil"/>
              <w:left w:val="nil"/>
              <w:bottom w:val="nil"/>
              <w:right w:val="single" w:sz="4" w:space="0" w:color="auto"/>
            </w:tcBorders>
            <w:shd w:val="clear" w:color="auto" w:fill="auto"/>
            <w:noWrap/>
            <w:vAlign w:val="center"/>
            <w:hideMark/>
          </w:tcPr>
          <w:p w:rsidR="002E0D9A" w:rsidRPr="002E0D9A" w:rsidP="002E0D9A" w14:paraId="60897B17"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6,471 [d]</w:t>
            </w:r>
          </w:p>
        </w:tc>
        <w:tc>
          <w:tcPr>
            <w:tcW w:w="0" w:type="auto"/>
            <w:tcBorders>
              <w:top w:val="nil"/>
              <w:left w:val="nil"/>
              <w:bottom w:val="nil"/>
              <w:right w:val="single" w:sz="4" w:space="0" w:color="auto"/>
            </w:tcBorders>
            <w:shd w:val="clear" w:color="000000" w:fill="E2A5AC"/>
            <w:noWrap/>
            <w:vAlign w:val="center"/>
            <w:hideMark/>
          </w:tcPr>
          <w:p w:rsidR="002E0D9A" w:rsidRPr="002E0D9A" w:rsidP="002E0D9A" w14:paraId="15440F6E"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14,359</w:t>
            </w:r>
          </w:p>
        </w:tc>
        <w:tc>
          <w:tcPr>
            <w:tcW w:w="0" w:type="auto"/>
            <w:tcBorders>
              <w:top w:val="single" w:sz="8" w:space="0" w:color="auto"/>
              <w:left w:val="nil"/>
              <w:bottom w:val="single" w:sz="4" w:space="0" w:color="auto"/>
              <w:right w:val="single" w:sz="4" w:space="0" w:color="auto"/>
            </w:tcBorders>
            <w:shd w:val="clear" w:color="000000" w:fill="000000"/>
            <w:noWrap/>
            <w:vAlign w:val="center"/>
            <w:hideMark/>
          </w:tcPr>
          <w:p w:rsidR="002E0D9A" w:rsidRPr="002E0D9A" w:rsidP="002E0D9A" w14:paraId="6F109BEA"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E2A5AC"/>
            <w:noWrap/>
            <w:vAlign w:val="center"/>
            <w:hideMark/>
          </w:tcPr>
          <w:p w:rsidR="002E0D9A" w:rsidRPr="002E0D9A" w:rsidP="002E0D9A" w14:paraId="6B3A5F9C"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1,611</w:t>
            </w:r>
          </w:p>
        </w:tc>
        <w:tc>
          <w:tcPr>
            <w:tcW w:w="0" w:type="auto"/>
            <w:tcBorders>
              <w:top w:val="single" w:sz="8" w:space="0" w:color="auto"/>
              <w:left w:val="nil"/>
              <w:bottom w:val="single" w:sz="4" w:space="0" w:color="auto"/>
              <w:right w:val="single" w:sz="4" w:space="0" w:color="auto"/>
            </w:tcBorders>
            <w:shd w:val="clear" w:color="000000" w:fill="000000"/>
            <w:noWrap/>
            <w:vAlign w:val="center"/>
            <w:hideMark/>
          </w:tcPr>
          <w:p w:rsidR="002E0D9A" w:rsidRPr="002E0D9A" w:rsidP="002E0D9A" w14:paraId="3972CA66"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 </w:t>
            </w:r>
          </w:p>
        </w:tc>
      </w:tr>
      <w:tr w14:paraId="7D95ED35" w14:textId="77777777" w:rsidTr="002E0D9A">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2E0D9A" w:rsidRPr="002E0D9A" w:rsidP="002E0D9A" w14:paraId="31E414CC" w14:textId="77777777">
            <w:pPr>
              <w:spacing w:after="0" w:line="240" w:lineRule="auto"/>
              <w:rPr>
                <w:rFonts w:ascii="Calibri" w:eastAsia="Times New Roman" w:hAnsi="Calibri" w:cs="Calibri"/>
                <w:color w:val="000000"/>
                <w:sz w:val="20"/>
                <w:szCs w:val="20"/>
              </w:rPr>
            </w:pP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2E0D9A" w:rsidRPr="002E0D9A" w:rsidP="002E0D9A" w14:paraId="15FE93EE" w14:textId="77777777">
            <w:pPr>
              <w:spacing w:after="0" w:line="240" w:lineRule="auto"/>
              <w:rPr>
                <w:rFonts w:ascii="Calibri" w:eastAsia="Times New Roman" w:hAnsi="Calibri" w:cs="Calibri"/>
                <w:color w:val="000000"/>
                <w:sz w:val="20"/>
                <w:szCs w:val="20"/>
              </w:rPr>
            </w:pPr>
            <w:r w:rsidRPr="002E0D9A">
              <w:rPr>
                <w:rFonts w:ascii="Calibri" w:eastAsia="Times New Roman" w:hAnsi="Calibri" w:cs="Calibri"/>
                <w:color w:val="000000"/>
                <w:sz w:val="20"/>
                <w:szCs w:val="20"/>
              </w:rPr>
              <w:t>Clerical</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2E0D9A" w:rsidRPr="002E0D9A" w:rsidP="002E0D9A" w14:paraId="627DBF51"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6,471 [d]</w:t>
            </w:r>
          </w:p>
        </w:tc>
        <w:tc>
          <w:tcPr>
            <w:tcW w:w="0" w:type="auto"/>
            <w:tcBorders>
              <w:top w:val="single" w:sz="4" w:space="0" w:color="auto"/>
              <w:left w:val="nil"/>
              <w:bottom w:val="single" w:sz="8" w:space="0" w:color="auto"/>
              <w:right w:val="single" w:sz="4" w:space="0" w:color="auto"/>
            </w:tcBorders>
            <w:shd w:val="clear" w:color="000000" w:fill="E2A5AC"/>
            <w:noWrap/>
            <w:vAlign w:val="center"/>
            <w:hideMark/>
          </w:tcPr>
          <w:p w:rsidR="002E0D9A" w:rsidRPr="002E0D9A" w:rsidP="002E0D9A" w14:paraId="0D216690"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14,359</w:t>
            </w:r>
          </w:p>
        </w:tc>
        <w:tc>
          <w:tcPr>
            <w:tcW w:w="0" w:type="auto"/>
            <w:tcBorders>
              <w:top w:val="single" w:sz="8" w:space="0" w:color="auto"/>
              <w:left w:val="nil"/>
              <w:bottom w:val="single" w:sz="4" w:space="0" w:color="auto"/>
              <w:right w:val="single" w:sz="4" w:space="0" w:color="auto"/>
            </w:tcBorders>
            <w:shd w:val="clear" w:color="000000" w:fill="000000"/>
            <w:noWrap/>
            <w:vAlign w:val="center"/>
            <w:hideMark/>
          </w:tcPr>
          <w:p w:rsidR="002E0D9A" w:rsidRPr="002E0D9A" w:rsidP="002E0D9A" w14:paraId="55685783"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 </w:t>
            </w:r>
          </w:p>
        </w:tc>
        <w:tc>
          <w:tcPr>
            <w:tcW w:w="0" w:type="auto"/>
            <w:tcBorders>
              <w:top w:val="nil"/>
              <w:left w:val="nil"/>
              <w:bottom w:val="single" w:sz="8" w:space="0" w:color="auto"/>
              <w:right w:val="single" w:sz="4" w:space="0" w:color="auto"/>
            </w:tcBorders>
            <w:shd w:val="clear" w:color="000000" w:fill="E2A5AC"/>
            <w:noWrap/>
            <w:vAlign w:val="center"/>
            <w:hideMark/>
          </w:tcPr>
          <w:p w:rsidR="002E0D9A" w:rsidRPr="002E0D9A" w:rsidP="002E0D9A" w14:paraId="1EF21515" w14:textId="77777777">
            <w:pPr>
              <w:spacing w:after="0" w:line="240" w:lineRule="auto"/>
              <w:jc w:val="right"/>
              <w:rPr>
                <w:rFonts w:ascii="Calibri" w:eastAsia="Times New Roman" w:hAnsi="Calibri" w:cs="Calibri"/>
                <w:color w:val="000000"/>
                <w:sz w:val="20"/>
                <w:szCs w:val="20"/>
              </w:rPr>
            </w:pPr>
            <w:r w:rsidRPr="002E0D9A">
              <w:rPr>
                <w:rFonts w:ascii="Calibri" w:eastAsia="Times New Roman" w:hAnsi="Calibri" w:cs="Calibri"/>
                <w:color w:val="000000"/>
                <w:sz w:val="20"/>
                <w:szCs w:val="20"/>
              </w:rPr>
              <w:t>21,087</w:t>
            </w:r>
          </w:p>
        </w:tc>
        <w:tc>
          <w:tcPr>
            <w:tcW w:w="0" w:type="auto"/>
            <w:tcBorders>
              <w:top w:val="single" w:sz="8" w:space="0" w:color="auto"/>
              <w:left w:val="nil"/>
              <w:bottom w:val="single" w:sz="4" w:space="0" w:color="auto"/>
              <w:right w:val="single" w:sz="4" w:space="0" w:color="auto"/>
            </w:tcBorders>
            <w:shd w:val="clear" w:color="000000" w:fill="000000"/>
            <w:noWrap/>
            <w:vAlign w:val="center"/>
            <w:hideMark/>
          </w:tcPr>
          <w:p w:rsidR="002E0D9A" w:rsidRPr="002E0D9A" w:rsidP="002E0D9A" w14:paraId="481F8DF6" w14:textId="77777777">
            <w:pPr>
              <w:spacing w:after="0" w:line="240" w:lineRule="auto"/>
              <w:jc w:val="right"/>
              <w:rPr>
                <w:rFonts w:ascii="Calibri" w:eastAsia="Times New Roman" w:hAnsi="Calibri" w:cs="Calibri"/>
                <w:b/>
                <w:bCs/>
                <w:color w:val="000000"/>
                <w:sz w:val="20"/>
                <w:szCs w:val="20"/>
              </w:rPr>
            </w:pPr>
            <w:r w:rsidRPr="002E0D9A">
              <w:rPr>
                <w:rFonts w:ascii="Calibri" w:eastAsia="Times New Roman" w:hAnsi="Calibri" w:cs="Calibri"/>
                <w:b/>
                <w:bCs/>
                <w:color w:val="000000"/>
                <w:sz w:val="20"/>
                <w:szCs w:val="20"/>
              </w:rPr>
              <w:t> </w:t>
            </w:r>
          </w:p>
        </w:tc>
      </w:tr>
      <w:tr w14:paraId="618C8C57" w14:textId="77777777" w:rsidTr="002E0D9A">
        <w:tblPrEx>
          <w:tblW w:w="0" w:type="auto"/>
          <w:jc w:val="center"/>
          <w:tblLook w:val="04A0"/>
        </w:tblPrEx>
        <w:trPr>
          <w:trHeight w:val="255"/>
          <w:jc w:val="center"/>
        </w:trPr>
        <w:tc>
          <w:tcPr>
            <w:tcW w:w="0" w:type="auto"/>
            <w:tcBorders>
              <w:top w:val="nil"/>
              <w:left w:val="nil"/>
              <w:bottom w:val="nil"/>
              <w:right w:val="nil"/>
            </w:tcBorders>
            <w:shd w:val="clear" w:color="auto" w:fill="auto"/>
            <w:vAlign w:val="center"/>
            <w:hideMark/>
          </w:tcPr>
          <w:p w:rsidR="002E0D9A" w:rsidRPr="002E0D9A" w:rsidP="002E0D9A" w14:paraId="7BB9F818"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[a]</w:t>
            </w:r>
          </w:p>
        </w:tc>
        <w:tc>
          <w:tcPr>
            <w:tcW w:w="0" w:type="auto"/>
            <w:gridSpan w:val="6"/>
            <w:tcBorders>
              <w:top w:val="nil"/>
              <w:left w:val="nil"/>
              <w:bottom w:val="nil"/>
              <w:right w:val="nil"/>
            </w:tcBorders>
            <w:shd w:val="clear" w:color="auto" w:fill="auto"/>
            <w:vAlign w:val="center"/>
            <w:hideMark/>
          </w:tcPr>
          <w:p w:rsidR="002E0D9A" w:rsidRPr="002E0D9A" w:rsidP="002E0D9A" w14:paraId="286FBC03"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 xml:space="preserve">Recordkeeping can encompass a varied set of related and similar activities that can be reporting organization-specific. DOE has combined these varied activities into one general activity of recordkeeping and estimated total burden hours for each reporting organization to perform </w:t>
            </w:r>
            <w:r w:rsidRPr="002E0D9A">
              <w:rPr>
                <w:rFonts w:ascii="Calibri" w:eastAsia="Times New Roman" w:hAnsi="Calibri" w:cs="Calibri"/>
                <w:color w:val="000000"/>
                <w:sz w:val="18"/>
                <w:szCs w:val="18"/>
              </w:rPr>
              <w:t>all of</w:t>
            </w:r>
            <w:r w:rsidRPr="002E0D9A">
              <w:rPr>
                <w:rFonts w:ascii="Calibri" w:eastAsia="Times New Roman" w:hAnsi="Calibri" w:cs="Calibri"/>
                <w:color w:val="000000"/>
                <w:sz w:val="18"/>
                <w:szCs w:val="18"/>
              </w:rPr>
              <w:t xml:space="preserve"> these activities. The Economic Analysis for the final rule (Chapter 3, Section 3.2.17.2) provides details on these estimates.</w:t>
            </w:r>
          </w:p>
        </w:tc>
      </w:tr>
      <w:tr w14:paraId="1F7B8630" w14:textId="77777777" w:rsidTr="002E0D9A">
        <w:tblPrEx>
          <w:tblW w:w="0" w:type="auto"/>
          <w:jc w:val="center"/>
          <w:tblLook w:val="04A0"/>
        </w:tblPrEx>
        <w:trPr>
          <w:trHeight w:val="255"/>
          <w:jc w:val="center"/>
        </w:trPr>
        <w:tc>
          <w:tcPr>
            <w:tcW w:w="0" w:type="auto"/>
            <w:tcBorders>
              <w:top w:val="nil"/>
              <w:left w:val="nil"/>
              <w:bottom w:val="nil"/>
              <w:right w:val="nil"/>
            </w:tcBorders>
            <w:shd w:val="clear" w:color="auto" w:fill="auto"/>
            <w:vAlign w:val="center"/>
            <w:hideMark/>
          </w:tcPr>
          <w:p w:rsidR="002E0D9A" w:rsidRPr="002E0D9A" w:rsidP="002E0D9A" w14:paraId="67F0C9DB"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[b]</w:t>
            </w:r>
          </w:p>
        </w:tc>
        <w:tc>
          <w:tcPr>
            <w:tcW w:w="0" w:type="auto"/>
            <w:gridSpan w:val="6"/>
            <w:tcBorders>
              <w:top w:val="nil"/>
              <w:left w:val="nil"/>
              <w:bottom w:val="nil"/>
              <w:right w:val="nil"/>
            </w:tcBorders>
            <w:shd w:val="clear" w:color="auto" w:fill="auto"/>
            <w:vAlign w:val="center"/>
            <w:hideMark/>
          </w:tcPr>
          <w:p w:rsidR="002E0D9A" w:rsidRPr="002E0D9A" w:rsidP="002E0D9A" w14:paraId="1B7CD81D"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Each reporting organization is required to perform an assessment of the CBDPP program annually.</w:t>
            </w:r>
          </w:p>
        </w:tc>
      </w:tr>
      <w:tr w14:paraId="44D73D8A" w14:textId="77777777" w:rsidTr="002E0D9A">
        <w:tblPrEx>
          <w:tblW w:w="0" w:type="auto"/>
          <w:jc w:val="center"/>
          <w:tblLook w:val="04A0"/>
        </w:tblPrEx>
        <w:trPr>
          <w:trHeight w:val="255"/>
          <w:jc w:val="center"/>
        </w:trPr>
        <w:tc>
          <w:tcPr>
            <w:tcW w:w="0" w:type="auto"/>
            <w:tcBorders>
              <w:top w:val="nil"/>
              <w:left w:val="nil"/>
              <w:bottom w:val="nil"/>
              <w:right w:val="nil"/>
            </w:tcBorders>
            <w:shd w:val="clear" w:color="auto" w:fill="auto"/>
            <w:vAlign w:val="center"/>
            <w:hideMark/>
          </w:tcPr>
          <w:p w:rsidR="002E0D9A" w:rsidRPr="002E0D9A" w:rsidP="002E0D9A" w14:paraId="60D79502"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[c]</w:t>
            </w:r>
          </w:p>
        </w:tc>
        <w:tc>
          <w:tcPr>
            <w:tcW w:w="0" w:type="auto"/>
            <w:gridSpan w:val="6"/>
            <w:tcBorders>
              <w:top w:val="nil"/>
              <w:left w:val="nil"/>
              <w:bottom w:val="nil"/>
              <w:right w:val="nil"/>
            </w:tcBorders>
            <w:shd w:val="clear" w:color="auto" w:fill="auto"/>
            <w:vAlign w:val="center"/>
            <w:hideMark/>
          </w:tcPr>
          <w:p w:rsidR="002E0D9A" w:rsidRPr="002E0D9A" w:rsidP="002E0D9A" w14:paraId="497C690F"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Only 16 of the affected reporting organizations currently report exposure monitoring results to the Beryllium registry.</w:t>
            </w:r>
          </w:p>
        </w:tc>
      </w:tr>
      <w:tr w14:paraId="050E2106" w14:textId="77777777" w:rsidTr="002E0D9A">
        <w:tblPrEx>
          <w:tblW w:w="0" w:type="auto"/>
          <w:jc w:val="center"/>
          <w:tblLook w:val="04A0"/>
        </w:tblPrEx>
        <w:trPr>
          <w:trHeight w:val="255"/>
          <w:jc w:val="center"/>
        </w:trPr>
        <w:tc>
          <w:tcPr>
            <w:tcW w:w="0" w:type="auto"/>
            <w:tcBorders>
              <w:top w:val="nil"/>
              <w:left w:val="nil"/>
              <w:bottom w:val="nil"/>
              <w:right w:val="nil"/>
            </w:tcBorders>
            <w:shd w:val="clear" w:color="auto" w:fill="auto"/>
            <w:vAlign w:val="center"/>
            <w:hideMark/>
          </w:tcPr>
          <w:p w:rsidR="002E0D9A" w:rsidRPr="002E0D9A" w:rsidP="002E0D9A" w14:paraId="1060AFDA"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[d]</w:t>
            </w:r>
          </w:p>
        </w:tc>
        <w:tc>
          <w:tcPr>
            <w:tcW w:w="0" w:type="auto"/>
            <w:gridSpan w:val="6"/>
            <w:tcBorders>
              <w:top w:val="nil"/>
              <w:left w:val="nil"/>
              <w:bottom w:val="nil"/>
              <w:right w:val="nil"/>
            </w:tcBorders>
            <w:shd w:val="clear" w:color="auto" w:fill="auto"/>
            <w:vAlign w:val="center"/>
            <w:hideMark/>
          </w:tcPr>
          <w:p w:rsidR="002E0D9A" w:rsidRPr="002E0D9A" w:rsidP="002E0D9A" w14:paraId="6846F411"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 xml:space="preserve">This is not the sum of the </w:t>
            </w:r>
            <w:r w:rsidRPr="002E0D9A">
              <w:rPr>
                <w:rFonts w:ascii="Calibri" w:eastAsia="Times New Roman" w:hAnsi="Calibri" w:cs="Calibri"/>
                <w:color w:val="000000"/>
                <w:sz w:val="18"/>
                <w:szCs w:val="18"/>
              </w:rPr>
              <w:t>column, but</w:t>
            </w:r>
            <w:r w:rsidRPr="002E0D9A">
              <w:rPr>
                <w:rFonts w:ascii="Calibri" w:eastAsia="Times New Roman" w:hAnsi="Calibri" w:cs="Calibri"/>
                <w:color w:val="000000"/>
                <w:sz w:val="18"/>
                <w:szCs w:val="18"/>
              </w:rPr>
              <w:t xml:space="preserve"> reflects the number of unique respondents counted in the column. As stated above, each of the 27 reporting organizations counts as a single respondent as do the 6,444 workers.</w:t>
            </w:r>
          </w:p>
        </w:tc>
      </w:tr>
      <w:tr w14:paraId="4D16BBED" w14:textId="77777777" w:rsidTr="002E0D9A">
        <w:tblPrEx>
          <w:tblW w:w="0" w:type="auto"/>
          <w:jc w:val="center"/>
          <w:tblLook w:val="04A0"/>
        </w:tblPrEx>
        <w:trPr>
          <w:trHeight w:val="255"/>
          <w:jc w:val="center"/>
        </w:trPr>
        <w:tc>
          <w:tcPr>
            <w:tcW w:w="0" w:type="auto"/>
            <w:tcBorders>
              <w:top w:val="nil"/>
              <w:left w:val="nil"/>
              <w:bottom w:val="nil"/>
              <w:right w:val="nil"/>
            </w:tcBorders>
            <w:shd w:val="clear" w:color="auto" w:fill="auto"/>
            <w:vAlign w:val="center"/>
            <w:hideMark/>
          </w:tcPr>
          <w:p w:rsidR="002E0D9A" w:rsidRPr="002E0D9A" w:rsidP="002E0D9A" w14:paraId="0A15856D"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[e]</w:t>
            </w:r>
          </w:p>
        </w:tc>
        <w:tc>
          <w:tcPr>
            <w:tcW w:w="0" w:type="auto"/>
            <w:gridSpan w:val="6"/>
            <w:tcBorders>
              <w:top w:val="nil"/>
              <w:left w:val="nil"/>
              <w:bottom w:val="nil"/>
              <w:right w:val="nil"/>
            </w:tcBorders>
            <w:shd w:val="clear" w:color="auto" w:fill="auto"/>
            <w:vAlign w:val="center"/>
            <w:hideMark/>
          </w:tcPr>
          <w:p w:rsidR="002E0D9A" w:rsidRPr="002E0D9A" w:rsidP="002E0D9A" w14:paraId="76AC5A72"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The Beryllium registry reports 1,388, exposure monitoring results in 2023.</w:t>
            </w:r>
          </w:p>
        </w:tc>
      </w:tr>
      <w:tr w14:paraId="7E921C17" w14:textId="77777777" w:rsidTr="002E0D9A">
        <w:tblPrEx>
          <w:tblW w:w="0" w:type="auto"/>
          <w:jc w:val="center"/>
          <w:tblLook w:val="04A0"/>
        </w:tblPrEx>
        <w:trPr>
          <w:trHeight w:val="255"/>
          <w:jc w:val="center"/>
        </w:trPr>
        <w:tc>
          <w:tcPr>
            <w:tcW w:w="0" w:type="auto"/>
            <w:tcBorders>
              <w:top w:val="nil"/>
              <w:left w:val="nil"/>
              <w:bottom w:val="nil"/>
              <w:right w:val="nil"/>
            </w:tcBorders>
            <w:shd w:val="clear" w:color="auto" w:fill="auto"/>
            <w:vAlign w:val="center"/>
            <w:hideMark/>
          </w:tcPr>
          <w:p w:rsidR="002E0D9A" w:rsidRPr="002E0D9A" w:rsidP="002E0D9A" w14:paraId="7C345E51"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[f]</w:t>
            </w:r>
          </w:p>
        </w:tc>
        <w:tc>
          <w:tcPr>
            <w:tcW w:w="0" w:type="auto"/>
            <w:gridSpan w:val="6"/>
            <w:tcBorders>
              <w:top w:val="nil"/>
              <w:left w:val="nil"/>
              <w:bottom w:val="nil"/>
              <w:right w:val="nil"/>
            </w:tcBorders>
            <w:shd w:val="clear" w:color="auto" w:fill="auto"/>
            <w:vAlign w:val="center"/>
            <w:hideMark/>
          </w:tcPr>
          <w:p w:rsidR="002E0D9A" w:rsidRPr="002E0D9A" w:rsidP="002E0D9A" w14:paraId="001346DC"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 xml:space="preserve">The unit burden estimates vary by reporting </w:t>
            </w:r>
            <w:r w:rsidRPr="002E0D9A">
              <w:rPr>
                <w:rFonts w:ascii="Calibri" w:eastAsia="Times New Roman" w:hAnsi="Calibri" w:cs="Calibri"/>
                <w:color w:val="000000"/>
                <w:sz w:val="18"/>
                <w:szCs w:val="18"/>
              </w:rPr>
              <w:t>organization, and</w:t>
            </w:r>
            <w:r w:rsidRPr="002E0D9A">
              <w:rPr>
                <w:rFonts w:ascii="Calibri" w:eastAsia="Times New Roman" w:hAnsi="Calibri" w:cs="Calibri"/>
                <w:color w:val="000000"/>
                <w:sz w:val="18"/>
                <w:szCs w:val="18"/>
              </w:rPr>
              <w:t xml:space="preserve"> </w:t>
            </w:r>
            <w:r w:rsidRPr="002E0D9A">
              <w:rPr>
                <w:rFonts w:ascii="Calibri" w:eastAsia="Times New Roman" w:hAnsi="Calibri" w:cs="Calibri"/>
                <w:color w:val="000000"/>
                <w:sz w:val="18"/>
                <w:szCs w:val="18"/>
              </w:rPr>
              <w:t>was</w:t>
            </w:r>
            <w:r w:rsidRPr="002E0D9A">
              <w:rPr>
                <w:rFonts w:ascii="Calibri" w:eastAsia="Times New Roman" w:hAnsi="Calibri" w:cs="Calibri"/>
                <w:color w:val="000000"/>
                <w:sz w:val="18"/>
                <w:szCs w:val="18"/>
              </w:rPr>
              <w:t xml:space="preserve"> calculated separately for each reporting organization from data made available during the rulemaking. The 2009 ICR estimated that </w:t>
            </w:r>
            <w:r w:rsidRPr="002E0D9A">
              <w:rPr>
                <w:rFonts w:ascii="Calibri" w:eastAsia="Times New Roman" w:hAnsi="Calibri" w:cs="Calibri"/>
                <w:color w:val="000000"/>
                <w:sz w:val="18"/>
                <w:szCs w:val="18"/>
              </w:rPr>
              <w:t>19 affected reporting organizations incurred total burden hours of 1,839 professional hours and 495 clerical hours annually to revise the CBDPP plans, or an average of 96.8 professional hours and 26.05 clerical hours per reporting organization. These estimates have been retained and applied to the update number of affected DOE reporting organizations.</w:t>
            </w:r>
          </w:p>
        </w:tc>
      </w:tr>
      <w:tr w14:paraId="22BD9A19" w14:textId="77777777" w:rsidTr="002E0D9A">
        <w:tblPrEx>
          <w:tblW w:w="0" w:type="auto"/>
          <w:jc w:val="center"/>
          <w:tblLook w:val="04A0"/>
        </w:tblPrEx>
        <w:trPr>
          <w:trHeight w:val="255"/>
          <w:jc w:val="center"/>
        </w:trPr>
        <w:tc>
          <w:tcPr>
            <w:tcW w:w="0" w:type="auto"/>
            <w:tcBorders>
              <w:top w:val="nil"/>
              <w:left w:val="nil"/>
              <w:bottom w:val="nil"/>
              <w:right w:val="nil"/>
            </w:tcBorders>
            <w:shd w:val="clear" w:color="auto" w:fill="auto"/>
            <w:vAlign w:val="center"/>
            <w:hideMark/>
          </w:tcPr>
          <w:p w:rsidR="002E0D9A" w:rsidRPr="002E0D9A" w:rsidP="002E0D9A" w14:paraId="464CAB12"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[g]</w:t>
            </w:r>
          </w:p>
        </w:tc>
        <w:tc>
          <w:tcPr>
            <w:tcW w:w="0" w:type="auto"/>
            <w:gridSpan w:val="6"/>
            <w:tcBorders>
              <w:top w:val="nil"/>
              <w:left w:val="nil"/>
              <w:bottom w:val="nil"/>
              <w:right w:val="nil"/>
            </w:tcBorders>
            <w:shd w:val="clear" w:color="auto" w:fill="auto"/>
            <w:vAlign w:val="center"/>
            <w:hideMark/>
          </w:tcPr>
          <w:p w:rsidR="002E0D9A" w:rsidRPr="002E0D9A" w:rsidP="002E0D9A" w14:paraId="064BBDD0"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Economic Analysis, Chapter 3, Section 3.2.4.4.</w:t>
            </w:r>
          </w:p>
        </w:tc>
      </w:tr>
      <w:tr w14:paraId="493E34A9" w14:textId="77777777" w:rsidTr="002E0D9A">
        <w:tblPrEx>
          <w:tblW w:w="0" w:type="auto"/>
          <w:jc w:val="center"/>
          <w:tblLook w:val="04A0"/>
        </w:tblPrEx>
        <w:trPr>
          <w:trHeight w:val="255"/>
          <w:jc w:val="center"/>
        </w:trPr>
        <w:tc>
          <w:tcPr>
            <w:tcW w:w="0" w:type="auto"/>
            <w:tcBorders>
              <w:top w:val="nil"/>
              <w:left w:val="nil"/>
              <w:bottom w:val="nil"/>
              <w:right w:val="nil"/>
            </w:tcBorders>
            <w:shd w:val="clear" w:color="auto" w:fill="auto"/>
            <w:vAlign w:val="center"/>
            <w:hideMark/>
          </w:tcPr>
          <w:p w:rsidR="002E0D9A" w:rsidRPr="002E0D9A" w:rsidP="002E0D9A" w14:paraId="5ECD7A23"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[h]</w:t>
            </w:r>
          </w:p>
        </w:tc>
        <w:tc>
          <w:tcPr>
            <w:tcW w:w="0" w:type="auto"/>
            <w:gridSpan w:val="6"/>
            <w:tcBorders>
              <w:top w:val="nil"/>
              <w:left w:val="nil"/>
              <w:bottom w:val="nil"/>
              <w:right w:val="nil"/>
            </w:tcBorders>
            <w:shd w:val="clear" w:color="auto" w:fill="auto"/>
            <w:vAlign w:val="center"/>
            <w:hideMark/>
          </w:tcPr>
          <w:p w:rsidR="002E0D9A" w:rsidRPr="002E0D9A" w:rsidP="002E0D9A" w14:paraId="0BD36E61"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The Economic Analysis (Chapter 3, Section 3.2.14.6) assumes 0.25 hours per consent form for workers to review and sign the form.</w:t>
            </w:r>
          </w:p>
        </w:tc>
      </w:tr>
      <w:tr w14:paraId="12985686" w14:textId="77777777" w:rsidTr="002E0D9A">
        <w:tblPrEx>
          <w:tblW w:w="0" w:type="auto"/>
          <w:jc w:val="center"/>
          <w:tblLook w:val="04A0"/>
        </w:tblPrEx>
        <w:trPr>
          <w:trHeight w:val="255"/>
          <w:jc w:val="center"/>
        </w:trPr>
        <w:tc>
          <w:tcPr>
            <w:tcW w:w="0" w:type="auto"/>
            <w:tcBorders>
              <w:top w:val="nil"/>
              <w:left w:val="nil"/>
              <w:bottom w:val="nil"/>
              <w:right w:val="nil"/>
            </w:tcBorders>
            <w:shd w:val="clear" w:color="auto" w:fill="auto"/>
            <w:vAlign w:val="center"/>
            <w:hideMark/>
          </w:tcPr>
          <w:p w:rsidR="002E0D9A" w:rsidRPr="002E0D9A" w:rsidP="002E0D9A" w14:paraId="727724C9"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[i]</w:t>
            </w:r>
          </w:p>
        </w:tc>
        <w:tc>
          <w:tcPr>
            <w:tcW w:w="0" w:type="auto"/>
            <w:gridSpan w:val="6"/>
            <w:tcBorders>
              <w:top w:val="nil"/>
              <w:left w:val="nil"/>
              <w:bottom w:val="nil"/>
              <w:right w:val="nil"/>
            </w:tcBorders>
            <w:shd w:val="clear" w:color="auto" w:fill="auto"/>
            <w:vAlign w:val="center"/>
            <w:hideMark/>
          </w:tcPr>
          <w:p w:rsidR="002E0D9A" w:rsidRPr="002E0D9A" w:rsidP="002E0D9A" w14:paraId="5FCB3AB7"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Economic Analysis, Chapter 3, Section 3.2.14.2.</w:t>
            </w:r>
          </w:p>
        </w:tc>
      </w:tr>
      <w:tr w14:paraId="0C95806A" w14:textId="77777777" w:rsidTr="002E0D9A">
        <w:tblPrEx>
          <w:tblW w:w="0" w:type="auto"/>
          <w:jc w:val="center"/>
          <w:tblLook w:val="04A0"/>
        </w:tblPrEx>
        <w:trPr>
          <w:trHeight w:val="255"/>
          <w:jc w:val="center"/>
        </w:trPr>
        <w:tc>
          <w:tcPr>
            <w:tcW w:w="0" w:type="auto"/>
            <w:tcBorders>
              <w:top w:val="nil"/>
              <w:left w:val="nil"/>
              <w:bottom w:val="nil"/>
              <w:right w:val="nil"/>
            </w:tcBorders>
            <w:shd w:val="clear" w:color="auto" w:fill="auto"/>
            <w:vAlign w:val="center"/>
            <w:hideMark/>
          </w:tcPr>
          <w:p w:rsidR="002E0D9A" w:rsidRPr="002E0D9A" w:rsidP="002E0D9A" w14:paraId="793C1690"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[j]</w:t>
            </w:r>
          </w:p>
        </w:tc>
        <w:tc>
          <w:tcPr>
            <w:tcW w:w="0" w:type="auto"/>
            <w:gridSpan w:val="6"/>
            <w:tcBorders>
              <w:top w:val="nil"/>
              <w:left w:val="nil"/>
              <w:bottom w:val="nil"/>
              <w:right w:val="nil"/>
            </w:tcBorders>
            <w:shd w:val="clear" w:color="auto" w:fill="auto"/>
            <w:vAlign w:val="center"/>
            <w:hideMark/>
          </w:tcPr>
          <w:p w:rsidR="002E0D9A" w:rsidRPr="002E0D9A" w:rsidP="002E0D9A" w14:paraId="113A81E2"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This number represents the average burden from the Economic Analysis for the final rule calculated as the total number of burden hours divided by the number of respondents (reporting organizations).</w:t>
            </w:r>
          </w:p>
        </w:tc>
      </w:tr>
      <w:tr w14:paraId="786A94BF" w14:textId="77777777" w:rsidTr="002E0D9A">
        <w:tblPrEx>
          <w:tblW w:w="0" w:type="auto"/>
          <w:jc w:val="center"/>
          <w:tblLook w:val="04A0"/>
        </w:tblPrEx>
        <w:trPr>
          <w:trHeight w:val="255"/>
          <w:jc w:val="center"/>
        </w:trPr>
        <w:tc>
          <w:tcPr>
            <w:tcW w:w="0" w:type="auto"/>
            <w:tcBorders>
              <w:top w:val="nil"/>
              <w:left w:val="nil"/>
              <w:bottom w:val="nil"/>
              <w:right w:val="nil"/>
            </w:tcBorders>
            <w:shd w:val="clear" w:color="auto" w:fill="auto"/>
            <w:vAlign w:val="center"/>
            <w:hideMark/>
          </w:tcPr>
          <w:p w:rsidR="002E0D9A" w:rsidRPr="002E0D9A" w:rsidP="002E0D9A" w14:paraId="5E6C16A8"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[k]</w:t>
            </w:r>
          </w:p>
        </w:tc>
        <w:tc>
          <w:tcPr>
            <w:tcW w:w="0" w:type="auto"/>
            <w:gridSpan w:val="6"/>
            <w:tcBorders>
              <w:top w:val="nil"/>
              <w:left w:val="nil"/>
              <w:bottom w:val="nil"/>
              <w:right w:val="nil"/>
            </w:tcBorders>
            <w:shd w:val="clear" w:color="auto" w:fill="auto"/>
            <w:vAlign w:val="center"/>
            <w:hideMark/>
          </w:tcPr>
          <w:p w:rsidR="002E0D9A" w:rsidRPr="002E0D9A" w:rsidP="002E0D9A" w14:paraId="73AE150D"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This number represents the average burden calculated as the number of burden hours divided by the number of respondents (reporting organizations). See Economic Analysis, Chapter 3, Section 3.2.18.</w:t>
            </w:r>
          </w:p>
        </w:tc>
      </w:tr>
      <w:tr w14:paraId="7D016D1C" w14:textId="77777777" w:rsidTr="002E0D9A">
        <w:tblPrEx>
          <w:tblW w:w="0" w:type="auto"/>
          <w:jc w:val="center"/>
          <w:tblLook w:val="04A0"/>
        </w:tblPrEx>
        <w:trPr>
          <w:trHeight w:val="255"/>
          <w:jc w:val="center"/>
        </w:trPr>
        <w:tc>
          <w:tcPr>
            <w:tcW w:w="0" w:type="auto"/>
            <w:tcBorders>
              <w:top w:val="nil"/>
              <w:left w:val="nil"/>
              <w:bottom w:val="nil"/>
              <w:right w:val="nil"/>
            </w:tcBorders>
            <w:shd w:val="clear" w:color="auto" w:fill="auto"/>
            <w:vAlign w:val="center"/>
            <w:hideMark/>
          </w:tcPr>
          <w:p w:rsidR="002E0D9A" w:rsidRPr="002E0D9A" w:rsidP="002E0D9A" w14:paraId="2BD95B80"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[l]</w:t>
            </w:r>
          </w:p>
        </w:tc>
        <w:tc>
          <w:tcPr>
            <w:tcW w:w="0" w:type="auto"/>
            <w:gridSpan w:val="6"/>
            <w:tcBorders>
              <w:top w:val="nil"/>
              <w:left w:val="nil"/>
              <w:bottom w:val="nil"/>
              <w:right w:val="nil"/>
            </w:tcBorders>
            <w:shd w:val="clear" w:color="auto" w:fill="auto"/>
            <w:vAlign w:val="center"/>
            <w:hideMark/>
          </w:tcPr>
          <w:p w:rsidR="002E0D9A" w:rsidRPr="002E0D9A" w:rsidP="002E0D9A" w14:paraId="4C97F792"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Calculated as the total number of annual responses (1,388) divided by the number of respondents (16), rounded to the nearest whole integer [1,388/16 = 87].</w:t>
            </w:r>
          </w:p>
        </w:tc>
      </w:tr>
      <w:tr w14:paraId="1DE18925" w14:textId="77777777" w:rsidTr="002E0D9A">
        <w:tblPrEx>
          <w:tblW w:w="0" w:type="auto"/>
          <w:jc w:val="center"/>
          <w:tblLook w:val="04A0"/>
        </w:tblPrEx>
        <w:trPr>
          <w:trHeight w:val="255"/>
          <w:jc w:val="center"/>
        </w:trPr>
        <w:tc>
          <w:tcPr>
            <w:tcW w:w="0" w:type="auto"/>
            <w:tcBorders>
              <w:top w:val="nil"/>
              <w:left w:val="nil"/>
              <w:bottom w:val="nil"/>
              <w:right w:val="nil"/>
            </w:tcBorders>
            <w:shd w:val="clear" w:color="auto" w:fill="auto"/>
            <w:vAlign w:val="center"/>
            <w:hideMark/>
          </w:tcPr>
          <w:p w:rsidR="002E0D9A" w:rsidRPr="002E0D9A" w:rsidP="002E0D9A" w14:paraId="3AC3B98B"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[m]</w:t>
            </w:r>
          </w:p>
        </w:tc>
        <w:tc>
          <w:tcPr>
            <w:tcW w:w="0" w:type="auto"/>
            <w:gridSpan w:val="6"/>
            <w:tcBorders>
              <w:top w:val="nil"/>
              <w:left w:val="nil"/>
              <w:bottom w:val="nil"/>
              <w:right w:val="nil"/>
            </w:tcBorders>
            <w:shd w:val="clear" w:color="auto" w:fill="auto"/>
            <w:vAlign w:val="center"/>
            <w:hideMark/>
          </w:tcPr>
          <w:p w:rsidR="002E0D9A" w:rsidRPr="002E0D9A" w:rsidP="002E0D9A" w14:paraId="01B1D268" w14:textId="6ACC9DAB">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 xml:space="preserve">Each affected worker is required to sign a consent form each time a medical examination is performed. The Beryllium registry reported the 6,444 employee medical screening results and noted that 1 worker </w:t>
            </w:r>
            <w:r w:rsidR="00C1645C">
              <w:rPr>
                <w:rFonts w:ascii="Calibri" w:eastAsia="Times New Roman" w:hAnsi="Calibri" w:cs="Calibri"/>
                <w:color w:val="000000"/>
                <w:sz w:val="18"/>
                <w:szCs w:val="18"/>
              </w:rPr>
              <w:t>was</w:t>
            </w:r>
            <w:r w:rsidRPr="002E0D9A">
              <w:rPr>
                <w:rFonts w:ascii="Calibri" w:eastAsia="Times New Roman" w:hAnsi="Calibri" w:cs="Calibri"/>
                <w:color w:val="000000"/>
                <w:sz w:val="18"/>
                <w:szCs w:val="18"/>
              </w:rPr>
              <w:t xml:space="preserve"> diagnosed as “sensitized” in 2023. DOE assumed that </w:t>
            </w:r>
            <w:r w:rsidRPr="002E0D9A" w:rsidR="00C1645C">
              <w:rPr>
                <w:rFonts w:ascii="Calibri" w:eastAsia="Times New Roman" w:hAnsi="Calibri" w:cs="Calibri"/>
                <w:color w:val="000000"/>
                <w:sz w:val="18"/>
                <w:szCs w:val="18"/>
              </w:rPr>
              <w:t>this 1 worker</w:t>
            </w:r>
            <w:r w:rsidRPr="002E0D9A">
              <w:rPr>
                <w:rFonts w:ascii="Calibri" w:eastAsia="Times New Roman" w:hAnsi="Calibri" w:cs="Calibri"/>
                <w:color w:val="000000"/>
                <w:sz w:val="18"/>
                <w:szCs w:val="18"/>
              </w:rPr>
              <w:t xml:space="preserve"> had a referral medical exam and signed an additional medical consent form. Therefore, DOE estimates that 6,445 (6,444 + 1) medical consent forms will be signed annually.</w:t>
            </w:r>
          </w:p>
        </w:tc>
      </w:tr>
      <w:tr w14:paraId="643AD8E3" w14:textId="77777777" w:rsidTr="002E0D9A">
        <w:tblPrEx>
          <w:tblW w:w="0" w:type="auto"/>
          <w:jc w:val="center"/>
          <w:tblLook w:val="04A0"/>
        </w:tblPrEx>
        <w:trPr>
          <w:trHeight w:val="255"/>
          <w:jc w:val="center"/>
        </w:trPr>
        <w:tc>
          <w:tcPr>
            <w:tcW w:w="0" w:type="auto"/>
            <w:tcBorders>
              <w:top w:val="nil"/>
              <w:left w:val="nil"/>
              <w:bottom w:val="nil"/>
              <w:right w:val="nil"/>
            </w:tcBorders>
            <w:shd w:val="clear" w:color="auto" w:fill="auto"/>
            <w:vAlign w:val="center"/>
            <w:hideMark/>
          </w:tcPr>
          <w:p w:rsidR="002E0D9A" w:rsidRPr="002E0D9A" w:rsidP="002E0D9A" w14:paraId="70570E1B"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[n]</w:t>
            </w:r>
          </w:p>
        </w:tc>
        <w:tc>
          <w:tcPr>
            <w:tcW w:w="0" w:type="auto"/>
            <w:gridSpan w:val="6"/>
            <w:tcBorders>
              <w:top w:val="nil"/>
              <w:left w:val="nil"/>
              <w:bottom w:val="nil"/>
              <w:right w:val="nil"/>
            </w:tcBorders>
            <w:shd w:val="clear" w:color="auto" w:fill="auto"/>
            <w:vAlign w:val="center"/>
            <w:hideMark/>
          </w:tcPr>
          <w:p w:rsidR="002E0D9A" w:rsidRPr="002E0D9A" w:rsidP="002E0D9A" w14:paraId="56C52575" w14:textId="77777777">
            <w:pPr>
              <w:spacing w:after="0" w:line="240" w:lineRule="auto"/>
              <w:rPr>
                <w:rFonts w:ascii="Calibri" w:eastAsia="Times New Roman" w:hAnsi="Calibri" w:cs="Calibri"/>
                <w:color w:val="000000"/>
                <w:sz w:val="18"/>
                <w:szCs w:val="18"/>
              </w:rPr>
            </w:pPr>
            <w:r w:rsidRPr="002E0D9A">
              <w:rPr>
                <w:rFonts w:ascii="Calibri" w:eastAsia="Times New Roman" w:hAnsi="Calibri" w:cs="Calibri"/>
                <w:color w:val="000000"/>
                <w:sz w:val="18"/>
                <w:szCs w:val="18"/>
              </w:rPr>
              <w:t>The Beryllium registry must be updated once for each medical examination, which is the same as note [m] above.</w:t>
            </w:r>
          </w:p>
        </w:tc>
      </w:tr>
    </w:tbl>
    <w:p w:rsidR="00795A0D" w:rsidRPr="00E86580" w:rsidP="00CD1D70" w14:paraId="73B6880A" w14:textId="77777777">
      <w:pPr>
        <w:pStyle w:val="BodyTextIndent"/>
        <w:spacing w:after="0"/>
        <w:ind w:left="0"/>
      </w:pPr>
    </w:p>
    <w:p w:rsidR="006F3C12" w:rsidP="008618F0" w14:paraId="55BD99F1" w14:textId="77777777">
      <w:pPr>
        <w:pStyle w:val="Heading2"/>
        <w:spacing w:before="0"/>
      </w:pPr>
      <w:bookmarkStart w:id="22" w:name="_Ref54602775"/>
      <w:bookmarkStart w:id="23" w:name="_Toc184648850"/>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22"/>
      <w:bookmarkEnd w:id="23"/>
      <w:r w:rsidRPr="00F056C3">
        <w:t xml:space="preserve"> </w:t>
      </w:r>
    </w:p>
    <w:p w:rsidR="006F3C12" w:rsidP="00E44CFC" w14:paraId="65C78D96" w14:textId="494DA8E7">
      <w:pPr>
        <w:pStyle w:val="Default"/>
        <w:rPr>
          <w:rFonts w:asciiTheme="minorHAnsi" w:hAnsiTheme="minorHAnsi"/>
          <w:b/>
          <w:bCs/>
        </w:rPr>
      </w:pPr>
      <w:r w:rsidRPr="00E44CFC">
        <w:rPr>
          <w:rFonts w:asciiTheme="minorHAnsi" w:hAnsiTheme="minorHAnsi"/>
          <w:b/>
          <w:bCs/>
        </w:rPr>
        <w:t xml:space="preserve">Provide estimates of annualized cost to respondents for the hour burdens for collections of information, identifying and using appropriate wage rate categories. </w:t>
      </w:r>
      <w:r w:rsidR="00A841AD">
        <w:rPr>
          <w:rFonts w:asciiTheme="minorHAnsi" w:hAnsiTheme="minorHAnsi"/>
          <w:b/>
          <w:bCs/>
        </w:rPr>
        <w:t xml:space="preserve"> </w:t>
      </w:r>
      <w:r w:rsidRPr="00E44CFC">
        <w:rPr>
          <w:rFonts w:asciiTheme="minorHAnsi" w:hAnsiTheme="minorHAnsi"/>
          <w:b/>
          <w:bCs/>
        </w:rPr>
        <w:t xml:space="preserve">The cost of contracting out or paying outside parties for information collection activities should not be included here. Instead, this cost should be included under ‘Annual Cost to Federal Government’. </w:t>
      </w:r>
    </w:p>
    <w:p w:rsidR="00E44CFC" w:rsidRPr="00E44CFC" w:rsidP="00E44CFC" w14:paraId="282D7D92" w14:textId="77777777">
      <w:pPr>
        <w:pStyle w:val="Default"/>
        <w:rPr>
          <w:rFonts w:asciiTheme="minorHAnsi" w:hAnsiTheme="minorHAnsi"/>
        </w:rPr>
      </w:pPr>
    </w:p>
    <w:p w:rsidR="00AD7C18" w:rsidP="00E44CFC" w14:paraId="30D2912A" w14:textId="5582228E">
      <w:pPr>
        <w:pStyle w:val="BodyTextIndent"/>
        <w:spacing w:after="0"/>
        <w:ind w:left="0"/>
      </w:pPr>
      <w:r w:rsidRPr="00141452">
        <w:t>Table A2</w:t>
      </w:r>
      <w:r w:rsidR="00AE78B6">
        <w:t xml:space="preserve"> summarizes the estimated annual recurring costs for this ICR. The notes to </w:t>
      </w:r>
      <w:r w:rsidRPr="00141452">
        <w:t>Table A2</w:t>
      </w:r>
      <w:r w:rsidR="00AE78B6">
        <w:t xml:space="preserve"> provide details on the how these costs were derived, including the estimated hourly labor costs</w:t>
      </w:r>
      <w:r w:rsidR="00E86580">
        <w:t xml:space="preserve">. </w:t>
      </w:r>
      <w:r w:rsidR="00A841AD">
        <w:t xml:space="preserve"> </w:t>
      </w:r>
      <w:r w:rsidR="00AE78B6">
        <w:t>As noted above, all initial requirements have been completed and thus only annual recurring costs are incurred under this ICR</w:t>
      </w:r>
      <w:r w:rsidR="00E86580">
        <w:t>.</w:t>
      </w:r>
      <w:r w:rsidR="008A3609">
        <w:t xml:space="preserve">  </w:t>
      </w:r>
      <w:r w:rsidR="00AE78B6">
        <w:t>DOE estimates that the CBDPP will impose $</w:t>
      </w:r>
      <w:r>
        <w:t>2.25</w:t>
      </w:r>
      <w:r w:rsidR="00AE78B6">
        <w:t xml:space="preserve"> million in annual recurring paperwork burden costs. </w:t>
      </w:r>
    </w:p>
    <w:p w:rsidR="00B30324" w:rsidP="00E44CFC" w14:paraId="40FDE51A" w14:textId="77777777">
      <w:pPr>
        <w:pStyle w:val="BodyTextIndent"/>
        <w:spacing w:after="0"/>
        <w:ind w:left="0"/>
      </w:pPr>
    </w:p>
    <w:tbl>
      <w:tblPr>
        <w:tblW w:w="0" w:type="auto"/>
        <w:jc w:val="center"/>
        <w:tblLook w:val="04A0"/>
      </w:tblPr>
      <w:tblGrid>
        <w:gridCol w:w="1864"/>
        <w:gridCol w:w="2103"/>
        <w:gridCol w:w="1824"/>
        <w:gridCol w:w="1466"/>
        <w:gridCol w:w="2103"/>
      </w:tblGrid>
      <w:tr w14:paraId="2BEF0D6F" w14:textId="77777777" w:rsidTr="00B30324">
        <w:tblPrEx>
          <w:tblW w:w="0" w:type="auto"/>
          <w:jc w:val="center"/>
          <w:tblLook w:val="04A0"/>
        </w:tblPrEx>
        <w:trPr>
          <w:trHeight w:val="255"/>
          <w:tblHeader/>
          <w:jc w:val="center"/>
        </w:trPr>
        <w:tc>
          <w:tcPr>
            <w:tcW w:w="0" w:type="auto"/>
            <w:gridSpan w:val="5"/>
            <w:tcBorders>
              <w:top w:val="nil"/>
              <w:left w:val="nil"/>
              <w:bottom w:val="nil"/>
              <w:right w:val="nil"/>
            </w:tcBorders>
            <w:shd w:val="clear" w:color="auto" w:fill="auto"/>
            <w:vAlign w:val="center"/>
            <w:hideMark/>
          </w:tcPr>
          <w:p w:rsidR="00AD7C18" w:rsidRPr="00AD7C18" w:rsidP="00AD7C18" w14:paraId="5BE99B13" w14:textId="77777777">
            <w:pPr>
              <w:spacing w:after="0" w:line="240" w:lineRule="auto"/>
              <w:jc w:val="center"/>
              <w:rPr>
                <w:rFonts w:ascii="Calibri" w:eastAsia="Times New Roman" w:hAnsi="Calibri" w:cs="Calibri"/>
                <w:b/>
                <w:bCs/>
                <w:color w:val="0070C0"/>
                <w:sz w:val="28"/>
                <w:szCs w:val="28"/>
              </w:rPr>
            </w:pPr>
            <w:r w:rsidRPr="00AD7C18">
              <w:rPr>
                <w:rFonts w:ascii="Calibri" w:eastAsia="Times New Roman" w:hAnsi="Calibri" w:cs="Calibri"/>
                <w:b/>
                <w:bCs/>
                <w:color w:val="0070C0"/>
                <w:sz w:val="28"/>
                <w:szCs w:val="28"/>
              </w:rPr>
              <w:t>Table A2. Estimated Respondent Cost Burden</w:t>
            </w:r>
          </w:p>
        </w:tc>
      </w:tr>
      <w:tr w14:paraId="77EFABE4" w14:textId="77777777" w:rsidTr="00B30324">
        <w:tblPrEx>
          <w:tblW w:w="0" w:type="auto"/>
          <w:jc w:val="center"/>
          <w:tblLook w:val="04A0"/>
        </w:tblPrEx>
        <w:trPr>
          <w:trHeight w:val="255"/>
          <w:tblHeader/>
          <w:jc w:val="center"/>
        </w:trPr>
        <w:tc>
          <w:tcPr>
            <w:tcW w:w="0" w:type="auto"/>
            <w:tcBorders>
              <w:top w:val="single" w:sz="8" w:space="0" w:color="auto"/>
              <w:left w:val="single" w:sz="8" w:space="0" w:color="auto"/>
              <w:bottom w:val="single" w:sz="8" w:space="0" w:color="auto"/>
              <w:right w:val="single" w:sz="4" w:space="0" w:color="auto"/>
            </w:tcBorders>
            <w:shd w:val="clear" w:color="000000" w:fill="00B0F0"/>
            <w:vAlign w:val="center"/>
            <w:hideMark/>
          </w:tcPr>
          <w:p w:rsidR="00AD7C18" w:rsidRPr="00AD7C18" w:rsidP="00AD7C18" w14:paraId="0CE31386" w14:textId="77777777">
            <w:pPr>
              <w:spacing w:after="0" w:line="240" w:lineRule="auto"/>
              <w:jc w:val="center"/>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Form Number/Title (and/or other Collection Instrument name)</w:t>
            </w:r>
          </w:p>
        </w:tc>
        <w:tc>
          <w:tcPr>
            <w:tcW w:w="0" w:type="auto"/>
            <w:tcBorders>
              <w:top w:val="single" w:sz="8" w:space="0" w:color="auto"/>
              <w:left w:val="nil"/>
              <w:bottom w:val="single" w:sz="8" w:space="0" w:color="auto"/>
              <w:right w:val="single" w:sz="4" w:space="0" w:color="auto"/>
            </w:tcBorders>
            <w:shd w:val="clear" w:color="000000" w:fill="00B0F0"/>
            <w:vAlign w:val="center"/>
            <w:hideMark/>
          </w:tcPr>
          <w:p w:rsidR="00AD7C18" w:rsidRPr="00AD7C18" w:rsidP="00AD7C18" w14:paraId="7E70B7FE" w14:textId="77777777">
            <w:pPr>
              <w:spacing w:after="0" w:line="240" w:lineRule="auto"/>
              <w:jc w:val="center"/>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Type of Respondents</w:t>
            </w:r>
          </w:p>
        </w:tc>
        <w:tc>
          <w:tcPr>
            <w:tcW w:w="0" w:type="auto"/>
            <w:tcBorders>
              <w:top w:val="single" w:sz="8" w:space="0" w:color="auto"/>
              <w:left w:val="nil"/>
              <w:bottom w:val="single" w:sz="8" w:space="0" w:color="auto"/>
              <w:right w:val="single" w:sz="4" w:space="0" w:color="auto"/>
            </w:tcBorders>
            <w:shd w:val="clear" w:color="000000" w:fill="00B0F0"/>
            <w:vAlign w:val="center"/>
            <w:hideMark/>
          </w:tcPr>
          <w:p w:rsidR="00AD7C18" w:rsidRPr="00AD7C18" w:rsidP="00AD7C18" w14:paraId="454F93F1" w14:textId="77777777">
            <w:pPr>
              <w:spacing w:after="0" w:line="240" w:lineRule="auto"/>
              <w:jc w:val="center"/>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Total Annual Burden Hours [a]</w:t>
            </w:r>
          </w:p>
        </w:tc>
        <w:tc>
          <w:tcPr>
            <w:tcW w:w="0" w:type="auto"/>
            <w:tcBorders>
              <w:top w:val="single" w:sz="8" w:space="0" w:color="auto"/>
              <w:left w:val="nil"/>
              <w:bottom w:val="single" w:sz="8" w:space="0" w:color="auto"/>
              <w:right w:val="single" w:sz="4" w:space="0" w:color="auto"/>
            </w:tcBorders>
            <w:shd w:val="clear" w:color="000000" w:fill="00B0F0"/>
            <w:vAlign w:val="center"/>
            <w:hideMark/>
          </w:tcPr>
          <w:p w:rsidR="00AD7C18" w:rsidRPr="00AD7C18" w:rsidP="00AD7C18" w14:paraId="18EB6A62" w14:textId="77777777">
            <w:pPr>
              <w:spacing w:after="0" w:line="240" w:lineRule="auto"/>
              <w:jc w:val="center"/>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Hourly Wage Rate</w:t>
            </w:r>
          </w:p>
        </w:tc>
        <w:tc>
          <w:tcPr>
            <w:tcW w:w="0" w:type="auto"/>
            <w:tcBorders>
              <w:top w:val="single" w:sz="8" w:space="0" w:color="auto"/>
              <w:left w:val="nil"/>
              <w:bottom w:val="single" w:sz="8" w:space="0" w:color="auto"/>
              <w:right w:val="single" w:sz="8" w:space="0" w:color="auto"/>
            </w:tcBorders>
            <w:shd w:val="clear" w:color="000000" w:fill="00B0F0"/>
            <w:vAlign w:val="center"/>
            <w:hideMark/>
          </w:tcPr>
          <w:p w:rsidR="00AD7C18" w:rsidRPr="00AD7C18" w:rsidP="00AD7C18" w14:paraId="1A5CDF4F" w14:textId="77777777">
            <w:pPr>
              <w:spacing w:after="0" w:line="240" w:lineRule="auto"/>
              <w:jc w:val="center"/>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Total Respondent Costs</w:t>
            </w:r>
          </w:p>
        </w:tc>
      </w:tr>
      <w:tr w14:paraId="588920F7" w14:textId="77777777" w:rsidTr="00AD7C18">
        <w:tblPrEx>
          <w:tblW w:w="0" w:type="auto"/>
          <w:jc w:val="center"/>
          <w:tblLook w:val="04A0"/>
        </w:tblPrEx>
        <w:trPr>
          <w:trHeight w:val="255"/>
          <w:jc w:val="center"/>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AD7C18" w:rsidRPr="00AD7C18" w:rsidP="00AD7C18" w14:paraId="40A253FF"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Annual Revision to CBDPP Plans</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2E7D3561" w14:textId="77777777">
            <w:pPr>
              <w:spacing w:after="0" w:line="240" w:lineRule="auto"/>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All</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1475989E" w14:textId="77777777">
            <w:pPr>
              <w:spacing w:after="0" w:line="240" w:lineRule="auto"/>
              <w:jc w:val="right"/>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3,317</w:t>
            </w:r>
          </w:p>
        </w:tc>
        <w:tc>
          <w:tcPr>
            <w:tcW w:w="0" w:type="auto"/>
            <w:tcBorders>
              <w:top w:val="nil"/>
              <w:left w:val="nil"/>
              <w:bottom w:val="single" w:sz="4" w:space="0" w:color="auto"/>
              <w:right w:val="single" w:sz="4" w:space="0" w:color="auto"/>
            </w:tcBorders>
            <w:shd w:val="clear" w:color="000000" w:fill="333333"/>
            <w:noWrap/>
            <w:vAlign w:val="center"/>
            <w:hideMark/>
          </w:tcPr>
          <w:p w:rsidR="00AD7C18" w:rsidRPr="00AD7C18" w:rsidP="00AD7C18" w14:paraId="7E6C98B9" w14:textId="77777777">
            <w:pPr>
              <w:spacing w:after="0" w:line="240" w:lineRule="auto"/>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8" w:space="0" w:color="auto"/>
            </w:tcBorders>
            <w:shd w:val="clear" w:color="000000" w:fill="E2A5AC"/>
            <w:noWrap/>
            <w:vAlign w:val="center"/>
            <w:hideMark/>
          </w:tcPr>
          <w:p w:rsidR="00AD7C18" w:rsidRPr="00AD7C18" w:rsidP="00AD7C18" w14:paraId="272BDB4F" w14:textId="77777777">
            <w:pPr>
              <w:spacing w:after="0" w:line="240" w:lineRule="auto"/>
              <w:jc w:val="right"/>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$400,932.58</w:t>
            </w:r>
          </w:p>
        </w:tc>
      </w:tr>
      <w:tr w14:paraId="267A1DB5" w14:textId="77777777" w:rsidTr="00AD7C18">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AD7C18" w:rsidRPr="00AD7C18" w:rsidP="00AD7C18" w14:paraId="1FC29792"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073D8ED7"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Professional [b]</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5F9D7691"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2,614</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36DA75D0"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$140.47</w:t>
            </w:r>
          </w:p>
        </w:tc>
        <w:tc>
          <w:tcPr>
            <w:tcW w:w="0" w:type="auto"/>
            <w:tcBorders>
              <w:top w:val="nil"/>
              <w:left w:val="nil"/>
              <w:bottom w:val="single" w:sz="4" w:space="0" w:color="auto"/>
              <w:right w:val="single" w:sz="8" w:space="0" w:color="auto"/>
            </w:tcBorders>
            <w:shd w:val="clear" w:color="000000" w:fill="E2A5AC"/>
            <w:noWrap/>
            <w:vAlign w:val="center"/>
            <w:hideMark/>
          </w:tcPr>
          <w:p w:rsidR="00AD7C18" w:rsidRPr="00AD7C18" w:rsidP="00AD7C18" w14:paraId="75E67DEF"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$367,188.58</w:t>
            </w:r>
          </w:p>
        </w:tc>
      </w:tr>
      <w:tr w14:paraId="024DEB74" w14:textId="77777777" w:rsidTr="00AD7C18">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AD7C18" w:rsidRPr="00AD7C18" w:rsidP="00AD7C18" w14:paraId="35D2612D"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8" w:space="0" w:color="auto"/>
              <w:right w:val="single" w:sz="4" w:space="0" w:color="auto"/>
            </w:tcBorders>
            <w:shd w:val="clear" w:color="auto" w:fill="auto"/>
            <w:noWrap/>
            <w:vAlign w:val="center"/>
            <w:hideMark/>
          </w:tcPr>
          <w:p w:rsidR="00AD7C18" w:rsidRPr="00AD7C18" w:rsidP="00AD7C18" w14:paraId="62E6CC91"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Clerical [c]</w:t>
            </w:r>
          </w:p>
        </w:tc>
        <w:tc>
          <w:tcPr>
            <w:tcW w:w="0" w:type="auto"/>
            <w:tcBorders>
              <w:top w:val="nil"/>
              <w:left w:val="nil"/>
              <w:bottom w:val="single" w:sz="8" w:space="0" w:color="auto"/>
              <w:right w:val="single" w:sz="4" w:space="0" w:color="auto"/>
            </w:tcBorders>
            <w:shd w:val="clear" w:color="auto" w:fill="auto"/>
            <w:noWrap/>
            <w:vAlign w:val="center"/>
            <w:hideMark/>
          </w:tcPr>
          <w:p w:rsidR="00AD7C18" w:rsidRPr="00AD7C18" w:rsidP="00AD7C18" w14:paraId="4B42D2FB"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703</w:t>
            </w:r>
          </w:p>
        </w:tc>
        <w:tc>
          <w:tcPr>
            <w:tcW w:w="0" w:type="auto"/>
            <w:tcBorders>
              <w:top w:val="nil"/>
              <w:left w:val="nil"/>
              <w:bottom w:val="single" w:sz="8" w:space="0" w:color="auto"/>
              <w:right w:val="single" w:sz="4" w:space="0" w:color="auto"/>
            </w:tcBorders>
            <w:shd w:val="clear" w:color="auto" w:fill="auto"/>
            <w:noWrap/>
            <w:vAlign w:val="center"/>
            <w:hideMark/>
          </w:tcPr>
          <w:p w:rsidR="00AD7C18" w:rsidRPr="00AD7C18" w:rsidP="00AD7C18" w14:paraId="5DA4CE22"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$48.00</w:t>
            </w:r>
          </w:p>
        </w:tc>
        <w:tc>
          <w:tcPr>
            <w:tcW w:w="0" w:type="auto"/>
            <w:tcBorders>
              <w:top w:val="nil"/>
              <w:left w:val="nil"/>
              <w:bottom w:val="single" w:sz="8" w:space="0" w:color="auto"/>
              <w:right w:val="single" w:sz="8" w:space="0" w:color="auto"/>
            </w:tcBorders>
            <w:shd w:val="clear" w:color="000000" w:fill="E2A5AC"/>
            <w:noWrap/>
            <w:vAlign w:val="center"/>
            <w:hideMark/>
          </w:tcPr>
          <w:p w:rsidR="00AD7C18" w:rsidRPr="00AD7C18" w:rsidP="00AD7C18" w14:paraId="1684DE39"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$33,744.00</w:t>
            </w:r>
          </w:p>
        </w:tc>
      </w:tr>
      <w:tr w14:paraId="654F67B4" w14:textId="77777777" w:rsidTr="00AD7C18">
        <w:tblPrEx>
          <w:tblW w:w="0" w:type="auto"/>
          <w:jc w:val="center"/>
          <w:tblLook w:val="04A0"/>
        </w:tblPrEx>
        <w:trPr>
          <w:trHeight w:val="255"/>
          <w:jc w:val="center"/>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AD7C18" w:rsidRPr="00AD7C18" w:rsidP="00AD7C18" w14:paraId="024E8435"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Worker Notification of Monitoring Results</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1932882D" w14:textId="77777777">
            <w:pPr>
              <w:spacing w:after="0" w:line="240" w:lineRule="auto"/>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All</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429EE32F" w14:textId="77777777">
            <w:pPr>
              <w:spacing w:after="0" w:line="240" w:lineRule="auto"/>
              <w:jc w:val="right"/>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278</w:t>
            </w:r>
          </w:p>
        </w:tc>
        <w:tc>
          <w:tcPr>
            <w:tcW w:w="0" w:type="auto"/>
            <w:tcBorders>
              <w:top w:val="nil"/>
              <w:left w:val="nil"/>
              <w:bottom w:val="single" w:sz="4" w:space="0" w:color="auto"/>
              <w:right w:val="single" w:sz="4" w:space="0" w:color="auto"/>
            </w:tcBorders>
            <w:shd w:val="clear" w:color="000000" w:fill="333333"/>
            <w:noWrap/>
            <w:vAlign w:val="center"/>
            <w:hideMark/>
          </w:tcPr>
          <w:p w:rsidR="00AD7C18" w:rsidRPr="00AD7C18" w:rsidP="00AD7C18" w14:paraId="647E672B" w14:textId="77777777">
            <w:pPr>
              <w:spacing w:after="0" w:line="240" w:lineRule="auto"/>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8" w:space="0" w:color="auto"/>
            </w:tcBorders>
            <w:shd w:val="clear" w:color="000000" w:fill="E2A5AC"/>
            <w:noWrap/>
            <w:vAlign w:val="center"/>
            <w:hideMark/>
          </w:tcPr>
          <w:p w:rsidR="00AD7C18" w:rsidRPr="00AD7C18" w:rsidP="00AD7C18" w14:paraId="6048D63A" w14:textId="77777777">
            <w:pPr>
              <w:spacing w:after="0" w:line="240" w:lineRule="auto"/>
              <w:jc w:val="right"/>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$13,344.00</w:t>
            </w:r>
          </w:p>
        </w:tc>
      </w:tr>
      <w:tr w14:paraId="232BF67C" w14:textId="77777777" w:rsidTr="00AD7C18">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AD7C18" w:rsidRPr="00AD7C18" w:rsidP="00AD7C18" w14:paraId="324A4F2A"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67CBD1E0"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Professional [b]</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113F737E"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4A3E5894"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$140.47</w:t>
            </w:r>
          </w:p>
        </w:tc>
        <w:tc>
          <w:tcPr>
            <w:tcW w:w="0" w:type="auto"/>
            <w:tcBorders>
              <w:top w:val="nil"/>
              <w:left w:val="nil"/>
              <w:bottom w:val="single" w:sz="4" w:space="0" w:color="auto"/>
              <w:right w:val="single" w:sz="8" w:space="0" w:color="auto"/>
            </w:tcBorders>
            <w:shd w:val="clear" w:color="000000" w:fill="E2A5AC"/>
            <w:noWrap/>
            <w:vAlign w:val="center"/>
            <w:hideMark/>
          </w:tcPr>
          <w:p w:rsidR="00AD7C18" w:rsidRPr="00AD7C18" w:rsidP="00AD7C18" w14:paraId="54D8FB42"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$0.00</w:t>
            </w:r>
          </w:p>
        </w:tc>
      </w:tr>
      <w:tr w14:paraId="6590CCA7" w14:textId="77777777" w:rsidTr="00AD7C18">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AD7C18" w:rsidRPr="00AD7C18" w:rsidP="00AD7C18" w14:paraId="689BAEEA"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8" w:space="0" w:color="auto"/>
              <w:right w:val="single" w:sz="4" w:space="0" w:color="auto"/>
            </w:tcBorders>
            <w:shd w:val="clear" w:color="auto" w:fill="auto"/>
            <w:noWrap/>
            <w:vAlign w:val="center"/>
            <w:hideMark/>
          </w:tcPr>
          <w:p w:rsidR="00AD7C18" w:rsidRPr="00AD7C18" w:rsidP="00AD7C18" w14:paraId="379225DE"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Clerical [c]</w:t>
            </w:r>
          </w:p>
        </w:tc>
        <w:tc>
          <w:tcPr>
            <w:tcW w:w="0" w:type="auto"/>
            <w:tcBorders>
              <w:top w:val="nil"/>
              <w:left w:val="nil"/>
              <w:bottom w:val="single" w:sz="8" w:space="0" w:color="auto"/>
              <w:right w:val="single" w:sz="4" w:space="0" w:color="auto"/>
            </w:tcBorders>
            <w:shd w:val="clear" w:color="auto" w:fill="auto"/>
            <w:noWrap/>
            <w:vAlign w:val="center"/>
            <w:hideMark/>
          </w:tcPr>
          <w:p w:rsidR="00AD7C18" w:rsidRPr="00AD7C18" w:rsidP="00AD7C18" w14:paraId="7CC38DD6"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278</w:t>
            </w:r>
          </w:p>
        </w:tc>
        <w:tc>
          <w:tcPr>
            <w:tcW w:w="0" w:type="auto"/>
            <w:tcBorders>
              <w:top w:val="nil"/>
              <w:left w:val="nil"/>
              <w:bottom w:val="single" w:sz="8" w:space="0" w:color="auto"/>
              <w:right w:val="single" w:sz="4" w:space="0" w:color="auto"/>
            </w:tcBorders>
            <w:shd w:val="clear" w:color="auto" w:fill="auto"/>
            <w:noWrap/>
            <w:vAlign w:val="center"/>
            <w:hideMark/>
          </w:tcPr>
          <w:p w:rsidR="00AD7C18" w:rsidRPr="00AD7C18" w:rsidP="00AD7C18" w14:paraId="752542ED"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$48.00</w:t>
            </w:r>
          </w:p>
        </w:tc>
        <w:tc>
          <w:tcPr>
            <w:tcW w:w="0" w:type="auto"/>
            <w:tcBorders>
              <w:top w:val="nil"/>
              <w:left w:val="nil"/>
              <w:bottom w:val="single" w:sz="8" w:space="0" w:color="auto"/>
              <w:right w:val="single" w:sz="8" w:space="0" w:color="auto"/>
            </w:tcBorders>
            <w:shd w:val="clear" w:color="000000" w:fill="E2A5AC"/>
            <w:noWrap/>
            <w:vAlign w:val="center"/>
            <w:hideMark/>
          </w:tcPr>
          <w:p w:rsidR="00AD7C18" w:rsidRPr="00AD7C18" w:rsidP="00AD7C18" w14:paraId="3185656D"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$13,344.00</w:t>
            </w:r>
          </w:p>
        </w:tc>
      </w:tr>
      <w:tr w14:paraId="2BB08480" w14:textId="77777777" w:rsidTr="00AD7C18">
        <w:tblPrEx>
          <w:tblW w:w="0" w:type="auto"/>
          <w:jc w:val="center"/>
          <w:tblLook w:val="04A0"/>
        </w:tblPrEx>
        <w:trPr>
          <w:trHeight w:val="255"/>
          <w:jc w:val="center"/>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AD7C18" w:rsidRPr="00AD7C18" w:rsidP="00AD7C18" w14:paraId="7F081C7F"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Signed Consent Forms for Medical Exams</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753A41AC" w14:textId="77777777">
            <w:pPr>
              <w:spacing w:after="0" w:line="240" w:lineRule="auto"/>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All</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56F66855" w14:textId="77777777">
            <w:pPr>
              <w:spacing w:after="0" w:line="240" w:lineRule="auto"/>
              <w:jc w:val="right"/>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1,611</w:t>
            </w:r>
          </w:p>
        </w:tc>
        <w:tc>
          <w:tcPr>
            <w:tcW w:w="0" w:type="auto"/>
            <w:tcBorders>
              <w:top w:val="nil"/>
              <w:left w:val="nil"/>
              <w:bottom w:val="single" w:sz="4" w:space="0" w:color="auto"/>
              <w:right w:val="single" w:sz="4" w:space="0" w:color="auto"/>
            </w:tcBorders>
            <w:shd w:val="clear" w:color="000000" w:fill="333333"/>
            <w:noWrap/>
            <w:vAlign w:val="center"/>
            <w:hideMark/>
          </w:tcPr>
          <w:p w:rsidR="00AD7C18" w:rsidRPr="00AD7C18" w:rsidP="00AD7C18" w14:paraId="460D60AB" w14:textId="77777777">
            <w:pPr>
              <w:spacing w:after="0" w:line="240" w:lineRule="auto"/>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8" w:space="0" w:color="auto"/>
            </w:tcBorders>
            <w:shd w:val="clear" w:color="000000" w:fill="E2A5AC"/>
            <w:noWrap/>
            <w:vAlign w:val="center"/>
            <w:hideMark/>
          </w:tcPr>
          <w:p w:rsidR="00AD7C18" w:rsidRPr="00AD7C18" w:rsidP="00AD7C18" w14:paraId="0A424728" w14:textId="77777777">
            <w:pPr>
              <w:spacing w:after="0" w:line="240" w:lineRule="auto"/>
              <w:jc w:val="right"/>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$239,072.40</w:t>
            </w:r>
          </w:p>
        </w:tc>
      </w:tr>
      <w:tr w14:paraId="73C8CCC1" w14:textId="77777777" w:rsidTr="00AD7C18">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AD7C18" w:rsidRPr="00AD7C18" w:rsidP="00AD7C18" w14:paraId="2DD7FA78"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51B08A82"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Worker [d]</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7CBE90EA"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1,611</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35CA4C3B"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$148.40</w:t>
            </w:r>
          </w:p>
        </w:tc>
        <w:tc>
          <w:tcPr>
            <w:tcW w:w="0" w:type="auto"/>
            <w:tcBorders>
              <w:top w:val="nil"/>
              <w:left w:val="nil"/>
              <w:bottom w:val="single" w:sz="4" w:space="0" w:color="auto"/>
              <w:right w:val="single" w:sz="8" w:space="0" w:color="auto"/>
            </w:tcBorders>
            <w:shd w:val="clear" w:color="000000" w:fill="E2A5AC"/>
            <w:noWrap/>
            <w:vAlign w:val="center"/>
            <w:hideMark/>
          </w:tcPr>
          <w:p w:rsidR="00AD7C18" w:rsidRPr="00AD7C18" w:rsidP="00AD7C18" w14:paraId="2CDB4A94"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$239,072.40</w:t>
            </w:r>
          </w:p>
        </w:tc>
      </w:tr>
      <w:tr w14:paraId="097EF491" w14:textId="77777777" w:rsidTr="00AD7C18">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AD7C18" w:rsidRPr="00AD7C18" w:rsidP="00AD7C18" w14:paraId="796402C5"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8" w:space="0" w:color="auto"/>
              <w:right w:val="single" w:sz="4" w:space="0" w:color="auto"/>
            </w:tcBorders>
            <w:shd w:val="clear" w:color="auto" w:fill="auto"/>
            <w:noWrap/>
            <w:vAlign w:val="center"/>
            <w:hideMark/>
          </w:tcPr>
          <w:p w:rsidR="00AD7C18" w:rsidRPr="00AD7C18" w:rsidP="00AD7C18" w14:paraId="0CCB26BF"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Clerical [c]</w:t>
            </w:r>
          </w:p>
        </w:tc>
        <w:tc>
          <w:tcPr>
            <w:tcW w:w="0" w:type="auto"/>
            <w:tcBorders>
              <w:top w:val="nil"/>
              <w:left w:val="nil"/>
              <w:bottom w:val="single" w:sz="8" w:space="0" w:color="auto"/>
              <w:right w:val="single" w:sz="4" w:space="0" w:color="auto"/>
            </w:tcBorders>
            <w:shd w:val="clear" w:color="auto" w:fill="auto"/>
            <w:noWrap/>
            <w:vAlign w:val="center"/>
            <w:hideMark/>
          </w:tcPr>
          <w:p w:rsidR="00AD7C18" w:rsidRPr="00AD7C18" w:rsidP="00AD7C18" w14:paraId="689A2582"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0</w:t>
            </w:r>
          </w:p>
        </w:tc>
        <w:tc>
          <w:tcPr>
            <w:tcW w:w="0" w:type="auto"/>
            <w:tcBorders>
              <w:top w:val="nil"/>
              <w:left w:val="nil"/>
              <w:bottom w:val="single" w:sz="8" w:space="0" w:color="auto"/>
              <w:right w:val="single" w:sz="4" w:space="0" w:color="auto"/>
            </w:tcBorders>
            <w:shd w:val="clear" w:color="auto" w:fill="auto"/>
            <w:noWrap/>
            <w:vAlign w:val="center"/>
            <w:hideMark/>
          </w:tcPr>
          <w:p w:rsidR="00AD7C18" w:rsidRPr="00AD7C18" w:rsidP="00AD7C18" w14:paraId="7C9DC7EF"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$48.00</w:t>
            </w:r>
          </w:p>
        </w:tc>
        <w:tc>
          <w:tcPr>
            <w:tcW w:w="0" w:type="auto"/>
            <w:tcBorders>
              <w:top w:val="nil"/>
              <w:left w:val="nil"/>
              <w:bottom w:val="single" w:sz="8" w:space="0" w:color="auto"/>
              <w:right w:val="single" w:sz="8" w:space="0" w:color="auto"/>
            </w:tcBorders>
            <w:shd w:val="clear" w:color="000000" w:fill="E2A5AC"/>
            <w:noWrap/>
            <w:vAlign w:val="center"/>
            <w:hideMark/>
          </w:tcPr>
          <w:p w:rsidR="00AD7C18" w:rsidRPr="00AD7C18" w:rsidP="00AD7C18" w14:paraId="4C0C289D"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$0.00</w:t>
            </w:r>
          </w:p>
        </w:tc>
      </w:tr>
      <w:tr w14:paraId="3372DE38" w14:textId="77777777" w:rsidTr="00AD7C18">
        <w:tblPrEx>
          <w:tblW w:w="0" w:type="auto"/>
          <w:jc w:val="center"/>
          <w:tblLook w:val="04A0"/>
        </w:tblPrEx>
        <w:trPr>
          <w:trHeight w:val="255"/>
          <w:jc w:val="center"/>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AD7C18" w:rsidRPr="00AD7C18" w:rsidP="00AD7C18" w14:paraId="667916DF"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Maintain Beryllium Registry</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4E6F4BB1" w14:textId="77777777">
            <w:pPr>
              <w:spacing w:after="0" w:line="240" w:lineRule="auto"/>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All</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1EB7A79C" w14:textId="77777777">
            <w:pPr>
              <w:spacing w:after="0" w:line="240" w:lineRule="auto"/>
              <w:jc w:val="right"/>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1,611</w:t>
            </w:r>
          </w:p>
        </w:tc>
        <w:tc>
          <w:tcPr>
            <w:tcW w:w="0" w:type="auto"/>
            <w:tcBorders>
              <w:top w:val="nil"/>
              <w:left w:val="nil"/>
              <w:bottom w:val="single" w:sz="4" w:space="0" w:color="auto"/>
              <w:right w:val="single" w:sz="4" w:space="0" w:color="auto"/>
            </w:tcBorders>
            <w:shd w:val="clear" w:color="000000" w:fill="333333"/>
            <w:noWrap/>
            <w:vAlign w:val="center"/>
            <w:hideMark/>
          </w:tcPr>
          <w:p w:rsidR="00AD7C18" w:rsidRPr="00AD7C18" w:rsidP="00AD7C18" w14:paraId="06A5CB24" w14:textId="77777777">
            <w:pPr>
              <w:spacing w:after="0" w:line="240" w:lineRule="auto"/>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8" w:space="0" w:color="auto"/>
            </w:tcBorders>
            <w:shd w:val="clear" w:color="000000" w:fill="E2A5AC"/>
            <w:noWrap/>
            <w:vAlign w:val="center"/>
            <w:hideMark/>
          </w:tcPr>
          <w:p w:rsidR="00AD7C18" w:rsidRPr="00AD7C18" w:rsidP="00AD7C18" w14:paraId="216ED1C9" w14:textId="77777777">
            <w:pPr>
              <w:spacing w:after="0" w:line="240" w:lineRule="auto"/>
              <w:jc w:val="right"/>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$77,328.00</w:t>
            </w:r>
          </w:p>
        </w:tc>
      </w:tr>
      <w:tr w14:paraId="3DD5AAFA" w14:textId="77777777" w:rsidTr="00AD7C18">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AD7C18" w:rsidRPr="00AD7C18" w:rsidP="00AD7C18" w14:paraId="58C3C7C9"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69D441C2"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Professional [b]</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0EEBA438"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0107ABAC"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$140.47</w:t>
            </w:r>
          </w:p>
        </w:tc>
        <w:tc>
          <w:tcPr>
            <w:tcW w:w="0" w:type="auto"/>
            <w:tcBorders>
              <w:top w:val="nil"/>
              <w:left w:val="nil"/>
              <w:bottom w:val="single" w:sz="4" w:space="0" w:color="auto"/>
              <w:right w:val="single" w:sz="8" w:space="0" w:color="auto"/>
            </w:tcBorders>
            <w:shd w:val="clear" w:color="000000" w:fill="E2A5AC"/>
            <w:noWrap/>
            <w:vAlign w:val="center"/>
            <w:hideMark/>
          </w:tcPr>
          <w:p w:rsidR="00AD7C18" w:rsidRPr="00AD7C18" w:rsidP="00AD7C18" w14:paraId="1E51A939"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$0.00</w:t>
            </w:r>
          </w:p>
        </w:tc>
      </w:tr>
      <w:tr w14:paraId="6C1FEA5A" w14:textId="77777777" w:rsidTr="00AD7C18">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AD7C18" w:rsidRPr="00AD7C18" w:rsidP="00AD7C18" w14:paraId="490D11CC"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8" w:space="0" w:color="auto"/>
              <w:right w:val="single" w:sz="4" w:space="0" w:color="auto"/>
            </w:tcBorders>
            <w:shd w:val="clear" w:color="auto" w:fill="auto"/>
            <w:noWrap/>
            <w:vAlign w:val="center"/>
            <w:hideMark/>
          </w:tcPr>
          <w:p w:rsidR="00AD7C18" w:rsidRPr="00AD7C18" w:rsidP="00AD7C18" w14:paraId="1570A085"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Clerical [c]</w:t>
            </w:r>
          </w:p>
        </w:tc>
        <w:tc>
          <w:tcPr>
            <w:tcW w:w="0" w:type="auto"/>
            <w:tcBorders>
              <w:top w:val="nil"/>
              <w:left w:val="nil"/>
              <w:bottom w:val="single" w:sz="8" w:space="0" w:color="auto"/>
              <w:right w:val="single" w:sz="4" w:space="0" w:color="auto"/>
            </w:tcBorders>
            <w:shd w:val="clear" w:color="auto" w:fill="auto"/>
            <w:noWrap/>
            <w:vAlign w:val="center"/>
            <w:hideMark/>
          </w:tcPr>
          <w:p w:rsidR="00AD7C18" w:rsidRPr="00AD7C18" w:rsidP="00AD7C18" w14:paraId="1CCAC6E4"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1,611</w:t>
            </w:r>
          </w:p>
        </w:tc>
        <w:tc>
          <w:tcPr>
            <w:tcW w:w="0" w:type="auto"/>
            <w:tcBorders>
              <w:top w:val="nil"/>
              <w:left w:val="nil"/>
              <w:bottom w:val="single" w:sz="8" w:space="0" w:color="auto"/>
              <w:right w:val="single" w:sz="4" w:space="0" w:color="auto"/>
            </w:tcBorders>
            <w:shd w:val="clear" w:color="auto" w:fill="auto"/>
            <w:noWrap/>
            <w:vAlign w:val="center"/>
            <w:hideMark/>
          </w:tcPr>
          <w:p w:rsidR="00AD7C18" w:rsidRPr="00AD7C18" w:rsidP="00AD7C18" w14:paraId="2A3CD1A0"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$48.00</w:t>
            </w:r>
          </w:p>
        </w:tc>
        <w:tc>
          <w:tcPr>
            <w:tcW w:w="0" w:type="auto"/>
            <w:tcBorders>
              <w:top w:val="nil"/>
              <w:left w:val="nil"/>
              <w:bottom w:val="single" w:sz="8" w:space="0" w:color="auto"/>
              <w:right w:val="single" w:sz="8" w:space="0" w:color="auto"/>
            </w:tcBorders>
            <w:shd w:val="clear" w:color="000000" w:fill="E2A5AC"/>
            <w:noWrap/>
            <w:vAlign w:val="center"/>
            <w:hideMark/>
          </w:tcPr>
          <w:p w:rsidR="00AD7C18" w:rsidRPr="00AD7C18" w:rsidP="00AD7C18" w14:paraId="7A42B4D3"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$77,328.00</w:t>
            </w:r>
          </w:p>
        </w:tc>
      </w:tr>
      <w:tr w14:paraId="0C2BA47F" w14:textId="77777777" w:rsidTr="00AD7C18">
        <w:tblPrEx>
          <w:tblW w:w="0" w:type="auto"/>
          <w:jc w:val="center"/>
          <w:tblLook w:val="04A0"/>
        </w:tblPrEx>
        <w:trPr>
          <w:trHeight w:val="255"/>
          <w:jc w:val="center"/>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AD7C18" w:rsidRPr="00AD7C18" w:rsidP="00AD7C18" w14:paraId="1F6E6786"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Annual Recordkeeping [a]</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698637A6" w14:textId="77777777">
            <w:pPr>
              <w:spacing w:after="0" w:line="240" w:lineRule="auto"/>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All</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5D11CF71" w14:textId="77777777">
            <w:pPr>
              <w:spacing w:after="0" w:line="240" w:lineRule="auto"/>
              <w:jc w:val="right"/>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18,495</w:t>
            </w:r>
          </w:p>
        </w:tc>
        <w:tc>
          <w:tcPr>
            <w:tcW w:w="0" w:type="auto"/>
            <w:tcBorders>
              <w:top w:val="nil"/>
              <w:left w:val="nil"/>
              <w:bottom w:val="single" w:sz="4" w:space="0" w:color="auto"/>
              <w:right w:val="single" w:sz="4" w:space="0" w:color="auto"/>
            </w:tcBorders>
            <w:shd w:val="clear" w:color="000000" w:fill="333333"/>
            <w:noWrap/>
            <w:vAlign w:val="center"/>
            <w:hideMark/>
          </w:tcPr>
          <w:p w:rsidR="00AD7C18" w:rsidRPr="00AD7C18" w:rsidP="00AD7C18" w14:paraId="0F5010B9" w14:textId="77777777">
            <w:pPr>
              <w:spacing w:after="0" w:line="240" w:lineRule="auto"/>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8" w:space="0" w:color="auto"/>
            </w:tcBorders>
            <w:shd w:val="clear" w:color="000000" w:fill="E2A5AC"/>
            <w:noWrap/>
            <w:vAlign w:val="center"/>
            <w:hideMark/>
          </w:tcPr>
          <w:p w:rsidR="00AD7C18" w:rsidRPr="00AD7C18" w:rsidP="00AD7C18" w14:paraId="0D9E478D" w14:textId="77777777">
            <w:pPr>
              <w:spacing w:after="0" w:line="240" w:lineRule="auto"/>
              <w:jc w:val="right"/>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$887,760.00</w:t>
            </w:r>
          </w:p>
        </w:tc>
      </w:tr>
      <w:tr w14:paraId="171B63E3" w14:textId="77777777" w:rsidTr="00AD7C18">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AD7C18" w:rsidRPr="00AD7C18" w:rsidP="00AD7C18" w14:paraId="01525F6D"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5023906B"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Professional [b]</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7F683F12"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5D4897EA"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$140.47</w:t>
            </w:r>
          </w:p>
        </w:tc>
        <w:tc>
          <w:tcPr>
            <w:tcW w:w="0" w:type="auto"/>
            <w:tcBorders>
              <w:top w:val="nil"/>
              <w:left w:val="nil"/>
              <w:bottom w:val="single" w:sz="4" w:space="0" w:color="auto"/>
              <w:right w:val="single" w:sz="8" w:space="0" w:color="auto"/>
            </w:tcBorders>
            <w:shd w:val="clear" w:color="000000" w:fill="E2A5AC"/>
            <w:noWrap/>
            <w:vAlign w:val="center"/>
            <w:hideMark/>
          </w:tcPr>
          <w:p w:rsidR="00AD7C18" w:rsidRPr="00AD7C18" w:rsidP="00AD7C18" w14:paraId="44F8C7F2"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$0.00</w:t>
            </w:r>
          </w:p>
        </w:tc>
      </w:tr>
      <w:tr w14:paraId="2A9D490E" w14:textId="77777777" w:rsidTr="00AD7C18">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AD7C18" w:rsidRPr="00AD7C18" w:rsidP="00AD7C18" w14:paraId="10D3AE32"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8" w:space="0" w:color="auto"/>
              <w:right w:val="single" w:sz="4" w:space="0" w:color="auto"/>
            </w:tcBorders>
            <w:shd w:val="clear" w:color="auto" w:fill="auto"/>
            <w:noWrap/>
            <w:vAlign w:val="center"/>
            <w:hideMark/>
          </w:tcPr>
          <w:p w:rsidR="00AD7C18" w:rsidRPr="00AD7C18" w:rsidP="00AD7C18" w14:paraId="23CE6685"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Clerical [c]</w:t>
            </w:r>
          </w:p>
        </w:tc>
        <w:tc>
          <w:tcPr>
            <w:tcW w:w="0" w:type="auto"/>
            <w:tcBorders>
              <w:top w:val="nil"/>
              <w:left w:val="nil"/>
              <w:bottom w:val="single" w:sz="8" w:space="0" w:color="auto"/>
              <w:right w:val="single" w:sz="4" w:space="0" w:color="auto"/>
            </w:tcBorders>
            <w:shd w:val="clear" w:color="auto" w:fill="auto"/>
            <w:noWrap/>
            <w:vAlign w:val="center"/>
            <w:hideMark/>
          </w:tcPr>
          <w:p w:rsidR="00AD7C18" w:rsidRPr="00AD7C18" w:rsidP="00AD7C18" w14:paraId="403FB231"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18,495</w:t>
            </w:r>
          </w:p>
        </w:tc>
        <w:tc>
          <w:tcPr>
            <w:tcW w:w="0" w:type="auto"/>
            <w:tcBorders>
              <w:top w:val="nil"/>
              <w:left w:val="nil"/>
              <w:bottom w:val="single" w:sz="8" w:space="0" w:color="auto"/>
              <w:right w:val="single" w:sz="4" w:space="0" w:color="auto"/>
            </w:tcBorders>
            <w:shd w:val="clear" w:color="auto" w:fill="auto"/>
            <w:noWrap/>
            <w:vAlign w:val="center"/>
            <w:hideMark/>
          </w:tcPr>
          <w:p w:rsidR="00AD7C18" w:rsidRPr="00AD7C18" w:rsidP="00AD7C18" w14:paraId="66A3CC47"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$48.00</w:t>
            </w:r>
          </w:p>
        </w:tc>
        <w:tc>
          <w:tcPr>
            <w:tcW w:w="0" w:type="auto"/>
            <w:tcBorders>
              <w:top w:val="nil"/>
              <w:left w:val="nil"/>
              <w:bottom w:val="single" w:sz="8" w:space="0" w:color="auto"/>
              <w:right w:val="single" w:sz="8" w:space="0" w:color="auto"/>
            </w:tcBorders>
            <w:shd w:val="clear" w:color="000000" w:fill="E2A5AC"/>
            <w:noWrap/>
            <w:vAlign w:val="center"/>
            <w:hideMark/>
          </w:tcPr>
          <w:p w:rsidR="00AD7C18" w:rsidRPr="00AD7C18" w:rsidP="00AD7C18" w14:paraId="34E0AEC3"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$887,760.00</w:t>
            </w:r>
          </w:p>
        </w:tc>
      </w:tr>
      <w:tr w14:paraId="78A2E26A" w14:textId="77777777" w:rsidTr="00AD7C18">
        <w:tblPrEx>
          <w:tblW w:w="0" w:type="auto"/>
          <w:jc w:val="center"/>
          <w:tblLook w:val="04A0"/>
        </w:tblPrEx>
        <w:trPr>
          <w:trHeight w:val="255"/>
          <w:jc w:val="center"/>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AD7C18" w:rsidRPr="00AD7C18" w:rsidP="00AD7C18" w14:paraId="6F086C3C"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Annual Performance Feedback [b]</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312D24F2" w14:textId="77777777">
            <w:pPr>
              <w:spacing w:after="0" w:line="240" w:lineRule="auto"/>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All</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2BEF282A" w14:textId="77777777">
            <w:pPr>
              <w:spacing w:after="0" w:line="240" w:lineRule="auto"/>
              <w:jc w:val="right"/>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4,482</w:t>
            </w:r>
          </w:p>
        </w:tc>
        <w:tc>
          <w:tcPr>
            <w:tcW w:w="0" w:type="auto"/>
            <w:tcBorders>
              <w:top w:val="nil"/>
              <w:left w:val="nil"/>
              <w:bottom w:val="single" w:sz="4" w:space="0" w:color="auto"/>
              <w:right w:val="single" w:sz="4" w:space="0" w:color="auto"/>
            </w:tcBorders>
            <w:shd w:val="clear" w:color="000000" w:fill="333333"/>
            <w:noWrap/>
            <w:vAlign w:val="center"/>
            <w:hideMark/>
          </w:tcPr>
          <w:p w:rsidR="00AD7C18" w:rsidRPr="00AD7C18" w:rsidP="00AD7C18" w14:paraId="10E49B58" w14:textId="77777777">
            <w:pPr>
              <w:spacing w:after="0" w:line="240" w:lineRule="auto"/>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8" w:space="0" w:color="auto"/>
            </w:tcBorders>
            <w:shd w:val="clear" w:color="000000" w:fill="E2A5AC"/>
            <w:noWrap/>
            <w:vAlign w:val="center"/>
            <w:hideMark/>
          </w:tcPr>
          <w:p w:rsidR="00AD7C18" w:rsidRPr="00AD7C18" w:rsidP="00AD7C18" w14:paraId="2D282868" w14:textId="77777777">
            <w:pPr>
              <w:spacing w:after="0" w:line="240" w:lineRule="auto"/>
              <w:jc w:val="right"/>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$629,586.54</w:t>
            </w:r>
          </w:p>
        </w:tc>
      </w:tr>
      <w:tr w14:paraId="2D39D26F" w14:textId="77777777" w:rsidTr="00AD7C18">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AD7C18" w:rsidRPr="00AD7C18" w:rsidP="00AD7C18" w14:paraId="1BD4E509"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51634CBB"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Professional [b]</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69838031"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4,482</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74D9C4F8"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$140.47</w:t>
            </w:r>
          </w:p>
        </w:tc>
        <w:tc>
          <w:tcPr>
            <w:tcW w:w="0" w:type="auto"/>
            <w:tcBorders>
              <w:top w:val="nil"/>
              <w:left w:val="nil"/>
              <w:bottom w:val="single" w:sz="4" w:space="0" w:color="auto"/>
              <w:right w:val="single" w:sz="8" w:space="0" w:color="auto"/>
            </w:tcBorders>
            <w:shd w:val="clear" w:color="000000" w:fill="E2A5AC"/>
            <w:noWrap/>
            <w:vAlign w:val="center"/>
            <w:hideMark/>
          </w:tcPr>
          <w:p w:rsidR="00AD7C18" w:rsidRPr="00AD7C18" w:rsidP="00AD7C18" w14:paraId="616650E2"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$629,586.54</w:t>
            </w:r>
          </w:p>
        </w:tc>
      </w:tr>
      <w:tr w14:paraId="4479748E" w14:textId="77777777" w:rsidTr="00AD7C18">
        <w:tblPrEx>
          <w:tblW w:w="0" w:type="auto"/>
          <w:jc w:val="center"/>
          <w:tblLook w:val="04A0"/>
        </w:tblPrEx>
        <w:trPr>
          <w:trHeight w:val="240"/>
          <w:jc w:val="center"/>
        </w:trPr>
        <w:tc>
          <w:tcPr>
            <w:tcW w:w="0" w:type="auto"/>
            <w:vMerge/>
            <w:tcBorders>
              <w:top w:val="nil"/>
              <w:left w:val="single" w:sz="8" w:space="0" w:color="auto"/>
              <w:bottom w:val="single" w:sz="8" w:space="0" w:color="000000"/>
              <w:right w:val="single" w:sz="4" w:space="0" w:color="auto"/>
            </w:tcBorders>
            <w:vAlign w:val="center"/>
            <w:hideMark/>
          </w:tcPr>
          <w:p w:rsidR="00AD7C18" w:rsidRPr="00AD7C18" w:rsidP="00AD7C18" w14:paraId="1E4AA81F"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8" w:space="0" w:color="auto"/>
              <w:right w:val="single" w:sz="4" w:space="0" w:color="auto"/>
            </w:tcBorders>
            <w:shd w:val="clear" w:color="auto" w:fill="auto"/>
            <w:noWrap/>
            <w:vAlign w:val="center"/>
            <w:hideMark/>
          </w:tcPr>
          <w:p w:rsidR="00AD7C18" w:rsidRPr="00AD7C18" w:rsidP="00AD7C18" w14:paraId="31205ECA"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Clerical [c]</w:t>
            </w:r>
          </w:p>
        </w:tc>
        <w:tc>
          <w:tcPr>
            <w:tcW w:w="0" w:type="auto"/>
            <w:tcBorders>
              <w:top w:val="nil"/>
              <w:left w:val="nil"/>
              <w:bottom w:val="single" w:sz="8" w:space="0" w:color="auto"/>
              <w:right w:val="single" w:sz="4" w:space="0" w:color="auto"/>
            </w:tcBorders>
            <w:shd w:val="clear" w:color="auto" w:fill="auto"/>
            <w:noWrap/>
            <w:vAlign w:val="center"/>
            <w:hideMark/>
          </w:tcPr>
          <w:p w:rsidR="00AD7C18" w:rsidRPr="00AD7C18" w:rsidP="00AD7C18" w14:paraId="41E147B2"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0</w:t>
            </w:r>
          </w:p>
        </w:tc>
        <w:tc>
          <w:tcPr>
            <w:tcW w:w="0" w:type="auto"/>
            <w:tcBorders>
              <w:top w:val="nil"/>
              <w:left w:val="nil"/>
              <w:bottom w:val="single" w:sz="8" w:space="0" w:color="auto"/>
              <w:right w:val="single" w:sz="4" w:space="0" w:color="auto"/>
            </w:tcBorders>
            <w:shd w:val="clear" w:color="auto" w:fill="auto"/>
            <w:noWrap/>
            <w:vAlign w:val="center"/>
            <w:hideMark/>
          </w:tcPr>
          <w:p w:rsidR="00AD7C18" w:rsidRPr="00AD7C18" w:rsidP="00AD7C18" w14:paraId="7A88491C"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$48.00</w:t>
            </w:r>
          </w:p>
        </w:tc>
        <w:tc>
          <w:tcPr>
            <w:tcW w:w="0" w:type="auto"/>
            <w:tcBorders>
              <w:top w:val="nil"/>
              <w:left w:val="nil"/>
              <w:bottom w:val="single" w:sz="8" w:space="0" w:color="auto"/>
              <w:right w:val="single" w:sz="8" w:space="0" w:color="auto"/>
            </w:tcBorders>
            <w:shd w:val="clear" w:color="000000" w:fill="E2A5AC"/>
            <w:noWrap/>
            <w:vAlign w:val="center"/>
            <w:hideMark/>
          </w:tcPr>
          <w:p w:rsidR="00AD7C18" w:rsidRPr="00AD7C18" w:rsidP="00AD7C18" w14:paraId="5969A205"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$0.00</w:t>
            </w:r>
          </w:p>
        </w:tc>
      </w:tr>
      <w:tr w14:paraId="7ABD1521" w14:textId="77777777" w:rsidTr="00AD7C18">
        <w:tblPrEx>
          <w:tblW w:w="0" w:type="auto"/>
          <w:jc w:val="center"/>
          <w:tblLook w:val="04A0"/>
        </w:tblPrEx>
        <w:trPr>
          <w:trHeight w:val="255"/>
          <w:jc w:val="center"/>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AD7C18" w:rsidRPr="00AD7C18" w:rsidP="00AD7C18" w14:paraId="02794428"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TOTAL</w:t>
            </w: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01385A79" w14:textId="77777777">
            <w:pPr>
              <w:spacing w:after="0" w:line="240" w:lineRule="auto"/>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All</w:t>
            </w:r>
          </w:p>
        </w:tc>
        <w:tc>
          <w:tcPr>
            <w:tcW w:w="0" w:type="auto"/>
            <w:tcBorders>
              <w:top w:val="nil"/>
              <w:left w:val="nil"/>
              <w:bottom w:val="single" w:sz="4" w:space="0" w:color="auto"/>
              <w:right w:val="single" w:sz="4" w:space="0" w:color="auto"/>
            </w:tcBorders>
            <w:shd w:val="clear" w:color="000000" w:fill="E2A5AC"/>
            <w:noWrap/>
            <w:vAlign w:val="center"/>
            <w:hideMark/>
          </w:tcPr>
          <w:p w:rsidR="00AD7C18" w:rsidRPr="00AD7C18" w:rsidP="00AD7C18" w14:paraId="69F38051" w14:textId="77777777">
            <w:pPr>
              <w:spacing w:after="0" w:line="240" w:lineRule="auto"/>
              <w:jc w:val="right"/>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29,794</w:t>
            </w:r>
          </w:p>
        </w:tc>
        <w:tc>
          <w:tcPr>
            <w:tcW w:w="0" w:type="auto"/>
            <w:tcBorders>
              <w:top w:val="nil"/>
              <w:left w:val="nil"/>
              <w:bottom w:val="single" w:sz="4" w:space="0" w:color="auto"/>
              <w:right w:val="single" w:sz="4" w:space="0" w:color="auto"/>
            </w:tcBorders>
            <w:shd w:val="clear" w:color="000000" w:fill="333333"/>
            <w:noWrap/>
            <w:vAlign w:val="center"/>
            <w:hideMark/>
          </w:tcPr>
          <w:p w:rsidR="00AD7C18" w:rsidRPr="00AD7C18" w:rsidP="00AD7C18" w14:paraId="3D8E8248" w14:textId="77777777">
            <w:pPr>
              <w:spacing w:after="0" w:line="240" w:lineRule="auto"/>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8" w:space="0" w:color="auto"/>
            </w:tcBorders>
            <w:shd w:val="clear" w:color="000000" w:fill="E2A5AC"/>
            <w:noWrap/>
            <w:vAlign w:val="center"/>
            <w:hideMark/>
          </w:tcPr>
          <w:p w:rsidR="00AD7C18" w:rsidRPr="00AD7C18" w:rsidP="00AD7C18" w14:paraId="1F28C93E" w14:textId="77777777">
            <w:pPr>
              <w:spacing w:after="0" w:line="240" w:lineRule="auto"/>
              <w:jc w:val="right"/>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$2,248,023.52</w:t>
            </w:r>
          </w:p>
        </w:tc>
      </w:tr>
      <w:tr w14:paraId="2358D87F" w14:textId="77777777" w:rsidTr="00AD7C18">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AD7C18" w:rsidRPr="00AD7C18" w:rsidP="00AD7C18" w14:paraId="42E08960"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3B03016A"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Professional [b]</w:t>
            </w:r>
          </w:p>
        </w:tc>
        <w:tc>
          <w:tcPr>
            <w:tcW w:w="0" w:type="auto"/>
            <w:tcBorders>
              <w:top w:val="nil"/>
              <w:left w:val="nil"/>
              <w:bottom w:val="single" w:sz="4" w:space="0" w:color="auto"/>
              <w:right w:val="single" w:sz="4" w:space="0" w:color="auto"/>
            </w:tcBorders>
            <w:shd w:val="clear" w:color="000000" w:fill="E2A5AC"/>
            <w:noWrap/>
            <w:vAlign w:val="center"/>
            <w:hideMark/>
          </w:tcPr>
          <w:p w:rsidR="00AD7C18" w:rsidRPr="00AD7C18" w:rsidP="00AD7C18" w14:paraId="7D5A1BAB"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7,096</w:t>
            </w:r>
          </w:p>
        </w:tc>
        <w:tc>
          <w:tcPr>
            <w:tcW w:w="0" w:type="auto"/>
            <w:tcBorders>
              <w:top w:val="nil"/>
              <w:left w:val="nil"/>
              <w:bottom w:val="single" w:sz="4" w:space="0" w:color="auto"/>
              <w:right w:val="single" w:sz="4" w:space="0" w:color="auto"/>
            </w:tcBorders>
            <w:shd w:val="clear" w:color="000000" w:fill="333333"/>
            <w:noWrap/>
            <w:vAlign w:val="center"/>
            <w:hideMark/>
          </w:tcPr>
          <w:p w:rsidR="00AD7C18" w:rsidRPr="00AD7C18" w:rsidP="00AD7C18" w14:paraId="04E45900"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 </w:t>
            </w:r>
          </w:p>
        </w:tc>
        <w:tc>
          <w:tcPr>
            <w:tcW w:w="0" w:type="auto"/>
            <w:tcBorders>
              <w:top w:val="nil"/>
              <w:left w:val="nil"/>
              <w:bottom w:val="single" w:sz="4" w:space="0" w:color="auto"/>
              <w:right w:val="single" w:sz="8" w:space="0" w:color="auto"/>
            </w:tcBorders>
            <w:shd w:val="clear" w:color="000000" w:fill="E2A5AC"/>
            <w:noWrap/>
            <w:vAlign w:val="center"/>
            <w:hideMark/>
          </w:tcPr>
          <w:p w:rsidR="00AD7C18" w:rsidRPr="00AD7C18" w:rsidP="00AD7C18" w14:paraId="4736FB70"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$996,775.12</w:t>
            </w:r>
          </w:p>
        </w:tc>
      </w:tr>
      <w:tr w14:paraId="6F69FCCB" w14:textId="77777777" w:rsidTr="00AD7C18">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AD7C18" w:rsidRPr="00AD7C18" w:rsidP="00AD7C18" w14:paraId="22764DB1"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AD7C18" w:rsidRPr="00AD7C18" w:rsidP="00AD7C18" w14:paraId="2F8F32B4"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Worker [d]</w:t>
            </w:r>
          </w:p>
        </w:tc>
        <w:tc>
          <w:tcPr>
            <w:tcW w:w="0" w:type="auto"/>
            <w:tcBorders>
              <w:top w:val="nil"/>
              <w:left w:val="nil"/>
              <w:bottom w:val="single" w:sz="4" w:space="0" w:color="auto"/>
              <w:right w:val="single" w:sz="4" w:space="0" w:color="auto"/>
            </w:tcBorders>
            <w:shd w:val="clear" w:color="000000" w:fill="E2A5AC"/>
            <w:noWrap/>
            <w:vAlign w:val="center"/>
            <w:hideMark/>
          </w:tcPr>
          <w:p w:rsidR="00AD7C18" w:rsidRPr="00AD7C18" w:rsidP="00AD7C18" w14:paraId="2398EE19"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1,611</w:t>
            </w:r>
          </w:p>
        </w:tc>
        <w:tc>
          <w:tcPr>
            <w:tcW w:w="0" w:type="auto"/>
            <w:tcBorders>
              <w:top w:val="nil"/>
              <w:left w:val="nil"/>
              <w:bottom w:val="single" w:sz="4" w:space="0" w:color="auto"/>
              <w:right w:val="single" w:sz="4" w:space="0" w:color="auto"/>
            </w:tcBorders>
            <w:shd w:val="clear" w:color="000000" w:fill="333333"/>
            <w:noWrap/>
            <w:vAlign w:val="center"/>
            <w:hideMark/>
          </w:tcPr>
          <w:p w:rsidR="00AD7C18" w:rsidRPr="00AD7C18" w:rsidP="00AD7C18" w14:paraId="3CF2EC3B"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 </w:t>
            </w:r>
          </w:p>
        </w:tc>
        <w:tc>
          <w:tcPr>
            <w:tcW w:w="0" w:type="auto"/>
            <w:tcBorders>
              <w:top w:val="nil"/>
              <w:left w:val="nil"/>
              <w:bottom w:val="single" w:sz="4" w:space="0" w:color="auto"/>
              <w:right w:val="single" w:sz="8" w:space="0" w:color="auto"/>
            </w:tcBorders>
            <w:shd w:val="clear" w:color="000000" w:fill="E2A5AC"/>
            <w:noWrap/>
            <w:vAlign w:val="center"/>
            <w:hideMark/>
          </w:tcPr>
          <w:p w:rsidR="00AD7C18" w:rsidRPr="00AD7C18" w:rsidP="00AD7C18" w14:paraId="4E5D6149"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$239,072.40</w:t>
            </w:r>
          </w:p>
        </w:tc>
      </w:tr>
      <w:tr w14:paraId="122781D3" w14:textId="77777777" w:rsidTr="00AD7C18">
        <w:tblPrEx>
          <w:tblW w:w="0" w:type="auto"/>
          <w:jc w:val="center"/>
          <w:tblLook w:val="04A0"/>
        </w:tblPrEx>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rsidR="00AD7C18" w:rsidRPr="00AD7C18" w:rsidP="00AD7C18" w14:paraId="5013D854" w14:textId="77777777">
            <w:pPr>
              <w:spacing w:after="0" w:line="240" w:lineRule="auto"/>
              <w:rPr>
                <w:rFonts w:ascii="Calibri" w:eastAsia="Times New Roman" w:hAnsi="Calibri" w:cs="Calibri"/>
                <w:color w:val="000000"/>
                <w:sz w:val="20"/>
                <w:szCs w:val="20"/>
              </w:rPr>
            </w:pPr>
          </w:p>
        </w:tc>
        <w:tc>
          <w:tcPr>
            <w:tcW w:w="0" w:type="auto"/>
            <w:tcBorders>
              <w:top w:val="nil"/>
              <w:left w:val="nil"/>
              <w:bottom w:val="single" w:sz="8" w:space="0" w:color="auto"/>
              <w:right w:val="single" w:sz="4" w:space="0" w:color="auto"/>
            </w:tcBorders>
            <w:shd w:val="clear" w:color="auto" w:fill="auto"/>
            <w:noWrap/>
            <w:vAlign w:val="center"/>
            <w:hideMark/>
          </w:tcPr>
          <w:p w:rsidR="00AD7C18" w:rsidRPr="00AD7C18" w:rsidP="00AD7C18" w14:paraId="245EED9A"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Clerical [c]</w:t>
            </w:r>
          </w:p>
        </w:tc>
        <w:tc>
          <w:tcPr>
            <w:tcW w:w="0" w:type="auto"/>
            <w:tcBorders>
              <w:top w:val="nil"/>
              <w:left w:val="nil"/>
              <w:bottom w:val="single" w:sz="8" w:space="0" w:color="auto"/>
              <w:right w:val="single" w:sz="4" w:space="0" w:color="auto"/>
            </w:tcBorders>
            <w:shd w:val="clear" w:color="000000" w:fill="E2A5AC"/>
            <w:noWrap/>
            <w:vAlign w:val="center"/>
            <w:hideMark/>
          </w:tcPr>
          <w:p w:rsidR="00AD7C18" w:rsidRPr="00AD7C18" w:rsidP="00AD7C18" w14:paraId="68CDF3AD"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21,087</w:t>
            </w:r>
          </w:p>
        </w:tc>
        <w:tc>
          <w:tcPr>
            <w:tcW w:w="0" w:type="auto"/>
            <w:tcBorders>
              <w:top w:val="nil"/>
              <w:left w:val="nil"/>
              <w:bottom w:val="single" w:sz="8" w:space="0" w:color="auto"/>
              <w:right w:val="single" w:sz="4" w:space="0" w:color="auto"/>
            </w:tcBorders>
            <w:shd w:val="clear" w:color="000000" w:fill="333333"/>
            <w:noWrap/>
            <w:vAlign w:val="center"/>
            <w:hideMark/>
          </w:tcPr>
          <w:p w:rsidR="00AD7C18" w:rsidRPr="00AD7C18" w:rsidP="00AD7C18" w14:paraId="400A1FAB"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 </w:t>
            </w:r>
          </w:p>
        </w:tc>
        <w:tc>
          <w:tcPr>
            <w:tcW w:w="0" w:type="auto"/>
            <w:tcBorders>
              <w:top w:val="nil"/>
              <w:left w:val="nil"/>
              <w:bottom w:val="single" w:sz="8" w:space="0" w:color="auto"/>
              <w:right w:val="single" w:sz="8" w:space="0" w:color="auto"/>
            </w:tcBorders>
            <w:shd w:val="clear" w:color="000000" w:fill="E2A5AC"/>
            <w:noWrap/>
            <w:vAlign w:val="center"/>
            <w:hideMark/>
          </w:tcPr>
          <w:p w:rsidR="00AD7C18" w:rsidRPr="00AD7C18" w:rsidP="00AD7C18" w14:paraId="5F6DCB92" w14:textId="77777777">
            <w:pPr>
              <w:spacing w:after="0" w:line="240" w:lineRule="auto"/>
              <w:jc w:val="right"/>
              <w:rPr>
                <w:rFonts w:ascii="Calibri" w:eastAsia="Times New Roman" w:hAnsi="Calibri" w:cs="Calibri"/>
                <w:color w:val="000000"/>
                <w:sz w:val="20"/>
                <w:szCs w:val="20"/>
              </w:rPr>
            </w:pPr>
            <w:r w:rsidRPr="00AD7C18">
              <w:rPr>
                <w:rFonts w:ascii="Calibri" w:eastAsia="Times New Roman" w:hAnsi="Calibri" w:cs="Calibri"/>
                <w:color w:val="000000"/>
                <w:sz w:val="20"/>
                <w:szCs w:val="20"/>
              </w:rPr>
              <w:t>$1,012,176.00</w:t>
            </w:r>
          </w:p>
        </w:tc>
      </w:tr>
      <w:tr w14:paraId="66369A7C" w14:textId="77777777" w:rsidTr="00AD7C18">
        <w:tblPrEx>
          <w:tblW w:w="0" w:type="auto"/>
          <w:jc w:val="center"/>
          <w:tblLook w:val="04A0"/>
        </w:tblPrEx>
        <w:trPr>
          <w:trHeight w:val="255"/>
          <w:jc w:val="center"/>
        </w:trPr>
        <w:tc>
          <w:tcPr>
            <w:tcW w:w="0" w:type="auto"/>
            <w:tcBorders>
              <w:top w:val="single" w:sz="4" w:space="0" w:color="auto"/>
              <w:left w:val="nil"/>
              <w:bottom w:val="nil"/>
              <w:right w:val="nil"/>
            </w:tcBorders>
            <w:shd w:val="clear" w:color="auto" w:fill="auto"/>
            <w:noWrap/>
            <w:hideMark/>
          </w:tcPr>
          <w:p w:rsidR="00AD7C18" w:rsidRPr="00AD7C18" w:rsidP="00AD7C18" w14:paraId="10AC30B4"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[a]</w:t>
            </w:r>
          </w:p>
        </w:tc>
        <w:tc>
          <w:tcPr>
            <w:tcW w:w="0" w:type="auto"/>
            <w:gridSpan w:val="4"/>
            <w:tcBorders>
              <w:top w:val="single" w:sz="8" w:space="0" w:color="auto"/>
              <w:left w:val="nil"/>
              <w:bottom w:val="nil"/>
              <w:right w:val="nil"/>
            </w:tcBorders>
            <w:shd w:val="clear" w:color="auto" w:fill="auto"/>
            <w:noWrap/>
            <w:hideMark/>
          </w:tcPr>
          <w:p w:rsidR="00AD7C18" w:rsidRPr="00AD7C18" w:rsidP="00AD7C18" w14:paraId="38D533F2"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Burden hours taken from Table A1.</w:t>
            </w:r>
          </w:p>
        </w:tc>
      </w:tr>
      <w:tr w14:paraId="19314F98" w14:textId="77777777" w:rsidTr="00AD7C18">
        <w:tblPrEx>
          <w:tblW w:w="0" w:type="auto"/>
          <w:jc w:val="center"/>
          <w:tblLook w:val="04A0"/>
        </w:tblPrEx>
        <w:trPr>
          <w:trHeight w:val="255"/>
          <w:jc w:val="center"/>
        </w:trPr>
        <w:tc>
          <w:tcPr>
            <w:tcW w:w="0" w:type="auto"/>
            <w:tcBorders>
              <w:top w:val="nil"/>
              <w:left w:val="nil"/>
              <w:bottom w:val="nil"/>
              <w:right w:val="nil"/>
            </w:tcBorders>
            <w:shd w:val="clear" w:color="auto" w:fill="auto"/>
            <w:vAlign w:val="center"/>
            <w:hideMark/>
          </w:tcPr>
          <w:p w:rsidR="00AD7C18" w:rsidRPr="00AD7C18" w:rsidP="00AD7C18" w14:paraId="57D18380"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[b]</w:t>
            </w:r>
          </w:p>
        </w:tc>
        <w:tc>
          <w:tcPr>
            <w:tcW w:w="0" w:type="auto"/>
            <w:gridSpan w:val="4"/>
            <w:tcBorders>
              <w:top w:val="nil"/>
              <w:left w:val="nil"/>
              <w:bottom w:val="nil"/>
              <w:right w:val="nil"/>
            </w:tcBorders>
            <w:shd w:val="clear" w:color="auto" w:fill="auto"/>
            <w:vAlign w:val="center"/>
            <w:hideMark/>
          </w:tcPr>
          <w:p w:rsidR="00AD7C18" w:rsidRPr="00AD7C18" w:rsidP="00AD7C18" w14:paraId="1BAEBA64"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DOE has assumed that industrial hygienists would perform these tasks. The labor hour cost for industrial hygienists’ hours was derived from information provided by the reporting organizations in the final rulemaking. The average cost per reporting organization from the Economic Analysis was updated to current (2024) dollars using the Employment Cost Index from BLS. The hourly labor cost used here was $140.47 per hour.</w:t>
            </w:r>
          </w:p>
        </w:tc>
      </w:tr>
      <w:tr w14:paraId="133019F0" w14:textId="77777777" w:rsidTr="00AD7C18">
        <w:tblPrEx>
          <w:tblW w:w="0" w:type="auto"/>
          <w:jc w:val="center"/>
          <w:tblLook w:val="04A0"/>
        </w:tblPrEx>
        <w:trPr>
          <w:trHeight w:val="255"/>
          <w:jc w:val="center"/>
        </w:trPr>
        <w:tc>
          <w:tcPr>
            <w:tcW w:w="0" w:type="auto"/>
            <w:tcBorders>
              <w:top w:val="nil"/>
              <w:left w:val="nil"/>
              <w:bottom w:val="nil"/>
              <w:right w:val="nil"/>
            </w:tcBorders>
            <w:shd w:val="clear" w:color="auto" w:fill="auto"/>
            <w:vAlign w:val="center"/>
            <w:hideMark/>
          </w:tcPr>
          <w:p w:rsidR="00AD7C18" w:rsidRPr="00AD7C18" w:rsidP="00AD7C18" w14:paraId="13C735B7"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[c]</w:t>
            </w:r>
          </w:p>
        </w:tc>
        <w:tc>
          <w:tcPr>
            <w:tcW w:w="0" w:type="auto"/>
            <w:gridSpan w:val="4"/>
            <w:tcBorders>
              <w:top w:val="nil"/>
              <w:left w:val="nil"/>
              <w:bottom w:val="nil"/>
              <w:right w:val="nil"/>
            </w:tcBorders>
            <w:shd w:val="clear" w:color="auto" w:fill="auto"/>
            <w:vAlign w:val="center"/>
            <w:hideMark/>
          </w:tcPr>
          <w:p w:rsidR="00AD7C18" w:rsidRPr="00AD7C18" w:rsidP="00AD7C18" w14:paraId="5C64697F"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The hourly wage of clerical time was taken from BLS's Occupational Employment Statistics data for Office and Administrative Support Occupations (SOC 43-0000) in 2023 and equals $21.39. The hourly wage was marked up by a factor of 2.25 (see Economic Analysis, Chapter 3, Section 3.1.3) to reflect benefits and overhead. The resulting loaded hourly wage is $48.00 per hour.</w:t>
            </w:r>
          </w:p>
        </w:tc>
      </w:tr>
      <w:tr w14:paraId="7609F1C8" w14:textId="77777777" w:rsidTr="00AD7C18">
        <w:tblPrEx>
          <w:tblW w:w="0" w:type="auto"/>
          <w:jc w:val="center"/>
          <w:tblLook w:val="04A0"/>
        </w:tblPrEx>
        <w:trPr>
          <w:trHeight w:val="255"/>
          <w:jc w:val="center"/>
        </w:trPr>
        <w:tc>
          <w:tcPr>
            <w:tcW w:w="0" w:type="auto"/>
            <w:tcBorders>
              <w:top w:val="nil"/>
              <w:left w:val="nil"/>
              <w:bottom w:val="nil"/>
              <w:right w:val="nil"/>
            </w:tcBorders>
            <w:shd w:val="clear" w:color="auto" w:fill="auto"/>
            <w:vAlign w:val="center"/>
            <w:hideMark/>
          </w:tcPr>
          <w:p w:rsidR="00AD7C18" w:rsidRPr="00AD7C18" w:rsidP="00AD7C18" w14:paraId="375FB5C6"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[d]</w:t>
            </w:r>
          </w:p>
        </w:tc>
        <w:tc>
          <w:tcPr>
            <w:tcW w:w="0" w:type="auto"/>
            <w:gridSpan w:val="4"/>
            <w:tcBorders>
              <w:top w:val="nil"/>
              <w:left w:val="nil"/>
              <w:bottom w:val="nil"/>
              <w:right w:val="nil"/>
            </w:tcBorders>
            <w:shd w:val="clear" w:color="auto" w:fill="auto"/>
            <w:vAlign w:val="center"/>
            <w:hideMark/>
          </w:tcPr>
          <w:p w:rsidR="00AD7C18" w:rsidRPr="00AD7C18" w:rsidP="00AD7C18" w14:paraId="6DCD3F80" w14:textId="77777777">
            <w:pPr>
              <w:spacing w:after="0" w:line="240" w:lineRule="auto"/>
              <w:rPr>
                <w:rFonts w:ascii="Calibri" w:eastAsia="Times New Roman" w:hAnsi="Calibri" w:cs="Calibri"/>
                <w:color w:val="000000"/>
                <w:sz w:val="20"/>
                <w:szCs w:val="20"/>
              </w:rPr>
            </w:pPr>
            <w:r w:rsidRPr="00AD7C18">
              <w:rPr>
                <w:rFonts w:ascii="Calibri" w:eastAsia="Times New Roman" w:hAnsi="Calibri" w:cs="Calibri"/>
                <w:color w:val="000000"/>
                <w:sz w:val="20"/>
                <w:szCs w:val="20"/>
              </w:rPr>
              <w:t>The labor hour cost for worker hours was derived from information provided by the reporting organizations in the final rulemaking. The average cost per reporting organization from the Economic Analysis was updated to current (2024) dollars using BLS' Employment Cost Index. The hourly labor cost used here was $148.40 per hour.</w:t>
            </w:r>
          </w:p>
        </w:tc>
      </w:tr>
    </w:tbl>
    <w:p w:rsidR="00F056C3" w:rsidP="00CD1D70" w14:paraId="42431B9B" w14:textId="77777777">
      <w:pPr>
        <w:spacing w:after="0"/>
        <w:rPr>
          <w:b/>
          <w:bCs/>
        </w:rPr>
      </w:pPr>
    </w:p>
    <w:p w:rsidR="00F056C3" w:rsidP="00CD1D70" w14:paraId="2386EFF6" w14:textId="77777777">
      <w:pPr>
        <w:pStyle w:val="Heading2"/>
        <w:spacing w:before="0"/>
      </w:pPr>
      <w:bookmarkStart w:id="24" w:name="_Toc184648851"/>
      <w:r>
        <w:t>A.</w:t>
      </w:r>
      <w:r w:rsidRPr="00A41763" w:rsidR="00A41763">
        <w:t xml:space="preserve">13. </w:t>
      </w:r>
      <w:r w:rsidR="006F3C12">
        <w:t xml:space="preserve">Other Estimated </w:t>
      </w:r>
      <w:r w:rsidRPr="00F056C3">
        <w:t xml:space="preserve">Annual Cost to </w:t>
      </w:r>
      <w:r w:rsidR="00FE2197">
        <w:t>Respondents</w:t>
      </w:r>
      <w:bookmarkEnd w:id="24"/>
    </w:p>
    <w:p w:rsidR="00A41763" w:rsidRPr="00E44CFC" w:rsidP="00E44CFC" w14:paraId="0AB0845E" w14:textId="77777777">
      <w:pPr>
        <w:spacing w:after="0" w:line="240" w:lineRule="auto"/>
        <w:rPr>
          <w:b/>
          <w:bCs/>
          <w:sz w:val="24"/>
          <w:szCs w:val="24"/>
        </w:rPr>
      </w:pPr>
      <w:r w:rsidRPr="00E44CFC">
        <w:rPr>
          <w:b/>
          <w:bCs/>
          <w:sz w:val="24"/>
          <w:szCs w:val="24"/>
        </w:rPr>
        <w:t xml:space="preserve">Provide an estimate for the total annual cost burden to respondents or recordkeepers resulting from the collection of information. </w:t>
      </w:r>
    </w:p>
    <w:p w:rsidR="00E44CFC" w:rsidRPr="00E44CFC" w:rsidP="00E44CFC" w14:paraId="2AE2CD1E" w14:textId="77777777">
      <w:pPr>
        <w:spacing w:after="0" w:line="240" w:lineRule="auto"/>
        <w:rPr>
          <w:sz w:val="24"/>
          <w:szCs w:val="24"/>
        </w:rPr>
      </w:pPr>
    </w:p>
    <w:p w:rsidR="00AE78B6" w:rsidRPr="00E44CFC" w:rsidP="00E44CFC" w14:paraId="30D2AF04" w14:textId="77777777">
      <w:pPr>
        <w:spacing w:after="0" w:line="240" w:lineRule="auto"/>
        <w:rPr>
          <w:sz w:val="24"/>
          <w:szCs w:val="24"/>
        </w:rPr>
      </w:pPr>
      <w:r w:rsidRPr="00E44CFC">
        <w:rPr>
          <w:sz w:val="24"/>
          <w:szCs w:val="24"/>
        </w:rPr>
        <w:t>There are no costs to respondents or recordkeepers other than those given in Section A12B.</w:t>
      </w:r>
    </w:p>
    <w:p w:rsidR="00E44CFC" w:rsidRPr="00E44CFC" w:rsidP="00E246C4" w14:paraId="3F8D4D7F" w14:textId="77777777"/>
    <w:p w:rsidR="00F056C3" w:rsidP="00E44CFC" w14:paraId="1D90EE05" w14:textId="77777777">
      <w:pPr>
        <w:pStyle w:val="Heading2"/>
        <w:spacing w:before="0"/>
      </w:pPr>
      <w:bookmarkStart w:id="25" w:name="_Toc184648852"/>
      <w:r>
        <w:t>A.</w:t>
      </w:r>
      <w:r w:rsidRPr="00A41763" w:rsidR="00A41763">
        <w:t xml:space="preserve">14. </w:t>
      </w:r>
      <w:r w:rsidR="00FE2197">
        <w:t>Annual Cost to the Federal Government</w:t>
      </w:r>
      <w:bookmarkEnd w:id="25"/>
      <w:r w:rsidRPr="00F056C3">
        <w:t xml:space="preserve"> </w:t>
      </w:r>
    </w:p>
    <w:p w:rsidR="00A41763" w:rsidP="00E44CFC" w14:paraId="5C07E6D1" w14:textId="2117D768">
      <w:pPr>
        <w:spacing w:after="0"/>
        <w:rPr>
          <w:b/>
          <w:bCs/>
          <w:sz w:val="24"/>
          <w:szCs w:val="24"/>
        </w:rPr>
      </w:pPr>
      <w:r w:rsidRPr="00E44CFC">
        <w:rPr>
          <w:b/>
          <w:bCs/>
          <w:sz w:val="24"/>
          <w:szCs w:val="24"/>
        </w:rPr>
        <w:t xml:space="preserve">Provide estimates of annualized cost to the Federal government. </w:t>
      </w:r>
    </w:p>
    <w:p w:rsidR="00FE7F40" w:rsidRPr="00E44CFC" w:rsidP="00E44CFC" w14:paraId="2AAF665B" w14:textId="77777777">
      <w:pPr>
        <w:spacing w:after="0"/>
        <w:rPr>
          <w:sz w:val="24"/>
          <w:szCs w:val="24"/>
        </w:rPr>
      </w:pPr>
    </w:p>
    <w:p w:rsidR="00AE78B6" w:rsidRPr="00E44CFC" w:rsidP="006926D8" w14:paraId="362ED830" w14:textId="78C650E4">
      <w:pPr>
        <w:rPr>
          <w:b/>
          <w:sz w:val="24"/>
          <w:szCs w:val="24"/>
        </w:rPr>
      </w:pPr>
      <w:r>
        <w:rPr>
          <w:sz w:val="24"/>
          <w:szCs w:val="24"/>
        </w:rPr>
        <w:t>Th</w:t>
      </w:r>
      <w:r w:rsidRPr="00E44CFC">
        <w:rPr>
          <w:sz w:val="24"/>
          <w:szCs w:val="24"/>
        </w:rPr>
        <w:t xml:space="preserve">e Department is not involved in the collection or maintenance of this </w:t>
      </w:r>
      <w:r w:rsidRPr="00E44CFC">
        <w:rPr>
          <w:sz w:val="24"/>
          <w:szCs w:val="24"/>
        </w:rPr>
        <w:t>data</w:t>
      </w:r>
      <w:r>
        <w:rPr>
          <w:sz w:val="24"/>
          <w:szCs w:val="24"/>
        </w:rPr>
        <w:t>,</w:t>
      </w:r>
      <w:r>
        <w:rPr>
          <w:sz w:val="24"/>
          <w:szCs w:val="24"/>
        </w:rPr>
        <w:t xml:space="preserve"> therefore no cost is reported</w:t>
      </w:r>
      <w:r w:rsidRPr="00E44CFC" w:rsidR="00E86580">
        <w:rPr>
          <w:sz w:val="24"/>
          <w:szCs w:val="24"/>
        </w:rPr>
        <w:t xml:space="preserve">. </w:t>
      </w:r>
      <w:r w:rsidR="008A3609">
        <w:rPr>
          <w:sz w:val="24"/>
          <w:szCs w:val="24"/>
        </w:rPr>
        <w:t xml:space="preserve"> </w:t>
      </w:r>
      <w:r w:rsidRPr="00E44CFC">
        <w:rPr>
          <w:sz w:val="24"/>
          <w:szCs w:val="24"/>
        </w:rPr>
        <w:t>The collection or maintenance of data at DOE reporting organizations is performed under contracts with DOE or the prime contractor at the site</w:t>
      </w:r>
      <w:r w:rsidRPr="00E44CFC" w:rsidR="00E86580">
        <w:rPr>
          <w:sz w:val="24"/>
          <w:szCs w:val="24"/>
        </w:rPr>
        <w:t xml:space="preserve">. </w:t>
      </w:r>
      <w:r w:rsidR="008A3609">
        <w:rPr>
          <w:sz w:val="24"/>
          <w:szCs w:val="24"/>
        </w:rPr>
        <w:t xml:space="preserve"> </w:t>
      </w:r>
      <w:r w:rsidRPr="00E44CFC">
        <w:rPr>
          <w:sz w:val="24"/>
          <w:szCs w:val="24"/>
        </w:rPr>
        <w:t xml:space="preserve">DOE contractors are reimbursed </w:t>
      </w:r>
      <w:r w:rsidRPr="00E44CFC">
        <w:rPr>
          <w:sz w:val="24"/>
          <w:szCs w:val="24"/>
        </w:rPr>
        <w:t xml:space="preserve">through their contracts for the costs of complying with requirements in 10 CFR </w:t>
      </w:r>
      <w:r w:rsidRPr="00FB2A36">
        <w:rPr>
          <w:sz w:val="24"/>
          <w:szCs w:val="24"/>
        </w:rPr>
        <w:t>85</w:t>
      </w:r>
      <w:r w:rsidRPr="00FB2A36" w:rsidR="00275419">
        <w:rPr>
          <w:sz w:val="24"/>
          <w:szCs w:val="24"/>
        </w:rPr>
        <w:t>0</w:t>
      </w:r>
      <w:r w:rsidRPr="00E44CFC">
        <w:rPr>
          <w:sz w:val="24"/>
          <w:szCs w:val="24"/>
        </w:rPr>
        <w:t xml:space="preserve"> which is represented in the total annual cost burden for respondents</w:t>
      </w:r>
      <w:r w:rsidRPr="00E44CFC" w:rsidR="00E86580">
        <w:rPr>
          <w:sz w:val="24"/>
          <w:szCs w:val="24"/>
        </w:rPr>
        <w:t xml:space="preserve">. </w:t>
      </w:r>
    </w:p>
    <w:p w:rsidR="00CD1D70" w:rsidRPr="00E44CFC" w:rsidP="00E246C4" w14:paraId="3B2A41B3" w14:textId="77777777"/>
    <w:p w:rsidR="006D42EC" w:rsidP="00CD1D70" w14:paraId="3E28715E" w14:textId="77777777">
      <w:pPr>
        <w:pStyle w:val="Heading2"/>
        <w:spacing w:before="0"/>
      </w:pPr>
      <w:bookmarkStart w:id="26" w:name="_Toc184648853"/>
      <w:r>
        <w:t>A.</w:t>
      </w:r>
      <w:r w:rsidRPr="00A41763" w:rsidR="00A41763">
        <w:t xml:space="preserve">15. </w:t>
      </w:r>
      <w:r>
        <w:t>Reasons for Changes in Burden</w:t>
      </w:r>
      <w:bookmarkEnd w:id="26"/>
    </w:p>
    <w:p w:rsidR="00A41763" w:rsidRPr="00E44CFC" w:rsidP="00E44CFC" w14:paraId="30920B60" w14:textId="77777777">
      <w:pPr>
        <w:spacing w:after="0"/>
        <w:rPr>
          <w:b/>
          <w:bCs/>
          <w:sz w:val="24"/>
          <w:szCs w:val="24"/>
        </w:rPr>
      </w:pPr>
      <w:r w:rsidRPr="00E44CFC">
        <w:rPr>
          <w:b/>
          <w:bCs/>
          <w:sz w:val="24"/>
          <w:szCs w:val="24"/>
        </w:rPr>
        <w:t xml:space="preserve">Explain the reasons for any program changes or adjustments reported in Items 13 (or 14) of OMB Form 83-I. </w:t>
      </w:r>
    </w:p>
    <w:p w:rsidR="00E44CFC" w:rsidRPr="00A41763" w:rsidP="00E44CFC" w14:paraId="59E3BDE1" w14:textId="77777777">
      <w:pPr>
        <w:spacing w:after="0"/>
      </w:pPr>
    </w:p>
    <w:p w:rsidR="006926D8" w:rsidRPr="00FA1FE2" w:rsidP="00E44CFC" w14:paraId="306FFB8D" w14:textId="14CF2745">
      <w:pPr>
        <w:spacing w:after="0"/>
        <w:rPr>
          <w:sz w:val="24"/>
          <w:szCs w:val="24"/>
        </w:rPr>
      </w:pPr>
      <w:r w:rsidRPr="00FA1FE2">
        <w:rPr>
          <w:sz w:val="24"/>
          <w:szCs w:val="24"/>
        </w:rPr>
        <w:t xml:space="preserve">The change in the number of responses and respondents under this ICR (a total of </w:t>
      </w:r>
      <w:r w:rsidR="00AD7C18">
        <w:rPr>
          <w:sz w:val="24"/>
          <w:szCs w:val="24"/>
        </w:rPr>
        <w:t>29,794</w:t>
      </w:r>
      <w:r w:rsidR="00FA1FE2">
        <w:rPr>
          <w:sz w:val="24"/>
          <w:szCs w:val="24"/>
        </w:rPr>
        <w:t xml:space="preserve"> </w:t>
      </w:r>
      <w:r w:rsidRPr="00FA1FE2">
        <w:rPr>
          <w:sz w:val="24"/>
          <w:szCs w:val="24"/>
        </w:rPr>
        <w:t xml:space="preserve">burden hours for </w:t>
      </w:r>
      <w:r w:rsidR="00AD7C18">
        <w:rPr>
          <w:sz w:val="24"/>
          <w:szCs w:val="24"/>
        </w:rPr>
        <w:t>14,359</w:t>
      </w:r>
      <w:r w:rsidRPr="00FA1FE2">
        <w:rPr>
          <w:sz w:val="24"/>
          <w:szCs w:val="24"/>
        </w:rPr>
        <w:t xml:space="preserve"> responses annually for </w:t>
      </w:r>
      <w:r w:rsidRPr="00FA1FE2" w:rsidR="00AD7C18">
        <w:rPr>
          <w:sz w:val="24"/>
          <w:szCs w:val="24"/>
        </w:rPr>
        <w:t>2</w:t>
      </w:r>
      <w:r w:rsidR="00AD7C18">
        <w:rPr>
          <w:sz w:val="24"/>
          <w:szCs w:val="24"/>
        </w:rPr>
        <w:t>7</w:t>
      </w:r>
      <w:r w:rsidRPr="00FA1FE2" w:rsidR="00AD7C18">
        <w:rPr>
          <w:sz w:val="24"/>
          <w:szCs w:val="24"/>
        </w:rPr>
        <w:t xml:space="preserve"> </w:t>
      </w:r>
      <w:r w:rsidRPr="00FA1FE2">
        <w:rPr>
          <w:sz w:val="24"/>
          <w:szCs w:val="24"/>
        </w:rPr>
        <w:t>reporting organizations, as noted in Item 12) are due to an adjustment in agency estimates</w:t>
      </w:r>
      <w:r w:rsidRPr="00FA1FE2" w:rsidR="00E86580">
        <w:rPr>
          <w:sz w:val="24"/>
          <w:szCs w:val="24"/>
        </w:rPr>
        <w:t xml:space="preserve">. </w:t>
      </w:r>
      <w:r w:rsidRPr="00FA1FE2">
        <w:rPr>
          <w:sz w:val="24"/>
          <w:szCs w:val="24"/>
        </w:rPr>
        <w:t xml:space="preserve">Namely, DOE has updated the number of respondents and respondents using data from the </w:t>
      </w:r>
      <w:r w:rsidRPr="00FA1FE2" w:rsidR="00AD7C18">
        <w:rPr>
          <w:sz w:val="24"/>
          <w:szCs w:val="24"/>
        </w:rPr>
        <w:t>20</w:t>
      </w:r>
      <w:r w:rsidR="00AD7C18">
        <w:rPr>
          <w:sz w:val="24"/>
          <w:szCs w:val="24"/>
        </w:rPr>
        <w:t>23</w:t>
      </w:r>
      <w:r w:rsidRPr="00FA1FE2" w:rsidR="00AD7C18">
        <w:rPr>
          <w:sz w:val="24"/>
          <w:szCs w:val="24"/>
        </w:rPr>
        <w:t xml:space="preserve"> </w:t>
      </w:r>
      <w:r w:rsidRPr="00FA1FE2">
        <w:rPr>
          <w:sz w:val="24"/>
          <w:szCs w:val="24"/>
        </w:rPr>
        <w:t xml:space="preserve">Beryllium-Associated Worker Registry, and updated wages to </w:t>
      </w:r>
      <w:r w:rsidRPr="00C01183" w:rsidR="00AD7C18">
        <w:rPr>
          <w:sz w:val="24"/>
          <w:szCs w:val="24"/>
        </w:rPr>
        <w:t>20</w:t>
      </w:r>
      <w:r w:rsidR="00AD7C18">
        <w:rPr>
          <w:sz w:val="24"/>
          <w:szCs w:val="24"/>
        </w:rPr>
        <w:t>24</w:t>
      </w:r>
      <w:r w:rsidRPr="00C01183" w:rsidR="003F0A28">
        <w:rPr>
          <w:sz w:val="24"/>
          <w:szCs w:val="24"/>
        </w:rPr>
        <w:t>$</w:t>
      </w:r>
      <w:r w:rsidR="002467FC">
        <w:rPr>
          <w:sz w:val="24"/>
          <w:szCs w:val="24"/>
        </w:rPr>
        <w:t>.</w:t>
      </w:r>
    </w:p>
    <w:p w:rsidR="00E44CFC" w:rsidRPr="00FA1FE2" w:rsidP="00E44CFC" w14:paraId="1E56A438" w14:textId="77777777">
      <w:pPr>
        <w:spacing w:after="0"/>
        <w:rPr>
          <w:sz w:val="24"/>
          <w:szCs w:val="24"/>
        </w:rPr>
      </w:pPr>
    </w:p>
    <w:p w:rsidR="006926D8" w:rsidRPr="00FA1FE2" w:rsidP="00E44CFC" w14:paraId="53120AF7" w14:textId="7B778BDB">
      <w:pPr>
        <w:spacing w:after="0"/>
        <w:rPr>
          <w:sz w:val="24"/>
          <w:szCs w:val="24"/>
        </w:rPr>
      </w:pPr>
      <w:r w:rsidRPr="00FA1FE2">
        <w:rPr>
          <w:sz w:val="24"/>
          <w:szCs w:val="24"/>
        </w:rPr>
        <w:t>There are no changes in the ICR due to program changes due to agency discretion, since no new requirements have been added</w:t>
      </w:r>
      <w:r w:rsidRPr="00FA1FE2" w:rsidR="00E86580">
        <w:rPr>
          <w:sz w:val="24"/>
          <w:szCs w:val="24"/>
        </w:rPr>
        <w:t xml:space="preserve">. </w:t>
      </w:r>
    </w:p>
    <w:p w:rsidR="00E44CFC" w:rsidRPr="006926D8" w:rsidP="00E44CFC" w14:paraId="44D443DD" w14:textId="77777777">
      <w:pPr>
        <w:spacing w:after="0"/>
      </w:pPr>
    </w:p>
    <w:tbl>
      <w:tblPr>
        <w:tblW w:w="0" w:type="auto"/>
        <w:jc w:val="center"/>
        <w:tblLook w:val="04A0"/>
      </w:tblPr>
      <w:tblGrid>
        <w:gridCol w:w="1749"/>
        <w:gridCol w:w="1127"/>
        <w:gridCol w:w="2361"/>
        <w:gridCol w:w="2600"/>
        <w:gridCol w:w="1523"/>
      </w:tblGrid>
      <w:tr w14:paraId="30AA3016" w14:textId="77777777" w:rsidTr="00AD7C18">
        <w:tblPrEx>
          <w:tblW w:w="0" w:type="auto"/>
          <w:jc w:val="center"/>
          <w:tblLook w:val="04A0"/>
        </w:tblPrEx>
        <w:trPr>
          <w:trHeight w:val="255"/>
          <w:tblHeader/>
          <w:jc w:val="center"/>
        </w:trPr>
        <w:tc>
          <w:tcPr>
            <w:tcW w:w="0" w:type="auto"/>
            <w:gridSpan w:val="5"/>
            <w:tcBorders>
              <w:top w:val="nil"/>
              <w:left w:val="nil"/>
              <w:bottom w:val="nil"/>
              <w:right w:val="nil"/>
            </w:tcBorders>
            <w:shd w:val="clear" w:color="auto" w:fill="auto"/>
            <w:noWrap/>
            <w:vAlign w:val="center"/>
            <w:hideMark/>
          </w:tcPr>
          <w:p w:rsidR="00AD7C18" w:rsidRPr="00AD7C18" w:rsidP="00AD7C18" w14:paraId="104B37D9" w14:textId="77777777">
            <w:pPr>
              <w:spacing w:after="0" w:line="240" w:lineRule="auto"/>
              <w:jc w:val="center"/>
              <w:rPr>
                <w:rFonts w:eastAsia="Times New Roman" w:cstheme="minorHAnsi"/>
                <w:b/>
                <w:bCs/>
                <w:color w:val="0070C0"/>
                <w:sz w:val="28"/>
                <w:szCs w:val="28"/>
              </w:rPr>
            </w:pPr>
            <w:r w:rsidRPr="00AD7C18">
              <w:rPr>
                <w:rFonts w:eastAsia="Times New Roman" w:cstheme="minorHAnsi"/>
                <w:b/>
                <w:bCs/>
                <w:color w:val="0070C0"/>
                <w:sz w:val="28"/>
                <w:szCs w:val="28"/>
              </w:rPr>
              <w:t>Table A3. ICR Summary of Burden</w:t>
            </w:r>
          </w:p>
        </w:tc>
      </w:tr>
      <w:tr w14:paraId="276A3078" w14:textId="77777777" w:rsidTr="00AD7C18">
        <w:tblPrEx>
          <w:tblW w:w="0" w:type="auto"/>
          <w:jc w:val="center"/>
          <w:tblLook w:val="04A0"/>
        </w:tblPrEx>
        <w:trPr>
          <w:trHeight w:val="255"/>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00B0F0"/>
            <w:vAlign w:val="center"/>
            <w:hideMark/>
          </w:tcPr>
          <w:p w:rsidR="00AD7C18" w:rsidRPr="00AD7C18" w:rsidP="00AD7C18" w14:paraId="0C0394F0" w14:textId="77777777">
            <w:pPr>
              <w:spacing w:after="0" w:line="240" w:lineRule="auto"/>
              <w:jc w:val="center"/>
              <w:rPr>
                <w:rFonts w:ascii="Calibri" w:eastAsia="Times New Roman" w:hAnsi="Calibri" w:cs="Calibri"/>
                <w:b/>
                <w:bCs/>
                <w:color w:val="FFFFFF"/>
                <w:sz w:val="20"/>
                <w:szCs w:val="20"/>
              </w:rPr>
            </w:pPr>
            <w:r w:rsidRPr="00AD7C18">
              <w:rPr>
                <w:rFonts w:ascii="Calibri" w:eastAsia="Times New Roman" w:hAnsi="Calibri" w:cs="Calibri"/>
                <w:b/>
                <w:bCs/>
                <w:color w:val="FFFFFF"/>
                <w:sz w:val="20"/>
                <w:szCs w:val="20"/>
              </w:rPr>
              <w:t> </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rsidR="00AD7C18" w:rsidRPr="00AD7C18" w:rsidP="00AD7C18" w14:paraId="00755F9B" w14:textId="77777777">
            <w:pPr>
              <w:spacing w:after="0" w:line="240" w:lineRule="auto"/>
              <w:jc w:val="center"/>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Requested</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rsidR="00AD7C18" w:rsidRPr="00AD7C18" w:rsidP="00AD7C18" w14:paraId="31E17B6D" w14:textId="77777777">
            <w:pPr>
              <w:spacing w:after="0" w:line="240" w:lineRule="auto"/>
              <w:jc w:val="center"/>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Program Change Due to Agency Discretion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rsidR="00AD7C18" w:rsidRPr="00AD7C18" w:rsidP="00AD7C18" w14:paraId="3248CE54" w14:textId="77777777">
            <w:pPr>
              <w:spacing w:after="0" w:line="240" w:lineRule="auto"/>
              <w:jc w:val="center"/>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Change Due to Adjustment in Agency Estimate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rsidR="00AD7C18" w:rsidRPr="00AD7C18" w:rsidP="00AD7C18" w14:paraId="2E2047AB" w14:textId="77777777">
            <w:pPr>
              <w:spacing w:after="0" w:line="240" w:lineRule="auto"/>
              <w:jc w:val="center"/>
              <w:rPr>
                <w:rFonts w:ascii="Calibri" w:eastAsia="Times New Roman" w:hAnsi="Calibri" w:cs="Calibri"/>
                <w:b/>
                <w:bCs/>
                <w:color w:val="000000"/>
                <w:sz w:val="20"/>
                <w:szCs w:val="20"/>
              </w:rPr>
            </w:pPr>
            <w:r w:rsidRPr="00AD7C18">
              <w:rPr>
                <w:rFonts w:ascii="Calibri" w:eastAsia="Times New Roman" w:hAnsi="Calibri" w:cs="Calibri"/>
                <w:b/>
                <w:bCs/>
                <w:color w:val="000000"/>
                <w:sz w:val="20"/>
                <w:szCs w:val="20"/>
              </w:rPr>
              <w:t>Previously Approved</w:t>
            </w:r>
          </w:p>
        </w:tc>
      </w:tr>
      <w:tr w14:paraId="3A5CEA17" w14:textId="77777777" w:rsidTr="00AD7C18">
        <w:tblPrEx>
          <w:tblW w:w="0" w:type="auto"/>
          <w:jc w:val="center"/>
          <w:tblLook w:val="04A0"/>
        </w:tblPrEx>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D7C18" w:rsidRPr="00AD7C18" w:rsidP="00AD7C18" w14:paraId="2FD23669" w14:textId="77777777">
            <w:pPr>
              <w:spacing w:after="0" w:line="240" w:lineRule="auto"/>
              <w:rPr>
                <w:rFonts w:ascii="Calibri" w:eastAsia="Times New Roman" w:hAnsi="Calibri" w:cs="Calibri"/>
                <w:sz w:val="20"/>
                <w:szCs w:val="20"/>
              </w:rPr>
            </w:pPr>
            <w:r w:rsidRPr="00AD7C18">
              <w:rPr>
                <w:rFonts w:ascii="Calibri" w:eastAsia="Times New Roman" w:hAnsi="Calibri" w:cs="Calibri"/>
                <w:sz w:val="20"/>
                <w:szCs w:val="20"/>
              </w:rPr>
              <w:t>Total Number of Responses</w:t>
            </w:r>
          </w:p>
        </w:tc>
        <w:tc>
          <w:tcPr>
            <w:tcW w:w="0" w:type="auto"/>
            <w:tcBorders>
              <w:top w:val="nil"/>
              <w:left w:val="nil"/>
              <w:bottom w:val="single" w:sz="4" w:space="0" w:color="auto"/>
              <w:right w:val="single" w:sz="4" w:space="0" w:color="auto"/>
            </w:tcBorders>
            <w:shd w:val="clear" w:color="auto" w:fill="auto"/>
            <w:vAlign w:val="center"/>
            <w:hideMark/>
          </w:tcPr>
          <w:p w:rsidR="00AD7C18" w:rsidRPr="00AD7C18" w:rsidP="00AD7C18" w14:paraId="2E7E2EED" w14:textId="77777777">
            <w:pPr>
              <w:spacing w:after="0" w:line="240" w:lineRule="auto"/>
              <w:jc w:val="right"/>
              <w:rPr>
                <w:rFonts w:ascii="Calibri" w:eastAsia="Times New Roman" w:hAnsi="Calibri" w:cs="Calibri"/>
                <w:sz w:val="20"/>
                <w:szCs w:val="20"/>
              </w:rPr>
            </w:pPr>
            <w:r w:rsidRPr="00AD7C18">
              <w:rPr>
                <w:rFonts w:ascii="Calibri" w:eastAsia="Times New Roman" w:hAnsi="Calibri" w:cs="Calibri"/>
                <w:sz w:val="20"/>
                <w:szCs w:val="20"/>
              </w:rPr>
              <w:t>14,359</w:t>
            </w:r>
          </w:p>
        </w:tc>
        <w:tc>
          <w:tcPr>
            <w:tcW w:w="0" w:type="auto"/>
            <w:tcBorders>
              <w:top w:val="nil"/>
              <w:left w:val="nil"/>
              <w:bottom w:val="single" w:sz="4" w:space="0" w:color="auto"/>
              <w:right w:val="single" w:sz="4" w:space="0" w:color="auto"/>
            </w:tcBorders>
            <w:shd w:val="clear" w:color="auto" w:fill="auto"/>
            <w:vAlign w:val="center"/>
            <w:hideMark/>
          </w:tcPr>
          <w:p w:rsidR="00AD7C18" w:rsidRPr="00AD7C18" w:rsidP="00AD7C18" w14:paraId="39DB14F3" w14:textId="77777777">
            <w:pPr>
              <w:spacing w:after="0" w:line="240" w:lineRule="auto"/>
              <w:jc w:val="right"/>
              <w:rPr>
                <w:rFonts w:ascii="Calibri" w:eastAsia="Times New Roman" w:hAnsi="Calibri" w:cs="Calibri"/>
                <w:sz w:val="20"/>
                <w:szCs w:val="20"/>
              </w:rPr>
            </w:pPr>
            <w:r w:rsidRPr="00AD7C18">
              <w:rPr>
                <w:rFonts w:ascii="Calibri" w:eastAsia="Times New Roman" w:hAnsi="Calibri" w:cs="Calibri"/>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AD7C18" w:rsidRPr="00AD7C18" w:rsidP="00AD7C18" w14:paraId="24BF7E1E" w14:textId="77777777">
            <w:pPr>
              <w:spacing w:after="0" w:line="240" w:lineRule="auto"/>
              <w:jc w:val="right"/>
              <w:rPr>
                <w:rFonts w:ascii="Calibri" w:eastAsia="Times New Roman" w:hAnsi="Calibri" w:cs="Calibri"/>
                <w:sz w:val="20"/>
                <w:szCs w:val="20"/>
              </w:rPr>
            </w:pPr>
            <w:r w:rsidRPr="00AD7C18">
              <w:rPr>
                <w:rFonts w:ascii="Calibri" w:eastAsia="Times New Roman" w:hAnsi="Calibri" w:cs="Calibri"/>
                <w:sz w:val="20"/>
                <w:szCs w:val="20"/>
              </w:rPr>
              <w:t>-2,254</w:t>
            </w:r>
          </w:p>
        </w:tc>
        <w:tc>
          <w:tcPr>
            <w:tcW w:w="0" w:type="auto"/>
            <w:tcBorders>
              <w:top w:val="nil"/>
              <w:left w:val="nil"/>
              <w:bottom w:val="single" w:sz="4" w:space="0" w:color="auto"/>
              <w:right w:val="single" w:sz="4" w:space="0" w:color="auto"/>
            </w:tcBorders>
            <w:shd w:val="clear" w:color="auto" w:fill="auto"/>
            <w:vAlign w:val="center"/>
            <w:hideMark/>
          </w:tcPr>
          <w:p w:rsidR="00AD7C18" w:rsidRPr="00AD7C18" w:rsidP="00AD7C18" w14:paraId="6155F9CC" w14:textId="77777777">
            <w:pPr>
              <w:spacing w:after="0" w:line="240" w:lineRule="auto"/>
              <w:jc w:val="right"/>
              <w:rPr>
                <w:rFonts w:ascii="Calibri" w:eastAsia="Times New Roman" w:hAnsi="Calibri" w:cs="Calibri"/>
                <w:sz w:val="20"/>
                <w:szCs w:val="20"/>
              </w:rPr>
            </w:pPr>
            <w:r w:rsidRPr="00AD7C18">
              <w:rPr>
                <w:rFonts w:ascii="Calibri" w:eastAsia="Times New Roman" w:hAnsi="Calibri" w:cs="Calibri"/>
                <w:sz w:val="20"/>
                <w:szCs w:val="20"/>
              </w:rPr>
              <w:t>16,613</w:t>
            </w:r>
          </w:p>
        </w:tc>
      </w:tr>
      <w:tr w14:paraId="7FCD02D1" w14:textId="77777777" w:rsidTr="00AD7C18">
        <w:tblPrEx>
          <w:tblW w:w="0" w:type="auto"/>
          <w:jc w:val="center"/>
          <w:tblLook w:val="04A0"/>
        </w:tblPrEx>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D7C18" w:rsidRPr="00AD7C18" w:rsidP="00AD7C18" w14:paraId="198D4C2D" w14:textId="77777777">
            <w:pPr>
              <w:spacing w:after="0" w:line="240" w:lineRule="auto"/>
              <w:rPr>
                <w:rFonts w:ascii="Calibri" w:eastAsia="Times New Roman" w:hAnsi="Calibri" w:cs="Calibri"/>
                <w:sz w:val="20"/>
                <w:szCs w:val="20"/>
              </w:rPr>
            </w:pPr>
            <w:r w:rsidRPr="00AD7C18">
              <w:rPr>
                <w:rFonts w:ascii="Calibri" w:eastAsia="Times New Roman" w:hAnsi="Calibri" w:cs="Calibri"/>
                <w:sz w:val="20"/>
                <w:szCs w:val="20"/>
              </w:rPr>
              <w:t>Total Time Burden (</w:t>
            </w:r>
            <w:r w:rsidRPr="00AD7C18">
              <w:rPr>
                <w:rFonts w:ascii="Calibri" w:eastAsia="Times New Roman" w:hAnsi="Calibri" w:cs="Calibri"/>
                <w:sz w:val="20"/>
                <w:szCs w:val="20"/>
              </w:rPr>
              <w:t>Hr</w:t>
            </w:r>
            <w:r w:rsidRPr="00AD7C18">
              <w:rPr>
                <w:rFonts w:ascii="Calibri" w:eastAsia="Times New Roman" w:hAnsi="Calibri" w:cs="Calibri"/>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AD7C18" w:rsidRPr="00AD7C18" w:rsidP="00AD7C18" w14:paraId="5CB00954" w14:textId="77777777">
            <w:pPr>
              <w:spacing w:after="0" w:line="240" w:lineRule="auto"/>
              <w:jc w:val="right"/>
              <w:rPr>
                <w:rFonts w:ascii="Calibri" w:eastAsia="Times New Roman" w:hAnsi="Calibri" w:cs="Calibri"/>
                <w:sz w:val="20"/>
                <w:szCs w:val="20"/>
              </w:rPr>
            </w:pPr>
            <w:r w:rsidRPr="00AD7C18">
              <w:rPr>
                <w:rFonts w:ascii="Calibri" w:eastAsia="Times New Roman" w:hAnsi="Calibri" w:cs="Calibri"/>
                <w:sz w:val="20"/>
                <w:szCs w:val="20"/>
              </w:rPr>
              <w:t>29,794</w:t>
            </w:r>
          </w:p>
        </w:tc>
        <w:tc>
          <w:tcPr>
            <w:tcW w:w="0" w:type="auto"/>
            <w:tcBorders>
              <w:top w:val="nil"/>
              <w:left w:val="nil"/>
              <w:bottom w:val="single" w:sz="4" w:space="0" w:color="auto"/>
              <w:right w:val="single" w:sz="4" w:space="0" w:color="auto"/>
            </w:tcBorders>
            <w:shd w:val="clear" w:color="auto" w:fill="auto"/>
            <w:vAlign w:val="center"/>
            <w:hideMark/>
          </w:tcPr>
          <w:p w:rsidR="00AD7C18" w:rsidRPr="00AD7C18" w:rsidP="00AD7C18" w14:paraId="6862B115" w14:textId="77777777">
            <w:pPr>
              <w:spacing w:after="0" w:line="240" w:lineRule="auto"/>
              <w:jc w:val="right"/>
              <w:rPr>
                <w:rFonts w:ascii="Calibri" w:eastAsia="Times New Roman" w:hAnsi="Calibri" w:cs="Calibri"/>
                <w:sz w:val="20"/>
                <w:szCs w:val="20"/>
              </w:rPr>
            </w:pPr>
            <w:r w:rsidRPr="00AD7C18">
              <w:rPr>
                <w:rFonts w:ascii="Calibri" w:eastAsia="Times New Roman" w:hAnsi="Calibri" w:cs="Calibri"/>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AD7C18" w:rsidRPr="00AD7C18" w:rsidP="00AD7C18" w14:paraId="2D305D1A" w14:textId="77777777">
            <w:pPr>
              <w:spacing w:after="0" w:line="240" w:lineRule="auto"/>
              <w:jc w:val="right"/>
              <w:rPr>
                <w:rFonts w:ascii="Calibri" w:eastAsia="Times New Roman" w:hAnsi="Calibri" w:cs="Calibri"/>
                <w:sz w:val="20"/>
                <w:szCs w:val="20"/>
              </w:rPr>
            </w:pPr>
            <w:r w:rsidRPr="00AD7C18">
              <w:rPr>
                <w:rFonts w:ascii="Calibri" w:eastAsia="Times New Roman" w:hAnsi="Calibri" w:cs="Calibri"/>
                <w:sz w:val="20"/>
                <w:szCs w:val="20"/>
              </w:rPr>
              <w:t>504</w:t>
            </w:r>
          </w:p>
        </w:tc>
        <w:tc>
          <w:tcPr>
            <w:tcW w:w="0" w:type="auto"/>
            <w:tcBorders>
              <w:top w:val="nil"/>
              <w:left w:val="nil"/>
              <w:bottom w:val="single" w:sz="4" w:space="0" w:color="auto"/>
              <w:right w:val="single" w:sz="4" w:space="0" w:color="auto"/>
            </w:tcBorders>
            <w:shd w:val="clear" w:color="auto" w:fill="auto"/>
            <w:vAlign w:val="center"/>
            <w:hideMark/>
          </w:tcPr>
          <w:p w:rsidR="00AD7C18" w:rsidRPr="00AD7C18" w:rsidP="00AD7C18" w14:paraId="33708C8E" w14:textId="77777777">
            <w:pPr>
              <w:spacing w:after="0" w:line="240" w:lineRule="auto"/>
              <w:jc w:val="right"/>
              <w:rPr>
                <w:rFonts w:ascii="Calibri" w:eastAsia="Times New Roman" w:hAnsi="Calibri" w:cs="Calibri"/>
                <w:sz w:val="20"/>
                <w:szCs w:val="20"/>
              </w:rPr>
            </w:pPr>
            <w:r w:rsidRPr="00AD7C18">
              <w:rPr>
                <w:rFonts w:ascii="Calibri" w:eastAsia="Times New Roman" w:hAnsi="Calibri" w:cs="Calibri"/>
                <w:sz w:val="20"/>
                <w:szCs w:val="20"/>
              </w:rPr>
              <w:t>29,290</w:t>
            </w:r>
          </w:p>
        </w:tc>
      </w:tr>
      <w:tr w14:paraId="68C561F3" w14:textId="77777777" w:rsidTr="00AD7C18">
        <w:tblPrEx>
          <w:tblW w:w="0" w:type="auto"/>
          <w:jc w:val="center"/>
          <w:tblLook w:val="04A0"/>
        </w:tblPrEx>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D7C18" w:rsidRPr="00AD7C18" w:rsidP="00AD7C18" w14:paraId="76F206F4" w14:textId="77777777">
            <w:pPr>
              <w:spacing w:after="0" w:line="240" w:lineRule="auto"/>
              <w:rPr>
                <w:rFonts w:ascii="Calibri" w:eastAsia="Times New Roman" w:hAnsi="Calibri" w:cs="Calibri"/>
                <w:sz w:val="20"/>
                <w:szCs w:val="20"/>
              </w:rPr>
            </w:pPr>
            <w:r w:rsidRPr="00AD7C18">
              <w:rPr>
                <w:rFonts w:ascii="Calibri" w:eastAsia="Times New Roman" w:hAnsi="Calibri" w:cs="Calibri"/>
                <w:sz w:val="20"/>
                <w:szCs w:val="20"/>
              </w:rPr>
              <w:t>Total Cost Burden</w:t>
            </w:r>
          </w:p>
        </w:tc>
        <w:tc>
          <w:tcPr>
            <w:tcW w:w="0" w:type="auto"/>
            <w:tcBorders>
              <w:top w:val="nil"/>
              <w:left w:val="nil"/>
              <w:bottom w:val="single" w:sz="4" w:space="0" w:color="auto"/>
              <w:right w:val="single" w:sz="4" w:space="0" w:color="auto"/>
            </w:tcBorders>
            <w:shd w:val="clear" w:color="auto" w:fill="auto"/>
            <w:vAlign w:val="center"/>
            <w:hideMark/>
          </w:tcPr>
          <w:p w:rsidR="00AD7C18" w:rsidRPr="00AD7C18" w:rsidP="00AD7C18" w14:paraId="3E01C8BC" w14:textId="77777777">
            <w:pPr>
              <w:spacing w:after="0" w:line="240" w:lineRule="auto"/>
              <w:jc w:val="right"/>
              <w:rPr>
                <w:rFonts w:ascii="Calibri" w:eastAsia="Times New Roman" w:hAnsi="Calibri" w:cs="Calibri"/>
                <w:sz w:val="20"/>
                <w:szCs w:val="20"/>
              </w:rPr>
            </w:pPr>
            <w:r w:rsidRPr="00AD7C18">
              <w:rPr>
                <w:rFonts w:ascii="Calibri" w:eastAsia="Times New Roman" w:hAnsi="Calibri" w:cs="Calibri"/>
                <w:sz w:val="20"/>
                <w:szCs w:val="20"/>
              </w:rPr>
              <w:t>$2,248,024</w:t>
            </w:r>
          </w:p>
        </w:tc>
        <w:tc>
          <w:tcPr>
            <w:tcW w:w="0" w:type="auto"/>
            <w:tcBorders>
              <w:top w:val="nil"/>
              <w:left w:val="nil"/>
              <w:bottom w:val="single" w:sz="4" w:space="0" w:color="auto"/>
              <w:right w:val="single" w:sz="4" w:space="0" w:color="auto"/>
            </w:tcBorders>
            <w:shd w:val="clear" w:color="auto" w:fill="auto"/>
            <w:vAlign w:val="center"/>
            <w:hideMark/>
          </w:tcPr>
          <w:p w:rsidR="00AD7C18" w:rsidRPr="00AD7C18" w:rsidP="00AD7C18" w14:paraId="657EA524" w14:textId="77777777">
            <w:pPr>
              <w:spacing w:after="0" w:line="240" w:lineRule="auto"/>
              <w:jc w:val="right"/>
              <w:rPr>
                <w:rFonts w:ascii="Calibri" w:eastAsia="Times New Roman" w:hAnsi="Calibri" w:cs="Calibri"/>
                <w:sz w:val="20"/>
                <w:szCs w:val="20"/>
              </w:rPr>
            </w:pPr>
            <w:r w:rsidRPr="00AD7C18">
              <w:rPr>
                <w:rFonts w:ascii="Calibri" w:eastAsia="Times New Roman" w:hAnsi="Calibri" w:cs="Calibri"/>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AD7C18" w:rsidRPr="00AD7C18" w:rsidP="00AD7C18" w14:paraId="469255E8" w14:textId="77777777">
            <w:pPr>
              <w:spacing w:after="0" w:line="240" w:lineRule="auto"/>
              <w:jc w:val="right"/>
              <w:rPr>
                <w:rFonts w:ascii="Calibri" w:eastAsia="Times New Roman" w:hAnsi="Calibri" w:cs="Calibri"/>
                <w:sz w:val="20"/>
                <w:szCs w:val="20"/>
              </w:rPr>
            </w:pPr>
            <w:r w:rsidRPr="00AD7C18">
              <w:rPr>
                <w:rFonts w:ascii="Calibri" w:eastAsia="Times New Roman" w:hAnsi="Calibri" w:cs="Calibri"/>
                <w:sz w:val="20"/>
                <w:szCs w:val="20"/>
              </w:rPr>
              <w:t>$380,559</w:t>
            </w:r>
          </w:p>
        </w:tc>
        <w:tc>
          <w:tcPr>
            <w:tcW w:w="0" w:type="auto"/>
            <w:tcBorders>
              <w:top w:val="nil"/>
              <w:left w:val="nil"/>
              <w:bottom w:val="single" w:sz="4" w:space="0" w:color="auto"/>
              <w:right w:val="single" w:sz="4" w:space="0" w:color="auto"/>
            </w:tcBorders>
            <w:shd w:val="clear" w:color="auto" w:fill="auto"/>
            <w:vAlign w:val="center"/>
            <w:hideMark/>
          </w:tcPr>
          <w:p w:rsidR="00AD7C18" w:rsidRPr="00AD7C18" w:rsidP="00AD7C18" w14:paraId="76F67A79" w14:textId="77777777">
            <w:pPr>
              <w:spacing w:after="0" w:line="240" w:lineRule="auto"/>
              <w:jc w:val="right"/>
              <w:rPr>
                <w:rFonts w:ascii="Calibri" w:eastAsia="Times New Roman" w:hAnsi="Calibri" w:cs="Calibri"/>
                <w:sz w:val="20"/>
                <w:szCs w:val="20"/>
              </w:rPr>
            </w:pPr>
            <w:r w:rsidRPr="00AD7C18">
              <w:rPr>
                <w:rFonts w:ascii="Calibri" w:eastAsia="Times New Roman" w:hAnsi="Calibri" w:cs="Calibri"/>
                <w:sz w:val="20"/>
                <w:szCs w:val="20"/>
              </w:rPr>
              <w:t>$1,867,465</w:t>
            </w:r>
          </w:p>
        </w:tc>
      </w:tr>
    </w:tbl>
    <w:p w:rsidR="00D854D8" w:rsidP="00E44CFC" w14:paraId="0A78A9FB" w14:textId="77777777">
      <w:pPr>
        <w:spacing w:after="0"/>
        <w:rPr>
          <w:sz w:val="24"/>
          <w:szCs w:val="24"/>
        </w:rPr>
      </w:pPr>
    </w:p>
    <w:p w:rsidR="00F056C3" w:rsidP="00FA1FE2" w14:paraId="521DC445" w14:textId="77777777">
      <w:pPr>
        <w:pStyle w:val="Heading2"/>
        <w:spacing w:before="0"/>
      </w:pPr>
      <w:bookmarkStart w:id="27" w:name="_Toc184648854"/>
      <w:r>
        <w:t>A.</w:t>
      </w:r>
      <w:r w:rsidRPr="00A41763" w:rsidR="00A41763">
        <w:t xml:space="preserve">16. </w:t>
      </w:r>
      <w:r w:rsidRPr="00F056C3">
        <w:t>Collection, Tabulation, and Publication Plans</w:t>
      </w:r>
      <w:bookmarkEnd w:id="27"/>
      <w:r w:rsidRPr="00F056C3">
        <w:t xml:space="preserve"> </w:t>
      </w:r>
    </w:p>
    <w:p w:rsidR="00A41763" w:rsidRPr="00FA1FE2" w:rsidP="00A41763" w14:paraId="5AFF6CD9" w14:textId="77777777">
      <w:pPr>
        <w:rPr>
          <w:sz w:val="24"/>
          <w:szCs w:val="24"/>
        </w:rPr>
      </w:pPr>
      <w:r w:rsidRPr="00FA1FE2">
        <w:rPr>
          <w:b/>
          <w:bCs/>
          <w:sz w:val="24"/>
          <w:szCs w:val="24"/>
        </w:rPr>
        <w:t xml:space="preserve">For collections whose results will be published, outline the plans for tabulation and publication. </w:t>
      </w:r>
    </w:p>
    <w:p w:rsidR="00F056C3" w:rsidP="00A41763" w14:paraId="13FF9C3F" w14:textId="2EA3A259">
      <w:pPr>
        <w:rPr>
          <w:sz w:val="24"/>
          <w:szCs w:val="24"/>
        </w:rPr>
      </w:pPr>
      <w:r w:rsidRPr="00FA1FE2">
        <w:rPr>
          <w:sz w:val="24"/>
          <w:szCs w:val="24"/>
        </w:rPr>
        <w:t>This information collection will not be published for statistical use</w:t>
      </w:r>
      <w:r w:rsidRPr="00FA1FE2" w:rsidR="00E86580">
        <w:rPr>
          <w:sz w:val="24"/>
          <w:szCs w:val="24"/>
        </w:rPr>
        <w:t xml:space="preserve">. </w:t>
      </w:r>
      <w:r w:rsidRPr="00FA1FE2">
        <w:rPr>
          <w:sz w:val="24"/>
          <w:szCs w:val="24"/>
        </w:rPr>
        <w:t>This ICR submission is a renewal, requesting approval of an existing ICR.</w:t>
      </w:r>
    </w:p>
    <w:p w:rsidR="00F056C3" w:rsidP="00AE78B6" w14:paraId="5019E771" w14:textId="77777777">
      <w:pPr>
        <w:pStyle w:val="Heading2"/>
      </w:pPr>
      <w:bookmarkStart w:id="28" w:name="_Toc184648855"/>
      <w:r>
        <w:t>A.</w:t>
      </w:r>
      <w:r w:rsidRPr="00A41763" w:rsidR="00A41763">
        <w:t xml:space="preserve">17. </w:t>
      </w:r>
      <w:r w:rsidRPr="00F056C3">
        <w:t>OMB Number and Expiration Date</w:t>
      </w:r>
      <w:bookmarkEnd w:id="28"/>
      <w:r w:rsidRPr="00F056C3">
        <w:t xml:space="preserve"> </w:t>
      </w:r>
    </w:p>
    <w:p w:rsidR="00A41763" w:rsidRPr="00FA1FE2" w:rsidP="00FA1FE2" w14:paraId="0CD0A9A1" w14:textId="77777777">
      <w:pPr>
        <w:spacing w:after="0" w:line="240" w:lineRule="auto"/>
        <w:rPr>
          <w:b/>
          <w:bCs/>
          <w:sz w:val="24"/>
          <w:szCs w:val="24"/>
        </w:rPr>
      </w:pPr>
      <w:r w:rsidRPr="00FA1FE2">
        <w:rPr>
          <w:b/>
          <w:bCs/>
          <w:sz w:val="24"/>
          <w:szCs w:val="24"/>
        </w:rPr>
        <w:t xml:space="preserve">If seeking approval to not display the expiration date for OMB approval of the information collection, explain the reasons why display would be inappropriate. </w:t>
      </w:r>
    </w:p>
    <w:p w:rsidR="00FA1FE2" w:rsidRPr="00FA1FE2" w:rsidP="00FA1FE2" w14:paraId="289D08F9" w14:textId="77777777">
      <w:pPr>
        <w:spacing w:after="0" w:line="240" w:lineRule="auto"/>
        <w:rPr>
          <w:sz w:val="24"/>
          <w:szCs w:val="24"/>
        </w:rPr>
      </w:pPr>
    </w:p>
    <w:p w:rsidR="00F056C3" w:rsidP="00FA1FE2" w14:paraId="3C083538" w14:textId="37A21684">
      <w:pPr>
        <w:spacing w:after="0" w:line="240" w:lineRule="auto"/>
      </w:pPr>
      <w:r w:rsidRPr="00FA1FE2">
        <w:rPr>
          <w:sz w:val="24"/>
          <w:szCs w:val="24"/>
        </w:rPr>
        <w:t>The Department is not seeking approval to not display the expiration date for OMB approval of this information collection</w:t>
      </w:r>
      <w:r w:rsidRPr="00FA1FE2" w:rsidR="00E86580">
        <w:rPr>
          <w:sz w:val="24"/>
          <w:szCs w:val="24"/>
        </w:rPr>
        <w:t xml:space="preserve">. </w:t>
      </w:r>
      <w:r w:rsidRPr="00FA1FE2">
        <w:rPr>
          <w:sz w:val="24"/>
          <w:szCs w:val="24"/>
        </w:rPr>
        <w:t>This ICR submission is a renewal, requesting approval of an existing ICR</w:t>
      </w:r>
      <w:r w:rsidRPr="00FA1FE2" w:rsidR="00E86580">
        <w:rPr>
          <w:sz w:val="24"/>
          <w:szCs w:val="24"/>
        </w:rPr>
        <w:t>.</w:t>
      </w:r>
      <w:r w:rsidR="00E86580">
        <w:t xml:space="preserve"> </w:t>
      </w:r>
    </w:p>
    <w:p w:rsidR="00FA1FE2" w:rsidRPr="006926D8" w:rsidP="00FA1FE2" w14:paraId="3A3AFC1E" w14:textId="77777777">
      <w:pPr>
        <w:spacing w:after="0" w:line="240" w:lineRule="auto"/>
        <w:rPr>
          <w:b/>
          <w:bCs/>
        </w:rPr>
      </w:pPr>
    </w:p>
    <w:p w:rsidR="00F056C3" w:rsidP="00FA1FE2" w14:paraId="21EE73DF" w14:textId="77777777">
      <w:pPr>
        <w:pStyle w:val="Heading2"/>
        <w:spacing w:before="0"/>
      </w:pPr>
      <w:bookmarkStart w:id="29" w:name="_Toc184648856"/>
      <w:r>
        <w:t>A.</w:t>
      </w:r>
      <w:r w:rsidRPr="00A41763" w:rsidR="00A41763">
        <w:t xml:space="preserve">18. </w:t>
      </w:r>
      <w:r w:rsidRPr="00F056C3">
        <w:t>Certification Statement</w:t>
      </w:r>
      <w:bookmarkEnd w:id="29"/>
      <w:r w:rsidRPr="00F056C3">
        <w:t xml:space="preserve"> </w:t>
      </w:r>
    </w:p>
    <w:p w:rsidR="00A41763" w:rsidRPr="00FA1FE2" w:rsidP="00FA1FE2" w14:paraId="53DFF346" w14:textId="77777777">
      <w:pPr>
        <w:spacing w:after="0" w:line="240" w:lineRule="auto"/>
        <w:rPr>
          <w:b/>
          <w:bCs/>
          <w:sz w:val="24"/>
          <w:szCs w:val="24"/>
        </w:rPr>
      </w:pPr>
      <w:r w:rsidRPr="00FA1FE2">
        <w:rPr>
          <w:b/>
          <w:bCs/>
          <w:sz w:val="24"/>
          <w:szCs w:val="24"/>
        </w:rPr>
        <w:t xml:space="preserve">Explain each exception to the certification statement identified in Item 19 of OMB Form 83-I. </w:t>
      </w:r>
    </w:p>
    <w:p w:rsidR="00FA1FE2" w:rsidRPr="00FA1FE2" w:rsidP="00FA1FE2" w14:paraId="03E6E2CB" w14:textId="77777777">
      <w:pPr>
        <w:spacing w:after="0" w:line="240" w:lineRule="auto"/>
        <w:rPr>
          <w:sz w:val="24"/>
          <w:szCs w:val="24"/>
        </w:rPr>
      </w:pPr>
    </w:p>
    <w:p w:rsidR="00A41763" w:rsidRPr="00FA1FE2" w:rsidP="00FA1FE2" w14:paraId="5184A649" w14:textId="0ECC332C">
      <w:pPr>
        <w:spacing w:after="0" w:line="240" w:lineRule="auto"/>
        <w:rPr>
          <w:sz w:val="24"/>
          <w:szCs w:val="24"/>
        </w:rPr>
      </w:pPr>
      <w:r w:rsidRPr="00FA1FE2">
        <w:rPr>
          <w:sz w:val="24"/>
          <w:szCs w:val="24"/>
        </w:rPr>
        <w:t>The Department is not requesting any exceptions to the certification statement provided in Item 19 of OMB Form 83-I</w:t>
      </w:r>
      <w:r w:rsidRPr="00FA1FE2" w:rsidR="00E86580">
        <w:rPr>
          <w:sz w:val="24"/>
          <w:szCs w:val="24"/>
        </w:rPr>
        <w:t xml:space="preserve">. </w:t>
      </w:r>
      <w:r w:rsidRPr="00FA1FE2">
        <w:rPr>
          <w:sz w:val="24"/>
          <w:szCs w:val="24"/>
        </w:rPr>
        <w:t>This ICR submission is a renewal, requesting approval of an existing ICR.</w:t>
      </w:r>
    </w:p>
    <w:p w:rsidR="00FA1FE2" w:rsidP="00FA1FE2" w14:paraId="5A6A3605" w14:textId="77777777">
      <w:pPr>
        <w:spacing w:after="0" w:line="240" w:lineRule="auto"/>
      </w:pPr>
    </w:p>
    <w:p w:rsidR="00E86580" w:rsidP="00FA1FE2" w14:paraId="03141594" w14:textId="3DE504D2">
      <w:pPr>
        <w:pStyle w:val="Heading2"/>
        <w:spacing w:before="0"/>
      </w:pPr>
      <w:bookmarkStart w:id="30" w:name="_Toc184648857"/>
      <w:r>
        <w:t>Sources</w:t>
      </w:r>
      <w:bookmarkEnd w:id="30"/>
    </w:p>
    <w:p w:rsidR="009C6F55" w:rsidP="0022765A" w14:paraId="67730B63" w14:textId="77777777">
      <w:pPr>
        <w:spacing w:before="240" w:line="240" w:lineRule="auto"/>
        <w:rPr>
          <w:sz w:val="24"/>
          <w:szCs w:val="24"/>
        </w:rPr>
      </w:pPr>
      <w:r w:rsidRPr="00A005E6">
        <w:rPr>
          <w:sz w:val="24"/>
          <w:szCs w:val="24"/>
        </w:rPr>
        <w:t>Battelle Savannah River Alliance, LLC. 2024. Leadership Team. Available at https://www.battellesra.org/leadership-team/ (Accessed December 9, 2024).</w:t>
      </w:r>
    </w:p>
    <w:p w:rsidR="00873732" w:rsidP="00FA1FE2" w14:paraId="6676B693" w14:textId="474E25BB">
      <w:pPr>
        <w:spacing w:after="0" w:line="240" w:lineRule="auto"/>
        <w:rPr>
          <w:sz w:val="24"/>
          <w:szCs w:val="24"/>
        </w:rPr>
      </w:pPr>
      <w:r w:rsidRPr="00FA1FE2">
        <w:rPr>
          <w:sz w:val="24"/>
          <w:szCs w:val="24"/>
        </w:rPr>
        <w:t xml:space="preserve">Bureau of Labor Statistics. </w:t>
      </w:r>
      <w:r w:rsidRPr="00FA1FE2" w:rsidR="00AD7C18">
        <w:rPr>
          <w:sz w:val="24"/>
          <w:szCs w:val="24"/>
        </w:rPr>
        <w:t>202</w:t>
      </w:r>
      <w:r w:rsidR="00AD7C18">
        <w:rPr>
          <w:sz w:val="24"/>
          <w:szCs w:val="24"/>
        </w:rPr>
        <w:t>4</w:t>
      </w:r>
      <w:r w:rsidRPr="00FA1FE2" w:rsidR="00AD7C18">
        <w:rPr>
          <w:sz w:val="24"/>
          <w:szCs w:val="24"/>
        </w:rPr>
        <w:t>a</w:t>
      </w:r>
      <w:r w:rsidRPr="00FA1FE2">
        <w:rPr>
          <w:sz w:val="24"/>
          <w:szCs w:val="24"/>
        </w:rPr>
        <w:t xml:space="preserve">. Employment Cost Index (Series ID CIS2010000000000I). Available at </w:t>
      </w:r>
      <w:hyperlink r:id="rId14" w:history="1">
        <w:r w:rsidRPr="00E95EA2" w:rsidR="002467FC">
          <w:rPr>
            <w:rStyle w:val="Hyperlink"/>
            <w:sz w:val="24"/>
            <w:szCs w:val="24"/>
          </w:rPr>
          <w:t>https://data.bls.gov/timeseries/CIS2010000000000I</w:t>
        </w:r>
      </w:hyperlink>
      <w:r w:rsidR="002467FC">
        <w:rPr>
          <w:sz w:val="24"/>
          <w:szCs w:val="24"/>
        </w:rPr>
        <w:t xml:space="preserve"> </w:t>
      </w:r>
      <w:r w:rsidRPr="00FA1FE2">
        <w:rPr>
          <w:sz w:val="24"/>
          <w:szCs w:val="24"/>
        </w:rPr>
        <w:t xml:space="preserve"> (Accessed </w:t>
      </w:r>
      <w:r w:rsidR="00AD7C18">
        <w:rPr>
          <w:sz w:val="24"/>
          <w:szCs w:val="24"/>
        </w:rPr>
        <w:t>December 9</w:t>
      </w:r>
      <w:r w:rsidRPr="00FA1FE2">
        <w:rPr>
          <w:sz w:val="24"/>
          <w:szCs w:val="24"/>
        </w:rPr>
        <w:t xml:space="preserve">, </w:t>
      </w:r>
      <w:r w:rsidRPr="00FA1FE2" w:rsidR="00AD7C18">
        <w:rPr>
          <w:sz w:val="24"/>
          <w:szCs w:val="24"/>
        </w:rPr>
        <w:t>202</w:t>
      </w:r>
      <w:r w:rsidR="00AD7C18">
        <w:rPr>
          <w:sz w:val="24"/>
          <w:szCs w:val="24"/>
        </w:rPr>
        <w:t>4</w:t>
      </w:r>
      <w:r w:rsidRPr="00FA1FE2">
        <w:rPr>
          <w:sz w:val="24"/>
          <w:szCs w:val="24"/>
        </w:rPr>
        <w:t>).</w:t>
      </w:r>
    </w:p>
    <w:p w:rsidR="00873732" w:rsidP="00FA1FE2" w14:paraId="4DA9C95E" w14:textId="1928EC0B">
      <w:pPr>
        <w:spacing w:before="240" w:line="240" w:lineRule="auto"/>
        <w:rPr>
          <w:sz w:val="24"/>
          <w:szCs w:val="24"/>
        </w:rPr>
      </w:pPr>
      <w:r w:rsidRPr="00FA1FE2">
        <w:rPr>
          <w:sz w:val="24"/>
          <w:szCs w:val="24"/>
        </w:rPr>
        <w:t xml:space="preserve">Bureau of Labor Statistics. </w:t>
      </w:r>
      <w:r w:rsidRPr="00FA1FE2" w:rsidR="00AD7C18">
        <w:rPr>
          <w:sz w:val="24"/>
          <w:szCs w:val="24"/>
        </w:rPr>
        <w:t>202</w:t>
      </w:r>
      <w:r w:rsidR="00AD7C18">
        <w:rPr>
          <w:sz w:val="24"/>
          <w:szCs w:val="24"/>
        </w:rPr>
        <w:t>4</w:t>
      </w:r>
      <w:r w:rsidRPr="00FA1FE2" w:rsidR="00AD7C18">
        <w:rPr>
          <w:sz w:val="24"/>
          <w:szCs w:val="24"/>
        </w:rPr>
        <w:t>b</w:t>
      </w:r>
      <w:r w:rsidRPr="00FA1FE2">
        <w:rPr>
          <w:sz w:val="24"/>
          <w:szCs w:val="24"/>
        </w:rPr>
        <w:t>. Occupational Employment</w:t>
      </w:r>
      <w:r w:rsidR="00AD7C18">
        <w:rPr>
          <w:sz w:val="24"/>
          <w:szCs w:val="24"/>
        </w:rPr>
        <w:t xml:space="preserve"> and Wage</w:t>
      </w:r>
      <w:r w:rsidRPr="00FA1FE2">
        <w:rPr>
          <w:sz w:val="24"/>
          <w:szCs w:val="24"/>
        </w:rPr>
        <w:t xml:space="preserve"> Statistics (OE</w:t>
      </w:r>
      <w:r w:rsidR="00AD7C18">
        <w:rPr>
          <w:sz w:val="24"/>
          <w:szCs w:val="24"/>
        </w:rPr>
        <w:t>W</w:t>
      </w:r>
      <w:r w:rsidRPr="00FA1FE2">
        <w:rPr>
          <w:sz w:val="24"/>
          <w:szCs w:val="24"/>
        </w:rPr>
        <w:t xml:space="preserve">S) - May </w:t>
      </w:r>
      <w:r w:rsidRPr="00FA1FE2" w:rsidR="00AD7C18">
        <w:rPr>
          <w:sz w:val="24"/>
          <w:szCs w:val="24"/>
        </w:rPr>
        <w:t>20</w:t>
      </w:r>
      <w:r w:rsidR="00AD7C18">
        <w:rPr>
          <w:sz w:val="24"/>
          <w:szCs w:val="24"/>
        </w:rPr>
        <w:t>23</w:t>
      </w:r>
      <w:r w:rsidRPr="00FA1FE2" w:rsidR="00AD7C18">
        <w:rPr>
          <w:sz w:val="24"/>
          <w:szCs w:val="24"/>
        </w:rPr>
        <w:t xml:space="preserve"> </w:t>
      </w:r>
      <w:r w:rsidRPr="00FA1FE2">
        <w:rPr>
          <w:sz w:val="24"/>
          <w:szCs w:val="24"/>
        </w:rPr>
        <w:t xml:space="preserve">- National. Available at </w:t>
      </w:r>
      <w:hyperlink r:id="rId15" w:history="1">
        <w:r w:rsidRPr="00E95EA2" w:rsidR="002467FC">
          <w:rPr>
            <w:rStyle w:val="Hyperlink"/>
            <w:sz w:val="24"/>
            <w:szCs w:val="24"/>
          </w:rPr>
          <w:t>https://www.bls.gov/oes/tables.htm</w:t>
        </w:r>
      </w:hyperlink>
      <w:r w:rsidR="002467FC">
        <w:rPr>
          <w:sz w:val="24"/>
          <w:szCs w:val="24"/>
        </w:rPr>
        <w:t xml:space="preserve"> </w:t>
      </w:r>
      <w:r w:rsidRPr="00FA1FE2">
        <w:rPr>
          <w:sz w:val="24"/>
          <w:szCs w:val="24"/>
        </w:rPr>
        <w:t xml:space="preserve"> (Accessed </w:t>
      </w:r>
      <w:r w:rsidR="00AD7C18">
        <w:rPr>
          <w:sz w:val="24"/>
          <w:szCs w:val="24"/>
        </w:rPr>
        <w:t>July 18</w:t>
      </w:r>
      <w:r w:rsidRPr="00FA1FE2">
        <w:rPr>
          <w:sz w:val="24"/>
          <w:szCs w:val="24"/>
        </w:rPr>
        <w:t xml:space="preserve">, </w:t>
      </w:r>
      <w:r w:rsidRPr="00FA1FE2" w:rsidR="00AD7C18">
        <w:rPr>
          <w:sz w:val="24"/>
          <w:szCs w:val="24"/>
        </w:rPr>
        <w:t>202</w:t>
      </w:r>
      <w:r w:rsidR="00AD7C18">
        <w:rPr>
          <w:sz w:val="24"/>
          <w:szCs w:val="24"/>
        </w:rPr>
        <w:t>4</w:t>
      </w:r>
      <w:r w:rsidRPr="00FA1FE2">
        <w:rPr>
          <w:sz w:val="24"/>
          <w:szCs w:val="24"/>
        </w:rPr>
        <w:t>).</w:t>
      </w:r>
    </w:p>
    <w:p w:rsidR="00E86580" w:rsidP="006208FA" w14:paraId="2B48DDAF" w14:textId="77777777">
      <w:pPr>
        <w:spacing w:after="0"/>
        <w:rPr>
          <w:sz w:val="24"/>
          <w:szCs w:val="24"/>
        </w:rPr>
      </w:pPr>
      <w:r w:rsidRPr="00FA1FE2">
        <w:rPr>
          <w:sz w:val="24"/>
          <w:szCs w:val="24"/>
        </w:rPr>
        <w:t xml:space="preserve">Department of Energy (DOE). 1999. Chronic Beryllium Disease Prevention Program Final Rule: Economic Analysis. </w:t>
      </w:r>
    </w:p>
    <w:p w:rsidR="006208FA" w:rsidRPr="00FA1FE2" w:rsidP="0022765A" w14:paraId="7F9C5ABF" w14:textId="590A6139">
      <w:pPr>
        <w:spacing w:before="240" w:line="240" w:lineRule="auto"/>
        <w:rPr>
          <w:sz w:val="24"/>
          <w:szCs w:val="24"/>
        </w:rPr>
      </w:pPr>
      <w:r w:rsidRPr="00FA1FE2">
        <w:rPr>
          <w:sz w:val="24"/>
          <w:szCs w:val="24"/>
        </w:rPr>
        <w:t xml:space="preserve">Department of Energy (DOE). </w:t>
      </w:r>
      <w:r w:rsidRPr="00FA1FE2" w:rsidR="00AD7C18">
        <w:rPr>
          <w:sz w:val="24"/>
          <w:szCs w:val="24"/>
        </w:rPr>
        <w:t>20</w:t>
      </w:r>
      <w:r w:rsidR="00AD7C18">
        <w:rPr>
          <w:sz w:val="24"/>
          <w:szCs w:val="24"/>
        </w:rPr>
        <w:t>2</w:t>
      </w:r>
      <w:r w:rsidR="003D5707">
        <w:rPr>
          <w:sz w:val="24"/>
          <w:szCs w:val="24"/>
        </w:rPr>
        <w:t>4</w:t>
      </w:r>
      <w:r w:rsidRPr="00FA1FE2">
        <w:rPr>
          <w:sz w:val="24"/>
          <w:szCs w:val="24"/>
        </w:rPr>
        <w:t xml:space="preserve">. Beryllium-Associated Worker Registry Summary - </w:t>
      </w:r>
      <w:r w:rsidRPr="00FA1FE2" w:rsidR="00AD7C18">
        <w:rPr>
          <w:sz w:val="24"/>
          <w:szCs w:val="24"/>
        </w:rPr>
        <w:t>20</w:t>
      </w:r>
      <w:r w:rsidR="00AD7C18">
        <w:rPr>
          <w:sz w:val="24"/>
          <w:szCs w:val="24"/>
        </w:rPr>
        <w:t>23</w:t>
      </w:r>
      <w:r w:rsidRPr="00FA1FE2">
        <w:rPr>
          <w:sz w:val="24"/>
          <w:szCs w:val="24"/>
        </w:rPr>
        <w:t xml:space="preserve">. Available at </w:t>
      </w:r>
      <w:r w:rsidRPr="00AD7C18" w:rsidR="00AD7C18">
        <w:rPr>
          <w:sz w:val="24"/>
          <w:szCs w:val="24"/>
        </w:rPr>
        <w:t>https://orise.orau.gov/BAWR/DashboardsReports/2023/index.html</w:t>
      </w:r>
      <w:r w:rsidR="002467FC">
        <w:rPr>
          <w:sz w:val="24"/>
          <w:szCs w:val="24"/>
        </w:rPr>
        <w:t xml:space="preserve"> </w:t>
      </w:r>
      <w:r w:rsidRPr="00FA1FE2">
        <w:rPr>
          <w:sz w:val="24"/>
          <w:szCs w:val="24"/>
        </w:rPr>
        <w:t xml:space="preserve"> (Accessed </w:t>
      </w:r>
      <w:r w:rsidR="00AD7C18">
        <w:rPr>
          <w:sz w:val="24"/>
          <w:szCs w:val="24"/>
        </w:rPr>
        <w:t>December 9</w:t>
      </w:r>
      <w:r w:rsidRPr="00FA1FE2">
        <w:rPr>
          <w:sz w:val="24"/>
          <w:szCs w:val="24"/>
        </w:rPr>
        <w:t xml:space="preserve">, </w:t>
      </w:r>
      <w:r w:rsidRPr="00FA1FE2" w:rsidR="00AD7C18">
        <w:rPr>
          <w:sz w:val="24"/>
          <w:szCs w:val="24"/>
        </w:rPr>
        <w:t>202</w:t>
      </w:r>
      <w:r w:rsidR="00AD7C18">
        <w:rPr>
          <w:sz w:val="24"/>
          <w:szCs w:val="24"/>
        </w:rPr>
        <w:t>4</w:t>
      </w:r>
      <w:r w:rsidRPr="00FA1FE2">
        <w:rPr>
          <w:sz w:val="24"/>
          <w:szCs w:val="24"/>
        </w:rPr>
        <w:t>).</w:t>
      </w:r>
    </w:p>
    <w:sectPr w:rsidSect="001D67DF">
      <w:footerReference w:type="default" r:id="rId16"/>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C23" w:rsidRPr="001F3A8F" w:rsidP="006208FA" w14:paraId="1E92F466" w14:textId="125A43C3">
    <w:pPr>
      <w:pStyle w:val="Footer"/>
    </w:pP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C23" w:rsidP="006208FA" w14:paraId="2754D928"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0A7C23" w:rsidP="006208FA" w14:paraId="7D1B89E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C23" w:rsidRPr="001F3A8F" w:rsidP="006208FA" w14:paraId="74562941" w14:textId="3A22D5B4">
    <w:pPr>
      <w:pStyle w:val="Footer"/>
    </w:pP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03EDE" w:rsidP="00536CE1" w14:paraId="1543E6B3" w14:textId="77777777">
      <w:pPr>
        <w:spacing w:after="0" w:line="240" w:lineRule="auto"/>
      </w:pPr>
      <w:r>
        <w:separator/>
      </w:r>
    </w:p>
  </w:footnote>
  <w:footnote w:type="continuationSeparator" w:id="1">
    <w:p w:rsidR="00503EDE" w:rsidP="00536CE1" w14:paraId="43D0C6C9" w14:textId="77777777">
      <w:pPr>
        <w:spacing w:after="0" w:line="240" w:lineRule="auto"/>
      </w:pPr>
      <w:r>
        <w:continuationSeparator/>
      </w:r>
    </w:p>
  </w:footnote>
  <w:footnote w:id="2">
    <w:p w:rsidR="000A7C23" w14:paraId="6FBD93A9" w14:textId="1D4EFDC0">
      <w:pPr>
        <w:pStyle w:val="FootnoteText"/>
      </w:pPr>
      <w:r>
        <w:rPr>
          <w:rStyle w:val="FootnoteReference"/>
        </w:rPr>
        <w:footnoteRef/>
      </w:r>
      <w:r>
        <w:t xml:space="preserve"> </w:t>
      </w:r>
      <w:r w:rsidR="00EB1F31">
        <w:t xml:space="preserve">The company website for </w:t>
      </w:r>
      <w:r w:rsidRPr="00EB1F31" w:rsidR="00EB1F31">
        <w:t>Battelle Savannah River Alliance, LLC</w:t>
      </w:r>
      <w:r w:rsidR="00EB1F31">
        <w:t xml:space="preserve"> states that there are 1,000 employees within their National Laboratory program. That is the cut-off line for small business designation within their recorded NAICS industry (541715 - </w:t>
      </w:r>
      <w:r w:rsidRPr="00EB1F31" w:rsidR="00EB1F31">
        <w:t>Research and Development in the Physical, Engineering, and Life Sciences</w:t>
      </w:r>
      <w:r w:rsidR="00EB1F31">
        <w:t xml:space="preserve">, </w:t>
      </w:r>
      <w:r w:rsidRPr="00EB1F31" w:rsidR="00EB1F31">
        <w:t>except Nanotechnology and Biotechnology)</w:t>
      </w:r>
      <w:r w:rsidR="00EB1F31">
        <w:t>.</w:t>
      </w:r>
    </w:p>
  </w:footnote>
  <w:footnote w:id="3">
    <w:p w:rsidR="000A7C23" w:rsidP="00F72EBB" w14:paraId="3739EB69" w14:textId="77777777">
      <w:pPr>
        <w:pStyle w:val="FootnoteText"/>
      </w:pPr>
      <w:r>
        <w:rPr>
          <w:rStyle w:val="FootnoteReference"/>
        </w:rPr>
        <w:footnoteRef/>
      </w:r>
      <w:r>
        <w:t xml:space="preserve"> </w:t>
      </w:r>
      <w:r w:rsidRPr="00F70D4F">
        <w:t>Note that tildes indicate the numbers shown are rounded.</w:t>
      </w:r>
    </w:p>
  </w:footnote>
  <w:footnote w:id="4">
    <w:p w:rsidR="000A7C23" w:rsidP="00F72EBB" w14:paraId="4408F4D5" w14:textId="6EEDF0D1">
      <w:pPr>
        <w:pStyle w:val="FootnoteText"/>
      </w:pPr>
      <w:r>
        <w:rPr>
          <w:rStyle w:val="FootnoteReference"/>
        </w:rPr>
        <w:footnoteRef/>
      </w:r>
      <w:r>
        <w:t xml:space="preserve"> </w:t>
      </w:r>
      <w:r w:rsidRPr="00BF0419">
        <w:t xml:space="preserve">DOE reporting </w:t>
      </w:r>
      <w:r>
        <w:t xml:space="preserve">to the Beryllium Registry </w:t>
      </w:r>
      <w:r w:rsidRPr="00BF0419">
        <w:t>is considered on a “reporting organization” basis, which may include</w:t>
      </w:r>
      <w:r w:rsidRPr="00CD1055">
        <w:t xml:space="preserve"> either a DOE site as a whole or the individual contractors at a single DOE site (depending on how they prefer to report to DOE). </w:t>
      </w:r>
      <w:r>
        <w:t xml:space="preserve"> </w:t>
      </w:r>
      <w:r w:rsidRPr="0078668D">
        <w:t xml:space="preserve">DOE reporting organizations by this information collection are the </w:t>
      </w:r>
      <w:r w:rsidRPr="0048534D" w:rsidR="00377C86">
        <w:t>2</w:t>
      </w:r>
      <w:r w:rsidR="00377C86">
        <w:t>7</w:t>
      </w:r>
      <w:r w:rsidRPr="0048534D" w:rsidR="00377C86">
        <w:t xml:space="preserve"> </w:t>
      </w:r>
      <w:r w:rsidRPr="0048534D">
        <w:t xml:space="preserve">reporting organizations </w:t>
      </w:r>
      <w:r w:rsidRPr="0078668D">
        <w:t xml:space="preserve">reporting </w:t>
      </w:r>
      <w:r w:rsidRPr="0078668D">
        <w:t>BeLPT</w:t>
      </w:r>
      <w:r w:rsidRPr="0078668D">
        <w:t xml:space="preserve"> </w:t>
      </w:r>
      <w:r w:rsidRPr="00820841">
        <w:t>data to the</w:t>
      </w:r>
      <w:r>
        <w:t xml:space="preserve"> </w:t>
      </w:r>
      <w:r w:rsidRPr="0048534D" w:rsidR="00377C86">
        <w:t>20</w:t>
      </w:r>
      <w:r w:rsidR="00377C86">
        <w:t xml:space="preserve">23 </w:t>
      </w:r>
      <w:r w:rsidRPr="00377529">
        <w:t>Beryllium-Associated Worker Registry</w:t>
      </w:r>
      <w:r w:rsidRPr="0081627C">
        <w:t xml:space="preserve">: </w:t>
      </w:r>
      <w:bookmarkStart w:id="18" w:name="_Hlk54964927"/>
      <w:r>
        <w:t xml:space="preserve"> </w:t>
      </w:r>
      <w:r w:rsidRPr="0048534D">
        <w:t xml:space="preserve">Ames Laboratory (AMES), Argonne National Laboratory (ANL), Brookhaven National Laboratory (BNL), DOE Oak Ridge Office (DOE-ORO), East Tennessee Technology Park (ETTP), Fermi National Accelerator Laboratory (Fermi), </w:t>
      </w:r>
      <w:r w:rsidR="00377C86">
        <w:t xml:space="preserve">Golden SVCS, LLC (GSVCS), </w:t>
      </w:r>
      <w:r w:rsidRPr="0048534D">
        <w:t xml:space="preserve">Hanford Site (HAN), Idaho National Laboratory (INL), </w:t>
      </w:r>
      <w:r w:rsidR="00377C86">
        <w:t xml:space="preserve">Kansas City National Security Campus (KCNSC), </w:t>
      </w:r>
      <w:r w:rsidRPr="0048534D">
        <w:t xml:space="preserve">Knolls Atomic Power Laboratory (KAPL), </w:t>
      </w:r>
      <w:r w:rsidR="00377C86">
        <w:t xml:space="preserve">LANL N3B (LANL N3B), </w:t>
      </w:r>
      <w:r w:rsidRPr="0048534D">
        <w:t xml:space="preserve">Lawrence Berkeley National Laboratory (LBNL), Lawrence Livermore National Laboratory (LLNL), LLNL Clean Harbors Environmental Services (LLNL CHES), </w:t>
      </w:r>
      <w:r w:rsidR="00377C86">
        <w:t xml:space="preserve">LLNL North Wind (LLNL NW), </w:t>
      </w:r>
      <w:r w:rsidRPr="0048534D">
        <w:t xml:space="preserve">Los Alamos National Laboratory (LANL), Nevada National Security Site (NNSS), Oak Ridge National Laboratory (ORNL), Pacific Northwest National Laboratory (PNNL), </w:t>
      </w:r>
      <w:r w:rsidRPr="002146BA">
        <w:t>Paducah Site (PADUCAH)</w:t>
      </w:r>
      <w:r>
        <w:t xml:space="preserve">, </w:t>
      </w:r>
      <w:r w:rsidRPr="0048534D">
        <w:t xml:space="preserve">Pantex Plant (PTX), Sandia National Laboratories (SNL), Savannah River Site (SRS), </w:t>
      </w:r>
      <w:r w:rsidR="006404AA">
        <w:t>SLAC National Accelerator Laboratory (SLAC)</w:t>
      </w:r>
      <w:r w:rsidRPr="0048534D">
        <w:t xml:space="preserve">, </w:t>
      </w:r>
      <w:r w:rsidRPr="002146BA">
        <w:t>Y-12 Atkins Nuclear Secured (Y-12 ANS)</w:t>
      </w:r>
      <w:r>
        <w:t>,</w:t>
      </w:r>
      <w:r w:rsidR="00377C86">
        <w:t xml:space="preserve"> and</w:t>
      </w:r>
      <w:r w:rsidRPr="0048534D">
        <w:t xml:space="preserve"> Y-12 National Security Complex (Y-12)</w:t>
      </w:r>
      <w:bookmarkEnd w:id="18"/>
      <w:r w:rsidRPr="0048534D">
        <w:t>.</w:t>
      </w:r>
    </w:p>
  </w:footnote>
  <w:footnote w:id="5">
    <w:p w:rsidR="000A7C23" w:rsidP="00F72EBB" w14:paraId="26A5797B" w14:textId="5483D61B">
      <w:pPr>
        <w:pStyle w:val="FootnoteText"/>
      </w:pPr>
      <w:r>
        <w:rPr>
          <w:rStyle w:val="FootnoteReference"/>
        </w:rPr>
        <w:footnoteRef/>
      </w:r>
      <w:r>
        <w:t xml:space="preserve"> </w:t>
      </w:r>
      <w:r w:rsidR="000D39E4">
        <w:t>Sixteen</w:t>
      </w:r>
      <w:r>
        <w:t xml:space="preserve"> reporting organizations </w:t>
      </w:r>
      <w:r w:rsidRPr="00CE2B74">
        <w:t>report</w:t>
      </w:r>
      <w:r>
        <w:t>ed</w:t>
      </w:r>
      <w:r w:rsidRPr="00CE2B74">
        <w:t xml:space="preserve"> exposure monitoring results to the Beryllium registr</w:t>
      </w:r>
      <w:r>
        <w:t>y (</w:t>
      </w:r>
      <w:r w:rsidRPr="00CE2B74">
        <w:t>DOE,</w:t>
      </w:r>
      <w:r w:rsidRPr="0048534D">
        <w:t xml:space="preserve"> </w:t>
      </w:r>
      <w:r w:rsidRPr="0048534D" w:rsidR="000D39E4">
        <w:t>20</w:t>
      </w:r>
      <w:r w:rsidR="000D39E4">
        <w:t>24</w:t>
      </w:r>
      <w:r>
        <w:t>).</w:t>
      </w:r>
    </w:p>
  </w:footnote>
  <w:footnote w:id="6">
    <w:p w:rsidR="000A7C23" w:rsidP="00F72EBB" w14:paraId="35321EF4" w14:textId="1E07080A">
      <w:pPr>
        <w:pStyle w:val="FootnoteText"/>
      </w:pPr>
      <w:r>
        <w:rPr>
          <w:rStyle w:val="FootnoteReference"/>
        </w:rPr>
        <w:footnoteRef/>
      </w:r>
      <w:r>
        <w:t xml:space="preserve"> See the table entitled “</w:t>
      </w:r>
      <w:r w:rsidR="002E0D9A">
        <w:t xml:space="preserve">Number of Workers Undergoing </w:t>
      </w:r>
      <w:r w:rsidR="002E0D9A">
        <w:t>BeLPT</w:t>
      </w:r>
      <w:r w:rsidR="002E0D9A">
        <w:t xml:space="preserve"> and Diagnosed with </w:t>
      </w:r>
      <w:r w:rsidR="002E0D9A">
        <w:t>BeS</w:t>
      </w:r>
      <w:r w:rsidR="002E0D9A">
        <w:t xml:space="preserve"> or Diagnosed with CBD</w:t>
      </w:r>
      <w:r>
        <w:t xml:space="preserve">” on page </w:t>
      </w:r>
      <w:r w:rsidR="002E0D9A">
        <w:t xml:space="preserve">25 </w:t>
      </w:r>
      <w:r>
        <w:t xml:space="preserve">in the </w:t>
      </w:r>
      <w:r w:rsidRPr="00AF0376" w:rsidR="002E0D9A">
        <w:t>20</w:t>
      </w:r>
      <w:r w:rsidR="002E0D9A">
        <w:t xml:space="preserve">23 </w:t>
      </w:r>
      <w:r>
        <w:t>Summary of The Beryllium-Associated Worker Registry.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C23" w:rsidP="00725453" w14:paraId="66BAF723"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109671846">
    <w:abstractNumId w:val="10"/>
  </w:num>
  <w:num w:numId="2" w16cid:durableId="925773754">
    <w:abstractNumId w:val="9"/>
  </w:num>
  <w:num w:numId="3" w16cid:durableId="262886927">
    <w:abstractNumId w:val="7"/>
  </w:num>
  <w:num w:numId="4" w16cid:durableId="1231037167">
    <w:abstractNumId w:val="6"/>
  </w:num>
  <w:num w:numId="5" w16cid:durableId="34352478">
    <w:abstractNumId w:val="5"/>
  </w:num>
  <w:num w:numId="6" w16cid:durableId="1136487168">
    <w:abstractNumId w:val="4"/>
  </w:num>
  <w:num w:numId="7" w16cid:durableId="363528833">
    <w:abstractNumId w:val="8"/>
  </w:num>
  <w:num w:numId="8" w16cid:durableId="2084639913">
    <w:abstractNumId w:val="3"/>
  </w:num>
  <w:num w:numId="9" w16cid:durableId="287322493">
    <w:abstractNumId w:val="2"/>
  </w:num>
  <w:num w:numId="10" w16cid:durableId="585767202">
    <w:abstractNumId w:val="1"/>
  </w:num>
  <w:num w:numId="11" w16cid:durableId="520516292">
    <w:abstractNumId w:val="0"/>
  </w:num>
  <w:num w:numId="12" w16cid:durableId="1212039882">
    <w:abstractNumId w:val="16"/>
  </w:num>
  <w:num w:numId="13" w16cid:durableId="1195657710">
    <w:abstractNumId w:val="12"/>
  </w:num>
  <w:num w:numId="14" w16cid:durableId="2033266626">
    <w:abstractNumId w:val="13"/>
  </w:num>
  <w:num w:numId="15" w16cid:durableId="967706047">
    <w:abstractNumId w:val="15"/>
  </w:num>
  <w:num w:numId="16" w16cid:durableId="424230467">
    <w:abstractNumId w:val="10"/>
  </w:num>
  <w:num w:numId="17" w16cid:durableId="190537192">
    <w:abstractNumId w:val="10"/>
  </w:num>
  <w:num w:numId="18" w16cid:durableId="2034650061">
    <w:abstractNumId w:val="14"/>
  </w:num>
  <w:num w:numId="19" w16cid:durableId="1013843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5450703">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36344778">
    <w:abstractNumId w:val="10"/>
  </w:num>
  <w:num w:numId="22" w16cid:durableId="1004628383">
    <w:abstractNumId w:val="10"/>
  </w:num>
  <w:num w:numId="23" w16cid:durableId="1929343814">
    <w:abstractNumId w:val="10"/>
  </w:num>
  <w:num w:numId="24" w16cid:durableId="1019628191">
    <w:abstractNumId w:val="10"/>
  </w:num>
  <w:num w:numId="25" w16cid:durableId="2012369321">
    <w:abstractNumId w:val="10"/>
  </w:num>
  <w:num w:numId="26" w16cid:durableId="2118014580">
    <w:abstractNumId w:val="17"/>
  </w:num>
  <w:num w:numId="27" w16cid:durableId="1189099240">
    <w:abstractNumId w:val="10"/>
  </w:num>
  <w:num w:numId="28" w16cid:durableId="544604269">
    <w:abstractNumId w:val="17"/>
  </w:num>
  <w:num w:numId="29" w16cid:durableId="1554921864">
    <w:abstractNumId w:val="17"/>
  </w:num>
  <w:num w:numId="30" w16cid:durableId="1495801633">
    <w:abstractNumId w:val="17"/>
  </w:num>
  <w:num w:numId="31" w16cid:durableId="597524079">
    <w:abstractNumId w:val="10"/>
  </w:num>
  <w:num w:numId="32" w16cid:durableId="11759395">
    <w:abstractNumId w:val="10"/>
  </w:num>
  <w:num w:numId="33" w16cid:durableId="27149911">
    <w:abstractNumId w:val="10"/>
  </w:num>
  <w:num w:numId="34" w16cid:durableId="985545410">
    <w:abstractNumId w:val="9"/>
  </w:num>
  <w:num w:numId="35" w16cid:durableId="1894194747">
    <w:abstractNumId w:val="7"/>
  </w:num>
  <w:num w:numId="36" w16cid:durableId="113520779">
    <w:abstractNumId w:val="6"/>
  </w:num>
  <w:num w:numId="37" w16cid:durableId="889148598">
    <w:abstractNumId w:val="5"/>
  </w:num>
  <w:num w:numId="38" w16cid:durableId="1122764527">
    <w:abstractNumId w:val="12"/>
  </w:num>
  <w:num w:numId="39" w16cid:durableId="854266978">
    <w:abstractNumId w:val="17"/>
  </w:num>
  <w:num w:numId="40" w16cid:durableId="1984919059">
    <w:abstractNumId w:val="17"/>
  </w:num>
  <w:num w:numId="41" w16cid:durableId="2054886507">
    <w:abstractNumId w:val="17"/>
  </w:num>
  <w:num w:numId="42" w16cid:durableId="1263299696">
    <w:abstractNumId w:val="12"/>
  </w:num>
  <w:num w:numId="43" w16cid:durableId="471676868">
    <w:abstractNumId w:val="12"/>
  </w:num>
  <w:num w:numId="44" w16cid:durableId="1925795398">
    <w:abstractNumId w:val="12"/>
  </w:num>
  <w:num w:numId="45" w16cid:durableId="1316959708">
    <w:abstractNumId w:val="12"/>
  </w:num>
  <w:num w:numId="46" w16cid:durableId="2011591831">
    <w:abstractNumId w:val="11"/>
  </w:num>
  <w:num w:numId="47" w16cid:durableId="1947610945">
    <w:abstractNumId w:val="18"/>
  </w:num>
  <w:num w:numId="48" w16cid:durableId="10687685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205"/>
    <w:rsid w:val="00034A4B"/>
    <w:rsid w:val="00041909"/>
    <w:rsid w:val="00046593"/>
    <w:rsid w:val="00047008"/>
    <w:rsid w:val="00047C08"/>
    <w:rsid w:val="0005401F"/>
    <w:rsid w:val="00055769"/>
    <w:rsid w:val="00056EC3"/>
    <w:rsid w:val="00062CFE"/>
    <w:rsid w:val="0007129A"/>
    <w:rsid w:val="000831C4"/>
    <w:rsid w:val="000844CA"/>
    <w:rsid w:val="000878BA"/>
    <w:rsid w:val="000A6F86"/>
    <w:rsid w:val="000A7C23"/>
    <w:rsid w:val="000B3FBE"/>
    <w:rsid w:val="000B43BF"/>
    <w:rsid w:val="000B5924"/>
    <w:rsid w:val="000C28E1"/>
    <w:rsid w:val="000C5311"/>
    <w:rsid w:val="000D17FF"/>
    <w:rsid w:val="000D39E4"/>
    <w:rsid w:val="000E4330"/>
    <w:rsid w:val="000F040A"/>
    <w:rsid w:val="000F2788"/>
    <w:rsid w:val="000F7623"/>
    <w:rsid w:val="001034E8"/>
    <w:rsid w:val="00112A69"/>
    <w:rsid w:val="0011541D"/>
    <w:rsid w:val="00115B9C"/>
    <w:rsid w:val="00132F4A"/>
    <w:rsid w:val="00137A9D"/>
    <w:rsid w:val="00137B4B"/>
    <w:rsid w:val="00141452"/>
    <w:rsid w:val="00144760"/>
    <w:rsid w:val="00154192"/>
    <w:rsid w:val="00160BC8"/>
    <w:rsid w:val="00167425"/>
    <w:rsid w:val="00173908"/>
    <w:rsid w:val="001807A3"/>
    <w:rsid w:val="00193574"/>
    <w:rsid w:val="001947D5"/>
    <w:rsid w:val="001A6E1E"/>
    <w:rsid w:val="001A6E9A"/>
    <w:rsid w:val="001B09CF"/>
    <w:rsid w:val="001B0E69"/>
    <w:rsid w:val="001B6585"/>
    <w:rsid w:val="001D03A8"/>
    <w:rsid w:val="001D67DF"/>
    <w:rsid w:val="001F3340"/>
    <w:rsid w:val="001F3A8F"/>
    <w:rsid w:val="002008B4"/>
    <w:rsid w:val="00201F24"/>
    <w:rsid w:val="002127CE"/>
    <w:rsid w:val="002146BA"/>
    <w:rsid w:val="00215842"/>
    <w:rsid w:val="002163AF"/>
    <w:rsid w:val="002207DF"/>
    <w:rsid w:val="00221AC2"/>
    <w:rsid w:val="0022765A"/>
    <w:rsid w:val="00227E4B"/>
    <w:rsid w:val="0023015A"/>
    <w:rsid w:val="0023708A"/>
    <w:rsid w:val="002447B0"/>
    <w:rsid w:val="002467FC"/>
    <w:rsid w:val="0025022D"/>
    <w:rsid w:val="002530BB"/>
    <w:rsid w:val="002556F3"/>
    <w:rsid w:val="00260EDF"/>
    <w:rsid w:val="00264148"/>
    <w:rsid w:val="002722D9"/>
    <w:rsid w:val="00274179"/>
    <w:rsid w:val="00275419"/>
    <w:rsid w:val="00297C60"/>
    <w:rsid w:val="002B0FD2"/>
    <w:rsid w:val="002C105F"/>
    <w:rsid w:val="002C378C"/>
    <w:rsid w:val="002E0D9A"/>
    <w:rsid w:val="002E3FD5"/>
    <w:rsid w:val="002E7A38"/>
    <w:rsid w:val="0030256A"/>
    <w:rsid w:val="00306516"/>
    <w:rsid w:val="00314074"/>
    <w:rsid w:val="003469CB"/>
    <w:rsid w:val="00347ABC"/>
    <w:rsid w:val="00350C8B"/>
    <w:rsid w:val="00351313"/>
    <w:rsid w:val="00355129"/>
    <w:rsid w:val="0036015F"/>
    <w:rsid w:val="00363331"/>
    <w:rsid w:val="00371E14"/>
    <w:rsid w:val="00373208"/>
    <w:rsid w:val="00376400"/>
    <w:rsid w:val="00377529"/>
    <w:rsid w:val="00377C86"/>
    <w:rsid w:val="00383DB3"/>
    <w:rsid w:val="003854B2"/>
    <w:rsid w:val="00385AE6"/>
    <w:rsid w:val="00387C8D"/>
    <w:rsid w:val="00392DD0"/>
    <w:rsid w:val="00393307"/>
    <w:rsid w:val="00393EA7"/>
    <w:rsid w:val="00396BCB"/>
    <w:rsid w:val="00397825"/>
    <w:rsid w:val="003A1073"/>
    <w:rsid w:val="003A10F3"/>
    <w:rsid w:val="003A3906"/>
    <w:rsid w:val="003B03A4"/>
    <w:rsid w:val="003C03EA"/>
    <w:rsid w:val="003C4B6B"/>
    <w:rsid w:val="003C4E80"/>
    <w:rsid w:val="003C690C"/>
    <w:rsid w:val="003D5707"/>
    <w:rsid w:val="003E40FA"/>
    <w:rsid w:val="003F0A28"/>
    <w:rsid w:val="003F24ED"/>
    <w:rsid w:val="003F4CD1"/>
    <w:rsid w:val="003F529E"/>
    <w:rsid w:val="00407CCE"/>
    <w:rsid w:val="00424A35"/>
    <w:rsid w:val="00426481"/>
    <w:rsid w:val="00432966"/>
    <w:rsid w:val="0043347E"/>
    <w:rsid w:val="0045608E"/>
    <w:rsid w:val="0045662F"/>
    <w:rsid w:val="00466959"/>
    <w:rsid w:val="0047784B"/>
    <w:rsid w:val="0048534D"/>
    <w:rsid w:val="004946F0"/>
    <w:rsid w:val="00497C2A"/>
    <w:rsid w:val="004A26A3"/>
    <w:rsid w:val="004A359A"/>
    <w:rsid w:val="004B1075"/>
    <w:rsid w:val="004C277B"/>
    <w:rsid w:val="004C53C0"/>
    <w:rsid w:val="004C7153"/>
    <w:rsid w:val="004D05FB"/>
    <w:rsid w:val="004D29C7"/>
    <w:rsid w:val="004E57A0"/>
    <w:rsid w:val="004E5A56"/>
    <w:rsid w:val="00503EDE"/>
    <w:rsid w:val="00504119"/>
    <w:rsid w:val="005065CF"/>
    <w:rsid w:val="00506BB4"/>
    <w:rsid w:val="0050705F"/>
    <w:rsid w:val="00511E8D"/>
    <w:rsid w:val="005170D3"/>
    <w:rsid w:val="0052493A"/>
    <w:rsid w:val="005260C0"/>
    <w:rsid w:val="0052783E"/>
    <w:rsid w:val="00535CAF"/>
    <w:rsid w:val="00536054"/>
    <w:rsid w:val="0053654B"/>
    <w:rsid w:val="00536CE1"/>
    <w:rsid w:val="00537A91"/>
    <w:rsid w:val="00540147"/>
    <w:rsid w:val="0054180D"/>
    <w:rsid w:val="00545C0F"/>
    <w:rsid w:val="00547B53"/>
    <w:rsid w:val="005515CD"/>
    <w:rsid w:val="005532E1"/>
    <w:rsid w:val="00571D8F"/>
    <w:rsid w:val="0057367D"/>
    <w:rsid w:val="00585BE3"/>
    <w:rsid w:val="00586F5F"/>
    <w:rsid w:val="0059212D"/>
    <w:rsid w:val="005965B6"/>
    <w:rsid w:val="005A0D99"/>
    <w:rsid w:val="005B2B58"/>
    <w:rsid w:val="005B7B77"/>
    <w:rsid w:val="005C00FA"/>
    <w:rsid w:val="005C2D89"/>
    <w:rsid w:val="005C485B"/>
    <w:rsid w:val="005D39D7"/>
    <w:rsid w:val="005D4EFC"/>
    <w:rsid w:val="005D5956"/>
    <w:rsid w:val="005D6F63"/>
    <w:rsid w:val="005F387B"/>
    <w:rsid w:val="005F4848"/>
    <w:rsid w:val="005F6ABD"/>
    <w:rsid w:val="00616E46"/>
    <w:rsid w:val="0062008C"/>
    <w:rsid w:val="00620797"/>
    <w:rsid w:val="006208FA"/>
    <w:rsid w:val="00626494"/>
    <w:rsid w:val="006404AA"/>
    <w:rsid w:val="00641DE2"/>
    <w:rsid w:val="00643384"/>
    <w:rsid w:val="0065406F"/>
    <w:rsid w:val="006638B0"/>
    <w:rsid w:val="00663EB5"/>
    <w:rsid w:val="00663EC4"/>
    <w:rsid w:val="00677C5F"/>
    <w:rsid w:val="00680E59"/>
    <w:rsid w:val="00686FFF"/>
    <w:rsid w:val="006926D8"/>
    <w:rsid w:val="006A0BC7"/>
    <w:rsid w:val="006C0062"/>
    <w:rsid w:val="006C097E"/>
    <w:rsid w:val="006C2DC3"/>
    <w:rsid w:val="006C56B3"/>
    <w:rsid w:val="006D0439"/>
    <w:rsid w:val="006D0966"/>
    <w:rsid w:val="006D42EC"/>
    <w:rsid w:val="006F3C12"/>
    <w:rsid w:val="00704B7D"/>
    <w:rsid w:val="00711414"/>
    <w:rsid w:val="0072142D"/>
    <w:rsid w:val="00725453"/>
    <w:rsid w:val="00730DA0"/>
    <w:rsid w:val="00737591"/>
    <w:rsid w:val="007438F2"/>
    <w:rsid w:val="00743B56"/>
    <w:rsid w:val="00747D08"/>
    <w:rsid w:val="00755C3D"/>
    <w:rsid w:val="007576EF"/>
    <w:rsid w:val="00760677"/>
    <w:rsid w:val="00761C12"/>
    <w:rsid w:val="007658BA"/>
    <w:rsid w:val="00774CD9"/>
    <w:rsid w:val="007762B6"/>
    <w:rsid w:val="00776CF4"/>
    <w:rsid w:val="00777E63"/>
    <w:rsid w:val="00784F89"/>
    <w:rsid w:val="00786336"/>
    <w:rsid w:val="0078668D"/>
    <w:rsid w:val="007951D6"/>
    <w:rsid w:val="00795A0D"/>
    <w:rsid w:val="007971FC"/>
    <w:rsid w:val="007A0E7F"/>
    <w:rsid w:val="007A4378"/>
    <w:rsid w:val="007B1725"/>
    <w:rsid w:val="007C5CE9"/>
    <w:rsid w:val="007D39CC"/>
    <w:rsid w:val="007D5C07"/>
    <w:rsid w:val="007D6AAF"/>
    <w:rsid w:val="007E29F8"/>
    <w:rsid w:val="007E5A11"/>
    <w:rsid w:val="007E68F5"/>
    <w:rsid w:val="007E73E6"/>
    <w:rsid w:val="007F1954"/>
    <w:rsid w:val="007F21D7"/>
    <w:rsid w:val="008057F8"/>
    <w:rsid w:val="00811910"/>
    <w:rsid w:val="00812C91"/>
    <w:rsid w:val="0081627C"/>
    <w:rsid w:val="00820841"/>
    <w:rsid w:val="008213F9"/>
    <w:rsid w:val="008307E1"/>
    <w:rsid w:val="00836D62"/>
    <w:rsid w:val="00844524"/>
    <w:rsid w:val="008508C6"/>
    <w:rsid w:val="008618F0"/>
    <w:rsid w:val="00867160"/>
    <w:rsid w:val="0087205B"/>
    <w:rsid w:val="00873732"/>
    <w:rsid w:val="00874FB8"/>
    <w:rsid w:val="00876C32"/>
    <w:rsid w:val="00895669"/>
    <w:rsid w:val="00896E45"/>
    <w:rsid w:val="00897946"/>
    <w:rsid w:val="008A3276"/>
    <w:rsid w:val="008A3447"/>
    <w:rsid w:val="008A3609"/>
    <w:rsid w:val="008A7E5F"/>
    <w:rsid w:val="008C734C"/>
    <w:rsid w:val="008E4BF2"/>
    <w:rsid w:val="008F16EC"/>
    <w:rsid w:val="008F45CA"/>
    <w:rsid w:val="008F4CBD"/>
    <w:rsid w:val="009017AD"/>
    <w:rsid w:val="00901BED"/>
    <w:rsid w:val="00905735"/>
    <w:rsid w:val="0090787B"/>
    <w:rsid w:val="009131B9"/>
    <w:rsid w:val="0091409C"/>
    <w:rsid w:val="00914BDA"/>
    <w:rsid w:val="00933D5D"/>
    <w:rsid w:val="00935805"/>
    <w:rsid w:val="009368F3"/>
    <w:rsid w:val="00947C42"/>
    <w:rsid w:val="00950489"/>
    <w:rsid w:val="00957DE9"/>
    <w:rsid w:val="009610DE"/>
    <w:rsid w:val="009616F7"/>
    <w:rsid w:val="00965A44"/>
    <w:rsid w:val="00965D4E"/>
    <w:rsid w:val="00967D7C"/>
    <w:rsid w:val="00970EEF"/>
    <w:rsid w:val="0097299A"/>
    <w:rsid w:val="009757AD"/>
    <w:rsid w:val="00980B6A"/>
    <w:rsid w:val="009818F9"/>
    <w:rsid w:val="0098618F"/>
    <w:rsid w:val="00987C32"/>
    <w:rsid w:val="00991646"/>
    <w:rsid w:val="0099448B"/>
    <w:rsid w:val="00997347"/>
    <w:rsid w:val="009A31C1"/>
    <w:rsid w:val="009A3D0D"/>
    <w:rsid w:val="009A5412"/>
    <w:rsid w:val="009B19CE"/>
    <w:rsid w:val="009C0796"/>
    <w:rsid w:val="009C202F"/>
    <w:rsid w:val="009C6F55"/>
    <w:rsid w:val="009C77F7"/>
    <w:rsid w:val="009D1B9A"/>
    <w:rsid w:val="009E48F1"/>
    <w:rsid w:val="009E5ABC"/>
    <w:rsid w:val="009E5B9C"/>
    <w:rsid w:val="009E7E99"/>
    <w:rsid w:val="009F4ED1"/>
    <w:rsid w:val="00A005E6"/>
    <w:rsid w:val="00A00D71"/>
    <w:rsid w:val="00A00EDF"/>
    <w:rsid w:val="00A122AE"/>
    <w:rsid w:val="00A2003E"/>
    <w:rsid w:val="00A26A17"/>
    <w:rsid w:val="00A30169"/>
    <w:rsid w:val="00A312A3"/>
    <w:rsid w:val="00A33D9F"/>
    <w:rsid w:val="00A37229"/>
    <w:rsid w:val="00A41763"/>
    <w:rsid w:val="00A418C9"/>
    <w:rsid w:val="00A54AA3"/>
    <w:rsid w:val="00A60539"/>
    <w:rsid w:val="00A644E4"/>
    <w:rsid w:val="00A72AA8"/>
    <w:rsid w:val="00A741D4"/>
    <w:rsid w:val="00A74C9B"/>
    <w:rsid w:val="00A75E56"/>
    <w:rsid w:val="00A841AD"/>
    <w:rsid w:val="00A8545B"/>
    <w:rsid w:val="00A874E4"/>
    <w:rsid w:val="00A93478"/>
    <w:rsid w:val="00A97FE7"/>
    <w:rsid w:val="00AA3D91"/>
    <w:rsid w:val="00AA3FD0"/>
    <w:rsid w:val="00AA46CA"/>
    <w:rsid w:val="00AA7EFA"/>
    <w:rsid w:val="00AB012C"/>
    <w:rsid w:val="00AB2E1C"/>
    <w:rsid w:val="00AB4850"/>
    <w:rsid w:val="00AB61B3"/>
    <w:rsid w:val="00AB7F95"/>
    <w:rsid w:val="00AC323A"/>
    <w:rsid w:val="00AC69E8"/>
    <w:rsid w:val="00AD6357"/>
    <w:rsid w:val="00AD7C18"/>
    <w:rsid w:val="00AD7EBB"/>
    <w:rsid w:val="00AD7F81"/>
    <w:rsid w:val="00AE0228"/>
    <w:rsid w:val="00AE4CA9"/>
    <w:rsid w:val="00AE6862"/>
    <w:rsid w:val="00AE78B6"/>
    <w:rsid w:val="00AF0376"/>
    <w:rsid w:val="00AF367D"/>
    <w:rsid w:val="00AF45FD"/>
    <w:rsid w:val="00B2386E"/>
    <w:rsid w:val="00B30324"/>
    <w:rsid w:val="00B30CC9"/>
    <w:rsid w:val="00B3139A"/>
    <w:rsid w:val="00B354D3"/>
    <w:rsid w:val="00B35E2A"/>
    <w:rsid w:val="00B363C2"/>
    <w:rsid w:val="00B41687"/>
    <w:rsid w:val="00B4263D"/>
    <w:rsid w:val="00B435D2"/>
    <w:rsid w:val="00B56F49"/>
    <w:rsid w:val="00B679D8"/>
    <w:rsid w:val="00B67F4B"/>
    <w:rsid w:val="00B7442A"/>
    <w:rsid w:val="00B87492"/>
    <w:rsid w:val="00B90D00"/>
    <w:rsid w:val="00B97002"/>
    <w:rsid w:val="00BA57DD"/>
    <w:rsid w:val="00BB2F70"/>
    <w:rsid w:val="00BB6CF4"/>
    <w:rsid w:val="00BC0C0B"/>
    <w:rsid w:val="00BC14C3"/>
    <w:rsid w:val="00BC1ABE"/>
    <w:rsid w:val="00BD1951"/>
    <w:rsid w:val="00BD2F20"/>
    <w:rsid w:val="00BD4F62"/>
    <w:rsid w:val="00BD6B9F"/>
    <w:rsid w:val="00BE2A13"/>
    <w:rsid w:val="00BE4AFD"/>
    <w:rsid w:val="00BE5457"/>
    <w:rsid w:val="00BF0419"/>
    <w:rsid w:val="00BF1A83"/>
    <w:rsid w:val="00BF348B"/>
    <w:rsid w:val="00C00590"/>
    <w:rsid w:val="00C01183"/>
    <w:rsid w:val="00C01558"/>
    <w:rsid w:val="00C04647"/>
    <w:rsid w:val="00C058CF"/>
    <w:rsid w:val="00C05DD0"/>
    <w:rsid w:val="00C11A92"/>
    <w:rsid w:val="00C12551"/>
    <w:rsid w:val="00C1645C"/>
    <w:rsid w:val="00C211CD"/>
    <w:rsid w:val="00C25328"/>
    <w:rsid w:val="00C3744D"/>
    <w:rsid w:val="00C43A84"/>
    <w:rsid w:val="00C44222"/>
    <w:rsid w:val="00C46AED"/>
    <w:rsid w:val="00C5274C"/>
    <w:rsid w:val="00C549C2"/>
    <w:rsid w:val="00C64137"/>
    <w:rsid w:val="00C658E4"/>
    <w:rsid w:val="00C711A2"/>
    <w:rsid w:val="00C7266E"/>
    <w:rsid w:val="00C76C66"/>
    <w:rsid w:val="00C82DF9"/>
    <w:rsid w:val="00C87190"/>
    <w:rsid w:val="00C96270"/>
    <w:rsid w:val="00CA1564"/>
    <w:rsid w:val="00CA1663"/>
    <w:rsid w:val="00CA7C8A"/>
    <w:rsid w:val="00CB00AD"/>
    <w:rsid w:val="00CB180D"/>
    <w:rsid w:val="00CB44E8"/>
    <w:rsid w:val="00CB7978"/>
    <w:rsid w:val="00CC1D12"/>
    <w:rsid w:val="00CD1055"/>
    <w:rsid w:val="00CD1D70"/>
    <w:rsid w:val="00CD69A2"/>
    <w:rsid w:val="00CE2B74"/>
    <w:rsid w:val="00CE42E9"/>
    <w:rsid w:val="00CF603D"/>
    <w:rsid w:val="00D001E4"/>
    <w:rsid w:val="00D00AA8"/>
    <w:rsid w:val="00D018DD"/>
    <w:rsid w:val="00D01BEA"/>
    <w:rsid w:val="00D02778"/>
    <w:rsid w:val="00D13E84"/>
    <w:rsid w:val="00D300F4"/>
    <w:rsid w:val="00D3344B"/>
    <w:rsid w:val="00D40175"/>
    <w:rsid w:val="00D55243"/>
    <w:rsid w:val="00D5687E"/>
    <w:rsid w:val="00D62F90"/>
    <w:rsid w:val="00D63E74"/>
    <w:rsid w:val="00D701F6"/>
    <w:rsid w:val="00D715C4"/>
    <w:rsid w:val="00D756B5"/>
    <w:rsid w:val="00D854D8"/>
    <w:rsid w:val="00D928FD"/>
    <w:rsid w:val="00DA131F"/>
    <w:rsid w:val="00DB6FBD"/>
    <w:rsid w:val="00DB7B35"/>
    <w:rsid w:val="00DC3BA3"/>
    <w:rsid w:val="00DC79E3"/>
    <w:rsid w:val="00DD51E1"/>
    <w:rsid w:val="00DE0DA4"/>
    <w:rsid w:val="00DE2D54"/>
    <w:rsid w:val="00E01E90"/>
    <w:rsid w:val="00E02BB0"/>
    <w:rsid w:val="00E03CE6"/>
    <w:rsid w:val="00E10546"/>
    <w:rsid w:val="00E13716"/>
    <w:rsid w:val="00E246C4"/>
    <w:rsid w:val="00E266FF"/>
    <w:rsid w:val="00E27661"/>
    <w:rsid w:val="00E44CFC"/>
    <w:rsid w:val="00E47DB3"/>
    <w:rsid w:val="00E509A9"/>
    <w:rsid w:val="00E51F8B"/>
    <w:rsid w:val="00E5242A"/>
    <w:rsid w:val="00E53398"/>
    <w:rsid w:val="00E66AE2"/>
    <w:rsid w:val="00E74DA4"/>
    <w:rsid w:val="00E81B89"/>
    <w:rsid w:val="00E862E2"/>
    <w:rsid w:val="00E86580"/>
    <w:rsid w:val="00E91432"/>
    <w:rsid w:val="00E91B5A"/>
    <w:rsid w:val="00E95319"/>
    <w:rsid w:val="00E95EA2"/>
    <w:rsid w:val="00EA48DD"/>
    <w:rsid w:val="00EB1F31"/>
    <w:rsid w:val="00ED1675"/>
    <w:rsid w:val="00ED6E45"/>
    <w:rsid w:val="00EE2CAF"/>
    <w:rsid w:val="00EE43E4"/>
    <w:rsid w:val="00F001EA"/>
    <w:rsid w:val="00F01ED5"/>
    <w:rsid w:val="00F056C3"/>
    <w:rsid w:val="00F16B90"/>
    <w:rsid w:val="00F21B3C"/>
    <w:rsid w:val="00F34F19"/>
    <w:rsid w:val="00F36824"/>
    <w:rsid w:val="00F44A21"/>
    <w:rsid w:val="00F52EB0"/>
    <w:rsid w:val="00F530F1"/>
    <w:rsid w:val="00F575F0"/>
    <w:rsid w:val="00F6664C"/>
    <w:rsid w:val="00F70D4F"/>
    <w:rsid w:val="00F72EBB"/>
    <w:rsid w:val="00F750E7"/>
    <w:rsid w:val="00F80AF1"/>
    <w:rsid w:val="00F8298C"/>
    <w:rsid w:val="00F90245"/>
    <w:rsid w:val="00F920D9"/>
    <w:rsid w:val="00F94781"/>
    <w:rsid w:val="00F95A95"/>
    <w:rsid w:val="00FA1FE2"/>
    <w:rsid w:val="00FA5388"/>
    <w:rsid w:val="00FB08E3"/>
    <w:rsid w:val="00FB0CBB"/>
    <w:rsid w:val="00FB2A36"/>
    <w:rsid w:val="00FB6BF3"/>
    <w:rsid w:val="00FC6505"/>
    <w:rsid w:val="00FD397B"/>
    <w:rsid w:val="00FD4B01"/>
    <w:rsid w:val="00FD52F2"/>
    <w:rsid w:val="00FD7CDC"/>
    <w:rsid w:val="00FE17B0"/>
    <w:rsid w:val="00FE2197"/>
    <w:rsid w:val="00FE58E0"/>
    <w:rsid w:val="00FE5AE3"/>
    <w:rsid w:val="00FE652E"/>
    <w:rsid w:val="00FE74D0"/>
    <w:rsid w:val="00FE7F40"/>
    <w:rsid w:val="00FF12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E59279"/>
  <w15:docId w15:val="{79BD32D6-8AA1-41AA-88BB-43156BC8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BE2A13"/>
    <w:pPr>
      <w:keepNext/>
      <w:keepLines/>
      <w:spacing w:before="200" w:after="0"/>
      <w:outlineLvl w:val="1"/>
    </w:pPr>
    <w:rPr>
      <w:b/>
      <w:color w:val="0096D7" w:themeColor="accent1"/>
      <w:sz w:val="28"/>
    </w:rPr>
  </w:style>
  <w:style w:type="paragraph" w:styleId="Heading3">
    <w:name w:val="heading 3"/>
    <w:basedOn w:val="Heading2"/>
    <w:next w:val="Normal"/>
    <w:link w:val="Heading3Char"/>
    <w:autoRedefine/>
    <w:uiPriority w:val="1"/>
    <w:qFormat/>
    <w:rsid w:val="00B30CC9"/>
    <w:pPr>
      <w:spacing w:after="200"/>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BE2A13"/>
    <w:rPr>
      <w:b/>
      <w:color w:val="0096D7" w:themeColor="accent1"/>
      <w:sz w:val="28"/>
    </w:rPr>
  </w:style>
  <w:style w:type="character" w:customStyle="1" w:styleId="Heading3Char">
    <w:name w:val="Heading 3 Char"/>
    <w:basedOn w:val="DefaultParagraphFont"/>
    <w:link w:val="Heading3"/>
    <w:uiPriority w:val="1"/>
    <w:rsid w:val="00B30CC9"/>
    <w:rPr>
      <w:rFonts w:asciiTheme="majorHAnsi" w:hAnsiTheme="majorHAnsi"/>
      <w:b/>
      <w:bCs/>
      <w:i/>
      <w:color w:val="595959" w:themeColor="text1" w:themeTint="A6"/>
      <w:sz w:val="24"/>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6208FA"/>
    <w:pPr>
      <w:tabs>
        <w:tab w:val="center" w:pos="2160"/>
        <w:tab w:val="left" w:pos="8655"/>
      </w:tabs>
      <w:spacing w:after="0" w:line="240" w:lineRule="auto"/>
      <w:ind w:left="3600" w:hanging="3600"/>
      <w:jc w:val="center"/>
    </w:pPr>
    <w:rPr>
      <w:sz w:val="16"/>
    </w:rPr>
  </w:style>
  <w:style w:type="character" w:customStyle="1" w:styleId="FooterChar">
    <w:name w:val="Footer Char"/>
    <w:basedOn w:val="DefaultParagraphFont"/>
    <w:link w:val="Footer"/>
    <w:uiPriority w:val="99"/>
    <w:rsid w:val="006208FA"/>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unhideWhenUsed/>
    <w:locked/>
    <w:rsid w:val="00015DA7"/>
    <w:pPr>
      <w:spacing w:after="120"/>
    </w:pPr>
  </w:style>
  <w:style w:type="character" w:customStyle="1" w:styleId="BodyTextChar">
    <w:name w:val="Body Text Char"/>
    <w:basedOn w:val="DefaultParagraphFont"/>
    <w:link w:val="BodyText"/>
    <w:uiPriority w:val="99"/>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paragraph" w:styleId="BodyTextIndent">
    <w:name w:val="Body Text Indent"/>
    <w:basedOn w:val="Normal"/>
    <w:link w:val="BodyTextIndentChar"/>
    <w:uiPriority w:val="99"/>
    <w:unhideWhenUsed/>
    <w:locked/>
    <w:rsid w:val="0072142D"/>
    <w:pPr>
      <w:spacing w:after="120"/>
      <w:ind w:left="360"/>
    </w:pPr>
  </w:style>
  <w:style w:type="character" w:customStyle="1" w:styleId="BodyTextIndentChar">
    <w:name w:val="Body Text Indent Char"/>
    <w:basedOn w:val="DefaultParagraphFont"/>
    <w:link w:val="BodyTextIndent"/>
    <w:uiPriority w:val="99"/>
    <w:rsid w:val="0072142D"/>
  </w:style>
  <w:style w:type="character" w:styleId="CommentReference">
    <w:name w:val="annotation reference"/>
    <w:basedOn w:val="DefaultParagraphFont"/>
    <w:uiPriority w:val="99"/>
    <w:semiHidden/>
    <w:unhideWhenUsed/>
    <w:locked/>
    <w:rsid w:val="00137A9D"/>
    <w:rPr>
      <w:sz w:val="16"/>
      <w:szCs w:val="16"/>
    </w:rPr>
  </w:style>
  <w:style w:type="paragraph" w:styleId="CommentText">
    <w:name w:val="annotation text"/>
    <w:basedOn w:val="Normal"/>
    <w:link w:val="CommentTextChar"/>
    <w:uiPriority w:val="99"/>
    <w:unhideWhenUsed/>
    <w:locked/>
    <w:rsid w:val="00137A9D"/>
    <w:pPr>
      <w:spacing w:line="240" w:lineRule="auto"/>
    </w:pPr>
    <w:rPr>
      <w:sz w:val="20"/>
      <w:szCs w:val="20"/>
    </w:rPr>
  </w:style>
  <w:style w:type="character" w:customStyle="1" w:styleId="CommentTextChar">
    <w:name w:val="Comment Text Char"/>
    <w:basedOn w:val="DefaultParagraphFont"/>
    <w:link w:val="CommentText"/>
    <w:uiPriority w:val="99"/>
    <w:rsid w:val="00137A9D"/>
    <w:rPr>
      <w:sz w:val="20"/>
      <w:szCs w:val="20"/>
    </w:rPr>
  </w:style>
  <w:style w:type="paragraph" w:styleId="CommentSubject">
    <w:name w:val="annotation subject"/>
    <w:basedOn w:val="CommentText"/>
    <w:next w:val="CommentText"/>
    <w:link w:val="CommentSubjectChar"/>
    <w:uiPriority w:val="99"/>
    <w:semiHidden/>
    <w:unhideWhenUsed/>
    <w:locked/>
    <w:rsid w:val="00137A9D"/>
    <w:rPr>
      <w:b/>
      <w:bCs/>
    </w:rPr>
  </w:style>
  <w:style w:type="character" w:customStyle="1" w:styleId="CommentSubjectChar">
    <w:name w:val="Comment Subject Char"/>
    <w:basedOn w:val="CommentTextChar"/>
    <w:link w:val="CommentSubject"/>
    <w:uiPriority w:val="99"/>
    <w:semiHidden/>
    <w:rsid w:val="00137A9D"/>
    <w:rPr>
      <w:b/>
      <w:bCs/>
      <w:sz w:val="20"/>
      <w:szCs w:val="20"/>
    </w:rPr>
  </w:style>
  <w:style w:type="character" w:styleId="UnresolvedMention">
    <w:name w:val="Unresolved Mention"/>
    <w:basedOn w:val="DefaultParagraphFont"/>
    <w:uiPriority w:val="99"/>
    <w:semiHidden/>
    <w:unhideWhenUsed/>
    <w:rsid w:val="00D018DD"/>
    <w:rPr>
      <w:color w:val="605E5C"/>
      <w:shd w:val="clear" w:color="auto" w:fill="E1DFDD"/>
    </w:rPr>
  </w:style>
  <w:style w:type="paragraph" w:styleId="Revision">
    <w:name w:val="Revision"/>
    <w:hidden/>
    <w:uiPriority w:val="99"/>
    <w:semiHidden/>
    <w:rsid w:val="00377C8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yperlink" Target="https://data.bls.gov/timeseries/CIS2010000000000I" TargetMode="External" /><Relationship Id="rId15" Type="http://schemas.openxmlformats.org/officeDocument/2006/relationships/hyperlink" Target="https://www.bls.gov/oes/tables.htm" TargetMode="Externa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E_Document" ma:contentTypeID="0x0101003BE6F3BD37A8BE4A9CF9E5B20FCA8325008EA4EB63AF2BA14AA3AE151890BD1B9C" ma:contentTypeVersion="2" ma:contentTypeDescription="Records Management Custom Content Type" ma:contentTypeScope="" ma:versionID="fd2e654f4a3d7f615b75912ceefc8a33">
  <xsd:schema xmlns:xsd="http://www.w3.org/2001/XMLSchema" xmlns:xs="http://www.w3.org/2001/XMLSchema" xmlns:p="http://schemas.microsoft.com/office/2006/metadata/properties" xmlns:ns2="0a20205c-0631-4ff0-81c6-46eee12fe7e9" targetNamespace="http://schemas.microsoft.com/office/2006/metadata/properties" ma:root="true" ma:fieldsID="f4676448daf43add9074127aac7fe145"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c1ec1d8-b456-4fcc-88a8-9b41a59202d0}" ma:internalName="TaxCatchAll" ma:showField="CatchAllData"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c1ec1d8-b456-4fcc-88a8-9b41a59202d0}" ma:internalName="TaxCatchAllLabel" ma:readOnly="true" ma:showField="CatchAllDataLabel"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default="2;#Open|f87294c0-5917-49a1-8b9f-b6ecaae62a21"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Technology management administrative records MODIFIED (GRS 3_1_001)</TermName>
          <TermId xmlns="http://schemas.microsoft.com/office/infopath/2007/PartnerControls">26f2434b-601c-4546-9d3c-939d49d8f687</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Deputy CIO for Enterprise Policy, Portfolio Management, and Governance</TermName>
          <TermId xmlns="http://schemas.microsoft.com/office/infopath/2007/PartnerControls">51403432-c5a0-4592-a980-fb9060c28c16</TermId>
        </TermInfo>
      </Terms>
    </l549fbc4080b4daf9a141105daaaac0d>
    <TaxCatchAll xmlns="0a20205c-0631-4ff0-81c6-46eee12fe7e9">
      <Value>5</Value>
      <Value>3</Value>
      <Value>2</Value>
      <Value>1</Value>
    </TaxCatchAl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7C234C-03F7-4C17-A40A-F447C1F84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B8FB73-A541-4246-9DF0-FC8A61D18EC6}">
  <ds:schemaRefs>
    <ds:schemaRef ds:uri="Microsoft.SharePoint.Taxonomy.ContentTypeSync"/>
  </ds:schemaRefs>
</ds:datastoreItem>
</file>

<file path=customXml/itemProps4.xml><?xml version="1.0" encoding="utf-8"?>
<ds:datastoreItem xmlns:ds="http://schemas.openxmlformats.org/officeDocument/2006/customXml" ds:itemID="{6285D93B-41B4-4D93-8FE6-82988F0C1B37}">
  <ds:schemaRefs>
    <ds:schemaRef ds:uri="http://schemas.microsoft.com/sharepoint/v3/contenttype/forms"/>
  </ds:schemaRefs>
</ds:datastoreItem>
</file>

<file path=customXml/itemProps5.xml><?xml version="1.0" encoding="utf-8"?>
<ds:datastoreItem xmlns:ds="http://schemas.openxmlformats.org/officeDocument/2006/customXml" ds:itemID="{E8CC1F05-F363-455D-BD18-CC1AF931592B}">
  <ds:schemaRefs>
    <ds:schemaRef ds:uri="http://schemas.openxmlformats.org/officeDocument/2006/bibliography"/>
  </ds:schemaRefs>
</ds:datastoreItem>
</file>

<file path=customXml/itemProps6.xml><?xml version="1.0" encoding="utf-8"?>
<ds:datastoreItem xmlns:ds="http://schemas.openxmlformats.org/officeDocument/2006/customXml" ds:itemID="{8613223D-96F9-4C65-9707-F146C934B55E}">
  <ds:schemaRefs>
    <ds:schemaRef ds:uri="http://schemas.microsoft.com/office/2006/metadata/properties"/>
    <ds:schemaRef ds:uri="http://schemas.microsoft.com/office/infopath/2007/PartnerControls"/>
    <ds:schemaRef ds:uri="0a20205c-0631-4ff0-81c6-46eee12fe7e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4912</Words>
  <Characters>28001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Supporting Statement for Chronic Beryllium Disease Prevention Program (64 FR 68854)</vt:lpstr>
    </vt:vector>
  </TitlesOfParts>
  <Company/>
  <LinksUpToDate>false</LinksUpToDate>
  <CharactersWithSpaces>32848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Chronic Beryllium Disease Prevention Program (64 FR 68854)</dc:title>
  <dc:subject>Improving the Quality and Scope of EIA Data</dc:subject>
  <dc:creator>Stroud, Lawrence</dc:creator>
  <cp:lastModifiedBy>Oparah, Alexus (CONTR)</cp:lastModifiedBy>
  <cp:revision>2</cp:revision>
  <cp:lastPrinted>2021-02-05T16:09:00Z</cp:lastPrinted>
  <dcterms:created xsi:type="dcterms:W3CDTF">2026-03-05T19:18:00Z</dcterms:created>
  <dcterms:modified xsi:type="dcterms:W3CDTF">2026-03-05T19:18:00Z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0x0101003BE6F3BD37A8BE4A9CF9E5B20FCA8325008EA4EB63AF2BA14AA3AE151890BD1B9C</vt:lpwstr>
  </property>
  <property fmtid="{D5CDD505-2E9C-101B-9397-08002B2CF9AE}" pid="3" name="DOE_LifecycleState">
    <vt:lpwstr>1;#Draft|44aca65a-a2b8-4064-ac99-6d3b27b9c145</vt:lpwstr>
  </property>
  <property fmtid="{D5CDD505-2E9C-101B-9397-08002B2CF9AE}" pid="4" name="DOE_OwningOrg">
    <vt:lpwstr>3;#Deputy CIO for Enterprise Policy, Portfolio Management, and Governance|51403432-c5a0-4592-a980-fb9060c28c16</vt:lpwstr>
  </property>
  <property fmtid="{D5CDD505-2E9C-101B-9397-08002B2CF9AE}" pid="5" name="DOE_ProjectStatus">
    <vt:lpwstr>2;#Open|f87294c0-5917-49a1-8b9f-b6ecaae62a21</vt:lpwstr>
  </property>
  <property fmtid="{D5CDD505-2E9C-101B-9397-08002B2CF9AE}" pid="6" name="DOE_RecordsDispositionSchedule">
    <vt:lpwstr>5;#Technology management administrative records MODIFIED (GRS 3_1_001)|26f2434b-601c-4546-9d3c-939d49d8f687</vt:lpwstr>
  </property>
  <property fmtid="{D5CDD505-2E9C-101B-9397-08002B2CF9AE}" pid="7" name="lcf76f155ced4ddcb4097134ff3c332f">
    <vt:lpwstr/>
  </property>
  <property fmtid="{D5CDD505-2E9C-101B-9397-08002B2CF9AE}" pid="8" name="MediaServiceImageTags">
    <vt:lpwstr/>
  </property>
</Properties>
</file>