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4418" w:rsidRPr="00602AD3" w:rsidP="00C51099" w14:paraId="4CD6E82D" w14:textId="005CEA2B">
      <w:pPr>
        <w:tabs>
          <w:tab w:val="center" w:pos="4680"/>
        </w:tabs>
        <w:rPr>
          <w:rFonts w:asciiTheme="minorHAnsi" w:hAnsiTheme="minorHAnsi" w:cstheme="minorHAnsi"/>
        </w:rPr>
      </w:pPr>
      <w:r w:rsidRPr="00602AD3">
        <w:rPr>
          <w:rFonts w:asciiTheme="minorHAnsi" w:hAnsiTheme="minorHAnsi" w:cstheme="minorHAnsi"/>
          <w:b/>
          <w:bCs/>
        </w:rPr>
        <w:tab/>
      </w:r>
    </w:p>
    <w:p w:rsidR="000D1446" w:rsidRPr="00602AD3" w14:paraId="6B95DB04" w14:textId="77777777">
      <w:pPr>
        <w:rPr>
          <w:rFonts w:asciiTheme="minorHAnsi" w:hAnsiTheme="minorHAnsi" w:cstheme="minorHAnsi"/>
        </w:rPr>
        <w:sectPr>
          <w:pgSz w:w="12240" w:h="15840"/>
          <w:pgMar w:top="1440" w:right="1440" w:bottom="1440" w:left="1440" w:header="1440" w:footer="1440" w:gutter="0"/>
          <w:cols w:space="720"/>
          <w:noEndnote/>
        </w:sectPr>
      </w:pPr>
    </w:p>
    <w:p w:rsidR="00894418" w:rsidRPr="00602AD3" w:rsidP="00567B52" w14:paraId="6F000C08" w14:textId="7B285220">
      <w:pPr>
        <w:tabs>
          <w:tab w:val="left" w:pos="-1440"/>
        </w:tabs>
        <w:ind w:left="720" w:hanging="720"/>
        <w:rPr>
          <w:rFonts w:asciiTheme="minorHAnsi" w:hAnsiTheme="minorHAnsi" w:cstheme="minorHAnsi"/>
        </w:rPr>
      </w:pPr>
      <w:r w:rsidRPr="00602AD3">
        <w:rPr>
          <w:rFonts w:asciiTheme="minorHAnsi" w:hAnsiTheme="minorHAnsi" w:cstheme="minorHAnsi"/>
        </w:rPr>
        <w:t>8.</w:t>
      </w:r>
      <w:r w:rsidRPr="00602AD3" w:rsidR="00847B23">
        <w:rPr>
          <w:rFonts w:asciiTheme="minorHAnsi" w:hAnsiTheme="minorHAnsi" w:cstheme="minorHAnsi"/>
        </w:rPr>
        <w:t xml:space="preserve">        </w:t>
      </w:r>
      <w:r w:rsidRPr="00602AD3" w:rsidR="00567B52">
        <w:rPr>
          <w:rFonts w:asciiTheme="minorHAnsi" w:hAnsiTheme="minorHAnsi" w:cstheme="minorHAnsi"/>
        </w:rPr>
        <w:t xml:space="preserve">  </w:t>
      </w:r>
      <w:r w:rsidRPr="00602AD3">
        <w:rPr>
          <w:rFonts w:asciiTheme="minorHAnsi" w:hAnsiTheme="minorHAnsi" w:cstheme="minorHAnsi"/>
          <w:u w:val="single"/>
        </w:rPr>
        <w:t>CONSULTATION WITH INDIVIDUALS OUTSIDE OF THE AGENCY ON AVAILABILITY OF DATA, FREQUENCY OF COLLECTION, CLARITY OF INSTRUCTIONS AND FORMS, AND DATA ELEMENTS</w:t>
      </w:r>
    </w:p>
    <w:p w:rsidR="00894418" w:rsidRPr="00602AD3" w14:paraId="6FDA782E" w14:textId="77777777">
      <w:pPr>
        <w:rPr>
          <w:rFonts w:asciiTheme="minorHAnsi" w:hAnsiTheme="minorHAnsi" w:cstheme="minorHAnsi"/>
        </w:rPr>
      </w:pPr>
    </w:p>
    <w:p w:rsidR="00725330" w:rsidP="00567B52" w14:paraId="7EF702EC" w14:textId="325A5EBC">
      <w:pPr>
        <w:ind w:left="720"/>
        <w:rPr>
          <w:rFonts w:asciiTheme="minorHAnsi" w:hAnsiTheme="minorHAnsi" w:cstheme="minorHAnsi"/>
          <w:bCs/>
        </w:rPr>
      </w:pPr>
      <w:r w:rsidRPr="00602AD3">
        <w:rPr>
          <w:rFonts w:asciiTheme="minorHAnsi" w:hAnsiTheme="minorHAnsi" w:cstheme="minorHAnsi"/>
          <w:bCs/>
        </w:rPr>
        <w:t xml:space="preserve">In </w:t>
      </w:r>
      <w:r w:rsidRPr="001714A5">
        <w:rPr>
          <w:rFonts w:asciiTheme="minorHAnsi" w:hAnsiTheme="minorHAnsi" w:cstheme="minorHAnsi"/>
          <w:bCs/>
        </w:rPr>
        <w:t xml:space="preserve">response to the Federal Register </w:t>
      </w:r>
      <w:r w:rsidR="0036556A">
        <w:rPr>
          <w:rFonts w:asciiTheme="minorHAnsi" w:hAnsiTheme="minorHAnsi" w:cstheme="minorHAnsi"/>
          <w:bCs/>
        </w:rPr>
        <w:t>“N</w:t>
      </w:r>
      <w:r w:rsidRPr="001714A5">
        <w:rPr>
          <w:rFonts w:asciiTheme="minorHAnsi" w:hAnsiTheme="minorHAnsi" w:cstheme="minorHAnsi"/>
          <w:bCs/>
        </w:rPr>
        <w:t xml:space="preserve">otice </w:t>
      </w:r>
      <w:r w:rsidR="0036556A">
        <w:rPr>
          <w:rFonts w:asciiTheme="minorHAnsi" w:hAnsiTheme="minorHAnsi" w:cstheme="minorHAnsi"/>
          <w:bCs/>
        </w:rPr>
        <w:t xml:space="preserve">of Intent” </w:t>
      </w:r>
      <w:r w:rsidRPr="001714A5">
        <w:rPr>
          <w:rFonts w:asciiTheme="minorHAnsi" w:hAnsiTheme="minorHAnsi" w:cstheme="minorHAnsi"/>
          <w:bCs/>
        </w:rPr>
        <w:t xml:space="preserve">dated </w:t>
      </w:r>
      <w:r w:rsidR="0036556A">
        <w:rPr>
          <w:rFonts w:asciiTheme="minorHAnsi" w:hAnsiTheme="minorHAnsi" w:cstheme="minorHAnsi"/>
          <w:bCs/>
        </w:rPr>
        <w:t>July 24</w:t>
      </w:r>
      <w:r w:rsidR="00433BA9">
        <w:rPr>
          <w:rFonts w:asciiTheme="minorHAnsi" w:hAnsiTheme="minorHAnsi" w:cstheme="minorHAnsi"/>
          <w:bCs/>
        </w:rPr>
        <w:t>, 2025</w:t>
      </w:r>
      <w:r w:rsidRPr="001714A5" w:rsidR="00FA1B5B">
        <w:rPr>
          <w:rFonts w:asciiTheme="minorHAnsi" w:hAnsiTheme="minorHAnsi" w:cstheme="minorHAnsi"/>
          <w:bCs/>
        </w:rPr>
        <w:t xml:space="preserve"> </w:t>
      </w:r>
      <w:r w:rsidRPr="001714A5">
        <w:rPr>
          <w:rFonts w:asciiTheme="minorHAnsi" w:hAnsiTheme="minorHAnsi" w:cstheme="minorHAnsi"/>
          <w:bCs/>
        </w:rPr>
        <w:t>(</w:t>
      </w:r>
      <w:r w:rsidR="0036556A">
        <w:rPr>
          <w:rFonts w:asciiTheme="minorHAnsi" w:hAnsiTheme="minorHAnsi" w:cstheme="minorHAnsi"/>
          <w:bCs/>
        </w:rPr>
        <w:t>90</w:t>
      </w:r>
      <w:r w:rsidRPr="001714A5">
        <w:rPr>
          <w:rFonts w:asciiTheme="minorHAnsi" w:hAnsiTheme="minorHAnsi" w:cstheme="minorHAnsi"/>
          <w:bCs/>
        </w:rPr>
        <w:t xml:space="preserve"> FR </w:t>
      </w:r>
      <w:r w:rsidR="0036556A">
        <w:rPr>
          <w:rFonts w:asciiTheme="minorHAnsi" w:hAnsiTheme="minorHAnsi" w:cstheme="minorHAnsi"/>
          <w:bCs/>
        </w:rPr>
        <w:t>34855</w:t>
      </w:r>
      <w:r w:rsidRPr="001714A5">
        <w:rPr>
          <w:rFonts w:asciiTheme="minorHAnsi" w:hAnsiTheme="minorHAnsi" w:cstheme="minorHAnsi"/>
          <w:bCs/>
        </w:rPr>
        <w:t xml:space="preserve">), the </w:t>
      </w:r>
      <w:r w:rsidRPr="001714A5" w:rsidR="00FA1B5B">
        <w:rPr>
          <w:rFonts w:asciiTheme="minorHAnsi" w:hAnsiTheme="minorHAnsi" w:cstheme="minorHAnsi"/>
          <w:bCs/>
        </w:rPr>
        <w:t xml:space="preserve">DOE </w:t>
      </w:r>
      <w:r w:rsidRPr="001714A5">
        <w:rPr>
          <w:rFonts w:asciiTheme="minorHAnsi" w:hAnsiTheme="minorHAnsi" w:cstheme="minorHAnsi"/>
          <w:bCs/>
        </w:rPr>
        <w:t xml:space="preserve">received </w:t>
      </w:r>
      <w:r w:rsidR="0036556A">
        <w:rPr>
          <w:rFonts w:asciiTheme="minorHAnsi" w:hAnsiTheme="minorHAnsi" w:cstheme="minorHAnsi"/>
          <w:bCs/>
        </w:rPr>
        <w:t>15</w:t>
      </w:r>
      <w:r w:rsidRPr="001714A5" w:rsidR="00FA1B5B">
        <w:rPr>
          <w:rFonts w:asciiTheme="minorHAnsi" w:hAnsiTheme="minorHAnsi" w:cstheme="minorHAnsi"/>
          <w:bCs/>
        </w:rPr>
        <w:t xml:space="preserve"> </w:t>
      </w:r>
      <w:r w:rsidRPr="001714A5">
        <w:rPr>
          <w:rFonts w:asciiTheme="minorHAnsi" w:hAnsiTheme="minorHAnsi" w:cstheme="minorHAnsi"/>
          <w:bCs/>
        </w:rPr>
        <w:t xml:space="preserve">comments </w:t>
      </w:r>
      <w:r w:rsidRPr="001714A5" w:rsidR="00CA29DB">
        <w:rPr>
          <w:rFonts w:asciiTheme="minorHAnsi" w:hAnsiTheme="minorHAnsi" w:cstheme="minorHAnsi"/>
          <w:bCs/>
        </w:rPr>
        <w:t xml:space="preserve">related to the </w:t>
      </w:r>
      <w:r w:rsidR="0036556A">
        <w:rPr>
          <w:rFonts w:asciiTheme="minorHAnsi" w:hAnsiTheme="minorHAnsi" w:cstheme="minorHAnsi"/>
          <w:bCs/>
        </w:rPr>
        <w:t>45Z Emissions Value Request Process</w:t>
      </w:r>
      <w:r w:rsidRPr="001714A5" w:rsidR="002F0B44">
        <w:rPr>
          <w:rFonts w:asciiTheme="minorHAnsi" w:hAnsiTheme="minorHAnsi" w:cstheme="minorHAnsi"/>
          <w:bCs/>
        </w:rPr>
        <w:t xml:space="preserve">. </w:t>
      </w:r>
      <w:r w:rsidRPr="001714A5">
        <w:rPr>
          <w:rFonts w:asciiTheme="minorHAnsi" w:hAnsiTheme="minorHAnsi" w:cstheme="minorHAnsi"/>
          <w:bCs/>
        </w:rPr>
        <w:t xml:space="preserve"> </w:t>
      </w:r>
      <w:r w:rsidR="0036556A">
        <w:rPr>
          <w:rFonts w:asciiTheme="minorHAnsi" w:hAnsiTheme="minorHAnsi" w:cstheme="minorHAnsi"/>
          <w:bCs/>
        </w:rPr>
        <w:t>T</w:t>
      </w:r>
      <w:r w:rsidRPr="001714A5" w:rsidR="00DF5A77">
        <w:rPr>
          <w:rFonts w:asciiTheme="minorHAnsi" w:hAnsiTheme="minorHAnsi" w:cstheme="minorHAnsi"/>
          <w:bCs/>
        </w:rPr>
        <w:t>hese comments were</w:t>
      </w:r>
      <w:r w:rsidR="00DF5A77">
        <w:rPr>
          <w:rFonts w:asciiTheme="minorHAnsi" w:hAnsiTheme="minorHAnsi" w:cstheme="minorHAnsi"/>
          <w:bCs/>
        </w:rPr>
        <w:t xml:space="preserve"> received via the </w:t>
      </w:r>
      <w:r w:rsidR="00682555">
        <w:rPr>
          <w:rFonts w:asciiTheme="minorHAnsi" w:hAnsiTheme="minorHAnsi" w:cstheme="minorHAnsi"/>
          <w:bCs/>
        </w:rPr>
        <w:t>email address provide</w:t>
      </w:r>
      <w:r w:rsidR="00841B5D">
        <w:rPr>
          <w:rFonts w:asciiTheme="minorHAnsi" w:hAnsiTheme="minorHAnsi" w:cstheme="minorHAnsi"/>
          <w:bCs/>
        </w:rPr>
        <w:t>d</w:t>
      </w:r>
      <w:r w:rsidR="00682555">
        <w:rPr>
          <w:rFonts w:asciiTheme="minorHAnsi" w:hAnsiTheme="minorHAnsi" w:cstheme="minorHAnsi"/>
          <w:bCs/>
        </w:rPr>
        <w:t xml:space="preserve"> in the Notice of Intent</w:t>
      </w:r>
      <w:r w:rsidR="004C67C7">
        <w:rPr>
          <w:rFonts w:asciiTheme="minorHAnsi" w:hAnsiTheme="minorHAnsi" w:cstheme="minorHAnsi"/>
          <w:bCs/>
        </w:rPr>
        <w:t>.</w:t>
      </w:r>
      <w:r w:rsidR="00DF5A77">
        <w:rPr>
          <w:rFonts w:asciiTheme="minorHAnsi" w:hAnsiTheme="minorHAnsi" w:cstheme="minorHAnsi"/>
          <w:bCs/>
        </w:rPr>
        <w:t xml:space="preserve">   The</w:t>
      </w:r>
      <w:r w:rsidR="008E3B03">
        <w:rPr>
          <w:rFonts w:asciiTheme="minorHAnsi" w:hAnsiTheme="minorHAnsi" w:cstheme="minorHAnsi"/>
          <w:bCs/>
        </w:rPr>
        <w:t xml:space="preserve">se comments will be included with the OMB submission as </w:t>
      </w:r>
      <w:r w:rsidR="004C67C7">
        <w:rPr>
          <w:rFonts w:asciiTheme="minorHAnsi" w:hAnsiTheme="minorHAnsi" w:cstheme="minorHAnsi"/>
          <w:bCs/>
        </w:rPr>
        <w:t>supporting</w:t>
      </w:r>
      <w:r w:rsidR="008E3B03">
        <w:rPr>
          <w:rFonts w:asciiTheme="minorHAnsi" w:hAnsiTheme="minorHAnsi" w:cstheme="minorHAnsi"/>
          <w:bCs/>
        </w:rPr>
        <w:t xml:space="preserve"> document</w:t>
      </w:r>
      <w:r w:rsidR="004C67C7">
        <w:rPr>
          <w:rFonts w:asciiTheme="minorHAnsi" w:hAnsiTheme="minorHAnsi" w:cstheme="minorHAnsi"/>
          <w:bCs/>
        </w:rPr>
        <w:t>s in the submission</w:t>
      </w:r>
      <w:r w:rsidR="00DF5A77">
        <w:rPr>
          <w:rFonts w:asciiTheme="minorHAnsi" w:hAnsiTheme="minorHAnsi" w:cstheme="minorHAnsi"/>
          <w:bCs/>
        </w:rPr>
        <w:t xml:space="preserve">.   </w:t>
      </w:r>
    </w:p>
    <w:p w:rsidR="00725330" w:rsidP="00567B52" w14:paraId="33CD2601" w14:textId="77777777">
      <w:pPr>
        <w:ind w:left="720"/>
        <w:rPr>
          <w:rFonts w:asciiTheme="minorHAnsi" w:hAnsiTheme="minorHAnsi" w:cstheme="minorHAnsi"/>
          <w:bCs/>
        </w:rPr>
      </w:pPr>
    </w:p>
    <w:p w:rsidR="00771FE2" w:rsidP="00771FE2" w14:paraId="7A087F32" w14:textId="17762549">
      <w:pPr>
        <w:ind w:left="720"/>
        <w:rPr>
          <w:rFonts w:asciiTheme="minorHAnsi" w:hAnsiTheme="minorHAnsi" w:cstheme="minorHAnsi"/>
          <w:bCs/>
        </w:rPr>
      </w:pPr>
      <w:r>
        <w:rPr>
          <w:rFonts w:asciiTheme="minorHAnsi" w:hAnsiTheme="minorHAnsi" w:cstheme="minorHAnsi"/>
          <w:bCs/>
        </w:rPr>
        <w:t xml:space="preserve">DOE has reviewed these comments </w:t>
      </w:r>
      <w:r w:rsidR="00682555">
        <w:rPr>
          <w:rFonts w:asciiTheme="minorHAnsi" w:hAnsiTheme="minorHAnsi" w:cstheme="minorHAnsi"/>
          <w:bCs/>
        </w:rPr>
        <w:t xml:space="preserve">and in the </w:t>
      </w:r>
      <w:r w:rsidR="006434CD">
        <w:rPr>
          <w:rFonts w:asciiTheme="minorHAnsi" w:hAnsiTheme="minorHAnsi" w:cstheme="minorHAnsi"/>
          <w:bCs/>
        </w:rPr>
        <w:t>table</w:t>
      </w:r>
      <w:r w:rsidR="006434CD">
        <w:rPr>
          <w:rFonts w:asciiTheme="minorHAnsi" w:hAnsiTheme="minorHAnsi" w:cstheme="minorHAnsi"/>
          <w:bCs/>
        </w:rPr>
        <w:t xml:space="preserve"> </w:t>
      </w:r>
      <w:r>
        <w:rPr>
          <w:rFonts w:asciiTheme="minorHAnsi" w:hAnsiTheme="minorHAnsi" w:cstheme="minorHAnsi"/>
          <w:bCs/>
        </w:rPr>
        <w:t xml:space="preserve">below </w:t>
      </w:r>
      <w:r w:rsidR="006434CD">
        <w:rPr>
          <w:rFonts w:asciiTheme="minorHAnsi" w:hAnsiTheme="minorHAnsi" w:cstheme="minorHAnsi"/>
          <w:bCs/>
        </w:rPr>
        <w:t xml:space="preserve">lists the </w:t>
      </w:r>
      <w:r w:rsidR="00682555">
        <w:rPr>
          <w:rFonts w:asciiTheme="minorHAnsi" w:hAnsiTheme="minorHAnsi" w:cstheme="minorHAnsi"/>
          <w:bCs/>
        </w:rPr>
        <w:t xml:space="preserve">relevant comments and </w:t>
      </w:r>
      <w:r w:rsidR="006434CD">
        <w:rPr>
          <w:rFonts w:asciiTheme="minorHAnsi" w:hAnsiTheme="minorHAnsi" w:cstheme="minorHAnsi"/>
          <w:bCs/>
        </w:rPr>
        <w:t>DOE responses.</w:t>
      </w:r>
    </w:p>
    <w:p w:rsidR="002F267E" w:rsidP="00771FE2" w14:paraId="262B6059" w14:textId="77777777">
      <w:pPr>
        <w:ind w:left="720"/>
        <w:rPr>
          <w:rFonts w:asciiTheme="minorHAnsi" w:hAnsiTheme="minorHAnsi" w:cstheme="minorHAnsi"/>
          <w:bCs/>
        </w:rPr>
      </w:pPr>
    </w:p>
    <w:p w:rsidR="002F267E" w:rsidRPr="00806508" w:rsidP="002F267E" w14:paraId="449B2EA0" w14:textId="77777777">
      <w:pPr>
        <w:jc w:val="center"/>
        <w:rPr>
          <w:rFonts w:asciiTheme="minorHAnsi" w:hAnsiTheme="minorHAnsi"/>
        </w:rPr>
      </w:pPr>
      <w:r w:rsidRPr="00806508">
        <w:rPr>
          <w:rFonts w:asciiTheme="minorHAnsi" w:hAnsiTheme="minorHAnsi"/>
        </w:rPr>
        <w:t>COMMENT MATRIX 45Z EMISSIONS VALUE REQUEST PROCESS</w:t>
      </w:r>
    </w:p>
    <w:tbl>
      <w:tblPr>
        <w:tblStyle w:val="TableGrid"/>
        <w:tblW w:w="0" w:type="auto"/>
        <w:tblLook w:val="04A0"/>
      </w:tblPr>
      <w:tblGrid>
        <w:gridCol w:w="3114"/>
        <w:gridCol w:w="3132"/>
        <w:gridCol w:w="3104"/>
      </w:tblGrid>
      <w:tr w14:paraId="7044BB3F" w14:textId="77777777" w:rsidTr="00FD632E">
        <w:tblPrEx>
          <w:tblW w:w="0" w:type="auto"/>
          <w:tblLook w:val="04A0"/>
        </w:tblPrEx>
        <w:tc>
          <w:tcPr>
            <w:tcW w:w="3114" w:type="dxa"/>
          </w:tcPr>
          <w:p w:rsidR="002F267E" w:rsidRPr="00806508" w:rsidP="004744D9" w14:paraId="10587A62" w14:textId="77777777">
            <w:pPr>
              <w:rPr>
                <w:rFonts w:asciiTheme="minorHAnsi" w:hAnsiTheme="minorHAnsi"/>
              </w:rPr>
            </w:pPr>
            <w:r w:rsidRPr="00806508">
              <w:rPr>
                <w:rFonts w:asciiTheme="minorHAnsi" w:hAnsiTheme="minorHAnsi"/>
              </w:rPr>
              <w:t xml:space="preserve">Commenter </w:t>
            </w:r>
          </w:p>
        </w:tc>
        <w:tc>
          <w:tcPr>
            <w:tcW w:w="3132" w:type="dxa"/>
          </w:tcPr>
          <w:p w:rsidR="002F267E" w:rsidRPr="00806508" w:rsidP="004744D9" w14:paraId="2D5BB54E" w14:textId="77777777">
            <w:pPr>
              <w:rPr>
                <w:rFonts w:asciiTheme="minorHAnsi" w:hAnsiTheme="minorHAnsi"/>
              </w:rPr>
            </w:pPr>
            <w:r w:rsidRPr="00806508">
              <w:rPr>
                <w:rFonts w:asciiTheme="minorHAnsi" w:hAnsiTheme="minorHAnsi"/>
              </w:rPr>
              <w:t xml:space="preserve">Comment </w:t>
            </w:r>
          </w:p>
        </w:tc>
        <w:tc>
          <w:tcPr>
            <w:tcW w:w="3104" w:type="dxa"/>
          </w:tcPr>
          <w:p w:rsidR="002F267E" w:rsidRPr="00806508" w:rsidP="004744D9" w14:paraId="3247318D" w14:textId="77777777">
            <w:pPr>
              <w:rPr>
                <w:rFonts w:asciiTheme="minorHAnsi" w:hAnsiTheme="minorHAnsi"/>
              </w:rPr>
            </w:pPr>
            <w:r w:rsidRPr="00806508">
              <w:rPr>
                <w:rFonts w:asciiTheme="minorHAnsi" w:hAnsiTheme="minorHAnsi"/>
              </w:rPr>
              <w:t xml:space="preserve">Response </w:t>
            </w:r>
          </w:p>
        </w:tc>
      </w:tr>
      <w:tr w14:paraId="7FD0A18D" w14:textId="77777777" w:rsidTr="00FD632E">
        <w:tblPrEx>
          <w:tblW w:w="0" w:type="auto"/>
          <w:tblLook w:val="04A0"/>
        </w:tblPrEx>
        <w:tc>
          <w:tcPr>
            <w:tcW w:w="3114" w:type="dxa"/>
          </w:tcPr>
          <w:p w:rsidR="00FD632E" w:rsidRPr="00806508" w:rsidP="00FD632E" w14:paraId="17D0559A" w14:textId="77777777">
            <w:pPr>
              <w:rPr>
                <w:rFonts w:asciiTheme="minorHAnsi" w:hAnsiTheme="minorHAnsi"/>
              </w:rPr>
            </w:pPr>
            <w:r w:rsidRPr="00806508">
              <w:rPr>
                <w:rFonts w:asciiTheme="minorHAnsi" w:hAnsiTheme="minorHAnsi"/>
              </w:rPr>
              <w:t xml:space="preserve">Growth Energy </w:t>
            </w:r>
          </w:p>
        </w:tc>
        <w:tc>
          <w:tcPr>
            <w:tcW w:w="3132" w:type="dxa"/>
          </w:tcPr>
          <w:p w:rsidR="00FD632E" w:rsidRPr="00806508" w:rsidP="00FD632E" w14:paraId="2E70B636" w14:textId="77777777">
            <w:pPr>
              <w:rPr>
                <w:rFonts w:asciiTheme="minorHAnsi" w:hAnsiTheme="minorHAnsi"/>
              </w:rPr>
            </w:pPr>
            <w:r w:rsidRPr="00806508">
              <w:rPr>
                <w:rFonts w:asciiTheme="minorHAnsi" w:hAnsiTheme="minorHAnsi"/>
                <w:color w:val="000000"/>
              </w:rPr>
              <w:t>Promptly finalize PER process</w:t>
            </w:r>
          </w:p>
        </w:tc>
        <w:tc>
          <w:tcPr>
            <w:tcW w:w="3104" w:type="dxa"/>
          </w:tcPr>
          <w:p w:rsidR="00FD632E" w:rsidRPr="00FD632E" w:rsidP="00FD632E" w14:paraId="350AF11C" w14:textId="533DD276">
            <w:pPr>
              <w:rPr>
                <w:rFonts w:asciiTheme="minorHAnsi" w:hAnsiTheme="minorHAnsi"/>
                <w:color w:val="000000"/>
              </w:rPr>
            </w:pPr>
            <w:r w:rsidRPr="00FD632E">
              <w:rPr>
                <w:rFonts w:asciiTheme="minorHAnsi" w:hAnsiTheme="minorHAnsi"/>
                <w:color w:val="000000"/>
              </w:rPr>
              <w:t xml:space="preserve">Upon approval of the information collection request, DOE will </w:t>
            </w:r>
            <w:r w:rsidRPr="00FD632E">
              <w:rPr>
                <w:rFonts w:asciiTheme="minorHAnsi" w:hAnsiTheme="minorHAnsi"/>
                <w:color w:val="000000"/>
              </w:rPr>
              <w:t>open up</w:t>
            </w:r>
            <w:r w:rsidRPr="00FD632E">
              <w:rPr>
                <w:rFonts w:asciiTheme="minorHAnsi" w:hAnsiTheme="minorHAnsi"/>
                <w:color w:val="000000"/>
              </w:rPr>
              <w:t xml:space="preserve"> the EVRP </w:t>
            </w:r>
          </w:p>
        </w:tc>
      </w:tr>
      <w:tr w14:paraId="44B16E35" w14:textId="77777777" w:rsidTr="00FD632E">
        <w:tblPrEx>
          <w:tblW w:w="0" w:type="auto"/>
          <w:tblLook w:val="04A0"/>
        </w:tblPrEx>
        <w:tc>
          <w:tcPr>
            <w:tcW w:w="3114" w:type="dxa"/>
          </w:tcPr>
          <w:p w:rsidR="00FD632E" w:rsidRPr="00806508" w:rsidP="00FD632E" w14:paraId="01D28B06" w14:textId="77777777">
            <w:pPr>
              <w:rPr>
                <w:rFonts w:asciiTheme="minorHAnsi" w:hAnsiTheme="minorHAnsi"/>
              </w:rPr>
            </w:pPr>
            <w:r w:rsidRPr="00806508">
              <w:rPr>
                <w:rFonts w:asciiTheme="minorHAnsi" w:hAnsiTheme="minorHAnsi"/>
              </w:rPr>
              <w:t>Oberon</w:t>
            </w:r>
          </w:p>
        </w:tc>
        <w:tc>
          <w:tcPr>
            <w:tcW w:w="3132" w:type="dxa"/>
          </w:tcPr>
          <w:p w:rsidR="00FD632E" w:rsidRPr="00806508" w:rsidP="00FD632E" w14:paraId="052C0EC5" w14:textId="77777777">
            <w:pPr>
              <w:rPr>
                <w:rFonts w:asciiTheme="minorHAnsi" w:hAnsiTheme="minorHAnsi"/>
              </w:rPr>
            </w:pPr>
            <w:r w:rsidRPr="00806508">
              <w:rPr>
                <w:rFonts w:asciiTheme="minorHAnsi" w:hAnsiTheme="minorHAnsi"/>
                <w:color w:val="000000"/>
              </w:rPr>
              <w:t>Promptly propose and implement the PER process</w:t>
            </w:r>
          </w:p>
        </w:tc>
        <w:tc>
          <w:tcPr>
            <w:tcW w:w="3104" w:type="dxa"/>
          </w:tcPr>
          <w:p w:rsidR="00FD632E" w:rsidRPr="00FD632E" w:rsidP="00FD632E" w14:paraId="063F47C8" w14:textId="05BFE84A">
            <w:pPr>
              <w:rPr>
                <w:rFonts w:asciiTheme="minorHAnsi" w:hAnsiTheme="minorHAnsi"/>
                <w:color w:val="000000"/>
              </w:rPr>
            </w:pPr>
            <w:r w:rsidRPr="00FD632E">
              <w:rPr>
                <w:rFonts w:asciiTheme="minorHAnsi" w:hAnsiTheme="minorHAnsi"/>
                <w:color w:val="000000"/>
              </w:rPr>
              <w:t xml:space="preserve">Upon approval of the information collection request, DOE will </w:t>
            </w:r>
            <w:r w:rsidRPr="00FD632E">
              <w:rPr>
                <w:rFonts w:asciiTheme="minorHAnsi" w:hAnsiTheme="minorHAnsi"/>
                <w:color w:val="000000"/>
              </w:rPr>
              <w:t>open up</w:t>
            </w:r>
            <w:r w:rsidRPr="00FD632E">
              <w:rPr>
                <w:rFonts w:asciiTheme="minorHAnsi" w:hAnsiTheme="minorHAnsi"/>
                <w:color w:val="000000"/>
              </w:rPr>
              <w:t xml:space="preserve"> the EVRP</w:t>
            </w:r>
          </w:p>
        </w:tc>
      </w:tr>
      <w:tr w14:paraId="6413DF46" w14:textId="77777777" w:rsidTr="00FD632E">
        <w:tblPrEx>
          <w:tblW w:w="0" w:type="auto"/>
          <w:tblLook w:val="04A0"/>
        </w:tblPrEx>
        <w:tc>
          <w:tcPr>
            <w:tcW w:w="3114" w:type="dxa"/>
          </w:tcPr>
          <w:p w:rsidR="002F267E" w:rsidRPr="00806508" w:rsidP="004744D9" w14:paraId="65DDB86D" w14:textId="77777777">
            <w:pPr>
              <w:rPr>
                <w:rFonts w:asciiTheme="minorHAnsi" w:hAnsiTheme="minorHAnsi"/>
              </w:rPr>
            </w:pPr>
            <w:r w:rsidRPr="00806508">
              <w:rPr>
                <w:rFonts w:asciiTheme="minorHAnsi" w:hAnsiTheme="minorHAnsi"/>
              </w:rPr>
              <w:t xml:space="preserve">Clean Fuels America </w:t>
            </w:r>
          </w:p>
        </w:tc>
        <w:tc>
          <w:tcPr>
            <w:tcW w:w="3132" w:type="dxa"/>
          </w:tcPr>
          <w:p w:rsidR="002F267E" w:rsidRPr="00806508" w:rsidP="004744D9" w14:paraId="05F92A5B" w14:textId="77777777">
            <w:pPr>
              <w:rPr>
                <w:rFonts w:asciiTheme="minorHAnsi" w:hAnsiTheme="minorHAnsi" w:cs="Calibri"/>
                <w:color w:val="000000"/>
              </w:rPr>
            </w:pPr>
            <w:r w:rsidRPr="00806508">
              <w:rPr>
                <w:rFonts w:asciiTheme="minorHAnsi" w:hAnsiTheme="minorHAnsi" w:cs="Calibri"/>
                <w:color w:val="000000"/>
              </w:rPr>
              <w:t xml:space="preserve">FEED study </w:t>
            </w:r>
            <w:r w:rsidRPr="00806508">
              <w:rPr>
                <w:rFonts w:asciiTheme="minorHAnsi" w:hAnsiTheme="minorHAnsi" w:cs="Calibri"/>
                <w:color w:val="000000"/>
              </w:rPr>
              <w:t>not</w:t>
            </w:r>
            <w:r w:rsidRPr="00806508">
              <w:rPr>
                <w:rFonts w:asciiTheme="minorHAnsi" w:hAnsiTheme="minorHAnsi" w:cs="Calibri"/>
                <w:color w:val="000000"/>
              </w:rPr>
              <w:t xml:space="preserve"> prepared when </w:t>
            </w:r>
            <w:r w:rsidRPr="00653AE0">
              <w:rPr>
                <w:rFonts w:asciiTheme="minorHAnsi" w:hAnsiTheme="minorHAnsi" w:cs="Calibri"/>
                <w:color w:val="000000"/>
              </w:rPr>
              <w:t>modified existing production facilities</w:t>
            </w:r>
            <w:r w:rsidRPr="00806508">
              <w:rPr>
                <w:rFonts w:asciiTheme="minorHAnsi" w:hAnsiTheme="minorHAnsi" w:cs="Calibri"/>
                <w:color w:val="000000"/>
              </w:rPr>
              <w:t xml:space="preserve"> or when</w:t>
            </w:r>
            <w:r w:rsidRPr="00653AE0">
              <w:rPr>
                <w:rFonts w:asciiTheme="minorHAnsi" w:hAnsiTheme="minorHAnsi" w:cs="Calibri"/>
                <w:color w:val="000000"/>
              </w:rPr>
              <w:t xml:space="preserve"> existing facilities are pursuing novel feedstocks; existing facilities may upgrade to result in emissions rates not reflected in GREET model.  </w:t>
            </w:r>
            <w:r w:rsidRPr="00806508">
              <w:rPr>
                <w:rFonts w:asciiTheme="minorHAnsi" w:hAnsiTheme="minorHAnsi" w:cs="Calibri"/>
                <w:color w:val="000000"/>
              </w:rPr>
              <w:t>A</w:t>
            </w:r>
            <w:r w:rsidRPr="00653AE0">
              <w:rPr>
                <w:rFonts w:asciiTheme="minorHAnsi" w:hAnsiTheme="minorHAnsi" w:cs="Calibri"/>
                <w:color w:val="000000"/>
              </w:rPr>
              <w:t>ccept third party validated emissions rates</w:t>
            </w:r>
            <w:r w:rsidRPr="00806508">
              <w:rPr>
                <w:rFonts w:asciiTheme="minorHAnsi" w:hAnsiTheme="minorHAnsi" w:cs="Calibri"/>
                <w:color w:val="000000"/>
              </w:rPr>
              <w:t xml:space="preserve"> </w:t>
            </w:r>
            <w:r w:rsidRPr="00653AE0">
              <w:rPr>
                <w:rFonts w:asciiTheme="minorHAnsi" w:hAnsiTheme="minorHAnsi" w:cs="Calibri"/>
                <w:color w:val="000000"/>
              </w:rPr>
              <w:t xml:space="preserve">determinations based on R&amp;D GREET or STATE-GREET </w:t>
            </w:r>
          </w:p>
          <w:p w:rsidR="002F267E" w:rsidRPr="00806508" w:rsidP="004744D9" w14:paraId="42DAA918" w14:textId="77777777">
            <w:pPr>
              <w:rPr>
                <w:rFonts w:asciiTheme="minorHAnsi" w:hAnsiTheme="minorHAnsi"/>
              </w:rPr>
            </w:pPr>
          </w:p>
        </w:tc>
        <w:tc>
          <w:tcPr>
            <w:tcW w:w="3104" w:type="dxa"/>
          </w:tcPr>
          <w:p w:rsidR="002F267E" w:rsidP="004744D9" w14:paraId="68DC09DA" w14:textId="1B4F59CF">
            <w:pPr>
              <w:rPr>
                <w:rFonts w:asciiTheme="minorHAnsi" w:hAnsiTheme="minorHAnsi"/>
              </w:rPr>
            </w:pPr>
            <w:r>
              <w:rPr>
                <w:rFonts w:asciiTheme="minorHAnsi" w:hAnsiTheme="minorHAnsi"/>
              </w:rPr>
              <w:t xml:space="preserve">Applicants are not required to generate a new Class 3 Feed Study for applications </w:t>
            </w:r>
            <w:r w:rsidR="003402AD">
              <w:rPr>
                <w:rFonts w:asciiTheme="minorHAnsi" w:hAnsiTheme="minorHAnsi"/>
              </w:rPr>
              <w:t xml:space="preserve">involving </w:t>
            </w:r>
            <w:r>
              <w:rPr>
                <w:rFonts w:asciiTheme="minorHAnsi" w:hAnsiTheme="minorHAnsi"/>
              </w:rPr>
              <w:t xml:space="preserve">modifications to existing lines or use of novel feedstock to existing production lines.    </w:t>
            </w:r>
          </w:p>
          <w:p w:rsidR="003402AD" w:rsidP="004744D9" w14:paraId="3ECB3E41" w14:textId="77777777">
            <w:pPr>
              <w:rPr>
                <w:rFonts w:asciiTheme="minorHAnsi" w:hAnsiTheme="minorHAnsi"/>
              </w:rPr>
            </w:pPr>
          </w:p>
          <w:p w:rsidR="003402AD" w:rsidRPr="00806508" w:rsidP="004744D9" w14:paraId="5995D4DC" w14:textId="3A3D71D9">
            <w:pPr>
              <w:rPr>
                <w:rFonts w:asciiTheme="minorHAnsi" w:hAnsiTheme="minorHAnsi"/>
              </w:rPr>
            </w:pPr>
            <w:r w:rsidRPr="00FD632E">
              <w:rPr>
                <w:rFonts w:asciiTheme="minorHAnsi" w:hAnsiTheme="minorHAnsi"/>
              </w:rPr>
              <w:t xml:space="preserve">Class 3 FEED studies are likely to be conducted by </w:t>
            </w:r>
            <w:r w:rsidRPr="00FD632E">
              <w:rPr>
                <w:rFonts w:asciiTheme="minorHAnsi" w:hAnsiTheme="minorHAnsi"/>
              </w:rPr>
              <w:t>a majority of</w:t>
            </w:r>
            <w:r w:rsidRPr="00FD632E">
              <w:rPr>
                <w:rFonts w:asciiTheme="minorHAnsi" w:hAnsiTheme="minorHAnsi"/>
              </w:rPr>
              <w:t xml:space="preserve"> developers of transportation fuels facilities across pathways, given how complex and capital intensive these facilities are.</w:t>
            </w:r>
            <w:r>
              <w:rPr>
                <w:rFonts w:asciiTheme="minorHAnsi" w:hAnsiTheme="minorHAnsi"/>
              </w:rPr>
              <w:t xml:space="preserve">  For applications related to modifications to existing lines or the use of novel feedstocks, applicants can submit the FEED study </w:t>
            </w:r>
            <w:r>
              <w:rPr>
                <w:rFonts w:asciiTheme="minorHAnsi" w:hAnsiTheme="minorHAnsi"/>
              </w:rPr>
              <w:t xml:space="preserve">initially prepared for the facility with relevant changes/updates indicated.  </w:t>
            </w:r>
          </w:p>
        </w:tc>
      </w:tr>
      <w:tr w14:paraId="7B321FC2" w14:textId="77777777" w:rsidTr="00FD632E">
        <w:tblPrEx>
          <w:tblW w:w="0" w:type="auto"/>
          <w:tblLook w:val="04A0"/>
        </w:tblPrEx>
        <w:tc>
          <w:tcPr>
            <w:tcW w:w="3114" w:type="dxa"/>
          </w:tcPr>
          <w:p w:rsidR="002F267E" w:rsidRPr="00806508" w:rsidP="004744D9" w14:paraId="69697B16" w14:textId="77777777">
            <w:pPr>
              <w:rPr>
                <w:rFonts w:asciiTheme="minorHAnsi" w:hAnsiTheme="minorHAnsi"/>
              </w:rPr>
            </w:pPr>
            <w:r w:rsidRPr="00806508">
              <w:rPr>
                <w:rFonts w:asciiTheme="minorHAnsi" w:hAnsiTheme="minorHAnsi"/>
              </w:rPr>
              <w:t>Innovative Oilseed Crop Alliance (IOCA)</w:t>
            </w:r>
          </w:p>
        </w:tc>
        <w:tc>
          <w:tcPr>
            <w:tcW w:w="3132" w:type="dxa"/>
          </w:tcPr>
          <w:p w:rsidR="002F267E" w:rsidRPr="00806508" w:rsidP="004744D9" w14:paraId="0EA3E219" w14:textId="4E8431F0">
            <w:pPr>
              <w:rPr>
                <w:rFonts w:asciiTheme="minorHAnsi" w:hAnsiTheme="minorHAnsi"/>
              </w:rPr>
            </w:pPr>
            <w:r w:rsidRPr="00806508">
              <w:rPr>
                <w:rFonts w:asciiTheme="minorHAnsi" w:hAnsiTheme="minorHAnsi"/>
              </w:rPr>
              <w:t>A FEED study based on a</w:t>
            </w:r>
            <w:r w:rsidR="00FD632E">
              <w:rPr>
                <w:rFonts w:asciiTheme="minorHAnsi" w:hAnsiTheme="minorHAnsi"/>
              </w:rPr>
              <w:t>n</w:t>
            </w:r>
            <w:r w:rsidRPr="00806508">
              <w:rPr>
                <w:rFonts w:asciiTheme="minorHAnsi" w:hAnsiTheme="minorHAnsi"/>
              </w:rPr>
              <w:t xml:space="preserve"> AACE Class 3 cost estimate is unnecessary level of detail for a PER; DOE should consider a broader view of documentation to demonstrate maturity without specific reference to a defined AACE cost estimate class</w:t>
            </w:r>
          </w:p>
        </w:tc>
        <w:tc>
          <w:tcPr>
            <w:tcW w:w="3104" w:type="dxa"/>
          </w:tcPr>
          <w:p w:rsidR="00682555" w:rsidP="00FD632E" w14:paraId="71051234" w14:textId="11E8CE6A">
            <w:pPr>
              <w:rPr>
                <w:rFonts w:asciiTheme="minorHAnsi" w:hAnsiTheme="minorHAnsi"/>
              </w:rPr>
            </w:pPr>
            <w:r w:rsidRPr="005567FE">
              <w:rPr>
                <w:rFonts w:asciiTheme="minorHAnsi" w:hAnsiTheme="minorHAnsi"/>
              </w:rPr>
              <w:t xml:space="preserve">While a FEED study is a cost estimate, it provides a sufficiently detailed engineering basis to identify and quantify the energy and material inputs and outputs of the production of a transportation fuel for a specified feedstock and pathway. The Class 3 FEED study identifies production equipment and processes including equipment and processes associated with receiving and pre-treatment of feedstock, conversion, upgrading and refining, utility systems, and ancillary systems.  </w:t>
            </w:r>
          </w:p>
          <w:p w:rsidR="005567FE" w:rsidP="00FD632E" w14:paraId="53E8DBD9" w14:textId="77777777">
            <w:pPr>
              <w:rPr>
                <w:rFonts w:asciiTheme="minorHAnsi" w:hAnsiTheme="minorHAnsi"/>
              </w:rPr>
            </w:pPr>
          </w:p>
          <w:p w:rsidR="00FD632E" w:rsidRPr="00FD632E" w:rsidP="00FD632E" w14:paraId="5B35D55E" w14:textId="1F6AB857">
            <w:pPr>
              <w:rPr>
                <w:rFonts w:asciiTheme="minorHAnsi" w:hAnsiTheme="minorHAnsi"/>
              </w:rPr>
            </w:pPr>
            <w:r>
              <w:rPr>
                <w:rFonts w:asciiTheme="minorHAnsi" w:hAnsiTheme="minorHAnsi"/>
              </w:rPr>
              <w:t>Additionally, t</w:t>
            </w:r>
            <w:r>
              <w:rPr>
                <w:rFonts w:asciiTheme="minorHAnsi" w:hAnsiTheme="minorHAnsi"/>
              </w:rPr>
              <w:t xml:space="preserve">he clean fuel production credit is for any taxable year in which qualified production and sales occur.  </w:t>
            </w:r>
            <w:r w:rsidRPr="00FD632E">
              <w:rPr>
                <w:rFonts w:asciiTheme="minorHAnsi" w:hAnsiTheme="minorHAnsi"/>
              </w:rPr>
              <w:t>Class 3 FEED stud</w:t>
            </w:r>
            <w:r>
              <w:rPr>
                <w:rFonts w:asciiTheme="minorHAnsi" w:hAnsiTheme="minorHAnsi"/>
              </w:rPr>
              <w:t>y</w:t>
            </w:r>
            <w:r w:rsidRPr="00FD632E">
              <w:rPr>
                <w:rFonts w:asciiTheme="minorHAnsi" w:hAnsiTheme="minorHAnsi"/>
              </w:rPr>
              <w:t xml:space="preserve"> </w:t>
            </w:r>
            <w:r w:rsidRPr="00FD632E">
              <w:rPr>
                <w:rFonts w:asciiTheme="minorHAnsi" w:hAnsiTheme="minorHAnsi"/>
              </w:rPr>
              <w:t>reflect</w:t>
            </w:r>
            <w:r w:rsidRPr="00FD632E">
              <w:rPr>
                <w:rFonts w:asciiTheme="minorHAnsi" w:hAnsiTheme="minorHAnsi"/>
              </w:rPr>
              <w:t xml:space="preserve"> more mature projects making them more likely to be robust and therefore likely to facilitate faster reviews</w:t>
            </w:r>
            <w:r>
              <w:rPr>
                <w:rFonts w:asciiTheme="minorHAnsi" w:hAnsiTheme="minorHAnsi"/>
              </w:rPr>
              <w:t xml:space="preserve"> and a better indicator of actual production</w:t>
            </w:r>
            <w:r w:rsidRPr="00FD632E">
              <w:rPr>
                <w:rFonts w:asciiTheme="minorHAnsi" w:hAnsiTheme="minorHAnsi"/>
              </w:rPr>
              <w:t>. Class 3 FEED studies can be conducted sooner in a project and are generally less detailed or time-consuming than a Class 1 or 2 FEED study</w:t>
            </w:r>
            <w:r>
              <w:rPr>
                <w:rFonts w:asciiTheme="minorHAnsi" w:hAnsiTheme="minorHAnsi"/>
              </w:rPr>
              <w:t xml:space="preserve">.  </w:t>
            </w:r>
            <w:r w:rsidRPr="00FD632E">
              <w:rPr>
                <w:rFonts w:asciiTheme="minorHAnsi" w:hAnsiTheme="minorHAnsi"/>
              </w:rPr>
              <w:t xml:space="preserve">Further, Class 3 FEED studies are likely </w:t>
            </w:r>
            <w:r w:rsidRPr="00FD632E">
              <w:rPr>
                <w:rFonts w:asciiTheme="minorHAnsi" w:hAnsiTheme="minorHAnsi"/>
              </w:rPr>
              <w:t xml:space="preserve">to be conducted by </w:t>
            </w:r>
            <w:r w:rsidRPr="00FD632E">
              <w:rPr>
                <w:rFonts w:asciiTheme="minorHAnsi" w:hAnsiTheme="minorHAnsi"/>
              </w:rPr>
              <w:t>a</w:t>
            </w:r>
            <w:r>
              <w:rPr>
                <w:rFonts w:asciiTheme="minorHAnsi" w:hAnsiTheme="minorHAnsi"/>
              </w:rPr>
              <w:t xml:space="preserve"> </w:t>
            </w:r>
            <w:r w:rsidRPr="00FD632E">
              <w:rPr>
                <w:rFonts w:asciiTheme="minorHAnsi" w:hAnsiTheme="minorHAnsi"/>
              </w:rPr>
              <w:t>majority of</w:t>
            </w:r>
            <w:r w:rsidRPr="00FD632E">
              <w:rPr>
                <w:rFonts w:asciiTheme="minorHAnsi" w:hAnsiTheme="minorHAnsi"/>
              </w:rPr>
              <w:t xml:space="preserve"> developers of </w:t>
            </w:r>
            <w:r>
              <w:rPr>
                <w:rFonts w:asciiTheme="minorHAnsi" w:hAnsiTheme="minorHAnsi"/>
              </w:rPr>
              <w:t>transportation fuels</w:t>
            </w:r>
            <w:r w:rsidRPr="00FD632E">
              <w:rPr>
                <w:rFonts w:asciiTheme="minorHAnsi" w:hAnsiTheme="minorHAnsi"/>
              </w:rPr>
              <w:t xml:space="preserve"> facilities across pathways, given how complex and capital intensive these facilities are. </w:t>
            </w:r>
          </w:p>
          <w:p w:rsidR="00FD632E" w:rsidRPr="00FD632E" w:rsidP="00FD632E" w14:paraId="3B47587B" w14:textId="77777777">
            <w:pPr>
              <w:rPr>
                <w:rFonts w:asciiTheme="minorHAnsi" w:hAnsiTheme="minorHAnsi"/>
              </w:rPr>
            </w:pPr>
          </w:p>
          <w:p w:rsidR="002F267E" w:rsidRPr="00806508" w:rsidP="00FD632E" w14:paraId="40258A29" w14:textId="0FE0C1D7">
            <w:pPr>
              <w:rPr>
                <w:rFonts w:asciiTheme="minorHAnsi" w:hAnsiTheme="minorHAnsi"/>
              </w:rPr>
            </w:pPr>
          </w:p>
        </w:tc>
      </w:tr>
      <w:tr w14:paraId="0D082648" w14:textId="77777777" w:rsidTr="00FD632E">
        <w:tblPrEx>
          <w:tblW w:w="0" w:type="auto"/>
          <w:tblLook w:val="04A0"/>
        </w:tblPrEx>
        <w:tc>
          <w:tcPr>
            <w:tcW w:w="3114" w:type="dxa"/>
          </w:tcPr>
          <w:p w:rsidR="002F267E" w:rsidRPr="00806508" w:rsidP="004744D9" w14:paraId="4CF93FA6" w14:textId="77777777">
            <w:pPr>
              <w:rPr>
                <w:rFonts w:asciiTheme="minorHAnsi" w:hAnsiTheme="minorHAnsi"/>
              </w:rPr>
            </w:pPr>
            <w:r w:rsidRPr="00806508">
              <w:rPr>
                <w:rFonts w:asciiTheme="minorHAnsi" w:hAnsiTheme="minorHAnsi"/>
              </w:rPr>
              <w:t>Innovative Oilseed Crop Alliance (IOCA)</w:t>
            </w:r>
          </w:p>
        </w:tc>
        <w:tc>
          <w:tcPr>
            <w:tcW w:w="3132" w:type="dxa"/>
          </w:tcPr>
          <w:p w:rsidR="002F267E" w:rsidRPr="00806508" w:rsidP="004744D9" w14:paraId="110BABFC" w14:textId="77777777">
            <w:pPr>
              <w:rPr>
                <w:rFonts w:asciiTheme="minorHAnsi" w:hAnsiTheme="minorHAnsi"/>
              </w:rPr>
            </w:pPr>
            <w:r w:rsidRPr="00806508">
              <w:rPr>
                <w:rFonts w:asciiTheme="minorHAnsi" w:hAnsiTheme="minorHAnsi"/>
              </w:rPr>
              <w:t>DOE should accept pre-FEED and feasibility study level data to provide boundary conditions; conduct regular reviews annually of pending and approved PER pathways for inclusion in underlying model in future updates</w:t>
            </w:r>
          </w:p>
        </w:tc>
        <w:tc>
          <w:tcPr>
            <w:tcW w:w="3104" w:type="dxa"/>
          </w:tcPr>
          <w:p w:rsidR="00FD632E" w:rsidRPr="00FD632E" w:rsidP="00FD632E" w14:paraId="18594EA8" w14:textId="4363EDCA">
            <w:pPr>
              <w:rPr>
                <w:rFonts w:asciiTheme="minorHAnsi" w:hAnsiTheme="minorHAnsi"/>
              </w:rPr>
            </w:pPr>
            <w:r w:rsidRPr="00FD632E">
              <w:rPr>
                <w:rFonts w:asciiTheme="minorHAnsi" w:hAnsiTheme="minorHAnsi"/>
              </w:rPr>
              <w:t xml:space="preserve">The clean fuel production credit is for any taxable year in which qualified production and sales occur.  Class 3 FEED studies reflect more mature projects making them more likely to be robust and therefore likely to facilitate faster reviews and a better indicator of actual production. Class 3 FEED studies can be conducted sooner in a project and are generally less detailed or time-consuming than a Class 1 or 2 FEED study.  Further, Class 3 FEED studies are likely to be conducted by </w:t>
            </w:r>
            <w:r w:rsidRPr="00FD632E">
              <w:rPr>
                <w:rFonts w:asciiTheme="minorHAnsi" w:hAnsiTheme="minorHAnsi"/>
              </w:rPr>
              <w:t>a majority of</w:t>
            </w:r>
            <w:r w:rsidRPr="00FD632E">
              <w:rPr>
                <w:rFonts w:asciiTheme="minorHAnsi" w:hAnsiTheme="minorHAnsi"/>
              </w:rPr>
              <w:t xml:space="preserve"> developers of transportation fuels facilities across pathways, given how complex and capital intensive these facilities are. </w:t>
            </w:r>
          </w:p>
          <w:p w:rsidR="002F267E" w:rsidRPr="00806508" w:rsidP="004744D9" w14:paraId="07D18C83" w14:textId="77777777">
            <w:pPr>
              <w:rPr>
                <w:rFonts w:asciiTheme="minorHAnsi" w:hAnsiTheme="minorHAnsi"/>
              </w:rPr>
            </w:pPr>
          </w:p>
        </w:tc>
      </w:tr>
      <w:tr w14:paraId="17E90F72" w14:textId="77777777" w:rsidTr="00FD632E">
        <w:tblPrEx>
          <w:tblW w:w="0" w:type="auto"/>
          <w:tblLook w:val="04A0"/>
        </w:tblPrEx>
        <w:tc>
          <w:tcPr>
            <w:tcW w:w="3114" w:type="dxa"/>
          </w:tcPr>
          <w:p w:rsidR="002F267E" w:rsidRPr="00806508" w:rsidP="004744D9" w14:paraId="0CB13D79" w14:textId="77777777">
            <w:pPr>
              <w:rPr>
                <w:rFonts w:asciiTheme="minorHAnsi" w:hAnsiTheme="minorHAnsi"/>
              </w:rPr>
            </w:pPr>
            <w:r w:rsidRPr="00806508">
              <w:rPr>
                <w:rFonts w:asciiTheme="minorHAnsi" w:hAnsiTheme="minorHAnsi"/>
              </w:rPr>
              <w:t xml:space="preserve">RNG Coalition </w:t>
            </w:r>
          </w:p>
        </w:tc>
        <w:tc>
          <w:tcPr>
            <w:tcW w:w="3132" w:type="dxa"/>
          </w:tcPr>
          <w:p w:rsidR="002F267E" w:rsidRPr="00806508" w:rsidP="004744D9" w14:paraId="06900FF8" w14:textId="77777777">
            <w:pPr>
              <w:rPr>
                <w:rFonts w:asciiTheme="minorHAnsi" w:hAnsiTheme="minorHAnsi"/>
              </w:rPr>
            </w:pPr>
            <w:r w:rsidRPr="00806508">
              <w:rPr>
                <w:rFonts w:asciiTheme="minorHAnsi" w:hAnsiTheme="minorHAnsi"/>
              </w:rPr>
              <w:t xml:space="preserve">Allow application during feasibility and pre-FEED period - to allow entity to know if a PER can be obtained before it fully builds a project (issue arises with 45Q as well); PER process should provide </w:t>
            </w:r>
            <w:r w:rsidRPr="00806508">
              <w:rPr>
                <w:rFonts w:asciiTheme="minorHAnsi" w:hAnsiTheme="minorHAnsi"/>
              </w:rPr>
              <w:t>taxpayers</w:t>
            </w:r>
            <w:r w:rsidRPr="00806508">
              <w:rPr>
                <w:rFonts w:asciiTheme="minorHAnsi" w:hAnsiTheme="minorHAnsi"/>
              </w:rPr>
              <w:t xml:space="preserve"> a feasibility check; see CA LCFS </w:t>
            </w:r>
            <w:r w:rsidRPr="00806508">
              <w:rPr>
                <w:rFonts w:asciiTheme="minorHAnsi" w:hAnsiTheme="minorHAnsi"/>
              </w:rPr>
              <w:t>which allows provisional pathway evaluation calculation pre-FEED, with a third party validating this pathway</w:t>
            </w:r>
          </w:p>
        </w:tc>
        <w:tc>
          <w:tcPr>
            <w:tcW w:w="3104" w:type="dxa"/>
          </w:tcPr>
          <w:p w:rsidR="00FD632E" w:rsidRPr="00FD632E" w:rsidP="00FD632E" w14:paraId="120A2AF2" w14:textId="77777777">
            <w:pPr>
              <w:rPr>
                <w:rFonts w:asciiTheme="minorHAnsi" w:hAnsiTheme="minorHAnsi"/>
              </w:rPr>
            </w:pPr>
            <w:r w:rsidRPr="00FD632E">
              <w:rPr>
                <w:rFonts w:asciiTheme="minorHAnsi" w:hAnsiTheme="minorHAnsi"/>
              </w:rPr>
              <w:t xml:space="preserve">The clean fuel production credit is for any taxable year in which qualified production and sales occur.  Class 3 FEED studies reflect more mature projects making them more likely to be robust and therefore likely to facilitate faster reviews and a better </w:t>
            </w:r>
            <w:r w:rsidRPr="00FD632E">
              <w:rPr>
                <w:rFonts w:asciiTheme="minorHAnsi" w:hAnsiTheme="minorHAnsi"/>
              </w:rPr>
              <w:t xml:space="preserve">indicator of actual production. Class 3 FEED studies can be conducted sooner in a project and are generally less detailed or time-consuming than a Class 1 or 2 FEED study.  Further, Class 3 FEED studies are likely to be conducted by </w:t>
            </w:r>
            <w:r w:rsidRPr="00FD632E">
              <w:rPr>
                <w:rFonts w:asciiTheme="minorHAnsi" w:hAnsiTheme="minorHAnsi"/>
              </w:rPr>
              <w:t>a majority of</w:t>
            </w:r>
            <w:r w:rsidRPr="00FD632E">
              <w:rPr>
                <w:rFonts w:asciiTheme="minorHAnsi" w:hAnsiTheme="minorHAnsi"/>
              </w:rPr>
              <w:t xml:space="preserve"> developers of transportation fuels facilities across pathways, given how complex and capital intensive these facilities are. </w:t>
            </w:r>
          </w:p>
          <w:p w:rsidR="002F267E" w:rsidRPr="00806508" w:rsidP="004744D9" w14:paraId="5FC15BBB" w14:textId="77777777">
            <w:pPr>
              <w:rPr>
                <w:rFonts w:asciiTheme="minorHAnsi" w:hAnsiTheme="minorHAnsi"/>
              </w:rPr>
            </w:pPr>
          </w:p>
        </w:tc>
      </w:tr>
      <w:tr w14:paraId="733FB53A" w14:textId="77777777" w:rsidTr="00FD632E">
        <w:tblPrEx>
          <w:tblW w:w="0" w:type="auto"/>
          <w:tblLook w:val="04A0"/>
        </w:tblPrEx>
        <w:tc>
          <w:tcPr>
            <w:tcW w:w="3114" w:type="dxa"/>
          </w:tcPr>
          <w:p w:rsidR="002F267E" w:rsidRPr="00806508" w:rsidP="004744D9" w14:paraId="63023B37" w14:textId="77777777">
            <w:pPr>
              <w:rPr>
                <w:rFonts w:asciiTheme="minorHAnsi" w:hAnsiTheme="minorHAnsi"/>
              </w:rPr>
            </w:pPr>
            <w:r w:rsidRPr="00806508">
              <w:rPr>
                <w:rFonts w:asciiTheme="minorHAnsi" w:hAnsiTheme="minorHAnsi"/>
              </w:rPr>
              <w:t xml:space="preserve">air liquide </w:t>
            </w:r>
          </w:p>
        </w:tc>
        <w:tc>
          <w:tcPr>
            <w:tcW w:w="3132" w:type="dxa"/>
          </w:tcPr>
          <w:p w:rsidR="002F267E" w:rsidRPr="00806508" w:rsidP="004744D9" w14:paraId="67A68CA9" w14:textId="54A354C1">
            <w:pPr>
              <w:rPr>
                <w:rFonts w:asciiTheme="minorHAnsi" w:hAnsiTheme="minorHAnsi"/>
              </w:rPr>
            </w:pPr>
            <w:r w:rsidRPr="00806508">
              <w:rPr>
                <w:rFonts w:asciiTheme="minorHAnsi" w:hAnsiTheme="minorHAnsi"/>
                <w:color w:val="000000"/>
              </w:rPr>
              <w:t>DOE requirement for a PER after completion of FEED is unrealistic bc 45Z should not depend on a FEED study, expensive and producer</w:t>
            </w:r>
            <w:r w:rsidR="00746B69">
              <w:rPr>
                <w:rFonts w:asciiTheme="minorHAnsi" w:hAnsiTheme="minorHAnsi"/>
                <w:color w:val="000000"/>
              </w:rPr>
              <w:t>s</w:t>
            </w:r>
            <w:r w:rsidRPr="00806508">
              <w:rPr>
                <w:rFonts w:asciiTheme="minorHAnsi" w:hAnsiTheme="minorHAnsi"/>
                <w:color w:val="000000"/>
              </w:rPr>
              <w:t xml:space="preserve"> need to understand whether qualify before making investment decision, instead confirm a PER is available and can be determined based on assumptions re: feedstock and production; replace with a Front End Loading-1 study and initial feedstock evaluation; esp. if pathway already an approved EPA pathway; allow other GREET models to be used</w:t>
            </w:r>
          </w:p>
        </w:tc>
        <w:tc>
          <w:tcPr>
            <w:tcW w:w="3104" w:type="dxa"/>
          </w:tcPr>
          <w:p w:rsidR="00FD632E" w:rsidRPr="00FD632E" w:rsidP="00FD632E" w14:paraId="3913B50F" w14:textId="77777777">
            <w:pPr>
              <w:rPr>
                <w:rFonts w:asciiTheme="minorHAnsi" w:hAnsiTheme="minorHAnsi"/>
              </w:rPr>
            </w:pPr>
            <w:r w:rsidRPr="00FD632E">
              <w:rPr>
                <w:rFonts w:asciiTheme="minorHAnsi" w:hAnsiTheme="minorHAnsi"/>
              </w:rPr>
              <w:t xml:space="preserve">The clean fuel production credit is for any taxable year in which qualified production and sales occur.  Class 3 FEED studies reflect more mature projects making them more likely to be robust and therefore likely to facilitate faster reviews and a better indicator of actual production. Class 3 FEED studies can be conducted sooner in a project and are generally less detailed or time-consuming than a Class 1 or 2 FEED study.  Further, Class 3 FEED studies are likely to be conducted by </w:t>
            </w:r>
            <w:r w:rsidRPr="00FD632E">
              <w:rPr>
                <w:rFonts w:asciiTheme="minorHAnsi" w:hAnsiTheme="minorHAnsi"/>
              </w:rPr>
              <w:t>a majority of</w:t>
            </w:r>
            <w:r w:rsidRPr="00FD632E">
              <w:rPr>
                <w:rFonts w:asciiTheme="minorHAnsi" w:hAnsiTheme="minorHAnsi"/>
              </w:rPr>
              <w:t xml:space="preserve"> developers of transportation fuels facilities across pathways, given how complex and capital intensive these facilities are. </w:t>
            </w:r>
          </w:p>
          <w:p w:rsidR="00FD632E" w:rsidRPr="00FD632E" w:rsidP="00FD632E" w14:paraId="4415D08C" w14:textId="77777777">
            <w:pPr>
              <w:rPr>
                <w:rFonts w:asciiTheme="minorHAnsi" w:hAnsiTheme="minorHAnsi"/>
              </w:rPr>
            </w:pPr>
          </w:p>
          <w:p w:rsidR="002F267E" w:rsidRPr="00806508" w:rsidP="004744D9" w14:paraId="7B6F2DDF" w14:textId="77777777">
            <w:pPr>
              <w:rPr>
                <w:rFonts w:asciiTheme="minorHAnsi" w:hAnsiTheme="minorHAnsi"/>
              </w:rPr>
            </w:pPr>
          </w:p>
        </w:tc>
      </w:tr>
      <w:tr w14:paraId="6DA2F8C3" w14:textId="77777777" w:rsidTr="00FD632E">
        <w:tblPrEx>
          <w:tblW w:w="0" w:type="auto"/>
          <w:tblLook w:val="04A0"/>
        </w:tblPrEx>
        <w:tc>
          <w:tcPr>
            <w:tcW w:w="3114" w:type="dxa"/>
          </w:tcPr>
          <w:p w:rsidR="002F267E" w:rsidRPr="00806508" w:rsidP="004744D9" w14:paraId="6E185D97" w14:textId="77777777">
            <w:pPr>
              <w:rPr>
                <w:rFonts w:asciiTheme="minorHAnsi" w:hAnsiTheme="minorHAnsi"/>
              </w:rPr>
            </w:pPr>
            <w:r w:rsidRPr="00806508">
              <w:rPr>
                <w:rFonts w:asciiTheme="minorHAnsi" w:hAnsiTheme="minorHAnsi"/>
              </w:rPr>
              <w:t xml:space="preserve">New Phase Energy </w:t>
            </w:r>
          </w:p>
        </w:tc>
        <w:tc>
          <w:tcPr>
            <w:tcW w:w="3132" w:type="dxa"/>
          </w:tcPr>
          <w:p w:rsidR="002F267E" w:rsidRPr="00806508" w:rsidP="004744D9" w14:paraId="37CB5CDF" w14:textId="77777777">
            <w:pPr>
              <w:rPr>
                <w:rFonts w:asciiTheme="minorHAnsi" w:hAnsiTheme="minorHAnsi"/>
              </w:rPr>
            </w:pPr>
            <w:r w:rsidRPr="00806508">
              <w:rPr>
                <w:rFonts w:asciiTheme="minorHAnsi" w:hAnsiTheme="minorHAnsi"/>
              </w:rPr>
              <w:t xml:space="preserve">For operating facilities a FEED </w:t>
            </w:r>
            <w:r w:rsidRPr="00806508">
              <w:rPr>
                <w:rFonts w:asciiTheme="minorHAnsi" w:hAnsiTheme="minorHAnsi"/>
              </w:rPr>
              <w:t xml:space="preserve">study is not as good as historic and current facility operational data; collection of equipment and feed cost data as part of FEED study is wholly unnecessary, such info is irrelevant for a production tax credit (it is not an investment tax credit);  collection of necessary info should be specific to the current GREET Model unaddressed feedstock and or process, accounting </w:t>
            </w:r>
          </w:p>
        </w:tc>
        <w:tc>
          <w:tcPr>
            <w:tcW w:w="3104" w:type="dxa"/>
          </w:tcPr>
          <w:p w:rsidR="003402AD" w:rsidP="003402AD" w14:paraId="7100D71C" w14:textId="77777777">
            <w:pPr>
              <w:rPr>
                <w:rFonts w:asciiTheme="minorHAnsi" w:hAnsiTheme="minorHAnsi"/>
              </w:rPr>
            </w:pPr>
            <w:r w:rsidRPr="005567FE">
              <w:rPr>
                <w:rFonts w:asciiTheme="minorHAnsi" w:hAnsiTheme="minorHAnsi"/>
              </w:rPr>
              <w:t xml:space="preserve">While a FEED study is a cost </w:t>
            </w:r>
            <w:r w:rsidRPr="005567FE">
              <w:rPr>
                <w:rFonts w:asciiTheme="minorHAnsi" w:hAnsiTheme="minorHAnsi"/>
              </w:rPr>
              <w:t xml:space="preserve">estimate, it provides a sufficiently detailed engineering basis to identify and quantify the energy and material inputs and outputs of the production of a transportation fuel for a specified feedstock and pathway. The Class 3 FEED study identifies production equipment and processes including equipment and processes associated with receiving and pre-treatment of feedstock, conversion, upgrading and refining, utility systems, and ancillary systems.  </w:t>
            </w:r>
          </w:p>
          <w:p w:rsidR="003402AD" w:rsidP="003402AD" w14:paraId="48494A14" w14:textId="77777777">
            <w:pPr>
              <w:rPr>
                <w:rFonts w:asciiTheme="minorHAnsi" w:hAnsiTheme="minorHAnsi"/>
              </w:rPr>
            </w:pPr>
          </w:p>
          <w:p w:rsidR="003402AD" w:rsidRPr="00FD632E" w:rsidP="003402AD" w14:paraId="3EABB350" w14:textId="77777777">
            <w:pPr>
              <w:rPr>
                <w:rFonts w:asciiTheme="minorHAnsi" w:hAnsiTheme="minorHAnsi"/>
              </w:rPr>
            </w:pPr>
            <w:r>
              <w:rPr>
                <w:rFonts w:asciiTheme="minorHAnsi" w:hAnsiTheme="minorHAnsi"/>
              </w:rPr>
              <w:t xml:space="preserve">Additionally, the clean fuel production credit is for any taxable year in which qualified production and sales occur.  </w:t>
            </w:r>
            <w:r w:rsidRPr="00FD632E">
              <w:rPr>
                <w:rFonts w:asciiTheme="minorHAnsi" w:hAnsiTheme="minorHAnsi"/>
              </w:rPr>
              <w:t>Class 3 FEED stud</w:t>
            </w:r>
            <w:r>
              <w:rPr>
                <w:rFonts w:asciiTheme="minorHAnsi" w:hAnsiTheme="minorHAnsi"/>
              </w:rPr>
              <w:t>y</w:t>
            </w:r>
            <w:r w:rsidRPr="00FD632E">
              <w:rPr>
                <w:rFonts w:asciiTheme="minorHAnsi" w:hAnsiTheme="minorHAnsi"/>
              </w:rPr>
              <w:t xml:space="preserve"> </w:t>
            </w:r>
            <w:r w:rsidRPr="00FD632E">
              <w:rPr>
                <w:rFonts w:asciiTheme="minorHAnsi" w:hAnsiTheme="minorHAnsi"/>
              </w:rPr>
              <w:t>reflect</w:t>
            </w:r>
            <w:r w:rsidRPr="00FD632E">
              <w:rPr>
                <w:rFonts w:asciiTheme="minorHAnsi" w:hAnsiTheme="minorHAnsi"/>
              </w:rPr>
              <w:t xml:space="preserve"> more mature projects making them more likely to be robust and therefore likely to facilitate faster reviews</w:t>
            </w:r>
            <w:r>
              <w:rPr>
                <w:rFonts w:asciiTheme="minorHAnsi" w:hAnsiTheme="minorHAnsi"/>
              </w:rPr>
              <w:t xml:space="preserve"> and a better indicator of actual production</w:t>
            </w:r>
            <w:r w:rsidRPr="00FD632E">
              <w:rPr>
                <w:rFonts w:asciiTheme="minorHAnsi" w:hAnsiTheme="minorHAnsi"/>
              </w:rPr>
              <w:t>. Class 3 FEED studies can be conducted sooner in a project and are generally less detailed or time-consuming than a Class 1 or 2 FEED study</w:t>
            </w:r>
            <w:r>
              <w:rPr>
                <w:rFonts w:asciiTheme="minorHAnsi" w:hAnsiTheme="minorHAnsi"/>
              </w:rPr>
              <w:t xml:space="preserve">.  </w:t>
            </w:r>
            <w:r w:rsidRPr="00FD632E">
              <w:rPr>
                <w:rFonts w:asciiTheme="minorHAnsi" w:hAnsiTheme="minorHAnsi"/>
              </w:rPr>
              <w:t xml:space="preserve">Further, Class 3 FEED studies are likely to be conducted by </w:t>
            </w:r>
            <w:r w:rsidRPr="00FD632E">
              <w:rPr>
                <w:rFonts w:asciiTheme="minorHAnsi" w:hAnsiTheme="minorHAnsi"/>
              </w:rPr>
              <w:t>a</w:t>
            </w:r>
            <w:r>
              <w:rPr>
                <w:rFonts w:asciiTheme="minorHAnsi" w:hAnsiTheme="minorHAnsi"/>
              </w:rPr>
              <w:t xml:space="preserve"> </w:t>
            </w:r>
            <w:r w:rsidRPr="00FD632E">
              <w:rPr>
                <w:rFonts w:asciiTheme="minorHAnsi" w:hAnsiTheme="minorHAnsi"/>
              </w:rPr>
              <w:t>majority of</w:t>
            </w:r>
            <w:r w:rsidRPr="00FD632E">
              <w:rPr>
                <w:rFonts w:asciiTheme="minorHAnsi" w:hAnsiTheme="minorHAnsi"/>
              </w:rPr>
              <w:t xml:space="preserve"> developers of </w:t>
            </w:r>
            <w:r>
              <w:rPr>
                <w:rFonts w:asciiTheme="minorHAnsi" w:hAnsiTheme="minorHAnsi"/>
              </w:rPr>
              <w:t>transportation fuels</w:t>
            </w:r>
            <w:r w:rsidRPr="00FD632E">
              <w:rPr>
                <w:rFonts w:asciiTheme="minorHAnsi" w:hAnsiTheme="minorHAnsi"/>
              </w:rPr>
              <w:t xml:space="preserve"> facilities across pathways, given how </w:t>
            </w:r>
            <w:r w:rsidRPr="00FD632E">
              <w:rPr>
                <w:rFonts w:asciiTheme="minorHAnsi" w:hAnsiTheme="minorHAnsi"/>
              </w:rPr>
              <w:t xml:space="preserve">complex and capital intensive these facilities are. </w:t>
            </w:r>
          </w:p>
          <w:p w:rsidR="002F267E" w:rsidRPr="00806508" w:rsidP="004744D9" w14:paraId="0FB6A9F6" w14:textId="77777777">
            <w:pPr>
              <w:rPr>
                <w:rFonts w:asciiTheme="minorHAnsi" w:hAnsiTheme="minorHAnsi"/>
              </w:rPr>
            </w:pPr>
          </w:p>
        </w:tc>
      </w:tr>
      <w:tr w14:paraId="0B102554" w14:textId="77777777" w:rsidTr="00FD632E">
        <w:tblPrEx>
          <w:tblW w:w="0" w:type="auto"/>
          <w:tblLook w:val="04A0"/>
        </w:tblPrEx>
        <w:tc>
          <w:tcPr>
            <w:tcW w:w="3114" w:type="dxa"/>
          </w:tcPr>
          <w:p w:rsidR="002F267E" w:rsidRPr="00806508" w:rsidP="004744D9" w14:paraId="202E4C19" w14:textId="77777777">
            <w:pPr>
              <w:rPr>
                <w:rFonts w:asciiTheme="minorHAnsi" w:hAnsiTheme="minorHAnsi"/>
              </w:rPr>
            </w:pPr>
            <w:r w:rsidRPr="00806508">
              <w:rPr>
                <w:rFonts w:asciiTheme="minorHAnsi" w:hAnsiTheme="minorHAnsi"/>
              </w:rPr>
              <w:t>Advanced Biofuels Assn</w:t>
            </w:r>
          </w:p>
        </w:tc>
        <w:tc>
          <w:tcPr>
            <w:tcW w:w="3132" w:type="dxa"/>
          </w:tcPr>
          <w:p w:rsidR="002F267E" w:rsidRPr="00806508" w:rsidP="004744D9" w14:paraId="2B2A2D48" w14:textId="77777777">
            <w:pPr>
              <w:rPr>
                <w:rFonts w:asciiTheme="minorHAnsi" w:hAnsiTheme="minorHAnsi"/>
              </w:rPr>
            </w:pPr>
            <w:r w:rsidRPr="00806508">
              <w:rPr>
                <w:rFonts w:asciiTheme="minorHAnsi" w:hAnsiTheme="minorHAnsi"/>
              </w:rPr>
              <w:t xml:space="preserve">FEED study is </w:t>
            </w:r>
            <w:r w:rsidRPr="00806508">
              <w:rPr>
                <w:rFonts w:asciiTheme="minorHAnsi" w:hAnsiTheme="minorHAnsi"/>
              </w:rPr>
              <w:t>unnecessary</w:t>
            </w:r>
            <w:r w:rsidRPr="00806508">
              <w:rPr>
                <w:rFonts w:asciiTheme="minorHAnsi" w:hAnsiTheme="minorHAnsi"/>
              </w:rPr>
              <w:t xml:space="preserve"> level of detail </w:t>
            </w:r>
            <w:r w:rsidRPr="00806508">
              <w:rPr>
                <w:rFonts w:asciiTheme="minorHAnsi" w:hAnsiTheme="minorHAnsi"/>
              </w:rPr>
              <w:t>for  PER, take</w:t>
            </w:r>
            <w:r w:rsidRPr="00806508">
              <w:rPr>
                <w:rFonts w:asciiTheme="minorHAnsi" w:hAnsiTheme="minorHAnsi"/>
              </w:rPr>
              <w:t xml:space="preserve"> a broader view of documentation to demonstrate maturity</w:t>
            </w:r>
          </w:p>
        </w:tc>
        <w:tc>
          <w:tcPr>
            <w:tcW w:w="3104" w:type="dxa"/>
          </w:tcPr>
          <w:p w:rsidR="00FD632E" w:rsidRPr="00FD632E" w:rsidP="00FD632E" w14:paraId="26298F8C" w14:textId="77777777">
            <w:pPr>
              <w:rPr>
                <w:rFonts w:asciiTheme="minorHAnsi" w:hAnsiTheme="minorHAnsi"/>
              </w:rPr>
            </w:pPr>
            <w:r w:rsidRPr="00FD632E">
              <w:rPr>
                <w:rFonts w:asciiTheme="minorHAnsi" w:hAnsiTheme="minorHAnsi"/>
              </w:rPr>
              <w:t xml:space="preserve">The clean fuel production credit is for any taxable year in which qualified production and sales occur.  Class 3 FEED studies reflect more mature projects making them more likely to be robust and therefore likely to facilitate faster reviews and a better indicator of actual production. Class 3 FEED studies can be conducted sooner in a project and are generally less detailed or time-consuming than a Class 1 or 2 FEED study.  Further, Class 3 FEED studies are likely to be conducted by </w:t>
            </w:r>
            <w:r w:rsidRPr="00FD632E">
              <w:rPr>
                <w:rFonts w:asciiTheme="minorHAnsi" w:hAnsiTheme="minorHAnsi"/>
              </w:rPr>
              <w:t>a majority of</w:t>
            </w:r>
            <w:r w:rsidRPr="00FD632E">
              <w:rPr>
                <w:rFonts w:asciiTheme="minorHAnsi" w:hAnsiTheme="minorHAnsi"/>
              </w:rPr>
              <w:t xml:space="preserve"> developers of transportation fuels facilities across pathways, given how complex and capital intensive these facilities are. </w:t>
            </w:r>
          </w:p>
          <w:p w:rsidR="002F267E" w:rsidRPr="00806508" w:rsidP="004744D9" w14:paraId="0C17E09A" w14:textId="77777777">
            <w:pPr>
              <w:rPr>
                <w:rFonts w:asciiTheme="minorHAnsi" w:hAnsiTheme="minorHAnsi"/>
              </w:rPr>
            </w:pPr>
          </w:p>
        </w:tc>
      </w:tr>
      <w:tr w14:paraId="3249638A" w14:textId="77777777" w:rsidTr="00FD632E">
        <w:tblPrEx>
          <w:tblW w:w="0" w:type="auto"/>
          <w:tblLook w:val="04A0"/>
        </w:tblPrEx>
        <w:tc>
          <w:tcPr>
            <w:tcW w:w="3114" w:type="dxa"/>
          </w:tcPr>
          <w:p w:rsidR="002F267E" w:rsidRPr="00806508" w:rsidP="004744D9" w14:paraId="0574AF88" w14:textId="77777777">
            <w:pPr>
              <w:rPr>
                <w:rFonts w:asciiTheme="minorHAnsi" w:hAnsiTheme="minorHAnsi"/>
              </w:rPr>
            </w:pPr>
            <w:r w:rsidRPr="00806508">
              <w:rPr>
                <w:rFonts w:asciiTheme="minorHAnsi" w:hAnsiTheme="minorHAnsi"/>
              </w:rPr>
              <w:t>air liquide</w:t>
            </w:r>
          </w:p>
        </w:tc>
        <w:tc>
          <w:tcPr>
            <w:tcW w:w="3132" w:type="dxa"/>
          </w:tcPr>
          <w:p w:rsidR="002F267E" w:rsidRPr="00806508" w:rsidP="004744D9" w14:paraId="687EA7BB" w14:textId="31AA7081">
            <w:pPr>
              <w:rPr>
                <w:rFonts w:asciiTheme="minorHAnsi" w:hAnsiTheme="minorHAnsi"/>
              </w:rPr>
            </w:pPr>
            <w:r>
              <w:rPr>
                <w:rFonts w:asciiTheme="minorHAnsi" w:hAnsiTheme="minorHAnsi"/>
              </w:rPr>
              <w:t>R</w:t>
            </w:r>
            <w:r w:rsidRPr="00806508">
              <w:rPr>
                <w:rFonts w:asciiTheme="minorHAnsi" w:hAnsiTheme="minorHAnsi"/>
              </w:rPr>
              <w:t xml:space="preserve">eview what is </w:t>
            </w:r>
            <w:r w:rsidRPr="00806508">
              <w:rPr>
                <w:rFonts w:asciiTheme="minorHAnsi" w:hAnsiTheme="minorHAnsi"/>
              </w:rPr>
              <w:t>being required</w:t>
            </w:r>
            <w:r w:rsidRPr="00806508">
              <w:rPr>
                <w:rFonts w:asciiTheme="minorHAnsi" w:hAnsiTheme="minorHAnsi"/>
              </w:rPr>
              <w:t xml:space="preserve"> to be submitted, to eliminate anything not needed, to reduce administrative burden</w:t>
            </w:r>
          </w:p>
        </w:tc>
        <w:tc>
          <w:tcPr>
            <w:tcW w:w="3104" w:type="dxa"/>
          </w:tcPr>
          <w:p w:rsidR="002F267E" w:rsidRPr="00806508" w:rsidP="004744D9" w14:paraId="5DF59B08" w14:textId="4AF84ACC">
            <w:pPr>
              <w:rPr>
                <w:rFonts w:asciiTheme="minorHAnsi" w:hAnsiTheme="minorHAnsi"/>
              </w:rPr>
            </w:pPr>
            <w:r>
              <w:rPr>
                <w:rFonts w:asciiTheme="minorHAnsi" w:hAnsiTheme="minorHAnsi"/>
              </w:rPr>
              <w:t xml:space="preserve">DOE has reviewed the </w:t>
            </w:r>
            <w:r w:rsidR="00841B5D">
              <w:rPr>
                <w:rFonts w:asciiTheme="minorHAnsi" w:hAnsiTheme="minorHAnsi"/>
              </w:rPr>
              <w:t xml:space="preserve">information request </w:t>
            </w:r>
            <w:r>
              <w:rPr>
                <w:rFonts w:asciiTheme="minorHAnsi" w:hAnsiTheme="minorHAnsi"/>
              </w:rPr>
              <w:t xml:space="preserve">and has determined it </w:t>
            </w:r>
            <w:r w:rsidR="00841B5D">
              <w:rPr>
                <w:rFonts w:asciiTheme="minorHAnsi" w:hAnsiTheme="minorHAnsi"/>
              </w:rPr>
              <w:t xml:space="preserve">commensurate with EV requests for other tax credits and </w:t>
            </w:r>
            <w:r>
              <w:rPr>
                <w:rFonts w:asciiTheme="minorHAnsi" w:hAnsiTheme="minorHAnsi"/>
              </w:rPr>
              <w:t xml:space="preserve">is necessary to </w:t>
            </w:r>
            <w:r w:rsidR="00841B5D">
              <w:rPr>
                <w:rFonts w:asciiTheme="minorHAnsi" w:hAnsiTheme="minorHAnsi"/>
              </w:rPr>
              <w:t xml:space="preserve">determine an EV as required under IRS’s PER process.  </w:t>
            </w:r>
            <w:r>
              <w:rPr>
                <w:rFonts w:asciiTheme="minorHAnsi" w:hAnsiTheme="minorHAnsi"/>
              </w:rPr>
              <w:t xml:space="preserve"> </w:t>
            </w:r>
          </w:p>
        </w:tc>
      </w:tr>
      <w:tr w14:paraId="22D98D02" w14:textId="77777777" w:rsidTr="00FD632E">
        <w:tblPrEx>
          <w:tblW w:w="0" w:type="auto"/>
          <w:tblLook w:val="04A0"/>
        </w:tblPrEx>
        <w:tc>
          <w:tcPr>
            <w:tcW w:w="3114" w:type="dxa"/>
          </w:tcPr>
          <w:p w:rsidR="002F267E" w:rsidRPr="00806508" w:rsidP="004744D9" w14:paraId="447C729C" w14:textId="77777777">
            <w:pPr>
              <w:rPr>
                <w:rFonts w:asciiTheme="minorHAnsi" w:hAnsiTheme="minorHAnsi"/>
              </w:rPr>
            </w:pPr>
            <w:r w:rsidRPr="00806508">
              <w:rPr>
                <w:rFonts w:asciiTheme="minorHAnsi" w:hAnsiTheme="minorHAnsi"/>
              </w:rPr>
              <w:t xml:space="preserve">Oberon </w:t>
            </w:r>
          </w:p>
        </w:tc>
        <w:tc>
          <w:tcPr>
            <w:tcW w:w="3132" w:type="dxa"/>
          </w:tcPr>
          <w:p w:rsidR="002F267E" w:rsidRPr="00806508" w:rsidP="004744D9" w14:paraId="75459D77" w14:textId="77777777">
            <w:pPr>
              <w:rPr>
                <w:rFonts w:asciiTheme="minorHAnsi" w:hAnsiTheme="minorHAnsi"/>
              </w:rPr>
            </w:pPr>
            <w:r w:rsidRPr="00806508">
              <w:rPr>
                <w:rFonts w:asciiTheme="minorHAnsi" w:hAnsiTheme="minorHAnsi"/>
              </w:rPr>
              <w:t xml:space="preserve">Don't require FEED study to demonstrate project maturity; use permitting and regulatory milestones, contractual commitments, signed term sheets, executed </w:t>
            </w:r>
            <w:r w:rsidRPr="00806508">
              <w:rPr>
                <w:rFonts w:asciiTheme="minorHAnsi" w:hAnsiTheme="minorHAnsi"/>
              </w:rPr>
              <w:t>EPC contracts etc.; physical work test or construction safe harbor; independent engineering reports - all rather relying on a class 3 cost estimate as basis for FEED study</w:t>
            </w:r>
          </w:p>
        </w:tc>
        <w:tc>
          <w:tcPr>
            <w:tcW w:w="3104" w:type="dxa"/>
          </w:tcPr>
          <w:p w:rsidR="003402AD" w:rsidRPr="00FD632E" w:rsidP="003402AD" w14:paraId="0FDFDB66" w14:textId="77777777">
            <w:pPr>
              <w:rPr>
                <w:rFonts w:asciiTheme="minorHAnsi" w:hAnsiTheme="minorHAnsi"/>
              </w:rPr>
            </w:pPr>
            <w:r w:rsidRPr="00FD632E">
              <w:rPr>
                <w:rFonts w:asciiTheme="minorHAnsi" w:hAnsiTheme="minorHAnsi"/>
              </w:rPr>
              <w:t xml:space="preserve">The clean fuel production credit is for any taxable year in which qualified production and sales occur.  Class 3 FEED studies reflect more mature projects making them more </w:t>
            </w:r>
            <w:r w:rsidRPr="00FD632E">
              <w:rPr>
                <w:rFonts w:asciiTheme="minorHAnsi" w:hAnsiTheme="minorHAnsi"/>
              </w:rPr>
              <w:t xml:space="preserve">likely to be robust and therefore likely to facilitate faster reviews and a better indicator of actual production. Class 3 FEED studies can be conducted sooner in a project and are generally less detailed or time-consuming than a Class 1 or 2 FEED study.  Further, Class 3 FEED studies are likely to be conducted by </w:t>
            </w:r>
            <w:r w:rsidRPr="00FD632E">
              <w:rPr>
                <w:rFonts w:asciiTheme="minorHAnsi" w:hAnsiTheme="minorHAnsi"/>
              </w:rPr>
              <w:t>a majority of</w:t>
            </w:r>
            <w:r w:rsidRPr="00FD632E">
              <w:rPr>
                <w:rFonts w:asciiTheme="minorHAnsi" w:hAnsiTheme="minorHAnsi"/>
              </w:rPr>
              <w:t xml:space="preserve"> developers of transportation fuels facilities across pathways, given how complex and capital intensive these facilities are. </w:t>
            </w:r>
          </w:p>
          <w:p w:rsidR="002F267E" w:rsidRPr="00806508" w:rsidP="00295265" w14:paraId="0AB6D36C" w14:textId="30CBA759">
            <w:pPr>
              <w:rPr>
                <w:rFonts w:asciiTheme="minorHAnsi" w:hAnsiTheme="minorHAnsi"/>
              </w:rPr>
            </w:pPr>
          </w:p>
        </w:tc>
      </w:tr>
      <w:tr w14:paraId="5FBAFA85" w14:textId="77777777" w:rsidTr="00FD632E">
        <w:tblPrEx>
          <w:tblW w:w="0" w:type="auto"/>
          <w:tblLook w:val="04A0"/>
        </w:tblPrEx>
        <w:tc>
          <w:tcPr>
            <w:tcW w:w="3114" w:type="dxa"/>
          </w:tcPr>
          <w:p w:rsidR="002F267E" w:rsidRPr="00806508" w:rsidP="004744D9" w14:paraId="0F03571A" w14:textId="77777777">
            <w:pPr>
              <w:rPr>
                <w:rFonts w:asciiTheme="minorHAnsi" w:hAnsiTheme="minorHAnsi"/>
              </w:rPr>
            </w:pPr>
            <w:r w:rsidRPr="00806508">
              <w:rPr>
                <w:rFonts w:asciiTheme="minorHAnsi" w:hAnsiTheme="minorHAnsi"/>
              </w:rPr>
              <w:t xml:space="preserve">New Phase Energy </w:t>
            </w:r>
          </w:p>
        </w:tc>
        <w:tc>
          <w:tcPr>
            <w:tcW w:w="3132" w:type="dxa"/>
          </w:tcPr>
          <w:p w:rsidR="002F267E" w:rsidRPr="00806508" w:rsidP="004744D9" w14:paraId="0E313DF7" w14:textId="77777777">
            <w:pPr>
              <w:rPr>
                <w:rFonts w:asciiTheme="minorHAnsi" w:hAnsiTheme="minorHAnsi"/>
              </w:rPr>
            </w:pPr>
            <w:r w:rsidRPr="00806508">
              <w:rPr>
                <w:rFonts w:asciiTheme="minorHAnsi" w:hAnsiTheme="minorHAnsi"/>
              </w:rPr>
              <w:t>Define how plant information will be protected</w:t>
            </w:r>
          </w:p>
        </w:tc>
        <w:tc>
          <w:tcPr>
            <w:tcW w:w="3104" w:type="dxa"/>
          </w:tcPr>
          <w:p w:rsidR="002F267E" w:rsidRPr="00806508" w:rsidP="004744D9" w14:paraId="1222E514" w14:textId="28EBD341">
            <w:pPr>
              <w:rPr>
                <w:rFonts w:asciiTheme="minorHAnsi" w:hAnsiTheme="minorHAnsi"/>
              </w:rPr>
            </w:pPr>
            <w:r>
              <w:rPr>
                <w:rFonts w:asciiTheme="minorHAnsi" w:hAnsiTheme="minorHAnsi"/>
              </w:rPr>
              <w:t xml:space="preserve">EV requests will be submitted via a secure online platform.  DOE will provide instruction on marking information as confidential / business sensitive pursuant to FOIA regulations at 10 CFR part 1004.  Submissions will be handled in accordance with the Trade Secrets Act and the FOIA regulations.  </w:t>
            </w:r>
          </w:p>
        </w:tc>
      </w:tr>
      <w:tr w14:paraId="7F496EFC" w14:textId="77777777" w:rsidTr="00FD632E">
        <w:tblPrEx>
          <w:tblW w:w="0" w:type="auto"/>
          <w:tblLook w:val="04A0"/>
        </w:tblPrEx>
        <w:tc>
          <w:tcPr>
            <w:tcW w:w="3114" w:type="dxa"/>
          </w:tcPr>
          <w:p w:rsidR="002F267E" w:rsidRPr="00806508" w:rsidP="004744D9" w14:paraId="23299A62" w14:textId="77777777">
            <w:pPr>
              <w:rPr>
                <w:rFonts w:asciiTheme="minorHAnsi" w:hAnsiTheme="minorHAnsi"/>
              </w:rPr>
            </w:pPr>
            <w:r w:rsidRPr="00806508">
              <w:rPr>
                <w:rFonts w:asciiTheme="minorHAnsi" w:hAnsiTheme="minorHAnsi"/>
              </w:rPr>
              <w:t xml:space="preserve">RNG Coalition </w:t>
            </w:r>
          </w:p>
        </w:tc>
        <w:tc>
          <w:tcPr>
            <w:tcW w:w="3132" w:type="dxa"/>
          </w:tcPr>
          <w:p w:rsidR="002F267E" w:rsidRPr="00806508" w:rsidP="004744D9" w14:paraId="0E1461D2" w14:textId="77777777">
            <w:pPr>
              <w:rPr>
                <w:rFonts w:asciiTheme="minorHAnsi" w:hAnsiTheme="minorHAnsi"/>
              </w:rPr>
            </w:pPr>
            <w:r w:rsidRPr="00806508">
              <w:rPr>
                <w:rFonts w:asciiTheme="minorHAnsi" w:hAnsiTheme="minorHAnsi"/>
              </w:rPr>
              <w:t>Ensure confidentiality, explicit confirmation of such</w:t>
            </w:r>
          </w:p>
        </w:tc>
        <w:tc>
          <w:tcPr>
            <w:tcW w:w="3104" w:type="dxa"/>
          </w:tcPr>
          <w:p w:rsidR="002F267E" w:rsidRPr="00806508" w:rsidP="004744D9" w14:paraId="3EF95BF4" w14:textId="6B9742A3">
            <w:pPr>
              <w:rPr>
                <w:rFonts w:asciiTheme="minorHAnsi" w:hAnsiTheme="minorHAnsi"/>
              </w:rPr>
            </w:pPr>
            <w:r w:rsidRPr="00295265">
              <w:rPr>
                <w:rFonts w:asciiTheme="minorHAnsi" w:hAnsiTheme="minorHAnsi"/>
              </w:rPr>
              <w:t xml:space="preserve">EV requests will be submitted via a secure online platform.  DOE will provide instruction on marking information as confidential / business sensitive pursuant to FOIA regulations at 10 CFR part 1004.  Submissions will be handled in accordance with the Trade Secrets Act and the FOIA regulations.  </w:t>
            </w:r>
          </w:p>
        </w:tc>
      </w:tr>
      <w:tr w14:paraId="4CA8053D" w14:textId="77777777" w:rsidTr="00FD632E">
        <w:tblPrEx>
          <w:tblW w:w="0" w:type="auto"/>
          <w:tblLook w:val="04A0"/>
        </w:tblPrEx>
        <w:tc>
          <w:tcPr>
            <w:tcW w:w="3114" w:type="dxa"/>
          </w:tcPr>
          <w:p w:rsidR="002F267E" w:rsidRPr="00806508" w:rsidP="004744D9" w14:paraId="3F33C776" w14:textId="77777777">
            <w:pPr>
              <w:rPr>
                <w:rFonts w:asciiTheme="minorHAnsi" w:hAnsiTheme="minorHAnsi"/>
              </w:rPr>
            </w:pPr>
            <w:r w:rsidRPr="00806508">
              <w:rPr>
                <w:rFonts w:asciiTheme="minorHAnsi" w:hAnsiTheme="minorHAnsi"/>
              </w:rPr>
              <w:t>air liquide</w:t>
            </w:r>
          </w:p>
        </w:tc>
        <w:tc>
          <w:tcPr>
            <w:tcW w:w="3132" w:type="dxa"/>
          </w:tcPr>
          <w:p w:rsidR="002F267E" w:rsidRPr="00806508" w:rsidP="004744D9" w14:paraId="4077D4E8" w14:textId="77777777">
            <w:pPr>
              <w:rPr>
                <w:rFonts w:asciiTheme="minorHAnsi" w:hAnsiTheme="minorHAnsi"/>
              </w:rPr>
            </w:pPr>
            <w:r w:rsidRPr="00806508">
              <w:rPr>
                <w:rFonts w:asciiTheme="minorHAnsi" w:hAnsiTheme="minorHAnsi"/>
              </w:rPr>
              <w:t xml:space="preserve">Confidentiality should be </w:t>
            </w:r>
            <w:r w:rsidRPr="00806508">
              <w:rPr>
                <w:rFonts w:asciiTheme="minorHAnsi" w:hAnsiTheme="minorHAnsi"/>
              </w:rPr>
              <w:t xml:space="preserve">ensured, and in </w:t>
            </w:r>
            <w:r w:rsidRPr="00806508">
              <w:rPr>
                <w:rFonts w:asciiTheme="minorHAnsi" w:hAnsiTheme="minorHAnsi"/>
              </w:rPr>
              <w:t>manner</w:t>
            </w:r>
            <w:r w:rsidRPr="00806508">
              <w:rPr>
                <w:rFonts w:asciiTheme="minorHAnsi" w:hAnsiTheme="minorHAnsi"/>
              </w:rPr>
              <w:t xml:space="preserve"> that does not require redacting, to streamline review process</w:t>
            </w:r>
          </w:p>
        </w:tc>
        <w:tc>
          <w:tcPr>
            <w:tcW w:w="3104" w:type="dxa"/>
          </w:tcPr>
          <w:p w:rsidR="002F267E" w:rsidRPr="00806508" w:rsidP="004744D9" w14:paraId="502F965B" w14:textId="7968FBAB">
            <w:pPr>
              <w:rPr>
                <w:rFonts w:asciiTheme="minorHAnsi" w:hAnsiTheme="minorHAnsi"/>
              </w:rPr>
            </w:pPr>
            <w:r w:rsidRPr="00295265">
              <w:rPr>
                <w:rFonts w:asciiTheme="minorHAnsi" w:hAnsiTheme="minorHAnsi"/>
              </w:rPr>
              <w:t xml:space="preserve">EV requests will be </w:t>
            </w:r>
            <w:r w:rsidRPr="00295265">
              <w:rPr>
                <w:rFonts w:asciiTheme="minorHAnsi" w:hAnsiTheme="minorHAnsi"/>
              </w:rPr>
              <w:t xml:space="preserve">submitted via a secure online platform.  DOE will provide instruction on marking information as confidential / business sensitive pursuant to FOIA regulations at 10 CFR part 1004.  Submissions will be handled in accordance with the Trade Secrets Act and the FOIA regulations.  </w:t>
            </w:r>
            <w:r>
              <w:rPr>
                <w:rFonts w:asciiTheme="minorHAnsi" w:hAnsiTheme="minorHAnsi"/>
              </w:rPr>
              <w:t xml:space="preserve">Submission of redacted versions of the complete EV application facilitates review in the event of a FOIA request.  </w:t>
            </w:r>
          </w:p>
        </w:tc>
      </w:tr>
      <w:tr w14:paraId="3DDEC765" w14:textId="77777777" w:rsidTr="00FD632E">
        <w:tblPrEx>
          <w:tblW w:w="0" w:type="auto"/>
          <w:tblLook w:val="04A0"/>
        </w:tblPrEx>
        <w:tc>
          <w:tcPr>
            <w:tcW w:w="3114" w:type="dxa"/>
          </w:tcPr>
          <w:p w:rsidR="002F267E" w:rsidRPr="00806508" w:rsidP="004744D9" w14:paraId="64DDC961" w14:textId="77777777">
            <w:pPr>
              <w:rPr>
                <w:rFonts w:asciiTheme="minorHAnsi" w:hAnsiTheme="minorHAnsi"/>
              </w:rPr>
            </w:pPr>
            <w:r w:rsidRPr="00806508">
              <w:rPr>
                <w:rFonts w:asciiTheme="minorHAnsi" w:hAnsiTheme="minorHAnsi"/>
              </w:rPr>
              <w:t>Veriflux</w:t>
            </w:r>
          </w:p>
        </w:tc>
        <w:tc>
          <w:tcPr>
            <w:tcW w:w="3132" w:type="dxa"/>
          </w:tcPr>
          <w:p w:rsidR="002F267E" w:rsidRPr="00806508" w:rsidP="004744D9" w14:paraId="2B836E5F" w14:textId="77777777">
            <w:pPr>
              <w:rPr>
                <w:rFonts w:asciiTheme="minorHAnsi" w:hAnsiTheme="minorHAnsi"/>
              </w:rPr>
            </w:pPr>
            <w:r w:rsidRPr="00806508">
              <w:rPr>
                <w:rFonts w:asciiTheme="minorHAnsi" w:hAnsiTheme="minorHAnsi"/>
              </w:rPr>
              <w:t>Support use of digital tool platforms for initial submissions and throughout lifecycle of 45Z credit generation, to improve transparency, data integrity and long-term compliance and traceability; prioritize engagement with US-owned and operated technology providers</w:t>
            </w:r>
          </w:p>
        </w:tc>
        <w:tc>
          <w:tcPr>
            <w:tcW w:w="3104" w:type="dxa"/>
          </w:tcPr>
          <w:p w:rsidR="002F267E" w:rsidRPr="00806508" w:rsidP="004744D9" w14:paraId="6C2E0E12" w14:textId="23FB7C9B">
            <w:pPr>
              <w:rPr>
                <w:rFonts w:asciiTheme="minorHAnsi" w:hAnsiTheme="minorHAnsi"/>
              </w:rPr>
            </w:pPr>
            <w:r w:rsidRPr="00295265">
              <w:rPr>
                <w:rFonts w:asciiTheme="minorHAnsi" w:hAnsiTheme="minorHAnsi"/>
              </w:rPr>
              <w:t xml:space="preserve">EV requests will be submitted via a secure online platform.  DOE will provide instruction on marking information as confidential / business sensitive pursuant to FOIA regulations at 10 CFR part 1004.  Submissions will be handled in accordance with the Trade Secrets Act and the FOIA regulations.  </w:t>
            </w:r>
          </w:p>
        </w:tc>
      </w:tr>
      <w:tr w14:paraId="7F661DF5" w14:textId="77777777" w:rsidTr="00FD632E">
        <w:tblPrEx>
          <w:tblW w:w="0" w:type="auto"/>
          <w:tblLook w:val="04A0"/>
        </w:tblPrEx>
        <w:tc>
          <w:tcPr>
            <w:tcW w:w="3114" w:type="dxa"/>
          </w:tcPr>
          <w:p w:rsidR="002F267E" w:rsidRPr="00806508" w:rsidP="004744D9" w14:paraId="3AA9AEB1" w14:textId="77777777">
            <w:pPr>
              <w:rPr>
                <w:rFonts w:asciiTheme="minorHAnsi" w:hAnsiTheme="minorHAnsi"/>
              </w:rPr>
            </w:pPr>
            <w:r w:rsidRPr="00806508">
              <w:rPr>
                <w:rFonts w:asciiTheme="minorHAnsi" w:hAnsiTheme="minorHAnsi"/>
              </w:rPr>
              <w:t xml:space="preserve">Infinium </w:t>
            </w:r>
          </w:p>
        </w:tc>
        <w:tc>
          <w:tcPr>
            <w:tcW w:w="3132" w:type="dxa"/>
          </w:tcPr>
          <w:p w:rsidR="002F267E" w:rsidRPr="00806508" w:rsidP="004744D9" w14:paraId="1A9F8522" w14:textId="77777777">
            <w:pPr>
              <w:rPr>
                <w:rFonts w:asciiTheme="minorHAnsi" w:hAnsiTheme="minorHAnsi"/>
              </w:rPr>
            </w:pPr>
            <w:r w:rsidRPr="00806508">
              <w:rPr>
                <w:rFonts w:asciiTheme="minorHAnsi" w:hAnsiTheme="minorHAnsi"/>
              </w:rPr>
              <w:t>Ensure transparency and communication in process, establish an appeals process and rapid deadlines</w:t>
            </w:r>
          </w:p>
        </w:tc>
        <w:tc>
          <w:tcPr>
            <w:tcW w:w="3104" w:type="dxa"/>
          </w:tcPr>
          <w:p w:rsidR="002F267E" w:rsidP="004744D9" w14:paraId="3CE52829" w14:textId="77777777">
            <w:pPr>
              <w:rPr>
                <w:rFonts w:asciiTheme="minorHAnsi" w:hAnsiTheme="minorHAnsi"/>
              </w:rPr>
            </w:pPr>
            <w:r w:rsidRPr="006C6CB5">
              <w:rPr>
                <w:rFonts w:asciiTheme="minorHAnsi" w:hAnsiTheme="minorHAnsi"/>
              </w:rPr>
              <w:t xml:space="preserve">DOE </w:t>
            </w:r>
            <w:r w:rsidRPr="006C6CB5">
              <w:rPr>
                <w:rFonts w:asciiTheme="minorHAnsi" w:hAnsiTheme="minorHAnsi"/>
              </w:rPr>
              <w:t>endeavors</w:t>
            </w:r>
            <w:r w:rsidRPr="006C6CB5">
              <w:rPr>
                <w:rFonts w:asciiTheme="minorHAnsi" w:hAnsiTheme="minorHAnsi"/>
              </w:rPr>
              <w:t xml:space="preserve"> to review requests as quickly as possible. A provision to impose a time limit on the DOE's consideration of emissions value requests could impede an accurate and rigorous review of the requests and would require additional administrative processes. Additionally, because the IRS deems as accepted the emissions value provided by the DOE upon filing, and such deemed </w:t>
            </w:r>
            <w:r w:rsidRPr="006C6CB5">
              <w:rPr>
                <w:rFonts w:asciiTheme="minorHAnsi" w:hAnsiTheme="minorHAnsi"/>
              </w:rPr>
              <w:t>acceptance is Treasury's determination of the PER, an accurate and rigorous review is necessary to such a determination. Regarding transparency, the variables that drive the timeline for application review include the volume of applications around a given pathway, complexity/ease of evaluating the fuel production pathway, and the commercial readiness of the pathway.</w:t>
            </w:r>
          </w:p>
          <w:p w:rsidR="006C6CB5" w:rsidP="004744D9" w14:paraId="1A5FBEA7" w14:textId="77777777">
            <w:pPr>
              <w:rPr>
                <w:rFonts w:asciiTheme="minorHAnsi" w:hAnsiTheme="minorHAnsi"/>
              </w:rPr>
            </w:pPr>
          </w:p>
          <w:p w:rsidR="006C6CB5" w:rsidRPr="00806508" w:rsidP="004744D9" w14:paraId="74C3321B" w14:textId="6D2D7F6D">
            <w:pPr>
              <w:rPr>
                <w:rFonts w:asciiTheme="minorHAnsi" w:hAnsiTheme="minorHAnsi"/>
              </w:rPr>
            </w:pPr>
            <w:r w:rsidRPr="006C6CB5">
              <w:rPr>
                <w:rFonts w:asciiTheme="minorHAnsi" w:hAnsiTheme="minorHAnsi"/>
              </w:rPr>
              <w:t>DOE has not developed an appeals process or a method for an applicant to unilaterally revise or supplement their application. However, an applicant may submit additional information to DOE before DOE has completed its analysis or after it has determined the facility's emissions value. EV applicants seeking a new emissions value after DOE has completed its analysis may reapply only if they wish to resubmit their application with new or revised technical information or clarifications related to the information previously submitted.</w:t>
            </w:r>
          </w:p>
        </w:tc>
      </w:tr>
      <w:tr w14:paraId="1E205A15" w14:textId="77777777" w:rsidTr="00FD632E">
        <w:tblPrEx>
          <w:tblW w:w="0" w:type="auto"/>
          <w:tblLook w:val="04A0"/>
        </w:tblPrEx>
        <w:tc>
          <w:tcPr>
            <w:tcW w:w="3114" w:type="dxa"/>
          </w:tcPr>
          <w:p w:rsidR="006C6CB5" w:rsidRPr="006C6CB5" w:rsidP="006C6CB5" w14:paraId="5926726B" w14:textId="1CB72CAC">
            <w:pPr>
              <w:rPr>
                <w:rFonts w:asciiTheme="minorHAnsi" w:hAnsiTheme="minorHAnsi"/>
                <w:color w:val="000000"/>
              </w:rPr>
            </w:pPr>
            <w:r w:rsidRPr="006C6CB5">
              <w:rPr>
                <w:rFonts w:asciiTheme="minorHAnsi" w:hAnsiTheme="minorHAnsi"/>
                <w:color w:val="000000"/>
              </w:rPr>
              <w:t>Infinium</w:t>
            </w:r>
          </w:p>
        </w:tc>
        <w:tc>
          <w:tcPr>
            <w:tcW w:w="3132" w:type="dxa"/>
          </w:tcPr>
          <w:p w:rsidR="006C6CB5" w:rsidRPr="00806508" w:rsidP="006C6CB5" w14:paraId="33005E52" w14:textId="3A399488">
            <w:pPr>
              <w:rPr>
                <w:rFonts w:asciiTheme="minorHAnsi" w:hAnsiTheme="minorHAnsi"/>
                <w:color w:val="000000"/>
              </w:rPr>
            </w:pPr>
            <w:r w:rsidRPr="006C6CB5">
              <w:rPr>
                <w:rFonts w:asciiTheme="minorHAnsi" w:hAnsiTheme="minorHAnsi"/>
                <w:color w:val="000000"/>
              </w:rPr>
              <w:t xml:space="preserve">Prioritize and fast track PER for projects in operation or under construction </w:t>
            </w:r>
          </w:p>
        </w:tc>
        <w:tc>
          <w:tcPr>
            <w:tcW w:w="3104" w:type="dxa"/>
          </w:tcPr>
          <w:p w:rsidR="006C6CB5" w:rsidRPr="00806508" w:rsidP="006C6CB5" w14:paraId="302F3566" w14:textId="6844EAEF">
            <w:pPr>
              <w:rPr>
                <w:rFonts w:asciiTheme="minorHAnsi" w:hAnsiTheme="minorHAnsi"/>
              </w:rPr>
            </w:pPr>
            <w:r>
              <w:rPr>
                <w:rFonts w:asciiTheme="minorHAnsi" w:hAnsiTheme="minorHAnsi"/>
              </w:rPr>
              <w:t>See above</w:t>
            </w:r>
          </w:p>
        </w:tc>
      </w:tr>
      <w:tr w14:paraId="0594A5F1" w14:textId="77777777" w:rsidTr="00FD632E">
        <w:tblPrEx>
          <w:tblW w:w="0" w:type="auto"/>
          <w:tblLook w:val="04A0"/>
        </w:tblPrEx>
        <w:tc>
          <w:tcPr>
            <w:tcW w:w="3114" w:type="dxa"/>
          </w:tcPr>
          <w:p w:rsidR="006C6CB5" w:rsidRPr="006C6CB5" w:rsidP="006C6CB5" w14:paraId="40E0A7DF" w14:textId="4E03FB46">
            <w:pPr>
              <w:rPr>
                <w:rFonts w:asciiTheme="minorHAnsi" w:hAnsiTheme="minorHAnsi"/>
                <w:color w:val="000000"/>
              </w:rPr>
            </w:pPr>
            <w:r w:rsidRPr="006C6CB5">
              <w:rPr>
                <w:rFonts w:asciiTheme="minorHAnsi" w:hAnsiTheme="minorHAnsi"/>
                <w:color w:val="000000"/>
              </w:rPr>
              <w:t xml:space="preserve">DT Midstream </w:t>
            </w:r>
          </w:p>
        </w:tc>
        <w:tc>
          <w:tcPr>
            <w:tcW w:w="3132" w:type="dxa"/>
          </w:tcPr>
          <w:p w:rsidR="006C6CB5" w:rsidRPr="00806508" w:rsidP="006C6CB5" w14:paraId="0594FE51" w14:textId="09CB8C6B">
            <w:pPr>
              <w:rPr>
                <w:rFonts w:asciiTheme="minorHAnsi" w:hAnsiTheme="minorHAnsi"/>
                <w:color w:val="000000"/>
              </w:rPr>
            </w:pPr>
            <w:r w:rsidRPr="006C6CB5">
              <w:rPr>
                <w:rFonts w:asciiTheme="minorHAnsi" w:hAnsiTheme="minorHAnsi"/>
                <w:color w:val="000000"/>
              </w:rPr>
              <w:t xml:space="preserve">Prioritize and fast track PER </w:t>
            </w:r>
            <w:r w:rsidRPr="006C6CB5">
              <w:rPr>
                <w:rFonts w:asciiTheme="minorHAnsi" w:hAnsiTheme="minorHAnsi"/>
                <w:color w:val="000000"/>
              </w:rPr>
              <w:t>for projects in operation or under construction</w:t>
            </w:r>
          </w:p>
        </w:tc>
        <w:tc>
          <w:tcPr>
            <w:tcW w:w="3104" w:type="dxa"/>
          </w:tcPr>
          <w:p w:rsidR="006C6CB5" w:rsidRPr="00806508" w:rsidP="006C6CB5" w14:paraId="3FED16E8" w14:textId="624C995F">
            <w:pPr>
              <w:rPr>
                <w:rFonts w:asciiTheme="minorHAnsi" w:hAnsiTheme="minorHAnsi"/>
              </w:rPr>
            </w:pPr>
            <w:r>
              <w:rPr>
                <w:rFonts w:asciiTheme="minorHAnsi" w:hAnsiTheme="minorHAnsi"/>
              </w:rPr>
              <w:t>See above</w:t>
            </w:r>
          </w:p>
        </w:tc>
      </w:tr>
      <w:tr w14:paraId="719298FE" w14:textId="77777777" w:rsidTr="00FD632E">
        <w:tblPrEx>
          <w:tblW w:w="0" w:type="auto"/>
          <w:tblLook w:val="04A0"/>
        </w:tblPrEx>
        <w:tc>
          <w:tcPr>
            <w:tcW w:w="3114" w:type="dxa"/>
          </w:tcPr>
          <w:p w:rsidR="002F267E" w:rsidRPr="00806508" w:rsidP="004744D9" w14:paraId="0B982C6E" w14:textId="77777777">
            <w:pPr>
              <w:rPr>
                <w:rFonts w:asciiTheme="minorHAnsi" w:hAnsiTheme="minorHAnsi"/>
              </w:rPr>
            </w:pPr>
            <w:r w:rsidRPr="00806508">
              <w:rPr>
                <w:rFonts w:asciiTheme="minorHAnsi" w:hAnsiTheme="minorHAnsi"/>
              </w:rPr>
              <w:t>Advanced Biofuels Assn</w:t>
            </w:r>
          </w:p>
        </w:tc>
        <w:tc>
          <w:tcPr>
            <w:tcW w:w="3132" w:type="dxa"/>
          </w:tcPr>
          <w:p w:rsidR="002F267E" w:rsidRPr="00806508" w:rsidP="004744D9" w14:paraId="67ED2524" w14:textId="77777777">
            <w:pPr>
              <w:rPr>
                <w:rFonts w:asciiTheme="minorHAnsi" w:hAnsiTheme="minorHAnsi"/>
                <w:color w:val="000000"/>
              </w:rPr>
            </w:pPr>
            <w:r w:rsidRPr="00806508">
              <w:rPr>
                <w:rFonts w:asciiTheme="minorHAnsi" w:hAnsiTheme="minorHAnsi"/>
                <w:color w:val="000000"/>
              </w:rPr>
              <w:t>Transparency and communication and appeal process</w:t>
            </w:r>
          </w:p>
        </w:tc>
        <w:tc>
          <w:tcPr>
            <w:tcW w:w="3104" w:type="dxa"/>
          </w:tcPr>
          <w:p w:rsidR="002F267E" w:rsidRPr="00806508" w:rsidP="004744D9" w14:paraId="0FB6C43A" w14:textId="03D039A8">
            <w:pPr>
              <w:rPr>
                <w:rFonts w:asciiTheme="minorHAnsi" w:hAnsiTheme="minorHAnsi"/>
              </w:rPr>
            </w:pPr>
            <w:r>
              <w:rPr>
                <w:rFonts w:asciiTheme="minorHAnsi" w:hAnsiTheme="minorHAnsi"/>
              </w:rPr>
              <w:t xml:space="preserve">See above </w:t>
            </w:r>
          </w:p>
        </w:tc>
      </w:tr>
      <w:tr w14:paraId="73A83935" w14:textId="77777777" w:rsidTr="00FD632E">
        <w:tblPrEx>
          <w:tblW w:w="0" w:type="auto"/>
          <w:tblLook w:val="04A0"/>
        </w:tblPrEx>
        <w:tc>
          <w:tcPr>
            <w:tcW w:w="3114" w:type="dxa"/>
          </w:tcPr>
          <w:p w:rsidR="002F267E" w:rsidRPr="00806508" w:rsidP="004744D9" w14:paraId="200443C2" w14:textId="77777777">
            <w:pPr>
              <w:rPr>
                <w:rFonts w:asciiTheme="minorHAnsi" w:hAnsiTheme="minorHAnsi"/>
              </w:rPr>
            </w:pPr>
            <w:r w:rsidRPr="00806508">
              <w:rPr>
                <w:rFonts w:asciiTheme="minorHAnsi" w:hAnsiTheme="minorHAnsi"/>
              </w:rPr>
              <w:t>air liquide</w:t>
            </w:r>
          </w:p>
        </w:tc>
        <w:tc>
          <w:tcPr>
            <w:tcW w:w="3132" w:type="dxa"/>
          </w:tcPr>
          <w:p w:rsidR="002F267E" w:rsidRPr="00806508" w:rsidP="004744D9" w14:paraId="5EA82A23" w14:textId="77777777">
            <w:pPr>
              <w:rPr>
                <w:rFonts w:asciiTheme="minorHAnsi" w:hAnsiTheme="minorHAnsi"/>
                <w:color w:val="000000"/>
              </w:rPr>
            </w:pPr>
            <w:r w:rsidRPr="00806508">
              <w:rPr>
                <w:rFonts w:asciiTheme="minorHAnsi" w:hAnsiTheme="minorHAnsi"/>
                <w:color w:val="000000"/>
              </w:rPr>
              <w:t xml:space="preserve">Establish </w:t>
            </w:r>
            <w:r w:rsidRPr="00806508">
              <w:rPr>
                <w:rFonts w:asciiTheme="minorHAnsi" w:hAnsiTheme="minorHAnsi"/>
                <w:color w:val="000000"/>
              </w:rPr>
              <w:t>clear</w:t>
            </w:r>
            <w:r w:rsidRPr="00806508">
              <w:rPr>
                <w:rFonts w:asciiTheme="minorHAnsi" w:hAnsiTheme="minorHAnsi"/>
                <w:color w:val="000000"/>
              </w:rPr>
              <w:t xml:space="preserve"> timeline for review and appeals process and include revisional process to update processes and efficiencies in an issued PER</w:t>
            </w:r>
          </w:p>
        </w:tc>
        <w:tc>
          <w:tcPr>
            <w:tcW w:w="3104" w:type="dxa"/>
          </w:tcPr>
          <w:p w:rsidR="002F267E" w:rsidRPr="00806508" w:rsidP="004744D9" w14:paraId="7465778C" w14:textId="7C867AE0">
            <w:pPr>
              <w:rPr>
                <w:rFonts w:asciiTheme="minorHAnsi" w:hAnsiTheme="minorHAnsi"/>
              </w:rPr>
            </w:pPr>
            <w:r>
              <w:rPr>
                <w:rFonts w:asciiTheme="minorHAnsi" w:hAnsiTheme="minorHAnsi"/>
              </w:rPr>
              <w:t xml:space="preserve">See above </w:t>
            </w:r>
          </w:p>
        </w:tc>
      </w:tr>
      <w:tr w14:paraId="0C5EF15B" w14:textId="77777777" w:rsidTr="00FD632E">
        <w:tblPrEx>
          <w:tblW w:w="0" w:type="auto"/>
          <w:tblLook w:val="04A0"/>
        </w:tblPrEx>
        <w:tc>
          <w:tcPr>
            <w:tcW w:w="3114" w:type="dxa"/>
          </w:tcPr>
          <w:p w:rsidR="002F267E" w:rsidRPr="00806508" w:rsidP="004744D9" w14:paraId="17A79021" w14:textId="77777777">
            <w:pPr>
              <w:rPr>
                <w:rFonts w:asciiTheme="minorHAnsi" w:hAnsiTheme="minorHAnsi"/>
              </w:rPr>
            </w:pPr>
            <w:r w:rsidRPr="00806508">
              <w:rPr>
                <w:rFonts w:asciiTheme="minorHAnsi" w:hAnsiTheme="minorHAnsi"/>
              </w:rPr>
              <w:t xml:space="preserve">RNG Coalition </w:t>
            </w:r>
          </w:p>
        </w:tc>
        <w:tc>
          <w:tcPr>
            <w:tcW w:w="3132" w:type="dxa"/>
          </w:tcPr>
          <w:p w:rsidR="002F267E" w:rsidRPr="00806508" w:rsidP="004744D9" w14:paraId="12510ECB" w14:textId="77777777">
            <w:pPr>
              <w:rPr>
                <w:rFonts w:asciiTheme="minorHAnsi" w:hAnsiTheme="minorHAnsi"/>
              </w:rPr>
            </w:pPr>
            <w:r w:rsidRPr="00806508">
              <w:rPr>
                <w:rFonts w:asciiTheme="minorHAnsi" w:hAnsiTheme="minorHAnsi"/>
                <w:color w:val="000000"/>
              </w:rPr>
              <w:t>include timeline for review and appeals process</w:t>
            </w:r>
          </w:p>
        </w:tc>
        <w:tc>
          <w:tcPr>
            <w:tcW w:w="3104" w:type="dxa"/>
          </w:tcPr>
          <w:p w:rsidR="002F267E" w:rsidRPr="00806508" w:rsidP="004744D9" w14:paraId="4AB13C31" w14:textId="7A5F3C4A">
            <w:pPr>
              <w:rPr>
                <w:rFonts w:asciiTheme="minorHAnsi" w:hAnsiTheme="minorHAnsi"/>
              </w:rPr>
            </w:pPr>
            <w:r>
              <w:rPr>
                <w:rFonts w:asciiTheme="minorHAnsi" w:hAnsiTheme="minorHAnsi"/>
              </w:rPr>
              <w:t xml:space="preserve">See above </w:t>
            </w:r>
          </w:p>
        </w:tc>
      </w:tr>
      <w:tr w14:paraId="19646513" w14:textId="77777777" w:rsidTr="00FD632E">
        <w:tblPrEx>
          <w:tblW w:w="0" w:type="auto"/>
          <w:tblLook w:val="04A0"/>
        </w:tblPrEx>
        <w:tc>
          <w:tcPr>
            <w:tcW w:w="3114" w:type="dxa"/>
          </w:tcPr>
          <w:p w:rsidR="002F267E" w:rsidRPr="00806508" w:rsidP="004744D9" w14:paraId="315DE376" w14:textId="77777777">
            <w:pPr>
              <w:rPr>
                <w:rFonts w:asciiTheme="minorHAnsi" w:hAnsiTheme="minorHAnsi"/>
              </w:rPr>
            </w:pPr>
            <w:r w:rsidRPr="00806508">
              <w:rPr>
                <w:rFonts w:asciiTheme="minorHAnsi" w:hAnsiTheme="minorHAnsi"/>
              </w:rPr>
              <w:t xml:space="preserve">ACA am. Carbon Alliance </w:t>
            </w:r>
          </w:p>
        </w:tc>
        <w:tc>
          <w:tcPr>
            <w:tcW w:w="3132" w:type="dxa"/>
          </w:tcPr>
          <w:p w:rsidR="002F267E" w:rsidRPr="00806508" w:rsidP="004744D9" w14:paraId="79EBF091" w14:textId="77777777">
            <w:pPr>
              <w:rPr>
                <w:rFonts w:asciiTheme="minorHAnsi" w:hAnsiTheme="minorHAnsi"/>
                <w:color w:val="000000"/>
              </w:rPr>
            </w:pPr>
            <w:r w:rsidRPr="00806508">
              <w:rPr>
                <w:rFonts w:asciiTheme="minorHAnsi" w:hAnsiTheme="minorHAnsi"/>
                <w:color w:val="000000"/>
              </w:rPr>
              <w:t>Employ a streamlined 30-day review for registered producers</w:t>
            </w:r>
          </w:p>
        </w:tc>
        <w:tc>
          <w:tcPr>
            <w:tcW w:w="3104" w:type="dxa"/>
          </w:tcPr>
          <w:p w:rsidR="002F267E" w:rsidRPr="00806508" w:rsidP="004744D9" w14:paraId="6B78EE8C" w14:textId="100EAEE0">
            <w:pPr>
              <w:rPr>
                <w:rFonts w:asciiTheme="minorHAnsi" w:hAnsiTheme="minorHAnsi"/>
              </w:rPr>
            </w:pPr>
            <w:r>
              <w:rPr>
                <w:rFonts w:asciiTheme="minorHAnsi" w:hAnsiTheme="minorHAnsi"/>
              </w:rPr>
              <w:t xml:space="preserve">See above </w:t>
            </w:r>
          </w:p>
        </w:tc>
      </w:tr>
      <w:tr w14:paraId="4D97C1EC" w14:textId="77777777" w:rsidTr="00FD632E">
        <w:tblPrEx>
          <w:tblW w:w="0" w:type="auto"/>
          <w:tblLook w:val="04A0"/>
        </w:tblPrEx>
        <w:tc>
          <w:tcPr>
            <w:tcW w:w="3114" w:type="dxa"/>
          </w:tcPr>
          <w:p w:rsidR="002F267E" w:rsidRPr="00806508" w:rsidP="004744D9" w14:paraId="3B865941" w14:textId="77777777">
            <w:pPr>
              <w:rPr>
                <w:rFonts w:asciiTheme="minorHAnsi" w:hAnsiTheme="minorHAnsi"/>
              </w:rPr>
            </w:pPr>
            <w:r w:rsidRPr="00806508">
              <w:rPr>
                <w:rFonts w:asciiTheme="minorHAnsi" w:hAnsiTheme="minorHAnsi"/>
              </w:rPr>
              <w:t>Advanced Biofuels Assn</w:t>
            </w:r>
          </w:p>
        </w:tc>
        <w:tc>
          <w:tcPr>
            <w:tcW w:w="3132" w:type="dxa"/>
          </w:tcPr>
          <w:p w:rsidR="002F267E" w:rsidRPr="00806508" w:rsidP="004744D9" w14:paraId="2C1AD3CD" w14:textId="77777777">
            <w:pPr>
              <w:rPr>
                <w:rFonts w:asciiTheme="minorHAnsi" w:hAnsiTheme="minorHAnsi"/>
                <w:color w:val="000000"/>
              </w:rPr>
            </w:pPr>
            <w:r w:rsidRPr="00806508">
              <w:rPr>
                <w:rFonts w:asciiTheme="minorHAnsi" w:hAnsiTheme="minorHAnsi"/>
                <w:color w:val="000000"/>
              </w:rPr>
              <w:t>Estab max review period, 30-day review period recommended</w:t>
            </w:r>
          </w:p>
        </w:tc>
        <w:tc>
          <w:tcPr>
            <w:tcW w:w="3104" w:type="dxa"/>
          </w:tcPr>
          <w:p w:rsidR="002F267E" w:rsidRPr="00806508" w:rsidP="004744D9" w14:paraId="1C3C3A5D" w14:textId="2489D40F">
            <w:pPr>
              <w:rPr>
                <w:rFonts w:asciiTheme="minorHAnsi" w:hAnsiTheme="minorHAnsi"/>
              </w:rPr>
            </w:pPr>
            <w:r>
              <w:rPr>
                <w:rFonts w:asciiTheme="minorHAnsi" w:hAnsiTheme="minorHAnsi"/>
              </w:rPr>
              <w:t xml:space="preserve">See above </w:t>
            </w:r>
          </w:p>
        </w:tc>
      </w:tr>
      <w:tr w14:paraId="752B6CC1" w14:textId="77777777" w:rsidTr="00FD632E">
        <w:tblPrEx>
          <w:tblW w:w="0" w:type="auto"/>
          <w:tblLook w:val="04A0"/>
        </w:tblPrEx>
        <w:tc>
          <w:tcPr>
            <w:tcW w:w="3114" w:type="dxa"/>
          </w:tcPr>
          <w:p w:rsidR="002F267E" w:rsidRPr="00806508" w:rsidP="004744D9" w14:paraId="51F76728" w14:textId="77777777">
            <w:pPr>
              <w:rPr>
                <w:rFonts w:asciiTheme="minorHAnsi" w:hAnsiTheme="minorHAnsi"/>
              </w:rPr>
            </w:pPr>
            <w:r w:rsidRPr="00806508">
              <w:rPr>
                <w:rFonts w:asciiTheme="minorHAnsi" w:hAnsiTheme="minorHAnsi"/>
              </w:rPr>
              <w:t xml:space="preserve">Oberon </w:t>
            </w:r>
          </w:p>
        </w:tc>
        <w:tc>
          <w:tcPr>
            <w:tcW w:w="3132" w:type="dxa"/>
          </w:tcPr>
          <w:p w:rsidR="002F267E" w:rsidRPr="00806508" w:rsidP="004744D9" w14:paraId="1B3D3D01" w14:textId="73429A22">
            <w:pPr>
              <w:rPr>
                <w:rFonts w:asciiTheme="minorHAnsi" w:hAnsiTheme="minorHAnsi"/>
                <w:color w:val="000000"/>
              </w:rPr>
            </w:pPr>
            <w:r w:rsidRPr="00806508">
              <w:rPr>
                <w:rFonts w:asciiTheme="minorHAnsi" w:hAnsiTheme="minorHAnsi"/>
                <w:color w:val="000000"/>
              </w:rPr>
              <w:t>Employ and predictable and efficient review framework; a max review period, transparency and communication, appeal process</w:t>
            </w:r>
          </w:p>
        </w:tc>
        <w:tc>
          <w:tcPr>
            <w:tcW w:w="3104" w:type="dxa"/>
          </w:tcPr>
          <w:p w:rsidR="002F267E" w:rsidRPr="00806508" w:rsidP="004744D9" w14:paraId="175A102E" w14:textId="31331D4B">
            <w:pPr>
              <w:rPr>
                <w:rFonts w:asciiTheme="minorHAnsi" w:hAnsiTheme="minorHAnsi"/>
              </w:rPr>
            </w:pPr>
            <w:r>
              <w:rPr>
                <w:rFonts w:asciiTheme="minorHAnsi" w:hAnsiTheme="minorHAnsi"/>
              </w:rPr>
              <w:t xml:space="preserve">See above </w:t>
            </w:r>
          </w:p>
        </w:tc>
      </w:tr>
      <w:tr w14:paraId="60496948" w14:textId="77777777" w:rsidTr="00FD632E">
        <w:tblPrEx>
          <w:tblW w:w="0" w:type="auto"/>
          <w:tblLook w:val="04A0"/>
        </w:tblPrEx>
        <w:tc>
          <w:tcPr>
            <w:tcW w:w="3114" w:type="dxa"/>
          </w:tcPr>
          <w:p w:rsidR="002F267E" w:rsidRPr="00806508" w:rsidP="004744D9" w14:paraId="1DF82339" w14:textId="77777777">
            <w:pPr>
              <w:rPr>
                <w:rFonts w:asciiTheme="minorHAnsi" w:hAnsiTheme="minorHAnsi"/>
              </w:rPr>
            </w:pPr>
            <w:r w:rsidRPr="00806508">
              <w:rPr>
                <w:rFonts w:asciiTheme="minorHAnsi" w:hAnsiTheme="minorHAnsi"/>
              </w:rPr>
              <w:t xml:space="preserve">Veriflux </w:t>
            </w:r>
          </w:p>
        </w:tc>
        <w:tc>
          <w:tcPr>
            <w:tcW w:w="3132" w:type="dxa"/>
          </w:tcPr>
          <w:p w:rsidR="002F267E" w:rsidRPr="00806508" w:rsidP="004744D9" w14:paraId="536C05F7" w14:textId="77777777">
            <w:pPr>
              <w:rPr>
                <w:rFonts w:asciiTheme="minorHAnsi" w:hAnsiTheme="minorHAnsi"/>
              </w:rPr>
            </w:pPr>
            <w:r w:rsidRPr="00806508">
              <w:rPr>
                <w:rFonts w:asciiTheme="minorHAnsi" w:hAnsiTheme="minorHAnsi"/>
              </w:rPr>
              <w:t>Include traceability and origin data as part of required submission, to reduce fraud or misclassification potential</w:t>
            </w:r>
          </w:p>
        </w:tc>
        <w:tc>
          <w:tcPr>
            <w:tcW w:w="3104" w:type="dxa"/>
          </w:tcPr>
          <w:p w:rsidR="002F267E" w:rsidRPr="00806508" w:rsidP="004744D9" w14:paraId="722DC0C6" w14:textId="6A1056D9">
            <w:pPr>
              <w:rPr>
                <w:rFonts w:asciiTheme="minorHAnsi" w:hAnsiTheme="minorHAnsi"/>
              </w:rPr>
            </w:pPr>
            <w:r w:rsidRPr="00FD632E">
              <w:rPr>
                <w:rFonts w:asciiTheme="minorHAnsi" w:hAnsiTheme="minorHAnsi"/>
              </w:rPr>
              <w:t>The receipt of an emissions value</w:t>
            </w:r>
            <w:r>
              <w:rPr>
                <w:rFonts w:asciiTheme="minorHAnsi" w:hAnsiTheme="minorHAnsi"/>
              </w:rPr>
              <w:t xml:space="preserve"> </w:t>
            </w:r>
            <w:r w:rsidRPr="00FD632E">
              <w:rPr>
                <w:rFonts w:asciiTheme="minorHAnsi" w:hAnsiTheme="minorHAnsi"/>
              </w:rPr>
              <w:t>does not constitute a determination that all other requirements for claiming the section 45V credit, including compliance with the anti-abuse and verifiable use rules, are met.</w:t>
            </w:r>
          </w:p>
        </w:tc>
      </w:tr>
      <w:tr w14:paraId="13739CA4" w14:textId="77777777" w:rsidTr="00FD632E">
        <w:tblPrEx>
          <w:tblW w:w="0" w:type="auto"/>
          <w:tblLook w:val="04A0"/>
        </w:tblPrEx>
        <w:tc>
          <w:tcPr>
            <w:tcW w:w="3114" w:type="dxa"/>
          </w:tcPr>
          <w:p w:rsidR="002F267E" w:rsidRPr="00806508" w:rsidP="004744D9" w14:paraId="7B58EB02" w14:textId="77777777">
            <w:pPr>
              <w:rPr>
                <w:rFonts w:asciiTheme="minorHAnsi" w:hAnsiTheme="minorHAnsi"/>
              </w:rPr>
            </w:pPr>
            <w:r w:rsidRPr="00806508">
              <w:rPr>
                <w:rFonts w:asciiTheme="minorHAnsi" w:hAnsiTheme="minorHAnsi"/>
              </w:rPr>
              <w:t>Advanced Biofuels Assn</w:t>
            </w:r>
          </w:p>
        </w:tc>
        <w:tc>
          <w:tcPr>
            <w:tcW w:w="3132" w:type="dxa"/>
          </w:tcPr>
          <w:p w:rsidR="002F267E" w:rsidRPr="00806508" w:rsidP="004744D9" w14:paraId="1D3CB599" w14:textId="77777777">
            <w:pPr>
              <w:rPr>
                <w:rFonts w:asciiTheme="minorHAnsi" w:hAnsiTheme="minorHAnsi"/>
              </w:rPr>
            </w:pPr>
            <w:r w:rsidRPr="00806508">
              <w:rPr>
                <w:rFonts w:asciiTheme="minorHAnsi" w:hAnsiTheme="minorHAnsi"/>
              </w:rPr>
              <w:t>Allow for</w:t>
            </w:r>
            <w:r w:rsidRPr="00806508">
              <w:rPr>
                <w:rFonts w:asciiTheme="minorHAnsi" w:hAnsiTheme="minorHAnsi"/>
              </w:rPr>
              <w:t xml:space="preserve"> third party to certify and prepare pre-approve PER applications</w:t>
            </w:r>
          </w:p>
        </w:tc>
        <w:tc>
          <w:tcPr>
            <w:tcW w:w="3104" w:type="dxa"/>
          </w:tcPr>
          <w:p w:rsidR="002F267E" w:rsidRPr="00806508" w:rsidP="004744D9" w14:paraId="3D0F6A73" w14:textId="074E52D2">
            <w:pPr>
              <w:rPr>
                <w:rFonts w:asciiTheme="minorHAnsi" w:hAnsiTheme="minorHAnsi"/>
              </w:rPr>
            </w:pPr>
            <w:r>
              <w:rPr>
                <w:rFonts w:asciiTheme="minorHAnsi" w:hAnsiTheme="minorHAnsi"/>
              </w:rPr>
              <w:t>B</w:t>
            </w:r>
            <w:r w:rsidRPr="006C6CB5">
              <w:rPr>
                <w:rFonts w:asciiTheme="minorHAnsi" w:hAnsiTheme="minorHAnsi"/>
              </w:rPr>
              <w:t xml:space="preserve">ecause the IRS deems as accepted the emissions value provided by the DOE upon filing, and such deemed acceptance is Treasury's determination of the PER, an accurate and rigorous review is necessary to such a </w:t>
            </w:r>
            <w:r w:rsidRPr="006C6CB5">
              <w:rPr>
                <w:rFonts w:asciiTheme="minorHAnsi" w:hAnsiTheme="minorHAnsi"/>
              </w:rPr>
              <w:t>determination.</w:t>
            </w:r>
          </w:p>
        </w:tc>
      </w:tr>
    </w:tbl>
    <w:p w:rsidR="002F267E" w:rsidRPr="00806508" w:rsidP="002F267E" w14:paraId="554CF168" w14:textId="77777777">
      <w:pPr>
        <w:rPr>
          <w:rFonts w:asciiTheme="minorHAnsi" w:hAnsiTheme="minorHAnsi"/>
        </w:rPr>
      </w:pPr>
    </w:p>
    <w:p w:rsidR="002F267E" w:rsidRPr="00806508" w:rsidP="002F267E" w14:paraId="03D5F49B" w14:textId="77777777">
      <w:pPr>
        <w:jc w:val="center"/>
        <w:rPr>
          <w:rFonts w:asciiTheme="minorHAnsi" w:hAnsiTheme="minorHAnsi"/>
        </w:rPr>
      </w:pPr>
    </w:p>
    <w:p w:rsidR="002F267E" w:rsidRPr="00806508" w:rsidP="002F267E" w14:paraId="42159F46" w14:textId="77777777">
      <w:pPr>
        <w:jc w:val="center"/>
        <w:rPr>
          <w:rFonts w:asciiTheme="minorHAnsi" w:hAnsiTheme="minorHAnsi"/>
        </w:rPr>
      </w:pPr>
    </w:p>
    <w:p w:rsidR="002F267E" w:rsidRPr="00806508" w:rsidP="002F267E" w14:paraId="528C0669" w14:textId="77777777">
      <w:pPr>
        <w:rPr>
          <w:rFonts w:asciiTheme="minorHAnsi" w:hAnsiTheme="minorHAnsi"/>
        </w:rPr>
      </w:pPr>
    </w:p>
    <w:p w:rsidR="002F267E" w:rsidP="00771FE2" w14:paraId="74859B13" w14:textId="77777777">
      <w:pPr>
        <w:ind w:left="720"/>
        <w:rPr>
          <w:rFonts w:asciiTheme="minorHAnsi" w:hAnsiTheme="minorHAnsi" w:cstheme="minorHAnsi"/>
          <w:bCs/>
        </w:rPr>
      </w:pPr>
    </w:p>
    <w:sectPr w:rsidSect="00894418">
      <w:footerReference w:type="default" r:id="rId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F5" w14:paraId="1798297C" w14:textId="139B9012">
    <w:pPr>
      <w:spacing w:line="240" w:lineRule="exact"/>
    </w:pPr>
  </w:p>
  <w:p w:rsidR="008250F5" w14:paraId="437C37CA" w14:textId="77777777">
    <w:pPr>
      <w:framePr w:w="9361" w:wrap="notBeside" w:vAnchor="text" w:hAnchor="text" w:x="1" w:y="1"/>
      <w:jc w:val="center"/>
    </w:pPr>
    <w:r>
      <w:fldChar w:fldCharType="begin"/>
    </w:r>
    <w:r>
      <w:instrText xml:space="preserve">PAGE </w:instrText>
    </w:r>
    <w:r>
      <w:fldChar w:fldCharType="separate"/>
    </w:r>
    <w:r w:rsidR="00891F8A">
      <w:rPr>
        <w:noProof/>
      </w:rPr>
      <w:t>4</w:t>
    </w:r>
    <w:r>
      <w:fldChar w:fldCharType="end"/>
    </w:r>
  </w:p>
  <w:p w:rsidR="008250F5" w14:paraId="0F750DA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393D17E"/>
    <w:multiLevelType w:val="hybridMultilevel"/>
    <w:tmpl w:val="444C755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B6F780D"/>
    <w:multiLevelType w:val="hybridMultilevel"/>
    <w:tmpl w:val="AD83027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1"/>
    <w:multiLevelType w:val="multilevel"/>
    <w:tmpl w:val="18189950"/>
    <w:name w:val="AutoList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DC4552B"/>
    <w:multiLevelType w:val="hybridMultilevel"/>
    <w:tmpl w:val="A2CE4B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DE07964"/>
    <w:multiLevelType w:val="hybridMultilevel"/>
    <w:tmpl w:val="5D04EB0C"/>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E6164BC"/>
    <w:multiLevelType w:val="hybridMultilevel"/>
    <w:tmpl w:val="BAD4F4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2C49AF"/>
    <w:multiLevelType w:val="hybridMultilevel"/>
    <w:tmpl w:val="85DCF0A2"/>
    <w:lvl w:ilvl="0">
      <w:start w:val="1"/>
      <w:numFmt w:val="decimal"/>
      <w:lvlText w:val="%1."/>
      <w:lvlJc w:val="left"/>
      <w:pPr>
        <w:ind w:left="1440" w:hanging="1152"/>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A70AC3"/>
    <w:multiLevelType w:val="hybridMultilevel"/>
    <w:tmpl w:val="115EA1B0"/>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FD6964"/>
    <w:multiLevelType w:val="hybridMultilevel"/>
    <w:tmpl w:val="3C10A556"/>
    <w:lvl w:ilvl="0">
      <w:start w:val="2"/>
      <w:numFmt w:val="lowerLetter"/>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2">
    <w:nsid w:val="1B734CA4"/>
    <w:multiLevelType w:val="hybridMultilevel"/>
    <w:tmpl w:val="F8185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4E6428D"/>
    <w:multiLevelType w:val="hybridMultilevel"/>
    <w:tmpl w:val="B1743E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59D3BE6"/>
    <w:multiLevelType w:val="hybridMultilevel"/>
    <w:tmpl w:val="47F4B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B06EF2"/>
    <w:multiLevelType w:val="hybridMultilevel"/>
    <w:tmpl w:val="E9F03942"/>
    <w:lvl w:ilvl="0">
      <w:start w:val="1"/>
      <w:numFmt w:val="bullet"/>
      <w:lvlText w:val=""/>
      <w:lvlJc w:val="left"/>
      <w:pPr>
        <w:ind w:left="1483" w:hanging="360"/>
      </w:pPr>
      <w:rPr>
        <w:rFonts w:ascii="Symbol" w:hAnsi="Symbol" w:hint="default"/>
      </w:rPr>
    </w:lvl>
    <w:lvl w:ilvl="1" w:tentative="1">
      <w:start w:val="1"/>
      <w:numFmt w:val="bullet"/>
      <w:lvlText w:val="o"/>
      <w:lvlJc w:val="left"/>
      <w:pPr>
        <w:ind w:left="2203" w:hanging="360"/>
      </w:pPr>
      <w:rPr>
        <w:rFonts w:ascii="Courier New" w:hAnsi="Courier New" w:cs="Courier New" w:hint="default"/>
      </w:rPr>
    </w:lvl>
    <w:lvl w:ilvl="2" w:tentative="1">
      <w:start w:val="1"/>
      <w:numFmt w:val="bullet"/>
      <w:lvlText w:val=""/>
      <w:lvlJc w:val="left"/>
      <w:pPr>
        <w:ind w:left="2923" w:hanging="360"/>
      </w:pPr>
      <w:rPr>
        <w:rFonts w:ascii="Wingdings" w:hAnsi="Wingdings" w:hint="default"/>
      </w:rPr>
    </w:lvl>
    <w:lvl w:ilvl="3" w:tentative="1">
      <w:start w:val="1"/>
      <w:numFmt w:val="bullet"/>
      <w:lvlText w:val=""/>
      <w:lvlJc w:val="left"/>
      <w:pPr>
        <w:ind w:left="3643" w:hanging="360"/>
      </w:pPr>
      <w:rPr>
        <w:rFonts w:ascii="Symbol" w:hAnsi="Symbol" w:hint="default"/>
      </w:rPr>
    </w:lvl>
    <w:lvl w:ilvl="4" w:tentative="1">
      <w:start w:val="1"/>
      <w:numFmt w:val="bullet"/>
      <w:lvlText w:val="o"/>
      <w:lvlJc w:val="left"/>
      <w:pPr>
        <w:ind w:left="4363" w:hanging="360"/>
      </w:pPr>
      <w:rPr>
        <w:rFonts w:ascii="Courier New" w:hAnsi="Courier New" w:cs="Courier New" w:hint="default"/>
      </w:rPr>
    </w:lvl>
    <w:lvl w:ilvl="5" w:tentative="1">
      <w:start w:val="1"/>
      <w:numFmt w:val="bullet"/>
      <w:lvlText w:val=""/>
      <w:lvlJc w:val="left"/>
      <w:pPr>
        <w:ind w:left="5083" w:hanging="360"/>
      </w:pPr>
      <w:rPr>
        <w:rFonts w:ascii="Wingdings" w:hAnsi="Wingdings" w:hint="default"/>
      </w:rPr>
    </w:lvl>
    <w:lvl w:ilvl="6" w:tentative="1">
      <w:start w:val="1"/>
      <w:numFmt w:val="bullet"/>
      <w:lvlText w:val=""/>
      <w:lvlJc w:val="left"/>
      <w:pPr>
        <w:ind w:left="5803" w:hanging="360"/>
      </w:pPr>
      <w:rPr>
        <w:rFonts w:ascii="Symbol" w:hAnsi="Symbol" w:hint="default"/>
      </w:rPr>
    </w:lvl>
    <w:lvl w:ilvl="7" w:tentative="1">
      <w:start w:val="1"/>
      <w:numFmt w:val="bullet"/>
      <w:lvlText w:val="o"/>
      <w:lvlJc w:val="left"/>
      <w:pPr>
        <w:ind w:left="6523" w:hanging="360"/>
      </w:pPr>
      <w:rPr>
        <w:rFonts w:ascii="Courier New" w:hAnsi="Courier New" w:cs="Courier New" w:hint="default"/>
      </w:rPr>
    </w:lvl>
    <w:lvl w:ilvl="8" w:tentative="1">
      <w:start w:val="1"/>
      <w:numFmt w:val="bullet"/>
      <w:lvlText w:val=""/>
      <w:lvlJc w:val="left"/>
      <w:pPr>
        <w:ind w:left="7243" w:hanging="360"/>
      </w:pPr>
      <w:rPr>
        <w:rFonts w:ascii="Wingdings" w:hAnsi="Wingdings" w:hint="default"/>
      </w:rPr>
    </w:lvl>
  </w:abstractNum>
  <w:abstractNum w:abstractNumId="16">
    <w:nsid w:val="2E4D6FD9"/>
    <w:multiLevelType w:val="hybridMultilevel"/>
    <w:tmpl w:val="9EA82898"/>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
    <w:nsid w:val="2F5F7B24"/>
    <w:multiLevelType w:val="hybridMultilevel"/>
    <w:tmpl w:val="F3E06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7337BB"/>
    <w:multiLevelType w:val="hybridMultilevel"/>
    <w:tmpl w:val="754C7C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DD01236"/>
    <w:multiLevelType w:val="multilevel"/>
    <w:tmpl w:val="18189950"/>
    <w:name w:val="AutoList2"/>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12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474C73C8"/>
    <w:multiLevelType w:val="hybridMultilevel"/>
    <w:tmpl w:val="11AA16CA"/>
    <w:lvl w:ilvl="0">
      <w:start w:val="1"/>
      <w:numFmt w:val="decimal"/>
      <w:lvlText w:val="%1."/>
      <w:lvlJc w:val="left"/>
      <w:pPr>
        <w:ind w:left="54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AE02671"/>
    <w:multiLevelType w:val="hybridMultilevel"/>
    <w:tmpl w:val="318C3F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85738C"/>
    <w:multiLevelType w:val="multilevel"/>
    <w:tmpl w:val="1818995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6737052A"/>
    <w:multiLevelType w:val="hybridMultilevel"/>
    <w:tmpl w:val="AF640F8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2402B1"/>
    <w:multiLevelType w:val="hybridMultilevel"/>
    <w:tmpl w:val="CB8A0F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679623714">
    <w:abstractNumId w:val="2"/>
  </w:num>
  <w:num w:numId="2" w16cid:durableId="1458527522">
    <w:abstractNumId w:val="3"/>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67630375">
    <w:abstractNumId w:val="11"/>
  </w:num>
  <w:num w:numId="4" w16cid:durableId="1068456062">
    <w:abstractNumId w:val="7"/>
  </w:num>
  <w:num w:numId="5" w16cid:durableId="1934048334">
    <w:abstractNumId w:val="8"/>
  </w:num>
  <w:num w:numId="6" w16cid:durableId="49117741">
    <w:abstractNumId w:val="4"/>
  </w:num>
  <w:num w:numId="7" w16cid:durableId="1991904047">
    <w:abstractNumId w:val="15"/>
  </w:num>
  <w:num w:numId="8" w16cid:durableId="1387951512">
    <w:abstractNumId w:val="5"/>
  </w:num>
  <w:num w:numId="9" w16cid:durableId="565192551">
    <w:abstractNumId w:val="14"/>
  </w:num>
  <w:num w:numId="10" w16cid:durableId="1321426321">
    <w:abstractNumId w:val="16"/>
  </w:num>
  <w:num w:numId="11" w16cid:durableId="102463512">
    <w:abstractNumId w:val="2"/>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2" w16cid:durableId="1319308720">
    <w:abstractNumId w:val="2"/>
    <w:lvlOverride w:ilvl="0">
      <w:lvl w:ilvl="0">
        <w:start w:val="5"/>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3" w16cid:durableId="1284582471">
    <w:abstractNumId w:val="2"/>
    <w:lvlOverride w:ilvl="0">
      <w:lvl w:ilvl="0">
        <w:start w:val="5"/>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14" w16cid:durableId="1199659856">
    <w:abstractNumId w:val="23"/>
  </w:num>
  <w:num w:numId="15" w16cid:durableId="1264916042">
    <w:abstractNumId w:val="19"/>
  </w:num>
  <w:num w:numId="16" w16cid:durableId="1982423209">
    <w:abstractNumId w:val="10"/>
  </w:num>
  <w:num w:numId="17" w16cid:durableId="235094406">
    <w:abstractNumId w:val="22"/>
  </w:num>
  <w:num w:numId="18" w16cid:durableId="1337415366">
    <w:abstractNumId w:val="21"/>
  </w:num>
  <w:num w:numId="19" w16cid:durableId="810829692">
    <w:abstractNumId w:val="9"/>
  </w:num>
  <w:num w:numId="20" w16cid:durableId="1475370584">
    <w:abstractNumId w:val="18"/>
  </w:num>
  <w:num w:numId="21" w16cid:durableId="681014888">
    <w:abstractNumId w:val="12"/>
  </w:num>
  <w:num w:numId="22" w16cid:durableId="1858344679">
    <w:abstractNumId w:val="0"/>
  </w:num>
  <w:num w:numId="23" w16cid:durableId="670181464">
    <w:abstractNumId w:val="1"/>
  </w:num>
  <w:num w:numId="24" w16cid:durableId="1843734122">
    <w:abstractNumId w:val="20"/>
  </w:num>
  <w:num w:numId="25" w16cid:durableId="1847330762">
    <w:abstractNumId w:val="13"/>
  </w:num>
  <w:num w:numId="26" w16cid:durableId="114714930">
    <w:abstractNumId w:val="6"/>
  </w:num>
  <w:num w:numId="27" w16cid:durableId="1766264005">
    <w:abstractNumId w:val="24"/>
  </w:num>
  <w:num w:numId="28" w16cid:durableId="11408772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079C"/>
    <w:rsid w:val="00001171"/>
    <w:rsid w:val="00004DD9"/>
    <w:rsid w:val="00005887"/>
    <w:rsid w:val="00006AAC"/>
    <w:rsid w:val="0001574A"/>
    <w:rsid w:val="00015917"/>
    <w:rsid w:val="00015C88"/>
    <w:rsid w:val="00015EC2"/>
    <w:rsid w:val="0001709B"/>
    <w:rsid w:val="00017547"/>
    <w:rsid w:val="000205A5"/>
    <w:rsid w:val="00020862"/>
    <w:rsid w:val="000214D3"/>
    <w:rsid w:val="00024B02"/>
    <w:rsid w:val="00025531"/>
    <w:rsid w:val="000277CA"/>
    <w:rsid w:val="00033535"/>
    <w:rsid w:val="00033CB1"/>
    <w:rsid w:val="000344E0"/>
    <w:rsid w:val="00035833"/>
    <w:rsid w:val="00035E3E"/>
    <w:rsid w:val="000416B4"/>
    <w:rsid w:val="00043BD4"/>
    <w:rsid w:val="00046553"/>
    <w:rsid w:val="00047402"/>
    <w:rsid w:val="00053BCC"/>
    <w:rsid w:val="00056FCE"/>
    <w:rsid w:val="00057735"/>
    <w:rsid w:val="00057A64"/>
    <w:rsid w:val="000602E6"/>
    <w:rsid w:val="0006109F"/>
    <w:rsid w:val="00061D00"/>
    <w:rsid w:val="0006385B"/>
    <w:rsid w:val="00063B9C"/>
    <w:rsid w:val="000641B5"/>
    <w:rsid w:val="00064665"/>
    <w:rsid w:val="00065021"/>
    <w:rsid w:val="00067E31"/>
    <w:rsid w:val="00075966"/>
    <w:rsid w:val="00080D38"/>
    <w:rsid w:val="00081D44"/>
    <w:rsid w:val="000836CD"/>
    <w:rsid w:val="000837D2"/>
    <w:rsid w:val="00084E36"/>
    <w:rsid w:val="00090814"/>
    <w:rsid w:val="00090858"/>
    <w:rsid w:val="00093F37"/>
    <w:rsid w:val="000945DE"/>
    <w:rsid w:val="0009486A"/>
    <w:rsid w:val="000962C2"/>
    <w:rsid w:val="000A0205"/>
    <w:rsid w:val="000A0C78"/>
    <w:rsid w:val="000A3137"/>
    <w:rsid w:val="000A33A2"/>
    <w:rsid w:val="000A54FF"/>
    <w:rsid w:val="000A6B65"/>
    <w:rsid w:val="000A742F"/>
    <w:rsid w:val="000B0132"/>
    <w:rsid w:val="000B2985"/>
    <w:rsid w:val="000B33F9"/>
    <w:rsid w:val="000C1CE4"/>
    <w:rsid w:val="000C63CC"/>
    <w:rsid w:val="000C6AB3"/>
    <w:rsid w:val="000D1446"/>
    <w:rsid w:val="000D22F7"/>
    <w:rsid w:val="000D2D85"/>
    <w:rsid w:val="000D5098"/>
    <w:rsid w:val="000D5476"/>
    <w:rsid w:val="000D5949"/>
    <w:rsid w:val="000D60AE"/>
    <w:rsid w:val="000D6FA8"/>
    <w:rsid w:val="000E18F6"/>
    <w:rsid w:val="000E3D28"/>
    <w:rsid w:val="000E5366"/>
    <w:rsid w:val="000E5590"/>
    <w:rsid w:val="000E581F"/>
    <w:rsid w:val="000E5B19"/>
    <w:rsid w:val="000E796B"/>
    <w:rsid w:val="000F03CD"/>
    <w:rsid w:val="000F5086"/>
    <w:rsid w:val="00100BBC"/>
    <w:rsid w:val="001018BF"/>
    <w:rsid w:val="0010293A"/>
    <w:rsid w:val="00103E46"/>
    <w:rsid w:val="00107C5C"/>
    <w:rsid w:val="00112FBE"/>
    <w:rsid w:val="0012007A"/>
    <w:rsid w:val="001207CF"/>
    <w:rsid w:val="00122D9B"/>
    <w:rsid w:val="00125D39"/>
    <w:rsid w:val="001270C0"/>
    <w:rsid w:val="00134E44"/>
    <w:rsid w:val="0014167B"/>
    <w:rsid w:val="001416D3"/>
    <w:rsid w:val="00152323"/>
    <w:rsid w:val="001529E1"/>
    <w:rsid w:val="00156AF4"/>
    <w:rsid w:val="0015755F"/>
    <w:rsid w:val="00163716"/>
    <w:rsid w:val="00164288"/>
    <w:rsid w:val="001673C7"/>
    <w:rsid w:val="001701EF"/>
    <w:rsid w:val="001702C7"/>
    <w:rsid w:val="00170509"/>
    <w:rsid w:val="00170E0D"/>
    <w:rsid w:val="0017105C"/>
    <w:rsid w:val="001714A5"/>
    <w:rsid w:val="0017165A"/>
    <w:rsid w:val="0017296F"/>
    <w:rsid w:val="00172A7C"/>
    <w:rsid w:val="001750A5"/>
    <w:rsid w:val="00175AB2"/>
    <w:rsid w:val="001765E8"/>
    <w:rsid w:val="00177520"/>
    <w:rsid w:val="0017783F"/>
    <w:rsid w:val="00180B85"/>
    <w:rsid w:val="001849B6"/>
    <w:rsid w:val="0019040B"/>
    <w:rsid w:val="00193DE0"/>
    <w:rsid w:val="00195C3B"/>
    <w:rsid w:val="001A021A"/>
    <w:rsid w:val="001A1CA2"/>
    <w:rsid w:val="001A29C0"/>
    <w:rsid w:val="001A2FB4"/>
    <w:rsid w:val="001A4BB5"/>
    <w:rsid w:val="001A5E7E"/>
    <w:rsid w:val="001A6205"/>
    <w:rsid w:val="001B32D9"/>
    <w:rsid w:val="001B61BF"/>
    <w:rsid w:val="001B75FF"/>
    <w:rsid w:val="001C1900"/>
    <w:rsid w:val="001C24AD"/>
    <w:rsid w:val="001C2622"/>
    <w:rsid w:val="001C3220"/>
    <w:rsid w:val="001C32C3"/>
    <w:rsid w:val="001C59BE"/>
    <w:rsid w:val="001C6804"/>
    <w:rsid w:val="001C6B6B"/>
    <w:rsid w:val="001D0DC9"/>
    <w:rsid w:val="001D1E38"/>
    <w:rsid w:val="001D2E99"/>
    <w:rsid w:val="001E1936"/>
    <w:rsid w:val="001E36F5"/>
    <w:rsid w:val="001E4A9E"/>
    <w:rsid w:val="001E736E"/>
    <w:rsid w:val="001E7FF5"/>
    <w:rsid w:val="001F0EA2"/>
    <w:rsid w:val="001F16A4"/>
    <w:rsid w:val="001F57CB"/>
    <w:rsid w:val="001F5F69"/>
    <w:rsid w:val="001F76A7"/>
    <w:rsid w:val="002011B1"/>
    <w:rsid w:val="002017B9"/>
    <w:rsid w:val="00203885"/>
    <w:rsid w:val="002052FD"/>
    <w:rsid w:val="0021065A"/>
    <w:rsid w:val="002128D6"/>
    <w:rsid w:val="00215CC4"/>
    <w:rsid w:val="0021660B"/>
    <w:rsid w:val="00217C6E"/>
    <w:rsid w:val="0022199B"/>
    <w:rsid w:val="00221A4D"/>
    <w:rsid w:val="00221D39"/>
    <w:rsid w:val="00224FE3"/>
    <w:rsid w:val="00226B8F"/>
    <w:rsid w:val="002271DF"/>
    <w:rsid w:val="00230B26"/>
    <w:rsid w:val="002325A3"/>
    <w:rsid w:val="00251F5A"/>
    <w:rsid w:val="0025510E"/>
    <w:rsid w:val="00261B02"/>
    <w:rsid w:val="00264148"/>
    <w:rsid w:val="00264AF5"/>
    <w:rsid w:val="00266C7F"/>
    <w:rsid w:val="00280554"/>
    <w:rsid w:val="0028089C"/>
    <w:rsid w:val="00280997"/>
    <w:rsid w:val="00283A78"/>
    <w:rsid w:val="0028507E"/>
    <w:rsid w:val="00286659"/>
    <w:rsid w:val="00287DF6"/>
    <w:rsid w:val="00290EA9"/>
    <w:rsid w:val="00293E51"/>
    <w:rsid w:val="0029417C"/>
    <w:rsid w:val="00295265"/>
    <w:rsid w:val="002A0F41"/>
    <w:rsid w:val="002A2535"/>
    <w:rsid w:val="002A4EA4"/>
    <w:rsid w:val="002A6618"/>
    <w:rsid w:val="002B3065"/>
    <w:rsid w:val="002B4912"/>
    <w:rsid w:val="002C097B"/>
    <w:rsid w:val="002C7191"/>
    <w:rsid w:val="002D0D28"/>
    <w:rsid w:val="002D11E1"/>
    <w:rsid w:val="002D1262"/>
    <w:rsid w:val="002D39A1"/>
    <w:rsid w:val="002D4907"/>
    <w:rsid w:val="002D4F3A"/>
    <w:rsid w:val="002D50FD"/>
    <w:rsid w:val="002E1F0F"/>
    <w:rsid w:val="002E355D"/>
    <w:rsid w:val="002E3741"/>
    <w:rsid w:val="002E5E5F"/>
    <w:rsid w:val="002F0B44"/>
    <w:rsid w:val="002F0C01"/>
    <w:rsid w:val="002F267E"/>
    <w:rsid w:val="002F5F3D"/>
    <w:rsid w:val="002F6C8B"/>
    <w:rsid w:val="00301DE5"/>
    <w:rsid w:val="00302475"/>
    <w:rsid w:val="00307E75"/>
    <w:rsid w:val="00310898"/>
    <w:rsid w:val="00311ED8"/>
    <w:rsid w:val="003155D2"/>
    <w:rsid w:val="00321778"/>
    <w:rsid w:val="00323890"/>
    <w:rsid w:val="00323F61"/>
    <w:rsid w:val="003249C7"/>
    <w:rsid w:val="00325AE6"/>
    <w:rsid w:val="00330A26"/>
    <w:rsid w:val="0033131B"/>
    <w:rsid w:val="00331DDF"/>
    <w:rsid w:val="003347BD"/>
    <w:rsid w:val="0033526E"/>
    <w:rsid w:val="003402AD"/>
    <w:rsid w:val="0034062C"/>
    <w:rsid w:val="00342CC9"/>
    <w:rsid w:val="00351D2E"/>
    <w:rsid w:val="0035316B"/>
    <w:rsid w:val="00354597"/>
    <w:rsid w:val="00355ED6"/>
    <w:rsid w:val="00356D2A"/>
    <w:rsid w:val="00361999"/>
    <w:rsid w:val="00363851"/>
    <w:rsid w:val="0036556A"/>
    <w:rsid w:val="00367228"/>
    <w:rsid w:val="00370E19"/>
    <w:rsid w:val="003756CF"/>
    <w:rsid w:val="00380228"/>
    <w:rsid w:val="00383F3F"/>
    <w:rsid w:val="0038608F"/>
    <w:rsid w:val="003867AD"/>
    <w:rsid w:val="00387C39"/>
    <w:rsid w:val="003904D0"/>
    <w:rsid w:val="00392D00"/>
    <w:rsid w:val="00393545"/>
    <w:rsid w:val="0039437D"/>
    <w:rsid w:val="00395DF8"/>
    <w:rsid w:val="003A1A7D"/>
    <w:rsid w:val="003A4007"/>
    <w:rsid w:val="003A5379"/>
    <w:rsid w:val="003A5CC2"/>
    <w:rsid w:val="003A5EFF"/>
    <w:rsid w:val="003B0445"/>
    <w:rsid w:val="003B1F04"/>
    <w:rsid w:val="003B3243"/>
    <w:rsid w:val="003B534D"/>
    <w:rsid w:val="003B7FA8"/>
    <w:rsid w:val="003C2AAE"/>
    <w:rsid w:val="003C77C6"/>
    <w:rsid w:val="003D223F"/>
    <w:rsid w:val="003D25EF"/>
    <w:rsid w:val="003D3434"/>
    <w:rsid w:val="003D3A25"/>
    <w:rsid w:val="003D3A51"/>
    <w:rsid w:val="003D3A76"/>
    <w:rsid w:val="003D4ED1"/>
    <w:rsid w:val="003D5A2F"/>
    <w:rsid w:val="003D774A"/>
    <w:rsid w:val="003D7784"/>
    <w:rsid w:val="003E4ADB"/>
    <w:rsid w:val="003E4CC3"/>
    <w:rsid w:val="003E7F9A"/>
    <w:rsid w:val="003F1439"/>
    <w:rsid w:val="003F51EA"/>
    <w:rsid w:val="003F77F5"/>
    <w:rsid w:val="00400671"/>
    <w:rsid w:val="00400683"/>
    <w:rsid w:val="004057A6"/>
    <w:rsid w:val="00405954"/>
    <w:rsid w:val="004068E0"/>
    <w:rsid w:val="00413FAF"/>
    <w:rsid w:val="004143CA"/>
    <w:rsid w:val="00414862"/>
    <w:rsid w:val="0041565C"/>
    <w:rsid w:val="00416750"/>
    <w:rsid w:val="0041691D"/>
    <w:rsid w:val="00416D5F"/>
    <w:rsid w:val="00420D15"/>
    <w:rsid w:val="00421F5E"/>
    <w:rsid w:val="00425792"/>
    <w:rsid w:val="00425938"/>
    <w:rsid w:val="00430C1C"/>
    <w:rsid w:val="0043112A"/>
    <w:rsid w:val="004314E0"/>
    <w:rsid w:val="00433BA9"/>
    <w:rsid w:val="00440372"/>
    <w:rsid w:val="0044167E"/>
    <w:rsid w:val="00441AD3"/>
    <w:rsid w:val="00442951"/>
    <w:rsid w:val="0044343F"/>
    <w:rsid w:val="00445EAC"/>
    <w:rsid w:val="004463BA"/>
    <w:rsid w:val="0044706A"/>
    <w:rsid w:val="00447EB1"/>
    <w:rsid w:val="0045182E"/>
    <w:rsid w:val="00451F62"/>
    <w:rsid w:val="00454C46"/>
    <w:rsid w:val="0045766F"/>
    <w:rsid w:val="0046274E"/>
    <w:rsid w:val="0046315D"/>
    <w:rsid w:val="0046354D"/>
    <w:rsid w:val="004643F1"/>
    <w:rsid w:val="004700D2"/>
    <w:rsid w:val="004727F8"/>
    <w:rsid w:val="004744D9"/>
    <w:rsid w:val="00474AE5"/>
    <w:rsid w:val="00477136"/>
    <w:rsid w:val="00480998"/>
    <w:rsid w:val="00484525"/>
    <w:rsid w:val="0048586C"/>
    <w:rsid w:val="004859EE"/>
    <w:rsid w:val="00485EAB"/>
    <w:rsid w:val="004925EA"/>
    <w:rsid w:val="00492AF7"/>
    <w:rsid w:val="004937BB"/>
    <w:rsid w:val="00493B1C"/>
    <w:rsid w:val="00494402"/>
    <w:rsid w:val="00494815"/>
    <w:rsid w:val="00495C1B"/>
    <w:rsid w:val="00495DFF"/>
    <w:rsid w:val="004A0DD1"/>
    <w:rsid w:val="004A1A51"/>
    <w:rsid w:val="004A1EAA"/>
    <w:rsid w:val="004A3AAF"/>
    <w:rsid w:val="004A6192"/>
    <w:rsid w:val="004B262D"/>
    <w:rsid w:val="004B2A65"/>
    <w:rsid w:val="004B2E9B"/>
    <w:rsid w:val="004B2F9E"/>
    <w:rsid w:val="004B5500"/>
    <w:rsid w:val="004B5967"/>
    <w:rsid w:val="004B68C2"/>
    <w:rsid w:val="004C0B98"/>
    <w:rsid w:val="004C377F"/>
    <w:rsid w:val="004C4228"/>
    <w:rsid w:val="004C4BB1"/>
    <w:rsid w:val="004C526C"/>
    <w:rsid w:val="004C67C7"/>
    <w:rsid w:val="004D0D12"/>
    <w:rsid w:val="004D0EC5"/>
    <w:rsid w:val="004D5BC7"/>
    <w:rsid w:val="004D66B1"/>
    <w:rsid w:val="004D7CC1"/>
    <w:rsid w:val="004E1C64"/>
    <w:rsid w:val="004E1DC7"/>
    <w:rsid w:val="004E7F46"/>
    <w:rsid w:val="004F02EB"/>
    <w:rsid w:val="004F5BB2"/>
    <w:rsid w:val="004F650E"/>
    <w:rsid w:val="004F741E"/>
    <w:rsid w:val="005002AE"/>
    <w:rsid w:val="0050090E"/>
    <w:rsid w:val="00507480"/>
    <w:rsid w:val="005118BA"/>
    <w:rsid w:val="005140A8"/>
    <w:rsid w:val="0051414D"/>
    <w:rsid w:val="00514521"/>
    <w:rsid w:val="005170DF"/>
    <w:rsid w:val="00520F11"/>
    <w:rsid w:val="00522F5E"/>
    <w:rsid w:val="00523FC1"/>
    <w:rsid w:val="005265B0"/>
    <w:rsid w:val="00530A74"/>
    <w:rsid w:val="00532340"/>
    <w:rsid w:val="00532A7C"/>
    <w:rsid w:val="00532B5C"/>
    <w:rsid w:val="00533889"/>
    <w:rsid w:val="00535B09"/>
    <w:rsid w:val="0053628C"/>
    <w:rsid w:val="005369C7"/>
    <w:rsid w:val="00540DAC"/>
    <w:rsid w:val="00540F88"/>
    <w:rsid w:val="00545D71"/>
    <w:rsid w:val="00552DA2"/>
    <w:rsid w:val="005567FE"/>
    <w:rsid w:val="00561A11"/>
    <w:rsid w:val="00563283"/>
    <w:rsid w:val="0056560A"/>
    <w:rsid w:val="005668A3"/>
    <w:rsid w:val="00567881"/>
    <w:rsid w:val="00567B52"/>
    <w:rsid w:val="00574D61"/>
    <w:rsid w:val="00575D1D"/>
    <w:rsid w:val="00580324"/>
    <w:rsid w:val="00582705"/>
    <w:rsid w:val="00583B37"/>
    <w:rsid w:val="00590330"/>
    <w:rsid w:val="005906D1"/>
    <w:rsid w:val="00590C3B"/>
    <w:rsid w:val="00593C82"/>
    <w:rsid w:val="00593DC5"/>
    <w:rsid w:val="005A0206"/>
    <w:rsid w:val="005A3915"/>
    <w:rsid w:val="005A6826"/>
    <w:rsid w:val="005B3C67"/>
    <w:rsid w:val="005B41EB"/>
    <w:rsid w:val="005B48D4"/>
    <w:rsid w:val="005B68F5"/>
    <w:rsid w:val="005C4C93"/>
    <w:rsid w:val="005C52B7"/>
    <w:rsid w:val="005D1B0D"/>
    <w:rsid w:val="005D27A8"/>
    <w:rsid w:val="005D2F80"/>
    <w:rsid w:val="005D456A"/>
    <w:rsid w:val="005D6EC9"/>
    <w:rsid w:val="005E00F2"/>
    <w:rsid w:val="005E1992"/>
    <w:rsid w:val="005E2527"/>
    <w:rsid w:val="005E25A9"/>
    <w:rsid w:val="005E30CA"/>
    <w:rsid w:val="005F3BB5"/>
    <w:rsid w:val="00602AD3"/>
    <w:rsid w:val="0060353C"/>
    <w:rsid w:val="00603AF7"/>
    <w:rsid w:val="00605C41"/>
    <w:rsid w:val="00607856"/>
    <w:rsid w:val="00612F4C"/>
    <w:rsid w:val="00613C15"/>
    <w:rsid w:val="006140B7"/>
    <w:rsid w:val="00615FF7"/>
    <w:rsid w:val="00616209"/>
    <w:rsid w:val="00617C5F"/>
    <w:rsid w:val="006210B1"/>
    <w:rsid w:val="00621A22"/>
    <w:rsid w:val="0062227E"/>
    <w:rsid w:val="00624870"/>
    <w:rsid w:val="00625C11"/>
    <w:rsid w:val="006327F9"/>
    <w:rsid w:val="00635451"/>
    <w:rsid w:val="006427BA"/>
    <w:rsid w:val="006429CF"/>
    <w:rsid w:val="00642B84"/>
    <w:rsid w:val="006434CD"/>
    <w:rsid w:val="00643938"/>
    <w:rsid w:val="00643C8A"/>
    <w:rsid w:val="0064684A"/>
    <w:rsid w:val="006516B8"/>
    <w:rsid w:val="00653AE0"/>
    <w:rsid w:val="00655C13"/>
    <w:rsid w:val="00656AF3"/>
    <w:rsid w:val="0066041C"/>
    <w:rsid w:val="00661BB8"/>
    <w:rsid w:val="00662054"/>
    <w:rsid w:val="006635D2"/>
    <w:rsid w:val="00663AC3"/>
    <w:rsid w:val="00665DE3"/>
    <w:rsid w:val="006660D4"/>
    <w:rsid w:val="006714BB"/>
    <w:rsid w:val="00672A95"/>
    <w:rsid w:val="00674568"/>
    <w:rsid w:val="00680F77"/>
    <w:rsid w:val="006811C9"/>
    <w:rsid w:val="00682555"/>
    <w:rsid w:val="00686079"/>
    <w:rsid w:val="00692658"/>
    <w:rsid w:val="00692933"/>
    <w:rsid w:val="00692CEC"/>
    <w:rsid w:val="00692DDF"/>
    <w:rsid w:val="00694F57"/>
    <w:rsid w:val="00695818"/>
    <w:rsid w:val="00696E21"/>
    <w:rsid w:val="006A07E1"/>
    <w:rsid w:val="006A3CDB"/>
    <w:rsid w:val="006A48F9"/>
    <w:rsid w:val="006A7C1E"/>
    <w:rsid w:val="006A7D63"/>
    <w:rsid w:val="006B75CE"/>
    <w:rsid w:val="006C1073"/>
    <w:rsid w:val="006C1C58"/>
    <w:rsid w:val="006C4EE1"/>
    <w:rsid w:val="006C6CB5"/>
    <w:rsid w:val="006D2DD1"/>
    <w:rsid w:val="006D5AE4"/>
    <w:rsid w:val="006D71CA"/>
    <w:rsid w:val="006E0D9C"/>
    <w:rsid w:val="006E296A"/>
    <w:rsid w:val="006F023D"/>
    <w:rsid w:val="006F2776"/>
    <w:rsid w:val="006F2D23"/>
    <w:rsid w:val="006F4F30"/>
    <w:rsid w:val="006F64E0"/>
    <w:rsid w:val="00702A50"/>
    <w:rsid w:val="007111FD"/>
    <w:rsid w:val="007118A8"/>
    <w:rsid w:val="007125A2"/>
    <w:rsid w:val="00714070"/>
    <w:rsid w:val="00714663"/>
    <w:rsid w:val="00714A04"/>
    <w:rsid w:val="00716202"/>
    <w:rsid w:val="00716F48"/>
    <w:rsid w:val="0072079F"/>
    <w:rsid w:val="0072091F"/>
    <w:rsid w:val="007231A7"/>
    <w:rsid w:val="00724FFF"/>
    <w:rsid w:val="00725330"/>
    <w:rsid w:val="00725904"/>
    <w:rsid w:val="00726E05"/>
    <w:rsid w:val="00730820"/>
    <w:rsid w:val="007314C3"/>
    <w:rsid w:val="00731F98"/>
    <w:rsid w:val="00737B70"/>
    <w:rsid w:val="00737EA0"/>
    <w:rsid w:val="0074131E"/>
    <w:rsid w:val="00744143"/>
    <w:rsid w:val="0074555D"/>
    <w:rsid w:val="00746B69"/>
    <w:rsid w:val="00750B48"/>
    <w:rsid w:val="0075218B"/>
    <w:rsid w:val="007556F0"/>
    <w:rsid w:val="00765DE4"/>
    <w:rsid w:val="00766907"/>
    <w:rsid w:val="00766EC8"/>
    <w:rsid w:val="00767A44"/>
    <w:rsid w:val="007701D2"/>
    <w:rsid w:val="00770E3F"/>
    <w:rsid w:val="00771FE2"/>
    <w:rsid w:val="007757B5"/>
    <w:rsid w:val="00775935"/>
    <w:rsid w:val="0077745C"/>
    <w:rsid w:val="0078373C"/>
    <w:rsid w:val="007862FB"/>
    <w:rsid w:val="0078634B"/>
    <w:rsid w:val="007867C4"/>
    <w:rsid w:val="00787275"/>
    <w:rsid w:val="007872A4"/>
    <w:rsid w:val="00792886"/>
    <w:rsid w:val="007A457C"/>
    <w:rsid w:val="007A4BA1"/>
    <w:rsid w:val="007A5B3E"/>
    <w:rsid w:val="007A6511"/>
    <w:rsid w:val="007A67AA"/>
    <w:rsid w:val="007A7005"/>
    <w:rsid w:val="007B0304"/>
    <w:rsid w:val="007B350F"/>
    <w:rsid w:val="007B6937"/>
    <w:rsid w:val="007B73E6"/>
    <w:rsid w:val="007C2A8E"/>
    <w:rsid w:val="007C6F81"/>
    <w:rsid w:val="007D07F2"/>
    <w:rsid w:val="007D0A0B"/>
    <w:rsid w:val="007D159B"/>
    <w:rsid w:val="007D2D63"/>
    <w:rsid w:val="007D360C"/>
    <w:rsid w:val="007D4546"/>
    <w:rsid w:val="007D6535"/>
    <w:rsid w:val="007E1795"/>
    <w:rsid w:val="007E3C84"/>
    <w:rsid w:val="007E4016"/>
    <w:rsid w:val="007E7EB7"/>
    <w:rsid w:val="007F143D"/>
    <w:rsid w:val="007F4E0D"/>
    <w:rsid w:val="007F5A50"/>
    <w:rsid w:val="007F685D"/>
    <w:rsid w:val="0080002A"/>
    <w:rsid w:val="008040E4"/>
    <w:rsid w:val="00805829"/>
    <w:rsid w:val="00806508"/>
    <w:rsid w:val="00806EED"/>
    <w:rsid w:val="008107F4"/>
    <w:rsid w:val="00811A4F"/>
    <w:rsid w:val="00812358"/>
    <w:rsid w:val="00813A36"/>
    <w:rsid w:val="008144B2"/>
    <w:rsid w:val="00815590"/>
    <w:rsid w:val="008201B8"/>
    <w:rsid w:val="00820B40"/>
    <w:rsid w:val="008220CF"/>
    <w:rsid w:val="008250F5"/>
    <w:rsid w:val="0083205B"/>
    <w:rsid w:val="008324DD"/>
    <w:rsid w:val="00834D67"/>
    <w:rsid w:val="00841B5D"/>
    <w:rsid w:val="0084235D"/>
    <w:rsid w:val="00842DD6"/>
    <w:rsid w:val="008462ED"/>
    <w:rsid w:val="00846CD9"/>
    <w:rsid w:val="00846FB6"/>
    <w:rsid w:val="00847B23"/>
    <w:rsid w:val="00853660"/>
    <w:rsid w:val="00853BCD"/>
    <w:rsid w:val="008547A3"/>
    <w:rsid w:val="00856A00"/>
    <w:rsid w:val="0086035A"/>
    <w:rsid w:val="00862155"/>
    <w:rsid w:val="008633D4"/>
    <w:rsid w:val="00864408"/>
    <w:rsid w:val="00864662"/>
    <w:rsid w:val="008663A0"/>
    <w:rsid w:val="0086788B"/>
    <w:rsid w:val="00872335"/>
    <w:rsid w:val="0087546A"/>
    <w:rsid w:val="008758B7"/>
    <w:rsid w:val="0087758B"/>
    <w:rsid w:val="008818C1"/>
    <w:rsid w:val="008833F0"/>
    <w:rsid w:val="008869C6"/>
    <w:rsid w:val="00891F8A"/>
    <w:rsid w:val="00892EF6"/>
    <w:rsid w:val="00894418"/>
    <w:rsid w:val="008977CE"/>
    <w:rsid w:val="008A241F"/>
    <w:rsid w:val="008A2ED5"/>
    <w:rsid w:val="008A3845"/>
    <w:rsid w:val="008A7226"/>
    <w:rsid w:val="008B764F"/>
    <w:rsid w:val="008C059F"/>
    <w:rsid w:val="008C1AF9"/>
    <w:rsid w:val="008C487B"/>
    <w:rsid w:val="008C7001"/>
    <w:rsid w:val="008D0725"/>
    <w:rsid w:val="008D17A3"/>
    <w:rsid w:val="008D418F"/>
    <w:rsid w:val="008D5F1A"/>
    <w:rsid w:val="008D6DE9"/>
    <w:rsid w:val="008E0299"/>
    <w:rsid w:val="008E17AD"/>
    <w:rsid w:val="008E19E4"/>
    <w:rsid w:val="008E3151"/>
    <w:rsid w:val="008E3B03"/>
    <w:rsid w:val="008E497C"/>
    <w:rsid w:val="008E4EA5"/>
    <w:rsid w:val="008E6687"/>
    <w:rsid w:val="008F090A"/>
    <w:rsid w:val="008F1B50"/>
    <w:rsid w:val="008F3B14"/>
    <w:rsid w:val="008F3F63"/>
    <w:rsid w:val="008F6E6F"/>
    <w:rsid w:val="008F71C7"/>
    <w:rsid w:val="00900700"/>
    <w:rsid w:val="009015F1"/>
    <w:rsid w:val="00904AB2"/>
    <w:rsid w:val="00905144"/>
    <w:rsid w:val="0090747C"/>
    <w:rsid w:val="00910E2A"/>
    <w:rsid w:val="009125EA"/>
    <w:rsid w:val="009150B7"/>
    <w:rsid w:val="009164C6"/>
    <w:rsid w:val="00916947"/>
    <w:rsid w:val="009201A2"/>
    <w:rsid w:val="00923D07"/>
    <w:rsid w:val="00925BF7"/>
    <w:rsid w:val="00925F75"/>
    <w:rsid w:val="009309F0"/>
    <w:rsid w:val="009316A9"/>
    <w:rsid w:val="00931C72"/>
    <w:rsid w:val="009346A5"/>
    <w:rsid w:val="00934C1F"/>
    <w:rsid w:val="00934FE3"/>
    <w:rsid w:val="0093506E"/>
    <w:rsid w:val="00935F11"/>
    <w:rsid w:val="009372A7"/>
    <w:rsid w:val="009374D2"/>
    <w:rsid w:val="009415D4"/>
    <w:rsid w:val="00942C8B"/>
    <w:rsid w:val="00943E74"/>
    <w:rsid w:val="00943F06"/>
    <w:rsid w:val="00946A8C"/>
    <w:rsid w:val="00946F88"/>
    <w:rsid w:val="00947CEB"/>
    <w:rsid w:val="009503D5"/>
    <w:rsid w:val="0095064B"/>
    <w:rsid w:val="009526DF"/>
    <w:rsid w:val="00952D9C"/>
    <w:rsid w:val="00953EB2"/>
    <w:rsid w:val="0095414F"/>
    <w:rsid w:val="00957004"/>
    <w:rsid w:val="00960CA3"/>
    <w:rsid w:val="00961100"/>
    <w:rsid w:val="009638DA"/>
    <w:rsid w:val="00965108"/>
    <w:rsid w:val="00970418"/>
    <w:rsid w:val="00975CF1"/>
    <w:rsid w:val="0098066F"/>
    <w:rsid w:val="00984C79"/>
    <w:rsid w:val="00985456"/>
    <w:rsid w:val="009859C6"/>
    <w:rsid w:val="0098612E"/>
    <w:rsid w:val="009909A3"/>
    <w:rsid w:val="00990D09"/>
    <w:rsid w:val="0099135C"/>
    <w:rsid w:val="00992546"/>
    <w:rsid w:val="00993042"/>
    <w:rsid w:val="009A10F2"/>
    <w:rsid w:val="009A1560"/>
    <w:rsid w:val="009A2C31"/>
    <w:rsid w:val="009A7EB2"/>
    <w:rsid w:val="009B08BC"/>
    <w:rsid w:val="009B1035"/>
    <w:rsid w:val="009B30C8"/>
    <w:rsid w:val="009B5CA5"/>
    <w:rsid w:val="009B7BDC"/>
    <w:rsid w:val="009C0367"/>
    <w:rsid w:val="009C30A8"/>
    <w:rsid w:val="009C38E1"/>
    <w:rsid w:val="009C4889"/>
    <w:rsid w:val="009C49EC"/>
    <w:rsid w:val="009C4F91"/>
    <w:rsid w:val="009D36FE"/>
    <w:rsid w:val="009D5F0A"/>
    <w:rsid w:val="009D67AB"/>
    <w:rsid w:val="009E5F4C"/>
    <w:rsid w:val="009E751C"/>
    <w:rsid w:val="009E7690"/>
    <w:rsid w:val="009F1819"/>
    <w:rsid w:val="009F38F0"/>
    <w:rsid w:val="009F4BEE"/>
    <w:rsid w:val="00A03947"/>
    <w:rsid w:val="00A0596A"/>
    <w:rsid w:val="00A2412B"/>
    <w:rsid w:val="00A24EA4"/>
    <w:rsid w:val="00A25227"/>
    <w:rsid w:val="00A302C8"/>
    <w:rsid w:val="00A313B2"/>
    <w:rsid w:val="00A31F96"/>
    <w:rsid w:val="00A355B1"/>
    <w:rsid w:val="00A3720D"/>
    <w:rsid w:val="00A408E3"/>
    <w:rsid w:val="00A40BA2"/>
    <w:rsid w:val="00A45FD8"/>
    <w:rsid w:val="00A468D1"/>
    <w:rsid w:val="00A50CBD"/>
    <w:rsid w:val="00A516B5"/>
    <w:rsid w:val="00A516E7"/>
    <w:rsid w:val="00A51E6F"/>
    <w:rsid w:val="00A53ABA"/>
    <w:rsid w:val="00A53DDD"/>
    <w:rsid w:val="00A5450A"/>
    <w:rsid w:val="00A55098"/>
    <w:rsid w:val="00A557B7"/>
    <w:rsid w:val="00A56947"/>
    <w:rsid w:val="00A56DF9"/>
    <w:rsid w:val="00A600F9"/>
    <w:rsid w:val="00A62E02"/>
    <w:rsid w:val="00A63C30"/>
    <w:rsid w:val="00A64D9B"/>
    <w:rsid w:val="00A65255"/>
    <w:rsid w:val="00A67E66"/>
    <w:rsid w:val="00A75C80"/>
    <w:rsid w:val="00A75D3C"/>
    <w:rsid w:val="00A80FFA"/>
    <w:rsid w:val="00A8510D"/>
    <w:rsid w:val="00A85A9B"/>
    <w:rsid w:val="00A94CCB"/>
    <w:rsid w:val="00A953EF"/>
    <w:rsid w:val="00A9609B"/>
    <w:rsid w:val="00A97EE2"/>
    <w:rsid w:val="00AA26E7"/>
    <w:rsid w:val="00AA609D"/>
    <w:rsid w:val="00AA7FC3"/>
    <w:rsid w:val="00AB112C"/>
    <w:rsid w:val="00AC0BB6"/>
    <w:rsid w:val="00AD003A"/>
    <w:rsid w:val="00AD0645"/>
    <w:rsid w:val="00AD4A37"/>
    <w:rsid w:val="00AD50ED"/>
    <w:rsid w:val="00AD68DA"/>
    <w:rsid w:val="00AE02CC"/>
    <w:rsid w:val="00AE2A6C"/>
    <w:rsid w:val="00AE4358"/>
    <w:rsid w:val="00AE6BA4"/>
    <w:rsid w:val="00B02E49"/>
    <w:rsid w:val="00B03EC4"/>
    <w:rsid w:val="00B1477A"/>
    <w:rsid w:val="00B165A7"/>
    <w:rsid w:val="00B1727C"/>
    <w:rsid w:val="00B207C3"/>
    <w:rsid w:val="00B2185A"/>
    <w:rsid w:val="00B22AF9"/>
    <w:rsid w:val="00B238A1"/>
    <w:rsid w:val="00B3016C"/>
    <w:rsid w:val="00B32449"/>
    <w:rsid w:val="00B33313"/>
    <w:rsid w:val="00B407BF"/>
    <w:rsid w:val="00B42A55"/>
    <w:rsid w:val="00B462B3"/>
    <w:rsid w:val="00B47EEC"/>
    <w:rsid w:val="00B51BA8"/>
    <w:rsid w:val="00B51C05"/>
    <w:rsid w:val="00B5517A"/>
    <w:rsid w:val="00B55DF2"/>
    <w:rsid w:val="00B57BDC"/>
    <w:rsid w:val="00B60FA2"/>
    <w:rsid w:val="00B6226B"/>
    <w:rsid w:val="00B66900"/>
    <w:rsid w:val="00B70F4E"/>
    <w:rsid w:val="00B75F25"/>
    <w:rsid w:val="00B76053"/>
    <w:rsid w:val="00B81723"/>
    <w:rsid w:val="00B84E87"/>
    <w:rsid w:val="00B85672"/>
    <w:rsid w:val="00B91A3D"/>
    <w:rsid w:val="00B928E2"/>
    <w:rsid w:val="00B96296"/>
    <w:rsid w:val="00BA4A58"/>
    <w:rsid w:val="00BA5592"/>
    <w:rsid w:val="00BA743D"/>
    <w:rsid w:val="00BC1EDE"/>
    <w:rsid w:val="00BC215B"/>
    <w:rsid w:val="00BC325B"/>
    <w:rsid w:val="00BC6854"/>
    <w:rsid w:val="00BD2DBE"/>
    <w:rsid w:val="00BD463B"/>
    <w:rsid w:val="00BD7EBE"/>
    <w:rsid w:val="00BE1B67"/>
    <w:rsid w:val="00BE72B3"/>
    <w:rsid w:val="00BF0EDC"/>
    <w:rsid w:val="00BF1552"/>
    <w:rsid w:val="00BF2321"/>
    <w:rsid w:val="00BF59FE"/>
    <w:rsid w:val="00BF64E4"/>
    <w:rsid w:val="00BF6FAE"/>
    <w:rsid w:val="00BF7DCC"/>
    <w:rsid w:val="00C00A3A"/>
    <w:rsid w:val="00C0200F"/>
    <w:rsid w:val="00C0718B"/>
    <w:rsid w:val="00C1115F"/>
    <w:rsid w:val="00C1219E"/>
    <w:rsid w:val="00C17D82"/>
    <w:rsid w:val="00C24474"/>
    <w:rsid w:val="00C30AF8"/>
    <w:rsid w:val="00C36140"/>
    <w:rsid w:val="00C40317"/>
    <w:rsid w:val="00C43143"/>
    <w:rsid w:val="00C45ED1"/>
    <w:rsid w:val="00C46246"/>
    <w:rsid w:val="00C46534"/>
    <w:rsid w:val="00C47B6C"/>
    <w:rsid w:val="00C51099"/>
    <w:rsid w:val="00C57D02"/>
    <w:rsid w:val="00C61696"/>
    <w:rsid w:val="00C61D0B"/>
    <w:rsid w:val="00C62B0C"/>
    <w:rsid w:val="00C65292"/>
    <w:rsid w:val="00C70261"/>
    <w:rsid w:val="00C76923"/>
    <w:rsid w:val="00C77026"/>
    <w:rsid w:val="00C8297F"/>
    <w:rsid w:val="00C85332"/>
    <w:rsid w:val="00C853D4"/>
    <w:rsid w:val="00C87161"/>
    <w:rsid w:val="00C9116B"/>
    <w:rsid w:val="00C916ED"/>
    <w:rsid w:val="00C92706"/>
    <w:rsid w:val="00C9468F"/>
    <w:rsid w:val="00C95607"/>
    <w:rsid w:val="00C967EE"/>
    <w:rsid w:val="00CA29DB"/>
    <w:rsid w:val="00CA41FB"/>
    <w:rsid w:val="00CA4BDF"/>
    <w:rsid w:val="00CA7B52"/>
    <w:rsid w:val="00CB07F7"/>
    <w:rsid w:val="00CB0D06"/>
    <w:rsid w:val="00CB150D"/>
    <w:rsid w:val="00CB217E"/>
    <w:rsid w:val="00CB2FFD"/>
    <w:rsid w:val="00CB5449"/>
    <w:rsid w:val="00CB7561"/>
    <w:rsid w:val="00CC19AA"/>
    <w:rsid w:val="00CC1BC1"/>
    <w:rsid w:val="00CC2D45"/>
    <w:rsid w:val="00CC3211"/>
    <w:rsid w:val="00CC6F8F"/>
    <w:rsid w:val="00CD1872"/>
    <w:rsid w:val="00CD1D02"/>
    <w:rsid w:val="00CD1D91"/>
    <w:rsid w:val="00CD3281"/>
    <w:rsid w:val="00CD3D5E"/>
    <w:rsid w:val="00CD404C"/>
    <w:rsid w:val="00CD50F1"/>
    <w:rsid w:val="00CD6313"/>
    <w:rsid w:val="00CD67D5"/>
    <w:rsid w:val="00CD7D6D"/>
    <w:rsid w:val="00CE1AA4"/>
    <w:rsid w:val="00CE1D49"/>
    <w:rsid w:val="00CE22AA"/>
    <w:rsid w:val="00CE2DF2"/>
    <w:rsid w:val="00CE3B70"/>
    <w:rsid w:val="00CE6F58"/>
    <w:rsid w:val="00CE790E"/>
    <w:rsid w:val="00CF1357"/>
    <w:rsid w:val="00CF3A2A"/>
    <w:rsid w:val="00CF3F05"/>
    <w:rsid w:val="00CF42BC"/>
    <w:rsid w:val="00CF441E"/>
    <w:rsid w:val="00CF6BC9"/>
    <w:rsid w:val="00CF6F5A"/>
    <w:rsid w:val="00D015E6"/>
    <w:rsid w:val="00D02BDC"/>
    <w:rsid w:val="00D05692"/>
    <w:rsid w:val="00D05AD6"/>
    <w:rsid w:val="00D05BF6"/>
    <w:rsid w:val="00D13109"/>
    <w:rsid w:val="00D15E1C"/>
    <w:rsid w:val="00D1657B"/>
    <w:rsid w:val="00D22B41"/>
    <w:rsid w:val="00D22E9C"/>
    <w:rsid w:val="00D25032"/>
    <w:rsid w:val="00D264B1"/>
    <w:rsid w:val="00D277B3"/>
    <w:rsid w:val="00D27E51"/>
    <w:rsid w:val="00D31859"/>
    <w:rsid w:val="00D32FF9"/>
    <w:rsid w:val="00D3622B"/>
    <w:rsid w:val="00D37D90"/>
    <w:rsid w:val="00D42793"/>
    <w:rsid w:val="00D44248"/>
    <w:rsid w:val="00D45A77"/>
    <w:rsid w:val="00D51A66"/>
    <w:rsid w:val="00D52418"/>
    <w:rsid w:val="00D529D9"/>
    <w:rsid w:val="00D544D5"/>
    <w:rsid w:val="00D551D7"/>
    <w:rsid w:val="00D604E3"/>
    <w:rsid w:val="00D605BB"/>
    <w:rsid w:val="00D62504"/>
    <w:rsid w:val="00D6454F"/>
    <w:rsid w:val="00D64971"/>
    <w:rsid w:val="00D661B1"/>
    <w:rsid w:val="00D66436"/>
    <w:rsid w:val="00D70F00"/>
    <w:rsid w:val="00D712F8"/>
    <w:rsid w:val="00D71D14"/>
    <w:rsid w:val="00D74E0C"/>
    <w:rsid w:val="00D75A6A"/>
    <w:rsid w:val="00D76E55"/>
    <w:rsid w:val="00D8118A"/>
    <w:rsid w:val="00D841C2"/>
    <w:rsid w:val="00D86CB3"/>
    <w:rsid w:val="00D9199F"/>
    <w:rsid w:val="00D96A3E"/>
    <w:rsid w:val="00D96AE6"/>
    <w:rsid w:val="00D96C42"/>
    <w:rsid w:val="00DA077B"/>
    <w:rsid w:val="00DA256D"/>
    <w:rsid w:val="00DA5719"/>
    <w:rsid w:val="00DA6CC6"/>
    <w:rsid w:val="00DA7B7B"/>
    <w:rsid w:val="00DB2711"/>
    <w:rsid w:val="00DB2C10"/>
    <w:rsid w:val="00DB30F9"/>
    <w:rsid w:val="00DB5B89"/>
    <w:rsid w:val="00DB633D"/>
    <w:rsid w:val="00DB754C"/>
    <w:rsid w:val="00DC06AC"/>
    <w:rsid w:val="00DC0749"/>
    <w:rsid w:val="00DC081E"/>
    <w:rsid w:val="00DC1F31"/>
    <w:rsid w:val="00DC3EF8"/>
    <w:rsid w:val="00DC48B2"/>
    <w:rsid w:val="00DC601D"/>
    <w:rsid w:val="00DC67B0"/>
    <w:rsid w:val="00DD0E12"/>
    <w:rsid w:val="00DD32F9"/>
    <w:rsid w:val="00DD6D05"/>
    <w:rsid w:val="00DE32E4"/>
    <w:rsid w:val="00DE342E"/>
    <w:rsid w:val="00DE69AC"/>
    <w:rsid w:val="00DE6D89"/>
    <w:rsid w:val="00DF0B76"/>
    <w:rsid w:val="00DF1F2A"/>
    <w:rsid w:val="00DF38C9"/>
    <w:rsid w:val="00DF3CC4"/>
    <w:rsid w:val="00DF4B36"/>
    <w:rsid w:val="00DF5A77"/>
    <w:rsid w:val="00E03313"/>
    <w:rsid w:val="00E120A7"/>
    <w:rsid w:val="00E13008"/>
    <w:rsid w:val="00E13504"/>
    <w:rsid w:val="00E1625B"/>
    <w:rsid w:val="00E16B62"/>
    <w:rsid w:val="00E17321"/>
    <w:rsid w:val="00E20C8E"/>
    <w:rsid w:val="00E24A65"/>
    <w:rsid w:val="00E27F25"/>
    <w:rsid w:val="00E30203"/>
    <w:rsid w:val="00E3075F"/>
    <w:rsid w:val="00E324C8"/>
    <w:rsid w:val="00E37DE1"/>
    <w:rsid w:val="00E45987"/>
    <w:rsid w:val="00E5492D"/>
    <w:rsid w:val="00E57743"/>
    <w:rsid w:val="00E618A7"/>
    <w:rsid w:val="00E63472"/>
    <w:rsid w:val="00E64035"/>
    <w:rsid w:val="00E67B35"/>
    <w:rsid w:val="00E707CE"/>
    <w:rsid w:val="00E71620"/>
    <w:rsid w:val="00E7511F"/>
    <w:rsid w:val="00E753A4"/>
    <w:rsid w:val="00E77BB5"/>
    <w:rsid w:val="00E80D1A"/>
    <w:rsid w:val="00E83531"/>
    <w:rsid w:val="00E83D5C"/>
    <w:rsid w:val="00E8547D"/>
    <w:rsid w:val="00E8616D"/>
    <w:rsid w:val="00E864D0"/>
    <w:rsid w:val="00E866CE"/>
    <w:rsid w:val="00E87326"/>
    <w:rsid w:val="00E878EC"/>
    <w:rsid w:val="00E92A1E"/>
    <w:rsid w:val="00E9559F"/>
    <w:rsid w:val="00EA135B"/>
    <w:rsid w:val="00EA23DE"/>
    <w:rsid w:val="00EA25C5"/>
    <w:rsid w:val="00EA2748"/>
    <w:rsid w:val="00EA424A"/>
    <w:rsid w:val="00EA59A8"/>
    <w:rsid w:val="00EA5A0B"/>
    <w:rsid w:val="00EA5A56"/>
    <w:rsid w:val="00EA5D00"/>
    <w:rsid w:val="00EA6FDC"/>
    <w:rsid w:val="00EB0BF6"/>
    <w:rsid w:val="00EB2742"/>
    <w:rsid w:val="00EB2818"/>
    <w:rsid w:val="00EB2D52"/>
    <w:rsid w:val="00EB4762"/>
    <w:rsid w:val="00EC1995"/>
    <w:rsid w:val="00EC1ED9"/>
    <w:rsid w:val="00EC21C6"/>
    <w:rsid w:val="00EC45D1"/>
    <w:rsid w:val="00EC5594"/>
    <w:rsid w:val="00EC7502"/>
    <w:rsid w:val="00ED08BB"/>
    <w:rsid w:val="00ED475C"/>
    <w:rsid w:val="00EE05DE"/>
    <w:rsid w:val="00EE089B"/>
    <w:rsid w:val="00EE436E"/>
    <w:rsid w:val="00EE6189"/>
    <w:rsid w:val="00EF059D"/>
    <w:rsid w:val="00EF296E"/>
    <w:rsid w:val="00EF352C"/>
    <w:rsid w:val="00EF37B7"/>
    <w:rsid w:val="00EF3C91"/>
    <w:rsid w:val="00EF4AFD"/>
    <w:rsid w:val="00EF5861"/>
    <w:rsid w:val="00F007B0"/>
    <w:rsid w:val="00F0262F"/>
    <w:rsid w:val="00F037B6"/>
    <w:rsid w:val="00F03DDF"/>
    <w:rsid w:val="00F049FD"/>
    <w:rsid w:val="00F057C3"/>
    <w:rsid w:val="00F05F8A"/>
    <w:rsid w:val="00F078AB"/>
    <w:rsid w:val="00F117BD"/>
    <w:rsid w:val="00F117D6"/>
    <w:rsid w:val="00F13C7E"/>
    <w:rsid w:val="00F14D36"/>
    <w:rsid w:val="00F15C90"/>
    <w:rsid w:val="00F1693E"/>
    <w:rsid w:val="00F20B78"/>
    <w:rsid w:val="00F21AE6"/>
    <w:rsid w:val="00F21F19"/>
    <w:rsid w:val="00F24698"/>
    <w:rsid w:val="00F24D3D"/>
    <w:rsid w:val="00F273A2"/>
    <w:rsid w:val="00F30E2A"/>
    <w:rsid w:val="00F35111"/>
    <w:rsid w:val="00F36E59"/>
    <w:rsid w:val="00F3734C"/>
    <w:rsid w:val="00F4039D"/>
    <w:rsid w:val="00F44096"/>
    <w:rsid w:val="00F45CBF"/>
    <w:rsid w:val="00F560EC"/>
    <w:rsid w:val="00F57976"/>
    <w:rsid w:val="00F601B7"/>
    <w:rsid w:val="00F6186D"/>
    <w:rsid w:val="00F644B0"/>
    <w:rsid w:val="00F6575F"/>
    <w:rsid w:val="00F65C19"/>
    <w:rsid w:val="00F66CDD"/>
    <w:rsid w:val="00F72007"/>
    <w:rsid w:val="00F73081"/>
    <w:rsid w:val="00F739C3"/>
    <w:rsid w:val="00F7430D"/>
    <w:rsid w:val="00F757EA"/>
    <w:rsid w:val="00F77CEA"/>
    <w:rsid w:val="00F77D12"/>
    <w:rsid w:val="00F80F91"/>
    <w:rsid w:val="00F82846"/>
    <w:rsid w:val="00F831B1"/>
    <w:rsid w:val="00F86F17"/>
    <w:rsid w:val="00F904DA"/>
    <w:rsid w:val="00F92058"/>
    <w:rsid w:val="00F929CD"/>
    <w:rsid w:val="00F929D7"/>
    <w:rsid w:val="00F92B75"/>
    <w:rsid w:val="00F93EA3"/>
    <w:rsid w:val="00F95D15"/>
    <w:rsid w:val="00F970B3"/>
    <w:rsid w:val="00FA033F"/>
    <w:rsid w:val="00FA1421"/>
    <w:rsid w:val="00FA1B5B"/>
    <w:rsid w:val="00FA5436"/>
    <w:rsid w:val="00FB3A5E"/>
    <w:rsid w:val="00FB4A58"/>
    <w:rsid w:val="00FB65EF"/>
    <w:rsid w:val="00FB79A7"/>
    <w:rsid w:val="00FC462D"/>
    <w:rsid w:val="00FC7465"/>
    <w:rsid w:val="00FD28F4"/>
    <w:rsid w:val="00FD29C7"/>
    <w:rsid w:val="00FD496B"/>
    <w:rsid w:val="00FD564B"/>
    <w:rsid w:val="00FD632E"/>
    <w:rsid w:val="00FE3F06"/>
    <w:rsid w:val="00FE66F8"/>
    <w:rsid w:val="00FE73EE"/>
    <w:rsid w:val="00FF04BD"/>
    <w:rsid w:val="00FF0A57"/>
    <w:rsid w:val="00FF5A08"/>
    <w:rsid w:val="00FF6D39"/>
    <w:rsid w:val="078C3A38"/>
    <w:rsid w:val="2E37FEBF"/>
    <w:rsid w:val="2FBE1E70"/>
    <w:rsid w:val="34D5BD50"/>
    <w:rsid w:val="483ACA4C"/>
    <w:rsid w:val="48601468"/>
    <w:rsid w:val="4EDF67E0"/>
    <w:rsid w:val="5025F1F4"/>
    <w:rsid w:val="5A27D262"/>
    <w:rsid w:val="6C767ECD"/>
    <w:rsid w:val="73A61C32"/>
    <w:rsid w:val="7E0A4C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3E8E503E"/>
  <w15:chartTrackingRefBased/>
  <w15:docId w15:val="{D49E23A4-E4B5-49FA-AD26-C3B627CC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02A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customStyle="1" w:styleId="SupportingStatementSTANDARDChar">
    <w:name w:val="Supporting Statement STANDARD Char"/>
    <w:link w:val="SupportingStatementSTANDARD"/>
    <w:locked/>
    <w:rsid w:val="002D4907"/>
    <w:rPr>
      <w:sz w:val="24"/>
      <w:szCs w:val="24"/>
    </w:rPr>
  </w:style>
  <w:style w:type="paragraph" w:customStyle="1" w:styleId="SupportingStatementSTANDARD">
    <w:name w:val="Supporting Statement STANDARD"/>
    <w:basedOn w:val="Normal"/>
    <w:link w:val="SupportingStatementSTANDARDChar"/>
    <w:qFormat/>
    <w:rsid w:val="002D4907"/>
    <w:pPr>
      <w:tabs>
        <w:tab w:val="left" w:pos="720"/>
      </w:tabs>
      <w:ind w:left="720" w:hanging="720"/>
    </w:pPr>
    <w:rPr>
      <w:rFonts w:ascii="Times New Roman" w:hAnsi="Times New Roman"/>
    </w:rPr>
  </w:style>
  <w:style w:type="character" w:styleId="FollowedHyperlink">
    <w:name w:val="FollowedHyperlink"/>
    <w:basedOn w:val="DefaultParagraphFont"/>
    <w:rsid w:val="00812358"/>
    <w:rPr>
      <w:color w:val="954F72" w:themeColor="followedHyperlink"/>
      <w:u w:val="single"/>
    </w:rPr>
  </w:style>
  <w:style w:type="paragraph" w:customStyle="1" w:styleId="Default">
    <w:name w:val="Default"/>
    <w:rsid w:val="006714BB"/>
    <w:pPr>
      <w:autoSpaceDE w:val="0"/>
      <w:autoSpaceDN w:val="0"/>
      <w:adjustRightInd w:val="0"/>
    </w:pPr>
    <w:rPr>
      <w:rFonts w:ascii="Helvetica World" w:hAnsi="Helvetica World" w:cs="Helvetica World"/>
      <w:color w:val="000000"/>
      <w:sz w:val="24"/>
      <w:szCs w:val="24"/>
      <w:lang w:bidi="he-IL"/>
    </w:rPr>
  </w:style>
  <w:style w:type="paragraph" w:styleId="ListParagraph">
    <w:name w:val="List Paragraph"/>
    <w:basedOn w:val="Normal"/>
    <w:uiPriority w:val="34"/>
    <w:qFormat/>
    <w:rsid w:val="0080002A"/>
    <w:pPr>
      <w:ind w:left="720"/>
    </w:pPr>
  </w:style>
  <w:style w:type="paragraph" w:styleId="Title">
    <w:name w:val="Title"/>
    <w:basedOn w:val="Normal"/>
    <w:next w:val="Normal"/>
    <w:link w:val="TitleChar"/>
    <w:uiPriority w:val="1"/>
    <w:qFormat/>
    <w:rsid w:val="0046315D"/>
    <w:pPr>
      <w:widowControl/>
      <w:spacing w:before="9"/>
    </w:pPr>
    <w:rPr>
      <w:rFonts w:ascii="Times New Roman" w:hAnsi="Times New Roman"/>
    </w:rPr>
  </w:style>
  <w:style w:type="character" w:customStyle="1" w:styleId="TitleChar">
    <w:name w:val="Title Char"/>
    <w:basedOn w:val="DefaultParagraphFont"/>
    <w:link w:val="Title"/>
    <w:uiPriority w:val="1"/>
    <w:rsid w:val="0046315D"/>
    <w:rPr>
      <w:sz w:val="24"/>
      <w:szCs w:val="24"/>
    </w:rPr>
  </w:style>
  <w:style w:type="paragraph" w:customStyle="1" w:styleId="TableParagraph">
    <w:name w:val="Table Paragraph"/>
    <w:basedOn w:val="Normal"/>
    <w:uiPriority w:val="1"/>
    <w:qFormat/>
    <w:rsid w:val="0046315D"/>
    <w:pPr>
      <w:widowControl/>
      <w:spacing w:before="1" w:line="254" w:lineRule="exact"/>
    </w:pPr>
    <w:rPr>
      <w:rFonts w:ascii="Times New Roman" w:hAnsi="Times New Roman"/>
    </w:rPr>
  </w:style>
  <w:style w:type="paragraph" w:styleId="Revision">
    <w:name w:val="Revision"/>
    <w:hidden/>
    <w:uiPriority w:val="99"/>
    <w:semiHidden/>
    <w:rsid w:val="000D5098"/>
    <w:rPr>
      <w:rFonts w:ascii="Courier" w:hAnsi="Courier"/>
      <w:sz w:val="24"/>
      <w:szCs w:val="24"/>
    </w:rPr>
  </w:style>
  <w:style w:type="paragraph" w:styleId="FootnoteText">
    <w:name w:val="footnote text"/>
    <w:basedOn w:val="Normal"/>
    <w:link w:val="FootnoteTextChar"/>
    <w:rsid w:val="00892EF6"/>
    <w:rPr>
      <w:sz w:val="20"/>
      <w:szCs w:val="20"/>
    </w:rPr>
  </w:style>
  <w:style w:type="character" w:customStyle="1" w:styleId="FootnoteTextChar">
    <w:name w:val="Footnote Text Char"/>
    <w:basedOn w:val="DefaultParagraphFont"/>
    <w:link w:val="FootnoteText"/>
    <w:rsid w:val="00892EF6"/>
    <w:rPr>
      <w:rFonts w:ascii="Courier" w:hAnsi="Courier"/>
    </w:rPr>
  </w:style>
  <w:style w:type="character" w:styleId="CommentReference">
    <w:name w:val="annotation reference"/>
    <w:basedOn w:val="DefaultParagraphFont"/>
    <w:rsid w:val="002A0F41"/>
    <w:rPr>
      <w:sz w:val="16"/>
      <w:szCs w:val="16"/>
    </w:rPr>
  </w:style>
  <w:style w:type="paragraph" w:styleId="CommentText">
    <w:name w:val="annotation text"/>
    <w:basedOn w:val="Normal"/>
    <w:link w:val="CommentTextChar"/>
    <w:rsid w:val="002A0F41"/>
    <w:rPr>
      <w:sz w:val="20"/>
      <w:szCs w:val="20"/>
    </w:rPr>
  </w:style>
  <w:style w:type="character" w:customStyle="1" w:styleId="CommentTextChar">
    <w:name w:val="Comment Text Char"/>
    <w:basedOn w:val="DefaultParagraphFont"/>
    <w:link w:val="CommentText"/>
    <w:rsid w:val="002A0F41"/>
    <w:rPr>
      <w:rFonts w:ascii="Courier" w:hAnsi="Courier"/>
    </w:rPr>
  </w:style>
  <w:style w:type="paragraph" w:styleId="CommentSubject">
    <w:name w:val="annotation subject"/>
    <w:basedOn w:val="CommentText"/>
    <w:next w:val="CommentText"/>
    <w:link w:val="CommentSubjectChar"/>
    <w:rsid w:val="002A0F41"/>
    <w:rPr>
      <w:b/>
      <w:bCs/>
    </w:rPr>
  </w:style>
  <w:style w:type="character" w:customStyle="1" w:styleId="CommentSubjectChar">
    <w:name w:val="Comment Subject Char"/>
    <w:basedOn w:val="CommentTextChar"/>
    <w:link w:val="CommentSubject"/>
    <w:rsid w:val="002A0F41"/>
    <w:rPr>
      <w:rFonts w:ascii="Courier" w:hAnsi="Courier"/>
      <w:b/>
      <w:bCs/>
    </w:rPr>
  </w:style>
  <w:style w:type="table" w:styleId="TableGrid">
    <w:name w:val="Table Grid"/>
    <w:basedOn w:val="TableNormal"/>
    <w:rsid w:val="00883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05AD6"/>
    <w:pPr>
      <w:tabs>
        <w:tab w:val="center" w:pos="4680"/>
        <w:tab w:val="right" w:pos="9360"/>
      </w:tabs>
    </w:pPr>
  </w:style>
  <w:style w:type="character" w:customStyle="1" w:styleId="HeaderChar">
    <w:name w:val="Header Char"/>
    <w:basedOn w:val="DefaultParagraphFont"/>
    <w:link w:val="Header"/>
    <w:rsid w:val="00D05AD6"/>
    <w:rPr>
      <w:rFonts w:ascii="Courier" w:hAnsi="Courier"/>
      <w:sz w:val="24"/>
      <w:szCs w:val="24"/>
    </w:rPr>
  </w:style>
  <w:style w:type="paragraph" w:styleId="Footer">
    <w:name w:val="footer"/>
    <w:basedOn w:val="Normal"/>
    <w:link w:val="FooterChar"/>
    <w:rsid w:val="00D05AD6"/>
    <w:pPr>
      <w:tabs>
        <w:tab w:val="center" w:pos="4680"/>
        <w:tab w:val="right" w:pos="9360"/>
      </w:tabs>
    </w:pPr>
  </w:style>
  <w:style w:type="character" w:customStyle="1" w:styleId="FooterChar">
    <w:name w:val="Footer Char"/>
    <w:basedOn w:val="DefaultParagraphFont"/>
    <w:link w:val="Footer"/>
    <w:rsid w:val="00D05AD6"/>
    <w:rPr>
      <w:rFonts w:ascii="Courier" w:hAnsi="Courier"/>
      <w:sz w:val="24"/>
      <w:szCs w:val="24"/>
    </w:rPr>
  </w:style>
  <w:style w:type="character" w:styleId="Mention">
    <w:name w:val="Mention"/>
    <w:basedOn w:val="DefaultParagraphFont"/>
    <w:uiPriority w:val="99"/>
    <w:unhideWhenUsed/>
    <w:rsid w:val="00DD0E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Unscheduled Mission Support</TermName>
          <TermId xmlns="http://schemas.microsoft.com/office/infopath/2007/PartnerControls">61e42951-4137-4b13-929b-939a2dc4abe0</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DocumentSetDescription xmlns="http://schemas.microsoft.com/sharepoint/v3" xsi:nil="true"/>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Policy</TermName>
          <TermId xmlns="http://schemas.microsoft.com/office/infopath/2007/PartnerControls">74f8a15e-576f-4586-a6cc-3b96b9734bcf</TermId>
        </TermInfo>
      </Terms>
    </l549fbc4080b4daf9a141105daaaac0d>
    <TaxCatchAll xmlns="0a20205c-0631-4ff0-81c6-46eee12fe7e9">
      <Value>4</Value>
      <Value>3</Valu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5AED73D599724A4FB0D03EE28DA6FDA2" ma:contentTypeVersion="4" ma:contentTypeDescription="Records Management Custom Content Type" ma:contentTypeScope="" ma:versionID="2df5d5c7deafe81873d2b53df970c607">
  <xsd:schema xmlns:xsd="http://www.w3.org/2001/XMLSchema" xmlns:xs="http://www.w3.org/2001/XMLSchema" xmlns:p="http://schemas.microsoft.com/office/2006/metadata/properties" xmlns:ns1="http://schemas.microsoft.com/sharepoint/v3" xmlns:ns2="0a20205c-0631-4ff0-81c6-46eee12fe7e9" targetNamespace="http://schemas.microsoft.com/office/2006/metadata/properties" ma:root="true" ma:fieldsID="6f3fbe31e16656711e3cc62b6e1eab43" ns1:_="" ns2:_="">
    <xsd:import namespace="http://schemas.microsoft.com/sharepoint/v3"/>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312dc6-17c9-4050-b45e-22a33359d0c5}" ma:internalName="TaxCatchAll" ma:showField="CatchAllData" ma:web="e33a081f-b426-42e9-9bb1-4819f3cb40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312dc6-17c9-4050-b45e-22a33359d0c5}" ma:internalName="TaxCatchAllLabel" ma:readOnly="true" ma:showField="CatchAllDataLabel" ma:web="e33a081f-b426-42e9-9bb1-4819f3cb4067">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4;#Office of Policy|74f8a15e-576f-4586-a6cc-3b96b9734bcf"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3;#Unscheduled Mission Support|61e42951-4137-4b13-929b-939a2dc4abe0"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A89A2-E75B-42A5-8D3E-3B049F44F2E1}">
  <ds:schemaRefs>
    <ds:schemaRef ds:uri="http://schemas.openxmlformats.org/officeDocument/2006/bibliography"/>
  </ds:schemaRefs>
</ds:datastoreItem>
</file>

<file path=customXml/itemProps2.xml><?xml version="1.0" encoding="utf-8"?>
<ds:datastoreItem xmlns:ds="http://schemas.openxmlformats.org/officeDocument/2006/customXml" ds:itemID="{D1512087-8288-4C1D-A065-5DD4E62E54C0}">
  <ds:schemaRefs>
    <ds:schemaRef ds:uri="http://schemas.microsoft.com/sharepoint/v3/contenttype/forms"/>
  </ds:schemaRefs>
</ds:datastoreItem>
</file>

<file path=customXml/itemProps3.xml><?xml version="1.0" encoding="utf-8"?>
<ds:datastoreItem xmlns:ds="http://schemas.openxmlformats.org/officeDocument/2006/customXml" ds:itemID="{B0A1205A-D7B3-4CB0-B091-C05292C117DA}">
  <ds:schemaRefs>
    <ds:schemaRef ds:uri="Microsoft.SharePoint.Taxonomy.ContentTypeSync"/>
  </ds:schemaRefs>
</ds:datastoreItem>
</file>

<file path=customXml/itemProps4.xml><?xml version="1.0" encoding="utf-8"?>
<ds:datastoreItem xmlns:ds="http://schemas.openxmlformats.org/officeDocument/2006/customXml" ds:itemID="{08BDCF3C-4F86-4553-A923-1A60D984EE56}">
  <ds:schemaRefs>
    <ds:schemaRef ds:uri="http://schemas.microsoft.com/office/2006/metadata/properties"/>
    <ds:schemaRef ds:uri="http://schemas.microsoft.com/office/infopath/2007/PartnerControls"/>
    <ds:schemaRef ds:uri="0a20205c-0631-4ff0-81c6-46eee12fe7e9"/>
    <ds:schemaRef ds:uri="http://schemas.microsoft.com/sharepoint/v3"/>
  </ds:schemaRefs>
</ds:datastoreItem>
</file>

<file path=customXml/itemProps5.xml><?xml version="1.0" encoding="utf-8"?>
<ds:datastoreItem xmlns:ds="http://schemas.openxmlformats.org/officeDocument/2006/customXml" ds:itemID="{470A35C3-0985-419D-8E74-5434D4DBC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11</Pages>
  <Words>2241</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Calamita, Christopher</cp:lastModifiedBy>
  <cp:revision>7</cp:revision>
  <cp:lastPrinted>2006-05-24T18:55:00Z</cp:lastPrinted>
  <dcterms:created xsi:type="dcterms:W3CDTF">2025-09-29T13:35:00Z</dcterms:created>
  <dcterms:modified xsi:type="dcterms:W3CDTF">2025-10-03T19:11:00Z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0x0101003BE6F3BD37A8BE4A9CF9E5B20FCA8325005AED73D599724A4FB0D03EE28DA6FDA2</vt:lpwstr>
  </property>
  <property fmtid="{D5CDD505-2E9C-101B-9397-08002B2CF9AE}" pid="3" name="DOE_LifecycleState">
    <vt:lpwstr>1;#Draft|44aca65a-a2b8-4064-ac99-6d3b27b9c145</vt:lpwstr>
  </property>
  <property fmtid="{D5CDD505-2E9C-101B-9397-08002B2CF9AE}" pid="4" name="DOE_OwningOrg">
    <vt:lpwstr>4;#Office of Policy|74f8a15e-576f-4586-a6cc-3b96b9734bcf</vt:lpwstr>
  </property>
  <property fmtid="{D5CDD505-2E9C-101B-9397-08002B2CF9AE}" pid="5" name="DOE_ProjectStatus">
    <vt:lpwstr/>
  </property>
  <property fmtid="{D5CDD505-2E9C-101B-9397-08002B2CF9AE}" pid="6" name="DOE_RecordsDispositionSchedule">
    <vt:lpwstr>3;#Unscheduled Mission Support|61e42951-4137-4b13-929b-939a2dc4abe0</vt:lpwstr>
  </property>
  <property fmtid="{D5CDD505-2E9C-101B-9397-08002B2CF9AE}" pid="7" name="lcf76f155ced4ddcb4097134ff3c332f">
    <vt:lpwstr/>
  </property>
  <property fmtid="{D5CDD505-2E9C-101B-9397-08002B2CF9AE}" pid="8" name="MediaServiceImageTags">
    <vt:lpwstr/>
  </property>
  <property fmtid="{D5CDD505-2E9C-101B-9397-08002B2CF9AE}" pid="9" name="SharedWithUsers">
    <vt:lpwstr>1493;#Daly, Gabriel;#106;#Butler, Sarah</vt:lpwstr>
  </property>
</Properties>
</file>