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70720" w:rsidRPr="0016660B" w:rsidP="00135629" w14:paraId="10BE8F46" w14:textId="77777777">
      <w:pPr>
        <w:pStyle w:val="Title"/>
        <w:rPr>
          <w:u w:val="none"/>
        </w:rPr>
      </w:pPr>
      <w:r w:rsidRPr="0016660B">
        <w:rPr>
          <w:u w:val="none"/>
        </w:rPr>
        <w:t>Department of Transportation</w:t>
      </w:r>
    </w:p>
    <w:p w:rsidR="00470720" w:rsidRPr="0016660B" w:rsidP="00135629" w14:paraId="798B391B" w14:textId="77777777">
      <w:pPr>
        <w:pStyle w:val="Title"/>
        <w:rPr>
          <w:sz w:val="32"/>
          <w:szCs w:val="32"/>
          <w:u w:val="none"/>
        </w:rPr>
      </w:pPr>
      <w:r w:rsidRPr="0016660B">
        <w:rPr>
          <w:u w:val="none"/>
        </w:rPr>
        <w:t>Federal Motor Carrier Safety Administration</w:t>
      </w:r>
    </w:p>
    <w:p w:rsidR="00470720" w:rsidRPr="005612EB" w:rsidP="00135629" w14:paraId="0789B877" w14:textId="77777777">
      <w:pPr>
        <w:pStyle w:val="Title"/>
      </w:pPr>
    </w:p>
    <w:p w:rsidR="0004749E" w:rsidRPr="005612EB" w:rsidP="00135629" w14:paraId="4976564A" w14:textId="77777777">
      <w:pPr>
        <w:pStyle w:val="Title"/>
      </w:pPr>
      <w:r w:rsidRPr="005612EB">
        <w:t>SUPPORTING STATEMENT</w:t>
      </w:r>
      <w:r w:rsidR="00432F5C">
        <w:t xml:space="preserve"> </w:t>
      </w:r>
    </w:p>
    <w:p w:rsidR="0004749E" w:rsidRPr="0016660B" w:rsidP="00135629" w14:paraId="5BD94367" w14:textId="2636166F">
      <w:pPr>
        <w:pStyle w:val="Title"/>
        <w:rPr>
          <w:u w:val="none"/>
        </w:rPr>
      </w:pPr>
      <w:bookmarkStart w:id="0" w:name="_Hlk194496526"/>
      <w:r>
        <w:rPr>
          <w:u w:val="none"/>
        </w:rPr>
        <w:t>“</w:t>
      </w:r>
      <w:r w:rsidR="000D64CE">
        <w:rPr>
          <w:u w:val="none"/>
        </w:rPr>
        <w:t>CRASH RISKS BY COMMERCIAL MOTOR VEHICLE (CMV) DRIVER SCHEDULES</w:t>
      </w:r>
      <w:r w:rsidR="476A4C6C">
        <w:rPr>
          <w:u w:val="none"/>
        </w:rPr>
        <w:t>” ICR</w:t>
      </w:r>
      <w:bookmarkEnd w:id="0"/>
    </w:p>
    <w:p w:rsidR="3B37954F" w:rsidP="7BA0AFC0" w14:paraId="5DCADE6E" w14:textId="00CF191C">
      <w:pPr>
        <w:pStyle w:val="Title"/>
        <w:rPr>
          <w:u w:val="none"/>
        </w:rPr>
      </w:pPr>
      <w:r>
        <w:rPr>
          <w:u w:val="none"/>
        </w:rPr>
        <w:t>OMB Control No. 2126-TBD</w:t>
      </w:r>
    </w:p>
    <w:p w:rsidR="0004749E" w:rsidRPr="005612EB" w:rsidP="00135629" w14:paraId="38FB9D30" w14:textId="77777777"/>
    <w:p w:rsidR="00135629" w:rsidP="00135629" w14:paraId="3ED9FAC0" w14:textId="1754766F">
      <w:pPr>
        <w:pStyle w:val="Subtitle"/>
      </w:pPr>
      <w:r>
        <w:t>SUMMARY</w:t>
      </w:r>
    </w:p>
    <w:p w:rsidR="00135629" w:rsidP="00CF7E97" w14:paraId="61A31614" w14:textId="0D229941">
      <w:pPr>
        <w:pStyle w:val="ListParagraph"/>
        <w:numPr>
          <w:ilvl w:val="0"/>
          <w:numId w:val="12"/>
        </w:numPr>
      </w:pPr>
      <w:r w:rsidRPr="00135629">
        <w:t xml:space="preserve">This submittal is for a new </w:t>
      </w:r>
      <w:r w:rsidR="00C10504">
        <w:t>informat</w:t>
      </w:r>
      <w:r w:rsidR="002E13F4">
        <w:t>ion collection request (</w:t>
      </w:r>
      <w:r w:rsidRPr="00135629">
        <w:t>ICR</w:t>
      </w:r>
      <w:r w:rsidR="002E13F4">
        <w:t>)</w:t>
      </w:r>
      <w:r w:rsidRPr="00135629">
        <w:t>.</w:t>
      </w:r>
      <w:r w:rsidR="009E2734">
        <w:t xml:space="preserve"> </w:t>
      </w:r>
    </w:p>
    <w:p w:rsidR="002D1629" w:rsidRPr="002A288E" w:rsidP="12A76E4E" w14:paraId="64A2F923" w14:textId="1F9E89DD">
      <w:pPr>
        <w:widowControl/>
        <w:numPr>
          <w:ilvl w:val="0"/>
          <w:numId w:val="12"/>
        </w:numPr>
        <w:autoSpaceDE/>
        <w:autoSpaceDN/>
        <w:adjustRightInd/>
      </w:pPr>
      <w:r>
        <w:t xml:space="preserve">FMCSA needs additional data to answer important questions related to driver schedules and how these factors impact overall driver performance and fatigue. This research requires data to be collected for HOS duty logs, </w:t>
      </w:r>
      <w:r w:rsidR="00D563D8">
        <w:t xml:space="preserve">crash </w:t>
      </w:r>
      <w:r>
        <w:t xml:space="preserve">and incident data, and inspection violations records. </w:t>
      </w:r>
      <w:r w:rsidR="2128406C">
        <w:t>There are three ICs: IC1 -</w:t>
      </w:r>
      <w:r w:rsidR="6D3826F8">
        <w:t xml:space="preserve"> </w:t>
      </w:r>
      <w:r w:rsidR="39145E65">
        <w:t>Carrier Task: TSP Setup for HOS Data; IC2 -</w:t>
      </w:r>
      <w:r w:rsidR="14D5D56F">
        <w:t xml:space="preserve"> Carrier Task: TSP Setup for SCE Data; and </w:t>
      </w:r>
      <w:r w:rsidR="3FD4C5A6">
        <w:t>IC3 - Carrier Task: Driver Demographic Data Exports.</w:t>
      </w:r>
    </w:p>
    <w:p w:rsidR="002D1629" w:rsidRPr="002A288E" w:rsidP="12A76E4E" w14:paraId="4B01D738" w14:textId="022EC853">
      <w:pPr>
        <w:widowControl/>
        <w:numPr>
          <w:ilvl w:val="0"/>
          <w:numId w:val="12"/>
        </w:numPr>
        <w:autoSpaceDE/>
        <w:autoSpaceDN/>
        <w:adjustRightInd/>
        <w:rPr>
          <w:i/>
          <w:iCs/>
        </w:rPr>
      </w:pPr>
      <w:r w:rsidRPr="003745FB">
        <w:t>There are no forms used in the study. All data will be collected electronically.</w:t>
      </w:r>
      <w:r>
        <w:t xml:space="preserve"> </w:t>
      </w:r>
      <w:r w:rsidR="00000000">
        <w:t>The information collected will be used to examine the relative risk of crashes and inspection violations based on various factors related to the driver’s work schedule and demographics.</w:t>
      </w:r>
    </w:p>
    <w:p w:rsidR="00135629" w:rsidP="00135629" w14:paraId="062B1605" w14:textId="77777777"/>
    <w:p w:rsidR="0004749E" w:rsidRPr="005612EB" w:rsidP="00135629" w14:paraId="22ED6AA8" w14:textId="2E84FC90">
      <w:pPr>
        <w:pStyle w:val="Subtitle"/>
      </w:pPr>
      <w:r w:rsidRPr="005612EB">
        <w:t>INTRODUCTION</w:t>
      </w:r>
    </w:p>
    <w:p w:rsidR="0004749E" w:rsidRPr="005612EB" w:rsidP="00135629" w14:paraId="09217CE3" w14:textId="77777777"/>
    <w:p w:rsidR="0004749E" w:rsidRPr="005612EB" w:rsidP="00135629" w14:paraId="64C0B960" w14:textId="61A46E09">
      <w:r w:rsidRPr="005612EB">
        <w:t xml:space="preserve">This is to request the Office of Management and Budget’s (OMB) </w:t>
      </w:r>
      <w:r w:rsidR="00CC7242">
        <w:t>review and approval of a</w:t>
      </w:r>
      <w:r w:rsidR="00015365">
        <w:t xml:space="preserve"> new Federal Motor Carrier Safety Administration (FMCSA)</w:t>
      </w:r>
      <w:r w:rsidRPr="005612EB">
        <w:t xml:space="preserve"> information collection </w:t>
      </w:r>
      <w:r w:rsidR="00015365">
        <w:t xml:space="preserve">request (ICR) </w:t>
      </w:r>
      <w:r w:rsidRPr="005612EB">
        <w:t xml:space="preserve">entitled, </w:t>
      </w:r>
      <w:r w:rsidRPr="00824DD5" w:rsidR="00824DD5">
        <w:t>Crash Risks by Commercial Motor Vehicle (CMV) Driver Schedules</w:t>
      </w:r>
      <w:r w:rsidR="00824DD5">
        <w:t>.</w:t>
      </w:r>
    </w:p>
    <w:p w:rsidR="0004749E" w:rsidRPr="005612EB" w:rsidP="00135629" w14:paraId="50947875" w14:textId="77777777"/>
    <w:p w:rsidR="0004749E" w:rsidRPr="0016660B" w:rsidP="00135629" w14:paraId="6ADDFF83" w14:textId="77777777">
      <w:pPr>
        <w:rPr>
          <w:b/>
          <w:bCs/>
          <w:u w:val="single"/>
        </w:rPr>
      </w:pPr>
      <w:r w:rsidRPr="0016660B">
        <w:rPr>
          <w:b/>
          <w:bCs/>
          <w:u w:val="single"/>
        </w:rPr>
        <w:t>Part A. Justification</w:t>
      </w:r>
    </w:p>
    <w:p w:rsidR="0004749E" w:rsidRPr="005612EB" w:rsidP="00135629" w14:paraId="61A02AB7" w14:textId="77777777"/>
    <w:p w:rsidR="005B08C2" w:rsidP="00CF7E97" w14:paraId="3AECC33F" w14:textId="77777777">
      <w:pPr>
        <w:pStyle w:val="Default"/>
        <w:numPr>
          <w:ilvl w:val="0"/>
          <w:numId w:val="2"/>
        </w:numPr>
      </w:pPr>
      <w:r w:rsidRPr="00F358A1">
        <w:rPr>
          <w:b/>
          <w:bCs/>
        </w:rPr>
        <w:t>CIRCUMSTANCES THAT MAKE THE COLLECTION OF INFORMATION NECESSARY</w:t>
      </w:r>
      <w:r>
        <w:rPr>
          <w:b/>
          <w:bCs/>
        </w:rPr>
        <w:br/>
      </w:r>
    </w:p>
    <w:p w:rsidR="00880BD1" w:rsidRPr="00880BD1" w:rsidP="00880BD1" w14:paraId="6702C6FF" w14:textId="25FD0D60">
      <w:pPr>
        <w:pStyle w:val="Default"/>
      </w:pPr>
      <w:r>
        <w:t xml:space="preserve">FMCSA conducted a study </w:t>
      </w:r>
      <w:r w:rsidR="00A050C0">
        <w:t xml:space="preserve">(2011) </w:t>
      </w:r>
      <w:r>
        <w:t>that evaluated the impact of time-on-task, in terms of driving hours and working hours on Safety Critical Events (SCE</w:t>
      </w:r>
      <w:r w:rsidR="00215785">
        <w:t>s</w:t>
      </w:r>
      <w:r>
        <w:t>) and the benefits of breaks from driving</w:t>
      </w:r>
      <w:r>
        <w:rPr>
          <w:rStyle w:val="FootnoteReference"/>
        </w:rPr>
        <w:footnoteReference w:id="3"/>
      </w:r>
      <w:r>
        <w:t>. The study included 99 drivers who drove a total of 700,000 miles, during which naturalistic driving video and data were collected.</w:t>
      </w:r>
      <w:r w:rsidRPr="00880BD1">
        <w:rPr>
          <w:color w:val="auto"/>
        </w:rPr>
        <w:t xml:space="preserve"> </w:t>
      </w:r>
      <w:r w:rsidRPr="00880BD1">
        <w:t>That study found that</w:t>
      </w:r>
      <w:r>
        <w:t>,</w:t>
      </w:r>
      <w:r w:rsidRPr="00880BD1">
        <w:t xml:space="preserve"> as the number of driving hours increased, so did the number of SCEs</w:t>
      </w:r>
      <w:r>
        <w:t>.</w:t>
      </w:r>
      <w:r w:rsidRPr="00880BD1">
        <w:t xml:space="preserve"> </w:t>
      </w:r>
      <w:r>
        <w:t>W</w:t>
      </w:r>
      <w:r w:rsidRPr="00880BD1">
        <w:t>hen evaluating the interaction between driving and non-driving work</w:t>
      </w:r>
      <w:r>
        <w:t xml:space="preserve">, </w:t>
      </w:r>
      <w:r w:rsidR="005512E8">
        <w:t>drivers driving late into their work shifts showed a greater time-on-task effect with increased SCE risk</w:t>
      </w:r>
      <w:r>
        <w:t xml:space="preserve">; </w:t>
      </w:r>
      <w:r w:rsidRPr="00880BD1">
        <w:t>driving breaks decrease risk in the hour after a break (from 30- to 50-percent reduction in SCEs depending on the type of break).</w:t>
      </w:r>
    </w:p>
    <w:p w:rsidR="005B08C2" w:rsidP="00880BD1" w14:paraId="44612FAD" w14:textId="77777777">
      <w:pPr>
        <w:pStyle w:val="Default"/>
      </w:pPr>
    </w:p>
    <w:p w:rsidR="0047565D" w:rsidRPr="0016660B" w:rsidP="0016660B" w14:paraId="31F3F0E1" w14:textId="69F46BCA">
      <w:pPr>
        <w:pStyle w:val="Default"/>
        <w:rPr>
          <w:vertAlign w:val="superscript"/>
        </w:rPr>
      </w:pPr>
      <w:r>
        <w:t xml:space="preserve">FMCSA needs additional data to answer important questions related to driver schedules and how these factors impact overall driver performance and fatigue. This project will collect additional information to improve decision making regarding various aspects of the hours-of-service (HOS) provisions, how HOS provisions are being used, and the impact of driver schedules on crash risk. The preamble of FMCSA’s 2011 Final HOS Rule </w:t>
      </w:r>
      <w:r w:rsidR="00670AAE">
        <w:t xml:space="preserve">(76 FR 81134) </w:t>
      </w:r>
      <w:r>
        <w:t>stated: “FMCSA is committed to an analysis of the relative crash risk by driving hour, the impact of the changes in the HOS provisions, and examine difference in crash risk after restarts that include two nights and those that do not.”</w:t>
      </w:r>
      <w:r w:rsidR="00670AAE">
        <w:rPr>
          <w:rStyle w:val="FootnoteReference"/>
        </w:rPr>
        <w:t xml:space="preserve"> </w:t>
      </w:r>
      <w:r w:rsidR="00670AAE">
        <w:t>R934n9390</w:t>
      </w:r>
    </w:p>
    <w:p w:rsidR="00966D7E" w:rsidP="00860BE7" w14:paraId="40258DE1" w14:textId="77777777">
      <w:pPr>
        <w:pStyle w:val="Default"/>
      </w:pPr>
    </w:p>
    <w:p w:rsidR="00FA6EB0" w:rsidP="0016660B" w14:paraId="723F332E" w14:textId="54F3050B">
      <w:pPr>
        <w:pStyle w:val="Default"/>
        <w:rPr>
          <w:iCs/>
        </w:rPr>
      </w:pPr>
      <w:r>
        <w:t>FMCSA is authorized to conduct this research under 49 U.S.C. 31108</w:t>
      </w:r>
      <w:r>
        <w:rPr>
          <w:rStyle w:val="FootnoteReference"/>
        </w:rPr>
        <w:footnoteReference w:id="4"/>
      </w:r>
      <w:r w:rsidR="000025FF">
        <w:t xml:space="preserve"> (see Attachment A),</w:t>
      </w:r>
      <w:r>
        <w:t xml:space="preserve"> Motor Carrier Research and Technology Programs. Under section </w:t>
      </w:r>
      <w:r w:rsidRPr="0016660B">
        <w:t>31108(a)(3)(A-B)</w:t>
      </w:r>
      <w:r>
        <w:t xml:space="preserve">, FMCSA may fund research, development, and technology projects related to (A) the causes of </w:t>
      </w:r>
      <w:r w:rsidR="00B31BAC">
        <w:t>SCEs</w:t>
      </w:r>
      <w:r>
        <w:t xml:space="preserve">, injuries, and fatalities involving commercial motor vehicles and (B) means of reducing the number and severity of </w:t>
      </w:r>
      <w:r w:rsidR="00B31BAC">
        <w:t>SCEs</w:t>
      </w:r>
      <w:r>
        <w:t xml:space="preserve">, injuries, and fatalities involving commercial motor vehicles. </w:t>
      </w:r>
      <w:r w:rsidRPr="007411B2">
        <w:rPr>
          <w:iCs/>
        </w:rPr>
        <w:t xml:space="preserve">This information collection supports the U.S. Department of Transportation (DOT) </w:t>
      </w:r>
      <w:r>
        <w:rPr>
          <w:iCs/>
        </w:rPr>
        <w:t>S</w:t>
      </w:r>
      <w:r w:rsidRPr="007411B2">
        <w:rPr>
          <w:iCs/>
        </w:rPr>
        <w:t xml:space="preserve">trategic </w:t>
      </w:r>
      <w:r>
        <w:rPr>
          <w:iCs/>
        </w:rPr>
        <w:t>G</w:t>
      </w:r>
      <w:r w:rsidRPr="007411B2">
        <w:rPr>
          <w:iCs/>
        </w:rPr>
        <w:t>oal of Safety</w:t>
      </w:r>
      <w:r>
        <w:rPr>
          <w:iCs/>
        </w:rPr>
        <w:t>.</w:t>
      </w:r>
      <w:r w:rsidR="00BA5226">
        <w:rPr>
          <w:iCs/>
        </w:rPr>
        <w:t xml:space="preserve"> </w:t>
      </w:r>
      <w:r w:rsidR="00BA5226">
        <w:t xml:space="preserve">The study aim is to </w:t>
      </w:r>
      <w:r w:rsidRPr="00B12D3E" w:rsidR="00BA5226">
        <w:t xml:space="preserve">improve decision making related to the usage of HOS provisions and the impact of </w:t>
      </w:r>
      <w:r w:rsidR="00BA5226">
        <w:t xml:space="preserve">CMV </w:t>
      </w:r>
      <w:r w:rsidRPr="00B12D3E" w:rsidR="00BA5226">
        <w:t>driver schedules on crash risk</w:t>
      </w:r>
      <w:r w:rsidR="00BA5226">
        <w:t>.</w:t>
      </w:r>
    </w:p>
    <w:p w:rsidR="005612EB" w:rsidP="00135629" w14:paraId="5761B138" w14:textId="77777777">
      <w:r w:rsidRPr="005612EB">
        <w:br/>
      </w:r>
    </w:p>
    <w:p w:rsidR="00760196" w:rsidRPr="0016660B" w:rsidP="00CF7E97" w14:paraId="3ED116DF" w14:textId="77777777">
      <w:pPr>
        <w:pStyle w:val="ListParagraph"/>
        <w:numPr>
          <w:ilvl w:val="0"/>
          <w:numId w:val="2"/>
        </w:numPr>
        <w:rPr>
          <w:b/>
          <w:bCs/>
        </w:rPr>
      </w:pPr>
      <w:r w:rsidRPr="0016660B">
        <w:rPr>
          <w:b/>
          <w:bCs/>
        </w:rPr>
        <w:t>HOW, BY WHOM, AND FOR WHAT PURPOSE IS THE INFORMATION USED</w:t>
      </w:r>
      <w:r w:rsidRPr="0016660B" w:rsidR="009D4F72">
        <w:rPr>
          <w:b/>
          <w:bCs/>
        </w:rPr>
        <w:t xml:space="preserve"> </w:t>
      </w:r>
      <w:r w:rsidRPr="0016660B" w:rsidR="005612EB">
        <w:rPr>
          <w:b/>
          <w:bCs/>
        </w:rPr>
        <w:br/>
      </w:r>
    </w:p>
    <w:p w:rsidR="00A050C0" w:rsidP="00135629" w14:paraId="54F1ECC4" w14:textId="0A1562AC">
      <w:r>
        <w:t>Pulsar Informatics, Inc.</w:t>
      </w:r>
      <w:r w:rsidR="1FE94207">
        <w:t xml:space="preserve"> (Pulsar)</w:t>
      </w:r>
      <w:r>
        <w:t xml:space="preserve">, under contract to FMCSA, </w:t>
      </w:r>
      <w:r w:rsidR="50432CAB">
        <w:t>will collect the data necessary to address the study</w:t>
      </w:r>
      <w:r w:rsidR="6CEA9CC6">
        <w:t xml:space="preserve"> objectives and research questions. </w:t>
      </w:r>
      <w:r w:rsidR="65399E93">
        <w:t>This project will collect additional information to improve decision making regarding various aspects of the hours-of-service (HOS) provisions, how HOS provisions are being used, and the impact of driver schedules on crash risk.</w:t>
      </w:r>
      <w:r w:rsidR="1C2BADCD">
        <w:t xml:space="preserve"> </w:t>
      </w:r>
      <w:r w:rsidR="7E486D58">
        <w:t>In addition, the National Academies of Sciences, Engineering, and Medicine completed the 2015 report “Research Needs on CMV Driver Fatigue, Long-Term Health and Highway Safety”</w:t>
      </w:r>
      <w:r>
        <w:rPr>
          <w:rStyle w:val="FootnoteReference"/>
        </w:rPr>
        <w:footnoteReference w:id="5"/>
      </w:r>
      <w:r w:rsidR="7E486D58">
        <w:t xml:space="preserve">. One of </w:t>
      </w:r>
      <w:r w:rsidR="193D54DC">
        <w:t xml:space="preserve">its </w:t>
      </w:r>
      <w:r w:rsidR="7E486D58">
        <w:t>recommendations was</w:t>
      </w:r>
      <w:r w:rsidR="026A6AAE">
        <w:t>:</w:t>
      </w:r>
    </w:p>
    <w:p w:rsidR="00A050C0" w:rsidP="00135629" w14:paraId="12534E81" w14:textId="2C8A692F">
      <w:r w:rsidRPr="00D65E78">
        <w:t xml:space="preserve"> </w:t>
      </w:r>
    </w:p>
    <w:p w:rsidR="00A050C0" w:rsidRPr="00A050C0" w:rsidP="00F4555D" w14:paraId="4DA2F900" w14:textId="0C7006D0">
      <w:pPr>
        <w:ind w:left="720"/>
        <w:rPr>
          <w:sz w:val="28"/>
          <w:szCs w:val="28"/>
        </w:rPr>
      </w:pPr>
      <w:r w:rsidRPr="00A050C0">
        <w:rPr>
          <w:rStyle w:val="QuoteChar"/>
          <w:rFonts w:ascii="Times New Roman" w:hAnsi="Times New Roman" w:cs="Times New Roman"/>
          <w:color w:val="auto"/>
          <w:sz w:val="24"/>
          <w:szCs w:val="28"/>
        </w:rPr>
        <w:t xml:space="preserve">“FMCSA should incentivize those who capture driver </w:t>
      </w:r>
      <w:r w:rsidRPr="00A050C0" w:rsidR="002B66F5">
        <w:rPr>
          <w:rStyle w:val="QuoteChar"/>
          <w:rFonts w:ascii="Times New Roman" w:hAnsi="Times New Roman" w:cs="Times New Roman"/>
          <w:color w:val="auto"/>
          <w:sz w:val="24"/>
          <w:szCs w:val="28"/>
        </w:rPr>
        <w:t>p</w:t>
      </w:r>
      <w:r w:rsidRPr="00A050C0">
        <w:rPr>
          <w:rStyle w:val="QuoteChar"/>
          <w:rFonts w:ascii="Times New Roman" w:hAnsi="Times New Roman" w:cs="Times New Roman"/>
          <w:color w:val="auto"/>
          <w:sz w:val="24"/>
          <w:szCs w:val="28"/>
        </w:rPr>
        <w:t>erformance data (e.g., large fleets, independent trucking associations, companies that collect telematics data, insurance companies, researchers) to increase the availability of those data relevant to research issues of operator fatigue, hours of service, and highway safety. Any such efforts should ensure that data confidentiality is maintained, perhaps through restricted access arrangements or use of statistical techniques for disclosure protection</w:t>
      </w:r>
      <w:r w:rsidRPr="00A050C0" w:rsidR="00A2377F">
        <w:rPr>
          <w:rStyle w:val="QuoteChar"/>
          <w:rFonts w:ascii="Times New Roman" w:hAnsi="Times New Roman" w:cs="Times New Roman"/>
          <w:color w:val="auto"/>
          <w:sz w:val="24"/>
          <w:szCs w:val="28"/>
        </w:rPr>
        <w:t xml:space="preserve"> [</w:t>
      </w:r>
      <w:r w:rsidRPr="00A050C0">
        <w:rPr>
          <w:rStyle w:val="QuoteChar"/>
          <w:rFonts w:ascii="Times New Roman" w:hAnsi="Times New Roman" w:cs="Times New Roman"/>
          <w:color w:val="auto"/>
          <w:sz w:val="24"/>
          <w:szCs w:val="28"/>
        </w:rPr>
        <w:t>…</w:t>
      </w:r>
      <w:r w:rsidRPr="00A050C0" w:rsidR="00A2377F">
        <w:rPr>
          <w:rStyle w:val="QuoteChar"/>
          <w:rFonts w:ascii="Times New Roman" w:hAnsi="Times New Roman" w:cs="Times New Roman"/>
          <w:color w:val="auto"/>
          <w:sz w:val="24"/>
          <w:szCs w:val="28"/>
        </w:rPr>
        <w:t>]</w:t>
      </w:r>
      <w:r w:rsidRPr="00A050C0" w:rsidR="001135E9">
        <w:rPr>
          <w:rStyle w:val="QuoteChar"/>
          <w:rFonts w:ascii="Times New Roman" w:hAnsi="Times New Roman" w:cs="Times New Roman"/>
          <w:color w:val="auto"/>
          <w:sz w:val="24"/>
          <w:szCs w:val="28"/>
        </w:rPr>
        <w:t xml:space="preserve"> </w:t>
      </w:r>
      <w:r w:rsidRPr="00A050C0">
        <w:rPr>
          <w:rStyle w:val="QuoteChar"/>
          <w:rFonts w:ascii="Times New Roman" w:hAnsi="Times New Roman" w:cs="Times New Roman"/>
          <w:color w:val="auto"/>
          <w:sz w:val="24"/>
          <w:szCs w:val="28"/>
        </w:rPr>
        <w:t xml:space="preserve">Clearly, such carrier-collected data could offer a rich opportunity for analysis of various questions of interest concerning HOS regulations, fatigue, and crash frequency. If data from </w:t>
      </w:r>
      <w:r w:rsidRPr="00A050C0" w:rsidR="00E331CF">
        <w:rPr>
          <w:rStyle w:val="QuoteChar"/>
          <w:rFonts w:ascii="Times New Roman" w:hAnsi="Times New Roman" w:cs="Times New Roman"/>
          <w:color w:val="auto"/>
          <w:sz w:val="24"/>
          <w:szCs w:val="28"/>
        </w:rPr>
        <w:t>several</w:t>
      </w:r>
      <w:r w:rsidRPr="00A050C0">
        <w:rPr>
          <w:rStyle w:val="QuoteChar"/>
          <w:rFonts w:ascii="Times New Roman" w:hAnsi="Times New Roman" w:cs="Times New Roman"/>
          <w:color w:val="auto"/>
          <w:sz w:val="24"/>
          <w:szCs w:val="28"/>
        </w:rPr>
        <w:t xml:space="preserve"> large carriers across the commercial trucking industry could be collected, organized in a database, and made available to researchers, these data could represent an important </w:t>
      </w:r>
      <w:r w:rsidRPr="00A050C0">
        <w:rPr>
          <w:rStyle w:val="QuoteChar"/>
          <w:rFonts w:ascii="Times New Roman" w:hAnsi="Times New Roman" w:cs="Times New Roman"/>
          <w:color w:val="auto"/>
          <w:sz w:val="24"/>
          <w:szCs w:val="28"/>
        </w:rPr>
        <w:t>segment of the trucking industry”</w:t>
      </w:r>
      <w:r>
        <w:rPr>
          <w:rStyle w:val="QuoteChar"/>
          <w:rFonts w:ascii="Times New Roman" w:hAnsi="Times New Roman" w:cs="Times New Roman"/>
          <w:color w:val="auto"/>
          <w:sz w:val="24"/>
          <w:szCs w:val="28"/>
        </w:rPr>
        <w:t>.</w:t>
      </w:r>
      <w:r w:rsidRPr="00A050C0" w:rsidR="00F60C45">
        <w:rPr>
          <w:sz w:val="28"/>
          <w:szCs w:val="28"/>
        </w:rPr>
        <w:t xml:space="preserve"> </w:t>
      </w:r>
    </w:p>
    <w:p w:rsidR="00A050C0" w:rsidRPr="00A050C0" w:rsidP="00A050C0" w14:paraId="378E5E4C" w14:textId="77777777">
      <w:pPr>
        <w:rPr>
          <w:sz w:val="28"/>
          <w:szCs w:val="28"/>
        </w:rPr>
      </w:pPr>
    </w:p>
    <w:p w:rsidR="003D2DDF" w:rsidP="00135629" w14:paraId="7722243B" w14:textId="20F76323">
      <w:r>
        <w:t>C</w:t>
      </w:r>
      <w:r w:rsidR="00F60C45">
        <w:t xml:space="preserve">ollecting </w:t>
      </w:r>
      <w:r w:rsidRPr="00F60C45" w:rsidR="00F60C45">
        <w:t>Electronic Logging Device (ELD) and crash data from property-carrying and passenger-carrying commercial motor vehicle (CMV) carriers</w:t>
      </w:r>
      <w:r>
        <w:t xml:space="preserve"> will enable the</w:t>
      </w:r>
      <w:r w:rsidR="0011777B">
        <w:t xml:space="preserve"> </w:t>
      </w:r>
      <w:r>
        <w:t>research team</w:t>
      </w:r>
      <w:r w:rsidRPr="00F60C45" w:rsidR="00F60C45">
        <w:t xml:space="preserve"> to assess risks posed by alternative schedules as they relate to various aspects of HOS provisions.</w:t>
      </w:r>
      <w:r w:rsidR="0011777B">
        <w:t xml:space="preserve"> </w:t>
      </w:r>
    </w:p>
    <w:p w:rsidR="00006677" w:rsidP="00135629" w14:paraId="7413B744" w14:textId="77777777"/>
    <w:p w:rsidR="00AB2CF8" w:rsidP="00AB2CF8" w14:paraId="647EF83F" w14:textId="31076968">
      <w:r w:rsidRPr="00335A8A">
        <w:t xml:space="preserve">The study requires data to be collected for HOS duty logs, </w:t>
      </w:r>
      <w:r w:rsidR="00B31BAC">
        <w:t>SCE</w:t>
      </w:r>
      <w:r w:rsidRPr="00335A8A" w:rsidR="00B31BAC">
        <w:t xml:space="preserve"> </w:t>
      </w:r>
      <w:r w:rsidRPr="00335A8A">
        <w:t xml:space="preserve">and </w:t>
      </w:r>
      <w:r w:rsidR="0072201E">
        <w:t>crash</w:t>
      </w:r>
      <w:r w:rsidRPr="00335A8A" w:rsidR="0072201E">
        <w:t xml:space="preserve"> </w:t>
      </w:r>
      <w:r w:rsidRPr="00335A8A">
        <w:t xml:space="preserve">data, and inspection violations records. </w:t>
      </w:r>
      <w:r w:rsidRPr="007E2F23">
        <w:t>HOS duty logs</w:t>
      </w:r>
      <w:r w:rsidRPr="0016660B" w:rsidR="00FA481F">
        <w:t>, as well</w:t>
      </w:r>
      <w:r w:rsidRPr="0016660B" w:rsidR="003340D8">
        <w:t xml:space="preserve"> as </w:t>
      </w:r>
      <w:r w:rsidR="00D563D8">
        <w:t>SCE</w:t>
      </w:r>
      <w:r w:rsidRPr="0016660B" w:rsidR="00D563D8">
        <w:t xml:space="preserve"> </w:t>
      </w:r>
      <w:r w:rsidRPr="0016660B" w:rsidR="003340D8">
        <w:t xml:space="preserve">and crash data, </w:t>
      </w:r>
      <w:r w:rsidRPr="007E2F23">
        <w:t xml:space="preserve">will be obtained through an integration with the telematics system provider (TSP), and </w:t>
      </w:r>
      <w:r w:rsidRPr="0016660B" w:rsidR="003340D8">
        <w:t>driver demographic</w:t>
      </w:r>
      <w:r w:rsidRPr="007E2F23">
        <w:t xml:space="preserve"> data will be provided directly by participating carriers.</w:t>
      </w:r>
      <w:r w:rsidRPr="00335A8A">
        <w:t xml:space="preserve"> The DOT will provide access to the </w:t>
      </w:r>
      <w:r>
        <w:t>Motor Carrier Management Information System (</w:t>
      </w:r>
      <w:r w:rsidRPr="00335A8A">
        <w:t>MCMIS</w:t>
      </w:r>
      <w:r>
        <w:t>)</w:t>
      </w:r>
      <w:r w:rsidRPr="00335A8A">
        <w:t xml:space="preserve"> database, which provides records of all DOT re</w:t>
      </w:r>
      <w:r>
        <w:t>c</w:t>
      </w:r>
      <w:r w:rsidRPr="00335A8A">
        <w:t xml:space="preserve">ordable crashes and inspection violation records. The table below summarizes the types of data that will be analyzed and the sources for each data type. </w:t>
      </w:r>
    </w:p>
    <w:p w:rsidR="00006677" w:rsidP="00135629" w14:paraId="5D6FB840" w14:textId="77777777"/>
    <w:p w:rsidR="008D4BCE" w:rsidRPr="0016660B" w:rsidP="0016660B" w14:paraId="60225FBA" w14:textId="754A13C3">
      <w:pPr>
        <w:pStyle w:val="Caption"/>
        <w:keepNext/>
        <w:jc w:val="center"/>
        <w:rPr>
          <w:rFonts w:ascii="Times New Roman" w:hAnsi="Times New Roman" w:cs="Times New Roman"/>
          <w:i w:val="0"/>
          <w:iCs w:val="0"/>
          <w:color w:val="auto"/>
          <w:sz w:val="20"/>
          <w:szCs w:val="20"/>
        </w:rPr>
      </w:pPr>
      <w:r w:rsidRPr="0016660B">
        <w:rPr>
          <w:rFonts w:ascii="Times New Roman" w:hAnsi="Times New Roman" w:cs="Times New Roman"/>
          <w:b/>
          <w:bCs/>
          <w:i w:val="0"/>
          <w:iCs w:val="0"/>
          <w:color w:val="auto"/>
          <w:sz w:val="20"/>
          <w:szCs w:val="20"/>
        </w:rPr>
        <w:t>Table 1</w:t>
      </w:r>
      <w:r w:rsidRPr="0016660B">
        <w:rPr>
          <w:rFonts w:ascii="Times New Roman" w:hAnsi="Times New Roman" w:cs="Times New Roman"/>
          <w:i w:val="0"/>
          <w:iCs w:val="0"/>
          <w:color w:val="auto"/>
          <w:sz w:val="20"/>
          <w:szCs w:val="20"/>
        </w:rPr>
        <w:t>: Data types and sources.</w:t>
      </w:r>
    </w:p>
    <w:tbl>
      <w:tblPr>
        <w:tblStyle w:val="TableGrid"/>
        <w:tblW w:w="0" w:type="auto"/>
        <w:jc w:val="center"/>
        <w:tblLook w:val="04A0"/>
      </w:tblPr>
      <w:tblGrid>
        <w:gridCol w:w="3060"/>
        <w:gridCol w:w="3055"/>
      </w:tblGrid>
      <w:tr w14:paraId="6E42498F" w14:textId="77777777" w:rsidTr="0016660B">
        <w:tblPrEx>
          <w:tblW w:w="0" w:type="auto"/>
          <w:jc w:val="center"/>
          <w:tblLook w:val="04A0"/>
        </w:tblPrEx>
        <w:trPr>
          <w:jc w:val="center"/>
        </w:trPr>
        <w:tc>
          <w:tcPr>
            <w:tcW w:w="3060" w:type="dxa"/>
            <w:shd w:val="clear" w:color="auto" w:fill="D9D9D9" w:themeFill="background1" w:themeFillShade="D9"/>
          </w:tcPr>
          <w:p w:rsidR="008D4BCE" w:rsidRPr="00335A8A" w:rsidP="00403B10" w14:paraId="21BF501E" w14:textId="77777777">
            <w:pPr>
              <w:rPr>
                <w:b/>
                <w:bCs/>
              </w:rPr>
            </w:pPr>
            <w:r w:rsidRPr="00335A8A">
              <w:rPr>
                <w:b/>
                <w:bCs/>
              </w:rPr>
              <w:t>Data</w:t>
            </w:r>
          </w:p>
        </w:tc>
        <w:tc>
          <w:tcPr>
            <w:tcW w:w="3055" w:type="dxa"/>
            <w:shd w:val="clear" w:color="auto" w:fill="D9D9D9" w:themeFill="background1" w:themeFillShade="D9"/>
          </w:tcPr>
          <w:p w:rsidR="008D4BCE" w:rsidRPr="00335A8A" w:rsidP="00403B10" w14:paraId="437157CE" w14:textId="77777777">
            <w:pPr>
              <w:rPr>
                <w:b/>
                <w:bCs/>
              </w:rPr>
            </w:pPr>
            <w:r w:rsidRPr="00335A8A">
              <w:rPr>
                <w:b/>
                <w:bCs/>
              </w:rPr>
              <w:t>Source</w:t>
            </w:r>
          </w:p>
        </w:tc>
      </w:tr>
      <w:tr w14:paraId="25339A7B" w14:textId="77777777" w:rsidTr="0016660B">
        <w:tblPrEx>
          <w:tblW w:w="0" w:type="auto"/>
          <w:jc w:val="center"/>
          <w:tblLook w:val="04A0"/>
        </w:tblPrEx>
        <w:trPr>
          <w:jc w:val="center"/>
        </w:trPr>
        <w:tc>
          <w:tcPr>
            <w:tcW w:w="3060" w:type="dxa"/>
          </w:tcPr>
          <w:p w:rsidR="008D4BCE" w:rsidRPr="00335A8A" w:rsidP="00403B10" w14:paraId="000CD6FC" w14:textId="0DE9EA6E">
            <w:r w:rsidRPr="00335A8A">
              <w:t>HOS</w:t>
            </w:r>
            <w:r w:rsidR="00922AD4">
              <w:t xml:space="preserve"> Duty Logs</w:t>
            </w:r>
          </w:p>
        </w:tc>
        <w:tc>
          <w:tcPr>
            <w:tcW w:w="3055" w:type="dxa"/>
          </w:tcPr>
          <w:p w:rsidR="008D4BCE" w:rsidRPr="00335A8A" w:rsidP="00403B10" w14:paraId="07A0218C" w14:textId="77777777">
            <w:r w:rsidRPr="00335A8A">
              <w:t>Carrier (via TSP integration)</w:t>
            </w:r>
          </w:p>
        </w:tc>
      </w:tr>
      <w:tr w14:paraId="497A7143" w14:textId="77777777" w:rsidTr="0016660B">
        <w:tblPrEx>
          <w:tblW w:w="0" w:type="auto"/>
          <w:jc w:val="center"/>
          <w:tblLook w:val="04A0"/>
        </w:tblPrEx>
        <w:trPr>
          <w:jc w:val="center"/>
        </w:trPr>
        <w:tc>
          <w:tcPr>
            <w:tcW w:w="3060" w:type="dxa"/>
          </w:tcPr>
          <w:p w:rsidR="008D4BCE" w:rsidRPr="00335A8A" w:rsidP="00403B10" w14:paraId="47BA1EAB" w14:textId="76A08CBD">
            <w:r>
              <w:t xml:space="preserve">SCE and </w:t>
            </w:r>
            <w:r w:rsidRPr="00335A8A">
              <w:t>Crash Data</w:t>
            </w:r>
          </w:p>
        </w:tc>
        <w:tc>
          <w:tcPr>
            <w:tcW w:w="3055" w:type="dxa"/>
          </w:tcPr>
          <w:p w:rsidR="008D4BCE" w:rsidRPr="00335A8A" w:rsidP="00403B10" w14:paraId="4A376069" w14:textId="3C1D72ED">
            <w:r w:rsidRPr="00335A8A">
              <w:t xml:space="preserve">Carrier </w:t>
            </w:r>
            <w:r w:rsidRPr="00335A8A" w:rsidR="00B31BD3">
              <w:t>(via TSP integration)</w:t>
            </w:r>
          </w:p>
        </w:tc>
      </w:tr>
      <w:tr w14:paraId="30AAACE6" w14:textId="77777777" w:rsidTr="0016660B">
        <w:tblPrEx>
          <w:tblW w:w="0" w:type="auto"/>
          <w:jc w:val="center"/>
          <w:tblLook w:val="04A0"/>
        </w:tblPrEx>
        <w:trPr>
          <w:jc w:val="center"/>
        </w:trPr>
        <w:tc>
          <w:tcPr>
            <w:tcW w:w="3060" w:type="dxa"/>
          </w:tcPr>
          <w:p w:rsidR="008D4BCE" w:rsidRPr="00335A8A" w:rsidP="00403B10" w14:paraId="7957FE5D" w14:textId="77777777">
            <w:r w:rsidRPr="00335A8A">
              <w:t xml:space="preserve">Driver </w:t>
            </w:r>
            <w:r>
              <w:t>D</w:t>
            </w:r>
            <w:r w:rsidRPr="00335A8A">
              <w:t xml:space="preserve">emographic </w:t>
            </w:r>
            <w:r>
              <w:t>D</w:t>
            </w:r>
            <w:r w:rsidRPr="00335A8A">
              <w:t>ata</w:t>
            </w:r>
          </w:p>
        </w:tc>
        <w:tc>
          <w:tcPr>
            <w:tcW w:w="3055" w:type="dxa"/>
          </w:tcPr>
          <w:p w:rsidR="008D4BCE" w:rsidRPr="00335A8A" w:rsidP="00403B10" w14:paraId="3FC62C9F" w14:textId="77777777">
            <w:r w:rsidRPr="00335A8A">
              <w:t>Carrier</w:t>
            </w:r>
          </w:p>
        </w:tc>
      </w:tr>
      <w:tr w14:paraId="310EA488" w14:textId="77777777" w:rsidTr="0016660B">
        <w:tblPrEx>
          <w:tblW w:w="0" w:type="auto"/>
          <w:jc w:val="center"/>
          <w:tblLook w:val="04A0"/>
        </w:tblPrEx>
        <w:trPr>
          <w:jc w:val="center"/>
        </w:trPr>
        <w:tc>
          <w:tcPr>
            <w:tcW w:w="3060" w:type="dxa"/>
          </w:tcPr>
          <w:p w:rsidR="008D4BCE" w:rsidRPr="00335A8A" w:rsidP="00403B10" w14:paraId="1EB7C4EE" w14:textId="77777777">
            <w:r w:rsidRPr="00335A8A">
              <w:t>Crash Data</w:t>
            </w:r>
          </w:p>
        </w:tc>
        <w:tc>
          <w:tcPr>
            <w:tcW w:w="3055" w:type="dxa"/>
          </w:tcPr>
          <w:p w:rsidR="008D4BCE" w:rsidRPr="00335A8A" w:rsidP="00403B10" w14:paraId="0B0A9BFB" w14:textId="77777777">
            <w:r w:rsidRPr="00335A8A">
              <w:t xml:space="preserve">MCMIS </w:t>
            </w:r>
          </w:p>
        </w:tc>
      </w:tr>
      <w:tr w14:paraId="12DDBF15" w14:textId="77777777" w:rsidTr="0016660B">
        <w:tblPrEx>
          <w:tblW w:w="0" w:type="auto"/>
          <w:jc w:val="center"/>
          <w:tblLook w:val="04A0"/>
        </w:tblPrEx>
        <w:trPr>
          <w:jc w:val="center"/>
        </w:trPr>
        <w:tc>
          <w:tcPr>
            <w:tcW w:w="3060" w:type="dxa"/>
          </w:tcPr>
          <w:p w:rsidR="008D4BCE" w:rsidRPr="00335A8A" w:rsidP="00403B10" w14:paraId="19CABFAA" w14:textId="77777777">
            <w:r w:rsidRPr="00335A8A">
              <w:t>Inspection Violations</w:t>
            </w:r>
          </w:p>
        </w:tc>
        <w:tc>
          <w:tcPr>
            <w:tcW w:w="3055" w:type="dxa"/>
          </w:tcPr>
          <w:p w:rsidR="008D4BCE" w:rsidRPr="00335A8A" w:rsidP="00403B10" w14:paraId="12279076" w14:textId="77777777">
            <w:r w:rsidRPr="00335A8A">
              <w:t>MCMIS</w:t>
            </w:r>
          </w:p>
        </w:tc>
      </w:tr>
    </w:tbl>
    <w:p w:rsidR="008D4BCE" w:rsidP="00135629" w14:paraId="7F6FEE83" w14:textId="77777777"/>
    <w:p w:rsidR="00BE1971" w:rsidP="00135629" w14:paraId="449FBE81" w14:textId="6D333F29">
      <w:r>
        <w:t>All data will be co</w:t>
      </w:r>
      <w:r w:rsidR="00922D32">
        <w:t>llected electronically.</w:t>
      </w:r>
      <w:r w:rsidR="005F2C88">
        <w:t xml:space="preserve"> Data from MCMIS </w:t>
      </w:r>
      <w:r w:rsidR="001C1D9C">
        <w:t xml:space="preserve">(i.e., </w:t>
      </w:r>
      <w:r w:rsidR="0042404A">
        <w:t xml:space="preserve">crash data and inspection violations) </w:t>
      </w:r>
      <w:r w:rsidR="005F2C88">
        <w:t xml:space="preserve">will be </w:t>
      </w:r>
      <w:r w:rsidR="00DA1557">
        <w:t xml:space="preserve">collected monthly </w:t>
      </w:r>
      <w:r w:rsidR="00FD01DB">
        <w:t xml:space="preserve">via </w:t>
      </w:r>
      <w:r w:rsidR="00FA6A66">
        <w:t xml:space="preserve">a </w:t>
      </w:r>
      <w:r w:rsidR="00FD01DB">
        <w:t xml:space="preserve">link to a </w:t>
      </w:r>
      <w:r w:rsidR="00FA6A66">
        <w:t xml:space="preserve">secure, password-protected website </w:t>
      </w:r>
      <w:r w:rsidR="00BA665E">
        <w:t>used</w:t>
      </w:r>
      <w:r w:rsidR="00FA6A66">
        <w:t xml:space="preserve"> by DOT. </w:t>
      </w:r>
      <w:r w:rsidR="004651C0">
        <w:t xml:space="preserve">Each link is delivered </w:t>
      </w:r>
      <w:r w:rsidR="00EA1726">
        <w:t xml:space="preserve">to the research team </w:t>
      </w:r>
      <w:r w:rsidR="004651C0">
        <w:t>by email</w:t>
      </w:r>
      <w:r w:rsidR="00D134DE">
        <w:t xml:space="preserve"> from the Data Analysis and Reports Team (DART)</w:t>
      </w:r>
      <w:r w:rsidR="00A170BE">
        <w:t xml:space="preserve"> </w:t>
      </w:r>
      <w:r w:rsidR="00E331CF">
        <w:t xml:space="preserve">in </w:t>
      </w:r>
      <w:r w:rsidR="00A170BE">
        <w:t>the FMCSA Analysis Division</w:t>
      </w:r>
      <w:r w:rsidR="004651C0">
        <w:t xml:space="preserve">. </w:t>
      </w:r>
      <w:r w:rsidR="0042404A">
        <w:t>HOS</w:t>
      </w:r>
      <w:r w:rsidR="00387CF1">
        <w:t xml:space="preserve"> and</w:t>
      </w:r>
      <w:r w:rsidR="0042404A">
        <w:t xml:space="preserve"> incident and crash data</w:t>
      </w:r>
      <w:r w:rsidR="00387CF1">
        <w:t xml:space="preserve"> </w:t>
      </w:r>
      <w:r w:rsidR="00A45EBD">
        <w:t xml:space="preserve">will be collected continuously </w:t>
      </w:r>
      <w:r w:rsidR="00C15734">
        <w:t xml:space="preserve">and automatically </w:t>
      </w:r>
      <w:r w:rsidR="00154B21">
        <w:t xml:space="preserve">through an integration with </w:t>
      </w:r>
      <w:r w:rsidR="00932C7A">
        <w:t xml:space="preserve">carriers’ </w:t>
      </w:r>
      <w:r w:rsidR="00154B21">
        <w:t>telematics system provider (TSP)</w:t>
      </w:r>
      <w:r w:rsidR="00EF2238">
        <w:t xml:space="preserve">. </w:t>
      </w:r>
      <w:r w:rsidR="00972C03">
        <w:t>Driver demographic data</w:t>
      </w:r>
      <w:r>
        <w:t xml:space="preserve"> </w:t>
      </w:r>
      <w:r w:rsidR="00943069">
        <w:t xml:space="preserve">will be collected </w:t>
      </w:r>
      <w:r w:rsidR="006B29D7">
        <w:t xml:space="preserve">from electronic reports that carriers export from their </w:t>
      </w:r>
      <w:r>
        <w:t xml:space="preserve">existing fleet management software, human resources management system, driver management platform, or other appropriate system </w:t>
      </w:r>
      <w:r w:rsidR="002647FC">
        <w:t>on a quarterly basis.</w:t>
      </w:r>
      <w:r w:rsidR="00AE457A">
        <w:t xml:space="preserve"> These processes are detailed further in Section 3 below</w:t>
      </w:r>
      <w:r w:rsidR="003B240B">
        <w:t xml:space="preserve"> and in Attachments B, C, and D</w:t>
      </w:r>
      <w:r w:rsidR="00AE457A">
        <w:t>.</w:t>
      </w:r>
    </w:p>
    <w:p w:rsidR="008A0FE1" w:rsidP="00135629" w14:paraId="5D8EA311" w14:textId="2501B358"/>
    <w:p w:rsidR="00006677" w:rsidRPr="005E19A9" w:rsidP="00006677" w14:paraId="20AC8EB0" w14:textId="38A19EA9">
      <w:pPr>
        <w:pStyle w:val="Default"/>
        <w:rPr>
          <w:iCs/>
        </w:rPr>
      </w:pPr>
      <w:r w:rsidRPr="005E19A9">
        <w:rPr>
          <w:iCs/>
        </w:rPr>
        <w:t>Th</w:t>
      </w:r>
      <w:r w:rsidR="002522E8">
        <w:rPr>
          <w:iCs/>
        </w:rPr>
        <w:t>e information collected will</w:t>
      </w:r>
      <w:r w:rsidR="00517EF0">
        <w:rPr>
          <w:iCs/>
        </w:rPr>
        <w:t xml:space="preserve"> be used to </w:t>
      </w:r>
      <w:r>
        <w:rPr>
          <w:iCs/>
        </w:rPr>
        <w:t>examine</w:t>
      </w:r>
      <w:r w:rsidRPr="005E19A9">
        <w:rPr>
          <w:iCs/>
        </w:rPr>
        <w:t xml:space="preserve"> the relative risk of crashes and inspection violations based on various factors related to the driver’s work schedule and demographics. The relative risk is the risk compared within a baseline value for each factor. </w:t>
      </w:r>
      <w:r w:rsidR="0050401D">
        <w:rPr>
          <w:iCs/>
        </w:rPr>
        <w:t>One</w:t>
      </w:r>
      <w:r w:rsidRPr="005E19A9" w:rsidR="0050401D">
        <w:rPr>
          <w:iCs/>
        </w:rPr>
        <w:t xml:space="preserve"> </w:t>
      </w:r>
      <w:r w:rsidRPr="005E19A9">
        <w:rPr>
          <w:iCs/>
        </w:rPr>
        <w:t>example</w:t>
      </w:r>
      <w:r w:rsidR="0050401D">
        <w:rPr>
          <w:iCs/>
        </w:rPr>
        <w:t xml:space="preserve"> of this is</w:t>
      </w:r>
      <w:r w:rsidRPr="005E19A9">
        <w:rPr>
          <w:iCs/>
        </w:rPr>
        <w:t xml:space="preserve"> the relative risk for cumulative hours of driving in duty compares the risk of crashes at the 11</w:t>
      </w:r>
      <w:r w:rsidRPr="005E19A9">
        <w:rPr>
          <w:iCs/>
          <w:vertAlign w:val="superscript"/>
        </w:rPr>
        <w:t>th</w:t>
      </w:r>
      <w:r w:rsidRPr="005E19A9">
        <w:rPr>
          <w:iCs/>
        </w:rPr>
        <w:t xml:space="preserve"> hour of driving compared to the risk of crashes at the first hour of driving in a duty. The specific factors that will be analyzed are:</w:t>
      </w:r>
    </w:p>
    <w:p w:rsidR="00006677" w:rsidP="00006677" w14:paraId="16EAC284" w14:textId="77777777">
      <w:pPr>
        <w:pStyle w:val="Default"/>
        <w:ind w:left="360"/>
        <w:rPr>
          <w:b/>
          <w:bCs/>
          <w:iCs/>
        </w:rPr>
      </w:pPr>
    </w:p>
    <w:p w:rsidR="00006677" w:rsidRPr="005E19A9" w:rsidP="00006677" w14:paraId="47350DDB" w14:textId="77777777">
      <w:pPr>
        <w:pStyle w:val="Default"/>
        <w:ind w:left="360"/>
        <w:rPr>
          <w:iCs/>
        </w:rPr>
      </w:pPr>
      <w:bookmarkStart w:id="1" w:name="_Hlk194495116"/>
      <w:r w:rsidRPr="005E19A9">
        <w:rPr>
          <w:b/>
          <w:bCs/>
          <w:iCs/>
        </w:rPr>
        <w:t>Cumulative Hours of Driving in Duty</w:t>
      </w:r>
      <w:r w:rsidRPr="005E19A9">
        <w:rPr>
          <w:iCs/>
        </w:rPr>
        <w:t xml:space="preserve"> — how many hours the driver has been driving since starting duty </w:t>
      </w:r>
    </w:p>
    <w:p w:rsidR="00006677" w:rsidP="00006677" w14:paraId="59616479" w14:textId="77777777">
      <w:pPr>
        <w:pStyle w:val="Default"/>
        <w:ind w:left="360"/>
        <w:rPr>
          <w:b/>
          <w:bCs/>
          <w:iCs/>
        </w:rPr>
      </w:pPr>
    </w:p>
    <w:p w:rsidR="00006677" w:rsidRPr="005E19A9" w:rsidP="00006677" w14:paraId="08584E9A" w14:textId="77777777">
      <w:pPr>
        <w:pStyle w:val="Default"/>
        <w:ind w:left="360"/>
        <w:rPr>
          <w:b/>
          <w:bCs/>
          <w:iCs/>
        </w:rPr>
      </w:pPr>
      <w:r w:rsidRPr="005E19A9">
        <w:rPr>
          <w:b/>
          <w:bCs/>
          <w:iCs/>
        </w:rPr>
        <w:t>Cumulative Hours of Driving in Prior 7 Days</w:t>
      </w:r>
      <w:r w:rsidRPr="005E19A9">
        <w:rPr>
          <w:iCs/>
        </w:rPr>
        <w:t xml:space="preserve"> — how many hours the driver drove in the 7 days prior to the start of duty</w:t>
      </w:r>
    </w:p>
    <w:p w:rsidR="00006677" w:rsidP="00006677" w14:paraId="3ECC18DA" w14:textId="77777777">
      <w:pPr>
        <w:pStyle w:val="Default"/>
        <w:ind w:left="360"/>
        <w:rPr>
          <w:b/>
          <w:bCs/>
          <w:iCs/>
        </w:rPr>
      </w:pPr>
    </w:p>
    <w:p w:rsidR="00006677" w:rsidRPr="005E19A9" w:rsidP="00006677" w14:paraId="36E231CC" w14:textId="77777777">
      <w:pPr>
        <w:pStyle w:val="Default"/>
        <w:ind w:left="360"/>
        <w:rPr>
          <w:iCs/>
        </w:rPr>
      </w:pPr>
      <w:r w:rsidRPr="005E19A9">
        <w:rPr>
          <w:b/>
          <w:bCs/>
          <w:iCs/>
        </w:rPr>
        <w:t>Number of Driving Breaks</w:t>
      </w:r>
      <w:r w:rsidRPr="005E19A9">
        <w:rPr>
          <w:iCs/>
        </w:rPr>
        <w:t xml:space="preserve"> — whether the driver has taken no breaks, one 30-minute break, or two 30-minute breaks during a duty period</w:t>
      </w:r>
    </w:p>
    <w:p w:rsidR="00006677" w:rsidP="00006677" w14:paraId="1E9D2758" w14:textId="77777777">
      <w:pPr>
        <w:pStyle w:val="Default"/>
        <w:ind w:left="360"/>
        <w:rPr>
          <w:b/>
          <w:bCs/>
          <w:iCs/>
        </w:rPr>
      </w:pPr>
    </w:p>
    <w:p w:rsidR="00006677" w:rsidRPr="005E19A9" w:rsidP="00006677" w14:paraId="0DFB1258" w14:textId="77777777">
      <w:pPr>
        <w:pStyle w:val="Default"/>
        <w:ind w:left="360"/>
        <w:rPr>
          <w:iCs/>
        </w:rPr>
      </w:pPr>
      <w:r w:rsidRPr="005E19A9">
        <w:rPr>
          <w:b/>
          <w:bCs/>
          <w:iCs/>
        </w:rPr>
        <w:t>Number of Nights in Restart Period</w:t>
      </w:r>
      <w:r w:rsidRPr="005E19A9">
        <w:rPr>
          <w:iCs/>
        </w:rPr>
        <w:t xml:space="preserve"> — whether the driver’s restart period (34 hours consecutive time off) contains one, two, or at least three consecutive time periods spanning between 1:00am and 5:00am (a period known as the Window of Circadian Low, or WOCL)</w:t>
      </w:r>
    </w:p>
    <w:p w:rsidR="00006677" w:rsidP="00006677" w14:paraId="73FB765C" w14:textId="77777777">
      <w:pPr>
        <w:pStyle w:val="Default"/>
        <w:ind w:left="360"/>
        <w:rPr>
          <w:b/>
          <w:bCs/>
          <w:iCs/>
        </w:rPr>
      </w:pPr>
    </w:p>
    <w:p w:rsidR="00006677" w:rsidRPr="005E19A9" w:rsidP="00006677" w14:paraId="10F890B3" w14:textId="77777777">
      <w:pPr>
        <w:pStyle w:val="Default"/>
        <w:ind w:left="360"/>
        <w:rPr>
          <w:iCs/>
        </w:rPr>
      </w:pPr>
      <w:r w:rsidRPr="005E19A9">
        <w:rPr>
          <w:b/>
          <w:bCs/>
          <w:iCs/>
        </w:rPr>
        <w:t>Number of Consecutive Hours in Sleeper Berth</w:t>
      </w:r>
      <w:r w:rsidRPr="005E19A9">
        <w:rPr>
          <w:iCs/>
        </w:rPr>
        <w:t xml:space="preserve"> </w:t>
      </w:r>
    </w:p>
    <w:p w:rsidR="00006677" w:rsidP="00006677" w14:paraId="2AD3DE72" w14:textId="77777777">
      <w:pPr>
        <w:pStyle w:val="Default"/>
        <w:ind w:left="360"/>
        <w:rPr>
          <w:b/>
          <w:bCs/>
          <w:iCs/>
        </w:rPr>
      </w:pPr>
    </w:p>
    <w:p w:rsidR="00006677" w:rsidRPr="005E19A9" w:rsidP="00006677" w14:paraId="1D0996D4" w14:textId="77777777">
      <w:pPr>
        <w:pStyle w:val="Default"/>
        <w:ind w:left="360"/>
        <w:rPr>
          <w:iCs/>
        </w:rPr>
      </w:pPr>
      <w:r w:rsidRPr="005E19A9">
        <w:rPr>
          <w:b/>
          <w:bCs/>
          <w:iCs/>
        </w:rPr>
        <w:t xml:space="preserve">Personal Conveyance Use </w:t>
      </w:r>
      <w:r w:rsidRPr="005E19A9">
        <w:rPr>
          <w:iCs/>
        </w:rPr>
        <w:t>— whether or not the driver has used personal conveyance before or after their duty period</w:t>
      </w:r>
    </w:p>
    <w:p w:rsidR="00006677" w:rsidP="00006677" w14:paraId="13EC0D93" w14:textId="77777777">
      <w:pPr>
        <w:pStyle w:val="Default"/>
        <w:ind w:left="360"/>
        <w:rPr>
          <w:b/>
          <w:bCs/>
          <w:iCs/>
        </w:rPr>
      </w:pPr>
    </w:p>
    <w:p w:rsidR="00006677" w:rsidRPr="005E19A9" w:rsidP="00006677" w14:paraId="61D1699C" w14:textId="2B508047">
      <w:pPr>
        <w:pStyle w:val="Default"/>
        <w:ind w:left="360"/>
        <w:rPr>
          <w:iCs/>
        </w:rPr>
      </w:pPr>
      <w:r w:rsidRPr="005E19A9">
        <w:rPr>
          <w:b/>
          <w:bCs/>
          <w:iCs/>
        </w:rPr>
        <w:t xml:space="preserve">Time of Day </w:t>
      </w:r>
      <w:r w:rsidRPr="005E19A9" w:rsidR="00077FC2">
        <w:rPr>
          <w:iCs/>
        </w:rPr>
        <w:t>—</w:t>
      </w:r>
      <w:r w:rsidRPr="005E19A9">
        <w:rPr>
          <w:iCs/>
        </w:rPr>
        <w:t xml:space="preserve"> time of day when the driver started and ended duty day and time of day for each driving hour in duty day</w:t>
      </w:r>
    </w:p>
    <w:p w:rsidR="00006677" w:rsidP="00006677" w14:paraId="39CD8221" w14:textId="77777777">
      <w:pPr>
        <w:pStyle w:val="Default"/>
        <w:ind w:left="360"/>
        <w:rPr>
          <w:b/>
          <w:bCs/>
          <w:iCs/>
        </w:rPr>
      </w:pPr>
    </w:p>
    <w:p w:rsidR="00006677" w:rsidRPr="005E19A9" w:rsidP="00006677" w14:paraId="1C05FA84" w14:textId="77777777">
      <w:pPr>
        <w:pStyle w:val="Default"/>
        <w:ind w:left="360"/>
        <w:rPr>
          <w:b/>
          <w:bCs/>
          <w:iCs/>
        </w:rPr>
      </w:pPr>
      <w:r w:rsidRPr="005E19A9">
        <w:rPr>
          <w:b/>
          <w:bCs/>
          <w:iCs/>
        </w:rPr>
        <w:t>Covariates:</w:t>
      </w:r>
    </w:p>
    <w:p w:rsidR="00006677" w:rsidRPr="005E19A9" w:rsidP="00CF7E97" w14:paraId="2C685B38" w14:textId="620AFA29">
      <w:pPr>
        <w:pStyle w:val="Default"/>
        <w:numPr>
          <w:ilvl w:val="0"/>
          <w:numId w:val="5"/>
        </w:numPr>
        <w:rPr>
          <w:iCs/>
        </w:rPr>
      </w:pPr>
      <w:r w:rsidRPr="005E19A9">
        <w:rPr>
          <w:b/>
          <w:bCs/>
          <w:iCs/>
        </w:rPr>
        <w:t xml:space="preserve">Driver-Specific Covariate Factors </w:t>
      </w:r>
      <w:r w:rsidRPr="005E19A9">
        <w:rPr>
          <w:iCs/>
        </w:rPr>
        <w:t xml:space="preserve">— age group, </w:t>
      </w:r>
      <w:r w:rsidR="00652E13">
        <w:rPr>
          <w:iCs/>
        </w:rPr>
        <w:t>sex</w:t>
      </w:r>
      <w:r w:rsidRPr="005E19A9">
        <w:rPr>
          <w:iCs/>
        </w:rPr>
        <w:t>, years of experience, total number of inspection violations</w:t>
      </w:r>
      <w:r w:rsidR="00DB394D">
        <w:rPr>
          <w:iCs/>
        </w:rPr>
        <w:t>, etc.</w:t>
      </w:r>
    </w:p>
    <w:p w:rsidR="00006677" w:rsidRPr="005E19A9" w:rsidP="00CF7E97" w14:paraId="3A802ED6" w14:textId="7EFA82E3">
      <w:pPr>
        <w:pStyle w:val="Default"/>
        <w:numPr>
          <w:ilvl w:val="0"/>
          <w:numId w:val="5"/>
        </w:numPr>
        <w:rPr>
          <w:iCs/>
        </w:rPr>
      </w:pPr>
      <w:r w:rsidRPr="005E19A9">
        <w:rPr>
          <w:b/>
          <w:bCs/>
          <w:iCs/>
        </w:rPr>
        <w:t>Carrier-Specific Covariate Factors</w:t>
      </w:r>
      <w:r w:rsidRPr="005E19A9">
        <w:rPr>
          <w:iCs/>
        </w:rPr>
        <w:t xml:space="preserve"> — operation size, operation type, total number of inspection violations</w:t>
      </w:r>
      <w:r w:rsidR="00DB394D">
        <w:rPr>
          <w:iCs/>
        </w:rPr>
        <w:t>, total number of inspections, etc.</w:t>
      </w:r>
    </w:p>
    <w:p w:rsidR="00006677" w:rsidRPr="005E19A9" w:rsidP="00CF7E97" w14:paraId="6291AA1F" w14:textId="5DF94DB5">
      <w:pPr>
        <w:pStyle w:val="Default"/>
        <w:numPr>
          <w:ilvl w:val="0"/>
          <w:numId w:val="5"/>
        </w:numPr>
        <w:rPr>
          <w:iCs/>
        </w:rPr>
      </w:pPr>
      <w:r w:rsidRPr="005E19A9">
        <w:rPr>
          <w:b/>
          <w:bCs/>
          <w:iCs/>
        </w:rPr>
        <w:t>Crash-Specific Covariate Factors</w:t>
      </w:r>
      <w:r w:rsidRPr="005E19A9">
        <w:rPr>
          <w:iCs/>
        </w:rPr>
        <w:t xml:space="preserve"> — crash type, whether or not the crash was DOT recordable, whether or not the crash was preventable, number of injuries, number of fatalities, number of vehicles involved, number of vehicles requiring towing away, type of trafficway, weather conditions, light conditions, state in which the crash occurred, whether or not a citation was issued, any post-</w:t>
      </w:r>
      <w:r w:rsidR="002F699E">
        <w:rPr>
          <w:iCs/>
        </w:rPr>
        <w:t>SCE</w:t>
      </w:r>
      <w:r w:rsidRPr="005E19A9" w:rsidR="002F699E">
        <w:rPr>
          <w:iCs/>
        </w:rPr>
        <w:t xml:space="preserve"> </w:t>
      </w:r>
      <w:r w:rsidRPr="005E19A9">
        <w:rPr>
          <w:iCs/>
        </w:rPr>
        <w:t>indicators</w:t>
      </w:r>
      <w:r w:rsidR="00D443AA">
        <w:rPr>
          <w:iCs/>
        </w:rPr>
        <w:t>, etc.</w:t>
      </w:r>
    </w:p>
    <w:p w:rsidR="00006677" w:rsidRPr="005E19A9" w:rsidP="00CF7E97" w14:paraId="09385410" w14:textId="77777777">
      <w:pPr>
        <w:pStyle w:val="Default"/>
        <w:numPr>
          <w:ilvl w:val="0"/>
          <w:numId w:val="5"/>
        </w:numPr>
        <w:rPr>
          <w:iCs/>
        </w:rPr>
      </w:pPr>
      <w:r w:rsidRPr="005E19A9">
        <w:rPr>
          <w:b/>
          <w:bCs/>
          <w:iCs/>
        </w:rPr>
        <w:t>Schedule-Based Fatigue Factors</w:t>
      </w:r>
      <w:r w:rsidRPr="005E19A9">
        <w:rPr>
          <w:iCs/>
        </w:rPr>
        <w:t xml:space="preserve"> — estimates of sleep and fatigue derived using a biomathematical model based on the HOS schedules</w:t>
      </w:r>
    </w:p>
    <w:bookmarkEnd w:id="1"/>
    <w:p w:rsidR="00006677" w:rsidP="00006677" w14:paraId="50FD9366" w14:textId="77777777">
      <w:pPr>
        <w:pStyle w:val="Default"/>
        <w:ind w:left="360"/>
        <w:rPr>
          <w:iCs/>
        </w:rPr>
      </w:pPr>
    </w:p>
    <w:p w:rsidR="00006677" w:rsidP="00006677" w14:paraId="5E51AE12" w14:textId="2B0C82A1">
      <w:pPr>
        <w:rPr>
          <w:iCs/>
        </w:rPr>
      </w:pPr>
      <w:r w:rsidRPr="005E19A9">
        <w:rPr>
          <w:iCs/>
        </w:rPr>
        <w:t>All of the above factors are expected to influence crash risk statistics, while all except the crash-specific covariate factors are expected to influence inspection violation statistics.</w:t>
      </w:r>
    </w:p>
    <w:p w:rsidR="0085176A" w:rsidP="00006677" w14:paraId="68BD02F2" w14:textId="77777777">
      <w:pPr>
        <w:rPr>
          <w:iCs/>
        </w:rPr>
      </w:pPr>
    </w:p>
    <w:p w:rsidR="0085176A" w:rsidP="00006677" w14:paraId="451CF31A" w14:textId="6913901C">
      <w:r>
        <w:t xml:space="preserve">As part of the study, the HOS records will be linked to the </w:t>
      </w:r>
      <w:r w:rsidR="5292B28B">
        <w:t xml:space="preserve">SCE </w:t>
      </w:r>
      <w:r w:rsidR="00A30BC2">
        <w:t xml:space="preserve">and </w:t>
      </w:r>
      <w:r>
        <w:t xml:space="preserve">inspection reports. For example, data related to a crash that took place on March </w:t>
      </w:r>
      <w:r w:rsidR="4F933CD2">
        <w:t>23</w:t>
      </w:r>
      <w:r w:rsidRPr="4152BE20" w:rsidR="4F933CD2">
        <w:rPr>
          <w:vertAlign w:val="superscript"/>
        </w:rPr>
        <w:t>rd</w:t>
      </w:r>
      <w:r w:rsidR="4F933CD2">
        <w:t xml:space="preserve"> </w:t>
      </w:r>
      <w:r>
        <w:t xml:space="preserve">is identified by carrier (DOT Number) and driver (name, license), and will be linked to HOS record of March 23rd for the driver involved in the crash. Data aggregation and linking will be performed as a processing step once the </w:t>
      </w:r>
      <w:r w:rsidR="06D3AED7">
        <w:t>research</w:t>
      </w:r>
      <w:r>
        <w:t xml:space="preserve"> team has had the opportunity to verify and validate the completeness of the data. The study data collection plan involves retaining HOS data for rolling six-month periods, which corresponds to the regulatory minimum retention period. </w:t>
      </w:r>
    </w:p>
    <w:p w:rsidR="00CC24D0" w:rsidP="00135629" w14:paraId="0C5E9275" w14:textId="77777777"/>
    <w:p w:rsidR="00FD1FA5" w:rsidP="00EF6CA7" w14:paraId="0E943FA4" w14:textId="18404C2E">
      <w:r w:rsidRPr="00F420AD">
        <w:t>Pulsar, under contract with FMCSA, is required to develop a publicly available</w:t>
      </w:r>
      <w:r w:rsidR="001C6ECA">
        <w:t xml:space="preserve"> deidenti</w:t>
      </w:r>
      <w:r w:rsidR="00EF6CA7">
        <w:t>fied</w:t>
      </w:r>
      <w:r w:rsidRPr="00F420AD">
        <w:t xml:space="preserve"> data set</w:t>
      </w:r>
      <w:r>
        <w:t xml:space="preserve"> to be housed in the FMCSA Data Repository</w:t>
      </w:r>
      <w:r w:rsidRPr="00F420AD">
        <w:t>.</w:t>
      </w:r>
      <w:r>
        <w:t xml:space="preserve"> </w:t>
      </w:r>
      <w:r w:rsidR="00886817">
        <w:t xml:space="preserve">All personally identifiable information (PII) shall be removed, and </w:t>
      </w:r>
      <w:r w:rsidRPr="001B239D" w:rsidR="00886817">
        <w:t>other methods of protecting privacy</w:t>
      </w:r>
      <w:r w:rsidRPr="001B239D" w:rsidR="00C43F71">
        <w:t xml:space="preserve"> shall be utilized as needed.</w:t>
      </w:r>
      <w:r w:rsidR="00C43F71">
        <w:t xml:space="preserve"> </w:t>
      </w:r>
      <w:r w:rsidR="00EF6CA7">
        <w:t xml:space="preserve">Additional details are </w:t>
      </w:r>
      <w:r w:rsidR="002F58C7">
        <w:t>provided</w:t>
      </w:r>
      <w:r w:rsidR="00EF6CA7">
        <w:t xml:space="preserve"> in Section </w:t>
      </w:r>
      <w:r w:rsidR="002F58C7">
        <w:t>10.</w:t>
      </w:r>
    </w:p>
    <w:p w:rsidR="00410509" w:rsidP="00135629" w14:paraId="19BFA7D2" w14:textId="77777777"/>
    <w:p w:rsidR="00A613EE" w:rsidP="00135629" w14:paraId="0363B2D3" w14:textId="77777777"/>
    <w:p w:rsidR="00EE1F07" w:rsidP="00CF7E97" w14:paraId="1C51BF93" w14:textId="77777777">
      <w:pPr>
        <w:pStyle w:val="Default"/>
        <w:numPr>
          <w:ilvl w:val="0"/>
          <w:numId w:val="2"/>
        </w:numPr>
      </w:pPr>
      <w:r w:rsidRPr="00F358A1">
        <w:rPr>
          <w:b/>
          <w:bCs/>
        </w:rPr>
        <w:t>EXTENT OF AUTOMATED INFORMATION COLLECTION</w:t>
      </w:r>
      <w:r w:rsidRPr="005612EB" w:rsidR="009D4F72">
        <w:rPr>
          <w:b/>
          <w:bCs/>
        </w:rPr>
        <w:t xml:space="preserve"> </w:t>
      </w:r>
      <w:r w:rsidR="005612EB">
        <w:rPr>
          <w:b/>
          <w:bCs/>
        </w:rPr>
        <w:br/>
      </w:r>
    </w:p>
    <w:p w:rsidR="00EE1F07" w:rsidP="0016660B" w14:paraId="368B878C" w14:textId="08239EE0">
      <w:pPr>
        <w:pStyle w:val="Default"/>
      </w:pPr>
      <w:r>
        <w:t xml:space="preserve">This information collection </w:t>
      </w:r>
      <w:r w:rsidR="00CB2C07">
        <w:t xml:space="preserve">will be obtained </w:t>
      </w:r>
      <w:r w:rsidR="00291387">
        <w:t xml:space="preserve">entirely electronically. </w:t>
      </w:r>
      <w:r w:rsidR="00B6389E">
        <w:t>ELD and crash data from carriers will be collected</w:t>
      </w:r>
      <w:r w:rsidR="00FD4421">
        <w:t xml:space="preserve"> electronically via </w:t>
      </w:r>
      <w:r w:rsidR="00620E3E">
        <w:t>integration</w:t>
      </w:r>
      <w:r w:rsidR="00FA63F4">
        <w:t xml:space="preserve"> with Pulsar tools</w:t>
      </w:r>
      <w:r w:rsidR="00FD4421">
        <w:t>.</w:t>
      </w:r>
      <w:r w:rsidR="00101D0C">
        <w:t xml:space="preserve"> </w:t>
      </w:r>
      <w:r w:rsidR="0028502F">
        <w:t xml:space="preserve">MCMIS data for crashes and inspections will be collected via periodic database exports in electronic format. </w:t>
      </w:r>
    </w:p>
    <w:p w:rsidR="00FD4421" w:rsidP="00EE1F07" w14:paraId="0ECA5DB3" w14:textId="77777777">
      <w:pPr>
        <w:pStyle w:val="Default"/>
        <w:ind w:left="360"/>
      </w:pPr>
    </w:p>
    <w:p w:rsidR="00FD4421" w:rsidP="00F3672B" w14:paraId="3FEE36E0" w14:textId="2BF478CB">
      <w:pPr>
        <w:pStyle w:val="Default"/>
      </w:pPr>
      <w:r>
        <w:t xml:space="preserve">To </w:t>
      </w:r>
      <w:r w:rsidR="2CD2E3FF">
        <w:t>automate information collection</w:t>
      </w:r>
      <w:r w:rsidR="7F625461">
        <w:t xml:space="preserve"> to the greatest extent possible, Pulsar will</w:t>
      </w:r>
      <w:r w:rsidR="0526A261">
        <w:t xml:space="preserve"> support continuous ongoing data collection </w:t>
      </w:r>
      <w:r w:rsidR="706DCC14">
        <w:t>by leveraging</w:t>
      </w:r>
      <w:r w:rsidR="0526A261">
        <w:t xml:space="preserve"> </w:t>
      </w:r>
      <w:r w:rsidR="5D464D58">
        <w:t>Pulsar’s</w:t>
      </w:r>
      <w:r w:rsidR="0526A261">
        <w:t xml:space="preserve"> Trucking Fatigue Meter technology. Trucking Fatigue Meter is a software product that integrates with ELD and telematics service providers in the CMV industry</w:t>
      </w:r>
      <w:r w:rsidR="6F63D050">
        <w:t xml:space="preserve"> </w:t>
      </w:r>
      <w:r w:rsidR="0526A261">
        <w:t xml:space="preserve">to collect ELD data and Safety Critical Event </w:t>
      </w:r>
      <w:r w:rsidR="01E6DC06">
        <w:t xml:space="preserve">(SCE) </w:t>
      </w:r>
      <w:r w:rsidR="0526A261">
        <w:t xml:space="preserve">data (including crash data) and </w:t>
      </w:r>
      <w:r w:rsidR="2274D163">
        <w:t>to enable monitoring of operational factors associated with elevated fatigue risk</w:t>
      </w:r>
      <w:r w:rsidR="0526A261">
        <w:t>.</w:t>
      </w:r>
      <w:r w:rsidR="7F625461">
        <w:t xml:space="preserve"> </w:t>
      </w:r>
      <w:r w:rsidR="00A30BC2">
        <w:t>Pulsar and many ELD and telematics service providers in the CMV industry already maintain existing integrations</w:t>
      </w:r>
      <w:r w:rsidR="0526A261">
        <w:t>. After carriers complete the sign-up</w:t>
      </w:r>
      <w:r w:rsidR="6F63D050">
        <w:t xml:space="preserve"> </w:t>
      </w:r>
      <w:r w:rsidR="0526A261">
        <w:t xml:space="preserve">process, Trucking Fatigue Meter </w:t>
      </w:r>
      <w:r w:rsidR="7A93530B">
        <w:t>technology</w:t>
      </w:r>
      <w:r w:rsidR="7BF03249">
        <w:t xml:space="preserve"> </w:t>
      </w:r>
      <w:r w:rsidR="0526A261">
        <w:t xml:space="preserve">and existing integrations </w:t>
      </w:r>
      <w:bookmarkStart w:id="2" w:name="_Hlk155713484"/>
      <w:r w:rsidR="0526A261">
        <w:t>with ELD and telematics</w:t>
      </w:r>
      <w:r w:rsidR="6F63D050">
        <w:t xml:space="preserve"> </w:t>
      </w:r>
      <w:r w:rsidR="0526A261">
        <w:t>service providers</w:t>
      </w:r>
      <w:r w:rsidR="7BF03249">
        <w:t xml:space="preserve"> </w:t>
      </w:r>
      <w:r w:rsidR="1D0813B3">
        <w:t xml:space="preserve">will </w:t>
      </w:r>
      <w:r w:rsidR="7BF03249">
        <w:t>be utilized</w:t>
      </w:r>
      <w:r w:rsidR="0526A261">
        <w:t xml:space="preserve"> to support direct, </w:t>
      </w:r>
      <w:r w:rsidR="52D36055">
        <w:t xml:space="preserve">secure, </w:t>
      </w:r>
      <w:r w:rsidR="0526A261">
        <w:t>automatic transfer of the carriers’ ELD and crash data</w:t>
      </w:r>
      <w:r w:rsidR="6F63D050">
        <w:t xml:space="preserve"> </w:t>
      </w:r>
      <w:r w:rsidR="0526A261">
        <w:t xml:space="preserve">without the need for any manual steps to be completed by the CMV carrier. </w:t>
      </w:r>
      <w:bookmarkEnd w:id="2"/>
      <w:r w:rsidR="0526A261">
        <w:t>This approach offers</w:t>
      </w:r>
      <w:r w:rsidR="6F63D050">
        <w:t xml:space="preserve"> </w:t>
      </w:r>
      <w:r w:rsidR="0526A261">
        <w:t>more scalability, enhanced data security, and fewer opportunities to introduce errors into the data</w:t>
      </w:r>
      <w:r w:rsidR="6F63D050">
        <w:t xml:space="preserve"> </w:t>
      </w:r>
      <w:r w:rsidR="0526A261">
        <w:t xml:space="preserve">set. </w:t>
      </w:r>
      <w:r w:rsidR="7BF03249">
        <w:t>The research team</w:t>
      </w:r>
      <w:r w:rsidR="0526A261">
        <w:t xml:space="preserve"> believe</w:t>
      </w:r>
      <w:r w:rsidR="7BF03249">
        <w:t>s</w:t>
      </w:r>
      <w:r w:rsidR="0526A261">
        <w:t xml:space="preserve"> that offering CMV carriers an approach that is automatic and less</w:t>
      </w:r>
      <w:r w:rsidR="6F63D050">
        <w:t xml:space="preserve"> </w:t>
      </w:r>
      <w:r w:rsidR="0526A261">
        <w:t>burdensome has two strong advantages: (1) it will lower the barrier for CMV carriers to sign up</w:t>
      </w:r>
      <w:r w:rsidR="6F63D050">
        <w:t xml:space="preserve"> </w:t>
      </w:r>
      <w:r w:rsidR="0526A261">
        <w:t xml:space="preserve">to provide their data; (2) it will make it easier for carriers to continue to provide data </w:t>
      </w:r>
      <w:r w:rsidR="3B52D278">
        <w:t>through the duration of the study</w:t>
      </w:r>
      <w:r w:rsidR="0526A261">
        <w:t>.</w:t>
      </w:r>
    </w:p>
    <w:p w:rsidR="00F62EA5" w:rsidP="00F3672B" w14:paraId="4192D87D" w14:textId="77777777">
      <w:pPr>
        <w:pStyle w:val="Default"/>
      </w:pPr>
    </w:p>
    <w:p w:rsidR="00F62EA5" w:rsidP="0016660B" w14:paraId="763B42D3" w14:textId="4791C160">
      <w:pPr>
        <w:pStyle w:val="Default"/>
      </w:pPr>
      <w:r>
        <w:t>Information related to driver demographics</w:t>
      </w:r>
      <w:r w:rsidR="000B5B2A">
        <w:t xml:space="preserve"> wi</w:t>
      </w:r>
      <w:r w:rsidR="00642777">
        <w:t xml:space="preserve">ll be collected electronically from carriers on a quarterly basis. </w:t>
      </w:r>
      <w:r w:rsidR="006938D5">
        <w:t xml:space="preserve">Carriers will use </w:t>
      </w:r>
      <w:r w:rsidR="003D1F1F">
        <w:t>their existing fleet management software, human resources management system, driver management platform, or</w:t>
      </w:r>
      <w:r w:rsidR="003B1F8B">
        <w:t xml:space="preserve"> other appropriate system to </w:t>
      </w:r>
      <w:r w:rsidR="005775E0">
        <w:t>export an electronic report containing driver demographic information</w:t>
      </w:r>
      <w:r w:rsidR="00767697">
        <w:t xml:space="preserve"> that they</w:t>
      </w:r>
      <w:r w:rsidR="00D6319F">
        <w:t xml:space="preserve"> will upload to a</w:t>
      </w:r>
      <w:r w:rsidR="004F330C">
        <w:t xml:space="preserve"> secure file management system maintained by the research team.</w:t>
      </w:r>
    </w:p>
    <w:p w:rsidR="008E4E78" w:rsidP="00135629" w14:paraId="3C9FBAA7" w14:textId="77777777"/>
    <w:p w:rsidR="00B8429A" w:rsidP="00135629" w14:paraId="24DEDD41" w14:textId="0A31DC6D">
      <w:r>
        <w:t xml:space="preserve">For the information from MCMIS, DART will utilize a </w:t>
      </w:r>
      <w:r w:rsidR="008F39AA">
        <w:t xml:space="preserve">programmatic </w:t>
      </w:r>
      <w:r>
        <w:t xml:space="preserve">script to </w:t>
      </w:r>
      <w:r w:rsidR="007529F2">
        <w:t>prepare</w:t>
      </w:r>
      <w:r w:rsidR="00E74A21">
        <w:t xml:space="preserve"> the dat</w:t>
      </w:r>
      <w:r w:rsidR="00434DAE">
        <w:t xml:space="preserve">a </w:t>
      </w:r>
      <w:r w:rsidR="007529F2">
        <w:t>for</w:t>
      </w:r>
      <w:r w:rsidR="00434DAE">
        <w:t xml:space="preserve"> the research team each month. </w:t>
      </w:r>
      <w:r w:rsidR="00171484">
        <w:t>DART will then upload</w:t>
      </w:r>
      <w:r w:rsidR="00A93600">
        <w:t xml:space="preserve"> a compressed file containing the data to a secure website used by DOT</w:t>
      </w:r>
      <w:r w:rsidR="00E163C8">
        <w:t xml:space="preserve"> and email the research team a link to </w:t>
      </w:r>
      <w:r w:rsidR="009B3BF2">
        <w:t>access and download this data file.</w:t>
      </w:r>
    </w:p>
    <w:p w:rsidR="00A613EE" w:rsidP="00135629" w14:paraId="56C87248" w14:textId="77777777"/>
    <w:p w:rsidR="00105037" w:rsidRPr="005612EB" w:rsidP="00135629" w14:paraId="1A115EAA" w14:textId="77777777"/>
    <w:p w:rsidR="00C92C64" w:rsidRPr="00C92C64" w:rsidP="00CF7E97" w14:paraId="10DE7C66" w14:textId="77777777">
      <w:pPr>
        <w:pStyle w:val="Default"/>
        <w:numPr>
          <w:ilvl w:val="0"/>
          <w:numId w:val="2"/>
        </w:numPr>
      </w:pPr>
      <w:r w:rsidRPr="0016660B">
        <w:rPr>
          <w:b/>
          <w:bCs/>
        </w:rPr>
        <w:t>EFFORTS TO IDENTIFY DUPLICATION</w:t>
      </w:r>
      <w:r w:rsidRPr="00346352" w:rsidR="00A613EE">
        <w:br/>
      </w:r>
    </w:p>
    <w:p w:rsidR="00132CFF" w:rsidRPr="0016660B" w:rsidP="00135629" w14:paraId="5EF9F7E4" w14:textId="5CCADB56">
      <w:pPr>
        <w:pStyle w:val="BodyText3"/>
        <w:rPr>
          <w:color w:val="auto"/>
        </w:rPr>
      </w:pPr>
      <w:r w:rsidRPr="0016660B">
        <w:rPr>
          <w:color w:val="auto"/>
        </w:rPr>
        <w:t xml:space="preserve">The research team </w:t>
      </w:r>
      <w:r w:rsidRPr="0016660B" w:rsidR="0031210A">
        <w:rPr>
          <w:color w:val="auto"/>
        </w:rPr>
        <w:t>co</w:t>
      </w:r>
      <w:r w:rsidR="0031210A">
        <w:rPr>
          <w:color w:val="auto"/>
        </w:rPr>
        <w:t>nducted</w:t>
      </w:r>
      <w:r w:rsidRPr="0016660B" w:rsidR="0031210A">
        <w:rPr>
          <w:color w:val="auto"/>
        </w:rPr>
        <w:t xml:space="preserve"> </w:t>
      </w:r>
      <w:r w:rsidRPr="0016660B">
        <w:rPr>
          <w:color w:val="auto"/>
        </w:rPr>
        <w:t xml:space="preserve">a comprehensive review of the published literature related to the research topic and found only </w:t>
      </w:r>
      <w:r w:rsidRPr="0016660B" w:rsidR="0022297B">
        <w:rPr>
          <w:color w:val="auto"/>
        </w:rPr>
        <w:t>t</w:t>
      </w:r>
      <w:r w:rsidR="0022297B">
        <w:rPr>
          <w:color w:val="auto"/>
        </w:rPr>
        <w:t>wo</w:t>
      </w:r>
      <w:r w:rsidRPr="0016660B" w:rsidR="0022297B">
        <w:rPr>
          <w:color w:val="auto"/>
        </w:rPr>
        <w:t xml:space="preserve"> </w:t>
      </w:r>
      <w:r w:rsidRPr="0016660B">
        <w:rPr>
          <w:color w:val="auto"/>
        </w:rPr>
        <w:t xml:space="preserve">significant studies </w:t>
      </w:r>
      <w:r w:rsidR="00B9069E">
        <w:rPr>
          <w:color w:val="auto"/>
        </w:rPr>
        <w:t>where ELD</w:t>
      </w:r>
      <w:r w:rsidRPr="0016660B" w:rsidR="00332A50">
        <w:rPr>
          <w:color w:val="auto"/>
          <w:szCs w:val="20"/>
        </w:rPr>
        <w:t xml:space="preserve"> data </w:t>
      </w:r>
      <w:r w:rsidR="00B9069E">
        <w:rPr>
          <w:color w:val="auto"/>
          <w:szCs w:val="20"/>
        </w:rPr>
        <w:t xml:space="preserve">was </w:t>
      </w:r>
      <w:r w:rsidRPr="0016660B" w:rsidR="00332A50">
        <w:rPr>
          <w:color w:val="auto"/>
          <w:szCs w:val="20"/>
        </w:rPr>
        <w:t>synchronized to data related to crashes and inspections</w:t>
      </w:r>
      <w:r w:rsidRPr="0016660B" w:rsidR="00091DD6">
        <w:rPr>
          <w:color w:val="auto"/>
          <w:szCs w:val="20"/>
          <w:vertAlign w:val="superscript"/>
        </w:rPr>
        <w:t>1,</w:t>
      </w:r>
      <w:r>
        <w:rPr>
          <w:rStyle w:val="FootnoteReference"/>
          <w:color w:val="auto"/>
          <w:szCs w:val="20"/>
        </w:rPr>
        <w:footnoteReference w:id="6"/>
      </w:r>
      <w:r w:rsidRPr="0016660B" w:rsidR="00332A50">
        <w:rPr>
          <w:color w:val="auto"/>
          <w:szCs w:val="20"/>
        </w:rPr>
        <w:t>.</w:t>
      </w:r>
      <w:r w:rsidRPr="0016660B" w:rsidR="009D6C0F">
        <w:rPr>
          <w:color w:val="auto"/>
          <w:szCs w:val="20"/>
        </w:rPr>
        <w:t xml:space="preserve"> </w:t>
      </w:r>
      <w:r w:rsidRPr="0016660B">
        <w:rPr>
          <w:color w:val="auto"/>
        </w:rPr>
        <w:t>The Blanco study</w:t>
      </w:r>
      <w:r w:rsidRPr="0016660B" w:rsidR="00E56438">
        <w:rPr>
          <w:color w:val="auto"/>
          <w:vertAlign w:val="superscript"/>
        </w:rPr>
        <w:t>1</w:t>
      </w:r>
      <w:r w:rsidRPr="0016660B" w:rsidR="00B8148B">
        <w:rPr>
          <w:color w:val="auto"/>
        </w:rPr>
        <w:t xml:space="preserve">, described in Section 1, was an important step in identifying HOS-related factors that contribute to driver crash risk. However, the Blanco </w:t>
      </w:r>
      <w:r w:rsidRPr="0016660B" w:rsidR="00A10D09">
        <w:rPr>
          <w:color w:val="auto"/>
        </w:rPr>
        <w:t xml:space="preserve">study </w:t>
      </w:r>
      <w:r w:rsidRPr="0016660B" w:rsidR="00B8148B">
        <w:rPr>
          <w:color w:val="auto"/>
        </w:rPr>
        <w:t>was insufficient in terms of: (1) the number of drivers in the study; (2) the duration of data collection; and (3) the recency of the data reflect</w:t>
      </w:r>
      <w:r w:rsidRPr="0016660B">
        <w:rPr>
          <w:color w:val="auto"/>
        </w:rPr>
        <w:t>ing</w:t>
      </w:r>
      <w:r w:rsidRPr="0016660B" w:rsidR="00B8148B">
        <w:rPr>
          <w:color w:val="auto"/>
        </w:rPr>
        <w:t xml:space="preserve"> HOS rule changes to fully characterize HOS-related factors that contribute to crash risk. </w:t>
      </w:r>
      <w:r w:rsidRPr="0016660B" w:rsidR="00E56438">
        <w:rPr>
          <w:color w:val="auto"/>
        </w:rPr>
        <w:t>The second study by Park</w:t>
      </w:r>
      <w:r w:rsidR="00652E13">
        <w:rPr>
          <w:color w:val="auto"/>
          <w:vertAlign w:val="superscript"/>
        </w:rPr>
        <w:t>5</w:t>
      </w:r>
      <w:r w:rsidRPr="0016660B" w:rsidR="00E56438">
        <w:rPr>
          <w:color w:val="auto"/>
        </w:rPr>
        <w:t xml:space="preserve"> also identified HOS-related factors that contribute to crash risk, but the authors note that the study was limited due to its small sample size and identified the need for additional research that </w:t>
      </w:r>
      <w:r w:rsidRPr="0016660B" w:rsidR="005F0BE1">
        <w:rPr>
          <w:color w:val="auto"/>
        </w:rPr>
        <w:t xml:space="preserve">includes a larger number of carriers over a longer data collection period. </w:t>
      </w:r>
    </w:p>
    <w:p w:rsidR="00745144" w:rsidRPr="0016660B" w:rsidP="00135629" w14:paraId="67468261" w14:textId="77777777">
      <w:pPr>
        <w:pStyle w:val="BodyText3"/>
        <w:rPr>
          <w:color w:val="auto"/>
        </w:rPr>
      </w:pPr>
    </w:p>
    <w:p w:rsidR="009D3CEF" w:rsidRPr="00C92C64" w:rsidP="0016660B" w14:paraId="02175BDF" w14:textId="33D6BF9C">
      <w:pPr>
        <w:pStyle w:val="BodyText3"/>
      </w:pPr>
      <w:r w:rsidRPr="0016660B">
        <w:rPr>
          <w:color w:val="auto"/>
        </w:rPr>
        <w:t xml:space="preserve">Based on the findings of the literature review, the research team and FMCSA have concluded that the information contained in the 2011 </w:t>
      </w:r>
      <w:r w:rsidRPr="0016660B" w:rsidR="00132CFF">
        <w:rPr>
          <w:color w:val="auto"/>
        </w:rPr>
        <w:t>Blanco</w:t>
      </w:r>
      <w:r w:rsidRPr="0016660B">
        <w:rPr>
          <w:color w:val="auto"/>
        </w:rPr>
        <w:t xml:space="preserve"> </w:t>
      </w:r>
      <w:r w:rsidRPr="0016660B" w:rsidR="00E56438">
        <w:rPr>
          <w:color w:val="auto"/>
        </w:rPr>
        <w:t>study</w:t>
      </w:r>
      <w:r w:rsidR="0022297B">
        <w:rPr>
          <w:color w:val="auto"/>
        </w:rPr>
        <w:t xml:space="preserve"> and</w:t>
      </w:r>
      <w:r w:rsidRPr="0016660B" w:rsidR="00E56438">
        <w:rPr>
          <w:color w:val="auto"/>
        </w:rPr>
        <w:t xml:space="preserve"> the</w:t>
      </w:r>
      <w:r w:rsidRPr="0016660B">
        <w:rPr>
          <w:color w:val="auto"/>
        </w:rPr>
        <w:t xml:space="preserve"> </w:t>
      </w:r>
      <w:r w:rsidRPr="0016660B" w:rsidR="00E56438">
        <w:rPr>
          <w:color w:val="auto"/>
        </w:rPr>
        <w:t>2010 Park study</w:t>
      </w:r>
      <w:r w:rsidRPr="0016660B" w:rsidR="00132CFF">
        <w:rPr>
          <w:color w:val="auto"/>
        </w:rPr>
        <w:t xml:space="preserve"> </w:t>
      </w:r>
      <w:r w:rsidRPr="0016660B" w:rsidR="00E56438">
        <w:rPr>
          <w:color w:val="auto"/>
        </w:rPr>
        <w:t>do not</w:t>
      </w:r>
      <w:r w:rsidRPr="0016660B">
        <w:rPr>
          <w:color w:val="auto"/>
        </w:rPr>
        <w:t xml:space="preserve"> fulfill the needs of this study, making the requested information collection necessary.</w:t>
      </w:r>
    </w:p>
    <w:p w:rsidR="00C14920" w:rsidRPr="00FE7843" w:rsidP="00135629" w14:paraId="4D6992B9" w14:textId="77777777"/>
    <w:p w:rsidR="0070251A" w:rsidRPr="000E5A4E" w:rsidP="0070251A" w14:paraId="4010A6E3" w14:textId="77B94030">
      <w:r w:rsidRPr="000E5A4E">
        <w:t xml:space="preserve">Additionally, the U.S. DOT’s Crash Causal Factors Program (CCFP) collects detailed data through post-crash investigations. However, the CCFP does not capture ELD or HOS data from non-crash operational periods. The proposed study requires a </w:t>
      </w:r>
      <w:r w:rsidRPr="000E5A4E" w:rsidR="00225D3C">
        <w:t>broader</w:t>
      </w:r>
      <w:r w:rsidRPr="000E5A4E">
        <w:t xml:space="preserve"> record of duty days—including both crash and non-crash days—to evaluate the relative risk of crashes for schedule-related factors. As such, the CCFP dataset does not support the specific analytic objectives of this research effort.</w:t>
      </w:r>
    </w:p>
    <w:p w:rsidR="00C14920" w:rsidRPr="007319C5" w:rsidP="00135629" w14:paraId="662EA6A3" w14:textId="77777777"/>
    <w:p w:rsidR="00F80CC7" w:rsidRPr="0016660B" w:rsidP="00CF7E97" w14:paraId="69EB7EF1" w14:textId="77777777">
      <w:pPr>
        <w:pStyle w:val="ListParagraph"/>
        <w:numPr>
          <w:ilvl w:val="0"/>
          <w:numId w:val="2"/>
        </w:numPr>
        <w:rPr>
          <w:b/>
          <w:bCs/>
          <w:color w:val="1F497D"/>
        </w:rPr>
      </w:pPr>
      <w:r w:rsidRPr="0016660B">
        <w:rPr>
          <w:b/>
          <w:bCs/>
        </w:rPr>
        <w:t>EFFORTS TO MINIMIZE THE BURDEN ON SMALL BUSINESSES</w:t>
      </w:r>
      <w:r w:rsidRPr="0016660B" w:rsidR="00A613EE">
        <w:rPr>
          <w:b/>
          <w:bCs/>
        </w:rPr>
        <w:br/>
      </w:r>
    </w:p>
    <w:p w:rsidR="00E62781" w:rsidP="00135629" w14:paraId="1A8F3D06" w14:textId="5DA6C695">
      <w:r w:rsidRPr="00FF4516">
        <w:t xml:space="preserve">While the </w:t>
      </w:r>
      <w:r w:rsidRPr="00FF4516" w:rsidR="00541845">
        <w:t xml:space="preserve">information collection is designed to minimize </w:t>
      </w:r>
      <w:r w:rsidRPr="00FF4516" w:rsidR="00E87FBF">
        <w:t xml:space="preserve">the burden for all carriers, steps will be taken to </w:t>
      </w:r>
      <w:r w:rsidRPr="00FF4516" w:rsidR="00A05C7E">
        <w:t xml:space="preserve">further minimize </w:t>
      </w:r>
      <w:r w:rsidRPr="00FF4516" w:rsidR="0090614B">
        <w:t>the burden</w:t>
      </w:r>
      <w:r w:rsidRPr="00FF4516" w:rsidR="00A05C7E">
        <w:t xml:space="preserve"> for small business</w:t>
      </w:r>
      <w:r w:rsidRPr="00FF4516" w:rsidR="00767F9F">
        <w:t xml:space="preserve"> operators. </w:t>
      </w:r>
      <w:r w:rsidR="001579B2">
        <w:t>As needed, t</w:t>
      </w:r>
      <w:r w:rsidRPr="00FF4516" w:rsidR="00692354">
        <w:t xml:space="preserve">he research team will </w:t>
      </w:r>
      <w:r w:rsidRPr="00FF4516" w:rsidR="0042640E">
        <w:t>allocate extra</w:t>
      </w:r>
      <w:r w:rsidRPr="00FF4516" w:rsidR="004F0098">
        <w:t xml:space="preserve"> resources to integrating </w:t>
      </w:r>
      <w:r w:rsidRPr="00FF4516" w:rsidR="00AC5697">
        <w:t xml:space="preserve">with their ELD and telematics service providers to support direct, automatic transfer of the carriers’ </w:t>
      </w:r>
      <w:r w:rsidRPr="00242F90" w:rsidR="00AC5697">
        <w:t>ELD and crash data</w:t>
      </w:r>
      <w:r w:rsidRPr="00FF4516" w:rsidR="00AC5697">
        <w:t xml:space="preserve"> without the need for any manual steps to be completed by the small business.</w:t>
      </w:r>
      <w:r w:rsidRPr="00FF4516" w:rsidR="009E4C88">
        <w:t xml:space="preserve"> </w:t>
      </w:r>
      <w:r w:rsidR="00D20090">
        <w:t xml:space="preserve">Additionally, the </w:t>
      </w:r>
      <w:r w:rsidR="00A2121D">
        <w:t>research team can work with small businesses to streamline the collection of driver demographic information</w:t>
      </w:r>
      <w:r w:rsidR="007B7D4E">
        <w:t xml:space="preserve"> when necessary.</w:t>
      </w:r>
    </w:p>
    <w:p w:rsidR="00A613EE" w:rsidRPr="005612EB" w:rsidP="00135629" w14:paraId="66D3C6C9" w14:textId="77777777"/>
    <w:p w:rsidR="008B1491" w:rsidRPr="0016660B" w:rsidP="00CF7E97" w14:paraId="1EFD23DE" w14:textId="77777777">
      <w:pPr>
        <w:pStyle w:val="ListParagraph"/>
        <w:numPr>
          <w:ilvl w:val="0"/>
          <w:numId w:val="2"/>
        </w:numPr>
        <w:rPr>
          <w:b/>
          <w:bCs/>
        </w:rPr>
      </w:pPr>
      <w:r w:rsidRPr="0016660B">
        <w:rPr>
          <w:b/>
          <w:bCs/>
        </w:rPr>
        <w:t>IMPACT OF LESS FREQUENT COLLECTION OF INFORMATION</w:t>
      </w:r>
      <w:r w:rsidRPr="0016660B" w:rsidR="00A613EE">
        <w:rPr>
          <w:b/>
          <w:bCs/>
        </w:rPr>
        <w:br/>
      </w:r>
    </w:p>
    <w:p w:rsidR="008B1491" w:rsidP="00135629" w14:paraId="2390A043" w14:textId="7FBD32C7">
      <w:r w:rsidRPr="008B1491">
        <w:t xml:space="preserve">FMCSA has determined that this collection of information is necessary for study completion; currently, there is no </w:t>
      </w:r>
      <w:r w:rsidR="00721223">
        <w:t xml:space="preserve">comprehensive, </w:t>
      </w:r>
      <w:r w:rsidRPr="008B1491">
        <w:t>existing data set that</w:t>
      </w:r>
      <w:r w:rsidR="00F9031B">
        <w:t xml:space="preserve"> </w:t>
      </w:r>
      <w:r w:rsidRPr="008B1491">
        <w:t xml:space="preserve">can be used for this project. </w:t>
      </w:r>
      <w:bookmarkStart w:id="3" w:name="_Hlk188523780"/>
      <w:r w:rsidRPr="0016660B" w:rsidR="002D2774">
        <w:t xml:space="preserve">Not collecting this data </w:t>
      </w:r>
      <w:r w:rsidRPr="0016660B" w:rsidR="002641DC">
        <w:t xml:space="preserve">would result in </w:t>
      </w:r>
      <w:r w:rsidRPr="0016660B" w:rsidR="00832C21">
        <w:t xml:space="preserve">an incomplete understanding of </w:t>
      </w:r>
      <w:r w:rsidRPr="0016660B" w:rsidR="00132CFF">
        <w:t xml:space="preserve">HOS-related factors that impact crash risk and </w:t>
      </w:r>
      <w:r w:rsidRPr="0016660B" w:rsidR="008450C9">
        <w:t xml:space="preserve">the effect of </w:t>
      </w:r>
      <w:r w:rsidRPr="0016660B" w:rsidR="00353B9D">
        <w:t>alternative schedules as they relate to various aspects of HOS provisions</w:t>
      </w:r>
      <w:r w:rsidRPr="0016660B" w:rsidR="000D4D9D">
        <w:t xml:space="preserve"> on crash risk in CMV operations. </w:t>
      </w:r>
      <w:r w:rsidRPr="0016660B" w:rsidR="000D68EE">
        <w:t xml:space="preserve">Further, the </w:t>
      </w:r>
      <w:r w:rsidRPr="0016660B" w:rsidR="00B72027">
        <w:t xml:space="preserve">absence of this information collection </w:t>
      </w:r>
      <w:r w:rsidRPr="0016660B" w:rsidR="006C04E0">
        <w:t xml:space="preserve">would </w:t>
      </w:r>
      <w:r w:rsidRPr="0016660B" w:rsidR="003B048E">
        <w:t>prevent FMCSA from meeting its goal</w:t>
      </w:r>
      <w:r w:rsidR="00AD7AFD">
        <w:t>—</w:t>
      </w:r>
      <w:r w:rsidR="00F26D13">
        <w:t>derived from</w:t>
      </w:r>
      <w:r w:rsidR="00AD7AFD">
        <w:t xml:space="preserve"> </w:t>
      </w:r>
      <w:r w:rsidR="009039F9">
        <w:t xml:space="preserve">the 2015 report </w:t>
      </w:r>
      <w:r w:rsidR="00BE1AFA">
        <w:t>by</w:t>
      </w:r>
      <w:r w:rsidR="009039F9">
        <w:t xml:space="preserve"> the National Academies of Sciences</w:t>
      </w:r>
      <w:r w:rsidR="00040044">
        <w:t>,</w:t>
      </w:r>
      <w:r w:rsidR="00507869">
        <w:t xml:space="preserve"> Engineering, and Medicine—of </w:t>
      </w:r>
      <w:r w:rsidRPr="0016660B" w:rsidR="00414F55">
        <w:t>developing a comprehensive, structured data</w:t>
      </w:r>
      <w:r w:rsidRPr="0016660B" w:rsidR="00470C06">
        <w:t>base of crash data</w:t>
      </w:r>
      <w:r w:rsidRPr="0016660B" w:rsidR="00803923">
        <w:t xml:space="preserve"> and driver schedules</w:t>
      </w:r>
      <w:r w:rsidRPr="0016660B" w:rsidR="008D4242">
        <w:t xml:space="preserve"> to be</w:t>
      </w:r>
      <w:r w:rsidRPr="0016660B" w:rsidR="00343A9D">
        <w:t xml:space="preserve">nefit </w:t>
      </w:r>
      <w:r w:rsidRPr="0016660B" w:rsidR="008D4242">
        <w:t>future research.</w:t>
      </w:r>
    </w:p>
    <w:bookmarkEnd w:id="3"/>
    <w:p w:rsidR="00C14920" w:rsidRPr="005612EB" w:rsidP="00135629" w14:paraId="2F219D24" w14:textId="77777777">
      <w:pPr>
        <w:pStyle w:val="BodyText3"/>
      </w:pPr>
    </w:p>
    <w:p w:rsidR="008E4E78" w:rsidRPr="005612EB" w:rsidP="00135629" w14:paraId="37963230" w14:textId="77777777"/>
    <w:p w:rsidR="00552ED8" w:rsidRPr="0016660B" w:rsidP="00CF7E97" w14:paraId="3B725B4F" w14:textId="69A0B2C4">
      <w:pPr>
        <w:pStyle w:val="ListParagraph"/>
        <w:numPr>
          <w:ilvl w:val="0"/>
          <w:numId w:val="2"/>
        </w:numPr>
        <w:rPr>
          <w:b/>
          <w:bCs/>
        </w:rPr>
      </w:pPr>
      <w:r w:rsidRPr="0016660B">
        <w:rPr>
          <w:b/>
          <w:bCs/>
        </w:rPr>
        <w:t>SPECIAL CIRCUMSTANCES</w:t>
      </w:r>
      <w:r w:rsidRPr="0016660B" w:rsidR="00470720">
        <w:rPr>
          <w:b/>
          <w:bCs/>
        </w:rPr>
        <w:t xml:space="preserve">  </w:t>
      </w:r>
      <w:r w:rsidRPr="0016660B" w:rsidR="00A613EE">
        <w:rPr>
          <w:b/>
          <w:bCs/>
        </w:rPr>
        <w:br/>
      </w:r>
    </w:p>
    <w:p w:rsidR="00934B38" w:rsidP="00135629" w14:paraId="18218DE0" w14:textId="0936C697">
      <w:r>
        <w:t>There are no special circumstances related to this information collection.</w:t>
      </w:r>
    </w:p>
    <w:p w:rsidR="00841CB3" w:rsidP="00135629" w14:paraId="19B923BB" w14:textId="77777777"/>
    <w:p w:rsidR="00FF7604" w:rsidRPr="007157DA" w:rsidP="00135629" w14:paraId="2D25B6B3" w14:textId="77777777"/>
    <w:p w:rsidR="00BC00EF" w:rsidRPr="0016660B" w:rsidP="00CF7E97" w14:paraId="7CC5C475" w14:textId="77777777">
      <w:pPr>
        <w:pStyle w:val="ListParagraph"/>
        <w:numPr>
          <w:ilvl w:val="0"/>
          <w:numId w:val="2"/>
        </w:numPr>
        <w:rPr>
          <w:b/>
          <w:bCs/>
        </w:rPr>
      </w:pPr>
      <w:r w:rsidRPr="0016660B">
        <w:rPr>
          <w:b/>
          <w:bCs/>
        </w:rPr>
        <w:t>COMPLIANCE WITH 5 CFR 1320.8</w:t>
      </w:r>
      <w:r w:rsidRPr="0016660B" w:rsidR="0004749E">
        <w:rPr>
          <w:b/>
          <w:bCs/>
        </w:rPr>
        <w:t>:</w:t>
      </w:r>
      <w:r w:rsidRPr="0016660B" w:rsidR="00470720">
        <w:rPr>
          <w:b/>
          <w:bCs/>
        </w:rPr>
        <w:t xml:space="preserve">  </w:t>
      </w:r>
      <w:r w:rsidRPr="0016660B" w:rsidR="00A613EE">
        <w:rPr>
          <w:b/>
          <w:bCs/>
        </w:rPr>
        <w:br/>
      </w:r>
    </w:p>
    <w:p w:rsidR="00F358A1" w:rsidP="00135629" w14:paraId="3CA6888B" w14:textId="5D020DE4">
      <w:r>
        <w:t xml:space="preserve">FMCSA published a Federal Register notice with a 60-day comment period soliciting comments on the following collections of information on November 17, 2025. FMCSA received 19 comments on the 60-day notice which are addressed below. </w:t>
      </w:r>
      <w:r w:rsidR="006C04D1">
        <w:rPr>
          <w:iCs/>
        </w:rPr>
        <w:t xml:space="preserve">They were from individuals, anonymous commenters, and industry groups. </w:t>
      </w:r>
      <w:r>
        <w:t>FMCSA considered the comments and concluded that it will not make any changes to the information collections before it submits the ICR to OMB for approval.</w:t>
      </w:r>
    </w:p>
    <w:p w:rsidR="00725830" w:rsidP="00135629" w14:paraId="2C62C1F2" w14:textId="77777777"/>
    <w:p w:rsidR="00725830" w:rsidRPr="00725830" w:rsidP="00725830" w14:paraId="7D2B6AA9" w14:textId="77777777">
      <w:pPr>
        <w:rPr>
          <w:b/>
          <w:bCs/>
          <w:iCs/>
        </w:rPr>
      </w:pPr>
      <w:r w:rsidRPr="00725830">
        <w:rPr>
          <w:b/>
          <w:bCs/>
          <w:iCs/>
        </w:rPr>
        <w:t>Concerns About Fatigue Risks</w:t>
      </w:r>
    </w:p>
    <w:p w:rsidR="00725830" w:rsidP="00725830" w14:paraId="05A7E137" w14:textId="77777777">
      <w:pPr>
        <w:rPr>
          <w:iCs/>
        </w:rPr>
      </w:pPr>
      <w:r w:rsidRPr="00725830">
        <w:rPr>
          <w:iCs/>
        </w:rPr>
        <w:t>Twelve comments from the public expressed concerns related to recognizing fatigue as a major safety risk while noting that current regulations compel them to operate CMVs while fatigued. These comments also indicated that fear of discipline discourages honest self-reporting of fatigue. Drivers’ concerns about the significance of fatigue risks in CMV operations are of incredible importance. This proposed data collection aims to better understand fatigue-related factors that may correlate with accidents and incidents to inform future decision-making in the industry.</w:t>
      </w:r>
    </w:p>
    <w:p w:rsidR="00725830" w:rsidRPr="00725830" w:rsidP="00725830" w14:paraId="45F2B383" w14:textId="77777777">
      <w:pPr>
        <w:rPr>
          <w:iCs/>
        </w:rPr>
      </w:pPr>
    </w:p>
    <w:p w:rsidR="00725830" w:rsidRPr="00725830" w:rsidP="00725830" w14:paraId="1477AC5C" w14:textId="77777777">
      <w:pPr>
        <w:rPr>
          <w:iCs/>
        </w:rPr>
      </w:pPr>
      <w:r w:rsidRPr="00725830">
        <w:rPr>
          <w:b/>
          <w:bCs/>
          <w:iCs/>
        </w:rPr>
        <w:t>Concerns About Inflexibility of Hours-of-Service (HOS) Regulations</w:t>
      </w:r>
    </w:p>
    <w:p w:rsidR="00725830" w:rsidP="00725830" w14:paraId="4E1C13CC" w14:textId="5DFACBEE">
      <w:r>
        <w:t xml:space="preserve">Eight comments focused on how the rigid structure of HOS rules, particularly the 14-hour on-duty and 34-hour restart, fails to reflect the actual nature of CMV operations. </w:t>
      </w:r>
      <w:r w:rsidR="00982C29">
        <w:t>O</w:t>
      </w:r>
      <w:r>
        <w:t>ne objective of this study is to collect data related to how HOS provisions are being used. This data will assist in understanding HOS-related factors that impact crash risk and the effect of alternative schedules as they relate to various aspects of HOS provisions on crash risk in CMV operations. Further, this data will aid FMCSA in developing a comprehensive, structured database of crash data and driver schedules to benefit future research.</w:t>
      </w:r>
    </w:p>
    <w:p w:rsidR="00725830" w:rsidRPr="00725830" w:rsidP="00725830" w14:paraId="24C0EF25" w14:textId="77777777">
      <w:pPr>
        <w:rPr>
          <w:iCs/>
        </w:rPr>
      </w:pPr>
    </w:p>
    <w:p w:rsidR="00725830" w:rsidRPr="00725830" w:rsidP="00725830" w14:paraId="263052CD" w14:textId="77777777">
      <w:pPr>
        <w:rPr>
          <w:iCs/>
        </w:rPr>
      </w:pPr>
      <w:r w:rsidRPr="00725830">
        <w:rPr>
          <w:b/>
          <w:bCs/>
          <w:iCs/>
        </w:rPr>
        <w:t>Concerns Regarding Safe and Legal Parking</w:t>
      </w:r>
    </w:p>
    <w:p w:rsidR="00725830" w:rsidP="00725830" w14:paraId="26E54636" w14:textId="77777777">
      <w:pPr>
        <w:rPr>
          <w:iCs/>
        </w:rPr>
      </w:pPr>
      <w:r w:rsidRPr="00725830">
        <w:rPr>
          <w:iCs/>
        </w:rPr>
        <w:t>Four comments discussed concerns related to the lack of adequate, legal parking options near customers, urban centers, and rest areas. These comments also mentioned concerns about having to choose between violating HOS rules, parking illegally, or driving while fatigued due to parking shortages. While this study does not focus on the availability of legal CMV parking, the relevance of driving while fatigued in these circumstances is important. By collecting data on factors related to HOS, crashes, and inspection violations, future research may use this deidentified dataset to improve the understanding of parking shortages as it relates to fatigued driving, illegal parking, and HOS violations.</w:t>
      </w:r>
    </w:p>
    <w:p w:rsidR="00725830" w:rsidRPr="00725830" w:rsidP="00725830" w14:paraId="7D00712D" w14:textId="77777777">
      <w:pPr>
        <w:rPr>
          <w:iCs/>
        </w:rPr>
      </w:pPr>
    </w:p>
    <w:p w:rsidR="00725830" w:rsidRPr="00725830" w:rsidP="00725830" w14:paraId="44C340E3" w14:textId="77777777">
      <w:pPr>
        <w:rPr>
          <w:iCs/>
        </w:rPr>
      </w:pPr>
      <w:r w:rsidRPr="00725830">
        <w:rPr>
          <w:b/>
          <w:bCs/>
          <w:iCs/>
        </w:rPr>
        <w:t>Concerns Regarding Driver Autonomy</w:t>
      </w:r>
    </w:p>
    <w:p w:rsidR="00725830" w:rsidP="00725830" w14:paraId="119D11F2" w14:textId="77777777">
      <w:pPr>
        <w:rPr>
          <w:iCs/>
        </w:rPr>
      </w:pPr>
      <w:r w:rsidRPr="00725830">
        <w:rPr>
          <w:iCs/>
        </w:rPr>
        <w:t>Seven comments mentioned a growing loss of control over their schedules, citing pressure from carriers, shippers, and enforcement agencies to prioritize productivity over safety. While the broader issues of scheduling pressures and driver autonomy are relevant to discussions of occupational well-being, they are beyond the scope of the present study. This research is specifically designed to examine the association between HOS and CMV crash and inspection violation involvement. System-level or organizational factors, while potentially related, are not directly evaluated within the current analytical framework. Data collected in this study may assist in future research efforts.</w:t>
      </w:r>
    </w:p>
    <w:p w:rsidR="00725830" w:rsidRPr="00725830" w:rsidP="00725830" w14:paraId="7F0E5143" w14:textId="77777777">
      <w:pPr>
        <w:rPr>
          <w:iCs/>
        </w:rPr>
      </w:pPr>
    </w:p>
    <w:p w:rsidR="00725830" w:rsidRPr="00725830" w:rsidP="00725830" w14:paraId="4B2D2BCD" w14:textId="77777777">
      <w:pPr>
        <w:rPr>
          <w:b/>
          <w:bCs/>
          <w:iCs/>
        </w:rPr>
      </w:pPr>
      <w:r w:rsidRPr="00725830">
        <w:rPr>
          <w:b/>
          <w:bCs/>
          <w:iCs/>
        </w:rPr>
        <w:t>Concerns Regarding Study Design</w:t>
      </w:r>
    </w:p>
    <w:p w:rsidR="00725830" w:rsidP="00725830" w14:paraId="1EF6441F" w14:textId="77777777">
      <w:pPr>
        <w:rPr>
          <w:iCs/>
        </w:rPr>
      </w:pPr>
      <w:r w:rsidRPr="00725830">
        <w:rPr>
          <w:iCs/>
        </w:rPr>
        <w:t xml:space="preserve">One comment discussed concerns related to the study design, specifically about the lack of control for time-of-day and the lack of connection between HOS logs and driver fatigue. The study is an observational study, and the study design controls for time-of-day effects by including duty and driving time-of-day as covariates in the modeling framework. This separates time-of-day effects from the effects of schedule factors (e.g., long duty) and prevents confounding between these factors.  </w:t>
      </w:r>
    </w:p>
    <w:p w:rsidR="00725830" w:rsidRPr="00725830" w:rsidP="00725830" w14:paraId="704138CD" w14:textId="77777777">
      <w:pPr>
        <w:rPr>
          <w:iCs/>
        </w:rPr>
      </w:pPr>
    </w:p>
    <w:p w:rsidR="00725830" w:rsidP="00725830" w14:paraId="68A01B45" w14:textId="77777777">
      <w:pPr>
        <w:rPr>
          <w:iCs/>
        </w:rPr>
      </w:pPr>
      <w:r w:rsidRPr="00725830">
        <w:rPr>
          <w:iCs/>
        </w:rPr>
        <w:t>While the commenter noted HOS logs do not directly measure fatigue and do not capture all the factors influencing driver fatigue, HOS logs do provide information on sleep opportunity, time awake, and time-on-task, all of which are directly related to fatigue risk.</w:t>
      </w:r>
    </w:p>
    <w:p w:rsidR="00725830" w:rsidRPr="00725830" w:rsidP="00725830" w14:paraId="70A4D353" w14:textId="77777777">
      <w:pPr>
        <w:rPr>
          <w:iCs/>
        </w:rPr>
      </w:pPr>
    </w:p>
    <w:p w:rsidR="00725830" w:rsidRPr="00725830" w:rsidP="00725830" w14:paraId="6143273E" w14:textId="77777777">
      <w:pPr>
        <w:rPr>
          <w:b/>
          <w:bCs/>
          <w:iCs/>
        </w:rPr>
      </w:pPr>
      <w:r w:rsidRPr="00725830">
        <w:rPr>
          <w:b/>
          <w:bCs/>
          <w:iCs/>
        </w:rPr>
        <w:t>Concerns Regarding Study Recruitment</w:t>
      </w:r>
    </w:p>
    <w:p w:rsidR="00725830" w:rsidP="00725830" w14:paraId="6845550E" w14:textId="77777777">
      <w:pPr>
        <w:rPr>
          <w:iCs/>
        </w:rPr>
      </w:pPr>
      <w:r w:rsidRPr="00725830">
        <w:rPr>
          <w:iCs/>
        </w:rPr>
        <w:t xml:space="preserve">One comment discussed concerns about the recruitment strategy and whether participating carriers would be representative of the broader trucking industry, citing the reliance on telematics and the number of carriers. </w:t>
      </w:r>
    </w:p>
    <w:p w:rsidR="00725830" w:rsidRPr="00725830" w:rsidP="00725830" w14:paraId="0786DE60" w14:textId="77777777">
      <w:pPr>
        <w:rPr>
          <w:iCs/>
        </w:rPr>
      </w:pPr>
    </w:p>
    <w:p w:rsidR="00725830" w:rsidP="00725830" w14:paraId="46DCEAA1" w14:textId="77777777">
      <w:pPr>
        <w:rPr>
          <w:iCs/>
        </w:rPr>
      </w:pPr>
      <w:r w:rsidRPr="00725830">
        <w:rPr>
          <w:iCs/>
        </w:rPr>
        <w:t xml:space="preserve">The study aims to recruit a diverse range of carriers based on industry segments and carrier size.  Carriers’ participation is voluntary, but carriers will be contacted through a recruitment campaign that includes random outreach from the FMCSA census, targeted outreach through advertisement and trade shows, and coordinated efforts with FMCSA. The 60 carriers are based on the expected number of miles driven needed to observe crashes based on power analysis to determine sample size. Enrollment is not limited to 60 and will include additional carriers as feasible. The research team will work with all carriers wanting to participate to support the transfer of ELD data for inclusion in the study to the extent practicable. </w:t>
      </w:r>
    </w:p>
    <w:p w:rsidR="00725830" w:rsidRPr="00725830" w:rsidP="00725830" w14:paraId="1794E823" w14:textId="77777777">
      <w:pPr>
        <w:rPr>
          <w:iCs/>
        </w:rPr>
      </w:pPr>
    </w:p>
    <w:p w:rsidR="00725830" w:rsidP="00725830" w14:paraId="2421F596" w14:textId="77777777">
      <w:pPr>
        <w:rPr>
          <w:iCs/>
        </w:rPr>
      </w:pPr>
      <w:r w:rsidRPr="00725830">
        <w:rPr>
          <w:iCs/>
        </w:rPr>
        <w:t>Also, because this study relies on the cooperation and assistance of companies to gather data, larger companies that are well-resourced may be overrepresented in the study data. These biases will be accounted for by the modeling approach but have the anticipated effect of underestimating the true risk of fatigue in the industry. The recruitment and data collection methods will be documented in publications to guide interpretation relative to potential bias.</w:t>
      </w:r>
    </w:p>
    <w:p w:rsidR="00D20C36" w:rsidP="00725830" w14:paraId="284675B0" w14:textId="77777777">
      <w:pPr>
        <w:rPr>
          <w:iCs/>
        </w:rPr>
      </w:pPr>
    </w:p>
    <w:p w:rsidR="008E4E78" w:rsidRPr="005612EB" w:rsidP="00135629" w14:paraId="5BD11E47" w14:textId="77777777"/>
    <w:p w:rsidR="00EC19CC" w:rsidRPr="0016660B" w:rsidP="00CF7E97" w14:paraId="40BA8B77" w14:textId="77777777">
      <w:pPr>
        <w:pStyle w:val="ListParagraph"/>
        <w:numPr>
          <w:ilvl w:val="0"/>
          <w:numId w:val="2"/>
        </w:numPr>
        <w:rPr>
          <w:b/>
          <w:bCs/>
        </w:rPr>
      </w:pPr>
      <w:r w:rsidRPr="0016660B">
        <w:rPr>
          <w:b/>
          <w:bCs/>
        </w:rPr>
        <w:t>PAYMENTS OR GIFTS TO RESPONDENTS</w:t>
      </w:r>
      <w:r w:rsidRPr="0016660B" w:rsidR="00A613EE">
        <w:rPr>
          <w:b/>
          <w:bCs/>
        </w:rPr>
        <w:br/>
      </w:r>
    </w:p>
    <w:p w:rsidR="00EC19CC" w:rsidRPr="00987D0E" w:rsidP="00135629" w14:paraId="42AFC0F0" w14:textId="05EC427C">
      <w:r>
        <w:t>Respondents are not provided with any payment or gift for this information collection.</w:t>
      </w:r>
    </w:p>
    <w:p w:rsidR="00552ED8" w:rsidRPr="005612EB" w:rsidP="00135629" w14:paraId="4BCE6CCF" w14:textId="77777777"/>
    <w:p w:rsidR="008E4E78" w:rsidRPr="005612EB" w:rsidP="00135629" w14:paraId="493110C6" w14:textId="77777777"/>
    <w:p w:rsidR="0039150B" w:rsidRPr="0016660B" w:rsidP="00CF7E97" w14:paraId="419037E3" w14:textId="77777777">
      <w:pPr>
        <w:pStyle w:val="ListParagraph"/>
        <w:numPr>
          <w:ilvl w:val="0"/>
          <w:numId w:val="2"/>
        </w:numPr>
        <w:rPr>
          <w:b/>
          <w:bCs/>
        </w:rPr>
      </w:pPr>
      <w:r w:rsidRPr="0016660B">
        <w:rPr>
          <w:b/>
          <w:bCs/>
        </w:rPr>
        <w:t>ASSURANCE OF CONFIDENTIALITY</w:t>
      </w:r>
      <w:r w:rsidRPr="0016660B" w:rsidR="00A613EE">
        <w:rPr>
          <w:b/>
          <w:bCs/>
        </w:rPr>
        <w:br/>
      </w:r>
    </w:p>
    <w:p w:rsidR="001706B3" w:rsidP="00135629" w14:paraId="1F8BC6E6" w14:textId="2C0CBB36">
      <w:r w:rsidRPr="00D21311">
        <w:t xml:space="preserve">All data collected during this study will be stored on a secure, password-protected </w:t>
      </w:r>
      <w:r w:rsidR="005664FC">
        <w:t xml:space="preserve">encrypted </w:t>
      </w:r>
      <w:r w:rsidRPr="00D21311">
        <w:t>server</w:t>
      </w:r>
      <w:r w:rsidR="00012861">
        <w:t xml:space="preserve"> hosted by Pulsar</w:t>
      </w:r>
      <w:r>
        <w:t xml:space="preserve">. </w:t>
      </w:r>
      <w:r w:rsidR="00203E07">
        <w:t xml:space="preserve">The collection of individual driver </w:t>
      </w:r>
      <w:r w:rsidR="00481BAB">
        <w:t xml:space="preserve">and carrier </w:t>
      </w:r>
      <w:r w:rsidR="00FB055E">
        <w:t>identifiers</w:t>
      </w:r>
      <w:r w:rsidR="000C07B0">
        <w:t xml:space="preserve"> will be required to link </w:t>
      </w:r>
      <w:r w:rsidR="008A4DA7">
        <w:t>ELD and crash data to MCMIS data</w:t>
      </w:r>
      <w:r w:rsidR="001F6508">
        <w:t xml:space="preserve"> as a first step of the analysis</w:t>
      </w:r>
      <w:r w:rsidR="00C76F10">
        <w:t xml:space="preserve">. </w:t>
      </w:r>
      <w:r w:rsidR="00C23F49">
        <w:t xml:space="preserve">Once the data are linked, </w:t>
      </w:r>
      <w:r w:rsidR="00997481">
        <w:t xml:space="preserve">the </w:t>
      </w:r>
      <w:r w:rsidR="003F35B6">
        <w:t>data will be de-identified</w:t>
      </w:r>
      <w:r w:rsidR="003B4A76">
        <w:t xml:space="preserve"> by assigning</w:t>
      </w:r>
      <w:r w:rsidR="00A70BFC">
        <w:t xml:space="preserve"> </w:t>
      </w:r>
      <w:r w:rsidR="00785445">
        <w:t>a random number / letter</w:t>
      </w:r>
      <w:r w:rsidR="00820EB7">
        <w:t xml:space="preserve"> code to </w:t>
      </w:r>
      <w:r w:rsidR="00E3079A">
        <w:t>each driver and carrier</w:t>
      </w:r>
      <w:r w:rsidR="00C9321A">
        <w:t xml:space="preserve">. </w:t>
      </w:r>
    </w:p>
    <w:p w:rsidR="00F420AD" w:rsidP="00135629" w14:paraId="32A75727" w14:textId="77777777"/>
    <w:p w:rsidR="0004749E" w:rsidRPr="005612EB" w:rsidP="00135629" w14:paraId="6AD84AEA" w14:textId="6AF15985">
      <w:r>
        <w:t xml:space="preserve">Pulsar, under contract with FMCSA, is required to develop a publicly available data set. Data sets that have been processed and reduced will be developed into de-identified data sets that are made publicly available. This requirement is outlined in the policy memorandum from the Office of Science and Technology Policy </w:t>
      </w:r>
      <w:r w:rsidR="0097094A">
        <w:t>”Ensuring Free, Immediate, and Equitable Access to Federally Funded Research”</w:t>
      </w:r>
      <w:r>
        <w:t xml:space="preserve"> dated </w:t>
      </w:r>
      <w:r w:rsidR="0097094A">
        <w:t>August 25, 2022</w:t>
      </w:r>
      <w:r>
        <w:t xml:space="preserve"> available at </w:t>
      </w:r>
      <w:r w:rsidRPr="00393132" w:rsidR="00393132">
        <w:t>https://bidenwhitehouse.archives.gov/wp-content/uploads/2022/08/08-2022-OSTP-Public-Access-Memo.pdf</w:t>
      </w:r>
      <w:r>
        <w:t>. Because the requested data contains sensitive, personally identifiable information (PII), any data transfer or storage will</w:t>
      </w:r>
      <w:r w:rsidR="00E50F75">
        <w:t xml:space="preserve"> be</w:t>
      </w:r>
      <w:r>
        <w:t xml:space="preserve"> done in accordance with the DOT Privacy Policy (https://www.transportation.gov/individuals/privacy/dot-privacy-policy). All PII shall be removed, including names of drivers, names of fleets, and other relevant variables. </w:t>
      </w:r>
      <w:r w:rsidR="00E14404">
        <w:t xml:space="preserve">Pulsar will delete all PII data in accordance with the study’s deidentification protocol. </w:t>
      </w:r>
      <w:r>
        <w:t>If necessary, other methods of protecting privacy shall be utilized, such as</w:t>
      </w:r>
      <w:r w:rsidR="008170CF">
        <w:t xml:space="preserve"> data aggregation,</w:t>
      </w:r>
      <w:r>
        <w:t xml:space="preserve"> top-coding, bottom-coding, data swapping, or applying differential privacy techniques to protect study participants </w:t>
      </w:r>
      <w:r>
        <w:t xml:space="preserve">while still facilitating public-use files. </w:t>
      </w:r>
      <w:r w:rsidR="002D42C7">
        <w:t xml:space="preserve">This deidentified data set will be provided to FMCSA after all relevant statutes of limitations (at both State and Federal levels) pertaining to legal discoverability processes have expired. </w:t>
      </w:r>
      <w:r>
        <w:t>Th</w:t>
      </w:r>
      <w:r w:rsidR="00D21311">
        <w:t>is</w:t>
      </w:r>
      <w:r>
        <w:t xml:space="preserve"> data shall be housed in the FMCSA Data Repository.</w:t>
      </w:r>
      <w:r w:rsidR="00144957">
        <w:t xml:space="preserve"> </w:t>
      </w:r>
    </w:p>
    <w:p w:rsidR="001D4111" w:rsidRPr="005612EB" w:rsidP="00135629" w14:paraId="06BEF05E" w14:textId="77777777"/>
    <w:p w:rsidR="003E7F3B" w:rsidRPr="0016660B" w:rsidP="00CF7E97" w14:paraId="0979AA90" w14:textId="77777777">
      <w:pPr>
        <w:pStyle w:val="ListParagraph"/>
        <w:numPr>
          <w:ilvl w:val="0"/>
          <w:numId w:val="2"/>
        </w:numPr>
        <w:rPr>
          <w:b/>
          <w:bCs/>
        </w:rPr>
      </w:pPr>
      <w:r w:rsidRPr="0016660B">
        <w:rPr>
          <w:b/>
          <w:bCs/>
        </w:rPr>
        <w:t>JUSTIFICATION FOR COLLECTION OF SENSITIVE INFORMATION</w:t>
      </w:r>
      <w:r w:rsidRPr="0016660B" w:rsidR="00470720">
        <w:rPr>
          <w:b/>
          <w:bCs/>
        </w:rPr>
        <w:t xml:space="preserve"> </w:t>
      </w:r>
      <w:r w:rsidRPr="0016660B" w:rsidR="00A613EE">
        <w:rPr>
          <w:b/>
          <w:bCs/>
        </w:rPr>
        <w:br/>
      </w:r>
    </w:p>
    <w:p w:rsidR="00AB3A06" w:rsidP="00135629" w14:paraId="2D42132A" w14:textId="171A483B">
      <w:r>
        <w:t>This research</w:t>
      </w:r>
      <w:r w:rsidR="00EE1FF4">
        <w:t xml:space="preserve"> does not include questions about sexual behavior and attitudes</w:t>
      </w:r>
      <w:r w:rsidR="004D3405">
        <w:t xml:space="preserve">, </w:t>
      </w:r>
      <w:r w:rsidR="00EE1FF4">
        <w:t>religious beliefs</w:t>
      </w:r>
      <w:r w:rsidR="004D3405">
        <w:t xml:space="preserve">, </w:t>
      </w:r>
      <w:r w:rsidR="00150998">
        <w:t>o</w:t>
      </w:r>
      <w:r w:rsidR="00C25ABF">
        <w:t>r</w:t>
      </w:r>
      <w:r w:rsidRPr="001C2B34" w:rsidR="00C25ABF">
        <w:t xml:space="preserve"> other matters that are commonly considered private</w:t>
      </w:r>
      <w:r w:rsidR="004957DC">
        <w:t xml:space="preserve">. </w:t>
      </w:r>
    </w:p>
    <w:p w:rsidR="00B65EC3" w:rsidP="00135629" w14:paraId="4029884C" w14:textId="77777777"/>
    <w:p w:rsidR="00B65EC3" w:rsidRPr="0021737F" w:rsidP="00135629" w14:paraId="145EADD8" w14:textId="77777777"/>
    <w:p w:rsidR="00C969A3" w:rsidP="00CF7E97" w14:paraId="011A9B22" w14:textId="169AD329">
      <w:pPr>
        <w:pStyle w:val="Default"/>
        <w:numPr>
          <w:ilvl w:val="0"/>
          <w:numId w:val="2"/>
        </w:numPr>
      </w:pPr>
      <w:r w:rsidRPr="001C2B34">
        <w:rPr>
          <w:b/>
          <w:bCs/>
        </w:rPr>
        <w:t>ESTIMATE OF BURDEN HOURS FOR INFORMATION REQUESTED</w:t>
      </w:r>
    </w:p>
    <w:p w:rsidR="000E5A4E" w:rsidP="000E5A4E" w14:paraId="0991FD65" w14:textId="77777777">
      <w:pPr>
        <w:pStyle w:val="Default"/>
      </w:pPr>
    </w:p>
    <w:p w:rsidR="00AB4937" w:rsidP="005333E7" w14:paraId="3458BE3A" w14:textId="292D5B5F">
      <w:pPr>
        <w:pStyle w:val="Default"/>
      </w:pPr>
      <w:r>
        <w:t xml:space="preserve">A total of </w:t>
      </w:r>
      <w:r w:rsidR="00856349">
        <w:t>60</w:t>
      </w:r>
      <w:r>
        <w:t xml:space="preserve"> carriers will be recruited for</w:t>
      </w:r>
      <w:r w:rsidR="00AC6E2E">
        <w:t xml:space="preserve"> the </w:t>
      </w:r>
      <w:r w:rsidR="00193956">
        <w:t>Cras</w:t>
      </w:r>
      <w:r w:rsidR="00D34DC5">
        <w:t>h</w:t>
      </w:r>
      <w:r w:rsidR="00193956">
        <w:t xml:space="preserve"> Risks by Commercial Motor Vehicle (CMV) Driver Schedules program</w:t>
      </w:r>
      <w:r w:rsidR="00AC6E2E">
        <w:t xml:space="preserve">. </w:t>
      </w:r>
      <w:r w:rsidRPr="000E5A4E" w:rsidR="00D731FE">
        <w:rPr>
          <w:color w:val="auto"/>
        </w:rPr>
        <w:t>Due to the voluntary nature of participation and anticipated recruitment challenges, it may not be feasible to secure all 60 carriers prior to the start of</w:t>
      </w:r>
      <w:r w:rsidR="00FA238F">
        <w:rPr>
          <w:color w:val="auto"/>
        </w:rPr>
        <w:t xml:space="preserve"> data collection</w:t>
      </w:r>
      <w:r w:rsidRPr="000E5A4E" w:rsidR="00D731FE">
        <w:rPr>
          <w:color w:val="auto"/>
        </w:rPr>
        <w:t xml:space="preserve">. </w:t>
      </w:r>
      <w:r w:rsidR="00007404">
        <w:t>Using a continuous enrollment approach</w:t>
      </w:r>
      <w:r w:rsidRPr="000E5A4E" w:rsidR="008170CF">
        <w:rPr>
          <w:color w:val="auto"/>
        </w:rPr>
        <w:t xml:space="preserve">, we </w:t>
      </w:r>
      <w:r w:rsidRPr="000E5A4E" w:rsidR="00D731FE">
        <w:rPr>
          <w:color w:val="auto"/>
        </w:rPr>
        <w:t xml:space="preserve">will </w:t>
      </w:r>
      <w:r w:rsidRPr="000E5A4E" w:rsidR="008170CF">
        <w:rPr>
          <w:color w:val="auto"/>
        </w:rPr>
        <w:t>start data collection as carriers are recruited.</w:t>
      </w:r>
      <w:r w:rsidRPr="000E5A4E" w:rsidR="004541F7">
        <w:rPr>
          <w:color w:val="auto"/>
        </w:rPr>
        <w:t xml:space="preserve"> </w:t>
      </w:r>
      <w:r w:rsidRPr="000E5A4E" w:rsidR="00A330FE">
        <w:rPr>
          <w:color w:val="auto"/>
        </w:rPr>
        <w:t>We aim to recruit as many carriers as early into the study as possible, but g</w:t>
      </w:r>
      <w:r w:rsidRPr="000E5A4E" w:rsidR="004541F7">
        <w:rPr>
          <w:color w:val="auto"/>
        </w:rPr>
        <w:t>iven the aforementioned recruitment challenges</w:t>
      </w:r>
      <w:r w:rsidRPr="000E5A4E" w:rsidR="00A330FE">
        <w:rPr>
          <w:color w:val="auto"/>
        </w:rPr>
        <w:t>,</w:t>
      </w:r>
      <w:r w:rsidRPr="000E5A4E" w:rsidR="004541F7">
        <w:rPr>
          <w:color w:val="auto"/>
        </w:rPr>
        <w:t xml:space="preserve"> we </w:t>
      </w:r>
      <w:r w:rsidRPr="000E5A4E" w:rsidR="008170CF">
        <w:rPr>
          <w:color w:val="auto"/>
        </w:rPr>
        <w:t>estimate</w:t>
      </w:r>
      <w:r w:rsidRPr="000E5A4E" w:rsidR="00A330FE">
        <w:rPr>
          <w:color w:val="auto"/>
        </w:rPr>
        <w:t xml:space="preserve"> that</w:t>
      </w:r>
      <w:r w:rsidR="00DB6E71">
        <w:t xml:space="preserve"> 15 carriers will </w:t>
      </w:r>
      <w:r w:rsidR="00B93166">
        <w:t xml:space="preserve">begin </w:t>
      </w:r>
      <w:r w:rsidR="002F7449">
        <w:t>participating in the first study year (</w:t>
      </w:r>
      <w:r w:rsidR="00515ABD">
        <w:t xml:space="preserve">for a total of </w:t>
      </w:r>
      <w:r w:rsidR="006F6824">
        <w:t>4</w:t>
      </w:r>
      <w:r w:rsidR="00515ABD">
        <w:t xml:space="preserve"> years of participation), 15 carriers will begin participating in the second study year (for a </w:t>
      </w:r>
      <w:r w:rsidR="00273E9E">
        <w:t xml:space="preserve">total of </w:t>
      </w:r>
      <w:r w:rsidR="006F6824">
        <w:t xml:space="preserve">3 </w:t>
      </w:r>
      <w:r w:rsidR="00273E9E">
        <w:t xml:space="preserve">years of participation), </w:t>
      </w:r>
      <w:r w:rsidR="006F6824">
        <w:t xml:space="preserve">15 </w:t>
      </w:r>
      <w:r w:rsidR="00273E9E">
        <w:t xml:space="preserve">carriers will begin participating in the third study year (for a total of </w:t>
      </w:r>
      <w:r w:rsidR="006F6824">
        <w:t xml:space="preserve">2 </w:t>
      </w:r>
      <w:r w:rsidR="00273E9E">
        <w:t xml:space="preserve">years of participation), </w:t>
      </w:r>
      <w:r w:rsidR="006F6824">
        <w:t xml:space="preserve">and 15 </w:t>
      </w:r>
      <w:r w:rsidR="00273E9E">
        <w:t xml:space="preserve">carriers </w:t>
      </w:r>
      <w:r w:rsidR="006971E6">
        <w:t xml:space="preserve">will begin participating in the fourth study year (for a total of </w:t>
      </w:r>
      <w:r w:rsidR="006F6824">
        <w:t>1</w:t>
      </w:r>
      <w:r w:rsidR="006971E6">
        <w:t xml:space="preserve"> year of participation</w:t>
      </w:r>
      <w:r w:rsidR="006F6824">
        <w:t>).</w:t>
      </w:r>
      <w:r w:rsidR="00124BEB">
        <w:t xml:space="preserve"> </w:t>
      </w:r>
      <w:r w:rsidRPr="000E5A4E" w:rsidR="00A330FE">
        <w:rPr>
          <w:color w:val="auto"/>
        </w:rPr>
        <w:t xml:space="preserve">Although we are targeting 60 carriers for this study, carriers beyond this number will not be excluded. </w:t>
      </w:r>
      <w:r w:rsidRPr="000E5A4E" w:rsidR="004B1EA7">
        <w:rPr>
          <w:color w:val="auto"/>
        </w:rPr>
        <w:t>If our recruitment target is not met, we will perform an analysis using the available data. Any limitations due to sample size will be addressed in the analysis and discussion of findings.</w:t>
      </w:r>
    </w:p>
    <w:p w:rsidR="00AB4937" w:rsidP="005333E7" w14:paraId="1D9012E1" w14:textId="77777777">
      <w:pPr>
        <w:pStyle w:val="Default"/>
      </w:pPr>
    </w:p>
    <w:p w:rsidR="00AB4937" w:rsidP="005333E7" w14:paraId="0EBBD08E" w14:textId="6ACFFDB5">
      <w:pPr>
        <w:pStyle w:val="Default"/>
      </w:pPr>
      <w:r>
        <w:t>Because</w:t>
      </w:r>
      <w:r w:rsidR="001030A0">
        <w:t xml:space="preserve"> HOS </w:t>
      </w:r>
      <w:r w:rsidR="00D647DC">
        <w:t xml:space="preserve">(IC1) and crash and incident data (IC2) </w:t>
      </w:r>
      <w:r w:rsidR="00396E40">
        <w:t xml:space="preserve">will be collected automatically </w:t>
      </w:r>
      <w:r w:rsidR="002741A1">
        <w:t xml:space="preserve">through an integration between carriers’ TSPs and Pulsar’s platform, </w:t>
      </w:r>
      <w:r w:rsidR="00F96C8F">
        <w:t xml:space="preserve">the </w:t>
      </w:r>
      <w:r w:rsidR="000025FF">
        <w:t xml:space="preserve">primary </w:t>
      </w:r>
      <w:r w:rsidR="00F96C8F">
        <w:t>burden on carriers will be to provide quarterly</w:t>
      </w:r>
      <w:r w:rsidR="00852AC7">
        <w:t xml:space="preserve"> </w:t>
      </w:r>
      <w:r w:rsidR="00250CB4">
        <w:t xml:space="preserve">uploads of </w:t>
      </w:r>
      <w:r w:rsidR="00852AC7">
        <w:t>driver demographic information</w:t>
      </w:r>
      <w:r w:rsidR="00A979DC">
        <w:t xml:space="preserve"> (IC3)</w:t>
      </w:r>
      <w:r w:rsidR="00852AC7">
        <w:t xml:space="preserve">. </w:t>
      </w:r>
    </w:p>
    <w:p w:rsidR="009A73C1" w:rsidP="0016660B" w14:paraId="30923B42" w14:textId="77777777">
      <w:pPr>
        <w:pStyle w:val="Default"/>
      </w:pPr>
    </w:p>
    <w:p w:rsidR="009A73C1" w:rsidP="0016660B" w14:paraId="6C586813" w14:textId="1D566EE0">
      <w:pPr>
        <w:pStyle w:val="Default"/>
      </w:pPr>
      <w:r>
        <w:rPr>
          <w:b/>
          <w:bCs/>
        </w:rPr>
        <w:t>The total number of respondents is 60</w:t>
      </w:r>
      <w:r w:rsidR="00F3570F">
        <w:rPr>
          <w:b/>
          <w:bCs/>
        </w:rPr>
        <w:t xml:space="preserve"> (60 carriers).</w:t>
      </w:r>
    </w:p>
    <w:p w:rsidR="00F3570F" w:rsidP="007F2B73" w14:paraId="4AF823C8" w14:textId="77777777">
      <w:pPr>
        <w:pStyle w:val="Default"/>
        <w:ind w:left="360"/>
      </w:pPr>
    </w:p>
    <w:p w:rsidR="00F3570F" w:rsidP="005333E7" w14:paraId="0184734D" w14:textId="4844EC7C">
      <w:pPr>
        <w:pStyle w:val="Default"/>
      </w:pPr>
      <w:r>
        <w:t>The Cras</w:t>
      </w:r>
      <w:r w:rsidR="00D34DC5">
        <w:t>h</w:t>
      </w:r>
      <w:r>
        <w:t xml:space="preserve"> Risks by Commercial Motor Vehicle (CMV) Driver Schedules program will comprise </w:t>
      </w:r>
      <w:r w:rsidR="005C0CFC">
        <w:t>three categories</w:t>
      </w:r>
      <w:r>
        <w:t xml:space="preserve"> of </w:t>
      </w:r>
      <w:r w:rsidR="00AC24A2">
        <w:t>IC</w:t>
      </w:r>
      <w:r w:rsidR="006F6ED7">
        <w:t xml:space="preserve"> </w:t>
      </w:r>
      <w:r w:rsidR="00BA7010">
        <w:t>associated with</w:t>
      </w:r>
      <w:r w:rsidR="00A011F4">
        <w:t xml:space="preserve"> carrier</w:t>
      </w:r>
      <w:r w:rsidR="00BA7010">
        <w:t xml:space="preserve"> task</w:t>
      </w:r>
      <w:r w:rsidR="00A011F4">
        <w:t>s (IC1</w:t>
      </w:r>
      <w:r w:rsidR="00171CE4">
        <w:t>, IC2, IC3</w:t>
      </w:r>
      <w:r w:rsidR="00A011F4">
        <w:t>).</w:t>
      </w:r>
    </w:p>
    <w:p w:rsidR="00EE038D" w:rsidP="005333E7" w14:paraId="6748C546" w14:textId="77777777">
      <w:pPr>
        <w:pStyle w:val="Default"/>
      </w:pPr>
    </w:p>
    <w:p w:rsidR="00EE038D" w:rsidRPr="008B23B6" w:rsidP="12A76E4E" w14:paraId="674C6B55" w14:textId="17AD8263">
      <w:pPr>
        <w:pStyle w:val="Default"/>
      </w:pPr>
      <w:r w:rsidRPr="12A76E4E">
        <w:rPr>
          <w:b/>
          <w:bCs/>
        </w:rPr>
        <w:t>IC1 – Carrier Task</w:t>
      </w:r>
      <w:r>
        <w:t>:</w:t>
      </w:r>
      <w:r w:rsidRPr="12A76E4E" w:rsidR="0833E01D">
        <w:t xml:space="preserve"> TSP Setup for HOS Data</w:t>
      </w:r>
    </w:p>
    <w:p w:rsidR="008B23B6" w:rsidRPr="008B23B6" w:rsidP="005333E7" w14:paraId="08E40CF9" w14:textId="480432F6">
      <w:pPr>
        <w:pStyle w:val="Default"/>
      </w:pPr>
      <w:bookmarkStart w:id="4" w:name="_Hlk194495057"/>
      <w:r w:rsidRPr="008B23B6">
        <w:t>IC1</w:t>
      </w:r>
      <w:r w:rsidRPr="008B23B6" w:rsidR="00B504C3">
        <w:t xml:space="preserve"> </w:t>
      </w:r>
      <w:r w:rsidRPr="008B23B6" w:rsidR="00E6518D">
        <w:t xml:space="preserve">covers </w:t>
      </w:r>
      <w:r w:rsidRPr="008B23B6" w:rsidR="00C57000">
        <w:t xml:space="preserve">HOS </w:t>
      </w:r>
      <w:r w:rsidRPr="008B23B6" w:rsidR="00DC790F">
        <w:t>duty logs collected from carriers</w:t>
      </w:r>
      <w:bookmarkEnd w:id="4"/>
      <w:r w:rsidR="003B240B">
        <w:t xml:space="preserve"> (see Attachment B)</w:t>
      </w:r>
      <w:r w:rsidRPr="008B23B6" w:rsidR="00DC790F">
        <w:t xml:space="preserve">. </w:t>
      </w:r>
      <w:r w:rsidRPr="008B23B6" w:rsidR="00DD6BAC">
        <w:t xml:space="preserve">FMCSA </w:t>
      </w:r>
      <w:r w:rsidRPr="008B23B6" w:rsidR="001F27D0">
        <w:t xml:space="preserve">mandates that carriers </w:t>
      </w:r>
      <w:r w:rsidRPr="008B23B6" w:rsidR="00EE3460">
        <w:t>use ELDs to capture HOS</w:t>
      </w:r>
      <w:r w:rsidRPr="008B23B6" w:rsidR="0084787E">
        <w:t xml:space="preserve"> information</w:t>
      </w:r>
      <w:r>
        <w:rPr>
          <w:rStyle w:val="FootnoteReference"/>
        </w:rPr>
        <w:footnoteReference w:id="7"/>
      </w:r>
      <w:r w:rsidRPr="008B23B6" w:rsidR="00FE4009">
        <w:t>, and the research team will utiliz</w:t>
      </w:r>
      <w:r w:rsidRPr="008B23B6" w:rsidR="00771B5B">
        <w:t>e Pulsar’s existing integrations with TSPs to continuously and automatically collect</w:t>
      </w:r>
      <w:r w:rsidRPr="008B23B6" w:rsidR="00BC2762">
        <w:t xml:space="preserve"> the HOS information from carriers</w:t>
      </w:r>
      <w:r w:rsidRPr="008B23B6" w:rsidR="00BB6847">
        <w:t xml:space="preserve"> without the need for any manual steps to be completed by the CMV carrier</w:t>
      </w:r>
      <w:r w:rsidRPr="008B23B6" w:rsidR="00BC2762">
        <w:t xml:space="preserve">. </w:t>
      </w:r>
      <w:r w:rsidRPr="008B23B6" w:rsidR="00153289">
        <w:t xml:space="preserve">Pulsar has direct experience collecting CMV ELD </w:t>
      </w:r>
      <w:r w:rsidRPr="008B23B6" w:rsidR="00DE6F67">
        <w:t xml:space="preserve">using its </w:t>
      </w:r>
      <w:r w:rsidRPr="008B23B6" w:rsidR="00153289">
        <w:t>Trucking Fatigue Meter</w:t>
      </w:r>
      <w:r w:rsidRPr="008B23B6" w:rsidR="00DE6F67">
        <w:t xml:space="preserve"> software</w:t>
      </w:r>
      <w:r w:rsidRPr="008B23B6" w:rsidR="00153289">
        <w:t xml:space="preserve">. The Trucking Fatigue Meter is a software product (developed with support from FMCSA through the SBIR program) that integrates with ELD and telematics service providers in the CMV industry to </w:t>
      </w:r>
      <w:r w:rsidR="00ED5CEE">
        <w:t xml:space="preserve">enable the </w:t>
      </w:r>
      <w:r w:rsidR="001D1424">
        <w:t>monitoring of</w:t>
      </w:r>
      <w:r w:rsidRPr="008B23B6" w:rsidR="00153289">
        <w:t xml:space="preserve"> conditions associated with elevated fatigue and crash risk.</w:t>
      </w:r>
      <w:r w:rsidRPr="008B23B6" w:rsidR="00DF3F2C">
        <w:t xml:space="preserve"> </w:t>
      </w:r>
      <w:r>
        <w:t xml:space="preserve">The research team estimates a burden of </w:t>
      </w:r>
      <w:r w:rsidR="0044507B">
        <w:t>15</w:t>
      </w:r>
      <w:r>
        <w:t xml:space="preserve"> minutes per carrier will be associated with the initial setup process to ensure the carrier’s TSP is successfully integrated with Pulsar’s software tools. </w:t>
      </w:r>
      <w:r w:rsidR="00FC7098">
        <w:t>Each carrier will only need to complete this process one time, at the start of their participation. The table below shows the estimates of burden hours associated with IC</w:t>
      </w:r>
      <w:r w:rsidR="002E6DA6">
        <w:t>1</w:t>
      </w:r>
      <w:r w:rsidR="00FC7098">
        <w:t>.</w:t>
      </w:r>
    </w:p>
    <w:p w:rsidR="00EE038D" w:rsidP="005333E7" w14:paraId="65E37652" w14:textId="77777777">
      <w:pPr>
        <w:pStyle w:val="Default"/>
        <w:rPr>
          <w:highlight w:val="yellow"/>
        </w:rPr>
      </w:pPr>
    </w:p>
    <w:p w:rsidR="00FC7098" w:rsidRPr="00CA40CB" w:rsidP="00FC7098" w14:paraId="444A0AFC" w14:textId="734C71A3">
      <w:pPr>
        <w:pStyle w:val="Default"/>
        <w:ind w:left="360"/>
        <w:jc w:val="center"/>
        <w:rPr>
          <w:b/>
          <w:bCs/>
          <w:sz w:val="20"/>
          <w:szCs w:val="20"/>
        </w:rPr>
      </w:pPr>
      <w:r w:rsidRPr="00CA40CB">
        <w:rPr>
          <w:b/>
          <w:bCs/>
          <w:sz w:val="20"/>
          <w:szCs w:val="20"/>
        </w:rPr>
        <w:t xml:space="preserve">Table </w:t>
      </w:r>
      <w:r>
        <w:rPr>
          <w:b/>
          <w:bCs/>
          <w:sz w:val="20"/>
          <w:szCs w:val="20"/>
        </w:rPr>
        <w:t>2</w:t>
      </w:r>
      <w:r w:rsidRPr="00CA40CB">
        <w:rPr>
          <w:b/>
          <w:bCs/>
          <w:sz w:val="20"/>
          <w:szCs w:val="20"/>
        </w:rPr>
        <w:t xml:space="preserve">: </w:t>
      </w:r>
      <w:r w:rsidRPr="00CA40CB">
        <w:rPr>
          <w:sz w:val="20"/>
          <w:szCs w:val="20"/>
        </w:rPr>
        <w:t>IC</w:t>
      </w:r>
      <w:r>
        <w:rPr>
          <w:sz w:val="20"/>
          <w:szCs w:val="20"/>
        </w:rPr>
        <w:t>1</w:t>
      </w:r>
      <w:r w:rsidRPr="00CA40CB">
        <w:rPr>
          <w:sz w:val="20"/>
          <w:szCs w:val="20"/>
        </w:rPr>
        <w:t xml:space="preserve"> Carrier Task</w:t>
      </w:r>
      <w:r>
        <w:rPr>
          <w:sz w:val="20"/>
          <w:szCs w:val="20"/>
        </w:rPr>
        <w:t>: TSP setup for HOS data</w:t>
      </w:r>
      <w:r w:rsidRPr="00CA40CB">
        <w:rPr>
          <w:sz w:val="20"/>
          <w:szCs w:val="20"/>
        </w:rPr>
        <w:t>.</w:t>
      </w:r>
    </w:p>
    <w:p w:rsidR="00FC7098" w:rsidRPr="006A77FD" w:rsidP="00FC7098" w14:paraId="67943D49" w14:textId="77777777">
      <w:pPr>
        <w:pStyle w:val="Default"/>
        <w:ind w:left="360"/>
        <w:jc w:val="center"/>
        <w:rPr>
          <w:b/>
          <w:bCs/>
        </w:rPr>
      </w:pPr>
    </w:p>
    <w:tbl>
      <w:tblPr>
        <w:tblStyle w:val="GridTable4"/>
        <w:tblW w:w="0" w:type="auto"/>
        <w:jc w:val="center"/>
        <w:tblCellMar>
          <w:top w:w="58" w:type="dxa"/>
          <w:bottom w:w="58" w:type="dxa"/>
        </w:tblCellMar>
        <w:tblLook w:val="0620"/>
      </w:tblPr>
      <w:tblGrid>
        <w:gridCol w:w="1602"/>
        <w:gridCol w:w="1611"/>
        <w:gridCol w:w="1609"/>
        <w:gridCol w:w="1495"/>
        <w:gridCol w:w="1516"/>
        <w:gridCol w:w="1497"/>
      </w:tblGrid>
      <w:tr w14:paraId="423CB93B" w14:textId="77777777" w:rsidTr="003841D0">
        <w:tblPrEx>
          <w:tblW w:w="0" w:type="auto"/>
          <w:jc w:val="center"/>
          <w:tblCellMar>
            <w:top w:w="58" w:type="dxa"/>
            <w:bottom w:w="58" w:type="dxa"/>
          </w:tblCellMar>
          <w:tblLook w:val="0620"/>
        </w:tblPrEx>
        <w:trPr>
          <w:jc w:val="center"/>
        </w:trPr>
        <w:tc>
          <w:tcPr>
            <w:tcW w:w="1602" w:type="dxa"/>
            <w:tcBorders>
              <w:top w:val="single" w:sz="12" w:space="0" w:color="auto"/>
              <w:left w:val="single" w:sz="12" w:space="0" w:color="auto"/>
              <w:bottom w:val="single" w:sz="12" w:space="0" w:color="auto"/>
              <w:right w:val="single" w:sz="4" w:space="0" w:color="000000"/>
            </w:tcBorders>
            <w:shd w:val="clear" w:color="auto" w:fill="DBDBDB" w:themeFill="accent3" w:themeFillTint="66"/>
            <w:vAlign w:val="center"/>
          </w:tcPr>
          <w:p w:rsidR="00FC7098" w:rsidRPr="00051A0F" w:rsidP="00403B10" w14:paraId="3D000E42" w14:textId="77777777">
            <w:pPr>
              <w:pStyle w:val="Default"/>
              <w:jc w:val="center"/>
              <w:rPr>
                <w:sz w:val="20"/>
                <w:szCs w:val="20"/>
              </w:rPr>
            </w:pPr>
            <w:r>
              <w:rPr>
                <w:sz w:val="20"/>
                <w:szCs w:val="20"/>
              </w:rPr>
              <w:t>Year</w:t>
            </w:r>
          </w:p>
        </w:tc>
        <w:tc>
          <w:tcPr>
            <w:tcW w:w="1611"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FC7098" w:rsidP="00403B10" w14:paraId="462FD3AA" w14:textId="77777777">
            <w:pPr>
              <w:pStyle w:val="Default"/>
              <w:jc w:val="center"/>
              <w:rPr>
                <w:sz w:val="20"/>
                <w:szCs w:val="20"/>
              </w:rPr>
            </w:pPr>
            <w:r>
              <w:rPr>
                <w:sz w:val="20"/>
                <w:szCs w:val="20"/>
              </w:rPr>
              <w:t xml:space="preserve">Total </w:t>
            </w:r>
            <w:r w:rsidRPr="00051A0F">
              <w:rPr>
                <w:sz w:val="20"/>
                <w:szCs w:val="20"/>
              </w:rPr>
              <w:t>Respondents</w:t>
            </w:r>
            <w:r w:rsidRPr="0016660B">
              <w:rPr>
                <w:b w:val="0"/>
                <w:bCs w:val="0"/>
                <w:sz w:val="20"/>
                <w:szCs w:val="20"/>
              </w:rPr>
              <w:t>*</w:t>
            </w:r>
          </w:p>
          <w:p w:rsidR="00FC7098" w:rsidRPr="0016660B" w:rsidP="00403B10" w14:paraId="33D80ADB" w14:textId="77777777">
            <w:pPr>
              <w:pStyle w:val="Default"/>
              <w:jc w:val="center"/>
              <w:rPr>
                <w:sz w:val="20"/>
                <w:szCs w:val="20"/>
              </w:rPr>
            </w:pPr>
            <w:r>
              <w:rPr>
                <w:b w:val="0"/>
                <w:bCs w:val="0"/>
                <w:sz w:val="20"/>
                <w:szCs w:val="20"/>
              </w:rPr>
              <w:t>(A)</w:t>
            </w:r>
          </w:p>
        </w:tc>
        <w:tc>
          <w:tcPr>
            <w:tcW w:w="1609"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FC7098" w:rsidP="00403B10" w14:paraId="02255532" w14:textId="77777777">
            <w:pPr>
              <w:pStyle w:val="Default"/>
              <w:jc w:val="center"/>
              <w:rPr>
                <w:sz w:val="20"/>
                <w:szCs w:val="20"/>
              </w:rPr>
            </w:pPr>
            <w:r w:rsidRPr="00051A0F">
              <w:rPr>
                <w:sz w:val="20"/>
                <w:szCs w:val="20"/>
              </w:rPr>
              <w:t>Responses per Respondent</w:t>
            </w:r>
          </w:p>
          <w:p w:rsidR="00FC7098" w:rsidRPr="0016660B" w:rsidP="00403B10" w14:paraId="6D420646" w14:textId="77777777">
            <w:pPr>
              <w:pStyle w:val="Default"/>
              <w:jc w:val="center"/>
              <w:rPr>
                <w:sz w:val="20"/>
                <w:szCs w:val="20"/>
              </w:rPr>
            </w:pPr>
            <w:r>
              <w:rPr>
                <w:b w:val="0"/>
                <w:bCs w:val="0"/>
                <w:sz w:val="20"/>
                <w:szCs w:val="20"/>
              </w:rPr>
              <w:t>(B)</w:t>
            </w:r>
          </w:p>
        </w:tc>
        <w:tc>
          <w:tcPr>
            <w:tcW w:w="1495" w:type="dxa"/>
            <w:tcBorders>
              <w:top w:val="single" w:sz="12" w:space="0" w:color="auto"/>
              <w:left w:val="single" w:sz="4" w:space="0" w:color="000000"/>
              <w:bottom w:val="single" w:sz="12" w:space="0" w:color="auto"/>
              <w:right w:val="single" w:sz="4" w:space="0" w:color="000000"/>
            </w:tcBorders>
            <w:shd w:val="clear" w:color="auto" w:fill="DBDBDB" w:themeFill="accent3" w:themeFillTint="66"/>
          </w:tcPr>
          <w:p w:rsidR="00FC7098" w:rsidP="00403B10" w14:paraId="18F7A498" w14:textId="77777777">
            <w:pPr>
              <w:pStyle w:val="Default"/>
              <w:jc w:val="center"/>
              <w:rPr>
                <w:sz w:val="20"/>
                <w:szCs w:val="20"/>
              </w:rPr>
            </w:pPr>
            <w:r>
              <w:rPr>
                <w:sz w:val="20"/>
                <w:szCs w:val="20"/>
              </w:rPr>
              <w:t>Total Annual Responses</w:t>
            </w:r>
          </w:p>
          <w:p w:rsidR="00FC7098" w:rsidRPr="0016660B" w:rsidP="00403B10" w14:paraId="6F721AAE" w14:textId="2A4975B0">
            <w:pPr>
              <w:pStyle w:val="Default"/>
              <w:jc w:val="center"/>
              <w:rPr>
                <w:sz w:val="20"/>
                <w:szCs w:val="20"/>
              </w:rPr>
            </w:pPr>
            <w:r>
              <w:rPr>
                <w:b w:val="0"/>
                <w:bCs w:val="0"/>
                <w:sz w:val="20"/>
                <w:szCs w:val="20"/>
              </w:rPr>
              <w:t>(C) = (A*B)</w:t>
            </w:r>
          </w:p>
        </w:tc>
        <w:tc>
          <w:tcPr>
            <w:tcW w:w="1516"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FC7098" w:rsidP="00403B10" w14:paraId="07767FA6" w14:textId="77777777">
            <w:pPr>
              <w:pStyle w:val="Default"/>
              <w:jc w:val="center"/>
              <w:rPr>
                <w:sz w:val="20"/>
                <w:szCs w:val="20"/>
              </w:rPr>
            </w:pPr>
            <w:r>
              <w:rPr>
                <w:sz w:val="20"/>
                <w:szCs w:val="20"/>
              </w:rPr>
              <w:t>Hours</w:t>
            </w:r>
            <w:r w:rsidRPr="00051A0F">
              <w:rPr>
                <w:sz w:val="20"/>
                <w:szCs w:val="20"/>
              </w:rPr>
              <w:t xml:space="preserve"> per Response</w:t>
            </w:r>
          </w:p>
          <w:p w:rsidR="00FC7098" w:rsidRPr="0016660B" w:rsidP="00403B10" w14:paraId="680BAF49" w14:textId="77777777">
            <w:pPr>
              <w:pStyle w:val="Default"/>
              <w:jc w:val="center"/>
              <w:rPr>
                <w:sz w:val="20"/>
                <w:szCs w:val="20"/>
              </w:rPr>
            </w:pPr>
            <w:r>
              <w:rPr>
                <w:b w:val="0"/>
                <w:bCs w:val="0"/>
                <w:sz w:val="20"/>
                <w:szCs w:val="20"/>
              </w:rPr>
              <w:t>(D)</w:t>
            </w:r>
          </w:p>
        </w:tc>
        <w:tc>
          <w:tcPr>
            <w:tcW w:w="1497" w:type="dxa"/>
            <w:tcBorders>
              <w:top w:val="single" w:sz="12" w:space="0" w:color="auto"/>
              <w:left w:val="single" w:sz="4" w:space="0" w:color="000000"/>
              <w:bottom w:val="single" w:sz="12" w:space="0" w:color="auto"/>
              <w:right w:val="single" w:sz="12" w:space="0" w:color="auto"/>
            </w:tcBorders>
            <w:shd w:val="clear" w:color="auto" w:fill="DBDBDB" w:themeFill="accent3" w:themeFillTint="66"/>
            <w:vAlign w:val="center"/>
          </w:tcPr>
          <w:p w:rsidR="00FC7098" w:rsidP="00403B10" w14:paraId="23507543" w14:textId="77777777">
            <w:pPr>
              <w:pStyle w:val="Default"/>
              <w:jc w:val="center"/>
              <w:rPr>
                <w:sz w:val="20"/>
                <w:szCs w:val="20"/>
              </w:rPr>
            </w:pPr>
            <w:r w:rsidRPr="00051A0F">
              <w:rPr>
                <w:sz w:val="20"/>
                <w:szCs w:val="20"/>
              </w:rPr>
              <w:t>Total Burden Hours</w:t>
            </w:r>
          </w:p>
          <w:p w:rsidR="00FC7098" w:rsidRPr="0016660B" w:rsidP="00403B10" w14:paraId="60AF5AD6" w14:textId="7FC9B131">
            <w:pPr>
              <w:pStyle w:val="Default"/>
              <w:jc w:val="center"/>
              <w:rPr>
                <w:sz w:val="20"/>
                <w:szCs w:val="20"/>
              </w:rPr>
            </w:pPr>
            <w:r>
              <w:rPr>
                <w:b w:val="0"/>
                <w:bCs w:val="0"/>
                <w:sz w:val="20"/>
                <w:szCs w:val="20"/>
              </w:rPr>
              <w:t>(E) = (C*D)</w:t>
            </w:r>
          </w:p>
        </w:tc>
      </w:tr>
      <w:tr w14:paraId="56A25667" w14:textId="77777777" w:rsidTr="003841D0">
        <w:tblPrEx>
          <w:tblW w:w="0" w:type="auto"/>
          <w:jc w:val="center"/>
          <w:tblCellMar>
            <w:top w:w="58" w:type="dxa"/>
            <w:bottom w:w="58" w:type="dxa"/>
          </w:tblCellMar>
          <w:tblLook w:val="0620"/>
        </w:tblPrEx>
        <w:trPr>
          <w:jc w:val="center"/>
        </w:trPr>
        <w:tc>
          <w:tcPr>
            <w:tcW w:w="1602" w:type="dxa"/>
            <w:tcBorders>
              <w:top w:val="single" w:sz="12" w:space="0" w:color="auto"/>
              <w:left w:val="single" w:sz="12" w:space="0" w:color="auto"/>
            </w:tcBorders>
            <w:vAlign w:val="center"/>
          </w:tcPr>
          <w:p w:rsidR="00FC7098" w:rsidRPr="00051A0F" w:rsidP="00403B10" w14:paraId="2E9ADF15" w14:textId="77777777">
            <w:pPr>
              <w:pStyle w:val="Default"/>
              <w:jc w:val="center"/>
              <w:rPr>
                <w:sz w:val="20"/>
                <w:szCs w:val="20"/>
              </w:rPr>
            </w:pPr>
            <w:r>
              <w:rPr>
                <w:sz w:val="20"/>
                <w:szCs w:val="20"/>
              </w:rPr>
              <w:t>1</w:t>
            </w:r>
          </w:p>
        </w:tc>
        <w:tc>
          <w:tcPr>
            <w:tcW w:w="1611" w:type="dxa"/>
            <w:tcBorders>
              <w:top w:val="single" w:sz="12" w:space="0" w:color="auto"/>
            </w:tcBorders>
            <w:vAlign w:val="center"/>
          </w:tcPr>
          <w:p w:rsidR="00FC7098" w:rsidRPr="00051A0F" w:rsidP="00403B10" w14:paraId="066CE985" w14:textId="77777777">
            <w:pPr>
              <w:pStyle w:val="Default"/>
              <w:jc w:val="center"/>
              <w:rPr>
                <w:sz w:val="20"/>
                <w:szCs w:val="20"/>
              </w:rPr>
            </w:pPr>
            <w:r>
              <w:rPr>
                <w:sz w:val="20"/>
                <w:szCs w:val="20"/>
              </w:rPr>
              <w:t>15</w:t>
            </w:r>
          </w:p>
        </w:tc>
        <w:tc>
          <w:tcPr>
            <w:tcW w:w="1609" w:type="dxa"/>
            <w:tcBorders>
              <w:top w:val="single" w:sz="12" w:space="0" w:color="auto"/>
            </w:tcBorders>
            <w:vAlign w:val="center"/>
          </w:tcPr>
          <w:p w:rsidR="00FC7098" w:rsidRPr="00051A0F" w:rsidP="00403B10" w14:paraId="1B475255" w14:textId="77777777">
            <w:pPr>
              <w:pStyle w:val="Default"/>
              <w:jc w:val="center"/>
              <w:rPr>
                <w:sz w:val="20"/>
                <w:szCs w:val="20"/>
              </w:rPr>
            </w:pPr>
            <w:r>
              <w:rPr>
                <w:sz w:val="20"/>
                <w:szCs w:val="20"/>
              </w:rPr>
              <w:t>1</w:t>
            </w:r>
          </w:p>
        </w:tc>
        <w:tc>
          <w:tcPr>
            <w:tcW w:w="1495" w:type="dxa"/>
            <w:tcBorders>
              <w:top w:val="single" w:sz="12" w:space="0" w:color="auto"/>
            </w:tcBorders>
            <w:vAlign w:val="center"/>
          </w:tcPr>
          <w:p w:rsidR="00FC7098" w:rsidP="00403B10" w14:paraId="1A2E5781" w14:textId="77777777">
            <w:pPr>
              <w:pStyle w:val="Default"/>
              <w:jc w:val="center"/>
              <w:rPr>
                <w:sz w:val="20"/>
                <w:szCs w:val="20"/>
              </w:rPr>
            </w:pPr>
            <w:r>
              <w:rPr>
                <w:sz w:val="20"/>
                <w:szCs w:val="20"/>
              </w:rPr>
              <w:t>15</w:t>
            </w:r>
          </w:p>
        </w:tc>
        <w:tc>
          <w:tcPr>
            <w:tcW w:w="1516" w:type="dxa"/>
            <w:tcBorders>
              <w:top w:val="single" w:sz="12" w:space="0" w:color="auto"/>
            </w:tcBorders>
            <w:vAlign w:val="center"/>
          </w:tcPr>
          <w:p w:rsidR="00FC7098" w:rsidRPr="00051A0F" w:rsidP="00403B10" w14:paraId="7EDFB46B" w14:textId="77777777">
            <w:pPr>
              <w:pStyle w:val="Default"/>
              <w:jc w:val="center"/>
              <w:rPr>
                <w:sz w:val="20"/>
                <w:szCs w:val="20"/>
              </w:rPr>
            </w:pPr>
            <w:r>
              <w:rPr>
                <w:sz w:val="20"/>
                <w:szCs w:val="20"/>
              </w:rPr>
              <w:t>0.25</w:t>
            </w:r>
          </w:p>
        </w:tc>
        <w:tc>
          <w:tcPr>
            <w:tcW w:w="1497" w:type="dxa"/>
            <w:tcBorders>
              <w:top w:val="single" w:sz="12" w:space="0" w:color="auto"/>
              <w:right w:val="single" w:sz="12" w:space="0" w:color="auto"/>
            </w:tcBorders>
            <w:vAlign w:val="center"/>
          </w:tcPr>
          <w:p w:rsidR="00FC7098" w:rsidRPr="00051A0F" w:rsidP="00403B10" w14:paraId="671974CA" w14:textId="77777777">
            <w:pPr>
              <w:pStyle w:val="Default"/>
              <w:jc w:val="center"/>
              <w:rPr>
                <w:sz w:val="20"/>
                <w:szCs w:val="20"/>
              </w:rPr>
            </w:pPr>
            <w:r>
              <w:rPr>
                <w:sz w:val="20"/>
                <w:szCs w:val="20"/>
              </w:rPr>
              <w:t>3.75</w:t>
            </w:r>
          </w:p>
        </w:tc>
      </w:tr>
      <w:tr w14:paraId="552B3465" w14:textId="77777777" w:rsidTr="003841D0">
        <w:tblPrEx>
          <w:tblW w:w="0" w:type="auto"/>
          <w:jc w:val="center"/>
          <w:tblCellMar>
            <w:top w:w="58" w:type="dxa"/>
            <w:bottom w:w="58" w:type="dxa"/>
          </w:tblCellMar>
          <w:tblLook w:val="0620"/>
        </w:tblPrEx>
        <w:trPr>
          <w:jc w:val="center"/>
        </w:trPr>
        <w:tc>
          <w:tcPr>
            <w:tcW w:w="1602" w:type="dxa"/>
            <w:tcBorders>
              <w:left w:val="single" w:sz="12" w:space="0" w:color="auto"/>
            </w:tcBorders>
            <w:vAlign w:val="center"/>
          </w:tcPr>
          <w:p w:rsidR="00FC7098" w:rsidRPr="00051A0F" w:rsidP="00403B10" w14:paraId="2CD99246" w14:textId="77777777">
            <w:pPr>
              <w:pStyle w:val="Default"/>
              <w:jc w:val="center"/>
              <w:rPr>
                <w:sz w:val="20"/>
                <w:szCs w:val="20"/>
              </w:rPr>
            </w:pPr>
            <w:r>
              <w:rPr>
                <w:sz w:val="20"/>
                <w:szCs w:val="20"/>
              </w:rPr>
              <w:t>2</w:t>
            </w:r>
          </w:p>
        </w:tc>
        <w:tc>
          <w:tcPr>
            <w:tcW w:w="1611" w:type="dxa"/>
            <w:vAlign w:val="center"/>
          </w:tcPr>
          <w:p w:rsidR="00FC7098" w:rsidRPr="00051A0F" w:rsidP="00403B10" w14:paraId="31CD4DA4" w14:textId="77777777">
            <w:pPr>
              <w:pStyle w:val="Default"/>
              <w:jc w:val="center"/>
              <w:rPr>
                <w:sz w:val="20"/>
                <w:szCs w:val="20"/>
              </w:rPr>
            </w:pPr>
            <w:r>
              <w:rPr>
                <w:sz w:val="20"/>
                <w:szCs w:val="20"/>
              </w:rPr>
              <w:t>15</w:t>
            </w:r>
          </w:p>
        </w:tc>
        <w:tc>
          <w:tcPr>
            <w:tcW w:w="1609" w:type="dxa"/>
            <w:vAlign w:val="center"/>
          </w:tcPr>
          <w:p w:rsidR="00FC7098" w:rsidRPr="00051A0F" w:rsidP="00403B10" w14:paraId="2C2847A0" w14:textId="77777777">
            <w:pPr>
              <w:pStyle w:val="Default"/>
              <w:jc w:val="center"/>
              <w:rPr>
                <w:sz w:val="20"/>
                <w:szCs w:val="20"/>
              </w:rPr>
            </w:pPr>
            <w:r>
              <w:rPr>
                <w:sz w:val="20"/>
                <w:szCs w:val="20"/>
              </w:rPr>
              <w:t>1</w:t>
            </w:r>
          </w:p>
        </w:tc>
        <w:tc>
          <w:tcPr>
            <w:tcW w:w="1495" w:type="dxa"/>
            <w:vAlign w:val="center"/>
          </w:tcPr>
          <w:p w:rsidR="00FC7098" w:rsidP="00403B10" w14:paraId="20507DB3" w14:textId="77777777">
            <w:pPr>
              <w:pStyle w:val="Default"/>
              <w:jc w:val="center"/>
              <w:rPr>
                <w:sz w:val="20"/>
                <w:szCs w:val="20"/>
              </w:rPr>
            </w:pPr>
            <w:r>
              <w:rPr>
                <w:sz w:val="20"/>
                <w:szCs w:val="20"/>
              </w:rPr>
              <w:t>15</w:t>
            </w:r>
          </w:p>
        </w:tc>
        <w:tc>
          <w:tcPr>
            <w:tcW w:w="1516" w:type="dxa"/>
            <w:vAlign w:val="center"/>
          </w:tcPr>
          <w:p w:rsidR="00FC7098" w:rsidRPr="00051A0F" w:rsidP="00403B10" w14:paraId="4AF2F4D3" w14:textId="77777777">
            <w:pPr>
              <w:pStyle w:val="Default"/>
              <w:jc w:val="center"/>
              <w:rPr>
                <w:sz w:val="20"/>
                <w:szCs w:val="20"/>
              </w:rPr>
            </w:pPr>
            <w:r>
              <w:rPr>
                <w:sz w:val="20"/>
                <w:szCs w:val="20"/>
              </w:rPr>
              <w:t>0.25</w:t>
            </w:r>
          </w:p>
        </w:tc>
        <w:tc>
          <w:tcPr>
            <w:tcW w:w="1497" w:type="dxa"/>
            <w:tcBorders>
              <w:right w:val="single" w:sz="12" w:space="0" w:color="auto"/>
            </w:tcBorders>
            <w:vAlign w:val="center"/>
          </w:tcPr>
          <w:p w:rsidR="00FC7098" w:rsidRPr="00051A0F" w:rsidP="00403B10" w14:paraId="65A7105A" w14:textId="77777777">
            <w:pPr>
              <w:pStyle w:val="Default"/>
              <w:jc w:val="center"/>
              <w:rPr>
                <w:sz w:val="20"/>
                <w:szCs w:val="20"/>
              </w:rPr>
            </w:pPr>
            <w:r>
              <w:rPr>
                <w:sz w:val="20"/>
                <w:szCs w:val="20"/>
              </w:rPr>
              <w:t>3.75</w:t>
            </w:r>
          </w:p>
        </w:tc>
      </w:tr>
      <w:tr w14:paraId="28744328" w14:textId="77777777" w:rsidTr="003841D0">
        <w:tblPrEx>
          <w:tblW w:w="0" w:type="auto"/>
          <w:jc w:val="center"/>
          <w:tblCellMar>
            <w:top w:w="58" w:type="dxa"/>
            <w:bottom w:w="58" w:type="dxa"/>
          </w:tblCellMar>
          <w:tblLook w:val="0620"/>
        </w:tblPrEx>
        <w:trPr>
          <w:jc w:val="center"/>
        </w:trPr>
        <w:tc>
          <w:tcPr>
            <w:tcW w:w="1602" w:type="dxa"/>
            <w:tcBorders>
              <w:left w:val="single" w:sz="12" w:space="0" w:color="auto"/>
            </w:tcBorders>
            <w:vAlign w:val="center"/>
          </w:tcPr>
          <w:p w:rsidR="00FC7098" w:rsidRPr="00051A0F" w:rsidP="00403B10" w14:paraId="7585EF83" w14:textId="77777777">
            <w:pPr>
              <w:pStyle w:val="Default"/>
              <w:jc w:val="center"/>
              <w:rPr>
                <w:sz w:val="20"/>
                <w:szCs w:val="20"/>
              </w:rPr>
            </w:pPr>
            <w:r>
              <w:rPr>
                <w:sz w:val="20"/>
                <w:szCs w:val="20"/>
              </w:rPr>
              <w:t>3</w:t>
            </w:r>
          </w:p>
        </w:tc>
        <w:tc>
          <w:tcPr>
            <w:tcW w:w="1611" w:type="dxa"/>
            <w:vAlign w:val="center"/>
          </w:tcPr>
          <w:p w:rsidR="00FC7098" w:rsidRPr="00051A0F" w:rsidP="00403B10" w14:paraId="2E427937" w14:textId="77777777">
            <w:pPr>
              <w:pStyle w:val="Default"/>
              <w:jc w:val="center"/>
              <w:rPr>
                <w:sz w:val="20"/>
                <w:szCs w:val="20"/>
              </w:rPr>
            </w:pPr>
            <w:r>
              <w:rPr>
                <w:sz w:val="20"/>
                <w:szCs w:val="20"/>
              </w:rPr>
              <w:t>15</w:t>
            </w:r>
          </w:p>
        </w:tc>
        <w:tc>
          <w:tcPr>
            <w:tcW w:w="1609" w:type="dxa"/>
            <w:vAlign w:val="center"/>
          </w:tcPr>
          <w:p w:rsidR="00FC7098" w:rsidP="00403B10" w14:paraId="4730F9F0" w14:textId="77777777">
            <w:pPr>
              <w:pStyle w:val="Default"/>
              <w:jc w:val="center"/>
              <w:rPr>
                <w:sz w:val="20"/>
                <w:szCs w:val="20"/>
              </w:rPr>
            </w:pPr>
            <w:r>
              <w:rPr>
                <w:sz w:val="20"/>
                <w:szCs w:val="20"/>
              </w:rPr>
              <w:t>1</w:t>
            </w:r>
          </w:p>
        </w:tc>
        <w:tc>
          <w:tcPr>
            <w:tcW w:w="1495" w:type="dxa"/>
            <w:vAlign w:val="center"/>
          </w:tcPr>
          <w:p w:rsidR="00FC7098" w:rsidP="00403B10" w14:paraId="3CF1468D" w14:textId="77777777">
            <w:pPr>
              <w:pStyle w:val="Default"/>
              <w:jc w:val="center"/>
              <w:rPr>
                <w:sz w:val="20"/>
                <w:szCs w:val="20"/>
              </w:rPr>
            </w:pPr>
            <w:r>
              <w:rPr>
                <w:sz w:val="20"/>
                <w:szCs w:val="20"/>
              </w:rPr>
              <w:t>15</w:t>
            </w:r>
          </w:p>
        </w:tc>
        <w:tc>
          <w:tcPr>
            <w:tcW w:w="1516" w:type="dxa"/>
            <w:vAlign w:val="center"/>
          </w:tcPr>
          <w:p w:rsidR="00FC7098" w:rsidP="00403B10" w14:paraId="0F2C6B50" w14:textId="77777777">
            <w:pPr>
              <w:pStyle w:val="Default"/>
              <w:jc w:val="center"/>
              <w:rPr>
                <w:sz w:val="20"/>
                <w:szCs w:val="20"/>
              </w:rPr>
            </w:pPr>
            <w:r>
              <w:rPr>
                <w:sz w:val="20"/>
                <w:szCs w:val="20"/>
              </w:rPr>
              <w:t>0.25</w:t>
            </w:r>
          </w:p>
        </w:tc>
        <w:tc>
          <w:tcPr>
            <w:tcW w:w="1497" w:type="dxa"/>
            <w:tcBorders>
              <w:right w:val="single" w:sz="12" w:space="0" w:color="auto"/>
            </w:tcBorders>
            <w:vAlign w:val="center"/>
          </w:tcPr>
          <w:p w:rsidR="00FC7098" w:rsidP="00403B10" w14:paraId="361D989B" w14:textId="77777777">
            <w:pPr>
              <w:pStyle w:val="Default"/>
              <w:jc w:val="center"/>
              <w:rPr>
                <w:sz w:val="20"/>
                <w:szCs w:val="20"/>
              </w:rPr>
            </w:pPr>
            <w:r>
              <w:rPr>
                <w:sz w:val="20"/>
                <w:szCs w:val="20"/>
              </w:rPr>
              <w:t>3.75</w:t>
            </w:r>
          </w:p>
        </w:tc>
      </w:tr>
      <w:tr w14:paraId="76EA6182" w14:textId="77777777" w:rsidTr="003841D0">
        <w:tblPrEx>
          <w:tblW w:w="0" w:type="auto"/>
          <w:jc w:val="center"/>
          <w:tblCellMar>
            <w:top w:w="58" w:type="dxa"/>
            <w:bottom w:w="58" w:type="dxa"/>
          </w:tblCellMar>
          <w:tblLook w:val="0620"/>
        </w:tblPrEx>
        <w:trPr>
          <w:jc w:val="center"/>
        </w:trPr>
        <w:tc>
          <w:tcPr>
            <w:tcW w:w="1602" w:type="dxa"/>
            <w:tcBorders>
              <w:left w:val="single" w:sz="12" w:space="0" w:color="auto"/>
            </w:tcBorders>
            <w:vAlign w:val="center"/>
          </w:tcPr>
          <w:p w:rsidR="00FC7098" w:rsidRPr="00051A0F" w:rsidP="00403B10" w14:paraId="0F412F00" w14:textId="77777777">
            <w:pPr>
              <w:pStyle w:val="Default"/>
              <w:jc w:val="center"/>
              <w:rPr>
                <w:sz w:val="20"/>
                <w:szCs w:val="20"/>
              </w:rPr>
            </w:pPr>
            <w:r>
              <w:rPr>
                <w:sz w:val="20"/>
                <w:szCs w:val="20"/>
              </w:rPr>
              <w:t>4</w:t>
            </w:r>
          </w:p>
        </w:tc>
        <w:tc>
          <w:tcPr>
            <w:tcW w:w="1611" w:type="dxa"/>
            <w:vAlign w:val="center"/>
          </w:tcPr>
          <w:p w:rsidR="00FC7098" w:rsidRPr="00051A0F" w:rsidP="00403B10" w14:paraId="52B4C1D4" w14:textId="77777777">
            <w:pPr>
              <w:pStyle w:val="Default"/>
              <w:jc w:val="center"/>
              <w:rPr>
                <w:sz w:val="20"/>
                <w:szCs w:val="20"/>
              </w:rPr>
            </w:pPr>
            <w:r>
              <w:rPr>
                <w:sz w:val="20"/>
                <w:szCs w:val="20"/>
              </w:rPr>
              <w:t>15</w:t>
            </w:r>
          </w:p>
        </w:tc>
        <w:tc>
          <w:tcPr>
            <w:tcW w:w="1609" w:type="dxa"/>
            <w:vAlign w:val="center"/>
          </w:tcPr>
          <w:p w:rsidR="00FC7098" w:rsidRPr="00051A0F" w:rsidP="00403B10" w14:paraId="7B7CD002" w14:textId="77777777">
            <w:pPr>
              <w:pStyle w:val="Default"/>
              <w:jc w:val="center"/>
              <w:rPr>
                <w:sz w:val="20"/>
                <w:szCs w:val="20"/>
              </w:rPr>
            </w:pPr>
            <w:r>
              <w:rPr>
                <w:sz w:val="20"/>
                <w:szCs w:val="20"/>
              </w:rPr>
              <w:t>1</w:t>
            </w:r>
          </w:p>
        </w:tc>
        <w:tc>
          <w:tcPr>
            <w:tcW w:w="1495" w:type="dxa"/>
            <w:vAlign w:val="center"/>
          </w:tcPr>
          <w:p w:rsidR="00FC7098" w:rsidP="00403B10" w14:paraId="7E44CF70" w14:textId="77777777">
            <w:pPr>
              <w:pStyle w:val="Default"/>
              <w:jc w:val="center"/>
              <w:rPr>
                <w:sz w:val="20"/>
                <w:szCs w:val="20"/>
              </w:rPr>
            </w:pPr>
            <w:r>
              <w:rPr>
                <w:sz w:val="20"/>
                <w:szCs w:val="20"/>
              </w:rPr>
              <w:t>15</w:t>
            </w:r>
          </w:p>
        </w:tc>
        <w:tc>
          <w:tcPr>
            <w:tcW w:w="1516" w:type="dxa"/>
            <w:vAlign w:val="center"/>
          </w:tcPr>
          <w:p w:rsidR="00FC7098" w:rsidRPr="00051A0F" w:rsidP="00403B10" w14:paraId="30D6FF7D" w14:textId="77777777">
            <w:pPr>
              <w:pStyle w:val="Default"/>
              <w:jc w:val="center"/>
              <w:rPr>
                <w:sz w:val="20"/>
                <w:szCs w:val="20"/>
              </w:rPr>
            </w:pPr>
            <w:r>
              <w:rPr>
                <w:sz w:val="20"/>
                <w:szCs w:val="20"/>
              </w:rPr>
              <w:t>0.25</w:t>
            </w:r>
          </w:p>
        </w:tc>
        <w:tc>
          <w:tcPr>
            <w:tcW w:w="1497" w:type="dxa"/>
            <w:tcBorders>
              <w:right w:val="single" w:sz="12" w:space="0" w:color="auto"/>
            </w:tcBorders>
            <w:vAlign w:val="center"/>
          </w:tcPr>
          <w:p w:rsidR="00FC7098" w:rsidRPr="00051A0F" w:rsidP="00403B10" w14:paraId="4314255E" w14:textId="77777777">
            <w:pPr>
              <w:pStyle w:val="Default"/>
              <w:jc w:val="center"/>
              <w:rPr>
                <w:sz w:val="20"/>
                <w:szCs w:val="20"/>
              </w:rPr>
            </w:pPr>
            <w:r>
              <w:rPr>
                <w:sz w:val="20"/>
                <w:szCs w:val="20"/>
              </w:rPr>
              <w:t>3.75</w:t>
            </w:r>
          </w:p>
        </w:tc>
      </w:tr>
      <w:tr w14:paraId="4871F245" w14:textId="77777777" w:rsidTr="003841D0">
        <w:tblPrEx>
          <w:tblW w:w="0" w:type="auto"/>
          <w:jc w:val="center"/>
          <w:tblCellMar>
            <w:top w:w="58" w:type="dxa"/>
            <w:bottom w:w="58" w:type="dxa"/>
          </w:tblCellMar>
          <w:tblLook w:val="0620"/>
        </w:tblPrEx>
        <w:trPr>
          <w:jc w:val="center"/>
        </w:trPr>
        <w:tc>
          <w:tcPr>
            <w:tcW w:w="1602" w:type="dxa"/>
            <w:tcBorders>
              <w:left w:val="single" w:sz="12" w:space="0" w:color="auto"/>
            </w:tcBorders>
            <w:vAlign w:val="center"/>
          </w:tcPr>
          <w:p w:rsidR="00FC7098" w:rsidRPr="00AF61D2" w:rsidP="00403B10" w14:paraId="18ABBAAE" w14:textId="77777777">
            <w:pPr>
              <w:pStyle w:val="Default"/>
              <w:jc w:val="center"/>
              <w:rPr>
                <w:b/>
                <w:bCs/>
                <w:sz w:val="20"/>
                <w:szCs w:val="20"/>
              </w:rPr>
            </w:pPr>
            <w:r>
              <w:rPr>
                <w:b/>
                <w:bCs/>
                <w:sz w:val="20"/>
                <w:szCs w:val="20"/>
              </w:rPr>
              <w:t>4</w:t>
            </w:r>
            <w:r w:rsidRPr="00AF61D2">
              <w:rPr>
                <w:b/>
                <w:bCs/>
                <w:sz w:val="20"/>
                <w:szCs w:val="20"/>
              </w:rPr>
              <w:t>-year Total</w:t>
            </w:r>
          </w:p>
        </w:tc>
        <w:tc>
          <w:tcPr>
            <w:tcW w:w="1611" w:type="dxa"/>
            <w:vAlign w:val="center"/>
          </w:tcPr>
          <w:p w:rsidR="00FC7098" w:rsidRPr="00051A0F" w:rsidP="00403B10" w14:paraId="0F2561D5" w14:textId="77777777">
            <w:pPr>
              <w:pStyle w:val="Default"/>
              <w:jc w:val="center"/>
              <w:rPr>
                <w:sz w:val="20"/>
                <w:szCs w:val="20"/>
              </w:rPr>
            </w:pPr>
            <w:r>
              <w:rPr>
                <w:sz w:val="20"/>
                <w:szCs w:val="20"/>
              </w:rPr>
              <w:t>-</w:t>
            </w:r>
          </w:p>
        </w:tc>
        <w:tc>
          <w:tcPr>
            <w:tcW w:w="1609" w:type="dxa"/>
            <w:vAlign w:val="center"/>
          </w:tcPr>
          <w:p w:rsidR="00FC7098" w:rsidRPr="00051A0F" w:rsidP="00403B10" w14:paraId="2826D9D5" w14:textId="77777777">
            <w:pPr>
              <w:pStyle w:val="Default"/>
              <w:jc w:val="center"/>
              <w:rPr>
                <w:sz w:val="20"/>
                <w:szCs w:val="20"/>
              </w:rPr>
            </w:pPr>
            <w:r>
              <w:rPr>
                <w:sz w:val="20"/>
                <w:szCs w:val="20"/>
              </w:rPr>
              <w:t>-</w:t>
            </w:r>
          </w:p>
        </w:tc>
        <w:tc>
          <w:tcPr>
            <w:tcW w:w="1495" w:type="dxa"/>
          </w:tcPr>
          <w:p w:rsidR="00FC7098" w:rsidRPr="00051A0F" w:rsidP="00403B10" w14:paraId="757F95B8" w14:textId="77777777">
            <w:pPr>
              <w:pStyle w:val="Default"/>
              <w:jc w:val="center"/>
              <w:rPr>
                <w:sz w:val="20"/>
                <w:szCs w:val="20"/>
              </w:rPr>
            </w:pPr>
            <w:r>
              <w:rPr>
                <w:sz w:val="20"/>
                <w:szCs w:val="20"/>
              </w:rPr>
              <w:t>60</w:t>
            </w:r>
          </w:p>
        </w:tc>
        <w:tc>
          <w:tcPr>
            <w:tcW w:w="1516" w:type="dxa"/>
            <w:vAlign w:val="center"/>
          </w:tcPr>
          <w:p w:rsidR="00FC7098" w:rsidRPr="00051A0F" w:rsidP="00403B10" w14:paraId="3A9FAFC7" w14:textId="77777777">
            <w:pPr>
              <w:pStyle w:val="Default"/>
              <w:jc w:val="center"/>
              <w:rPr>
                <w:sz w:val="20"/>
                <w:szCs w:val="20"/>
              </w:rPr>
            </w:pPr>
            <w:r w:rsidRPr="00051A0F">
              <w:rPr>
                <w:sz w:val="20"/>
                <w:szCs w:val="20"/>
              </w:rPr>
              <w:t>-</w:t>
            </w:r>
          </w:p>
        </w:tc>
        <w:tc>
          <w:tcPr>
            <w:tcW w:w="1497" w:type="dxa"/>
            <w:tcBorders>
              <w:right w:val="single" w:sz="12" w:space="0" w:color="auto"/>
            </w:tcBorders>
            <w:vAlign w:val="center"/>
          </w:tcPr>
          <w:p w:rsidR="00FC7098" w:rsidRPr="00051A0F" w:rsidP="00403B10" w14:paraId="1B27298E" w14:textId="77777777">
            <w:pPr>
              <w:pStyle w:val="Default"/>
              <w:jc w:val="center"/>
              <w:rPr>
                <w:sz w:val="20"/>
                <w:szCs w:val="20"/>
              </w:rPr>
            </w:pPr>
            <w:r>
              <w:rPr>
                <w:sz w:val="20"/>
                <w:szCs w:val="20"/>
              </w:rPr>
              <w:t>15</w:t>
            </w:r>
          </w:p>
        </w:tc>
      </w:tr>
      <w:tr w14:paraId="4A9FB2FA" w14:textId="77777777" w:rsidTr="003841D0">
        <w:tblPrEx>
          <w:tblW w:w="0" w:type="auto"/>
          <w:jc w:val="center"/>
          <w:tblCellMar>
            <w:top w:w="58" w:type="dxa"/>
            <w:bottom w:w="58" w:type="dxa"/>
          </w:tblCellMar>
          <w:tblLook w:val="0620"/>
        </w:tblPrEx>
        <w:trPr>
          <w:jc w:val="center"/>
        </w:trPr>
        <w:tc>
          <w:tcPr>
            <w:tcW w:w="1602" w:type="dxa"/>
            <w:tcBorders>
              <w:left w:val="single" w:sz="12" w:space="0" w:color="auto"/>
              <w:bottom w:val="single" w:sz="12" w:space="0" w:color="auto"/>
            </w:tcBorders>
            <w:vAlign w:val="center"/>
          </w:tcPr>
          <w:p w:rsidR="00FC7098" w:rsidRPr="00AF61D2" w:rsidP="00403B10" w14:paraId="5668180F" w14:textId="77777777">
            <w:pPr>
              <w:pStyle w:val="Default"/>
              <w:jc w:val="center"/>
              <w:rPr>
                <w:b/>
                <w:bCs/>
                <w:sz w:val="20"/>
                <w:szCs w:val="20"/>
              </w:rPr>
            </w:pPr>
            <w:r w:rsidRPr="00AF61D2">
              <w:rPr>
                <w:b/>
                <w:bCs/>
                <w:sz w:val="20"/>
                <w:szCs w:val="20"/>
              </w:rPr>
              <w:t>Annual Average</w:t>
            </w:r>
          </w:p>
        </w:tc>
        <w:tc>
          <w:tcPr>
            <w:tcW w:w="1611" w:type="dxa"/>
            <w:tcBorders>
              <w:bottom w:val="single" w:sz="12" w:space="0" w:color="auto"/>
            </w:tcBorders>
            <w:vAlign w:val="center"/>
          </w:tcPr>
          <w:p w:rsidR="00FC7098" w:rsidRPr="00051A0F" w:rsidP="00403B10" w14:paraId="726FCCDD" w14:textId="77777777">
            <w:pPr>
              <w:pStyle w:val="Default"/>
              <w:jc w:val="center"/>
              <w:rPr>
                <w:sz w:val="20"/>
                <w:szCs w:val="20"/>
              </w:rPr>
            </w:pPr>
            <w:r>
              <w:rPr>
                <w:sz w:val="20"/>
                <w:szCs w:val="20"/>
              </w:rPr>
              <w:t>-</w:t>
            </w:r>
          </w:p>
        </w:tc>
        <w:tc>
          <w:tcPr>
            <w:tcW w:w="1609" w:type="dxa"/>
            <w:tcBorders>
              <w:bottom w:val="single" w:sz="12" w:space="0" w:color="auto"/>
            </w:tcBorders>
            <w:vAlign w:val="center"/>
          </w:tcPr>
          <w:p w:rsidR="00FC7098" w:rsidRPr="00051A0F" w:rsidP="00403B10" w14:paraId="46133D2F" w14:textId="77777777">
            <w:pPr>
              <w:pStyle w:val="Default"/>
              <w:jc w:val="center"/>
              <w:rPr>
                <w:sz w:val="20"/>
                <w:szCs w:val="20"/>
              </w:rPr>
            </w:pPr>
            <w:r>
              <w:rPr>
                <w:sz w:val="20"/>
                <w:szCs w:val="20"/>
              </w:rPr>
              <w:t>-</w:t>
            </w:r>
          </w:p>
        </w:tc>
        <w:tc>
          <w:tcPr>
            <w:tcW w:w="1495" w:type="dxa"/>
            <w:tcBorders>
              <w:bottom w:val="single" w:sz="12" w:space="0" w:color="auto"/>
            </w:tcBorders>
            <w:vAlign w:val="center"/>
          </w:tcPr>
          <w:p w:rsidR="00FC7098" w:rsidRPr="00051A0F" w:rsidP="00403B10" w14:paraId="6B1F1A80" w14:textId="77777777">
            <w:pPr>
              <w:pStyle w:val="Default"/>
              <w:jc w:val="center"/>
              <w:rPr>
                <w:sz w:val="20"/>
                <w:szCs w:val="20"/>
              </w:rPr>
            </w:pPr>
            <w:r>
              <w:rPr>
                <w:sz w:val="20"/>
                <w:szCs w:val="20"/>
              </w:rPr>
              <w:t>15</w:t>
            </w:r>
          </w:p>
        </w:tc>
        <w:tc>
          <w:tcPr>
            <w:tcW w:w="1516" w:type="dxa"/>
            <w:tcBorders>
              <w:bottom w:val="single" w:sz="12" w:space="0" w:color="auto"/>
            </w:tcBorders>
            <w:vAlign w:val="center"/>
          </w:tcPr>
          <w:p w:rsidR="00FC7098" w:rsidRPr="00051A0F" w:rsidP="00403B10" w14:paraId="234885F4" w14:textId="77777777">
            <w:pPr>
              <w:pStyle w:val="Default"/>
              <w:jc w:val="center"/>
              <w:rPr>
                <w:sz w:val="20"/>
                <w:szCs w:val="20"/>
              </w:rPr>
            </w:pPr>
            <w:r w:rsidRPr="00051A0F">
              <w:rPr>
                <w:sz w:val="20"/>
                <w:szCs w:val="20"/>
              </w:rPr>
              <w:t>-</w:t>
            </w:r>
          </w:p>
        </w:tc>
        <w:tc>
          <w:tcPr>
            <w:tcW w:w="1497" w:type="dxa"/>
            <w:tcBorders>
              <w:bottom w:val="single" w:sz="12" w:space="0" w:color="auto"/>
              <w:right w:val="single" w:sz="12" w:space="0" w:color="auto"/>
            </w:tcBorders>
            <w:vAlign w:val="center"/>
          </w:tcPr>
          <w:p w:rsidR="00FC7098" w:rsidRPr="00051A0F" w:rsidP="00403B10" w14:paraId="3047B962" w14:textId="77777777">
            <w:pPr>
              <w:pStyle w:val="Default"/>
              <w:jc w:val="center"/>
              <w:rPr>
                <w:sz w:val="20"/>
                <w:szCs w:val="20"/>
              </w:rPr>
            </w:pPr>
            <w:r>
              <w:rPr>
                <w:sz w:val="20"/>
                <w:szCs w:val="20"/>
              </w:rPr>
              <w:t>3.75</w:t>
            </w:r>
          </w:p>
        </w:tc>
      </w:tr>
    </w:tbl>
    <w:p w:rsidR="00FC7098" w:rsidP="419387CF" w14:paraId="6BA1FA82" w14:textId="77777777">
      <w:pPr>
        <w:pStyle w:val="Default"/>
        <w:rPr>
          <w:sz w:val="20"/>
          <w:szCs w:val="20"/>
        </w:rPr>
      </w:pPr>
      <w:r w:rsidRPr="419387CF">
        <w:rPr>
          <w:sz w:val="20"/>
          <w:szCs w:val="20"/>
        </w:rPr>
        <w:t>* Using continuous enrollment, the research team estimates 15 carriers enrolling in Year 1 (4 years), 15 carriers enrolling in Year 2 (3 years), 15 carriers enrolling in Year 3 (2 years), and 15 carriers enrolling in Year 4 (1 year), for a total of 60 carriers.</w:t>
      </w:r>
    </w:p>
    <w:p w:rsidR="00FC7098" w:rsidP="005333E7" w14:paraId="1A22D72D" w14:textId="77777777">
      <w:pPr>
        <w:pStyle w:val="Default"/>
        <w:rPr>
          <w:highlight w:val="yellow"/>
        </w:rPr>
      </w:pPr>
    </w:p>
    <w:p w:rsidR="009812F2" w:rsidP="419387CF" w14:paraId="0FAD35A4" w14:textId="4D7E1734">
      <w:pPr>
        <w:pStyle w:val="Default"/>
        <w:rPr>
          <w:vertAlign w:val="superscript"/>
        </w:rPr>
      </w:pPr>
      <w:r>
        <w:t>The research team assumes that clerical staff at a carrier will work with the research team</w:t>
      </w:r>
      <w:r w:rsidR="002E6DA6">
        <w:t xml:space="preserve"> to complete the one-time TSP setup process</w:t>
      </w:r>
      <w:r>
        <w:t>. The closest occupation match available in the Bureau of Labor Statistics (BLS) is “Information and Record Clerks, All Other</w:t>
      </w:r>
      <w:r w:rsidR="77D53F02">
        <w:t xml:space="preserve"> (SOC-43-4199)</w:t>
      </w:r>
      <w:r>
        <w:t>”, which has a median wage of $2</w:t>
      </w:r>
      <w:r w:rsidR="000E5A4E">
        <w:t>3</w:t>
      </w:r>
      <w:r>
        <w:t>.2</w:t>
      </w:r>
      <w:r w:rsidR="000E5A4E">
        <w:t>5</w:t>
      </w:r>
      <w:r>
        <w:t xml:space="preserve"> per hour (May 202</w:t>
      </w:r>
      <w:r w:rsidR="000E5A4E">
        <w:t>4</w:t>
      </w:r>
      <w:r>
        <w:t>).</w:t>
      </w:r>
      <w:r>
        <w:rPr>
          <w:rStyle w:val="FootnoteReference"/>
        </w:rPr>
        <w:footnoteReference w:id="8"/>
      </w:r>
      <w:r w:rsidRPr="419387CF" w:rsidR="00032FFA">
        <w:rPr>
          <w:vertAlign w:val="superscript"/>
        </w:rPr>
        <w:t xml:space="preserve"> </w:t>
      </w:r>
    </w:p>
    <w:p w:rsidR="009812F2" w:rsidP="007A0F03" w14:paraId="02EF87C2" w14:textId="77777777">
      <w:pPr>
        <w:pStyle w:val="Default"/>
      </w:pPr>
    </w:p>
    <w:p w:rsidR="009812F2" w:rsidP="009812F2" w14:paraId="3A37D347" w14:textId="794D0C2A">
      <w:pPr>
        <w:pStyle w:val="Default"/>
      </w:pPr>
      <w:r>
        <w:t>The following was used to determine the load factor. BLS reports that the total cost of compensation (wages and salaries plus benefit costs) for transportation and warehousing private industry workers is $49.88 per hour, while the average cost of hourly wages and salaries is $33.66.</w:t>
      </w:r>
      <w:r>
        <w:rPr>
          <w:rStyle w:val="FootnoteReference"/>
        </w:rPr>
        <w:footnoteReference w:id="9"/>
      </w:r>
      <w:r>
        <w:t xml:space="preserve"> Dividing the total cost of compensation ($49.88) by the cost of hourly wages and salaries ($33.66) gives an estimated load factor of 1.48. To estimate the loaded hourly wage for a clerical staff member at a carrier, the mean wage ($2</w:t>
      </w:r>
      <w:r w:rsidR="000E5A4E">
        <w:t>3.25</w:t>
      </w:r>
      <w:r>
        <w:t>) is multiplied by the load factor (1.48). The estimated loaded wage is shown in the table below.</w:t>
      </w:r>
    </w:p>
    <w:p w:rsidR="009812F2" w:rsidP="009812F2" w14:paraId="0AB10E4F" w14:textId="77777777">
      <w:pPr>
        <w:pStyle w:val="Default"/>
      </w:pPr>
    </w:p>
    <w:p w:rsidR="009812F2" w:rsidRPr="00CA40CB" w:rsidP="009812F2" w14:paraId="457EAA11" w14:textId="5AEA6A27">
      <w:pPr>
        <w:pStyle w:val="Default"/>
        <w:ind w:left="360"/>
        <w:jc w:val="center"/>
        <w:rPr>
          <w:b/>
          <w:bCs/>
          <w:sz w:val="20"/>
          <w:szCs w:val="20"/>
        </w:rPr>
      </w:pPr>
      <w:r w:rsidRPr="00CA40CB">
        <w:rPr>
          <w:b/>
          <w:bCs/>
          <w:sz w:val="20"/>
          <w:szCs w:val="20"/>
        </w:rPr>
        <w:t xml:space="preserve">Table </w:t>
      </w:r>
      <w:r>
        <w:rPr>
          <w:b/>
          <w:bCs/>
          <w:sz w:val="20"/>
          <w:szCs w:val="20"/>
        </w:rPr>
        <w:t>3</w:t>
      </w:r>
      <w:r w:rsidRPr="00CA40CB">
        <w:rPr>
          <w:b/>
          <w:bCs/>
          <w:sz w:val="20"/>
          <w:szCs w:val="20"/>
        </w:rPr>
        <w:t xml:space="preserve">: </w:t>
      </w:r>
      <w:r w:rsidRPr="00CA40CB">
        <w:rPr>
          <w:sz w:val="20"/>
          <w:szCs w:val="20"/>
        </w:rPr>
        <w:t>IC</w:t>
      </w:r>
      <w:r w:rsidR="002E6DA6">
        <w:rPr>
          <w:sz w:val="20"/>
          <w:szCs w:val="20"/>
        </w:rPr>
        <w:t>1</w:t>
      </w:r>
      <w:r>
        <w:rPr>
          <w:sz w:val="20"/>
          <w:szCs w:val="20"/>
        </w:rPr>
        <w:t>: Estimated loaded hourly wage.</w:t>
      </w:r>
    </w:p>
    <w:p w:rsidR="009812F2" w:rsidP="009812F2" w14:paraId="274F1EF3" w14:textId="77777777">
      <w:pPr>
        <w:pStyle w:val="Default"/>
      </w:pPr>
    </w:p>
    <w:tbl>
      <w:tblPr>
        <w:tblStyle w:val="GridTable4"/>
        <w:tblW w:w="0" w:type="auto"/>
        <w:jc w:val="center"/>
        <w:tblCellMar>
          <w:top w:w="58" w:type="dxa"/>
          <w:bottom w:w="58" w:type="dxa"/>
        </w:tblCellMar>
        <w:tblLook w:val="0620"/>
      </w:tblPr>
      <w:tblGrid>
        <w:gridCol w:w="1977"/>
        <w:gridCol w:w="1611"/>
        <w:gridCol w:w="1609"/>
        <w:gridCol w:w="1497"/>
      </w:tblGrid>
      <w:tr w14:paraId="58B288C5" w14:textId="77777777" w:rsidTr="003841D0">
        <w:tblPrEx>
          <w:tblW w:w="0" w:type="auto"/>
          <w:jc w:val="center"/>
          <w:tblCellMar>
            <w:top w:w="58" w:type="dxa"/>
            <w:bottom w:w="58" w:type="dxa"/>
          </w:tblCellMar>
          <w:tblLook w:val="0620"/>
        </w:tblPrEx>
        <w:trPr>
          <w:jc w:val="center"/>
        </w:trPr>
        <w:tc>
          <w:tcPr>
            <w:tcW w:w="1977" w:type="dxa"/>
            <w:tcBorders>
              <w:top w:val="single" w:sz="12" w:space="0" w:color="auto"/>
              <w:left w:val="single" w:sz="12" w:space="0" w:color="auto"/>
              <w:bottom w:val="single" w:sz="12" w:space="0" w:color="auto"/>
              <w:right w:val="single" w:sz="4" w:space="0" w:color="000000" w:themeColor="text1"/>
            </w:tcBorders>
            <w:shd w:val="clear" w:color="auto" w:fill="DBDBDB" w:themeFill="accent3" w:themeFillTint="66"/>
            <w:vAlign w:val="center"/>
          </w:tcPr>
          <w:p w:rsidR="009812F2" w:rsidRPr="00051A0F" w:rsidP="00403B10" w14:paraId="216322C7" w14:textId="77777777">
            <w:pPr>
              <w:pStyle w:val="Default"/>
              <w:jc w:val="center"/>
              <w:rPr>
                <w:sz w:val="20"/>
                <w:szCs w:val="20"/>
              </w:rPr>
            </w:pPr>
            <w:r w:rsidRPr="419387CF">
              <w:rPr>
                <w:sz w:val="20"/>
                <w:szCs w:val="20"/>
              </w:rPr>
              <w:t>Occupation</w:t>
            </w:r>
          </w:p>
        </w:tc>
        <w:tc>
          <w:tcPr>
            <w:tcW w:w="1611" w:type="dxa"/>
            <w:tcBorders>
              <w:top w:val="single" w:sz="12" w:space="0" w:color="auto"/>
              <w:left w:val="single" w:sz="4" w:space="0" w:color="000000" w:themeColor="text1"/>
              <w:bottom w:val="single" w:sz="12" w:space="0" w:color="auto"/>
              <w:right w:val="single" w:sz="4" w:space="0" w:color="000000" w:themeColor="text1"/>
            </w:tcBorders>
            <w:shd w:val="clear" w:color="auto" w:fill="DBDBDB" w:themeFill="accent3" w:themeFillTint="66"/>
            <w:vAlign w:val="center"/>
          </w:tcPr>
          <w:p w:rsidR="009812F2" w:rsidP="00403B10" w14:paraId="7339DF3E" w14:textId="77777777">
            <w:pPr>
              <w:pStyle w:val="Default"/>
              <w:jc w:val="center"/>
              <w:rPr>
                <w:sz w:val="20"/>
                <w:szCs w:val="20"/>
              </w:rPr>
            </w:pPr>
            <w:r>
              <w:rPr>
                <w:sz w:val="20"/>
                <w:szCs w:val="20"/>
              </w:rPr>
              <w:t>Load Factor</w:t>
            </w:r>
          </w:p>
          <w:p w:rsidR="009812F2" w:rsidRPr="00CA40CB" w:rsidP="00403B10" w14:paraId="0E363B26" w14:textId="77777777">
            <w:pPr>
              <w:pStyle w:val="Default"/>
              <w:jc w:val="center"/>
              <w:rPr>
                <w:sz w:val="20"/>
                <w:szCs w:val="20"/>
              </w:rPr>
            </w:pPr>
            <w:r>
              <w:rPr>
                <w:b w:val="0"/>
                <w:bCs w:val="0"/>
                <w:sz w:val="20"/>
                <w:szCs w:val="20"/>
              </w:rPr>
              <w:t>(A)</w:t>
            </w:r>
          </w:p>
        </w:tc>
        <w:tc>
          <w:tcPr>
            <w:tcW w:w="1609" w:type="dxa"/>
            <w:tcBorders>
              <w:top w:val="single" w:sz="12" w:space="0" w:color="auto"/>
              <w:left w:val="single" w:sz="4" w:space="0" w:color="000000" w:themeColor="text1"/>
              <w:bottom w:val="single" w:sz="12" w:space="0" w:color="auto"/>
              <w:right w:val="single" w:sz="4" w:space="0" w:color="000000" w:themeColor="text1"/>
            </w:tcBorders>
            <w:shd w:val="clear" w:color="auto" w:fill="DBDBDB" w:themeFill="accent3" w:themeFillTint="66"/>
            <w:vAlign w:val="center"/>
          </w:tcPr>
          <w:p w:rsidR="009812F2" w:rsidP="00403B10" w14:paraId="5187CA64" w14:textId="77777777">
            <w:pPr>
              <w:pStyle w:val="Default"/>
              <w:jc w:val="center"/>
              <w:rPr>
                <w:sz w:val="20"/>
                <w:szCs w:val="20"/>
              </w:rPr>
            </w:pPr>
            <w:r>
              <w:rPr>
                <w:sz w:val="20"/>
                <w:szCs w:val="20"/>
              </w:rPr>
              <w:t xml:space="preserve">Median Hourly Wage </w:t>
            </w:r>
          </w:p>
          <w:p w:rsidR="009812F2" w:rsidRPr="00CA40CB" w:rsidP="00403B10" w14:paraId="616C30E6" w14:textId="77777777">
            <w:pPr>
              <w:pStyle w:val="Default"/>
              <w:jc w:val="center"/>
              <w:rPr>
                <w:sz w:val="20"/>
                <w:szCs w:val="20"/>
              </w:rPr>
            </w:pPr>
            <w:r>
              <w:rPr>
                <w:b w:val="0"/>
                <w:bCs w:val="0"/>
                <w:sz w:val="20"/>
                <w:szCs w:val="20"/>
              </w:rPr>
              <w:t>(B)</w:t>
            </w:r>
          </w:p>
        </w:tc>
        <w:tc>
          <w:tcPr>
            <w:tcW w:w="1497" w:type="dxa"/>
            <w:tcBorders>
              <w:top w:val="single" w:sz="12" w:space="0" w:color="auto"/>
              <w:left w:val="single" w:sz="4" w:space="0" w:color="000000" w:themeColor="text1"/>
              <w:bottom w:val="single" w:sz="12" w:space="0" w:color="auto"/>
              <w:right w:val="single" w:sz="12" w:space="0" w:color="auto"/>
            </w:tcBorders>
            <w:shd w:val="clear" w:color="auto" w:fill="DBDBDB" w:themeFill="accent3" w:themeFillTint="66"/>
            <w:vAlign w:val="center"/>
          </w:tcPr>
          <w:p w:rsidR="009812F2" w:rsidP="00403B10" w14:paraId="0E9CC7D7" w14:textId="77777777">
            <w:pPr>
              <w:pStyle w:val="Default"/>
              <w:jc w:val="center"/>
              <w:rPr>
                <w:sz w:val="20"/>
                <w:szCs w:val="20"/>
              </w:rPr>
            </w:pPr>
            <w:r>
              <w:rPr>
                <w:sz w:val="20"/>
                <w:szCs w:val="20"/>
              </w:rPr>
              <w:t>Loaded Hourly Wage</w:t>
            </w:r>
          </w:p>
          <w:p w:rsidR="009812F2" w:rsidRPr="00CA40CB" w:rsidP="00403B10" w14:paraId="2FAB463E" w14:textId="2B90E908">
            <w:pPr>
              <w:pStyle w:val="Default"/>
              <w:jc w:val="center"/>
              <w:rPr>
                <w:sz w:val="20"/>
                <w:szCs w:val="20"/>
              </w:rPr>
            </w:pPr>
            <w:r w:rsidRPr="419387CF">
              <w:rPr>
                <w:b w:val="0"/>
                <w:bCs w:val="0"/>
                <w:sz w:val="20"/>
                <w:szCs w:val="20"/>
              </w:rPr>
              <w:t xml:space="preserve"> </w:t>
            </w:r>
            <w:r w:rsidRPr="419387CF" w:rsidR="3F385CA4">
              <w:rPr>
                <w:b w:val="0"/>
                <w:bCs w:val="0"/>
                <w:sz w:val="20"/>
                <w:szCs w:val="20"/>
              </w:rPr>
              <w:t>(C)</w:t>
            </w:r>
            <w:r w:rsidRPr="419387CF">
              <w:rPr>
                <w:b w:val="0"/>
                <w:bCs w:val="0"/>
                <w:sz w:val="20"/>
                <w:szCs w:val="20"/>
              </w:rPr>
              <w:t xml:space="preserve"> = (A*B)</w:t>
            </w:r>
          </w:p>
        </w:tc>
      </w:tr>
      <w:tr w14:paraId="033E4D28" w14:textId="77777777" w:rsidTr="003841D0">
        <w:tblPrEx>
          <w:tblW w:w="0" w:type="auto"/>
          <w:jc w:val="center"/>
          <w:tblCellMar>
            <w:top w:w="58" w:type="dxa"/>
            <w:bottom w:w="58" w:type="dxa"/>
          </w:tblCellMar>
          <w:tblLook w:val="0620"/>
        </w:tblPrEx>
        <w:trPr>
          <w:jc w:val="center"/>
        </w:trPr>
        <w:tc>
          <w:tcPr>
            <w:tcW w:w="1977" w:type="dxa"/>
            <w:tcBorders>
              <w:top w:val="single" w:sz="12" w:space="0" w:color="auto"/>
              <w:left w:val="single" w:sz="12" w:space="0" w:color="auto"/>
              <w:bottom w:val="single" w:sz="12" w:space="0" w:color="auto"/>
            </w:tcBorders>
            <w:vAlign w:val="center"/>
          </w:tcPr>
          <w:p w:rsidR="009812F2" w:rsidRPr="00430199" w:rsidP="00403B10" w14:paraId="5435DC03" w14:textId="77777777">
            <w:pPr>
              <w:pStyle w:val="Default"/>
              <w:jc w:val="center"/>
              <w:rPr>
                <w:sz w:val="20"/>
                <w:szCs w:val="20"/>
              </w:rPr>
            </w:pPr>
            <w:r w:rsidRPr="00430199">
              <w:rPr>
                <w:sz w:val="20"/>
                <w:szCs w:val="20"/>
              </w:rPr>
              <w:t>Carrier Clerical Staff</w:t>
            </w:r>
          </w:p>
        </w:tc>
        <w:tc>
          <w:tcPr>
            <w:tcW w:w="1611" w:type="dxa"/>
            <w:tcBorders>
              <w:top w:val="single" w:sz="12" w:space="0" w:color="auto"/>
              <w:bottom w:val="single" w:sz="12" w:space="0" w:color="auto"/>
            </w:tcBorders>
            <w:vAlign w:val="center"/>
          </w:tcPr>
          <w:p w:rsidR="009812F2" w:rsidRPr="00430199" w:rsidP="00403B10" w14:paraId="31462EE4" w14:textId="77777777">
            <w:pPr>
              <w:pStyle w:val="Default"/>
              <w:jc w:val="center"/>
              <w:rPr>
                <w:sz w:val="20"/>
                <w:szCs w:val="20"/>
              </w:rPr>
            </w:pPr>
            <w:r w:rsidRPr="00430199">
              <w:rPr>
                <w:sz w:val="20"/>
                <w:szCs w:val="20"/>
              </w:rPr>
              <w:t>1.48</w:t>
            </w:r>
          </w:p>
        </w:tc>
        <w:tc>
          <w:tcPr>
            <w:tcW w:w="1609" w:type="dxa"/>
            <w:tcBorders>
              <w:top w:val="single" w:sz="12" w:space="0" w:color="auto"/>
              <w:bottom w:val="single" w:sz="12" w:space="0" w:color="auto"/>
            </w:tcBorders>
            <w:vAlign w:val="center"/>
          </w:tcPr>
          <w:p w:rsidR="009812F2" w:rsidRPr="00430199" w:rsidP="00403B10" w14:paraId="6C81A576" w14:textId="7148B185">
            <w:pPr>
              <w:pStyle w:val="Default"/>
              <w:jc w:val="center"/>
              <w:rPr>
                <w:sz w:val="20"/>
                <w:szCs w:val="20"/>
              </w:rPr>
            </w:pPr>
            <w:r w:rsidRPr="00430199">
              <w:rPr>
                <w:sz w:val="20"/>
                <w:szCs w:val="20"/>
              </w:rPr>
              <w:t>$2</w:t>
            </w:r>
            <w:r w:rsidR="000E5A4E">
              <w:rPr>
                <w:sz w:val="20"/>
                <w:szCs w:val="20"/>
              </w:rPr>
              <w:t>3</w:t>
            </w:r>
            <w:r w:rsidRPr="00430199">
              <w:rPr>
                <w:sz w:val="20"/>
                <w:szCs w:val="20"/>
              </w:rPr>
              <w:t>.2</w:t>
            </w:r>
            <w:r w:rsidR="000E5A4E">
              <w:rPr>
                <w:sz w:val="20"/>
                <w:szCs w:val="20"/>
              </w:rPr>
              <w:t>5</w:t>
            </w:r>
          </w:p>
        </w:tc>
        <w:tc>
          <w:tcPr>
            <w:tcW w:w="1497" w:type="dxa"/>
            <w:tcBorders>
              <w:top w:val="single" w:sz="12" w:space="0" w:color="auto"/>
              <w:bottom w:val="single" w:sz="12" w:space="0" w:color="auto"/>
              <w:right w:val="single" w:sz="12" w:space="0" w:color="auto"/>
            </w:tcBorders>
            <w:vAlign w:val="center"/>
          </w:tcPr>
          <w:p w:rsidR="009812F2" w:rsidRPr="00430199" w:rsidP="00403B10" w14:paraId="44B58864" w14:textId="1BD8A524">
            <w:pPr>
              <w:pStyle w:val="Default"/>
              <w:jc w:val="center"/>
              <w:rPr>
                <w:sz w:val="20"/>
                <w:szCs w:val="20"/>
              </w:rPr>
            </w:pPr>
            <w:r w:rsidRPr="00430199">
              <w:rPr>
                <w:sz w:val="20"/>
                <w:szCs w:val="20"/>
              </w:rPr>
              <w:t>$3</w:t>
            </w:r>
            <w:r w:rsidR="000E5A4E">
              <w:rPr>
                <w:sz w:val="20"/>
                <w:szCs w:val="20"/>
              </w:rPr>
              <w:t>4</w:t>
            </w:r>
            <w:r w:rsidRPr="00430199">
              <w:rPr>
                <w:sz w:val="20"/>
                <w:szCs w:val="20"/>
              </w:rPr>
              <w:t>.</w:t>
            </w:r>
            <w:r w:rsidR="000E5A4E">
              <w:rPr>
                <w:sz w:val="20"/>
                <w:szCs w:val="20"/>
              </w:rPr>
              <w:t>4</w:t>
            </w:r>
            <w:r w:rsidR="00CF7E97">
              <w:rPr>
                <w:sz w:val="20"/>
                <w:szCs w:val="20"/>
              </w:rPr>
              <w:t>5</w:t>
            </w:r>
          </w:p>
        </w:tc>
      </w:tr>
    </w:tbl>
    <w:p w:rsidR="009812F2" w:rsidP="009812F2" w14:paraId="0822AF6E" w14:textId="77777777">
      <w:pPr>
        <w:pStyle w:val="Default"/>
      </w:pPr>
    </w:p>
    <w:p w:rsidR="009812F2" w:rsidRPr="0016660B" w:rsidP="009812F2" w14:paraId="35B0D5C5" w14:textId="77777777">
      <w:pPr>
        <w:pStyle w:val="Default"/>
        <w:ind w:left="360"/>
      </w:pPr>
    </w:p>
    <w:p w:rsidR="00881807" w:rsidP="009812F2" w14:paraId="518A2AE5" w14:textId="441D4794">
      <w:pPr>
        <w:pStyle w:val="Default"/>
      </w:pPr>
      <w:r>
        <w:t>To estimate the annual burden cost to respondents, the total burden hours are joined with the loaded wage.</w:t>
      </w:r>
    </w:p>
    <w:p w:rsidR="00881807" w:rsidP="009812F2" w14:paraId="5BF2ED62" w14:textId="77777777">
      <w:pPr>
        <w:pStyle w:val="Default"/>
      </w:pPr>
    </w:p>
    <w:p w:rsidR="009812F2" w:rsidRPr="00CA40CB" w:rsidP="009812F2" w14:paraId="0068775A" w14:textId="0B879B2B">
      <w:pPr>
        <w:pStyle w:val="Default"/>
        <w:ind w:left="360"/>
        <w:jc w:val="center"/>
        <w:rPr>
          <w:b/>
          <w:bCs/>
          <w:sz w:val="20"/>
          <w:szCs w:val="20"/>
        </w:rPr>
      </w:pPr>
      <w:r w:rsidRPr="00CA40CB">
        <w:rPr>
          <w:b/>
          <w:bCs/>
          <w:sz w:val="20"/>
          <w:szCs w:val="20"/>
        </w:rPr>
        <w:t xml:space="preserve">Table </w:t>
      </w:r>
      <w:r>
        <w:rPr>
          <w:b/>
          <w:bCs/>
          <w:sz w:val="20"/>
          <w:szCs w:val="20"/>
        </w:rPr>
        <w:t>4</w:t>
      </w:r>
      <w:r w:rsidRPr="00CA40CB">
        <w:rPr>
          <w:b/>
          <w:bCs/>
          <w:sz w:val="20"/>
          <w:szCs w:val="20"/>
        </w:rPr>
        <w:t xml:space="preserve">: </w:t>
      </w:r>
      <w:r w:rsidRPr="00CA40CB">
        <w:rPr>
          <w:sz w:val="20"/>
          <w:szCs w:val="20"/>
        </w:rPr>
        <w:t>IC</w:t>
      </w:r>
      <w:r w:rsidR="002E6DA6">
        <w:rPr>
          <w:sz w:val="20"/>
          <w:szCs w:val="20"/>
        </w:rPr>
        <w:t>1</w:t>
      </w:r>
      <w:r>
        <w:rPr>
          <w:sz w:val="20"/>
          <w:szCs w:val="20"/>
        </w:rPr>
        <w:t>: Estimated respondent burden cost</w:t>
      </w:r>
      <w:r w:rsidRPr="00CA40CB">
        <w:rPr>
          <w:sz w:val="20"/>
          <w:szCs w:val="20"/>
        </w:rPr>
        <w:t>.</w:t>
      </w:r>
    </w:p>
    <w:p w:rsidR="009812F2" w:rsidRPr="006A77FD" w:rsidP="009812F2" w14:paraId="42B765DA" w14:textId="77777777">
      <w:pPr>
        <w:pStyle w:val="Default"/>
        <w:ind w:left="360"/>
        <w:jc w:val="center"/>
        <w:rPr>
          <w:b/>
          <w:bCs/>
        </w:rPr>
      </w:pPr>
    </w:p>
    <w:tbl>
      <w:tblPr>
        <w:tblStyle w:val="GridTable4"/>
        <w:tblW w:w="0" w:type="auto"/>
        <w:jc w:val="center"/>
        <w:tblCellMar>
          <w:top w:w="58" w:type="dxa"/>
          <w:bottom w:w="58" w:type="dxa"/>
        </w:tblCellMar>
        <w:tblLook w:val="0620"/>
      </w:tblPr>
      <w:tblGrid>
        <w:gridCol w:w="1353"/>
        <w:gridCol w:w="1536"/>
        <w:gridCol w:w="1469"/>
        <w:gridCol w:w="1348"/>
        <w:gridCol w:w="1333"/>
        <w:gridCol w:w="1263"/>
      </w:tblGrid>
      <w:tr w14:paraId="57CE28DC" w14:textId="77777777" w:rsidTr="003841D0">
        <w:tblPrEx>
          <w:tblW w:w="0" w:type="auto"/>
          <w:jc w:val="center"/>
          <w:tblCellMar>
            <w:top w:w="58" w:type="dxa"/>
            <w:bottom w:w="58" w:type="dxa"/>
          </w:tblCellMar>
          <w:tblLook w:val="0620"/>
        </w:tblPrEx>
        <w:trPr>
          <w:cantSplit/>
          <w:jc w:val="center"/>
        </w:trPr>
        <w:tc>
          <w:tcPr>
            <w:tcW w:w="0" w:type="dxa"/>
            <w:tcBorders>
              <w:top w:val="single" w:sz="12" w:space="0" w:color="auto"/>
              <w:left w:val="single" w:sz="12" w:space="0" w:color="auto"/>
              <w:bottom w:val="single" w:sz="12" w:space="0" w:color="auto"/>
              <w:right w:val="single" w:sz="4" w:space="0" w:color="000000" w:themeColor="text1"/>
            </w:tcBorders>
            <w:shd w:val="clear" w:color="auto" w:fill="DBDBDB" w:themeFill="accent3" w:themeFillTint="66"/>
            <w:vAlign w:val="center"/>
          </w:tcPr>
          <w:p w:rsidR="009812F2" w:rsidRPr="00051A0F" w:rsidP="00403B10" w14:paraId="10CB31D8" w14:textId="77777777">
            <w:pPr>
              <w:pStyle w:val="Default"/>
              <w:jc w:val="center"/>
              <w:rPr>
                <w:sz w:val="20"/>
                <w:szCs w:val="20"/>
              </w:rPr>
            </w:pPr>
            <w:r>
              <w:rPr>
                <w:sz w:val="20"/>
                <w:szCs w:val="20"/>
              </w:rPr>
              <w:t>Year</w:t>
            </w:r>
          </w:p>
        </w:tc>
        <w:tc>
          <w:tcPr>
            <w:tcW w:w="0" w:type="dxa"/>
            <w:tcBorders>
              <w:top w:val="single" w:sz="12" w:space="0" w:color="auto"/>
              <w:left w:val="single" w:sz="4" w:space="0" w:color="000000" w:themeColor="text1"/>
              <w:bottom w:val="single" w:sz="12" w:space="0" w:color="auto"/>
              <w:right w:val="single" w:sz="4" w:space="0" w:color="000000" w:themeColor="text1"/>
            </w:tcBorders>
            <w:shd w:val="clear" w:color="auto" w:fill="DBDBDB" w:themeFill="accent3" w:themeFillTint="66"/>
            <w:vAlign w:val="center"/>
          </w:tcPr>
          <w:p w:rsidR="009812F2" w:rsidP="00403B10" w14:paraId="5E43DE91" w14:textId="77777777">
            <w:pPr>
              <w:pStyle w:val="Default"/>
              <w:jc w:val="center"/>
              <w:rPr>
                <w:sz w:val="20"/>
                <w:szCs w:val="20"/>
              </w:rPr>
            </w:pPr>
            <w:r>
              <w:rPr>
                <w:sz w:val="20"/>
                <w:szCs w:val="20"/>
              </w:rPr>
              <w:t>Total Annual Responses</w:t>
            </w:r>
          </w:p>
          <w:p w:rsidR="009812F2" w:rsidRPr="00CA40CB" w:rsidP="00403B10" w14:paraId="6CBE5C3B" w14:textId="77777777">
            <w:pPr>
              <w:pStyle w:val="Default"/>
              <w:jc w:val="center"/>
              <w:rPr>
                <w:sz w:val="20"/>
                <w:szCs w:val="20"/>
              </w:rPr>
            </w:pPr>
            <w:r>
              <w:rPr>
                <w:b w:val="0"/>
                <w:bCs w:val="0"/>
                <w:sz w:val="20"/>
                <w:szCs w:val="20"/>
              </w:rPr>
              <w:t>(A)</w:t>
            </w:r>
          </w:p>
        </w:tc>
        <w:tc>
          <w:tcPr>
            <w:tcW w:w="0" w:type="dxa"/>
            <w:tcBorders>
              <w:top w:val="single" w:sz="12" w:space="0" w:color="auto"/>
              <w:left w:val="single" w:sz="4" w:space="0" w:color="000000" w:themeColor="text1"/>
              <w:bottom w:val="single" w:sz="12" w:space="0" w:color="auto"/>
              <w:right w:val="single" w:sz="4" w:space="0" w:color="000000" w:themeColor="text1"/>
            </w:tcBorders>
            <w:shd w:val="clear" w:color="auto" w:fill="DBDBDB" w:themeFill="accent3" w:themeFillTint="66"/>
            <w:vAlign w:val="center"/>
          </w:tcPr>
          <w:p w:rsidR="009812F2" w:rsidP="00403B10" w14:paraId="5DE5316D" w14:textId="77777777">
            <w:pPr>
              <w:pStyle w:val="Default"/>
              <w:jc w:val="center"/>
              <w:rPr>
                <w:sz w:val="20"/>
                <w:szCs w:val="20"/>
              </w:rPr>
            </w:pPr>
            <w:r>
              <w:rPr>
                <w:sz w:val="20"/>
                <w:szCs w:val="20"/>
              </w:rPr>
              <w:t>Hours</w:t>
            </w:r>
            <w:r w:rsidRPr="00051A0F">
              <w:rPr>
                <w:sz w:val="20"/>
                <w:szCs w:val="20"/>
              </w:rPr>
              <w:t xml:space="preserve"> per Response</w:t>
            </w:r>
          </w:p>
          <w:p w:rsidR="009812F2" w:rsidRPr="00CA40CB" w:rsidP="00403B10" w14:paraId="3CA61550" w14:textId="77777777">
            <w:pPr>
              <w:pStyle w:val="Default"/>
              <w:jc w:val="center"/>
              <w:rPr>
                <w:sz w:val="20"/>
                <w:szCs w:val="20"/>
              </w:rPr>
            </w:pPr>
            <w:r>
              <w:rPr>
                <w:b w:val="0"/>
                <w:bCs w:val="0"/>
                <w:sz w:val="20"/>
                <w:szCs w:val="20"/>
              </w:rPr>
              <w:t>(B)</w:t>
            </w:r>
          </w:p>
        </w:tc>
        <w:tc>
          <w:tcPr>
            <w:tcW w:w="0" w:type="dxa"/>
            <w:tcBorders>
              <w:top w:val="single" w:sz="12" w:space="0" w:color="auto"/>
              <w:left w:val="single" w:sz="4" w:space="0" w:color="000000" w:themeColor="text1"/>
              <w:bottom w:val="single" w:sz="12" w:space="0" w:color="auto"/>
              <w:right w:val="single" w:sz="4" w:space="0" w:color="000000" w:themeColor="text1"/>
            </w:tcBorders>
            <w:shd w:val="clear" w:color="auto" w:fill="DBDBDB" w:themeFill="accent3" w:themeFillTint="66"/>
            <w:vAlign w:val="center"/>
          </w:tcPr>
          <w:p w:rsidR="009812F2" w:rsidP="00403B10" w14:paraId="4A8C7B6C" w14:textId="77777777">
            <w:pPr>
              <w:pStyle w:val="Default"/>
              <w:jc w:val="center"/>
              <w:rPr>
                <w:sz w:val="20"/>
                <w:szCs w:val="20"/>
              </w:rPr>
            </w:pPr>
            <w:r w:rsidRPr="00051A0F">
              <w:rPr>
                <w:sz w:val="20"/>
                <w:szCs w:val="20"/>
              </w:rPr>
              <w:t>Total Burden Hours</w:t>
            </w:r>
          </w:p>
          <w:p w:rsidR="009812F2" w:rsidRPr="00CA40CB" w:rsidP="00403B10" w14:paraId="0A67C484" w14:textId="4200DB98">
            <w:pPr>
              <w:pStyle w:val="Default"/>
              <w:jc w:val="center"/>
              <w:rPr>
                <w:sz w:val="20"/>
                <w:szCs w:val="20"/>
              </w:rPr>
            </w:pPr>
            <w:r>
              <w:rPr>
                <w:b w:val="0"/>
                <w:bCs w:val="0"/>
                <w:sz w:val="20"/>
                <w:szCs w:val="20"/>
              </w:rPr>
              <w:t>(C) = (A*B)</w:t>
            </w:r>
          </w:p>
        </w:tc>
        <w:tc>
          <w:tcPr>
            <w:tcW w:w="0" w:type="dxa"/>
            <w:tcBorders>
              <w:top w:val="single" w:sz="12" w:space="0" w:color="auto"/>
              <w:left w:val="single" w:sz="4" w:space="0" w:color="000000" w:themeColor="text1"/>
              <w:bottom w:val="single" w:sz="12" w:space="0" w:color="auto"/>
              <w:right w:val="single" w:sz="4" w:space="0" w:color="000000" w:themeColor="text1"/>
            </w:tcBorders>
            <w:shd w:val="clear" w:color="auto" w:fill="DBDBDB" w:themeFill="accent3" w:themeFillTint="66"/>
            <w:vAlign w:val="center"/>
          </w:tcPr>
          <w:p w:rsidR="009812F2" w:rsidP="00403B10" w14:paraId="49EAAD1B" w14:textId="77777777">
            <w:pPr>
              <w:pStyle w:val="Default"/>
              <w:jc w:val="center"/>
              <w:rPr>
                <w:sz w:val="20"/>
                <w:szCs w:val="20"/>
              </w:rPr>
            </w:pPr>
            <w:r>
              <w:rPr>
                <w:sz w:val="20"/>
                <w:szCs w:val="20"/>
              </w:rPr>
              <w:t>Hourly Cost</w:t>
            </w:r>
          </w:p>
          <w:p w:rsidR="009812F2" w:rsidRPr="00CA40CB" w:rsidP="00403B10" w14:paraId="4AFFC4A4" w14:textId="77777777">
            <w:pPr>
              <w:pStyle w:val="Default"/>
              <w:jc w:val="center"/>
              <w:rPr>
                <w:sz w:val="20"/>
                <w:szCs w:val="20"/>
              </w:rPr>
            </w:pPr>
            <w:r>
              <w:rPr>
                <w:b w:val="0"/>
                <w:bCs w:val="0"/>
                <w:sz w:val="20"/>
                <w:szCs w:val="20"/>
              </w:rPr>
              <w:t>(D)</w:t>
            </w:r>
          </w:p>
        </w:tc>
        <w:tc>
          <w:tcPr>
            <w:tcW w:w="0" w:type="dxa"/>
            <w:tcBorders>
              <w:top w:val="single" w:sz="12" w:space="0" w:color="auto"/>
              <w:left w:val="single" w:sz="4" w:space="0" w:color="000000" w:themeColor="text1"/>
              <w:bottom w:val="single" w:sz="12" w:space="0" w:color="auto"/>
              <w:right w:val="single" w:sz="12" w:space="0" w:color="auto"/>
            </w:tcBorders>
            <w:shd w:val="clear" w:color="auto" w:fill="DBDBDB" w:themeFill="accent3" w:themeFillTint="66"/>
            <w:vAlign w:val="center"/>
          </w:tcPr>
          <w:p w:rsidR="009812F2" w:rsidP="00403B10" w14:paraId="5127ADA1" w14:textId="77777777">
            <w:pPr>
              <w:pStyle w:val="Default"/>
              <w:jc w:val="center"/>
              <w:rPr>
                <w:sz w:val="20"/>
                <w:szCs w:val="20"/>
              </w:rPr>
            </w:pPr>
            <w:r w:rsidRPr="00051A0F">
              <w:rPr>
                <w:sz w:val="20"/>
                <w:szCs w:val="20"/>
              </w:rPr>
              <w:t xml:space="preserve">Total </w:t>
            </w:r>
            <w:r>
              <w:rPr>
                <w:sz w:val="20"/>
                <w:szCs w:val="20"/>
              </w:rPr>
              <w:t>Cost</w:t>
            </w:r>
          </w:p>
          <w:p w:rsidR="009812F2" w:rsidRPr="00CA40CB" w:rsidP="00403B10" w14:paraId="7A3CE276" w14:textId="191C59C7">
            <w:pPr>
              <w:pStyle w:val="Default"/>
              <w:jc w:val="center"/>
              <w:rPr>
                <w:sz w:val="20"/>
                <w:szCs w:val="20"/>
              </w:rPr>
            </w:pPr>
            <w:r>
              <w:rPr>
                <w:b w:val="0"/>
                <w:bCs w:val="0"/>
                <w:sz w:val="20"/>
                <w:szCs w:val="20"/>
              </w:rPr>
              <w:t>(E) = (C*D)</w:t>
            </w:r>
          </w:p>
        </w:tc>
      </w:tr>
      <w:tr w14:paraId="01682F9F" w14:textId="77777777" w:rsidTr="003841D0">
        <w:tblPrEx>
          <w:tblW w:w="0" w:type="auto"/>
          <w:jc w:val="center"/>
          <w:tblCellMar>
            <w:top w:w="58" w:type="dxa"/>
            <w:bottom w:w="58" w:type="dxa"/>
          </w:tblCellMar>
          <w:tblLook w:val="0620"/>
        </w:tblPrEx>
        <w:trPr>
          <w:jc w:val="center"/>
        </w:trPr>
        <w:tc>
          <w:tcPr>
            <w:tcW w:w="0" w:type="dxa"/>
            <w:tcBorders>
              <w:top w:val="single" w:sz="12" w:space="0" w:color="auto"/>
              <w:left w:val="single" w:sz="12" w:space="0" w:color="auto"/>
            </w:tcBorders>
            <w:vAlign w:val="center"/>
          </w:tcPr>
          <w:p w:rsidR="009812F2" w:rsidRPr="00051A0F" w:rsidP="009812F2" w14:paraId="0AD70BBF" w14:textId="77777777">
            <w:pPr>
              <w:pStyle w:val="Default"/>
              <w:jc w:val="center"/>
              <w:rPr>
                <w:sz w:val="20"/>
                <w:szCs w:val="20"/>
              </w:rPr>
            </w:pPr>
            <w:r>
              <w:rPr>
                <w:sz w:val="20"/>
                <w:szCs w:val="20"/>
              </w:rPr>
              <w:t>1</w:t>
            </w:r>
          </w:p>
        </w:tc>
        <w:tc>
          <w:tcPr>
            <w:tcW w:w="0" w:type="dxa"/>
            <w:tcBorders>
              <w:top w:val="single" w:sz="12" w:space="0" w:color="auto"/>
            </w:tcBorders>
          </w:tcPr>
          <w:p w:rsidR="009812F2" w:rsidRPr="00051A0F" w:rsidP="009812F2" w14:paraId="76EA4532" w14:textId="7F6FDEDE">
            <w:pPr>
              <w:pStyle w:val="Default"/>
              <w:jc w:val="center"/>
              <w:rPr>
                <w:sz w:val="20"/>
                <w:szCs w:val="20"/>
              </w:rPr>
            </w:pPr>
            <w:r>
              <w:rPr>
                <w:sz w:val="20"/>
                <w:szCs w:val="20"/>
              </w:rPr>
              <w:t>15</w:t>
            </w:r>
          </w:p>
        </w:tc>
        <w:tc>
          <w:tcPr>
            <w:tcW w:w="0" w:type="dxa"/>
            <w:tcBorders>
              <w:top w:val="single" w:sz="12" w:space="0" w:color="auto"/>
            </w:tcBorders>
            <w:vAlign w:val="center"/>
          </w:tcPr>
          <w:p w:rsidR="009812F2" w:rsidRPr="00051A0F" w:rsidP="009812F2" w14:paraId="146D92D1" w14:textId="77777777">
            <w:pPr>
              <w:pStyle w:val="Default"/>
              <w:jc w:val="center"/>
              <w:rPr>
                <w:sz w:val="20"/>
                <w:szCs w:val="20"/>
              </w:rPr>
            </w:pPr>
            <w:r>
              <w:rPr>
                <w:sz w:val="20"/>
                <w:szCs w:val="20"/>
              </w:rPr>
              <w:t>0.25</w:t>
            </w:r>
          </w:p>
        </w:tc>
        <w:tc>
          <w:tcPr>
            <w:tcW w:w="0" w:type="dxa"/>
            <w:tcBorders>
              <w:top w:val="single" w:sz="12" w:space="0" w:color="auto"/>
            </w:tcBorders>
          </w:tcPr>
          <w:p w:rsidR="009812F2" w:rsidP="009812F2" w14:paraId="4AA614F2" w14:textId="57ED195E">
            <w:pPr>
              <w:pStyle w:val="Default"/>
              <w:jc w:val="center"/>
              <w:rPr>
                <w:sz w:val="20"/>
                <w:szCs w:val="20"/>
              </w:rPr>
            </w:pPr>
            <w:r>
              <w:rPr>
                <w:sz w:val="20"/>
                <w:szCs w:val="20"/>
              </w:rPr>
              <w:t>3.75</w:t>
            </w:r>
          </w:p>
        </w:tc>
        <w:tc>
          <w:tcPr>
            <w:tcW w:w="0" w:type="dxa"/>
            <w:tcBorders>
              <w:top w:val="single" w:sz="12" w:space="0" w:color="auto"/>
            </w:tcBorders>
            <w:vAlign w:val="center"/>
          </w:tcPr>
          <w:p w:rsidR="009812F2" w:rsidRPr="00051A0F" w:rsidP="009812F2" w14:paraId="607E6A85" w14:textId="0B1553EA">
            <w:pPr>
              <w:pStyle w:val="Default"/>
              <w:jc w:val="center"/>
              <w:rPr>
                <w:sz w:val="20"/>
                <w:szCs w:val="20"/>
              </w:rPr>
            </w:pPr>
            <w:r w:rsidRPr="419387CF">
              <w:rPr>
                <w:sz w:val="20"/>
                <w:szCs w:val="20"/>
              </w:rPr>
              <w:t>$3</w:t>
            </w:r>
            <w:r w:rsidR="00CF7E97">
              <w:rPr>
                <w:sz w:val="20"/>
                <w:szCs w:val="20"/>
              </w:rPr>
              <w:t>4.45</w:t>
            </w:r>
          </w:p>
        </w:tc>
        <w:tc>
          <w:tcPr>
            <w:tcW w:w="0" w:type="dxa"/>
            <w:tcBorders>
              <w:top w:val="single" w:sz="12" w:space="0" w:color="auto"/>
              <w:right w:val="single" w:sz="12" w:space="0" w:color="auto"/>
            </w:tcBorders>
            <w:vAlign w:val="center"/>
          </w:tcPr>
          <w:p w:rsidR="009812F2" w:rsidRPr="00051A0F" w:rsidP="009812F2" w14:paraId="6CC94BA7" w14:textId="4C40FA9E">
            <w:pPr>
              <w:pStyle w:val="Default"/>
              <w:jc w:val="center"/>
              <w:rPr>
                <w:sz w:val="20"/>
                <w:szCs w:val="20"/>
              </w:rPr>
            </w:pPr>
            <w:r>
              <w:rPr>
                <w:sz w:val="20"/>
                <w:szCs w:val="20"/>
              </w:rPr>
              <w:t>$</w:t>
            </w:r>
            <w:r w:rsidR="002E6DA6">
              <w:rPr>
                <w:sz w:val="20"/>
                <w:szCs w:val="20"/>
              </w:rPr>
              <w:t>12</w:t>
            </w:r>
            <w:r w:rsidR="00CF7E97">
              <w:rPr>
                <w:sz w:val="20"/>
                <w:szCs w:val="20"/>
              </w:rPr>
              <w:t>9.19</w:t>
            </w:r>
          </w:p>
        </w:tc>
      </w:tr>
      <w:tr w14:paraId="6AEB374A" w14:textId="77777777" w:rsidTr="003841D0">
        <w:tblPrEx>
          <w:tblW w:w="0" w:type="auto"/>
          <w:jc w:val="center"/>
          <w:tblCellMar>
            <w:top w:w="58" w:type="dxa"/>
            <w:bottom w:w="58" w:type="dxa"/>
          </w:tblCellMar>
          <w:tblLook w:val="0620"/>
        </w:tblPrEx>
        <w:trPr>
          <w:jc w:val="center"/>
        </w:trPr>
        <w:tc>
          <w:tcPr>
            <w:tcW w:w="0" w:type="dxa"/>
            <w:tcBorders>
              <w:left w:val="single" w:sz="12" w:space="0" w:color="auto"/>
            </w:tcBorders>
            <w:vAlign w:val="center"/>
          </w:tcPr>
          <w:p w:rsidR="002E6DA6" w:rsidRPr="00051A0F" w:rsidP="002E6DA6" w14:paraId="14F7943F" w14:textId="77777777">
            <w:pPr>
              <w:pStyle w:val="Default"/>
              <w:jc w:val="center"/>
              <w:rPr>
                <w:sz w:val="20"/>
                <w:szCs w:val="20"/>
              </w:rPr>
            </w:pPr>
            <w:r>
              <w:rPr>
                <w:sz w:val="20"/>
                <w:szCs w:val="20"/>
              </w:rPr>
              <w:t>2</w:t>
            </w:r>
          </w:p>
        </w:tc>
        <w:tc>
          <w:tcPr>
            <w:tcW w:w="0" w:type="dxa"/>
          </w:tcPr>
          <w:p w:rsidR="002E6DA6" w:rsidRPr="00051A0F" w:rsidP="002E6DA6" w14:paraId="78FEF22D" w14:textId="2732A23D">
            <w:pPr>
              <w:pStyle w:val="Default"/>
              <w:jc w:val="center"/>
              <w:rPr>
                <w:sz w:val="20"/>
                <w:szCs w:val="20"/>
              </w:rPr>
            </w:pPr>
            <w:r>
              <w:rPr>
                <w:sz w:val="20"/>
                <w:szCs w:val="20"/>
              </w:rPr>
              <w:t>15</w:t>
            </w:r>
          </w:p>
        </w:tc>
        <w:tc>
          <w:tcPr>
            <w:tcW w:w="0" w:type="dxa"/>
            <w:vAlign w:val="center"/>
          </w:tcPr>
          <w:p w:rsidR="002E6DA6" w:rsidRPr="00051A0F" w:rsidP="002E6DA6" w14:paraId="679DA404" w14:textId="77777777">
            <w:pPr>
              <w:pStyle w:val="Default"/>
              <w:jc w:val="center"/>
              <w:rPr>
                <w:sz w:val="20"/>
                <w:szCs w:val="20"/>
              </w:rPr>
            </w:pPr>
            <w:r>
              <w:rPr>
                <w:sz w:val="20"/>
                <w:szCs w:val="20"/>
              </w:rPr>
              <w:t>0.25</w:t>
            </w:r>
          </w:p>
        </w:tc>
        <w:tc>
          <w:tcPr>
            <w:tcW w:w="0" w:type="dxa"/>
          </w:tcPr>
          <w:p w:rsidR="002E6DA6" w:rsidP="002E6DA6" w14:paraId="25AA12D5" w14:textId="76D7BF2D">
            <w:pPr>
              <w:pStyle w:val="Default"/>
              <w:jc w:val="center"/>
              <w:rPr>
                <w:sz w:val="20"/>
                <w:szCs w:val="20"/>
              </w:rPr>
            </w:pPr>
            <w:r>
              <w:rPr>
                <w:sz w:val="20"/>
                <w:szCs w:val="20"/>
              </w:rPr>
              <w:t>3.75</w:t>
            </w:r>
          </w:p>
        </w:tc>
        <w:tc>
          <w:tcPr>
            <w:tcW w:w="0" w:type="dxa"/>
            <w:vAlign w:val="center"/>
          </w:tcPr>
          <w:p w:rsidR="002E6DA6" w:rsidRPr="00051A0F" w:rsidP="002E6DA6" w14:paraId="08A14601" w14:textId="73DB6B98">
            <w:pPr>
              <w:pStyle w:val="Default"/>
              <w:jc w:val="center"/>
              <w:rPr>
                <w:sz w:val="20"/>
                <w:szCs w:val="20"/>
              </w:rPr>
            </w:pPr>
            <w:r>
              <w:rPr>
                <w:sz w:val="20"/>
                <w:szCs w:val="20"/>
              </w:rPr>
              <w:t>$</w:t>
            </w:r>
            <w:r w:rsidR="00CF7E97">
              <w:rPr>
                <w:sz w:val="20"/>
                <w:szCs w:val="20"/>
              </w:rPr>
              <w:t>34.45</w:t>
            </w:r>
          </w:p>
        </w:tc>
        <w:tc>
          <w:tcPr>
            <w:tcW w:w="0" w:type="dxa"/>
            <w:tcBorders>
              <w:right w:val="single" w:sz="12" w:space="0" w:color="auto"/>
            </w:tcBorders>
          </w:tcPr>
          <w:p w:rsidR="002E6DA6" w:rsidRPr="00051A0F" w:rsidP="002E6DA6" w14:paraId="2E0758ED" w14:textId="43BB8B26">
            <w:pPr>
              <w:pStyle w:val="Default"/>
              <w:jc w:val="center"/>
              <w:rPr>
                <w:sz w:val="20"/>
                <w:szCs w:val="20"/>
              </w:rPr>
            </w:pPr>
            <w:r w:rsidRPr="009500B4">
              <w:rPr>
                <w:sz w:val="20"/>
                <w:szCs w:val="20"/>
              </w:rPr>
              <w:t>$12</w:t>
            </w:r>
            <w:r w:rsidR="00CF7E97">
              <w:rPr>
                <w:sz w:val="20"/>
                <w:szCs w:val="20"/>
              </w:rPr>
              <w:t>9.19</w:t>
            </w:r>
          </w:p>
        </w:tc>
      </w:tr>
      <w:tr w14:paraId="031E4774" w14:textId="77777777" w:rsidTr="003841D0">
        <w:tblPrEx>
          <w:tblW w:w="0" w:type="auto"/>
          <w:jc w:val="center"/>
          <w:tblCellMar>
            <w:top w:w="58" w:type="dxa"/>
            <w:bottom w:w="58" w:type="dxa"/>
          </w:tblCellMar>
          <w:tblLook w:val="0620"/>
        </w:tblPrEx>
        <w:trPr>
          <w:jc w:val="center"/>
        </w:trPr>
        <w:tc>
          <w:tcPr>
            <w:tcW w:w="0" w:type="dxa"/>
            <w:tcBorders>
              <w:left w:val="single" w:sz="12" w:space="0" w:color="auto"/>
            </w:tcBorders>
            <w:vAlign w:val="center"/>
          </w:tcPr>
          <w:p w:rsidR="002E6DA6" w:rsidRPr="00051A0F" w:rsidP="002E6DA6" w14:paraId="5CB4FEC1" w14:textId="77777777">
            <w:pPr>
              <w:pStyle w:val="Default"/>
              <w:jc w:val="center"/>
              <w:rPr>
                <w:sz w:val="20"/>
                <w:szCs w:val="20"/>
              </w:rPr>
            </w:pPr>
            <w:r>
              <w:rPr>
                <w:sz w:val="20"/>
                <w:szCs w:val="20"/>
              </w:rPr>
              <w:t>3</w:t>
            </w:r>
          </w:p>
        </w:tc>
        <w:tc>
          <w:tcPr>
            <w:tcW w:w="0" w:type="dxa"/>
          </w:tcPr>
          <w:p w:rsidR="002E6DA6" w:rsidRPr="00051A0F" w:rsidP="002E6DA6" w14:paraId="269E091B" w14:textId="12D1A9A6">
            <w:pPr>
              <w:pStyle w:val="Default"/>
              <w:jc w:val="center"/>
              <w:rPr>
                <w:sz w:val="20"/>
                <w:szCs w:val="20"/>
              </w:rPr>
            </w:pPr>
            <w:r>
              <w:rPr>
                <w:sz w:val="20"/>
                <w:szCs w:val="20"/>
              </w:rPr>
              <w:t>15</w:t>
            </w:r>
          </w:p>
        </w:tc>
        <w:tc>
          <w:tcPr>
            <w:tcW w:w="0" w:type="dxa"/>
            <w:vAlign w:val="center"/>
          </w:tcPr>
          <w:p w:rsidR="002E6DA6" w:rsidP="002E6DA6" w14:paraId="17D0263B" w14:textId="77777777">
            <w:pPr>
              <w:pStyle w:val="Default"/>
              <w:jc w:val="center"/>
              <w:rPr>
                <w:sz w:val="20"/>
                <w:szCs w:val="20"/>
              </w:rPr>
            </w:pPr>
            <w:r>
              <w:rPr>
                <w:sz w:val="20"/>
                <w:szCs w:val="20"/>
              </w:rPr>
              <w:t>0.25</w:t>
            </w:r>
          </w:p>
        </w:tc>
        <w:tc>
          <w:tcPr>
            <w:tcW w:w="0" w:type="dxa"/>
          </w:tcPr>
          <w:p w:rsidR="002E6DA6" w:rsidP="002E6DA6" w14:paraId="27575B9C" w14:textId="716A42EF">
            <w:pPr>
              <w:pStyle w:val="Default"/>
              <w:jc w:val="center"/>
              <w:rPr>
                <w:sz w:val="20"/>
                <w:szCs w:val="20"/>
              </w:rPr>
            </w:pPr>
            <w:r>
              <w:rPr>
                <w:sz w:val="20"/>
                <w:szCs w:val="20"/>
              </w:rPr>
              <w:t>3.75</w:t>
            </w:r>
          </w:p>
        </w:tc>
        <w:tc>
          <w:tcPr>
            <w:tcW w:w="0" w:type="dxa"/>
            <w:vAlign w:val="center"/>
          </w:tcPr>
          <w:p w:rsidR="002E6DA6" w:rsidP="002E6DA6" w14:paraId="5D622FA9" w14:textId="0CD5FE0F">
            <w:pPr>
              <w:pStyle w:val="Default"/>
              <w:jc w:val="center"/>
              <w:rPr>
                <w:sz w:val="20"/>
                <w:szCs w:val="20"/>
              </w:rPr>
            </w:pPr>
            <w:r>
              <w:rPr>
                <w:sz w:val="20"/>
                <w:szCs w:val="20"/>
              </w:rPr>
              <w:t>$3</w:t>
            </w:r>
            <w:r w:rsidR="00CF7E97">
              <w:rPr>
                <w:sz w:val="20"/>
                <w:szCs w:val="20"/>
              </w:rPr>
              <w:t>4.45</w:t>
            </w:r>
          </w:p>
        </w:tc>
        <w:tc>
          <w:tcPr>
            <w:tcW w:w="0" w:type="dxa"/>
            <w:tcBorders>
              <w:right w:val="single" w:sz="12" w:space="0" w:color="auto"/>
            </w:tcBorders>
          </w:tcPr>
          <w:p w:rsidR="002E6DA6" w:rsidP="002E6DA6" w14:paraId="1ACB44E2" w14:textId="08804358">
            <w:pPr>
              <w:pStyle w:val="Default"/>
              <w:jc w:val="center"/>
              <w:rPr>
                <w:sz w:val="20"/>
                <w:szCs w:val="20"/>
              </w:rPr>
            </w:pPr>
            <w:r w:rsidRPr="009500B4">
              <w:rPr>
                <w:sz w:val="20"/>
                <w:szCs w:val="20"/>
              </w:rPr>
              <w:t>$12</w:t>
            </w:r>
            <w:r w:rsidR="00CF7E97">
              <w:rPr>
                <w:sz w:val="20"/>
                <w:szCs w:val="20"/>
              </w:rPr>
              <w:t>9.19</w:t>
            </w:r>
          </w:p>
        </w:tc>
      </w:tr>
      <w:tr w14:paraId="384EB7E8" w14:textId="77777777" w:rsidTr="003841D0">
        <w:tblPrEx>
          <w:tblW w:w="0" w:type="auto"/>
          <w:jc w:val="center"/>
          <w:tblCellMar>
            <w:top w:w="58" w:type="dxa"/>
            <w:bottom w:w="58" w:type="dxa"/>
          </w:tblCellMar>
          <w:tblLook w:val="0620"/>
        </w:tblPrEx>
        <w:trPr>
          <w:jc w:val="center"/>
        </w:trPr>
        <w:tc>
          <w:tcPr>
            <w:tcW w:w="0" w:type="dxa"/>
            <w:tcBorders>
              <w:left w:val="single" w:sz="12" w:space="0" w:color="auto"/>
            </w:tcBorders>
            <w:vAlign w:val="center"/>
          </w:tcPr>
          <w:p w:rsidR="002E6DA6" w:rsidRPr="00051A0F" w:rsidP="002E6DA6" w14:paraId="3BA7ED34" w14:textId="77777777">
            <w:pPr>
              <w:pStyle w:val="Default"/>
              <w:jc w:val="center"/>
              <w:rPr>
                <w:sz w:val="20"/>
                <w:szCs w:val="20"/>
              </w:rPr>
            </w:pPr>
            <w:r>
              <w:rPr>
                <w:sz w:val="20"/>
                <w:szCs w:val="20"/>
              </w:rPr>
              <w:t>4</w:t>
            </w:r>
          </w:p>
        </w:tc>
        <w:tc>
          <w:tcPr>
            <w:tcW w:w="0" w:type="dxa"/>
          </w:tcPr>
          <w:p w:rsidR="002E6DA6" w:rsidRPr="00051A0F" w:rsidP="002E6DA6" w14:paraId="3443C959" w14:textId="3143CA17">
            <w:pPr>
              <w:pStyle w:val="Default"/>
              <w:jc w:val="center"/>
              <w:rPr>
                <w:sz w:val="20"/>
                <w:szCs w:val="20"/>
              </w:rPr>
            </w:pPr>
            <w:r>
              <w:rPr>
                <w:sz w:val="20"/>
                <w:szCs w:val="20"/>
              </w:rPr>
              <w:t>15</w:t>
            </w:r>
          </w:p>
        </w:tc>
        <w:tc>
          <w:tcPr>
            <w:tcW w:w="0" w:type="dxa"/>
            <w:vAlign w:val="center"/>
          </w:tcPr>
          <w:p w:rsidR="002E6DA6" w:rsidRPr="00051A0F" w:rsidP="002E6DA6" w14:paraId="27902391" w14:textId="77777777">
            <w:pPr>
              <w:pStyle w:val="Default"/>
              <w:jc w:val="center"/>
              <w:rPr>
                <w:sz w:val="20"/>
                <w:szCs w:val="20"/>
              </w:rPr>
            </w:pPr>
            <w:r>
              <w:rPr>
                <w:sz w:val="20"/>
                <w:szCs w:val="20"/>
              </w:rPr>
              <w:t>0.25</w:t>
            </w:r>
          </w:p>
        </w:tc>
        <w:tc>
          <w:tcPr>
            <w:tcW w:w="0" w:type="dxa"/>
          </w:tcPr>
          <w:p w:rsidR="002E6DA6" w:rsidP="002E6DA6" w14:paraId="5FB1290C" w14:textId="513F821C">
            <w:pPr>
              <w:pStyle w:val="Default"/>
              <w:jc w:val="center"/>
              <w:rPr>
                <w:sz w:val="20"/>
                <w:szCs w:val="20"/>
              </w:rPr>
            </w:pPr>
            <w:r>
              <w:rPr>
                <w:sz w:val="20"/>
                <w:szCs w:val="20"/>
              </w:rPr>
              <w:t>3.75</w:t>
            </w:r>
          </w:p>
        </w:tc>
        <w:tc>
          <w:tcPr>
            <w:tcW w:w="0" w:type="dxa"/>
            <w:vAlign w:val="center"/>
          </w:tcPr>
          <w:p w:rsidR="002E6DA6" w:rsidRPr="00051A0F" w:rsidP="002E6DA6" w14:paraId="2A80941E" w14:textId="3BA43BCB">
            <w:pPr>
              <w:pStyle w:val="Default"/>
              <w:jc w:val="center"/>
              <w:rPr>
                <w:sz w:val="20"/>
                <w:szCs w:val="20"/>
              </w:rPr>
            </w:pPr>
            <w:r>
              <w:rPr>
                <w:sz w:val="20"/>
                <w:szCs w:val="20"/>
              </w:rPr>
              <w:t>$3</w:t>
            </w:r>
            <w:r w:rsidR="00CF7E97">
              <w:rPr>
                <w:sz w:val="20"/>
                <w:szCs w:val="20"/>
              </w:rPr>
              <w:t>4.45</w:t>
            </w:r>
          </w:p>
        </w:tc>
        <w:tc>
          <w:tcPr>
            <w:tcW w:w="0" w:type="dxa"/>
            <w:tcBorders>
              <w:right w:val="single" w:sz="12" w:space="0" w:color="auto"/>
            </w:tcBorders>
          </w:tcPr>
          <w:p w:rsidR="002E6DA6" w:rsidRPr="00051A0F" w:rsidP="002E6DA6" w14:paraId="21BF05D0" w14:textId="2696B6C3">
            <w:pPr>
              <w:pStyle w:val="Default"/>
              <w:jc w:val="center"/>
              <w:rPr>
                <w:sz w:val="20"/>
                <w:szCs w:val="20"/>
              </w:rPr>
            </w:pPr>
            <w:r w:rsidRPr="009500B4">
              <w:rPr>
                <w:sz w:val="20"/>
                <w:szCs w:val="20"/>
              </w:rPr>
              <w:t>$12</w:t>
            </w:r>
            <w:r w:rsidR="00CF7E97">
              <w:rPr>
                <w:sz w:val="20"/>
                <w:szCs w:val="20"/>
              </w:rPr>
              <w:t>9.19</w:t>
            </w:r>
          </w:p>
        </w:tc>
      </w:tr>
      <w:tr w14:paraId="29288106" w14:textId="77777777" w:rsidTr="003841D0">
        <w:tblPrEx>
          <w:tblW w:w="0" w:type="auto"/>
          <w:jc w:val="center"/>
          <w:tblCellMar>
            <w:top w:w="58" w:type="dxa"/>
            <w:bottom w:w="58" w:type="dxa"/>
          </w:tblCellMar>
          <w:tblLook w:val="0620"/>
        </w:tblPrEx>
        <w:trPr>
          <w:jc w:val="center"/>
        </w:trPr>
        <w:tc>
          <w:tcPr>
            <w:tcW w:w="1353" w:type="dxa"/>
            <w:tcBorders>
              <w:left w:val="single" w:sz="12" w:space="0" w:color="auto"/>
            </w:tcBorders>
            <w:vAlign w:val="center"/>
          </w:tcPr>
          <w:p w:rsidR="009812F2" w:rsidRPr="00AF61D2" w:rsidP="00403B10" w14:paraId="3EF213BA" w14:textId="77777777">
            <w:pPr>
              <w:pStyle w:val="Default"/>
              <w:jc w:val="center"/>
              <w:rPr>
                <w:b/>
                <w:bCs/>
                <w:sz w:val="20"/>
                <w:szCs w:val="20"/>
              </w:rPr>
            </w:pPr>
            <w:r>
              <w:rPr>
                <w:b/>
                <w:bCs/>
                <w:sz w:val="20"/>
                <w:szCs w:val="20"/>
              </w:rPr>
              <w:t>4</w:t>
            </w:r>
            <w:r w:rsidRPr="00AF61D2">
              <w:rPr>
                <w:b/>
                <w:bCs/>
                <w:sz w:val="20"/>
                <w:szCs w:val="20"/>
              </w:rPr>
              <w:t>-year Total</w:t>
            </w:r>
          </w:p>
        </w:tc>
        <w:tc>
          <w:tcPr>
            <w:tcW w:w="1536" w:type="dxa"/>
          </w:tcPr>
          <w:p w:rsidR="009812F2" w:rsidRPr="00051A0F" w:rsidP="00403B10" w14:paraId="67EB953E" w14:textId="728F5FA8">
            <w:pPr>
              <w:pStyle w:val="Default"/>
              <w:jc w:val="center"/>
              <w:rPr>
                <w:sz w:val="20"/>
                <w:szCs w:val="20"/>
              </w:rPr>
            </w:pPr>
            <w:r>
              <w:rPr>
                <w:sz w:val="20"/>
                <w:szCs w:val="20"/>
              </w:rPr>
              <w:t>60</w:t>
            </w:r>
          </w:p>
        </w:tc>
        <w:tc>
          <w:tcPr>
            <w:tcW w:w="1469" w:type="dxa"/>
            <w:vAlign w:val="center"/>
          </w:tcPr>
          <w:p w:rsidR="009812F2" w:rsidRPr="00051A0F" w:rsidP="00403B10" w14:paraId="53C96116" w14:textId="77777777">
            <w:pPr>
              <w:pStyle w:val="Default"/>
              <w:jc w:val="center"/>
              <w:rPr>
                <w:sz w:val="20"/>
                <w:szCs w:val="20"/>
              </w:rPr>
            </w:pPr>
            <w:r w:rsidRPr="00051A0F">
              <w:rPr>
                <w:sz w:val="20"/>
                <w:szCs w:val="20"/>
              </w:rPr>
              <w:t>-</w:t>
            </w:r>
          </w:p>
        </w:tc>
        <w:tc>
          <w:tcPr>
            <w:tcW w:w="1348" w:type="dxa"/>
            <w:vAlign w:val="center"/>
          </w:tcPr>
          <w:p w:rsidR="009812F2" w:rsidRPr="00051A0F" w:rsidP="00403B10" w14:paraId="6F9E629B" w14:textId="42038272">
            <w:pPr>
              <w:pStyle w:val="Default"/>
              <w:jc w:val="center"/>
              <w:rPr>
                <w:sz w:val="20"/>
                <w:szCs w:val="20"/>
              </w:rPr>
            </w:pPr>
            <w:r>
              <w:rPr>
                <w:sz w:val="20"/>
                <w:szCs w:val="20"/>
              </w:rPr>
              <w:t>15</w:t>
            </w:r>
          </w:p>
        </w:tc>
        <w:tc>
          <w:tcPr>
            <w:tcW w:w="1333" w:type="dxa"/>
            <w:vAlign w:val="center"/>
          </w:tcPr>
          <w:p w:rsidR="009812F2" w:rsidRPr="00051A0F" w:rsidP="00403B10" w14:paraId="2A39B771" w14:textId="77777777">
            <w:pPr>
              <w:pStyle w:val="Default"/>
              <w:jc w:val="center"/>
              <w:rPr>
                <w:sz w:val="20"/>
                <w:szCs w:val="20"/>
              </w:rPr>
            </w:pPr>
            <w:r w:rsidRPr="00051A0F">
              <w:rPr>
                <w:sz w:val="20"/>
                <w:szCs w:val="20"/>
              </w:rPr>
              <w:t>-</w:t>
            </w:r>
          </w:p>
        </w:tc>
        <w:tc>
          <w:tcPr>
            <w:tcW w:w="1263" w:type="dxa"/>
            <w:tcBorders>
              <w:right w:val="single" w:sz="12" w:space="0" w:color="auto"/>
            </w:tcBorders>
            <w:vAlign w:val="center"/>
          </w:tcPr>
          <w:p w:rsidR="009812F2" w:rsidRPr="00051A0F" w:rsidP="00403B10" w14:paraId="033F2985" w14:textId="7EEE0C69">
            <w:pPr>
              <w:pStyle w:val="Default"/>
              <w:jc w:val="center"/>
              <w:rPr>
                <w:sz w:val="20"/>
                <w:szCs w:val="20"/>
              </w:rPr>
            </w:pPr>
            <w:r>
              <w:rPr>
                <w:sz w:val="20"/>
                <w:szCs w:val="20"/>
              </w:rPr>
              <w:t>$</w:t>
            </w:r>
            <w:r w:rsidR="00CF7E97">
              <w:rPr>
                <w:sz w:val="20"/>
                <w:szCs w:val="20"/>
              </w:rPr>
              <w:t>516.75</w:t>
            </w:r>
          </w:p>
        </w:tc>
      </w:tr>
      <w:tr w14:paraId="5826248D" w14:textId="77777777" w:rsidTr="003841D0">
        <w:tblPrEx>
          <w:tblW w:w="0" w:type="auto"/>
          <w:jc w:val="center"/>
          <w:tblCellMar>
            <w:top w:w="58" w:type="dxa"/>
            <w:bottom w:w="58" w:type="dxa"/>
          </w:tblCellMar>
          <w:tblLook w:val="0620"/>
        </w:tblPrEx>
        <w:trPr>
          <w:jc w:val="center"/>
        </w:trPr>
        <w:tc>
          <w:tcPr>
            <w:tcW w:w="1353" w:type="dxa"/>
            <w:tcBorders>
              <w:left w:val="single" w:sz="12" w:space="0" w:color="auto"/>
              <w:bottom w:val="single" w:sz="12" w:space="0" w:color="auto"/>
            </w:tcBorders>
            <w:vAlign w:val="center"/>
          </w:tcPr>
          <w:p w:rsidR="009812F2" w:rsidRPr="00AF61D2" w:rsidP="00403B10" w14:paraId="11EA9562" w14:textId="77777777">
            <w:pPr>
              <w:pStyle w:val="Default"/>
              <w:jc w:val="center"/>
              <w:rPr>
                <w:b/>
                <w:bCs/>
                <w:sz w:val="20"/>
                <w:szCs w:val="20"/>
              </w:rPr>
            </w:pPr>
            <w:r w:rsidRPr="00AF61D2">
              <w:rPr>
                <w:b/>
                <w:bCs/>
                <w:sz w:val="20"/>
                <w:szCs w:val="20"/>
              </w:rPr>
              <w:t>Annual Average</w:t>
            </w:r>
          </w:p>
        </w:tc>
        <w:tc>
          <w:tcPr>
            <w:tcW w:w="1536" w:type="dxa"/>
            <w:tcBorders>
              <w:bottom w:val="single" w:sz="12" w:space="0" w:color="auto"/>
            </w:tcBorders>
            <w:vAlign w:val="center"/>
          </w:tcPr>
          <w:p w:rsidR="009812F2" w:rsidRPr="00051A0F" w:rsidP="00403B10" w14:paraId="6F717EAE" w14:textId="45497353">
            <w:pPr>
              <w:pStyle w:val="Default"/>
              <w:jc w:val="center"/>
              <w:rPr>
                <w:sz w:val="20"/>
                <w:szCs w:val="20"/>
              </w:rPr>
            </w:pPr>
            <w:r>
              <w:rPr>
                <w:sz w:val="20"/>
                <w:szCs w:val="20"/>
              </w:rPr>
              <w:t>15</w:t>
            </w:r>
          </w:p>
        </w:tc>
        <w:tc>
          <w:tcPr>
            <w:tcW w:w="1469" w:type="dxa"/>
            <w:tcBorders>
              <w:bottom w:val="single" w:sz="12" w:space="0" w:color="auto"/>
            </w:tcBorders>
            <w:vAlign w:val="center"/>
          </w:tcPr>
          <w:p w:rsidR="009812F2" w:rsidRPr="00051A0F" w:rsidP="00403B10" w14:paraId="7015CE3F" w14:textId="77777777">
            <w:pPr>
              <w:pStyle w:val="Default"/>
              <w:jc w:val="center"/>
              <w:rPr>
                <w:sz w:val="20"/>
                <w:szCs w:val="20"/>
              </w:rPr>
            </w:pPr>
            <w:r w:rsidRPr="00051A0F">
              <w:rPr>
                <w:sz w:val="20"/>
                <w:szCs w:val="20"/>
              </w:rPr>
              <w:t>-</w:t>
            </w:r>
          </w:p>
        </w:tc>
        <w:tc>
          <w:tcPr>
            <w:tcW w:w="1348" w:type="dxa"/>
            <w:tcBorders>
              <w:bottom w:val="single" w:sz="12" w:space="0" w:color="auto"/>
            </w:tcBorders>
            <w:vAlign w:val="center"/>
          </w:tcPr>
          <w:p w:rsidR="009812F2" w:rsidRPr="00051A0F" w:rsidP="00403B10" w14:paraId="0F963C9A" w14:textId="72640428">
            <w:pPr>
              <w:pStyle w:val="Default"/>
              <w:jc w:val="center"/>
              <w:rPr>
                <w:sz w:val="20"/>
                <w:szCs w:val="20"/>
              </w:rPr>
            </w:pPr>
            <w:r>
              <w:rPr>
                <w:sz w:val="20"/>
                <w:szCs w:val="20"/>
              </w:rPr>
              <w:t>3.75</w:t>
            </w:r>
          </w:p>
        </w:tc>
        <w:tc>
          <w:tcPr>
            <w:tcW w:w="1333" w:type="dxa"/>
            <w:tcBorders>
              <w:bottom w:val="single" w:sz="12" w:space="0" w:color="auto"/>
            </w:tcBorders>
            <w:vAlign w:val="center"/>
          </w:tcPr>
          <w:p w:rsidR="009812F2" w:rsidRPr="00051A0F" w:rsidP="00403B10" w14:paraId="119FA136" w14:textId="77777777">
            <w:pPr>
              <w:pStyle w:val="Default"/>
              <w:jc w:val="center"/>
              <w:rPr>
                <w:sz w:val="20"/>
                <w:szCs w:val="20"/>
              </w:rPr>
            </w:pPr>
            <w:r w:rsidRPr="00051A0F">
              <w:rPr>
                <w:sz w:val="20"/>
                <w:szCs w:val="20"/>
              </w:rPr>
              <w:t>-</w:t>
            </w:r>
          </w:p>
        </w:tc>
        <w:tc>
          <w:tcPr>
            <w:tcW w:w="1263" w:type="dxa"/>
            <w:tcBorders>
              <w:bottom w:val="single" w:sz="12" w:space="0" w:color="auto"/>
              <w:right w:val="single" w:sz="12" w:space="0" w:color="auto"/>
            </w:tcBorders>
            <w:vAlign w:val="center"/>
          </w:tcPr>
          <w:p w:rsidR="009812F2" w:rsidRPr="00051A0F" w:rsidP="00403B10" w14:paraId="33F8501C" w14:textId="0D5F137B">
            <w:pPr>
              <w:pStyle w:val="Default"/>
              <w:jc w:val="center"/>
              <w:rPr>
                <w:sz w:val="20"/>
                <w:szCs w:val="20"/>
              </w:rPr>
            </w:pPr>
            <w:r>
              <w:rPr>
                <w:sz w:val="20"/>
                <w:szCs w:val="20"/>
              </w:rPr>
              <w:t>$12</w:t>
            </w:r>
            <w:r w:rsidR="00CF7E97">
              <w:rPr>
                <w:sz w:val="20"/>
                <w:szCs w:val="20"/>
              </w:rPr>
              <w:t>9.19</w:t>
            </w:r>
          </w:p>
        </w:tc>
      </w:tr>
    </w:tbl>
    <w:p w:rsidR="009812F2" w:rsidP="009812F2" w14:paraId="4A552205" w14:textId="77777777">
      <w:pPr>
        <w:pStyle w:val="Default"/>
      </w:pPr>
    </w:p>
    <w:p w:rsidR="009812F2" w:rsidRPr="00860BE7" w:rsidP="009812F2" w14:paraId="3F06E9C4" w14:textId="7B6D1A0F">
      <w:pPr>
        <w:pStyle w:val="Default"/>
        <w:rPr>
          <w:u w:val="single"/>
        </w:rPr>
      </w:pPr>
      <w:r w:rsidRPr="00860BE7">
        <w:rPr>
          <w:u w:val="single"/>
        </w:rPr>
        <w:t>IC1 Summary:</w:t>
      </w:r>
    </w:p>
    <w:p w:rsidR="009812F2" w:rsidP="009812F2" w14:paraId="0742D6C7" w14:textId="20AF4461">
      <w:pPr>
        <w:pStyle w:val="Default"/>
      </w:pPr>
      <w:r>
        <w:t>Estimated Annual Number of Responses: 15</w:t>
      </w:r>
    </w:p>
    <w:p w:rsidR="009812F2" w:rsidP="009812F2" w14:paraId="2A364A37" w14:textId="7081B342">
      <w:pPr>
        <w:pStyle w:val="Default"/>
      </w:pPr>
      <w:r>
        <w:t>Estimated Annual Burden Hours: 3.75</w:t>
      </w:r>
    </w:p>
    <w:p w:rsidR="009812F2" w:rsidP="009812F2" w14:paraId="14044426" w14:textId="137B0890">
      <w:pPr>
        <w:pStyle w:val="Default"/>
      </w:pPr>
      <w:r>
        <w:t xml:space="preserve">Estimated Annual Burden Hour Cost: </w:t>
      </w:r>
      <w:r w:rsidRPr="002E6DA6" w:rsidR="002E6DA6">
        <w:t>$12</w:t>
      </w:r>
      <w:r w:rsidR="00CF7E97">
        <w:t>9.19</w:t>
      </w:r>
    </w:p>
    <w:p w:rsidR="009812F2" w:rsidRPr="00860BE7" w:rsidP="005333E7" w14:paraId="4C317E90" w14:textId="77777777">
      <w:pPr>
        <w:pStyle w:val="Default"/>
        <w:rPr>
          <w:highlight w:val="yellow"/>
        </w:rPr>
      </w:pPr>
    </w:p>
    <w:p w:rsidR="00EE038D" w:rsidRPr="008B23B6" w:rsidP="12A76E4E" w14:paraId="0C6E0B71" w14:textId="19B9B9E6">
      <w:pPr>
        <w:pStyle w:val="Default"/>
      </w:pPr>
      <w:r w:rsidRPr="12A76E4E">
        <w:rPr>
          <w:b/>
          <w:bCs/>
        </w:rPr>
        <w:t>IC2 – Carrier Task</w:t>
      </w:r>
      <w:r>
        <w:t>:</w:t>
      </w:r>
      <w:r w:rsidR="6C9C3CCC">
        <w:t xml:space="preserve"> </w:t>
      </w:r>
      <w:r w:rsidRPr="12A76E4E" w:rsidR="6C9C3CCC">
        <w:t>TSP Setup for SCE Data</w:t>
      </w:r>
    </w:p>
    <w:p w:rsidR="008B23B6" w:rsidP="0016660B" w14:paraId="71354BCA" w14:textId="76047CF3">
      <w:pPr>
        <w:pStyle w:val="Default"/>
      </w:pPr>
      <w:bookmarkStart w:id="5" w:name="_Hlk194495069"/>
      <w:r w:rsidRPr="008B23B6">
        <w:t>IC2 covers incident and crash information collected from carriers</w:t>
      </w:r>
      <w:bookmarkEnd w:id="5"/>
      <w:r w:rsidR="003B240B">
        <w:t xml:space="preserve"> (see Attachment C)</w:t>
      </w:r>
      <w:r w:rsidRPr="008B23B6">
        <w:t xml:space="preserve">. </w:t>
      </w:r>
      <w:r w:rsidRPr="008B23B6" w:rsidR="00736999">
        <w:t xml:space="preserve">This </w:t>
      </w:r>
      <w:r w:rsidRPr="008B23B6" w:rsidR="002D344E">
        <w:t xml:space="preserve">information </w:t>
      </w:r>
      <w:r w:rsidRPr="008B23B6" w:rsidR="000360B2">
        <w:t xml:space="preserve">will </w:t>
      </w:r>
      <w:r w:rsidRPr="008B23B6" w:rsidR="002D344E">
        <w:t>be collected automatically through Pulsar’s integrations with</w:t>
      </w:r>
      <w:r w:rsidRPr="008B23B6" w:rsidR="003B1EA4">
        <w:t xml:space="preserve"> TSPs</w:t>
      </w:r>
      <w:r w:rsidRPr="008B23B6" w:rsidR="00C943ED">
        <w:t xml:space="preserve"> de</w:t>
      </w:r>
      <w:r w:rsidRPr="008B23B6" w:rsidR="00DC6D33">
        <w:t>livered</w:t>
      </w:r>
      <w:r w:rsidRPr="008B23B6" w:rsidR="00E832CB">
        <w:t xml:space="preserve"> by</w:t>
      </w:r>
      <w:r w:rsidRPr="008B23B6" w:rsidR="00C943ED">
        <w:t xml:space="preserve"> </w:t>
      </w:r>
      <w:r w:rsidRPr="008B23B6" w:rsidR="001F4D9D">
        <w:t>its Trucking Fatigue Meter technology</w:t>
      </w:r>
      <w:r w:rsidRPr="008B23B6" w:rsidR="00A94A43">
        <w:t>.</w:t>
      </w:r>
      <w:r w:rsidRPr="008B23B6" w:rsidR="00C06792">
        <w:t xml:space="preserve"> Pulsar </w:t>
      </w:r>
      <w:r w:rsidRPr="008B23B6" w:rsidR="00A1104D">
        <w:t>has experience</w:t>
      </w:r>
      <w:r w:rsidRPr="008B23B6" w:rsidR="0071146E">
        <w:t xml:space="preserve"> using this technology to collect</w:t>
      </w:r>
      <w:r w:rsidRPr="008B23B6" w:rsidR="004C27A7">
        <w:t xml:space="preserve"> data related to SCEs</w:t>
      </w:r>
      <w:r w:rsidRPr="008B23B6" w:rsidR="00FA63A7">
        <w:t xml:space="preserve"> without the need for any manual steps to be completed by the carrier.</w:t>
      </w:r>
      <w:r w:rsidRPr="008B23B6" w:rsidR="00A94A43">
        <w:t xml:space="preserve"> </w:t>
      </w:r>
      <w:r w:rsidR="0044507B">
        <w:t xml:space="preserve">The research team estimates a burden of 15 minutes per carrier will be associated with the initial setup process to ensure the carrier’s TSP is successfully integrated with Pulsar’s software tools. </w:t>
      </w:r>
      <w:r w:rsidR="00FC7098">
        <w:t>Each carrier will only need to complete this process one time, at the start of their participation. The table below shows the estimates of burden hours associated with IC2.</w:t>
      </w:r>
    </w:p>
    <w:p w:rsidR="00FC7098" w:rsidP="0016660B" w14:paraId="215C58DE" w14:textId="77777777">
      <w:pPr>
        <w:pStyle w:val="Default"/>
      </w:pPr>
    </w:p>
    <w:p w:rsidR="00FC7098" w:rsidRPr="00CA40CB" w:rsidP="00FC7098" w14:paraId="44E1EDBE" w14:textId="473A8415">
      <w:pPr>
        <w:pStyle w:val="Default"/>
        <w:ind w:left="360"/>
        <w:jc w:val="center"/>
        <w:rPr>
          <w:b/>
          <w:bCs/>
          <w:sz w:val="20"/>
          <w:szCs w:val="20"/>
        </w:rPr>
      </w:pPr>
      <w:r w:rsidRPr="00CA40CB">
        <w:rPr>
          <w:b/>
          <w:bCs/>
          <w:sz w:val="20"/>
          <w:szCs w:val="20"/>
        </w:rPr>
        <w:t xml:space="preserve">Table </w:t>
      </w:r>
      <w:r w:rsidR="002E6DA6">
        <w:rPr>
          <w:b/>
          <w:bCs/>
          <w:sz w:val="20"/>
          <w:szCs w:val="20"/>
        </w:rPr>
        <w:t>5</w:t>
      </w:r>
      <w:r w:rsidRPr="00CA40CB">
        <w:rPr>
          <w:b/>
          <w:bCs/>
          <w:sz w:val="20"/>
          <w:szCs w:val="20"/>
        </w:rPr>
        <w:t xml:space="preserve">: </w:t>
      </w:r>
      <w:r w:rsidRPr="00CA40CB">
        <w:rPr>
          <w:sz w:val="20"/>
          <w:szCs w:val="20"/>
        </w:rPr>
        <w:t>IC</w:t>
      </w:r>
      <w:r>
        <w:rPr>
          <w:sz w:val="20"/>
          <w:szCs w:val="20"/>
        </w:rPr>
        <w:t>2</w:t>
      </w:r>
      <w:r w:rsidRPr="00CA40CB">
        <w:rPr>
          <w:sz w:val="20"/>
          <w:szCs w:val="20"/>
        </w:rPr>
        <w:t xml:space="preserve"> Carrier Task</w:t>
      </w:r>
      <w:r>
        <w:rPr>
          <w:sz w:val="20"/>
          <w:szCs w:val="20"/>
        </w:rPr>
        <w:t>: TSP setup for SCE data</w:t>
      </w:r>
      <w:r w:rsidRPr="00CA40CB">
        <w:rPr>
          <w:sz w:val="20"/>
          <w:szCs w:val="20"/>
        </w:rPr>
        <w:t>.</w:t>
      </w:r>
    </w:p>
    <w:p w:rsidR="00FC7098" w:rsidRPr="006A77FD" w:rsidP="00FC7098" w14:paraId="2A6A69FE" w14:textId="77777777">
      <w:pPr>
        <w:pStyle w:val="Default"/>
        <w:ind w:left="360"/>
        <w:jc w:val="center"/>
        <w:rPr>
          <w:b/>
          <w:bCs/>
        </w:rPr>
      </w:pPr>
    </w:p>
    <w:tbl>
      <w:tblPr>
        <w:tblStyle w:val="GridTable4"/>
        <w:tblW w:w="0" w:type="auto"/>
        <w:jc w:val="center"/>
        <w:tblCellMar>
          <w:top w:w="58" w:type="dxa"/>
          <w:bottom w:w="58" w:type="dxa"/>
        </w:tblCellMar>
        <w:tblLook w:val="0620"/>
      </w:tblPr>
      <w:tblGrid>
        <w:gridCol w:w="1602"/>
        <w:gridCol w:w="1611"/>
        <w:gridCol w:w="1609"/>
        <w:gridCol w:w="1495"/>
        <w:gridCol w:w="1516"/>
        <w:gridCol w:w="1497"/>
      </w:tblGrid>
      <w:tr w14:paraId="58143D26" w14:textId="77777777" w:rsidTr="003841D0">
        <w:tblPrEx>
          <w:tblW w:w="0" w:type="auto"/>
          <w:jc w:val="center"/>
          <w:tblCellMar>
            <w:top w:w="58" w:type="dxa"/>
            <w:bottom w:w="58" w:type="dxa"/>
          </w:tblCellMar>
          <w:tblLook w:val="0620"/>
        </w:tblPrEx>
        <w:trPr>
          <w:jc w:val="center"/>
        </w:trPr>
        <w:tc>
          <w:tcPr>
            <w:tcW w:w="1602" w:type="dxa"/>
            <w:tcBorders>
              <w:top w:val="single" w:sz="12" w:space="0" w:color="auto"/>
              <w:left w:val="single" w:sz="12" w:space="0" w:color="auto"/>
              <w:bottom w:val="single" w:sz="12" w:space="0" w:color="auto"/>
              <w:right w:val="single" w:sz="4" w:space="0" w:color="000000"/>
            </w:tcBorders>
            <w:shd w:val="clear" w:color="auto" w:fill="DBDBDB" w:themeFill="accent3" w:themeFillTint="66"/>
            <w:vAlign w:val="center"/>
          </w:tcPr>
          <w:p w:rsidR="00FC7098" w:rsidRPr="00051A0F" w:rsidP="00403B10" w14:paraId="4F70F231" w14:textId="77777777">
            <w:pPr>
              <w:pStyle w:val="Default"/>
              <w:jc w:val="center"/>
              <w:rPr>
                <w:sz w:val="20"/>
                <w:szCs w:val="20"/>
              </w:rPr>
            </w:pPr>
            <w:r>
              <w:rPr>
                <w:sz w:val="20"/>
                <w:szCs w:val="20"/>
              </w:rPr>
              <w:t>Year</w:t>
            </w:r>
          </w:p>
        </w:tc>
        <w:tc>
          <w:tcPr>
            <w:tcW w:w="1611"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FC7098" w:rsidP="00403B10" w14:paraId="3B080F21" w14:textId="77777777">
            <w:pPr>
              <w:pStyle w:val="Default"/>
              <w:jc w:val="center"/>
              <w:rPr>
                <w:sz w:val="20"/>
                <w:szCs w:val="20"/>
              </w:rPr>
            </w:pPr>
            <w:r>
              <w:rPr>
                <w:sz w:val="20"/>
                <w:szCs w:val="20"/>
              </w:rPr>
              <w:t xml:space="preserve">Total </w:t>
            </w:r>
            <w:r w:rsidRPr="00051A0F">
              <w:rPr>
                <w:sz w:val="20"/>
                <w:szCs w:val="20"/>
              </w:rPr>
              <w:t>Respondents</w:t>
            </w:r>
            <w:r w:rsidRPr="0016660B">
              <w:rPr>
                <w:b w:val="0"/>
                <w:bCs w:val="0"/>
                <w:sz w:val="20"/>
                <w:szCs w:val="20"/>
              </w:rPr>
              <w:t>*</w:t>
            </w:r>
          </w:p>
          <w:p w:rsidR="00FC7098" w:rsidRPr="0016660B" w:rsidP="00403B10" w14:paraId="3F3929D9" w14:textId="77777777">
            <w:pPr>
              <w:pStyle w:val="Default"/>
              <w:jc w:val="center"/>
              <w:rPr>
                <w:sz w:val="20"/>
                <w:szCs w:val="20"/>
              </w:rPr>
            </w:pPr>
            <w:r>
              <w:rPr>
                <w:b w:val="0"/>
                <w:bCs w:val="0"/>
                <w:sz w:val="20"/>
                <w:szCs w:val="20"/>
              </w:rPr>
              <w:t>(A)</w:t>
            </w:r>
          </w:p>
        </w:tc>
        <w:tc>
          <w:tcPr>
            <w:tcW w:w="1609"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FC7098" w:rsidP="00403B10" w14:paraId="0F0740E7" w14:textId="77777777">
            <w:pPr>
              <w:pStyle w:val="Default"/>
              <w:jc w:val="center"/>
              <w:rPr>
                <w:sz w:val="20"/>
                <w:szCs w:val="20"/>
              </w:rPr>
            </w:pPr>
            <w:r w:rsidRPr="00051A0F">
              <w:rPr>
                <w:sz w:val="20"/>
                <w:szCs w:val="20"/>
              </w:rPr>
              <w:t>Responses per Respondent</w:t>
            </w:r>
          </w:p>
          <w:p w:rsidR="00FC7098" w:rsidRPr="0016660B" w:rsidP="00403B10" w14:paraId="245193F1" w14:textId="77777777">
            <w:pPr>
              <w:pStyle w:val="Default"/>
              <w:jc w:val="center"/>
              <w:rPr>
                <w:sz w:val="20"/>
                <w:szCs w:val="20"/>
              </w:rPr>
            </w:pPr>
            <w:r>
              <w:rPr>
                <w:b w:val="0"/>
                <w:bCs w:val="0"/>
                <w:sz w:val="20"/>
                <w:szCs w:val="20"/>
              </w:rPr>
              <w:t>(B)</w:t>
            </w:r>
          </w:p>
        </w:tc>
        <w:tc>
          <w:tcPr>
            <w:tcW w:w="1495" w:type="dxa"/>
            <w:tcBorders>
              <w:top w:val="single" w:sz="12" w:space="0" w:color="auto"/>
              <w:left w:val="single" w:sz="4" w:space="0" w:color="000000"/>
              <w:bottom w:val="single" w:sz="12" w:space="0" w:color="auto"/>
              <w:right w:val="single" w:sz="4" w:space="0" w:color="000000"/>
            </w:tcBorders>
            <w:shd w:val="clear" w:color="auto" w:fill="DBDBDB" w:themeFill="accent3" w:themeFillTint="66"/>
          </w:tcPr>
          <w:p w:rsidR="00FC7098" w:rsidP="00403B10" w14:paraId="68A55CF7" w14:textId="77777777">
            <w:pPr>
              <w:pStyle w:val="Default"/>
              <w:jc w:val="center"/>
              <w:rPr>
                <w:sz w:val="20"/>
                <w:szCs w:val="20"/>
              </w:rPr>
            </w:pPr>
            <w:r>
              <w:rPr>
                <w:sz w:val="20"/>
                <w:szCs w:val="20"/>
              </w:rPr>
              <w:t>Total Annual Responses</w:t>
            </w:r>
          </w:p>
          <w:p w:rsidR="00FC7098" w:rsidRPr="0016660B" w:rsidP="00403B10" w14:paraId="2AEC5675" w14:textId="598D387B">
            <w:pPr>
              <w:pStyle w:val="Default"/>
              <w:jc w:val="center"/>
              <w:rPr>
                <w:sz w:val="20"/>
                <w:szCs w:val="20"/>
              </w:rPr>
            </w:pPr>
            <w:r>
              <w:rPr>
                <w:b w:val="0"/>
                <w:bCs w:val="0"/>
                <w:sz w:val="20"/>
                <w:szCs w:val="20"/>
              </w:rPr>
              <w:t>(C) = (A*B)</w:t>
            </w:r>
          </w:p>
        </w:tc>
        <w:tc>
          <w:tcPr>
            <w:tcW w:w="1516"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FC7098" w:rsidP="00403B10" w14:paraId="47BDA177" w14:textId="77777777">
            <w:pPr>
              <w:pStyle w:val="Default"/>
              <w:jc w:val="center"/>
              <w:rPr>
                <w:sz w:val="20"/>
                <w:szCs w:val="20"/>
              </w:rPr>
            </w:pPr>
            <w:r>
              <w:rPr>
                <w:sz w:val="20"/>
                <w:szCs w:val="20"/>
              </w:rPr>
              <w:t>Hours</w:t>
            </w:r>
            <w:r w:rsidRPr="00051A0F">
              <w:rPr>
                <w:sz w:val="20"/>
                <w:szCs w:val="20"/>
              </w:rPr>
              <w:t xml:space="preserve"> per Response</w:t>
            </w:r>
          </w:p>
          <w:p w:rsidR="00FC7098" w:rsidRPr="0016660B" w:rsidP="00403B10" w14:paraId="50E83FB3" w14:textId="77777777">
            <w:pPr>
              <w:pStyle w:val="Default"/>
              <w:jc w:val="center"/>
              <w:rPr>
                <w:sz w:val="20"/>
                <w:szCs w:val="20"/>
              </w:rPr>
            </w:pPr>
            <w:r>
              <w:rPr>
                <w:b w:val="0"/>
                <w:bCs w:val="0"/>
                <w:sz w:val="20"/>
                <w:szCs w:val="20"/>
              </w:rPr>
              <w:t>(D)</w:t>
            </w:r>
          </w:p>
        </w:tc>
        <w:tc>
          <w:tcPr>
            <w:tcW w:w="1497" w:type="dxa"/>
            <w:tcBorders>
              <w:top w:val="single" w:sz="12" w:space="0" w:color="auto"/>
              <w:left w:val="single" w:sz="4" w:space="0" w:color="000000"/>
              <w:bottom w:val="single" w:sz="12" w:space="0" w:color="auto"/>
              <w:right w:val="single" w:sz="12" w:space="0" w:color="auto"/>
            </w:tcBorders>
            <w:shd w:val="clear" w:color="auto" w:fill="DBDBDB" w:themeFill="accent3" w:themeFillTint="66"/>
            <w:vAlign w:val="center"/>
          </w:tcPr>
          <w:p w:rsidR="00FC7098" w:rsidP="00403B10" w14:paraId="78E09E53" w14:textId="77777777">
            <w:pPr>
              <w:pStyle w:val="Default"/>
              <w:jc w:val="center"/>
              <w:rPr>
                <w:sz w:val="20"/>
                <w:szCs w:val="20"/>
              </w:rPr>
            </w:pPr>
            <w:r w:rsidRPr="00051A0F">
              <w:rPr>
                <w:sz w:val="20"/>
                <w:szCs w:val="20"/>
              </w:rPr>
              <w:t>Total Burden Hours</w:t>
            </w:r>
          </w:p>
          <w:p w:rsidR="00FC7098" w:rsidRPr="0016660B" w:rsidP="00403B10" w14:paraId="5C26D05C" w14:textId="773B65C2">
            <w:pPr>
              <w:pStyle w:val="Default"/>
              <w:jc w:val="center"/>
              <w:rPr>
                <w:sz w:val="20"/>
                <w:szCs w:val="20"/>
              </w:rPr>
            </w:pPr>
            <w:r>
              <w:rPr>
                <w:b w:val="0"/>
                <w:bCs w:val="0"/>
                <w:sz w:val="20"/>
                <w:szCs w:val="20"/>
              </w:rPr>
              <w:t>(E) = (C*D)</w:t>
            </w:r>
          </w:p>
        </w:tc>
      </w:tr>
      <w:tr w14:paraId="4E45A2CB" w14:textId="77777777" w:rsidTr="003841D0">
        <w:tblPrEx>
          <w:tblW w:w="0" w:type="auto"/>
          <w:jc w:val="center"/>
          <w:tblCellMar>
            <w:top w:w="58" w:type="dxa"/>
            <w:bottom w:w="58" w:type="dxa"/>
          </w:tblCellMar>
          <w:tblLook w:val="0620"/>
        </w:tblPrEx>
        <w:trPr>
          <w:jc w:val="center"/>
        </w:trPr>
        <w:tc>
          <w:tcPr>
            <w:tcW w:w="0" w:type="dxa"/>
            <w:tcBorders>
              <w:top w:val="single" w:sz="12" w:space="0" w:color="auto"/>
              <w:left w:val="single" w:sz="12" w:space="0" w:color="auto"/>
            </w:tcBorders>
            <w:vAlign w:val="center"/>
          </w:tcPr>
          <w:p w:rsidR="00FC7098" w:rsidRPr="00051A0F" w:rsidP="00FC7098" w14:paraId="1B7AD1F1" w14:textId="77777777">
            <w:pPr>
              <w:pStyle w:val="Default"/>
              <w:jc w:val="center"/>
              <w:rPr>
                <w:sz w:val="20"/>
                <w:szCs w:val="20"/>
              </w:rPr>
            </w:pPr>
            <w:r>
              <w:rPr>
                <w:sz w:val="20"/>
                <w:szCs w:val="20"/>
              </w:rPr>
              <w:t>1</w:t>
            </w:r>
          </w:p>
        </w:tc>
        <w:tc>
          <w:tcPr>
            <w:tcW w:w="0" w:type="dxa"/>
            <w:tcBorders>
              <w:top w:val="single" w:sz="12" w:space="0" w:color="auto"/>
            </w:tcBorders>
            <w:vAlign w:val="center"/>
          </w:tcPr>
          <w:p w:rsidR="00FC7098" w:rsidRPr="00051A0F" w:rsidP="00FC7098" w14:paraId="51D4DD0C" w14:textId="77777777">
            <w:pPr>
              <w:pStyle w:val="Default"/>
              <w:jc w:val="center"/>
              <w:rPr>
                <w:sz w:val="20"/>
                <w:szCs w:val="20"/>
              </w:rPr>
            </w:pPr>
            <w:r>
              <w:rPr>
                <w:sz w:val="20"/>
                <w:szCs w:val="20"/>
              </w:rPr>
              <w:t>15</w:t>
            </w:r>
          </w:p>
        </w:tc>
        <w:tc>
          <w:tcPr>
            <w:tcW w:w="0" w:type="dxa"/>
            <w:tcBorders>
              <w:top w:val="single" w:sz="12" w:space="0" w:color="auto"/>
            </w:tcBorders>
            <w:vAlign w:val="center"/>
          </w:tcPr>
          <w:p w:rsidR="00FC7098" w:rsidRPr="00051A0F" w:rsidP="00FC7098" w14:paraId="6E30EEAC" w14:textId="5AEA6DA0">
            <w:pPr>
              <w:pStyle w:val="Default"/>
              <w:jc w:val="center"/>
              <w:rPr>
                <w:sz w:val="20"/>
                <w:szCs w:val="20"/>
              </w:rPr>
            </w:pPr>
            <w:r>
              <w:rPr>
                <w:sz w:val="20"/>
                <w:szCs w:val="20"/>
              </w:rPr>
              <w:t>1</w:t>
            </w:r>
          </w:p>
        </w:tc>
        <w:tc>
          <w:tcPr>
            <w:tcW w:w="0" w:type="dxa"/>
            <w:tcBorders>
              <w:top w:val="single" w:sz="12" w:space="0" w:color="auto"/>
            </w:tcBorders>
            <w:vAlign w:val="center"/>
          </w:tcPr>
          <w:p w:rsidR="00FC7098" w:rsidP="00FC7098" w14:paraId="66412A1A" w14:textId="1AD060FD">
            <w:pPr>
              <w:pStyle w:val="Default"/>
              <w:jc w:val="center"/>
              <w:rPr>
                <w:sz w:val="20"/>
                <w:szCs w:val="20"/>
              </w:rPr>
            </w:pPr>
            <w:r>
              <w:rPr>
                <w:sz w:val="20"/>
                <w:szCs w:val="20"/>
              </w:rPr>
              <w:t>15</w:t>
            </w:r>
          </w:p>
        </w:tc>
        <w:tc>
          <w:tcPr>
            <w:tcW w:w="0" w:type="dxa"/>
            <w:tcBorders>
              <w:top w:val="single" w:sz="12" w:space="0" w:color="auto"/>
            </w:tcBorders>
            <w:vAlign w:val="center"/>
          </w:tcPr>
          <w:p w:rsidR="00FC7098" w:rsidRPr="00051A0F" w:rsidP="00FC7098" w14:paraId="6CF91DC1" w14:textId="77777777">
            <w:pPr>
              <w:pStyle w:val="Default"/>
              <w:jc w:val="center"/>
              <w:rPr>
                <w:sz w:val="20"/>
                <w:szCs w:val="20"/>
              </w:rPr>
            </w:pPr>
            <w:r>
              <w:rPr>
                <w:sz w:val="20"/>
                <w:szCs w:val="20"/>
              </w:rPr>
              <w:t>0.25</w:t>
            </w:r>
          </w:p>
        </w:tc>
        <w:tc>
          <w:tcPr>
            <w:tcW w:w="0" w:type="dxa"/>
            <w:tcBorders>
              <w:top w:val="single" w:sz="12" w:space="0" w:color="auto"/>
              <w:right w:val="single" w:sz="12" w:space="0" w:color="auto"/>
            </w:tcBorders>
            <w:vAlign w:val="center"/>
          </w:tcPr>
          <w:p w:rsidR="00FC7098" w:rsidRPr="00051A0F" w:rsidP="00FC7098" w14:paraId="2BF76E0D" w14:textId="20C79A2B">
            <w:pPr>
              <w:pStyle w:val="Default"/>
              <w:jc w:val="center"/>
              <w:rPr>
                <w:sz w:val="20"/>
                <w:szCs w:val="20"/>
              </w:rPr>
            </w:pPr>
            <w:r>
              <w:rPr>
                <w:sz w:val="20"/>
                <w:szCs w:val="20"/>
              </w:rPr>
              <w:t>3.75</w:t>
            </w:r>
          </w:p>
        </w:tc>
      </w:tr>
      <w:tr w14:paraId="52BD2BE6" w14:textId="77777777" w:rsidTr="003841D0">
        <w:tblPrEx>
          <w:tblW w:w="0" w:type="auto"/>
          <w:jc w:val="center"/>
          <w:tblCellMar>
            <w:top w:w="58" w:type="dxa"/>
            <w:bottom w:w="58" w:type="dxa"/>
          </w:tblCellMar>
          <w:tblLook w:val="0620"/>
        </w:tblPrEx>
        <w:trPr>
          <w:jc w:val="center"/>
        </w:trPr>
        <w:tc>
          <w:tcPr>
            <w:tcW w:w="0" w:type="dxa"/>
            <w:tcBorders>
              <w:left w:val="single" w:sz="12" w:space="0" w:color="auto"/>
            </w:tcBorders>
            <w:vAlign w:val="center"/>
          </w:tcPr>
          <w:p w:rsidR="00FC7098" w:rsidRPr="00051A0F" w:rsidP="00FC7098" w14:paraId="608316D1" w14:textId="77777777">
            <w:pPr>
              <w:pStyle w:val="Default"/>
              <w:jc w:val="center"/>
              <w:rPr>
                <w:sz w:val="20"/>
                <w:szCs w:val="20"/>
              </w:rPr>
            </w:pPr>
            <w:r>
              <w:rPr>
                <w:sz w:val="20"/>
                <w:szCs w:val="20"/>
              </w:rPr>
              <w:t>2</w:t>
            </w:r>
          </w:p>
        </w:tc>
        <w:tc>
          <w:tcPr>
            <w:tcW w:w="0" w:type="dxa"/>
            <w:vAlign w:val="center"/>
          </w:tcPr>
          <w:p w:rsidR="00FC7098" w:rsidRPr="00051A0F" w:rsidP="00FC7098" w14:paraId="200F3E4C" w14:textId="42ACC683">
            <w:pPr>
              <w:pStyle w:val="Default"/>
              <w:jc w:val="center"/>
              <w:rPr>
                <w:sz w:val="20"/>
                <w:szCs w:val="20"/>
              </w:rPr>
            </w:pPr>
            <w:r>
              <w:rPr>
                <w:sz w:val="20"/>
                <w:szCs w:val="20"/>
              </w:rPr>
              <w:t>15</w:t>
            </w:r>
          </w:p>
        </w:tc>
        <w:tc>
          <w:tcPr>
            <w:tcW w:w="0" w:type="dxa"/>
            <w:vAlign w:val="center"/>
          </w:tcPr>
          <w:p w:rsidR="00FC7098" w:rsidRPr="00051A0F" w:rsidP="00FC7098" w14:paraId="03D5B272" w14:textId="4B83C153">
            <w:pPr>
              <w:pStyle w:val="Default"/>
              <w:jc w:val="center"/>
              <w:rPr>
                <w:sz w:val="20"/>
                <w:szCs w:val="20"/>
              </w:rPr>
            </w:pPr>
            <w:r>
              <w:rPr>
                <w:sz w:val="20"/>
                <w:szCs w:val="20"/>
              </w:rPr>
              <w:t>1</w:t>
            </w:r>
          </w:p>
        </w:tc>
        <w:tc>
          <w:tcPr>
            <w:tcW w:w="0" w:type="dxa"/>
            <w:vAlign w:val="center"/>
          </w:tcPr>
          <w:p w:rsidR="00FC7098" w:rsidP="00FC7098" w14:paraId="382B61CF" w14:textId="079DCA3B">
            <w:pPr>
              <w:pStyle w:val="Default"/>
              <w:jc w:val="center"/>
              <w:rPr>
                <w:sz w:val="20"/>
                <w:szCs w:val="20"/>
              </w:rPr>
            </w:pPr>
            <w:r>
              <w:rPr>
                <w:sz w:val="20"/>
                <w:szCs w:val="20"/>
              </w:rPr>
              <w:t>15</w:t>
            </w:r>
          </w:p>
        </w:tc>
        <w:tc>
          <w:tcPr>
            <w:tcW w:w="0" w:type="dxa"/>
            <w:vAlign w:val="center"/>
          </w:tcPr>
          <w:p w:rsidR="00FC7098" w:rsidRPr="00051A0F" w:rsidP="00FC7098" w14:paraId="735403FC" w14:textId="77777777">
            <w:pPr>
              <w:pStyle w:val="Default"/>
              <w:jc w:val="center"/>
              <w:rPr>
                <w:sz w:val="20"/>
                <w:szCs w:val="20"/>
              </w:rPr>
            </w:pPr>
            <w:r>
              <w:rPr>
                <w:sz w:val="20"/>
                <w:szCs w:val="20"/>
              </w:rPr>
              <w:t>0.25</w:t>
            </w:r>
          </w:p>
        </w:tc>
        <w:tc>
          <w:tcPr>
            <w:tcW w:w="0" w:type="dxa"/>
            <w:tcBorders>
              <w:right w:val="single" w:sz="12" w:space="0" w:color="auto"/>
            </w:tcBorders>
            <w:vAlign w:val="center"/>
          </w:tcPr>
          <w:p w:rsidR="00FC7098" w:rsidRPr="00051A0F" w:rsidP="00FC7098" w14:paraId="7929C6D1" w14:textId="55E1169E">
            <w:pPr>
              <w:pStyle w:val="Default"/>
              <w:jc w:val="center"/>
              <w:rPr>
                <w:sz w:val="20"/>
                <w:szCs w:val="20"/>
              </w:rPr>
            </w:pPr>
            <w:r>
              <w:rPr>
                <w:sz w:val="20"/>
                <w:szCs w:val="20"/>
              </w:rPr>
              <w:t>3.75</w:t>
            </w:r>
          </w:p>
        </w:tc>
      </w:tr>
      <w:tr w14:paraId="344CFE08" w14:textId="77777777" w:rsidTr="003841D0">
        <w:tblPrEx>
          <w:tblW w:w="0" w:type="auto"/>
          <w:jc w:val="center"/>
          <w:tblCellMar>
            <w:top w:w="58" w:type="dxa"/>
            <w:bottom w:w="58" w:type="dxa"/>
          </w:tblCellMar>
          <w:tblLook w:val="0620"/>
        </w:tblPrEx>
        <w:trPr>
          <w:jc w:val="center"/>
        </w:trPr>
        <w:tc>
          <w:tcPr>
            <w:tcW w:w="0" w:type="dxa"/>
            <w:tcBorders>
              <w:left w:val="single" w:sz="12" w:space="0" w:color="auto"/>
            </w:tcBorders>
            <w:vAlign w:val="center"/>
          </w:tcPr>
          <w:p w:rsidR="00FC7098" w:rsidRPr="00051A0F" w:rsidP="00FC7098" w14:paraId="3E49E6A7" w14:textId="77777777">
            <w:pPr>
              <w:pStyle w:val="Default"/>
              <w:jc w:val="center"/>
              <w:rPr>
                <w:sz w:val="20"/>
                <w:szCs w:val="20"/>
              </w:rPr>
            </w:pPr>
            <w:r>
              <w:rPr>
                <w:sz w:val="20"/>
                <w:szCs w:val="20"/>
              </w:rPr>
              <w:t>3</w:t>
            </w:r>
          </w:p>
        </w:tc>
        <w:tc>
          <w:tcPr>
            <w:tcW w:w="0" w:type="dxa"/>
            <w:vAlign w:val="center"/>
          </w:tcPr>
          <w:p w:rsidR="00FC7098" w:rsidRPr="00051A0F" w:rsidP="00FC7098" w14:paraId="3422752D" w14:textId="57917C97">
            <w:pPr>
              <w:pStyle w:val="Default"/>
              <w:jc w:val="center"/>
              <w:rPr>
                <w:sz w:val="20"/>
                <w:szCs w:val="20"/>
              </w:rPr>
            </w:pPr>
            <w:r>
              <w:rPr>
                <w:sz w:val="20"/>
                <w:szCs w:val="20"/>
              </w:rPr>
              <w:t>15</w:t>
            </w:r>
          </w:p>
        </w:tc>
        <w:tc>
          <w:tcPr>
            <w:tcW w:w="0" w:type="dxa"/>
            <w:vAlign w:val="center"/>
          </w:tcPr>
          <w:p w:rsidR="00FC7098" w:rsidP="00FC7098" w14:paraId="28F61764" w14:textId="78F35B24">
            <w:pPr>
              <w:pStyle w:val="Default"/>
              <w:jc w:val="center"/>
              <w:rPr>
                <w:sz w:val="20"/>
                <w:szCs w:val="20"/>
              </w:rPr>
            </w:pPr>
            <w:r>
              <w:rPr>
                <w:sz w:val="20"/>
                <w:szCs w:val="20"/>
              </w:rPr>
              <w:t>1</w:t>
            </w:r>
          </w:p>
        </w:tc>
        <w:tc>
          <w:tcPr>
            <w:tcW w:w="0" w:type="dxa"/>
            <w:vAlign w:val="center"/>
          </w:tcPr>
          <w:p w:rsidR="00FC7098" w:rsidP="00FC7098" w14:paraId="03EC1B38" w14:textId="540012C1">
            <w:pPr>
              <w:pStyle w:val="Default"/>
              <w:jc w:val="center"/>
              <w:rPr>
                <w:sz w:val="20"/>
                <w:szCs w:val="20"/>
              </w:rPr>
            </w:pPr>
            <w:r>
              <w:rPr>
                <w:sz w:val="20"/>
                <w:szCs w:val="20"/>
              </w:rPr>
              <w:t>15</w:t>
            </w:r>
          </w:p>
        </w:tc>
        <w:tc>
          <w:tcPr>
            <w:tcW w:w="0" w:type="dxa"/>
            <w:vAlign w:val="center"/>
          </w:tcPr>
          <w:p w:rsidR="00FC7098" w:rsidP="00FC7098" w14:paraId="13DCD630" w14:textId="77777777">
            <w:pPr>
              <w:pStyle w:val="Default"/>
              <w:jc w:val="center"/>
              <w:rPr>
                <w:sz w:val="20"/>
                <w:szCs w:val="20"/>
              </w:rPr>
            </w:pPr>
            <w:r>
              <w:rPr>
                <w:sz w:val="20"/>
                <w:szCs w:val="20"/>
              </w:rPr>
              <w:t>0.25</w:t>
            </w:r>
          </w:p>
        </w:tc>
        <w:tc>
          <w:tcPr>
            <w:tcW w:w="0" w:type="dxa"/>
            <w:tcBorders>
              <w:right w:val="single" w:sz="12" w:space="0" w:color="auto"/>
            </w:tcBorders>
            <w:vAlign w:val="center"/>
          </w:tcPr>
          <w:p w:rsidR="00FC7098" w:rsidP="00FC7098" w14:paraId="1A11B4AD" w14:textId="2BA3B550">
            <w:pPr>
              <w:pStyle w:val="Default"/>
              <w:jc w:val="center"/>
              <w:rPr>
                <w:sz w:val="20"/>
                <w:szCs w:val="20"/>
              </w:rPr>
            </w:pPr>
            <w:r>
              <w:rPr>
                <w:sz w:val="20"/>
                <w:szCs w:val="20"/>
              </w:rPr>
              <w:t>3.75</w:t>
            </w:r>
          </w:p>
        </w:tc>
      </w:tr>
      <w:tr w14:paraId="3BF267AD" w14:textId="77777777" w:rsidTr="003841D0">
        <w:tblPrEx>
          <w:tblW w:w="0" w:type="auto"/>
          <w:jc w:val="center"/>
          <w:tblCellMar>
            <w:top w:w="58" w:type="dxa"/>
            <w:bottom w:w="58" w:type="dxa"/>
          </w:tblCellMar>
          <w:tblLook w:val="0620"/>
        </w:tblPrEx>
        <w:trPr>
          <w:jc w:val="center"/>
        </w:trPr>
        <w:tc>
          <w:tcPr>
            <w:tcW w:w="0" w:type="dxa"/>
            <w:tcBorders>
              <w:left w:val="single" w:sz="12" w:space="0" w:color="auto"/>
            </w:tcBorders>
            <w:vAlign w:val="center"/>
          </w:tcPr>
          <w:p w:rsidR="00FC7098" w:rsidRPr="00051A0F" w:rsidP="00FC7098" w14:paraId="08BA40B1" w14:textId="77777777">
            <w:pPr>
              <w:pStyle w:val="Default"/>
              <w:jc w:val="center"/>
              <w:rPr>
                <w:sz w:val="20"/>
                <w:szCs w:val="20"/>
              </w:rPr>
            </w:pPr>
            <w:r>
              <w:rPr>
                <w:sz w:val="20"/>
                <w:szCs w:val="20"/>
              </w:rPr>
              <w:t>4</w:t>
            </w:r>
          </w:p>
        </w:tc>
        <w:tc>
          <w:tcPr>
            <w:tcW w:w="0" w:type="dxa"/>
            <w:vAlign w:val="center"/>
          </w:tcPr>
          <w:p w:rsidR="00FC7098" w:rsidRPr="00051A0F" w:rsidP="00FC7098" w14:paraId="6C507A39" w14:textId="135B2120">
            <w:pPr>
              <w:pStyle w:val="Default"/>
              <w:jc w:val="center"/>
              <w:rPr>
                <w:sz w:val="20"/>
                <w:szCs w:val="20"/>
              </w:rPr>
            </w:pPr>
            <w:r>
              <w:rPr>
                <w:sz w:val="20"/>
                <w:szCs w:val="20"/>
              </w:rPr>
              <w:t>15</w:t>
            </w:r>
          </w:p>
        </w:tc>
        <w:tc>
          <w:tcPr>
            <w:tcW w:w="0" w:type="dxa"/>
            <w:vAlign w:val="center"/>
          </w:tcPr>
          <w:p w:rsidR="00FC7098" w:rsidRPr="00051A0F" w:rsidP="00FC7098" w14:paraId="666DD830" w14:textId="4A3AE754">
            <w:pPr>
              <w:pStyle w:val="Default"/>
              <w:jc w:val="center"/>
              <w:rPr>
                <w:sz w:val="20"/>
                <w:szCs w:val="20"/>
              </w:rPr>
            </w:pPr>
            <w:r>
              <w:rPr>
                <w:sz w:val="20"/>
                <w:szCs w:val="20"/>
              </w:rPr>
              <w:t>1</w:t>
            </w:r>
          </w:p>
        </w:tc>
        <w:tc>
          <w:tcPr>
            <w:tcW w:w="0" w:type="dxa"/>
            <w:vAlign w:val="center"/>
          </w:tcPr>
          <w:p w:rsidR="00FC7098" w:rsidP="00FC7098" w14:paraId="1F0B9077" w14:textId="1E135CDF">
            <w:pPr>
              <w:pStyle w:val="Default"/>
              <w:jc w:val="center"/>
              <w:rPr>
                <w:sz w:val="20"/>
                <w:szCs w:val="20"/>
              </w:rPr>
            </w:pPr>
            <w:r>
              <w:rPr>
                <w:sz w:val="20"/>
                <w:szCs w:val="20"/>
              </w:rPr>
              <w:t>15</w:t>
            </w:r>
          </w:p>
        </w:tc>
        <w:tc>
          <w:tcPr>
            <w:tcW w:w="0" w:type="dxa"/>
            <w:vAlign w:val="center"/>
          </w:tcPr>
          <w:p w:rsidR="00FC7098" w:rsidRPr="00051A0F" w:rsidP="00FC7098" w14:paraId="19B1F5B5" w14:textId="77777777">
            <w:pPr>
              <w:pStyle w:val="Default"/>
              <w:jc w:val="center"/>
              <w:rPr>
                <w:sz w:val="20"/>
                <w:szCs w:val="20"/>
              </w:rPr>
            </w:pPr>
            <w:r>
              <w:rPr>
                <w:sz w:val="20"/>
                <w:szCs w:val="20"/>
              </w:rPr>
              <w:t>0.25</w:t>
            </w:r>
          </w:p>
        </w:tc>
        <w:tc>
          <w:tcPr>
            <w:tcW w:w="0" w:type="dxa"/>
            <w:tcBorders>
              <w:right w:val="single" w:sz="12" w:space="0" w:color="auto"/>
            </w:tcBorders>
            <w:vAlign w:val="center"/>
          </w:tcPr>
          <w:p w:rsidR="00FC7098" w:rsidRPr="00051A0F" w:rsidP="00FC7098" w14:paraId="5B2BD760" w14:textId="70AC1523">
            <w:pPr>
              <w:pStyle w:val="Default"/>
              <w:jc w:val="center"/>
              <w:rPr>
                <w:sz w:val="20"/>
                <w:szCs w:val="20"/>
              </w:rPr>
            </w:pPr>
            <w:r>
              <w:rPr>
                <w:sz w:val="20"/>
                <w:szCs w:val="20"/>
              </w:rPr>
              <w:t>3.75</w:t>
            </w:r>
          </w:p>
        </w:tc>
      </w:tr>
      <w:tr w14:paraId="2C6DB90A" w14:textId="77777777" w:rsidTr="003841D0">
        <w:tblPrEx>
          <w:tblW w:w="0" w:type="auto"/>
          <w:jc w:val="center"/>
          <w:tblCellMar>
            <w:top w:w="58" w:type="dxa"/>
            <w:bottom w:w="58" w:type="dxa"/>
          </w:tblCellMar>
          <w:tblLook w:val="0620"/>
        </w:tblPrEx>
        <w:trPr>
          <w:jc w:val="center"/>
        </w:trPr>
        <w:tc>
          <w:tcPr>
            <w:tcW w:w="1602" w:type="dxa"/>
            <w:tcBorders>
              <w:left w:val="single" w:sz="12" w:space="0" w:color="auto"/>
            </w:tcBorders>
            <w:vAlign w:val="center"/>
          </w:tcPr>
          <w:p w:rsidR="00FC7098" w:rsidRPr="00AF61D2" w:rsidP="00403B10" w14:paraId="5D801D9B" w14:textId="77777777">
            <w:pPr>
              <w:pStyle w:val="Default"/>
              <w:jc w:val="center"/>
              <w:rPr>
                <w:b/>
                <w:bCs/>
                <w:sz w:val="20"/>
                <w:szCs w:val="20"/>
              </w:rPr>
            </w:pPr>
            <w:r>
              <w:rPr>
                <w:b/>
                <w:bCs/>
                <w:sz w:val="20"/>
                <w:szCs w:val="20"/>
              </w:rPr>
              <w:t>4</w:t>
            </w:r>
            <w:r w:rsidRPr="00AF61D2">
              <w:rPr>
                <w:b/>
                <w:bCs/>
                <w:sz w:val="20"/>
                <w:szCs w:val="20"/>
              </w:rPr>
              <w:t>-year Total</w:t>
            </w:r>
          </w:p>
        </w:tc>
        <w:tc>
          <w:tcPr>
            <w:tcW w:w="1611" w:type="dxa"/>
            <w:vAlign w:val="center"/>
          </w:tcPr>
          <w:p w:rsidR="00FC7098" w:rsidRPr="00051A0F" w:rsidP="00403B10" w14:paraId="16FCA146" w14:textId="77777777">
            <w:pPr>
              <w:pStyle w:val="Default"/>
              <w:jc w:val="center"/>
              <w:rPr>
                <w:sz w:val="20"/>
                <w:szCs w:val="20"/>
              </w:rPr>
            </w:pPr>
            <w:r>
              <w:rPr>
                <w:sz w:val="20"/>
                <w:szCs w:val="20"/>
              </w:rPr>
              <w:t>-</w:t>
            </w:r>
          </w:p>
        </w:tc>
        <w:tc>
          <w:tcPr>
            <w:tcW w:w="1609" w:type="dxa"/>
            <w:vAlign w:val="center"/>
          </w:tcPr>
          <w:p w:rsidR="00FC7098" w:rsidRPr="00051A0F" w:rsidP="00403B10" w14:paraId="74C3A55C" w14:textId="77777777">
            <w:pPr>
              <w:pStyle w:val="Default"/>
              <w:jc w:val="center"/>
              <w:rPr>
                <w:sz w:val="20"/>
                <w:szCs w:val="20"/>
              </w:rPr>
            </w:pPr>
            <w:r>
              <w:rPr>
                <w:sz w:val="20"/>
                <w:szCs w:val="20"/>
              </w:rPr>
              <w:t>-</w:t>
            </w:r>
          </w:p>
        </w:tc>
        <w:tc>
          <w:tcPr>
            <w:tcW w:w="1495" w:type="dxa"/>
          </w:tcPr>
          <w:p w:rsidR="00FC7098" w:rsidRPr="00051A0F" w:rsidP="00403B10" w14:paraId="10ABBDB3" w14:textId="493A17F0">
            <w:pPr>
              <w:pStyle w:val="Default"/>
              <w:jc w:val="center"/>
              <w:rPr>
                <w:sz w:val="20"/>
                <w:szCs w:val="20"/>
              </w:rPr>
            </w:pPr>
            <w:r>
              <w:rPr>
                <w:sz w:val="20"/>
                <w:szCs w:val="20"/>
              </w:rPr>
              <w:t>60</w:t>
            </w:r>
          </w:p>
        </w:tc>
        <w:tc>
          <w:tcPr>
            <w:tcW w:w="1516" w:type="dxa"/>
            <w:vAlign w:val="center"/>
          </w:tcPr>
          <w:p w:rsidR="00FC7098" w:rsidRPr="00051A0F" w:rsidP="00403B10" w14:paraId="2799387F" w14:textId="77777777">
            <w:pPr>
              <w:pStyle w:val="Default"/>
              <w:jc w:val="center"/>
              <w:rPr>
                <w:sz w:val="20"/>
                <w:szCs w:val="20"/>
              </w:rPr>
            </w:pPr>
            <w:r w:rsidRPr="00051A0F">
              <w:rPr>
                <w:sz w:val="20"/>
                <w:szCs w:val="20"/>
              </w:rPr>
              <w:t>-</w:t>
            </w:r>
          </w:p>
        </w:tc>
        <w:tc>
          <w:tcPr>
            <w:tcW w:w="1497" w:type="dxa"/>
            <w:tcBorders>
              <w:right w:val="single" w:sz="12" w:space="0" w:color="auto"/>
            </w:tcBorders>
            <w:vAlign w:val="center"/>
          </w:tcPr>
          <w:p w:rsidR="00FC7098" w:rsidRPr="00051A0F" w:rsidP="00403B10" w14:paraId="3C192A04" w14:textId="367CD7EA">
            <w:pPr>
              <w:pStyle w:val="Default"/>
              <w:jc w:val="center"/>
              <w:rPr>
                <w:sz w:val="20"/>
                <w:szCs w:val="20"/>
              </w:rPr>
            </w:pPr>
            <w:r>
              <w:rPr>
                <w:sz w:val="20"/>
                <w:szCs w:val="20"/>
              </w:rPr>
              <w:t>15</w:t>
            </w:r>
          </w:p>
        </w:tc>
      </w:tr>
      <w:tr w14:paraId="20510229" w14:textId="77777777" w:rsidTr="003841D0">
        <w:tblPrEx>
          <w:tblW w:w="0" w:type="auto"/>
          <w:jc w:val="center"/>
          <w:tblCellMar>
            <w:top w:w="58" w:type="dxa"/>
            <w:bottom w:w="58" w:type="dxa"/>
          </w:tblCellMar>
          <w:tblLook w:val="0620"/>
        </w:tblPrEx>
        <w:trPr>
          <w:jc w:val="center"/>
        </w:trPr>
        <w:tc>
          <w:tcPr>
            <w:tcW w:w="1602" w:type="dxa"/>
            <w:tcBorders>
              <w:left w:val="single" w:sz="12" w:space="0" w:color="auto"/>
              <w:bottom w:val="single" w:sz="12" w:space="0" w:color="auto"/>
            </w:tcBorders>
            <w:vAlign w:val="center"/>
          </w:tcPr>
          <w:p w:rsidR="00FC7098" w:rsidRPr="00AF61D2" w:rsidP="00403B10" w14:paraId="08608975" w14:textId="77777777">
            <w:pPr>
              <w:pStyle w:val="Default"/>
              <w:jc w:val="center"/>
              <w:rPr>
                <w:b/>
                <w:bCs/>
                <w:sz w:val="20"/>
                <w:szCs w:val="20"/>
              </w:rPr>
            </w:pPr>
            <w:r w:rsidRPr="00AF61D2">
              <w:rPr>
                <w:b/>
                <w:bCs/>
                <w:sz w:val="20"/>
                <w:szCs w:val="20"/>
              </w:rPr>
              <w:t>Annual Average</w:t>
            </w:r>
          </w:p>
        </w:tc>
        <w:tc>
          <w:tcPr>
            <w:tcW w:w="1611" w:type="dxa"/>
            <w:tcBorders>
              <w:bottom w:val="single" w:sz="12" w:space="0" w:color="auto"/>
            </w:tcBorders>
            <w:vAlign w:val="center"/>
          </w:tcPr>
          <w:p w:rsidR="00FC7098" w:rsidRPr="00051A0F" w:rsidP="00403B10" w14:paraId="7A85F24A" w14:textId="77777777">
            <w:pPr>
              <w:pStyle w:val="Default"/>
              <w:jc w:val="center"/>
              <w:rPr>
                <w:sz w:val="20"/>
                <w:szCs w:val="20"/>
              </w:rPr>
            </w:pPr>
            <w:r>
              <w:rPr>
                <w:sz w:val="20"/>
                <w:szCs w:val="20"/>
              </w:rPr>
              <w:t>-</w:t>
            </w:r>
          </w:p>
        </w:tc>
        <w:tc>
          <w:tcPr>
            <w:tcW w:w="1609" w:type="dxa"/>
            <w:tcBorders>
              <w:bottom w:val="single" w:sz="12" w:space="0" w:color="auto"/>
            </w:tcBorders>
            <w:vAlign w:val="center"/>
          </w:tcPr>
          <w:p w:rsidR="00FC7098" w:rsidRPr="00051A0F" w:rsidP="00403B10" w14:paraId="7FAD0833" w14:textId="77777777">
            <w:pPr>
              <w:pStyle w:val="Default"/>
              <w:jc w:val="center"/>
              <w:rPr>
                <w:sz w:val="20"/>
                <w:szCs w:val="20"/>
              </w:rPr>
            </w:pPr>
            <w:r>
              <w:rPr>
                <w:sz w:val="20"/>
                <w:szCs w:val="20"/>
              </w:rPr>
              <w:t>-</w:t>
            </w:r>
          </w:p>
        </w:tc>
        <w:tc>
          <w:tcPr>
            <w:tcW w:w="1495" w:type="dxa"/>
            <w:tcBorders>
              <w:bottom w:val="single" w:sz="12" w:space="0" w:color="auto"/>
            </w:tcBorders>
            <w:vAlign w:val="center"/>
          </w:tcPr>
          <w:p w:rsidR="00FC7098" w:rsidRPr="00051A0F" w:rsidP="00403B10" w14:paraId="2C208E88" w14:textId="2C479007">
            <w:pPr>
              <w:pStyle w:val="Default"/>
              <w:jc w:val="center"/>
              <w:rPr>
                <w:sz w:val="20"/>
                <w:szCs w:val="20"/>
              </w:rPr>
            </w:pPr>
            <w:r>
              <w:rPr>
                <w:sz w:val="20"/>
                <w:szCs w:val="20"/>
              </w:rPr>
              <w:t>15</w:t>
            </w:r>
          </w:p>
        </w:tc>
        <w:tc>
          <w:tcPr>
            <w:tcW w:w="1516" w:type="dxa"/>
            <w:tcBorders>
              <w:bottom w:val="single" w:sz="12" w:space="0" w:color="auto"/>
            </w:tcBorders>
            <w:vAlign w:val="center"/>
          </w:tcPr>
          <w:p w:rsidR="00FC7098" w:rsidRPr="00051A0F" w:rsidP="00403B10" w14:paraId="7808B093" w14:textId="77777777">
            <w:pPr>
              <w:pStyle w:val="Default"/>
              <w:jc w:val="center"/>
              <w:rPr>
                <w:sz w:val="20"/>
                <w:szCs w:val="20"/>
              </w:rPr>
            </w:pPr>
            <w:r w:rsidRPr="00051A0F">
              <w:rPr>
                <w:sz w:val="20"/>
                <w:szCs w:val="20"/>
              </w:rPr>
              <w:t>-</w:t>
            </w:r>
          </w:p>
        </w:tc>
        <w:tc>
          <w:tcPr>
            <w:tcW w:w="1497" w:type="dxa"/>
            <w:tcBorders>
              <w:bottom w:val="single" w:sz="12" w:space="0" w:color="auto"/>
              <w:right w:val="single" w:sz="12" w:space="0" w:color="auto"/>
            </w:tcBorders>
            <w:vAlign w:val="center"/>
          </w:tcPr>
          <w:p w:rsidR="00FC7098" w:rsidRPr="00051A0F" w:rsidP="00403B10" w14:paraId="006AE7F3" w14:textId="78D62C64">
            <w:pPr>
              <w:pStyle w:val="Default"/>
              <w:jc w:val="center"/>
              <w:rPr>
                <w:sz w:val="20"/>
                <w:szCs w:val="20"/>
              </w:rPr>
            </w:pPr>
            <w:r>
              <w:rPr>
                <w:sz w:val="20"/>
                <w:szCs w:val="20"/>
              </w:rPr>
              <w:t>3.75</w:t>
            </w:r>
          </w:p>
        </w:tc>
      </w:tr>
    </w:tbl>
    <w:p w:rsidR="00FC7098" w:rsidP="00FC7098" w14:paraId="5ECCB12A" w14:textId="77777777">
      <w:pPr>
        <w:pStyle w:val="Default"/>
      </w:pPr>
      <w:r w:rsidRPr="00CA40CB">
        <w:rPr>
          <w:sz w:val="20"/>
          <w:szCs w:val="20"/>
        </w:rPr>
        <w:t>* Using continuous enrollment, the research team estimates 15 carriers enrolling in Year 1 (4 years), 15 carriers enrolling in Year 2 (3 years), 15 carriers enrolling in Year 3 (2 years), and 15 carriers enrolling in Year 4 (1 year)</w:t>
      </w:r>
      <w:r>
        <w:rPr>
          <w:sz w:val="20"/>
          <w:szCs w:val="20"/>
        </w:rPr>
        <w:t>, for a total of 60 carriers.</w:t>
      </w:r>
    </w:p>
    <w:p w:rsidR="00FC7098" w:rsidP="0016660B" w14:paraId="650C16A7" w14:textId="77777777">
      <w:pPr>
        <w:pStyle w:val="Default"/>
      </w:pPr>
    </w:p>
    <w:p w:rsidR="002E6DA6" w:rsidP="419387CF" w14:paraId="667A5CEF" w14:textId="72E738DD">
      <w:pPr>
        <w:pStyle w:val="Default"/>
        <w:rPr>
          <w:vertAlign w:val="superscript"/>
        </w:rPr>
      </w:pPr>
      <w:r>
        <w:t>The research team assumes that clerical staff at a carrier will work with the research team to complete the one-time TSP setup process. The closest occupation match available in the Bureau of Labor Statistics (BLS) is “Information and Record Clerks, All Other</w:t>
      </w:r>
      <w:r w:rsidR="1F53DFE0">
        <w:t xml:space="preserve"> (SOC-43-4199)</w:t>
      </w:r>
      <w:r>
        <w:t>”, which has a median wage of $2</w:t>
      </w:r>
      <w:r w:rsidR="000E5A4E">
        <w:t>3</w:t>
      </w:r>
      <w:r>
        <w:t>.2</w:t>
      </w:r>
      <w:r w:rsidR="000E5A4E">
        <w:t>5</w:t>
      </w:r>
      <w:r>
        <w:t xml:space="preserve"> per hour (May 202</w:t>
      </w:r>
      <w:r w:rsidR="000E5A4E">
        <w:t>4</w:t>
      </w:r>
      <w:r>
        <w:t>).</w:t>
      </w:r>
      <w:r w:rsidRPr="207D3D73" w:rsidR="00652E13">
        <w:rPr>
          <w:vertAlign w:val="superscript"/>
        </w:rPr>
        <w:t>7</w:t>
      </w:r>
    </w:p>
    <w:p w:rsidR="002E6DA6" w:rsidP="002E6DA6" w14:paraId="7F4C300F" w14:textId="77777777">
      <w:pPr>
        <w:pStyle w:val="Default"/>
        <w:jc w:val="both"/>
      </w:pPr>
    </w:p>
    <w:p w:rsidR="002E6DA6" w:rsidP="002E6DA6" w14:paraId="28DCBD97" w14:textId="720026F3">
      <w:pPr>
        <w:pStyle w:val="Default"/>
      </w:pPr>
      <w:r>
        <w:t>The following was used to determine the load factor. BLS reports that the total cost of compensation (wages and salaries plus benefit costs) for transportation and warehousing private industry workers is $49.88 per hour, while the average cost of hourly wages and salaries is $33.66.</w:t>
      </w:r>
      <w:r w:rsidRPr="419387CF" w:rsidR="00652E13">
        <w:rPr>
          <w:vertAlign w:val="superscript"/>
        </w:rPr>
        <w:t>8</w:t>
      </w:r>
      <w:r>
        <w:t xml:space="preserve"> Dividing the total cost of compensation ($49.88) by the cost of hourly wages and salaries ($33.66) gives an estimated load factor of 1.48. To estimate the loaded hourly wage for a clerical staff member at a carrier, the mean wage ($2</w:t>
      </w:r>
      <w:r w:rsidR="000E5A4E">
        <w:t>3</w:t>
      </w:r>
      <w:r>
        <w:t>.2</w:t>
      </w:r>
      <w:r w:rsidR="000E5A4E">
        <w:t>5</w:t>
      </w:r>
      <w:r>
        <w:t>) is multiplied by the load factor (1.48). The estimated loaded wage is shown in the table below.</w:t>
      </w:r>
    </w:p>
    <w:p w:rsidR="002E6DA6" w:rsidP="002E6DA6" w14:paraId="3762135C" w14:textId="77777777">
      <w:pPr>
        <w:pStyle w:val="Default"/>
      </w:pPr>
    </w:p>
    <w:p w:rsidR="002E6DA6" w:rsidRPr="00CA40CB" w:rsidP="002E6DA6" w14:paraId="488D9187" w14:textId="54DC94C2">
      <w:pPr>
        <w:pStyle w:val="Default"/>
        <w:ind w:left="360"/>
        <w:jc w:val="center"/>
        <w:rPr>
          <w:b/>
          <w:bCs/>
          <w:sz w:val="20"/>
          <w:szCs w:val="20"/>
        </w:rPr>
      </w:pPr>
      <w:r w:rsidRPr="419387CF">
        <w:rPr>
          <w:b/>
          <w:bCs/>
          <w:sz w:val="20"/>
          <w:szCs w:val="20"/>
        </w:rPr>
        <w:t xml:space="preserve">Table 6: </w:t>
      </w:r>
      <w:r w:rsidRPr="419387CF">
        <w:rPr>
          <w:sz w:val="20"/>
          <w:szCs w:val="20"/>
        </w:rPr>
        <w:t>IC2: Estimated loaded hourly wage.</w:t>
      </w:r>
    </w:p>
    <w:p w:rsidR="002E6DA6" w:rsidP="002E6DA6" w14:paraId="7A14D177" w14:textId="77777777">
      <w:pPr>
        <w:pStyle w:val="Default"/>
      </w:pPr>
    </w:p>
    <w:tbl>
      <w:tblPr>
        <w:tblStyle w:val="GridTable4"/>
        <w:tblW w:w="0" w:type="auto"/>
        <w:jc w:val="center"/>
        <w:tblCellMar>
          <w:top w:w="58" w:type="dxa"/>
          <w:bottom w:w="58" w:type="dxa"/>
        </w:tblCellMar>
        <w:tblLook w:val="0620"/>
      </w:tblPr>
      <w:tblGrid>
        <w:gridCol w:w="1977"/>
        <w:gridCol w:w="1611"/>
        <w:gridCol w:w="1609"/>
        <w:gridCol w:w="1497"/>
      </w:tblGrid>
      <w:tr w14:paraId="229B4ED3" w14:textId="77777777" w:rsidTr="003841D0">
        <w:tblPrEx>
          <w:tblW w:w="0" w:type="auto"/>
          <w:jc w:val="center"/>
          <w:tblCellMar>
            <w:top w:w="58" w:type="dxa"/>
            <w:bottom w:w="58" w:type="dxa"/>
          </w:tblCellMar>
          <w:tblLook w:val="0620"/>
        </w:tblPrEx>
        <w:trPr>
          <w:jc w:val="center"/>
        </w:trPr>
        <w:tc>
          <w:tcPr>
            <w:tcW w:w="1977" w:type="dxa"/>
            <w:tcBorders>
              <w:top w:val="single" w:sz="12" w:space="0" w:color="auto"/>
              <w:left w:val="single" w:sz="12" w:space="0" w:color="auto"/>
              <w:bottom w:val="single" w:sz="12" w:space="0" w:color="auto"/>
              <w:right w:val="single" w:sz="4" w:space="0" w:color="000000"/>
            </w:tcBorders>
            <w:shd w:val="clear" w:color="auto" w:fill="DBDBDB" w:themeFill="accent3" w:themeFillTint="66"/>
            <w:vAlign w:val="center"/>
          </w:tcPr>
          <w:p w:rsidR="002E6DA6" w:rsidRPr="00051A0F" w:rsidP="00403B10" w14:paraId="0BB4B1E1" w14:textId="77777777">
            <w:pPr>
              <w:pStyle w:val="Default"/>
              <w:jc w:val="center"/>
              <w:rPr>
                <w:sz w:val="20"/>
                <w:szCs w:val="20"/>
              </w:rPr>
            </w:pPr>
            <w:r>
              <w:rPr>
                <w:sz w:val="20"/>
                <w:szCs w:val="20"/>
              </w:rPr>
              <w:t>Occupation</w:t>
            </w:r>
          </w:p>
        </w:tc>
        <w:tc>
          <w:tcPr>
            <w:tcW w:w="1611"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2E6DA6" w:rsidP="00403B10" w14:paraId="2E18AABA" w14:textId="77777777">
            <w:pPr>
              <w:pStyle w:val="Default"/>
              <w:jc w:val="center"/>
              <w:rPr>
                <w:sz w:val="20"/>
                <w:szCs w:val="20"/>
              </w:rPr>
            </w:pPr>
            <w:r>
              <w:rPr>
                <w:sz w:val="20"/>
                <w:szCs w:val="20"/>
              </w:rPr>
              <w:t>Load Factor</w:t>
            </w:r>
          </w:p>
          <w:p w:rsidR="002E6DA6" w:rsidRPr="00CA40CB" w:rsidP="00403B10" w14:paraId="035A7EEF" w14:textId="77777777">
            <w:pPr>
              <w:pStyle w:val="Default"/>
              <w:jc w:val="center"/>
              <w:rPr>
                <w:sz w:val="20"/>
                <w:szCs w:val="20"/>
              </w:rPr>
            </w:pPr>
            <w:r>
              <w:rPr>
                <w:b w:val="0"/>
                <w:bCs w:val="0"/>
                <w:sz w:val="20"/>
                <w:szCs w:val="20"/>
              </w:rPr>
              <w:t>(A)</w:t>
            </w:r>
          </w:p>
        </w:tc>
        <w:tc>
          <w:tcPr>
            <w:tcW w:w="1609"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2E6DA6" w:rsidP="00403B10" w14:paraId="41C456BD" w14:textId="77777777">
            <w:pPr>
              <w:pStyle w:val="Default"/>
              <w:jc w:val="center"/>
              <w:rPr>
                <w:sz w:val="20"/>
                <w:szCs w:val="20"/>
              </w:rPr>
            </w:pPr>
            <w:r>
              <w:rPr>
                <w:sz w:val="20"/>
                <w:szCs w:val="20"/>
              </w:rPr>
              <w:t xml:space="preserve">Median Hourly Wage </w:t>
            </w:r>
          </w:p>
          <w:p w:rsidR="002E6DA6" w:rsidRPr="00CA40CB" w:rsidP="00403B10" w14:paraId="2440682E" w14:textId="77777777">
            <w:pPr>
              <w:pStyle w:val="Default"/>
              <w:jc w:val="center"/>
              <w:rPr>
                <w:sz w:val="20"/>
                <w:szCs w:val="20"/>
              </w:rPr>
            </w:pPr>
            <w:r>
              <w:rPr>
                <w:b w:val="0"/>
                <w:bCs w:val="0"/>
                <w:sz w:val="20"/>
                <w:szCs w:val="20"/>
              </w:rPr>
              <w:t>(B)</w:t>
            </w:r>
          </w:p>
        </w:tc>
        <w:tc>
          <w:tcPr>
            <w:tcW w:w="1497" w:type="dxa"/>
            <w:tcBorders>
              <w:top w:val="single" w:sz="12" w:space="0" w:color="auto"/>
              <w:left w:val="single" w:sz="4" w:space="0" w:color="000000"/>
              <w:bottom w:val="single" w:sz="12" w:space="0" w:color="auto"/>
              <w:right w:val="single" w:sz="12" w:space="0" w:color="auto"/>
            </w:tcBorders>
            <w:shd w:val="clear" w:color="auto" w:fill="DBDBDB" w:themeFill="accent3" w:themeFillTint="66"/>
            <w:vAlign w:val="center"/>
          </w:tcPr>
          <w:p w:rsidR="002E6DA6" w:rsidP="00403B10" w14:paraId="55E9662E" w14:textId="77777777">
            <w:pPr>
              <w:pStyle w:val="Default"/>
              <w:jc w:val="center"/>
              <w:rPr>
                <w:sz w:val="20"/>
                <w:szCs w:val="20"/>
              </w:rPr>
            </w:pPr>
            <w:r>
              <w:rPr>
                <w:sz w:val="20"/>
                <w:szCs w:val="20"/>
              </w:rPr>
              <w:t>Loaded Hourly Wage</w:t>
            </w:r>
          </w:p>
          <w:p w:rsidR="002E6DA6" w:rsidRPr="00CA40CB" w:rsidP="00403B10" w14:paraId="7601D8C3" w14:textId="4B030C88">
            <w:pPr>
              <w:pStyle w:val="Default"/>
              <w:jc w:val="center"/>
              <w:rPr>
                <w:sz w:val="20"/>
                <w:szCs w:val="20"/>
              </w:rPr>
            </w:pPr>
            <w:r>
              <w:rPr>
                <w:b w:val="0"/>
                <w:bCs w:val="0"/>
                <w:sz w:val="20"/>
                <w:szCs w:val="20"/>
              </w:rPr>
              <w:t xml:space="preserve"> </w:t>
            </w:r>
            <w:r w:rsidR="002144E7">
              <w:rPr>
                <w:b w:val="0"/>
                <w:bCs w:val="0"/>
                <w:sz w:val="20"/>
                <w:szCs w:val="20"/>
              </w:rPr>
              <w:t>(C)</w:t>
            </w:r>
            <w:r>
              <w:rPr>
                <w:b w:val="0"/>
                <w:bCs w:val="0"/>
                <w:sz w:val="20"/>
                <w:szCs w:val="20"/>
              </w:rPr>
              <w:t xml:space="preserve"> = (A*B)</w:t>
            </w:r>
          </w:p>
        </w:tc>
      </w:tr>
      <w:tr w14:paraId="2E4AC290" w14:textId="77777777" w:rsidTr="003841D0">
        <w:tblPrEx>
          <w:tblW w:w="0" w:type="auto"/>
          <w:jc w:val="center"/>
          <w:tblCellMar>
            <w:top w:w="58" w:type="dxa"/>
            <w:bottom w:w="58" w:type="dxa"/>
          </w:tblCellMar>
          <w:tblLook w:val="0620"/>
        </w:tblPrEx>
        <w:trPr>
          <w:jc w:val="center"/>
        </w:trPr>
        <w:tc>
          <w:tcPr>
            <w:tcW w:w="1977" w:type="dxa"/>
            <w:tcBorders>
              <w:top w:val="single" w:sz="12" w:space="0" w:color="auto"/>
              <w:left w:val="single" w:sz="12" w:space="0" w:color="auto"/>
              <w:bottom w:val="single" w:sz="12" w:space="0" w:color="auto"/>
            </w:tcBorders>
            <w:vAlign w:val="center"/>
          </w:tcPr>
          <w:p w:rsidR="002E6DA6" w:rsidRPr="00430199" w:rsidP="00403B10" w14:paraId="664AACD5" w14:textId="77777777">
            <w:pPr>
              <w:pStyle w:val="Default"/>
              <w:jc w:val="center"/>
              <w:rPr>
                <w:sz w:val="20"/>
                <w:szCs w:val="20"/>
              </w:rPr>
            </w:pPr>
            <w:r w:rsidRPr="00430199">
              <w:rPr>
                <w:sz w:val="20"/>
                <w:szCs w:val="20"/>
              </w:rPr>
              <w:t>Carrier Clerical Staff</w:t>
            </w:r>
          </w:p>
        </w:tc>
        <w:tc>
          <w:tcPr>
            <w:tcW w:w="1611" w:type="dxa"/>
            <w:tcBorders>
              <w:top w:val="single" w:sz="12" w:space="0" w:color="auto"/>
              <w:bottom w:val="single" w:sz="12" w:space="0" w:color="auto"/>
            </w:tcBorders>
            <w:vAlign w:val="center"/>
          </w:tcPr>
          <w:p w:rsidR="002E6DA6" w:rsidRPr="00430199" w:rsidP="00403B10" w14:paraId="59D55346" w14:textId="77777777">
            <w:pPr>
              <w:pStyle w:val="Default"/>
              <w:jc w:val="center"/>
              <w:rPr>
                <w:sz w:val="20"/>
                <w:szCs w:val="20"/>
              </w:rPr>
            </w:pPr>
            <w:r w:rsidRPr="00430199">
              <w:rPr>
                <w:sz w:val="20"/>
                <w:szCs w:val="20"/>
              </w:rPr>
              <w:t>1.48</w:t>
            </w:r>
          </w:p>
        </w:tc>
        <w:tc>
          <w:tcPr>
            <w:tcW w:w="1609" w:type="dxa"/>
            <w:tcBorders>
              <w:top w:val="single" w:sz="12" w:space="0" w:color="auto"/>
              <w:bottom w:val="single" w:sz="12" w:space="0" w:color="auto"/>
            </w:tcBorders>
            <w:vAlign w:val="center"/>
          </w:tcPr>
          <w:p w:rsidR="002E6DA6" w:rsidRPr="00430199" w:rsidP="00403B10" w14:paraId="67E893D9" w14:textId="4F04A242">
            <w:pPr>
              <w:pStyle w:val="Default"/>
              <w:jc w:val="center"/>
              <w:rPr>
                <w:sz w:val="20"/>
                <w:szCs w:val="20"/>
              </w:rPr>
            </w:pPr>
            <w:r w:rsidRPr="00430199">
              <w:rPr>
                <w:sz w:val="20"/>
                <w:szCs w:val="20"/>
              </w:rPr>
              <w:t>$2</w:t>
            </w:r>
            <w:r w:rsidR="000E5A4E">
              <w:rPr>
                <w:sz w:val="20"/>
                <w:szCs w:val="20"/>
              </w:rPr>
              <w:t>3</w:t>
            </w:r>
            <w:r w:rsidRPr="00430199">
              <w:rPr>
                <w:sz w:val="20"/>
                <w:szCs w:val="20"/>
              </w:rPr>
              <w:t>.2</w:t>
            </w:r>
            <w:r w:rsidR="000E5A4E">
              <w:rPr>
                <w:sz w:val="20"/>
                <w:szCs w:val="20"/>
              </w:rPr>
              <w:t>5</w:t>
            </w:r>
          </w:p>
        </w:tc>
        <w:tc>
          <w:tcPr>
            <w:tcW w:w="1497" w:type="dxa"/>
            <w:tcBorders>
              <w:top w:val="single" w:sz="12" w:space="0" w:color="auto"/>
              <w:bottom w:val="single" w:sz="12" w:space="0" w:color="auto"/>
              <w:right w:val="single" w:sz="12" w:space="0" w:color="auto"/>
            </w:tcBorders>
            <w:vAlign w:val="center"/>
          </w:tcPr>
          <w:p w:rsidR="002E6DA6" w:rsidRPr="00430199" w:rsidP="00403B10" w14:paraId="607CC97E" w14:textId="72043C99">
            <w:pPr>
              <w:pStyle w:val="Default"/>
              <w:jc w:val="center"/>
              <w:rPr>
                <w:sz w:val="20"/>
                <w:szCs w:val="20"/>
              </w:rPr>
            </w:pPr>
            <w:r w:rsidRPr="00430199">
              <w:rPr>
                <w:sz w:val="20"/>
                <w:szCs w:val="20"/>
              </w:rPr>
              <w:t>$3</w:t>
            </w:r>
            <w:r w:rsidR="000E5A4E">
              <w:rPr>
                <w:sz w:val="20"/>
                <w:szCs w:val="20"/>
              </w:rPr>
              <w:t>4</w:t>
            </w:r>
            <w:r w:rsidRPr="00430199">
              <w:rPr>
                <w:sz w:val="20"/>
                <w:szCs w:val="20"/>
              </w:rPr>
              <w:t>.</w:t>
            </w:r>
            <w:r w:rsidR="000E5A4E">
              <w:rPr>
                <w:sz w:val="20"/>
                <w:szCs w:val="20"/>
              </w:rPr>
              <w:t>4</w:t>
            </w:r>
            <w:r w:rsidR="00940E46">
              <w:rPr>
                <w:sz w:val="20"/>
                <w:szCs w:val="20"/>
              </w:rPr>
              <w:t>5</w:t>
            </w:r>
          </w:p>
        </w:tc>
      </w:tr>
    </w:tbl>
    <w:p w:rsidR="002E6DA6" w:rsidP="002E6DA6" w14:paraId="1744CBF1" w14:textId="77777777">
      <w:pPr>
        <w:pStyle w:val="Default"/>
      </w:pPr>
      <w:r>
        <w:t>To estimate the annual burden cost to respondents, the total burden hours are joined with the loaded wage.</w:t>
      </w:r>
    </w:p>
    <w:p w:rsidR="002E6DA6" w:rsidP="002E6DA6" w14:paraId="45509978" w14:textId="77777777">
      <w:pPr>
        <w:pStyle w:val="Default"/>
      </w:pPr>
    </w:p>
    <w:p w:rsidR="002E6DA6" w:rsidRPr="00CA40CB" w:rsidP="002E6DA6" w14:paraId="401C5DEC" w14:textId="20B2AC2F">
      <w:pPr>
        <w:pStyle w:val="Default"/>
        <w:ind w:left="360"/>
        <w:jc w:val="center"/>
        <w:rPr>
          <w:b/>
          <w:bCs/>
          <w:sz w:val="20"/>
          <w:szCs w:val="20"/>
        </w:rPr>
      </w:pPr>
      <w:r w:rsidRPr="00CA40CB">
        <w:rPr>
          <w:b/>
          <w:bCs/>
          <w:sz w:val="20"/>
          <w:szCs w:val="20"/>
        </w:rPr>
        <w:t xml:space="preserve">Table </w:t>
      </w:r>
      <w:r>
        <w:rPr>
          <w:b/>
          <w:bCs/>
          <w:sz w:val="20"/>
          <w:szCs w:val="20"/>
        </w:rPr>
        <w:t>7</w:t>
      </w:r>
      <w:r w:rsidRPr="00CA40CB">
        <w:rPr>
          <w:b/>
          <w:bCs/>
          <w:sz w:val="20"/>
          <w:szCs w:val="20"/>
        </w:rPr>
        <w:t xml:space="preserve">: </w:t>
      </w:r>
      <w:r w:rsidRPr="00CA40CB">
        <w:rPr>
          <w:sz w:val="20"/>
          <w:szCs w:val="20"/>
        </w:rPr>
        <w:t>IC</w:t>
      </w:r>
      <w:r>
        <w:rPr>
          <w:sz w:val="20"/>
          <w:szCs w:val="20"/>
        </w:rPr>
        <w:t>2: Estimated respondent burden cost</w:t>
      </w:r>
      <w:r w:rsidRPr="00CA40CB">
        <w:rPr>
          <w:sz w:val="20"/>
          <w:szCs w:val="20"/>
        </w:rPr>
        <w:t>.</w:t>
      </w:r>
    </w:p>
    <w:p w:rsidR="002E6DA6" w:rsidRPr="006A77FD" w:rsidP="002E6DA6" w14:paraId="1B4BEB99" w14:textId="77777777">
      <w:pPr>
        <w:pStyle w:val="Default"/>
        <w:ind w:left="360"/>
        <w:jc w:val="center"/>
        <w:rPr>
          <w:b/>
          <w:bCs/>
        </w:rPr>
      </w:pPr>
    </w:p>
    <w:tbl>
      <w:tblPr>
        <w:tblStyle w:val="GridTable4"/>
        <w:tblW w:w="0" w:type="auto"/>
        <w:jc w:val="center"/>
        <w:tblCellMar>
          <w:top w:w="58" w:type="dxa"/>
          <w:bottom w:w="58" w:type="dxa"/>
        </w:tblCellMar>
        <w:tblLook w:val="0620"/>
      </w:tblPr>
      <w:tblGrid>
        <w:gridCol w:w="1353"/>
        <w:gridCol w:w="1536"/>
        <w:gridCol w:w="1469"/>
        <w:gridCol w:w="1348"/>
        <w:gridCol w:w="1333"/>
        <w:gridCol w:w="1263"/>
      </w:tblGrid>
      <w:tr w14:paraId="3CA1A8FD" w14:textId="77777777" w:rsidTr="003841D0">
        <w:tblPrEx>
          <w:tblW w:w="0" w:type="auto"/>
          <w:jc w:val="center"/>
          <w:tblCellMar>
            <w:top w:w="58" w:type="dxa"/>
            <w:bottom w:w="58" w:type="dxa"/>
          </w:tblCellMar>
          <w:tblLook w:val="0620"/>
        </w:tblPrEx>
        <w:trPr>
          <w:jc w:val="center"/>
        </w:trPr>
        <w:tc>
          <w:tcPr>
            <w:tcW w:w="1353" w:type="dxa"/>
            <w:tcBorders>
              <w:top w:val="single" w:sz="12" w:space="0" w:color="auto"/>
              <w:left w:val="single" w:sz="12" w:space="0" w:color="auto"/>
              <w:bottom w:val="single" w:sz="12" w:space="0" w:color="auto"/>
              <w:right w:val="single" w:sz="4" w:space="0" w:color="000000"/>
            </w:tcBorders>
            <w:shd w:val="clear" w:color="auto" w:fill="DBDBDB" w:themeFill="accent3" w:themeFillTint="66"/>
            <w:vAlign w:val="center"/>
          </w:tcPr>
          <w:p w:rsidR="002E6DA6" w:rsidRPr="00051A0F" w:rsidP="00403B10" w14:paraId="4A99FD49" w14:textId="77777777">
            <w:pPr>
              <w:pStyle w:val="Default"/>
              <w:jc w:val="center"/>
              <w:rPr>
                <w:sz w:val="20"/>
                <w:szCs w:val="20"/>
              </w:rPr>
            </w:pPr>
            <w:r>
              <w:rPr>
                <w:sz w:val="20"/>
                <w:szCs w:val="20"/>
              </w:rPr>
              <w:t>Year</w:t>
            </w:r>
          </w:p>
        </w:tc>
        <w:tc>
          <w:tcPr>
            <w:tcW w:w="1536"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2E6DA6" w:rsidP="00403B10" w14:paraId="1096B5E9" w14:textId="77777777">
            <w:pPr>
              <w:pStyle w:val="Default"/>
              <w:jc w:val="center"/>
              <w:rPr>
                <w:sz w:val="20"/>
                <w:szCs w:val="20"/>
              </w:rPr>
            </w:pPr>
            <w:r>
              <w:rPr>
                <w:sz w:val="20"/>
                <w:szCs w:val="20"/>
              </w:rPr>
              <w:t>Total Annual Responses</w:t>
            </w:r>
          </w:p>
          <w:p w:rsidR="002E6DA6" w:rsidRPr="00CA40CB" w:rsidP="00403B10" w14:paraId="00CD5DB3" w14:textId="77777777">
            <w:pPr>
              <w:pStyle w:val="Default"/>
              <w:jc w:val="center"/>
              <w:rPr>
                <w:sz w:val="20"/>
                <w:szCs w:val="20"/>
              </w:rPr>
            </w:pPr>
            <w:r>
              <w:rPr>
                <w:b w:val="0"/>
                <w:bCs w:val="0"/>
                <w:sz w:val="20"/>
                <w:szCs w:val="20"/>
              </w:rPr>
              <w:t>(A)</w:t>
            </w:r>
          </w:p>
        </w:tc>
        <w:tc>
          <w:tcPr>
            <w:tcW w:w="1469"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2E6DA6" w:rsidP="00403B10" w14:paraId="61905C64" w14:textId="77777777">
            <w:pPr>
              <w:pStyle w:val="Default"/>
              <w:jc w:val="center"/>
              <w:rPr>
                <w:sz w:val="20"/>
                <w:szCs w:val="20"/>
              </w:rPr>
            </w:pPr>
            <w:r>
              <w:rPr>
                <w:sz w:val="20"/>
                <w:szCs w:val="20"/>
              </w:rPr>
              <w:t>Hours</w:t>
            </w:r>
            <w:r w:rsidRPr="00051A0F">
              <w:rPr>
                <w:sz w:val="20"/>
                <w:szCs w:val="20"/>
              </w:rPr>
              <w:t xml:space="preserve"> per Response</w:t>
            </w:r>
          </w:p>
          <w:p w:rsidR="002E6DA6" w:rsidRPr="00CA40CB" w:rsidP="00403B10" w14:paraId="7A35434A" w14:textId="77777777">
            <w:pPr>
              <w:pStyle w:val="Default"/>
              <w:jc w:val="center"/>
              <w:rPr>
                <w:sz w:val="20"/>
                <w:szCs w:val="20"/>
              </w:rPr>
            </w:pPr>
            <w:r>
              <w:rPr>
                <w:b w:val="0"/>
                <w:bCs w:val="0"/>
                <w:sz w:val="20"/>
                <w:szCs w:val="20"/>
              </w:rPr>
              <w:t>(B)</w:t>
            </w:r>
          </w:p>
        </w:tc>
        <w:tc>
          <w:tcPr>
            <w:tcW w:w="1348"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2E6DA6" w:rsidP="00403B10" w14:paraId="686366D1" w14:textId="77777777">
            <w:pPr>
              <w:pStyle w:val="Default"/>
              <w:jc w:val="center"/>
              <w:rPr>
                <w:sz w:val="20"/>
                <w:szCs w:val="20"/>
              </w:rPr>
            </w:pPr>
            <w:r w:rsidRPr="00051A0F">
              <w:rPr>
                <w:sz w:val="20"/>
                <w:szCs w:val="20"/>
              </w:rPr>
              <w:t>Total Burden Hours</w:t>
            </w:r>
          </w:p>
          <w:p w:rsidR="002E6DA6" w:rsidRPr="00CA40CB" w:rsidP="00403B10" w14:paraId="486C405C" w14:textId="792C75A2">
            <w:pPr>
              <w:pStyle w:val="Default"/>
              <w:jc w:val="center"/>
              <w:rPr>
                <w:sz w:val="20"/>
                <w:szCs w:val="20"/>
              </w:rPr>
            </w:pPr>
            <w:r>
              <w:rPr>
                <w:b w:val="0"/>
                <w:bCs w:val="0"/>
                <w:sz w:val="20"/>
                <w:szCs w:val="20"/>
              </w:rPr>
              <w:t>(C) = (A*B)</w:t>
            </w:r>
          </w:p>
        </w:tc>
        <w:tc>
          <w:tcPr>
            <w:tcW w:w="1333"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2E6DA6" w:rsidP="00403B10" w14:paraId="7BEDDA7E" w14:textId="77777777">
            <w:pPr>
              <w:pStyle w:val="Default"/>
              <w:jc w:val="center"/>
              <w:rPr>
                <w:sz w:val="20"/>
                <w:szCs w:val="20"/>
              </w:rPr>
            </w:pPr>
            <w:r>
              <w:rPr>
                <w:sz w:val="20"/>
                <w:szCs w:val="20"/>
              </w:rPr>
              <w:t>Hourly Cost</w:t>
            </w:r>
          </w:p>
          <w:p w:rsidR="002E6DA6" w:rsidRPr="00CA40CB" w:rsidP="00403B10" w14:paraId="6EE40224" w14:textId="77777777">
            <w:pPr>
              <w:pStyle w:val="Default"/>
              <w:jc w:val="center"/>
              <w:rPr>
                <w:sz w:val="20"/>
                <w:szCs w:val="20"/>
              </w:rPr>
            </w:pPr>
            <w:r>
              <w:rPr>
                <w:b w:val="0"/>
                <w:bCs w:val="0"/>
                <w:sz w:val="20"/>
                <w:szCs w:val="20"/>
              </w:rPr>
              <w:t>(D)</w:t>
            </w:r>
          </w:p>
        </w:tc>
        <w:tc>
          <w:tcPr>
            <w:tcW w:w="1263" w:type="dxa"/>
            <w:tcBorders>
              <w:top w:val="single" w:sz="12" w:space="0" w:color="auto"/>
              <w:left w:val="single" w:sz="4" w:space="0" w:color="000000"/>
              <w:bottom w:val="single" w:sz="12" w:space="0" w:color="auto"/>
              <w:right w:val="single" w:sz="12" w:space="0" w:color="auto"/>
            </w:tcBorders>
            <w:shd w:val="clear" w:color="auto" w:fill="DBDBDB" w:themeFill="accent3" w:themeFillTint="66"/>
            <w:vAlign w:val="center"/>
          </w:tcPr>
          <w:p w:rsidR="002E6DA6" w:rsidP="00403B10" w14:paraId="3C330E59" w14:textId="77777777">
            <w:pPr>
              <w:pStyle w:val="Default"/>
              <w:jc w:val="center"/>
              <w:rPr>
                <w:sz w:val="20"/>
                <w:szCs w:val="20"/>
              </w:rPr>
            </w:pPr>
            <w:r w:rsidRPr="00051A0F">
              <w:rPr>
                <w:sz w:val="20"/>
                <w:szCs w:val="20"/>
              </w:rPr>
              <w:t xml:space="preserve">Total </w:t>
            </w:r>
            <w:r>
              <w:rPr>
                <w:sz w:val="20"/>
                <w:szCs w:val="20"/>
              </w:rPr>
              <w:t>Cost</w:t>
            </w:r>
          </w:p>
          <w:p w:rsidR="002E6DA6" w:rsidRPr="00CA40CB" w:rsidP="00403B10" w14:paraId="0DBA3C22" w14:textId="4238A9BA">
            <w:pPr>
              <w:pStyle w:val="Default"/>
              <w:jc w:val="center"/>
              <w:rPr>
                <w:sz w:val="20"/>
                <w:szCs w:val="20"/>
              </w:rPr>
            </w:pPr>
            <w:r>
              <w:rPr>
                <w:b w:val="0"/>
                <w:bCs w:val="0"/>
                <w:sz w:val="20"/>
                <w:szCs w:val="20"/>
              </w:rPr>
              <w:t>(E) = (C*D)</w:t>
            </w:r>
          </w:p>
        </w:tc>
      </w:tr>
      <w:tr w14:paraId="3411BD57" w14:textId="77777777" w:rsidTr="003841D0">
        <w:tblPrEx>
          <w:tblW w:w="0" w:type="auto"/>
          <w:jc w:val="center"/>
          <w:tblCellMar>
            <w:top w:w="58" w:type="dxa"/>
            <w:bottom w:w="58" w:type="dxa"/>
          </w:tblCellMar>
          <w:tblLook w:val="0620"/>
        </w:tblPrEx>
        <w:trPr>
          <w:jc w:val="center"/>
        </w:trPr>
        <w:tc>
          <w:tcPr>
            <w:tcW w:w="0" w:type="dxa"/>
            <w:tcBorders>
              <w:top w:val="single" w:sz="12" w:space="0" w:color="auto"/>
              <w:left w:val="single" w:sz="12" w:space="0" w:color="auto"/>
            </w:tcBorders>
            <w:vAlign w:val="center"/>
          </w:tcPr>
          <w:p w:rsidR="00B8247F" w:rsidRPr="00051A0F" w:rsidP="00B8247F" w14:paraId="20DCB413" w14:textId="77777777">
            <w:pPr>
              <w:pStyle w:val="Default"/>
              <w:jc w:val="center"/>
              <w:rPr>
                <w:sz w:val="20"/>
                <w:szCs w:val="20"/>
              </w:rPr>
            </w:pPr>
            <w:r>
              <w:rPr>
                <w:sz w:val="20"/>
                <w:szCs w:val="20"/>
              </w:rPr>
              <w:t>1</w:t>
            </w:r>
          </w:p>
        </w:tc>
        <w:tc>
          <w:tcPr>
            <w:tcW w:w="0" w:type="dxa"/>
            <w:tcBorders>
              <w:top w:val="single" w:sz="12" w:space="0" w:color="auto"/>
            </w:tcBorders>
          </w:tcPr>
          <w:p w:rsidR="00B8247F" w:rsidRPr="00051A0F" w:rsidP="00B8247F" w14:paraId="4DF4FF4A" w14:textId="77777777">
            <w:pPr>
              <w:pStyle w:val="Default"/>
              <w:jc w:val="center"/>
              <w:rPr>
                <w:sz w:val="20"/>
                <w:szCs w:val="20"/>
              </w:rPr>
            </w:pPr>
            <w:r>
              <w:rPr>
                <w:sz w:val="20"/>
                <w:szCs w:val="20"/>
              </w:rPr>
              <w:t>15</w:t>
            </w:r>
          </w:p>
        </w:tc>
        <w:tc>
          <w:tcPr>
            <w:tcW w:w="0" w:type="dxa"/>
            <w:tcBorders>
              <w:top w:val="single" w:sz="12" w:space="0" w:color="auto"/>
            </w:tcBorders>
            <w:vAlign w:val="center"/>
          </w:tcPr>
          <w:p w:rsidR="00B8247F" w:rsidRPr="00051A0F" w:rsidP="00B8247F" w14:paraId="4AF2912D" w14:textId="77777777">
            <w:pPr>
              <w:pStyle w:val="Default"/>
              <w:jc w:val="center"/>
              <w:rPr>
                <w:sz w:val="20"/>
                <w:szCs w:val="20"/>
              </w:rPr>
            </w:pPr>
            <w:r>
              <w:rPr>
                <w:sz w:val="20"/>
                <w:szCs w:val="20"/>
              </w:rPr>
              <w:t>0.25</w:t>
            </w:r>
          </w:p>
        </w:tc>
        <w:tc>
          <w:tcPr>
            <w:tcW w:w="0" w:type="dxa"/>
            <w:tcBorders>
              <w:top w:val="single" w:sz="12" w:space="0" w:color="auto"/>
            </w:tcBorders>
          </w:tcPr>
          <w:p w:rsidR="00B8247F" w:rsidP="00B8247F" w14:paraId="56B83646" w14:textId="77777777">
            <w:pPr>
              <w:pStyle w:val="Default"/>
              <w:jc w:val="center"/>
              <w:rPr>
                <w:sz w:val="20"/>
                <w:szCs w:val="20"/>
              </w:rPr>
            </w:pPr>
            <w:r>
              <w:rPr>
                <w:sz w:val="20"/>
                <w:szCs w:val="20"/>
              </w:rPr>
              <w:t>3.75</w:t>
            </w:r>
          </w:p>
        </w:tc>
        <w:tc>
          <w:tcPr>
            <w:tcW w:w="0" w:type="dxa"/>
            <w:tcBorders>
              <w:top w:val="single" w:sz="12" w:space="0" w:color="auto"/>
            </w:tcBorders>
          </w:tcPr>
          <w:p w:rsidR="00B8247F" w:rsidRPr="00B8247F" w:rsidP="00B8247F" w14:paraId="74070DD8" w14:textId="2795B3F1">
            <w:pPr>
              <w:pStyle w:val="Default"/>
              <w:jc w:val="center"/>
              <w:rPr>
                <w:sz w:val="20"/>
                <w:szCs w:val="20"/>
              </w:rPr>
            </w:pPr>
            <w:r w:rsidRPr="007A0F03">
              <w:rPr>
                <w:sz w:val="20"/>
                <w:szCs w:val="20"/>
              </w:rPr>
              <w:t>$34.45</w:t>
            </w:r>
          </w:p>
        </w:tc>
        <w:tc>
          <w:tcPr>
            <w:tcW w:w="0" w:type="dxa"/>
            <w:tcBorders>
              <w:top w:val="single" w:sz="12" w:space="0" w:color="auto"/>
              <w:right w:val="single" w:sz="12" w:space="0" w:color="auto"/>
            </w:tcBorders>
          </w:tcPr>
          <w:p w:rsidR="00B8247F" w:rsidRPr="00B8247F" w:rsidP="00B8247F" w14:paraId="4DAAFF52" w14:textId="3524EFDB">
            <w:pPr>
              <w:pStyle w:val="Default"/>
              <w:jc w:val="center"/>
              <w:rPr>
                <w:sz w:val="20"/>
                <w:szCs w:val="20"/>
              </w:rPr>
            </w:pPr>
            <w:r w:rsidRPr="007A0F03">
              <w:rPr>
                <w:sz w:val="20"/>
                <w:szCs w:val="20"/>
              </w:rPr>
              <w:t>$129.19</w:t>
            </w:r>
          </w:p>
        </w:tc>
      </w:tr>
      <w:tr w14:paraId="59996539" w14:textId="77777777" w:rsidTr="003841D0">
        <w:tblPrEx>
          <w:tblW w:w="0" w:type="auto"/>
          <w:jc w:val="center"/>
          <w:tblCellMar>
            <w:top w:w="58" w:type="dxa"/>
            <w:bottom w:w="58" w:type="dxa"/>
          </w:tblCellMar>
          <w:tblLook w:val="0620"/>
        </w:tblPrEx>
        <w:trPr>
          <w:jc w:val="center"/>
        </w:trPr>
        <w:tc>
          <w:tcPr>
            <w:tcW w:w="0" w:type="dxa"/>
            <w:tcBorders>
              <w:left w:val="single" w:sz="12" w:space="0" w:color="auto"/>
            </w:tcBorders>
            <w:vAlign w:val="center"/>
          </w:tcPr>
          <w:p w:rsidR="00B8247F" w:rsidRPr="00051A0F" w:rsidP="00B8247F" w14:paraId="27997033" w14:textId="77777777">
            <w:pPr>
              <w:pStyle w:val="Default"/>
              <w:jc w:val="center"/>
              <w:rPr>
                <w:sz w:val="20"/>
                <w:szCs w:val="20"/>
              </w:rPr>
            </w:pPr>
            <w:r>
              <w:rPr>
                <w:sz w:val="20"/>
                <w:szCs w:val="20"/>
              </w:rPr>
              <w:t>2</w:t>
            </w:r>
          </w:p>
        </w:tc>
        <w:tc>
          <w:tcPr>
            <w:tcW w:w="0" w:type="dxa"/>
          </w:tcPr>
          <w:p w:rsidR="00B8247F" w:rsidRPr="00051A0F" w:rsidP="00B8247F" w14:paraId="447213D8" w14:textId="77777777">
            <w:pPr>
              <w:pStyle w:val="Default"/>
              <w:jc w:val="center"/>
              <w:rPr>
                <w:sz w:val="20"/>
                <w:szCs w:val="20"/>
              </w:rPr>
            </w:pPr>
            <w:r>
              <w:rPr>
                <w:sz w:val="20"/>
                <w:szCs w:val="20"/>
              </w:rPr>
              <w:t>15</w:t>
            </w:r>
          </w:p>
        </w:tc>
        <w:tc>
          <w:tcPr>
            <w:tcW w:w="0" w:type="dxa"/>
            <w:vAlign w:val="center"/>
          </w:tcPr>
          <w:p w:rsidR="00B8247F" w:rsidRPr="00051A0F" w:rsidP="00B8247F" w14:paraId="67700B99" w14:textId="77777777">
            <w:pPr>
              <w:pStyle w:val="Default"/>
              <w:jc w:val="center"/>
              <w:rPr>
                <w:sz w:val="20"/>
                <w:szCs w:val="20"/>
              </w:rPr>
            </w:pPr>
            <w:r>
              <w:rPr>
                <w:sz w:val="20"/>
                <w:szCs w:val="20"/>
              </w:rPr>
              <w:t>0.25</w:t>
            </w:r>
          </w:p>
        </w:tc>
        <w:tc>
          <w:tcPr>
            <w:tcW w:w="0" w:type="dxa"/>
          </w:tcPr>
          <w:p w:rsidR="00B8247F" w:rsidP="00B8247F" w14:paraId="5079ED62" w14:textId="77777777">
            <w:pPr>
              <w:pStyle w:val="Default"/>
              <w:jc w:val="center"/>
              <w:rPr>
                <w:sz w:val="20"/>
                <w:szCs w:val="20"/>
              </w:rPr>
            </w:pPr>
            <w:r>
              <w:rPr>
                <w:sz w:val="20"/>
                <w:szCs w:val="20"/>
              </w:rPr>
              <w:t>3.75</w:t>
            </w:r>
          </w:p>
        </w:tc>
        <w:tc>
          <w:tcPr>
            <w:tcW w:w="0" w:type="dxa"/>
          </w:tcPr>
          <w:p w:rsidR="00B8247F" w:rsidRPr="00B8247F" w:rsidP="00B8247F" w14:paraId="7094ABA7" w14:textId="65126D16">
            <w:pPr>
              <w:pStyle w:val="Default"/>
              <w:jc w:val="center"/>
              <w:rPr>
                <w:sz w:val="20"/>
                <w:szCs w:val="20"/>
              </w:rPr>
            </w:pPr>
            <w:r w:rsidRPr="007A0F03">
              <w:rPr>
                <w:sz w:val="20"/>
                <w:szCs w:val="20"/>
              </w:rPr>
              <w:t>$34.45</w:t>
            </w:r>
          </w:p>
        </w:tc>
        <w:tc>
          <w:tcPr>
            <w:tcW w:w="0" w:type="dxa"/>
            <w:tcBorders>
              <w:right w:val="single" w:sz="12" w:space="0" w:color="auto"/>
            </w:tcBorders>
          </w:tcPr>
          <w:p w:rsidR="00B8247F" w:rsidRPr="00B8247F" w:rsidP="00B8247F" w14:paraId="128A2AD2" w14:textId="0EEFDE9B">
            <w:pPr>
              <w:pStyle w:val="Default"/>
              <w:jc w:val="center"/>
              <w:rPr>
                <w:sz w:val="20"/>
                <w:szCs w:val="20"/>
              </w:rPr>
            </w:pPr>
            <w:r w:rsidRPr="007A0F03">
              <w:rPr>
                <w:sz w:val="20"/>
                <w:szCs w:val="20"/>
              </w:rPr>
              <w:t>$129.19</w:t>
            </w:r>
          </w:p>
        </w:tc>
      </w:tr>
      <w:tr w14:paraId="6C0B809E" w14:textId="77777777" w:rsidTr="003841D0">
        <w:tblPrEx>
          <w:tblW w:w="0" w:type="auto"/>
          <w:jc w:val="center"/>
          <w:tblCellMar>
            <w:top w:w="58" w:type="dxa"/>
            <w:bottom w:w="58" w:type="dxa"/>
          </w:tblCellMar>
          <w:tblLook w:val="0620"/>
        </w:tblPrEx>
        <w:trPr>
          <w:jc w:val="center"/>
        </w:trPr>
        <w:tc>
          <w:tcPr>
            <w:tcW w:w="0" w:type="dxa"/>
            <w:tcBorders>
              <w:left w:val="single" w:sz="12" w:space="0" w:color="auto"/>
            </w:tcBorders>
            <w:vAlign w:val="center"/>
          </w:tcPr>
          <w:p w:rsidR="00B8247F" w:rsidRPr="00051A0F" w:rsidP="00B8247F" w14:paraId="6CCD189E" w14:textId="77777777">
            <w:pPr>
              <w:pStyle w:val="Default"/>
              <w:jc w:val="center"/>
              <w:rPr>
                <w:sz w:val="20"/>
                <w:szCs w:val="20"/>
              </w:rPr>
            </w:pPr>
            <w:r>
              <w:rPr>
                <w:sz w:val="20"/>
                <w:szCs w:val="20"/>
              </w:rPr>
              <w:t>3</w:t>
            </w:r>
          </w:p>
        </w:tc>
        <w:tc>
          <w:tcPr>
            <w:tcW w:w="0" w:type="dxa"/>
          </w:tcPr>
          <w:p w:rsidR="00B8247F" w:rsidRPr="00051A0F" w:rsidP="00B8247F" w14:paraId="1336483B" w14:textId="77777777">
            <w:pPr>
              <w:pStyle w:val="Default"/>
              <w:jc w:val="center"/>
              <w:rPr>
                <w:sz w:val="20"/>
                <w:szCs w:val="20"/>
              </w:rPr>
            </w:pPr>
            <w:r>
              <w:rPr>
                <w:sz w:val="20"/>
                <w:szCs w:val="20"/>
              </w:rPr>
              <w:t>15</w:t>
            </w:r>
          </w:p>
        </w:tc>
        <w:tc>
          <w:tcPr>
            <w:tcW w:w="0" w:type="dxa"/>
            <w:vAlign w:val="center"/>
          </w:tcPr>
          <w:p w:rsidR="00B8247F" w:rsidP="00B8247F" w14:paraId="247DC964" w14:textId="77777777">
            <w:pPr>
              <w:pStyle w:val="Default"/>
              <w:jc w:val="center"/>
              <w:rPr>
                <w:sz w:val="20"/>
                <w:szCs w:val="20"/>
              </w:rPr>
            </w:pPr>
            <w:r>
              <w:rPr>
                <w:sz w:val="20"/>
                <w:szCs w:val="20"/>
              </w:rPr>
              <w:t>0.25</w:t>
            </w:r>
          </w:p>
        </w:tc>
        <w:tc>
          <w:tcPr>
            <w:tcW w:w="0" w:type="dxa"/>
          </w:tcPr>
          <w:p w:rsidR="00B8247F" w:rsidP="00B8247F" w14:paraId="08A3BF86" w14:textId="77777777">
            <w:pPr>
              <w:pStyle w:val="Default"/>
              <w:jc w:val="center"/>
              <w:rPr>
                <w:sz w:val="20"/>
                <w:szCs w:val="20"/>
              </w:rPr>
            </w:pPr>
            <w:r>
              <w:rPr>
                <w:sz w:val="20"/>
                <w:szCs w:val="20"/>
              </w:rPr>
              <w:t>3.75</w:t>
            </w:r>
          </w:p>
        </w:tc>
        <w:tc>
          <w:tcPr>
            <w:tcW w:w="0" w:type="dxa"/>
          </w:tcPr>
          <w:p w:rsidR="00B8247F" w:rsidRPr="00B8247F" w:rsidP="00B8247F" w14:paraId="0CF72205" w14:textId="233B8C38">
            <w:pPr>
              <w:pStyle w:val="Default"/>
              <w:jc w:val="center"/>
              <w:rPr>
                <w:sz w:val="20"/>
                <w:szCs w:val="20"/>
              </w:rPr>
            </w:pPr>
            <w:r w:rsidRPr="007A0F03">
              <w:rPr>
                <w:sz w:val="20"/>
                <w:szCs w:val="20"/>
              </w:rPr>
              <w:t>$34.45</w:t>
            </w:r>
          </w:p>
        </w:tc>
        <w:tc>
          <w:tcPr>
            <w:tcW w:w="0" w:type="dxa"/>
            <w:tcBorders>
              <w:right w:val="single" w:sz="12" w:space="0" w:color="auto"/>
            </w:tcBorders>
          </w:tcPr>
          <w:p w:rsidR="00B8247F" w:rsidRPr="00B8247F" w:rsidP="00B8247F" w14:paraId="7FE0BEFA" w14:textId="3E7F04C1">
            <w:pPr>
              <w:pStyle w:val="Default"/>
              <w:jc w:val="center"/>
              <w:rPr>
                <w:sz w:val="20"/>
                <w:szCs w:val="20"/>
              </w:rPr>
            </w:pPr>
            <w:r w:rsidRPr="007A0F03">
              <w:rPr>
                <w:sz w:val="20"/>
                <w:szCs w:val="20"/>
              </w:rPr>
              <w:t>$129.19</w:t>
            </w:r>
          </w:p>
        </w:tc>
      </w:tr>
      <w:tr w14:paraId="11E1B859" w14:textId="77777777" w:rsidTr="003841D0">
        <w:tblPrEx>
          <w:tblW w:w="0" w:type="auto"/>
          <w:jc w:val="center"/>
          <w:tblCellMar>
            <w:top w:w="58" w:type="dxa"/>
            <w:bottom w:w="58" w:type="dxa"/>
          </w:tblCellMar>
          <w:tblLook w:val="0620"/>
        </w:tblPrEx>
        <w:trPr>
          <w:jc w:val="center"/>
        </w:trPr>
        <w:tc>
          <w:tcPr>
            <w:tcW w:w="0" w:type="dxa"/>
            <w:tcBorders>
              <w:left w:val="single" w:sz="12" w:space="0" w:color="auto"/>
            </w:tcBorders>
            <w:vAlign w:val="center"/>
          </w:tcPr>
          <w:p w:rsidR="00B8247F" w:rsidRPr="00051A0F" w:rsidP="00B8247F" w14:paraId="10521AB9" w14:textId="77777777">
            <w:pPr>
              <w:pStyle w:val="Default"/>
              <w:jc w:val="center"/>
              <w:rPr>
                <w:sz w:val="20"/>
                <w:szCs w:val="20"/>
              </w:rPr>
            </w:pPr>
            <w:r>
              <w:rPr>
                <w:sz w:val="20"/>
                <w:szCs w:val="20"/>
              </w:rPr>
              <w:t>4</w:t>
            </w:r>
          </w:p>
        </w:tc>
        <w:tc>
          <w:tcPr>
            <w:tcW w:w="0" w:type="dxa"/>
          </w:tcPr>
          <w:p w:rsidR="00B8247F" w:rsidRPr="00051A0F" w:rsidP="00B8247F" w14:paraId="38D7DF48" w14:textId="77777777">
            <w:pPr>
              <w:pStyle w:val="Default"/>
              <w:jc w:val="center"/>
              <w:rPr>
                <w:sz w:val="20"/>
                <w:szCs w:val="20"/>
              </w:rPr>
            </w:pPr>
            <w:r>
              <w:rPr>
                <w:sz w:val="20"/>
                <w:szCs w:val="20"/>
              </w:rPr>
              <w:t>15</w:t>
            </w:r>
          </w:p>
        </w:tc>
        <w:tc>
          <w:tcPr>
            <w:tcW w:w="0" w:type="dxa"/>
            <w:vAlign w:val="center"/>
          </w:tcPr>
          <w:p w:rsidR="00B8247F" w:rsidRPr="00051A0F" w:rsidP="00B8247F" w14:paraId="4C9DB036" w14:textId="77777777">
            <w:pPr>
              <w:pStyle w:val="Default"/>
              <w:jc w:val="center"/>
              <w:rPr>
                <w:sz w:val="20"/>
                <w:szCs w:val="20"/>
              </w:rPr>
            </w:pPr>
            <w:r>
              <w:rPr>
                <w:sz w:val="20"/>
                <w:szCs w:val="20"/>
              </w:rPr>
              <w:t>0.25</w:t>
            </w:r>
          </w:p>
        </w:tc>
        <w:tc>
          <w:tcPr>
            <w:tcW w:w="0" w:type="dxa"/>
          </w:tcPr>
          <w:p w:rsidR="00B8247F" w:rsidP="00B8247F" w14:paraId="587DE666" w14:textId="77777777">
            <w:pPr>
              <w:pStyle w:val="Default"/>
              <w:jc w:val="center"/>
              <w:rPr>
                <w:sz w:val="20"/>
                <w:szCs w:val="20"/>
              </w:rPr>
            </w:pPr>
            <w:r>
              <w:rPr>
                <w:sz w:val="20"/>
                <w:szCs w:val="20"/>
              </w:rPr>
              <w:t>3.75</w:t>
            </w:r>
          </w:p>
        </w:tc>
        <w:tc>
          <w:tcPr>
            <w:tcW w:w="0" w:type="dxa"/>
          </w:tcPr>
          <w:p w:rsidR="00B8247F" w:rsidRPr="00B8247F" w:rsidP="00B8247F" w14:paraId="70FCCEA3" w14:textId="29E633BC">
            <w:pPr>
              <w:pStyle w:val="Default"/>
              <w:jc w:val="center"/>
              <w:rPr>
                <w:sz w:val="20"/>
                <w:szCs w:val="20"/>
              </w:rPr>
            </w:pPr>
            <w:r w:rsidRPr="007A0F03">
              <w:rPr>
                <w:sz w:val="20"/>
                <w:szCs w:val="20"/>
              </w:rPr>
              <w:t>$34.45</w:t>
            </w:r>
          </w:p>
        </w:tc>
        <w:tc>
          <w:tcPr>
            <w:tcW w:w="0" w:type="dxa"/>
            <w:tcBorders>
              <w:right w:val="single" w:sz="12" w:space="0" w:color="auto"/>
            </w:tcBorders>
          </w:tcPr>
          <w:p w:rsidR="00B8247F" w:rsidRPr="00B8247F" w:rsidP="00B8247F" w14:paraId="2D903F86" w14:textId="7F5B820B">
            <w:pPr>
              <w:pStyle w:val="Default"/>
              <w:jc w:val="center"/>
              <w:rPr>
                <w:sz w:val="20"/>
                <w:szCs w:val="20"/>
              </w:rPr>
            </w:pPr>
            <w:r w:rsidRPr="007A0F03">
              <w:rPr>
                <w:sz w:val="20"/>
                <w:szCs w:val="20"/>
              </w:rPr>
              <w:t>$129.19</w:t>
            </w:r>
          </w:p>
        </w:tc>
      </w:tr>
      <w:tr w14:paraId="0C0B7228" w14:textId="77777777" w:rsidTr="003841D0">
        <w:tblPrEx>
          <w:tblW w:w="0" w:type="auto"/>
          <w:jc w:val="center"/>
          <w:tblCellMar>
            <w:top w:w="58" w:type="dxa"/>
            <w:bottom w:w="58" w:type="dxa"/>
          </w:tblCellMar>
          <w:tblLook w:val="0620"/>
        </w:tblPrEx>
        <w:trPr>
          <w:jc w:val="center"/>
        </w:trPr>
        <w:tc>
          <w:tcPr>
            <w:tcW w:w="0" w:type="dxa"/>
            <w:tcBorders>
              <w:left w:val="single" w:sz="12" w:space="0" w:color="auto"/>
            </w:tcBorders>
            <w:vAlign w:val="center"/>
          </w:tcPr>
          <w:p w:rsidR="00B8247F" w:rsidRPr="00AF61D2" w:rsidP="00B8247F" w14:paraId="1B69D872" w14:textId="77777777">
            <w:pPr>
              <w:pStyle w:val="Default"/>
              <w:jc w:val="center"/>
              <w:rPr>
                <w:b/>
                <w:bCs/>
                <w:sz w:val="20"/>
                <w:szCs w:val="20"/>
              </w:rPr>
            </w:pPr>
            <w:r>
              <w:rPr>
                <w:b/>
                <w:bCs/>
                <w:sz w:val="20"/>
                <w:szCs w:val="20"/>
              </w:rPr>
              <w:t>4</w:t>
            </w:r>
            <w:r w:rsidRPr="00AF61D2">
              <w:rPr>
                <w:b/>
                <w:bCs/>
                <w:sz w:val="20"/>
                <w:szCs w:val="20"/>
              </w:rPr>
              <w:t>-year Total</w:t>
            </w:r>
          </w:p>
        </w:tc>
        <w:tc>
          <w:tcPr>
            <w:tcW w:w="0" w:type="dxa"/>
          </w:tcPr>
          <w:p w:rsidR="00B8247F" w:rsidRPr="00051A0F" w:rsidP="00B8247F" w14:paraId="46A14409" w14:textId="77777777">
            <w:pPr>
              <w:pStyle w:val="Default"/>
              <w:jc w:val="center"/>
              <w:rPr>
                <w:sz w:val="20"/>
                <w:szCs w:val="20"/>
              </w:rPr>
            </w:pPr>
            <w:r>
              <w:rPr>
                <w:sz w:val="20"/>
                <w:szCs w:val="20"/>
              </w:rPr>
              <w:t>60</w:t>
            </w:r>
          </w:p>
        </w:tc>
        <w:tc>
          <w:tcPr>
            <w:tcW w:w="0" w:type="dxa"/>
            <w:vAlign w:val="center"/>
          </w:tcPr>
          <w:p w:rsidR="00B8247F" w:rsidRPr="00051A0F" w:rsidP="00B8247F" w14:paraId="33BBF712" w14:textId="77777777">
            <w:pPr>
              <w:pStyle w:val="Default"/>
              <w:jc w:val="center"/>
              <w:rPr>
                <w:sz w:val="20"/>
                <w:szCs w:val="20"/>
              </w:rPr>
            </w:pPr>
            <w:r w:rsidRPr="00051A0F">
              <w:rPr>
                <w:sz w:val="20"/>
                <w:szCs w:val="20"/>
              </w:rPr>
              <w:t>-</w:t>
            </w:r>
          </w:p>
        </w:tc>
        <w:tc>
          <w:tcPr>
            <w:tcW w:w="0" w:type="dxa"/>
            <w:vAlign w:val="center"/>
          </w:tcPr>
          <w:p w:rsidR="00B8247F" w:rsidRPr="00051A0F" w:rsidP="00B8247F" w14:paraId="4D02334C" w14:textId="77777777">
            <w:pPr>
              <w:pStyle w:val="Default"/>
              <w:jc w:val="center"/>
              <w:rPr>
                <w:sz w:val="20"/>
                <w:szCs w:val="20"/>
              </w:rPr>
            </w:pPr>
            <w:r>
              <w:rPr>
                <w:sz w:val="20"/>
                <w:szCs w:val="20"/>
              </w:rPr>
              <w:t>15</w:t>
            </w:r>
          </w:p>
        </w:tc>
        <w:tc>
          <w:tcPr>
            <w:tcW w:w="0" w:type="dxa"/>
          </w:tcPr>
          <w:p w:rsidR="00B8247F" w:rsidRPr="00B8247F" w:rsidP="00B8247F" w14:paraId="6876C891" w14:textId="7498DC86">
            <w:pPr>
              <w:pStyle w:val="Default"/>
              <w:jc w:val="center"/>
              <w:rPr>
                <w:sz w:val="20"/>
                <w:szCs w:val="20"/>
              </w:rPr>
            </w:pPr>
            <w:r w:rsidRPr="007A0F03">
              <w:rPr>
                <w:sz w:val="20"/>
                <w:szCs w:val="20"/>
              </w:rPr>
              <w:t>-</w:t>
            </w:r>
          </w:p>
        </w:tc>
        <w:tc>
          <w:tcPr>
            <w:tcW w:w="0" w:type="dxa"/>
            <w:tcBorders>
              <w:right w:val="single" w:sz="12" w:space="0" w:color="auto"/>
            </w:tcBorders>
          </w:tcPr>
          <w:p w:rsidR="00B8247F" w:rsidRPr="00B8247F" w:rsidP="00B8247F" w14:paraId="2FF95A56" w14:textId="2750FCB0">
            <w:pPr>
              <w:pStyle w:val="Default"/>
              <w:jc w:val="center"/>
              <w:rPr>
                <w:sz w:val="20"/>
                <w:szCs w:val="20"/>
              </w:rPr>
            </w:pPr>
            <w:r w:rsidRPr="007A0F03">
              <w:rPr>
                <w:sz w:val="20"/>
                <w:szCs w:val="20"/>
              </w:rPr>
              <w:t>$516.75</w:t>
            </w:r>
          </w:p>
        </w:tc>
      </w:tr>
      <w:tr w14:paraId="4B2A76FA" w14:textId="77777777" w:rsidTr="003841D0">
        <w:tblPrEx>
          <w:tblW w:w="0" w:type="auto"/>
          <w:jc w:val="center"/>
          <w:tblCellMar>
            <w:top w:w="58" w:type="dxa"/>
            <w:bottom w:w="58" w:type="dxa"/>
          </w:tblCellMar>
          <w:tblLook w:val="0620"/>
        </w:tblPrEx>
        <w:trPr>
          <w:jc w:val="center"/>
        </w:trPr>
        <w:tc>
          <w:tcPr>
            <w:tcW w:w="0" w:type="dxa"/>
            <w:tcBorders>
              <w:left w:val="single" w:sz="12" w:space="0" w:color="auto"/>
              <w:bottom w:val="single" w:sz="12" w:space="0" w:color="auto"/>
            </w:tcBorders>
            <w:vAlign w:val="center"/>
          </w:tcPr>
          <w:p w:rsidR="00B8247F" w:rsidRPr="00AF61D2" w:rsidP="00B8247F" w14:paraId="2E272500" w14:textId="77777777">
            <w:pPr>
              <w:pStyle w:val="Default"/>
              <w:jc w:val="center"/>
              <w:rPr>
                <w:b/>
                <w:bCs/>
                <w:sz w:val="20"/>
                <w:szCs w:val="20"/>
              </w:rPr>
            </w:pPr>
            <w:r w:rsidRPr="00AF61D2">
              <w:rPr>
                <w:b/>
                <w:bCs/>
                <w:sz w:val="20"/>
                <w:szCs w:val="20"/>
              </w:rPr>
              <w:t>Annual Average</w:t>
            </w:r>
          </w:p>
        </w:tc>
        <w:tc>
          <w:tcPr>
            <w:tcW w:w="0" w:type="dxa"/>
            <w:tcBorders>
              <w:bottom w:val="single" w:sz="12" w:space="0" w:color="auto"/>
            </w:tcBorders>
            <w:vAlign w:val="center"/>
          </w:tcPr>
          <w:p w:rsidR="00B8247F" w:rsidRPr="00051A0F" w:rsidP="00B8247F" w14:paraId="2EC33AE1" w14:textId="77777777">
            <w:pPr>
              <w:pStyle w:val="Default"/>
              <w:jc w:val="center"/>
              <w:rPr>
                <w:sz w:val="20"/>
                <w:szCs w:val="20"/>
              </w:rPr>
            </w:pPr>
            <w:r>
              <w:rPr>
                <w:sz w:val="20"/>
                <w:szCs w:val="20"/>
              </w:rPr>
              <w:t>15</w:t>
            </w:r>
          </w:p>
        </w:tc>
        <w:tc>
          <w:tcPr>
            <w:tcW w:w="0" w:type="dxa"/>
            <w:tcBorders>
              <w:bottom w:val="single" w:sz="12" w:space="0" w:color="auto"/>
            </w:tcBorders>
            <w:vAlign w:val="center"/>
          </w:tcPr>
          <w:p w:rsidR="00B8247F" w:rsidRPr="00051A0F" w:rsidP="00B8247F" w14:paraId="12B6A754" w14:textId="77777777">
            <w:pPr>
              <w:pStyle w:val="Default"/>
              <w:jc w:val="center"/>
              <w:rPr>
                <w:sz w:val="20"/>
                <w:szCs w:val="20"/>
              </w:rPr>
            </w:pPr>
            <w:r w:rsidRPr="00051A0F">
              <w:rPr>
                <w:sz w:val="20"/>
                <w:szCs w:val="20"/>
              </w:rPr>
              <w:t>-</w:t>
            </w:r>
          </w:p>
        </w:tc>
        <w:tc>
          <w:tcPr>
            <w:tcW w:w="0" w:type="dxa"/>
            <w:tcBorders>
              <w:bottom w:val="single" w:sz="12" w:space="0" w:color="auto"/>
            </w:tcBorders>
            <w:vAlign w:val="center"/>
          </w:tcPr>
          <w:p w:rsidR="00B8247F" w:rsidRPr="00051A0F" w:rsidP="00B8247F" w14:paraId="043DEFFA" w14:textId="77777777">
            <w:pPr>
              <w:pStyle w:val="Default"/>
              <w:jc w:val="center"/>
              <w:rPr>
                <w:sz w:val="20"/>
                <w:szCs w:val="20"/>
              </w:rPr>
            </w:pPr>
            <w:r>
              <w:rPr>
                <w:sz w:val="20"/>
                <w:szCs w:val="20"/>
              </w:rPr>
              <w:t>3.75</w:t>
            </w:r>
          </w:p>
        </w:tc>
        <w:tc>
          <w:tcPr>
            <w:tcW w:w="0" w:type="dxa"/>
            <w:tcBorders>
              <w:bottom w:val="single" w:sz="12" w:space="0" w:color="auto"/>
            </w:tcBorders>
          </w:tcPr>
          <w:p w:rsidR="00B8247F" w:rsidRPr="00B8247F" w:rsidP="00B8247F" w14:paraId="572BEE9C" w14:textId="68FAB717">
            <w:pPr>
              <w:pStyle w:val="Default"/>
              <w:jc w:val="center"/>
              <w:rPr>
                <w:sz w:val="20"/>
                <w:szCs w:val="20"/>
              </w:rPr>
            </w:pPr>
            <w:r w:rsidRPr="007A0F03">
              <w:rPr>
                <w:sz w:val="20"/>
                <w:szCs w:val="20"/>
              </w:rPr>
              <w:t>-</w:t>
            </w:r>
          </w:p>
        </w:tc>
        <w:tc>
          <w:tcPr>
            <w:tcW w:w="0" w:type="dxa"/>
            <w:tcBorders>
              <w:bottom w:val="single" w:sz="12" w:space="0" w:color="auto"/>
              <w:right w:val="single" w:sz="12" w:space="0" w:color="auto"/>
            </w:tcBorders>
          </w:tcPr>
          <w:p w:rsidR="00B8247F" w:rsidRPr="00B8247F" w:rsidP="00B8247F" w14:paraId="4B6DB7A1" w14:textId="754ECE4F">
            <w:pPr>
              <w:pStyle w:val="Default"/>
              <w:jc w:val="center"/>
              <w:rPr>
                <w:sz w:val="20"/>
                <w:szCs w:val="20"/>
              </w:rPr>
            </w:pPr>
            <w:r w:rsidRPr="007A0F03">
              <w:rPr>
                <w:sz w:val="20"/>
                <w:szCs w:val="20"/>
              </w:rPr>
              <w:t>$129.19</w:t>
            </w:r>
          </w:p>
        </w:tc>
      </w:tr>
    </w:tbl>
    <w:p w:rsidR="002E6DA6" w:rsidP="002E6DA6" w14:paraId="37232658" w14:textId="77777777">
      <w:pPr>
        <w:pStyle w:val="Default"/>
      </w:pPr>
    </w:p>
    <w:p w:rsidR="002E6DA6" w:rsidRPr="006D0627" w:rsidP="002E6DA6" w14:paraId="5A82C96C" w14:textId="23DFB6DF">
      <w:pPr>
        <w:pStyle w:val="Default"/>
        <w:rPr>
          <w:u w:val="single"/>
        </w:rPr>
      </w:pPr>
      <w:r w:rsidRPr="006D0627">
        <w:rPr>
          <w:u w:val="single"/>
        </w:rPr>
        <w:t>IC</w:t>
      </w:r>
      <w:r w:rsidR="00695124">
        <w:rPr>
          <w:u w:val="single"/>
        </w:rPr>
        <w:t>2</w:t>
      </w:r>
      <w:r w:rsidRPr="006D0627">
        <w:rPr>
          <w:u w:val="single"/>
        </w:rPr>
        <w:t xml:space="preserve"> Summary:</w:t>
      </w:r>
    </w:p>
    <w:p w:rsidR="002E6DA6" w:rsidP="002E6DA6" w14:paraId="66760AB3" w14:textId="77777777">
      <w:pPr>
        <w:pStyle w:val="Default"/>
      </w:pPr>
      <w:r>
        <w:t>Estimated Annual Number of Responses: 15</w:t>
      </w:r>
    </w:p>
    <w:p w:rsidR="002E6DA6" w:rsidP="002E6DA6" w14:paraId="59856665" w14:textId="77777777">
      <w:pPr>
        <w:pStyle w:val="Default"/>
      </w:pPr>
      <w:r>
        <w:t>Estimated Annual Burden Hours: 3.75</w:t>
      </w:r>
    </w:p>
    <w:p w:rsidR="002E6DA6" w:rsidP="002E6DA6" w14:paraId="6DB603B6" w14:textId="6B4DAE8C">
      <w:pPr>
        <w:pStyle w:val="Default"/>
      </w:pPr>
      <w:r>
        <w:t xml:space="preserve">Estimated Annual Burden Hour Cost: </w:t>
      </w:r>
      <w:r w:rsidRPr="002E6DA6">
        <w:t>$12</w:t>
      </w:r>
      <w:r w:rsidR="00B8247F">
        <w:t>9.19</w:t>
      </w:r>
    </w:p>
    <w:p w:rsidR="00A011F4" w:rsidP="00860BE7" w14:paraId="68DF025E" w14:textId="77777777">
      <w:pPr>
        <w:pStyle w:val="Default"/>
      </w:pPr>
    </w:p>
    <w:p w:rsidR="00647066" w:rsidP="12A76E4E" w14:paraId="3D146342" w14:textId="4B08127D">
      <w:pPr>
        <w:pStyle w:val="Default"/>
      </w:pPr>
      <w:r w:rsidRPr="12A76E4E">
        <w:rPr>
          <w:b/>
          <w:bCs/>
        </w:rPr>
        <w:t>IC3 – Carrier Task:</w:t>
      </w:r>
      <w:r w:rsidRPr="12A76E4E" w:rsidR="3AF333E8">
        <w:rPr>
          <w:b/>
          <w:bCs/>
        </w:rPr>
        <w:t xml:space="preserve"> </w:t>
      </w:r>
      <w:r w:rsidRPr="12A76E4E" w:rsidR="3AF333E8">
        <w:t>Driver Demographic Data Exports</w:t>
      </w:r>
    </w:p>
    <w:p w:rsidR="00270675" w:rsidP="005333E7" w14:paraId="57FA7580" w14:textId="6BE0D2C8">
      <w:pPr>
        <w:pStyle w:val="Default"/>
      </w:pPr>
      <w:bookmarkStart w:id="6" w:name="_Hlk194495078"/>
      <w:r>
        <w:t>IC3 covers driver demographic information collected from carriers</w:t>
      </w:r>
      <w:bookmarkEnd w:id="6"/>
      <w:r w:rsidR="003B240B">
        <w:t xml:space="preserve"> (see Attachment D)</w:t>
      </w:r>
      <w:r>
        <w:t xml:space="preserve">. </w:t>
      </w:r>
      <w:r w:rsidR="00FD6911">
        <w:t xml:space="preserve">It is estimated that </w:t>
      </w:r>
      <w:r w:rsidR="00AE0A8E">
        <w:t>60 carriers</w:t>
      </w:r>
      <w:r w:rsidR="00A14218">
        <w:t xml:space="preserve"> will participate</w:t>
      </w:r>
      <w:r w:rsidR="00B35FCE">
        <w:t xml:space="preserve">. </w:t>
      </w:r>
      <w:r w:rsidR="004B12B4">
        <w:t xml:space="preserve">On a quarterly basis, </w:t>
      </w:r>
      <w:r w:rsidR="005A189B">
        <w:t>each carrier will provide driver demographic information</w:t>
      </w:r>
      <w:r w:rsidR="00083937">
        <w:t xml:space="preserve"> to the research team.</w:t>
      </w:r>
      <w:r w:rsidR="00501691">
        <w:t xml:space="preserve"> </w:t>
      </w:r>
      <w:r w:rsidR="00137145">
        <w:t>Based on experience with CMV carriers in the commercial space, the research team estimates a time burden of 15 minutes, or 0.25 hours, for a carrier to use their existing fleet management software, human resources management system, driver management platform, or other appropriate system to export an electronic report containing driver demographic information and upload it for the research team.</w:t>
      </w:r>
      <w:r w:rsidR="00D647DC">
        <w:t xml:space="preserve"> </w:t>
      </w:r>
      <w:r w:rsidR="00501691">
        <w:t xml:space="preserve">The </w:t>
      </w:r>
      <w:r w:rsidR="00DB0EE0">
        <w:t xml:space="preserve">estimates of burden hours for the carrier task in </w:t>
      </w:r>
      <w:r w:rsidR="00171CE4">
        <w:t xml:space="preserve">IC3 </w:t>
      </w:r>
      <w:r w:rsidR="00DB0EE0">
        <w:t xml:space="preserve">are presented below in Table </w:t>
      </w:r>
      <w:r w:rsidR="00CD520F">
        <w:t>8</w:t>
      </w:r>
      <w:r w:rsidR="00DB0EE0">
        <w:t>.</w:t>
      </w:r>
    </w:p>
    <w:p w:rsidR="00A662F4" w:rsidP="00A662F4" w14:paraId="67032764" w14:textId="412FAE5C">
      <w:pPr>
        <w:pStyle w:val="Default"/>
        <w:ind w:left="360"/>
      </w:pPr>
    </w:p>
    <w:p w:rsidR="00A662F4" w:rsidRPr="00CA40CB" w:rsidP="00A662F4" w14:paraId="7F0B1B77" w14:textId="4CA1384C">
      <w:pPr>
        <w:pStyle w:val="Default"/>
        <w:ind w:left="360"/>
        <w:jc w:val="center"/>
        <w:rPr>
          <w:b/>
          <w:bCs/>
          <w:sz w:val="20"/>
          <w:szCs w:val="20"/>
        </w:rPr>
      </w:pPr>
      <w:r w:rsidRPr="00CA40CB">
        <w:rPr>
          <w:b/>
          <w:bCs/>
          <w:sz w:val="20"/>
          <w:szCs w:val="20"/>
        </w:rPr>
        <w:t xml:space="preserve">Table </w:t>
      </w:r>
      <w:r w:rsidR="002E6DA6">
        <w:rPr>
          <w:b/>
          <w:bCs/>
          <w:sz w:val="20"/>
          <w:szCs w:val="20"/>
        </w:rPr>
        <w:t>8</w:t>
      </w:r>
      <w:r w:rsidRPr="00CA40CB">
        <w:rPr>
          <w:b/>
          <w:bCs/>
          <w:sz w:val="20"/>
          <w:szCs w:val="20"/>
        </w:rPr>
        <w:t xml:space="preserve">: </w:t>
      </w:r>
      <w:r w:rsidRPr="00CA40CB">
        <w:rPr>
          <w:sz w:val="20"/>
          <w:szCs w:val="20"/>
        </w:rPr>
        <w:t>IC</w:t>
      </w:r>
      <w:r w:rsidR="00171CE4">
        <w:rPr>
          <w:sz w:val="20"/>
          <w:szCs w:val="20"/>
        </w:rPr>
        <w:t>3</w:t>
      </w:r>
      <w:r w:rsidRPr="00CA40CB">
        <w:rPr>
          <w:sz w:val="20"/>
          <w:szCs w:val="20"/>
        </w:rPr>
        <w:t xml:space="preserve"> Carrier Task</w:t>
      </w:r>
      <w:r w:rsidR="008A2A5D">
        <w:rPr>
          <w:sz w:val="20"/>
          <w:szCs w:val="20"/>
        </w:rPr>
        <w:t>:</w:t>
      </w:r>
      <w:r w:rsidR="00083937">
        <w:rPr>
          <w:sz w:val="20"/>
          <w:szCs w:val="20"/>
        </w:rPr>
        <w:t xml:space="preserve"> </w:t>
      </w:r>
      <w:r w:rsidR="00EF53D4">
        <w:rPr>
          <w:sz w:val="20"/>
          <w:szCs w:val="20"/>
        </w:rPr>
        <w:t>D</w:t>
      </w:r>
      <w:r w:rsidR="008C5CDB">
        <w:rPr>
          <w:sz w:val="20"/>
          <w:szCs w:val="20"/>
        </w:rPr>
        <w:t>river demographic data exports</w:t>
      </w:r>
      <w:r w:rsidRPr="00CA40CB">
        <w:rPr>
          <w:sz w:val="20"/>
          <w:szCs w:val="20"/>
        </w:rPr>
        <w:t>.</w:t>
      </w:r>
    </w:p>
    <w:p w:rsidR="00A662F4" w:rsidRPr="006A77FD" w:rsidP="00A662F4" w14:paraId="682992E6" w14:textId="77777777">
      <w:pPr>
        <w:pStyle w:val="Default"/>
        <w:ind w:left="360"/>
        <w:jc w:val="center"/>
        <w:rPr>
          <w:b/>
          <w:bCs/>
        </w:rPr>
      </w:pPr>
    </w:p>
    <w:tbl>
      <w:tblPr>
        <w:tblStyle w:val="GridTable4"/>
        <w:tblW w:w="0" w:type="auto"/>
        <w:jc w:val="center"/>
        <w:tblCellMar>
          <w:top w:w="58" w:type="dxa"/>
          <w:bottom w:w="58" w:type="dxa"/>
        </w:tblCellMar>
        <w:tblLook w:val="0620"/>
      </w:tblPr>
      <w:tblGrid>
        <w:gridCol w:w="1602"/>
        <w:gridCol w:w="1611"/>
        <w:gridCol w:w="1609"/>
        <w:gridCol w:w="1495"/>
        <w:gridCol w:w="1516"/>
        <w:gridCol w:w="1497"/>
      </w:tblGrid>
      <w:tr w14:paraId="5697E5D9" w14:textId="77777777" w:rsidTr="003841D0">
        <w:tblPrEx>
          <w:tblW w:w="0" w:type="auto"/>
          <w:jc w:val="center"/>
          <w:tblCellMar>
            <w:top w:w="58" w:type="dxa"/>
            <w:bottom w:w="58" w:type="dxa"/>
          </w:tblCellMar>
          <w:tblLook w:val="0620"/>
        </w:tblPrEx>
        <w:trPr>
          <w:jc w:val="center"/>
        </w:trPr>
        <w:tc>
          <w:tcPr>
            <w:tcW w:w="1602" w:type="dxa"/>
            <w:tcBorders>
              <w:top w:val="single" w:sz="12" w:space="0" w:color="auto"/>
              <w:left w:val="single" w:sz="12" w:space="0" w:color="auto"/>
              <w:bottom w:val="single" w:sz="12" w:space="0" w:color="auto"/>
              <w:right w:val="single" w:sz="4" w:space="0" w:color="000000" w:themeColor="text1"/>
            </w:tcBorders>
            <w:shd w:val="clear" w:color="auto" w:fill="DBDBDB" w:themeFill="accent3" w:themeFillTint="66"/>
            <w:vAlign w:val="center"/>
          </w:tcPr>
          <w:p w:rsidR="0059015C" w:rsidRPr="00051A0F" w:rsidP="00403B10" w14:paraId="1DF56656" w14:textId="7E607564">
            <w:pPr>
              <w:pStyle w:val="Default"/>
              <w:jc w:val="center"/>
              <w:rPr>
                <w:sz w:val="20"/>
                <w:szCs w:val="20"/>
              </w:rPr>
            </w:pPr>
            <w:r>
              <w:rPr>
                <w:sz w:val="20"/>
                <w:szCs w:val="20"/>
              </w:rPr>
              <w:t>Year</w:t>
            </w:r>
          </w:p>
        </w:tc>
        <w:tc>
          <w:tcPr>
            <w:tcW w:w="1611" w:type="dxa"/>
            <w:tcBorders>
              <w:top w:val="single" w:sz="12" w:space="0" w:color="auto"/>
              <w:left w:val="single" w:sz="4" w:space="0" w:color="000000" w:themeColor="text1"/>
              <w:bottom w:val="single" w:sz="12" w:space="0" w:color="auto"/>
              <w:right w:val="single" w:sz="4" w:space="0" w:color="000000" w:themeColor="text1"/>
            </w:tcBorders>
            <w:shd w:val="clear" w:color="auto" w:fill="DBDBDB" w:themeFill="accent3" w:themeFillTint="66"/>
            <w:vAlign w:val="center"/>
          </w:tcPr>
          <w:p w:rsidR="0059015C" w:rsidP="00403B10" w14:paraId="238A86DD" w14:textId="058637B3">
            <w:pPr>
              <w:pStyle w:val="Default"/>
              <w:jc w:val="center"/>
              <w:rPr>
                <w:sz w:val="20"/>
                <w:szCs w:val="20"/>
              </w:rPr>
            </w:pPr>
            <w:r w:rsidRPr="419387CF">
              <w:rPr>
                <w:sz w:val="20"/>
                <w:szCs w:val="20"/>
              </w:rPr>
              <w:t>Total Respondents</w:t>
            </w:r>
            <w:r w:rsidRPr="419387CF" w:rsidR="001D69ED">
              <w:rPr>
                <w:b w:val="0"/>
                <w:bCs w:val="0"/>
                <w:sz w:val="20"/>
                <w:szCs w:val="20"/>
              </w:rPr>
              <w:t>*</w:t>
            </w:r>
          </w:p>
          <w:p w:rsidR="000609AB" w:rsidRPr="0016660B" w:rsidP="00403B10" w14:paraId="6A63B07B" w14:textId="19031777">
            <w:pPr>
              <w:pStyle w:val="Default"/>
              <w:jc w:val="center"/>
              <w:rPr>
                <w:sz w:val="20"/>
                <w:szCs w:val="20"/>
              </w:rPr>
            </w:pPr>
            <w:r w:rsidRPr="419387CF">
              <w:rPr>
                <w:b w:val="0"/>
                <w:bCs w:val="0"/>
                <w:sz w:val="20"/>
                <w:szCs w:val="20"/>
              </w:rPr>
              <w:t>(A)</w:t>
            </w:r>
          </w:p>
        </w:tc>
        <w:tc>
          <w:tcPr>
            <w:tcW w:w="1609" w:type="dxa"/>
            <w:tcBorders>
              <w:top w:val="single" w:sz="12" w:space="0" w:color="auto"/>
              <w:left w:val="single" w:sz="4" w:space="0" w:color="000000" w:themeColor="text1"/>
              <w:bottom w:val="single" w:sz="12" w:space="0" w:color="auto"/>
              <w:right w:val="single" w:sz="4" w:space="0" w:color="000000" w:themeColor="text1"/>
            </w:tcBorders>
            <w:shd w:val="clear" w:color="auto" w:fill="DBDBDB" w:themeFill="accent3" w:themeFillTint="66"/>
            <w:vAlign w:val="center"/>
          </w:tcPr>
          <w:p w:rsidR="0059015C" w:rsidP="00403B10" w14:paraId="4F1DCC5C" w14:textId="77777777">
            <w:pPr>
              <w:pStyle w:val="Default"/>
              <w:jc w:val="center"/>
              <w:rPr>
                <w:sz w:val="20"/>
                <w:szCs w:val="20"/>
              </w:rPr>
            </w:pPr>
            <w:r w:rsidRPr="00051A0F">
              <w:rPr>
                <w:sz w:val="20"/>
                <w:szCs w:val="20"/>
              </w:rPr>
              <w:t>Responses per Respondent</w:t>
            </w:r>
          </w:p>
          <w:p w:rsidR="000609AB" w:rsidRPr="0016660B" w:rsidP="00403B10" w14:paraId="0D764437" w14:textId="6D09035D">
            <w:pPr>
              <w:pStyle w:val="Default"/>
              <w:jc w:val="center"/>
              <w:rPr>
                <w:sz w:val="20"/>
                <w:szCs w:val="20"/>
              </w:rPr>
            </w:pPr>
            <w:r>
              <w:rPr>
                <w:b w:val="0"/>
                <w:bCs w:val="0"/>
                <w:sz w:val="20"/>
                <w:szCs w:val="20"/>
              </w:rPr>
              <w:t>(B)</w:t>
            </w:r>
          </w:p>
        </w:tc>
        <w:tc>
          <w:tcPr>
            <w:tcW w:w="1495" w:type="dxa"/>
            <w:tcBorders>
              <w:top w:val="single" w:sz="12" w:space="0" w:color="auto"/>
              <w:left w:val="single" w:sz="4" w:space="0" w:color="000000" w:themeColor="text1"/>
              <w:bottom w:val="single" w:sz="12" w:space="0" w:color="auto"/>
              <w:right w:val="single" w:sz="4" w:space="0" w:color="000000" w:themeColor="text1"/>
            </w:tcBorders>
            <w:shd w:val="clear" w:color="auto" w:fill="DBDBDB" w:themeFill="accent3" w:themeFillTint="66"/>
          </w:tcPr>
          <w:p w:rsidR="0059015C" w:rsidP="00403B10" w14:paraId="2FAA8C4C" w14:textId="1DC2904C">
            <w:pPr>
              <w:pStyle w:val="Default"/>
              <w:jc w:val="center"/>
              <w:rPr>
                <w:sz w:val="20"/>
                <w:szCs w:val="20"/>
              </w:rPr>
            </w:pPr>
            <w:r>
              <w:rPr>
                <w:sz w:val="20"/>
                <w:szCs w:val="20"/>
              </w:rPr>
              <w:t xml:space="preserve">Total </w:t>
            </w:r>
            <w:r w:rsidR="00FA657B">
              <w:rPr>
                <w:sz w:val="20"/>
                <w:szCs w:val="20"/>
              </w:rPr>
              <w:t xml:space="preserve">Annual </w:t>
            </w:r>
            <w:r>
              <w:rPr>
                <w:sz w:val="20"/>
                <w:szCs w:val="20"/>
              </w:rPr>
              <w:t>Responses</w:t>
            </w:r>
          </w:p>
          <w:p w:rsidR="00121C07" w:rsidRPr="0016660B" w:rsidP="00403B10" w14:paraId="6BA72408" w14:textId="6D0A260D">
            <w:pPr>
              <w:pStyle w:val="Default"/>
              <w:jc w:val="center"/>
              <w:rPr>
                <w:sz w:val="20"/>
                <w:szCs w:val="20"/>
              </w:rPr>
            </w:pPr>
            <w:r>
              <w:rPr>
                <w:b w:val="0"/>
                <w:bCs w:val="0"/>
                <w:sz w:val="20"/>
                <w:szCs w:val="20"/>
              </w:rPr>
              <w:t>(C) = (A*B)</w:t>
            </w:r>
          </w:p>
        </w:tc>
        <w:tc>
          <w:tcPr>
            <w:tcW w:w="1516" w:type="dxa"/>
            <w:tcBorders>
              <w:top w:val="single" w:sz="12" w:space="0" w:color="auto"/>
              <w:left w:val="single" w:sz="4" w:space="0" w:color="000000" w:themeColor="text1"/>
              <w:bottom w:val="single" w:sz="12" w:space="0" w:color="auto"/>
              <w:right w:val="single" w:sz="4" w:space="0" w:color="000000" w:themeColor="text1"/>
            </w:tcBorders>
            <w:shd w:val="clear" w:color="auto" w:fill="DBDBDB" w:themeFill="accent3" w:themeFillTint="66"/>
            <w:vAlign w:val="center"/>
          </w:tcPr>
          <w:p w:rsidR="0059015C" w:rsidP="00403B10" w14:paraId="53EFDC2F" w14:textId="77777777">
            <w:pPr>
              <w:pStyle w:val="Default"/>
              <w:jc w:val="center"/>
              <w:rPr>
                <w:sz w:val="20"/>
                <w:szCs w:val="20"/>
              </w:rPr>
            </w:pPr>
            <w:r>
              <w:rPr>
                <w:sz w:val="20"/>
                <w:szCs w:val="20"/>
              </w:rPr>
              <w:t>Hours</w:t>
            </w:r>
            <w:r w:rsidRPr="00051A0F">
              <w:rPr>
                <w:sz w:val="20"/>
                <w:szCs w:val="20"/>
              </w:rPr>
              <w:t xml:space="preserve"> per Response</w:t>
            </w:r>
          </w:p>
          <w:p w:rsidR="00121C07" w:rsidRPr="0016660B" w:rsidP="00403B10" w14:paraId="0D23AA2E" w14:textId="080AFA29">
            <w:pPr>
              <w:pStyle w:val="Default"/>
              <w:jc w:val="center"/>
              <w:rPr>
                <w:sz w:val="20"/>
                <w:szCs w:val="20"/>
              </w:rPr>
            </w:pPr>
            <w:r>
              <w:rPr>
                <w:b w:val="0"/>
                <w:bCs w:val="0"/>
                <w:sz w:val="20"/>
                <w:szCs w:val="20"/>
              </w:rPr>
              <w:t>(D)</w:t>
            </w:r>
          </w:p>
        </w:tc>
        <w:tc>
          <w:tcPr>
            <w:tcW w:w="1497" w:type="dxa"/>
            <w:tcBorders>
              <w:top w:val="single" w:sz="12" w:space="0" w:color="auto"/>
              <w:left w:val="single" w:sz="4" w:space="0" w:color="000000" w:themeColor="text1"/>
              <w:bottom w:val="single" w:sz="12" w:space="0" w:color="auto"/>
              <w:right w:val="single" w:sz="12" w:space="0" w:color="auto"/>
            </w:tcBorders>
            <w:shd w:val="clear" w:color="auto" w:fill="DBDBDB" w:themeFill="accent3" w:themeFillTint="66"/>
            <w:vAlign w:val="center"/>
          </w:tcPr>
          <w:p w:rsidR="0059015C" w:rsidP="00403B10" w14:paraId="55E1718A" w14:textId="77777777">
            <w:pPr>
              <w:pStyle w:val="Default"/>
              <w:jc w:val="center"/>
              <w:rPr>
                <w:sz w:val="20"/>
                <w:szCs w:val="20"/>
              </w:rPr>
            </w:pPr>
            <w:r w:rsidRPr="00051A0F">
              <w:rPr>
                <w:sz w:val="20"/>
                <w:szCs w:val="20"/>
              </w:rPr>
              <w:t>Total Burden Hours</w:t>
            </w:r>
          </w:p>
          <w:p w:rsidR="00B21228" w:rsidRPr="0016660B" w:rsidP="00403B10" w14:paraId="2C446308" w14:textId="1796AF10">
            <w:pPr>
              <w:pStyle w:val="Default"/>
              <w:jc w:val="center"/>
              <w:rPr>
                <w:sz w:val="20"/>
                <w:szCs w:val="20"/>
              </w:rPr>
            </w:pPr>
            <w:r>
              <w:rPr>
                <w:b w:val="0"/>
                <w:bCs w:val="0"/>
                <w:sz w:val="20"/>
                <w:szCs w:val="20"/>
              </w:rPr>
              <w:t>(E) = (C*D)</w:t>
            </w:r>
          </w:p>
        </w:tc>
      </w:tr>
      <w:tr w14:paraId="749A1844" w14:textId="77777777" w:rsidTr="003841D0">
        <w:tblPrEx>
          <w:tblW w:w="0" w:type="auto"/>
          <w:jc w:val="center"/>
          <w:tblCellMar>
            <w:top w:w="58" w:type="dxa"/>
            <w:bottom w:w="58" w:type="dxa"/>
          </w:tblCellMar>
          <w:tblLook w:val="0620"/>
        </w:tblPrEx>
        <w:trPr>
          <w:jc w:val="center"/>
        </w:trPr>
        <w:tc>
          <w:tcPr>
            <w:tcW w:w="1602" w:type="dxa"/>
            <w:tcBorders>
              <w:top w:val="single" w:sz="12" w:space="0" w:color="auto"/>
              <w:left w:val="single" w:sz="12" w:space="0" w:color="auto"/>
            </w:tcBorders>
            <w:vAlign w:val="center"/>
          </w:tcPr>
          <w:p w:rsidR="0059015C" w:rsidRPr="00051A0F" w:rsidP="00403B10" w14:paraId="1C599BA9" w14:textId="3C01F2D1">
            <w:pPr>
              <w:pStyle w:val="Default"/>
              <w:jc w:val="center"/>
              <w:rPr>
                <w:sz w:val="20"/>
                <w:szCs w:val="20"/>
              </w:rPr>
            </w:pPr>
            <w:r>
              <w:rPr>
                <w:sz w:val="20"/>
                <w:szCs w:val="20"/>
              </w:rPr>
              <w:t>1</w:t>
            </w:r>
          </w:p>
        </w:tc>
        <w:tc>
          <w:tcPr>
            <w:tcW w:w="1611" w:type="dxa"/>
            <w:tcBorders>
              <w:top w:val="single" w:sz="12" w:space="0" w:color="auto"/>
            </w:tcBorders>
            <w:vAlign w:val="center"/>
          </w:tcPr>
          <w:p w:rsidR="0059015C" w:rsidRPr="00051A0F" w:rsidP="00403B10" w14:paraId="34B57677" w14:textId="72C009EB">
            <w:pPr>
              <w:pStyle w:val="Default"/>
              <w:jc w:val="center"/>
              <w:rPr>
                <w:sz w:val="20"/>
                <w:szCs w:val="20"/>
              </w:rPr>
            </w:pPr>
            <w:r>
              <w:rPr>
                <w:sz w:val="20"/>
                <w:szCs w:val="20"/>
              </w:rPr>
              <w:t>15</w:t>
            </w:r>
          </w:p>
        </w:tc>
        <w:tc>
          <w:tcPr>
            <w:tcW w:w="1609" w:type="dxa"/>
            <w:tcBorders>
              <w:top w:val="single" w:sz="12" w:space="0" w:color="auto"/>
            </w:tcBorders>
            <w:vAlign w:val="center"/>
          </w:tcPr>
          <w:p w:rsidR="0059015C" w:rsidRPr="00051A0F" w:rsidP="00403B10" w14:paraId="308E856E" w14:textId="0400C2BE">
            <w:pPr>
              <w:pStyle w:val="Default"/>
              <w:jc w:val="center"/>
              <w:rPr>
                <w:sz w:val="20"/>
                <w:szCs w:val="20"/>
              </w:rPr>
            </w:pPr>
            <w:r>
              <w:rPr>
                <w:sz w:val="20"/>
                <w:szCs w:val="20"/>
              </w:rPr>
              <w:t>4</w:t>
            </w:r>
          </w:p>
        </w:tc>
        <w:tc>
          <w:tcPr>
            <w:tcW w:w="1495" w:type="dxa"/>
            <w:tcBorders>
              <w:top w:val="single" w:sz="12" w:space="0" w:color="auto"/>
            </w:tcBorders>
          </w:tcPr>
          <w:p w:rsidR="0059015C" w:rsidP="00403B10" w14:paraId="34B23A43" w14:textId="3DEC3AFA">
            <w:pPr>
              <w:pStyle w:val="Default"/>
              <w:jc w:val="center"/>
              <w:rPr>
                <w:sz w:val="20"/>
                <w:szCs w:val="20"/>
              </w:rPr>
            </w:pPr>
            <w:r>
              <w:rPr>
                <w:sz w:val="20"/>
                <w:szCs w:val="20"/>
              </w:rPr>
              <w:t>60</w:t>
            </w:r>
          </w:p>
        </w:tc>
        <w:tc>
          <w:tcPr>
            <w:tcW w:w="1516" w:type="dxa"/>
            <w:tcBorders>
              <w:top w:val="single" w:sz="12" w:space="0" w:color="auto"/>
            </w:tcBorders>
            <w:vAlign w:val="center"/>
          </w:tcPr>
          <w:p w:rsidR="0059015C" w:rsidRPr="00051A0F" w:rsidP="00403B10" w14:paraId="66A18A66" w14:textId="39A9731F">
            <w:pPr>
              <w:pStyle w:val="Default"/>
              <w:jc w:val="center"/>
              <w:rPr>
                <w:sz w:val="20"/>
                <w:szCs w:val="20"/>
              </w:rPr>
            </w:pPr>
            <w:r>
              <w:rPr>
                <w:sz w:val="20"/>
                <w:szCs w:val="20"/>
              </w:rPr>
              <w:t>0.25</w:t>
            </w:r>
          </w:p>
        </w:tc>
        <w:tc>
          <w:tcPr>
            <w:tcW w:w="1497" w:type="dxa"/>
            <w:tcBorders>
              <w:top w:val="single" w:sz="12" w:space="0" w:color="auto"/>
              <w:right w:val="single" w:sz="12" w:space="0" w:color="auto"/>
            </w:tcBorders>
            <w:vAlign w:val="center"/>
          </w:tcPr>
          <w:p w:rsidR="0059015C" w:rsidRPr="00051A0F" w:rsidP="00403B10" w14:paraId="5E476928" w14:textId="0DFA91D5">
            <w:pPr>
              <w:pStyle w:val="Default"/>
              <w:jc w:val="center"/>
              <w:rPr>
                <w:sz w:val="20"/>
                <w:szCs w:val="20"/>
              </w:rPr>
            </w:pPr>
            <w:r>
              <w:rPr>
                <w:sz w:val="20"/>
                <w:szCs w:val="20"/>
              </w:rPr>
              <w:t>15</w:t>
            </w:r>
          </w:p>
        </w:tc>
      </w:tr>
      <w:tr w14:paraId="23CF4558" w14:textId="77777777" w:rsidTr="003841D0">
        <w:tblPrEx>
          <w:tblW w:w="0" w:type="auto"/>
          <w:jc w:val="center"/>
          <w:tblCellMar>
            <w:top w:w="58" w:type="dxa"/>
            <w:bottom w:w="58" w:type="dxa"/>
          </w:tblCellMar>
          <w:tblLook w:val="0620"/>
        </w:tblPrEx>
        <w:trPr>
          <w:jc w:val="center"/>
        </w:trPr>
        <w:tc>
          <w:tcPr>
            <w:tcW w:w="1602" w:type="dxa"/>
            <w:tcBorders>
              <w:left w:val="single" w:sz="12" w:space="0" w:color="auto"/>
            </w:tcBorders>
            <w:vAlign w:val="center"/>
          </w:tcPr>
          <w:p w:rsidR="0059015C" w:rsidRPr="00051A0F" w:rsidP="00403B10" w14:paraId="56A1E8C1" w14:textId="01218247">
            <w:pPr>
              <w:pStyle w:val="Default"/>
              <w:jc w:val="center"/>
              <w:rPr>
                <w:sz w:val="20"/>
                <w:szCs w:val="20"/>
              </w:rPr>
            </w:pPr>
            <w:r>
              <w:rPr>
                <w:sz w:val="20"/>
                <w:szCs w:val="20"/>
              </w:rPr>
              <w:t>2</w:t>
            </w:r>
          </w:p>
        </w:tc>
        <w:tc>
          <w:tcPr>
            <w:tcW w:w="1611" w:type="dxa"/>
            <w:vAlign w:val="center"/>
          </w:tcPr>
          <w:p w:rsidR="0059015C" w:rsidRPr="00051A0F" w:rsidP="00403B10" w14:paraId="1C6B1E4A" w14:textId="4C79ECF9">
            <w:pPr>
              <w:pStyle w:val="Default"/>
              <w:jc w:val="center"/>
              <w:rPr>
                <w:sz w:val="20"/>
                <w:szCs w:val="20"/>
              </w:rPr>
            </w:pPr>
            <w:r>
              <w:rPr>
                <w:sz w:val="20"/>
                <w:szCs w:val="20"/>
              </w:rPr>
              <w:t>30</w:t>
            </w:r>
          </w:p>
        </w:tc>
        <w:tc>
          <w:tcPr>
            <w:tcW w:w="1609" w:type="dxa"/>
            <w:vAlign w:val="center"/>
          </w:tcPr>
          <w:p w:rsidR="0059015C" w:rsidRPr="00051A0F" w:rsidP="00403B10" w14:paraId="5475BF1E" w14:textId="1C79D4A8">
            <w:pPr>
              <w:pStyle w:val="Default"/>
              <w:jc w:val="center"/>
              <w:rPr>
                <w:sz w:val="20"/>
                <w:szCs w:val="20"/>
              </w:rPr>
            </w:pPr>
            <w:r>
              <w:rPr>
                <w:sz w:val="20"/>
                <w:szCs w:val="20"/>
              </w:rPr>
              <w:t>4</w:t>
            </w:r>
          </w:p>
        </w:tc>
        <w:tc>
          <w:tcPr>
            <w:tcW w:w="1495" w:type="dxa"/>
          </w:tcPr>
          <w:p w:rsidR="0059015C" w:rsidP="00403B10" w14:paraId="090F13A0" w14:textId="36CAA59E">
            <w:pPr>
              <w:pStyle w:val="Default"/>
              <w:jc w:val="center"/>
              <w:rPr>
                <w:sz w:val="20"/>
                <w:szCs w:val="20"/>
              </w:rPr>
            </w:pPr>
            <w:r>
              <w:rPr>
                <w:sz w:val="20"/>
                <w:szCs w:val="20"/>
              </w:rPr>
              <w:t>120</w:t>
            </w:r>
          </w:p>
        </w:tc>
        <w:tc>
          <w:tcPr>
            <w:tcW w:w="1516" w:type="dxa"/>
            <w:vAlign w:val="center"/>
          </w:tcPr>
          <w:p w:rsidR="0059015C" w:rsidRPr="00051A0F" w:rsidP="00403B10" w14:paraId="4431D19E" w14:textId="1AC16A13">
            <w:pPr>
              <w:pStyle w:val="Default"/>
              <w:jc w:val="center"/>
              <w:rPr>
                <w:sz w:val="20"/>
                <w:szCs w:val="20"/>
              </w:rPr>
            </w:pPr>
            <w:r>
              <w:rPr>
                <w:sz w:val="20"/>
                <w:szCs w:val="20"/>
              </w:rPr>
              <w:t>0.25</w:t>
            </w:r>
          </w:p>
        </w:tc>
        <w:tc>
          <w:tcPr>
            <w:tcW w:w="1497" w:type="dxa"/>
            <w:tcBorders>
              <w:right w:val="single" w:sz="12" w:space="0" w:color="auto"/>
            </w:tcBorders>
            <w:vAlign w:val="center"/>
          </w:tcPr>
          <w:p w:rsidR="0059015C" w:rsidRPr="00051A0F" w:rsidP="00403B10" w14:paraId="46436D92" w14:textId="77777777">
            <w:pPr>
              <w:pStyle w:val="Default"/>
              <w:jc w:val="center"/>
              <w:rPr>
                <w:sz w:val="20"/>
                <w:szCs w:val="20"/>
              </w:rPr>
            </w:pPr>
            <w:r>
              <w:rPr>
                <w:sz w:val="20"/>
                <w:szCs w:val="20"/>
              </w:rPr>
              <w:t>30</w:t>
            </w:r>
          </w:p>
        </w:tc>
      </w:tr>
      <w:tr w14:paraId="59AFE7F1" w14:textId="77777777" w:rsidTr="003841D0">
        <w:tblPrEx>
          <w:tblW w:w="0" w:type="auto"/>
          <w:jc w:val="center"/>
          <w:tblCellMar>
            <w:top w:w="58" w:type="dxa"/>
            <w:bottom w:w="58" w:type="dxa"/>
          </w:tblCellMar>
          <w:tblLook w:val="0620"/>
        </w:tblPrEx>
        <w:trPr>
          <w:jc w:val="center"/>
        </w:trPr>
        <w:tc>
          <w:tcPr>
            <w:tcW w:w="1602" w:type="dxa"/>
            <w:tcBorders>
              <w:left w:val="single" w:sz="12" w:space="0" w:color="auto"/>
            </w:tcBorders>
            <w:vAlign w:val="center"/>
          </w:tcPr>
          <w:p w:rsidR="0059015C" w:rsidRPr="00051A0F" w:rsidP="00403B10" w14:paraId="2004647B" w14:textId="7A330596">
            <w:pPr>
              <w:pStyle w:val="Default"/>
              <w:jc w:val="center"/>
              <w:rPr>
                <w:sz w:val="20"/>
                <w:szCs w:val="20"/>
              </w:rPr>
            </w:pPr>
            <w:r>
              <w:rPr>
                <w:sz w:val="20"/>
                <w:szCs w:val="20"/>
              </w:rPr>
              <w:t>3</w:t>
            </w:r>
          </w:p>
        </w:tc>
        <w:tc>
          <w:tcPr>
            <w:tcW w:w="1611" w:type="dxa"/>
            <w:vAlign w:val="center"/>
          </w:tcPr>
          <w:p w:rsidR="0059015C" w:rsidRPr="00051A0F" w:rsidP="00403B10" w14:paraId="638F7A94" w14:textId="1CBD771F">
            <w:pPr>
              <w:pStyle w:val="Default"/>
              <w:jc w:val="center"/>
              <w:rPr>
                <w:sz w:val="20"/>
                <w:szCs w:val="20"/>
              </w:rPr>
            </w:pPr>
            <w:r>
              <w:rPr>
                <w:sz w:val="20"/>
                <w:szCs w:val="20"/>
              </w:rPr>
              <w:t>45</w:t>
            </w:r>
          </w:p>
        </w:tc>
        <w:tc>
          <w:tcPr>
            <w:tcW w:w="1609" w:type="dxa"/>
            <w:vAlign w:val="center"/>
          </w:tcPr>
          <w:p w:rsidR="0059015C" w:rsidP="00403B10" w14:paraId="125E6CF0" w14:textId="77D1A5C5">
            <w:pPr>
              <w:pStyle w:val="Default"/>
              <w:jc w:val="center"/>
              <w:rPr>
                <w:sz w:val="20"/>
                <w:szCs w:val="20"/>
              </w:rPr>
            </w:pPr>
            <w:r>
              <w:rPr>
                <w:sz w:val="20"/>
                <w:szCs w:val="20"/>
              </w:rPr>
              <w:t>4</w:t>
            </w:r>
          </w:p>
        </w:tc>
        <w:tc>
          <w:tcPr>
            <w:tcW w:w="1495" w:type="dxa"/>
          </w:tcPr>
          <w:p w:rsidR="0059015C" w:rsidP="00403B10" w14:paraId="7902F6B7" w14:textId="70B864CC">
            <w:pPr>
              <w:pStyle w:val="Default"/>
              <w:jc w:val="center"/>
              <w:rPr>
                <w:sz w:val="20"/>
                <w:szCs w:val="20"/>
              </w:rPr>
            </w:pPr>
            <w:r>
              <w:rPr>
                <w:sz w:val="20"/>
                <w:szCs w:val="20"/>
              </w:rPr>
              <w:t>180</w:t>
            </w:r>
          </w:p>
        </w:tc>
        <w:tc>
          <w:tcPr>
            <w:tcW w:w="1516" w:type="dxa"/>
            <w:vAlign w:val="center"/>
          </w:tcPr>
          <w:p w:rsidR="0059015C" w:rsidP="00403B10" w14:paraId="4B85FF9D" w14:textId="138539B1">
            <w:pPr>
              <w:pStyle w:val="Default"/>
              <w:jc w:val="center"/>
              <w:rPr>
                <w:sz w:val="20"/>
                <w:szCs w:val="20"/>
              </w:rPr>
            </w:pPr>
            <w:r>
              <w:rPr>
                <w:sz w:val="20"/>
                <w:szCs w:val="20"/>
              </w:rPr>
              <w:t>0.25</w:t>
            </w:r>
          </w:p>
        </w:tc>
        <w:tc>
          <w:tcPr>
            <w:tcW w:w="1497" w:type="dxa"/>
            <w:tcBorders>
              <w:right w:val="single" w:sz="12" w:space="0" w:color="auto"/>
            </w:tcBorders>
            <w:vAlign w:val="center"/>
          </w:tcPr>
          <w:p w:rsidR="0059015C" w:rsidP="00403B10" w14:paraId="6EAC0E5D" w14:textId="3BDB9229">
            <w:pPr>
              <w:pStyle w:val="Default"/>
              <w:jc w:val="center"/>
              <w:rPr>
                <w:sz w:val="20"/>
                <w:szCs w:val="20"/>
              </w:rPr>
            </w:pPr>
            <w:r>
              <w:rPr>
                <w:sz w:val="20"/>
                <w:szCs w:val="20"/>
              </w:rPr>
              <w:t>45</w:t>
            </w:r>
          </w:p>
        </w:tc>
      </w:tr>
      <w:tr w14:paraId="15F13F0A" w14:textId="77777777" w:rsidTr="003841D0">
        <w:tblPrEx>
          <w:tblW w:w="0" w:type="auto"/>
          <w:jc w:val="center"/>
          <w:tblCellMar>
            <w:top w:w="58" w:type="dxa"/>
            <w:bottom w:w="58" w:type="dxa"/>
          </w:tblCellMar>
          <w:tblLook w:val="0620"/>
        </w:tblPrEx>
        <w:trPr>
          <w:jc w:val="center"/>
        </w:trPr>
        <w:tc>
          <w:tcPr>
            <w:tcW w:w="1602" w:type="dxa"/>
            <w:tcBorders>
              <w:left w:val="single" w:sz="12" w:space="0" w:color="auto"/>
            </w:tcBorders>
            <w:vAlign w:val="center"/>
          </w:tcPr>
          <w:p w:rsidR="0059015C" w:rsidRPr="00051A0F" w:rsidP="00403B10" w14:paraId="61A4097F" w14:textId="4E327084">
            <w:pPr>
              <w:pStyle w:val="Default"/>
              <w:jc w:val="center"/>
              <w:rPr>
                <w:sz w:val="20"/>
                <w:szCs w:val="20"/>
              </w:rPr>
            </w:pPr>
            <w:r>
              <w:rPr>
                <w:sz w:val="20"/>
                <w:szCs w:val="20"/>
              </w:rPr>
              <w:t>4</w:t>
            </w:r>
          </w:p>
        </w:tc>
        <w:tc>
          <w:tcPr>
            <w:tcW w:w="1611" w:type="dxa"/>
            <w:vAlign w:val="center"/>
          </w:tcPr>
          <w:p w:rsidR="0059015C" w:rsidRPr="00051A0F" w:rsidP="00403B10" w14:paraId="6D0D46BE" w14:textId="77777777">
            <w:pPr>
              <w:pStyle w:val="Default"/>
              <w:jc w:val="center"/>
              <w:rPr>
                <w:sz w:val="20"/>
                <w:szCs w:val="20"/>
              </w:rPr>
            </w:pPr>
            <w:r w:rsidRPr="00051A0F">
              <w:rPr>
                <w:sz w:val="20"/>
                <w:szCs w:val="20"/>
              </w:rPr>
              <w:t>60</w:t>
            </w:r>
          </w:p>
        </w:tc>
        <w:tc>
          <w:tcPr>
            <w:tcW w:w="1609" w:type="dxa"/>
            <w:vAlign w:val="center"/>
          </w:tcPr>
          <w:p w:rsidR="0059015C" w:rsidRPr="00051A0F" w:rsidP="00403B10" w14:paraId="315FDFA9" w14:textId="77D8C9EB">
            <w:pPr>
              <w:pStyle w:val="Default"/>
              <w:jc w:val="center"/>
              <w:rPr>
                <w:sz w:val="20"/>
                <w:szCs w:val="20"/>
              </w:rPr>
            </w:pPr>
            <w:r>
              <w:rPr>
                <w:sz w:val="20"/>
                <w:szCs w:val="20"/>
              </w:rPr>
              <w:t>4</w:t>
            </w:r>
          </w:p>
        </w:tc>
        <w:tc>
          <w:tcPr>
            <w:tcW w:w="1495" w:type="dxa"/>
          </w:tcPr>
          <w:p w:rsidR="0059015C" w:rsidP="00403B10" w14:paraId="3CC49448" w14:textId="521520AE">
            <w:pPr>
              <w:pStyle w:val="Default"/>
              <w:jc w:val="center"/>
              <w:rPr>
                <w:sz w:val="20"/>
                <w:szCs w:val="20"/>
              </w:rPr>
            </w:pPr>
            <w:r>
              <w:rPr>
                <w:sz w:val="20"/>
                <w:szCs w:val="20"/>
              </w:rPr>
              <w:t>240</w:t>
            </w:r>
          </w:p>
        </w:tc>
        <w:tc>
          <w:tcPr>
            <w:tcW w:w="1516" w:type="dxa"/>
            <w:vAlign w:val="center"/>
          </w:tcPr>
          <w:p w:rsidR="0059015C" w:rsidRPr="00051A0F" w:rsidP="00403B10" w14:paraId="46141AF4" w14:textId="7D6592FB">
            <w:pPr>
              <w:pStyle w:val="Default"/>
              <w:jc w:val="center"/>
              <w:rPr>
                <w:sz w:val="20"/>
                <w:szCs w:val="20"/>
              </w:rPr>
            </w:pPr>
            <w:r>
              <w:rPr>
                <w:sz w:val="20"/>
                <w:szCs w:val="20"/>
              </w:rPr>
              <w:t>0.25</w:t>
            </w:r>
          </w:p>
        </w:tc>
        <w:tc>
          <w:tcPr>
            <w:tcW w:w="1497" w:type="dxa"/>
            <w:tcBorders>
              <w:right w:val="single" w:sz="12" w:space="0" w:color="auto"/>
            </w:tcBorders>
            <w:vAlign w:val="center"/>
          </w:tcPr>
          <w:p w:rsidR="0059015C" w:rsidRPr="00051A0F" w:rsidP="00403B10" w14:paraId="0C5AE433" w14:textId="2841021F">
            <w:pPr>
              <w:pStyle w:val="Default"/>
              <w:jc w:val="center"/>
              <w:rPr>
                <w:sz w:val="20"/>
                <w:szCs w:val="20"/>
              </w:rPr>
            </w:pPr>
            <w:r>
              <w:rPr>
                <w:sz w:val="20"/>
                <w:szCs w:val="20"/>
              </w:rPr>
              <w:t>60</w:t>
            </w:r>
          </w:p>
        </w:tc>
      </w:tr>
      <w:tr w14:paraId="0B3CCB94" w14:textId="77777777" w:rsidTr="003841D0">
        <w:tblPrEx>
          <w:tblW w:w="0" w:type="auto"/>
          <w:jc w:val="center"/>
          <w:tblCellMar>
            <w:top w:w="58" w:type="dxa"/>
            <w:bottom w:w="58" w:type="dxa"/>
          </w:tblCellMar>
          <w:tblLook w:val="0620"/>
        </w:tblPrEx>
        <w:trPr>
          <w:jc w:val="center"/>
        </w:trPr>
        <w:tc>
          <w:tcPr>
            <w:tcW w:w="1602" w:type="dxa"/>
            <w:tcBorders>
              <w:left w:val="single" w:sz="12" w:space="0" w:color="auto"/>
            </w:tcBorders>
            <w:vAlign w:val="center"/>
          </w:tcPr>
          <w:p w:rsidR="0059015C" w:rsidRPr="00AF61D2" w:rsidP="00403B10" w14:paraId="630C132F" w14:textId="77777777">
            <w:pPr>
              <w:pStyle w:val="Default"/>
              <w:jc w:val="center"/>
              <w:rPr>
                <w:b/>
                <w:bCs/>
                <w:sz w:val="20"/>
                <w:szCs w:val="20"/>
              </w:rPr>
            </w:pPr>
            <w:r>
              <w:rPr>
                <w:b/>
                <w:bCs/>
                <w:sz w:val="20"/>
                <w:szCs w:val="20"/>
              </w:rPr>
              <w:t>4</w:t>
            </w:r>
            <w:r w:rsidRPr="00AF61D2">
              <w:rPr>
                <w:b/>
                <w:bCs/>
                <w:sz w:val="20"/>
                <w:szCs w:val="20"/>
              </w:rPr>
              <w:t>-year Total</w:t>
            </w:r>
          </w:p>
        </w:tc>
        <w:tc>
          <w:tcPr>
            <w:tcW w:w="1611" w:type="dxa"/>
            <w:vAlign w:val="center"/>
          </w:tcPr>
          <w:p w:rsidR="0059015C" w:rsidRPr="00051A0F" w:rsidP="00403B10" w14:paraId="6148E6E3" w14:textId="44033D56">
            <w:pPr>
              <w:pStyle w:val="Default"/>
              <w:jc w:val="center"/>
              <w:rPr>
                <w:sz w:val="20"/>
                <w:szCs w:val="20"/>
              </w:rPr>
            </w:pPr>
            <w:r>
              <w:rPr>
                <w:sz w:val="20"/>
                <w:szCs w:val="20"/>
              </w:rPr>
              <w:t>-</w:t>
            </w:r>
          </w:p>
        </w:tc>
        <w:tc>
          <w:tcPr>
            <w:tcW w:w="1609" w:type="dxa"/>
            <w:vAlign w:val="center"/>
          </w:tcPr>
          <w:p w:rsidR="0059015C" w:rsidRPr="00051A0F" w:rsidP="00403B10" w14:paraId="44CE731F" w14:textId="0D3D2AD4">
            <w:pPr>
              <w:pStyle w:val="Default"/>
              <w:jc w:val="center"/>
              <w:rPr>
                <w:sz w:val="20"/>
                <w:szCs w:val="20"/>
              </w:rPr>
            </w:pPr>
            <w:r>
              <w:rPr>
                <w:sz w:val="20"/>
                <w:szCs w:val="20"/>
              </w:rPr>
              <w:t>-</w:t>
            </w:r>
          </w:p>
        </w:tc>
        <w:tc>
          <w:tcPr>
            <w:tcW w:w="1495" w:type="dxa"/>
          </w:tcPr>
          <w:p w:rsidR="0059015C" w:rsidRPr="00051A0F" w:rsidP="00403B10" w14:paraId="27E3446E" w14:textId="7221D4F9">
            <w:pPr>
              <w:pStyle w:val="Default"/>
              <w:jc w:val="center"/>
              <w:rPr>
                <w:sz w:val="20"/>
                <w:szCs w:val="20"/>
              </w:rPr>
            </w:pPr>
            <w:r>
              <w:rPr>
                <w:sz w:val="20"/>
                <w:szCs w:val="20"/>
              </w:rPr>
              <w:t>600</w:t>
            </w:r>
          </w:p>
        </w:tc>
        <w:tc>
          <w:tcPr>
            <w:tcW w:w="1516" w:type="dxa"/>
            <w:vAlign w:val="center"/>
          </w:tcPr>
          <w:p w:rsidR="0059015C" w:rsidRPr="00051A0F" w:rsidP="00403B10" w14:paraId="3F23523D" w14:textId="7A5EF4D3">
            <w:pPr>
              <w:pStyle w:val="Default"/>
              <w:jc w:val="center"/>
              <w:rPr>
                <w:sz w:val="20"/>
                <w:szCs w:val="20"/>
              </w:rPr>
            </w:pPr>
            <w:r w:rsidRPr="00051A0F">
              <w:rPr>
                <w:sz w:val="20"/>
                <w:szCs w:val="20"/>
              </w:rPr>
              <w:t>-</w:t>
            </w:r>
          </w:p>
        </w:tc>
        <w:tc>
          <w:tcPr>
            <w:tcW w:w="1497" w:type="dxa"/>
            <w:tcBorders>
              <w:right w:val="single" w:sz="12" w:space="0" w:color="auto"/>
            </w:tcBorders>
            <w:vAlign w:val="center"/>
          </w:tcPr>
          <w:p w:rsidR="0059015C" w:rsidRPr="00051A0F" w:rsidP="00403B10" w14:paraId="4916D02B" w14:textId="40A49127">
            <w:pPr>
              <w:pStyle w:val="Default"/>
              <w:jc w:val="center"/>
              <w:rPr>
                <w:sz w:val="20"/>
                <w:szCs w:val="20"/>
              </w:rPr>
            </w:pPr>
            <w:r>
              <w:rPr>
                <w:sz w:val="20"/>
                <w:szCs w:val="20"/>
              </w:rPr>
              <w:t>150</w:t>
            </w:r>
          </w:p>
        </w:tc>
      </w:tr>
      <w:tr w14:paraId="56333606" w14:textId="77777777" w:rsidTr="003841D0">
        <w:tblPrEx>
          <w:tblW w:w="0" w:type="auto"/>
          <w:jc w:val="center"/>
          <w:tblCellMar>
            <w:top w:w="58" w:type="dxa"/>
            <w:bottom w:w="58" w:type="dxa"/>
          </w:tblCellMar>
          <w:tblLook w:val="0620"/>
        </w:tblPrEx>
        <w:trPr>
          <w:jc w:val="center"/>
        </w:trPr>
        <w:tc>
          <w:tcPr>
            <w:tcW w:w="1602" w:type="dxa"/>
            <w:tcBorders>
              <w:left w:val="single" w:sz="12" w:space="0" w:color="auto"/>
              <w:bottom w:val="single" w:sz="12" w:space="0" w:color="auto"/>
            </w:tcBorders>
            <w:vAlign w:val="center"/>
          </w:tcPr>
          <w:p w:rsidR="0059015C" w:rsidRPr="00AF61D2" w:rsidP="00403B10" w14:paraId="365AAAF5" w14:textId="77777777">
            <w:pPr>
              <w:pStyle w:val="Default"/>
              <w:jc w:val="center"/>
              <w:rPr>
                <w:b/>
                <w:bCs/>
                <w:sz w:val="20"/>
                <w:szCs w:val="20"/>
              </w:rPr>
            </w:pPr>
            <w:r w:rsidRPr="00AF61D2">
              <w:rPr>
                <w:b/>
                <w:bCs/>
                <w:sz w:val="20"/>
                <w:szCs w:val="20"/>
              </w:rPr>
              <w:t>Annual Average</w:t>
            </w:r>
          </w:p>
        </w:tc>
        <w:tc>
          <w:tcPr>
            <w:tcW w:w="1611" w:type="dxa"/>
            <w:tcBorders>
              <w:bottom w:val="single" w:sz="12" w:space="0" w:color="auto"/>
            </w:tcBorders>
            <w:vAlign w:val="center"/>
          </w:tcPr>
          <w:p w:rsidR="0059015C" w:rsidRPr="00051A0F" w:rsidP="00403B10" w14:paraId="4F5D49B3" w14:textId="77777777">
            <w:pPr>
              <w:pStyle w:val="Default"/>
              <w:jc w:val="center"/>
              <w:rPr>
                <w:sz w:val="20"/>
                <w:szCs w:val="20"/>
              </w:rPr>
            </w:pPr>
            <w:r>
              <w:rPr>
                <w:sz w:val="20"/>
                <w:szCs w:val="20"/>
              </w:rPr>
              <w:t>-</w:t>
            </w:r>
          </w:p>
        </w:tc>
        <w:tc>
          <w:tcPr>
            <w:tcW w:w="1609" w:type="dxa"/>
            <w:tcBorders>
              <w:bottom w:val="single" w:sz="12" w:space="0" w:color="auto"/>
            </w:tcBorders>
            <w:vAlign w:val="center"/>
          </w:tcPr>
          <w:p w:rsidR="0059015C" w:rsidRPr="00051A0F" w:rsidP="00403B10" w14:paraId="48E149EB" w14:textId="1E6A10C2">
            <w:pPr>
              <w:pStyle w:val="Default"/>
              <w:jc w:val="center"/>
              <w:rPr>
                <w:sz w:val="20"/>
                <w:szCs w:val="20"/>
              </w:rPr>
            </w:pPr>
            <w:r>
              <w:rPr>
                <w:sz w:val="20"/>
                <w:szCs w:val="20"/>
              </w:rPr>
              <w:t>-</w:t>
            </w:r>
          </w:p>
        </w:tc>
        <w:tc>
          <w:tcPr>
            <w:tcW w:w="1495" w:type="dxa"/>
            <w:tcBorders>
              <w:bottom w:val="single" w:sz="12" w:space="0" w:color="auto"/>
            </w:tcBorders>
            <w:vAlign w:val="center"/>
          </w:tcPr>
          <w:p w:rsidR="0059015C" w:rsidRPr="00051A0F" w:rsidP="00A80B6F" w14:paraId="7CD5AB3C" w14:textId="6718D05E">
            <w:pPr>
              <w:pStyle w:val="Default"/>
              <w:jc w:val="center"/>
              <w:rPr>
                <w:sz w:val="20"/>
                <w:szCs w:val="20"/>
              </w:rPr>
            </w:pPr>
            <w:r>
              <w:rPr>
                <w:sz w:val="20"/>
                <w:szCs w:val="20"/>
              </w:rPr>
              <w:t>150</w:t>
            </w:r>
          </w:p>
        </w:tc>
        <w:tc>
          <w:tcPr>
            <w:tcW w:w="1516" w:type="dxa"/>
            <w:tcBorders>
              <w:bottom w:val="single" w:sz="12" w:space="0" w:color="auto"/>
            </w:tcBorders>
            <w:vAlign w:val="center"/>
          </w:tcPr>
          <w:p w:rsidR="0059015C" w:rsidRPr="00051A0F" w:rsidP="00403B10" w14:paraId="05DD99D0" w14:textId="4D9C3623">
            <w:pPr>
              <w:pStyle w:val="Default"/>
              <w:jc w:val="center"/>
              <w:rPr>
                <w:sz w:val="20"/>
                <w:szCs w:val="20"/>
              </w:rPr>
            </w:pPr>
            <w:r w:rsidRPr="00051A0F">
              <w:rPr>
                <w:sz w:val="20"/>
                <w:szCs w:val="20"/>
              </w:rPr>
              <w:t>-</w:t>
            </w:r>
          </w:p>
        </w:tc>
        <w:tc>
          <w:tcPr>
            <w:tcW w:w="1497" w:type="dxa"/>
            <w:tcBorders>
              <w:bottom w:val="single" w:sz="12" w:space="0" w:color="auto"/>
              <w:right w:val="single" w:sz="12" w:space="0" w:color="auto"/>
            </w:tcBorders>
            <w:vAlign w:val="center"/>
          </w:tcPr>
          <w:p w:rsidR="0059015C" w:rsidRPr="00051A0F" w:rsidP="00403B10" w14:paraId="21626115" w14:textId="7C2899F0">
            <w:pPr>
              <w:pStyle w:val="Default"/>
              <w:jc w:val="center"/>
              <w:rPr>
                <w:sz w:val="20"/>
                <w:szCs w:val="20"/>
              </w:rPr>
            </w:pPr>
            <w:r>
              <w:rPr>
                <w:sz w:val="20"/>
                <w:szCs w:val="20"/>
              </w:rPr>
              <w:t>37.5</w:t>
            </w:r>
          </w:p>
        </w:tc>
      </w:tr>
    </w:tbl>
    <w:p w:rsidR="00270675" w:rsidP="419387CF" w14:paraId="7832A2A9" w14:textId="3D3F69D3">
      <w:pPr>
        <w:pStyle w:val="Default"/>
        <w:rPr>
          <w:sz w:val="20"/>
          <w:szCs w:val="20"/>
        </w:rPr>
      </w:pPr>
      <w:r w:rsidRPr="207D3D73">
        <w:rPr>
          <w:sz w:val="20"/>
          <w:szCs w:val="20"/>
        </w:rPr>
        <w:t>* Using continuous enrollment, the research team estimates 15 carriers enrolling in Year 1 (4 years), 15 carriers enrolling in Year 2 (3 years), 15 carriers enrolling in Year 3 (2 years), and 15 carriers enrolling in Year 4 (1 year)</w:t>
      </w:r>
      <w:r w:rsidRPr="207D3D73" w:rsidR="001D69ED">
        <w:rPr>
          <w:sz w:val="20"/>
          <w:szCs w:val="20"/>
        </w:rPr>
        <w:t>, for a total of 60 carriers.</w:t>
      </w:r>
    </w:p>
    <w:p w:rsidR="00C85F22" w:rsidP="007F2B73" w14:paraId="2F78B92D" w14:textId="77777777">
      <w:pPr>
        <w:pStyle w:val="Default"/>
        <w:ind w:left="360"/>
      </w:pPr>
    </w:p>
    <w:p w:rsidR="00C85F22" w:rsidP="0016660B" w14:paraId="51A86782" w14:textId="061C5E68">
      <w:pPr>
        <w:pStyle w:val="Default"/>
      </w:pPr>
      <w:r>
        <w:t>The research team assumes that</w:t>
      </w:r>
      <w:r w:rsidR="00B25703">
        <w:t xml:space="preserve"> clerical staff at a carrier</w:t>
      </w:r>
      <w:r w:rsidR="00A77213">
        <w:t xml:space="preserve"> will export and upload the driver demographic information. </w:t>
      </w:r>
      <w:r w:rsidR="00B05EDE">
        <w:t>The closest occupation</w:t>
      </w:r>
      <w:r w:rsidR="00BC5300">
        <w:t xml:space="preserve"> </w:t>
      </w:r>
      <w:r w:rsidR="00821BF2">
        <w:t xml:space="preserve">match available </w:t>
      </w:r>
      <w:r w:rsidR="00A440EA">
        <w:t>i</w:t>
      </w:r>
      <w:r w:rsidR="00F41926">
        <w:t>n the Bureau of Labor Statistics (BLS) is “Information and Record Clerks, All Other”</w:t>
      </w:r>
      <w:r w:rsidR="0087746B">
        <w:t>, which</w:t>
      </w:r>
      <w:r w:rsidR="00D96126">
        <w:t xml:space="preserve"> has a median wage of $</w:t>
      </w:r>
      <w:r w:rsidR="00E007DB">
        <w:t>2</w:t>
      </w:r>
      <w:r w:rsidR="000E5A4E">
        <w:t>3</w:t>
      </w:r>
      <w:r w:rsidR="00E007DB">
        <w:t>.2</w:t>
      </w:r>
      <w:r w:rsidR="000E5A4E">
        <w:t>5</w:t>
      </w:r>
      <w:r w:rsidR="00E007DB">
        <w:t xml:space="preserve"> per hour</w:t>
      </w:r>
      <w:r w:rsidR="00683FAA">
        <w:t xml:space="preserve"> (May 202</w:t>
      </w:r>
      <w:r w:rsidR="000E5A4E">
        <w:t>4</w:t>
      </w:r>
      <w:r w:rsidR="00683FAA">
        <w:t>).</w:t>
      </w:r>
      <w:r w:rsidR="00652E13">
        <w:rPr>
          <w:vertAlign w:val="superscript"/>
        </w:rPr>
        <w:t>7</w:t>
      </w:r>
    </w:p>
    <w:p w:rsidR="00C85F22" w:rsidP="0016660B" w14:paraId="78740284" w14:textId="77777777">
      <w:pPr>
        <w:pStyle w:val="Default"/>
        <w:jc w:val="both"/>
      </w:pPr>
    </w:p>
    <w:p w:rsidR="00B7735E" w:rsidP="00C062C4" w14:paraId="60C01B23" w14:textId="095E7ABA">
      <w:pPr>
        <w:pStyle w:val="Default"/>
      </w:pPr>
      <w:r>
        <w:t xml:space="preserve">The following was used to determine the load factor. </w:t>
      </w:r>
      <w:r w:rsidR="005E3F62">
        <w:t xml:space="preserve">BLS reports that the </w:t>
      </w:r>
      <w:r w:rsidR="00D139C2">
        <w:t xml:space="preserve">total cost of compensation </w:t>
      </w:r>
      <w:r w:rsidR="00BA5994">
        <w:t>(</w:t>
      </w:r>
      <w:r w:rsidR="005370C9">
        <w:t xml:space="preserve">wages and salaries plus benefit costs) </w:t>
      </w:r>
      <w:r w:rsidR="00D139C2">
        <w:t>for</w:t>
      </w:r>
      <w:r w:rsidR="00190E17">
        <w:t xml:space="preserve"> transportation and warehousing private industry workers</w:t>
      </w:r>
      <w:r w:rsidR="004B3A62">
        <w:t xml:space="preserve"> is $49.88</w:t>
      </w:r>
      <w:r w:rsidR="00D413E0">
        <w:t xml:space="preserve"> per hour</w:t>
      </w:r>
      <w:r w:rsidR="004B3A62">
        <w:t xml:space="preserve">, while the average cost </w:t>
      </w:r>
      <w:r w:rsidR="00EF7808">
        <w:t>of hourly wages and salaries is $33.66.</w:t>
      </w:r>
      <w:r w:rsidR="00652E13">
        <w:rPr>
          <w:vertAlign w:val="superscript"/>
        </w:rPr>
        <w:t>8</w:t>
      </w:r>
      <w:r w:rsidR="00EF7808">
        <w:t xml:space="preserve"> </w:t>
      </w:r>
      <w:r w:rsidR="00B42228">
        <w:t xml:space="preserve">Dividing the </w:t>
      </w:r>
      <w:r w:rsidR="00C062C4">
        <w:t>total cost of compensation (</w:t>
      </w:r>
      <w:r w:rsidR="001A3C29">
        <w:t>$49.88) by the cost of hourly wages and salaries ($33.66)</w:t>
      </w:r>
      <w:r w:rsidR="00D51060">
        <w:t xml:space="preserve"> gives an estimated load factor of </w:t>
      </w:r>
      <w:r w:rsidR="00310D0C">
        <w:t xml:space="preserve">1.48. </w:t>
      </w:r>
      <w:r w:rsidR="00EE25F0">
        <w:t>To estimate the loaded hourly wage for a</w:t>
      </w:r>
      <w:r w:rsidR="00201D50">
        <w:t xml:space="preserve"> clerical staff member</w:t>
      </w:r>
      <w:r w:rsidR="00BA0ED2">
        <w:t xml:space="preserve"> at a carrier</w:t>
      </w:r>
      <w:r w:rsidR="00201D50">
        <w:t xml:space="preserve">, the </w:t>
      </w:r>
      <w:r w:rsidR="00161258">
        <w:t>mean wage ($2</w:t>
      </w:r>
      <w:r w:rsidR="000E5A4E">
        <w:t>3</w:t>
      </w:r>
      <w:r w:rsidR="00161258">
        <w:t>.2</w:t>
      </w:r>
      <w:r w:rsidR="000E5A4E">
        <w:t>5</w:t>
      </w:r>
      <w:r w:rsidR="00161258">
        <w:t>) is multiplied by the load factor (1.48).</w:t>
      </w:r>
      <w:r w:rsidR="008E6E5D">
        <w:t xml:space="preserve"> The </w:t>
      </w:r>
      <w:r w:rsidR="007B3273">
        <w:t xml:space="preserve">estimated loaded wage is </w:t>
      </w:r>
      <w:r>
        <w:t>shown in the table below.</w:t>
      </w:r>
    </w:p>
    <w:p w:rsidR="00B7735E" w:rsidP="00C062C4" w14:paraId="43C2877E" w14:textId="77777777">
      <w:pPr>
        <w:pStyle w:val="Default"/>
      </w:pPr>
    </w:p>
    <w:p w:rsidR="00124AE8" w:rsidRPr="00CA40CB" w:rsidP="00124AE8" w14:paraId="2C728234" w14:textId="753E9484">
      <w:pPr>
        <w:pStyle w:val="Default"/>
        <w:ind w:left="360"/>
        <w:jc w:val="center"/>
        <w:rPr>
          <w:b/>
          <w:bCs/>
          <w:sz w:val="20"/>
          <w:szCs w:val="20"/>
        </w:rPr>
      </w:pPr>
      <w:r w:rsidRPr="3BFFC3A0">
        <w:rPr>
          <w:b/>
          <w:bCs/>
          <w:sz w:val="20"/>
          <w:szCs w:val="20"/>
        </w:rPr>
        <w:t xml:space="preserve">Table </w:t>
      </w:r>
      <w:r w:rsidRPr="3BFFC3A0" w:rsidR="002E6DA6">
        <w:rPr>
          <w:b/>
          <w:bCs/>
          <w:sz w:val="20"/>
          <w:szCs w:val="20"/>
        </w:rPr>
        <w:t>9</w:t>
      </w:r>
      <w:r w:rsidRPr="3BFFC3A0">
        <w:rPr>
          <w:b/>
          <w:bCs/>
          <w:sz w:val="20"/>
          <w:szCs w:val="20"/>
        </w:rPr>
        <w:t xml:space="preserve">: </w:t>
      </w:r>
      <w:r w:rsidRPr="3BFFC3A0">
        <w:rPr>
          <w:sz w:val="20"/>
          <w:szCs w:val="20"/>
        </w:rPr>
        <w:t>IC</w:t>
      </w:r>
      <w:r w:rsidRPr="3BFFC3A0" w:rsidR="00EE038D">
        <w:rPr>
          <w:sz w:val="20"/>
          <w:szCs w:val="20"/>
        </w:rPr>
        <w:t>3</w:t>
      </w:r>
      <w:r w:rsidRPr="3BFFC3A0" w:rsidR="00EF53D4">
        <w:rPr>
          <w:sz w:val="20"/>
          <w:szCs w:val="20"/>
        </w:rPr>
        <w:t>: Estimated loaded hourly wage.</w:t>
      </w:r>
    </w:p>
    <w:p w:rsidR="00B7735E" w:rsidP="0016660B" w14:paraId="60E674E2" w14:textId="77777777">
      <w:pPr>
        <w:pStyle w:val="Default"/>
      </w:pPr>
    </w:p>
    <w:tbl>
      <w:tblPr>
        <w:tblStyle w:val="GridTable4"/>
        <w:tblW w:w="0" w:type="auto"/>
        <w:jc w:val="center"/>
        <w:tblCellMar>
          <w:top w:w="58" w:type="dxa"/>
          <w:bottom w:w="58" w:type="dxa"/>
        </w:tblCellMar>
        <w:tblLook w:val="0620"/>
      </w:tblPr>
      <w:tblGrid>
        <w:gridCol w:w="1977"/>
        <w:gridCol w:w="1611"/>
        <w:gridCol w:w="1609"/>
        <w:gridCol w:w="1497"/>
      </w:tblGrid>
      <w:tr w14:paraId="48365CC9" w14:textId="77777777" w:rsidTr="003841D0">
        <w:tblPrEx>
          <w:tblW w:w="0" w:type="auto"/>
          <w:jc w:val="center"/>
          <w:tblCellMar>
            <w:top w:w="58" w:type="dxa"/>
            <w:bottom w:w="58" w:type="dxa"/>
          </w:tblCellMar>
          <w:tblLook w:val="0620"/>
        </w:tblPrEx>
        <w:trPr>
          <w:jc w:val="center"/>
        </w:trPr>
        <w:tc>
          <w:tcPr>
            <w:tcW w:w="1977" w:type="dxa"/>
            <w:tcBorders>
              <w:top w:val="single" w:sz="12" w:space="0" w:color="auto"/>
              <w:left w:val="single" w:sz="12" w:space="0" w:color="auto"/>
              <w:bottom w:val="single" w:sz="12" w:space="0" w:color="auto"/>
              <w:right w:val="single" w:sz="4" w:space="0" w:color="000000"/>
            </w:tcBorders>
            <w:shd w:val="clear" w:color="auto" w:fill="DBDBDB" w:themeFill="accent3" w:themeFillTint="66"/>
            <w:vAlign w:val="center"/>
          </w:tcPr>
          <w:p w:rsidR="00387BFA" w:rsidRPr="00051A0F" w:rsidP="00403B10" w14:paraId="49DAC33E" w14:textId="7BF97130">
            <w:pPr>
              <w:pStyle w:val="Default"/>
              <w:jc w:val="center"/>
              <w:rPr>
                <w:sz w:val="20"/>
                <w:szCs w:val="20"/>
              </w:rPr>
            </w:pPr>
            <w:r>
              <w:rPr>
                <w:sz w:val="20"/>
                <w:szCs w:val="20"/>
              </w:rPr>
              <w:t>Occupation</w:t>
            </w:r>
          </w:p>
        </w:tc>
        <w:tc>
          <w:tcPr>
            <w:tcW w:w="1611"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387BFA" w:rsidP="00403B10" w14:paraId="6880F1FF" w14:textId="78D51549">
            <w:pPr>
              <w:pStyle w:val="Default"/>
              <w:jc w:val="center"/>
              <w:rPr>
                <w:sz w:val="20"/>
                <w:szCs w:val="20"/>
              </w:rPr>
            </w:pPr>
            <w:r>
              <w:rPr>
                <w:sz w:val="20"/>
                <w:szCs w:val="20"/>
              </w:rPr>
              <w:t>Load Factor</w:t>
            </w:r>
          </w:p>
          <w:p w:rsidR="00387BFA" w:rsidRPr="00CA40CB" w:rsidP="00403B10" w14:paraId="35D0A0A0" w14:textId="77777777">
            <w:pPr>
              <w:pStyle w:val="Default"/>
              <w:jc w:val="center"/>
              <w:rPr>
                <w:sz w:val="20"/>
                <w:szCs w:val="20"/>
              </w:rPr>
            </w:pPr>
            <w:r>
              <w:rPr>
                <w:b w:val="0"/>
                <w:bCs w:val="0"/>
                <w:sz w:val="20"/>
                <w:szCs w:val="20"/>
              </w:rPr>
              <w:t>(A)</w:t>
            </w:r>
          </w:p>
        </w:tc>
        <w:tc>
          <w:tcPr>
            <w:tcW w:w="1609"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387BFA" w:rsidP="00403B10" w14:paraId="1FAEDD90" w14:textId="595690A1">
            <w:pPr>
              <w:pStyle w:val="Default"/>
              <w:jc w:val="center"/>
              <w:rPr>
                <w:sz w:val="20"/>
                <w:szCs w:val="20"/>
              </w:rPr>
            </w:pPr>
            <w:r>
              <w:rPr>
                <w:sz w:val="20"/>
                <w:szCs w:val="20"/>
              </w:rPr>
              <w:t xml:space="preserve">Median Hourly Wage </w:t>
            </w:r>
          </w:p>
          <w:p w:rsidR="00387BFA" w:rsidRPr="00CA40CB" w:rsidP="00403B10" w14:paraId="1276A313" w14:textId="77777777">
            <w:pPr>
              <w:pStyle w:val="Default"/>
              <w:jc w:val="center"/>
              <w:rPr>
                <w:sz w:val="20"/>
                <w:szCs w:val="20"/>
              </w:rPr>
            </w:pPr>
            <w:r>
              <w:rPr>
                <w:b w:val="0"/>
                <w:bCs w:val="0"/>
                <w:sz w:val="20"/>
                <w:szCs w:val="20"/>
              </w:rPr>
              <w:t>(B)</w:t>
            </w:r>
          </w:p>
        </w:tc>
        <w:tc>
          <w:tcPr>
            <w:tcW w:w="1497" w:type="dxa"/>
            <w:tcBorders>
              <w:top w:val="single" w:sz="12" w:space="0" w:color="auto"/>
              <w:left w:val="single" w:sz="4" w:space="0" w:color="000000"/>
              <w:bottom w:val="single" w:sz="12" w:space="0" w:color="auto"/>
              <w:right w:val="single" w:sz="12" w:space="0" w:color="auto"/>
            </w:tcBorders>
            <w:shd w:val="clear" w:color="auto" w:fill="DBDBDB" w:themeFill="accent3" w:themeFillTint="66"/>
            <w:vAlign w:val="center"/>
          </w:tcPr>
          <w:p w:rsidR="00387BFA" w:rsidP="00403B10" w14:paraId="2A8166F2" w14:textId="2E725008">
            <w:pPr>
              <w:pStyle w:val="Default"/>
              <w:jc w:val="center"/>
              <w:rPr>
                <w:sz w:val="20"/>
                <w:szCs w:val="20"/>
              </w:rPr>
            </w:pPr>
            <w:r>
              <w:rPr>
                <w:sz w:val="20"/>
                <w:szCs w:val="20"/>
              </w:rPr>
              <w:t>Loaded Hourly Wage</w:t>
            </w:r>
          </w:p>
          <w:p w:rsidR="00387BFA" w:rsidRPr="00CA40CB" w:rsidP="00403B10" w14:paraId="41572BC1" w14:textId="1D70EAF8">
            <w:pPr>
              <w:pStyle w:val="Default"/>
              <w:jc w:val="center"/>
              <w:rPr>
                <w:sz w:val="20"/>
                <w:szCs w:val="20"/>
              </w:rPr>
            </w:pPr>
            <w:r>
              <w:rPr>
                <w:b w:val="0"/>
                <w:bCs w:val="0"/>
                <w:sz w:val="20"/>
                <w:szCs w:val="20"/>
              </w:rPr>
              <w:t xml:space="preserve"> </w:t>
            </w:r>
            <w:r w:rsidR="002144E7">
              <w:rPr>
                <w:b w:val="0"/>
                <w:bCs w:val="0"/>
                <w:sz w:val="20"/>
                <w:szCs w:val="20"/>
              </w:rPr>
              <w:t>(C)</w:t>
            </w:r>
            <w:r w:rsidR="00E64BE3">
              <w:rPr>
                <w:b w:val="0"/>
                <w:bCs w:val="0"/>
                <w:sz w:val="20"/>
                <w:szCs w:val="20"/>
              </w:rPr>
              <w:t xml:space="preserve"> = </w:t>
            </w:r>
            <w:r>
              <w:rPr>
                <w:b w:val="0"/>
                <w:bCs w:val="0"/>
                <w:sz w:val="20"/>
                <w:szCs w:val="20"/>
              </w:rPr>
              <w:t>(</w:t>
            </w:r>
            <w:r w:rsidR="00E64BE3">
              <w:rPr>
                <w:b w:val="0"/>
                <w:bCs w:val="0"/>
                <w:sz w:val="20"/>
                <w:szCs w:val="20"/>
              </w:rPr>
              <w:t>A</w:t>
            </w:r>
            <w:r>
              <w:rPr>
                <w:b w:val="0"/>
                <w:bCs w:val="0"/>
                <w:sz w:val="20"/>
                <w:szCs w:val="20"/>
              </w:rPr>
              <w:t>*</w:t>
            </w:r>
            <w:r w:rsidR="00E64BE3">
              <w:rPr>
                <w:b w:val="0"/>
                <w:bCs w:val="0"/>
                <w:sz w:val="20"/>
                <w:szCs w:val="20"/>
              </w:rPr>
              <w:t>B</w:t>
            </w:r>
            <w:r>
              <w:rPr>
                <w:b w:val="0"/>
                <w:bCs w:val="0"/>
                <w:sz w:val="20"/>
                <w:szCs w:val="20"/>
              </w:rPr>
              <w:t>)</w:t>
            </w:r>
          </w:p>
        </w:tc>
      </w:tr>
      <w:tr w14:paraId="046DF497" w14:textId="77777777" w:rsidTr="003841D0">
        <w:tblPrEx>
          <w:tblW w:w="0" w:type="auto"/>
          <w:jc w:val="center"/>
          <w:tblCellMar>
            <w:top w:w="58" w:type="dxa"/>
            <w:bottom w:w="58" w:type="dxa"/>
          </w:tblCellMar>
          <w:tblLook w:val="0620"/>
        </w:tblPrEx>
        <w:trPr>
          <w:jc w:val="center"/>
        </w:trPr>
        <w:tc>
          <w:tcPr>
            <w:tcW w:w="1977" w:type="dxa"/>
            <w:tcBorders>
              <w:top w:val="single" w:sz="12" w:space="0" w:color="auto"/>
              <w:left w:val="single" w:sz="12" w:space="0" w:color="auto"/>
              <w:bottom w:val="single" w:sz="12" w:space="0" w:color="auto"/>
            </w:tcBorders>
            <w:vAlign w:val="center"/>
          </w:tcPr>
          <w:p w:rsidR="00387BFA" w:rsidRPr="00430199" w:rsidP="00403B10" w14:paraId="68926468" w14:textId="65FA72C7">
            <w:pPr>
              <w:pStyle w:val="Default"/>
              <w:jc w:val="center"/>
              <w:rPr>
                <w:sz w:val="20"/>
                <w:szCs w:val="20"/>
              </w:rPr>
            </w:pPr>
            <w:r w:rsidRPr="00430199">
              <w:rPr>
                <w:sz w:val="20"/>
                <w:szCs w:val="20"/>
              </w:rPr>
              <w:t>Carrier Clerical Staff</w:t>
            </w:r>
          </w:p>
        </w:tc>
        <w:tc>
          <w:tcPr>
            <w:tcW w:w="1611" w:type="dxa"/>
            <w:tcBorders>
              <w:top w:val="single" w:sz="12" w:space="0" w:color="auto"/>
              <w:bottom w:val="single" w:sz="12" w:space="0" w:color="auto"/>
            </w:tcBorders>
            <w:vAlign w:val="center"/>
          </w:tcPr>
          <w:p w:rsidR="00387BFA" w:rsidRPr="00430199" w:rsidP="00403B10" w14:paraId="5322DE5E" w14:textId="4BBF6AC4">
            <w:pPr>
              <w:pStyle w:val="Default"/>
              <w:jc w:val="center"/>
              <w:rPr>
                <w:sz w:val="20"/>
                <w:szCs w:val="20"/>
              </w:rPr>
            </w:pPr>
            <w:r w:rsidRPr="00430199">
              <w:rPr>
                <w:sz w:val="20"/>
                <w:szCs w:val="20"/>
              </w:rPr>
              <w:t>1.48</w:t>
            </w:r>
          </w:p>
        </w:tc>
        <w:tc>
          <w:tcPr>
            <w:tcW w:w="1609" w:type="dxa"/>
            <w:tcBorders>
              <w:top w:val="single" w:sz="12" w:space="0" w:color="auto"/>
              <w:bottom w:val="single" w:sz="12" w:space="0" w:color="auto"/>
            </w:tcBorders>
            <w:vAlign w:val="center"/>
          </w:tcPr>
          <w:p w:rsidR="00387BFA" w:rsidRPr="00430199" w:rsidP="00403B10" w14:paraId="7BB9AE43" w14:textId="0FF2E6EA">
            <w:pPr>
              <w:pStyle w:val="Default"/>
              <w:jc w:val="center"/>
              <w:rPr>
                <w:sz w:val="20"/>
                <w:szCs w:val="20"/>
              </w:rPr>
            </w:pPr>
            <w:r w:rsidRPr="00430199">
              <w:rPr>
                <w:sz w:val="20"/>
                <w:szCs w:val="20"/>
              </w:rPr>
              <w:t>$2</w:t>
            </w:r>
            <w:r w:rsidR="000E5A4E">
              <w:rPr>
                <w:sz w:val="20"/>
                <w:szCs w:val="20"/>
              </w:rPr>
              <w:t>3</w:t>
            </w:r>
            <w:r w:rsidRPr="00430199">
              <w:rPr>
                <w:sz w:val="20"/>
                <w:szCs w:val="20"/>
              </w:rPr>
              <w:t>.2</w:t>
            </w:r>
            <w:r w:rsidR="000E5A4E">
              <w:rPr>
                <w:sz w:val="20"/>
                <w:szCs w:val="20"/>
              </w:rPr>
              <w:t>5</w:t>
            </w:r>
          </w:p>
        </w:tc>
        <w:tc>
          <w:tcPr>
            <w:tcW w:w="1497" w:type="dxa"/>
            <w:tcBorders>
              <w:top w:val="single" w:sz="12" w:space="0" w:color="auto"/>
              <w:bottom w:val="single" w:sz="12" w:space="0" w:color="auto"/>
              <w:right w:val="single" w:sz="12" w:space="0" w:color="auto"/>
            </w:tcBorders>
            <w:vAlign w:val="center"/>
          </w:tcPr>
          <w:p w:rsidR="00387BFA" w:rsidRPr="00430199" w:rsidP="00403B10" w14:paraId="661D12FA" w14:textId="2B034256">
            <w:pPr>
              <w:pStyle w:val="Default"/>
              <w:jc w:val="center"/>
              <w:rPr>
                <w:sz w:val="20"/>
                <w:szCs w:val="20"/>
              </w:rPr>
            </w:pPr>
            <w:r w:rsidRPr="00430199">
              <w:rPr>
                <w:sz w:val="20"/>
                <w:szCs w:val="20"/>
              </w:rPr>
              <w:t>$3</w:t>
            </w:r>
            <w:r w:rsidR="000E5A4E">
              <w:rPr>
                <w:sz w:val="20"/>
                <w:szCs w:val="20"/>
              </w:rPr>
              <w:t>4.</w:t>
            </w:r>
            <w:r w:rsidR="00F478F5">
              <w:rPr>
                <w:sz w:val="20"/>
                <w:szCs w:val="20"/>
              </w:rPr>
              <w:t>45</w:t>
            </w:r>
          </w:p>
        </w:tc>
      </w:tr>
    </w:tbl>
    <w:p w:rsidR="001C51AA" w:rsidP="0016660B" w14:paraId="3191976E" w14:textId="77777777">
      <w:pPr>
        <w:pStyle w:val="Default"/>
      </w:pPr>
    </w:p>
    <w:p w:rsidR="00135629" w:rsidRPr="0016660B" w:rsidP="00135629" w14:paraId="14F2BFDF" w14:textId="77777777">
      <w:pPr>
        <w:pStyle w:val="Default"/>
        <w:ind w:left="360"/>
      </w:pPr>
    </w:p>
    <w:p w:rsidR="00EF53D4" w:rsidP="005333E7" w14:paraId="5FF822C0" w14:textId="18526F41">
      <w:pPr>
        <w:pStyle w:val="Default"/>
      </w:pPr>
      <w:r>
        <w:t>T</w:t>
      </w:r>
      <w:r w:rsidR="00B26373">
        <w:t xml:space="preserve">o estimate the annual burden cost to respondents, </w:t>
      </w:r>
      <w:r w:rsidR="001D393C">
        <w:t xml:space="preserve">the total burden hours are </w:t>
      </w:r>
      <w:r w:rsidR="00DA6332">
        <w:t>joined</w:t>
      </w:r>
      <w:r w:rsidR="001D393C">
        <w:t xml:space="preserve"> with the loaded wage</w:t>
      </w:r>
      <w:r w:rsidR="002E20A3">
        <w:t>.</w:t>
      </w:r>
    </w:p>
    <w:p w:rsidR="006C22EE" w:rsidP="0016660B" w14:paraId="6C8E609E" w14:textId="77777777">
      <w:pPr>
        <w:pStyle w:val="Default"/>
      </w:pPr>
    </w:p>
    <w:p w:rsidR="006C22EE" w:rsidRPr="00CA40CB" w:rsidP="006C22EE" w14:paraId="2D1D7600" w14:textId="7CD48AF5">
      <w:pPr>
        <w:pStyle w:val="Default"/>
        <w:ind w:left="360"/>
        <w:jc w:val="center"/>
        <w:rPr>
          <w:b/>
          <w:bCs/>
          <w:sz w:val="20"/>
          <w:szCs w:val="20"/>
        </w:rPr>
      </w:pPr>
      <w:r w:rsidRPr="00CA40CB">
        <w:rPr>
          <w:b/>
          <w:bCs/>
          <w:sz w:val="20"/>
          <w:szCs w:val="20"/>
        </w:rPr>
        <w:t xml:space="preserve">Table </w:t>
      </w:r>
      <w:r w:rsidR="002E6DA6">
        <w:rPr>
          <w:b/>
          <w:bCs/>
          <w:sz w:val="20"/>
          <w:szCs w:val="20"/>
        </w:rPr>
        <w:t>10</w:t>
      </w:r>
      <w:r w:rsidRPr="00CA40CB">
        <w:rPr>
          <w:b/>
          <w:bCs/>
          <w:sz w:val="20"/>
          <w:szCs w:val="20"/>
        </w:rPr>
        <w:t xml:space="preserve">: </w:t>
      </w:r>
      <w:r w:rsidRPr="00CA40CB">
        <w:rPr>
          <w:sz w:val="20"/>
          <w:szCs w:val="20"/>
        </w:rPr>
        <w:t>IC</w:t>
      </w:r>
      <w:r w:rsidR="00EE038D">
        <w:rPr>
          <w:sz w:val="20"/>
          <w:szCs w:val="20"/>
        </w:rPr>
        <w:t>3</w:t>
      </w:r>
      <w:r>
        <w:rPr>
          <w:sz w:val="20"/>
          <w:szCs w:val="20"/>
        </w:rPr>
        <w:t xml:space="preserve">: </w:t>
      </w:r>
      <w:r w:rsidR="005B5891">
        <w:rPr>
          <w:sz w:val="20"/>
          <w:szCs w:val="20"/>
        </w:rPr>
        <w:t>Estimated respondent burden cost</w:t>
      </w:r>
      <w:r w:rsidRPr="00CA40CB">
        <w:rPr>
          <w:sz w:val="20"/>
          <w:szCs w:val="20"/>
        </w:rPr>
        <w:t>.</w:t>
      </w:r>
    </w:p>
    <w:p w:rsidR="006C22EE" w:rsidRPr="006A77FD" w:rsidP="006C22EE" w14:paraId="5E44A75A" w14:textId="77777777">
      <w:pPr>
        <w:pStyle w:val="Default"/>
        <w:ind w:left="360"/>
        <w:jc w:val="center"/>
        <w:rPr>
          <w:b/>
          <w:bCs/>
        </w:rPr>
      </w:pPr>
    </w:p>
    <w:tbl>
      <w:tblPr>
        <w:tblStyle w:val="GridTable4"/>
        <w:tblW w:w="0" w:type="auto"/>
        <w:jc w:val="center"/>
        <w:tblCellMar>
          <w:top w:w="58" w:type="dxa"/>
          <w:bottom w:w="58" w:type="dxa"/>
        </w:tblCellMar>
        <w:tblLook w:val="0620"/>
      </w:tblPr>
      <w:tblGrid>
        <w:gridCol w:w="1353"/>
        <w:gridCol w:w="1536"/>
        <w:gridCol w:w="1469"/>
        <w:gridCol w:w="1348"/>
        <w:gridCol w:w="1333"/>
        <w:gridCol w:w="1263"/>
      </w:tblGrid>
      <w:tr w14:paraId="710C0756" w14:textId="5086C702" w:rsidTr="003841D0">
        <w:tblPrEx>
          <w:tblW w:w="0" w:type="auto"/>
          <w:jc w:val="center"/>
          <w:tblCellMar>
            <w:top w:w="58" w:type="dxa"/>
            <w:bottom w:w="58" w:type="dxa"/>
          </w:tblCellMar>
          <w:tblLook w:val="0620"/>
        </w:tblPrEx>
        <w:trPr>
          <w:jc w:val="center"/>
        </w:trPr>
        <w:tc>
          <w:tcPr>
            <w:tcW w:w="1353" w:type="dxa"/>
            <w:tcBorders>
              <w:top w:val="single" w:sz="12" w:space="0" w:color="auto"/>
              <w:left w:val="single" w:sz="12" w:space="0" w:color="auto"/>
              <w:bottom w:val="single" w:sz="12" w:space="0" w:color="auto"/>
              <w:right w:val="single" w:sz="4" w:space="0" w:color="000000"/>
            </w:tcBorders>
            <w:shd w:val="clear" w:color="auto" w:fill="DBDBDB" w:themeFill="accent3" w:themeFillTint="66"/>
            <w:vAlign w:val="center"/>
          </w:tcPr>
          <w:p w:rsidR="007E7242" w:rsidRPr="00051A0F" w:rsidP="007E7242" w14:paraId="0AD5213C" w14:textId="77777777">
            <w:pPr>
              <w:pStyle w:val="Default"/>
              <w:jc w:val="center"/>
              <w:rPr>
                <w:sz w:val="20"/>
                <w:szCs w:val="20"/>
              </w:rPr>
            </w:pPr>
            <w:r>
              <w:rPr>
                <w:sz w:val="20"/>
                <w:szCs w:val="20"/>
              </w:rPr>
              <w:t>Year</w:t>
            </w:r>
          </w:p>
        </w:tc>
        <w:tc>
          <w:tcPr>
            <w:tcW w:w="1536"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7E7242" w:rsidP="007E7242" w14:paraId="4FB289CF" w14:textId="77777777">
            <w:pPr>
              <w:pStyle w:val="Default"/>
              <w:jc w:val="center"/>
              <w:rPr>
                <w:sz w:val="20"/>
                <w:szCs w:val="20"/>
              </w:rPr>
            </w:pPr>
            <w:r>
              <w:rPr>
                <w:sz w:val="20"/>
                <w:szCs w:val="20"/>
              </w:rPr>
              <w:t>Total Annual Responses</w:t>
            </w:r>
          </w:p>
          <w:p w:rsidR="007E7242" w:rsidRPr="00CA40CB" w:rsidP="007E7242" w14:paraId="21C4DE31" w14:textId="0EECEC18">
            <w:pPr>
              <w:pStyle w:val="Default"/>
              <w:jc w:val="center"/>
              <w:rPr>
                <w:sz w:val="20"/>
                <w:szCs w:val="20"/>
              </w:rPr>
            </w:pPr>
            <w:r>
              <w:rPr>
                <w:b w:val="0"/>
                <w:bCs w:val="0"/>
                <w:sz w:val="20"/>
                <w:szCs w:val="20"/>
              </w:rPr>
              <w:t>(A)</w:t>
            </w:r>
          </w:p>
        </w:tc>
        <w:tc>
          <w:tcPr>
            <w:tcW w:w="1469"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7E7242" w:rsidP="007E7242" w14:paraId="0BD158EC" w14:textId="77777777">
            <w:pPr>
              <w:pStyle w:val="Default"/>
              <w:jc w:val="center"/>
              <w:rPr>
                <w:sz w:val="20"/>
                <w:szCs w:val="20"/>
              </w:rPr>
            </w:pPr>
            <w:r>
              <w:rPr>
                <w:sz w:val="20"/>
                <w:szCs w:val="20"/>
              </w:rPr>
              <w:t>Hours</w:t>
            </w:r>
            <w:r w:rsidRPr="00051A0F">
              <w:rPr>
                <w:sz w:val="20"/>
                <w:szCs w:val="20"/>
              </w:rPr>
              <w:t xml:space="preserve"> per Response</w:t>
            </w:r>
          </w:p>
          <w:p w:rsidR="007E7242" w:rsidRPr="00CA40CB" w:rsidP="007E7242" w14:paraId="6D3C8BA1" w14:textId="0EE6ED05">
            <w:pPr>
              <w:pStyle w:val="Default"/>
              <w:jc w:val="center"/>
              <w:rPr>
                <w:sz w:val="20"/>
                <w:szCs w:val="20"/>
              </w:rPr>
            </w:pPr>
            <w:r>
              <w:rPr>
                <w:b w:val="0"/>
                <w:bCs w:val="0"/>
                <w:sz w:val="20"/>
                <w:szCs w:val="20"/>
              </w:rPr>
              <w:t>(B)</w:t>
            </w:r>
          </w:p>
        </w:tc>
        <w:tc>
          <w:tcPr>
            <w:tcW w:w="1348"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7E7242" w:rsidP="007E7242" w14:paraId="0484825E" w14:textId="77777777">
            <w:pPr>
              <w:pStyle w:val="Default"/>
              <w:jc w:val="center"/>
              <w:rPr>
                <w:sz w:val="20"/>
                <w:szCs w:val="20"/>
              </w:rPr>
            </w:pPr>
            <w:r w:rsidRPr="00051A0F">
              <w:rPr>
                <w:sz w:val="20"/>
                <w:szCs w:val="20"/>
              </w:rPr>
              <w:t>Total Burden Hours</w:t>
            </w:r>
          </w:p>
          <w:p w:rsidR="007E7242" w:rsidRPr="00CA40CB" w:rsidP="007E7242" w14:paraId="23560009" w14:textId="45225D66">
            <w:pPr>
              <w:pStyle w:val="Default"/>
              <w:jc w:val="center"/>
              <w:rPr>
                <w:sz w:val="20"/>
                <w:szCs w:val="20"/>
              </w:rPr>
            </w:pPr>
            <w:r>
              <w:rPr>
                <w:b w:val="0"/>
                <w:bCs w:val="0"/>
                <w:sz w:val="20"/>
                <w:szCs w:val="20"/>
              </w:rPr>
              <w:t>(C) = (A*B)</w:t>
            </w:r>
          </w:p>
        </w:tc>
        <w:tc>
          <w:tcPr>
            <w:tcW w:w="1333"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7E7242" w:rsidP="007E7242" w14:paraId="354C2EFD" w14:textId="3F2E4DCE">
            <w:pPr>
              <w:pStyle w:val="Default"/>
              <w:jc w:val="center"/>
              <w:rPr>
                <w:sz w:val="20"/>
                <w:szCs w:val="20"/>
              </w:rPr>
            </w:pPr>
            <w:r>
              <w:rPr>
                <w:sz w:val="20"/>
                <w:szCs w:val="20"/>
              </w:rPr>
              <w:t>Hourly Cost</w:t>
            </w:r>
          </w:p>
          <w:p w:rsidR="007E7242" w:rsidRPr="00CA40CB" w:rsidP="007E7242" w14:paraId="46B371F5" w14:textId="77777777">
            <w:pPr>
              <w:pStyle w:val="Default"/>
              <w:jc w:val="center"/>
              <w:rPr>
                <w:sz w:val="20"/>
                <w:szCs w:val="20"/>
              </w:rPr>
            </w:pPr>
            <w:r>
              <w:rPr>
                <w:b w:val="0"/>
                <w:bCs w:val="0"/>
                <w:sz w:val="20"/>
                <w:szCs w:val="20"/>
              </w:rPr>
              <w:t>(D)</w:t>
            </w:r>
          </w:p>
        </w:tc>
        <w:tc>
          <w:tcPr>
            <w:tcW w:w="1263" w:type="dxa"/>
            <w:tcBorders>
              <w:top w:val="single" w:sz="12" w:space="0" w:color="auto"/>
              <w:left w:val="single" w:sz="4" w:space="0" w:color="000000"/>
              <w:bottom w:val="single" w:sz="12" w:space="0" w:color="auto"/>
              <w:right w:val="single" w:sz="12" w:space="0" w:color="auto"/>
            </w:tcBorders>
            <w:shd w:val="clear" w:color="auto" w:fill="DBDBDB" w:themeFill="accent3" w:themeFillTint="66"/>
            <w:vAlign w:val="center"/>
          </w:tcPr>
          <w:p w:rsidR="007E7242" w:rsidP="007E7242" w14:paraId="6D2799DF" w14:textId="7EEBD29E">
            <w:pPr>
              <w:pStyle w:val="Default"/>
              <w:jc w:val="center"/>
              <w:rPr>
                <w:sz w:val="20"/>
                <w:szCs w:val="20"/>
              </w:rPr>
            </w:pPr>
            <w:r w:rsidRPr="00051A0F">
              <w:rPr>
                <w:sz w:val="20"/>
                <w:szCs w:val="20"/>
              </w:rPr>
              <w:t xml:space="preserve">Total </w:t>
            </w:r>
            <w:r w:rsidR="00B27520">
              <w:rPr>
                <w:sz w:val="20"/>
                <w:szCs w:val="20"/>
              </w:rPr>
              <w:t>Cost</w:t>
            </w:r>
          </w:p>
          <w:p w:rsidR="007E7242" w:rsidRPr="00CA40CB" w:rsidP="007E7242" w14:paraId="2346DFFF" w14:textId="2A0C2DE4">
            <w:pPr>
              <w:pStyle w:val="Default"/>
              <w:jc w:val="center"/>
              <w:rPr>
                <w:sz w:val="20"/>
                <w:szCs w:val="20"/>
              </w:rPr>
            </w:pPr>
            <w:r>
              <w:rPr>
                <w:b w:val="0"/>
                <w:bCs w:val="0"/>
                <w:sz w:val="20"/>
                <w:szCs w:val="20"/>
              </w:rPr>
              <w:t>(E) = (C*D)</w:t>
            </w:r>
          </w:p>
        </w:tc>
      </w:tr>
      <w:tr w14:paraId="27A5D63E" w14:textId="787FA8DE" w:rsidTr="003841D0">
        <w:tblPrEx>
          <w:tblW w:w="0" w:type="auto"/>
          <w:jc w:val="center"/>
          <w:tblCellMar>
            <w:top w:w="58" w:type="dxa"/>
            <w:bottom w:w="58" w:type="dxa"/>
          </w:tblCellMar>
          <w:tblLook w:val="0620"/>
        </w:tblPrEx>
        <w:trPr>
          <w:jc w:val="center"/>
        </w:trPr>
        <w:tc>
          <w:tcPr>
            <w:tcW w:w="1353" w:type="dxa"/>
            <w:tcBorders>
              <w:top w:val="single" w:sz="12" w:space="0" w:color="auto"/>
              <w:left w:val="single" w:sz="12" w:space="0" w:color="auto"/>
            </w:tcBorders>
            <w:vAlign w:val="center"/>
          </w:tcPr>
          <w:p w:rsidR="007E7242" w:rsidRPr="00051A0F" w:rsidP="007E7242" w14:paraId="758255F1" w14:textId="77777777">
            <w:pPr>
              <w:pStyle w:val="Default"/>
              <w:jc w:val="center"/>
              <w:rPr>
                <w:sz w:val="20"/>
                <w:szCs w:val="20"/>
              </w:rPr>
            </w:pPr>
            <w:r>
              <w:rPr>
                <w:sz w:val="20"/>
                <w:szCs w:val="20"/>
              </w:rPr>
              <w:t>1</w:t>
            </w:r>
          </w:p>
        </w:tc>
        <w:tc>
          <w:tcPr>
            <w:tcW w:w="1536" w:type="dxa"/>
            <w:tcBorders>
              <w:top w:val="single" w:sz="12" w:space="0" w:color="auto"/>
            </w:tcBorders>
          </w:tcPr>
          <w:p w:rsidR="007E7242" w:rsidRPr="00051A0F" w:rsidP="007E7242" w14:paraId="2427E761" w14:textId="01D98A22">
            <w:pPr>
              <w:pStyle w:val="Default"/>
              <w:jc w:val="center"/>
              <w:rPr>
                <w:sz w:val="20"/>
                <w:szCs w:val="20"/>
              </w:rPr>
            </w:pPr>
            <w:r>
              <w:rPr>
                <w:sz w:val="20"/>
                <w:szCs w:val="20"/>
              </w:rPr>
              <w:t>60</w:t>
            </w:r>
          </w:p>
        </w:tc>
        <w:tc>
          <w:tcPr>
            <w:tcW w:w="1469" w:type="dxa"/>
            <w:tcBorders>
              <w:top w:val="single" w:sz="12" w:space="0" w:color="auto"/>
            </w:tcBorders>
            <w:vAlign w:val="center"/>
          </w:tcPr>
          <w:p w:rsidR="007E7242" w:rsidRPr="00051A0F" w:rsidP="007E7242" w14:paraId="29E42C36" w14:textId="17CE22B4">
            <w:pPr>
              <w:pStyle w:val="Default"/>
              <w:jc w:val="center"/>
              <w:rPr>
                <w:sz w:val="20"/>
                <w:szCs w:val="20"/>
              </w:rPr>
            </w:pPr>
            <w:r>
              <w:rPr>
                <w:sz w:val="20"/>
                <w:szCs w:val="20"/>
              </w:rPr>
              <w:t>0.25</w:t>
            </w:r>
          </w:p>
        </w:tc>
        <w:tc>
          <w:tcPr>
            <w:tcW w:w="1348" w:type="dxa"/>
            <w:tcBorders>
              <w:top w:val="single" w:sz="12" w:space="0" w:color="auto"/>
            </w:tcBorders>
            <w:vAlign w:val="center"/>
          </w:tcPr>
          <w:p w:rsidR="007E7242" w:rsidP="007E7242" w14:paraId="3180E165" w14:textId="1C3FEB3C">
            <w:pPr>
              <w:pStyle w:val="Default"/>
              <w:jc w:val="center"/>
              <w:rPr>
                <w:sz w:val="20"/>
                <w:szCs w:val="20"/>
              </w:rPr>
            </w:pPr>
            <w:r>
              <w:rPr>
                <w:sz w:val="20"/>
                <w:szCs w:val="20"/>
              </w:rPr>
              <w:t>15</w:t>
            </w:r>
          </w:p>
        </w:tc>
        <w:tc>
          <w:tcPr>
            <w:tcW w:w="1333" w:type="dxa"/>
            <w:tcBorders>
              <w:top w:val="single" w:sz="12" w:space="0" w:color="auto"/>
            </w:tcBorders>
            <w:vAlign w:val="center"/>
          </w:tcPr>
          <w:p w:rsidR="007E7242" w:rsidRPr="00051A0F" w:rsidP="007E7242" w14:paraId="3853A7FF" w14:textId="3714A480">
            <w:pPr>
              <w:pStyle w:val="Default"/>
              <w:jc w:val="center"/>
              <w:rPr>
                <w:sz w:val="20"/>
                <w:szCs w:val="20"/>
              </w:rPr>
            </w:pPr>
            <w:r>
              <w:rPr>
                <w:sz w:val="20"/>
                <w:szCs w:val="20"/>
              </w:rPr>
              <w:t>$3</w:t>
            </w:r>
            <w:r w:rsidR="00F478F5">
              <w:rPr>
                <w:sz w:val="20"/>
                <w:szCs w:val="20"/>
              </w:rPr>
              <w:t>4.45</w:t>
            </w:r>
          </w:p>
        </w:tc>
        <w:tc>
          <w:tcPr>
            <w:tcW w:w="1263" w:type="dxa"/>
            <w:tcBorders>
              <w:top w:val="single" w:sz="12" w:space="0" w:color="auto"/>
              <w:right w:val="single" w:sz="12" w:space="0" w:color="auto"/>
            </w:tcBorders>
            <w:vAlign w:val="center"/>
          </w:tcPr>
          <w:p w:rsidR="007E7242" w:rsidRPr="00051A0F" w:rsidP="007E7242" w14:paraId="7C60C656" w14:textId="2DF79260">
            <w:pPr>
              <w:pStyle w:val="Default"/>
              <w:jc w:val="center"/>
              <w:rPr>
                <w:sz w:val="20"/>
                <w:szCs w:val="20"/>
              </w:rPr>
            </w:pPr>
            <w:r>
              <w:rPr>
                <w:sz w:val="20"/>
                <w:szCs w:val="20"/>
              </w:rPr>
              <w:t>$</w:t>
            </w:r>
            <w:r w:rsidR="0014788D">
              <w:rPr>
                <w:sz w:val="20"/>
                <w:szCs w:val="20"/>
              </w:rPr>
              <w:t>516.75</w:t>
            </w:r>
          </w:p>
        </w:tc>
      </w:tr>
      <w:tr w14:paraId="0378D532" w14:textId="6230BCC8" w:rsidTr="003841D0">
        <w:tblPrEx>
          <w:tblW w:w="0" w:type="auto"/>
          <w:jc w:val="center"/>
          <w:tblCellMar>
            <w:top w:w="58" w:type="dxa"/>
            <w:bottom w:w="58" w:type="dxa"/>
          </w:tblCellMar>
          <w:tblLook w:val="0620"/>
        </w:tblPrEx>
        <w:trPr>
          <w:jc w:val="center"/>
        </w:trPr>
        <w:tc>
          <w:tcPr>
            <w:tcW w:w="1353" w:type="dxa"/>
            <w:tcBorders>
              <w:left w:val="single" w:sz="12" w:space="0" w:color="auto"/>
            </w:tcBorders>
            <w:vAlign w:val="center"/>
          </w:tcPr>
          <w:p w:rsidR="007E7242" w:rsidRPr="00051A0F" w:rsidP="007E7242" w14:paraId="2018CBE3" w14:textId="77777777">
            <w:pPr>
              <w:pStyle w:val="Default"/>
              <w:jc w:val="center"/>
              <w:rPr>
                <w:sz w:val="20"/>
                <w:szCs w:val="20"/>
              </w:rPr>
            </w:pPr>
            <w:r>
              <w:rPr>
                <w:sz w:val="20"/>
                <w:szCs w:val="20"/>
              </w:rPr>
              <w:t>2</w:t>
            </w:r>
          </w:p>
        </w:tc>
        <w:tc>
          <w:tcPr>
            <w:tcW w:w="1536" w:type="dxa"/>
          </w:tcPr>
          <w:p w:rsidR="007E7242" w:rsidRPr="00051A0F" w:rsidP="007E7242" w14:paraId="72528241" w14:textId="5EC79545">
            <w:pPr>
              <w:pStyle w:val="Default"/>
              <w:jc w:val="center"/>
              <w:rPr>
                <w:sz w:val="20"/>
                <w:szCs w:val="20"/>
              </w:rPr>
            </w:pPr>
            <w:r>
              <w:rPr>
                <w:sz w:val="20"/>
                <w:szCs w:val="20"/>
              </w:rPr>
              <w:t>120</w:t>
            </w:r>
          </w:p>
        </w:tc>
        <w:tc>
          <w:tcPr>
            <w:tcW w:w="1469" w:type="dxa"/>
            <w:vAlign w:val="center"/>
          </w:tcPr>
          <w:p w:rsidR="007E7242" w:rsidRPr="00051A0F" w:rsidP="007E7242" w14:paraId="625BD9B1" w14:textId="572E0C60">
            <w:pPr>
              <w:pStyle w:val="Default"/>
              <w:jc w:val="center"/>
              <w:rPr>
                <w:sz w:val="20"/>
                <w:szCs w:val="20"/>
              </w:rPr>
            </w:pPr>
            <w:r>
              <w:rPr>
                <w:sz w:val="20"/>
                <w:szCs w:val="20"/>
              </w:rPr>
              <w:t>0.25</w:t>
            </w:r>
          </w:p>
        </w:tc>
        <w:tc>
          <w:tcPr>
            <w:tcW w:w="1348" w:type="dxa"/>
            <w:vAlign w:val="center"/>
          </w:tcPr>
          <w:p w:rsidR="007E7242" w:rsidP="007E7242" w14:paraId="78BB52A9" w14:textId="68BE4AB2">
            <w:pPr>
              <w:pStyle w:val="Default"/>
              <w:jc w:val="center"/>
              <w:rPr>
                <w:sz w:val="20"/>
                <w:szCs w:val="20"/>
              </w:rPr>
            </w:pPr>
            <w:r>
              <w:rPr>
                <w:sz w:val="20"/>
                <w:szCs w:val="20"/>
              </w:rPr>
              <w:t>30</w:t>
            </w:r>
          </w:p>
        </w:tc>
        <w:tc>
          <w:tcPr>
            <w:tcW w:w="1333" w:type="dxa"/>
            <w:vAlign w:val="center"/>
          </w:tcPr>
          <w:p w:rsidR="007E7242" w:rsidRPr="00051A0F" w:rsidP="007E7242" w14:paraId="455F04CC" w14:textId="0DB7387B">
            <w:pPr>
              <w:pStyle w:val="Default"/>
              <w:jc w:val="center"/>
              <w:rPr>
                <w:sz w:val="20"/>
                <w:szCs w:val="20"/>
              </w:rPr>
            </w:pPr>
            <w:r>
              <w:rPr>
                <w:sz w:val="20"/>
                <w:szCs w:val="20"/>
              </w:rPr>
              <w:t>$3</w:t>
            </w:r>
            <w:r w:rsidR="00F478F5">
              <w:rPr>
                <w:sz w:val="20"/>
                <w:szCs w:val="20"/>
              </w:rPr>
              <w:t>4.45</w:t>
            </w:r>
          </w:p>
        </w:tc>
        <w:tc>
          <w:tcPr>
            <w:tcW w:w="1263" w:type="dxa"/>
            <w:tcBorders>
              <w:right w:val="single" w:sz="12" w:space="0" w:color="auto"/>
            </w:tcBorders>
            <w:vAlign w:val="center"/>
          </w:tcPr>
          <w:p w:rsidR="007E7242" w:rsidRPr="00051A0F" w:rsidP="007E7242" w14:paraId="6947D30F" w14:textId="48FE84B9">
            <w:pPr>
              <w:pStyle w:val="Default"/>
              <w:jc w:val="center"/>
              <w:rPr>
                <w:sz w:val="20"/>
                <w:szCs w:val="20"/>
              </w:rPr>
            </w:pPr>
            <w:r>
              <w:rPr>
                <w:sz w:val="20"/>
                <w:szCs w:val="20"/>
              </w:rPr>
              <w:t>$</w:t>
            </w:r>
            <w:r w:rsidR="00F807D3">
              <w:rPr>
                <w:sz w:val="20"/>
                <w:szCs w:val="20"/>
              </w:rPr>
              <w:t>1033.50</w:t>
            </w:r>
          </w:p>
        </w:tc>
      </w:tr>
      <w:tr w14:paraId="33443F06" w14:textId="4DC7D6F4" w:rsidTr="003841D0">
        <w:tblPrEx>
          <w:tblW w:w="0" w:type="auto"/>
          <w:jc w:val="center"/>
          <w:tblCellMar>
            <w:top w:w="58" w:type="dxa"/>
            <w:bottom w:w="58" w:type="dxa"/>
          </w:tblCellMar>
          <w:tblLook w:val="0620"/>
        </w:tblPrEx>
        <w:trPr>
          <w:jc w:val="center"/>
        </w:trPr>
        <w:tc>
          <w:tcPr>
            <w:tcW w:w="1353" w:type="dxa"/>
            <w:tcBorders>
              <w:left w:val="single" w:sz="12" w:space="0" w:color="auto"/>
            </w:tcBorders>
            <w:vAlign w:val="center"/>
          </w:tcPr>
          <w:p w:rsidR="007E7242" w:rsidRPr="00051A0F" w:rsidP="007E7242" w14:paraId="4D97A479" w14:textId="77777777">
            <w:pPr>
              <w:pStyle w:val="Default"/>
              <w:jc w:val="center"/>
              <w:rPr>
                <w:sz w:val="20"/>
                <w:szCs w:val="20"/>
              </w:rPr>
            </w:pPr>
            <w:r>
              <w:rPr>
                <w:sz w:val="20"/>
                <w:szCs w:val="20"/>
              </w:rPr>
              <w:t>3</w:t>
            </w:r>
          </w:p>
        </w:tc>
        <w:tc>
          <w:tcPr>
            <w:tcW w:w="1536" w:type="dxa"/>
          </w:tcPr>
          <w:p w:rsidR="007E7242" w:rsidRPr="00051A0F" w:rsidP="007E7242" w14:paraId="4D8D9078" w14:textId="4B8E734E">
            <w:pPr>
              <w:pStyle w:val="Default"/>
              <w:jc w:val="center"/>
              <w:rPr>
                <w:sz w:val="20"/>
                <w:szCs w:val="20"/>
              </w:rPr>
            </w:pPr>
            <w:r>
              <w:rPr>
                <w:sz w:val="20"/>
                <w:szCs w:val="20"/>
              </w:rPr>
              <w:t>180</w:t>
            </w:r>
          </w:p>
        </w:tc>
        <w:tc>
          <w:tcPr>
            <w:tcW w:w="1469" w:type="dxa"/>
            <w:vAlign w:val="center"/>
          </w:tcPr>
          <w:p w:rsidR="007E7242" w:rsidP="007E7242" w14:paraId="4AEC359E" w14:textId="61028AFC">
            <w:pPr>
              <w:pStyle w:val="Default"/>
              <w:jc w:val="center"/>
              <w:rPr>
                <w:sz w:val="20"/>
                <w:szCs w:val="20"/>
              </w:rPr>
            </w:pPr>
            <w:r>
              <w:rPr>
                <w:sz w:val="20"/>
                <w:szCs w:val="20"/>
              </w:rPr>
              <w:t>0.25</w:t>
            </w:r>
          </w:p>
        </w:tc>
        <w:tc>
          <w:tcPr>
            <w:tcW w:w="1348" w:type="dxa"/>
            <w:vAlign w:val="center"/>
          </w:tcPr>
          <w:p w:rsidR="007E7242" w:rsidP="007E7242" w14:paraId="62D1C90F" w14:textId="04112396">
            <w:pPr>
              <w:pStyle w:val="Default"/>
              <w:jc w:val="center"/>
              <w:rPr>
                <w:sz w:val="20"/>
                <w:szCs w:val="20"/>
              </w:rPr>
            </w:pPr>
            <w:r>
              <w:rPr>
                <w:sz w:val="20"/>
                <w:szCs w:val="20"/>
              </w:rPr>
              <w:t>45</w:t>
            </w:r>
          </w:p>
        </w:tc>
        <w:tc>
          <w:tcPr>
            <w:tcW w:w="1333" w:type="dxa"/>
            <w:vAlign w:val="center"/>
          </w:tcPr>
          <w:p w:rsidR="007E7242" w:rsidP="007E7242" w14:paraId="251B3C69" w14:textId="67369654">
            <w:pPr>
              <w:pStyle w:val="Default"/>
              <w:jc w:val="center"/>
              <w:rPr>
                <w:sz w:val="20"/>
                <w:szCs w:val="20"/>
              </w:rPr>
            </w:pPr>
            <w:r>
              <w:rPr>
                <w:sz w:val="20"/>
                <w:szCs w:val="20"/>
              </w:rPr>
              <w:t>$3</w:t>
            </w:r>
            <w:r w:rsidR="00F478F5">
              <w:rPr>
                <w:sz w:val="20"/>
                <w:szCs w:val="20"/>
              </w:rPr>
              <w:t>4.45</w:t>
            </w:r>
          </w:p>
        </w:tc>
        <w:tc>
          <w:tcPr>
            <w:tcW w:w="1263" w:type="dxa"/>
            <w:tcBorders>
              <w:right w:val="single" w:sz="12" w:space="0" w:color="auto"/>
            </w:tcBorders>
            <w:vAlign w:val="center"/>
          </w:tcPr>
          <w:p w:rsidR="007E7242" w:rsidP="007E7242" w14:paraId="20E95A91" w14:textId="34320EA6">
            <w:pPr>
              <w:pStyle w:val="Default"/>
              <w:jc w:val="center"/>
              <w:rPr>
                <w:sz w:val="20"/>
                <w:szCs w:val="20"/>
              </w:rPr>
            </w:pPr>
            <w:r>
              <w:rPr>
                <w:sz w:val="20"/>
                <w:szCs w:val="20"/>
              </w:rPr>
              <w:t>$1,</w:t>
            </w:r>
            <w:r w:rsidR="00F807D3">
              <w:rPr>
                <w:sz w:val="20"/>
                <w:szCs w:val="20"/>
              </w:rPr>
              <w:t>550</w:t>
            </w:r>
            <w:r w:rsidR="002E312F">
              <w:rPr>
                <w:sz w:val="20"/>
                <w:szCs w:val="20"/>
              </w:rPr>
              <w:t>.25</w:t>
            </w:r>
          </w:p>
        </w:tc>
      </w:tr>
      <w:tr w14:paraId="342D25ED" w14:textId="4F5DA7C6" w:rsidTr="003841D0">
        <w:tblPrEx>
          <w:tblW w:w="0" w:type="auto"/>
          <w:jc w:val="center"/>
          <w:tblCellMar>
            <w:top w:w="58" w:type="dxa"/>
            <w:bottom w:w="58" w:type="dxa"/>
          </w:tblCellMar>
          <w:tblLook w:val="0620"/>
        </w:tblPrEx>
        <w:trPr>
          <w:jc w:val="center"/>
        </w:trPr>
        <w:tc>
          <w:tcPr>
            <w:tcW w:w="1353" w:type="dxa"/>
            <w:tcBorders>
              <w:left w:val="single" w:sz="12" w:space="0" w:color="auto"/>
            </w:tcBorders>
            <w:vAlign w:val="center"/>
          </w:tcPr>
          <w:p w:rsidR="007E7242" w:rsidRPr="00051A0F" w:rsidP="007E7242" w14:paraId="5C32948E" w14:textId="77777777">
            <w:pPr>
              <w:pStyle w:val="Default"/>
              <w:jc w:val="center"/>
              <w:rPr>
                <w:sz w:val="20"/>
                <w:szCs w:val="20"/>
              </w:rPr>
            </w:pPr>
            <w:r>
              <w:rPr>
                <w:sz w:val="20"/>
                <w:szCs w:val="20"/>
              </w:rPr>
              <w:t>4</w:t>
            </w:r>
          </w:p>
        </w:tc>
        <w:tc>
          <w:tcPr>
            <w:tcW w:w="1536" w:type="dxa"/>
          </w:tcPr>
          <w:p w:rsidR="007E7242" w:rsidRPr="00051A0F" w:rsidP="007E7242" w14:paraId="1B7A0173" w14:textId="2257EDC5">
            <w:pPr>
              <w:pStyle w:val="Default"/>
              <w:jc w:val="center"/>
              <w:rPr>
                <w:sz w:val="20"/>
                <w:szCs w:val="20"/>
              </w:rPr>
            </w:pPr>
            <w:r>
              <w:rPr>
                <w:sz w:val="20"/>
                <w:szCs w:val="20"/>
              </w:rPr>
              <w:t>240</w:t>
            </w:r>
          </w:p>
        </w:tc>
        <w:tc>
          <w:tcPr>
            <w:tcW w:w="1469" w:type="dxa"/>
            <w:vAlign w:val="center"/>
          </w:tcPr>
          <w:p w:rsidR="007E7242" w:rsidRPr="00051A0F" w:rsidP="007E7242" w14:paraId="329667E7" w14:textId="7718C566">
            <w:pPr>
              <w:pStyle w:val="Default"/>
              <w:jc w:val="center"/>
              <w:rPr>
                <w:sz w:val="20"/>
                <w:szCs w:val="20"/>
              </w:rPr>
            </w:pPr>
            <w:r>
              <w:rPr>
                <w:sz w:val="20"/>
                <w:szCs w:val="20"/>
              </w:rPr>
              <w:t>0.25</w:t>
            </w:r>
          </w:p>
        </w:tc>
        <w:tc>
          <w:tcPr>
            <w:tcW w:w="1348" w:type="dxa"/>
            <w:vAlign w:val="center"/>
          </w:tcPr>
          <w:p w:rsidR="007E7242" w:rsidP="007E7242" w14:paraId="4F1CDB90" w14:textId="6DAF6C60">
            <w:pPr>
              <w:pStyle w:val="Default"/>
              <w:jc w:val="center"/>
              <w:rPr>
                <w:sz w:val="20"/>
                <w:szCs w:val="20"/>
              </w:rPr>
            </w:pPr>
            <w:r>
              <w:rPr>
                <w:sz w:val="20"/>
                <w:szCs w:val="20"/>
              </w:rPr>
              <w:t>60</w:t>
            </w:r>
          </w:p>
        </w:tc>
        <w:tc>
          <w:tcPr>
            <w:tcW w:w="1333" w:type="dxa"/>
            <w:vAlign w:val="center"/>
          </w:tcPr>
          <w:p w:rsidR="007E7242" w:rsidRPr="00051A0F" w:rsidP="007E7242" w14:paraId="21200A91" w14:textId="7F68D2FD">
            <w:pPr>
              <w:pStyle w:val="Default"/>
              <w:jc w:val="center"/>
              <w:rPr>
                <w:sz w:val="20"/>
                <w:szCs w:val="20"/>
              </w:rPr>
            </w:pPr>
            <w:r>
              <w:rPr>
                <w:sz w:val="20"/>
                <w:szCs w:val="20"/>
              </w:rPr>
              <w:t>$3</w:t>
            </w:r>
            <w:r w:rsidR="00F478F5">
              <w:rPr>
                <w:sz w:val="20"/>
                <w:szCs w:val="20"/>
              </w:rPr>
              <w:t>4.45</w:t>
            </w:r>
          </w:p>
        </w:tc>
        <w:tc>
          <w:tcPr>
            <w:tcW w:w="1263" w:type="dxa"/>
            <w:tcBorders>
              <w:right w:val="single" w:sz="12" w:space="0" w:color="auto"/>
            </w:tcBorders>
            <w:vAlign w:val="center"/>
          </w:tcPr>
          <w:p w:rsidR="007E7242" w:rsidRPr="00051A0F" w:rsidP="007E7242" w14:paraId="65421BB0" w14:textId="73732832">
            <w:pPr>
              <w:pStyle w:val="Default"/>
              <w:jc w:val="center"/>
              <w:rPr>
                <w:sz w:val="20"/>
                <w:szCs w:val="20"/>
              </w:rPr>
            </w:pPr>
            <w:r>
              <w:rPr>
                <w:sz w:val="20"/>
                <w:szCs w:val="20"/>
              </w:rPr>
              <w:t>$</w:t>
            </w:r>
            <w:r w:rsidR="002E312F">
              <w:rPr>
                <w:sz w:val="20"/>
                <w:szCs w:val="20"/>
              </w:rPr>
              <w:t>2,067.00</w:t>
            </w:r>
          </w:p>
        </w:tc>
      </w:tr>
      <w:tr w14:paraId="58A911D1" w14:textId="19349AA8" w:rsidTr="003841D0">
        <w:tblPrEx>
          <w:tblW w:w="0" w:type="auto"/>
          <w:jc w:val="center"/>
          <w:tblCellMar>
            <w:top w:w="58" w:type="dxa"/>
            <w:bottom w:w="58" w:type="dxa"/>
          </w:tblCellMar>
          <w:tblLook w:val="0620"/>
        </w:tblPrEx>
        <w:trPr>
          <w:jc w:val="center"/>
        </w:trPr>
        <w:tc>
          <w:tcPr>
            <w:tcW w:w="1353" w:type="dxa"/>
            <w:tcBorders>
              <w:left w:val="single" w:sz="12" w:space="0" w:color="auto"/>
            </w:tcBorders>
            <w:vAlign w:val="center"/>
          </w:tcPr>
          <w:p w:rsidR="007E7242" w:rsidRPr="00AF61D2" w:rsidP="007E7242" w14:paraId="4314B9A8" w14:textId="77777777">
            <w:pPr>
              <w:pStyle w:val="Default"/>
              <w:jc w:val="center"/>
              <w:rPr>
                <w:b/>
                <w:bCs/>
                <w:sz w:val="20"/>
                <w:szCs w:val="20"/>
              </w:rPr>
            </w:pPr>
            <w:r>
              <w:rPr>
                <w:b/>
                <w:bCs/>
                <w:sz w:val="20"/>
                <w:szCs w:val="20"/>
              </w:rPr>
              <w:t>4</w:t>
            </w:r>
            <w:r w:rsidRPr="00AF61D2">
              <w:rPr>
                <w:b/>
                <w:bCs/>
                <w:sz w:val="20"/>
                <w:szCs w:val="20"/>
              </w:rPr>
              <w:t>-year Total</w:t>
            </w:r>
          </w:p>
        </w:tc>
        <w:tc>
          <w:tcPr>
            <w:tcW w:w="1536" w:type="dxa"/>
          </w:tcPr>
          <w:p w:rsidR="007E7242" w:rsidRPr="00051A0F" w:rsidP="007E7242" w14:paraId="0D234397" w14:textId="3A6331A1">
            <w:pPr>
              <w:pStyle w:val="Default"/>
              <w:jc w:val="center"/>
              <w:rPr>
                <w:sz w:val="20"/>
                <w:szCs w:val="20"/>
              </w:rPr>
            </w:pPr>
            <w:r>
              <w:rPr>
                <w:sz w:val="20"/>
                <w:szCs w:val="20"/>
              </w:rPr>
              <w:t>600</w:t>
            </w:r>
          </w:p>
        </w:tc>
        <w:tc>
          <w:tcPr>
            <w:tcW w:w="1469" w:type="dxa"/>
            <w:vAlign w:val="center"/>
          </w:tcPr>
          <w:p w:rsidR="007E7242" w:rsidRPr="00051A0F" w:rsidP="007E7242" w14:paraId="1CE4BE5E" w14:textId="187E9E80">
            <w:pPr>
              <w:pStyle w:val="Default"/>
              <w:jc w:val="center"/>
              <w:rPr>
                <w:sz w:val="20"/>
                <w:szCs w:val="20"/>
              </w:rPr>
            </w:pPr>
            <w:r w:rsidRPr="00051A0F">
              <w:rPr>
                <w:sz w:val="20"/>
                <w:szCs w:val="20"/>
              </w:rPr>
              <w:t>-</w:t>
            </w:r>
          </w:p>
        </w:tc>
        <w:tc>
          <w:tcPr>
            <w:tcW w:w="1348" w:type="dxa"/>
            <w:vAlign w:val="center"/>
          </w:tcPr>
          <w:p w:rsidR="007E7242" w:rsidRPr="00051A0F" w:rsidP="007E7242" w14:paraId="0E67CCB5" w14:textId="4817E0AF">
            <w:pPr>
              <w:pStyle w:val="Default"/>
              <w:jc w:val="center"/>
              <w:rPr>
                <w:sz w:val="20"/>
                <w:szCs w:val="20"/>
              </w:rPr>
            </w:pPr>
            <w:r>
              <w:rPr>
                <w:sz w:val="20"/>
                <w:szCs w:val="20"/>
              </w:rPr>
              <w:t>150</w:t>
            </w:r>
          </w:p>
        </w:tc>
        <w:tc>
          <w:tcPr>
            <w:tcW w:w="1333" w:type="dxa"/>
            <w:vAlign w:val="center"/>
          </w:tcPr>
          <w:p w:rsidR="007E7242" w:rsidRPr="00051A0F" w:rsidP="007E7242" w14:paraId="3F24E3D7" w14:textId="77777777">
            <w:pPr>
              <w:pStyle w:val="Default"/>
              <w:jc w:val="center"/>
              <w:rPr>
                <w:sz w:val="20"/>
                <w:szCs w:val="20"/>
              </w:rPr>
            </w:pPr>
            <w:r w:rsidRPr="00051A0F">
              <w:rPr>
                <w:sz w:val="20"/>
                <w:szCs w:val="20"/>
              </w:rPr>
              <w:t>-</w:t>
            </w:r>
          </w:p>
        </w:tc>
        <w:tc>
          <w:tcPr>
            <w:tcW w:w="1263" w:type="dxa"/>
            <w:tcBorders>
              <w:right w:val="single" w:sz="12" w:space="0" w:color="auto"/>
            </w:tcBorders>
            <w:vAlign w:val="center"/>
          </w:tcPr>
          <w:p w:rsidR="007E7242" w:rsidRPr="00051A0F" w:rsidP="007E7242" w14:paraId="05458FC4" w14:textId="23DA02C6">
            <w:pPr>
              <w:pStyle w:val="Default"/>
              <w:jc w:val="center"/>
              <w:rPr>
                <w:sz w:val="20"/>
                <w:szCs w:val="20"/>
              </w:rPr>
            </w:pPr>
            <w:r>
              <w:rPr>
                <w:sz w:val="20"/>
                <w:szCs w:val="20"/>
              </w:rPr>
              <w:t>$</w:t>
            </w:r>
            <w:r w:rsidR="00DD2C24">
              <w:rPr>
                <w:sz w:val="20"/>
                <w:szCs w:val="20"/>
              </w:rPr>
              <w:t>5</w:t>
            </w:r>
            <w:r w:rsidR="003F5B6E">
              <w:rPr>
                <w:sz w:val="20"/>
                <w:szCs w:val="20"/>
              </w:rPr>
              <w:t>,167.50</w:t>
            </w:r>
          </w:p>
        </w:tc>
      </w:tr>
      <w:tr w14:paraId="7D79C44B" w14:textId="7E510D7B" w:rsidTr="003841D0">
        <w:tblPrEx>
          <w:tblW w:w="0" w:type="auto"/>
          <w:jc w:val="center"/>
          <w:tblCellMar>
            <w:top w:w="58" w:type="dxa"/>
            <w:bottom w:w="58" w:type="dxa"/>
          </w:tblCellMar>
          <w:tblLook w:val="0620"/>
        </w:tblPrEx>
        <w:trPr>
          <w:jc w:val="center"/>
        </w:trPr>
        <w:tc>
          <w:tcPr>
            <w:tcW w:w="1353" w:type="dxa"/>
            <w:tcBorders>
              <w:left w:val="single" w:sz="12" w:space="0" w:color="auto"/>
              <w:bottom w:val="single" w:sz="12" w:space="0" w:color="auto"/>
            </w:tcBorders>
            <w:vAlign w:val="center"/>
          </w:tcPr>
          <w:p w:rsidR="007E7242" w:rsidRPr="00AF61D2" w:rsidP="007E7242" w14:paraId="691D60EE" w14:textId="77777777">
            <w:pPr>
              <w:pStyle w:val="Default"/>
              <w:jc w:val="center"/>
              <w:rPr>
                <w:b/>
                <w:bCs/>
                <w:sz w:val="20"/>
                <w:szCs w:val="20"/>
              </w:rPr>
            </w:pPr>
            <w:r w:rsidRPr="00AF61D2">
              <w:rPr>
                <w:b/>
                <w:bCs/>
                <w:sz w:val="20"/>
                <w:szCs w:val="20"/>
              </w:rPr>
              <w:t>Annual Average</w:t>
            </w:r>
          </w:p>
        </w:tc>
        <w:tc>
          <w:tcPr>
            <w:tcW w:w="1536" w:type="dxa"/>
            <w:tcBorders>
              <w:bottom w:val="single" w:sz="12" w:space="0" w:color="auto"/>
            </w:tcBorders>
            <w:vAlign w:val="center"/>
          </w:tcPr>
          <w:p w:rsidR="007E7242" w:rsidRPr="00051A0F" w:rsidP="007E7242" w14:paraId="271C7AC8" w14:textId="1FEEFECE">
            <w:pPr>
              <w:pStyle w:val="Default"/>
              <w:jc w:val="center"/>
              <w:rPr>
                <w:sz w:val="20"/>
                <w:szCs w:val="20"/>
              </w:rPr>
            </w:pPr>
            <w:r>
              <w:rPr>
                <w:sz w:val="20"/>
                <w:szCs w:val="20"/>
              </w:rPr>
              <w:t>150</w:t>
            </w:r>
          </w:p>
        </w:tc>
        <w:tc>
          <w:tcPr>
            <w:tcW w:w="1469" w:type="dxa"/>
            <w:tcBorders>
              <w:bottom w:val="single" w:sz="12" w:space="0" w:color="auto"/>
            </w:tcBorders>
            <w:vAlign w:val="center"/>
          </w:tcPr>
          <w:p w:rsidR="007E7242" w:rsidRPr="00051A0F" w:rsidP="007E7242" w14:paraId="0A9F08DA" w14:textId="77BE86FD">
            <w:pPr>
              <w:pStyle w:val="Default"/>
              <w:jc w:val="center"/>
              <w:rPr>
                <w:sz w:val="20"/>
                <w:szCs w:val="20"/>
              </w:rPr>
            </w:pPr>
            <w:r w:rsidRPr="00051A0F">
              <w:rPr>
                <w:sz w:val="20"/>
                <w:szCs w:val="20"/>
              </w:rPr>
              <w:t>-</w:t>
            </w:r>
          </w:p>
        </w:tc>
        <w:tc>
          <w:tcPr>
            <w:tcW w:w="1348" w:type="dxa"/>
            <w:tcBorders>
              <w:bottom w:val="single" w:sz="12" w:space="0" w:color="auto"/>
            </w:tcBorders>
            <w:vAlign w:val="center"/>
          </w:tcPr>
          <w:p w:rsidR="007E7242" w:rsidRPr="00051A0F" w:rsidP="007E7242" w14:paraId="12233D88" w14:textId="33FC54D5">
            <w:pPr>
              <w:pStyle w:val="Default"/>
              <w:jc w:val="center"/>
              <w:rPr>
                <w:sz w:val="20"/>
                <w:szCs w:val="20"/>
              </w:rPr>
            </w:pPr>
            <w:r>
              <w:rPr>
                <w:sz w:val="20"/>
                <w:szCs w:val="20"/>
              </w:rPr>
              <w:t>37.5</w:t>
            </w:r>
          </w:p>
        </w:tc>
        <w:tc>
          <w:tcPr>
            <w:tcW w:w="1333" w:type="dxa"/>
            <w:tcBorders>
              <w:bottom w:val="single" w:sz="12" w:space="0" w:color="auto"/>
            </w:tcBorders>
            <w:vAlign w:val="center"/>
          </w:tcPr>
          <w:p w:rsidR="007E7242" w:rsidRPr="00051A0F" w:rsidP="007E7242" w14:paraId="6CFC55EE" w14:textId="77777777">
            <w:pPr>
              <w:pStyle w:val="Default"/>
              <w:jc w:val="center"/>
              <w:rPr>
                <w:sz w:val="20"/>
                <w:szCs w:val="20"/>
              </w:rPr>
            </w:pPr>
            <w:r w:rsidRPr="00051A0F">
              <w:rPr>
                <w:sz w:val="20"/>
                <w:szCs w:val="20"/>
              </w:rPr>
              <w:t>-</w:t>
            </w:r>
          </w:p>
        </w:tc>
        <w:tc>
          <w:tcPr>
            <w:tcW w:w="1263" w:type="dxa"/>
            <w:tcBorders>
              <w:bottom w:val="single" w:sz="12" w:space="0" w:color="auto"/>
              <w:right w:val="single" w:sz="12" w:space="0" w:color="auto"/>
            </w:tcBorders>
            <w:vAlign w:val="center"/>
          </w:tcPr>
          <w:p w:rsidR="007E7242" w:rsidRPr="00051A0F" w:rsidP="007E7242" w14:paraId="27798F43" w14:textId="7DA91C19">
            <w:pPr>
              <w:pStyle w:val="Default"/>
              <w:jc w:val="center"/>
              <w:rPr>
                <w:sz w:val="20"/>
                <w:szCs w:val="20"/>
              </w:rPr>
            </w:pPr>
            <w:r>
              <w:rPr>
                <w:sz w:val="20"/>
                <w:szCs w:val="20"/>
              </w:rPr>
              <w:t>$1,2</w:t>
            </w:r>
            <w:r w:rsidR="003F5B6E">
              <w:rPr>
                <w:sz w:val="20"/>
                <w:szCs w:val="20"/>
              </w:rPr>
              <w:t>91.88</w:t>
            </w:r>
          </w:p>
        </w:tc>
      </w:tr>
    </w:tbl>
    <w:p w:rsidR="002E20A3" w:rsidP="005333E7" w14:paraId="1C3CA2F8" w14:textId="77777777">
      <w:pPr>
        <w:pStyle w:val="Default"/>
      </w:pPr>
    </w:p>
    <w:p w:rsidR="00EC43F8" w:rsidRPr="00860BE7" w:rsidP="005333E7" w14:paraId="1D86059A" w14:textId="1F1AD9E7">
      <w:pPr>
        <w:pStyle w:val="Default"/>
        <w:rPr>
          <w:u w:val="single"/>
        </w:rPr>
      </w:pPr>
      <w:r w:rsidRPr="00860BE7">
        <w:rPr>
          <w:u w:val="single"/>
        </w:rPr>
        <w:t>IC</w:t>
      </w:r>
      <w:r w:rsidRPr="00860BE7" w:rsidR="00EE038D">
        <w:rPr>
          <w:u w:val="single"/>
        </w:rPr>
        <w:t>3</w:t>
      </w:r>
      <w:r w:rsidRPr="00860BE7">
        <w:rPr>
          <w:u w:val="single"/>
        </w:rPr>
        <w:t xml:space="preserve"> Summary:</w:t>
      </w:r>
    </w:p>
    <w:p w:rsidR="005C3538" w:rsidP="005333E7" w14:paraId="5D507993" w14:textId="59366C3B">
      <w:pPr>
        <w:pStyle w:val="Default"/>
      </w:pPr>
      <w:r>
        <w:t>Estimated Annual Number of Responses</w:t>
      </w:r>
      <w:r w:rsidR="00AF341B">
        <w:t xml:space="preserve">: </w:t>
      </w:r>
      <w:r w:rsidR="00EC43F8">
        <w:t>150</w:t>
      </w:r>
    </w:p>
    <w:p w:rsidR="005C3538" w:rsidP="005333E7" w14:paraId="34BD0D16" w14:textId="5DBAEED7">
      <w:pPr>
        <w:pStyle w:val="Default"/>
      </w:pPr>
      <w:r>
        <w:t>Estimated Annual Burden Hours:</w:t>
      </w:r>
      <w:r w:rsidR="00AF341B">
        <w:t xml:space="preserve"> </w:t>
      </w:r>
      <w:r w:rsidR="00EC43F8">
        <w:t>37.5</w:t>
      </w:r>
    </w:p>
    <w:p w:rsidR="005C3538" w:rsidP="005333E7" w14:paraId="14ADBF03" w14:textId="55DA2BBE">
      <w:pPr>
        <w:pStyle w:val="Default"/>
      </w:pPr>
      <w:r>
        <w:t>Estimated Annual Burden Hour Cost:</w:t>
      </w:r>
      <w:r w:rsidR="00EC43F8">
        <w:t xml:space="preserve"> $1,2</w:t>
      </w:r>
      <w:r w:rsidR="00CF3F68">
        <w:t>91.88</w:t>
      </w:r>
    </w:p>
    <w:p w:rsidR="005C3538" w:rsidP="005333E7" w14:paraId="1BE56E72" w14:textId="77777777">
      <w:pPr>
        <w:pStyle w:val="Default"/>
      </w:pPr>
    </w:p>
    <w:p w:rsidR="00EC43F8" w:rsidP="005333E7" w14:paraId="2531B86B" w14:textId="04230A46">
      <w:pPr>
        <w:pStyle w:val="Default"/>
      </w:pPr>
      <w:r>
        <w:t>Total</w:t>
      </w:r>
      <w:r w:rsidR="2B98B5EC">
        <w:t>s</w:t>
      </w:r>
      <w:r>
        <w:t xml:space="preserve"> </w:t>
      </w:r>
      <w:r w:rsidR="25406EB3">
        <w:t>for all ICs</w:t>
      </w:r>
      <w:r w:rsidR="43F13F2D">
        <w:t>:</w:t>
      </w:r>
    </w:p>
    <w:tbl>
      <w:tblPr>
        <w:tblStyle w:val="GridTable4"/>
        <w:tblW w:w="0" w:type="auto"/>
        <w:jc w:val="center"/>
        <w:tblCellMar>
          <w:top w:w="58" w:type="dxa"/>
          <w:bottom w:w="58" w:type="dxa"/>
        </w:tblCellMar>
        <w:tblLook w:val="0620"/>
      </w:tblPr>
      <w:tblGrid>
        <w:gridCol w:w="1353"/>
        <w:gridCol w:w="1536"/>
        <w:gridCol w:w="1469"/>
        <w:gridCol w:w="1348"/>
        <w:gridCol w:w="1333"/>
        <w:gridCol w:w="1263"/>
      </w:tblGrid>
      <w:tr w14:paraId="284199EF" w14:textId="77777777" w:rsidTr="003841D0">
        <w:tblPrEx>
          <w:tblW w:w="0" w:type="auto"/>
          <w:jc w:val="center"/>
          <w:tblCellMar>
            <w:top w:w="58" w:type="dxa"/>
            <w:bottom w:w="58" w:type="dxa"/>
          </w:tblCellMar>
          <w:tblLook w:val="0620"/>
        </w:tblPrEx>
        <w:trPr>
          <w:jc w:val="center"/>
        </w:trPr>
        <w:tc>
          <w:tcPr>
            <w:tcW w:w="1353" w:type="dxa"/>
            <w:tcBorders>
              <w:top w:val="single" w:sz="12" w:space="0" w:color="auto"/>
              <w:left w:val="single" w:sz="12" w:space="0" w:color="auto"/>
              <w:bottom w:val="single" w:sz="12" w:space="0" w:color="auto"/>
              <w:right w:val="single" w:sz="4" w:space="0" w:color="000000"/>
            </w:tcBorders>
            <w:shd w:val="clear" w:color="auto" w:fill="DBDBDB" w:themeFill="accent3" w:themeFillTint="66"/>
            <w:vAlign w:val="center"/>
          </w:tcPr>
          <w:p w:rsidR="006C04D1" w:rsidRPr="00051A0F" w:rsidP="00F94D14" w14:paraId="4E703665" w14:textId="5FD55295">
            <w:pPr>
              <w:pStyle w:val="Default"/>
              <w:jc w:val="center"/>
              <w:rPr>
                <w:sz w:val="20"/>
                <w:szCs w:val="20"/>
              </w:rPr>
            </w:pPr>
            <w:r>
              <w:rPr>
                <w:sz w:val="20"/>
                <w:szCs w:val="20"/>
              </w:rPr>
              <w:t>IC</w:t>
            </w:r>
          </w:p>
        </w:tc>
        <w:tc>
          <w:tcPr>
            <w:tcW w:w="1536"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6C04D1" w:rsidP="00F94D14" w14:paraId="41E3A505" w14:textId="58F886A2">
            <w:pPr>
              <w:pStyle w:val="Default"/>
              <w:jc w:val="center"/>
              <w:rPr>
                <w:sz w:val="20"/>
                <w:szCs w:val="20"/>
              </w:rPr>
            </w:pPr>
            <w:r>
              <w:rPr>
                <w:sz w:val="20"/>
                <w:szCs w:val="20"/>
              </w:rPr>
              <w:t>Total Responses</w:t>
            </w:r>
          </w:p>
          <w:p w:rsidR="006C04D1" w:rsidRPr="00CA40CB" w:rsidP="00F94D14" w14:paraId="553E92F9" w14:textId="77777777">
            <w:pPr>
              <w:pStyle w:val="Default"/>
              <w:jc w:val="center"/>
              <w:rPr>
                <w:sz w:val="20"/>
                <w:szCs w:val="20"/>
              </w:rPr>
            </w:pPr>
            <w:r>
              <w:rPr>
                <w:b w:val="0"/>
                <w:bCs w:val="0"/>
                <w:sz w:val="20"/>
                <w:szCs w:val="20"/>
              </w:rPr>
              <w:t>(A)</w:t>
            </w:r>
          </w:p>
        </w:tc>
        <w:tc>
          <w:tcPr>
            <w:tcW w:w="1469"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6C04D1" w:rsidP="00F94D14" w14:paraId="5C993259" w14:textId="77777777">
            <w:pPr>
              <w:pStyle w:val="Default"/>
              <w:jc w:val="center"/>
              <w:rPr>
                <w:sz w:val="20"/>
                <w:szCs w:val="20"/>
              </w:rPr>
            </w:pPr>
            <w:r>
              <w:rPr>
                <w:sz w:val="20"/>
                <w:szCs w:val="20"/>
              </w:rPr>
              <w:t>Hours</w:t>
            </w:r>
            <w:r w:rsidRPr="00051A0F">
              <w:rPr>
                <w:sz w:val="20"/>
                <w:szCs w:val="20"/>
              </w:rPr>
              <w:t xml:space="preserve"> per Response</w:t>
            </w:r>
          </w:p>
          <w:p w:rsidR="006C04D1" w:rsidRPr="00CA40CB" w:rsidP="00F94D14" w14:paraId="7C2D5CA4" w14:textId="77777777">
            <w:pPr>
              <w:pStyle w:val="Default"/>
              <w:jc w:val="center"/>
              <w:rPr>
                <w:sz w:val="20"/>
                <w:szCs w:val="20"/>
              </w:rPr>
            </w:pPr>
            <w:r>
              <w:rPr>
                <w:b w:val="0"/>
                <w:bCs w:val="0"/>
                <w:sz w:val="20"/>
                <w:szCs w:val="20"/>
              </w:rPr>
              <w:t>(B)</w:t>
            </w:r>
          </w:p>
        </w:tc>
        <w:tc>
          <w:tcPr>
            <w:tcW w:w="1348"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6C04D1" w:rsidP="00F94D14" w14:paraId="7347F763" w14:textId="77777777">
            <w:pPr>
              <w:pStyle w:val="Default"/>
              <w:jc w:val="center"/>
              <w:rPr>
                <w:sz w:val="20"/>
                <w:szCs w:val="20"/>
              </w:rPr>
            </w:pPr>
            <w:r w:rsidRPr="00051A0F">
              <w:rPr>
                <w:sz w:val="20"/>
                <w:szCs w:val="20"/>
              </w:rPr>
              <w:t>Total Burden Hours</w:t>
            </w:r>
          </w:p>
          <w:p w:rsidR="006C04D1" w:rsidRPr="00CA40CB" w:rsidP="00F94D14" w14:paraId="2AEA7BE4" w14:textId="77777777">
            <w:pPr>
              <w:pStyle w:val="Default"/>
              <w:jc w:val="center"/>
              <w:rPr>
                <w:sz w:val="20"/>
                <w:szCs w:val="20"/>
              </w:rPr>
            </w:pPr>
            <w:r>
              <w:rPr>
                <w:b w:val="0"/>
                <w:bCs w:val="0"/>
                <w:sz w:val="20"/>
                <w:szCs w:val="20"/>
              </w:rPr>
              <w:t>(C) = (A*B)</w:t>
            </w:r>
          </w:p>
        </w:tc>
        <w:tc>
          <w:tcPr>
            <w:tcW w:w="1333" w:type="dxa"/>
            <w:tcBorders>
              <w:top w:val="single" w:sz="12" w:space="0" w:color="auto"/>
              <w:left w:val="single" w:sz="4" w:space="0" w:color="000000"/>
              <w:bottom w:val="single" w:sz="12" w:space="0" w:color="auto"/>
              <w:right w:val="single" w:sz="4" w:space="0" w:color="000000"/>
            </w:tcBorders>
            <w:shd w:val="clear" w:color="auto" w:fill="DBDBDB" w:themeFill="accent3" w:themeFillTint="66"/>
            <w:vAlign w:val="center"/>
          </w:tcPr>
          <w:p w:rsidR="006C04D1" w:rsidP="00F94D14" w14:paraId="009F951A" w14:textId="77777777">
            <w:pPr>
              <w:pStyle w:val="Default"/>
              <w:jc w:val="center"/>
              <w:rPr>
                <w:sz w:val="20"/>
                <w:szCs w:val="20"/>
              </w:rPr>
            </w:pPr>
            <w:r>
              <w:rPr>
                <w:sz w:val="20"/>
                <w:szCs w:val="20"/>
              </w:rPr>
              <w:t>Hourly Cost</w:t>
            </w:r>
          </w:p>
          <w:p w:rsidR="006C04D1" w:rsidRPr="00CA40CB" w:rsidP="00F94D14" w14:paraId="0527AD90" w14:textId="77777777">
            <w:pPr>
              <w:pStyle w:val="Default"/>
              <w:jc w:val="center"/>
              <w:rPr>
                <w:sz w:val="20"/>
                <w:szCs w:val="20"/>
              </w:rPr>
            </w:pPr>
            <w:r>
              <w:rPr>
                <w:b w:val="0"/>
                <w:bCs w:val="0"/>
                <w:sz w:val="20"/>
                <w:szCs w:val="20"/>
              </w:rPr>
              <w:t>(D)</w:t>
            </w:r>
          </w:p>
        </w:tc>
        <w:tc>
          <w:tcPr>
            <w:tcW w:w="1263" w:type="dxa"/>
            <w:tcBorders>
              <w:top w:val="single" w:sz="12" w:space="0" w:color="auto"/>
              <w:left w:val="single" w:sz="4" w:space="0" w:color="000000"/>
              <w:bottom w:val="single" w:sz="12" w:space="0" w:color="auto"/>
              <w:right w:val="single" w:sz="12" w:space="0" w:color="auto"/>
            </w:tcBorders>
            <w:shd w:val="clear" w:color="auto" w:fill="DBDBDB" w:themeFill="accent3" w:themeFillTint="66"/>
            <w:vAlign w:val="center"/>
          </w:tcPr>
          <w:p w:rsidR="006C04D1" w:rsidP="00F94D14" w14:paraId="5E3A19BF" w14:textId="77777777">
            <w:pPr>
              <w:pStyle w:val="Default"/>
              <w:jc w:val="center"/>
              <w:rPr>
                <w:sz w:val="20"/>
                <w:szCs w:val="20"/>
              </w:rPr>
            </w:pPr>
            <w:r w:rsidRPr="00051A0F">
              <w:rPr>
                <w:sz w:val="20"/>
                <w:szCs w:val="20"/>
              </w:rPr>
              <w:t xml:space="preserve">Total </w:t>
            </w:r>
            <w:r>
              <w:rPr>
                <w:sz w:val="20"/>
                <w:szCs w:val="20"/>
              </w:rPr>
              <w:t>Cost</w:t>
            </w:r>
          </w:p>
          <w:p w:rsidR="006C04D1" w:rsidRPr="00CA40CB" w:rsidP="00F94D14" w14:paraId="75FA8EB5" w14:textId="77777777">
            <w:pPr>
              <w:pStyle w:val="Default"/>
              <w:jc w:val="center"/>
              <w:rPr>
                <w:sz w:val="20"/>
                <w:szCs w:val="20"/>
              </w:rPr>
            </w:pPr>
            <w:r>
              <w:rPr>
                <w:b w:val="0"/>
                <w:bCs w:val="0"/>
                <w:sz w:val="20"/>
                <w:szCs w:val="20"/>
              </w:rPr>
              <w:t>(E) = (C*D)</w:t>
            </w:r>
          </w:p>
        </w:tc>
      </w:tr>
      <w:tr w14:paraId="782BB449" w14:textId="77777777" w:rsidTr="003841D0">
        <w:tblPrEx>
          <w:tblW w:w="0" w:type="auto"/>
          <w:jc w:val="center"/>
          <w:tblCellMar>
            <w:top w:w="58" w:type="dxa"/>
            <w:bottom w:w="58" w:type="dxa"/>
          </w:tblCellMar>
          <w:tblLook w:val="0620"/>
        </w:tblPrEx>
        <w:trPr>
          <w:jc w:val="center"/>
        </w:trPr>
        <w:tc>
          <w:tcPr>
            <w:tcW w:w="1353" w:type="dxa"/>
            <w:tcBorders>
              <w:top w:val="single" w:sz="12" w:space="0" w:color="auto"/>
              <w:left w:val="single" w:sz="12" w:space="0" w:color="auto"/>
            </w:tcBorders>
            <w:vAlign w:val="center"/>
          </w:tcPr>
          <w:p w:rsidR="006C04D1" w:rsidRPr="00051A0F" w:rsidP="006C04D1" w14:paraId="77BB3A1E" w14:textId="39EF8790">
            <w:pPr>
              <w:pStyle w:val="Default"/>
              <w:jc w:val="center"/>
              <w:rPr>
                <w:sz w:val="20"/>
                <w:szCs w:val="20"/>
              </w:rPr>
            </w:pPr>
            <w:r>
              <w:rPr>
                <w:sz w:val="20"/>
                <w:szCs w:val="20"/>
              </w:rPr>
              <w:t>IC1</w:t>
            </w:r>
          </w:p>
        </w:tc>
        <w:tc>
          <w:tcPr>
            <w:tcW w:w="1536" w:type="dxa"/>
            <w:tcBorders>
              <w:top w:val="single" w:sz="12" w:space="0" w:color="auto"/>
            </w:tcBorders>
          </w:tcPr>
          <w:p w:rsidR="006C04D1" w:rsidRPr="00051A0F" w:rsidP="006C04D1" w14:paraId="64B177FF" w14:textId="545A7B72">
            <w:pPr>
              <w:pStyle w:val="Default"/>
              <w:jc w:val="center"/>
              <w:rPr>
                <w:sz w:val="20"/>
                <w:szCs w:val="20"/>
              </w:rPr>
            </w:pPr>
            <w:r>
              <w:rPr>
                <w:sz w:val="20"/>
                <w:szCs w:val="20"/>
              </w:rPr>
              <w:t>60</w:t>
            </w:r>
          </w:p>
        </w:tc>
        <w:tc>
          <w:tcPr>
            <w:tcW w:w="1469" w:type="dxa"/>
            <w:tcBorders>
              <w:top w:val="single" w:sz="12" w:space="0" w:color="auto"/>
            </w:tcBorders>
            <w:vAlign w:val="center"/>
          </w:tcPr>
          <w:p w:rsidR="006C04D1" w:rsidRPr="00051A0F" w:rsidP="006C04D1" w14:paraId="07556F72" w14:textId="33EAEE0B">
            <w:pPr>
              <w:pStyle w:val="Default"/>
              <w:jc w:val="center"/>
              <w:rPr>
                <w:sz w:val="20"/>
                <w:szCs w:val="20"/>
              </w:rPr>
            </w:pPr>
            <w:r>
              <w:rPr>
                <w:sz w:val="20"/>
                <w:szCs w:val="20"/>
              </w:rPr>
              <w:t>0.25</w:t>
            </w:r>
          </w:p>
        </w:tc>
        <w:tc>
          <w:tcPr>
            <w:tcW w:w="1348" w:type="dxa"/>
            <w:tcBorders>
              <w:top w:val="single" w:sz="12" w:space="0" w:color="auto"/>
            </w:tcBorders>
            <w:vAlign w:val="center"/>
          </w:tcPr>
          <w:p w:rsidR="006C04D1" w:rsidP="006C04D1" w14:paraId="73A11AEA" w14:textId="5D4DA639">
            <w:pPr>
              <w:pStyle w:val="Default"/>
              <w:jc w:val="center"/>
              <w:rPr>
                <w:sz w:val="20"/>
                <w:szCs w:val="20"/>
              </w:rPr>
            </w:pPr>
            <w:r>
              <w:rPr>
                <w:sz w:val="20"/>
                <w:szCs w:val="20"/>
              </w:rPr>
              <w:t>15</w:t>
            </w:r>
          </w:p>
        </w:tc>
        <w:tc>
          <w:tcPr>
            <w:tcW w:w="1333" w:type="dxa"/>
            <w:tcBorders>
              <w:top w:val="single" w:sz="12" w:space="0" w:color="auto"/>
            </w:tcBorders>
          </w:tcPr>
          <w:p w:rsidR="006C04D1" w:rsidRPr="00051A0F" w:rsidP="006C04D1" w14:paraId="06926D2F" w14:textId="00D4553F">
            <w:pPr>
              <w:pStyle w:val="Default"/>
              <w:jc w:val="center"/>
              <w:rPr>
                <w:sz w:val="20"/>
                <w:szCs w:val="20"/>
              </w:rPr>
            </w:pPr>
            <w:r>
              <w:rPr>
                <w:sz w:val="20"/>
                <w:szCs w:val="20"/>
              </w:rPr>
              <w:t>$34.45</w:t>
            </w:r>
          </w:p>
        </w:tc>
        <w:tc>
          <w:tcPr>
            <w:tcW w:w="1263" w:type="dxa"/>
            <w:tcBorders>
              <w:top w:val="single" w:sz="12" w:space="0" w:color="auto"/>
              <w:right w:val="single" w:sz="12" w:space="0" w:color="auto"/>
            </w:tcBorders>
          </w:tcPr>
          <w:p w:rsidR="006C04D1" w:rsidRPr="00051A0F" w:rsidP="006C04D1" w14:paraId="3A736663" w14:textId="471AEACC">
            <w:pPr>
              <w:pStyle w:val="Default"/>
              <w:jc w:val="center"/>
              <w:rPr>
                <w:sz w:val="20"/>
                <w:szCs w:val="20"/>
              </w:rPr>
            </w:pPr>
            <w:r w:rsidRPr="007A0F03">
              <w:rPr>
                <w:sz w:val="20"/>
                <w:szCs w:val="20"/>
              </w:rPr>
              <w:t>$516.75</w:t>
            </w:r>
          </w:p>
        </w:tc>
      </w:tr>
      <w:tr w14:paraId="25B8CAFB" w14:textId="77777777" w:rsidTr="003841D0">
        <w:tblPrEx>
          <w:tblW w:w="0" w:type="auto"/>
          <w:jc w:val="center"/>
          <w:tblCellMar>
            <w:top w:w="58" w:type="dxa"/>
            <w:bottom w:w="58" w:type="dxa"/>
          </w:tblCellMar>
          <w:tblLook w:val="0620"/>
        </w:tblPrEx>
        <w:trPr>
          <w:jc w:val="center"/>
        </w:trPr>
        <w:tc>
          <w:tcPr>
            <w:tcW w:w="1353" w:type="dxa"/>
            <w:tcBorders>
              <w:left w:val="single" w:sz="12" w:space="0" w:color="auto"/>
            </w:tcBorders>
            <w:vAlign w:val="center"/>
          </w:tcPr>
          <w:p w:rsidR="006C04D1" w:rsidRPr="00051A0F" w:rsidP="006C04D1" w14:paraId="3FB049EF" w14:textId="1C77B565">
            <w:pPr>
              <w:pStyle w:val="Default"/>
              <w:jc w:val="center"/>
              <w:rPr>
                <w:sz w:val="20"/>
                <w:szCs w:val="20"/>
              </w:rPr>
            </w:pPr>
            <w:r>
              <w:rPr>
                <w:sz w:val="20"/>
                <w:szCs w:val="20"/>
              </w:rPr>
              <w:t>IC2</w:t>
            </w:r>
          </w:p>
        </w:tc>
        <w:tc>
          <w:tcPr>
            <w:tcW w:w="1536" w:type="dxa"/>
          </w:tcPr>
          <w:p w:rsidR="006C04D1" w:rsidRPr="00051A0F" w:rsidP="006C04D1" w14:paraId="69112193" w14:textId="0EB1E46F">
            <w:pPr>
              <w:pStyle w:val="Default"/>
              <w:jc w:val="center"/>
              <w:rPr>
                <w:sz w:val="20"/>
                <w:szCs w:val="20"/>
              </w:rPr>
            </w:pPr>
            <w:r>
              <w:rPr>
                <w:sz w:val="20"/>
                <w:szCs w:val="20"/>
              </w:rPr>
              <w:t>60</w:t>
            </w:r>
          </w:p>
        </w:tc>
        <w:tc>
          <w:tcPr>
            <w:tcW w:w="1469" w:type="dxa"/>
            <w:vAlign w:val="center"/>
          </w:tcPr>
          <w:p w:rsidR="006C04D1" w:rsidRPr="00051A0F" w:rsidP="006C04D1" w14:paraId="5141F6BE" w14:textId="36B16643">
            <w:pPr>
              <w:pStyle w:val="Default"/>
              <w:jc w:val="center"/>
              <w:rPr>
                <w:sz w:val="20"/>
                <w:szCs w:val="20"/>
              </w:rPr>
            </w:pPr>
            <w:r>
              <w:rPr>
                <w:sz w:val="20"/>
                <w:szCs w:val="20"/>
              </w:rPr>
              <w:t>0.25</w:t>
            </w:r>
          </w:p>
        </w:tc>
        <w:tc>
          <w:tcPr>
            <w:tcW w:w="1348" w:type="dxa"/>
            <w:vAlign w:val="center"/>
          </w:tcPr>
          <w:p w:rsidR="006C04D1" w:rsidP="006C04D1" w14:paraId="6AA3B7E7" w14:textId="55A9BF21">
            <w:pPr>
              <w:pStyle w:val="Default"/>
              <w:jc w:val="center"/>
              <w:rPr>
                <w:sz w:val="20"/>
                <w:szCs w:val="20"/>
              </w:rPr>
            </w:pPr>
            <w:r>
              <w:rPr>
                <w:sz w:val="20"/>
                <w:szCs w:val="20"/>
              </w:rPr>
              <w:t>15</w:t>
            </w:r>
          </w:p>
        </w:tc>
        <w:tc>
          <w:tcPr>
            <w:tcW w:w="1333" w:type="dxa"/>
          </w:tcPr>
          <w:p w:rsidR="006C04D1" w:rsidRPr="00051A0F" w:rsidP="006C04D1" w14:paraId="25D313CD" w14:textId="439CC607">
            <w:pPr>
              <w:pStyle w:val="Default"/>
              <w:jc w:val="center"/>
              <w:rPr>
                <w:sz w:val="20"/>
                <w:szCs w:val="20"/>
              </w:rPr>
            </w:pPr>
            <w:r>
              <w:rPr>
                <w:sz w:val="20"/>
                <w:szCs w:val="20"/>
              </w:rPr>
              <w:t>$34.45</w:t>
            </w:r>
          </w:p>
        </w:tc>
        <w:tc>
          <w:tcPr>
            <w:tcW w:w="1263" w:type="dxa"/>
            <w:tcBorders>
              <w:right w:val="single" w:sz="12" w:space="0" w:color="auto"/>
            </w:tcBorders>
          </w:tcPr>
          <w:p w:rsidR="006C04D1" w:rsidRPr="00051A0F" w:rsidP="006C04D1" w14:paraId="2DAB751E" w14:textId="02723525">
            <w:pPr>
              <w:pStyle w:val="Default"/>
              <w:jc w:val="center"/>
              <w:rPr>
                <w:sz w:val="20"/>
                <w:szCs w:val="20"/>
              </w:rPr>
            </w:pPr>
            <w:r w:rsidRPr="007A0F03">
              <w:rPr>
                <w:sz w:val="20"/>
                <w:szCs w:val="20"/>
              </w:rPr>
              <w:t>$516.75</w:t>
            </w:r>
          </w:p>
        </w:tc>
      </w:tr>
      <w:tr w14:paraId="5DBB5971" w14:textId="77777777" w:rsidTr="003841D0">
        <w:tblPrEx>
          <w:tblW w:w="0" w:type="auto"/>
          <w:jc w:val="center"/>
          <w:tblCellMar>
            <w:top w:w="58" w:type="dxa"/>
            <w:bottom w:w="58" w:type="dxa"/>
          </w:tblCellMar>
          <w:tblLook w:val="0620"/>
        </w:tblPrEx>
        <w:trPr>
          <w:jc w:val="center"/>
        </w:trPr>
        <w:tc>
          <w:tcPr>
            <w:tcW w:w="1353" w:type="dxa"/>
            <w:tcBorders>
              <w:left w:val="single" w:sz="12" w:space="0" w:color="auto"/>
            </w:tcBorders>
            <w:vAlign w:val="center"/>
          </w:tcPr>
          <w:p w:rsidR="006C04D1" w:rsidRPr="00051A0F" w:rsidP="006C04D1" w14:paraId="3D4FB2CF" w14:textId="30E76662">
            <w:pPr>
              <w:pStyle w:val="Default"/>
              <w:jc w:val="center"/>
              <w:rPr>
                <w:sz w:val="20"/>
                <w:szCs w:val="20"/>
              </w:rPr>
            </w:pPr>
            <w:r>
              <w:rPr>
                <w:sz w:val="20"/>
                <w:szCs w:val="20"/>
              </w:rPr>
              <w:t>IC3</w:t>
            </w:r>
          </w:p>
        </w:tc>
        <w:tc>
          <w:tcPr>
            <w:tcW w:w="1536" w:type="dxa"/>
          </w:tcPr>
          <w:p w:rsidR="006C04D1" w:rsidRPr="00051A0F" w:rsidP="006C04D1" w14:paraId="358B8ECF" w14:textId="57BEBAE1">
            <w:pPr>
              <w:pStyle w:val="Default"/>
              <w:jc w:val="center"/>
              <w:rPr>
                <w:sz w:val="20"/>
                <w:szCs w:val="20"/>
              </w:rPr>
            </w:pPr>
            <w:r>
              <w:rPr>
                <w:sz w:val="20"/>
                <w:szCs w:val="20"/>
              </w:rPr>
              <w:t>600</w:t>
            </w:r>
          </w:p>
        </w:tc>
        <w:tc>
          <w:tcPr>
            <w:tcW w:w="1469" w:type="dxa"/>
            <w:vAlign w:val="center"/>
          </w:tcPr>
          <w:p w:rsidR="006C04D1" w:rsidP="006C04D1" w14:paraId="45F26C59" w14:textId="61F2D06A">
            <w:pPr>
              <w:pStyle w:val="Default"/>
              <w:jc w:val="center"/>
              <w:rPr>
                <w:sz w:val="20"/>
                <w:szCs w:val="20"/>
              </w:rPr>
            </w:pPr>
            <w:r>
              <w:rPr>
                <w:sz w:val="20"/>
                <w:szCs w:val="20"/>
              </w:rPr>
              <w:t>0.25</w:t>
            </w:r>
          </w:p>
        </w:tc>
        <w:tc>
          <w:tcPr>
            <w:tcW w:w="1348" w:type="dxa"/>
            <w:vAlign w:val="center"/>
          </w:tcPr>
          <w:p w:rsidR="006C04D1" w:rsidP="006C04D1" w14:paraId="00336150" w14:textId="15FDA91B">
            <w:pPr>
              <w:pStyle w:val="Default"/>
              <w:jc w:val="center"/>
              <w:rPr>
                <w:sz w:val="20"/>
                <w:szCs w:val="20"/>
              </w:rPr>
            </w:pPr>
            <w:r>
              <w:rPr>
                <w:sz w:val="20"/>
                <w:szCs w:val="20"/>
              </w:rPr>
              <w:t>150</w:t>
            </w:r>
          </w:p>
        </w:tc>
        <w:tc>
          <w:tcPr>
            <w:tcW w:w="1333" w:type="dxa"/>
            <w:vAlign w:val="center"/>
          </w:tcPr>
          <w:p w:rsidR="006C04D1" w:rsidP="006C04D1" w14:paraId="4E28D868" w14:textId="236B6F1C">
            <w:pPr>
              <w:pStyle w:val="Default"/>
              <w:jc w:val="center"/>
              <w:rPr>
                <w:sz w:val="20"/>
                <w:szCs w:val="20"/>
              </w:rPr>
            </w:pPr>
            <w:r>
              <w:rPr>
                <w:sz w:val="20"/>
                <w:szCs w:val="20"/>
              </w:rPr>
              <w:t>$34.45</w:t>
            </w:r>
          </w:p>
        </w:tc>
        <w:tc>
          <w:tcPr>
            <w:tcW w:w="1263" w:type="dxa"/>
            <w:tcBorders>
              <w:right w:val="single" w:sz="12" w:space="0" w:color="auto"/>
            </w:tcBorders>
            <w:vAlign w:val="center"/>
          </w:tcPr>
          <w:p w:rsidR="006C04D1" w:rsidP="006C04D1" w14:paraId="1002FD47" w14:textId="36867638">
            <w:pPr>
              <w:pStyle w:val="Default"/>
              <w:jc w:val="center"/>
              <w:rPr>
                <w:sz w:val="20"/>
                <w:szCs w:val="20"/>
              </w:rPr>
            </w:pPr>
            <w:r>
              <w:rPr>
                <w:sz w:val="20"/>
                <w:szCs w:val="20"/>
              </w:rPr>
              <w:t>$5,167.50</w:t>
            </w:r>
          </w:p>
        </w:tc>
      </w:tr>
      <w:tr w14:paraId="010875DD" w14:textId="77777777" w:rsidTr="003841D0">
        <w:tblPrEx>
          <w:tblW w:w="0" w:type="auto"/>
          <w:jc w:val="center"/>
          <w:tblCellMar>
            <w:top w:w="58" w:type="dxa"/>
            <w:bottom w:w="58" w:type="dxa"/>
          </w:tblCellMar>
          <w:tblLook w:val="0620"/>
        </w:tblPrEx>
        <w:trPr>
          <w:jc w:val="center"/>
        </w:trPr>
        <w:tc>
          <w:tcPr>
            <w:tcW w:w="1353" w:type="dxa"/>
            <w:tcBorders>
              <w:left w:val="single" w:sz="12" w:space="0" w:color="auto"/>
              <w:bottom w:val="single" w:sz="12" w:space="0" w:color="auto"/>
            </w:tcBorders>
            <w:vAlign w:val="center"/>
          </w:tcPr>
          <w:p w:rsidR="006C04D1" w:rsidRPr="00AF61D2" w:rsidP="00F94D14" w14:paraId="588E579E" w14:textId="2BFBFAEC">
            <w:pPr>
              <w:pStyle w:val="Default"/>
              <w:jc w:val="center"/>
              <w:rPr>
                <w:b/>
                <w:bCs/>
                <w:sz w:val="20"/>
                <w:szCs w:val="20"/>
              </w:rPr>
            </w:pPr>
            <w:r>
              <w:rPr>
                <w:b/>
                <w:bCs/>
                <w:sz w:val="20"/>
                <w:szCs w:val="20"/>
              </w:rPr>
              <w:t>Total</w:t>
            </w:r>
          </w:p>
        </w:tc>
        <w:tc>
          <w:tcPr>
            <w:tcW w:w="1536" w:type="dxa"/>
            <w:tcBorders>
              <w:bottom w:val="single" w:sz="12" w:space="0" w:color="auto"/>
            </w:tcBorders>
            <w:vAlign w:val="center"/>
          </w:tcPr>
          <w:p w:rsidR="006C04D1" w:rsidRPr="00051A0F" w:rsidP="00F94D14" w14:paraId="67C43125" w14:textId="2BD8A138">
            <w:pPr>
              <w:pStyle w:val="Default"/>
              <w:jc w:val="center"/>
              <w:rPr>
                <w:sz w:val="20"/>
                <w:szCs w:val="20"/>
              </w:rPr>
            </w:pPr>
            <w:r>
              <w:rPr>
                <w:sz w:val="20"/>
                <w:szCs w:val="20"/>
              </w:rPr>
              <w:t>720</w:t>
            </w:r>
          </w:p>
        </w:tc>
        <w:tc>
          <w:tcPr>
            <w:tcW w:w="1469" w:type="dxa"/>
            <w:tcBorders>
              <w:bottom w:val="single" w:sz="12" w:space="0" w:color="auto"/>
            </w:tcBorders>
            <w:vAlign w:val="center"/>
          </w:tcPr>
          <w:p w:rsidR="006C04D1" w:rsidRPr="00051A0F" w:rsidP="00F94D14" w14:paraId="6C9E5618" w14:textId="77777777">
            <w:pPr>
              <w:pStyle w:val="Default"/>
              <w:jc w:val="center"/>
              <w:rPr>
                <w:sz w:val="20"/>
                <w:szCs w:val="20"/>
              </w:rPr>
            </w:pPr>
            <w:r w:rsidRPr="00051A0F">
              <w:rPr>
                <w:sz w:val="20"/>
                <w:szCs w:val="20"/>
              </w:rPr>
              <w:t>-</w:t>
            </w:r>
          </w:p>
        </w:tc>
        <w:tc>
          <w:tcPr>
            <w:tcW w:w="1348" w:type="dxa"/>
            <w:tcBorders>
              <w:bottom w:val="single" w:sz="12" w:space="0" w:color="auto"/>
            </w:tcBorders>
            <w:vAlign w:val="center"/>
          </w:tcPr>
          <w:p w:rsidR="006C04D1" w:rsidRPr="00051A0F" w:rsidP="00F94D14" w14:paraId="1159C803" w14:textId="3CF9A976">
            <w:pPr>
              <w:pStyle w:val="Default"/>
              <w:jc w:val="center"/>
              <w:rPr>
                <w:sz w:val="20"/>
                <w:szCs w:val="20"/>
              </w:rPr>
            </w:pPr>
            <w:r>
              <w:rPr>
                <w:sz w:val="20"/>
                <w:szCs w:val="20"/>
              </w:rPr>
              <w:t>180</w:t>
            </w:r>
          </w:p>
        </w:tc>
        <w:tc>
          <w:tcPr>
            <w:tcW w:w="1333" w:type="dxa"/>
            <w:tcBorders>
              <w:bottom w:val="single" w:sz="12" w:space="0" w:color="auto"/>
            </w:tcBorders>
            <w:vAlign w:val="center"/>
          </w:tcPr>
          <w:p w:rsidR="006C04D1" w:rsidRPr="00051A0F" w:rsidP="00F94D14" w14:paraId="3C5AE725" w14:textId="77777777">
            <w:pPr>
              <w:pStyle w:val="Default"/>
              <w:jc w:val="center"/>
              <w:rPr>
                <w:sz w:val="20"/>
                <w:szCs w:val="20"/>
              </w:rPr>
            </w:pPr>
            <w:r w:rsidRPr="00051A0F">
              <w:rPr>
                <w:sz w:val="20"/>
                <w:szCs w:val="20"/>
              </w:rPr>
              <w:t>-</w:t>
            </w:r>
          </w:p>
        </w:tc>
        <w:tc>
          <w:tcPr>
            <w:tcW w:w="1263" w:type="dxa"/>
            <w:tcBorders>
              <w:bottom w:val="single" w:sz="12" w:space="0" w:color="auto"/>
              <w:right w:val="single" w:sz="12" w:space="0" w:color="auto"/>
            </w:tcBorders>
            <w:vAlign w:val="center"/>
          </w:tcPr>
          <w:p w:rsidR="006C04D1" w:rsidRPr="00051A0F" w:rsidP="00F94D14" w14:paraId="066237EF" w14:textId="5F4A9D5F">
            <w:pPr>
              <w:pStyle w:val="Default"/>
              <w:jc w:val="center"/>
              <w:rPr>
                <w:sz w:val="20"/>
                <w:szCs w:val="20"/>
              </w:rPr>
            </w:pPr>
            <w:r>
              <w:rPr>
                <w:sz w:val="20"/>
                <w:szCs w:val="20"/>
              </w:rPr>
              <w:t>$6,201</w:t>
            </w:r>
          </w:p>
        </w:tc>
      </w:tr>
    </w:tbl>
    <w:p w:rsidR="006C04D1" w:rsidP="005333E7" w14:paraId="5DDC6B6F" w14:textId="77777777">
      <w:pPr>
        <w:pStyle w:val="Default"/>
      </w:pPr>
    </w:p>
    <w:p w:rsidR="12A76E4E" w:rsidP="12A76E4E" w14:paraId="77F789E6" w14:textId="1B8DB7AA">
      <w:pPr>
        <w:pStyle w:val="Default"/>
      </w:pPr>
    </w:p>
    <w:p w:rsidR="004E0C8A" w:rsidRPr="0016660B" w:rsidP="00CF7E97" w14:paraId="4D2CED80" w14:textId="77777777">
      <w:pPr>
        <w:pStyle w:val="ListParagraph"/>
        <w:numPr>
          <w:ilvl w:val="0"/>
          <w:numId w:val="3"/>
        </w:numPr>
        <w:rPr>
          <w:b/>
          <w:bCs/>
        </w:rPr>
      </w:pPr>
      <w:r w:rsidRPr="0016660B">
        <w:rPr>
          <w:b/>
          <w:bCs/>
        </w:rPr>
        <w:t>ESTIMATE OF TOTAL ANNUAL COSTS TO RESPONDENTS</w:t>
      </w:r>
      <w:r w:rsidRPr="0016660B">
        <w:rPr>
          <w:b/>
          <w:bCs/>
        </w:rPr>
        <w:br/>
      </w:r>
    </w:p>
    <w:p w:rsidR="004E0C8A" w:rsidRPr="004E0C8A" w:rsidP="00135629" w14:paraId="4C31C387" w14:textId="3B7818BF">
      <w:r w:rsidRPr="004E0C8A">
        <w:t>There are no additional costs to respondents beyond those associated with the hourly burden presented above.</w:t>
      </w:r>
    </w:p>
    <w:p w:rsidR="004E0C8A" w:rsidRPr="0016660B" w:rsidP="00135629" w14:paraId="1D873752" w14:textId="77777777">
      <w:pPr>
        <w:pStyle w:val="NormalWeb"/>
        <w:rPr>
          <w:rFonts w:ascii="Times New Roman" w:hAnsi="Times New Roman" w:cs="Times New Roman"/>
        </w:rPr>
      </w:pPr>
    </w:p>
    <w:p w:rsidR="00C1567E" w:rsidRPr="0016660B" w:rsidP="00CF7E97" w14:paraId="24A5441C" w14:textId="77777777">
      <w:pPr>
        <w:pStyle w:val="ListParagraph"/>
        <w:numPr>
          <w:ilvl w:val="0"/>
          <w:numId w:val="3"/>
        </w:numPr>
        <w:rPr>
          <w:b/>
          <w:bCs/>
        </w:rPr>
      </w:pPr>
      <w:r w:rsidRPr="0016660B">
        <w:rPr>
          <w:b/>
          <w:bCs/>
        </w:rPr>
        <w:t>ESTIMATE OF COST TO THE FEDERAL GOVERNMENT</w:t>
      </w:r>
      <w:r w:rsidRPr="0016660B">
        <w:rPr>
          <w:b/>
          <w:bCs/>
        </w:rPr>
        <w:br/>
      </w:r>
    </w:p>
    <w:p w:rsidR="00FC7098" w:rsidRPr="00860BE7" w:rsidP="002D1629" w14:paraId="2675FE87" w14:textId="35224204">
      <w:pPr>
        <w:pStyle w:val="FMCSAText1"/>
        <w:tabs>
          <w:tab w:val="left" w:pos="360"/>
        </w:tabs>
        <w:spacing w:after="0"/>
      </w:pPr>
      <w:r w:rsidRPr="00860BE7">
        <w:t>Pulsar Informatics is conducting the research</w:t>
      </w:r>
      <w:r w:rsidRPr="00860BE7" w:rsidR="00B66BCA">
        <w:t xml:space="preserve"> described in this ICR under contract with FMCSA.</w:t>
      </w:r>
    </w:p>
    <w:p w:rsidR="002D1629" w:rsidP="002D1629" w14:paraId="7D2821D9" w14:textId="6FBF660E">
      <w:pPr>
        <w:pStyle w:val="FMCSAText1"/>
        <w:tabs>
          <w:tab w:val="left" w:pos="360"/>
        </w:tabs>
        <w:spacing w:after="0"/>
      </w:pPr>
      <w:r>
        <w:t>The total cost for the contract is $1,</w:t>
      </w:r>
      <w:r w:rsidR="0055718E">
        <w:t>793,220</w:t>
      </w:r>
      <w:r>
        <w:t>. This includes the development of the research protocol, participant recruitment, participant payments, executing the study procedures, analyzing the data, and writing the final report. Thus, the total cost to the Federal Government is $1,</w:t>
      </w:r>
      <w:r w:rsidR="0055718E">
        <w:t>793,220</w:t>
      </w:r>
      <w:r>
        <w:t>.</w:t>
      </w:r>
    </w:p>
    <w:p w:rsidR="00BD5420" w:rsidRPr="0016660B" w:rsidP="00135629" w14:paraId="63237292" w14:textId="77777777">
      <w:pPr>
        <w:pStyle w:val="NormalWeb"/>
        <w:rPr>
          <w:rFonts w:ascii="Times New Roman" w:hAnsi="Times New Roman" w:cs="Times New Roman"/>
        </w:rPr>
      </w:pPr>
    </w:p>
    <w:p w:rsidR="00367BDD" w:rsidRPr="0016660B" w:rsidP="00CF7E97" w14:paraId="0FAE51B3" w14:textId="77777777">
      <w:pPr>
        <w:pStyle w:val="ListParagraph"/>
        <w:numPr>
          <w:ilvl w:val="0"/>
          <w:numId w:val="3"/>
        </w:numPr>
        <w:rPr>
          <w:b/>
          <w:bCs/>
        </w:rPr>
      </w:pPr>
      <w:r w:rsidRPr="0016660B">
        <w:rPr>
          <w:b/>
          <w:bCs/>
        </w:rPr>
        <w:t>EXPLANATION OF PROGRAM CHANGES OR ADJUSTMENTS</w:t>
      </w:r>
      <w:r w:rsidRPr="0016660B">
        <w:rPr>
          <w:b/>
          <w:bCs/>
          <w:u w:val="single"/>
        </w:rPr>
        <w:br/>
      </w:r>
    </w:p>
    <w:p w:rsidR="00367BDD" w:rsidRPr="00367BDD" w:rsidP="00135629" w14:paraId="46FC0E2F" w14:textId="260AAE58">
      <w:r w:rsidRPr="00367BDD">
        <w:t>This is a new data information collection.</w:t>
      </w:r>
    </w:p>
    <w:p w:rsidR="00407E96" w:rsidP="00135629" w14:paraId="29D8F92E" w14:textId="77777777"/>
    <w:p w:rsidR="00407E96" w:rsidRPr="005612EB" w:rsidP="00135629" w14:paraId="03DC1582" w14:textId="77777777"/>
    <w:p w:rsidR="009A0853" w:rsidP="00CF7E97" w14:paraId="404973B0" w14:textId="3FA119D5">
      <w:pPr>
        <w:pStyle w:val="ListParagraph"/>
        <w:numPr>
          <w:ilvl w:val="0"/>
          <w:numId w:val="3"/>
        </w:numPr>
      </w:pPr>
      <w:r w:rsidRPr="0016660B">
        <w:rPr>
          <w:b/>
          <w:bCs/>
        </w:rPr>
        <w:t>PUBLICATION OF RESULTS OF DATA COLLECTION</w:t>
      </w:r>
      <w:r w:rsidRPr="0016660B">
        <w:rPr>
          <w:b/>
          <w:bCs/>
        </w:rPr>
        <w:br/>
      </w:r>
    </w:p>
    <w:p w:rsidR="00264A32" w:rsidRPr="00264A32" w:rsidP="00135629" w14:paraId="6DB9D681" w14:textId="32897EF5">
      <w:r>
        <w:t xml:space="preserve">The collection of information will begin shortly after approval is received for this ICR, and the collection will end in 2028. </w:t>
      </w:r>
      <w:r w:rsidRPr="00264A32">
        <w:t xml:space="preserve">The results of this information collection will be documented in a technical report to be delivered to and maintained by FMCSA. </w:t>
      </w:r>
      <w:r w:rsidRPr="00C3635B" w:rsidR="00E37928">
        <w:t xml:space="preserve">To determine </w:t>
      </w:r>
      <w:r w:rsidR="00E37928">
        <w:t xml:space="preserve">the </w:t>
      </w:r>
      <w:r w:rsidRPr="00C3635B" w:rsidR="00E37928">
        <w:t xml:space="preserve">relative risk of crashes and inspection violations based on various factors related to </w:t>
      </w:r>
      <w:r w:rsidR="00E37928">
        <w:t>drivers’</w:t>
      </w:r>
      <w:r w:rsidRPr="00C3635B" w:rsidR="00E37928">
        <w:t xml:space="preserve"> work schedule</w:t>
      </w:r>
      <w:r w:rsidR="00E37928">
        <w:t>s</w:t>
      </w:r>
      <w:r w:rsidRPr="00C3635B" w:rsidR="00E37928">
        <w:t xml:space="preserve"> and demographics, the collected data will be aggregated</w:t>
      </w:r>
      <w:r w:rsidR="00F63EDC">
        <w:t>,</w:t>
      </w:r>
      <w:r w:rsidRPr="00C3635B" w:rsidR="00E37928">
        <w:t xml:space="preserve"> </w:t>
      </w:r>
      <w:r w:rsidR="00E37928">
        <w:t xml:space="preserve">with relevant </w:t>
      </w:r>
      <w:r w:rsidRPr="00C3635B" w:rsidR="00E37928">
        <w:t xml:space="preserve">features extracted. The analysis </w:t>
      </w:r>
      <w:r w:rsidR="008A044A">
        <w:t xml:space="preserve">that will be </w:t>
      </w:r>
      <w:r w:rsidR="00D608DB">
        <w:t>delivered in the</w:t>
      </w:r>
      <w:r w:rsidR="00765A44">
        <w:t xml:space="preserve"> report </w:t>
      </w:r>
      <w:r w:rsidRPr="00C3635B" w:rsidR="00E37928">
        <w:t xml:space="preserve">will be based on a generalized linear regression model (including Poisson and </w:t>
      </w:r>
      <w:r w:rsidR="00E37928">
        <w:t>N</w:t>
      </w:r>
      <w:r w:rsidRPr="00C3635B" w:rsidR="00E37928">
        <w:t xml:space="preserve">egative </w:t>
      </w:r>
      <w:r w:rsidR="00E37928">
        <w:t>B</w:t>
      </w:r>
      <w:r w:rsidRPr="00C3635B" w:rsidR="00E37928">
        <w:t>inomial models) to determine the relative contribution of schedule factors while controlling for any potentially confounding covariates.</w:t>
      </w:r>
      <w:r w:rsidR="00765A44">
        <w:t xml:space="preserve"> </w:t>
      </w:r>
      <w:r w:rsidRPr="00AB4937">
        <w:t>In addition, a public-use data set will be produced for the FMCSA Data Repository and FMCSA website, with no driver identifying information included.</w:t>
      </w:r>
      <w:r w:rsidR="00D33D91">
        <w:t xml:space="preserve"> The research team expects to deliver</w:t>
      </w:r>
      <w:r w:rsidR="00955E7D">
        <w:t xml:space="preserve"> both the technical report and data set to FMCSA</w:t>
      </w:r>
      <w:r w:rsidR="00BA11FC">
        <w:t xml:space="preserve"> </w:t>
      </w:r>
      <w:r w:rsidR="00930794">
        <w:t xml:space="preserve">in 2028, </w:t>
      </w:r>
      <w:r w:rsidR="00BA11FC">
        <w:t>following the conclusion of the project</w:t>
      </w:r>
      <w:r w:rsidR="00A30862">
        <w:t>.</w:t>
      </w:r>
      <w:r w:rsidR="009F4FF5">
        <w:t xml:space="preserve"> </w:t>
      </w:r>
    </w:p>
    <w:p w:rsidR="002D4BEF" w:rsidP="00135629" w14:paraId="6AAF416C" w14:textId="77777777">
      <w:pPr>
        <w:pStyle w:val="BodyText3"/>
      </w:pPr>
    </w:p>
    <w:p w:rsidR="009E2F2D" w:rsidRPr="00FE7FAC" w:rsidP="00135629" w14:paraId="606DC40B" w14:textId="77777777">
      <w:pPr>
        <w:pStyle w:val="BodyText3"/>
      </w:pPr>
    </w:p>
    <w:p w:rsidR="00CB7DB2" w:rsidRPr="0016660B" w:rsidP="00CF7E97" w14:paraId="6E06C4D7" w14:textId="12EF5A70">
      <w:pPr>
        <w:pStyle w:val="BodyText3"/>
        <w:numPr>
          <w:ilvl w:val="0"/>
          <w:numId w:val="3"/>
        </w:numPr>
        <w:rPr>
          <w:b/>
          <w:bCs/>
          <w:color w:val="auto"/>
        </w:rPr>
      </w:pPr>
      <w:r w:rsidRPr="0016660B">
        <w:rPr>
          <w:b/>
          <w:bCs/>
          <w:color w:val="auto"/>
        </w:rPr>
        <w:t>APPROVAL FOR NOT DISPLAYING THE EXPIRATION DATE OF OMB APPROVAL</w:t>
      </w:r>
      <w:r w:rsidRPr="0016660B">
        <w:rPr>
          <w:b/>
          <w:bCs/>
          <w:color w:val="auto"/>
          <w:u w:val="single"/>
        </w:rPr>
        <w:br/>
      </w:r>
    </w:p>
    <w:p w:rsidR="00F63543" w:rsidRPr="0016660B" w:rsidP="00135629" w14:paraId="106B1D98" w14:textId="5B2EAF19">
      <w:pPr>
        <w:pStyle w:val="BodyText3"/>
        <w:rPr>
          <w:color w:val="auto"/>
        </w:rPr>
      </w:pPr>
      <w:r w:rsidRPr="0016660B">
        <w:rPr>
          <w:color w:val="auto"/>
        </w:rPr>
        <w:t>No such approval is being requested.</w:t>
      </w:r>
    </w:p>
    <w:p w:rsidR="00F63543" w:rsidRPr="0016660B" w:rsidP="00135629" w14:paraId="062913D7" w14:textId="77777777">
      <w:pPr>
        <w:pStyle w:val="BodyText3"/>
        <w:rPr>
          <w:color w:val="auto"/>
        </w:rPr>
      </w:pPr>
    </w:p>
    <w:p w:rsidR="00CB7DB2" w:rsidRPr="0016660B" w:rsidP="00135629" w14:paraId="14BA6D0F" w14:textId="77777777">
      <w:pPr>
        <w:pStyle w:val="BodyText3"/>
        <w:rPr>
          <w:color w:val="auto"/>
        </w:rPr>
      </w:pPr>
    </w:p>
    <w:p w:rsidR="00534708" w:rsidRPr="0016660B" w:rsidP="00CF7E97" w14:paraId="4EF6A327" w14:textId="70EAE5C3">
      <w:pPr>
        <w:pStyle w:val="BodyText3"/>
        <w:numPr>
          <w:ilvl w:val="0"/>
          <w:numId w:val="3"/>
        </w:numPr>
        <w:rPr>
          <w:b/>
          <w:bCs/>
          <w:color w:val="auto"/>
          <w:szCs w:val="20"/>
        </w:rPr>
      </w:pPr>
      <w:r w:rsidRPr="0016660B">
        <w:rPr>
          <w:b/>
          <w:bCs/>
          <w:color w:val="auto"/>
        </w:rPr>
        <w:t>EXCEPTIONS TO CERTIFICATION STATEMENT</w:t>
      </w:r>
      <w:r w:rsidRPr="0016660B">
        <w:rPr>
          <w:b/>
          <w:bCs/>
          <w:color w:val="auto"/>
        </w:rPr>
        <w:br/>
      </w:r>
    </w:p>
    <w:p w:rsidR="001F15FC" w:rsidP="001F15FC" w14:paraId="0189257F" w14:textId="7084FDD2">
      <w:r w:rsidRPr="001F15FC">
        <w:t>No exceptions to the certification statement are requested.</w:t>
      </w:r>
    </w:p>
    <w:p w:rsidR="001F15FC" w:rsidP="001F15FC" w14:paraId="19975478" w14:textId="77777777">
      <w:pPr>
        <w:rPr>
          <w:bCs/>
          <w:szCs w:val="20"/>
        </w:rPr>
      </w:pPr>
    </w:p>
    <w:p w:rsidR="00881807" w14:paraId="6CE0B9BD" w14:textId="1CBB1229">
      <w:pPr>
        <w:widowControl/>
        <w:autoSpaceDE/>
        <w:autoSpaceDN/>
        <w:adjustRightInd/>
        <w:rPr>
          <w:b/>
          <w:bCs/>
        </w:rPr>
      </w:pPr>
    </w:p>
    <w:p w:rsidR="0004749E" w:rsidRPr="0016660B" w:rsidP="0016660B" w14:paraId="6D0F3E16" w14:textId="2268E4DC">
      <w:pPr>
        <w:rPr>
          <w:b/>
          <w:bCs/>
        </w:rPr>
      </w:pPr>
      <w:r w:rsidRPr="7BDA782B">
        <w:rPr>
          <w:b/>
          <w:bCs/>
        </w:rPr>
        <w:t>REFERENCES:</w:t>
      </w:r>
    </w:p>
    <w:p w:rsidR="00091DD6" w:rsidP="00CF7E97" w14:paraId="5F0EC51C" w14:textId="471FF5F1">
      <w:pPr>
        <w:pStyle w:val="ListParagraph"/>
        <w:numPr>
          <w:ilvl w:val="0"/>
          <w:numId w:val="1"/>
        </w:numPr>
      </w:pPr>
      <w:r w:rsidRPr="00091DD6">
        <w:t xml:space="preserve">Blanco, </w:t>
      </w:r>
      <w:r>
        <w:t xml:space="preserve">M., </w:t>
      </w:r>
      <w:r w:rsidRPr="00091DD6">
        <w:t>Hanowski, R</w:t>
      </w:r>
      <w:r>
        <w:t>.,</w:t>
      </w:r>
      <w:r w:rsidRPr="00091DD6">
        <w:t xml:space="preserve"> Olson, R</w:t>
      </w:r>
      <w:r>
        <w:t>.,</w:t>
      </w:r>
      <w:r w:rsidRPr="00091DD6">
        <w:t xml:space="preserve"> Morgan, J</w:t>
      </w:r>
      <w:r>
        <w:t>.,</w:t>
      </w:r>
      <w:r w:rsidRPr="00091DD6">
        <w:t xml:space="preserve"> Soccolich, S</w:t>
      </w:r>
      <w:r>
        <w:t>.,</w:t>
      </w:r>
      <w:r w:rsidRPr="00091DD6">
        <w:t xml:space="preserve"> Wu, </w:t>
      </w:r>
      <w:r w:rsidR="0076344A">
        <w:t>S.,</w:t>
      </w:r>
      <w:r w:rsidRPr="00091DD6">
        <w:t xml:space="preserve"> Guo, F. (2011). The Impact of Driving, Non-Driving Work, and Rest Breaks on Driving Performance in Commercial Motor Vehicle Operations.</w:t>
      </w:r>
      <w:r w:rsidR="00A924C2">
        <w:t xml:space="preserve"> </w:t>
      </w:r>
      <w:r w:rsidRPr="00A924C2" w:rsidR="00A924C2">
        <w:t>http://hdl.handle.net/10919/55114</w:t>
      </w:r>
    </w:p>
    <w:p w:rsidR="00D06AED" w:rsidP="00CF7E97" w14:paraId="3BD87BA4" w14:textId="34F232C7">
      <w:pPr>
        <w:pStyle w:val="ListParagraph"/>
        <w:numPr>
          <w:ilvl w:val="0"/>
          <w:numId w:val="1"/>
        </w:numPr>
      </w:pPr>
      <w:bookmarkStart w:id="7" w:name="_Hlk208306342"/>
      <w:r>
        <w:t xml:space="preserve">Federal Motor Carrier Safety Administration. </w:t>
      </w:r>
      <w:r w:rsidR="00E1612E">
        <w:t>2011. Hours of Service of Drivers</w:t>
      </w:r>
      <w:r w:rsidR="002E74D3">
        <w:t xml:space="preserve">: Final Rule. </w:t>
      </w:r>
      <w:r w:rsidR="001A20BE">
        <w:t>Federal Register: 2011-32696.</w:t>
      </w:r>
      <w:bookmarkEnd w:id="7"/>
      <w:r w:rsidR="00A924C2">
        <w:t xml:space="preserve"> </w:t>
      </w:r>
      <w:r w:rsidRPr="00A924C2" w:rsidR="00A924C2">
        <w:t>https://www.federalregister.gov/documents/2011/12/27/2011-32696/hours-of-service-of-drivers</w:t>
      </w:r>
    </w:p>
    <w:p w:rsidR="00091DD6" w:rsidP="00CF7E97" w14:paraId="0A0DF808" w14:textId="1A7CA015">
      <w:pPr>
        <w:pStyle w:val="ListParagraph"/>
        <w:numPr>
          <w:ilvl w:val="0"/>
          <w:numId w:val="1"/>
        </w:numPr>
      </w:pPr>
      <w:r w:rsidRPr="0076344A">
        <w:t>House of Representatives, Congress. (20</w:t>
      </w:r>
      <w:r w:rsidR="00223711">
        <w:t>24</w:t>
      </w:r>
      <w:r w:rsidRPr="0076344A">
        <w:t xml:space="preserve">, </w:t>
      </w:r>
      <w:r w:rsidR="00223711">
        <w:t>January 3</w:t>
      </w:r>
      <w:r w:rsidRPr="0076344A">
        <w:t xml:space="preserve">). 49 U.S.C. 31108 </w:t>
      </w:r>
      <w:r w:rsidR="002F7E14">
        <w:t>–</w:t>
      </w:r>
      <w:r w:rsidRPr="0076344A">
        <w:t xml:space="preserve"> Motor carrier research and technology program. [Government]. U.S. Government Publishing Office. </w:t>
      </w:r>
      <w:r w:rsidRPr="007B24AF" w:rsidR="006C04D1">
        <w:t>https://www</w:t>
      </w:r>
      <w:r w:rsidRPr="00D84B4D" w:rsidR="00D84B4D">
        <w:t>.govinfo.gov/app/details/USCODE-2023-title49/USCODE-2023-title49-subtitleVI-partB-chap311-subchapI-sec31108</w:t>
      </w:r>
    </w:p>
    <w:p w:rsidR="00CC4ED8" w:rsidP="00CF7E97" w14:paraId="10BA5A8E" w14:textId="3A15F8A8">
      <w:pPr>
        <w:pStyle w:val="ListParagraph"/>
        <w:numPr>
          <w:ilvl w:val="0"/>
          <w:numId w:val="1"/>
        </w:numPr>
      </w:pPr>
      <w:r>
        <w:t xml:space="preserve">National Academies of Sciences, Engineering, and Medicine. 2016. </w:t>
      </w:r>
      <w:r w:rsidRPr="0016660B">
        <w:rPr>
          <w:i/>
          <w:iCs/>
        </w:rPr>
        <w:t>Commercial Motor Vehicle Driver Fatigue, Long-Term Health, and Highway Safety: Research Needs</w:t>
      </w:r>
      <w:r>
        <w:t xml:space="preserve">. Washington, DC: The National Academies Press. </w:t>
      </w:r>
      <w:r w:rsidRPr="007B24AF" w:rsidR="006C04D1">
        <w:t>https://doi</w:t>
      </w:r>
      <w:r w:rsidRPr="0016660B">
        <w:t>.org/10.17226/21921</w:t>
      </w:r>
      <w:r>
        <w:t>.</w:t>
      </w:r>
    </w:p>
    <w:p w:rsidR="005F0BE1" w:rsidP="00CF7E97" w14:paraId="43BDAB77" w14:textId="3A79F56B">
      <w:pPr>
        <w:pStyle w:val="ListParagraph"/>
        <w:numPr>
          <w:ilvl w:val="0"/>
          <w:numId w:val="1"/>
        </w:numPr>
      </w:pPr>
      <w:r>
        <w:t>Park SW, Jovanis PP. Hours of Service and Truck Crash Risk</w:t>
      </w:r>
      <w:r w:rsidR="00F676E0">
        <w:t>:</w:t>
      </w:r>
      <w:r>
        <w:t xml:space="preserve"> Findings from Three National US Carriers during 2004. </w:t>
      </w:r>
      <w:r>
        <w:rPr>
          <w:i/>
          <w:iCs/>
        </w:rPr>
        <w:t>Transportation Research Record</w:t>
      </w:r>
      <w:r>
        <w:t>. 2010(2194):3-10.</w:t>
      </w:r>
      <w:r w:rsidR="00A924C2">
        <w:t xml:space="preserve"> </w:t>
      </w:r>
      <w:r w:rsidRPr="00A924C2" w:rsidR="00A924C2">
        <w:t>https://doi.org/10.3141/2194-01</w:t>
      </w:r>
    </w:p>
    <w:p w:rsidR="00C67E0E" w:rsidP="00CF7E97" w14:paraId="6FBAB1B2" w14:textId="53E6E0BD">
      <w:pPr>
        <w:pStyle w:val="ListParagraph"/>
        <w:numPr>
          <w:ilvl w:val="0"/>
          <w:numId w:val="1"/>
        </w:numPr>
      </w:pPr>
      <w:r>
        <w:t>Federal Motor Carrier Safety Administration. 2015. Electronic Logging Device: Final Rule. Federal Register: 2015-31336.</w:t>
      </w:r>
      <w:r w:rsidR="00056164">
        <w:t xml:space="preserve"> </w:t>
      </w:r>
      <w:r w:rsidRPr="00056164" w:rsidR="00056164">
        <w:t>https://www.fmcsa.dot.gov/regulations/federal-register-documents/2015-31336</w:t>
      </w:r>
    </w:p>
    <w:p w:rsidR="00B6090F" w:rsidP="00CF7E97" w14:paraId="2857BC46" w14:textId="1BB966EF">
      <w:pPr>
        <w:pStyle w:val="ListParagraph"/>
        <w:numPr>
          <w:ilvl w:val="0"/>
          <w:numId w:val="1"/>
        </w:numPr>
      </w:pPr>
      <w:r>
        <w:t>US Bureau of Labor Statistics. (202</w:t>
      </w:r>
      <w:r w:rsidR="000E5A4E">
        <w:t>4</w:t>
      </w:r>
      <w:r>
        <w:t xml:space="preserve">). </w:t>
      </w:r>
      <w:r w:rsidRPr="00FD1678">
        <w:t>May 202</w:t>
      </w:r>
      <w:r w:rsidR="000E5A4E">
        <w:t>4</w:t>
      </w:r>
      <w:r w:rsidRPr="00FD1678">
        <w:t xml:space="preserve"> National Occupational Employment and Wage Estimates</w:t>
      </w:r>
      <w:r w:rsidR="001B6F8B">
        <w:t>.</w:t>
      </w:r>
      <w:r w:rsidR="00056164">
        <w:t xml:space="preserve"> </w:t>
      </w:r>
      <w:r w:rsidRPr="00056164" w:rsidR="00056164">
        <w:t>https://www.bls.gov/oes/2024/may/oessrci.htm</w:t>
      </w:r>
    </w:p>
    <w:p w:rsidR="0027620D" w:rsidP="00CF7E97" w14:paraId="3F5F692B" w14:textId="61F0CA11">
      <w:pPr>
        <w:pStyle w:val="ListParagraph"/>
        <w:numPr>
          <w:ilvl w:val="0"/>
          <w:numId w:val="1"/>
        </w:numPr>
      </w:pPr>
      <w:r>
        <w:t xml:space="preserve">US Bureau of Labor Statistics. (2024). </w:t>
      </w:r>
      <w:r w:rsidRPr="0027620D">
        <w:t xml:space="preserve">Employer Costs </w:t>
      </w:r>
      <w:r>
        <w:t>f</w:t>
      </w:r>
      <w:r w:rsidRPr="0027620D">
        <w:t xml:space="preserve">or Employee Compensation </w:t>
      </w:r>
      <w:r w:rsidR="002F7E14">
        <w:t>–</w:t>
      </w:r>
      <w:r>
        <w:t xml:space="preserve"> </w:t>
      </w:r>
      <w:r w:rsidRPr="0027620D">
        <w:t>September 2024</w:t>
      </w:r>
      <w:r>
        <w:t xml:space="preserve">. </w:t>
      </w:r>
      <w:r w:rsidRPr="00056164" w:rsidR="00056164">
        <w:t>https://www.bls.gov/news.release/archives/ecec_12172024.pdf</w:t>
      </w:r>
    </w:p>
    <w:p w:rsidR="006A31BF" w:rsidP="00CF7E97" w14:paraId="235802AA" w14:textId="3E688183">
      <w:pPr>
        <w:pStyle w:val="ListParagraph"/>
        <w:numPr>
          <w:ilvl w:val="0"/>
          <w:numId w:val="1"/>
        </w:numPr>
      </w:pPr>
      <w:r>
        <w:t>Office of Personnel Management. (</w:t>
      </w:r>
      <w:r w:rsidR="00544F73">
        <w:t>2024). 2024 Gener</w:t>
      </w:r>
      <w:r w:rsidR="00955215">
        <w:t>al Schedule (Base) Salary Table.</w:t>
      </w:r>
      <w:r w:rsidR="00056164">
        <w:t xml:space="preserve"> </w:t>
      </w:r>
      <w:r w:rsidRPr="00056164" w:rsidR="00056164">
        <w:t>https://www.opm.gov/policy-data-oversight/pay-leave/salaries-wages/#url=2024</w:t>
      </w:r>
    </w:p>
    <w:p w:rsidR="00430937" w:rsidP="00430937" w14:paraId="2C32559E" w14:textId="77777777"/>
    <w:p w:rsidR="00430937" w:rsidRPr="00860BE7" w:rsidP="00430937" w14:paraId="32A29E29" w14:textId="42D2A1AC">
      <w:pPr>
        <w:rPr>
          <w:b/>
          <w:bCs/>
        </w:rPr>
      </w:pPr>
      <w:r w:rsidRPr="00860BE7">
        <w:rPr>
          <w:b/>
          <w:bCs/>
        </w:rPr>
        <w:t>ATTACHMENTS:</w:t>
      </w:r>
    </w:p>
    <w:p w:rsidR="00430937" w:rsidP="00CF7E97" w14:paraId="7F56B203" w14:textId="77F11341">
      <w:pPr>
        <w:pStyle w:val="ListParagraph"/>
        <w:numPr>
          <w:ilvl w:val="0"/>
          <w:numId w:val="15"/>
        </w:numPr>
      </w:pPr>
      <w:r w:rsidRPr="0076344A">
        <w:t>House of Representatives, Congress. (20</w:t>
      </w:r>
      <w:r>
        <w:t>24</w:t>
      </w:r>
      <w:r w:rsidRPr="0076344A">
        <w:t xml:space="preserve">, </w:t>
      </w:r>
      <w:r>
        <w:t>January 3</w:t>
      </w:r>
      <w:r w:rsidRPr="0076344A">
        <w:t xml:space="preserve">). 49 U.S.C. 31108 </w:t>
      </w:r>
      <w:r w:rsidR="002F7E14">
        <w:t>–</w:t>
      </w:r>
      <w:r w:rsidRPr="0076344A">
        <w:t xml:space="preserve"> Motor carrier research and technology program. [Government]. U.S. Government Publishing Office. </w:t>
      </w:r>
      <w:r w:rsidRPr="007B24AF" w:rsidR="006C04D1">
        <w:t>https://www</w:t>
      </w:r>
      <w:r w:rsidRPr="00860BE7" w:rsidR="000025FF">
        <w:t>.govinfo.gov/app/details/USCODE-2023-title49/USCODE-2023-title49-subtitleVI-partB-chap311-subchapI-sec31108</w:t>
      </w:r>
    </w:p>
    <w:p w:rsidR="000025FF" w:rsidP="00CF7E97" w14:paraId="221DE7DC" w14:textId="77C40986">
      <w:pPr>
        <w:pStyle w:val="ListParagraph"/>
        <w:numPr>
          <w:ilvl w:val="0"/>
          <w:numId w:val="15"/>
        </w:numPr>
      </w:pPr>
      <w:r>
        <w:t>IC1</w:t>
      </w:r>
      <w:r w:rsidR="003B240B">
        <w:t>: HOS duty log data</w:t>
      </w:r>
    </w:p>
    <w:p w:rsidR="000025FF" w:rsidP="00CF7E97" w14:paraId="7054ABF9" w14:textId="391759BF">
      <w:pPr>
        <w:pStyle w:val="ListParagraph"/>
        <w:numPr>
          <w:ilvl w:val="0"/>
          <w:numId w:val="15"/>
        </w:numPr>
      </w:pPr>
      <w:r>
        <w:t>IC2</w:t>
      </w:r>
      <w:r w:rsidR="003B240B">
        <w:t>: Incident and inspection violation data</w:t>
      </w:r>
    </w:p>
    <w:p w:rsidR="000025FF" w:rsidP="00CF7E97" w14:paraId="166838EF" w14:textId="5A47597F">
      <w:pPr>
        <w:pStyle w:val="ListParagraph"/>
        <w:numPr>
          <w:ilvl w:val="0"/>
          <w:numId w:val="15"/>
        </w:numPr>
      </w:pPr>
      <w:r>
        <w:t>IC3</w:t>
      </w:r>
      <w:r w:rsidR="003B240B">
        <w:t>: Driver and carrier demographic data</w:t>
      </w:r>
    </w:p>
    <w:p w:rsidR="00432F5C" w:rsidP="00135629" w14:paraId="7A4E5039" w14:textId="77777777"/>
    <w:p w:rsidR="00091DD6" w:rsidP="00135629" w14:paraId="05FBA833" w14:textId="77777777"/>
    <w:p w:rsidR="00091DD6" w:rsidRPr="00821168" w:rsidP="00135629" w14:paraId="53CF29AC" w14:textId="77777777"/>
    <w:p w:rsidR="00432F5C" w:rsidP="00135629" w14:paraId="4EAE120D" w14:textId="77777777">
      <w:pPr>
        <w:pStyle w:val="NormalWeb"/>
      </w:pPr>
    </w:p>
    <w:p w:rsidR="002A2C85" w:rsidP="00135629" w14:paraId="2D1E21A6" w14:textId="1741DF01">
      <w:pPr>
        <w:rPr>
          <w:rFonts w:eastAsia="Arial Unicode MS"/>
        </w:rPr>
      </w:pPr>
    </w:p>
    <w:sectPr w:rsidSect="009874CD">
      <w:endnotePr>
        <w:numFmt w:val="decimal"/>
      </w:endnotePr>
      <w:type w:val="continuous"/>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769DE" w:rsidP="00135629" w14:paraId="30F64CC4" w14:textId="77777777">
      <w:r>
        <w:separator/>
      </w:r>
    </w:p>
    <w:p w:rsidR="00F769DE" w:rsidP="00135629" w14:paraId="73EBDB7C" w14:textId="77777777"/>
  </w:endnote>
  <w:endnote w:type="continuationSeparator" w:id="1">
    <w:p w:rsidR="00F769DE" w:rsidP="00135629" w14:paraId="2C24841C" w14:textId="77777777">
      <w:r>
        <w:continuationSeparator/>
      </w:r>
    </w:p>
    <w:p w:rsidR="00F769DE" w:rsidP="00135629" w14:paraId="0FECEE42" w14:textId="77777777"/>
  </w:endnote>
  <w:endnote w:type="continuationNotice" w:id="2">
    <w:p w:rsidR="00F769DE" w14:paraId="49F8BE2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69DE" w:rsidP="00135629" w14:paraId="2FBD1A3C" w14:textId="77777777">
      <w:r>
        <w:separator/>
      </w:r>
    </w:p>
    <w:p w:rsidR="00F769DE" w:rsidP="00135629" w14:paraId="04A42B72" w14:textId="77777777"/>
  </w:footnote>
  <w:footnote w:type="continuationSeparator" w:id="1">
    <w:p w:rsidR="00F769DE" w:rsidP="00135629" w14:paraId="4BF402EB" w14:textId="77777777">
      <w:r>
        <w:continuationSeparator/>
      </w:r>
    </w:p>
    <w:p w:rsidR="00F769DE" w:rsidP="00135629" w14:paraId="6B20C211" w14:textId="77777777"/>
  </w:footnote>
  <w:footnote w:type="continuationNotice" w:id="2">
    <w:p w:rsidR="00F769DE" w14:paraId="4656819C" w14:textId="77777777"/>
  </w:footnote>
  <w:footnote w:id="3">
    <w:p w:rsidR="00201E6C" w14:paraId="04D5496C" w14:textId="3E79350C">
      <w:pPr>
        <w:pStyle w:val="FootnoteText"/>
      </w:pPr>
      <w:r>
        <w:rPr>
          <w:rStyle w:val="FootnoteReference"/>
        </w:rPr>
        <w:footnoteRef/>
      </w:r>
      <w:r w:rsidRPr="00201E6C">
        <w:t>Blanco, M., Hanowski, R., Olson, R., Morgan, J., Soccolich, S., Wu, S., Guo, F. (2011). The Impact of Driving, Non-Driving Work, and Rest Breaks on Driving Performance in Commercial Motor Vehicle Operations.</w:t>
      </w:r>
      <w:r w:rsidR="0053068A">
        <w:t xml:space="preserve"> </w:t>
      </w:r>
      <w:r w:rsidRPr="0053068A" w:rsidR="0053068A">
        <w:t>http://hdl.handle.net/10919/55114</w:t>
      </w:r>
    </w:p>
  </w:footnote>
  <w:footnote w:id="4">
    <w:p w:rsidR="00B55301" w14:paraId="37D8ED9C" w14:textId="749C5E78">
      <w:pPr>
        <w:pStyle w:val="FootnoteText"/>
      </w:pPr>
      <w:r>
        <w:rPr>
          <w:rStyle w:val="FootnoteReference"/>
        </w:rPr>
        <w:footnoteRef/>
      </w:r>
      <w:r>
        <w:t xml:space="preserve"> </w:t>
      </w:r>
      <w:r w:rsidRPr="0076344A">
        <w:t>House of Representatives, Congress. (20</w:t>
      </w:r>
      <w:r>
        <w:t>24</w:t>
      </w:r>
      <w:r w:rsidRPr="0076344A">
        <w:t xml:space="preserve">, </w:t>
      </w:r>
      <w:r>
        <w:t>January 3</w:t>
      </w:r>
      <w:r w:rsidRPr="0076344A">
        <w:t xml:space="preserve">). 49 U.S.C. 31108 </w:t>
      </w:r>
      <w:r>
        <w:t>–</w:t>
      </w:r>
      <w:r w:rsidRPr="0076344A">
        <w:t xml:space="preserve"> Motor carrier research and technology program. [Government]. U.S. Government Publishing Office. </w:t>
      </w:r>
      <w:r w:rsidRPr="007B24AF" w:rsidR="00A924C2">
        <w:t>https://www</w:t>
      </w:r>
      <w:r w:rsidRPr="00D84B4D">
        <w:t>.govinfo.gov/app/details/USCODE-2023-title49/USCODE-2023-title49-subtitleVI-partB-chap311-subchapI-sec31108</w:t>
      </w:r>
    </w:p>
  </w:footnote>
  <w:footnote w:id="5">
    <w:p w:rsidR="00B55301" w14:paraId="2AEA703D" w14:textId="2DE11F53">
      <w:pPr>
        <w:pStyle w:val="FootnoteText"/>
      </w:pPr>
      <w:r>
        <w:rPr>
          <w:rStyle w:val="FootnoteReference"/>
        </w:rPr>
        <w:footnoteRef/>
      </w:r>
      <w:r>
        <w:t xml:space="preserve"> National Academies of Sciences, Engineering, and Medicine. 2016. </w:t>
      </w:r>
      <w:r w:rsidRPr="0016660B">
        <w:rPr>
          <w:i/>
          <w:iCs/>
        </w:rPr>
        <w:t>Commercial Motor Vehicle Driver Fatigue, Long-Term Health, and Highway Safety: Research Needs</w:t>
      </w:r>
      <w:r>
        <w:t xml:space="preserve">. Washington, DC: The National Academies Press. </w:t>
      </w:r>
      <w:r w:rsidRPr="007B24AF" w:rsidR="00A924C2">
        <w:t>https://doi</w:t>
      </w:r>
      <w:r w:rsidRPr="0016660B">
        <w:t>.org/10.17226/21921</w:t>
      </w:r>
      <w:r>
        <w:t>.</w:t>
      </w:r>
    </w:p>
  </w:footnote>
  <w:footnote w:id="6">
    <w:p w:rsidR="00545140" w14:paraId="24F282F5" w14:textId="3FFC6FDF">
      <w:pPr>
        <w:pStyle w:val="FootnoteText"/>
      </w:pPr>
      <w:r>
        <w:rPr>
          <w:rStyle w:val="FootnoteReference"/>
        </w:rPr>
        <w:footnoteRef/>
      </w:r>
      <w:r>
        <w:t xml:space="preserve"> Park SW, Jovanis PP. Hours of Service and Truck Crash Risk: Findings from Three National US Carriers during 2004. </w:t>
      </w:r>
      <w:r>
        <w:rPr>
          <w:i/>
          <w:iCs/>
        </w:rPr>
        <w:t>Transportation Research Record</w:t>
      </w:r>
      <w:r>
        <w:t>. 2010(2194):3-10.</w:t>
      </w:r>
    </w:p>
  </w:footnote>
  <w:footnote w:id="7">
    <w:p w:rsidR="00B647EC" w14:paraId="7374AFEF" w14:textId="55D6AC4B">
      <w:pPr>
        <w:pStyle w:val="FootnoteText"/>
      </w:pPr>
      <w:r>
        <w:rPr>
          <w:rStyle w:val="FootnoteReference"/>
        </w:rPr>
        <w:footnoteRef/>
      </w:r>
      <w:r>
        <w:t xml:space="preserve"> Federal Motor Carrier Safety Administration. 2015. Electronic Logging Device: Final Rule. Federal Register: 2015-31336.</w:t>
      </w:r>
    </w:p>
  </w:footnote>
  <w:footnote w:id="8">
    <w:p w:rsidR="00BB14E6" w14:paraId="2AB09475" w14:textId="2226B238">
      <w:pPr>
        <w:pStyle w:val="FootnoteText"/>
      </w:pPr>
      <w:r>
        <w:rPr>
          <w:rStyle w:val="FootnoteReference"/>
        </w:rPr>
        <w:footnoteRef/>
      </w:r>
      <w:r>
        <w:t xml:space="preserve"> US Bureau of Labor Statistics. (2024). </w:t>
      </w:r>
      <w:r w:rsidRPr="00FD1678">
        <w:t>May 202</w:t>
      </w:r>
      <w:r>
        <w:t>4</w:t>
      </w:r>
      <w:r w:rsidRPr="00FD1678">
        <w:t xml:space="preserve"> National Occupational Employment and Wage Estimates</w:t>
      </w:r>
      <w:r>
        <w:t>.</w:t>
      </w:r>
    </w:p>
  </w:footnote>
  <w:footnote w:id="9">
    <w:p w:rsidR="00BB14E6" w14:paraId="71B3A1AA" w14:textId="2599754D">
      <w:pPr>
        <w:pStyle w:val="FootnoteText"/>
      </w:pPr>
      <w:r>
        <w:rPr>
          <w:rStyle w:val="FootnoteReference"/>
        </w:rPr>
        <w:footnoteRef/>
      </w:r>
      <w:r>
        <w:t xml:space="preserve"> US Bureau of Labor Statistics. (2024). </w:t>
      </w:r>
      <w:r w:rsidRPr="0027620D">
        <w:t xml:space="preserve">Employer Costs </w:t>
      </w:r>
      <w:r>
        <w:t>f</w:t>
      </w:r>
      <w:r w:rsidRPr="0027620D">
        <w:t xml:space="preserve">or Employee Compensation </w:t>
      </w:r>
      <w:r>
        <w:t xml:space="preserve">– </w:t>
      </w:r>
      <w:r w:rsidRPr="0027620D">
        <w:t>September 2024</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D64D5"/>
    <w:multiLevelType w:val="hybridMultilevel"/>
    <w:tmpl w:val="22161F0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3F2471"/>
    <w:multiLevelType w:val="hybridMultilevel"/>
    <w:tmpl w:val="9C3A04D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265A142D"/>
    <w:multiLevelType w:val="hybridMultilevel"/>
    <w:tmpl w:val="BE2ACB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045BB3"/>
    <w:multiLevelType w:val="hybridMultilevel"/>
    <w:tmpl w:val="D72A0C6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D26517"/>
    <w:multiLevelType w:val="multilevel"/>
    <w:tmpl w:val="DC1A640A"/>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3B852BBA"/>
    <w:multiLevelType w:val="hybridMultilevel"/>
    <w:tmpl w:val="9F202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6A08F7"/>
    <w:multiLevelType w:val="hybridMultilevel"/>
    <w:tmpl w:val="2E8893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D5903ED"/>
    <w:multiLevelType w:val="hybridMultilevel"/>
    <w:tmpl w:val="7032B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00010A"/>
    <w:multiLevelType w:val="hybridMultilevel"/>
    <w:tmpl w:val="44781D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87648CA"/>
    <w:multiLevelType w:val="hybridMultilevel"/>
    <w:tmpl w:val="71BA4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80B1F52"/>
    <w:multiLevelType w:val="hybridMultilevel"/>
    <w:tmpl w:val="89A04312"/>
    <w:lvl w:ilvl="0">
      <w:start w:val="1"/>
      <w:numFmt w:val="upperLetter"/>
      <w:lvlText w:val="%1."/>
      <w:lvlJc w:val="left"/>
      <w:pPr>
        <w:tabs>
          <w:tab w:val="num" w:pos="360"/>
        </w:tabs>
        <w:ind w:left="360" w:hanging="360"/>
      </w:pPr>
      <w:rPr>
        <w:rFonts w:hint="default"/>
      </w:rPr>
    </w:lvl>
    <w:lvl w:ilvl="1">
      <w:start w:val="1"/>
      <w:numFmt w:val="upperLetter"/>
      <w:lvlText w:val="%2."/>
      <w:lvlJc w:val="left"/>
      <w:pPr>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7E060422"/>
    <w:multiLevelType w:val="hybridMultilevel"/>
    <w:tmpl w:val="B3183624"/>
    <w:lvl w:ilvl="0">
      <w:start w:val="1"/>
      <w:numFmt w:val="decimal"/>
      <w:lvlText w:val="%1."/>
      <w:lvlJc w:val="left"/>
      <w:pPr>
        <w:tabs>
          <w:tab w:val="num" w:pos="360"/>
        </w:tabs>
        <w:ind w:left="360" w:hanging="360"/>
      </w:pPr>
      <w:rPr>
        <w:rFonts w:hint="default"/>
      </w:rPr>
    </w:lvl>
    <w:lvl w:ilvl="1">
      <w:start w:val="1"/>
      <w:numFmt w:val="upperLetter"/>
      <w:lvlText w:val="%2."/>
      <w:lvlJc w:val="left"/>
      <w:pPr>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7E125754"/>
    <w:multiLevelType w:val="hybridMultilevel"/>
    <w:tmpl w:val="F1ACE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B10FB0"/>
    <w:multiLevelType w:val="hybridMultilevel"/>
    <w:tmpl w:val="5AA4A526"/>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26213699">
    <w:abstractNumId w:val="11"/>
  </w:num>
  <w:num w:numId="2" w16cid:durableId="972102336">
    <w:abstractNumId w:val="13"/>
  </w:num>
  <w:num w:numId="3" w16cid:durableId="1942567777">
    <w:abstractNumId w:val="14"/>
  </w:num>
  <w:num w:numId="4" w16cid:durableId="925765400">
    <w:abstractNumId w:val="4"/>
  </w:num>
  <w:num w:numId="5" w16cid:durableId="560529628">
    <w:abstractNumId w:val="2"/>
  </w:num>
  <w:num w:numId="6" w16cid:durableId="435293334">
    <w:abstractNumId w:val="0"/>
  </w:num>
  <w:num w:numId="7" w16cid:durableId="910116654">
    <w:abstractNumId w:val="3"/>
  </w:num>
  <w:num w:numId="8" w16cid:durableId="749160801">
    <w:abstractNumId w:val="7"/>
  </w:num>
  <w:num w:numId="9" w16cid:durableId="1534417437">
    <w:abstractNumId w:val="6"/>
  </w:num>
  <w:num w:numId="10" w16cid:durableId="1091315483">
    <w:abstractNumId w:val="9"/>
  </w:num>
  <w:num w:numId="11" w16cid:durableId="1966350326">
    <w:abstractNumId w:val="8"/>
  </w:num>
  <w:num w:numId="12" w16cid:durableId="994574877">
    <w:abstractNumId w:val="5"/>
  </w:num>
  <w:num w:numId="13" w16cid:durableId="1967152167">
    <w:abstractNumId w:val="12"/>
  </w:num>
  <w:num w:numId="14" w16cid:durableId="1038554305">
    <w:abstractNumId w:val="1"/>
  </w:num>
  <w:num w:numId="15" w16cid:durableId="105161316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2E8"/>
    <w:rsid w:val="00000A8D"/>
    <w:rsid w:val="0000110A"/>
    <w:rsid w:val="000018C8"/>
    <w:rsid w:val="0000194A"/>
    <w:rsid w:val="0000233B"/>
    <w:rsid w:val="000023E6"/>
    <w:rsid w:val="000025FF"/>
    <w:rsid w:val="00003C53"/>
    <w:rsid w:val="00004427"/>
    <w:rsid w:val="000054C7"/>
    <w:rsid w:val="00005E37"/>
    <w:rsid w:val="000060E1"/>
    <w:rsid w:val="000063A1"/>
    <w:rsid w:val="00006677"/>
    <w:rsid w:val="00007404"/>
    <w:rsid w:val="000075CC"/>
    <w:rsid w:val="00012861"/>
    <w:rsid w:val="00015365"/>
    <w:rsid w:val="00015BC3"/>
    <w:rsid w:val="000169F7"/>
    <w:rsid w:val="000174B3"/>
    <w:rsid w:val="000175AD"/>
    <w:rsid w:val="000200B1"/>
    <w:rsid w:val="00020AD6"/>
    <w:rsid w:val="00020FFC"/>
    <w:rsid w:val="00021391"/>
    <w:rsid w:val="00021551"/>
    <w:rsid w:val="00022714"/>
    <w:rsid w:val="00022B71"/>
    <w:rsid w:val="00022C53"/>
    <w:rsid w:val="0002345E"/>
    <w:rsid w:val="00024AF3"/>
    <w:rsid w:val="0002509F"/>
    <w:rsid w:val="00025314"/>
    <w:rsid w:val="00026A08"/>
    <w:rsid w:val="00026D3B"/>
    <w:rsid w:val="00030880"/>
    <w:rsid w:val="00030F06"/>
    <w:rsid w:val="00032FFA"/>
    <w:rsid w:val="00033030"/>
    <w:rsid w:val="000360B2"/>
    <w:rsid w:val="000366E7"/>
    <w:rsid w:val="00037A7B"/>
    <w:rsid w:val="00040044"/>
    <w:rsid w:val="00040B5D"/>
    <w:rsid w:val="00040B79"/>
    <w:rsid w:val="00040ECC"/>
    <w:rsid w:val="00041797"/>
    <w:rsid w:val="0004284C"/>
    <w:rsid w:val="00042854"/>
    <w:rsid w:val="0004369B"/>
    <w:rsid w:val="00044752"/>
    <w:rsid w:val="0004749E"/>
    <w:rsid w:val="00047BF4"/>
    <w:rsid w:val="00051A0F"/>
    <w:rsid w:val="00052985"/>
    <w:rsid w:val="00053277"/>
    <w:rsid w:val="00053AF5"/>
    <w:rsid w:val="00054AE7"/>
    <w:rsid w:val="00056164"/>
    <w:rsid w:val="000569F0"/>
    <w:rsid w:val="00057873"/>
    <w:rsid w:val="00057B24"/>
    <w:rsid w:val="0006084B"/>
    <w:rsid w:val="000609AB"/>
    <w:rsid w:val="00063A03"/>
    <w:rsid w:val="00063EC2"/>
    <w:rsid w:val="00066011"/>
    <w:rsid w:val="00067EAF"/>
    <w:rsid w:val="00070AEE"/>
    <w:rsid w:val="00072F19"/>
    <w:rsid w:val="00073FD1"/>
    <w:rsid w:val="00076278"/>
    <w:rsid w:val="0007777C"/>
    <w:rsid w:val="00077FC2"/>
    <w:rsid w:val="00081643"/>
    <w:rsid w:val="000825EA"/>
    <w:rsid w:val="0008270D"/>
    <w:rsid w:val="0008287A"/>
    <w:rsid w:val="00083937"/>
    <w:rsid w:val="00084561"/>
    <w:rsid w:val="0008535B"/>
    <w:rsid w:val="000856E1"/>
    <w:rsid w:val="0008638D"/>
    <w:rsid w:val="00086E9A"/>
    <w:rsid w:val="0009024E"/>
    <w:rsid w:val="00090793"/>
    <w:rsid w:val="00091DD6"/>
    <w:rsid w:val="00094088"/>
    <w:rsid w:val="00094904"/>
    <w:rsid w:val="00094B2B"/>
    <w:rsid w:val="00094CCD"/>
    <w:rsid w:val="00095F91"/>
    <w:rsid w:val="00096582"/>
    <w:rsid w:val="00096AE5"/>
    <w:rsid w:val="00096BEB"/>
    <w:rsid w:val="0009729C"/>
    <w:rsid w:val="000A0FB1"/>
    <w:rsid w:val="000A1BB0"/>
    <w:rsid w:val="000A2DAD"/>
    <w:rsid w:val="000A2FA6"/>
    <w:rsid w:val="000A3CF2"/>
    <w:rsid w:val="000A507E"/>
    <w:rsid w:val="000A524A"/>
    <w:rsid w:val="000A572C"/>
    <w:rsid w:val="000A64A2"/>
    <w:rsid w:val="000B0BDC"/>
    <w:rsid w:val="000B0EB3"/>
    <w:rsid w:val="000B13F7"/>
    <w:rsid w:val="000B20A8"/>
    <w:rsid w:val="000B349B"/>
    <w:rsid w:val="000B5AA6"/>
    <w:rsid w:val="000B5B2A"/>
    <w:rsid w:val="000B69F1"/>
    <w:rsid w:val="000B78DA"/>
    <w:rsid w:val="000B7C93"/>
    <w:rsid w:val="000B7E48"/>
    <w:rsid w:val="000C07B0"/>
    <w:rsid w:val="000C3CC6"/>
    <w:rsid w:val="000C418F"/>
    <w:rsid w:val="000C4FA3"/>
    <w:rsid w:val="000C6002"/>
    <w:rsid w:val="000C7126"/>
    <w:rsid w:val="000D1072"/>
    <w:rsid w:val="000D2A0F"/>
    <w:rsid w:val="000D3BB6"/>
    <w:rsid w:val="000D4D9D"/>
    <w:rsid w:val="000D4DFF"/>
    <w:rsid w:val="000D6202"/>
    <w:rsid w:val="000D64CE"/>
    <w:rsid w:val="000D64E9"/>
    <w:rsid w:val="000D68EE"/>
    <w:rsid w:val="000E34F3"/>
    <w:rsid w:val="000E368F"/>
    <w:rsid w:val="000E46FE"/>
    <w:rsid w:val="000E5A4E"/>
    <w:rsid w:val="000E6D17"/>
    <w:rsid w:val="000E7CDB"/>
    <w:rsid w:val="000F0014"/>
    <w:rsid w:val="000F023E"/>
    <w:rsid w:val="000F1F52"/>
    <w:rsid w:val="000F2E09"/>
    <w:rsid w:val="000F3968"/>
    <w:rsid w:val="000F3B88"/>
    <w:rsid w:val="000F3E80"/>
    <w:rsid w:val="000F5926"/>
    <w:rsid w:val="000F64F6"/>
    <w:rsid w:val="000F6A36"/>
    <w:rsid w:val="000F6F76"/>
    <w:rsid w:val="000F7115"/>
    <w:rsid w:val="000F753D"/>
    <w:rsid w:val="000F7FCE"/>
    <w:rsid w:val="00100AEB"/>
    <w:rsid w:val="00101491"/>
    <w:rsid w:val="00101D0C"/>
    <w:rsid w:val="0010238E"/>
    <w:rsid w:val="00102BA6"/>
    <w:rsid w:val="001030A0"/>
    <w:rsid w:val="00103851"/>
    <w:rsid w:val="00104B73"/>
    <w:rsid w:val="00105037"/>
    <w:rsid w:val="00105C96"/>
    <w:rsid w:val="00105F8E"/>
    <w:rsid w:val="00106F68"/>
    <w:rsid w:val="00110E19"/>
    <w:rsid w:val="00111196"/>
    <w:rsid w:val="00112BA2"/>
    <w:rsid w:val="00112F28"/>
    <w:rsid w:val="001135E9"/>
    <w:rsid w:val="00115FA4"/>
    <w:rsid w:val="0011775B"/>
    <w:rsid w:val="0011777B"/>
    <w:rsid w:val="0012055D"/>
    <w:rsid w:val="001209DA"/>
    <w:rsid w:val="00121C07"/>
    <w:rsid w:val="001235FF"/>
    <w:rsid w:val="001237AA"/>
    <w:rsid w:val="00124A09"/>
    <w:rsid w:val="00124AE8"/>
    <w:rsid w:val="00124BEB"/>
    <w:rsid w:val="0012650E"/>
    <w:rsid w:val="0012685A"/>
    <w:rsid w:val="00127567"/>
    <w:rsid w:val="00130BF5"/>
    <w:rsid w:val="00130EC3"/>
    <w:rsid w:val="00132568"/>
    <w:rsid w:val="00132859"/>
    <w:rsid w:val="00132BEB"/>
    <w:rsid w:val="00132CFF"/>
    <w:rsid w:val="001332CB"/>
    <w:rsid w:val="00135629"/>
    <w:rsid w:val="00135B04"/>
    <w:rsid w:val="00135B50"/>
    <w:rsid w:val="00136007"/>
    <w:rsid w:val="00137145"/>
    <w:rsid w:val="001372F7"/>
    <w:rsid w:val="00140AA0"/>
    <w:rsid w:val="00140D3B"/>
    <w:rsid w:val="00141A3A"/>
    <w:rsid w:val="00141B09"/>
    <w:rsid w:val="00141DB2"/>
    <w:rsid w:val="001444F0"/>
    <w:rsid w:val="00144957"/>
    <w:rsid w:val="0014504D"/>
    <w:rsid w:val="00145CFB"/>
    <w:rsid w:val="00146D78"/>
    <w:rsid w:val="0014788D"/>
    <w:rsid w:val="00150998"/>
    <w:rsid w:val="00150D89"/>
    <w:rsid w:val="0015186E"/>
    <w:rsid w:val="00152C82"/>
    <w:rsid w:val="00152DCE"/>
    <w:rsid w:val="00153289"/>
    <w:rsid w:val="00154B21"/>
    <w:rsid w:val="00156262"/>
    <w:rsid w:val="001579B2"/>
    <w:rsid w:val="001603F9"/>
    <w:rsid w:val="00161025"/>
    <w:rsid w:val="00161258"/>
    <w:rsid w:val="00162BCC"/>
    <w:rsid w:val="00164D69"/>
    <w:rsid w:val="00165690"/>
    <w:rsid w:val="001657A2"/>
    <w:rsid w:val="0016632E"/>
    <w:rsid w:val="0016660B"/>
    <w:rsid w:val="001677E3"/>
    <w:rsid w:val="001700B9"/>
    <w:rsid w:val="001706B3"/>
    <w:rsid w:val="00170A01"/>
    <w:rsid w:val="00171133"/>
    <w:rsid w:val="00171484"/>
    <w:rsid w:val="00171CE4"/>
    <w:rsid w:val="0017350E"/>
    <w:rsid w:val="001735F8"/>
    <w:rsid w:val="00174EF6"/>
    <w:rsid w:val="0017628C"/>
    <w:rsid w:val="00176A76"/>
    <w:rsid w:val="00182B6A"/>
    <w:rsid w:val="00182DF6"/>
    <w:rsid w:val="0018558C"/>
    <w:rsid w:val="00186E6C"/>
    <w:rsid w:val="00187154"/>
    <w:rsid w:val="00190B44"/>
    <w:rsid w:val="00190E17"/>
    <w:rsid w:val="00190ECE"/>
    <w:rsid w:val="00191832"/>
    <w:rsid w:val="00193121"/>
    <w:rsid w:val="00193956"/>
    <w:rsid w:val="00194A83"/>
    <w:rsid w:val="00195ED7"/>
    <w:rsid w:val="001A15B0"/>
    <w:rsid w:val="001A20BE"/>
    <w:rsid w:val="001A275E"/>
    <w:rsid w:val="001A3C29"/>
    <w:rsid w:val="001A47A3"/>
    <w:rsid w:val="001A6165"/>
    <w:rsid w:val="001A7C4D"/>
    <w:rsid w:val="001B239D"/>
    <w:rsid w:val="001B2DA3"/>
    <w:rsid w:val="001B5ED3"/>
    <w:rsid w:val="001B6092"/>
    <w:rsid w:val="001B65B6"/>
    <w:rsid w:val="001B6F8B"/>
    <w:rsid w:val="001B7498"/>
    <w:rsid w:val="001C1D9C"/>
    <w:rsid w:val="001C298B"/>
    <w:rsid w:val="001C2B34"/>
    <w:rsid w:val="001C51AA"/>
    <w:rsid w:val="001C53FD"/>
    <w:rsid w:val="001C576F"/>
    <w:rsid w:val="001C592C"/>
    <w:rsid w:val="001C5FA3"/>
    <w:rsid w:val="001C658E"/>
    <w:rsid w:val="001C6ECA"/>
    <w:rsid w:val="001C79D2"/>
    <w:rsid w:val="001D0416"/>
    <w:rsid w:val="001D1424"/>
    <w:rsid w:val="001D34E0"/>
    <w:rsid w:val="001D393C"/>
    <w:rsid w:val="001D4111"/>
    <w:rsid w:val="001D69ED"/>
    <w:rsid w:val="001D7CE3"/>
    <w:rsid w:val="001D7F6F"/>
    <w:rsid w:val="001E0720"/>
    <w:rsid w:val="001E2E5A"/>
    <w:rsid w:val="001E3CD3"/>
    <w:rsid w:val="001E3F50"/>
    <w:rsid w:val="001E45C1"/>
    <w:rsid w:val="001E687B"/>
    <w:rsid w:val="001E7304"/>
    <w:rsid w:val="001F0516"/>
    <w:rsid w:val="001F0CFC"/>
    <w:rsid w:val="001F156A"/>
    <w:rsid w:val="001F15FC"/>
    <w:rsid w:val="001F2374"/>
    <w:rsid w:val="001F27D0"/>
    <w:rsid w:val="001F3100"/>
    <w:rsid w:val="001F4370"/>
    <w:rsid w:val="001F4D9D"/>
    <w:rsid w:val="001F51C9"/>
    <w:rsid w:val="001F569B"/>
    <w:rsid w:val="001F5794"/>
    <w:rsid w:val="001F6508"/>
    <w:rsid w:val="001F7032"/>
    <w:rsid w:val="001F7822"/>
    <w:rsid w:val="0020079D"/>
    <w:rsid w:val="00201D50"/>
    <w:rsid w:val="00201E6C"/>
    <w:rsid w:val="00202395"/>
    <w:rsid w:val="00202AB1"/>
    <w:rsid w:val="00203E07"/>
    <w:rsid w:val="00205170"/>
    <w:rsid w:val="00206565"/>
    <w:rsid w:val="0021161C"/>
    <w:rsid w:val="00211A50"/>
    <w:rsid w:val="00212FCD"/>
    <w:rsid w:val="00213250"/>
    <w:rsid w:val="002134DA"/>
    <w:rsid w:val="00214128"/>
    <w:rsid w:val="002144E7"/>
    <w:rsid w:val="00215229"/>
    <w:rsid w:val="002155F2"/>
    <w:rsid w:val="00215785"/>
    <w:rsid w:val="0021593D"/>
    <w:rsid w:val="0021595C"/>
    <w:rsid w:val="00216BA1"/>
    <w:rsid w:val="00217075"/>
    <w:rsid w:val="0021737F"/>
    <w:rsid w:val="0022080B"/>
    <w:rsid w:val="0022097E"/>
    <w:rsid w:val="00220E2F"/>
    <w:rsid w:val="00221C4A"/>
    <w:rsid w:val="00221C99"/>
    <w:rsid w:val="0022297B"/>
    <w:rsid w:val="00223711"/>
    <w:rsid w:val="002249EB"/>
    <w:rsid w:val="00224A3C"/>
    <w:rsid w:val="002255DC"/>
    <w:rsid w:val="00225D3C"/>
    <w:rsid w:val="00226E62"/>
    <w:rsid w:val="00232348"/>
    <w:rsid w:val="00234F88"/>
    <w:rsid w:val="00235442"/>
    <w:rsid w:val="002354D8"/>
    <w:rsid w:val="00235672"/>
    <w:rsid w:val="00240262"/>
    <w:rsid w:val="00241AC1"/>
    <w:rsid w:val="00242F90"/>
    <w:rsid w:val="00243650"/>
    <w:rsid w:val="002448D4"/>
    <w:rsid w:val="00245115"/>
    <w:rsid w:val="00245419"/>
    <w:rsid w:val="002459A3"/>
    <w:rsid w:val="00250CB4"/>
    <w:rsid w:val="00250FA6"/>
    <w:rsid w:val="00251E86"/>
    <w:rsid w:val="002522E8"/>
    <w:rsid w:val="00253A84"/>
    <w:rsid w:val="002546AE"/>
    <w:rsid w:val="00254A86"/>
    <w:rsid w:val="00254DC5"/>
    <w:rsid w:val="00255297"/>
    <w:rsid w:val="00255EF2"/>
    <w:rsid w:val="002562C3"/>
    <w:rsid w:val="00260B8D"/>
    <w:rsid w:val="002613D6"/>
    <w:rsid w:val="002614E3"/>
    <w:rsid w:val="00263E60"/>
    <w:rsid w:val="002641DC"/>
    <w:rsid w:val="002647FC"/>
    <w:rsid w:val="00264A32"/>
    <w:rsid w:val="0026586F"/>
    <w:rsid w:val="00265A91"/>
    <w:rsid w:val="002672FA"/>
    <w:rsid w:val="00267FE0"/>
    <w:rsid w:val="002702ED"/>
    <w:rsid w:val="00270675"/>
    <w:rsid w:val="00270C7C"/>
    <w:rsid w:val="00272414"/>
    <w:rsid w:val="00272668"/>
    <w:rsid w:val="00272BD7"/>
    <w:rsid w:val="00273AA6"/>
    <w:rsid w:val="00273E9E"/>
    <w:rsid w:val="002741A1"/>
    <w:rsid w:val="0027620D"/>
    <w:rsid w:val="00276C1F"/>
    <w:rsid w:val="002825BE"/>
    <w:rsid w:val="00283BE4"/>
    <w:rsid w:val="0028502F"/>
    <w:rsid w:val="00285280"/>
    <w:rsid w:val="002870F6"/>
    <w:rsid w:val="0028754D"/>
    <w:rsid w:val="00287DF3"/>
    <w:rsid w:val="0029061E"/>
    <w:rsid w:val="00290709"/>
    <w:rsid w:val="0029100F"/>
    <w:rsid w:val="00291387"/>
    <w:rsid w:val="0029166D"/>
    <w:rsid w:val="00291893"/>
    <w:rsid w:val="00291EC6"/>
    <w:rsid w:val="0029212D"/>
    <w:rsid w:val="0029422F"/>
    <w:rsid w:val="002949B0"/>
    <w:rsid w:val="002965FA"/>
    <w:rsid w:val="00296612"/>
    <w:rsid w:val="002966EE"/>
    <w:rsid w:val="00296701"/>
    <w:rsid w:val="002968E2"/>
    <w:rsid w:val="00296CEB"/>
    <w:rsid w:val="00296F1B"/>
    <w:rsid w:val="002A021E"/>
    <w:rsid w:val="002A17DA"/>
    <w:rsid w:val="002A2018"/>
    <w:rsid w:val="002A288E"/>
    <w:rsid w:val="002A298F"/>
    <w:rsid w:val="002A2C85"/>
    <w:rsid w:val="002A3DE5"/>
    <w:rsid w:val="002A3E0B"/>
    <w:rsid w:val="002A557F"/>
    <w:rsid w:val="002A5BCC"/>
    <w:rsid w:val="002B01D6"/>
    <w:rsid w:val="002B0755"/>
    <w:rsid w:val="002B095F"/>
    <w:rsid w:val="002B0F02"/>
    <w:rsid w:val="002B1F7B"/>
    <w:rsid w:val="002B2081"/>
    <w:rsid w:val="002B4210"/>
    <w:rsid w:val="002B433B"/>
    <w:rsid w:val="002B50B3"/>
    <w:rsid w:val="002B5776"/>
    <w:rsid w:val="002B66F5"/>
    <w:rsid w:val="002B75DB"/>
    <w:rsid w:val="002C160E"/>
    <w:rsid w:val="002C1C45"/>
    <w:rsid w:val="002C1DF7"/>
    <w:rsid w:val="002C4DD9"/>
    <w:rsid w:val="002C6721"/>
    <w:rsid w:val="002C7C60"/>
    <w:rsid w:val="002D1629"/>
    <w:rsid w:val="002D1F64"/>
    <w:rsid w:val="002D20BA"/>
    <w:rsid w:val="002D2774"/>
    <w:rsid w:val="002D2945"/>
    <w:rsid w:val="002D2DF8"/>
    <w:rsid w:val="002D344E"/>
    <w:rsid w:val="002D42C7"/>
    <w:rsid w:val="002D4BEF"/>
    <w:rsid w:val="002D4C05"/>
    <w:rsid w:val="002D4F6A"/>
    <w:rsid w:val="002D6FC2"/>
    <w:rsid w:val="002E13F4"/>
    <w:rsid w:val="002E20A3"/>
    <w:rsid w:val="002E24F5"/>
    <w:rsid w:val="002E312F"/>
    <w:rsid w:val="002E35E2"/>
    <w:rsid w:val="002E3CED"/>
    <w:rsid w:val="002E4C18"/>
    <w:rsid w:val="002E4EA2"/>
    <w:rsid w:val="002E661C"/>
    <w:rsid w:val="002E6DA6"/>
    <w:rsid w:val="002E74D3"/>
    <w:rsid w:val="002F0816"/>
    <w:rsid w:val="002F108F"/>
    <w:rsid w:val="002F1639"/>
    <w:rsid w:val="002F4280"/>
    <w:rsid w:val="002F4B57"/>
    <w:rsid w:val="002F55E8"/>
    <w:rsid w:val="002F565E"/>
    <w:rsid w:val="002F5777"/>
    <w:rsid w:val="002F58C7"/>
    <w:rsid w:val="002F63E8"/>
    <w:rsid w:val="002F6858"/>
    <w:rsid w:val="002F699E"/>
    <w:rsid w:val="002F6D37"/>
    <w:rsid w:val="002F6F9D"/>
    <w:rsid w:val="002F7449"/>
    <w:rsid w:val="002F7E14"/>
    <w:rsid w:val="00300C3B"/>
    <w:rsid w:val="00301247"/>
    <w:rsid w:val="00306633"/>
    <w:rsid w:val="003073ED"/>
    <w:rsid w:val="00310D0C"/>
    <w:rsid w:val="0031210A"/>
    <w:rsid w:val="003126CD"/>
    <w:rsid w:val="003133C7"/>
    <w:rsid w:val="00313607"/>
    <w:rsid w:val="00317466"/>
    <w:rsid w:val="003209CB"/>
    <w:rsid w:val="00325642"/>
    <w:rsid w:val="00325E97"/>
    <w:rsid w:val="00327E85"/>
    <w:rsid w:val="0033035C"/>
    <w:rsid w:val="0033123F"/>
    <w:rsid w:val="003324DB"/>
    <w:rsid w:val="00332A50"/>
    <w:rsid w:val="00332CEA"/>
    <w:rsid w:val="00333ADB"/>
    <w:rsid w:val="003340D8"/>
    <w:rsid w:val="00335515"/>
    <w:rsid w:val="00335A8A"/>
    <w:rsid w:val="00335B84"/>
    <w:rsid w:val="003404FC"/>
    <w:rsid w:val="00340553"/>
    <w:rsid w:val="00340C8A"/>
    <w:rsid w:val="0034138F"/>
    <w:rsid w:val="0034237D"/>
    <w:rsid w:val="003425ED"/>
    <w:rsid w:val="00343A9D"/>
    <w:rsid w:val="00343C29"/>
    <w:rsid w:val="00344383"/>
    <w:rsid w:val="00344A11"/>
    <w:rsid w:val="00345F9C"/>
    <w:rsid w:val="0034629C"/>
    <w:rsid w:val="00346352"/>
    <w:rsid w:val="00346389"/>
    <w:rsid w:val="0034671A"/>
    <w:rsid w:val="00347AFC"/>
    <w:rsid w:val="00350433"/>
    <w:rsid w:val="00350DED"/>
    <w:rsid w:val="00351207"/>
    <w:rsid w:val="00353B9D"/>
    <w:rsid w:val="00353C80"/>
    <w:rsid w:val="00355628"/>
    <w:rsid w:val="00361B4D"/>
    <w:rsid w:val="00364920"/>
    <w:rsid w:val="00364BD4"/>
    <w:rsid w:val="003652B5"/>
    <w:rsid w:val="003657E2"/>
    <w:rsid w:val="00367BDD"/>
    <w:rsid w:val="003718C9"/>
    <w:rsid w:val="003745FB"/>
    <w:rsid w:val="003750A5"/>
    <w:rsid w:val="00376E83"/>
    <w:rsid w:val="00376F89"/>
    <w:rsid w:val="003778A9"/>
    <w:rsid w:val="003814CD"/>
    <w:rsid w:val="00381A6D"/>
    <w:rsid w:val="00383CF1"/>
    <w:rsid w:val="003841D0"/>
    <w:rsid w:val="003846A3"/>
    <w:rsid w:val="00384BE7"/>
    <w:rsid w:val="00385590"/>
    <w:rsid w:val="00387BFA"/>
    <w:rsid w:val="00387CBD"/>
    <w:rsid w:val="00387CF1"/>
    <w:rsid w:val="003907D1"/>
    <w:rsid w:val="0039150B"/>
    <w:rsid w:val="00393132"/>
    <w:rsid w:val="003936ED"/>
    <w:rsid w:val="00394AB7"/>
    <w:rsid w:val="0039512D"/>
    <w:rsid w:val="00395229"/>
    <w:rsid w:val="003963F7"/>
    <w:rsid w:val="00396448"/>
    <w:rsid w:val="00396D03"/>
    <w:rsid w:val="00396E40"/>
    <w:rsid w:val="00397304"/>
    <w:rsid w:val="003A04DD"/>
    <w:rsid w:val="003A06F9"/>
    <w:rsid w:val="003A1D67"/>
    <w:rsid w:val="003A2649"/>
    <w:rsid w:val="003A2FBF"/>
    <w:rsid w:val="003A37E5"/>
    <w:rsid w:val="003A43F8"/>
    <w:rsid w:val="003A581B"/>
    <w:rsid w:val="003A624C"/>
    <w:rsid w:val="003A6353"/>
    <w:rsid w:val="003A6B35"/>
    <w:rsid w:val="003A6BDE"/>
    <w:rsid w:val="003A7EB8"/>
    <w:rsid w:val="003B048E"/>
    <w:rsid w:val="003B1EA4"/>
    <w:rsid w:val="003B1F8B"/>
    <w:rsid w:val="003B240B"/>
    <w:rsid w:val="003B3221"/>
    <w:rsid w:val="003B3C91"/>
    <w:rsid w:val="003B437B"/>
    <w:rsid w:val="003B47CC"/>
    <w:rsid w:val="003B4A76"/>
    <w:rsid w:val="003C0692"/>
    <w:rsid w:val="003C1424"/>
    <w:rsid w:val="003C312E"/>
    <w:rsid w:val="003C4596"/>
    <w:rsid w:val="003C52E8"/>
    <w:rsid w:val="003D04AD"/>
    <w:rsid w:val="003D1F1F"/>
    <w:rsid w:val="003D28BE"/>
    <w:rsid w:val="003D2DDF"/>
    <w:rsid w:val="003D4D2E"/>
    <w:rsid w:val="003D550F"/>
    <w:rsid w:val="003D5D67"/>
    <w:rsid w:val="003E0274"/>
    <w:rsid w:val="003E455C"/>
    <w:rsid w:val="003E5177"/>
    <w:rsid w:val="003E6FF8"/>
    <w:rsid w:val="003E7F3B"/>
    <w:rsid w:val="003F1C83"/>
    <w:rsid w:val="003F2A13"/>
    <w:rsid w:val="003F35B6"/>
    <w:rsid w:val="003F3B11"/>
    <w:rsid w:val="003F5B6E"/>
    <w:rsid w:val="003F61C8"/>
    <w:rsid w:val="003F6FDC"/>
    <w:rsid w:val="004019AB"/>
    <w:rsid w:val="00401C4C"/>
    <w:rsid w:val="00403B10"/>
    <w:rsid w:val="00403D01"/>
    <w:rsid w:val="0040458E"/>
    <w:rsid w:val="00405114"/>
    <w:rsid w:val="004052A4"/>
    <w:rsid w:val="00405A86"/>
    <w:rsid w:val="004060EC"/>
    <w:rsid w:val="0040625D"/>
    <w:rsid w:val="00407392"/>
    <w:rsid w:val="00407E96"/>
    <w:rsid w:val="00410509"/>
    <w:rsid w:val="00414CBA"/>
    <w:rsid w:val="00414D22"/>
    <w:rsid w:val="00414F55"/>
    <w:rsid w:val="0042028C"/>
    <w:rsid w:val="0042158B"/>
    <w:rsid w:val="0042388E"/>
    <w:rsid w:val="0042404A"/>
    <w:rsid w:val="00424426"/>
    <w:rsid w:val="0042589C"/>
    <w:rsid w:val="0042640E"/>
    <w:rsid w:val="00427F10"/>
    <w:rsid w:val="00430199"/>
    <w:rsid w:val="004308FA"/>
    <w:rsid w:val="00430937"/>
    <w:rsid w:val="00430D0F"/>
    <w:rsid w:val="00432730"/>
    <w:rsid w:val="00432BD5"/>
    <w:rsid w:val="00432F5C"/>
    <w:rsid w:val="004334BF"/>
    <w:rsid w:val="00433D49"/>
    <w:rsid w:val="00434260"/>
    <w:rsid w:val="00434DAE"/>
    <w:rsid w:val="00436347"/>
    <w:rsid w:val="004412BE"/>
    <w:rsid w:val="0044507B"/>
    <w:rsid w:val="00445D83"/>
    <w:rsid w:val="00450033"/>
    <w:rsid w:val="004509CF"/>
    <w:rsid w:val="004510BE"/>
    <w:rsid w:val="004541F7"/>
    <w:rsid w:val="00454E31"/>
    <w:rsid w:val="00456E52"/>
    <w:rsid w:val="004608EA"/>
    <w:rsid w:val="00461961"/>
    <w:rsid w:val="004635A3"/>
    <w:rsid w:val="0046407C"/>
    <w:rsid w:val="004640FA"/>
    <w:rsid w:val="00464744"/>
    <w:rsid w:val="004651C0"/>
    <w:rsid w:val="004663A9"/>
    <w:rsid w:val="004679D5"/>
    <w:rsid w:val="00467BB6"/>
    <w:rsid w:val="00470192"/>
    <w:rsid w:val="00470720"/>
    <w:rsid w:val="00470C06"/>
    <w:rsid w:val="00471153"/>
    <w:rsid w:val="004715DE"/>
    <w:rsid w:val="00472090"/>
    <w:rsid w:val="0047565D"/>
    <w:rsid w:val="00476E20"/>
    <w:rsid w:val="00480D9C"/>
    <w:rsid w:val="00481BAB"/>
    <w:rsid w:val="00481E45"/>
    <w:rsid w:val="00482397"/>
    <w:rsid w:val="00483B68"/>
    <w:rsid w:val="00484D28"/>
    <w:rsid w:val="004851F4"/>
    <w:rsid w:val="00485FCF"/>
    <w:rsid w:val="004862B0"/>
    <w:rsid w:val="0048748A"/>
    <w:rsid w:val="00491371"/>
    <w:rsid w:val="00491EEC"/>
    <w:rsid w:val="00492232"/>
    <w:rsid w:val="00492834"/>
    <w:rsid w:val="00493F53"/>
    <w:rsid w:val="00495328"/>
    <w:rsid w:val="004953C2"/>
    <w:rsid w:val="004956F9"/>
    <w:rsid w:val="004957DC"/>
    <w:rsid w:val="00497057"/>
    <w:rsid w:val="00497FA4"/>
    <w:rsid w:val="004A145D"/>
    <w:rsid w:val="004A3040"/>
    <w:rsid w:val="004A42D9"/>
    <w:rsid w:val="004A448E"/>
    <w:rsid w:val="004A6A00"/>
    <w:rsid w:val="004B0B42"/>
    <w:rsid w:val="004B12B4"/>
    <w:rsid w:val="004B15F2"/>
    <w:rsid w:val="004B1EA7"/>
    <w:rsid w:val="004B275F"/>
    <w:rsid w:val="004B3A62"/>
    <w:rsid w:val="004B4485"/>
    <w:rsid w:val="004B6753"/>
    <w:rsid w:val="004C27A7"/>
    <w:rsid w:val="004C3C3E"/>
    <w:rsid w:val="004C4BD0"/>
    <w:rsid w:val="004C55B3"/>
    <w:rsid w:val="004C5A1B"/>
    <w:rsid w:val="004C60F6"/>
    <w:rsid w:val="004D0040"/>
    <w:rsid w:val="004D0E9D"/>
    <w:rsid w:val="004D3405"/>
    <w:rsid w:val="004D359A"/>
    <w:rsid w:val="004D4BB4"/>
    <w:rsid w:val="004D5328"/>
    <w:rsid w:val="004D5EB2"/>
    <w:rsid w:val="004E0C8A"/>
    <w:rsid w:val="004E2674"/>
    <w:rsid w:val="004E3A6E"/>
    <w:rsid w:val="004E4EA7"/>
    <w:rsid w:val="004E5E0E"/>
    <w:rsid w:val="004E7256"/>
    <w:rsid w:val="004E7814"/>
    <w:rsid w:val="004F0098"/>
    <w:rsid w:val="004F1DB6"/>
    <w:rsid w:val="004F1ED4"/>
    <w:rsid w:val="004F32BC"/>
    <w:rsid w:val="004F330C"/>
    <w:rsid w:val="004F3473"/>
    <w:rsid w:val="004F3C08"/>
    <w:rsid w:val="004F3E6C"/>
    <w:rsid w:val="004F3ED2"/>
    <w:rsid w:val="004F4503"/>
    <w:rsid w:val="004F5988"/>
    <w:rsid w:val="004F6D04"/>
    <w:rsid w:val="00501691"/>
    <w:rsid w:val="00501FC4"/>
    <w:rsid w:val="0050401D"/>
    <w:rsid w:val="00504B3A"/>
    <w:rsid w:val="00504E6E"/>
    <w:rsid w:val="00506D50"/>
    <w:rsid w:val="00507869"/>
    <w:rsid w:val="005114C1"/>
    <w:rsid w:val="0051327E"/>
    <w:rsid w:val="00514749"/>
    <w:rsid w:val="00515433"/>
    <w:rsid w:val="00515ABD"/>
    <w:rsid w:val="00517938"/>
    <w:rsid w:val="00517EF0"/>
    <w:rsid w:val="00520193"/>
    <w:rsid w:val="0052260B"/>
    <w:rsid w:val="00523C9A"/>
    <w:rsid w:val="0053068A"/>
    <w:rsid w:val="00530748"/>
    <w:rsid w:val="005324AE"/>
    <w:rsid w:val="005333E7"/>
    <w:rsid w:val="00533424"/>
    <w:rsid w:val="00534708"/>
    <w:rsid w:val="005370C9"/>
    <w:rsid w:val="005414D7"/>
    <w:rsid w:val="00541845"/>
    <w:rsid w:val="00544F73"/>
    <w:rsid w:val="00545140"/>
    <w:rsid w:val="005461A5"/>
    <w:rsid w:val="00547038"/>
    <w:rsid w:val="00547C08"/>
    <w:rsid w:val="005512E8"/>
    <w:rsid w:val="00552ED8"/>
    <w:rsid w:val="00552FEC"/>
    <w:rsid w:val="0055521F"/>
    <w:rsid w:val="0055585B"/>
    <w:rsid w:val="00557018"/>
    <w:rsid w:val="0055718E"/>
    <w:rsid w:val="005607BD"/>
    <w:rsid w:val="00560C18"/>
    <w:rsid w:val="005612EB"/>
    <w:rsid w:val="0056212E"/>
    <w:rsid w:val="00562E18"/>
    <w:rsid w:val="00563D1C"/>
    <w:rsid w:val="00565E89"/>
    <w:rsid w:val="0056611A"/>
    <w:rsid w:val="005664FC"/>
    <w:rsid w:val="00567B63"/>
    <w:rsid w:val="00570269"/>
    <w:rsid w:val="0057059A"/>
    <w:rsid w:val="0057158A"/>
    <w:rsid w:val="0057210E"/>
    <w:rsid w:val="005730FF"/>
    <w:rsid w:val="005737CA"/>
    <w:rsid w:val="005737FC"/>
    <w:rsid w:val="00574F5F"/>
    <w:rsid w:val="00575A3B"/>
    <w:rsid w:val="005775E0"/>
    <w:rsid w:val="00577883"/>
    <w:rsid w:val="00583B3F"/>
    <w:rsid w:val="00584499"/>
    <w:rsid w:val="00584B97"/>
    <w:rsid w:val="00585AF5"/>
    <w:rsid w:val="00585F92"/>
    <w:rsid w:val="005866A8"/>
    <w:rsid w:val="0058694C"/>
    <w:rsid w:val="00587CFF"/>
    <w:rsid w:val="0059015C"/>
    <w:rsid w:val="005908EE"/>
    <w:rsid w:val="00590D1F"/>
    <w:rsid w:val="005923AC"/>
    <w:rsid w:val="0059284C"/>
    <w:rsid w:val="0059328C"/>
    <w:rsid w:val="005935A3"/>
    <w:rsid w:val="005948FA"/>
    <w:rsid w:val="00596BAD"/>
    <w:rsid w:val="005972E0"/>
    <w:rsid w:val="00597613"/>
    <w:rsid w:val="00597C98"/>
    <w:rsid w:val="005A0BB7"/>
    <w:rsid w:val="005A189B"/>
    <w:rsid w:val="005A39CB"/>
    <w:rsid w:val="005A3E46"/>
    <w:rsid w:val="005A431F"/>
    <w:rsid w:val="005A478F"/>
    <w:rsid w:val="005A7591"/>
    <w:rsid w:val="005A76EB"/>
    <w:rsid w:val="005A7FDC"/>
    <w:rsid w:val="005B08C2"/>
    <w:rsid w:val="005B1137"/>
    <w:rsid w:val="005B201F"/>
    <w:rsid w:val="005B279A"/>
    <w:rsid w:val="005B34D5"/>
    <w:rsid w:val="005B3AB8"/>
    <w:rsid w:val="005B3B2E"/>
    <w:rsid w:val="005B4366"/>
    <w:rsid w:val="005B5891"/>
    <w:rsid w:val="005B74A7"/>
    <w:rsid w:val="005C09B8"/>
    <w:rsid w:val="005C0CFC"/>
    <w:rsid w:val="005C28B3"/>
    <w:rsid w:val="005C3538"/>
    <w:rsid w:val="005C37DC"/>
    <w:rsid w:val="005C3A5A"/>
    <w:rsid w:val="005D0247"/>
    <w:rsid w:val="005D0D0E"/>
    <w:rsid w:val="005D1373"/>
    <w:rsid w:val="005D400E"/>
    <w:rsid w:val="005E0C78"/>
    <w:rsid w:val="005E19A9"/>
    <w:rsid w:val="005E3F62"/>
    <w:rsid w:val="005E5A87"/>
    <w:rsid w:val="005F0BE1"/>
    <w:rsid w:val="005F1AC2"/>
    <w:rsid w:val="005F2C88"/>
    <w:rsid w:val="005F43EF"/>
    <w:rsid w:val="005F5A33"/>
    <w:rsid w:val="005F6AC7"/>
    <w:rsid w:val="00601851"/>
    <w:rsid w:val="0060285E"/>
    <w:rsid w:val="00602A89"/>
    <w:rsid w:val="00602BDE"/>
    <w:rsid w:val="00602C70"/>
    <w:rsid w:val="0060318A"/>
    <w:rsid w:val="00605AC6"/>
    <w:rsid w:val="00612529"/>
    <w:rsid w:val="006133EA"/>
    <w:rsid w:val="006146B9"/>
    <w:rsid w:val="006163B0"/>
    <w:rsid w:val="006168C0"/>
    <w:rsid w:val="00617A88"/>
    <w:rsid w:val="006209F5"/>
    <w:rsid w:val="00620E3E"/>
    <w:rsid w:val="0062188C"/>
    <w:rsid w:val="00623696"/>
    <w:rsid w:val="006244E7"/>
    <w:rsid w:val="00624928"/>
    <w:rsid w:val="006269A3"/>
    <w:rsid w:val="00626BF1"/>
    <w:rsid w:val="00627B06"/>
    <w:rsid w:val="00627B38"/>
    <w:rsid w:val="00627EE2"/>
    <w:rsid w:val="00627FA0"/>
    <w:rsid w:val="00630F53"/>
    <w:rsid w:val="0063201F"/>
    <w:rsid w:val="00635C31"/>
    <w:rsid w:val="00637438"/>
    <w:rsid w:val="006412D0"/>
    <w:rsid w:val="00642777"/>
    <w:rsid w:val="00643159"/>
    <w:rsid w:val="006433F7"/>
    <w:rsid w:val="00643865"/>
    <w:rsid w:val="0064418F"/>
    <w:rsid w:val="00645288"/>
    <w:rsid w:val="00647066"/>
    <w:rsid w:val="0064744B"/>
    <w:rsid w:val="006513D4"/>
    <w:rsid w:val="00652E13"/>
    <w:rsid w:val="006532DD"/>
    <w:rsid w:val="00656E8B"/>
    <w:rsid w:val="00656EB5"/>
    <w:rsid w:val="00661D0D"/>
    <w:rsid w:val="00661EAD"/>
    <w:rsid w:val="0066212C"/>
    <w:rsid w:val="0066372E"/>
    <w:rsid w:val="00667266"/>
    <w:rsid w:val="00670458"/>
    <w:rsid w:val="00670AAE"/>
    <w:rsid w:val="006735EF"/>
    <w:rsid w:val="006766B4"/>
    <w:rsid w:val="00681B2A"/>
    <w:rsid w:val="00681CA3"/>
    <w:rsid w:val="00682E25"/>
    <w:rsid w:val="006838BA"/>
    <w:rsid w:val="00683FAA"/>
    <w:rsid w:val="00684E45"/>
    <w:rsid w:val="00684E9B"/>
    <w:rsid w:val="00686EE0"/>
    <w:rsid w:val="00690111"/>
    <w:rsid w:val="006916BE"/>
    <w:rsid w:val="00692354"/>
    <w:rsid w:val="00692ED6"/>
    <w:rsid w:val="006938D5"/>
    <w:rsid w:val="00695124"/>
    <w:rsid w:val="006971E6"/>
    <w:rsid w:val="006A0F5B"/>
    <w:rsid w:val="006A2A4D"/>
    <w:rsid w:val="006A2F64"/>
    <w:rsid w:val="006A31BF"/>
    <w:rsid w:val="006A4E9F"/>
    <w:rsid w:val="006A53B2"/>
    <w:rsid w:val="006A77FD"/>
    <w:rsid w:val="006B1834"/>
    <w:rsid w:val="006B29D7"/>
    <w:rsid w:val="006B3E50"/>
    <w:rsid w:val="006B5A33"/>
    <w:rsid w:val="006B5C1D"/>
    <w:rsid w:val="006B5D2B"/>
    <w:rsid w:val="006B5F15"/>
    <w:rsid w:val="006B6BF6"/>
    <w:rsid w:val="006C04D1"/>
    <w:rsid w:val="006C04E0"/>
    <w:rsid w:val="006C12FD"/>
    <w:rsid w:val="006C14B4"/>
    <w:rsid w:val="006C19F0"/>
    <w:rsid w:val="006C22EE"/>
    <w:rsid w:val="006C2A80"/>
    <w:rsid w:val="006C5755"/>
    <w:rsid w:val="006C64DD"/>
    <w:rsid w:val="006C6FED"/>
    <w:rsid w:val="006C714E"/>
    <w:rsid w:val="006C755B"/>
    <w:rsid w:val="006D0627"/>
    <w:rsid w:val="006D37D1"/>
    <w:rsid w:val="006D3BAD"/>
    <w:rsid w:val="006D4701"/>
    <w:rsid w:val="006D6CF6"/>
    <w:rsid w:val="006D74C7"/>
    <w:rsid w:val="006D7ABB"/>
    <w:rsid w:val="006E0380"/>
    <w:rsid w:val="006E0651"/>
    <w:rsid w:val="006E19E1"/>
    <w:rsid w:val="006E2377"/>
    <w:rsid w:val="006E26FA"/>
    <w:rsid w:val="006E3862"/>
    <w:rsid w:val="006E3E48"/>
    <w:rsid w:val="006E4F47"/>
    <w:rsid w:val="006E5364"/>
    <w:rsid w:val="006E658E"/>
    <w:rsid w:val="006E6E6B"/>
    <w:rsid w:val="006E7DA5"/>
    <w:rsid w:val="006E7E0C"/>
    <w:rsid w:val="006F0797"/>
    <w:rsid w:val="006F20B0"/>
    <w:rsid w:val="006F2717"/>
    <w:rsid w:val="006F2AF0"/>
    <w:rsid w:val="006F2AF9"/>
    <w:rsid w:val="006F30FE"/>
    <w:rsid w:val="006F3950"/>
    <w:rsid w:val="006F3E39"/>
    <w:rsid w:val="006F6824"/>
    <w:rsid w:val="006F6ED7"/>
    <w:rsid w:val="006F73D4"/>
    <w:rsid w:val="00700920"/>
    <w:rsid w:val="0070251A"/>
    <w:rsid w:val="00702BB8"/>
    <w:rsid w:val="00702EB8"/>
    <w:rsid w:val="00703970"/>
    <w:rsid w:val="00704CEC"/>
    <w:rsid w:val="00704E70"/>
    <w:rsid w:val="007104B7"/>
    <w:rsid w:val="0071146E"/>
    <w:rsid w:val="00712C4F"/>
    <w:rsid w:val="00714900"/>
    <w:rsid w:val="007157C1"/>
    <w:rsid w:val="007157DA"/>
    <w:rsid w:val="00715FCE"/>
    <w:rsid w:val="007174ED"/>
    <w:rsid w:val="007206CF"/>
    <w:rsid w:val="00721223"/>
    <w:rsid w:val="0072201E"/>
    <w:rsid w:val="00723E8F"/>
    <w:rsid w:val="00724538"/>
    <w:rsid w:val="00725830"/>
    <w:rsid w:val="007262B4"/>
    <w:rsid w:val="00726A3D"/>
    <w:rsid w:val="00727B4C"/>
    <w:rsid w:val="00727CDE"/>
    <w:rsid w:val="007307A6"/>
    <w:rsid w:val="007307F9"/>
    <w:rsid w:val="0073094D"/>
    <w:rsid w:val="00731741"/>
    <w:rsid w:val="007319C5"/>
    <w:rsid w:val="007330C2"/>
    <w:rsid w:val="007331F0"/>
    <w:rsid w:val="007339A4"/>
    <w:rsid w:val="00733A62"/>
    <w:rsid w:val="00734039"/>
    <w:rsid w:val="007340D9"/>
    <w:rsid w:val="0073635F"/>
    <w:rsid w:val="00736999"/>
    <w:rsid w:val="00737153"/>
    <w:rsid w:val="007408D2"/>
    <w:rsid w:val="007410EF"/>
    <w:rsid w:val="007411B2"/>
    <w:rsid w:val="00742798"/>
    <w:rsid w:val="00743275"/>
    <w:rsid w:val="00744B57"/>
    <w:rsid w:val="00744E45"/>
    <w:rsid w:val="00745144"/>
    <w:rsid w:val="00746BB1"/>
    <w:rsid w:val="0075019C"/>
    <w:rsid w:val="00750F58"/>
    <w:rsid w:val="007529F2"/>
    <w:rsid w:val="00753D73"/>
    <w:rsid w:val="007540F8"/>
    <w:rsid w:val="00754FAD"/>
    <w:rsid w:val="00756C55"/>
    <w:rsid w:val="00760196"/>
    <w:rsid w:val="0076344A"/>
    <w:rsid w:val="00765A44"/>
    <w:rsid w:val="00765F8B"/>
    <w:rsid w:val="0076731D"/>
    <w:rsid w:val="00767697"/>
    <w:rsid w:val="0076781D"/>
    <w:rsid w:val="00767F9F"/>
    <w:rsid w:val="0077032C"/>
    <w:rsid w:val="00771B5B"/>
    <w:rsid w:val="00773767"/>
    <w:rsid w:val="00774014"/>
    <w:rsid w:val="007746AD"/>
    <w:rsid w:val="0077493F"/>
    <w:rsid w:val="00775CEC"/>
    <w:rsid w:val="00777EE0"/>
    <w:rsid w:val="007821E7"/>
    <w:rsid w:val="0078261C"/>
    <w:rsid w:val="00782C82"/>
    <w:rsid w:val="00783985"/>
    <w:rsid w:val="00785445"/>
    <w:rsid w:val="0078568E"/>
    <w:rsid w:val="0079074B"/>
    <w:rsid w:val="007909AB"/>
    <w:rsid w:val="00790C67"/>
    <w:rsid w:val="00791ED4"/>
    <w:rsid w:val="00791FA0"/>
    <w:rsid w:val="007933C6"/>
    <w:rsid w:val="00794BA3"/>
    <w:rsid w:val="00794E03"/>
    <w:rsid w:val="0079608F"/>
    <w:rsid w:val="00797F09"/>
    <w:rsid w:val="007A0C27"/>
    <w:rsid w:val="007A0D4C"/>
    <w:rsid w:val="007A0F03"/>
    <w:rsid w:val="007A3313"/>
    <w:rsid w:val="007A4E25"/>
    <w:rsid w:val="007A54CC"/>
    <w:rsid w:val="007A6223"/>
    <w:rsid w:val="007A6C9B"/>
    <w:rsid w:val="007A7FD0"/>
    <w:rsid w:val="007B0ADB"/>
    <w:rsid w:val="007B1715"/>
    <w:rsid w:val="007B24AF"/>
    <w:rsid w:val="007B2A8C"/>
    <w:rsid w:val="007B2D46"/>
    <w:rsid w:val="007B2FDF"/>
    <w:rsid w:val="007B3273"/>
    <w:rsid w:val="007B3FE9"/>
    <w:rsid w:val="007B5992"/>
    <w:rsid w:val="007B620F"/>
    <w:rsid w:val="007B76D6"/>
    <w:rsid w:val="007B7D4E"/>
    <w:rsid w:val="007C0787"/>
    <w:rsid w:val="007C13E9"/>
    <w:rsid w:val="007C29F7"/>
    <w:rsid w:val="007C325A"/>
    <w:rsid w:val="007C47B9"/>
    <w:rsid w:val="007C55D8"/>
    <w:rsid w:val="007C6B14"/>
    <w:rsid w:val="007C79BA"/>
    <w:rsid w:val="007D25CC"/>
    <w:rsid w:val="007D4B43"/>
    <w:rsid w:val="007D4E69"/>
    <w:rsid w:val="007D571E"/>
    <w:rsid w:val="007E0166"/>
    <w:rsid w:val="007E0DA2"/>
    <w:rsid w:val="007E1060"/>
    <w:rsid w:val="007E2F23"/>
    <w:rsid w:val="007E2FD1"/>
    <w:rsid w:val="007E493C"/>
    <w:rsid w:val="007E6ADC"/>
    <w:rsid w:val="007E7242"/>
    <w:rsid w:val="007F1FB6"/>
    <w:rsid w:val="007F2B73"/>
    <w:rsid w:val="007F3401"/>
    <w:rsid w:val="007F3AC1"/>
    <w:rsid w:val="007F3D47"/>
    <w:rsid w:val="007F4A8C"/>
    <w:rsid w:val="007F65F7"/>
    <w:rsid w:val="007F738F"/>
    <w:rsid w:val="007F799E"/>
    <w:rsid w:val="00800B56"/>
    <w:rsid w:val="00803431"/>
    <w:rsid w:val="00803923"/>
    <w:rsid w:val="008055F5"/>
    <w:rsid w:val="0081053F"/>
    <w:rsid w:val="0081190A"/>
    <w:rsid w:val="00811C34"/>
    <w:rsid w:val="00814804"/>
    <w:rsid w:val="00814BB8"/>
    <w:rsid w:val="008158B3"/>
    <w:rsid w:val="008170CF"/>
    <w:rsid w:val="0081739B"/>
    <w:rsid w:val="00817A65"/>
    <w:rsid w:val="00820EB7"/>
    <w:rsid w:val="00821168"/>
    <w:rsid w:val="00821BF2"/>
    <w:rsid w:val="00821EC2"/>
    <w:rsid w:val="00824DD5"/>
    <w:rsid w:val="00824F59"/>
    <w:rsid w:val="0082646F"/>
    <w:rsid w:val="00830E92"/>
    <w:rsid w:val="00830F5D"/>
    <w:rsid w:val="00832C21"/>
    <w:rsid w:val="00832CFF"/>
    <w:rsid w:val="008340E0"/>
    <w:rsid w:val="00834176"/>
    <w:rsid w:val="00834ACC"/>
    <w:rsid w:val="008358E6"/>
    <w:rsid w:val="00836CE9"/>
    <w:rsid w:val="00836DAD"/>
    <w:rsid w:val="008370FB"/>
    <w:rsid w:val="00837AB4"/>
    <w:rsid w:val="00841CB3"/>
    <w:rsid w:val="00841DF6"/>
    <w:rsid w:val="008441B7"/>
    <w:rsid w:val="00844B9B"/>
    <w:rsid w:val="008450C9"/>
    <w:rsid w:val="008450F8"/>
    <w:rsid w:val="00847623"/>
    <w:rsid w:val="0084787E"/>
    <w:rsid w:val="00850614"/>
    <w:rsid w:val="00850995"/>
    <w:rsid w:val="0085176A"/>
    <w:rsid w:val="00852AC7"/>
    <w:rsid w:val="008532CE"/>
    <w:rsid w:val="00856349"/>
    <w:rsid w:val="00857929"/>
    <w:rsid w:val="00857A27"/>
    <w:rsid w:val="00857EEB"/>
    <w:rsid w:val="00860BE7"/>
    <w:rsid w:val="00862EB8"/>
    <w:rsid w:val="00863509"/>
    <w:rsid w:val="00866D6D"/>
    <w:rsid w:val="00867478"/>
    <w:rsid w:val="008701F2"/>
    <w:rsid w:val="00872171"/>
    <w:rsid w:val="00872B63"/>
    <w:rsid w:val="0087336C"/>
    <w:rsid w:val="0087484E"/>
    <w:rsid w:val="0087746B"/>
    <w:rsid w:val="00880BD1"/>
    <w:rsid w:val="008817F0"/>
    <w:rsid w:val="00881807"/>
    <w:rsid w:val="00881CB8"/>
    <w:rsid w:val="00882268"/>
    <w:rsid w:val="00882D94"/>
    <w:rsid w:val="00882F00"/>
    <w:rsid w:val="008835DF"/>
    <w:rsid w:val="00885B8A"/>
    <w:rsid w:val="00886817"/>
    <w:rsid w:val="0088771B"/>
    <w:rsid w:val="0089050D"/>
    <w:rsid w:val="008909F5"/>
    <w:rsid w:val="008928D4"/>
    <w:rsid w:val="008A044A"/>
    <w:rsid w:val="008A0FE1"/>
    <w:rsid w:val="008A2A5D"/>
    <w:rsid w:val="008A2D42"/>
    <w:rsid w:val="008A2E73"/>
    <w:rsid w:val="008A31EE"/>
    <w:rsid w:val="008A4DA7"/>
    <w:rsid w:val="008A6635"/>
    <w:rsid w:val="008A7041"/>
    <w:rsid w:val="008B098E"/>
    <w:rsid w:val="008B101B"/>
    <w:rsid w:val="008B1491"/>
    <w:rsid w:val="008B23B6"/>
    <w:rsid w:val="008B424C"/>
    <w:rsid w:val="008B5870"/>
    <w:rsid w:val="008B5D77"/>
    <w:rsid w:val="008B6CE5"/>
    <w:rsid w:val="008B6FF5"/>
    <w:rsid w:val="008C0377"/>
    <w:rsid w:val="008C1E2E"/>
    <w:rsid w:val="008C3EAD"/>
    <w:rsid w:val="008C5CDB"/>
    <w:rsid w:val="008C6E32"/>
    <w:rsid w:val="008D0775"/>
    <w:rsid w:val="008D1836"/>
    <w:rsid w:val="008D2263"/>
    <w:rsid w:val="008D269A"/>
    <w:rsid w:val="008D34A3"/>
    <w:rsid w:val="008D3F7C"/>
    <w:rsid w:val="008D4242"/>
    <w:rsid w:val="008D4BCE"/>
    <w:rsid w:val="008D5527"/>
    <w:rsid w:val="008D5D28"/>
    <w:rsid w:val="008D60B6"/>
    <w:rsid w:val="008D6BF5"/>
    <w:rsid w:val="008D7404"/>
    <w:rsid w:val="008E0216"/>
    <w:rsid w:val="008E04CA"/>
    <w:rsid w:val="008E1315"/>
    <w:rsid w:val="008E418C"/>
    <w:rsid w:val="008E4874"/>
    <w:rsid w:val="008E4E78"/>
    <w:rsid w:val="008E6E5D"/>
    <w:rsid w:val="008E72F1"/>
    <w:rsid w:val="008F009C"/>
    <w:rsid w:val="008F1840"/>
    <w:rsid w:val="008F239E"/>
    <w:rsid w:val="008F2CDB"/>
    <w:rsid w:val="008F39AA"/>
    <w:rsid w:val="008F3CF7"/>
    <w:rsid w:val="008F3F99"/>
    <w:rsid w:val="008F40F9"/>
    <w:rsid w:val="008F6C6E"/>
    <w:rsid w:val="00902B1F"/>
    <w:rsid w:val="00902DFA"/>
    <w:rsid w:val="009039F9"/>
    <w:rsid w:val="00903ABA"/>
    <w:rsid w:val="00903ADD"/>
    <w:rsid w:val="00904B6B"/>
    <w:rsid w:val="00905546"/>
    <w:rsid w:val="00905BC5"/>
    <w:rsid w:val="00905C8B"/>
    <w:rsid w:val="00905FE5"/>
    <w:rsid w:val="0090614B"/>
    <w:rsid w:val="009064AD"/>
    <w:rsid w:val="00906CE3"/>
    <w:rsid w:val="00907777"/>
    <w:rsid w:val="00907A37"/>
    <w:rsid w:val="00911D58"/>
    <w:rsid w:val="009137A6"/>
    <w:rsid w:val="00913C15"/>
    <w:rsid w:val="0091456F"/>
    <w:rsid w:val="00914E8B"/>
    <w:rsid w:val="00914F03"/>
    <w:rsid w:val="0091655D"/>
    <w:rsid w:val="00916662"/>
    <w:rsid w:val="00917190"/>
    <w:rsid w:val="00917374"/>
    <w:rsid w:val="00917E28"/>
    <w:rsid w:val="009209DA"/>
    <w:rsid w:val="00922481"/>
    <w:rsid w:val="00922AD4"/>
    <w:rsid w:val="00922D32"/>
    <w:rsid w:val="00923585"/>
    <w:rsid w:val="009239AB"/>
    <w:rsid w:val="00923DE9"/>
    <w:rsid w:val="009241AE"/>
    <w:rsid w:val="00924476"/>
    <w:rsid w:val="00925C67"/>
    <w:rsid w:val="00926EF8"/>
    <w:rsid w:val="00930663"/>
    <w:rsid w:val="00930794"/>
    <w:rsid w:val="009309D3"/>
    <w:rsid w:val="00931A6B"/>
    <w:rsid w:val="00932C7A"/>
    <w:rsid w:val="0093393F"/>
    <w:rsid w:val="00933E50"/>
    <w:rsid w:val="00934B0A"/>
    <w:rsid w:val="00934B38"/>
    <w:rsid w:val="00935414"/>
    <w:rsid w:val="00935874"/>
    <w:rsid w:val="00935CAE"/>
    <w:rsid w:val="009361F0"/>
    <w:rsid w:val="00940CC1"/>
    <w:rsid w:val="00940E46"/>
    <w:rsid w:val="00943069"/>
    <w:rsid w:val="00943A37"/>
    <w:rsid w:val="00945016"/>
    <w:rsid w:val="0094556C"/>
    <w:rsid w:val="0094582F"/>
    <w:rsid w:val="00946A55"/>
    <w:rsid w:val="009473C5"/>
    <w:rsid w:val="009500B4"/>
    <w:rsid w:val="00952270"/>
    <w:rsid w:val="00953324"/>
    <w:rsid w:val="00953CFD"/>
    <w:rsid w:val="00953E7C"/>
    <w:rsid w:val="00955215"/>
    <w:rsid w:val="00955D35"/>
    <w:rsid w:val="00955DDB"/>
    <w:rsid w:val="00955E7D"/>
    <w:rsid w:val="00957087"/>
    <w:rsid w:val="00957113"/>
    <w:rsid w:val="00957967"/>
    <w:rsid w:val="00957C10"/>
    <w:rsid w:val="0096039A"/>
    <w:rsid w:val="00960873"/>
    <w:rsid w:val="009620D2"/>
    <w:rsid w:val="009633DA"/>
    <w:rsid w:val="0096382C"/>
    <w:rsid w:val="0096610F"/>
    <w:rsid w:val="009664B3"/>
    <w:rsid w:val="00966D7E"/>
    <w:rsid w:val="00967B91"/>
    <w:rsid w:val="00967C39"/>
    <w:rsid w:val="009704D4"/>
    <w:rsid w:val="0097094A"/>
    <w:rsid w:val="0097098F"/>
    <w:rsid w:val="00971605"/>
    <w:rsid w:val="00972C03"/>
    <w:rsid w:val="00972EBB"/>
    <w:rsid w:val="0097310B"/>
    <w:rsid w:val="00974EF9"/>
    <w:rsid w:val="00976131"/>
    <w:rsid w:val="00976484"/>
    <w:rsid w:val="0097720B"/>
    <w:rsid w:val="009778B6"/>
    <w:rsid w:val="009800A6"/>
    <w:rsid w:val="0098017A"/>
    <w:rsid w:val="009809E0"/>
    <w:rsid w:val="009812F2"/>
    <w:rsid w:val="00982C29"/>
    <w:rsid w:val="00984E99"/>
    <w:rsid w:val="00986843"/>
    <w:rsid w:val="009874CD"/>
    <w:rsid w:val="00987D0E"/>
    <w:rsid w:val="00987FBD"/>
    <w:rsid w:val="009902EB"/>
    <w:rsid w:val="00990492"/>
    <w:rsid w:val="00993142"/>
    <w:rsid w:val="00993ABA"/>
    <w:rsid w:val="009941A7"/>
    <w:rsid w:val="009949D4"/>
    <w:rsid w:val="00994C5D"/>
    <w:rsid w:val="0099518E"/>
    <w:rsid w:val="009958E5"/>
    <w:rsid w:val="009960A9"/>
    <w:rsid w:val="009971A2"/>
    <w:rsid w:val="00997481"/>
    <w:rsid w:val="009A0853"/>
    <w:rsid w:val="009A094C"/>
    <w:rsid w:val="009A097A"/>
    <w:rsid w:val="009A0E9B"/>
    <w:rsid w:val="009A35DB"/>
    <w:rsid w:val="009A39C8"/>
    <w:rsid w:val="009A45CC"/>
    <w:rsid w:val="009A474A"/>
    <w:rsid w:val="009A4C7B"/>
    <w:rsid w:val="009A73C1"/>
    <w:rsid w:val="009A782F"/>
    <w:rsid w:val="009B0872"/>
    <w:rsid w:val="009B17A9"/>
    <w:rsid w:val="009B24AA"/>
    <w:rsid w:val="009B35A0"/>
    <w:rsid w:val="009B3BF2"/>
    <w:rsid w:val="009B3D09"/>
    <w:rsid w:val="009B423D"/>
    <w:rsid w:val="009B5781"/>
    <w:rsid w:val="009B607E"/>
    <w:rsid w:val="009B66FC"/>
    <w:rsid w:val="009C1678"/>
    <w:rsid w:val="009C2DA8"/>
    <w:rsid w:val="009C2E2A"/>
    <w:rsid w:val="009C37BD"/>
    <w:rsid w:val="009C436D"/>
    <w:rsid w:val="009C5A8E"/>
    <w:rsid w:val="009C5CC7"/>
    <w:rsid w:val="009C62BA"/>
    <w:rsid w:val="009C7633"/>
    <w:rsid w:val="009D0746"/>
    <w:rsid w:val="009D1669"/>
    <w:rsid w:val="009D1C32"/>
    <w:rsid w:val="009D24F6"/>
    <w:rsid w:val="009D3CEF"/>
    <w:rsid w:val="009D48F3"/>
    <w:rsid w:val="009D4F72"/>
    <w:rsid w:val="009D5493"/>
    <w:rsid w:val="009D65A8"/>
    <w:rsid w:val="009D6C0F"/>
    <w:rsid w:val="009D7544"/>
    <w:rsid w:val="009E052E"/>
    <w:rsid w:val="009E0597"/>
    <w:rsid w:val="009E2734"/>
    <w:rsid w:val="009E2DCC"/>
    <w:rsid w:val="009E2F2D"/>
    <w:rsid w:val="009E3D3C"/>
    <w:rsid w:val="009E428E"/>
    <w:rsid w:val="009E43F8"/>
    <w:rsid w:val="009E4C88"/>
    <w:rsid w:val="009E5AC1"/>
    <w:rsid w:val="009E5F16"/>
    <w:rsid w:val="009E71B6"/>
    <w:rsid w:val="009E7592"/>
    <w:rsid w:val="009E790F"/>
    <w:rsid w:val="009E7C09"/>
    <w:rsid w:val="009F2324"/>
    <w:rsid w:val="009F33B3"/>
    <w:rsid w:val="009F3FBB"/>
    <w:rsid w:val="009F45CA"/>
    <w:rsid w:val="009F4FF5"/>
    <w:rsid w:val="009F5C35"/>
    <w:rsid w:val="009F5C64"/>
    <w:rsid w:val="009F7153"/>
    <w:rsid w:val="00A00DC8"/>
    <w:rsid w:val="00A011F4"/>
    <w:rsid w:val="00A0120E"/>
    <w:rsid w:val="00A016AB"/>
    <w:rsid w:val="00A01D2F"/>
    <w:rsid w:val="00A03A3D"/>
    <w:rsid w:val="00A050C0"/>
    <w:rsid w:val="00A057B6"/>
    <w:rsid w:val="00A05C7E"/>
    <w:rsid w:val="00A06ABA"/>
    <w:rsid w:val="00A10D09"/>
    <w:rsid w:val="00A1104D"/>
    <w:rsid w:val="00A111C1"/>
    <w:rsid w:val="00A129E5"/>
    <w:rsid w:val="00A14218"/>
    <w:rsid w:val="00A15519"/>
    <w:rsid w:val="00A170BE"/>
    <w:rsid w:val="00A20A75"/>
    <w:rsid w:val="00A2121D"/>
    <w:rsid w:val="00A2229B"/>
    <w:rsid w:val="00A222BA"/>
    <w:rsid w:val="00A2377F"/>
    <w:rsid w:val="00A23F58"/>
    <w:rsid w:val="00A272D1"/>
    <w:rsid w:val="00A30862"/>
    <w:rsid w:val="00A30BC2"/>
    <w:rsid w:val="00A31CD0"/>
    <w:rsid w:val="00A322E7"/>
    <w:rsid w:val="00A32746"/>
    <w:rsid w:val="00A330FE"/>
    <w:rsid w:val="00A347D7"/>
    <w:rsid w:val="00A34C7B"/>
    <w:rsid w:val="00A37750"/>
    <w:rsid w:val="00A40873"/>
    <w:rsid w:val="00A40F35"/>
    <w:rsid w:val="00A41E10"/>
    <w:rsid w:val="00A41E9C"/>
    <w:rsid w:val="00A422E2"/>
    <w:rsid w:val="00A4333E"/>
    <w:rsid w:val="00A44006"/>
    <w:rsid w:val="00A440EA"/>
    <w:rsid w:val="00A448CD"/>
    <w:rsid w:val="00A450F2"/>
    <w:rsid w:val="00A45EBD"/>
    <w:rsid w:val="00A47427"/>
    <w:rsid w:val="00A50B97"/>
    <w:rsid w:val="00A512EF"/>
    <w:rsid w:val="00A51D13"/>
    <w:rsid w:val="00A532C6"/>
    <w:rsid w:val="00A53414"/>
    <w:rsid w:val="00A5372E"/>
    <w:rsid w:val="00A540D5"/>
    <w:rsid w:val="00A56743"/>
    <w:rsid w:val="00A57624"/>
    <w:rsid w:val="00A60A07"/>
    <w:rsid w:val="00A613EE"/>
    <w:rsid w:val="00A61E3A"/>
    <w:rsid w:val="00A62A0C"/>
    <w:rsid w:val="00A6368A"/>
    <w:rsid w:val="00A63C3A"/>
    <w:rsid w:val="00A662F4"/>
    <w:rsid w:val="00A66D13"/>
    <w:rsid w:val="00A7079C"/>
    <w:rsid w:val="00A70BFC"/>
    <w:rsid w:val="00A72D09"/>
    <w:rsid w:val="00A72E59"/>
    <w:rsid w:val="00A74422"/>
    <w:rsid w:val="00A75C9A"/>
    <w:rsid w:val="00A77213"/>
    <w:rsid w:val="00A77541"/>
    <w:rsid w:val="00A80000"/>
    <w:rsid w:val="00A809F1"/>
    <w:rsid w:val="00A80B6F"/>
    <w:rsid w:val="00A8250E"/>
    <w:rsid w:val="00A825B2"/>
    <w:rsid w:val="00A84BB7"/>
    <w:rsid w:val="00A861D5"/>
    <w:rsid w:val="00A86469"/>
    <w:rsid w:val="00A91EC8"/>
    <w:rsid w:val="00A924C2"/>
    <w:rsid w:val="00A92E7D"/>
    <w:rsid w:val="00A93600"/>
    <w:rsid w:val="00A94811"/>
    <w:rsid w:val="00A94A43"/>
    <w:rsid w:val="00A955CD"/>
    <w:rsid w:val="00A9582F"/>
    <w:rsid w:val="00A95E90"/>
    <w:rsid w:val="00A96CA6"/>
    <w:rsid w:val="00A96F13"/>
    <w:rsid w:val="00A979DC"/>
    <w:rsid w:val="00AA3030"/>
    <w:rsid w:val="00AA43D6"/>
    <w:rsid w:val="00AA5E51"/>
    <w:rsid w:val="00AA64BE"/>
    <w:rsid w:val="00AA797C"/>
    <w:rsid w:val="00AB131A"/>
    <w:rsid w:val="00AB2267"/>
    <w:rsid w:val="00AB246B"/>
    <w:rsid w:val="00AB2CF8"/>
    <w:rsid w:val="00AB3A06"/>
    <w:rsid w:val="00AB4937"/>
    <w:rsid w:val="00AB5DA3"/>
    <w:rsid w:val="00AB70D7"/>
    <w:rsid w:val="00AC1067"/>
    <w:rsid w:val="00AC244A"/>
    <w:rsid w:val="00AC24A2"/>
    <w:rsid w:val="00AC2524"/>
    <w:rsid w:val="00AC2CAB"/>
    <w:rsid w:val="00AC37D8"/>
    <w:rsid w:val="00AC38F2"/>
    <w:rsid w:val="00AC4D10"/>
    <w:rsid w:val="00AC5697"/>
    <w:rsid w:val="00AC6E2E"/>
    <w:rsid w:val="00AC7EE6"/>
    <w:rsid w:val="00AC7F26"/>
    <w:rsid w:val="00AD059F"/>
    <w:rsid w:val="00AD0715"/>
    <w:rsid w:val="00AD0B11"/>
    <w:rsid w:val="00AD367A"/>
    <w:rsid w:val="00AD6186"/>
    <w:rsid w:val="00AD6457"/>
    <w:rsid w:val="00AD7AFD"/>
    <w:rsid w:val="00AE01BC"/>
    <w:rsid w:val="00AE0A8E"/>
    <w:rsid w:val="00AE18F5"/>
    <w:rsid w:val="00AE457A"/>
    <w:rsid w:val="00AE7A31"/>
    <w:rsid w:val="00AF099A"/>
    <w:rsid w:val="00AF341B"/>
    <w:rsid w:val="00AF3DD9"/>
    <w:rsid w:val="00AF5DAE"/>
    <w:rsid w:val="00AF61D2"/>
    <w:rsid w:val="00AF68CB"/>
    <w:rsid w:val="00AF6E4A"/>
    <w:rsid w:val="00AF759F"/>
    <w:rsid w:val="00AF77B4"/>
    <w:rsid w:val="00B003EB"/>
    <w:rsid w:val="00B004BC"/>
    <w:rsid w:val="00B04519"/>
    <w:rsid w:val="00B05EDE"/>
    <w:rsid w:val="00B0792B"/>
    <w:rsid w:val="00B11422"/>
    <w:rsid w:val="00B12806"/>
    <w:rsid w:val="00B12D3E"/>
    <w:rsid w:val="00B14A7B"/>
    <w:rsid w:val="00B16D44"/>
    <w:rsid w:val="00B2051C"/>
    <w:rsid w:val="00B2099F"/>
    <w:rsid w:val="00B21228"/>
    <w:rsid w:val="00B214AC"/>
    <w:rsid w:val="00B21589"/>
    <w:rsid w:val="00B22478"/>
    <w:rsid w:val="00B226DC"/>
    <w:rsid w:val="00B23B5D"/>
    <w:rsid w:val="00B23C0F"/>
    <w:rsid w:val="00B24C83"/>
    <w:rsid w:val="00B25593"/>
    <w:rsid w:val="00B25703"/>
    <w:rsid w:val="00B26373"/>
    <w:rsid w:val="00B27520"/>
    <w:rsid w:val="00B300F3"/>
    <w:rsid w:val="00B30B10"/>
    <w:rsid w:val="00B31114"/>
    <w:rsid w:val="00B3193C"/>
    <w:rsid w:val="00B31BAC"/>
    <w:rsid w:val="00B31BD3"/>
    <w:rsid w:val="00B3220B"/>
    <w:rsid w:val="00B34286"/>
    <w:rsid w:val="00B35FCE"/>
    <w:rsid w:val="00B36DB6"/>
    <w:rsid w:val="00B3782D"/>
    <w:rsid w:val="00B42228"/>
    <w:rsid w:val="00B422F0"/>
    <w:rsid w:val="00B44896"/>
    <w:rsid w:val="00B44DBE"/>
    <w:rsid w:val="00B454DF"/>
    <w:rsid w:val="00B45D63"/>
    <w:rsid w:val="00B47575"/>
    <w:rsid w:val="00B477F1"/>
    <w:rsid w:val="00B504C3"/>
    <w:rsid w:val="00B507A2"/>
    <w:rsid w:val="00B509C5"/>
    <w:rsid w:val="00B50E84"/>
    <w:rsid w:val="00B5163A"/>
    <w:rsid w:val="00B53CA8"/>
    <w:rsid w:val="00B55301"/>
    <w:rsid w:val="00B5702F"/>
    <w:rsid w:val="00B57307"/>
    <w:rsid w:val="00B57E70"/>
    <w:rsid w:val="00B6090F"/>
    <w:rsid w:val="00B6164A"/>
    <w:rsid w:val="00B6389E"/>
    <w:rsid w:val="00B6477D"/>
    <w:rsid w:val="00B647EC"/>
    <w:rsid w:val="00B65EC3"/>
    <w:rsid w:val="00B66B6A"/>
    <w:rsid w:val="00B66BCA"/>
    <w:rsid w:val="00B67008"/>
    <w:rsid w:val="00B67106"/>
    <w:rsid w:val="00B70766"/>
    <w:rsid w:val="00B71D36"/>
    <w:rsid w:val="00B72027"/>
    <w:rsid w:val="00B73918"/>
    <w:rsid w:val="00B73FB5"/>
    <w:rsid w:val="00B74D0E"/>
    <w:rsid w:val="00B76589"/>
    <w:rsid w:val="00B76E73"/>
    <w:rsid w:val="00B7735E"/>
    <w:rsid w:val="00B77C0F"/>
    <w:rsid w:val="00B8148B"/>
    <w:rsid w:val="00B8247F"/>
    <w:rsid w:val="00B82B90"/>
    <w:rsid w:val="00B8429A"/>
    <w:rsid w:val="00B8451C"/>
    <w:rsid w:val="00B85FA4"/>
    <w:rsid w:val="00B86DB8"/>
    <w:rsid w:val="00B9069E"/>
    <w:rsid w:val="00B92222"/>
    <w:rsid w:val="00B9300A"/>
    <w:rsid w:val="00B93166"/>
    <w:rsid w:val="00B97360"/>
    <w:rsid w:val="00BA09BD"/>
    <w:rsid w:val="00BA0ED2"/>
    <w:rsid w:val="00BA11FC"/>
    <w:rsid w:val="00BA2C9F"/>
    <w:rsid w:val="00BA5097"/>
    <w:rsid w:val="00BA5226"/>
    <w:rsid w:val="00BA5994"/>
    <w:rsid w:val="00BA5DFC"/>
    <w:rsid w:val="00BA6396"/>
    <w:rsid w:val="00BA665E"/>
    <w:rsid w:val="00BA7010"/>
    <w:rsid w:val="00BA78A1"/>
    <w:rsid w:val="00BA7C40"/>
    <w:rsid w:val="00BB0260"/>
    <w:rsid w:val="00BB14E6"/>
    <w:rsid w:val="00BB277C"/>
    <w:rsid w:val="00BB3B47"/>
    <w:rsid w:val="00BB3E0D"/>
    <w:rsid w:val="00BB4D99"/>
    <w:rsid w:val="00BB5510"/>
    <w:rsid w:val="00BB6847"/>
    <w:rsid w:val="00BB7E8F"/>
    <w:rsid w:val="00BC00EF"/>
    <w:rsid w:val="00BC15D3"/>
    <w:rsid w:val="00BC1B48"/>
    <w:rsid w:val="00BC2762"/>
    <w:rsid w:val="00BC2791"/>
    <w:rsid w:val="00BC28E8"/>
    <w:rsid w:val="00BC469A"/>
    <w:rsid w:val="00BC47F9"/>
    <w:rsid w:val="00BC5300"/>
    <w:rsid w:val="00BC5BDE"/>
    <w:rsid w:val="00BD1040"/>
    <w:rsid w:val="00BD266A"/>
    <w:rsid w:val="00BD2B6D"/>
    <w:rsid w:val="00BD2B96"/>
    <w:rsid w:val="00BD4538"/>
    <w:rsid w:val="00BD519F"/>
    <w:rsid w:val="00BD5420"/>
    <w:rsid w:val="00BE0332"/>
    <w:rsid w:val="00BE03F5"/>
    <w:rsid w:val="00BE093D"/>
    <w:rsid w:val="00BE1717"/>
    <w:rsid w:val="00BE1971"/>
    <w:rsid w:val="00BE1AFA"/>
    <w:rsid w:val="00BE44F0"/>
    <w:rsid w:val="00BE4B04"/>
    <w:rsid w:val="00BE69D8"/>
    <w:rsid w:val="00BE6A18"/>
    <w:rsid w:val="00BE6F02"/>
    <w:rsid w:val="00BF0C93"/>
    <w:rsid w:val="00BF1DCE"/>
    <w:rsid w:val="00BF242A"/>
    <w:rsid w:val="00BF3A3C"/>
    <w:rsid w:val="00BF4B2F"/>
    <w:rsid w:val="00BF5ADD"/>
    <w:rsid w:val="00BF7C46"/>
    <w:rsid w:val="00C00305"/>
    <w:rsid w:val="00C02B1F"/>
    <w:rsid w:val="00C036D0"/>
    <w:rsid w:val="00C03E22"/>
    <w:rsid w:val="00C04542"/>
    <w:rsid w:val="00C062C4"/>
    <w:rsid w:val="00C06792"/>
    <w:rsid w:val="00C073DF"/>
    <w:rsid w:val="00C074EE"/>
    <w:rsid w:val="00C10504"/>
    <w:rsid w:val="00C10F1E"/>
    <w:rsid w:val="00C12015"/>
    <w:rsid w:val="00C1291C"/>
    <w:rsid w:val="00C14248"/>
    <w:rsid w:val="00C14920"/>
    <w:rsid w:val="00C151CD"/>
    <w:rsid w:val="00C1567E"/>
    <w:rsid w:val="00C15734"/>
    <w:rsid w:val="00C15BF4"/>
    <w:rsid w:val="00C15F68"/>
    <w:rsid w:val="00C1659F"/>
    <w:rsid w:val="00C16853"/>
    <w:rsid w:val="00C2173B"/>
    <w:rsid w:val="00C220F8"/>
    <w:rsid w:val="00C22554"/>
    <w:rsid w:val="00C234EF"/>
    <w:rsid w:val="00C239B8"/>
    <w:rsid w:val="00C23F49"/>
    <w:rsid w:val="00C246A2"/>
    <w:rsid w:val="00C25ABF"/>
    <w:rsid w:val="00C30580"/>
    <w:rsid w:val="00C33263"/>
    <w:rsid w:val="00C33BBC"/>
    <w:rsid w:val="00C33D56"/>
    <w:rsid w:val="00C33DA2"/>
    <w:rsid w:val="00C3444E"/>
    <w:rsid w:val="00C35F6E"/>
    <w:rsid w:val="00C3635B"/>
    <w:rsid w:val="00C37A7C"/>
    <w:rsid w:val="00C4031D"/>
    <w:rsid w:val="00C41D97"/>
    <w:rsid w:val="00C41ED2"/>
    <w:rsid w:val="00C4279D"/>
    <w:rsid w:val="00C4288A"/>
    <w:rsid w:val="00C431D3"/>
    <w:rsid w:val="00C43F71"/>
    <w:rsid w:val="00C45FAB"/>
    <w:rsid w:val="00C50EE2"/>
    <w:rsid w:val="00C52C55"/>
    <w:rsid w:val="00C52E78"/>
    <w:rsid w:val="00C546E9"/>
    <w:rsid w:val="00C5636C"/>
    <w:rsid w:val="00C56D03"/>
    <w:rsid w:val="00C57000"/>
    <w:rsid w:val="00C57347"/>
    <w:rsid w:val="00C60AA4"/>
    <w:rsid w:val="00C61626"/>
    <w:rsid w:val="00C62E87"/>
    <w:rsid w:val="00C63504"/>
    <w:rsid w:val="00C63CF5"/>
    <w:rsid w:val="00C64065"/>
    <w:rsid w:val="00C64391"/>
    <w:rsid w:val="00C64F43"/>
    <w:rsid w:val="00C67B61"/>
    <w:rsid w:val="00C67E0E"/>
    <w:rsid w:val="00C7031C"/>
    <w:rsid w:val="00C70A1D"/>
    <w:rsid w:val="00C72A97"/>
    <w:rsid w:val="00C73A77"/>
    <w:rsid w:val="00C76496"/>
    <w:rsid w:val="00C76F10"/>
    <w:rsid w:val="00C84E21"/>
    <w:rsid w:val="00C84FC2"/>
    <w:rsid w:val="00C85F22"/>
    <w:rsid w:val="00C86001"/>
    <w:rsid w:val="00C86069"/>
    <w:rsid w:val="00C9162C"/>
    <w:rsid w:val="00C92981"/>
    <w:rsid w:val="00C92C64"/>
    <w:rsid w:val="00C9321A"/>
    <w:rsid w:val="00C943ED"/>
    <w:rsid w:val="00C9542B"/>
    <w:rsid w:val="00C969A3"/>
    <w:rsid w:val="00C97328"/>
    <w:rsid w:val="00C97745"/>
    <w:rsid w:val="00CA0F2D"/>
    <w:rsid w:val="00CA351F"/>
    <w:rsid w:val="00CA40CB"/>
    <w:rsid w:val="00CA4105"/>
    <w:rsid w:val="00CA5073"/>
    <w:rsid w:val="00CA5BEA"/>
    <w:rsid w:val="00CA6AE4"/>
    <w:rsid w:val="00CA6C7B"/>
    <w:rsid w:val="00CB27AA"/>
    <w:rsid w:val="00CB2C07"/>
    <w:rsid w:val="00CB355B"/>
    <w:rsid w:val="00CB4462"/>
    <w:rsid w:val="00CB46D4"/>
    <w:rsid w:val="00CB4B18"/>
    <w:rsid w:val="00CB6191"/>
    <w:rsid w:val="00CB6ED0"/>
    <w:rsid w:val="00CB7DB2"/>
    <w:rsid w:val="00CC030D"/>
    <w:rsid w:val="00CC24D0"/>
    <w:rsid w:val="00CC42C1"/>
    <w:rsid w:val="00CC4ED8"/>
    <w:rsid w:val="00CC64F3"/>
    <w:rsid w:val="00CC7242"/>
    <w:rsid w:val="00CD0730"/>
    <w:rsid w:val="00CD082C"/>
    <w:rsid w:val="00CD0BA3"/>
    <w:rsid w:val="00CD356F"/>
    <w:rsid w:val="00CD3F1C"/>
    <w:rsid w:val="00CD4CC4"/>
    <w:rsid w:val="00CD520F"/>
    <w:rsid w:val="00CD72FB"/>
    <w:rsid w:val="00CD7543"/>
    <w:rsid w:val="00CE1538"/>
    <w:rsid w:val="00CE2437"/>
    <w:rsid w:val="00CE2A73"/>
    <w:rsid w:val="00CE576B"/>
    <w:rsid w:val="00CE66BE"/>
    <w:rsid w:val="00CF0356"/>
    <w:rsid w:val="00CF1DC4"/>
    <w:rsid w:val="00CF25ED"/>
    <w:rsid w:val="00CF2BF3"/>
    <w:rsid w:val="00CF33EF"/>
    <w:rsid w:val="00CF3D84"/>
    <w:rsid w:val="00CF3F68"/>
    <w:rsid w:val="00CF4A0D"/>
    <w:rsid w:val="00CF5040"/>
    <w:rsid w:val="00CF527F"/>
    <w:rsid w:val="00CF57B8"/>
    <w:rsid w:val="00CF5B38"/>
    <w:rsid w:val="00CF6B1B"/>
    <w:rsid w:val="00CF7E97"/>
    <w:rsid w:val="00D02495"/>
    <w:rsid w:val="00D03C0B"/>
    <w:rsid w:val="00D045F6"/>
    <w:rsid w:val="00D04D02"/>
    <w:rsid w:val="00D06AED"/>
    <w:rsid w:val="00D07C31"/>
    <w:rsid w:val="00D108BD"/>
    <w:rsid w:val="00D11669"/>
    <w:rsid w:val="00D134DE"/>
    <w:rsid w:val="00D139C2"/>
    <w:rsid w:val="00D13BCE"/>
    <w:rsid w:val="00D1494C"/>
    <w:rsid w:val="00D14C65"/>
    <w:rsid w:val="00D15BE9"/>
    <w:rsid w:val="00D15EC3"/>
    <w:rsid w:val="00D15FF6"/>
    <w:rsid w:val="00D16DC2"/>
    <w:rsid w:val="00D1782E"/>
    <w:rsid w:val="00D20090"/>
    <w:rsid w:val="00D201ED"/>
    <w:rsid w:val="00D20C36"/>
    <w:rsid w:val="00D20CE6"/>
    <w:rsid w:val="00D21311"/>
    <w:rsid w:val="00D21551"/>
    <w:rsid w:val="00D22B45"/>
    <w:rsid w:val="00D2336A"/>
    <w:rsid w:val="00D25D20"/>
    <w:rsid w:val="00D26ACB"/>
    <w:rsid w:val="00D27E71"/>
    <w:rsid w:val="00D27EA1"/>
    <w:rsid w:val="00D3076E"/>
    <w:rsid w:val="00D30A18"/>
    <w:rsid w:val="00D30C28"/>
    <w:rsid w:val="00D30D4D"/>
    <w:rsid w:val="00D31030"/>
    <w:rsid w:val="00D32819"/>
    <w:rsid w:val="00D33D91"/>
    <w:rsid w:val="00D33DD3"/>
    <w:rsid w:val="00D3483A"/>
    <w:rsid w:val="00D3498F"/>
    <w:rsid w:val="00D34DC5"/>
    <w:rsid w:val="00D350B3"/>
    <w:rsid w:val="00D35178"/>
    <w:rsid w:val="00D35CD7"/>
    <w:rsid w:val="00D36780"/>
    <w:rsid w:val="00D413E0"/>
    <w:rsid w:val="00D42E8D"/>
    <w:rsid w:val="00D43359"/>
    <w:rsid w:val="00D434A6"/>
    <w:rsid w:val="00D443AA"/>
    <w:rsid w:val="00D446A8"/>
    <w:rsid w:val="00D44AB0"/>
    <w:rsid w:val="00D4588B"/>
    <w:rsid w:val="00D46772"/>
    <w:rsid w:val="00D50343"/>
    <w:rsid w:val="00D51060"/>
    <w:rsid w:val="00D52811"/>
    <w:rsid w:val="00D54AC2"/>
    <w:rsid w:val="00D55362"/>
    <w:rsid w:val="00D5613D"/>
    <w:rsid w:val="00D563D8"/>
    <w:rsid w:val="00D569DC"/>
    <w:rsid w:val="00D57DAF"/>
    <w:rsid w:val="00D608DB"/>
    <w:rsid w:val="00D62D33"/>
    <w:rsid w:val="00D6319F"/>
    <w:rsid w:val="00D635B9"/>
    <w:rsid w:val="00D647DC"/>
    <w:rsid w:val="00D64860"/>
    <w:rsid w:val="00D65C3A"/>
    <w:rsid w:val="00D65E78"/>
    <w:rsid w:val="00D70CD1"/>
    <w:rsid w:val="00D731FE"/>
    <w:rsid w:val="00D73C61"/>
    <w:rsid w:val="00D74305"/>
    <w:rsid w:val="00D7598E"/>
    <w:rsid w:val="00D760C8"/>
    <w:rsid w:val="00D77025"/>
    <w:rsid w:val="00D779D6"/>
    <w:rsid w:val="00D80D9A"/>
    <w:rsid w:val="00D8123B"/>
    <w:rsid w:val="00D818F4"/>
    <w:rsid w:val="00D83141"/>
    <w:rsid w:val="00D8387C"/>
    <w:rsid w:val="00D83C26"/>
    <w:rsid w:val="00D84B4D"/>
    <w:rsid w:val="00D85BDB"/>
    <w:rsid w:val="00D871DA"/>
    <w:rsid w:val="00D87D0F"/>
    <w:rsid w:val="00D90D51"/>
    <w:rsid w:val="00D90E4E"/>
    <w:rsid w:val="00D91092"/>
    <w:rsid w:val="00D936B5"/>
    <w:rsid w:val="00D94710"/>
    <w:rsid w:val="00D96126"/>
    <w:rsid w:val="00DA1557"/>
    <w:rsid w:val="00DA50E2"/>
    <w:rsid w:val="00DA58C9"/>
    <w:rsid w:val="00DA5BD1"/>
    <w:rsid w:val="00DA6332"/>
    <w:rsid w:val="00DB0EE0"/>
    <w:rsid w:val="00DB19F8"/>
    <w:rsid w:val="00DB1F32"/>
    <w:rsid w:val="00DB22C2"/>
    <w:rsid w:val="00DB269A"/>
    <w:rsid w:val="00DB3727"/>
    <w:rsid w:val="00DB394D"/>
    <w:rsid w:val="00DB4847"/>
    <w:rsid w:val="00DB540C"/>
    <w:rsid w:val="00DB5684"/>
    <w:rsid w:val="00DB5F24"/>
    <w:rsid w:val="00DB6E71"/>
    <w:rsid w:val="00DC23F0"/>
    <w:rsid w:val="00DC3A67"/>
    <w:rsid w:val="00DC43BA"/>
    <w:rsid w:val="00DC6D33"/>
    <w:rsid w:val="00DC790F"/>
    <w:rsid w:val="00DD0E2E"/>
    <w:rsid w:val="00DD2C24"/>
    <w:rsid w:val="00DD4A8F"/>
    <w:rsid w:val="00DD6BAC"/>
    <w:rsid w:val="00DE0EE6"/>
    <w:rsid w:val="00DE19EA"/>
    <w:rsid w:val="00DE1FED"/>
    <w:rsid w:val="00DE3241"/>
    <w:rsid w:val="00DE38E9"/>
    <w:rsid w:val="00DE3B7E"/>
    <w:rsid w:val="00DE6576"/>
    <w:rsid w:val="00DE6771"/>
    <w:rsid w:val="00DE67C0"/>
    <w:rsid w:val="00DE6F67"/>
    <w:rsid w:val="00DE7EFD"/>
    <w:rsid w:val="00DF1171"/>
    <w:rsid w:val="00DF346B"/>
    <w:rsid w:val="00DF3CFB"/>
    <w:rsid w:val="00DF3F2C"/>
    <w:rsid w:val="00DF5831"/>
    <w:rsid w:val="00DF59F2"/>
    <w:rsid w:val="00DF66E9"/>
    <w:rsid w:val="00DF7197"/>
    <w:rsid w:val="00DF7F9C"/>
    <w:rsid w:val="00E00393"/>
    <w:rsid w:val="00E007DB"/>
    <w:rsid w:val="00E01008"/>
    <w:rsid w:val="00E0241F"/>
    <w:rsid w:val="00E03A8E"/>
    <w:rsid w:val="00E04124"/>
    <w:rsid w:val="00E05AE4"/>
    <w:rsid w:val="00E05D84"/>
    <w:rsid w:val="00E06C75"/>
    <w:rsid w:val="00E07B22"/>
    <w:rsid w:val="00E14404"/>
    <w:rsid w:val="00E14AE5"/>
    <w:rsid w:val="00E150BC"/>
    <w:rsid w:val="00E15388"/>
    <w:rsid w:val="00E1612E"/>
    <w:rsid w:val="00E163C8"/>
    <w:rsid w:val="00E174C3"/>
    <w:rsid w:val="00E204D5"/>
    <w:rsid w:val="00E23F10"/>
    <w:rsid w:val="00E24314"/>
    <w:rsid w:val="00E26A30"/>
    <w:rsid w:val="00E3079A"/>
    <w:rsid w:val="00E3127E"/>
    <w:rsid w:val="00E331CF"/>
    <w:rsid w:val="00E34858"/>
    <w:rsid w:val="00E34D74"/>
    <w:rsid w:val="00E37928"/>
    <w:rsid w:val="00E41F9C"/>
    <w:rsid w:val="00E421FB"/>
    <w:rsid w:val="00E42B30"/>
    <w:rsid w:val="00E43812"/>
    <w:rsid w:val="00E465EC"/>
    <w:rsid w:val="00E4787F"/>
    <w:rsid w:val="00E5056C"/>
    <w:rsid w:val="00E50F75"/>
    <w:rsid w:val="00E54A5B"/>
    <w:rsid w:val="00E56438"/>
    <w:rsid w:val="00E56E89"/>
    <w:rsid w:val="00E6028F"/>
    <w:rsid w:val="00E61E93"/>
    <w:rsid w:val="00E62608"/>
    <w:rsid w:val="00E62781"/>
    <w:rsid w:val="00E631AD"/>
    <w:rsid w:val="00E64BE3"/>
    <w:rsid w:val="00E6518D"/>
    <w:rsid w:val="00E674CF"/>
    <w:rsid w:val="00E71517"/>
    <w:rsid w:val="00E72A53"/>
    <w:rsid w:val="00E733C9"/>
    <w:rsid w:val="00E74A21"/>
    <w:rsid w:val="00E76A24"/>
    <w:rsid w:val="00E77B40"/>
    <w:rsid w:val="00E82149"/>
    <w:rsid w:val="00E82BF7"/>
    <w:rsid w:val="00E832CB"/>
    <w:rsid w:val="00E85110"/>
    <w:rsid w:val="00E85E15"/>
    <w:rsid w:val="00E86575"/>
    <w:rsid w:val="00E869D7"/>
    <w:rsid w:val="00E878CA"/>
    <w:rsid w:val="00E87FBF"/>
    <w:rsid w:val="00E90448"/>
    <w:rsid w:val="00E91D49"/>
    <w:rsid w:val="00E91DB0"/>
    <w:rsid w:val="00E92BE2"/>
    <w:rsid w:val="00E936E0"/>
    <w:rsid w:val="00E978B8"/>
    <w:rsid w:val="00EA133A"/>
    <w:rsid w:val="00EA13A5"/>
    <w:rsid w:val="00EA1726"/>
    <w:rsid w:val="00EA29CD"/>
    <w:rsid w:val="00EA3C11"/>
    <w:rsid w:val="00EA4C2B"/>
    <w:rsid w:val="00EB1E5F"/>
    <w:rsid w:val="00EB1FC4"/>
    <w:rsid w:val="00EB5C9C"/>
    <w:rsid w:val="00EC18BC"/>
    <w:rsid w:val="00EC19CC"/>
    <w:rsid w:val="00EC1D39"/>
    <w:rsid w:val="00EC27F6"/>
    <w:rsid w:val="00EC43F8"/>
    <w:rsid w:val="00EC620A"/>
    <w:rsid w:val="00ED0ABD"/>
    <w:rsid w:val="00ED0AE8"/>
    <w:rsid w:val="00ED1E5A"/>
    <w:rsid w:val="00ED2A9A"/>
    <w:rsid w:val="00ED2D20"/>
    <w:rsid w:val="00ED2DA8"/>
    <w:rsid w:val="00ED3C39"/>
    <w:rsid w:val="00ED4C3E"/>
    <w:rsid w:val="00ED5CEE"/>
    <w:rsid w:val="00ED6370"/>
    <w:rsid w:val="00EE038D"/>
    <w:rsid w:val="00EE0B11"/>
    <w:rsid w:val="00EE1C26"/>
    <w:rsid w:val="00EE1F07"/>
    <w:rsid w:val="00EE1FF4"/>
    <w:rsid w:val="00EE25F0"/>
    <w:rsid w:val="00EE3460"/>
    <w:rsid w:val="00EE441B"/>
    <w:rsid w:val="00EE67B7"/>
    <w:rsid w:val="00EE7970"/>
    <w:rsid w:val="00EF0A70"/>
    <w:rsid w:val="00EF18BA"/>
    <w:rsid w:val="00EF2238"/>
    <w:rsid w:val="00EF2CB1"/>
    <w:rsid w:val="00EF2D9B"/>
    <w:rsid w:val="00EF3F3D"/>
    <w:rsid w:val="00EF52E4"/>
    <w:rsid w:val="00EF53D4"/>
    <w:rsid w:val="00EF64CE"/>
    <w:rsid w:val="00EF6CA7"/>
    <w:rsid w:val="00EF7356"/>
    <w:rsid w:val="00EF7519"/>
    <w:rsid w:val="00EF7808"/>
    <w:rsid w:val="00F02160"/>
    <w:rsid w:val="00F03888"/>
    <w:rsid w:val="00F0701E"/>
    <w:rsid w:val="00F07400"/>
    <w:rsid w:val="00F074AB"/>
    <w:rsid w:val="00F118E4"/>
    <w:rsid w:val="00F1193A"/>
    <w:rsid w:val="00F121B6"/>
    <w:rsid w:val="00F13EFA"/>
    <w:rsid w:val="00F17E32"/>
    <w:rsid w:val="00F22AC5"/>
    <w:rsid w:val="00F23179"/>
    <w:rsid w:val="00F23567"/>
    <w:rsid w:val="00F24985"/>
    <w:rsid w:val="00F255B5"/>
    <w:rsid w:val="00F261A6"/>
    <w:rsid w:val="00F26737"/>
    <w:rsid w:val="00F26D13"/>
    <w:rsid w:val="00F276FB"/>
    <w:rsid w:val="00F27E54"/>
    <w:rsid w:val="00F318A2"/>
    <w:rsid w:val="00F3198E"/>
    <w:rsid w:val="00F32112"/>
    <w:rsid w:val="00F34E11"/>
    <w:rsid w:val="00F35479"/>
    <w:rsid w:val="00F3570F"/>
    <w:rsid w:val="00F3580A"/>
    <w:rsid w:val="00F358A1"/>
    <w:rsid w:val="00F35CAA"/>
    <w:rsid w:val="00F3672B"/>
    <w:rsid w:val="00F367AB"/>
    <w:rsid w:val="00F36B77"/>
    <w:rsid w:val="00F41926"/>
    <w:rsid w:val="00F41975"/>
    <w:rsid w:val="00F4208C"/>
    <w:rsid w:val="00F420AD"/>
    <w:rsid w:val="00F42EA5"/>
    <w:rsid w:val="00F4519C"/>
    <w:rsid w:val="00F4555D"/>
    <w:rsid w:val="00F458FF"/>
    <w:rsid w:val="00F45980"/>
    <w:rsid w:val="00F478F5"/>
    <w:rsid w:val="00F509ED"/>
    <w:rsid w:val="00F528EE"/>
    <w:rsid w:val="00F53FB7"/>
    <w:rsid w:val="00F54C7D"/>
    <w:rsid w:val="00F54F6E"/>
    <w:rsid w:val="00F564B1"/>
    <w:rsid w:val="00F577E3"/>
    <w:rsid w:val="00F60C45"/>
    <w:rsid w:val="00F60DFB"/>
    <w:rsid w:val="00F62C76"/>
    <w:rsid w:val="00F62EA5"/>
    <w:rsid w:val="00F63543"/>
    <w:rsid w:val="00F63EDC"/>
    <w:rsid w:val="00F647B0"/>
    <w:rsid w:val="00F65287"/>
    <w:rsid w:val="00F67272"/>
    <w:rsid w:val="00F676E0"/>
    <w:rsid w:val="00F6775D"/>
    <w:rsid w:val="00F70B34"/>
    <w:rsid w:val="00F72306"/>
    <w:rsid w:val="00F7324F"/>
    <w:rsid w:val="00F7359F"/>
    <w:rsid w:val="00F73622"/>
    <w:rsid w:val="00F7568E"/>
    <w:rsid w:val="00F757C6"/>
    <w:rsid w:val="00F758E2"/>
    <w:rsid w:val="00F769DE"/>
    <w:rsid w:val="00F77AAC"/>
    <w:rsid w:val="00F802ED"/>
    <w:rsid w:val="00F807D3"/>
    <w:rsid w:val="00F809B3"/>
    <w:rsid w:val="00F80CC7"/>
    <w:rsid w:val="00F81786"/>
    <w:rsid w:val="00F81953"/>
    <w:rsid w:val="00F826EC"/>
    <w:rsid w:val="00F83795"/>
    <w:rsid w:val="00F85CDC"/>
    <w:rsid w:val="00F85E5A"/>
    <w:rsid w:val="00F86D3A"/>
    <w:rsid w:val="00F86F3F"/>
    <w:rsid w:val="00F87260"/>
    <w:rsid w:val="00F876E2"/>
    <w:rsid w:val="00F878BD"/>
    <w:rsid w:val="00F9031B"/>
    <w:rsid w:val="00F91E8B"/>
    <w:rsid w:val="00F92057"/>
    <w:rsid w:val="00F92984"/>
    <w:rsid w:val="00F94BD3"/>
    <w:rsid w:val="00F94D14"/>
    <w:rsid w:val="00F9581B"/>
    <w:rsid w:val="00F95C0E"/>
    <w:rsid w:val="00F9677D"/>
    <w:rsid w:val="00F96C8F"/>
    <w:rsid w:val="00F96EC6"/>
    <w:rsid w:val="00FA0CC2"/>
    <w:rsid w:val="00FA11F2"/>
    <w:rsid w:val="00FA153C"/>
    <w:rsid w:val="00FA185E"/>
    <w:rsid w:val="00FA22CE"/>
    <w:rsid w:val="00FA238F"/>
    <w:rsid w:val="00FA4733"/>
    <w:rsid w:val="00FA481F"/>
    <w:rsid w:val="00FA4B22"/>
    <w:rsid w:val="00FA5331"/>
    <w:rsid w:val="00FA61CD"/>
    <w:rsid w:val="00FA63A7"/>
    <w:rsid w:val="00FA63F4"/>
    <w:rsid w:val="00FA657B"/>
    <w:rsid w:val="00FA6A66"/>
    <w:rsid w:val="00FA6EB0"/>
    <w:rsid w:val="00FB055E"/>
    <w:rsid w:val="00FB17DB"/>
    <w:rsid w:val="00FB4625"/>
    <w:rsid w:val="00FB49E6"/>
    <w:rsid w:val="00FB6089"/>
    <w:rsid w:val="00FB67D9"/>
    <w:rsid w:val="00FB7614"/>
    <w:rsid w:val="00FC3B32"/>
    <w:rsid w:val="00FC4F84"/>
    <w:rsid w:val="00FC6A4C"/>
    <w:rsid w:val="00FC7098"/>
    <w:rsid w:val="00FC7BBF"/>
    <w:rsid w:val="00FC7D10"/>
    <w:rsid w:val="00FC7FE4"/>
    <w:rsid w:val="00FD01DB"/>
    <w:rsid w:val="00FD1678"/>
    <w:rsid w:val="00FD1FA5"/>
    <w:rsid w:val="00FD2697"/>
    <w:rsid w:val="00FD3F3C"/>
    <w:rsid w:val="00FD4421"/>
    <w:rsid w:val="00FD616B"/>
    <w:rsid w:val="00FD67DA"/>
    <w:rsid w:val="00FD6911"/>
    <w:rsid w:val="00FD7821"/>
    <w:rsid w:val="00FD7C8C"/>
    <w:rsid w:val="00FE0390"/>
    <w:rsid w:val="00FE2345"/>
    <w:rsid w:val="00FE2732"/>
    <w:rsid w:val="00FE2DFD"/>
    <w:rsid w:val="00FE3496"/>
    <w:rsid w:val="00FE4009"/>
    <w:rsid w:val="00FE4737"/>
    <w:rsid w:val="00FE5895"/>
    <w:rsid w:val="00FE7843"/>
    <w:rsid w:val="00FE7FAC"/>
    <w:rsid w:val="00FF112A"/>
    <w:rsid w:val="00FF1158"/>
    <w:rsid w:val="00FF16B6"/>
    <w:rsid w:val="00FF27D4"/>
    <w:rsid w:val="00FF439B"/>
    <w:rsid w:val="00FF4516"/>
    <w:rsid w:val="00FF4BBA"/>
    <w:rsid w:val="00FF6371"/>
    <w:rsid w:val="00FF7604"/>
    <w:rsid w:val="01E6DC06"/>
    <w:rsid w:val="026A6AAE"/>
    <w:rsid w:val="043AB225"/>
    <w:rsid w:val="0526A261"/>
    <w:rsid w:val="06D3AED7"/>
    <w:rsid w:val="0833E01D"/>
    <w:rsid w:val="0CA007C2"/>
    <w:rsid w:val="0CCCB629"/>
    <w:rsid w:val="0E0AC2CE"/>
    <w:rsid w:val="1028D5C0"/>
    <w:rsid w:val="1141AE95"/>
    <w:rsid w:val="12A76E4E"/>
    <w:rsid w:val="12E91C79"/>
    <w:rsid w:val="134CCF5F"/>
    <w:rsid w:val="14D5D56F"/>
    <w:rsid w:val="1864B737"/>
    <w:rsid w:val="18FE40AC"/>
    <w:rsid w:val="193D54DC"/>
    <w:rsid w:val="19DF2447"/>
    <w:rsid w:val="19F9F616"/>
    <w:rsid w:val="1C2BADCD"/>
    <w:rsid w:val="1D0813B3"/>
    <w:rsid w:val="1F53DFE0"/>
    <w:rsid w:val="1FE94207"/>
    <w:rsid w:val="200A9FD8"/>
    <w:rsid w:val="207D3D73"/>
    <w:rsid w:val="2128406C"/>
    <w:rsid w:val="2252EB08"/>
    <w:rsid w:val="2274D163"/>
    <w:rsid w:val="242EBC0F"/>
    <w:rsid w:val="2503E2BE"/>
    <w:rsid w:val="25406EB3"/>
    <w:rsid w:val="271A0CCC"/>
    <w:rsid w:val="2804190C"/>
    <w:rsid w:val="2A77C155"/>
    <w:rsid w:val="2AD045B4"/>
    <w:rsid w:val="2AF382AF"/>
    <w:rsid w:val="2B5A72C6"/>
    <w:rsid w:val="2B98B5EC"/>
    <w:rsid w:val="2CD2E3FF"/>
    <w:rsid w:val="30E3A0A7"/>
    <w:rsid w:val="39145E65"/>
    <w:rsid w:val="39242A82"/>
    <w:rsid w:val="39D1D747"/>
    <w:rsid w:val="3AF333E8"/>
    <w:rsid w:val="3B37954F"/>
    <w:rsid w:val="3B52D278"/>
    <w:rsid w:val="3BFFC3A0"/>
    <w:rsid w:val="3F385CA4"/>
    <w:rsid w:val="3F6A492C"/>
    <w:rsid w:val="3FD4C5A6"/>
    <w:rsid w:val="4152BE20"/>
    <w:rsid w:val="419387CF"/>
    <w:rsid w:val="421B8F8F"/>
    <w:rsid w:val="43F13F2D"/>
    <w:rsid w:val="46F8AD81"/>
    <w:rsid w:val="475170D6"/>
    <w:rsid w:val="476A4C6C"/>
    <w:rsid w:val="496BFB3A"/>
    <w:rsid w:val="4A7FAD74"/>
    <w:rsid w:val="4F933CD2"/>
    <w:rsid w:val="4F962ECE"/>
    <w:rsid w:val="50432CAB"/>
    <w:rsid w:val="51BA9618"/>
    <w:rsid w:val="5292B28B"/>
    <w:rsid w:val="52D36055"/>
    <w:rsid w:val="54FA716D"/>
    <w:rsid w:val="58FDF83B"/>
    <w:rsid w:val="59F83D32"/>
    <w:rsid w:val="5C2E260C"/>
    <w:rsid w:val="5D464D58"/>
    <w:rsid w:val="60979076"/>
    <w:rsid w:val="6178930A"/>
    <w:rsid w:val="64120389"/>
    <w:rsid w:val="6422E56D"/>
    <w:rsid w:val="65399E93"/>
    <w:rsid w:val="66759125"/>
    <w:rsid w:val="68031CDA"/>
    <w:rsid w:val="6C9C3CCC"/>
    <w:rsid w:val="6CEA9CC6"/>
    <w:rsid w:val="6D3826F8"/>
    <w:rsid w:val="6D9B227A"/>
    <w:rsid w:val="6DB73627"/>
    <w:rsid w:val="6DC1BC2A"/>
    <w:rsid w:val="6F63D050"/>
    <w:rsid w:val="6FBB3AAA"/>
    <w:rsid w:val="6FFC5497"/>
    <w:rsid w:val="706DCC14"/>
    <w:rsid w:val="70824E4D"/>
    <w:rsid w:val="71CB7E46"/>
    <w:rsid w:val="7207B806"/>
    <w:rsid w:val="72498749"/>
    <w:rsid w:val="73261D93"/>
    <w:rsid w:val="7447E459"/>
    <w:rsid w:val="7572A5E1"/>
    <w:rsid w:val="778038BC"/>
    <w:rsid w:val="77D53F02"/>
    <w:rsid w:val="793A0223"/>
    <w:rsid w:val="7A93530B"/>
    <w:rsid w:val="7BA0AFC0"/>
    <w:rsid w:val="7BDA782B"/>
    <w:rsid w:val="7BF03249"/>
    <w:rsid w:val="7DF6E26B"/>
    <w:rsid w:val="7E324563"/>
    <w:rsid w:val="7E486D58"/>
    <w:rsid w:val="7E80FB07"/>
    <w:rsid w:val="7F625461"/>
    <w:rsid w:val="7FA1A831"/>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evwrsetefptpe2ssaxwt9merfsrzzdzxf9&quot;&gt;Master Endnote database SC&lt;record-ids&gt;&lt;item&gt;29595&lt;/item&gt;&lt;item&gt;51468&lt;/item&gt;&lt;item&gt;51469&lt;/item&gt;&lt;item&gt;51470&lt;/item&gt;&lt;item&gt;51471&lt;/item&gt;&lt;item&gt;51472&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FB5760C"/>
  <w15:chartTrackingRefBased/>
  <w15:docId w15:val="{04B2D21B-A0D7-4CA1-8F71-5A3F722E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04D1"/>
    <w:pPr>
      <w:widowControl w:val="0"/>
      <w:autoSpaceDE w:val="0"/>
      <w:autoSpaceDN w:val="0"/>
      <w:adjustRightInd w:val="0"/>
    </w:pPr>
    <w:rPr>
      <w:sz w:val="24"/>
      <w:szCs w:val="24"/>
    </w:rPr>
  </w:style>
  <w:style w:type="paragraph" w:styleId="Heading1">
    <w:name w:val="heading 1"/>
    <w:basedOn w:val="Normal"/>
    <w:next w:val="Normal"/>
    <w:link w:val="Heading1Char"/>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style>
  <w:style w:type="paragraph" w:styleId="Heading2">
    <w:name w:val="heading 2"/>
    <w:basedOn w:val="Normal"/>
    <w:next w:val="Normal"/>
    <w:link w:val="Heading2Char"/>
    <w:uiPriority w:val="9"/>
    <w:unhideWhenUsed/>
    <w:qFormat/>
    <w:rsid w:val="00923D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31F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23DE9"/>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923DE9"/>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923DE9"/>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923DE9"/>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923DE9"/>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923DE9"/>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pPr>
    <w:rPr>
      <w:b/>
      <w:bCs/>
      <w:u w:val="single"/>
    </w:rPr>
  </w:style>
  <w:style w:type="paragraph" w:styleId="Subtitle">
    <w:name w:val="Subtitle"/>
    <w:basedOn w:val="Normal"/>
    <w:link w:val="SubtitleChar"/>
    <w:qFormat/>
    <w:rPr>
      <w:b/>
      <w:bCs/>
      <w:u w:val="single"/>
    </w:rPr>
  </w:style>
  <w:style w:type="paragraph" w:styleId="BodyText">
    <w:name w:val="Body Text"/>
    <w:basedOn w:val="Normal"/>
    <w:link w:val="BodyTex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rPr>
  </w:style>
  <w:style w:type="paragraph" w:styleId="BodyTextIndent">
    <w:name w:val="Body Text Indent"/>
    <w:basedOn w:val="Normal"/>
    <w:link w:val="BodyTextInden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style>
  <w:style w:type="paragraph" w:styleId="BodyText3">
    <w:name w:val="Body Text 3"/>
    <w:basedOn w:val="Normal"/>
    <w:link w:val="BodyText3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link w:val="BodyText2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basedOn w:val="Normal"/>
    <w:link w:val="HeaderChar"/>
    <w:rsid w:val="00F92057"/>
    <w:pPr>
      <w:tabs>
        <w:tab w:val="center" w:pos="4320"/>
        <w:tab w:val="right" w:pos="8640"/>
      </w:tabs>
    </w:pPr>
  </w:style>
  <w:style w:type="table" w:styleId="TableGrid">
    <w:name w:val="Table Grid"/>
    <w:basedOn w:val="TableNormal"/>
    <w:uiPriority w:val="39"/>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styleId="CommentReference">
    <w:name w:val="annotation reference"/>
    <w:rsid w:val="00585F92"/>
    <w:rPr>
      <w:sz w:val="16"/>
      <w:szCs w:val="16"/>
    </w:rPr>
  </w:style>
  <w:style w:type="paragraph" w:styleId="CommentText">
    <w:name w:val="annotation text"/>
    <w:basedOn w:val="Normal"/>
    <w:link w:val="CommentTextChar"/>
    <w:rsid w:val="00585F92"/>
  </w:style>
  <w:style w:type="character" w:customStyle="1" w:styleId="CommentTextChar">
    <w:name w:val="Comment Text Char"/>
    <w:link w:val="CommentText"/>
    <w:rsid w:val="00585F92"/>
    <w:rPr>
      <w:rFonts w:ascii="Letter Gothic 12cpi" w:hAnsi="Letter Gothic 12cpi"/>
    </w:rPr>
  </w:style>
  <w:style w:type="paragraph" w:styleId="CommentSubject">
    <w:name w:val="annotation subject"/>
    <w:basedOn w:val="CommentText"/>
    <w:next w:val="CommentText"/>
    <w:link w:val="CommentSubjectChar"/>
    <w:rsid w:val="00585F92"/>
    <w:rPr>
      <w:b/>
      <w:bCs/>
    </w:rPr>
  </w:style>
  <w:style w:type="character" w:customStyle="1" w:styleId="CommentSubjectChar">
    <w:name w:val="Comment Subject Char"/>
    <w:link w:val="CommentSubject"/>
    <w:rsid w:val="00585F92"/>
    <w:rPr>
      <w:rFonts w:ascii="Letter Gothic 12cpi" w:hAnsi="Letter Gothic 12cpi"/>
      <w:b/>
      <w:bCs/>
    </w:rPr>
  </w:style>
  <w:style w:type="paragraph" w:customStyle="1" w:styleId="Default">
    <w:name w:val="Default"/>
    <w:rsid w:val="00585F92"/>
    <w:pPr>
      <w:autoSpaceDE w:val="0"/>
      <w:autoSpaceDN w:val="0"/>
      <w:adjustRightInd w:val="0"/>
    </w:pPr>
    <w:rPr>
      <w:color w:val="000000"/>
      <w:sz w:val="24"/>
      <w:szCs w:val="24"/>
    </w:rPr>
  </w:style>
  <w:style w:type="paragraph" w:styleId="Revision">
    <w:name w:val="Revision"/>
    <w:hidden/>
    <w:uiPriority w:val="99"/>
    <w:semiHidden/>
    <w:rsid w:val="00832CFF"/>
    <w:rPr>
      <w:rFonts w:ascii="Letter Gothic 12cpi" w:hAnsi="Letter Gothic 12cpi"/>
    </w:rPr>
  </w:style>
  <w:style w:type="table" w:styleId="GridTable4Accent3">
    <w:name w:val="Grid Table 4 Accent 3"/>
    <w:basedOn w:val="TableNormal"/>
    <w:uiPriority w:val="49"/>
    <w:rsid w:val="003C142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AF3D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C12015"/>
    <w:rPr>
      <w:color w:val="666666"/>
    </w:rPr>
  </w:style>
  <w:style w:type="character" w:customStyle="1" w:styleId="BodyText3Char">
    <w:name w:val="Body Text 3 Char"/>
    <w:basedOn w:val="DefaultParagraphFont"/>
    <w:link w:val="BodyText3"/>
    <w:rsid w:val="00B8148B"/>
    <w:rPr>
      <w:rFonts w:ascii="Letter Gothic 12cpi" w:hAnsi="Letter Gothic 12cpi"/>
      <w:color w:val="FF0000"/>
      <w:sz w:val="24"/>
      <w:szCs w:val="24"/>
    </w:rPr>
  </w:style>
  <w:style w:type="paragraph" w:customStyle="1" w:styleId="FMCSAText1">
    <w:name w:val="FMCSA Text 1"/>
    <w:link w:val="FMCSAText1Char"/>
    <w:uiPriority w:val="99"/>
    <w:qFormat/>
    <w:rsid w:val="00430D0F"/>
    <w:pPr>
      <w:spacing w:after="240"/>
    </w:pPr>
    <w:rPr>
      <w:rFonts w:eastAsia="Calibri"/>
      <w:sz w:val="24"/>
      <w:szCs w:val="24"/>
    </w:rPr>
  </w:style>
  <w:style w:type="character" w:customStyle="1" w:styleId="FMCSAText1Char">
    <w:name w:val="FMCSA Text 1 Char"/>
    <w:link w:val="FMCSAText1"/>
    <w:uiPriority w:val="99"/>
    <w:locked/>
    <w:rsid w:val="00430D0F"/>
    <w:rPr>
      <w:rFonts w:eastAsia="Calibri"/>
      <w:sz w:val="24"/>
      <w:szCs w:val="24"/>
    </w:rPr>
  </w:style>
  <w:style w:type="character" w:customStyle="1" w:styleId="BodyText2Char">
    <w:name w:val="Body Text 2 Char"/>
    <w:basedOn w:val="DefaultParagraphFont"/>
    <w:link w:val="BodyText2"/>
    <w:rsid w:val="00585AF5"/>
    <w:rPr>
      <w:b/>
      <w:bCs/>
      <w:sz w:val="24"/>
    </w:rPr>
  </w:style>
  <w:style w:type="character" w:customStyle="1" w:styleId="A9">
    <w:name w:val="A9"/>
    <w:uiPriority w:val="99"/>
    <w:rsid w:val="00F121B6"/>
    <w:rPr>
      <w:rFonts w:cs="Arial Narrow"/>
      <w:color w:val="000000"/>
      <w:sz w:val="16"/>
      <w:szCs w:val="16"/>
    </w:rPr>
  </w:style>
  <w:style w:type="character" w:customStyle="1" w:styleId="Heading3Char">
    <w:name w:val="Heading 3 Char"/>
    <w:basedOn w:val="DefaultParagraphFont"/>
    <w:link w:val="Heading3"/>
    <w:uiPriority w:val="9"/>
    <w:rsid w:val="007331F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923DE9"/>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923DE9"/>
    <w:pPr>
      <w:widowControl/>
      <w:autoSpaceDE/>
      <w:autoSpaceDN/>
      <w:adjustRightInd/>
      <w:spacing w:after="200"/>
    </w:pPr>
    <w:rPr>
      <w:rFonts w:asciiTheme="minorHAnsi" w:eastAsiaTheme="minorHAnsi" w:hAnsiTheme="minorHAnsi" w:cstheme="minorBidi"/>
      <w:i/>
      <w:iCs/>
      <w:color w:val="44546A" w:themeColor="text2"/>
      <w:kern w:val="2"/>
      <w:sz w:val="18"/>
      <w:szCs w:val="18"/>
      <w14:ligatures w14:val="standardContextual"/>
    </w:rPr>
  </w:style>
  <w:style w:type="character" w:customStyle="1" w:styleId="Heading4Char">
    <w:name w:val="Heading 4 Char"/>
    <w:basedOn w:val="DefaultParagraphFont"/>
    <w:link w:val="Heading4"/>
    <w:uiPriority w:val="9"/>
    <w:rsid w:val="00923DE9"/>
    <w:rPr>
      <w:rFonts w:asciiTheme="minorHAnsi" w:eastAsiaTheme="majorEastAsia" w:hAnsiTheme="minorHAnsi" w:cstheme="majorBidi"/>
      <w:i/>
      <w:iCs/>
      <w:color w:val="2F5496" w:themeColor="accent1" w:themeShade="BF"/>
      <w:kern w:val="2"/>
      <w:sz w:val="22"/>
      <w:szCs w:val="24"/>
      <w14:ligatures w14:val="standardContextual"/>
    </w:rPr>
  </w:style>
  <w:style w:type="character" w:customStyle="1" w:styleId="Heading5Char">
    <w:name w:val="Heading 5 Char"/>
    <w:basedOn w:val="DefaultParagraphFont"/>
    <w:link w:val="Heading5"/>
    <w:uiPriority w:val="9"/>
    <w:semiHidden/>
    <w:rsid w:val="00923DE9"/>
    <w:rPr>
      <w:rFonts w:asciiTheme="minorHAnsi" w:eastAsiaTheme="majorEastAsia" w:hAnsiTheme="minorHAnsi" w:cstheme="majorBidi"/>
      <w:color w:val="2F5496" w:themeColor="accent1" w:themeShade="BF"/>
      <w:kern w:val="2"/>
      <w:sz w:val="22"/>
      <w:szCs w:val="24"/>
      <w14:ligatures w14:val="standardContextual"/>
    </w:rPr>
  </w:style>
  <w:style w:type="character" w:customStyle="1" w:styleId="Heading6Char">
    <w:name w:val="Heading 6 Char"/>
    <w:basedOn w:val="DefaultParagraphFont"/>
    <w:link w:val="Heading6"/>
    <w:uiPriority w:val="9"/>
    <w:semiHidden/>
    <w:rsid w:val="00923DE9"/>
    <w:rPr>
      <w:rFonts w:asciiTheme="minorHAnsi" w:eastAsiaTheme="majorEastAsia" w:hAnsiTheme="minorHAnsi" w:cstheme="majorBidi"/>
      <w:i/>
      <w:iCs/>
      <w:color w:val="595959" w:themeColor="text1" w:themeTint="A6"/>
      <w:kern w:val="2"/>
      <w:sz w:val="22"/>
      <w:szCs w:val="24"/>
      <w14:ligatures w14:val="standardContextual"/>
    </w:rPr>
  </w:style>
  <w:style w:type="character" w:customStyle="1" w:styleId="Heading7Char">
    <w:name w:val="Heading 7 Char"/>
    <w:basedOn w:val="DefaultParagraphFont"/>
    <w:link w:val="Heading7"/>
    <w:uiPriority w:val="9"/>
    <w:semiHidden/>
    <w:rsid w:val="00923DE9"/>
    <w:rPr>
      <w:rFonts w:asciiTheme="minorHAnsi" w:eastAsiaTheme="majorEastAsia" w:hAnsiTheme="minorHAnsi" w:cstheme="majorBidi"/>
      <w:color w:val="595959" w:themeColor="text1" w:themeTint="A6"/>
      <w:kern w:val="2"/>
      <w:sz w:val="22"/>
      <w:szCs w:val="24"/>
      <w14:ligatures w14:val="standardContextual"/>
    </w:rPr>
  </w:style>
  <w:style w:type="character" w:customStyle="1" w:styleId="Heading8Char">
    <w:name w:val="Heading 8 Char"/>
    <w:basedOn w:val="DefaultParagraphFont"/>
    <w:link w:val="Heading8"/>
    <w:uiPriority w:val="9"/>
    <w:semiHidden/>
    <w:rsid w:val="00923DE9"/>
    <w:rPr>
      <w:rFonts w:asciiTheme="minorHAnsi" w:eastAsiaTheme="majorEastAsia" w:hAnsiTheme="minorHAnsi" w:cstheme="majorBidi"/>
      <w:i/>
      <w:iCs/>
      <w:color w:val="272727" w:themeColor="text1" w:themeTint="D8"/>
      <w:kern w:val="2"/>
      <w:sz w:val="22"/>
      <w:szCs w:val="24"/>
      <w14:ligatures w14:val="standardContextual"/>
    </w:rPr>
  </w:style>
  <w:style w:type="character" w:customStyle="1" w:styleId="Heading9Char">
    <w:name w:val="Heading 9 Char"/>
    <w:basedOn w:val="DefaultParagraphFont"/>
    <w:link w:val="Heading9"/>
    <w:uiPriority w:val="9"/>
    <w:semiHidden/>
    <w:rsid w:val="00923DE9"/>
    <w:rPr>
      <w:rFonts w:asciiTheme="minorHAnsi" w:eastAsiaTheme="majorEastAsia" w:hAnsiTheme="minorHAnsi" w:cstheme="majorBidi"/>
      <w:color w:val="272727" w:themeColor="text1" w:themeTint="D8"/>
      <w:kern w:val="2"/>
      <w:sz w:val="22"/>
      <w:szCs w:val="24"/>
      <w14:ligatures w14:val="standardContextual"/>
    </w:rPr>
  </w:style>
  <w:style w:type="character" w:customStyle="1" w:styleId="Heading1Char">
    <w:name w:val="Heading 1 Char"/>
    <w:basedOn w:val="DefaultParagraphFont"/>
    <w:link w:val="Heading1"/>
    <w:rsid w:val="00923DE9"/>
    <w:rPr>
      <w:rFonts w:ascii="Letter Gothic 12cpi" w:hAnsi="Letter Gothic 12cpi"/>
      <w:sz w:val="24"/>
      <w:szCs w:val="24"/>
    </w:rPr>
  </w:style>
  <w:style w:type="character" w:customStyle="1" w:styleId="TitleChar">
    <w:name w:val="Title Char"/>
    <w:basedOn w:val="DefaultParagraphFont"/>
    <w:link w:val="Title"/>
    <w:rsid w:val="00923DE9"/>
    <w:rPr>
      <w:rFonts w:ascii="Letter Gothic 12cpi" w:hAnsi="Letter Gothic 12cpi"/>
      <w:b/>
      <w:bCs/>
      <w:sz w:val="24"/>
      <w:szCs w:val="24"/>
      <w:u w:val="single"/>
    </w:rPr>
  </w:style>
  <w:style w:type="character" w:customStyle="1" w:styleId="SubtitleChar">
    <w:name w:val="Subtitle Char"/>
    <w:basedOn w:val="DefaultParagraphFont"/>
    <w:link w:val="Subtitle"/>
    <w:rsid w:val="00923DE9"/>
    <w:rPr>
      <w:rFonts w:ascii="Letter Gothic 12cpi" w:hAnsi="Letter Gothic 12cpi"/>
      <w:b/>
      <w:bCs/>
      <w:sz w:val="24"/>
      <w:szCs w:val="24"/>
      <w:u w:val="single"/>
    </w:rPr>
  </w:style>
  <w:style w:type="paragraph" w:styleId="Quote">
    <w:name w:val="Quote"/>
    <w:basedOn w:val="Normal"/>
    <w:next w:val="Normal"/>
    <w:link w:val="QuoteChar"/>
    <w:uiPriority w:val="29"/>
    <w:qFormat/>
    <w:rsid w:val="00923DE9"/>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923DE9"/>
    <w:rPr>
      <w:rFonts w:asciiTheme="minorHAnsi" w:eastAsiaTheme="minorHAnsi" w:hAnsiTheme="minorHAnsi" w:cstheme="minorBidi"/>
      <w:i/>
      <w:iCs/>
      <w:color w:val="404040" w:themeColor="text1" w:themeTint="BF"/>
      <w:kern w:val="2"/>
      <w:sz w:val="22"/>
      <w:szCs w:val="24"/>
      <w14:ligatures w14:val="standardContextual"/>
    </w:rPr>
  </w:style>
  <w:style w:type="character" w:styleId="IntenseEmphasis">
    <w:name w:val="Intense Emphasis"/>
    <w:basedOn w:val="DefaultParagraphFont"/>
    <w:uiPriority w:val="21"/>
    <w:qFormat/>
    <w:rsid w:val="00923DE9"/>
    <w:rPr>
      <w:i/>
      <w:iCs/>
      <w:color w:val="2F5496" w:themeColor="accent1" w:themeShade="BF"/>
    </w:rPr>
  </w:style>
  <w:style w:type="paragraph" w:styleId="IntenseQuote">
    <w:name w:val="Intense Quote"/>
    <w:basedOn w:val="Normal"/>
    <w:next w:val="Normal"/>
    <w:link w:val="IntenseQuoteChar"/>
    <w:uiPriority w:val="30"/>
    <w:qFormat/>
    <w:rsid w:val="00923DE9"/>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923DE9"/>
    <w:rPr>
      <w:rFonts w:asciiTheme="minorHAnsi" w:eastAsiaTheme="minorHAnsi" w:hAnsiTheme="minorHAnsi" w:cstheme="minorBidi"/>
      <w:i/>
      <w:iCs/>
      <w:color w:val="2F5496" w:themeColor="accent1" w:themeShade="BF"/>
      <w:kern w:val="2"/>
      <w:sz w:val="22"/>
      <w:szCs w:val="24"/>
      <w14:ligatures w14:val="standardContextual"/>
    </w:rPr>
  </w:style>
  <w:style w:type="character" w:styleId="IntenseReference">
    <w:name w:val="Intense Reference"/>
    <w:basedOn w:val="DefaultParagraphFont"/>
    <w:uiPriority w:val="32"/>
    <w:qFormat/>
    <w:rsid w:val="00923DE9"/>
    <w:rPr>
      <w:b/>
      <w:bCs/>
      <w:smallCaps/>
      <w:color w:val="2F5496" w:themeColor="accent1" w:themeShade="BF"/>
      <w:spacing w:val="5"/>
    </w:rPr>
  </w:style>
  <w:style w:type="character" w:customStyle="1" w:styleId="FooterChar">
    <w:name w:val="Footer Char"/>
    <w:basedOn w:val="DefaultParagraphFont"/>
    <w:link w:val="Footer"/>
    <w:uiPriority w:val="99"/>
    <w:rsid w:val="00923DE9"/>
    <w:rPr>
      <w:rFonts w:ascii="Letter Gothic 12cpi" w:hAnsi="Letter Gothic 12cpi"/>
    </w:rPr>
  </w:style>
  <w:style w:type="character" w:customStyle="1" w:styleId="BodyTextChar">
    <w:name w:val="Body Text Char"/>
    <w:basedOn w:val="DefaultParagraphFont"/>
    <w:link w:val="BodyText"/>
    <w:rsid w:val="00923DE9"/>
    <w:rPr>
      <w:rFonts w:ascii="Letter Gothic 12cpi" w:hAnsi="Letter Gothic 12cpi"/>
      <w:color w:val="FF00FF"/>
      <w:sz w:val="24"/>
      <w:szCs w:val="24"/>
    </w:rPr>
  </w:style>
  <w:style w:type="character" w:customStyle="1" w:styleId="BodyTextIndentChar">
    <w:name w:val="Body Text Indent Char"/>
    <w:basedOn w:val="DefaultParagraphFont"/>
    <w:link w:val="BodyTextIndent"/>
    <w:rsid w:val="00923DE9"/>
    <w:rPr>
      <w:rFonts w:ascii="Letter Gothic 12cpi" w:hAnsi="Letter Gothic 12cpi"/>
      <w:sz w:val="24"/>
      <w:szCs w:val="24"/>
    </w:rPr>
  </w:style>
  <w:style w:type="character" w:customStyle="1" w:styleId="HeaderChar">
    <w:name w:val="Header Char"/>
    <w:basedOn w:val="DefaultParagraphFont"/>
    <w:link w:val="Header"/>
    <w:rsid w:val="00923DE9"/>
    <w:rPr>
      <w:rFonts w:ascii="Letter Gothic 12cpi" w:hAnsi="Letter Gothic 12cpi"/>
    </w:rPr>
  </w:style>
  <w:style w:type="character" w:customStyle="1" w:styleId="DocumentMapChar">
    <w:name w:val="Document Map Char"/>
    <w:basedOn w:val="DefaultParagraphFont"/>
    <w:link w:val="DocumentMap"/>
    <w:semiHidden/>
    <w:rsid w:val="00923DE9"/>
    <w:rPr>
      <w:rFonts w:ascii="Tahoma" w:hAnsi="Tahoma" w:cs="Tahoma"/>
      <w:shd w:val="clear" w:color="auto" w:fill="000080"/>
    </w:rPr>
  </w:style>
  <w:style w:type="paragraph" w:styleId="TOCHeading">
    <w:name w:val="TOC Heading"/>
    <w:basedOn w:val="Heading1"/>
    <w:next w:val="Normal"/>
    <w:uiPriority w:val="39"/>
    <w:unhideWhenUsed/>
    <w:qFormat/>
    <w:rsid w:val="00923DE9"/>
    <w:pPr>
      <w:keepLines/>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utoSpaceDE/>
      <w:autoSpaceDN/>
      <w:adjustRightInd/>
      <w:spacing w:before="240" w:line="259" w:lineRule="auto"/>
      <w:outlineLvl w:val="9"/>
    </w:pPr>
    <w:rPr>
      <w:rFonts w:asciiTheme="majorHAnsi" w:eastAsiaTheme="majorEastAsia" w:hAnsiTheme="majorHAnsi" w:cstheme="majorBidi"/>
      <w:color w:val="2F5496" w:themeColor="accent1" w:themeShade="BF"/>
      <w:sz w:val="32"/>
      <w:szCs w:val="32"/>
      <w14:ligatures w14:val="standardContextual"/>
    </w:rPr>
  </w:style>
  <w:style w:type="paragraph" w:styleId="TOC1">
    <w:name w:val="toc 1"/>
    <w:basedOn w:val="Normal"/>
    <w:next w:val="Normal"/>
    <w:autoRedefine/>
    <w:uiPriority w:val="39"/>
    <w:unhideWhenUsed/>
    <w:rsid w:val="00923DE9"/>
    <w:pPr>
      <w:widowControl/>
      <w:autoSpaceDE/>
      <w:autoSpaceDN/>
      <w:adjustRightInd/>
      <w:spacing w:after="100" w:line="278" w:lineRule="auto"/>
    </w:pPr>
    <w:rPr>
      <w:rFonts w:asciiTheme="minorHAnsi" w:eastAsiaTheme="minorHAnsi" w:hAnsiTheme="minorHAnsi" w:cstheme="minorBidi"/>
      <w:kern w:val="2"/>
      <w:sz w:val="22"/>
      <w14:ligatures w14:val="standardContextual"/>
    </w:rPr>
  </w:style>
  <w:style w:type="paragraph" w:styleId="TOC2">
    <w:name w:val="toc 2"/>
    <w:basedOn w:val="Normal"/>
    <w:next w:val="Normal"/>
    <w:autoRedefine/>
    <w:uiPriority w:val="39"/>
    <w:unhideWhenUsed/>
    <w:rsid w:val="00923DE9"/>
    <w:pPr>
      <w:widowControl/>
      <w:autoSpaceDE/>
      <w:autoSpaceDN/>
      <w:adjustRightInd/>
      <w:spacing w:after="100" w:line="278" w:lineRule="auto"/>
      <w:ind w:left="240"/>
    </w:pPr>
    <w:rPr>
      <w:rFonts w:asciiTheme="minorHAnsi" w:eastAsiaTheme="minorHAnsi" w:hAnsiTheme="minorHAnsi" w:cstheme="minorBidi"/>
      <w:kern w:val="2"/>
      <w:sz w:val="22"/>
      <w14:ligatures w14:val="standardContextual"/>
    </w:rPr>
  </w:style>
  <w:style w:type="paragraph" w:styleId="TOC3">
    <w:name w:val="toc 3"/>
    <w:basedOn w:val="Normal"/>
    <w:next w:val="Normal"/>
    <w:autoRedefine/>
    <w:uiPriority w:val="39"/>
    <w:unhideWhenUsed/>
    <w:rsid w:val="00923DE9"/>
    <w:pPr>
      <w:widowControl/>
      <w:autoSpaceDE/>
      <w:autoSpaceDN/>
      <w:adjustRightInd/>
      <w:spacing w:after="100" w:line="278" w:lineRule="auto"/>
      <w:ind w:left="480"/>
    </w:pPr>
    <w:rPr>
      <w:rFonts w:asciiTheme="minorHAnsi" w:eastAsiaTheme="minorHAnsi" w:hAnsiTheme="minorHAnsi" w:cstheme="minorBidi"/>
      <w:kern w:val="2"/>
      <w:sz w:val="22"/>
      <w14:ligatures w14:val="standardContextual"/>
    </w:rPr>
  </w:style>
  <w:style w:type="paragraph" w:customStyle="1" w:styleId="Normal0">
    <w:name w:val="[Normal]"/>
    <w:rsid w:val="00923DE9"/>
    <w:pPr>
      <w:widowControl w:val="0"/>
      <w:autoSpaceDE w:val="0"/>
      <w:autoSpaceDN w:val="0"/>
      <w:adjustRightInd w:val="0"/>
    </w:pPr>
    <w:rPr>
      <w:rFonts w:ascii="Arial" w:hAnsi="Arial" w:eastAsiaTheme="minorHAnsi" w:cs="Arial"/>
      <w:sz w:val="24"/>
      <w:szCs w:val="24"/>
      <w:lang w:val="x-none"/>
      <w14:ligatures w14:val="standardContextual"/>
    </w:rPr>
  </w:style>
  <w:style w:type="table" w:styleId="GridTable5DarkAccent1">
    <w:name w:val="Grid Table 5 Dark Accent 1"/>
    <w:basedOn w:val="TableNormal"/>
    <w:uiPriority w:val="50"/>
    <w:rsid w:val="00923DE9"/>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923DE9"/>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EndNoteBibliographyTitle">
    <w:name w:val="EndNote Bibliography Title"/>
    <w:basedOn w:val="Normal"/>
    <w:link w:val="EndNoteBibliographyTitleChar"/>
    <w:rsid w:val="00923DE9"/>
    <w:pPr>
      <w:widowControl/>
      <w:autoSpaceDE/>
      <w:autoSpaceDN/>
      <w:adjustRightInd/>
      <w:spacing w:line="278" w:lineRule="auto"/>
      <w:jc w:val="center"/>
    </w:pPr>
    <w:rPr>
      <w:rFonts w:ascii="Aptos" w:hAnsi="Aptos" w:eastAsiaTheme="minorHAnsi" w:cstheme="minorBidi"/>
      <w:noProof/>
      <w:kern w:val="2"/>
      <w:sz w:val="22"/>
      <w14:ligatures w14:val="standardContextual"/>
    </w:rPr>
  </w:style>
  <w:style w:type="character" w:customStyle="1" w:styleId="EndNoteBibliographyTitleChar">
    <w:name w:val="EndNote Bibliography Title Char"/>
    <w:basedOn w:val="DefaultParagraphFont"/>
    <w:link w:val="EndNoteBibliographyTitle"/>
    <w:rsid w:val="00923DE9"/>
    <w:rPr>
      <w:rFonts w:ascii="Aptos" w:hAnsi="Aptos" w:eastAsiaTheme="minorHAnsi" w:cstheme="minorBidi"/>
      <w:noProof/>
      <w:kern w:val="2"/>
      <w:sz w:val="22"/>
      <w:szCs w:val="24"/>
      <w14:ligatures w14:val="standardContextual"/>
    </w:rPr>
  </w:style>
  <w:style w:type="paragraph" w:customStyle="1" w:styleId="EndNoteBibliography">
    <w:name w:val="EndNote Bibliography"/>
    <w:basedOn w:val="Normal"/>
    <w:link w:val="EndNoteBibliographyChar"/>
    <w:rsid w:val="00923DE9"/>
    <w:pPr>
      <w:widowControl/>
      <w:autoSpaceDE/>
      <w:autoSpaceDN/>
      <w:adjustRightInd/>
      <w:spacing w:after="160"/>
    </w:pPr>
    <w:rPr>
      <w:rFonts w:ascii="Aptos" w:hAnsi="Aptos" w:eastAsiaTheme="minorHAnsi" w:cstheme="minorBidi"/>
      <w:noProof/>
      <w:kern w:val="2"/>
      <w:sz w:val="22"/>
      <w14:ligatures w14:val="standardContextual"/>
    </w:rPr>
  </w:style>
  <w:style w:type="character" w:customStyle="1" w:styleId="EndNoteBibliographyChar">
    <w:name w:val="EndNote Bibliography Char"/>
    <w:basedOn w:val="DefaultParagraphFont"/>
    <w:link w:val="EndNoteBibliography"/>
    <w:rsid w:val="00923DE9"/>
    <w:rPr>
      <w:rFonts w:ascii="Aptos" w:hAnsi="Aptos" w:eastAsiaTheme="minorHAnsi" w:cstheme="minorBidi"/>
      <w:noProof/>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b24f97c0bab3154e425f23079f60cc16">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10f5db2cbb472c2d3452bceb91b4ed3d"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3B5ABB-5CD7-4B7D-9840-8588D5D08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44E6D-DDB7-46A7-A0D5-01CE71BACA7D}">
  <ds:schemaRefs>
    <ds:schemaRef ds:uri="http://schemas.openxmlformats.org/officeDocument/2006/bibliography"/>
  </ds:schemaRefs>
</ds:datastoreItem>
</file>

<file path=customXml/itemProps3.xml><?xml version="1.0" encoding="utf-8"?>
<ds:datastoreItem xmlns:ds="http://schemas.openxmlformats.org/officeDocument/2006/customXml" ds:itemID="{6B294DD0-54F6-4D3F-A21C-6F9745EB1B34}">
  <ds:schemaRefs>
    <ds:schemaRef ds:uri="http://schemas.microsoft.com/sharepoint/v3/contenttype/forms"/>
  </ds:schemaRefs>
</ds:datastoreItem>
</file>

<file path=customXml/itemProps4.xml><?xml version="1.0" encoding="utf-8"?>
<ds:datastoreItem xmlns:ds="http://schemas.openxmlformats.org/officeDocument/2006/customXml" ds:itemID="{F6141063-2449-446F-9D9C-11B3ADA39C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5917</Words>
  <Characters>33732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39570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Daniel Mollicone</dc:creator>
  <cp:lastModifiedBy>Oliver, Roxane (FMCSA)</cp:lastModifiedBy>
  <cp:revision>2</cp:revision>
  <cp:lastPrinted>2014-05-07T16:48:00Z</cp:lastPrinted>
  <dcterms:created xsi:type="dcterms:W3CDTF">2026-04-15T13:34:00Z</dcterms:created>
  <dcterms:modified xsi:type="dcterms:W3CDTF">2026-04-15T13:34:00Z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docLang">
    <vt:lpwstr>en</vt:lpwstr>
  </property>
</Properties>
</file>