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D24D7" w:rsidRPr="001D24D7" w:rsidP="001D24D7" w14:paraId="187711A7" w14:textId="77777777">
      <w:pPr>
        <w:pStyle w:val="NormalWeb"/>
        <w:spacing w:before="0" w:beforeAutospacing="0" w:after="0" w:afterAutospacing="0"/>
        <w:jc w:val="center"/>
        <w:rPr>
          <w:rFonts w:ascii="Times New Roman" w:hAnsi="Times New Roman" w:cs="Times New Roman"/>
          <w:b/>
          <w:bCs/>
        </w:rPr>
      </w:pPr>
      <w:r w:rsidRPr="001D24D7">
        <w:rPr>
          <w:rFonts w:ascii="Times New Roman" w:hAnsi="Times New Roman" w:cs="Times New Roman"/>
          <w:b/>
          <w:bCs/>
        </w:rPr>
        <w:t>Department of Transportation</w:t>
      </w:r>
    </w:p>
    <w:p w:rsidR="001D24D7" w:rsidRPr="001D24D7" w:rsidP="001D24D7" w14:paraId="246940C6" w14:textId="52F191E6">
      <w:pPr>
        <w:pStyle w:val="NormalWeb"/>
        <w:spacing w:before="0" w:beforeAutospacing="0" w:after="0" w:afterAutospacing="0"/>
        <w:jc w:val="center"/>
        <w:rPr>
          <w:rFonts w:ascii="Times New Roman" w:hAnsi="Times New Roman" w:cs="Times New Roman"/>
          <w:b/>
          <w:bCs/>
        </w:rPr>
      </w:pPr>
      <w:r w:rsidRPr="001D24D7">
        <w:rPr>
          <w:rFonts w:ascii="Times New Roman" w:hAnsi="Times New Roman" w:cs="Times New Roman"/>
          <w:b/>
          <w:bCs/>
        </w:rPr>
        <w:t>Federal Motor Carrier Safety Administration</w:t>
      </w:r>
    </w:p>
    <w:p w:rsidR="001D24D7" w:rsidRPr="001D24D7" w:rsidP="001D24D7" w14:paraId="74E6A459" w14:textId="77777777">
      <w:pPr>
        <w:pStyle w:val="NormalWeb"/>
        <w:spacing w:before="0" w:beforeAutospacing="0" w:after="0" w:afterAutospacing="0"/>
        <w:jc w:val="center"/>
        <w:rPr>
          <w:rFonts w:ascii="Times New Roman" w:hAnsi="Times New Roman" w:cs="Times New Roman"/>
          <w:b/>
          <w:bCs/>
        </w:rPr>
      </w:pPr>
    </w:p>
    <w:p w:rsidR="001D24D7" w:rsidRPr="001D24D7" w:rsidP="001D24D7" w14:paraId="4F3BE1EB" w14:textId="2AECF921">
      <w:pPr>
        <w:pStyle w:val="NormalWeb"/>
        <w:spacing w:before="0" w:beforeAutospacing="0" w:after="0" w:afterAutospacing="0"/>
        <w:jc w:val="center"/>
        <w:rPr>
          <w:rFonts w:ascii="Times New Roman" w:hAnsi="Times New Roman" w:cs="Times New Roman"/>
          <w:b/>
          <w:bCs/>
          <w:u w:val="single"/>
        </w:rPr>
      </w:pPr>
      <w:r w:rsidRPr="001D24D7">
        <w:rPr>
          <w:rFonts w:ascii="Times New Roman" w:hAnsi="Times New Roman" w:cs="Times New Roman"/>
          <w:b/>
          <w:bCs/>
          <w:u w:val="single"/>
        </w:rPr>
        <w:t>SUPPORTING STATEMENT</w:t>
      </w:r>
    </w:p>
    <w:p w:rsidR="001D24D7" w:rsidRPr="001D24D7" w:rsidP="001D24D7" w14:paraId="4756CA50" w14:textId="77777777">
      <w:pPr>
        <w:pStyle w:val="NormalWeb"/>
        <w:spacing w:before="0" w:beforeAutospacing="0" w:after="0" w:afterAutospacing="0"/>
        <w:jc w:val="center"/>
        <w:rPr>
          <w:rFonts w:ascii="Times New Roman" w:hAnsi="Times New Roman" w:cs="Times New Roman"/>
          <w:b/>
          <w:bCs/>
        </w:rPr>
      </w:pPr>
      <w:bookmarkStart w:id="0" w:name="_Hlk194496526"/>
      <w:r w:rsidRPr="001D24D7">
        <w:rPr>
          <w:rFonts w:ascii="Times New Roman" w:hAnsi="Times New Roman" w:cs="Times New Roman"/>
          <w:b/>
          <w:bCs/>
        </w:rPr>
        <w:t>“CRASH RISKS BY COMMERCIAL MOTOR VEHICLE (CMV) DRIVER SCHEDULES” ICR</w:t>
      </w:r>
      <w:bookmarkEnd w:id="0"/>
    </w:p>
    <w:p w:rsidR="001D24D7" w:rsidRPr="001D24D7" w:rsidP="001D24D7" w14:paraId="679C4603" w14:textId="77777777">
      <w:pPr>
        <w:pStyle w:val="NormalWeb"/>
        <w:spacing w:before="0" w:beforeAutospacing="0" w:after="0" w:afterAutospacing="0"/>
        <w:jc w:val="center"/>
        <w:rPr>
          <w:rFonts w:ascii="Times New Roman" w:hAnsi="Times New Roman" w:cs="Times New Roman"/>
          <w:b/>
          <w:bCs/>
        </w:rPr>
      </w:pPr>
      <w:r w:rsidRPr="001D24D7">
        <w:rPr>
          <w:rFonts w:ascii="Times New Roman" w:hAnsi="Times New Roman" w:cs="Times New Roman"/>
          <w:b/>
          <w:bCs/>
        </w:rPr>
        <w:t>OMB Control No. 2126-TBD</w:t>
      </w:r>
    </w:p>
    <w:p w:rsidR="001D24D7" w:rsidP="00135629" w14:paraId="70D62DEA" w14:textId="77777777">
      <w:pPr>
        <w:pStyle w:val="NormalWeb"/>
        <w:rPr>
          <w:rFonts w:ascii="Times New Roman" w:hAnsi="Times New Roman" w:cs="Times New Roman"/>
          <w:b/>
          <w:bCs/>
          <w:u w:val="single"/>
        </w:rPr>
      </w:pPr>
    </w:p>
    <w:p w:rsidR="001D24D7" w:rsidP="00135629" w14:paraId="16C7EB7F" w14:textId="77777777">
      <w:pPr>
        <w:pStyle w:val="NormalWeb"/>
        <w:rPr>
          <w:rFonts w:ascii="Times New Roman" w:hAnsi="Times New Roman" w:cs="Times New Roman"/>
          <w:b/>
          <w:bCs/>
          <w:u w:val="single"/>
        </w:rPr>
      </w:pPr>
    </w:p>
    <w:p w:rsidR="0004749E" w:rsidRPr="0016660B" w:rsidP="00135629" w14:paraId="151E6D90" w14:textId="1E1D09EA">
      <w:pPr>
        <w:pStyle w:val="NormalWeb"/>
        <w:rPr>
          <w:rFonts w:ascii="Times New Roman" w:hAnsi="Times New Roman" w:cs="Times New Roman"/>
          <w:b/>
          <w:bCs/>
          <w:u w:val="single"/>
        </w:rPr>
      </w:pPr>
      <w:r w:rsidRPr="0016660B">
        <w:rPr>
          <w:rFonts w:ascii="Times New Roman" w:hAnsi="Times New Roman" w:cs="Times New Roman"/>
          <w:b/>
          <w:bCs/>
          <w:u w:val="single"/>
        </w:rPr>
        <w:t xml:space="preserve">Part B. </w:t>
      </w:r>
      <w:r w:rsidRPr="0016660B" w:rsidR="00FE7FAC">
        <w:rPr>
          <w:rFonts w:ascii="Times New Roman" w:hAnsi="Times New Roman" w:cs="Times New Roman"/>
          <w:b/>
          <w:bCs/>
          <w:u w:val="single"/>
        </w:rPr>
        <w:t xml:space="preserve"> </w:t>
      </w:r>
      <w:r w:rsidRPr="0016660B">
        <w:rPr>
          <w:rFonts w:ascii="Times New Roman" w:hAnsi="Times New Roman" w:cs="Times New Roman"/>
          <w:b/>
          <w:bCs/>
          <w:u w:val="single"/>
        </w:rPr>
        <w:t>Collections of Informatio</w:t>
      </w:r>
      <w:r w:rsidRPr="0016660B" w:rsidR="00D569DC">
        <w:rPr>
          <w:rFonts w:ascii="Times New Roman" w:hAnsi="Times New Roman" w:cs="Times New Roman"/>
          <w:b/>
          <w:bCs/>
          <w:u w:val="single"/>
        </w:rPr>
        <w:t>n Employing Statistical Methods</w:t>
      </w:r>
    </w:p>
    <w:p w:rsidR="00BA09BD" w:rsidRPr="005612EB" w:rsidP="00135629" w14:paraId="4B5DD89F" w14:textId="77777777"/>
    <w:p w:rsidR="00EA13A5" w:rsidRPr="0016660B" w:rsidP="00CF7E97" w14:paraId="6A4C2526" w14:textId="77777777">
      <w:pPr>
        <w:pStyle w:val="ListParagraph"/>
        <w:numPr>
          <w:ilvl w:val="0"/>
          <w:numId w:val="4"/>
        </w:numPr>
        <w:rPr>
          <w:b/>
          <w:bCs/>
        </w:rPr>
      </w:pPr>
      <w:r w:rsidRPr="0016660B">
        <w:rPr>
          <w:b/>
          <w:bCs/>
        </w:rPr>
        <w:t>DESCRIBE POTENTIAL RESPONDENT UNIVERSE AND ANY SAMPLING SELECTION METHOD TO BE USED</w:t>
      </w:r>
      <w:r w:rsidRPr="0016660B" w:rsidR="0004749E">
        <w:rPr>
          <w:b/>
          <w:bCs/>
        </w:rPr>
        <w:t>.</w:t>
      </w:r>
    </w:p>
    <w:p w:rsidR="00972EBB" w:rsidP="00135629" w14:paraId="063A1766" w14:textId="77777777"/>
    <w:p w:rsidR="00714900" w:rsidRPr="002B433B" w:rsidP="002B433B" w14:paraId="7DA04971" w14:textId="77777777">
      <w:pPr>
        <w:spacing w:line="259" w:lineRule="auto"/>
      </w:pPr>
      <w:r>
        <w:t xml:space="preserve">The potential respondent universe consists of CMV carriers that hold and maintain a DOT number that include drivers that operate under the ELD mandate (excluding short-haul operations that operate with 150 air-mile radius). Drivers at eligible carriers must hold a valid CDL (Commercial Driver’s License) and be at least </w:t>
      </w:r>
      <w:r w:rsidR="242EBC0F">
        <w:t>21</w:t>
      </w:r>
      <w:r>
        <w:t xml:space="preserve"> years of age. According to the FMCSA Pocket Guide, as of December 2022, there were 813,844 FMCSA-regulated carriers (interstate motor carriers and intrastate HM motor carriers) with recent activity operating in the United States, and these carriers had a total of 5,800,289 drivers, 4,172,559 of which were CDL drivers. Among CDL drivers, there are estimated to be 3.5 million drivers operating under the ELD mandate.</w:t>
      </w:r>
      <w:r w:rsidR="68031CDA">
        <w:t xml:space="preserve"> </w:t>
      </w:r>
      <w:bookmarkStart w:id="1" w:name="_Hlk202777970"/>
      <w:r>
        <w:t>Eligible drivers will not be excluded based on the type of schedule, driving pattern, or operational condition.</w:t>
      </w:r>
    </w:p>
    <w:bookmarkEnd w:id="1"/>
    <w:p w:rsidR="002448D4" w:rsidP="00135629" w14:paraId="092E6665" w14:textId="77777777"/>
    <w:p w:rsidR="00EA13A5" w:rsidP="00135629" w14:paraId="541AEB5C" w14:textId="77777777">
      <w:r w:rsidRPr="002448D4">
        <w:t>CMV operators may be segmented based on operational classification – they may be a for-hire motor carrier (where transporting goods for other people is the core business) or a private motor carrier (typically transporting their own goods or persons as part of their internal logistics chain). The table below sets out the segmentation of CMV operators by operation type.</w:t>
      </w:r>
    </w:p>
    <w:p w:rsidR="00104B73" w:rsidP="00135629" w14:paraId="27C40AE1" w14:textId="77777777">
      <w:pPr>
        <w:rPr>
          <w:b/>
          <w:bCs/>
        </w:rPr>
      </w:pPr>
    </w:p>
    <w:p w:rsidR="00104B73" w:rsidRPr="0016660B" w:rsidP="0016660B" w14:paraId="26E22724" w14:textId="77777777">
      <w:pPr>
        <w:jc w:val="center"/>
        <w:rPr>
          <w:sz w:val="20"/>
          <w:szCs w:val="20"/>
        </w:rPr>
      </w:pPr>
      <w:r w:rsidRPr="0016660B">
        <w:rPr>
          <w:b/>
          <w:bCs/>
          <w:sz w:val="20"/>
          <w:szCs w:val="20"/>
        </w:rPr>
        <w:t>Table</w:t>
      </w:r>
      <w:r w:rsidR="00D871DA">
        <w:rPr>
          <w:b/>
          <w:bCs/>
          <w:sz w:val="20"/>
          <w:szCs w:val="20"/>
        </w:rPr>
        <w:t xml:space="preserve"> </w:t>
      </w:r>
      <w:r w:rsidR="002E6DA6">
        <w:rPr>
          <w:b/>
          <w:bCs/>
          <w:sz w:val="20"/>
          <w:szCs w:val="20"/>
        </w:rPr>
        <w:t>1</w:t>
      </w:r>
      <w:r w:rsidR="00A050C0">
        <w:rPr>
          <w:b/>
          <w:bCs/>
          <w:sz w:val="20"/>
          <w:szCs w:val="20"/>
        </w:rPr>
        <w:t>1</w:t>
      </w:r>
      <w:r w:rsidRPr="0016660B" w:rsidR="00D871DA">
        <w:rPr>
          <w:sz w:val="20"/>
          <w:szCs w:val="20"/>
        </w:rPr>
        <w:t>:</w:t>
      </w:r>
      <w:r w:rsidRPr="0016660B">
        <w:rPr>
          <w:sz w:val="20"/>
          <w:szCs w:val="20"/>
        </w:rPr>
        <w:t xml:space="preserve"> Number of carriers by operation classification (FMCSA Pocket Guide 2023).</w:t>
      </w:r>
    </w:p>
    <w:p w:rsidR="002448D4" w:rsidP="00135629" w14:paraId="4D045BE8" w14:textId="77777777"/>
    <w:tbl>
      <w:tblPr>
        <w:tblStyle w:val="TableGrid"/>
        <w:tblW w:w="0" w:type="auto"/>
        <w:jc w:val="center"/>
        <w:tblLook w:val="04A0"/>
      </w:tblPr>
      <w:tblGrid>
        <w:gridCol w:w="3235"/>
        <w:gridCol w:w="1530"/>
      </w:tblGrid>
      <w:tr w14:paraId="31F54F46" w14:textId="77777777" w:rsidTr="0016660B">
        <w:tblPrEx>
          <w:tblW w:w="0" w:type="auto"/>
          <w:jc w:val="center"/>
          <w:tblLook w:val="04A0"/>
        </w:tblPrEx>
        <w:trPr>
          <w:jc w:val="center"/>
        </w:trPr>
        <w:tc>
          <w:tcPr>
            <w:tcW w:w="3235" w:type="dxa"/>
            <w:shd w:val="clear" w:color="auto" w:fill="D9D9D9" w:themeFill="background1" w:themeFillShade="D9"/>
          </w:tcPr>
          <w:p w:rsidR="007A54CC" w:rsidRPr="0016660B" w:rsidP="0016660B" w14:paraId="3B46A63A" w14:textId="77777777">
            <w:pPr>
              <w:rPr>
                <w:b/>
                <w:bCs/>
              </w:rPr>
            </w:pPr>
            <w:r w:rsidRPr="0016660B">
              <w:rPr>
                <w:b/>
                <w:bCs/>
              </w:rPr>
              <w:t>Operation Classification</w:t>
            </w:r>
          </w:p>
        </w:tc>
        <w:tc>
          <w:tcPr>
            <w:tcW w:w="1530" w:type="dxa"/>
            <w:shd w:val="clear" w:color="auto" w:fill="D9D9D9" w:themeFill="background1" w:themeFillShade="D9"/>
          </w:tcPr>
          <w:p w:rsidR="007A54CC" w:rsidRPr="0016660B" w:rsidP="0016660B" w14:paraId="2063DBD5" w14:textId="77777777">
            <w:pPr>
              <w:rPr>
                <w:b/>
                <w:bCs/>
              </w:rPr>
            </w:pPr>
            <w:r w:rsidRPr="0016660B">
              <w:rPr>
                <w:b/>
                <w:bCs/>
              </w:rPr>
              <w:t>Number of Carriers</w:t>
            </w:r>
          </w:p>
        </w:tc>
      </w:tr>
      <w:tr w14:paraId="2A3EF350" w14:textId="77777777" w:rsidTr="00403B10">
        <w:tblPrEx>
          <w:tblW w:w="0" w:type="auto"/>
          <w:jc w:val="center"/>
          <w:tblLook w:val="04A0"/>
        </w:tblPrEx>
        <w:trPr>
          <w:jc w:val="center"/>
        </w:trPr>
        <w:tc>
          <w:tcPr>
            <w:tcW w:w="3235" w:type="dxa"/>
          </w:tcPr>
          <w:p w:rsidR="007A54CC" w:rsidRPr="00606810" w:rsidP="0016660B" w14:paraId="2AEF028D" w14:textId="77777777">
            <w:r>
              <w:t>For-Hire</w:t>
            </w:r>
          </w:p>
        </w:tc>
        <w:tc>
          <w:tcPr>
            <w:tcW w:w="1530" w:type="dxa"/>
          </w:tcPr>
          <w:p w:rsidR="007A54CC" w:rsidP="0016660B" w14:paraId="2E41B80F" w14:textId="77777777">
            <w:r>
              <w:t>540,093</w:t>
            </w:r>
          </w:p>
        </w:tc>
      </w:tr>
      <w:tr w14:paraId="06F43786" w14:textId="77777777" w:rsidTr="00403B10">
        <w:tblPrEx>
          <w:tblW w:w="0" w:type="auto"/>
          <w:jc w:val="center"/>
          <w:tblLook w:val="04A0"/>
        </w:tblPrEx>
        <w:trPr>
          <w:jc w:val="center"/>
        </w:trPr>
        <w:tc>
          <w:tcPr>
            <w:tcW w:w="3235" w:type="dxa"/>
          </w:tcPr>
          <w:p w:rsidR="007A54CC" w:rsidRPr="00606810" w:rsidP="0016660B" w14:paraId="4C091210" w14:textId="77777777">
            <w:r>
              <w:t>Private</w:t>
            </w:r>
          </w:p>
        </w:tc>
        <w:tc>
          <w:tcPr>
            <w:tcW w:w="1530" w:type="dxa"/>
          </w:tcPr>
          <w:p w:rsidR="007A54CC" w:rsidP="0016660B" w14:paraId="1306CD07" w14:textId="77777777">
            <w:r>
              <w:t>200,904</w:t>
            </w:r>
          </w:p>
        </w:tc>
      </w:tr>
      <w:tr w14:paraId="3EA6FCA5" w14:textId="77777777" w:rsidTr="00403B10">
        <w:tblPrEx>
          <w:tblW w:w="0" w:type="auto"/>
          <w:jc w:val="center"/>
          <w:tblLook w:val="04A0"/>
        </w:tblPrEx>
        <w:trPr>
          <w:jc w:val="center"/>
        </w:trPr>
        <w:tc>
          <w:tcPr>
            <w:tcW w:w="3235" w:type="dxa"/>
          </w:tcPr>
          <w:p w:rsidR="007A54CC" w:rsidRPr="00606810" w:rsidP="0016660B" w14:paraId="6202C913" w14:textId="77777777">
            <w:r>
              <w:t xml:space="preserve">Both </w:t>
            </w:r>
          </w:p>
        </w:tc>
        <w:tc>
          <w:tcPr>
            <w:tcW w:w="1530" w:type="dxa"/>
          </w:tcPr>
          <w:p w:rsidR="007A54CC" w:rsidP="0016660B" w14:paraId="1FE8BCFD" w14:textId="77777777">
            <w:r>
              <w:t>70,129</w:t>
            </w:r>
          </w:p>
        </w:tc>
      </w:tr>
      <w:tr w14:paraId="45FAA6A5" w14:textId="77777777" w:rsidTr="00403B10">
        <w:tblPrEx>
          <w:tblW w:w="0" w:type="auto"/>
          <w:jc w:val="center"/>
          <w:tblLook w:val="04A0"/>
        </w:tblPrEx>
        <w:trPr>
          <w:jc w:val="center"/>
        </w:trPr>
        <w:tc>
          <w:tcPr>
            <w:tcW w:w="3235" w:type="dxa"/>
          </w:tcPr>
          <w:p w:rsidR="007A54CC" w:rsidRPr="00606810" w:rsidP="0016660B" w14:paraId="27370B67" w14:textId="77777777">
            <w:r>
              <w:t>Neither (e.g.</w:t>
            </w:r>
            <w:r w:rsidR="003B3221">
              <w:t>,</w:t>
            </w:r>
            <w:r>
              <w:t xml:space="preserve"> Government)</w:t>
            </w:r>
          </w:p>
        </w:tc>
        <w:tc>
          <w:tcPr>
            <w:tcW w:w="1530" w:type="dxa"/>
          </w:tcPr>
          <w:p w:rsidR="007A54CC" w:rsidP="0016660B" w14:paraId="05BD3082" w14:textId="77777777">
            <w:r>
              <w:t>2,718</w:t>
            </w:r>
          </w:p>
        </w:tc>
      </w:tr>
    </w:tbl>
    <w:p w:rsidR="00834176" w:rsidP="00135629" w14:paraId="3BD7E35B" w14:textId="77777777"/>
    <w:p w:rsidR="008A6635" w:rsidP="00135629" w14:paraId="6439E49C" w14:textId="77777777">
      <w:r w:rsidRPr="002448D4">
        <w:t xml:space="preserve">Carriers vary by size, ranging from large motor carriers (i.e., having several </w:t>
      </w:r>
      <w:r w:rsidRPr="002448D4" w:rsidR="00047BF4">
        <w:t>thousand</w:t>
      </w:r>
      <w:r w:rsidRPr="002448D4">
        <w:t xml:space="preserve"> power units) to small carriers (i.e., having only a single power unit, such as independent owner-operators).</w:t>
      </w:r>
    </w:p>
    <w:p w:rsidR="002448D4" w:rsidP="00135629" w14:paraId="1C042A9D" w14:textId="77777777"/>
    <w:p w:rsidR="001D24D7" w:rsidP="00135629" w14:paraId="0B55B70C" w14:textId="77777777"/>
    <w:p w:rsidR="001D24D7" w:rsidP="00135629" w14:paraId="7B56F10A" w14:textId="77777777"/>
    <w:p w:rsidR="00104B73" w:rsidRPr="0016660B" w:rsidP="006F3E39" w14:paraId="66E378C3" w14:textId="77777777">
      <w:pPr>
        <w:jc w:val="center"/>
        <w:rPr>
          <w:sz w:val="20"/>
          <w:szCs w:val="20"/>
        </w:rPr>
      </w:pPr>
      <w:r w:rsidRPr="0016660B">
        <w:rPr>
          <w:b/>
          <w:bCs/>
          <w:sz w:val="20"/>
          <w:szCs w:val="20"/>
        </w:rPr>
        <w:t>Table</w:t>
      </w:r>
      <w:r w:rsidR="00D871DA">
        <w:rPr>
          <w:b/>
          <w:bCs/>
          <w:sz w:val="20"/>
          <w:szCs w:val="20"/>
        </w:rPr>
        <w:t xml:space="preserve"> </w:t>
      </w:r>
      <w:r w:rsidR="002E6DA6">
        <w:rPr>
          <w:b/>
          <w:bCs/>
          <w:sz w:val="20"/>
          <w:szCs w:val="20"/>
        </w:rPr>
        <w:t>1</w:t>
      </w:r>
      <w:r w:rsidR="00A050C0">
        <w:rPr>
          <w:b/>
          <w:bCs/>
          <w:sz w:val="20"/>
          <w:szCs w:val="20"/>
        </w:rPr>
        <w:t>2</w:t>
      </w:r>
      <w:r w:rsidR="00D871DA">
        <w:rPr>
          <w:sz w:val="20"/>
          <w:szCs w:val="20"/>
        </w:rPr>
        <w:t xml:space="preserve">: </w:t>
      </w:r>
      <w:r w:rsidRPr="0016660B">
        <w:rPr>
          <w:sz w:val="20"/>
          <w:szCs w:val="20"/>
        </w:rPr>
        <w:t>Number of carriers by size (FMCSA Pocket Guide 2023).</w:t>
      </w:r>
    </w:p>
    <w:p w:rsidR="006F3E39" w:rsidP="00135629" w14:paraId="3F9CC5BA" w14:textId="77777777"/>
    <w:tbl>
      <w:tblPr>
        <w:tblStyle w:val="TableGrid"/>
        <w:tblW w:w="0" w:type="auto"/>
        <w:jc w:val="center"/>
        <w:tblLook w:val="04A0"/>
      </w:tblPr>
      <w:tblGrid>
        <w:gridCol w:w="1885"/>
        <w:gridCol w:w="2970"/>
        <w:gridCol w:w="2091"/>
      </w:tblGrid>
      <w:tr w14:paraId="6D7D1CB3" w14:textId="77777777" w:rsidTr="0016660B">
        <w:tblPrEx>
          <w:tblW w:w="0" w:type="auto"/>
          <w:jc w:val="center"/>
          <w:tblLook w:val="04A0"/>
        </w:tblPrEx>
        <w:trPr>
          <w:jc w:val="center"/>
        </w:trPr>
        <w:tc>
          <w:tcPr>
            <w:tcW w:w="1885" w:type="dxa"/>
            <w:shd w:val="clear" w:color="auto" w:fill="D9D9D9" w:themeFill="background1" w:themeFillShade="D9"/>
          </w:tcPr>
          <w:p w:rsidR="007A54CC" w:rsidRPr="006735EF" w:rsidP="0016660B" w14:paraId="7C5A5831" w14:textId="77777777"/>
        </w:tc>
        <w:tc>
          <w:tcPr>
            <w:tcW w:w="2970" w:type="dxa"/>
            <w:shd w:val="clear" w:color="auto" w:fill="D9D9D9" w:themeFill="background1" w:themeFillShade="D9"/>
          </w:tcPr>
          <w:p w:rsidR="007A54CC" w:rsidRPr="0016660B" w:rsidP="0016660B" w14:paraId="30F65806" w14:textId="77777777">
            <w:pPr>
              <w:rPr>
                <w:b/>
                <w:bCs/>
              </w:rPr>
            </w:pPr>
            <w:r w:rsidRPr="0016660B">
              <w:rPr>
                <w:b/>
                <w:bCs/>
              </w:rPr>
              <w:t xml:space="preserve">Number of Power Units </w:t>
            </w:r>
          </w:p>
        </w:tc>
        <w:tc>
          <w:tcPr>
            <w:tcW w:w="2091" w:type="dxa"/>
            <w:shd w:val="clear" w:color="auto" w:fill="D9D9D9" w:themeFill="background1" w:themeFillShade="D9"/>
          </w:tcPr>
          <w:p w:rsidR="007A54CC" w:rsidRPr="0016660B" w:rsidP="0016660B" w14:paraId="759B9A58" w14:textId="77777777">
            <w:pPr>
              <w:rPr>
                <w:b/>
                <w:bCs/>
              </w:rPr>
            </w:pPr>
            <w:r w:rsidRPr="0016660B">
              <w:rPr>
                <w:b/>
                <w:bCs/>
              </w:rPr>
              <w:t>Number of Carriers</w:t>
            </w:r>
          </w:p>
        </w:tc>
      </w:tr>
      <w:tr w14:paraId="68C168D9" w14:textId="77777777" w:rsidTr="0016660B">
        <w:tblPrEx>
          <w:tblW w:w="0" w:type="auto"/>
          <w:jc w:val="center"/>
          <w:tblLook w:val="04A0"/>
        </w:tblPrEx>
        <w:trPr>
          <w:jc w:val="center"/>
        </w:trPr>
        <w:tc>
          <w:tcPr>
            <w:tcW w:w="1885" w:type="dxa"/>
          </w:tcPr>
          <w:p w:rsidR="007A54CC" w:rsidRPr="00606810" w:rsidP="0016660B" w14:paraId="73C2ED3E" w14:textId="77777777">
            <w:r w:rsidRPr="00606810">
              <w:t>Small</w:t>
            </w:r>
          </w:p>
        </w:tc>
        <w:tc>
          <w:tcPr>
            <w:tcW w:w="2970" w:type="dxa"/>
          </w:tcPr>
          <w:p w:rsidR="007A54CC" w:rsidP="0016660B" w14:paraId="18146B39" w14:textId="77777777">
            <w:r>
              <w:t>1-10</w:t>
            </w:r>
          </w:p>
        </w:tc>
        <w:tc>
          <w:tcPr>
            <w:tcW w:w="2091" w:type="dxa"/>
          </w:tcPr>
          <w:p w:rsidR="007A54CC" w:rsidP="0016660B" w14:paraId="62621B62" w14:textId="77777777">
            <w:r>
              <w:t>739,727</w:t>
            </w:r>
          </w:p>
        </w:tc>
      </w:tr>
      <w:tr w14:paraId="7AFB37C2" w14:textId="77777777" w:rsidTr="0016660B">
        <w:tblPrEx>
          <w:tblW w:w="0" w:type="auto"/>
          <w:jc w:val="center"/>
          <w:tblLook w:val="04A0"/>
        </w:tblPrEx>
        <w:trPr>
          <w:jc w:val="center"/>
        </w:trPr>
        <w:tc>
          <w:tcPr>
            <w:tcW w:w="1885" w:type="dxa"/>
          </w:tcPr>
          <w:p w:rsidR="007A54CC" w:rsidRPr="00606810" w:rsidP="0016660B" w14:paraId="5EE03C66" w14:textId="77777777">
            <w:r w:rsidRPr="00606810">
              <w:t>Medium</w:t>
            </w:r>
          </w:p>
        </w:tc>
        <w:tc>
          <w:tcPr>
            <w:tcW w:w="2970" w:type="dxa"/>
          </w:tcPr>
          <w:p w:rsidR="007A54CC" w:rsidP="0016660B" w14:paraId="5B7A00A6" w14:textId="77777777">
            <w:r>
              <w:t>11-100</w:t>
            </w:r>
          </w:p>
        </w:tc>
        <w:tc>
          <w:tcPr>
            <w:tcW w:w="2091" w:type="dxa"/>
          </w:tcPr>
          <w:p w:rsidR="007A54CC" w:rsidP="0016660B" w14:paraId="7277DA36" w14:textId="77777777">
            <w:r>
              <w:t>56,361</w:t>
            </w:r>
          </w:p>
        </w:tc>
      </w:tr>
      <w:tr w14:paraId="2CE35B83" w14:textId="77777777" w:rsidTr="0016660B">
        <w:tblPrEx>
          <w:tblW w:w="0" w:type="auto"/>
          <w:jc w:val="center"/>
          <w:tblLook w:val="04A0"/>
        </w:tblPrEx>
        <w:trPr>
          <w:jc w:val="center"/>
        </w:trPr>
        <w:tc>
          <w:tcPr>
            <w:tcW w:w="1885" w:type="dxa"/>
          </w:tcPr>
          <w:p w:rsidR="007A54CC" w:rsidRPr="00606810" w:rsidP="0016660B" w14:paraId="12970E48" w14:textId="77777777">
            <w:r w:rsidRPr="00606810">
              <w:t>Large</w:t>
            </w:r>
          </w:p>
        </w:tc>
        <w:tc>
          <w:tcPr>
            <w:tcW w:w="2970" w:type="dxa"/>
          </w:tcPr>
          <w:p w:rsidR="007A54CC" w:rsidP="0016660B" w14:paraId="480B9CEC" w14:textId="77777777">
            <w:r>
              <w:t>101 or more</w:t>
            </w:r>
          </w:p>
        </w:tc>
        <w:tc>
          <w:tcPr>
            <w:tcW w:w="2091" w:type="dxa"/>
          </w:tcPr>
          <w:p w:rsidR="007A54CC" w:rsidP="0016660B" w14:paraId="008FEF7E" w14:textId="77777777">
            <w:r>
              <w:t>4,908</w:t>
            </w:r>
          </w:p>
        </w:tc>
      </w:tr>
      <w:tr w14:paraId="2557A466" w14:textId="77777777" w:rsidTr="0016660B">
        <w:tblPrEx>
          <w:tblW w:w="0" w:type="auto"/>
          <w:jc w:val="center"/>
          <w:tblLook w:val="04A0"/>
        </w:tblPrEx>
        <w:trPr>
          <w:jc w:val="center"/>
        </w:trPr>
        <w:tc>
          <w:tcPr>
            <w:tcW w:w="1885" w:type="dxa"/>
          </w:tcPr>
          <w:p w:rsidR="007A54CC" w:rsidRPr="00FA11F2" w:rsidP="0016660B" w14:paraId="293A86E9" w14:textId="77777777">
            <w:r>
              <w:t>Other</w:t>
            </w:r>
          </w:p>
        </w:tc>
        <w:tc>
          <w:tcPr>
            <w:tcW w:w="2970" w:type="dxa"/>
          </w:tcPr>
          <w:p w:rsidR="007A54CC" w:rsidP="0016660B" w14:paraId="45566136" w14:textId="77777777">
            <w:r>
              <w:t>No Power Units/Unreported</w:t>
            </w:r>
          </w:p>
        </w:tc>
        <w:tc>
          <w:tcPr>
            <w:tcW w:w="2091" w:type="dxa"/>
          </w:tcPr>
          <w:p w:rsidR="007A54CC" w:rsidP="0016660B" w14:paraId="1DDC3E88" w14:textId="77777777">
            <w:r>
              <w:t>12,848</w:t>
            </w:r>
          </w:p>
        </w:tc>
      </w:tr>
    </w:tbl>
    <w:p w:rsidR="009C2DA8" w:rsidP="00135629" w14:paraId="2E4AB15A" w14:textId="77777777"/>
    <w:p w:rsidR="00881807" w:rsidRPr="001D24D7" w:rsidP="00135629" w14:paraId="23358713" w14:textId="725C02B3">
      <w:r w:rsidRPr="002448D4">
        <w:t>Motor carriers can also be segmented by interstate versus intrastate carriers, by geographic extent (i.e., long-haul, regional, or local trucking), or by type of transport (i.e., freight, passengers, or hazardous materials).</w:t>
      </w:r>
    </w:p>
    <w:p w:rsidR="00881807" w:rsidP="00135629" w14:paraId="578B985A" w14:textId="77777777">
      <w:pPr>
        <w:rPr>
          <w:b/>
          <w:bCs/>
        </w:rPr>
      </w:pPr>
    </w:p>
    <w:p w:rsidR="006F3E39" w:rsidRPr="0016660B" w:rsidP="0016660B" w14:paraId="2160943B" w14:textId="77777777">
      <w:pPr>
        <w:jc w:val="center"/>
        <w:rPr>
          <w:sz w:val="20"/>
          <w:szCs w:val="20"/>
        </w:rPr>
      </w:pPr>
      <w:r w:rsidRPr="0016660B">
        <w:rPr>
          <w:b/>
          <w:bCs/>
          <w:sz w:val="20"/>
          <w:szCs w:val="20"/>
        </w:rPr>
        <w:t>Table</w:t>
      </w:r>
      <w:r w:rsidR="00D871DA">
        <w:rPr>
          <w:b/>
          <w:bCs/>
          <w:sz w:val="20"/>
          <w:szCs w:val="20"/>
        </w:rPr>
        <w:t xml:space="preserve"> </w:t>
      </w:r>
      <w:r w:rsidR="002E6DA6">
        <w:rPr>
          <w:b/>
          <w:bCs/>
          <w:sz w:val="20"/>
          <w:szCs w:val="20"/>
        </w:rPr>
        <w:t>1</w:t>
      </w:r>
      <w:r w:rsidR="00A050C0">
        <w:rPr>
          <w:b/>
          <w:bCs/>
          <w:sz w:val="20"/>
          <w:szCs w:val="20"/>
        </w:rPr>
        <w:t>3</w:t>
      </w:r>
      <w:r w:rsidR="00D871DA">
        <w:rPr>
          <w:sz w:val="20"/>
          <w:szCs w:val="20"/>
        </w:rPr>
        <w:t xml:space="preserve">: </w:t>
      </w:r>
      <w:r w:rsidRPr="0016660B">
        <w:rPr>
          <w:sz w:val="20"/>
          <w:szCs w:val="20"/>
        </w:rPr>
        <w:t>Number of carriers by operation (FMCSA Pocket Guide 2023).</w:t>
      </w:r>
    </w:p>
    <w:p w:rsidR="002448D4" w:rsidP="00135629" w14:paraId="1123659E" w14:textId="77777777"/>
    <w:tbl>
      <w:tblPr>
        <w:tblStyle w:val="TableGrid"/>
        <w:tblW w:w="0" w:type="auto"/>
        <w:jc w:val="center"/>
        <w:tblLook w:val="04A0"/>
      </w:tblPr>
      <w:tblGrid>
        <w:gridCol w:w="3685"/>
        <w:gridCol w:w="2340"/>
      </w:tblGrid>
      <w:tr w14:paraId="1EE1BB97" w14:textId="77777777" w:rsidTr="0016660B">
        <w:tblPrEx>
          <w:tblW w:w="0" w:type="auto"/>
          <w:jc w:val="center"/>
          <w:tblLook w:val="04A0"/>
        </w:tblPrEx>
        <w:trPr>
          <w:jc w:val="center"/>
        </w:trPr>
        <w:tc>
          <w:tcPr>
            <w:tcW w:w="3685" w:type="dxa"/>
            <w:shd w:val="clear" w:color="auto" w:fill="D9D9D9" w:themeFill="background1" w:themeFillShade="D9"/>
          </w:tcPr>
          <w:p w:rsidR="007B0ADB" w:rsidRPr="0016660B" w:rsidP="0016660B" w14:paraId="15FE0B22" w14:textId="77777777">
            <w:pPr>
              <w:rPr>
                <w:b/>
                <w:bCs/>
              </w:rPr>
            </w:pPr>
          </w:p>
        </w:tc>
        <w:tc>
          <w:tcPr>
            <w:tcW w:w="2340" w:type="dxa"/>
            <w:shd w:val="clear" w:color="auto" w:fill="D9D9D9" w:themeFill="background1" w:themeFillShade="D9"/>
          </w:tcPr>
          <w:p w:rsidR="007B0ADB" w:rsidRPr="0016660B" w:rsidP="0016660B" w14:paraId="4DFDDBB0" w14:textId="77777777">
            <w:pPr>
              <w:rPr>
                <w:b/>
                <w:bCs/>
              </w:rPr>
            </w:pPr>
            <w:r w:rsidRPr="0016660B">
              <w:rPr>
                <w:b/>
                <w:bCs/>
              </w:rPr>
              <w:t>Number of Carriers</w:t>
            </w:r>
          </w:p>
        </w:tc>
      </w:tr>
      <w:tr w14:paraId="60FF7BCC" w14:textId="77777777" w:rsidTr="0016660B">
        <w:tblPrEx>
          <w:tblW w:w="0" w:type="auto"/>
          <w:jc w:val="center"/>
          <w:tblLook w:val="04A0"/>
        </w:tblPrEx>
        <w:trPr>
          <w:jc w:val="center"/>
        </w:trPr>
        <w:tc>
          <w:tcPr>
            <w:tcW w:w="3685" w:type="dxa"/>
          </w:tcPr>
          <w:p w:rsidR="007B0ADB" w:rsidRPr="00135629" w:rsidP="0016660B" w14:paraId="54E662BA" w14:textId="77777777">
            <w:r w:rsidRPr="00135629">
              <w:t>Interstate Freight</w:t>
            </w:r>
          </w:p>
        </w:tc>
        <w:tc>
          <w:tcPr>
            <w:tcW w:w="2340" w:type="dxa"/>
          </w:tcPr>
          <w:p w:rsidR="007B0ADB" w:rsidP="0016660B" w14:paraId="25664F5D" w14:textId="77777777">
            <w:r>
              <w:t>763,867</w:t>
            </w:r>
          </w:p>
        </w:tc>
      </w:tr>
      <w:tr w14:paraId="6820387E" w14:textId="77777777" w:rsidTr="0016660B">
        <w:tblPrEx>
          <w:tblW w:w="0" w:type="auto"/>
          <w:jc w:val="center"/>
          <w:tblLook w:val="04A0"/>
        </w:tblPrEx>
        <w:trPr>
          <w:jc w:val="center"/>
        </w:trPr>
        <w:tc>
          <w:tcPr>
            <w:tcW w:w="3685" w:type="dxa"/>
          </w:tcPr>
          <w:p w:rsidR="007B0ADB" w:rsidRPr="00135629" w:rsidP="0016660B" w14:paraId="443D3938" w14:textId="77777777">
            <w:r w:rsidRPr="00135629">
              <w:t>Interstate Passenger</w:t>
            </w:r>
          </w:p>
        </w:tc>
        <w:tc>
          <w:tcPr>
            <w:tcW w:w="2340" w:type="dxa"/>
          </w:tcPr>
          <w:p w:rsidR="007B0ADB" w:rsidP="0016660B" w14:paraId="7BC8F9B3" w14:textId="77777777">
            <w:r>
              <w:t>10,019</w:t>
            </w:r>
          </w:p>
        </w:tc>
      </w:tr>
      <w:tr w14:paraId="1D8A5C11" w14:textId="77777777" w:rsidTr="0016660B">
        <w:tblPrEx>
          <w:tblW w:w="0" w:type="auto"/>
          <w:jc w:val="center"/>
          <w:tblLook w:val="04A0"/>
        </w:tblPrEx>
        <w:trPr>
          <w:jc w:val="center"/>
        </w:trPr>
        <w:tc>
          <w:tcPr>
            <w:tcW w:w="3685" w:type="dxa"/>
          </w:tcPr>
          <w:p w:rsidR="007B0ADB" w:rsidRPr="00135629" w:rsidP="0016660B" w14:paraId="37242C57" w14:textId="77777777">
            <w:r w:rsidRPr="00135629">
              <w:t>Intrastate Hazardous Materials</w:t>
            </w:r>
          </w:p>
        </w:tc>
        <w:tc>
          <w:tcPr>
            <w:tcW w:w="2340" w:type="dxa"/>
          </w:tcPr>
          <w:p w:rsidR="007B0ADB" w:rsidP="0016660B" w14:paraId="01C5D509" w14:textId="77777777">
            <w:r>
              <w:t>39,958</w:t>
            </w:r>
          </w:p>
        </w:tc>
      </w:tr>
    </w:tbl>
    <w:p w:rsidR="007B0ADB" w:rsidP="00135629" w14:paraId="5FFAA895" w14:textId="77777777"/>
    <w:p w:rsidR="002448D4" w:rsidRPr="002448D4" w:rsidP="00135629" w14:paraId="2E2233A6" w14:textId="77777777">
      <w:r w:rsidRPr="002448D4">
        <w:t>Among motor carriers, there is a wide range of vehicle configurations that are represented, including buses, single-unit trucks, and tractor/trailer (combination trucks). The configuration can vary as well, including no trailer (bobtail), single trailer, double or triple trailers, flat-bed, intermodal, and refrigerated.</w:t>
      </w:r>
    </w:p>
    <w:p w:rsidR="002448D4" w:rsidP="00135629" w14:paraId="712420C6" w14:textId="77777777"/>
    <w:p w:rsidR="00EA13A5" w:rsidP="00135629" w14:paraId="120A31FC" w14:textId="77777777">
      <w:r>
        <w:t>W</w:t>
      </w:r>
      <w:r w:rsidRPr="002448D4" w:rsidR="002448D4">
        <w:t>e will aim to recruit study participants from a variety of carriers</w:t>
      </w:r>
      <w:r w:rsidR="0046407C">
        <w:t xml:space="preserve"> in order to capture a diverse sample of driver types</w:t>
      </w:r>
      <w:r w:rsidR="00C45FAB">
        <w:t xml:space="preserve"> </w:t>
      </w:r>
      <w:r w:rsidR="002A2018">
        <w:t xml:space="preserve">and driving </w:t>
      </w:r>
      <w:r w:rsidR="00C45FAB">
        <w:t>schedules.</w:t>
      </w:r>
      <w:r w:rsidR="00774014">
        <w:t xml:space="preserve"> </w:t>
      </w:r>
      <w:r w:rsidR="0046407C">
        <w:t xml:space="preserve">For this study we will target the carrier types </w:t>
      </w:r>
      <w:r w:rsidRPr="002448D4" w:rsidR="0046407C">
        <w:t xml:space="preserve">as illustrated in </w:t>
      </w:r>
      <w:r w:rsidR="0046407C">
        <w:t>Table 14 below</w:t>
      </w:r>
      <w:r w:rsidR="004B4485">
        <w:t>.</w:t>
      </w:r>
    </w:p>
    <w:p w:rsidR="001D24D7" w:rsidP="00135629" w14:paraId="6DEE0EBA" w14:textId="77777777"/>
    <w:p w:rsidR="001D24D7" w:rsidP="00135629" w14:paraId="0D1D1617" w14:textId="77777777"/>
    <w:p w:rsidR="001D24D7" w:rsidP="00135629" w14:paraId="057F89D7" w14:textId="77777777"/>
    <w:p w:rsidR="001D24D7" w:rsidP="00135629" w14:paraId="52C116C7" w14:textId="77777777"/>
    <w:p w:rsidR="001D24D7" w:rsidP="00135629" w14:paraId="422332CE" w14:textId="77777777"/>
    <w:p w:rsidR="001D24D7" w:rsidP="00135629" w14:paraId="2F2135CE" w14:textId="77777777"/>
    <w:p w:rsidR="001D24D7" w:rsidP="00135629" w14:paraId="0602653E" w14:textId="77777777"/>
    <w:p w:rsidR="001D24D7" w:rsidP="00135629" w14:paraId="0B7E5834" w14:textId="77777777"/>
    <w:p w:rsidR="001D24D7" w:rsidP="00135629" w14:paraId="729F57FB" w14:textId="77777777"/>
    <w:p w:rsidR="001D24D7" w:rsidP="00135629" w14:paraId="083A8123" w14:textId="77777777"/>
    <w:p w:rsidR="001D24D7" w:rsidP="00135629" w14:paraId="7F9A8904" w14:textId="77777777"/>
    <w:p w:rsidR="001D24D7" w:rsidP="00135629" w14:paraId="6EE02BE3" w14:textId="77777777"/>
    <w:p w:rsidR="001D24D7" w:rsidP="00135629" w14:paraId="15EA6799" w14:textId="77777777"/>
    <w:p w:rsidR="001D24D7" w:rsidP="00135629" w14:paraId="5BE599AA" w14:textId="77777777"/>
    <w:p w:rsidR="001D24D7" w:rsidP="00135629" w14:paraId="7AF4CC39" w14:textId="77777777"/>
    <w:p w:rsidR="001D24D7" w:rsidP="00135629" w14:paraId="1AA5C91E" w14:textId="77777777"/>
    <w:p w:rsidR="001D24D7" w:rsidP="00135629" w14:paraId="4AFF19E0" w14:textId="77777777"/>
    <w:p w:rsidR="001D24D7" w:rsidP="00135629" w14:paraId="3FEC54A0" w14:textId="77777777"/>
    <w:p w:rsidR="002448D4" w:rsidP="00135629" w14:paraId="2C2C534F" w14:textId="77777777"/>
    <w:p w:rsidR="00BA2C9F" w:rsidRPr="0016660B" w:rsidP="0016660B" w14:paraId="3B84D178" w14:textId="77777777">
      <w:pPr>
        <w:jc w:val="center"/>
        <w:rPr>
          <w:sz w:val="20"/>
          <w:szCs w:val="20"/>
        </w:rPr>
      </w:pPr>
      <w:r w:rsidRPr="0016660B">
        <w:rPr>
          <w:b/>
          <w:bCs/>
          <w:sz w:val="20"/>
          <w:szCs w:val="20"/>
        </w:rPr>
        <w:t xml:space="preserve">Table </w:t>
      </w:r>
      <w:r w:rsidR="002E6DA6">
        <w:rPr>
          <w:b/>
          <w:bCs/>
          <w:sz w:val="20"/>
          <w:szCs w:val="20"/>
        </w:rPr>
        <w:t>1</w:t>
      </w:r>
      <w:r w:rsidR="00A050C0">
        <w:rPr>
          <w:b/>
          <w:bCs/>
          <w:sz w:val="20"/>
          <w:szCs w:val="20"/>
        </w:rPr>
        <w:t>4</w:t>
      </w:r>
      <w:r w:rsidRPr="0016660B">
        <w:rPr>
          <w:sz w:val="20"/>
          <w:szCs w:val="20"/>
        </w:rPr>
        <w:t xml:space="preserve">: </w:t>
      </w:r>
      <w:r w:rsidR="00C64F43">
        <w:rPr>
          <w:sz w:val="20"/>
          <w:szCs w:val="20"/>
        </w:rPr>
        <w:t>Targeted</w:t>
      </w:r>
      <w:r w:rsidRPr="0016660B" w:rsidR="00C64F43">
        <w:rPr>
          <w:sz w:val="20"/>
          <w:szCs w:val="20"/>
        </w:rPr>
        <w:t xml:space="preserve"> </w:t>
      </w:r>
      <w:r w:rsidRPr="0016660B">
        <w:rPr>
          <w:sz w:val="20"/>
          <w:szCs w:val="20"/>
        </w:rPr>
        <w:t>study enrollment plan.</w:t>
      </w:r>
      <w:r w:rsidR="002D4F6A">
        <w:rPr>
          <w:sz w:val="20"/>
          <w:szCs w:val="20"/>
        </w:rPr>
        <w:t xml:space="preserve"> </w:t>
      </w:r>
    </w:p>
    <w:p w:rsidR="00BA2C9F" w:rsidP="00135629" w14:paraId="7164C547" w14:textId="77777777"/>
    <w:tbl>
      <w:tblPr>
        <w:tblStyle w:val="TableGrid"/>
        <w:tblW w:w="0" w:type="auto"/>
        <w:jc w:val="center"/>
        <w:tblLook w:val="04A0"/>
      </w:tblPr>
      <w:tblGrid>
        <w:gridCol w:w="734"/>
        <w:gridCol w:w="1837"/>
        <w:gridCol w:w="1096"/>
        <w:gridCol w:w="1733"/>
        <w:gridCol w:w="2198"/>
        <w:gridCol w:w="1752"/>
      </w:tblGrid>
      <w:tr w14:paraId="62080CAA" w14:textId="77777777" w:rsidTr="00724538">
        <w:tblPrEx>
          <w:tblW w:w="0" w:type="auto"/>
          <w:jc w:val="center"/>
          <w:tblLook w:val="04A0"/>
        </w:tblPrEx>
        <w:trPr>
          <w:jc w:val="center"/>
        </w:trPr>
        <w:tc>
          <w:tcPr>
            <w:tcW w:w="734" w:type="dxa"/>
            <w:shd w:val="clear" w:color="auto" w:fill="D9D9D9" w:themeFill="background1" w:themeFillShade="D9"/>
          </w:tcPr>
          <w:p w:rsidR="002448D4" w:rsidRPr="0016660B" w:rsidP="0016660B" w14:paraId="41F12915" w14:textId="77777777">
            <w:pPr>
              <w:rPr>
                <w:b/>
                <w:bCs/>
              </w:rPr>
            </w:pPr>
            <w:r w:rsidRPr="0016660B">
              <w:rPr>
                <w:b/>
                <w:bCs/>
              </w:rPr>
              <w:t>Year</w:t>
            </w:r>
          </w:p>
        </w:tc>
        <w:tc>
          <w:tcPr>
            <w:tcW w:w="1871" w:type="dxa"/>
            <w:shd w:val="clear" w:color="auto" w:fill="D9D9D9" w:themeFill="background1" w:themeFillShade="D9"/>
          </w:tcPr>
          <w:p w:rsidR="002448D4" w:rsidRPr="0016660B" w:rsidP="0016660B" w14:paraId="5BC1E0DF" w14:textId="77777777">
            <w:pPr>
              <w:rPr>
                <w:b/>
                <w:bCs/>
              </w:rPr>
            </w:pPr>
            <w:r w:rsidRPr="0016660B">
              <w:rPr>
                <w:b/>
                <w:bCs/>
              </w:rPr>
              <w:t>Carrier Type</w:t>
            </w:r>
          </w:p>
        </w:tc>
        <w:tc>
          <w:tcPr>
            <w:tcW w:w="982" w:type="dxa"/>
            <w:shd w:val="clear" w:color="auto" w:fill="D9D9D9" w:themeFill="background1" w:themeFillShade="D9"/>
          </w:tcPr>
          <w:p w:rsidR="002448D4" w:rsidRPr="0016660B" w:rsidP="0016660B" w14:paraId="37DCA779" w14:textId="77777777">
            <w:pPr>
              <w:rPr>
                <w:b/>
                <w:bCs/>
              </w:rPr>
            </w:pPr>
            <w:r w:rsidRPr="0016660B">
              <w:rPr>
                <w:b/>
                <w:bCs/>
              </w:rPr>
              <w:t>Number of Carriers</w:t>
            </w:r>
          </w:p>
        </w:tc>
        <w:tc>
          <w:tcPr>
            <w:tcW w:w="1761" w:type="dxa"/>
            <w:shd w:val="clear" w:color="auto" w:fill="D9D9D9" w:themeFill="background1" w:themeFillShade="D9"/>
          </w:tcPr>
          <w:p w:rsidR="002448D4" w:rsidRPr="0016660B" w:rsidP="0016660B" w14:paraId="2711AC58" w14:textId="77777777">
            <w:pPr>
              <w:rPr>
                <w:b/>
                <w:bCs/>
              </w:rPr>
            </w:pPr>
            <w:r>
              <w:rPr>
                <w:b/>
                <w:bCs/>
              </w:rPr>
              <w:t xml:space="preserve">Average </w:t>
            </w:r>
            <w:r w:rsidRPr="0016660B">
              <w:rPr>
                <w:b/>
                <w:bCs/>
              </w:rPr>
              <w:t>Number of Drivers per Carrier</w:t>
            </w:r>
          </w:p>
        </w:tc>
        <w:tc>
          <w:tcPr>
            <w:tcW w:w="2225" w:type="dxa"/>
            <w:shd w:val="clear" w:color="auto" w:fill="D9D9D9" w:themeFill="background1" w:themeFillShade="D9"/>
          </w:tcPr>
          <w:p w:rsidR="002448D4" w:rsidRPr="0016660B" w:rsidP="0016660B" w14:paraId="6C0D6835" w14:textId="77777777">
            <w:pPr>
              <w:rPr>
                <w:b/>
                <w:bCs/>
              </w:rPr>
            </w:pPr>
            <w:r w:rsidRPr="0016660B">
              <w:rPr>
                <w:b/>
                <w:bCs/>
              </w:rPr>
              <w:t>Number of Years Participation per Carrier</w:t>
            </w:r>
          </w:p>
        </w:tc>
        <w:tc>
          <w:tcPr>
            <w:tcW w:w="1777" w:type="dxa"/>
            <w:shd w:val="clear" w:color="auto" w:fill="D9D9D9" w:themeFill="background1" w:themeFillShade="D9"/>
          </w:tcPr>
          <w:p w:rsidR="002448D4" w:rsidRPr="0016660B" w:rsidP="0016660B" w14:paraId="5963BAF4" w14:textId="77777777">
            <w:pPr>
              <w:rPr>
                <w:b/>
                <w:bCs/>
              </w:rPr>
            </w:pPr>
            <w:r w:rsidRPr="0016660B">
              <w:rPr>
                <w:b/>
                <w:bCs/>
              </w:rPr>
              <w:t>Expected Number of Driver Years</w:t>
            </w:r>
          </w:p>
        </w:tc>
      </w:tr>
      <w:tr w14:paraId="213BBFE3" w14:textId="77777777" w:rsidTr="00724538">
        <w:tblPrEx>
          <w:tblW w:w="0" w:type="auto"/>
          <w:jc w:val="center"/>
          <w:tblLook w:val="04A0"/>
        </w:tblPrEx>
        <w:trPr>
          <w:jc w:val="center"/>
        </w:trPr>
        <w:tc>
          <w:tcPr>
            <w:tcW w:w="734" w:type="dxa"/>
          </w:tcPr>
          <w:p w:rsidR="002448D4" w:rsidP="0016660B" w14:paraId="69DAB06B" w14:textId="77777777">
            <w:r w:rsidRPr="00135629">
              <w:t>1</w:t>
            </w:r>
          </w:p>
        </w:tc>
        <w:tc>
          <w:tcPr>
            <w:tcW w:w="1871" w:type="dxa"/>
          </w:tcPr>
          <w:p w:rsidR="002448D4" w:rsidP="0016660B" w14:paraId="05AEF0D6" w14:textId="77777777">
            <w:r w:rsidRPr="00135629">
              <w:t>Small</w:t>
            </w:r>
            <w:r w:rsidR="007909AB">
              <w:t xml:space="preserve"> </w:t>
            </w:r>
          </w:p>
        </w:tc>
        <w:tc>
          <w:tcPr>
            <w:tcW w:w="982" w:type="dxa"/>
          </w:tcPr>
          <w:p w:rsidR="002448D4" w:rsidP="0016660B" w14:paraId="2359EDCD" w14:textId="77777777">
            <w:r w:rsidRPr="00135629">
              <w:t>5</w:t>
            </w:r>
          </w:p>
        </w:tc>
        <w:tc>
          <w:tcPr>
            <w:tcW w:w="1761" w:type="dxa"/>
            <w:vAlign w:val="center"/>
          </w:tcPr>
          <w:p w:rsidR="002448D4" w:rsidP="0016660B" w14:paraId="4C04A3D2" w14:textId="77777777">
            <w:r>
              <w:t>5</w:t>
            </w:r>
          </w:p>
        </w:tc>
        <w:tc>
          <w:tcPr>
            <w:tcW w:w="2225" w:type="dxa"/>
            <w:vAlign w:val="center"/>
          </w:tcPr>
          <w:p w:rsidR="002448D4" w:rsidP="0016660B" w14:paraId="690D7AAA" w14:textId="77777777">
            <w:r w:rsidRPr="0016660B">
              <w:t>4</w:t>
            </w:r>
          </w:p>
        </w:tc>
        <w:tc>
          <w:tcPr>
            <w:tcW w:w="1777" w:type="dxa"/>
            <w:vAlign w:val="center"/>
          </w:tcPr>
          <w:p w:rsidR="002448D4" w:rsidP="0016660B" w14:paraId="4527C19F" w14:textId="77777777">
            <w:r>
              <w:t>1</w:t>
            </w:r>
            <w:r w:rsidRPr="0016660B">
              <w:t>00</w:t>
            </w:r>
          </w:p>
        </w:tc>
      </w:tr>
      <w:tr w14:paraId="109BBA0A" w14:textId="77777777" w:rsidTr="00724538">
        <w:tblPrEx>
          <w:tblW w:w="0" w:type="auto"/>
          <w:jc w:val="center"/>
          <w:tblLook w:val="04A0"/>
        </w:tblPrEx>
        <w:trPr>
          <w:jc w:val="center"/>
        </w:trPr>
        <w:tc>
          <w:tcPr>
            <w:tcW w:w="734" w:type="dxa"/>
          </w:tcPr>
          <w:p w:rsidR="002448D4" w:rsidP="0016660B" w14:paraId="0C3D3A1D" w14:textId="77777777">
            <w:r w:rsidRPr="00135629">
              <w:t>1</w:t>
            </w:r>
          </w:p>
        </w:tc>
        <w:tc>
          <w:tcPr>
            <w:tcW w:w="1871" w:type="dxa"/>
          </w:tcPr>
          <w:p w:rsidR="002448D4" w:rsidP="0016660B" w14:paraId="23EB2B6D" w14:textId="77777777">
            <w:r w:rsidRPr="00135629">
              <w:t>Medium</w:t>
            </w:r>
            <w:r w:rsidR="007909AB">
              <w:t xml:space="preserve"> </w:t>
            </w:r>
          </w:p>
        </w:tc>
        <w:tc>
          <w:tcPr>
            <w:tcW w:w="982" w:type="dxa"/>
          </w:tcPr>
          <w:p w:rsidR="002448D4" w:rsidP="0016660B" w14:paraId="0FEDB39E" w14:textId="77777777">
            <w:r w:rsidRPr="00135629">
              <w:t>5</w:t>
            </w:r>
          </w:p>
        </w:tc>
        <w:tc>
          <w:tcPr>
            <w:tcW w:w="1761" w:type="dxa"/>
            <w:vAlign w:val="center"/>
          </w:tcPr>
          <w:p w:rsidR="002448D4" w:rsidP="0016660B" w14:paraId="2D105EA9" w14:textId="77777777">
            <w:r>
              <w:t>50</w:t>
            </w:r>
          </w:p>
        </w:tc>
        <w:tc>
          <w:tcPr>
            <w:tcW w:w="2225" w:type="dxa"/>
            <w:vAlign w:val="center"/>
          </w:tcPr>
          <w:p w:rsidR="002448D4" w:rsidP="0016660B" w14:paraId="680C3DF4" w14:textId="77777777">
            <w:r w:rsidRPr="0016660B">
              <w:t>4</w:t>
            </w:r>
          </w:p>
        </w:tc>
        <w:tc>
          <w:tcPr>
            <w:tcW w:w="1777" w:type="dxa"/>
            <w:vAlign w:val="center"/>
          </w:tcPr>
          <w:p w:rsidR="002448D4" w:rsidP="0016660B" w14:paraId="38B19B33" w14:textId="77777777">
            <w:r>
              <w:t>1</w:t>
            </w:r>
            <w:r w:rsidRPr="0016660B">
              <w:t>,000</w:t>
            </w:r>
          </w:p>
        </w:tc>
      </w:tr>
      <w:tr w14:paraId="624BC1F4" w14:textId="77777777" w:rsidTr="00724538">
        <w:tblPrEx>
          <w:tblW w:w="0" w:type="auto"/>
          <w:jc w:val="center"/>
          <w:tblLook w:val="04A0"/>
        </w:tblPrEx>
        <w:trPr>
          <w:jc w:val="center"/>
        </w:trPr>
        <w:tc>
          <w:tcPr>
            <w:tcW w:w="734" w:type="dxa"/>
          </w:tcPr>
          <w:p w:rsidR="002448D4" w:rsidP="0016660B" w14:paraId="413CC230" w14:textId="77777777">
            <w:r w:rsidRPr="00135629">
              <w:t>1</w:t>
            </w:r>
          </w:p>
        </w:tc>
        <w:tc>
          <w:tcPr>
            <w:tcW w:w="1871" w:type="dxa"/>
          </w:tcPr>
          <w:p w:rsidR="002448D4" w:rsidP="0016660B" w14:paraId="52F279E3" w14:textId="77777777">
            <w:r w:rsidRPr="00135629">
              <w:t>Large</w:t>
            </w:r>
            <w:r w:rsidR="00724538">
              <w:t xml:space="preserve"> </w:t>
            </w:r>
          </w:p>
        </w:tc>
        <w:tc>
          <w:tcPr>
            <w:tcW w:w="982" w:type="dxa"/>
          </w:tcPr>
          <w:p w:rsidR="002448D4" w:rsidP="0016660B" w14:paraId="3B3ADA1F" w14:textId="77777777">
            <w:r w:rsidRPr="00135629">
              <w:t>5</w:t>
            </w:r>
          </w:p>
        </w:tc>
        <w:tc>
          <w:tcPr>
            <w:tcW w:w="1761" w:type="dxa"/>
            <w:vAlign w:val="center"/>
          </w:tcPr>
          <w:p w:rsidR="002448D4" w:rsidP="0016660B" w14:paraId="5BCEBD3D" w14:textId="77777777">
            <w:r w:rsidRPr="0016660B">
              <w:t>1000</w:t>
            </w:r>
          </w:p>
        </w:tc>
        <w:tc>
          <w:tcPr>
            <w:tcW w:w="2225" w:type="dxa"/>
            <w:vAlign w:val="center"/>
          </w:tcPr>
          <w:p w:rsidR="002448D4" w:rsidP="0016660B" w14:paraId="253EAF2B" w14:textId="77777777">
            <w:r w:rsidRPr="0016660B">
              <w:t>4</w:t>
            </w:r>
          </w:p>
        </w:tc>
        <w:tc>
          <w:tcPr>
            <w:tcW w:w="1777" w:type="dxa"/>
            <w:vAlign w:val="center"/>
          </w:tcPr>
          <w:p w:rsidR="002448D4" w:rsidP="0016660B" w14:paraId="70D2CE93" w14:textId="77777777">
            <w:r w:rsidRPr="0016660B">
              <w:t>20,000</w:t>
            </w:r>
          </w:p>
        </w:tc>
      </w:tr>
      <w:tr w14:paraId="3BE9C002" w14:textId="77777777" w:rsidTr="00724538">
        <w:tblPrEx>
          <w:tblW w:w="0" w:type="auto"/>
          <w:jc w:val="center"/>
          <w:tblLook w:val="04A0"/>
        </w:tblPrEx>
        <w:trPr>
          <w:jc w:val="center"/>
        </w:trPr>
        <w:tc>
          <w:tcPr>
            <w:tcW w:w="734" w:type="dxa"/>
          </w:tcPr>
          <w:p w:rsidR="002448D4" w:rsidP="0016660B" w14:paraId="0F5CA4DB" w14:textId="77777777">
            <w:r w:rsidRPr="00135629">
              <w:t>2</w:t>
            </w:r>
          </w:p>
        </w:tc>
        <w:tc>
          <w:tcPr>
            <w:tcW w:w="1871" w:type="dxa"/>
          </w:tcPr>
          <w:p w:rsidR="002448D4" w:rsidP="0016660B" w14:paraId="702D18A8" w14:textId="77777777">
            <w:r w:rsidRPr="00135629">
              <w:t>Small</w:t>
            </w:r>
          </w:p>
        </w:tc>
        <w:tc>
          <w:tcPr>
            <w:tcW w:w="982" w:type="dxa"/>
          </w:tcPr>
          <w:p w:rsidR="002448D4" w:rsidP="0016660B" w14:paraId="0D17E097" w14:textId="77777777">
            <w:r w:rsidRPr="00135629">
              <w:t>5</w:t>
            </w:r>
          </w:p>
        </w:tc>
        <w:tc>
          <w:tcPr>
            <w:tcW w:w="1761" w:type="dxa"/>
            <w:vAlign w:val="center"/>
          </w:tcPr>
          <w:p w:rsidR="002448D4" w:rsidP="0016660B" w14:paraId="680FC88F" w14:textId="77777777">
            <w:r>
              <w:t>5</w:t>
            </w:r>
          </w:p>
        </w:tc>
        <w:tc>
          <w:tcPr>
            <w:tcW w:w="2225" w:type="dxa"/>
            <w:vAlign w:val="center"/>
          </w:tcPr>
          <w:p w:rsidR="002448D4" w:rsidP="0016660B" w14:paraId="408E0FA2" w14:textId="77777777">
            <w:r w:rsidRPr="0016660B">
              <w:t>3</w:t>
            </w:r>
          </w:p>
        </w:tc>
        <w:tc>
          <w:tcPr>
            <w:tcW w:w="1777" w:type="dxa"/>
            <w:vAlign w:val="center"/>
          </w:tcPr>
          <w:p w:rsidR="002448D4" w:rsidP="0016660B" w14:paraId="24FA9318" w14:textId="77777777">
            <w:r>
              <w:t>75</w:t>
            </w:r>
          </w:p>
        </w:tc>
      </w:tr>
      <w:tr w14:paraId="20E0D05C" w14:textId="77777777" w:rsidTr="00724538">
        <w:tblPrEx>
          <w:tblW w:w="0" w:type="auto"/>
          <w:jc w:val="center"/>
          <w:tblLook w:val="04A0"/>
        </w:tblPrEx>
        <w:trPr>
          <w:jc w:val="center"/>
        </w:trPr>
        <w:tc>
          <w:tcPr>
            <w:tcW w:w="734" w:type="dxa"/>
          </w:tcPr>
          <w:p w:rsidR="002448D4" w:rsidP="0016660B" w14:paraId="1177E0B9" w14:textId="77777777">
            <w:r w:rsidRPr="00135629">
              <w:t>2</w:t>
            </w:r>
          </w:p>
        </w:tc>
        <w:tc>
          <w:tcPr>
            <w:tcW w:w="1871" w:type="dxa"/>
          </w:tcPr>
          <w:p w:rsidR="002448D4" w:rsidP="0016660B" w14:paraId="3EF4E46F" w14:textId="77777777">
            <w:r w:rsidRPr="00135629">
              <w:t>Medium</w:t>
            </w:r>
          </w:p>
        </w:tc>
        <w:tc>
          <w:tcPr>
            <w:tcW w:w="982" w:type="dxa"/>
          </w:tcPr>
          <w:p w:rsidR="002448D4" w:rsidP="0016660B" w14:paraId="53EC5E40" w14:textId="77777777">
            <w:r w:rsidRPr="00135629">
              <w:t>5</w:t>
            </w:r>
          </w:p>
        </w:tc>
        <w:tc>
          <w:tcPr>
            <w:tcW w:w="1761" w:type="dxa"/>
            <w:vAlign w:val="center"/>
          </w:tcPr>
          <w:p w:rsidR="002448D4" w:rsidP="0016660B" w14:paraId="2DE8949E" w14:textId="77777777">
            <w:r>
              <w:t>5</w:t>
            </w:r>
            <w:r w:rsidRPr="0016660B">
              <w:t>0</w:t>
            </w:r>
          </w:p>
        </w:tc>
        <w:tc>
          <w:tcPr>
            <w:tcW w:w="2225" w:type="dxa"/>
            <w:vAlign w:val="center"/>
          </w:tcPr>
          <w:p w:rsidR="002448D4" w:rsidP="0016660B" w14:paraId="4E9A434B" w14:textId="77777777">
            <w:r w:rsidRPr="0016660B">
              <w:t>3</w:t>
            </w:r>
          </w:p>
        </w:tc>
        <w:tc>
          <w:tcPr>
            <w:tcW w:w="1777" w:type="dxa"/>
            <w:vAlign w:val="center"/>
          </w:tcPr>
          <w:p w:rsidR="002448D4" w:rsidP="0016660B" w14:paraId="0F14828B" w14:textId="77777777">
            <w:r>
              <w:t>75</w:t>
            </w:r>
            <w:r w:rsidRPr="0016660B">
              <w:t>0</w:t>
            </w:r>
          </w:p>
        </w:tc>
      </w:tr>
      <w:tr w14:paraId="1821564F" w14:textId="77777777" w:rsidTr="00724538">
        <w:tblPrEx>
          <w:tblW w:w="0" w:type="auto"/>
          <w:jc w:val="center"/>
          <w:tblLook w:val="04A0"/>
        </w:tblPrEx>
        <w:trPr>
          <w:jc w:val="center"/>
        </w:trPr>
        <w:tc>
          <w:tcPr>
            <w:tcW w:w="734" w:type="dxa"/>
          </w:tcPr>
          <w:p w:rsidR="002448D4" w:rsidP="0016660B" w14:paraId="6BA6264C" w14:textId="77777777">
            <w:r w:rsidRPr="00135629">
              <w:t>2</w:t>
            </w:r>
          </w:p>
        </w:tc>
        <w:tc>
          <w:tcPr>
            <w:tcW w:w="1871" w:type="dxa"/>
          </w:tcPr>
          <w:p w:rsidR="002448D4" w:rsidP="0016660B" w14:paraId="60181962" w14:textId="77777777">
            <w:r w:rsidRPr="00135629">
              <w:t>Large</w:t>
            </w:r>
          </w:p>
        </w:tc>
        <w:tc>
          <w:tcPr>
            <w:tcW w:w="982" w:type="dxa"/>
          </w:tcPr>
          <w:p w:rsidR="002448D4" w:rsidP="0016660B" w14:paraId="1792B479" w14:textId="77777777">
            <w:r w:rsidRPr="00135629">
              <w:t>5</w:t>
            </w:r>
          </w:p>
        </w:tc>
        <w:tc>
          <w:tcPr>
            <w:tcW w:w="1761" w:type="dxa"/>
            <w:vAlign w:val="center"/>
          </w:tcPr>
          <w:p w:rsidR="002448D4" w:rsidP="0016660B" w14:paraId="722240B3" w14:textId="77777777">
            <w:r w:rsidRPr="0016660B">
              <w:t>1000</w:t>
            </w:r>
          </w:p>
        </w:tc>
        <w:tc>
          <w:tcPr>
            <w:tcW w:w="2225" w:type="dxa"/>
            <w:vAlign w:val="center"/>
          </w:tcPr>
          <w:p w:rsidR="002448D4" w:rsidP="0016660B" w14:paraId="2718FC74" w14:textId="77777777">
            <w:r w:rsidRPr="0016660B">
              <w:t>3</w:t>
            </w:r>
          </w:p>
        </w:tc>
        <w:tc>
          <w:tcPr>
            <w:tcW w:w="1777" w:type="dxa"/>
            <w:vAlign w:val="center"/>
          </w:tcPr>
          <w:p w:rsidR="002448D4" w:rsidP="0016660B" w14:paraId="0499B780" w14:textId="77777777">
            <w:r w:rsidRPr="0016660B">
              <w:t>15,000</w:t>
            </w:r>
          </w:p>
        </w:tc>
      </w:tr>
      <w:tr w14:paraId="0EEDB5A2" w14:textId="77777777" w:rsidTr="00724538">
        <w:tblPrEx>
          <w:tblW w:w="0" w:type="auto"/>
          <w:jc w:val="center"/>
          <w:tblLook w:val="04A0"/>
        </w:tblPrEx>
        <w:trPr>
          <w:jc w:val="center"/>
        </w:trPr>
        <w:tc>
          <w:tcPr>
            <w:tcW w:w="734" w:type="dxa"/>
          </w:tcPr>
          <w:p w:rsidR="002448D4" w:rsidP="0016660B" w14:paraId="51F8E000" w14:textId="77777777">
            <w:r w:rsidRPr="00135629">
              <w:t>3</w:t>
            </w:r>
          </w:p>
        </w:tc>
        <w:tc>
          <w:tcPr>
            <w:tcW w:w="1871" w:type="dxa"/>
          </w:tcPr>
          <w:p w:rsidR="002448D4" w:rsidP="0016660B" w14:paraId="53B64EE5" w14:textId="77777777">
            <w:r w:rsidRPr="00135629">
              <w:t>Small</w:t>
            </w:r>
          </w:p>
        </w:tc>
        <w:tc>
          <w:tcPr>
            <w:tcW w:w="982" w:type="dxa"/>
          </w:tcPr>
          <w:p w:rsidR="002448D4" w:rsidP="0016660B" w14:paraId="13FD7A71" w14:textId="77777777">
            <w:r w:rsidRPr="00135629">
              <w:t>5</w:t>
            </w:r>
          </w:p>
        </w:tc>
        <w:tc>
          <w:tcPr>
            <w:tcW w:w="1761" w:type="dxa"/>
            <w:vAlign w:val="center"/>
          </w:tcPr>
          <w:p w:rsidR="002448D4" w:rsidP="0016660B" w14:paraId="7E4EECF5" w14:textId="77777777">
            <w:r>
              <w:t>5</w:t>
            </w:r>
          </w:p>
        </w:tc>
        <w:tc>
          <w:tcPr>
            <w:tcW w:w="2225" w:type="dxa"/>
            <w:vAlign w:val="center"/>
          </w:tcPr>
          <w:p w:rsidR="002448D4" w:rsidP="0016660B" w14:paraId="34E55DC7" w14:textId="77777777">
            <w:r w:rsidRPr="0016660B">
              <w:t>2</w:t>
            </w:r>
          </w:p>
        </w:tc>
        <w:tc>
          <w:tcPr>
            <w:tcW w:w="1777" w:type="dxa"/>
            <w:vAlign w:val="center"/>
          </w:tcPr>
          <w:p w:rsidR="00724538" w:rsidP="0016660B" w14:paraId="5E4B6EFD" w14:textId="77777777">
            <w:r>
              <w:t>50</w:t>
            </w:r>
          </w:p>
        </w:tc>
      </w:tr>
      <w:tr w14:paraId="6F648362" w14:textId="77777777" w:rsidTr="00724538">
        <w:tblPrEx>
          <w:tblW w:w="0" w:type="auto"/>
          <w:jc w:val="center"/>
          <w:tblLook w:val="04A0"/>
        </w:tblPrEx>
        <w:trPr>
          <w:jc w:val="center"/>
        </w:trPr>
        <w:tc>
          <w:tcPr>
            <w:tcW w:w="734" w:type="dxa"/>
          </w:tcPr>
          <w:p w:rsidR="002448D4" w:rsidP="0016660B" w14:paraId="505DB389" w14:textId="77777777">
            <w:r w:rsidRPr="00135629">
              <w:t>3</w:t>
            </w:r>
          </w:p>
        </w:tc>
        <w:tc>
          <w:tcPr>
            <w:tcW w:w="1871" w:type="dxa"/>
          </w:tcPr>
          <w:p w:rsidR="002448D4" w:rsidP="0016660B" w14:paraId="35BD64A3" w14:textId="77777777">
            <w:r w:rsidRPr="00135629">
              <w:t>Medium</w:t>
            </w:r>
          </w:p>
        </w:tc>
        <w:tc>
          <w:tcPr>
            <w:tcW w:w="982" w:type="dxa"/>
          </w:tcPr>
          <w:p w:rsidR="002448D4" w:rsidP="0016660B" w14:paraId="3DCAA133" w14:textId="77777777">
            <w:r w:rsidRPr="00135629">
              <w:t>5</w:t>
            </w:r>
          </w:p>
        </w:tc>
        <w:tc>
          <w:tcPr>
            <w:tcW w:w="1761" w:type="dxa"/>
            <w:vAlign w:val="center"/>
          </w:tcPr>
          <w:p w:rsidR="002448D4" w:rsidP="0016660B" w14:paraId="2196EF28" w14:textId="77777777">
            <w:r>
              <w:t>5</w:t>
            </w:r>
            <w:r w:rsidRPr="0016660B">
              <w:t>0</w:t>
            </w:r>
          </w:p>
        </w:tc>
        <w:tc>
          <w:tcPr>
            <w:tcW w:w="2225" w:type="dxa"/>
            <w:vAlign w:val="center"/>
          </w:tcPr>
          <w:p w:rsidR="002448D4" w:rsidP="0016660B" w14:paraId="36618BE7" w14:textId="77777777">
            <w:r w:rsidRPr="0016660B">
              <w:t>2</w:t>
            </w:r>
          </w:p>
        </w:tc>
        <w:tc>
          <w:tcPr>
            <w:tcW w:w="1777" w:type="dxa"/>
            <w:vAlign w:val="center"/>
          </w:tcPr>
          <w:p w:rsidR="002448D4" w:rsidP="0016660B" w14:paraId="5740E380" w14:textId="77777777">
            <w:r>
              <w:t>5</w:t>
            </w:r>
            <w:r w:rsidRPr="0016660B">
              <w:t>00</w:t>
            </w:r>
          </w:p>
        </w:tc>
      </w:tr>
      <w:tr w14:paraId="7A3619F5" w14:textId="77777777" w:rsidTr="00724538">
        <w:tblPrEx>
          <w:tblW w:w="0" w:type="auto"/>
          <w:jc w:val="center"/>
          <w:tblLook w:val="04A0"/>
        </w:tblPrEx>
        <w:trPr>
          <w:jc w:val="center"/>
        </w:trPr>
        <w:tc>
          <w:tcPr>
            <w:tcW w:w="734" w:type="dxa"/>
          </w:tcPr>
          <w:p w:rsidR="002448D4" w:rsidP="0016660B" w14:paraId="7E11374A" w14:textId="77777777">
            <w:r w:rsidRPr="00135629">
              <w:t>3</w:t>
            </w:r>
          </w:p>
        </w:tc>
        <w:tc>
          <w:tcPr>
            <w:tcW w:w="1871" w:type="dxa"/>
          </w:tcPr>
          <w:p w:rsidR="002448D4" w:rsidP="0016660B" w14:paraId="75831946" w14:textId="77777777">
            <w:r w:rsidRPr="00135629">
              <w:t>Large</w:t>
            </w:r>
          </w:p>
        </w:tc>
        <w:tc>
          <w:tcPr>
            <w:tcW w:w="982" w:type="dxa"/>
          </w:tcPr>
          <w:p w:rsidR="002448D4" w:rsidP="0016660B" w14:paraId="416D9B53" w14:textId="77777777">
            <w:r w:rsidRPr="00135629">
              <w:t>5</w:t>
            </w:r>
          </w:p>
        </w:tc>
        <w:tc>
          <w:tcPr>
            <w:tcW w:w="1761" w:type="dxa"/>
            <w:vAlign w:val="center"/>
          </w:tcPr>
          <w:p w:rsidR="002448D4" w:rsidP="0016660B" w14:paraId="24EC9399" w14:textId="77777777">
            <w:r>
              <w:t>10</w:t>
            </w:r>
            <w:r w:rsidRPr="0016660B">
              <w:t>00</w:t>
            </w:r>
          </w:p>
        </w:tc>
        <w:tc>
          <w:tcPr>
            <w:tcW w:w="2225" w:type="dxa"/>
            <w:vAlign w:val="center"/>
          </w:tcPr>
          <w:p w:rsidR="002448D4" w:rsidP="0016660B" w14:paraId="22E72342" w14:textId="77777777">
            <w:r w:rsidRPr="0016660B">
              <w:t>2</w:t>
            </w:r>
          </w:p>
        </w:tc>
        <w:tc>
          <w:tcPr>
            <w:tcW w:w="1777" w:type="dxa"/>
            <w:vAlign w:val="center"/>
          </w:tcPr>
          <w:p w:rsidR="002448D4" w:rsidP="0016660B" w14:paraId="18406A2E" w14:textId="77777777">
            <w:r w:rsidRPr="0016660B">
              <w:t>10,000</w:t>
            </w:r>
          </w:p>
        </w:tc>
      </w:tr>
      <w:tr w14:paraId="41AC5F7B" w14:textId="77777777" w:rsidTr="00724538">
        <w:tblPrEx>
          <w:tblW w:w="0" w:type="auto"/>
          <w:jc w:val="center"/>
          <w:tblLook w:val="04A0"/>
        </w:tblPrEx>
        <w:trPr>
          <w:jc w:val="center"/>
        </w:trPr>
        <w:tc>
          <w:tcPr>
            <w:tcW w:w="734" w:type="dxa"/>
          </w:tcPr>
          <w:p w:rsidR="002448D4" w:rsidP="0016660B" w14:paraId="088ED580" w14:textId="77777777">
            <w:r w:rsidRPr="00135629">
              <w:t>4</w:t>
            </w:r>
          </w:p>
        </w:tc>
        <w:tc>
          <w:tcPr>
            <w:tcW w:w="1871" w:type="dxa"/>
          </w:tcPr>
          <w:p w:rsidR="002448D4" w:rsidP="0016660B" w14:paraId="6AA14EF6" w14:textId="77777777">
            <w:r w:rsidRPr="00135629">
              <w:t>Small</w:t>
            </w:r>
          </w:p>
        </w:tc>
        <w:tc>
          <w:tcPr>
            <w:tcW w:w="982" w:type="dxa"/>
          </w:tcPr>
          <w:p w:rsidR="002448D4" w:rsidP="0016660B" w14:paraId="495F2DCD" w14:textId="77777777">
            <w:r w:rsidRPr="00135629">
              <w:t>5</w:t>
            </w:r>
          </w:p>
        </w:tc>
        <w:tc>
          <w:tcPr>
            <w:tcW w:w="1761" w:type="dxa"/>
            <w:vAlign w:val="center"/>
          </w:tcPr>
          <w:p w:rsidR="002448D4" w:rsidP="0016660B" w14:paraId="636CE3AB" w14:textId="77777777">
            <w:r>
              <w:t>5</w:t>
            </w:r>
          </w:p>
        </w:tc>
        <w:tc>
          <w:tcPr>
            <w:tcW w:w="2225" w:type="dxa"/>
            <w:vAlign w:val="center"/>
          </w:tcPr>
          <w:p w:rsidR="002448D4" w:rsidP="0016660B" w14:paraId="6366FAEC" w14:textId="77777777">
            <w:r w:rsidRPr="0016660B">
              <w:t>1</w:t>
            </w:r>
          </w:p>
        </w:tc>
        <w:tc>
          <w:tcPr>
            <w:tcW w:w="1777" w:type="dxa"/>
            <w:vAlign w:val="center"/>
          </w:tcPr>
          <w:p w:rsidR="002448D4" w:rsidP="0016660B" w14:paraId="00B52DD8" w14:textId="77777777">
            <w:r>
              <w:t>25</w:t>
            </w:r>
          </w:p>
        </w:tc>
      </w:tr>
      <w:tr w14:paraId="15D544B6" w14:textId="77777777" w:rsidTr="00724538">
        <w:tblPrEx>
          <w:tblW w:w="0" w:type="auto"/>
          <w:jc w:val="center"/>
          <w:tblLook w:val="04A0"/>
        </w:tblPrEx>
        <w:trPr>
          <w:jc w:val="center"/>
        </w:trPr>
        <w:tc>
          <w:tcPr>
            <w:tcW w:w="734" w:type="dxa"/>
          </w:tcPr>
          <w:p w:rsidR="002448D4" w:rsidP="0016660B" w14:paraId="0CD7CB61" w14:textId="77777777">
            <w:r w:rsidRPr="00135629">
              <w:t>4</w:t>
            </w:r>
          </w:p>
        </w:tc>
        <w:tc>
          <w:tcPr>
            <w:tcW w:w="1871" w:type="dxa"/>
          </w:tcPr>
          <w:p w:rsidR="002448D4" w:rsidP="0016660B" w14:paraId="4DA1F113" w14:textId="77777777">
            <w:r w:rsidRPr="00135629">
              <w:t>Medium</w:t>
            </w:r>
          </w:p>
        </w:tc>
        <w:tc>
          <w:tcPr>
            <w:tcW w:w="982" w:type="dxa"/>
          </w:tcPr>
          <w:p w:rsidR="002448D4" w:rsidP="0016660B" w14:paraId="58AA3F84" w14:textId="77777777">
            <w:r w:rsidRPr="00135629">
              <w:t>5</w:t>
            </w:r>
          </w:p>
        </w:tc>
        <w:tc>
          <w:tcPr>
            <w:tcW w:w="1761" w:type="dxa"/>
            <w:vAlign w:val="center"/>
          </w:tcPr>
          <w:p w:rsidR="002448D4" w:rsidP="0016660B" w14:paraId="16538E16" w14:textId="77777777">
            <w:r>
              <w:t>5</w:t>
            </w:r>
            <w:r w:rsidRPr="0016660B">
              <w:t>0</w:t>
            </w:r>
          </w:p>
        </w:tc>
        <w:tc>
          <w:tcPr>
            <w:tcW w:w="2225" w:type="dxa"/>
            <w:vAlign w:val="center"/>
          </w:tcPr>
          <w:p w:rsidR="002448D4" w:rsidP="0016660B" w14:paraId="1E7EA162" w14:textId="77777777">
            <w:r w:rsidRPr="0016660B">
              <w:t>1</w:t>
            </w:r>
          </w:p>
        </w:tc>
        <w:tc>
          <w:tcPr>
            <w:tcW w:w="1777" w:type="dxa"/>
            <w:vAlign w:val="center"/>
          </w:tcPr>
          <w:p w:rsidR="002448D4" w:rsidP="0016660B" w14:paraId="7B01F9B3" w14:textId="77777777">
            <w:r>
              <w:t>25</w:t>
            </w:r>
            <w:r w:rsidRPr="0016660B">
              <w:t>0</w:t>
            </w:r>
          </w:p>
        </w:tc>
      </w:tr>
      <w:tr w14:paraId="3E589003" w14:textId="77777777" w:rsidTr="00724538">
        <w:tblPrEx>
          <w:tblW w:w="0" w:type="auto"/>
          <w:jc w:val="center"/>
          <w:tblLook w:val="04A0"/>
        </w:tblPrEx>
        <w:trPr>
          <w:jc w:val="center"/>
        </w:trPr>
        <w:tc>
          <w:tcPr>
            <w:tcW w:w="734" w:type="dxa"/>
          </w:tcPr>
          <w:p w:rsidR="002448D4" w:rsidP="0016660B" w14:paraId="31B9B72F" w14:textId="77777777">
            <w:r w:rsidRPr="00135629">
              <w:t>4</w:t>
            </w:r>
          </w:p>
        </w:tc>
        <w:tc>
          <w:tcPr>
            <w:tcW w:w="1871" w:type="dxa"/>
          </w:tcPr>
          <w:p w:rsidR="002448D4" w:rsidP="0016660B" w14:paraId="3CB56156" w14:textId="77777777">
            <w:r w:rsidRPr="00135629">
              <w:t>Large</w:t>
            </w:r>
          </w:p>
        </w:tc>
        <w:tc>
          <w:tcPr>
            <w:tcW w:w="982" w:type="dxa"/>
          </w:tcPr>
          <w:p w:rsidR="002448D4" w:rsidP="0016660B" w14:paraId="1564033A" w14:textId="77777777">
            <w:r w:rsidRPr="00135629">
              <w:t>5</w:t>
            </w:r>
          </w:p>
        </w:tc>
        <w:tc>
          <w:tcPr>
            <w:tcW w:w="1761" w:type="dxa"/>
            <w:vAlign w:val="center"/>
          </w:tcPr>
          <w:p w:rsidR="002448D4" w:rsidP="0016660B" w14:paraId="38DC7986" w14:textId="77777777">
            <w:r>
              <w:t>10</w:t>
            </w:r>
            <w:r w:rsidRPr="0016660B">
              <w:t>00</w:t>
            </w:r>
          </w:p>
        </w:tc>
        <w:tc>
          <w:tcPr>
            <w:tcW w:w="2225" w:type="dxa"/>
            <w:vAlign w:val="center"/>
          </w:tcPr>
          <w:p w:rsidR="002448D4" w:rsidP="0016660B" w14:paraId="7D2EDF05" w14:textId="77777777">
            <w:r w:rsidRPr="0016660B">
              <w:t>1</w:t>
            </w:r>
          </w:p>
        </w:tc>
        <w:tc>
          <w:tcPr>
            <w:tcW w:w="1777" w:type="dxa"/>
            <w:vAlign w:val="center"/>
          </w:tcPr>
          <w:p w:rsidR="002448D4" w:rsidP="0016660B" w14:paraId="0A2EBEC0" w14:textId="77777777">
            <w:r w:rsidRPr="0016660B">
              <w:t>5,000</w:t>
            </w:r>
          </w:p>
        </w:tc>
      </w:tr>
      <w:tr w14:paraId="5B2CD1F0" w14:textId="77777777" w:rsidTr="00724538">
        <w:tblPrEx>
          <w:tblW w:w="0" w:type="auto"/>
          <w:jc w:val="center"/>
          <w:tblLook w:val="04A0"/>
        </w:tblPrEx>
        <w:trPr>
          <w:jc w:val="center"/>
        </w:trPr>
        <w:tc>
          <w:tcPr>
            <w:tcW w:w="734" w:type="dxa"/>
          </w:tcPr>
          <w:p w:rsidR="002448D4" w:rsidRPr="002448D4" w:rsidP="0016660B" w14:paraId="669988C5" w14:textId="77777777">
            <w:r w:rsidRPr="00135629">
              <w:t>1-4</w:t>
            </w:r>
          </w:p>
        </w:tc>
        <w:tc>
          <w:tcPr>
            <w:tcW w:w="1871" w:type="dxa"/>
          </w:tcPr>
          <w:p w:rsidR="002448D4" w:rsidRPr="002448D4" w:rsidP="0016660B" w14:paraId="2B20EAEC" w14:textId="77777777">
            <w:r w:rsidRPr="00135629">
              <w:t>Total</w:t>
            </w:r>
          </w:p>
        </w:tc>
        <w:tc>
          <w:tcPr>
            <w:tcW w:w="982" w:type="dxa"/>
          </w:tcPr>
          <w:p w:rsidR="002448D4" w:rsidRPr="002448D4" w:rsidP="0016660B" w14:paraId="28E13528" w14:textId="77777777">
            <w:r w:rsidRPr="00135629">
              <w:t>60</w:t>
            </w:r>
          </w:p>
        </w:tc>
        <w:tc>
          <w:tcPr>
            <w:tcW w:w="1761" w:type="dxa"/>
          </w:tcPr>
          <w:p w:rsidR="002448D4" w:rsidRPr="002448D4" w:rsidP="0016660B" w14:paraId="62C0F5B4" w14:textId="77777777">
            <w:r w:rsidRPr="00135629">
              <w:t>Avg: 3</w:t>
            </w:r>
            <w:r w:rsidR="00724538">
              <w:t>51</w:t>
            </w:r>
          </w:p>
        </w:tc>
        <w:tc>
          <w:tcPr>
            <w:tcW w:w="2225" w:type="dxa"/>
          </w:tcPr>
          <w:p w:rsidR="002448D4" w:rsidRPr="002448D4" w:rsidP="0016660B" w14:paraId="1F9EE0BF" w14:textId="77777777">
            <w:r w:rsidRPr="00135629">
              <w:t>-</w:t>
            </w:r>
          </w:p>
        </w:tc>
        <w:tc>
          <w:tcPr>
            <w:tcW w:w="1777" w:type="dxa"/>
          </w:tcPr>
          <w:p w:rsidR="002448D4" w:rsidRPr="002448D4" w:rsidP="0016660B" w14:paraId="2D20B782" w14:textId="77777777">
            <w:r w:rsidRPr="0016660B">
              <w:t>5</w:t>
            </w:r>
            <w:r w:rsidR="00724538">
              <w:t>2,75</w:t>
            </w:r>
            <w:r w:rsidRPr="0016660B">
              <w:t>0</w:t>
            </w:r>
          </w:p>
        </w:tc>
      </w:tr>
    </w:tbl>
    <w:p w:rsidR="00AC4D10" w:rsidP="00135629" w14:paraId="617ECA9D" w14:textId="77777777"/>
    <w:p w:rsidR="001209DA" w:rsidRPr="001D24D7" w:rsidP="001D24D7" w14:paraId="3EDA6107" w14:textId="42CD2F0D">
      <w:pPr>
        <w:widowControl/>
        <w:autoSpaceDE/>
        <w:autoSpaceDN/>
        <w:adjustRightInd/>
      </w:pPr>
    </w:p>
    <w:p w:rsidR="00BE0332" w:rsidP="00135629" w14:paraId="5AC927CD" w14:textId="77777777">
      <w:r w:rsidRPr="002B433B">
        <w:t xml:space="preserve">To meet our participant recruitment targets, we will use randomized and targeted outreach to generate </w:t>
      </w:r>
      <w:r w:rsidRPr="00BE0332">
        <w:t xml:space="preserve">a </w:t>
      </w:r>
      <w:r w:rsidRPr="001B239D">
        <w:t>non-probability sample</w:t>
      </w:r>
      <w:r w:rsidRPr="00814804">
        <w:t>.</w:t>
      </w:r>
      <w:r w:rsidRPr="00814804" w:rsidR="008D7404">
        <w:t xml:space="preserve"> </w:t>
      </w:r>
      <w:r w:rsidRPr="00814804" w:rsidR="00814804">
        <w:t>A non-probability sample is necessary due to the voluntary nature of participation and the absence of any mechanism to mandate involvement among CMV carriers.</w:t>
      </w:r>
      <w:r w:rsidRPr="00BE0332">
        <w:t xml:space="preserve"> </w:t>
      </w:r>
      <w:r>
        <w:t>We will use a</w:t>
      </w:r>
      <w:r w:rsidRPr="002B433B">
        <w:t xml:space="preserve"> </w:t>
      </w:r>
      <w:r w:rsidRPr="001B239D">
        <w:t>model-based analytical approach</w:t>
      </w:r>
      <w:r w:rsidRPr="002B433B">
        <w:t xml:space="preserve"> </w:t>
      </w:r>
      <w:r w:rsidRPr="00814804" w:rsidR="00814804">
        <w:t>that includes relevant</w:t>
      </w:r>
      <w:r w:rsidRPr="002B433B">
        <w:t xml:space="preserve"> covariates to account for potential </w:t>
      </w:r>
      <w:r w:rsidRPr="00814804" w:rsidR="00814804">
        <w:t>sources of selection bias</w:t>
      </w:r>
      <w:r w:rsidRPr="002B433B">
        <w:t xml:space="preserve"> introduced </w:t>
      </w:r>
      <w:r w:rsidRPr="00814804" w:rsidR="00814804">
        <w:t>by</w:t>
      </w:r>
      <w:r w:rsidRPr="002B433B">
        <w:t xml:space="preserve"> a non-probability sample.</w:t>
      </w:r>
    </w:p>
    <w:p w:rsidR="00BE0332" w:rsidP="00135629" w14:paraId="7208D0A4" w14:textId="77777777"/>
    <w:p w:rsidR="002B1F7B" w:rsidP="00135629" w14:paraId="5739165E" w14:textId="77777777">
      <w:r w:rsidRPr="00BE0332">
        <w:t>The sampling frame will consist of all carriers in the FMCSA census that maintain an active DOT number and operate under the ELD mandate</w:t>
      </w:r>
      <w:r w:rsidRPr="002B433B">
        <w:t xml:space="preserve"> (with no other exclusion criteria for carriers)</w:t>
      </w:r>
      <w:r w:rsidRPr="00BE0332">
        <w:t xml:space="preserve">. Only drivers </w:t>
      </w:r>
      <w:r w:rsidRPr="002B433B">
        <w:t xml:space="preserve">at least </w:t>
      </w:r>
      <w:r w:rsidR="00BE0332">
        <w:t xml:space="preserve">of </w:t>
      </w:r>
      <w:r w:rsidRPr="00BE0332">
        <w:t xml:space="preserve">the age of </w:t>
      </w:r>
      <w:r w:rsidR="00376F89">
        <w:t>21</w:t>
      </w:r>
      <w:r w:rsidRPr="00BE0332">
        <w:t xml:space="preserve"> with a valid CDL will be included from each carrier.</w:t>
      </w:r>
      <w:r w:rsidRPr="002B433B">
        <w:t xml:space="preserve"> </w:t>
      </w:r>
      <w:r w:rsidRPr="00BE0332">
        <w:t>In the first study period (year 1) we will take the sampling frame, randomize the order, and begin by contacting the first 1500 carriers to solicit participation in the study. We will support recruitment through coordinated efforts with FMCSA, by advertising in trade publications, and by promoting the study at industry conferences. Advertis</w:t>
      </w:r>
      <w:r w:rsidR="00C67B61">
        <w:t>ing</w:t>
      </w:r>
      <w:r w:rsidRPr="00BE0332">
        <w:t xml:space="preserve"> in leading trade publications </w:t>
      </w:r>
      <w:r w:rsidR="00C67B61">
        <w:t>is</w:t>
      </w:r>
      <w:r w:rsidRPr="00BE0332">
        <w:t xml:space="preserve"> expected to reach over 30,000 fleet executives. The study team regularly attends industry conferences (TCA Truckload Convention hosts over 1,300 trucking executives). To further encourage carrier participation, the study team will offer carriers safety reports with an analysis of fatigue risk in their operation. For each subsequent study period (years 2-4), we will repeat the above steps. </w:t>
      </w:r>
    </w:p>
    <w:p w:rsidR="19F9F616" w:rsidRPr="002B433B" w:rsidP="19F9F616" w14:paraId="441BF87A" w14:textId="77777777">
      <w:pPr>
        <w:spacing w:line="259" w:lineRule="auto"/>
        <w:rPr>
          <w:color w:val="EE0000"/>
        </w:rPr>
      </w:pPr>
    </w:p>
    <w:p w:rsidR="00EC27F6" w:rsidP="002B433B" w14:paraId="0018427B" w14:textId="77777777">
      <w:pPr>
        <w:spacing w:line="259" w:lineRule="auto"/>
      </w:pPr>
      <w:r>
        <w:t>T</w:t>
      </w:r>
      <w:r w:rsidR="19F9F616">
        <w:t xml:space="preserve">he enrollment plan attempts (to the extent practicable) to achieve a data set representative of the trucking industry by recruiting broadly across a wide range of segments and driver types. </w:t>
      </w:r>
      <w:r>
        <w:t>However, bias is anticipated in part due to the promotional</w:t>
      </w:r>
      <w:r w:rsidR="00C67B61">
        <w:t xml:space="preserve"> efforts</w:t>
      </w:r>
      <w:r>
        <w:t xml:space="preserve"> that will be made by the study team </w:t>
      </w:r>
      <w:r w:rsidR="00C67B61">
        <w:t xml:space="preserve">(e.g. targeted outreach with limited audience) </w:t>
      </w:r>
      <w:r>
        <w:t>as well as self-selection bias.</w:t>
      </w:r>
      <w:r w:rsidR="00C67B61">
        <w:t xml:space="preserve"> </w:t>
      </w:r>
      <w:r>
        <w:t>Self-s</w:t>
      </w:r>
      <w:r w:rsidR="19F9F616">
        <w:t xml:space="preserve">election bias is anticipated due to the fact that participation is </w:t>
      </w:r>
      <w:r w:rsidR="00C67B61">
        <w:t>voluntary,</w:t>
      </w:r>
      <w:r w:rsidR="19F9F616">
        <w:t xml:space="preserve"> and it has been demonstrated that companies who participate in these health and safety studies generally already have mature safety culture and have adopted better safety measures than most other companies.  Also, </w:t>
      </w:r>
      <w:r w:rsidR="19F9F616">
        <w:t xml:space="preserve">because this study relies on the cooperation and assistance of companies to gather data, larger companies that are well resourced may be overrepresented in the study data. These biases will be accounted for by the modeling approach, but have the anticipated effect of underestimating the true risk of fatigue in the industry. We will document our recruitment and data collection methods in publications to guide interpretation relative to potential bias. </w:t>
      </w:r>
    </w:p>
    <w:p w:rsidR="00EC27F6" w:rsidP="7E80FB07" w14:paraId="3DBB1A36" w14:textId="77777777">
      <w:pPr>
        <w:spacing w:line="259" w:lineRule="auto"/>
      </w:pPr>
    </w:p>
    <w:p w:rsidR="00EC27F6" w:rsidP="00135629" w14:paraId="4DE965EE" w14:textId="77777777"/>
    <w:p w:rsidR="00E24314" w:rsidRPr="0016660B" w:rsidP="002B433B" w14:paraId="0DF83A8C" w14:textId="77777777">
      <w:pPr>
        <w:rPr>
          <w:b/>
          <w:bCs/>
        </w:rPr>
      </w:pPr>
      <w:r w:rsidRPr="0016660B">
        <w:rPr>
          <w:b/>
          <w:bCs/>
        </w:rPr>
        <w:t xml:space="preserve">DESCRIBE PROCEDURES FOR COLLECTING INFORMATION, INCLUDING STATISTICAL METHODOLOGY FOR STRATIFICATION AND SAMPLE SELECTION, ESTIMATION PROCEDURES, DEGREE OF ACCURACY NEEDED, AND LESS THAN ANNUAL PERIODIC DATA CYCLES.  </w:t>
      </w:r>
      <w:r w:rsidRPr="0016660B">
        <w:rPr>
          <w:b/>
          <w:bCs/>
        </w:rPr>
        <w:br/>
      </w:r>
    </w:p>
    <w:p w:rsidR="00077FC2" w:rsidRPr="00077FC2" w:rsidP="00CF7E97" w14:paraId="06EAD398" w14:textId="77777777">
      <w:pPr>
        <w:pStyle w:val="ListParagraph"/>
        <w:numPr>
          <w:ilvl w:val="0"/>
          <w:numId w:val="4"/>
        </w:numPr>
        <w:rPr>
          <w:b/>
          <w:bCs/>
          <w:vanish/>
        </w:rPr>
      </w:pPr>
      <w:bookmarkStart w:id="2" w:name="_Toc184730790"/>
    </w:p>
    <w:p w:rsidR="007909AB" w:rsidP="00CF7E97" w14:paraId="79C433AD" w14:textId="77777777">
      <w:pPr>
        <w:pStyle w:val="ListParagraph"/>
        <w:numPr>
          <w:ilvl w:val="1"/>
          <w:numId w:val="4"/>
        </w:numPr>
        <w:rPr>
          <w:b/>
          <w:bCs/>
        </w:rPr>
      </w:pPr>
      <w:r>
        <w:rPr>
          <w:b/>
          <w:bCs/>
        </w:rPr>
        <w:t xml:space="preserve"> Data collection plan</w:t>
      </w:r>
    </w:p>
    <w:p w:rsidR="007909AB" w:rsidP="007909AB" w14:paraId="76FF5C4B" w14:textId="77777777">
      <w:pPr>
        <w:rPr>
          <w:b/>
          <w:bCs/>
        </w:rPr>
      </w:pPr>
    </w:p>
    <w:p w:rsidR="00EC620A" w:rsidP="002D4F6A" w14:paraId="3D84B18B" w14:textId="77777777">
      <w:r>
        <w:t>To participate in the data collection effort, carriers must hold and maintain a valid DOT number.</w:t>
      </w:r>
    </w:p>
    <w:p w:rsidR="002D4F6A" w:rsidP="002B433B" w14:paraId="269BE48F" w14:textId="77777777">
      <w:pPr>
        <w:spacing w:line="259" w:lineRule="auto"/>
      </w:pPr>
      <w:r>
        <w:t xml:space="preserve">Drivers at eligible carriers must hold a valid CDL (Commercial Driver’s License) and be at least </w:t>
      </w:r>
      <w:r w:rsidR="00376F89">
        <w:t>21</w:t>
      </w:r>
      <w:r>
        <w:t xml:space="preserve"> years of age. They also must be currently employed as a CMV driver at an eligible carrier. As mentioned above, recruitment will be done using the FMCSA census, through coordinated efforts with FMCSA, in trade publications, and at industry conferences. The sampling will aim to recruit broadly to represent the industry.</w:t>
      </w:r>
    </w:p>
    <w:p w:rsidR="005730FF" w:rsidP="002D4F6A" w14:paraId="459C0B3B" w14:textId="77777777"/>
    <w:p w:rsidR="007909AB" w:rsidRPr="002B433B" w:rsidP="002B433B" w14:paraId="38D716A4" w14:textId="77777777">
      <w:pPr>
        <w:rPr>
          <w:b/>
          <w:bCs/>
        </w:rPr>
      </w:pPr>
    </w:p>
    <w:p w:rsidR="00923DE9" w:rsidRPr="0016660B" w:rsidP="00CF7E97" w14:paraId="2E8C59BC" w14:textId="77777777">
      <w:pPr>
        <w:pStyle w:val="ListParagraph"/>
        <w:numPr>
          <w:ilvl w:val="1"/>
          <w:numId w:val="4"/>
        </w:numPr>
        <w:rPr>
          <w:b/>
          <w:bCs/>
        </w:rPr>
      </w:pPr>
      <w:r w:rsidRPr="0016660B">
        <w:rPr>
          <w:b/>
          <w:bCs/>
        </w:rPr>
        <w:t xml:space="preserve"> Description of Analysis Data Set</w:t>
      </w:r>
      <w:bookmarkEnd w:id="2"/>
    </w:p>
    <w:p w:rsidR="006C64DD" w:rsidP="00135629" w14:paraId="595B5810" w14:textId="77777777"/>
    <w:p w:rsidR="005B74A7" w:rsidRPr="00111AF6" w:rsidP="004608EA" w14:paraId="204E44B1" w14:textId="77777777">
      <w:r>
        <w:t xml:space="preserve">Once carriers are enrolled in the study, the driver HOS data will be collected through an integration with the ELD provider used by the carrier. The driver’s hours-of-service </w:t>
      </w:r>
      <w:r w:rsidR="00C45FAB">
        <w:t xml:space="preserve">(HOS) </w:t>
      </w:r>
      <w:r>
        <w:t xml:space="preserve">records are required for regulatory </w:t>
      </w:r>
      <w:r w:rsidR="00047BF4">
        <w:t>compliance and</w:t>
      </w:r>
      <w:r w:rsidR="00C45FAB">
        <w:t xml:space="preserve"> are</w:t>
      </w:r>
      <w:r>
        <w:t xml:space="preserve"> recorded in electronic form by in-cab ELD compliant devices. Throughout the duty day, drivers update their HOS data to reflect their duty status and</w:t>
      </w:r>
      <w:r w:rsidR="00D3076E">
        <w:t xml:space="preserve"> that data is </w:t>
      </w:r>
      <w:r>
        <w:t>transmitted automatically to the ELD servers</w:t>
      </w:r>
      <w:r w:rsidR="00D3076E">
        <w:t>. T</w:t>
      </w:r>
      <w:r>
        <w:t xml:space="preserve">hrough </w:t>
      </w:r>
      <w:r w:rsidR="00D3076E">
        <w:t xml:space="preserve">Pulsar’s Fatigue Meter </w:t>
      </w:r>
      <w:r>
        <w:t>integration with the ELD vendors</w:t>
      </w:r>
      <w:r w:rsidR="00D3076E">
        <w:t xml:space="preserve">, the carrier’s </w:t>
      </w:r>
      <w:r>
        <w:t xml:space="preserve">ELD data is transmitted via API (Application Programming Interface) </w:t>
      </w:r>
      <w:r w:rsidR="00D3076E">
        <w:t>to the research team in</w:t>
      </w:r>
      <w:r>
        <w:t xml:space="preserve"> </w:t>
      </w:r>
      <w:r w:rsidR="00FD7821">
        <w:t xml:space="preserve">an automated manner in </w:t>
      </w:r>
      <w:r>
        <w:t xml:space="preserve">near real-time. </w:t>
      </w:r>
      <w:r w:rsidR="004608EA">
        <w:t>For any driver involved in DOT-reportable crash, the crash report is submitted to FMCSA as part of standard procedures and is stored in the federally maintained MCMIS</w:t>
      </w:r>
      <w:r w:rsidR="00FD7821">
        <w:t xml:space="preserve"> (Motor Carrier Management Information System)</w:t>
      </w:r>
      <w:r w:rsidR="004608EA">
        <w:t xml:space="preserve"> database. The </w:t>
      </w:r>
      <w:r>
        <w:t>MCMIS database</w:t>
      </w:r>
      <w:r w:rsidR="004608EA">
        <w:t xml:space="preserve">, which includes both DOT-reportable crashes and inspection </w:t>
      </w:r>
      <w:r w:rsidR="00047BF4">
        <w:t>violations,</w:t>
      </w:r>
      <w:r w:rsidR="004608EA">
        <w:t xml:space="preserve"> will be transmitted</w:t>
      </w:r>
      <w:r w:rsidR="00FD7821">
        <w:t xml:space="preserve"> by DOT</w:t>
      </w:r>
      <w:r w:rsidR="004608EA">
        <w:t xml:space="preserve"> to the </w:t>
      </w:r>
      <w:r w:rsidR="00682E25">
        <w:t>research</w:t>
      </w:r>
      <w:r>
        <w:t xml:space="preserve"> team</w:t>
      </w:r>
      <w:r w:rsidR="00FD7821">
        <w:t xml:space="preserve"> through </w:t>
      </w:r>
      <w:r>
        <w:t>regular (monthly) exports of the database during the entire study period.</w:t>
      </w:r>
      <w:r w:rsidR="004608EA">
        <w:t xml:space="preserve"> Carriers will also be able to separately provide the research team with additional SCE events or crashes (including non-DOT reportable crashes). </w:t>
      </w:r>
    </w:p>
    <w:p w:rsidR="00907777" w:rsidRPr="00335A8A" w:rsidP="00135629" w14:paraId="75ADFCD6" w14:textId="77777777"/>
    <w:p w:rsidR="00923DE9" w:rsidRPr="00135629" w:rsidP="00135629" w14:paraId="2EC982F9" w14:textId="77777777">
      <w:r w:rsidRPr="004F1DB6">
        <w:t>In early discussions about potential participation in this study, CMV carriers identified data retention as a concern. Current regulations require carriers to retain HOS data for a period of six months. To minimize litigation risk, many carriers delete HOS data after this minimum retention period. The feedback received from such carriers is that any primary HOS data transmitted to the study team would need to be deleted in a similar timeframe.</w:t>
      </w:r>
      <w:r w:rsidR="00AB2267">
        <w:t xml:space="preserve"> The</w:t>
      </w:r>
      <w:r w:rsidRPr="00135629">
        <w:t xml:space="preserve"> data processing plan devised by </w:t>
      </w:r>
      <w:r w:rsidR="00602BDE">
        <w:t>the research team</w:t>
      </w:r>
      <w:r w:rsidRPr="00135629" w:rsidR="00602BDE">
        <w:t xml:space="preserve"> </w:t>
      </w:r>
      <w:r w:rsidRPr="00135629">
        <w:t xml:space="preserve">to accommodate </w:t>
      </w:r>
      <w:r w:rsidR="00F4519C">
        <w:t xml:space="preserve">these </w:t>
      </w:r>
      <w:r w:rsidRPr="00135629">
        <w:t>data retention</w:t>
      </w:r>
      <w:r w:rsidR="00F4519C">
        <w:t xml:space="preserve"> concerns</w:t>
      </w:r>
      <w:r w:rsidR="00FC4F84">
        <w:t xml:space="preserve"> will </w:t>
      </w:r>
      <w:r w:rsidRPr="00135629">
        <w:t>encapsulate and transform</w:t>
      </w:r>
      <w:r w:rsidR="00FC4F84">
        <w:t xml:space="preserve"> the data</w:t>
      </w:r>
      <w:r w:rsidRPr="00135629">
        <w:t xml:space="preserve"> into de-identified </w:t>
      </w:r>
      <w:r w:rsidRPr="0016660B">
        <w:t>feature tables</w:t>
      </w:r>
      <w:r w:rsidRPr="00135629">
        <w:t xml:space="preserve">. The data in the feature tables will be stored in a form that supports present (and future) data analysis while remaining suitably deidentified. In the </w:t>
      </w:r>
      <w:r w:rsidRPr="00135629">
        <w:t>discussion that follows, we describe the scheme for producing the analysis data set.</w:t>
      </w:r>
    </w:p>
    <w:p w:rsidR="00E01008" w:rsidP="00135629" w14:paraId="03B24D39" w14:textId="77777777"/>
    <w:p w:rsidR="00923DE9" w:rsidP="00135629" w14:paraId="6A49311C" w14:textId="77777777">
      <w:r w:rsidRPr="00135629">
        <w:t>The study aims to understand the relationship between a dependent variable (e.g., the occurrence of a crash) and one or more independent variables (factors). The feature table approach supports this type of analysis. Each row of a feature table represents a single driver’s duty day, identified based on the HOS logs (i.e., a new duty day starts when a driver resumes duty after a minimum of ten consecutive hours off</w:t>
      </w:r>
      <w:r w:rsidR="00063EC2">
        <w:t>-</w:t>
      </w:r>
      <w:r w:rsidRPr="00135629">
        <w:t>duty). Then, for each duty day, a set of</w:t>
      </w:r>
      <w:r w:rsidR="00461961">
        <w:t xml:space="preserve"> features (or variables)</w:t>
      </w:r>
      <w:r w:rsidRPr="00135629">
        <w:t xml:space="preserve"> will be </w:t>
      </w:r>
      <w:r w:rsidR="004608EA">
        <w:t>extracted</w:t>
      </w:r>
      <w:r w:rsidRPr="00135629" w:rsidR="004608EA">
        <w:t xml:space="preserve"> </w:t>
      </w:r>
      <w:r w:rsidRPr="00135629">
        <w:t xml:space="preserve">based on the duty history (ELD data) and inspection violation, crash, and incident records associated with the duty. An example structure of a Duty Day feature table is presented in Table </w:t>
      </w:r>
      <w:r w:rsidR="00332CEA">
        <w:t>1</w:t>
      </w:r>
      <w:r w:rsidR="00A050C0">
        <w:t>5</w:t>
      </w:r>
      <w:r w:rsidRPr="00135629">
        <w:t xml:space="preserve"> below, and an illustration of a duty day is presented in Figure 1.</w:t>
      </w:r>
    </w:p>
    <w:p w:rsidR="00E01008" w:rsidRPr="00135629" w:rsidP="00135629" w14:paraId="14EE0239" w14:textId="77777777"/>
    <w:p w:rsidR="00923DE9" w:rsidRPr="0016660B" w:rsidP="0016660B" w14:paraId="09D812A3"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 xml:space="preserve">Table </w:t>
      </w:r>
      <w:r w:rsidR="00332CEA">
        <w:rPr>
          <w:rFonts w:ascii="Times New Roman" w:hAnsi="Times New Roman" w:cs="Times New Roman"/>
          <w:b/>
          <w:bCs/>
          <w:i w:val="0"/>
          <w:iCs w:val="0"/>
          <w:color w:val="auto"/>
          <w:sz w:val="20"/>
          <w:szCs w:val="20"/>
        </w:rPr>
        <w:t>1</w:t>
      </w:r>
      <w:r w:rsidR="00A050C0">
        <w:rPr>
          <w:rFonts w:ascii="Times New Roman" w:hAnsi="Times New Roman" w:cs="Times New Roman"/>
          <w:b/>
          <w:bCs/>
          <w:i w:val="0"/>
          <w:iCs w:val="0"/>
          <w:color w:val="auto"/>
          <w:sz w:val="20"/>
          <w:szCs w:val="20"/>
        </w:rPr>
        <w:t>5</w:t>
      </w:r>
      <w:r w:rsidRPr="0016660B">
        <w:rPr>
          <w:rFonts w:ascii="Times New Roman" w:hAnsi="Times New Roman" w:cs="Times New Roman"/>
          <w:i w:val="0"/>
          <w:iCs w:val="0"/>
          <w:color w:val="auto"/>
          <w:sz w:val="20"/>
          <w:szCs w:val="20"/>
        </w:rPr>
        <w:t>: Example Duty Day feature table structure. Each row represents a driver duty day and contains features related to the day, such as HOS data, crash data, and inspection data.</w:t>
      </w:r>
    </w:p>
    <w:tbl>
      <w:tblPr>
        <w:tblStyle w:val="TableGrid"/>
        <w:tblW w:w="9360" w:type="dxa"/>
        <w:jc w:val="right"/>
        <w:tblLook w:val="04A0"/>
      </w:tblPr>
      <w:tblGrid>
        <w:gridCol w:w="985"/>
        <w:gridCol w:w="1440"/>
        <w:gridCol w:w="1350"/>
        <w:gridCol w:w="1170"/>
        <w:gridCol w:w="1980"/>
        <w:gridCol w:w="1170"/>
        <w:gridCol w:w="1265"/>
      </w:tblGrid>
      <w:tr w14:paraId="69B5609D" w14:textId="77777777" w:rsidTr="0016660B">
        <w:tblPrEx>
          <w:tblW w:w="9360" w:type="dxa"/>
          <w:jc w:val="right"/>
          <w:tblLook w:val="04A0"/>
        </w:tblPrEx>
        <w:trPr>
          <w:jc w:val="right"/>
        </w:trPr>
        <w:tc>
          <w:tcPr>
            <w:tcW w:w="985" w:type="dxa"/>
            <w:shd w:val="clear" w:color="auto" w:fill="D9D9D9" w:themeFill="background1" w:themeFillShade="D9"/>
          </w:tcPr>
          <w:p w:rsidR="00923DE9" w:rsidRPr="0016660B" w:rsidP="0016660B" w14:paraId="414FA718" w14:textId="77777777">
            <w:pPr>
              <w:rPr>
                <w:b/>
                <w:bCs/>
              </w:rPr>
            </w:pPr>
            <w:r w:rsidRPr="0016660B">
              <w:rPr>
                <w:b/>
                <w:bCs/>
              </w:rPr>
              <w:t>Duty Day ID</w:t>
            </w:r>
          </w:p>
        </w:tc>
        <w:tc>
          <w:tcPr>
            <w:tcW w:w="1440" w:type="dxa"/>
            <w:shd w:val="clear" w:color="auto" w:fill="D9D9D9" w:themeFill="background1" w:themeFillShade="D9"/>
          </w:tcPr>
          <w:p w:rsidR="00923DE9" w:rsidRPr="0016660B" w:rsidP="0016660B" w14:paraId="27CA202F" w14:textId="77777777">
            <w:pPr>
              <w:rPr>
                <w:b/>
                <w:bCs/>
              </w:rPr>
            </w:pPr>
            <w:r w:rsidRPr="0016660B">
              <w:rPr>
                <w:b/>
                <w:bCs/>
              </w:rPr>
              <w:t>Set of Duty Date Features</w:t>
            </w:r>
          </w:p>
        </w:tc>
        <w:tc>
          <w:tcPr>
            <w:tcW w:w="1350" w:type="dxa"/>
            <w:shd w:val="clear" w:color="auto" w:fill="D9D9D9" w:themeFill="background1" w:themeFillShade="D9"/>
          </w:tcPr>
          <w:p w:rsidR="00923DE9" w:rsidRPr="0016660B" w:rsidP="0016660B" w14:paraId="10416419" w14:textId="77777777">
            <w:pPr>
              <w:rPr>
                <w:b/>
                <w:bCs/>
              </w:rPr>
            </w:pPr>
            <w:r w:rsidRPr="0016660B">
              <w:rPr>
                <w:b/>
                <w:bCs/>
              </w:rPr>
              <w:t>Set of HOS Features</w:t>
            </w:r>
          </w:p>
        </w:tc>
        <w:tc>
          <w:tcPr>
            <w:tcW w:w="1170" w:type="dxa"/>
            <w:shd w:val="clear" w:color="auto" w:fill="D9D9D9" w:themeFill="background1" w:themeFillShade="D9"/>
          </w:tcPr>
          <w:p w:rsidR="00923DE9" w:rsidRPr="0016660B" w:rsidP="0016660B" w14:paraId="37A9CF53" w14:textId="77777777">
            <w:pPr>
              <w:rPr>
                <w:b/>
                <w:bCs/>
              </w:rPr>
            </w:pPr>
            <w:r w:rsidRPr="0016660B">
              <w:rPr>
                <w:b/>
                <w:bCs/>
              </w:rPr>
              <w:t>Set of Crash Features</w:t>
            </w:r>
          </w:p>
        </w:tc>
        <w:tc>
          <w:tcPr>
            <w:tcW w:w="1980" w:type="dxa"/>
            <w:shd w:val="clear" w:color="auto" w:fill="D9D9D9" w:themeFill="background1" w:themeFillShade="D9"/>
          </w:tcPr>
          <w:p w:rsidR="00923DE9" w:rsidRPr="0016660B" w:rsidP="0016660B" w14:paraId="08837E7E" w14:textId="77777777">
            <w:pPr>
              <w:rPr>
                <w:b/>
                <w:bCs/>
              </w:rPr>
            </w:pPr>
            <w:r w:rsidRPr="0016660B">
              <w:rPr>
                <w:b/>
                <w:bCs/>
              </w:rPr>
              <w:t>Set of Inspection Violation Features</w:t>
            </w:r>
          </w:p>
        </w:tc>
        <w:tc>
          <w:tcPr>
            <w:tcW w:w="1170" w:type="dxa"/>
            <w:shd w:val="clear" w:color="auto" w:fill="D9D9D9" w:themeFill="background1" w:themeFillShade="D9"/>
          </w:tcPr>
          <w:p w:rsidR="00923DE9" w:rsidRPr="0016660B" w:rsidP="0016660B" w14:paraId="37986B5C" w14:textId="77777777">
            <w:pPr>
              <w:rPr>
                <w:b/>
                <w:bCs/>
              </w:rPr>
            </w:pPr>
            <w:r w:rsidRPr="0016660B">
              <w:rPr>
                <w:b/>
                <w:bCs/>
              </w:rPr>
              <w:t>Set of Driver Features</w:t>
            </w:r>
          </w:p>
        </w:tc>
        <w:tc>
          <w:tcPr>
            <w:tcW w:w="1265" w:type="dxa"/>
            <w:shd w:val="clear" w:color="auto" w:fill="D9D9D9" w:themeFill="background1" w:themeFillShade="D9"/>
          </w:tcPr>
          <w:p w:rsidR="00923DE9" w:rsidRPr="0016660B" w:rsidP="0016660B" w14:paraId="6D5B7C1D" w14:textId="77777777">
            <w:pPr>
              <w:rPr>
                <w:b/>
                <w:bCs/>
              </w:rPr>
            </w:pPr>
            <w:r w:rsidRPr="0016660B">
              <w:rPr>
                <w:b/>
                <w:bCs/>
              </w:rPr>
              <w:t>Set of Carrier Features</w:t>
            </w:r>
          </w:p>
        </w:tc>
      </w:tr>
      <w:tr w14:paraId="33AABE39" w14:textId="77777777" w:rsidTr="0016660B">
        <w:tblPrEx>
          <w:tblW w:w="9360" w:type="dxa"/>
          <w:jc w:val="right"/>
          <w:tblLook w:val="04A0"/>
        </w:tblPrEx>
        <w:trPr>
          <w:jc w:val="right"/>
        </w:trPr>
        <w:tc>
          <w:tcPr>
            <w:tcW w:w="985" w:type="dxa"/>
          </w:tcPr>
          <w:p w:rsidR="00923DE9" w:rsidRPr="00135629" w:rsidP="0016660B" w14:paraId="6E485F71" w14:textId="77777777">
            <w:r w:rsidRPr="00135629">
              <w:t>1</w:t>
            </w:r>
          </w:p>
        </w:tc>
        <w:tc>
          <w:tcPr>
            <w:tcW w:w="1440" w:type="dxa"/>
          </w:tcPr>
          <w:p w:rsidR="00923DE9" w:rsidRPr="00135629" w:rsidP="00135629" w14:paraId="69826E48" w14:textId="77777777"/>
        </w:tc>
        <w:tc>
          <w:tcPr>
            <w:tcW w:w="1350" w:type="dxa"/>
          </w:tcPr>
          <w:p w:rsidR="00923DE9" w:rsidRPr="00135629" w:rsidP="00135629" w14:paraId="4BCDA04A" w14:textId="77777777"/>
        </w:tc>
        <w:tc>
          <w:tcPr>
            <w:tcW w:w="1170" w:type="dxa"/>
          </w:tcPr>
          <w:p w:rsidR="00923DE9" w:rsidRPr="00135629" w:rsidP="00135629" w14:paraId="2A8B1272" w14:textId="77777777"/>
        </w:tc>
        <w:tc>
          <w:tcPr>
            <w:tcW w:w="1980" w:type="dxa"/>
          </w:tcPr>
          <w:p w:rsidR="00923DE9" w:rsidRPr="00135629" w:rsidP="00135629" w14:paraId="344F77E8" w14:textId="77777777"/>
        </w:tc>
        <w:tc>
          <w:tcPr>
            <w:tcW w:w="1170" w:type="dxa"/>
          </w:tcPr>
          <w:p w:rsidR="00923DE9" w:rsidRPr="00135629" w:rsidP="00135629" w14:paraId="67B7C69C" w14:textId="77777777"/>
        </w:tc>
        <w:tc>
          <w:tcPr>
            <w:tcW w:w="1265" w:type="dxa"/>
          </w:tcPr>
          <w:p w:rsidR="00923DE9" w:rsidRPr="00135629" w:rsidP="00135629" w14:paraId="104B4BE1" w14:textId="77777777"/>
        </w:tc>
      </w:tr>
      <w:tr w14:paraId="233476A6" w14:textId="77777777" w:rsidTr="0016660B">
        <w:tblPrEx>
          <w:tblW w:w="9360" w:type="dxa"/>
          <w:jc w:val="right"/>
          <w:tblLook w:val="04A0"/>
        </w:tblPrEx>
        <w:trPr>
          <w:jc w:val="right"/>
        </w:trPr>
        <w:tc>
          <w:tcPr>
            <w:tcW w:w="985" w:type="dxa"/>
          </w:tcPr>
          <w:p w:rsidR="00923DE9" w:rsidRPr="00135629" w:rsidP="0016660B" w14:paraId="38504F20" w14:textId="77777777">
            <w:r w:rsidRPr="00135629">
              <w:t>2</w:t>
            </w:r>
          </w:p>
        </w:tc>
        <w:tc>
          <w:tcPr>
            <w:tcW w:w="1440" w:type="dxa"/>
          </w:tcPr>
          <w:p w:rsidR="00923DE9" w:rsidRPr="00135629" w:rsidP="00135629" w14:paraId="7BF83DDC" w14:textId="77777777"/>
        </w:tc>
        <w:tc>
          <w:tcPr>
            <w:tcW w:w="1350" w:type="dxa"/>
          </w:tcPr>
          <w:p w:rsidR="00923DE9" w:rsidRPr="00135629" w:rsidP="00135629" w14:paraId="7D6A2CCF" w14:textId="77777777"/>
        </w:tc>
        <w:tc>
          <w:tcPr>
            <w:tcW w:w="1170" w:type="dxa"/>
          </w:tcPr>
          <w:p w:rsidR="00923DE9" w:rsidRPr="00135629" w:rsidP="00135629" w14:paraId="6D460632" w14:textId="77777777"/>
        </w:tc>
        <w:tc>
          <w:tcPr>
            <w:tcW w:w="1980" w:type="dxa"/>
          </w:tcPr>
          <w:p w:rsidR="00923DE9" w:rsidRPr="00135629" w:rsidP="00135629" w14:paraId="326895E4" w14:textId="77777777"/>
        </w:tc>
        <w:tc>
          <w:tcPr>
            <w:tcW w:w="1170" w:type="dxa"/>
          </w:tcPr>
          <w:p w:rsidR="00923DE9" w:rsidRPr="00135629" w:rsidP="00135629" w14:paraId="714B0AB1" w14:textId="77777777"/>
        </w:tc>
        <w:tc>
          <w:tcPr>
            <w:tcW w:w="1265" w:type="dxa"/>
          </w:tcPr>
          <w:p w:rsidR="00923DE9" w:rsidRPr="00135629" w:rsidP="00135629" w14:paraId="66E61159" w14:textId="77777777"/>
        </w:tc>
      </w:tr>
    </w:tbl>
    <w:p w:rsidR="00923DE9" w:rsidP="00135629" w14:paraId="2EB886B0" w14:textId="77777777"/>
    <w:p w:rsidR="00923DE9" w:rsidRPr="0016660B" w:rsidP="0016660B" w14:paraId="7813D33E" w14:textId="77777777">
      <w:pPr>
        <w:pStyle w:val="Caption"/>
        <w:rPr>
          <w:rFonts w:ascii="Times New Roman" w:hAnsi="Times New Roman" w:cs="Times New Roman"/>
          <w:i w:val="0"/>
          <w:iCs w:val="0"/>
          <w:color w:val="auto"/>
          <w:sz w:val="24"/>
          <w:szCs w:val="24"/>
        </w:rPr>
      </w:pPr>
      <w:r w:rsidRPr="00734039">
        <w:rPr>
          <w:rFonts w:ascii="Times New Roman" w:hAnsi="Times New Roman" w:cs="Times New Roman"/>
          <w:i w:val="0"/>
          <w:iCs w:val="0"/>
          <w:color w:val="auto"/>
          <w:sz w:val="24"/>
          <w:szCs w:val="24"/>
        </w:rPr>
        <w:t xml:space="preserve">The complete set of Duty Day features is too exhaustive to show in tabular form, but a simplified version is shown below. </w:t>
      </w:r>
    </w:p>
    <w:p w:rsidR="00923DE9" w:rsidRPr="0016660B" w:rsidP="0016660B" w14:paraId="2B9BF267" w14:textId="77777777">
      <w:pPr>
        <w:pStyle w:val="Caption"/>
        <w:jc w:val="center"/>
        <w:rPr>
          <w:i w:val="0"/>
          <w:iCs w:val="0"/>
          <w:sz w:val="20"/>
          <w:szCs w:val="20"/>
        </w:rPr>
      </w:pPr>
      <w:r w:rsidRPr="0016660B">
        <w:rPr>
          <w:rFonts w:ascii="Times New Roman" w:hAnsi="Times New Roman" w:cs="Times New Roman"/>
          <w:b/>
          <w:bCs/>
          <w:i w:val="0"/>
          <w:iCs w:val="0"/>
          <w:color w:val="auto"/>
          <w:sz w:val="20"/>
          <w:szCs w:val="20"/>
        </w:rPr>
        <w:t xml:space="preserve">Table </w:t>
      </w:r>
      <w:r w:rsidR="00332CEA">
        <w:rPr>
          <w:rFonts w:ascii="Times New Roman" w:hAnsi="Times New Roman" w:cs="Times New Roman"/>
          <w:b/>
          <w:bCs/>
          <w:i w:val="0"/>
          <w:iCs w:val="0"/>
          <w:color w:val="auto"/>
          <w:sz w:val="20"/>
          <w:szCs w:val="20"/>
        </w:rPr>
        <w:t>1</w:t>
      </w:r>
      <w:r w:rsidR="00A050C0">
        <w:rPr>
          <w:rFonts w:ascii="Times New Roman" w:hAnsi="Times New Roman" w:cs="Times New Roman"/>
          <w:b/>
          <w:bCs/>
          <w:i w:val="0"/>
          <w:iCs w:val="0"/>
          <w:color w:val="auto"/>
          <w:sz w:val="20"/>
          <w:szCs w:val="20"/>
        </w:rPr>
        <w:t>6</w:t>
      </w:r>
      <w:r w:rsidRPr="0016660B">
        <w:rPr>
          <w:rFonts w:ascii="Times New Roman" w:hAnsi="Times New Roman" w:cs="Times New Roman"/>
          <w:i w:val="0"/>
          <w:iCs w:val="0"/>
          <w:color w:val="auto"/>
          <w:sz w:val="20"/>
          <w:szCs w:val="20"/>
        </w:rPr>
        <w:t xml:space="preserve">: Example Duty Day feature table structure, with subset of HOS features (hours driving in last 7 days, hours driving in duty, hours on-duty in duty), and subset of crash features (number of </w:t>
      </w:r>
      <w:r w:rsidR="00881807">
        <w:rPr>
          <w:rFonts w:ascii="Times New Roman" w:hAnsi="Times New Roman" w:cs="Times New Roman"/>
          <w:i w:val="0"/>
          <w:iCs w:val="0"/>
          <w:color w:val="auto"/>
          <w:sz w:val="20"/>
          <w:szCs w:val="20"/>
        </w:rPr>
        <w:t>crashe</w:t>
      </w:r>
      <w:r w:rsidR="0039512D">
        <w:rPr>
          <w:rFonts w:ascii="Times New Roman" w:hAnsi="Times New Roman" w:cs="Times New Roman"/>
          <w:i w:val="0"/>
          <w:iCs w:val="0"/>
          <w:color w:val="auto"/>
          <w:sz w:val="20"/>
          <w:szCs w:val="20"/>
        </w:rPr>
        <w:t>s</w:t>
      </w:r>
      <w:r w:rsidRPr="0016660B">
        <w:rPr>
          <w:rFonts w:ascii="Times New Roman" w:hAnsi="Times New Roman" w:cs="Times New Roman"/>
          <w:i w:val="0"/>
          <w:iCs w:val="0"/>
          <w:color w:val="auto"/>
          <w:sz w:val="20"/>
          <w:szCs w:val="20"/>
        </w:rPr>
        <w:t>) shown.</w:t>
      </w:r>
    </w:p>
    <w:tbl>
      <w:tblPr>
        <w:tblStyle w:val="TableGrid"/>
        <w:tblW w:w="0" w:type="auto"/>
        <w:jc w:val="right"/>
        <w:tblLook w:val="04A0"/>
      </w:tblPr>
      <w:tblGrid>
        <w:gridCol w:w="1033"/>
        <w:gridCol w:w="2742"/>
        <w:gridCol w:w="2250"/>
        <w:gridCol w:w="1890"/>
        <w:gridCol w:w="1435"/>
      </w:tblGrid>
      <w:tr w14:paraId="43D184CD" w14:textId="77777777" w:rsidTr="0016660B">
        <w:tblPrEx>
          <w:tblW w:w="0" w:type="auto"/>
          <w:jc w:val="right"/>
          <w:tblLook w:val="04A0"/>
        </w:tblPrEx>
        <w:trPr>
          <w:jc w:val="right"/>
        </w:trPr>
        <w:tc>
          <w:tcPr>
            <w:tcW w:w="0" w:type="auto"/>
            <w:shd w:val="clear" w:color="auto" w:fill="D9D9D9" w:themeFill="background1" w:themeFillShade="D9"/>
          </w:tcPr>
          <w:p w:rsidR="00923DE9" w:rsidRPr="0016660B" w:rsidP="0016660B" w14:paraId="18AF1D15" w14:textId="77777777">
            <w:pPr>
              <w:rPr>
                <w:b/>
                <w:bCs/>
              </w:rPr>
            </w:pPr>
            <w:r w:rsidRPr="0016660B">
              <w:rPr>
                <w:b/>
                <w:bCs/>
              </w:rPr>
              <w:t>Duty Day ID</w:t>
            </w:r>
          </w:p>
        </w:tc>
        <w:tc>
          <w:tcPr>
            <w:tcW w:w="2742" w:type="dxa"/>
            <w:shd w:val="clear" w:color="auto" w:fill="D9D9D9" w:themeFill="background1" w:themeFillShade="D9"/>
          </w:tcPr>
          <w:p w:rsidR="00923DE9" w:rsidRPr="0016660B" w:rsidP="0016660B" w14:paraId="10FB62EF" w14:textId="77777777">
            <w:pPr>
              <w:rPr>
                <w:b/>
                <w:bCs/>
              </w:rPr>
            </w:pPr>
            <w:r w:rsidRPr="0016660B">
              <w:rPr>
                <w:b/>
                <w:bCs/>
              </w:rPr>
              <w:t>Hours Driving in Last 7 Days Prior to Duty</w:t>
            </w:r>
            <w:r w:rsidR="00B66B6A">
              <w:rPr>
                <w:b/>
                <w:bCs/>
              </w:rPr>
              <w:t xml:space="preserve"> Day</w:t>
            </w:r>
          </w:p>
        </w:tc>
        <w:tc>
          <w:tcPr>
            <w:tcW w:w="2250" w:type="dxa"/>
            <w:shd w:val="clear" w:color="auto" w:fill="D9D9D9" w:themeFill="background1" w:themeFillShade="D9"/>
          </w:tcPr>
          <w:p w:rsidR="00923DE9" w:rsidRPr="0016660B" w:rsidP="0016660B" w14:paraId="170F1610" w14:textId="77777777">
            <w:pPr>
              <w:rPr>
                <w:b/>
                <w:bCs/>
              </w:rPr>
            </w:pPr>
            <w:r w:rsidRPr="0016660B">
              <w:rPr>
                <w:b/>
                <w:bCs/>
              </w:rPr>
              <w:t>Hours Driving in Duty Day</w:t>
            </w:r>
          </w:p>
        </w:tc>
        <w:tc>
          <w:tcPr>
            <w:tcW w:w="1890" w:type="dxa"/>
            <w:shd w:val="clear" w:color="auto" w:fill="D9D9D9" w:themeFill="background1" w:themeFillShade="D9"/>
          </w:tcPr>
          <w:p w:rsidR="00923DE9" w:rsidRPr="0016660B" w:rsidP="0016660B" w14:paraId="38CE0FDF" w14:textId="77777777">
            <w:pPr>
              <w:rPr>
                <w:b/>
                <w:bCs/>
              </w:rPr>
            </w:pPr>
            <w:r w:rsidRPr="0016660B">
              <w:rPr>
                <w:b/>
                <w:bCs/>
              </w:rPr>
              <w:t>Hours On-Duty in Duty Day</w:t>
            </w:r>
          </w:p>
        </w:tc>
        <w:tc>
          <w:tcPr>
            <w:tcW w:w="1435" w:type="dxa"/>
            <w:shd w:val="clear" w:color="auto" w:fill="D9D9D9" w:themeFill="background1" w:themeFillShade="D9"/>
          </w:tcPr>
          <w:p w:rsidR="00923DE9" w:rsidRPr="0016660B" w:rsidP="0016660B" w14:paraId="5443B05B" w14:textId="77777777">
            <w:pPr>
              <w:rPr>
                <w:b/>
                <w:bCs/>
              </w:rPr>
            </w:pPr>
            <w:r w:rsidRPr="0016660B">
              <w:rPr>
                <w:b/>
                <w:bCs/>
              </w:rPr>
              <w:t xml:space="preserve">Number of </w:t>
            </w:r>
            <w:r w:rsidR="00881807">
              <w:rPr>
                <w:b/>
                <w:bCs/>
              </w:rPr>
              <w:t>Crashe</w:t>
            </w:r>
            <w:r w:rsidR="0039512D">
              <w:rPr>
                <w:b/>
                <w:bCs/>
              </w:rPr>
              <w:t>s</w:t>
            </w:r>
          </w:p>
        </w:tc>
      </w:tr>
      <w:tr w14:paraId="2E20BBB9" w14:textId="77777777" w:rsidTr="0016660B">
        <w:tblPrEx>
          <w:tblW w:w="0" w:type="auto"/>
          <w:jc w:val="right"/>
          <w:tblLook w:val="04A0"/>
        </w:tblPrEx>
        <w:trPr>
          <w:jc w:val="right"/>
        </w:trPr>
        <w:tc>
          <w:tcPr>
            <w:tcW w:w="0" w:type="auto"/>
          </w:tcPr>
          <w:p w:rsidR="00923DE9" w:rsidRPr="00135629" w:rsidP="0016660B" w14:paraId="57E07BF8" w14:textId="77777777">
            <w:r w:rsidRPr="00135629">
              <w:t>1</w:t>
            </w:r>
          </w:p>
        </w:tc>
        <w:tc>
          <w:tcPr>
            <w:tcW w:w="2742" w:type="dxa"/>
          </w:tcPr>
          <w:p w:rsidR="00923DE9" w:rsidRPr="00135629" w:rsidP="0016660B" w14:paraId="5A00CE94" w14:textId="77777777">
            <w:r w:rsidRPr="00135629">
              <w:t>60</w:t>
            </w:r>
          </w:p>
        </w:tc>
        <w:tc>
          <w:tcPr>
            <w:tcW w:w="2250" w:type="dxa"/>
          </w:tcPr>
          <w:p w:rsidR="00923DE9" w:rsidRPr="00135629" w:rsidP="0016660B" w14:paraId="6C01FCC6" w14:textId="77777777">
            <w:r w:rsidRPr="00135629">
              <w:t>10</w:t>
            </w:r>
          </w:p>
        </w:tc>
        <w:tc>
          <w:tcPr>
            <w:tcW w:w="1890" w:type="dxa"/>
          </w:tcPr>
          <w:p w:rsidR="00923DE9" w:rsidRPr="00135629" w:rsidP="0016660B" w14:paraId="234B1F2F" w14:textId="77777777">
            <w:r w:rsidRPr="00135629">
              <w:t>3</w:t>
            </w:r>
          </w:p>
        </w:tc>
        <w:tc>
          <w:tcPr>
            <w:tcW w:w="1435" w:type="dxa"/>
          </w:tcPr>
          <w:p w:rsidR="00923DE9" w:rsidRPr="00135629" w:rsidP="0016660B" w14:paraId="13F80D3E" w14:textId="77777777">
            <w:r w:rsidRPr="00135629">
              <w:t>0</w:t>
            </w:r>
          </w:p>
        </w:tc>
      </w:tr>
      <w:tr w14:paraId="1ED5F0CC" w14:textId="77777777" w:rsidTr="0016660B">
        <w:tblPrEx>
          <w:tblW w:w="0" w:type="auto"/>
          <w:jc w:val="right"/>
          <w:tblLook w:val="04A0"/>
        </w:tblPrEx>
        <w:trPr>
          <w:jc w:val="right"/>
        </w:trPr>
        <w:tc>
          <w:tcPr>
            <w:tcW w:w="0" w:type="auto"/>
          </w:tcPr>
          <w:p w:rsidR="00923DE9" w:rsidRPr="00135629" w:rsidP="0016660B" w14:paraId="38CE6486" w14:textId="77777777">
            <w:r w:rsidRPr="00135629">
              <w:t>2</w:t>
            </w:r>
          </w:p>
        </w:tc>
        <w:tc>
          <w:tcPr>
            <w:tcW w:w="2742" w:type="dxa"/>
          </w:tcPr>
          <w:p w:rsidR="00923DE9" w:rsidRPr="00135629" w:rsidP="0016660B" w14:paraId="60F34AFC" w14:textId="77777777">
            <w:r w:rsidRPr="00135629">
              <w:t>52</w:t>
            </w:r>
          </w:p>
        </w:tc>
        <w:tc>
          <w:tcPr>
            <w:tcW w:w="2250" w:type="dxa"/>
          </w:tcPr>
          <w:p w:rsidR="00923DE9" w:rsidRPr="00135629" w:rsidP="0016660B" w14:paraId="70908B5F" w14:textId="77777777">
            <w:r w:rsidRPr="00135629">
              <w:t>8.5</w:t>
            </w:r>
          </w:p>
        </w:tc>
        <w:tc>
          <w:tcPr>
            <w:tcW w:w="1890" w:type="dxa"/>
          </w:tcPr>
          <w:p w:rsidR="00923DE9" w:rsidRPr="00135629" w:rsidP="0016660B" w14:paraId="743FB5F1" w14:textId="77777777">
            <w:r w:rsidRPr="00135629">
              <w:t>1</w:t>
            </w:r>
          </w:p>
        </w:tc>
        <w:tc>
          <w:tcPr>
            <w:tcW w:w="1435" w:type="dxa"/>
          </w:tcPr>
          <w:p w:rsidR="00923DE9" w:rsidRPr="00135629" w:rsidP="0016660B" w14:paraId="4B33D743" w14:textId="77777777">
            <w:r w:rsidRPr="00135629">
              <w:t>1</w:t>
            </w:r>
          </w:p>
        </w:tc>
      </w:tr>
      <w:tr w14:paraId="79643614" w14:textId="77777777" w:rsidTr="0016660B">
        <w:tblPrEx>
          <w:tblW w:w="0" w:type="auto"/>
          <w:jc w:val="right"/>
          <w:tblLook w:val="04A0"/>
        </w:tblPrEx>
        <w:trPr>
          <w:jc w:val="right"/>
        </w:trPr>
        <w:tc>
          <w:tcPr>
            <w:tcW w:w="0" w:type="auto"/>
          </w:tcPr>
          <w:p w:rsidR="00923DE9" w:rsidRPr="00135629" w:rsidP="0016660B" w14:paraId="10837237" w14:textId="77777777">
            <w:r w:rsidRPr="00135629">
              <w:t>3</w:t>
            </w:r>
          </w:p>
        </w:tc>
        <w:tc>
          <w:tcPr>
            <w:tcW w:w="2742" w:type="dxa"/>
          </w:tcPr>
          <w:p w:rsidR="00923DE9" w:rsidRPr="00135629" w:rsidP="0016660B" w14:paraId="1DC172FC" w14:textId="77777777">
            <w:r w:rsidRPr="00135629">
              <w:t>52</w:t>
            </w:r>
          </w:p>
        </w:tc>
        <w:tc>
          <w:tcPr>
            <w:tcW w:w="2250" w:type="dxa"/>
          </w:tcPr>
          <w:p w:rsidR="00923DE9" w:rsidRPr="00135629" w:rsidP="0016660B" w14:paraId="21650092" w14:textId="77777777">
            <w:r w:rsidRPr="00135629">
              <w:t>8.5</w:t>
            </w:r>
          </w:p>
        </w:tc>
        <w:tc>
          <w:tcPr>
            <w:tcW w:w="1890" w:type="dxa"/>
          </w:tcPr>
          <w:p w:rsidR="00923DE9" w:rsidRPr="00135629" w:rsidP="0016660B" w14:paraId="3AD39E68" w14:textId="77777777">
            <w:r w:rsidRPr="00135629">
              <w:t>2</w:t>
            </w:r>
          </w:p>
        </w:tc>
        <w:tc>
          <w:tcPr>
            <w:tcW w:w="1435" w:type="dxa"/>
          </w:tcPr>
          <w:p w:rsidR="00923DE9" w:rsidRPr="00135629" w:rsidP="0016660B" w14:paraId="6370CC8D" w14:textId="77777777">
            <w:r w:rsidRPr="00135629">
              <w:t>0</w:t>
            </w:r>
          </w:p>
        </w:tc>
      </w:tr>
    </w:tbl>
    <w:p w:rsidR="00923DE9" w:rsidP="00135629" w14:paraId="147B9CF2" w14:textId="77777777"/>
    <w:p w:rsidR="00923DE9" w:rsidP="00135629" w14:paraId="6540B72B" w14:textId="77777777"/>
    <w:p w:rsidR="00923DE9" w:rsidRPr="00335A8A" w:rsidP="0016660B" w14:paraId="7EBFE2DB" w14:textId="77777777">
      <w:pPr>
        <w:jc w:val="center"/>
      </w:pPr>
      <w:r w:rsidRPr="00335A8A">
        <w:rPr>
          <w:noProof/>
        </w:rPr>
        <w:drawing>
          <wp:inline distT="0" distB="0" distL="0" distR="0">
            <wp:extent cx="5943600" cy="1218565"/>
            <wp:effectExtent l="0" t="0" r="0" b="0"/>
            <wp:docPr id="1941134958" name="Picture 1941134958"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134958" name="Picture 1" descr="A graph with a lin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218565"/>
                    </a:xfrm>
                    <a:prstGeom prst="rect">
                      <a:avLst/>
                    </a:prstGeom>
                    <a:noFill/>
                    <a:ln>
                      <a:noFill/>
                    </a:ln>
                  </pic:spPr>
                </pic:pic>
              </a:graphicData>
            </a:graphic>
          </wp:inline>
        </w:drawing>
      </w:r>
    </w:p>
    <w:p w:rsidR="00923DE9" w:rsidRPr="0016660B" w:rsidP="0016660B" w14:paraId="226EDD87"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 xml:space="preserve">Figure </w:t>
      </w:r>
      <w:r w:rsidRPr="0016660B">
        <w:rPr>
          <w:rFonts w:ascii="Times New Roman" w:hAnsi="Times New Roman" w:cs="Times New Roman"/>
          <w:b/>
          <w:bCs/>
          <w:i w:val="0"/>
          <w:iCs w:val="0"/>
          <w:color w:val="auto"/>
          <w:sz w:val="20"/>
          <w:szCs w:val="20"/>
        </w:rPr>
        <w:fldChar w:fldCharType="begin"/>
      </w:r>
      <w:r w:rsidRPr="0016660B">
        <w:rPr>
          <w:rFonts w:ascii="Times New Roman" w:hAnsi="Times New Roman" w:cs="Times New Roman"/>
          <w:b/>
          <w:bCs/>
          <w:i w:val="0"/>
          <w:iCs w:val="0"/>
          <w:color w:val="auto"/>
          <w:sz w:val="20"/>
          <w:szCs w:val="20"/>
        </w:rPr>
        <w:instrText xml:space="preserve"> SEQ Figure \* ARABIC </w:instrText>
      </w:r>
      <w:r w:rsidRPr="0016660B">
        <w:rPr>
          <w:rFonts w:ascii="Times New Roman" w:hAnsi="Times New Roman" w:cs="Times New Roman"/>
          <w:b/>
          <w:bCs/>
          <w:i w:val="0"/>
          <w:iCs w:val="0"/>
          <w:color w:val="auto"/>
          <w:sz w:val="20"/>
          <w:szCs w:val="20"/>
        </w:rPr>
        <w:fldChar w:fldCharType="separate"/>
      </w:r>
      <w:r w:rsidRPr="0016660B">
        <w:rPr>
          <w:rFonts w:ascii="Times New Roman" w:hAnsi="Times New Roman" w:cs="Times New Roman"/>
          <w:b/>
          <w:bCs/>
          <w:i w:val="0"/>
          <w:iCs w:val="0"/>
          <w:color w:val="auto"/>
          <w:sz w:val="20"/>
          <w:szCs w:val="20"/>
        </w:rPr>
        <w:t>1</w:t>
      </w:r>
      <w:r w:rsidRPr="0016660B">
        <w:rPr>
          <w:rFonts w:ascii="Times New Roman" w:hAnsi="Times New Roman" w:cs="Times New Roman"/>
          <w:b/>
          <w:bCs/>
          <w:i w:val="0"/>
          <w:iCs w:val="0"/>
          <w:color w:val="auto"/>
          <w:sz w:val="20"/>
          <w:szCs w:val="20"/>
        </w:rPr>
        <w:fldChar w:fldCharType="end"/>
      </w:r>
      <w:r w:rsidRPr="0016660B">
        <w:rPr>
          <w:rFonts w:ascii="Times New Roman" w:hAnsi="Times New Roman" w:cs="Times New Roman"/>
          <w:i w:val="0"/>
          <w:iCs w:val="0"/>
          <w:color w:val="auto"/>
          <w:sz w:val="20"/>
          <w:szCs w:val="20"/>
        </w:rPr>
        <w:t>: HOS logs are analyzed at the unit of a duty day. Here, the duty day begins at 6:30am and ends at 5:10pm. The occurrence of a crash at 4:45pm becomes one of the features in the analysis table.</w:t>
      </w:r>
    </w:p>
    <w:p w:rsidR="00923DE9" w:rsidRPr="00135629" w:rsidP="00135629" w14:paraId="12354229" w14:textId="77777777">
      <w:r w:rsidRPr="00135629">
        <w:t xml:space="preserve">To support an analysis that examines the relationship between crash rates and cumulative hours driven, we have created a second feature table that divides the duty day into separate driving hours. In this Driving Hour feature table, each row represents one hour driven during a duty period. The occurrence of a crash during the period is indicated with a Boolean flag (i.e., 0 = no, 1 = yes). The Duty Day table and the Driving Hour feature table are linked by the Duty Day ID field. An example Driving Hour feature table is presented in Table </w:t>
      </w:r>
      <w:r w:rsidR="002E6DA6">
        <w:t>1</w:t>
      </w:r>
      <w:r w:rsidR="00A050C0">
        <w:t>7</w:t>
      </w:r>
      <w:r w:rsidRPr="00135629">
        <w:t xml:space="preserve">, below. The Driving Hour </w:t>
      </w:r>
      <w:r w:rsidRPr="00135629">
        <w:t>table shown below is simplified, but it can be joined with the Duty Day table based on the common Duty Day ID to create a table that includes a full set of features calculated for the Duty Day.</w:t>
      </w:r>
    </w:p>
    <w:p w:rsidR="00E01008" w:rsidRPr="00335A8A" w:rsidP="00135629" w14:paraId="2037E8A0" w14:textId="77777777"/>
    <w:p w:rsidR="00923DE9" w:rsidRPr="0016660B" w:rsidP="0016660B" w14:paraId="1BE411C7"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 xml:space="preserve">Table </w:t>
      </w:r>
      <w:r w:rsidR="002E6DA6">
        <w:rPr>
          <w:rFonts w:ascii="Times New Roman" w:hAnsi="Times New Roman" w:cs="Times New Roman"/>
          <w:b/>
          <w:bCs/>
          <w:i w:val="0"/>
          <w:iCs w:val="0"/>
          <w:color w:val="auto"/>
          <w:sz w:val="20"/>
          <w:szCs w:val="20"/>
        </w:rPr>
        <w:t>1</w:t>
      </w:r>
      <w:r w:rsidR="00A050C0">
        <w:rPr>
          <w:rFonts w:ascii="Times New Roman" w:hAnsi="Times New Roman" w:cs="Times New Roman"/>
          <w:b/>
          <w:bCs/>
          <w:i w:val="0"/>
          <w:iCs w:val="0"/>
          <w:color w:val="auto"/>
          <w:sz w:val="20"/>
          <w:szCs w:val="20"/>
        </w:rPr>
        <w:t>7</w:t>
      </w:r>
      <w:r w:rsidRPr="0016660B">
        <w:rPr>
          <w:rFonts w:ascii="Times New Roman" w:hAnsi="Times New Roman" w:cs="Times New Roman"/>
          <w:i w:val="0"/>
          <w:iCs w:val="0"/>
          <w:color w:val="auto"/>
          <w:sz w:val="20"/>
          <w:szCs w:val="20"/>
        </w:rPr>
        <w:t>: Example Driving Hour feature table. The column labeled “</w:t>
      </w:r>
      <w:r w:rsidR="00881807">
        <w:rPr>
          <w:rFonts w:ascii="Times New Roman" w:hAnsi="Times New Roman" w:cs="Times New Roman"/>
          <w:i w:val="0"/>
          <w:iCs w:val="0"/>
          <w:color w:val="auto"/>
          <w:sz w:val="20"/>
          <w:szCs w:val="20"/>
        </w:rPr>
        <w:t>Crash</w:t>
      </w:r>
      <w:r w:rsidRPr="0016660B">
        <w:rPr>
          <w:rFonts w:ascii="Times New Roman" w:hAnsi="Times New Roman" w:cs="Times New Roman"/>
          <w:i w:val="0"/>
          <w:iCs w:val="0"/>
          <w:color w:val="auto"/>
          <w:sz w:val="20"/>
          <w:szCs w:val="20"/>
        </w:rPr>
        <w:t>” contains a Boolean value.</w:t>
      </w:r>
    </w:p>
    <w:tbl>
      <w:tblPr>
        <w:tblStyle w:val="TableGrid"/>
        <w:tblW w:w="0" w:type="auto"/>
        <w:jc w:val="center"/>
        <w:tblLook w:val="04A0"/>
      </w:tblPr>
      <w:tblGrid>
        <w:gridCol w:w="1523"/>
        <w:gridCol w:w="1352"/>
        <w:gridCol w:w="1658"/>
        <w:gridCol w:w="1123"/>
      </w:tblGrid>
      <w:tr w14:paraId="76A1B178" w14:textId="77777777" w:rsidTr="0016660B">
        <w:tblPrEx>
          <w:tblW w:w="0" w:type="auto"/>
          <w:jc w:val="center"/>
          <w:tblLook w:val="04A0"/>
        </w:tblPrEx>
        <w:trPr>
          <w:jc w:val="center"/>
        </w:trPr>
        <w:tc>
          <w:tcPr>
            <w:tcW w:w="0" w:type="auto"/>
            <w:shd w:val="clear" w:color="auto" w:fill="D9D9D9" w:themeFill="background1" w:themeFillShade="D9"/>
          </w:tcPr>
          <w:p w:rsidR="00923DE9" w:rsidRPr="0016660B" w:rsidP="0016660B" w14:paraId="178AB5FE" w14:textId="77777777">
            <w:pPr>
              <w:rPr>
                <w:b/>
                <w:bCs/>
              </w:rPr>
            </w:pPr>
            <w:r w:rsidRPr="0016660B">
              <w:rPr>
                <w:b/>
                <w:bCs/>
              </w:rPr>
              <w:t>Duty Day ID</w:t>
            </w:r>
          </w:p>
        </w:tc>
        <w:tc>
          <w:tcPr>
            <w:tcW w:w="1352" w:type="dxa"/>
            <w:shd w:val="clear" w:color="auto" w:fill="D9D9D9" w:themeFill="background1" w:themeFillShade="D9"/>
          </w:tcPr>
          <w:p w:rsidR="00923DE9" w:rsidRPr="0016660B" w:rsidP="0016660B" w14:paraId="3F749BAD" w14:textId="77777777">
            <w:pPr>
              <w:rPr>
                <w:b/>
                <w:bCs/>
              </w:rPr>
            </w:pPr>
            <w:r w:rsidRPr="0016660B">
              <w:rPr>
                <w:b/>
                <w:bCs/>
              </w:rPr>
              <w:t xml:space="preserve">Driving Hour </w:t>
            </w:r>
          </w:p>
        </w:tc>
        <w:tc>
          <w:tcPr>
            <w:tcW w:w="1658" w:type="dxa"/>
            <w:shd w:val="clear" w:color="auto" w:fill="D9D9D9" w:themeFill="background1" w:themeFillShade="D9"/>
          </w:tcPr>
          <w:p w:rsidR="00923DE9" w:rsidRPr="0016660B" w:rsidP="0016660B" w14:paraId="778523D8" w14:textId="77777777">
            <w:pPr>
              <w:rPr>
                <w:b/>
                <w:bCs/>
              </w:rPr>
            </w:pPr>
            <w:r w:rsidRPr="0016660B">
              <w:rPr>
                <w:b/>
                <w:bCs/>
              </w:rPr>
              <w:t>Hours Driven (0 – 1)</w:t>
            </w:r>
          </w:p>
        </w:tc>
        <w:tc>
          <w:tcPr>
            <w:tcW w:w="1123" w:type="dxa"/>
            <w:shd w:val="clear" w:color="auto" w:fill="D9D9D9" w:themeFill="background1" w:themeFillShade="D9"/>
          </w:tcPr>
          <w:p w:rsidR="00923DE9" w:rsidRPr="0016660B" w:rsidP="0016660B" w14:paraId="49BD1A2B" w14:textId="77777777">
            <w:pPr>
              <w:rPr>
                <w:b/>
                <w:bCs/>
              </w:rPr>
            </w:pPr>
            <w:r>
              <w:rPr>
                <w:b/>
                <w:bCs/>
              </w:rPr>
              <w:t>Crash</w:t>
            </w:r>
          </w:p>
        </w:tc>
      </w:tr>
      <w:tr w14:paraId="7B1DD29E" w14:textId="77777777" w:rsidTr="0016660B">
        <w:tblPrEx>
          <w:tblW w:w="0" w:type="auto"/>
          <w:jc w:val="center"/>
          <w:tblLook w:val="04A0"/>
        </w:tblPrEx>
        <w:trPr>
          <w:jc w:val="center"/>
        </w:trPr>
        <w:tc>
          <w:tcPr>
            <w:tcW w:w="0" w:type="auto"/>
          </w:tcPr>
          <w:p w:rsidR="00923DE9" w:rsidRPr="00135629" w:rsidP="0016660B" w14:paraId="34223E3B" w14:textId="77777777">
            <w:r w:rsidRPr="00135629">
              <w:t>1</w:t>
            </w:r>
          </w:p>
        </w:tc>
        <w:tc>
          <w:tcPr>
            <w:tcW w:w="1352" w:type="dxa"/>
            <w:vAlign w:val="center"/>
          </w:tcPr>
          <w:p w:rsidR="00923DE9" w:rsidRPr="00135629" w:rsidP="0016660B" w14:paraId="20BA3E2B" w14:textId="77777777">
            <w:r w:rsidRPr="00135629">
              <w:t>1</w:t>
            </w:r>
          </w:p>
        </w:tc>
        <w:tc>
          <w:tcPr>
            <w:tcW w:w="1658" w:type="dxa"/>
          </w:tcPr>
          <w:p w:rsidR="00923DE9" w:rsidRPr="00135629" w:rsidP="0016660B" w14:paraId="23EFBE35" w14:textId="77777777">
            <w:r w:rsidRPr="00135629">
              <w:t>1</w:t>
            </w:r>
          </w:p>
        </w:tc>
        <w:tc>
          <w:tcPr>
            <w:tcW w:w="1123" w:type="dxa"/>
          </w:tcPr>
          <w:p w:rsidR="00923DE9" w:rsidRPr="00135629" w:rsidP="0016660B" w14:paraId="3F60AEC7" w14:textId="77777777">
            <w:r w:rsidRPr="00135629">
              <w:t>0</w:t>
            </w:r>
          </w:p>
        </w:tc>
      </w:tr>
      <w:tr w14:paraId="17CF7D0E" w14:textId="77777777" w:rsidTr="0016660B">
        <w:tblPrEx>
          <w:tblW w:w="0" w:type="auto"/>
          <w:jc w:val="center"/>
          <w:tblLook w:val="04A0"/>
        </w:tblPrEx>
        <w:trPr>
          <w:jc w:val="center"/>
        </w:trPr>
        <w:tc>
          <w:tcPr>
            <w:tcW w:w="0" w:type="auto"/>
          </w:tcPr>
          <w:p w:rsidR="00923DE9" w:rsidRPr="00135629" w:rsidP="0016660B" w14:paraId="4225FECB" w14:textId="77777777">
            <w:r w:rsidRPr="00135629">
              <w:t>1</w:t>
            </w:r>
          </w:p>
        </w:tc>
        <w:tc>
          <w:tcPr>
            <w:tcW w:w="1352" w:type="dxa"/>
            <w:vAlign w:val="center"/>
          </w:tcPr>
          <w:p w:rsidR="00923DE9" w:rsidRPr="00135629" w:rsidP="0016660B" w14:paraId="46AC9447" w14:textId="77777777">
            <w:r w:rsidRPr="00135629">
              <w:t>2</w:t>
            </w:r>
          </w:p>
        </w:tc>
        <w:tc>
          <w:tcPr>
            <w:tcW w:w="1658" w:type="dxa"/>
          </w:tcPr>
          <w:p w:rsidR="00923DE9" w:rsidRPr="00135629" w:rsidP="0016660B" w14:paraId="65C13C29" w14:textId="77777777">
            <w:r w:rsidRPr="00135629">
              <w:t>0.5</w:t>
            </w:r>
          </w:p>
        </w:tc>
        <w:tc>
          <w:tcPr>
            <w:tcW w:w="1123" w:type="dxa"/>
          </w:tcPr>
          <w:p w:rsidR="00923DE9" w:rsidRPr="00135629" w:rsidP="0016660B" w14:paraId="412DDEF7" w14:textId="77777777">
            <w:r w:rsidRPr="00135629">
              <w:t>1</w:t>
            </w:r>
          </w:p>
        </w:tc>
      </w:tr>
      <w:tr w14:paraId="31933E4F" w14:textId="77777777" w:rsidTr="0016660B">
        <w:tblPrEx>
          <w:tblW w:w="0" w:type="auto"/>
          <w:jc w:val="center"/>
          <w:tblLook w:val="04A0"/>
        </w:tblPrEx>
        <w:trPr>
          <w:jc w:val="center"/>
        </w:trPr>
        <w:tc>
          <w:tcPr>
            <w:tcW w:w="0" w:type="auto"/>
          </w:tcPr>
          <w:p w:rsidR="00923DE9" w:rsidRPr="00135629" w:rsidP="0016660B" w14:paraId="0DFD34F7" w14:textId="77777777">
            <w:r w:rsidRPr="00135629">
              <w:t>1</w:t>
            </w:r>
          </w:p>
        </w:tc>
        <w:tc>
          <w:tcPr>
            <w:tcW w:w="1352" w:type="dxa"/>
            <w:vAlign w:val="center"/>
          </w:tcPr>
          <w:p w:rsidR="00923DE9" w:rsidRPr="00135629" w:rsidP="0016660B" w14:paraId="45E5A805" w14:textId="77777777">
            <w:r w:rsidRPr="00135629">
              <w:t>3</w:t>
            </w:r>
          </w:p>
        </w:tc>
        <w:tc>
          <w:tcPr>
            <w:tcW w:w="1658" w:type="dxa"/>
          </w:tcPr>
          <w:p w:rsidR="00923DE9" w:rsidRPr="00135629" w:rsidP="0016660B" w14:paraId="166B9BD0" w14:textId="77777777">
            <w:r w:rsidRPr="00135629">
              <w:t>0</w:t>
            </w:r>
          </w:p>
        </w:tc>
        <w:tc>
          <w:tcPr>
            <w:tcW w:w="1123" w:type="dxa"/>
          </w:tcPr>
          <w:p w:rsidR="00923DE9" w:rsidRPr="00135629" w:rsidP="0016660B" w14:paraId="394545CB" w14:textId="77777777">
            <w:r w:rsidRPr="00135629">
              <w:t>0</w:t>
            </w:r>
          </w:p>
        </w:tc>
      </w:tr>
    </w:tbl>
    <w:p w:rsidR="00923DE9" w:rsidRPr="00335A8A" w:rsidP="00135629" w14:paraId="78CA3410" w14:textId="77777777"/>
    <w:p w:rsidR="00923DE9" w:rsidRPr="00135629" w:rsidP="00135629" w14:paraId="003C4214" w14:textId="77777777">
      <w:r w:rsidRPr="00135629">
        <w:t>Together, the Duty Day and Driving Hour feature tables contain a full set of features that will support</w:t>
      </w:r>
      <w:r w:rsidRPr="0016660B">
        <w:t xml:space="preserve"> </w:t>
      </w:r>
      <w:r w:rsidRPr="00135629">
        <w:t>the analyses outlined above. They are envisioned to also serve the needs of future unplanned analyses. A Driver ID field is intentionally not included in either feature table to support the deidentification objective (a de-identified driver ID is used temporarily during data processing but is removed in the final version of the feature tables). While the removal of the driver ID is necessary for creating a deidentified data set, we recognize that its omission will limit certain analyses (i.e., longitudinal designs and within-subjects designs).</w:t>
      </w:r>
    </w:p>
    <w:p w:rsidR="00E01008" w:rsidP="0016660B" w14:paraId="22BF9AE9" w14:textId="77777777">
      <w:bookmarkStart w:id="3" w:name="_Toc184730791"/>
    </w:p>
    <w:p w:rsidR="00E01008" w:rsidRPr="00135629" w:rsidP="00135629" w14:paraId="2BA6A57A" w14:textId="77777777">
      <w:r w:rsidRPr="0016660B">
        <w:rPr>
          <w:u w:val="single"/>
        </w:rPr>
        <w:t>Features</w:t>
      </w:r>
      <w:bookmarkEnd w:id="3"/>
    </w:p>
    <w:p w:rsidR="00923DE9" w:rsidRPr="00135629" w:rsidP="00135629" w14:paraId="33271077" w14:textId="77777777">
      <w:r w:rsidRPr="00135629">
        <w:t>The following variables are included in each row of the feature tables</w:t>
      </w:r>
      <w:r w:rsidR="006E7E0C">
        <w:t xml:space="preserve"> (* denotes primary independent variables of interest)</w:t>
      </w:r>
      <w:r w:rsidRPr="00135629">
        <w:t>.</w:t>
      </w:r>
    </w:p>
    <w:p w:rsidR="00E01008" w:rsidRPr="00135629" w:rsidP="00135629" w14:paraId="7CAF6238" w14:textId="77777777">
      <w:pPr>
        <w:pStyle w:val="Heading3"/>
      </w:pPr>
    </w:p>
    <w:p w:rsidR="00923DE9" w:rsidRPr="00C52E78" w:rsidP="0016660B" w14:paraId="6F57F900" w14:textId="77777777">
      <w:r w:rsidRPr="00C52E78">
        <w:t>Duty Date Variables</w:t>
      </w:r>
      <w:r w:rsidR="00C52E78">
        <w:t>:</w:t>
      </w:r>
    </w:p>
    <w:p w:rsidR="00923DE9" w:rsidRPr="00135629" w:rsidP="00CF7E97" w14:paraId="1CF85C2E" w14:textId="77777777">
      <w:pPr>
        <w:pStyle w:val="ListParagraph"/>
        <w:numPr>
          <w:ilvl w:val="0"/>
          <w:numId w:val="6"/>
        </w:numPr>
      </w:pPr>
      <w:r w:rsidRPr="00135629">
        <w:t>Calendar year</w:t>
      </w:r>
    </w:p>
    <w:p w:rsidR="00923DE9" w:rsidRPr="00135629" w:rsidP="00CF7E97" w14:paraId="7EF508D4" w14:textId="77777777">
      <w:pPr>
        <w:pStyle w:val="ListParagraph"/>
        <w:numPr>
          <w:ilvl w:val="0"/>
          <w:numId w:val="6"/>
        </w:numPr>
      </w:pPr>
      <w:r w:rsidRPr="00135629">
        <w:t>Calendar month</w:t>
      </w:r>
    </w:p>
    <w:p w:rsidR="00923DE9" w:rsidRPr="00135629" w:rsidP="00CF7E97" w14:paraId="1960AF18" w14:textId="77777777">
      <w:pPr>
        <w:pStyle w:val="ListParagraph"/>
        <w:numPr>
          <w:ilvl w:val="0"/>
          <w:numId w:val="6"/>
        </w:numPr>
      </w:pPr>
      <w:r w:rsidRPr="00135629">
        <w:t>Calendar day</w:t>
      </w:r>
    </w:p>
    <w:p w:rsidR="00923DE9" w:rsidRPr="00135629" w:rsidP="00CF7E97" w14:paraId="2D29EBC9" w14:textId="77777777">
      <w:pPr>
        <w:pStyle w:val="ListParagraph"/>
        <w:numPr>
          <w:ilvl w:val="0"/>
          <w:numId w:val="6"/>
        </w:numPr>
      </w:pPr>
      <w:r w:rsidRPr="00135629">
        <w:t>Day of the year (e.g., 173</w:t>
      </w:r>
      <w:r w:rsidRPr="00135629">
        <w:rPr>
          <w:vertAlign w:val="superscript"/>
        </w:rPr>
        <w:t>rd</w:t>
      </w:r>
      <w:r w:rsidRPr="00135629">
        <w:t xml:space="preserve"> day of the year)</w:t>
      </w:r>
    </w:p>
    <w:p w:rsidR="00923DE9" w:rsidRPr="00135629" w:rsidP="00CF7E97" w14:paraId="3C473D1C" w14:textId="77777777">
      <w:pPr>
        <w:pStyle w:val="ListParagraph"/>
        <w:numPr>
          <w:ilvl w:val="0"/>
          <w:numId w:val="6"/>
        </w:numPr>
      </w:pPr>
      <w:r w:rsidRPr="00135629">
        <w:t>Duty start/end time of day</w:t>
      </w:r>
      <w:r w:rsidR="0073635F">
        <w:t xml:space="preserve"> </w:t>
      </w:r>
      <w:r w:rsidRPr="00135629">
        <w:t>(binned into 1-hour bins)</w:t>
      </w:r>
    </w:p>
    <w:p w:rsidR="00923DE9" w:rsidRPr="00135629" w:rsidP="00CF7E97" w14:paraId="140032C4" w14:textId="77777777">
      <w:pPr>
        <w:pStyle w:val="ListParagraph"/>
        <w:numPr>
          <w:ilvl w:val="0"/>
          <w:numId w:val="7"/>
        </w:numPr>
      </w:pPr>
      <w:r w:rsidRPr="00135629">
        <w:t>Hour of driving start/end time of day</w:t>
      </w:r>
      <w:r w:rsidR="0073635F">
        <w:t xml:space="preserve"> </w:t>
      </w:r>
      <w:r w:rsidRPr="00135629">
        <w:t>(binned into 1-hour bins)</w:t>
      </w:r>
      <w:r w:rsidR="006E7E0C">
        <w:t xml:space="preserve"> (*)</w:t>
      </w:r>
    </w:p>
    <w:p w:rsidR="00DE6771" w:rsidP="00DE6771" w14:paraId="66A849A4" w14:textId="77777777">
      <w:pPr>
        <w:rPr>
          <w:u w:val="single"/>
        </w:rPr>
      </w:pPr>
    </w:p>
    <w:p w:rsidR="00923DE9" w:rsidRPr="00C52E78" w:rsidP="0016660B" w14:paraId="611DFA82" w14:textId="77777777">
      <w:r w:rsidRPr="00C52E78">
        <w:t>Work Variables</w:t>
      </w:r>
      <w:r w:rsidR="00C52E78">
        <w:t>:</w:t>
      </w:r>
    </w:p>
    <w:p w:rsidR="00923DE9" w:rsidRPr="00135629" w:rsidP="00CF7E97" w14:paraId="56203693" w14:textId="77777777">
      <w:pPr>
        <w:pStyle w:val="ListParagraph"/>
        <w:numPr>
          <w:ilvl w:val="0"/>
          <w:numId w:val="7"/>
        </w:numPr>
      </w:pPr>
      <w:r w:rsidRPr="00135629">
        <w:t>Cumulative hours on-duty during duty</w:t>
      </w:r>
      <w:r w:rsidR="0073635F">
        <w:t xml:space="preserve"> </w:t>
      </w:r>
    </w:p>
    <w:p w:rsidR="00923DE9" w:rsidRPr="00135629" w:rsidP="00CF7E97" w14:paraId="2CDA8E14" w14:textId="77777777">
      <w:pPr>
        <w:pStyle w:val="ListParagraph"/>
        <w:numPr>
          <w:ilvl w:val="0"/>
          <w:numId w:val="7"/>
        </w:numPr>
      </w:pPr>
      <w:r w:rsidRPr="00135629">
        <w:t xml:space="preserve">Cumulative hours driven during duty </w:t>
      </w:r>
      <w:r w:rsidR="006E7E0C">
        <w:t>(*)</w:t>
      </w:r>
    </w:p>
    <w:p w:rsidR="00923DE9" w:rsidRPr="00135629" w:rsidP="00CF7E97" w14:paraId="57896596" w14:textId="77777777">
      <w:pPr>
        <w:pStyle w:val="ListParagraph"/>
        <w:numPr>
          <w:ilvl w:val="0"/>
          <w:numId w:val="7"/>
        </w:numPr>
      </w:pPr>
      <w:r w:rsidRPr="00135629">
        <w:t>Total number of breaks during duty</w:t>
      </w:r>
      <w:r w:rsidR="0073635F">
        <w:t xml:space="preserve"> </w:t>
      </w:r>
      <w:r w:rsidR="006E7E0C">
        <w:t>(*)</w:t>
      </w:r>
    </w:p>
    <w:p w:rsidR="00923DE9" w:rsidRPr="00135629" w:rsidP="00CF7E97" w14:paraId="4D0B20E8" w14:textId="77777777">
      <w:pPr>
        <w:pStyle w:val="ListParagraph"/>
        <w:numPr>
          <w:ilvl w:val="0"/>
          <w:numId w:val="7"/>
        </w:numPr>
      </w:pPr>
      <w:r w:rsidRPr="00135629">
        <w:t>Cumulative duration of breaks during duty</w:t>
      </w:r>
    </w:p>
    <w:p w:rsidR="00923DE9" w:rsidRPr="00135629" w:rsidP="00CF7E97" w14:paraId="3EFA2FF6" w14:textId="77777777">
      <w:pPr>
        <w:pStyle w:val="ListParagraph"/>
        <w:numPr>
          <w:ilvl w:val="0"/>
          <w:numId w:val="7"/>
        </w:numPr>
      </w:pPr>
      <w:r w:rsidRPr="00135629">
        <w:t>Cumulative duration of time in sleeper berth during duty</w:t>
      </w:r>
    </w:p>
    <w:p w:rsidR="00923DE9" w:rsidRPr="00135629" w:rsidP="00CF7E97" w14:paraId="1F0EB561" w14:textId="77777777">
      <w:pPr>
        <w:pStyle w:val="ListParagraph"/>
        <w:numPr>
          <w:ilvl w:val="0"/>
          <w:numId w:val="7"/>
        </w:numPr>
      </w:pPr>
      <w:r w:rsidRPr="00135629">
        <w:t xml:space="preserve">Total duration of rest prior to current duty period </w:t>
      </w:r>
    </w:p>
    <w:p w:rsidR="00923DE9" w:rsidP="00CF7E97" w14:paraId="125108E2" w14:textId="77777777">
      <w:pPr>
        <w:pStyle w:val="ListParagraph"/>
        <w:numPr>
          <w:ilvl w:val="0"/>
          <w:numId w:val="7"/>
        </w:numPr>
      </w:pPr>
      <w:r w:rsidRPr="00135629">
        <w:t xml:space="preserve">Total duration in sleeper berth during rest prior to current duty period </w:t>
      </w:r>
      <w:r w:rsidR="006E7E0C">
        <w:t>(5)</w:t>
      </w:r>
    </w:p>
    <w:p w:rsidR="006E7E0C" w:rsidRPr="00135629" w:rsidP="00CF7E97" w14:paraId="49CE73E2" w14:textId="77777777">
      <w:pPr>
        <w:pStyle w:val="ListParagraph"/>
        <w:numPr>
          <w:ilvl w:val="0"/>
          <w:numId w:val="7"/>
        </w:numPr>
      </w:pPr>
      <w:r>
        <w:t xml:space="preserve">Consecutive </w:t>
      </w:r>
      <w:r w:rsidRPr="00135629">
        <w:t xml:space="preserve">duration in sleeper berth during rest prior to current duty period </w:t>
      </w:r>
      <w:r>
        <w:t>(5)</w:t>
      </w:r>
    </w:p>
    <w:p w:rsidR="00923DE9" w:rsidP="00CF7E97" w14:paraId="10407E45" w14:textId="77777777">
      <w:pPr>
        <w:pStyle w:val="ListParagraph"/>
        <w:numPr>
          <w:ilvl w:val="0"/>
          <w:numId w:val="7"/>
        </w:numPr>
      </w:pPr>
      <w:r w:rsidRPr="00135629">
        <w:t xml:space="preserve">Total duration in personal conveyance during rest prior to current duty period </w:t>
      </w:r>
      <w:r w:rsidR="006E7E0C">
        <w:t>(6)</w:t>
      </w:r>
    </w:p>
    <w:p w:rsidR="006E7E0C" w:rsidP="00CF7E97" w14:paraId="1538D664" w14:textId="77777777">
      <w:pPr>
        <w:pStyle w:val="ListParagraph"/>
        <w:numPr>
          <w:ilvl w:val="0"/>
          <w:numId w:val="7"/>
        </w:numPr>
      </w:pPr>
      <w:r w:rsidRPr="00135629">
        <w:t xml:space="preserve">Total duration in personal conveyance during rest </w:t>
      </w:r>
      <w:r>
        <w:t>after</w:t>
      </w:r>
      <w:r w:rsidRPr="00135629">
        <w:t xml:space="preserve"> current duty period</w:t>
      </w:r>
      <w:r>
        <w:t xml:space="preserve"> (6)</w:t>
      </w:r>
    </w:p>
    <w:p w:rsidR="00923DE9" w:rsidP="00CF7E97" w14:paraId="40856C15" w14:textId="77777777">
      <w:pPr>
        <w:pStyle w:val="ListParagraph"/>
        <w:numPr>
          <w:ilvl w:val="0"/>
          <w:numId w:val="7"/>
        </w:numPr>
      </w:pPr>
      <w:r w:rsidRPr="00135629">
        <w:t xml:space="preserve">Cumulative hours of personal conveyance in prior </w:t>
      </w:r>
      <w:r w:rsidRPr="00135629">
        <w:rPr>
          <w:i/>
          <w:iCs/>
        </w:rPr>
        <w:t>P</w:t>
      </w:r>
      <w:r w:rsidRPr="00135629">
        <w:t xml:space="preserve"> days (</w:t>
      </w:r>
      <w:r w:rsidRPr="00135629">
        <w:rPr>
          <w:i/>
          <w:iCs/>
        </w:rPr>
        <w:t>P</w:t>
      </w:r>
      <w:r w:rsidRPr="00135629">
        <w:t xml:space="preserve"> = up to 180 days)</w:t>
      </w:r>
    </w:p>
    <w:p w:rsidR="006E7E0C" w:rsidRPr="00135629" w:rsidP="00CF7E97" w14:paraId="59902C7B" w14:textId="77777777">
      <w:pPr>
        <w:pStyle w:val="ListParagraph"/>
        <w:numPr>
          <w:ilvl w:val="0"/>
          <w:numId w:val="7"/>
        </w:numPr>
      </w:pPr>
      <w:r>
        <w:t>Total duration of last restart</w:t>
      </w:r>
    </w:p>
    <w:p w:rsidR="006E7E0C" w:rsidRPr="00135629" w:rsidP="00CF7E97" w14:paraId="0B075622" w14:textId="77777777">
      <w:pPr>
        <w:pStyle w:val="ListParagraph"/>
        <w:numPr>
          <w:ilvl w:val="0"/>
          <w:numId w:val="7"/>
        </w:numPr>
      </w:pPr>
      <w:r>
        <w:t>Number of nights of last restart (*)</w:t>
      </w:r>
    </w:p>
    <w:p w:rsidR="00923DE9" w:rsidRPr="00135629" w:rsidP="00CF7E97" w14:paraId="33801BF6" w14:textId="77777777">
      <w:pPr>
        <w:pStyle w:val="ListParagraph"/>
        <w:numPr>
          <w:ilvl w:val="0"/>
          <w:numId w:val="7"/>
        </w:numPr>
      </w:pPr>
      <w:r w:rsidRPr="00135629">
        <w:t>Cumulative hours worked/driven since last restart at start of duty</w:t>
      </w:r>
    </w:p>
    <w:p w:rsidR="00923DE9" w:rsidRPr="00135629" w:rsidP="00CF7E97" w14:paraId="54BD7C64" w14:textId="77777777">
      <w:pPr>
        <w:pStyle w:val="ListParagraph"/>
        <w:numPr>
          <w:ilvl w:val="0"/>
          <w:numId w:val="7"/>
        </w:numPr>
      </w:pPr>
      <w:r w:rsidRPr="00135629">
        <w:t xml:space="preserve">Cumulative hours worked/driven since last restart, up to a period of </w:t>
      </w:r>
      <w:r w:rsidRPr="00135629">
        <w:rPr>
          <w:i/>
          <w:iCs/>
        </w:rPr>
        <w:t>Q</w:t>
      </w:r>
      <w:r w:rsidRPr="00135629">
        <w:t xml:space="preserve"> days (</w:t>
      </w:r>
      <w:r w:rsidRPr="00135629">
        <w:rPr>
          <w:i/>
          <w:iCs/>
        </w:rPr>
        <w:t>Q</w:t>
      </w:r>
      <w:r w:rsidRPr="00135629">
        <w:t xml:space="preserve"> = 1 to 30) at start of duty</w:t>
      </w:r>
    </w:p>
    <w:p w:rsidR="00923DE9" w:rsidRPr="00135629" w:rsidP="00CF7E97" w14:paraId="0459E1DF" w14:textId="77777777">
      <w:pPr>
        <w:pStyle w:val="ListParagraph"/>
        <w:numPr>
          <w:ilvl w:val="0"/>
          <w:numId w:val="7"/>
        </w:numPr>
      </w:pPr>
      <w:r w:rsidRPr="00135629">
        <w:t>Cumulative duty days since last restart at start of duty</w:t>
      </w:r>
    </w:p>
    <w:p w:rsidR="00923DE9" w:rsidRPr="00135629" w:rsidP="00CF7E97" w14:paraId="073ADDD0" w14:textId="77777777">
      <w:pPr>
        <w:pStyle w:val="ListParagraph"/>
        <w:numPr>
          <w:ilvl w:val="0"/>
          <w:numId w:val="7"/>
        </w:numPr>
      </w:pPr>
      <w:r w:rsidRPr="00135629">
        <w:t xml:space="preserve">Cumulative hours in sleeper berth in recent past period of </w:t>
      </w:r>
      <w:r w:rsidRPr="00135629">
        <w:rPr>
          <w:i/>
          <w:iCs/>
        </w:rPr>
        <w:t>Q</w:t>
      </w:r>
      <w:r w:rsidRPr="00135629">
        <w:t xml:space="preserve"> days since the restart (</w:t>
      </w:r>
      <w:r w:rsidRPr="00135629">
        <w:rPr>
          <w:i/>
          <w:iCs/>
        </w:rPr>
        <w:t>Q</w:t>
      </w:r>
      <w:r w:rsidRPr="00135629">
        <w:t xml:space="preserve"> = 1 to 30)</w:t>
      </w:r>
    </w:p>
    <w:p w:rsidR="00923DE9" w:rsidRPr="00135629" w:rsidP="00CF7E97" w14:paraId="785C3812" w14:textId="77777777">
      <w:pPr>
        <w:pStyle w:val="ListParagraph"/>
        <w:numPr>
          <w:ilvl w:val="0"/>
          <w:numId w:val="7"/>
        </w:numPr>
      </w:pPr>
      <w:r w:rsidRPr="00135629">
        <w:t xml:space="preserve">Cumulative hours worked/driven over the past </w:t>
      </w:r>
      <w:r w:rsidRPr="00135629">
        <w:rPr>
          <w:i/>
          <w:iCs/>
        </w:rPr>
        <w:t>Q</w:t>
      </w:r>
      <w:r w:rsidRPr="00135629">
        <w:t xml:space="preserve"> days (</w:t>
      </w:r>
      <w:r w:rsidRPr="00135629">
        <w:rPr>
          <w:i/>
          <w:iCs/>
        </w:rPr>
        <w:t>Q</w:t>
      </w:r>
      <w:r w:rsidRPr="00135629">
        <w:t xml:space="preserve"> = 1 to 180)</w:t>
      </w:r>
      <w:r w:rsidR="006E7E0C">
        <w:t xml:space="preserve"> (*)</w:t>
      </w:r>
    </w:p>
    <w:p w:rsidR="00923DE9" w:rsidRPr="00135629" w:rsidP="00CF7E97" w14:paraId="04DFFDA2" w14:textId="77777777">
      <w:pPr>
        <w:pStyle w:val="ListParagraph"/>
        <w:numPr>
          <w:ilvl w:val="0"/>
          <w:numId w:val="7"/>
        </w:numPr>
      </w:pPr>
      <w:r w:rsidRPr="00135629">
        <w:t>Model-based fatigue level estimate for the duty period at duty start, end, and peak</w:t>
      </w:r>
    </w:p>
    <w:p w:rsidR="00923DE9" w:rsidRPr="00135629" w:rsidP="00CF7E97" w14:paraId="2011E354" w14:textId="77777777">
      <w:pPr>
        <w:pStyle w:val="ListParagraph"/>
        <w:numPr>
          <w:ilvl w:val="0"/>
          <w:numId w:val="7"/>
        </w:numPr>
      </w:pPr>
      <w:r w:rsidRPr="00135629">
        <w:t xml:space="preserve">Average model-based fatigue level estimate over the past </w:t>
      </w:r>
      <w:r w:rsidRPr="00135629">
        <w:rPr>
          <w:i/>
          <w:iCs/>
        </w:rPr>
        <w:t>Q</w:t>
      </w:r>
      <w:r w:rsidRPr="00135629">
        <w:t xml:space="preserve"> days (</w:t>
      </w:r>
      <w:r w:rsidRPr="00135629">
        <w:rPr>
          <w:i/>
          <w:iCs/>
        </w:rPr>
        <w:t>Q</w:t>
      </w:r>
      <w:r w:rsidRPr="00135629">
        <w:t xml:space="preserve"> = 1 to 180)</w:t>
      </w:r>
    </w:p>
    <w:p w:rsidR="00923DE9" w:rsidRPr="00135629" w:rsidP="00CF7E97" w14:paraId="694ADF2F" w14:textId="77777777">
      <w:pPr>
        <w:pStyle w:val="ListParagraph"/>
        <w:numPr>
          <w:ilvl w:val="0"/>
          <w:numId w:val="7"/>
        </w:numPr>
      </w:pPr>
      <w:r w:rsidRPr="00135629">
        <w:t xml:space="preserve">Model-based sleep estimate prior to duty </w:t>
      </w:r>
    </w:p>
    <w:p w:rsidR="00923DE9" w:rsidRPr="00135629" w:rsidP="00CF7E97" w14:paraId="78610DD3" w14:textId="77777777">
      <w:pPr>
        <w:pStyle w:val="ListParagraph"/>
        <w:numPr>
          <w:ilvl w:val="0"/>
          <w:numId w:val="7"/>
        </w:numPr>
      </w:pPr>
      <w:r w:rsidRPr="00135629">
        <w:t xml:space="preserve">Average model-based sleep estimate over the past </w:t>
      </w:r>
      <w:r w:rsidRPr="00135629">
        <w:rPr>
          <w:i/>
          <w:iCs/>
        </w:rPr>
        <w:t>Q</w:t>
      </w:r>
      <w:r w:rsidRPr="00135629">
        <w:t xml:space="preserve"> days (</w:t>
      </w:r>
      <w:r w:rsidRPr="00135629">
        <w:rPr>
          <w:i/>
          <w:iCs/>
        </w:rPr>
        <w:t>Q</w:t>
      </w:r>
      <w:r w:rsidRPr="00135629">
        <w:t xml:space="preserve"> = 1 to 180)</w:t>
      </w:r>
    </w:p>
    <w:p w:rsidR="00DE6771" w:rsidP="0016660B" w14:paraId="3E5C4C3E" w14:textId="77777777"/>
    <w:p w:rsidR="00923DE9" w:rsidRPr="00C52E78" w:rsidP="0016660B" w14:paraId="75E5B246" w14:textId="77777777">
      <w:r>
        <w:t>Crash</w:t>
      </w:r>
      <w:r w:rsidRPr="00C52E78">
        <w:t xml:space="preserve"> and Inspection Violations </w:t>
      </w:r>
      <w:r w:rsidR="001603F9">
        <w:t xml:space="preserve">Outcome </w:t>
      </w:r>
      <w:r w:rsidRPr="00C52E78">
        <w:t>Variables</w:t>
      </w:r>
      <w:r w:rsidR="00C52E78">
        <w:t>:</w:t>
      </w:r>
    </w:p>
    <w:p w:rsidR="00923DE9" w:rsidRPr="00135629" w:rsidP="00CF7E97" w14:paraId="07F519C6" w14:textId="77777777">
      <w:pPr>
        <w:pStyle w:val="ListParagraph"/>
        <w:numPr>
          <w:ilvl w:val="0"/>
          <w:numId w:val="7"/>
        </w:numPr>
      </w:pPr>
      <w:r w:rsidRPr="00135629">
        <w:t xml:space="preserve">Number of </w:t>
      </w:r>
      <w:r w:rsidR="00461961">
        <w:t>crashes</w:t>
      </w:r>
      <w:r w:rsidRPr="00135629">
        <w:t>/violations in the current duty day</w:t>
      </w:r>
    </w:p>
    <w:p w:rsidR="00923DE9" w:rsidRPr="00135629" w:rsidP="00CF7E97" w14:paraId="60EA7B99" w14:textId="77777777">
      <w:pPr>
        <w:pStyle w:val="ListParagraph"/>
        <w:numPr>
          <w:ilvl w:val="0"/>
          <w:numId w:val="7"/>
        </w:numPr>
      </w:pPr>
      <w:r w:rsidRPr="00135629">
        <w:t xml:space="preserve">Binned time of any </w:t>
      </w:r>
      <w:r w:rsidR="004608EA">
        <w:t>crash</w:t>
      </w:r>
      <w:r w:rsidRPr="00135629">
        <w:t>/violation (binned into 1-hour bins)</w:t>
      </w:r>
    </w:p>
    <w:p w:rsidR="00923DE9" w:rsidRPr="00135629" w:rsidP="00CF7E97" w14:paraId="1E947F0A" w14:textId="77777777">
      <w:pPr>
        <w:pStyle w:val="ListParagraph"/>
        <w:numPr>
          <w:ilvl w:val="0"/>
          <w:numId w:val="7"/>
        </w:numPr>
      </w:pPr>
      <w:r w:rsidRPr="00135629">
        <w:t xml:space="preserve">Time to event (hours of driving from start of duty) of </w:t>
      </w:r>
      <w:r w:rsidR="004608EA">
        <w:t>crash</w:t>
      </w:r>
      <w:r w:rsidRPr="00135629">
        <w:t>/violation in current duty day</w:t>
      </w:r>
    </w:p>
    <w:p w:rsidR="00923DE9" w:rsidRPr="00135629" w:rsidP="00CF7E97" w14:paraId="41DA7009" w14:textId="77777777">
      <w:pPr>
        <w:pStyle w:val="ListParagraph"/>
        <w:numPr>
          <w:ilvl w:val="0"/>
          <w:numId w:val="7"/>
        </w:numPr>
      </w:pPr>
      <w:r w:rsidRPr="00135629">
        <w:t xml:space="preserve">Cumulative number of </w:t>
      </w:r>
      <w:r w:rsidR="00461961">
        <w:t>Crashes</w:t>
      </w:r>
      <w:r w:rsidRPr="00135629">
        <w:t xml:space="preserve">/violations over the past </w:t>
      </w:r>
      <w:r w:rsidRPr="00135629">
        <w:rPr>
          <w:i/>
          <w:iCs/>
        </w:rPr>
        <w:t>Q</w:t>
      </w:r>
      <w:r w:rsidRPr="00135629">
        <w:t xml:space="preserve"> days </w:t>
      </w:r>
    </w:p>
    <w:p w:rsidR="00DE6771" w:rsidP="0016660B" w14:paraId="7408D518" w14:textId="77777777"/>
    <w:p w:rsidR="00923DE9" w:rsidRPr="00C52E78" w:rsidP="0016660B" w14:paraId="11E3F308" w14:textId="77777777">
      <w:r w:rsidRPr="00C52E78">
        <w:t>Driver Variables</w:t>
      </w:r>
      <w:r w:rsidR="00C52E78">
        <w:t>:</w:t>
      </w:r>
    </w:p>
    <w:p w:rsidR="00923DE9" w:rsidRPr="00135629" w:rsidP="00CF7E97" w14:paraId="70EF3060" w14:textId="77777777">
      <w:pPr>
        <w:pStyle w:val="ListParagraph"/>
        <w:numPr>
          <w:ilvl w:val="0"/>
          <w:numId w:val="7"/>
        </w:numPr>
      </w:pPr>
      <w:r w:rsidRPr="00135629">
        <w:t>Age</w:t>
      </w:r>
    </w:p>
    <w:p w:rsidR="00923DE9" w:rsidRPr="00135629" w:rsidP="00CF7E97" w14:paraId="231FD51A" w14:textId="77777777">
      <w:pPr>
        <w:pStyle w:val="ListParagraph"/>
        <w:numPr>
          <w:ilvl w:val="0"/>
          <w:numId w:val="7"/>
        </w:numPr>
      </w:pPr>
      <w:r w:rsidRPr="00135629">
        <w:t>Sex</w:t>
      </w:r>
    </w:p>
    <w:p w:rsidR="00923DE9" w:rsidRPr="00135629" w:rsidP="00CF7E97" w14:paraId="173F1499" w14:textId="77777777">
      <w:pPr>
        <w:pStyle w:val="ListParagraph"/>
        <w:numPr>
          <w:ilvl w:val="0"/>
          <w:numId w:val="7"/>
        </w:numPr>
      </w:pPr>
      <w:r w:rsidRPr="00135629">
        <w:t>Total number of years of driving experience</w:t>
      </w:r>
    </w:p>
    <w:p w:rsidR="00DE6771" w:rsidP="0016660B" w14:paraId="6A05F65D" w14:textId="77777777"/>
    <w:p w:rsidR="00923DE9" w:rsidRPr="00C52E78" w:rsidP="0016660B" w14:paraId="01C94440" w14:textId="77777777">
      <w:r w:rsidRPr="00C52E78">
        <w:t>Carrier Variables</w:t>
      </w:r>
      <w:r w:rsidR="00C52E78">
        <w:t>:</w:t>
      </w:r>
    </w:p>
    <w:p w:rsidR="00923DE9" w:rsidRPr="00135629" w:rsidP="00CF7E97" w14:paraId="214C0566" w14:textId="77777777">
      <w:pPr>
        <w:pStyle w:val="ListParagraph"/>
        <w:numPr>
          <w:ilvl w:val="0"/>
          <w:numId w:val="7"/>
        </w:numPr>
      </w:pPr>
      <w:r w:rsidRPr="00135629">
        <w:t>Carrier size (Small/Medium/Large)</w:t>
      </w:r>
    </w:p>
    <w:p w:rsidR="00923DE9" w:rsidP="00CF7E97" w14:paraId="7C77CBBB" w14:textId="77777777">
      <w:pPr>
        <w:pStyle w:val="ListParagraph"/>
        <w:numPr>
          <w:ilvl w:val="0"/>
          <w:numId w:val="7"/>
        </w:numPr>
      </w:pPr>
      <w:r w:rsidRPr="00135629">
        <w:t>Carrier type (Interstate/Intrastate/Freight/Passenger/Hazardous)</w:t>
      </w:r>
    </w:p>
    <w:p w:rsidR="0000233B" w:rsidRPr="00135629" w:rsidP="00CF7E97" w14:paraId="1ACFC630" w14:textId="77777777">
      <w:pPr>
        <w:pStyle w:val="ListParagraph"/>
        <w:numPr>
          <w:ilvl w:val="0"/>
          <w:numId w:val="7"/>
        </w:numPr>
      </w:pPr>
      <w:r>
        <w:t>Carrier operation classification (For-Hire, Private, Both, Neither)</w:t>
      </w:r>
    </w:p>
    <w:p w:rsidR="00DE6771" w:rsidP="0016660B" w14:paraId="2FF2DFA7" w14:textId="77777777">
      <w:bookmarkStart w:id="4" w:name="_Toc184730792"/>
    </w:p>
    <w:p w:rsidR="00923DE9" w:rsidRPr="00135629" w:rsidP="0016660B" w14:paraId="137AD6B3" w14:textId="77777777">
      <w:pPr>
        <w:pStyle w:val="Heading2"/>
      </w:pPr>
      <w:r w:rsidRPr="0016660B">
        <w:rPr>
          <w:rFonts w:ascii="Times New Roman" w:hAnsi="Times New Roman" w:cs="Times New Roman"/>
          <w:b/>
          <w:bCs/>
          <w:color w:val="auto"/>
          <w:sz w:val="24"/>
          <w:szCs w:val="24"/>
        </w:rPr>
        <w:t>Procedure for Generating Analysis Data</w:t>
      </w:r>
      <w:bookmarkEnd w:id="4"/>
    </w:p>
    <w:p w:rsidR="004E7256" w:rsidP="00135629" w14:paraId="6A8B3A03" w14:textId="77777777"/>
    <w:p w:rsidR="00923DE9" w:rsidRPr="00135629" w:rsidP="00135629" w14:paraId="7A3D6CA3" w14:textId="77777777">
      <w:r w:rsidRPr="00135629">
        <w:t xml:space="preserve">The feature tables described above would normally be produced once all the data had been collected, validated, and linked between the disparate data sources to produce the desired data set for analysis. However, to accommodate the desired rolling six-month data retention limit for raw HOS data, the analysis data set must be generated in a continuous fashion during the data collection study period. A second consideration is the asynchronous manner that data is received (see </w:t>
      </w:r>
      <w:r w:rsidR="00306633">
        <w:t xml:space="preserve">Table </w:t>
      </w:r>
      <w:r w:rsidR="00D16DC2">
        <w:t>1</w:t>
      </w:r>
      <w:r w:rsidR="00A050C0">
        <w:t>8</w:t>
      </w:r>
      <w:r w:rsidRPr="00135629">
        <w:t xml:space="preserve">, below). For example, while HOS data is received in near-real time, </w:t>
      </w:r>
      <w:r w:rsidR="00D16DC2">
        <w:t>crashes</w:t>
      </w:r>
      <w:r w:rsidRPr="00135629" w:rsidR="00517938">
        <w:t xml:space="preserve"> </w:t>
      </w:r>
      <w:r w:rsidRPr="00135629">
        <w:t xml:space="preserve">and inspection violations in the MCMIS database are reported monthly. </w:t>
      </w:r>
    </w:p>
    <w:p w:rsidR="004E7256" w:rsidP="00135629" w14:paraId="217DAA78" w14:textId="77777777">
      <w:pPr>
        <w:pStyle w:val="Caption"/>
      </w:pPr>
      <w:bookmarkStart w:id="5" w:name="_Ref168666831"/>
    </w:p>
    <w:p w:rsidR="001D24D7" w:rsidP="001D24D7" w14:paraId="2429AB5F" w14:textId="77777777"/>
    <w:p w:rsidR="001D24D7" w:rsidP="001D24D7" w14:paraId="32A7D7D9" w14:textId="77777777"/>
    <w:p w:rsidR="001D24D7" w:rsidP="001D24D7" w14:paraId="4CDF66C3" w14:textId="77777777"/>
    <w:p w:rsidR="001D24D7" w:rsidP="001D24D7" w14:paraId="1D4BF3D0" w14:textId="77777777"/>
    <w:p w:rsidR="001D24D7" w:rsidP="001D24D7" w14:paraId="61C729C3" w14:textId="77777777"/>
    <w:p w:rsidR="001D24D7" w:rsidP="001D24D7" w14:paraId="20B67DBE" w14:textId="77777777"/>
    <w:p w:rsidR="001D24D7" w:rsidP="001D24D7" w14:paraId="45CBB787" w14:textId="77777777"/>
    <w:p w:rsidR="001D24D7" w:rsidRPr="001D24D7" w:rsidP="001D24D7" w14:paraId="1D830865" w14:textId="77777777"/>
    <w:p w:rsidR="00923DE9" w:rsidRPr="0016660B" w:rsidP="0016660B" w14:paraId="6D017DCE"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 xml:space="preserve">Table </w:t>
      </w:r>
      <w:bookmarkEnd w:id="5"/>
      <w:r w:rsidR="00930663">
        <w:rPr>
          <w:rFonts w:ascii="Times New Roman" w:hAnsi="Times New Roman" w:cs="Times New Roman"/>
          <w:b/>
          <w:bCs/>
          <w:i w:val="0"/>
          <w:iCs w:val="0"/>
          <w:color w:val="auto"/>
          <w:sz w:val="20"/>
          <w:szCs w:val="20"/>
        </w:rPr>
        <w:t>1</w:t>
      </w:r>
      <w:r w:rsidR="00A050C0">
        <w:rPr>
          <w:rFonts w:ascii="Times New Roman" w:hAnsi="Times New Roman" w:cs="Times New Roman"/>
          <w:b/>
          <w:bCs/>
          <w:i w:val="0"/>
          <w:iCs w:val="0"/>
          <w:color w:val="auto"/>
          <w:sz w:val="20"/>
          <w:szCs w:val="20"/>
        </w:rPr>
        <w:t>8</w:t>
      </w:r>
      <w:r w:rsidRPr="0016660B">
        <w:rPr>
          <w:rFonts w:ascii="Times New Roman" w:hAnsi="Times New Roman" w:cs="Times New Roman"/>
          <w:i w:val="0"/>
          <w:iCs w:val="0"/>
          <w:color w:val="auto"/>
          <w:sz w:val="20"/>
          <w:szCs w:val="20"/>
        </w:rPr>
        <w:t>: Data sources and timing of when data from each source are obtained.</w:t>
      </w:r>
    </w:p>
    <w:tbl>
      <w:tblPr>
        <w:tblStyle w:val="TableGrid"/>
        <w:tblW w:w="0" w:type="auto"/>
        <w:jc w:val="center"/>
        <w:tblLook w:val="04A0"/>
      </w:tblPr>
      <w:tblGrid>
        <w:gridCol w:w="3865"/>
        <w:gridCol w:w="1440"/>
        <w:gridCol w:w="3780"/>
      </w:tblGrid>
      <w:tr w14:paraId="7511C111" w14:textId="77777777" w:rsidTr="0016660B">
        <w:tblPrEx>
          <w:tblW w:w="0" w:type="auto"/>
          <w:jc w:val="center"/>
          <w:tblLook w:val="04A0"/>
        </w:tblPrEx>
        <w:trPr>
          <w:jc w:val="center"/>
        </w:trPr>
        <w:tc>
          <w:tcPr>
            <w:tcW w:w="3865" w:type="dxa"/>
            <w:shd w:val="clear" w:color="auto" w:fill="D9D9D9" w:themeFill="background1" w:themeFillShade="D9"/>
          </w:tcPr>
          <w:p w:rsidR="00923DE9" w:rsidRPr="00FD3F3C" w:rsidP="00135629" w14:paraId="6D443B39" w14:textId="77777777">
            <w:pPr>
              <w:rPr>
                <w:b/>
                <w:bCs/>
              </w:rPr>
            </w:pPr>
            <w:r w:rsidRPr="00FD3F3C">
              <w:rPr>
                <w:b/>
                <w:bCs/>
              </w:rPr>
              <w:t>Data source</w:t>
            </w:r>
          </w:p>
        </w:tc>
        <w:tc>
          <w:tcPr>
            <w:tcW w:w="1440" w:type="dxa"/>
            <w:shd w:val="clear" w:color="auto" w:fill="D9D9D9" w:themeFill="background1" w:themeFillShade="D9"/>
            <w:vAlign w:val="center"/>
          </w:tcPr>
          <w:p w:rsidR="00923DE9" w:rsidRPr="00FD3F3C" w:rsidP="0016660B" w14:paraId="6DA0EF6B" w14:textId="77777777">
            <w:pPr>
              <w:rPr>
                <w:b/>
                <w:bCs/>
              </w:rPr>
            </w:pPr>
            <w:r w:rsidRPr="00FD3F3C">
              <w:rPr>
                <w:b/>
                <w:bCs/>
              </w:rPr>
              <w:t>Received</w:t>
            </w:r>
          </w:p>
        </w:tc>
        <w:tc>
          <w:tcPr>
            <w:tcW w:w="3780" w:type="dxa"/>
            <w:shd w:val="clear" w:color="auto" w:fill="D9D9D9" w:themeFill="background1" w:themeFillShade="D9"/>
          </w:tcPr>
          <w:p w:rsidR="00923DE9" w:rsidRPr="00FD3F3C" w:rsidP="00135629" w14:paraId="520DC37F" w14:textId="77777777">
            <w:pPr>
              <w:rPr>
                <w:b/>
                <w:bCs/>
              </w:rPr>
            </w:pPr>
            <w:r w:rsidRPr="00FD3F3C">
              <w:rPr>
                <w:b/>
                <w:bCs/>
              </w:rPr>
              <w:t>Notes</w:t>
            </w:r>
          </w:p>
        </w:tc>
      </w:tr>
      <w:tr w14:paraId="09E09870" w14:textId="77777777" w:rsidTr="0016660B">
        <w:tblPrEx>
          <w:tblW w:w="0" w:type="auto"/>
          <w:jc w:val="center"/>
          <w:tblLook w:val="04A0"/>
        </w:tblPrEx>
        <w:trPr>
          <w:trHeight w:val="521"/>
          <w:jc w:val="center"/>
        </w:trPr>
        <w:tc>
          <w:tcPr>
            <w:tcW w:w="3865" w:type="dxa"/>
            <w:vAlign w:val="center"/>
          </w:tcPr>
          <w:p w:rsidR="00923DE9" w:rsidRPr="00135629" w:rsidP="00135629" w14:paraId="45289286" w14:textId="77777777">
            <w:r w:rsidRPr="00135629">
              <w:t>ELD HOS</w:t>
            </w:r>
          </w:p>
        </w:tc>
        <w:tc>
          <w:tcPr>
            <w:tcW w:w="1440" w:type="dxa"/>
            <w:vAlign w:val="center"/>
          </w:tcPr>
          <w:p w:rsidR="00923DE9" w:rsidRPr="00135629" w:rsidP="0016660B" w14:paraId="408A0781" w14:textId="77777777">
            <w:r w:rsidRPr="00135629">
              <w:t>Real-time</w:t>
            </w:r>
          </w:p>
        </w:tc>
        <w:tc>
          <w:tcPr>
            <w:tcW w:w="3780" w:type="dxa"/>
            <w:vAlign w:val="center"/>
          </w:tcPr>
          <w:p w:rsidR="00923DE9" w:rsidRPr="00135629" w:rsidP="00135629" w14:paraId="0A4EBE20" w14:textId="77777777">
            <w:r w:rsidRPr="00135629">
              <w:t>HOS corrections (~1 week)</w:t>
            </w:r>
          </w:p>
        </w:tc>
      </w:tr>
      <w:tr w14:paraId="54877C20" w14:textId="77777777" w:rsidTr="0016660B">
        <w:tblPrEx>
          <w:tblW w:w="0" w:type="auto"/>
          <w:jc w:val="center"/>
          <w:tblLook w:val="04A0"/>
        </w:tblPrEx>
        <w:trPr>
          <w:jc w:val="center"/>
        </w:trPr>
        <w:tc>
          <w:tcPr>
            <w:tcW w:w="3865" w:type="dxa"/>
            <w:vAlign w:val="center"/>
          </w:tcPr>
          <w:p w:rsidR="00923DE9" w:rsidRPr="00135629" w:rsidP="00135629" w14:paraId="0844A6C1" w14:textId="77777777">
            <w:r w:rsidRPr="00135629">
              <w:t>MCMIS Crashes</w:t>
            </w:r>
          </w:p>
        </w:tc>
        <w:tc>
          <w:tcPr>
            <w:tcW w:w="1440" w:type="dxa"/>
            <w:vAlign w:val="center"/>
          </w:tcPr>
          <w:p w:rsidR="00923DE9" w:rsidRPr="00135629" w:rsidP="0016660B" w14:paraId="4CBDF814" w14:textId="77777777">
            <w:r w:rsidRPr="00135629">
              <w:t>Monthly</w:t>
            </w:r>
          </w:p>
        </w:tc>
        <w:tc>
          <w:tcPr>
            <w:tcW w:w="3780" w:type="dxa"/>
            <w:vAlign w:val="center"/>
          </w:tcPr>
          <w:p w:rsidR="00923DE9" w:rsidRPr="00135629" w:rsidP="00135629" w14:paraId="2EE2F96C" w14:textId="77777777">
            <w:r w:rsidRPr="00135629">
              <w:t>Reporting lag of up to 4 months for crashes to be entered in MCMIS</w:t>
            </w:r>
          </w:p>
        </w:tc>
      </w:tr>
      <w:tr w14:paraId="0E38E191" w14:textId="77777777" w:rsidTr="0016660B">
        <w:tblPrEx>
          <w:tblW w:w="0" w:type="auto"/>
          <w:jc w:val="center"/>
          <w:tblLook w:val="04A0"/>
        </w:tblPrEx>
        <w:trPr>
          <w:trHeight w:val="557"/>
          <w:jc w:val="center"/>
        </w:trPr>
        <w:tc>
          <w:tcPr>
            <w:tcW w:w="3865" w:type="dxa"/>
            <w:vAlign w:val="center"/>
          </w:tcPr>
          <w:p w:rsidR="00923DE9" w:rsidRPr="00135629" w:rsidP="00135629" w14:paraId="6CB1B3EF" w14:textId="77777777">
            <w:r w:rsidRPr="00135629">
              <w:t>MCMIS Inspection Violations</w:t>
            </w:r>
          </w:p>
        </w:tc>
        <w:tc>
          <w:tcPr>
            <w:tcW w:w="1440" w:type="dxa"/>
            <w:vAlign w:val="center"/>
          </w:tcPr>
          <w:p w:rsidR="00923DE9" w:rsidRPr="00135629" w:rsidP="0016660B" w14:paraId="7850CFA2" w14:textId="77777777">
            <w:r w:rsidRPr="00135629">
              <w:t>Monthly</w:t>
            </w:r>
          </w:p>
        </w:tc>
        <w:tc>
          <w:tcPr>
            <w:tcW w:w="3780" w:type="dxa"/>
            <w:vAlign w:val="center"/>
          </w:tcPr>
          <w:p w:rsidR="00923DE9" w:rsidRPr="00135629" w:rsidP="00135629" w14:paraId="4F3A64C6" w14:textId="77777777">
            <w:r w:rsidRPr="00135629">
              <w:t>Reporting lag of up to 4 months</w:t>
            </w:r>
          </w:p>
        </w:tc>
      </w:tr>
      <w:tr w14:paraId="60D3D9E7" w14:textId="77777777" w:rsidTr="0016660B">
        <w:tblPrEx>
          <w:tblW w:w="0" w:type="auto"/>
          <w:jc w:val="center"/>
          <w:tblLook w:val="04A0"/>
        </w:tblPrEx>
        <w:trPr>
          <w:trHeight w:val="629"/>
          <w:jc w:val="center"/>
        </w:trPr>
        <w:tc>
          <w:tcPr>
            <w:tcW w:w="3865" w:type="dxa"/>
            <w:vAlign w:val="center"/>
          </w:tcPr>
          <w:p w:rsidR="00923DE9" w:rsidRPr="00135629" w:rsidP="00135629" w14:paraId="37321ECA" w14:textId="77777777">
            <w:r w:rsidRPr="00135629">
              <w:t>Crashes directly reported by carrier</w:t>
            </w:r>
          </w:p>
        </w:tc>
        <w:tc>
          <w:tcPr>
            <w:tcW w:w="1440" w:type="dxa"/>
            <w:vAlign w:val="center"/>
          </w:tcPr>
          <w:p w:rsidR="00923DE9" w:rsidRPr="00135629" w:rsidP="0016660B" w14:paraId="18D3FE2E" w14:textId="77777777">
            <w:r w:rsidRPr="00135629">
              <w:t>As provided</w:t>
            </w:r>
          </w:p>
        </w:tc>
        <w:tc>
          <w:tcPr>
            <w:tcW w:w="3780" w:type="dxa"/>
            <w:vAlign w:val="center"/>
          </w:tcPr>
          <w:p w:rsidR="00923DE9" w:rsidRPr="00135629" w:rsidP="00135629" w14:paraId="17CAF98A" w14:textId="77777777">
            <w:r w:rsidRPr="00135629">
              <w:t>Reporting lag of up to 4 months</w:t>
            </w:r>
          </w:p>
        </w:tc>
      </w:tr>
    </w:tbl>
    <w:p w:rsidR="00923DE9" w:rsidRPr="00335A8A" w:rsidP="00135629" w14:paraId="3A5B6AA7" w14:textId="77777777"/>
    <w:p w:rsidR="00923DE9" w:rsidP="00135629" w14:paraId="60176C8C" w14:textId="77777777">
      <w:r w:rsidRPr="00135629">
        <w:t xml:space="preserve">The approach we have devised involves ingesting and storing HOS data in a database that will fully represent the driver logs. An automated process then deletes any HOS entry that is older than six months. Any carrier-provided data (incidents and crashes) will also be ingested and deleted in a similar manner. The MCMIS data will be ingested into the database as received. Since MCMIS data is not subject to a six-month retention limit, such data will be kept in its entirety for the full duration of the study. See </w:t>
      </w:r>
      <w:r w:rsidRPr="00135629">
        <w:fldChar w:fldCharType="begin"/>
      </w:r>
      <w:r w:rsidRPr="00135629">
        <w:instrText xml:space="preserve"> REF _Ref168667164 \h </w:instrText>
      </w:r>
      <w:r w:rsidRPr="00135629" w:rsidR="004E7256">
        <w:instrText xml:space="preserve"> \* MERGEFORMAT </w:instrText>
      </w:r>
      <w:r w:rsidRPr="00135629">
        <w:fldChar w:fldCharType="separate"/>
      </w:r>
      <w:r w:rsidRPr="00135629">
        <w:t xml:space="preserve">Figure </w:t>
      </w:r>
      <w:r w:rsidRPr="00135629">
        <w:rPr>
          <w:noProof/>
        </w:rPr>
        <w:t>2</w:t>
      </w:r>
      <w:r w:rsidRPr="00135629">
        <w:fldChar w:fldCharType="end"/>
      </w:r>
      <w:r w:rsidRPr="00135629">
        <w:t xml:space="preserve"> below.</w:t>
      </w:r>
    </w:p>
    <w:p w:rsidR="004E7256" w:rsidRPr="00135629" w:rsidP="00135629" w14:paraId="7DAC1591" w14:textId="77777777"/>
    <w:p w:rsidR="00923DE9" w:rsidRPr="00335A8A" w:rsidP="0016660B" w14:paraId="4DC44C4B" w14:textId="77777777">
      <w:pPr>
        <w:jc w:val="center"/>
      </w:pPr>
      <w:r w:rsidRPr="00335A8A">
        <w:rPr>
          <w:noProof/>
        </w:rPr>
        <w:drawing>
          <wp:inline distT="0" distB="0" distL="0" distR="0">
            <wp:extent cx="4635571" cy="3635655"/>
            <wp:effectExtent l="0" t="0" r="0" b="3175"/>
            <wp:docPr id="1877658158" name="Picture 1877658158" descr="A diagram of a ware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58158" name="Picture 2" descr="A diagram of a warehouse&#10;&#10;Description automatically generated"/>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672420" cy="3664555"/>
                    </a:xfrm>
                    <a:prstGeom prst="rect">
                      <a:avLst/>
                    </a:prstGeom>
                    <a:noFill/>
                    <a:ln>
                      <a:noFill/>
                    </a:ln>
                  </pic:spPr>
                </pic:pic>
              </a:graphicData>
            </a:graphic>
          </wp:inline>
        </w:drawing>
      </w:r>
    </w:p>
    <w:p w:rsidR="00923DE9" w:rsidRPr="0016660B" w:rsidP="0016660B" w14:paraId="7EAFB362" w14:textId="77777777">
      <w:pPr>
        <w:pStyle w:val="Caption"/>
        <w:jc w:val="center"/>
        <w:rPr>
          <w:rFonts w:ascii="Times New Roman" w:hAnsi="Times New Roman" w:cs="Times New Roman"/>
          <w:i w:val="0"/>
          <w:iCs w:val="0"/>
          <w:color w:val="auto"/>
          <w:sz w:val="20"/>
          <w:szCs w:val="20"/>
        </w:rPr>
      </w:pPr>
      <w:bookmarkStart w:id="6" w:name="_Ref168667164"/>
      <w:r w:rsidRPr="0016660B">
        <w:rPr>
          <w:rFonts w:ascii="Times New Roman" w:hAnsi="Times New Roman" w:cs="Times New Roman"/>
          <w:b/>
          <w:bCs/>
          <w:i w:val="0"/>
          <w:iCs w:val="0"/>
          <w:color w:val="auto"/>
          <w:sz w:val="20"/>
          <w:szCs w:val="20"/>
        </w:rPr>
        <w:t xml:space="preserve">Figure </w:t>
      </w:r>
      <w:r w:rsidRPr="0016660B">
        <w:rPr>
          <w:rFonts w:ascii="Times New Roman" w:hAnsi="Times New Roman" w:cs="Times New Roman"/>
          <w:b/>
          <w:bCs/>
          <w:i w:val="0"/>
          <w:iCs w:val="0"/>
          <w:color w:val="auto"/>
          <w:sz w:val="20"/>
          <w:szCs w:val="20"/>
        </w:rPr>
        <w:fldChar w:fldCharType="begin"/>
      </w:r>
      <w:r w:rsidRPr="0016660B">
        <w:rPr>
          <w:rFonts w:ascii="Times New Roman" w:hAnsi="Times New Roman" w:cs="Times New Roman"/>
          <w:b/>
          <w:bCs/>
          <w:i w:val="0"/>
          <w:iCs w:val="0"/>
          <w:color w:val="auto"/>
          <w:sz w:val="20"/>
          <w:szCs w:val="20"/>
        </w:rPr>
        <w:instrText xml:space="preserve"> SEQ Figure \* ARABIC </w:instrText>
      </w:r>
      <w:r w:rsidRPr="0016660B">
        <w:rPr>
          <w:rFonts w:ascii="Times New Roman" w:hAnsi="Times New Roman" w:cs="Times New Roman"/>
          <w:b/>
          <w:bCs/>
          <w:i w:val="0"/>
          <w:iCs w:val="0"/>
          <w:color w:val="auto"/>
          <w:sz w:val="20"/>
          <w:szCs w:val="20"/>
        </w:rPr>
        <w:fldChar w:fldCharType="separate"/>
      </w:r>
      <w:r w:rsidRPr="0016660B">
        <w:rPr>
          <w:rFonts w:ascii="Times New Roman" w:hAnsi="Times New Roman" w:cs="Times New Roman"/>
          <w:b/>
          <w:bCs/>
          <w:i w:val="0"/>
          <w:iCs w:val="0"/>
          <w:noProof/>
          <w:color w:val="auto"/>
          <w:sz w:val="20"/>
          <w:szCs w:val="20"/>
        </w:rPr>
        <w:t>2</w:t>
      </w:r>
      <w:r w:rsidRPr="0016660B">
        <w:rPr>
          <w:rFonts w:ascii="Times New Roman" w:hAnsi="Times New Roman" w:cs="Times New Roman"/>
          <w:b/>
          <w:bCs/>
          <w:i w:val="0"/>
          <w:iCs w:val="0"/>
          <w:noProof/>
          <w:color w:val="auto"/>
          <w:sz w:val="20"/>
          <w:szCs w:val="20"/>
        </w:rPr>
        <w:fldChar w:fldCharType="end"/>
      </w:r>
      <w:bookmarkEnd w:id="6"/>
      <w:r w:rsidRPr="0016660B">
        <w:rPr>
          <w:rFonts w:ascii="Times New Roman" w:hAnsi="Times New Roman" w:cs="Times New Roman"/>
          <w:i w:val="0"/>
          <w:iCs w:val="0"/>
          <w:color w:val="auto"/>
          <w:sz w:val="20"/>
          <w:szCs w:val="20"/>
        </w:rPr>
        <w:t>: Data ingestion and deletion process flows to accommodate retention requirement applicable to HOS data.</w:t>
      </w:r>
    </w:p>
    <w:p w:rsidR="00923DE9" w:rsidP="00135629" w14:paraId="3581A426" w14:textId="77777777">
      <w:r w:rsidRPr="00135629">
        <w:t xml:space="preserve">To create the deidentified data set while adhering to the retention limit applicable to HOS data, a new row of the Duty Day feature table (which represents one duty day) will be generated initially when that day’s HOS data is first received. Corresponding to the same duty day, the new rows will be generated in the Driving Hour feature table (with one row for each duty hour in the duty day). At the time of creation, this entry will be marked with the current date and time. Any new data associated with that entry (e.g., MCMIS data) that is received within the six-month period </w:t>
      </w:r>
      <w:r w:rsidRPr="00135629">
        <w:t xml:space="preserve">following the date/time stamp will be stored in the corresponding feature variable records. See </w:t>
      </w:r>
      <w:r w:rsidRPr="00135629">
        <w:fldChar w:fldCharType="begin"/>
      </w:r>
      <w:r w:rsidRPr="00135629">
        <w:instrText xml:space="preserve"> REF _Ref168667593 \h </w:instrText>
      </w:r>
      <w:r w:rsidRPr="00135629" w:rsidR="004E7256">
        <w:instrText xml:space="preserve"> \* MERGEFORMAT </w:instrText>
      </w:r>
      <w:r w:rsidRPr="00135629">
        <w:fldChar w:fldCharType="separate"/>
      </w:r>
      <w:r w:rsidRPr="00135629">
        <w:t xml:space="preserve">Figure </w:t>
      </w:r>
      <w:r w:rsidRPr="00135629">
        <w:rPr>
          <w:noProof/>
        </w:rPr>
        <w:t>3</w:t>
      </w:r>
      <w:r w:rsidRPr="00135629">
        <w:fldChar w:fldCharType="end"/>
      </w:r>
      <w:r w:rsidRPr="00135629">
        <w:t xml:space="preserve"> for an illustration of this process.</w:t>
      </w:r>
    </w:p>
    <w:p w:rsidR="004E7256" w:rsidRPr="00135629" w:rsidP="00135629" w14:paraId="49830EDC" w14:textId="77777777"/>
    <w:p w:rsidR="00923DE9" w:rsidRPr="00335A8A" w:rsidP="0016660B" w14:paraId="43DDEB95" w14:textId="77777777">
      <w:pPr>
        <w:jc w:val="center"/>
      </w:pPr>
      <w:r w:rsidRPr="00335A8A">
        <w:rPr>
          <w:noProof/>
        </w:rPr>
        <w:drawing>
          <wp:inline distT="0" distB="0" distL="0" distR="0">
            <wp:extent cx="5943600" cy="2478405"/>
            <wp:effectExtent l="0" t="0" r="0" b="0"/>
            <wp:docPr id="1175080919" name="Picture 1175080919" descr="A diagram of a software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80919" name="Picture 5" descr="A diagram of a software process&#10;&#10;Description automatically generated"/>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478405"/>
                    </a:xfrm>
                    <a:prstGeom prst="rect">
                      <a:avLst/>
                    </a:prstGeom>
                    <a:noFill/>
                    <a:ln>
                      <a:noFill/>
                    </a:ln>
                  </pic:spPr>
                </pic:pic>
              </a:graphicData>
            </a:graphic>
          </wp:inline>
        </w:drawing>
      </w:r>
    </w:p>
    <w:p w:rsidR="00923DE9" w:rsidRPr="0016660B" w:rsidP="0016660B" w14:paraId="33A38EEB" w14:textId="77777777">
      <w:pPr>
        <w:pStyle w:val="Caption"/>
        <w:jc w:val="center"/>
        <w:rPr>
          <w:rFonts w:ascii="Times New Roman" w:hAnsi="Times New Roman" w:cs="Times New Roman"/>
          <w:i w:val="0"/>
          <w:iCs w:val="0"/>
          <w:color w:val="auto"/>
          <w:sz w:val="20"/>
          <w:szCs w:val="20"/>
        </w:rPr>
      </w:pPr>
      <w:bookmarkStart w:id="7" w:name="_Ref168667593"/>
      <w:r w:rsidRPr="0016660B">
        <w:rPr>
          <w:rFonts w:ascii="Times New Roman" w:hAnsi="Times New Roman" w:cs="Times New Roman"/>
          <w:b/>
          <w:bCs/>
          <w:i w:val="0"/>
          <w:iCs w:val="0"/>
          <w:color w:val="auto"/>
          <w:sz w:val="20"/>
          <w:szCs w:val="20"/>
        </w:rPr>
        <w:t xml:space="preserve">Figure </w:t>
      </w:r>
      <w:r w:rsidRPr="0016660B">
        <w:rPr>
          <w:rFonts w:ascii="Times New Roman" w:hAnsi="Times New Roman" w:cs="Times New Roman"/>
          <w:b/>
          <w:bCs/>
          <w:i w:val="0"/>
          <w:iCs w:val="0"/>
          <w:color w:val="auto"/>
          <w:sz w:val="20"/>
          <w:szCs w:val="20"/>
        </w:rPr>
        <w:fldChar w:fldCharType="begin"/>
      </w:r>
      <w:r w:rsidRPr="0016660B">
        <w:rPr>
          <w:rFonts w:ascii="Times New Roman" w:hAnsi="Times New Roman" w:cs="Times New Roman"/>
          <w:b/>
          <w:bCs/>
          <w:i w:val="0"/>
          <w:iCs w:val="0"/>
          <w:color w:val="auto"/>
          <w:sz w:val="20"/>
          <w:szCs w:val="20"/>
        </w:rPr>
        <w:instrText xml:space="preserve"> SEQ Figure \* ARABIC </w:instrText>
      </w:r>
      <w:r w:rsidRPr="0016660B">
        <w:rPr>
          <w:rFonts w:ascii="Times New Roman" w:hAnsi="Times New Roman" w:cs="Times New Roman"/>
          <w:b/>
          <w:bCs/>
          <w:i w:val="0"/>
          <w:iCs w:val="0"/>
          <w:color w:val="auto"/>
          <w:sz w:val="20"/>
          <w:szCs w:val="20"/>
        </w:rPr>
        <w:fldChar w:fldCharType="separate"/>
      </w:r>
      <w:r w:rsidRPr="0016660B">
        <w:rPr>
          <w:rFonts w:ascii="Times New Roman" w:hAnsi="Times New Roman" w:cs="Times New Roman"/>
          <w:b/>
          <w:bCs/>
          <w:i w:val="0"/>
          <w:iCs w:val="0"/>
          <w:noProof/>
          <w:color w:val="auto"/>
          <w:sz w:val="20"/>
          <w:szCs w:val="20"/>
        </w:rPr>
        <w:t>3</w:t>
      </w:r>
      <w:r w:rsidRPr="0016660B">
        <w:rPr>
          <w:rFonts w:ascii="Times New Roman" w:hAnsi="Times New Roman" w:cs="Times New Roman"/>
          <w:b/>
          <w:bCs/>
          <w:i w:val="0"/>
          <w:iCs w:val="0"/>
          <w:noProof/>
          <w:color w:val="auto"/>
          <w:sz w:val="20"/>
          <w:szCs w:val="20"/>
        </w:rPr>
        <w:fldChar w:fldCharType="end"/>
      </w:r>
      <w:bookmarkEnd w:id="7"/>
      <w:r w:rsidRPr="0016660B">
        <w:rPr>
          <w:rFonts w:ascii="Times New Roman" w:hAnsi="Times New Roman" w:cs="Times New Roman"/>
          <w:i w:val="0"/>
          <w:iCs w:val="0"/>
          <w:color w:val="auto"/>
          <w:sz w:val="20"/>
          <w:szCs w:val="20"/>
        </w:rPr>
        <w:t xml:space="preserve">: Data processing workflow to generate final analysis data set. Source data is ingested and deleted based on the six-month retention policy. The primary HOS and crash data are deidentified and aggregated into an intermediate analysis table that retains the deidentified subject ID for six months. Data in the intermediate data table </w:t>
      </w:r>
      <w:r w:rsidR="002A2018">
        <w:rPr>
          <w:rFonts w:ascii="Times New Roman" w:hAnsi="Times New Roman" w:cs="Times New Roman"/>
          <w:i w:val="0"/>
          <w:iCs w:val="0"/>
          <w:color w:val="auto"/>
          <w:sz w:val="20"/>
          <w:szCs w:val="20"/>
        </w:rPr>
        <w:t>is mutable</w:t>
      </w:r>
      <w:r w:rsidRPr="0016660B">
        <w:rPr>
          <w:rFonts w:ascii="Times New Roman" w:hAnsi="Times New Roman" w:cs="Times New Roman"/>
          <w:i w:val="0"/>
          <w:iCs w:val="0"/>
          <w:color w:val="auto"/>
          <w:sz w:val="20"/>
          <w:szCs w:val="20"/>
        </w:rPr>
        <w:t xml:space="preserve"> for six months while relevant data (e.g., </w:t>
      </w:r>
      <w:r w:rsidR="00D16DC2">
        <w:rPr>
          <w:rFonts w:ascii="Times New Roman" w:hAnsi="Times New Roman" w:cs="Times New Roman"/>
          <w:i w:val="0"/>
          <w:iCs w:val="0"/>
          <w:color w:val="auto"/>
          <w:sz w:val="20"/>
          <w:szCs w:val="20"/>
        </w:rPr>
        <w:t>crash</w:t>
      </w:r>
      <w:r w:rsidRPr="0016660B" w:rsidR="00517938">
        <w:rPr>
          <w:rFonts w:ascii="Times New Roman" w:hAnsi="Times New Roman" w:cs="Times New Roman"/>
          <w:i w:val="0"/>
          <w:iCs w:val="0"/>
          <w:color w:val="auto"/>
          <w:sz w:val="20"/>
          <w:szCs w:val="20"/>
        </w:rPr>
        <w:t xml:space="preserve"> </w:t>
      </w:r>
      <w:r w:rsidRPr="0016660B">
        <w:rPr>
          <w:rFonts w:ascii="Times New Roman" w:hAnsi="Times New Roman" w:cs="Times New Roman"/>
          <w:i w:val="0"/>
          <w:iCs w:val="0"/>
          <w:color w:val="auto"/>
          <w:sz w:val="20"/>
          <w:szCs w:val="20"/>
        </w:rPr>
        <w:t>data) is received and updated. The table entries in the intermediate analysis table that reach the six-month mark are stripped of the subject ID, and the row entry is copied into the final analysis table, then deleted from the intermediate analysis table.</w:t>
      </w:r>
    </w:p>
    <w:p w:rsidR="00923DE9" w:rsidRPr="0016660B" w:rsidP="0016660B" w14:paraId="24AE9468" w14:textId="77777777">
      <w:pPr>
        <w:rPr>
          <w:u w:val="single"/>
        </w:rPr>
      </w:pPr>
      <w:r w:rsidRPr="0016660B">
        <w:rPr>
          <w:u w:val="single"/>
        </w:rPr>
        <w:t>Initialization (Day 1)</w:t>
      </w:r>
    </w:p>
    <w:p w:rsidR="00923DE9" w:rsidRPr="00135629" w:rsidP="00135629" w14:paraId="588014C0" w14:textId="77777777">
      <w:r w:rsidRPr="00135629">
        <w:t xml:space="preserve">On a daily basis as HOS records are received and new duty days based on the HOS logs are identified, a new row is created in the intermediate table. This table is identical to the analysis table with the important addition of driver </w:t>
      </w:r>
      <w:r w:rsidRPr="00135629">
        <w:rPr>
          <w:i/>
          <w:iCs/>
        </w:rPr>
        <w:t>study</w:t>
      </w:r>
      <w:r w:rsidRPr="00135629">
        <w:t xml:space="preserve"> ID information. The driver study ID is anonymized, assigned, and used only for generating and updating the intermediate analysis tables (e.g., Joe Smith is assigned a driver study ID of CR0001). Upon creation, all of the feature variables of the table are set based on the available data. The HOS data for the particular driver would extend back 180 days, and any features that can be extracted based on the work patterns in the prior six months are added.</w:t>
      </w:r>
    </w:p>
    <w:p w:rsidR="004E7256" w:rsidP="0016660B" w14:paraId="44A8E1B7" w14:textId="77777777"/>
    <w:p w:rsidR="004E7256" w:rsidRPr="0016660B" w:rsidP="0016660B" w14:paraId="1DE80CC3" w14:textId="77777777">
      <w:pPr>
        <w:rPr>
          <w:rFonts w:eastAsiaTheme="majorEastAsia"/>
          <w:u w:val="single"/>
        </w:rPr>
      </w:pPr>
      <w:r w:rsidRPr="0016660B">
        <w:rPr>
          <w:rFonts w:eastAsiaTheme="majorEastAsia"/>
          <w:u w:val="single"/>
        </w:rPr>
        <w:t>Update (Day 2 to Day 179)</w:t>
      </w:r>
    </w:p>
    <w:p w:rsidR="00923DE9" w:rsidRPr="00135629" w:rsidP="00135629" w14:paraId="6A3E622A" w14:textId="77777777">
      <w:r>
        <w:t>As new data is received (e.g., MCMIS and carrier reports), any crashes and inspection violations that are associated with the duty day entry in the intermediate table will have the relevant features updated. The crash that is reported may not have occurred on the specific duty day but may be still relevant to that entry because of a metric that counts the number of the crashes in the prior 30 days. Updates of data may also affect the HOS logs due to corrections that are made from time</w:t>
      </w:r>
      <w:r w:rsidR="0CCCB629">
        <w:t xml:space="preserve"> </w:t>
      </w:r>
      <w:r>
        <w:t>to</w:t>
      </w:r>
      <w:r w:rsidR="0CCCB629">
        <w:t xml:space="preserve"> </w:t>
      </w:r>
      <w:r>
        <w:t xml:space="preserve">time. When HOS corrections are made that affect the table entry, those entries are recalculated based on the latest available data.  </w:t>
      </w:r>
    </w:p>
    <w:p w:rsidR="004E7256" w:rsidP="0016660B" w14:paraId="7648D07A" w14:textId="77777777"/>
    <w:p w:rsidR="00923DE9" w:rsidRPr="0016660B" w:rsidP="0016660B" w14:paraId="6272D5C0" w14:textId="77777777">
      <w:pPr>
        <w:rPr>
          <w:u w:val="single"/>
        </w:rPr>
      </w:pPr>
      <w:r w:rsidRPr="0016660B">
        <w:rPr>
          <w:u w:val="single"/>
        </w:rPr>
        <w:t>Finalization (Day 180)</w:t>
      </w:r>
    </w:p>
    <w:p w:rsidR="00923DE9" w:rsidRPr="00135629" w:rsidP="00135629" w14:paraId="6A7F0349" w14:textId="77777777">
      <w:r w:rsidRPr="00135629">
        <w:t>In the finalization step, the driver study ID is removed from an intermediate Table A, and the resulting entry is copied over into the Deidentified Data Table. Once the entry has been copied to Table B, then no further edits are possible. (If, for instance, a MCMIS data export is received that shows a crash relevant to that duty day, it cannot be added.)</w:t>
      </w:r>
    </w:p>
    <w:p w:rsidR="004E7256" w:rsidP="00135629" w14:paraId="25ADEDE0" w14:textId="77777777"/>
    <w:p w:rsidR="00923DE9" w:rsidRPr="00135629" w:rsidP="00135629" w14:paraId="1C8B6280" w14:textId="77777777">
      <w:r w:rsidRPr="00135629">
        <w:t>At the time of finalization, elements of the data record may be known to be missing. For example, driver demographic information may be missing from the carrier, and no updated information was available prior to the end of the six-month cutoff period. Features that are known to be missing will be marked as missing, and rows with missing values may be excluded from analysis or have the missing values imputed. To minimize missing data, ongoing data validation will be performed to identify and correct errors and gaps throughout the process.</w:t>
      </w:r>
    </w:p>
    <w:p w:rsidR="004E7256" w:rsidRPr="00135629" w:rsidP="00135629" w14:paraId="2A4E7DDA" w14:textId="77777777"/>
    <w:p w:rsidR="00923DE9" w:rsidRPr="00135629" w:rsidP="007B24AF" w14:paraId="203ED443" w14:textId="77777777">
      <w:r>
        <w:t xml:space="preserve">During this six-month period, HOS data will be linked with any incident data from the MCMIS database. However, the reporting and updating of incidents in the MCMIS database have a lag that may be several months removed from the time of the incident. </w:t>
      </w:r>
      <w:bookmarkStart w:id="8" w:name="_Hlk184390440"/>
      <w:r>
        <w:t>While most of the incidents are expected to be reported and available within the six-month data retention period, there may be incidents that are not reported, or updates to incidents that are not reported, within the six-month period. Missing incidents may bias the results if there are a significant number of events that are not reported, or if specific types of events are not reported within a timely manner. As part of the study, we will log and report the number of MCMIS events that are received beyond the six-month period following a duty day associated with an incident.</w:t>
      </w:r>
      <w:bookmarkEnd w:id="8"/>
      <w:r>
        <w:t xml:space="preserve"> </w:t>
      </w:r>
    </w:p>
    <w:p w:rsidR="004E7256" w:rsidRPr="00135629" w:rsidP="00135629" w14:paraId="2561CD6E" w14:textId="77777777"/>
    <w:p w:rsidR="00923DE9" w:rsidRPr="00135629" w:rsidP="00135629" w14:paraId="3412CC8E" w14:textId="77777777">
      <w:r w:rsidRPr="00135629">
        <w:t>The figure below illustrates the processing and intermediate tables produced at various points over a representative six-month period.</w:t>
      </w:r>
    </w:p>
    <w:p w:rsidR="00923DE9" w:rsidP="0016660B" w14:paraId="503E2406" w14:textId="77777777">
      <w:pPr>
        <w:pStyle w:val="Caption"/>
        <w:jc w:val="center"/>
      </w:pPr>
      <w:r>
        <w:rPr>
          <w:noProof/>
        </w:rPr>
        <w:drawing>
          <wp:inline distT="0" distB="0" distL="0" distR="0">
            <wp:extent cx="5943600" cy="2543768"/>
            <wp:effectExtent l="0" t="0" r="0" b="9525"/>
            <wp:docPr id="1255846306" name="Graphic 125584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846306" name="Picture 1"/>
                    <pic:cNvPicPr/>
                  </pic:nvPicPr>
                  <pic:blipFill>
                    <a:blip xmlns:r="http://schemas.openxmlformats.org/officeDocument/2006/relationships" r:embed="rId13">
                      <a:extLst>
                        <a:ext uri="{96DAC541-7B7A-43D3-8B79-37D633B846F1}">
                          <asvg:svgBlip xmlns:asvg="http://schemas.microsoft.com/office/drawing/2016/SVG/main" r:embed="rId14"/>
                        </a:ext>
                      </a:extLst>
                    </a:blip>
                    <a:stretch>
                      <a:fillRect/>
                    </a:stretch>
                  </pic:blipFill>
                  <pic:spPr>
                    <a:xfrm>
                      <a:off x="0" y="0"/>
                      <a:ext cx="5943600" cy="2543768"/>
                    </a:xfrm>
                    <a:prstGeom prst="rect">
                      <a:avLst/>
                    </a:prstGeom>
                  </pic:spPr>
                </pic:pic>
              </a:graphicData>
            </a:graphic>
          </wp:inline>
        </w:drawing>
      </w:r>
    </w:p>
    <w:p w:rsidR="00923DE9" w:rsidRPr="0016660B" w:rsidP="0016660B" w14:paraId="7AF8DC1C" w14:textId="77777777">
      <w:pPr>
        <w:pStyle w:val="Caption"/>
        <w:jc w:val="center"/>
        <w:rPr>
          <w:rFonts w:ascii="Times New Roman" w:eastAsia="Times New Roman" w:hAnsi="Times New Roman" w:cs="Times New Roman"/>
          <w:i w:val="0"/>
          <w:iCs w:val="0"/>
          <w:color w:val="auto"/>
          <w:kern w:val="0"/>
          <w:sz w:val="20"/>
          <w:szCs w:val="20"/>
          <w14:ligatures w14:val="none"/>
        </w:rPr>
      </w:pPr>
      <w:r w:rsidRPr="0016660B">
        <w:rPr>
          <w:rFonts w:ascii="Times New Roman" w:hAnsi="Times New Roman" w:cs="Times New Roman"/>
          <w:b/>
          <w:bCs/>
          <w:i w:val="0"/>
          <w:iCs w:val="0"/>
          <w:color w:val="auto"/>
          <w:sz w:val="20"/>
          <w:szCs w:val="20"/>
        </w:rPr>
        <w:t xml:space="preserve">Figure </w:t>
      </w:r>
      <w:r w:rsidRPr="0016660B">
        <w:rPr>
          <w:rFonts w:ascii="Times New Roman" w:hAnsi="Times New Roman" w:cs="Times New Roman"/>
          <w:b/>
          <w:bCs/>
          <w:i w:val="0"/>
          <w:iCs w:val="0"/>
          <w:color w:val="auto"/>
          <w:sz w:val="20"/>
          <w:szCs w:val="20"/>
        </w:rPr>
        <w:fldChar w:fldCharType="begin"/>
      </w:r>
      <w:r w:rsidRPr="0016660B">
        <w:rPr>
          <w:rFonts w:ascii="Times New Roman" w:hAnsi="Times New Roman" w:cs="Times New Roman"/>
          <w:b/>
          <w:bCs/>
          <w:i w:val="0"/>
          <w:iCs w:val="0"/>
          <w:color w:val="auto"/>
          <w:sz w:val="20"/>
          <w:szCs w:val="20"/>
        </w:rPr>
        <w:instrText xml:space="preserve"> SEQ Figure \* ARABIC </w:instrText>
      </w:r>
      <w:r w:rsidRPr="0016660B">
        <w:rPr>
          <w:rFonts w:ascii="Times New Roman" w:hAnsi="Times New Roman" w:cs="Times New Roman"/>
          <w:b/>
          <w:bCs/>
          <w:i w:val="0"/>
          <w:iCs w:val="0"/>
          <w:color w:val="auto"/>
          <w:sz w:val="20"/>
          <w:szCs w:val="20"/>
        </w:rPr>
        <w:fldChar w:fldCharType="separate"/>
      </w:r>
      <w:r w:rsidRPr="0016660B">
        <w:rPr>
          <w:rFonts w:ascii="Times New Roman" w:hAnsi="Times New Roman" w:cs="Times New Roman"/>
          <w:b/>
          <w:bCs/>
          <w:i w:val="0"/>
          <w:iCs w:val="0"/>
          <w:noProof/>
          <w:color w:val="auto"/>
          <w:sz w:val="20"/>
          <w:szCs w:val="20"/>
        </w:rPr>
        <w:t>4</w:t>
      </w:r>
      <w:r w:rsidRPr="0016660B">
        <w:rPr>
          <w:rFonts w:ascii="Times New Roman" w:hAnsi="Times New Roman" w:cs="Times New Roman"/>
          <w:b/>
          <w:bCs/>
          <w:i w:val="0"/>
          <w:iCs w:val="0"/>
          <w:noProof/>
          <w:color w:val="auto"/>
          <w:sz w:val="20"/>
          <w:szCs w:val="20"/>
        </w:rPr>
        <w:fldChar w:fldCharType="end"/>
      </w:r>
      <w:r w:rsidRPr="0016660B">
        <w:rPr>
          <w:rFonts w:ascii="Times New Roman" w:hAnsi="Times New Roman" w:cs="Times New Roman"/>
          <w:i w:val="0"/>
          <w:iCs w:val="0"/>
          <w:color w:val="auto"/>
          <w:sz w:val="20"/>
          <w:szCs w:val="20"/>
        </w:rPr>
        <w:t>: Illustration of relationship between raw data, intermediate feature tables, and final feature tables.</w:t>
      </w:r>
    </w:p>
    <w:p w:rsidR="007331F0" w:rsidP="00135629" w14:paraId="38210786" w14:textId="77777777"/>
    <w:p w:rsidR="004E7256" w:rsidRPr="0016660B" w:rsidP="00135629" w14:paraId="662A6224" w14:textId="77777777">
      <w:pPr>
        <w:rPr>
          <w:b/>
          <w:bCs/>
        </w:rPr>
      </w:pPr>
      <w:r w:rsidRPr="0016660B">
        <w:rPr>
          <w:b/>
          <w:bCs/>
        </w:rPr>
        <w:t xml:space="preserve">Description of </w:t>
      </w:r>
      <w:r w:rsidR="00DE6771">
        <w:rPr>
          <w:b/>
          <w:bCs/>
        </w:rPr>
        <w:t>A</w:t>
      </w:r>
      <w:r w:rsidRPr="0016660B">
        <w:rPr>
          <w:b/>
          <w:bCs/>
        </w:rPr>
        <w:t xml:space="preserve">nalysis </w:t>
      </w:r>
      <w:r w:rsidR="00DE6771">
        <w:rPr>
          <w:b/>
          <w:bCs/>
        </w:rPr>
        <w:t>P</w:t>
      </w:r>
      <w:r w:rsidRPr="0016660B">
        <w:rPr>
          <w:b/>
          <w:bCs/>
        </w:rPr>
        <w:t>lan</w:t>
      </w:r>
    </w:p>
    <w:p w:rsidR="0029061E" w:rsidP="00135629" w14:paraId="0303DD58" w14:textId="77777777"/>
    <w:p w:rsidR="00923DE9" w:rsidRPr="00135629" w:rsidP="00135629" w14:paraId="464F196A" w14:textId="77777777">
      <w:r w:rsidRPr="00135629">
        <w:t>HOS data will be processed to identify duty cycles and duty days for a driver based on the HOS regulations. Typically, duty days are demarcated by periods of at least ten consecutive hours off-duty. Duty cycles, or “work sets,” are the series of duty days demarcated by restart periods of at least 34 consecutive hours off-duty. For each duty day, relevant features are calculated:</w:t>
      </w:r>
    </w:p>
    <w:p w:rsidR="00923DE9" w:rsidRPr="00135629" w:rsidP="00CF7E97" w14:paraId="638EC3EF" w14:textId="77777777">
      <w:pPr>
        <w:pStyle w:val="ListParagraph"/>
        <w:numPr>
          <w:ilvl w:val="0"/>
          <w:numId w:val="8"/>
        </w:numPr>
      </w:pPr>
      <w:r w:rsidRPr="00135629">
        <w:t>Hours of driving in the 7 days (144 hours) prior to start of duty day</w:t>
      </w:r>
    </w:p>
    <w:p w:rsidR="00923DE9" w:rsidRPr="00135629" w:rsidP="00CF7E97" w14:paraId="76FFA327" w14:textId="77777777">
      <w:pPr>
        <w:pStyle w:val="ListParagraph"/>
        <w:numPr>
          <w:ilvl w:val="0"/>
          <w:numId w:val="8"/>
        </w:numPr>
      </w:pPr>
      <w:r w:rsidRPr="00135629">
        <w:t>Number of 30-minute (or more) breaks within the duty day</w:t>
      </w:r>
    </w:p>
    <w:p w:rsidR="00923DE9" w:rsidRPr="00135629" w:rsidP="00CF7E97" w14:paraId="48230E9F" w14:textId="77777777">
      <w:pPr>
        <w:pStyle w:val="ListParagraph"/>
        <w:numPr>
          <w:ilvl w:val="0"/>
          <w:numId w:val="8"/>
        </w:numPr>
      </w:pPr>
      <w:r w:rsidRPr="00135629">
        <w:t xml:space="preserve">Number of nights (1-5AM periods) in restart period at the beginning of a work set </w:t>
      </w:r>
    </w:p>
    <w:p w:rsidR="00923DE9" w:rsidRPr="00135629" w:rsidP="00CF7E97" w14:paraId="03F4C28E" w14:textId="77777777">
      <w:pPr>
        <w:pStyle w:val="ListParagraph"/>
        <w:numPr>
          <w:ilvl w:val="0"/>
          <w:numId w:val="8"/>
        </w:numPr>
      </w:pPr>
      <w:r w:rsidRPr="00135629">
        <w:t>Hours in sleeper berth during rest periods between duties</w:t>
      </w:r>
    </w:p>
    <w:p w:rsidR="00923DE9" w:rsidRPr="00135629" w:rsidP="00CF7E97" w14:paraId="5FD87E6D" w14:textId="77777777">
      <w:pPr>
        <w:pStyle w:val="ListParagraph"/>
        <w:numPr>
          <w:ilvl w:val="0"/>
          <w:numId w:val="8"/>
        </w:numPr>
      </w:pPr>
      <w:r w:rsidRPr="00135629">
        <w:t>Number of crashes in duty period</w:t>
      </w:r>
    </w:p>
    <w:p w:rsidR="00574F5F" w:rsidP="00135629" w14:paraId="0F770852" w14:textId="77777777"/>
    <w:p w:rsidR="00923DE9" w:rsidRPr="00135629" w:rsidP="00135629" w14:paraId="6486FAC4" w14:textId="77777777">
      <w:r w:rsidRPr="00135629">
        <w:t>The duty day can be subdivided into the hour of driving (up to 11 hours of driving for compliant logs, and up to 13 hours for compliant logs during adverse driving condition exception). Within each hour of driving for a duty day, we calculate:</w:t>
      </w:r>
    </w:p>
    <w:p w:rsidR="00923DE9" w:rsidRPr="00135629" w:rsidP="00CF7E97" w14:paraId="294F2E43" w14:textId="77777777">
      <w:pPr>
        <w:pStyle w:val="ListParagraph"/>
        <w:numPr>
          <w:ilvl w:val="0"/>
          <w:numId w:val="8"/>
        </w:numPr>
      </w:pPr>
      <w:r w:rsidRPr="00135629">
        <w:t xml:space="preserve">Hours driven within driving hour (i.e., from 0 to 1h) </w:t>
      </w:r>
    </w:p>
    <w:p w:rsidR="00923DE9" w:rsidRPr="00135629" w:rsidP="00CF7E97" w14:paraId="5DAE79E2" w14:textId="77777777">
      <w:pPr>
        <w:pStyle w:val="ListParagraph"/>
        <w:numPr>
          <w:ilvl w:val="0"/>
          <w:numId w:val="8"/>
        </w:numPr>
      </w:pPr>
      <w:r w:rsidRPr="00135629">
        <w:t>Number of crashes within the driving hour</w:t>
      </w:r>
    </w:p>
    <w:p w:rsidR="00574F5F" w:rsidP="00135629" w14:paraId="0986C020" w14:textId="77777777"/>
    <w:p w:rsidR="00923DE9" w:rsidP="00135629" w14:paraId="11854A1E" w14:textId="77777777">
      <w:r w:rsidRPr="00135629">
        <w:t xml:space="preserve">An example data table illustrating this analysis is presented in </w:t>
      </w:r>
      <w:r w:rsidR="00D44AB0">
        <w:t xml:space="preserve">Table </w:t>
      </w:r>
      <w:r w:rsidR="00A050C0">
        <w:t>19</w:t>
      </w:r>
      <w:r w:rsidRPr="00135629" w:rsidR="002E6DA6">
        <w:t xml:space="preserve"> </w:t>
      </w:r>
      <w:r w:rsidRPr="00135629">
        <w:t xml:space="preserve">below. </w:t>
      </w:r>
    </w:p>
    <w:p w:rsidR="004E7256" w:rsidRPr="00135629" w:rsidP="00135629" w14:paraId="4179271B" w14:textId="77777777"/>
    <w:p w:rsidR="00923DE9" w:rsidRPr="0016660B" w:rsidP="0016660B" w14:paraId="5FDE1837" w14:textId="77777777">
      <w:pPr>
        <w:pStyle w:val="Caption"/>
        <w:jc w:val="center"/>
        <w:rPr>
          <w:rFonts w:ascii="Times New Roman" w:hAnsi="Times New Roman" w:cs="Times New Roman"/>
          <w:i w:val="0"/>
          <w:iCs w:val="0"/>
          <w:color w:val="auto"/>
          <w:sz w:val="20"/>
          <w:szCs w:val="20"/>
        </w:rPr>
      </w:pPr>
      <w:bookmarkStart w:id="9" w:name="_Ref168669833"/>
      <w:r w:rsidRPr="0016660B">
        <w:rPr>
          <w:rFonts w:ascii="Times New Roman" w:hAnsi="Times New Roman" w:cs="Times New Roman"/>
          <w:b/>
          <w:bCs/>
          <w:i w:val="0"/>
          <w:iCs w:val="0"/>
          <w:color w:val="auto"/>
          <w:sz w:val="20"/>
          <w:szCs w:val="20"/>
        </w:rPr>
        <w:t xml:space="preserve">Table </w:t>
      </w:r>
      <w:bookmarkEnd w:id="9"/>
      <w:r w:rsidR="00A050C0">
        <w:rPr>
          <w:rFonts w:ascii="Times New Roman" w:hAnsi="Times New Roman" w:cs="Times New Roman"/>
          <w:b/>
          <w:bCs/>
          <w:i w:val="0"/>
          <w:iCs w:val="0"/>
          <w:color w:val="auto"/>
          <w:sz w:val="20"/>
          <w:szCs w:val="20"/>
        </w:rPr>
        <w:t>19</w:t>
      </w:r>
      <w:r w:rsidRPr="0016660B">
        <w:rPr>
          <w:rFonts w:ascii="Times New Roman" w:hAnsi="Times New Roman" w:cs="Times New Roman"/>
          <w:i w:val="0"/>
          <w:iCs w:val="0"/>
          <w:color w:val="auto"/>
          <w:sz w:val="20"/>
          <w:szCs w:val="20"/>
        </w:rPr>
        <w:t>: Hour of driving data table example.</w:t>
      </w:r>
    </w:p>
    <w:tbl>
      <w:tblPr>
        <w:tblStyle w:val="TableGrid"/>
        <w:tblW w:w="3655" w:type="pct"/>
        <w:jc w:val="center"/>
        <w:tblLook w:val="0620"/>
      </w:tblPr>
      <w:tblGrid>
        <w:gridCol w:w="1256"/>
        <w:gridCol w:w="899"/>
        <w:gridCol w:w="1260"/>
        <w:gridCol w:w="1981"/>
        <w:gridCol w:w="1439"/>
      </w:tblGrid>
      <w:tr w14:paraId="73776385" w14:textId="77777777" w:rsidTr="0016660B">
        <w:tblPrEx>
          <w:tblW w:w="3655" w:type="pct"/>
          <w:jc w:val="center"/>
          <w:tblLook w:val="0620"/>
        </w:tblPrEx>
        <w:trPr>
          <w:cantSplit/>
          <w:jc w:val="center"/>
        </w:trPr>
        <w:tc>
          <w:tcPr>
            <w:tcW w:w="918" w:type="pct"/>
            <w:shd w:val="clear" w:color="auto" w:fill="D9D9D9" w:themeFill="background1" w:themeFillShade="D9"/>
            <w:vAlign w:val="center"/>
          </w:tcPr>
          <w:p w:rsidR="00923DE9" w:rsidRPr="0016660B" w:rsidP="00135629" w14:paraId="6653D4EA" w14:textId="77777777">
            <w:pPr>
              <w:rPr>
                <w:b/>
                <w:bCs/>
              </w:rPr>
            </w:pPr>
            <w:r w:rsidRPr="0016660B">
              <w:rPr>
                <w:b/>
                <w:bCs/>
              </w:rPr>
              <w:t>Driver</w:t>
            </w:r>
          </w:p>
        </w:tc>
        <w:tc>
          <w:tcPr>
            <w:tcW w:w="658" w:type="pct"/>
            <w:shd w:val="clear" w:color="auto" w:fill="D9D9D9" w:themeFill="background1" w:themeFillShade="D9"/>
            <w:vAlign w:val="center"/>
          </w:tcPr>
          <w:p w:rsidR="00923DE9" w:rsidRPr="0016660B" w:rsidP="0016660B" w14:paraId="391BF42B" w14:textId="77777777">
            <w:pPr>
              <w:rPr>
                <w:b/>
                <w:bCs/>
              </w:rPr>
            </w:pPr>
            <w:r w:rsidRPr="0016660B">
              <w:rPr>
                <w:b/>
                <w:bCs/>
              </w:rPr>
              <w:t>Duty</w:t>
            </w:r>
          </w:p>
        </w:tc>
        <w:tc>
          <w:tcPr>
            <w:tcW w:w="922" w:type="pct"/>
            <w:shd w:val="clear" w:color="auto" w:fill="D9D9D9" w:themeFill="background1" w:themeFillShade="D9"/>
            <w:vAlign w:val="center"/>
          </w:tcPr>
          <w:p w:rsidR="00923DE9" w:rsidRPr="0016660B" w:rsidP="0016660B" w14:paraId="0072E353" w14:textId="77777777">
            <w:pPr>
              <w:rPr>
                <w:b/>
                <w:bCs/>
              </w:rPr>
            </w:pPr>
            <w:r w:rsidRPr="0016660B">
              <w:rPr>
                <w:b/>
                <w:bCs/>
              </w:rPr>
              <w:t>Hour of Driving</w:t>
            </w:r>
          </w:p>
        </w:tc>
        <w:tc>
          <w:tcPr>
            <w:tcW w:w="1449" w:type="pct"/>
            <w:shd w:val="clear" w:color="auto" w:fill="D9D9D9" w:themeFill="background1" w:themeFillShade="D9"/>
            <w:vAlign w:val="center"/>
          </w:tcPr>
          <w:p w:rsidR="00923DE9" w:rsidRPr="0016660B" w:rsidP="0016660B" w14:paraId="5287A87D" w14:textId="77777777">
            <w:pPr>
              <w:rPr>
                <w:b/>
                <w:bCs/>
              </w:rPr>
            </w:pPr>
            <w:r w:rsidRPr="0016660B">
              <w:rPr>
                <w:b/>
                <w:bCs/>
              </w:rPr>
              <w:t>Hours Driven in Driving Hour</w:t>
            </w:r>
          </w:p>
        </w:tc>
        <w:tc>
          <w:tcPr>
            <w:tcW w:w="1053" w:type="pct"/>
            <w:shd w:val="clear" w:color="auto" w:fill="D9D9D9" w:themeFill="background1" w:themeFillShade="D9"/>
            <w:vAlign w:val="center"/>
          </w:tcPr>
          <w:p w:rsidR="00923DE9" w:rsidRPr="0016660B" w:rsidP="0016660B" w14:paraId="3957AC3D" w14:textId="77777777">
            <w:pPr>
              <w:rPr>
                <w:b/>
                <w:bCs/>
              </w:rPr>
            </w:pPr>
            <w:r w:rsidRPr="0016660B">
              <w:rPr>
                <w:b/>
                <w:bCs/>
              </w:rPr>
              <w:t>Number of Crashes</w:t>
            </w:r>
          </w:p>
        </w:tc>
      </w:tr>
      <w:tr w14:paraId="151B466E" w14:textId="77777777" w:rsidTr="0016660B">
        <w:tblPrEx>
          <w:tblW w:w="3655" w:type="pct"/>
          <w:jc w:val="center"/>
          <w:tblLook w:val="0620"/>
        </w:tblPrEx>
        <w:trPr>
          <w:cantSplit/>
          <w:jc w:val="center"/>
        </w:trPr>
        <w:tc>
          <w:tcPr>
            <w:tcW w:w="918" w:type="pct"/>
          </w:tcPr>
          <w:p w:rsidR="00923DE9" w:rsidRPr="00135629" w:rsidP="00135629" w14:paraId="4631CA78" w14:textId="77777777">
            <w:r w:rsidRPr="00135629">
              <w:t>Driver A</w:t>
            </w:r>
          </w:p>
        </w:tc>
        <w:tc>
          <w:tcPr>
            <w:tcW w:w="658" w:type="pct"/>
          </w:tcPr>
          <w:p w:rsidR="00923DE9" w:rsidRPr="00135629" w:rsidP="0016660B" w14:paraId="7F313FD2" w14:textId="77777777">
            <w:r w:rsidRPr="00135629">
              <w:t>1</w:t>
            </w:r>
          </w:p>
        </w:tc>
        <w:tc>
          <w:tcPr>
            <w:tcW w:w="922" w:type="pct"/>
          </w:tcPr>
          <w:p w:rsidR="00923DE9" w:rsidRPr="00135629" w:rsidP="0016660B" w14:paraId="1F6A6084" w14:textId="77777777">
            <w:r w:rsidRPr="00135629">
              <w:t>1</w:t>
            </w:r>
          </w:p>
        </w:tc>
        <w:tc>
          <w:tcPr>
            <w:tcW w:w="1449" w:type="pct"/>
          </w:tcPr>
          <w:p w:rsidR="00923DE9" w:rsidRPr="00135629" w:rsidP="0016660B" w14:paraId="4F0559EE" w14:textId="77777777">
            <w:r w:rsidRPr="00135629">
              <w:t>1</w:t>
            </w:r>
          </w:p>
        </w:tc>
        <w:tc>
          <w:tcPr>
            <w:tcW w:w="1053" w:type="pct"/>
          </w:tcPr>
          <w:p w:rsidR="00923DE9" w:rsidRPr="00135629" w:rsidP="0016660B" w14:paraId="1B57DF39" w14:textId="77777777">
            <w:r w:rsidRPr="00135629">
              <w:t>0</w:t>
            </w:r>
          </w:p>
        </w:tc>
      </w:tr>
      <w:tr w14:paraId="598A20A5" w14:textId="77777777" w:rsidTr="0016660B">
        <w:tblPrEx>
          <w:tblW w:w="3655" w:type="pct"/>
          <w:jc w:val="center"/>
          <w:tblLook w:val="0620"/>
        </w:tblPrEx>
        <w:trPr>
          <w:cantSplit/>
          <w:jc w:val="center"/>
        </w:trPr>
        <w:tc>
          <w:tcPr>
            <w:tcW w:w="918" w:type="pct"/>
          </w:tcPr>
          <w:p w:rsidR="00923DE9" w:rsidRPr="00135629" w:rsidP="00135629" w14:paraId="5269B0B1" w14:textId="77777777">
            <w:r w:rsidRPr="00135629">
              <w:t>Driver A</w:t>
            </w:r>
          </w:p>
        </w:tc>
        <w:tc>
          <w:tcPr>
            <w:tcW w:w="658" w:type="pct"/>
          </w:tcPr>
          <w:p w:rsidR="00923DE9" w:rsidRPr="00135629" w:rsidP="0016660B" w14:paraId="3BAC6220" w14:textId="77777777">
            <w:r w:rsidRPr="00135629">
              <w:t>1</w:t>
            </w:r>
          </w:p>
        </w:tc>
        <w:tc>
          <w:tcPr>
            <w:tcW w:w="922" w:type="pct"/>
          </w:tcPr>
          <w:p w:rsidR="00923DE9" w:rsidRPr="00135629" w:rsidP="0016660B" w14:paraId="5F3D27B6" w14:textId="77777777">
            <w:r w:rsidRPr="00135629">
              <w:t>2</w:t>
            </w:r>
          </w:p>
        </w:tc>
        <w:tc>
          <w:tcPr>
            <w:tcW w:w="1449" w:type="pct"/>
          </w:tcPr>
          <w:p w:rsidR="00923DE9" w:rsidRPr="00135629" w:rsidP="0016660B" w14:paraId="482952E6" w14:textId="77777777">
            <w:r w:rsidRPr="00135629">
              <w:t>1</w:t>
            </w:r>
          </w:p>
        </w:tc>
        <w:tc>
          <w:tcPr>
            <w:tcW w:w="1053" w:type="pct"/>
          </w:tcPr>
          <w:p w:rsidR="00923DE9" w:rsidRPr="00135629" w:rsidP="0016660B" w14:paraId="745E1CF7" w14:textId="77777777">
            <w:r w:rsidRPr="00135629">
              <w:t>0</w:t>
            </w:r>
          </w:p>
        </w:tc>
      </w:tr>
      <w:tr w14:paraId="404C0A0F" w14:textId="77777777" w:rsidTr="0016660B">
        <w:tblPrEx>
          <w:tblW w:w="3655" w:type="pct"/>
          <w:jc w:val="center"/>
          <w:tblLook w:val="0620"/>
        </w:tblPrEx>
        <w:trPr>
          <w:cantSplit/>
          <w:jc w:val="center"/>
        </w:trPr>
        <w:tc>
          <w:tcPr>
            <w:tcW w:w="918" w:type="pct"/>
          </w:tcPr>
          <w:p w:rsidR="00923DE9" w:rsidRPr="00135629" w:rsidP="00135629" w14:paraId="23134FF5" w14:textId="77777777">
            <w:r w:rsidRPr="00135629">
              <w:t>Driver A</w:t>
            </w:r>
          </w:p>
        </w:tc>
        <w:tc>
          <w:tcPr>
            <w:tcW w:w="658" w:type="pct"/>
          </w:tcPr>
          <w:p w:rsidR="00923DE9" w:rsidRPr="00135629" w:rsidP="0016660B" w14:paraId="36EF20B4" w14:textId="77777777">
            <w:r w:rsidRPr="00135629">
              <w:t>1</w:t>
            </w:r>
          </w:p>
        </w:tc>
        <w:tc>
          <w:tcPr>
            <w:tcW w:w="922" w:type="pct"/>
          </w:tcPr>
          <w:p w:rsidR="00923DE9" w:rsidRPr="00135629" w:rsidP="0016660B" w14:paraId="0EC663CC" w14:textId="77777777">
            <w:r w:rsidRPr="00135629">
              <w:t>3</w:t>
            </w:r>
          </w:p>
        </w:tc>
        <w:tc>
          <w:tcPr>
            <w:tcW w:w="1449" w:type="pct"/>
          </w:tcPr>
          <w:p w:rsidR="00923DE9" w:rsidRPr="00135629" w:rsidP="0016660B" w14:paraId="6BEF4ABF" w14:textId="77777777">
            <w:r w:rsidRPr="00135629">
              <w:t>1</w:t>
            </w:r>
          </w:p>
        </w:tc>
        <w:tc>
          <w:tcPr>
            <w:tcW w:w="1053" w:type="pct"/>
          </w:tcPr>
          <w:p w:rsidR="00923DE9" w:rsidRPr="00135629" w:rsidP="0016660B" w14:paraId="56135FB8" w14:textId="77777777">
            <w:r w:rsidRPr="00135629">
              <w:t>0</w:t>
            </w:r>
          </w:p>
        </w:tc>
      </w:tr>
      <w:tr w14:paraId="5C6ED6DA" w14:textId="77777777" w:rsidTr="0016660B">
        <w:tblPrEx>
          <w:tblW w:w="3655" w:type="pct"/>
          <w:jc w:val="center"/>
          <w:tblLook w:val="0620"/>
        </w:tblPrEx>
        <w:trPr>
          <w:cantSplit/>
          <w:jc w:val="center"/>
        </w:trPr>
        <w:tc>
          <w:tcPr>
            <w:tcW w:w="918" w:type="pct"/>
          </w:tcPr>
          <w:p w:rsidR="00923DE9" w:rsidRPr="00135629" w:rsidP="00135629" w14:paraId="402AB0B9" w14:textId="77777777">
            <w:r w:rsidRPr="00135629">
              <w:t>Driver A</w:t>
            </w:r>
          </w:p>
        </w:tc>
        <w:tc>
          <w:tcPr>
            <w:tcW w:w="658" w:type="pct"/>
          </w:tcPr>
          <w:p w:rsidR="00923DE9" w:rsidRPr="00135629" w:rsidP="0016660B" w14:paraId="40CA89CA" w14:textId="77777777">
            <w:r w:rsidRPr="00135629">
              <w:t>1</w:t>
            </w:r>
          </w:p>
        </w:tc>
        <w:tc>
          <w:tcPr>
            <w:tcW w:w="922" w:type="pct"/>
          </w:tcPr>
          <w:p w:rsidR="00923DE9" w:rsidRPr="00135629" w:rsidP="0016660B" w14:paraId="3514E965" w14:textId="77777777">
            <w:r w:rsidRPr="00135629">
              <w:t>4</w:t>
            </w:r>
          </w:p>
        </w:tc>
        <w:tc>
          <w:tcPr>
            <w:tcW w:w="1449" w:type="pct"/>
          </w:tcPr>
          <w:p w:rsidR="00923DE9" w:rsidRPr="00135629" w:rsidP="0016660B" w14:paraId="7E4A8774" w14:textId="77777777">
            <w:r w:rsidRPr="00135629">
              <w:t>1</w:t>
            </w:r>
          </w:p>
        </w:tc>
        <w:tc>
          <w:tcPr>
            <w:tcW w:w="1053" w:type="pct"/>
          </w:tcPr>
          <w:p w:rsidR="00923DE9" w:rsidRPr="00135629" w:rsidP="0016660B" w14:paraId="0C3B5D16" w14:textId="77777777">
            <w:r w:rsidRPr="00135629">
              <w:t>0</w:t>
            </w:r>
          </w:p>
        </w:tc>
      </w:tr>
      <w:tr w14:paraId="4B6E399F" w14:textId="77777777" w:rsidTr="0016660B">
        <w:tblPrEx>
          <w:tblW w:w="3655" w:type="pct"/>
          <w:jc w:val="center"/>
          <w:tblLook w:val="0620"/>
        </w:tblPrEx>
        <w:trPr>
          <w:cantSplit/>
          <w:jc w:val="center"/>
        </w:trPr>
        <w:tc>
          <w:tcPr>
            <w:tcW w:w="918" w:type="pct"/>
          </w:tcPr>
          <w:p w:rsidR="00923DE9" w:rsidRPr="00135629" w:rsidP="00135629" w14:paraId="23355C70" w14:textId="77777777">
            <w:r w:rsidRPr="00135629">
              <w:t>Driver A</w:t>
            </w:r>
          </w:p>
        </w:tc>
        <w:tc>
          <w:tcPr>
            <w:tcW w:w="658" w:type="pct"/>
          </w:tcPr>
          <w:p w:rsidR="00923DE9" w:rsidRPr="00135629" w:rsidP="0016660B" w14:paraId="5127F619" w14:textId="77777777">
            <w:r w:rsidRPr="00135629">
              <w:t>1</w:t>
            </w:r>
          </w:p>
        </w:tc>
        <w:tc>
          <w:tcPr>
            <w:tcW w:w="922" w:type="pct"/>
          </w:tcPr>
          <w:p w:rsidR="00923DE9" w:rsidRPr="00135629" w:rsidP="0016660B" w14:paraId="05190CE1" w14:textId="77777777">
            <w:r w:rsidRPr="00135629">
              <w:t>5</w:t>
            </w:r>
          </w:p>
        </w:tc>
        <w:tc>
          <w:tcPr>
            <w:tcW w:w="1449" w:type="pct"/>
          </w:tcPr>
          <w:p w:rsidR="00923DE9" w:rsidRPr="00135629" w:rsidP="0016660B" w14:paraId="2D0FC784" w14:textId="77777777">
            <w:r w:rsidRPr="00135629">
              <w:t>1</w:t>
            </w:r>
          </w:p>
        </w:tc>
        <w:tc>
          <w:tcPr>
            <w:tcW w:w="1053" w:type="pct"/>
          </w:tcPr>
          <w:p w:rsidR="00923DE9" w:rsidRPr="00135629" w:rsidP="0016660B" w14:paraId="5165DA22" w14:textId="77777777">
            <w:r w:rsidRPr="00135629">
              <w:t>0</w:t>
            </w:r>
          </w:p>
        </w:tc>
      </w:tr>
      <w:tr w14:paraId="61A00D34" w14:textId="77777777" w:rsidTr="0016660B">
        <w:tblPrEx>
          <w:tblW w:w="3655" w:type="pct"/>
          <w:jc w:val="center"/>
          <w:tblLook w:val="0620"/>
        </w:tblPrEx>
        <w:trPr>
          <w:cantSplit/>
          <w:jc w:val="center"/>
        </w:trPr>
        <w:tc>
          <w:tcPr>
            <w:tcW w:w="918" w:type="pct"/>
          </w:tcPr>
          <w:p w:rsidR="00923DE9" w:rsidRPr="00135629" w:rsidP="00135629" w14:paraId="5EA5587C" w14:textId="77777777">
            <w:r w:rsidRPr="00135629">
              <w:t>Driver A</w:t>
            </w:r>
          </w:p>
        </w:tc>
        <w:tc>
          <w:tcPr>
            <w:tcW w:w="658" w:type="pct"/>
          </w:tcPr>
          <w:p w:rsidR="00923DE9" w:rsidRPr="00135629" w:rsidP="0016660B" w14:paraId="08407114" w14:textId="77777777">
            <w:r w:rsidRPr="00135629">
              <w:t>1</w:t>
            </w:r>
          </w:p>
        </w:tc>
        <w:tc>
          <w:tcPr>
            <w:tcW w:w="922" w:type="pct"/>
          </w:tcPr>
          <w:p w:rsidR="00923DE9" w:rsidRPr="00135629" w:rsidP="0016660B" w14:paraId="2B3ED28D" w14:textId="77777777">
            <w:r w:rsidRPr="00135629">
              <w:t>6</w:t>
            </w:r>
          </w:p>
        </w:tc>
        <w:tc>
          <w:tcPr>
            <w:tcW w:w="1449" w:type="pct"/>
          </w:tcPr>
          <w:p w:rsidR="00923DE9" w:rsidRPr="00135629" w:rsidP="0016660B" w14:paraId="24202D3D" w14:textId="77777777">
            <w:r w:rsidRPr="00135629">
              <w:t>1</w:t>
            </w:r>
          </w:p>
        </w:tc>
        <w:tc>
          <w:tcPr>
            <w:tcW w:w="1053" w:type="pct"/>
          </w:tcPr>
          <w:p w:rsidR="00923DE9" w:rsidRPr="00135629" w:rsidP="0016660B" w14:paraId="0174319D" w14:textId="77777777">
            <w:r w:rsidRPr="00135629">
              <w:t>0</w:t>
            </w:r>
          </w:p>
        </w:tc>
      </w:tr>
      <w:tr w14:paraId="05E6F73D" w14:textId="77777777" w:rsidTr="0016660B">
        <w:tblPrEx>
          <w:tblW w:w="3655" w:type="pct"/>
          <w:jc w:val="center"/>
          <w:tblLook w:val="0620"/>
        </w:tblPrEx>
        <w:trPr>
          <w:cantSplit/>
          <w:jc w:val="center"/>
        </w:trPr>
        <w:tc>
          <w:tcPr>
            <w:tcW w:w="918" w:type="pct"/>
          </w:tcPr>
          <w:p w:rsidR="00923DE9" w:rsidRPr="00135629" w:rsidP="00135629" w14:paraId="5427746F" w14:textId="77777777">
            <w:r w:rsidRPr="00135629">
              <w:t>Driver A</w:t>
            </w:r>
          </w:p>
        </w:tc>
        <w:tc>
          <w:tcPr>
            <w:tcW w:w="658" w:type="pct"/>
          </w:tcPr>
          <w:p w:rsidR="00923DE9" w:rsidRPr="00135629" w:rsidP="0016660B" w14:paraId="08AAA4E3" w14:textId="77777777">
            <w:r w:rsidRPr="00135629">
              <w:t>1</w:t>
            </w:r>
          </w:p>
        </w:tc>
        <w:tc>
          <w:tcPr>
            <w:tcW w:w="922" w:type="pct"/>
          </w:tcPr>
          <w:p w:rsidR="00923DE9" w:rsidRPr="00135629" w:rsidP="0016660B" w14:paraId="158454C9" w14:textId="77777777">
            <w:r w:rsidRPr="00135629">
              <w:t>7</w:t>
            </w:r>
          </w:p>
        </w:tc>
        <w:tc>
          <w:tcPr>
            <w:tcW w:w="1449" w:type="pct"/>
          </w:tcPr>
          <w:p w:rsidR="00923DE9" w:rsidRPr="00135629" w:rsidP="0016660B" w14:paraId="10B55EF7" w14:textId="77777777">
            <w:r w:rsidRPr="00135629">
              <w:t>1</w:t>
            </w:r>
          </w:p>
        </w:tc>
        <w:tc>
          <w:tcPr>
            <w:tcW w:w="1053" w:type="pct"/>
          </w:tcPr>
          <w:p w:rsidR="00923DE9" w:rsidRPr="00135629" w:rsidP="0016660B" w14:paraId="1908E933" w14:textId="77777777">
            <w:r w:rsidRPr="00135629">
              <w:t>0</w:t>
            </w:r>
          </w:p>
        </w:tc>
      </w:tr>
      <w:tr w14:paraId="253F8131" w14:textId="77777777" w:rsidTr="0016660B">
        <w:tblPrEx>
          <w:tblW w:w="3655" w:type="pct"/>
          <w:jc w:val="center"/>
          <w:tblLook w:val="0620"/>
        </w:tblPrEx>
        <w:trPr>
          <w:cantSplit/>
          <w:jc w:val="center"/>
        </w:trPr>
        <w:tc>
          <w:tcPr>
            <w:tcW w:w="918" w:type="pct"/>
          </w:tcPr>
          <w:p w:rsidR="00923DE9" w:rsidRPr="00135629" w:rsidP="00135629" w14:paraId="08A78AFF" w14:textId="77777777">
            <w:r w:rsidRPr="00135629">
              <w:t>Driver A</w:t>
            </w:r>
          </w:p>
        </w:tc>
        <w:tc>
          <w:tcPr>
            <w:tcW w:w="658" w:type="pct"/>
          </w:tcPr>
          <w:p w:rsidR="00923DE9" w:rsidRPr="00135629" w:rsidP="0016660B" w14:paraId="1E8C1615" w14:textId="77777777">
            <w:r w:rsidRPr="00135629">
              <w:t>1</w:t>
            </w:r>
          </w:p>
        </w:tc>
        <w:tc>
          <w:tcPr>
            <w:tcW w:w="922" w:type="pct"/>
          </w:tcPr>
          <w:p w:rsidR="00923DE9" w:rsidRPr="00135629" w:rsidP="0016660B" w14:paraId="7F37D501" w14:textId="77777777">
            <w:r w:rsidRPr="00135629">
              <w:t>8</w:t>
            </w:r>
          </w:p>
        </w:tc>
        <w:tc>
          <w:tcPr>
            <w:tcW w:w="1449" w:type="pct"/>
          </w:tcPr>
          <w:p w:rsidR="00923DE9" w:rsidRPr="00135629" w:rsidP="0016660B" w14:paraId="1BF37C1B" w14:textId="77777777">
            <w:r w:rsidRPr="00135629">
              <w:t>1</w:t>
            </w:r>
          </w:p>
        </w:tc>
        <w:tc>
          <w:tcPr>
            <w:tcW w:w="1053" w:type="pct"/>
          </w:tcPr>
          <w:p w:rsidR="00923DE9" w:rsidRPr="00135629" w:rsidP="0016660B" w14:paraId="66ECCB48" w14:textId="77777777">
            <w:r w:rsidRPr="00135629">
              <w:t>0</w:t>
            </w:r>
          </w:p>
        </w:tc>
      </w:tr>
      <w:tr w14:paraId="33986165" w14:textId="77777777" w:rsidTr="0016660B">
        <w:tblPrEx>
          <w:tblW w:w="3655" w:type="pct"/>
          <w:jc w:val="center"/>
          <w:tblLook w:val="0620"/>
        </w:tblPrEx>
        <w:trPr>
          <w:cantSplit/>
          <w:jc w:val="center"/>
        </w:trPr>
        <w:tc>
          <w:tcPr>
            <w:tcW w:w="918" w:type="pct"/>
          </w:tcPr>
          <w:p w:rsidR="00923DE9" w:rsidRPr="00135629" w:rsidP="00135629" w14:paraId="104C0E32" w14:textId="77777777">
            <w:r w:rsidRPr="00135629">
              <w:t>Driver A</w:t>
            </w:r>
          </w:p>
        </w:tc>
        <w:tc>
          <w:tcPr>
            <w:tcW w:w="658" w:type="pct"/>
          </w:tcPr>
          <w:p w:rsidR="00923DE9" w:rsidRPr="00135629" w:rsidP="0016660B" w14:paraId="50C93C06" w14:textId="77777777">
            <w:r w:rsidRPr="00135629">
              <w:t>1</w:t>
            </w:r>
          </w:p>
        </w:tc>
        <w:tc>
          <w:tcPr>
            <w:tcW w:w="922" w:type="pct"/>
          </w:tcPr>
          <w:p w:rsidR="00923DE9" w:rsidRPr="00135629" w:rsidP="0016660B" w14:paraId="5310A44B" w14:textId="77777777">
            <w:r w:rsidRPr="00135629">
              <w:t>9</w:t>
            </w:r>
          </w:p>
        </w:tc>
        <w:tc>
          <w:tcPr>
            <w:tcW w:w="1449" w:type="pct"/>
          </w:tcPr>
          <w:p w:rsidR="00923DE9" w:rsidRPr="00135629" w:rsidP="0016660B" w14:paraId="407BC396" w14:textId="77777777">
            <w:r w:rsidRPr="00135629">
              <w:t>1</w:t>
            </w:r>
          </w:p>
        </w:tc>
        <w:tc>
          <w:tcPr>
            <w:tcW w:w="1053" w:type="pct"/>
          </w:tcPr>
          <w:p w:rsidR="00923DE9" w:rsidRPr="00135629" w:rsidP="0016660B" w14:paraId="670B325F" w14:textId="77777777">
            <w:r w:rsidRPr="00135629">
              <w:t>0</w:t>
            </w:r>
          </w:p>
        </w:tc>
      </w:tr>
      <w:tr w14:paraId="0C5A7F73" w14:textId="77777777" w:rsidTr="0016660B">
        <w:tblPrEx>
          <w:tblW w:w="3655" w:type="pct"/>
          <w:jc w:val="center"/>
          <w:tblLook w:val="0620"/>
        </w:tblPrEx>
        <w:trPr>
          <w:cantSplit/>
          <w:jc w:val="center"/>
        </w:trPr>
        <w:tc>
          <w:tcPr>
            <w:tcW w:w="918" w:type="pct"/>
          </w:tcPr>
          <w:p w:rsidR="00923DE9" w:rsidRPr="00135629" w:rsidP="00135629" w14:paraId="77DD3555" w14:textId="77777777">
            <w:r w:rsidRPr="00135629">
              <w:t>Driver A</w:t>
            </w:r>
          </w:p>
        </w:tc>
        <w:tc>
          <w:tcPr>
            <w:tcW w:w="658" w:type="pct"/>
          </w:tcPr>
          <w:p w:rsidR="00923DE9" w:rsidRPr="00135629" w:rsidP="0016660B" w14:paraId="7C53EF51" w14:textId="77777777">
            <w:r w:rsidRPr="00135629">
              <w:t>1</w:t>
            </w:r>
          </w:p>
        </w:tc>
        <w:tc>
          <w:tcPr>
            <w:tcW w:w="922" w:type="pct"/>
          </w:tcPr>
          <w:p w:rsidR="00923DE9" w:rsidRPr="00135629" w:rsidP="0016660B" w14:paraId="3B10F6EE" w14:textId="77777777">
            <w:r w:rsidRPr="00135629">
              <w:t>10</w:t>
            </w:r>
          </w:p>
        </w:tc>
        <w:tc>
          <w:tcPr>
            <w:tcW w:w="1449" w:type="pct"/>
          </w:tcPr>
          <w:p w:rsidR="00923DE9" w:rsidRPr="00135629" w:rsidP="0016660B" w14:paraId="14DDCFB9" w14:textId="77777777">
            <w:r w:rsidRPr="00135629">
              <w:t>1</w:t>
            </w:r>
          </w:p>
        </w:tc>
        <w:tc>
          <w:tcPr>
            <w:tcW w:w="1053" w:type="pct"/>
          </w:tcPr>
          <w:p w:rsidR="00923DE9" w:rsidRPr="00135629" w:rsidP="0016660B" w14:paraId="1C7695B8" w14:textId="77777777">
            <w:r w:rsidRPr="00135629">
              <w:t>0</w:t>
            </w:r>
          </w:p>
        </w:tc>
      </w:tr>
      <w:tr w14:paraId="2A4D70FD" w14:textId="77777777" w:rsidTr="0016660B">
        <w:tblPrEx>
          <w:tblW w:w="3655" w:type="pct"/>
          <w:jc w:val="center"/>
          <w:tblLook w:val="0620"/>
        </w:tblPrEx>
        <w:trPr>
          <w:cantSplit/>
          <w:jc w:val="center"/>
        </w:trPr>
        <w:tc>
          <w:tcPr>
            <w:tcW w:w="918" w:type="pct"/>
          </w:tcPr>
          <w:p w:rsidR="00923DE9" w:rsidRPr="00135629" w:rsidP="00135629" w14:paraId="06D81CD2" w14:textId="77777777">
            <w:r w:rsidRPr="00135629">
              <w:t>Driver A</w:t>
            </w:r>
          </w:p>
        </w:tc>
        <w:tc>
          <w:tcPr>
            <w:tcW w:w="658" w:type="pct"/>
          </w:tcPr>
          <w:p w:rsidR="00923DE9" w:rsidRPr="00135629" w:rsidP="0016660B" w14:paraId="2BD6670D" w14:textId="77777777">
            <w:r w:rsidRPr="00135629">
              <w:t>1</w:t>
            </w:r>
          </w:p>
        </w:tc>
        <w:tc>
          <w:tcPr>
            <w:tcW w:w="922" w:type="pct"/>
          </w:tcPr>
          <w:p w:rsidR="00923DE9" w:rsidRPr="00135629" w:rsidP="0016660B" w14:paraId="5B3C317E" w14:textId="77777777">
            <w:r w:rsidRPr="00135629">
              <w:t>11</w:t>
            </w:r>
          </w:p>
        </w:tc>
        <w:tc>
          <w:tcPr>
            <w:tcW w:w="1449" w:type="pct"/>
          </w:tcPr>
          <w:p w:rsidR="00923DE9" w:rsidRPr="00135629" w:rsidP="0016660B" w14:paraId="2F438B76" w14:textId="77777777">
            <w:r w:rsidRPr="00135629">
              <w:t>0.5</w:t>
            </w:r>
          </w:p>
        </w:tc>
        <w:tc>
          <w:tcPr>
            <w:tcW w:w="1053" w:type="pct"/>
          </w:tcPr>
          <w:p w:rsidR="00923DE9" w:rsidRPr="00135629" w:rsidP="0016660B" w14:paraId="4D49FBCB" w14:textId="77777777">
            <w:r w:rsidRPr="00135629">
              <w:t>1</w:t>
            </w:r>
          </w:p>
        </w:tc>
      </w:tr>
      <w:tr w14:paraId="33B9FD94" w14:textId="77777777" w:rsidTr="0016660B">
        <w:tblPrEx>
          <w:tblW w:w="3655" w:type="pct"/>
          <w:jc w:val="center"/>
          <w:tblLook w:val="0620"/>
        </w:tblPrEx>
        <w:trPr>
          <w:cantSplit/>
          <w:jc w:val="center"/>
        </w:trPr>
        <w:tc>
          <w:tcPr>
            <w:tcW w:w="918" w:type="pct"/>
          </w:tcPr>
          <w:p w:rsidR="00923DE9" w:rsidRPr="00135629" w:rsidP="00135629" w14:paraId="77F4765E" w14:textId="77777777">
            <w:r w:rsidRPr="00135629">
              <w:t>Driver A</w:t>
            </w:r>
          </w:p>
        </w:tc>
        <w:tc>
          <w:tcPr>
            <w:tcW w:w="658" w:type="pct"/>
          </w:tcPr>
          <w:p w:rsidR="00923DE9" w:rsidRPr="00135629" w:rsidP="0016660B" w14:paraId="786DF9E4" w14:textId="77777777">
            <w:r w:rsidRPr="00135629">
              <w:t>2</w:t>
            </w:r>
          </w:p>
        </w:tc>
        <w:tc>
          <w:tcPr>
            <w:tcW w:w="922" w:type="pct"/>
          </w:tcPr>
          <w:p w:rsidR="00923DE9" w:rsidRPr="00135629" w:rsidP="0016660B" w14:paraId="2E18A8E0" w14:textId="77777777">
            <w:r w:rsidRPr="00135629">
              <w:t>1</w:t>
            </w:r>
          </w:p>
        </w:tc>
        <w:tc>
          <w:tcPr>
            <w:tcW w:w="1449" w:type="pct"/>
          </w:tcPr>
          <w:p w:rsidR="00923DE9" w:rsidRPr="00135629" w:rsidP="0016660B" w14:paraId="03135566" w14:textId="77777777">
            <w:r w:rsidRPr="00135629">
              <w:t>1</w:t>
            </w:r>
          </w:p>
        </w:tc>
        <w:tc>
          <w:tcPr>
            <w:tcW w:w="1053" w:type="pct"/>
          </w:tcPr>
          <w:p w:rsidR="00923DE9" w:rsidRPr="00135629" w:rsidP="0016660B" w14:paraId="17BFCA20" w14:textId="77777777">
            <w:r w:rsidRPr="00135629">
              <w:t>0</w:t>
            </w:r>
          </w:p>
        </w:tc>
      </w:tr>
    </w:tbl>
    <w:p w:rsidR="00923DE9" w:rsidRPr="00335A8A" w:rsidP="00135629" w14:paraId="0141D9FB" w14:textId="77777777"/>
    <w:p w:rsidR="00923DE9" w:rsidRPr="0016660B" w:rsidP="0016660B" w14:paraId="56542309" w14:textId="77777777">
      <w:pPr>
        <w:rPr>
          <w:u w:val="single"/>
        </w:rPr>
      </w:pPr>
      <w:bookmarkStart w:id="10" w:name="_Hlk195863868"/>
      <w:r w:rsidRPr="0016660B">
        <w:rPr>
          <w:u w:val="single"/>
        </w:rPr>
        <w:t>Unit of Analysis: Hour of Driving</w:t>
      </w:r>
    </w:p>
    <w:p w:rsidR="00E01008" w:rsidP="00135629" w14:paraId="74D0FA97" w14:textId="77777777">
      <w:bookmarkStart w:id="11" w:name="_Hlk176508776"/>
    </w:p>
    <w:p w:rsidR="00472090" w:rsidRPr="00135629" w:rsidP="00472090" w14:paraId="102A74DC" w14:textId="77777777">
      <w:r>
        <w:t>To assess relative risk, w</w:t>
      </w:r>
      <w:r w:rsidRPr="00135629" w:rsidR="00923DE9">
        <w:t>e will use generalized multiple linear regression</w:t>
      </w:r>
      <w:r w:rsidR="007339A4">
        <w:t xml:space="preserve"> (GLM)</w:t>
      </w:r>
      <w:r w:rsidRPr="00135629" w:rsidR="00923DE9">
        <w:t xml:space="preserve"> models to estimate the effects of</w:t>
      </w:r>
      <w:r w:rsidR="0060285E">
        <w:t xml:space="preserve"> individual factors</w:t>
      </w:r>
      <w:r w:rsidRPr="00135629" w:rsidR="00923DE9">
        <w:t xml:space="preserve"> on study measures (e.g., crash rate, etc.)</w:t>
      </w:r>
      <w:r w:rsidR="002A2018">
        <w:t>, while adjusting for</w:t>
      </w:r>
      <w:r w:rsidRPr="00135629" w:rsidR="002A2018">
        <w:t xml:space="preserve"> covariates</w:t>
      </w:r>
      <w:r w:rsidRPr="00135629" w:rsidR="00923DE9">
        <w:t>.</w:t>
      </w:r>
      <w:r>
        <w:t xml:space="preserve"> Through </w:t>
      </w:r>
      <w:r w:rsidR="002A2018">
        <w:t xml:space="preserve">the </w:t>
      </w:r>
      <w:r>
        <w:t>appropriate choice of link function</w:t>
      </w:r>
      <w:r w:rsidR="007339A4">
        <w:t xml:space="preserve"> in the GLM</w:t>
      </w:r>
      <w:r>
        <w:t xml:space="preserve">, e.g.log-link, the </w:t>
      </w:r>
      <w:r w:rsidR="0059328C">
        <w:t>parameters</w:t>
      </w:r>
      <w:r>
        <w:t xml:space="preserve"> of the </w:t>
      </w:r>
      <w:r w:rsidR="002A2018">
        <w:t xml:space="preserve">GLM </w:t>
      </w:r>
      <w:r>
        <w:t xml:space="preserve">model </w:t>
      </w:r>
      <w:r w:rsidR="0059328C">
        <w:t xml:space="preserve">when exponentiated </w:t>
      </w:r>
      <w:r>
        <w:t xml:space="preserve">can be interpreted as </w:t>
      </w:r>
      <w:r w:rsidR="005B74A7">
        <w:t xml:space="preserve">the </w:t>
      </w:r>
      <w:r>
        <w:t>relative risk</w:t>
      </w:r>
      <w:r w:rsidR="0059328C">
        <w:t xml:space="preserve"> of </w:t>
      </w:r>
      <w:r w:rsidR="007339A4">
        <w:t>crash associate</w:t>
      </w:r>
      <w:r w:rsidR="002A2018">
        <w:t>d</w:t>
      </w:r>
      <w:r w:rsidR="007339A4">
        <w:t xml:space="preserve"> with each</w:t>
      </w:r>
      <w:r w:rsidR="005B74A7">
        <w:t xml:space="preserve"> factor.</w:t>
      </w:r>
      <w:r>
        <w:t xml:space="preserve"> </w:t>
      </w:r>
      <w:r w:rsidRPr="00135629" w:rsidR="00923DE9">
        <w:t xml:space="preserve">The generalized multiple linear regression models follow the general structure of the example below. </w:t>
      </w:r>
      <w:r w:rsidRPr="00135629">
        <w:t>The covariates in the analysis can include a broad range of factors, including driver (e.g., age, sex) and carrier (e.g., size, type) factors and may also include other factors including model-based estimates (e.g., model-based estimated prior sleep and model-based prior fatigue).</w:t>
      </w:r>
    </w:p>
    <w:p w:rsidR="00E01008" w:rsidRPr="00135629" w:rsidP="00135629" w14:paraId="47D1D518" w14:textId="77777777"/>
    <w:p w:rsidR="00E01008" w:rsidRPr="0016660B" w:rsidP="00135629" w14:paraId="57E8C3E6" w14:textId="77777777"/>
    <w:p w:rsidR="00923DE9" w:rsidRPr="00135629" w:rsidP="00135629" w14:paraId="17B021A7" w14:textId="77777777">
      <w:r w:rsidRPr="0016660B">
        <w:rPr>
          <w:rFonts w:eastAsiaTheme="minorEastAsia"/>
          <w:iCs/>
        </w:rPr>
        <w:t>f</w:t>
      </w:r>
      <w:r w:rsidRPr="00135629">
        <w:rPr>
          <w:rFonts w:eastAsiaTheme="minorEastAsia"/>
        </w:rPr>
        <w:t>(</w:t>
      </w:r>
      <m:oMath>
        <m:sSub>
          <m:sSubPr>
            <m:ctrlPr>
              <w:rPr>
                <w:rFonts w:ascii="Cambria Math" w:hAnsi="Cambria Math"/>
              </w:rPr>
            </m:ctrlPr>
          </m:sSubPr>
          <m:e>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sSub>
          <m:sSubPr>
            <m:ctrlPr>
              <w:rPr>
                <w:rFonts w:ascii="Cambria Math" w:hAnsi="Cambria Math"/>
              </w:rPr>
            </m:ctrlPr>
          </m:sSubPr>
          <m:e>
            <m:r>
              <w:rPr>
                <w:rFonts w:ascii="Cambria Math" w:hAnsi="Cambria Math"/>
              </w:rPr>
              <m:t>X</m:t>
            </m:r>
          </m:e>
          <m:sub>
            <m:sSub>
              <m:sSubPr>
                <m:ctrlPr>
                  <w:rPr>
                    <w:rFonts w:ascii="Cambria Math" w:hAnsi="Cambria Math"/>
                  </w:rPr>
                </m:ctrlPr>
              </m:sSubPr>
              <m:e>
                <m:r>
                  <m:rPr>
                    <m:sty m:val="p"/>
                  </m:rPr>
                  <w:rPr>
                    <w:rFonts w:ascii="Cambria Math" w:hAnsi="Cambria Math"/>
                  </w:rPr>
                  <m:t>2</m:t>
                </m:r>
              </m:e>
              <m:sub>
                <m:r>
                  <w:rPr>
                    <w:rFonts w:ascii="Cambria Math" w:hAnsi="Cambria Math"/>
                  </w:rPr>
                  <m:t>ij</m:t>
                </m:r>
              </m:sub>
            </m:sSub>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r>
              <w:rPr>
                <w:rFonts w:ascii="Cambria Math" w:hAnsi="Cambria Math"/>
              </w:rPr>
              <m:t>X</m:t>
            </m:r>
          </m:e>
          <m:sub>
            <m:sSub>
              <m:sSubPr>
                <m:ctrlPr>
                  <w:rPr>
                    <w:rFonts w:ascii="Cambria Math" w:hAnsi="Cambria Math"/>
                  </w:rPr>
                </m:ctrlPr>
              </m:sSubPr>
              <m:e>
                <m:r>
                  <m:rPr>
                    <m:sty m:val="p"/>
                  </m:rPr>
                  <w:rPr>
                    <w:rFonts w:ascii="Cambria Math" w:hAnsi="Cambria Math"/>
                  </w:rPr>
                  <m:t>3</m:t>
                </m:r>
              </m:e>
              <m:sub>
                <m:r>
                  <w:rPr>
                    <w:rFonts w:ascii="Cambria Math" w:hAnsi="Cambria Math"/>
                  </w:rPr>
                  <m:t>ij</m:t>
                </m:r>
              </m:sub>
            </m:sSub>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11</m:t>
            </m:r>
          </m:sub>
        </m:sSub>
        <m:sSub>
          <m:sSubPr>
            <m:ctrlPr>
              <w:rPr>
                <w:rFonts w:ascii="Cambria Math" w:hAnsi="Cambria Math"/>
              </w:rPr>
            </m:ctrlPr>
          </m:sSubPr>
          <m:e>
            <m:r>
              <w:rPr>
                <w:rFonts w:ascii="Cambria Math" w:hAnsi="Cambria Math"/>
              </w:rPr>
              <m:t>X</m:t>
            </m:r>
          </m:e>
          <m:sub>
            <m:sSub>
              <m:sSubPr>
                <m:ctrlPr>
                  <w:rPr>
                    <w:rFonts w:ascii="Cambria Math" w:hAnsi="Cambria Math"/>
                  </w:rPr>
                </m:ctrlPr>
              </m:sSubPr>
              <m:e>
                <m:r>
                  <m:rPr>
                    <m:sty m:val="p"/>
                  </m:rPr>
                  <w:rPr>
                    <w:rFonts w:ascii="Cambria Math" w:hAnsi="Cambria Math"/>
                  </w:rPr>
                  <m:t>11</m:t>
                </m:r>
              </m:e>
              <m:sub>
                <m:r>
                  <w:rPr>
                    <w:rFonts w:ascii="Cambria Math" w:hAnsi="Cambria Math"/>
                  </w:rPr>
                  <m:t>ij</m:t>
                </m:r>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m:rPr>
                <m:sty m:val="p"/>
              </m:rPr>
              <w:rPr>
                <w:rFonts w:ascii="Cambria Math" w:hAnsi="Cambria Math"/>
              </w:rPr>
              <m:t>12</m:t>
            </m:r>
          </m:sub>
        </m:sSub>
        <m:sSub>
          <m:sSubPr>
            <m:ctrlPr>
              <w:rPr>
                <w:rFonts w:ascii="Cambria Math" w:hAnsi="Cambria Math"/>
              </w:rPr>
            </m:ctrlPr>
          </m:sSubPr>
          <m:e>
            <m:r>
              <w:rPr>
                <w:rFonts w:ascii="Cambria Math" w:hAnsi="Cambria Math"/>
              </w:rPr>
              <m:t>X</m:t>
            </m:r>
          </m:e>
          <m:sub>
            <m:sSub>
              <m:sSubPr>
                <m:ctrlPr>
                  <w:rPr>
                    <w:rFonts w:ascii="Cambria Math" w:hAnsi="Cambria Math"/>
                  </w:rPr>
                </m:ctrlPr>
              </m:sSubPr>
              <m:e>
                <m:r>
                  <m:rPr>
                    <m:sty m:val="p"/>
                  </m:rPr>
                  <w:rPr>
                    <w:rFonts w:ascii="Cambria Math" w:hAnsi="Cambria Math"/>
                  </w:rPr>
                  <m:t>12</m:t>
                </m:r>
              </m:e>
              <m:sub>
                <m:r>
                  <w:rPr>
                    <w:rFonts w:ascii="Cambria Math" w:hAnsi="Cambria Math"/>
                  </w:rPr>
                  <m:t>ij</m:t>
                </m:r>
              </m:sub>
            </m:sSub>
          </m:sub>
        </m:sSub>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n</m:t>
            </m:r>
          </m:sub>
        </m:sSub>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n</m:t>
                </m:r>
              </m:e>
              <m:sub>
                <m:r>
                  <w:rPr>
                    <w:rFonts w:ascii="Cambria Math" w:hAnsi="Cambria Math"/>
                  </w:rPr>
                  <m:t>ij</m:t>
                </m:r>
              </m:sub>
            </m:sSub>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w:p>
    <w:p w:rsidR="00923DE9" w:rsidRPr="00135629" w:rsidP="00135629" w14:paraId="5B07C800" w14:textId="77777777">
      <w:r w:rsidRPr="00135629">
        <w:t>where:</w:t>
      </w:r>
    </w:p>
    <w:p w:rsidR="00923DE9" w:rsidRPr="00135629" w:rsidP="00CF7E97" w14:paraId="54909B04" w14:textId="77777777">
      <w:pPr>
        <w:pStyle w:val="ListParagraph"/>
        <w:numPr>
          <w:ilvl w:val="0"/>
          <w:numId w:val="9"/>
        </w:numPr>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135629">
        <w:t xml:space="preserve"> is</w:t>
      </w:r>
      <w:r w:rsidR="005C37DC">
        <w:t xml:space="preserve"> the number </w:t>
      </w:r>
      <w:r w:rsidRPr="00135629">
        <w:t>of  crash</w:t>
      </w:r>
      <w:r w:rsidR="005C37DC">
        <w:t>es</w:t>
      </w:r>
      <w:r w:rsidRPr="00135629">
        <w:t xml:space="preserve"> observed at </w:t>
      </w:r>
      <w:r w:rsidRPr="00135629">
        <w:rPr>
          <w:i/>
          <w:iCs/>
        </w:rPr>
        <w:t>i</w:t>
      </w:r>
      <w:r w:rsidRPr="00135629">
        <w:rPr>
          <w:vertAlign w:val="superscript"/>
        </w:rPr>
        <w:t>th</w:t>
      </w:r>
      <w:r w:rsidRPr="00135629">
        <w:t xml:space="preserve"> hour of </w:t>
      </w:r>
      <w:r w:rsidRPr="00135629">
        <w:rPr>
          <w:i/>
          <w:iCs/>
        </w:rPr>
        <w:t>j</w:t>
      </w:r>
      <w:r w:rsidRPr="00135629">
        <w:rPr>
          <w:vertAlign w:val="superscript"/>
        </w:rPr>
        <w:t>th</w:t>
      </w:r>
      <w:r w:rsidRPr="00135629">
        <w:t xml:space="preserve"> duty day</w:t>
      </w:r>
    </w:p>
    <w:p w:rsidR="00923DE9" w:rsidRPr="00135629" w:rsidP="00CF7E97" w14:paraId="4A97BB53" w14:textId="77777777">
      <w:pPr>
        <w:pStyle w:val="ListParagraph"/>
        <w:numPr>
          <w:ilvl w:val="0"/>
          <w:numId w:val="9"/>
        </w:numPr>
      </w:pPr>
      <m:oMath>
        <m:r>
          <w:rPr>
            <w:rFonts w:ascii="Cambria Math" w:hAnsi="Cambria Math" w:eastAsiaTheme="minorEastAsia"/>
          </w:rPr>
          <m:t>f</m:t>
        </m:r>
        <m:d>
          <m:dPr>
            <m:ctrlPr>
              <w:rPr>
                <w:rFonts w:ascii="Cambria Math" w:hAnsi="Cambria Math" w:eastAsiaTheme="minorEastAsia"/>
                <w:i/>
              </w:rPr>
            </m:ctrlPr>
          </m:dPr>
          <m:e>
            <m:ctrlPr>
              <w:rPr>
                <w:rFonts w:ascii="Cambria Math" w:hAnsi="Cambria Math"/>
                <w:i/>
              </w:rPr>
            </m:ctrlPr>
            <m:sSub>
              <m:sSubPr>
                <m:ctrlPr>
                  <w:rPr>
                    <w:rFonts w:ascii="Cambria Math" w:hAnsi="Cambria Math"/>
                    <w:i/>
                  </w:rPr>
                </m:ctrlPr>
              </m:sSubPr>
              <m:e>
                <m:r>
                  <w:rPr>
                    <w:rFonts w:ascii="Cambria Math" w:hAnsi="Cambria Math"/>
                  </w:rPr>
                  <m:t>Y</m:t>
                </m:r>
              </m:e>
              <m:sub>
                <m:r>
                  <w:rPr>
                    <w:rFonts w:ascii="Cambria Math" w:hAnsi="Cambria Math"/>
                  </w:rPr>
                  <m:t>ij</m:t>
                </m:r>
              </m:sub>
            </m:sSub>
          </m:e>
        </m:d>
      </m:oMath>
      <w:r w:rsidRPr="00135629">
        <w:t xml:space="preserve"> is the generalized link function</w:t>
      </w:r>
    </w:p>
    <w:p w:rsidR="00923DE9" w:rsidRPr="00135629" w:rsidP="00CF7E97" w14:paraId="39FA34F2" w14:textId="77777777">
      <w:pPr>
        <w:pStyle w:val="ListParagraph"/>
        <w:numPr>
          <w:ilvl w:val="0"/>
          <w:numId w:val="9"/>
        </w:numPr>
      </w:pPr>
      <m:oMath>
        <m:sSub>
          <m:sSubPr>
            <m:ctrlPr>
              <w:rPr>
                <w:rFonts w:ascii="Cambria Math" w:hAnsi="Cambria Math"/>
                <w:i/>
              </w:rPr>
            </m:ctrlPr>
          </m:sSubPr>
          <m:e>
            <m:sSub>
              <m:sSubPr>
                <m:ctrlPr>
                  <w:rPr>
                    <w:rFonts w:ascii="Cambria Math" w:hAnsi="Cambria Math"/>
                    <w:i/>
                  </w:rPr>
                </m:ctrlPr>
              </m:sSubPr>
              <m:e>
                <m:r>
                  <w:rPr>
                    <w:rFonts w:ascii="Cambria Math" w:hAnsi="Cambria Math"/>
                  </w:rPr>
                  <m:t>X</m:t>
                </m:r>
              </m:e>
              <m:sub>
                <m:r>
                  <w:rPr>
                    <w:rFonts w:ascii="Cambria Math" w:hAnsi="Cambria Math"/>
                  </w:rPr>
                  <m:t>1</m:t>
                </m:r>
              </m:sub>
            </m:sSub>
          </m:e>
          <m:sub>
            <m:r>
              <w:rPr>
                <w:rFonts w:ascii="Cambria Math" w:hAnsi="Cambria Math"/>
              </w:rPr>
              <m:t>ij</m:t>
            </m:r>
          </m:sub>
        </m:sSub>
        <m:r>
          <w:rPr>
            <w:rFonts w:ascii="Cambria Math" w:hAnsi="Cambria Math"/>
          </w:rPr>
          <m:t xml:space="preserve">… </m:t>
        </m:r>
        <m:sSub>
          <m:sSubPr>
            <m:ctrlPr>
              <w:rPr>
                <w:rFonts w:ascii="Cambria Math" w:hAnsi="Cambria Math"/>
                <w:i/>
              </w:rPr>
            </m:ctrlPr>
          </m:sSubPr>
          <m:e>
            <m:sSub>
              <m:sSubPr>
                <m:ctrlPr>
                  <w:rPr>
                    <w:rFonts w:ascii="Cambria Math" w:hAnsi="Cambria Math"/>
                    <w:i/>
                  </w:rPr>
                </m:ctrlPr>
              </m:sSubPr>
              <m:e>
                <m:r>
                  <w:rPr>
                    <w:rFonts w:ascii="Cambria Math" w:hAnsi="Cambria Math"/>
                  </w:rPr>
                  <m:t>X</m:t>
                </m:r>
              </m:e>
              <m:sub>
                <m:r>
                  <w:rPr>
                    <w:rFonts w:ascii="Cambria Math" w:hAnsi="Cambria Math"/>
                  </w:rPr>
                  <m:t>11</m:t>
                </m:r>
              </m:sub>
            </m:sSub>
          </m:e>
          <m:sub>
            <m:r>
              <w:rPr>
                <w:rFonts w:ascii="Cambria Math" w:hAnsi="Cambria Math"/>
              </w:rPr>
              <m:t>ij</m:t>
            </m:r>
          </m:sub>
        </m:sSub>
      </m:oMath>
      <w:r w:rsidRPr="00135629">
        <w:t xml:space="preserve"> is an indicator variable for driving at 1</w:t>
      </w:r>
      <w:r w:rsidRPr="00135629">
        <w:rPr>
          <w:vertAlign w:val="superscript"/>
        </w:rPr>
        <w:t>st</w:t>
      </w:r>
      <w:r w:rsidRPr="00135629">
        <w:t xml:space="preserve"> through 11</w:t>
      </w:r>
      <w:r w:rsidRPr="00135629">
        <w:rPr>
          <w:vertAlign w:val="superscript"/>
        </w:rPr>
        <w:t>th</w:t>
      </w:r>
      <w:r w:rsidRPr="00135629">
        <w:t xml:space="preserve"> hour, of </w:t>
      </w:r>
      <w:r w:rsidRPr="00135629">
        <w:rPr>
          <w:i/>
          <w:iCs/>
        </w:rPr>
        <w:t>j</w:t>
      </w:r>
      <w:r w:rsidRPr="00135629">
        <w:rPr>
          <w:vertAlign w:val="superscript"/>
        </w:rPr>
        <w:t>th</w:t>
      </w:r>
      <w:r w:rsidRPr="00135629">
        <w:t xml:space="preserve"> duty day </w:t>
      </w:r>
    </w:p>
    <w:p w:rsidR="00923DE9" w:rsidRPr="00135629" w:rsidP="00CF7E97" w14:paraId="4ECE00EE" w14:textId="77777777">
      <w:pPr>
        <w:pStyle w:val="ListParagraph"/>
        <w:numPr>
          <w:ilvl w:val="0"/>
          <w:numId w:val="9"/>
        </w:numPr>
      </w:pPr>
      <m:oMath>
        <m:sSub>
          <m:sSubPr>
            <m:ctrlPr>
              <w:rPr>
                <w:rFonts w:ascii="Cambria Math" w:hAnsi="Cambria Math"/>
              </w:rPr>
            </m:ctrlPr>
          </m:sSubPr>
          <m:e>
            <m:sSub>
              <m:sSubPr>
                <m:ctrlPr>
                  <w:rPr>
                    <w:rFonts w:ascii="Cambria Math" w:hAnsi="Cambria Math"/>
                  </w:rPr>
                </m:ctrlPr>
              </m:sSubPr>
              <m:e>
                <m:r>
                  <w:rPr>
                    <w:rFonts w:ascii="Cambria Math" w:hAnsi="Cambria Math"/>
                  </w:rPr>
                  <m:t>X</m:t>
                </m:r>
              </m:e>
              <m:sub>
                <m:r>
                  <m:rPr>
                    <m:sty m:val="p"/>
                  </m:rPr>
                  <w:rPr>
                    <w:rFonts w:ascii="Cambria Math" w:hAnsi="Cambria Math"/>
                  </w:rPr>
                  <m:t>12</m:t>
                </m:r>
              </m:sub>
            </m:sSub>
          </m:e>
          <m:sub>
            <m:r>
              <w:rPr>
                <w:rFonts w:ascii="Cambria Math" w:hAnsi="Cambria Math"/>
              </w:rPr>
              <m:t>ij</m:t>
            </m:r>
          </m:sub>
        </m:sSub>
        <m:r>
          <m:rPr>
            <m:sty m:val="p"/>
          </m:rPr>
          <w:rPr>
            <w:rFonts w:ascii="Cambria Math" w:hAnsi="Cambria Math"/>
          </w:rPr>
          <m:t xml:space="preserve">… </m:t>
        </m:r>
        <m:sSub>
          <m:sSubPr>
            <m:ctrlPr>
              <w:rPr>
                <w:rFonts w:ascii="Cambria Math" w:hAnsi="Cambria Math"/>
              </w:rPr>
            </m:ctrlPr>
          </m:sSubPr>
          <m:e>
            <m:sSub>
              <m:sSubPr>
                <m:ctrlPr>
                  <w:rPr>
                    <w:rFonts w:ascii="Cambria Math" w:hAnsi="Cambria Math"/>
                  </w:rPr>
                </m:ctrlPr>
              </m:sSubPr>
              <m:e>
                <m:r>
                  <w:rPr>
                    <w:rFonts w:ascii="Cambria Math" w:hAnsi="Cambria Math"/>
                  </w:rPr>
                  <m:t>X</m:t>
                </m:r>
              </m:e>
              <m:sub>
                <m:r>
                  <w:rPr>
                    <w:rFonts w:ascii="Cambria Math" w:hAnsi="Cambria Math"/>
                  </w:rPr>
                  <m:t>n</m:t>
                </m:r>
              </m:sub>
            </m:sSub>
          </m:e>
          <m:sub>
            <m:r>
              <w:rPr>
                <w:rFonts w:ascii="Cambria Math" w:hAnsi="Cambria Math"/>
              </w:rPr>
              <m:t>ij</m:t>
            </m:r>
          </m:sub>
        </m:sSub>
      </m:oMath>
      <w:r w:rsidRPr="00135629">
        <w:t xml:space="preserve"> are covariate factors</w:t>
      </w:r>
    </w:p>
    <w:p w:rsidR="00923DE9" w:rsidRPr="00135629" w:rsidP="00CF7E97" w14:paraId="50067C35" w14:textId="77777777">
      <w:pPr>
        <w:pStyle w:val="ListParagraph"/>
        <w:numPr>
          <w:ilvl w:val="0"/>
          <w:numId w:val="9"/>
        </w:numPr>
      </w:pP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11</m:t>
            </m:r>
          </m:sub>
        </m:sSub>
      </m:oMath>
      <w:r w:rsidRPr="00135629">
        <w:t xml:space="preserve"> are the corresponding parameters for the driving hour factors</w:t>
      </w:r>
    </w:p>
    <w:p w:rsidR="00923DE9" w:rsidRPr="00135629" w:rsidP="00CF7E97" w14:paraId="23D7DD9D" w14:textId="77777777">
      <w:pPr>
        <w:pStyle w:val="ListParagraph"/>
        <w:numPr>
          <w:ilvl w:val="0"/>
          <w:numId w:val="9"/>
        </w:numPr>
      </w:pPr>
      <m:oMath>
        <m:sSub>
          <m:sSubPr>
            <m:ctrlPr>
              <w:rPr>
                <w:rFonts w:ascii="Cambria Math" w:hAnsi="Cambria Math"/>
                <w:i/>
              </w:rPr>
            </m:ctrlPr>
          </m:sSubPr>
          <m:e>
            <m:r>
              <w:rPr>
                <w:rFonts w:ascii="Cambria Math" w:hAnsi="Cambria Math"/>
              </w:rPr>
              <m:t>β</m:t>
            </m:r>
          </m:e>
          <m:sub>
            <m:r>
              <w:rPr>
                <w:rFonts w:ascii="Cambria Math" w:hAnsi="Cambria Math"/>
              </w:rPr>
              <m:t>12</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n</m:t>
            </m:r>
          </m:sub>
        </m:sSub>
      </m:oMath>
      <w:r w:rsidRPr="00135629">
        <w:t xml:space="preserve"> are the corresponding parameters for the covariate factors</w:t>
      </w:r>
    </w:p>
    <w:p w:rsidR="00923DE9" w:rsidRPr="00135629" w:rsidP="00CF7E97" w14:paraId="2B5D9A24" w14:textId="77777777">
      <w:pPr>
        <w:pStyle w:val="ListParagraph"/>
        <w:numPr>
          <w:ilvl w:val="0"/>
          <w:numId w:val="9"/>
        </w:numPr>
      </w:pPr>
      <m:oMath>
        <m:sSub>
          <m:sSubPr>
            <m:ctrlPr>
              <w:rPr>
                <w:rFonts w:ascii="Cambria Math" w:hAnsi="Cambria Math"/>
                <w:i/>
              </w:rPr>
            </m:ctrlPr>
          </m:sSubPr>
          <m:e>
            <m:r>
              <w:rPr>
                <w:rFonts w:ascii="Cambria Math" w:hAnsi="Cambria Math"/>
              </w:rPr>
              <m:t>ϵ</m:t>
            </m:r>
          </m:e>
          <m:sub>
            <m:r>
              <w:rPr>
                <w:rFonts w:ascii="Cambria Math" w:hAnsi="Cambria Math"/>
              </w:rPr>
              <m:t>ij</m:t>
            </m:r>
          </m:sub>
        </m:sSub>
      </m:oMath>
      <w:r w:rsidRPr="00135629">
        <w:t xml:space="preserve"> is random error</w:t>
      </w:r>
    </w:p>
    <w:bookmarkEnd w:id="10"/>
    <w:p w:rsidR="00923DE9" w:rsidRPr="00135629" w:rsidP="00135629" w14:paraId="40EF2335" w14:textId="77777777"/>
    <w:p w:rsidR="00923DE9" w:rsidRPr="00135629" w:rsidP="00135629" w14:paraId="312670B6" w14:textId="77777777">
      <w:r w:rsidRPr="00135629">
        <w:t>More compactly, and including covariates, we can write:</w:t>
      </w:r>
    </w:p>
    <w:p w:rsidR="00923DE9" w:rsidRPr="00135629" w:rsidP="00135629" w14:paraId="2ABEC265" w14:textId="77777777">
      <m:oMathPara>
        <m:oMath>
          <m:sSub>
            <m:sSubPr>
              <m:ctrlPr>
                <w:rPr>
                  <w:rFonts w:ascii="Cambria Math" w:hAnsi="Cambria Math"/>
                </w:rPr>
              </m:ctrlPr>
            </m:sSubPr>
            <m:e>
              <m:r>
                <w:rPr>
                  <w:rFonts w:ascii="Cambria Math" w:hAnsi="Cambria Math"/>
                </w:rPr>
                <m:t>f</m:t>
              </m:r>
              <m:r>
                <m:rPr>
                  <m:sty m:val="p"/>
                </m:rPr>
                <w:rPr>
                  <w:rFonts w:ascii="Cambria Math" w:hAnsi="Cambria Math"/>
                </w:rPr>
                <m:t>(</m:t>
              </m:r>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m:rPr>
                  <m:sty m:val="p"/>
                </m:rPr>
                <w:rPr>
                  <w:rFonts w:ascii="Cambria Math" w:hAnsi="Cambria Math"/>
                </w:rPr>
                <m:t>1</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m:rPr>
                      <m:sty m:val="p"/>
                    </m:rPr>
                    <w:rPr>
                      <w:rFonts w:ascii="Cambria Math" w:hAnsi="Cambria Math"/>
                    </w:rPr>
                    <m:t>1</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w:rPr>
                      <w:rFonts w:ascii="Cambria Math" w:hAnsi="Cambria Math"/>
                    </w:rPr>
                    <m:t>cov</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m:oMathPara>
    </w:p>
    <w:p w:rsidR="00923DE9" w:rsidRPr="00135629" w:rsidP="00135629" w14:paraId="73347315" w14:textId="77777777">
      <w:r w:rsidRPr="00135629">
        <w:t>where:</w:t>
      </w:r>
    </w:p>
    <w:p w:rsidR="005C37DC" w:rsidRPr="00135629" w:rsidP="00CF7E97" w14:paraId="3E2FD707" w14:textId="77777777">
      <w:pPr>
        <w:pStyle w:val="ListParagraph"/>
        <w:numPr>
          <w:ilvl w:val="0"/>
          <w:numId w:val="9"/>
        </w:numPr>
      </w:pP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135629" w:rsidR="00923DE9">
        <w:t xml:space="preserve"> </w:t>
      </w:r>
      <w:r w:rsidRPr="00135629">
        <w:t>is</w:t>
      </w:r>
      <w:r>
        <w:t xml:space="preserve"> the number </w:t>
      </w:r>
      <w:r w:rsidRPr="00135629">
        <w:t>of crash</w:t>
      </w:r>
      <w:r>
        <w:t>es</w:t>
      </w:r>
      <w:r w:rsidRPr="00135629">
        <w:t xml:space="preserve"> observed at </w:t>
      </w:r>
      <w:r w:rsidRPr="005C37DC">
        <w:rPr>
          <w:i/>
          <w:iCs/>
        </w:rPr>
        <w:t>i</w:t>
      </w:r>
      <w:r w:rsidRPr="005C37DC">
        <w:rPr>
          <w:vertAlign w:val="superscript"/>
        </w:rPr>
        <w:t>th</w:t>
      </w:r>
      <w:r w:rsidRPr="00135629">
        <w:t xml:space="preserve"> hour of </w:t>
      </w:r>
      <w:r w:rsidRPr="005C37DC">
        <w:rPr>
          <w:i/>
          <w:iCs/>
        </w:rPr>
        <w:t>j</w:t>
      </w:r>
      <w:r w:rsidRPr="005C37DC">
        <w:rPr>
          <w:vertAlign w:val="superscript"/>
        </w:rPr>
        <w:t>th</w:t>
      </w:r>
      <w:r w:rsidRPr="00135629">
        <w:t xml:space="preserve"> duty day</w:t>
      </w:r>
    </w:p>
    <w:p w:rsidR="00923DE9" w:rsidRPr="00135629" w:rsidP="00CF7E97" w14:paraId="4C58FEAF" w14:textId="77777777">
      <w:pPr>
        <w:pStyle w:val="ListParagraph"/>
        <w:numPr>
          <w:ilvl w:val="0"/>
          <w:numId w:val="9"/>
        </w:numPr>
      </w:pPr>
      <m:oMath>
        <m:r>
          <w:rPr>
            <w:rFonts w:ascii="Cambria Math" w:hAnsi="Cambria Math" w:eastAsiaTheme="minorEastAsia"/>
          </w:rPr>
          <m:t>f</m:t>
        </m:r>
        <m:d>
          <m:dPr>
            <m:ctrlPr>
              <w:rPr>
                <w:rFonts w:ascii="Cambria Math" w:hAnsi="Cambria Math" w:eastAsiaTheme="minorEastAsia"/>
                <w:i/>
              </w:rPr>
            </m:ctrlPr>
          </m:dPr>
          <m:e>
            <m:ctrlPr>
              <w:rPr>
                <w:rFonts w:ascii="Cambria Math" w:hAnsi="Cambria Math"/>
                <w:i/>
              </w:rPr>
            </m:ctrlPr>
            <m:sSub>
              <m:sSubPr>
                <m:ctrlPr>
                  <w:rPr>
                    <w:rFonts w:ascii="Cambria Math" w:hAnsi="Cambria Math"/>
                    <w:i/>
                  </w:rPr>
                </m:ctrlPr>
              </m:sSubPr>
              <m:e>
                <m:r>
                  <w:rPr>
                    <w:rFonts w:ascii="Cambria Math" w:hAnsi="Cambria Math"/>
                  </w:rPr>
                  <m:t>Y</m:t>
                </m:r>
              </m:e>
              <m:sub>
                <m:r>
                  <w:rPr>
                    <w:rFonts w:ascii="Cambria Math" w:hAnsi="Cambria Math"/>
                  </w:rPr>
                  <m:t>ij</m:t>
                </m:r>
              </m:sub>
            </m:sSub>
          </m:e>
        </m:d>
      </m:oMath>
      <w:r w:rsidRPr="00135629">
        <w:t xml:space="preserve"> is the generalized link function</w:t>
      </w:r>
    </w:p>
    <w:p w:rsidR="00923DE9" w:rsidRPr="00135629" w:rsidP="00CF7E97" w14:paraId="0D2F62EF" w14:textId="77777777">
      <w:pPr>
        <w:pStyle w:val="ListParagraph"/>
        <w:numPr>
          <w:ilvl w:val="0"/>
          <w:numId w:val="10"/>
        </w:numPr>
      </w:pPr>
      <m:oMath>
        <m:sSub>
          <m:sSubPr>
            <m:ctrlPr>
              <w:rPr>
                <w:rFonts w:ascii="Cambria Math" w:hAnsi="Cambria Math"/>
                <w:i/>
              </w:rPr>
            </m:ctrlPr>
          </m:sSubPr>
          <m:e>
            <m:sSub>
              <m:sSubPr>
                <m:ctrlPr>
                  <w:rPr>
                    <w:rFonts w:ascii="Cambria Math" w:hAnsi="Cambria Math"/>
                    <w:i/>
                  </w:rPr>
                </m:ctrlPr>
              </m:sSubPr>
              <m:e>
                <m:r>
                  <m:rPr>
                    <m:sty m:val="bi"/>
                  </m:rPr>
                  <w:rPr>
                    <w:rFonts w:ascii="Cambria Math" w:hAnsi="Cambria Math"/>
                  </w:rPr>
                  <m:t>X</m:t>
                </m:r>
              </m:e>
              <m:sub>
                <m:r>
                  <w:rPr>
                    <w:rFonts w:ascii="Cambria Math" w:hAnsi="Cambria Math"/>
                  </w:rPr>
                  <m:t>1</m:t>
                </m:r>
              </m:sub>
            </m:sSub>
          </m:e>
          <m:sub>
            <m:r>
              <w:rPr>
                <w:rFonts w:ascii="Cambria Math" w:hAnsi="Cambria Math"/>
              </w:rPr>
              <m:t>ij</m:t>
            </m:r>
          </m:sub>
        </m:sSub>
      </m:oMath>
      <w:r w:rsidRPr="00135629">
        <w:t xml:space="preserve"> is the vector of indicator (0 or 1) variables to denote the drive hour (e.g., one indicator variable for each hour, hour 1 through hour 11 of driving)</w:t>
      </w:r>
    </w:p>
    <w:p w:rsidR="00923DE9" w:rsidRPr="00135629" w:rsidP="00CF7E97" w14:paraId="6DF318C1" w14:textId="77777777">
      <w:pPr>
        <w:pStyle w:val="ListParagraph"/>
        <w:numPr>
          <w:ilvl w:val="0"/>
          <w:numId w:val="10"/>
        </w:numPr>
      </w:pPr>
      <m:oMath>
        <m:sSub>
          <m:sSubPr>
            <m:ctrlPr>
              <w:rPr>
                <w:rFonts w:ascii="Cambria Math" w:hAnsi="Cambria Math"/>
                <w:i/>
              </w:rPr>
            </m:ctrlPr>
          </m:sSubPr>
          <m:e>
            <m:r>
              <m:rPr>
                <m:sty m:val="bi"/>
              </m:rPr>
              <w:rPr>
                <w:rFonts w:ascii="Cambria Math" w:hAnsi="Cambria Math"/>
              </w:rPr>
              <m:t>β</m:t>
            </m:r>
          </m:e>
          <m:sub>
            <m:r>
              <w:rPr>
                <w:rFonts w:ascii="Cambria Math" w:hAnsi="Cambria Math"/>
              </w:rPr>
              <m:t>1</m:t>
            </m:r>
          </m:sub>
        </m:sSub>
      </m:oMath>
      <w:r w:rsidRPr="00135629">
        <w:t xml:space="preserve"> is the corresponding (vector) parameter</w:t>
      </w:r>
    </w:p>
    <w:p w:rsidR="00923DE9" w:rsidRPr="00135629" w:rsidP="00CF7E97" w14:paraId="22098B37" w14:textId="77777777">
      <w:pPr>
        <w:pStyle w:val="ListParagraph"/>
        <w:numPr>
          <w:ilvl w:val="0"/>
          <w:numId w:val="10"/>
        </w:numPr>
      </w:pPr>
      <m:oMath>
        <m:sSub>
          <m:sSubPr>
            <m:ctrlPr>
              <w:rPr>
                <w:rFonts w:ascii="Cambria Math" w:hAnsi="Cambria Math"/>
                <w:i/>
              </w:rPr>
            </m:ctrlPr>
          </m:sSubPr>
          <m:e>
            <m:sSub>
              <m:sSubPr>
                <m:ctrlPr>
                  <w:rPr>
                    <w:rFonts w:ascii="Cambria Math" w:hAnsi="Cambria Math"/>
                    <w:i/>
                  </w:rPr>
                </m:ctrlPr>
              </m:sSubPr>
              <m:e>
                <m:sSub>
                  <m:sSubPr>
                    <m:ctrlPr>
                      <w:rPr>
                        <w:rFonts w:ascii="Cambria Math" w:hAnsi="Cambria Math"/>
                        <w:i/>
                      </w:rPr>
                    </m:ctrlPr>
                  </m:sSubPr>
                  <m:e>
                    <m:r>
                      <m:rPr>
                        <m:sty m:val="bi"/>
                      </m:rPr>
                      <w:rPr>
                        <w:rFonts w:ascii="Cambria Math" w:hAnsi="Cambria Math"/>
                      </w:rPr>
                      <m:t>X</m:t>
                    </m:r>
                  </m:e>
                  <m:sub>
                    <m:r>
                      <w:rPr>
                        <w:rFonts w:ascii="Cambria Math" w:hAnsi="Cambria Math"/>
                      </w:rPr>
                      <m:t>cov</m:t>
                    </m:r>
                  </m:sub>
                </m:sSub>
              </m:e>
              <m:sub>
                <m:r>
                  <w:rPr>
                    <w:rFonts w:ascii="Cambria Math" w:hAnsi="Cambria Math"/>
                  </w:rPr>
                  <m:t>ij</m:t>
                </m:r>
              </m:sub>
            </m:sSub>
            <m:r>
              <m:rPr>
                <m:sty m:val="bi"/>
              </m:rPr>
              <w:rPr>
                <w:rFonts w:ascii="Cambria Math" w:hAnsi="Cambria Math"/>
              </w:rPr>
              <m:t xml:space="preserve"> , β</m:t>
            </m:r>
          </m:e>
          <m:sub>
            <m:r>
              <w:rPr>
                <w:rFonts w:ascii="Cambria Math" w:hAnsi="Cambria Math"/>
              </w:rPr>
              <m:t>cov</m:t>
            </m:r>
          </m:sub>
        </m:sSub>
      </m:oMath>
      <w:r w:rsidRPr="00135629">
        <w:t xml:space="preserve"> are the covariate features and parameters</w:t>
      </w:r>
    </w:p>
    <w:p w:rsidR="00923DE9" w:rsidRPr="00135629" w:rsidP="00CF7E97" w14:paraId="632E946C" w14:textId="77777777">
      <w:pPr>
        <w:pStyle w:val="ListParagraph"/>
        <w:numPr>
          <w:ilvl w:val="0"/>
          <w:numId w:val="10"/>
        </w:numPr>
      </w:pPr>
      <m:oMath>
        <m:sSub>
          <m:sSubPr>
            <m:ctrlPr>
              <w:rPr>
                <w:rFonts w:ascii="Cambria Math" w:hAnsi="Cambria Math"/>
                <w:i/>
              </w:rPr>
            </m:ctrlPr>
          </m:sSubPr>
          <m:e>
            <m:r>
              <w:rPr>
                <w:rFonts w:ascii="Cambria Math" w:hAnsi="Cambria Math"/>
              </w:rPr>
              <m:t>ϵ</m:t>
            </m:r>
          </m:e>
          <m:sub>
            <m:r>
              <w:rPr>
                <w:rFonts w:ascii="Cambria Math" w:hAnsi="Cambria Math"/>
              </w:rPr>
              <m:t>ij</m:t>
            </m:r>
          </m:sub>
        </m:sSub>
      </m:oMath>
      <w:r w:rsidRPr="00135629">
        <w:t xml:space="preserve"> is random error</w:t>
      </w:r>
    </w:p>
    <w:bookmarkEnd w:id="11"/>
    <w:p w:rsidR="00574F5F" w:rsidP="00135629" w14:paraId="0D00CC1A" w14:textId="77777777"/>
    <w:p w:rsidR="00923DE9" w:rsidRPr="00135629" w:rsidP="00135629" w14:paraId="72A2C541" w14:textId="77777777">
      <w:r w:rsidRPr="00135629">
        <w:t>The effect of time of day on crash risk is a key factor to the risk of crash, based on both traffic patterns and circadian effects on fatigue. The time-of-day factor will be included as a covariate in all analyses by encod</w:t>
      </w:r>
      <w:r w:rsidR="00670458">
        <w:t>ing</w:t>
      </w:r>
      <w:r w:rsidRPr="00135629">
        <w:t xml:space="preserve"> as either a dummy variable or a continuous variable using a sine-cosine expansion.</w:t>
      </w:r>
    </w:p>
    <w:p w:rsidR="00923DE9" w:rsidRPr="00135629" w:rsidP="00135629" w14:paraId="69763736" w14:textId="77777777"/>
    <w:p w:rsidR="00923DE9" w:rsidRPr="00135629" w:rsidP="00135629" w14:paraId="77310255" w14:textId="77777777">
      <w:r w:rsidRPr="00135629">
        <w:t>For each driving hour, the time of day</w:t>
      </w:r>
      <w:r w:rsidR="006E7E0C">
        <w:t xml:space="preserve"> (TOD)</w:t>
      </w:r>
      <w:r w:rsidRPr="00135629">
        <w:t xml:space="preserve"> can be encoded using dummy indicator variables based on a binned approach:</w:t>
      </w:r>
    </w:p>
    <w:p w:rsidR="00923DE9" w:rsidRPr="00135629" w:rsidP="00135629" w14:paraId="2E33706A" w14:textId="77777777"/>
    <w:p w:rsidR="00923DE9" w:rsidRPr="00135629" w:rsidP="00135629" w14:paraId="066C5DF7" w14:textId="77777777">
      <m:oMathPara>
        <m:oMath>
          <m:sSub>
            <m:sSubPr>
              <m:ctrlPr>
                <w:rPr>
                  <w:rFonts w:ascii="Cambria Math" w:hAnsi="Cambria Math"/>
                </w:rPr>
              </m:ctrlPr>
            </m:sSubPr>
            <m:e>
              <m:r>
                <w:rPr>
                  <w:rFonts w:ascii="Cambria Math" w:hAnsi="Cambria Math"/>
                </w:rPr>
                <m:t>f</m:t>
              </m:r>
              <m:r>
                <m:rPr>
                  <m:sty m:val="p"/>
                </m:rPr>
                <w:rPr>
                  <w:rFonts w:ascii="Cambria Math" w:hAnsi="Cambria Math"/>
                </w:rPr>
                <m:t>(</m:t>
              </m:r>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m:rPr>
                  <m:sty m:val="p"/>
                </m:rPr>
                <w:rPr>
                  <w:rFonts w:ascii="Cambria Math" w:hAnsi="Cambria Math"/>
                </w:rPr>
                <m:t>1</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m:rPr>
                      <m:sty m:val="p"/>
                    </m:rPr>
                    <w:rPr>
                      <w:rFonts w:ascii="Cambria Math" w:hAnsi="Cambria Math"/>
                    </w:rPr>
                    <m:t>1</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tod</m:t>
              </m:r>
            </m:sub>
          </m:sSub>
          <m:sSub>
            <m:sSubPr>
              <m:ctrlPr>
                <w:rPr>
                  <w:rFonts w:ascii="Cambria Math" w:hAnsi="Cambria Math"/>
                </w:rPr>
              </m:ctrlPr>
            </m:sSubPr>
            <m:e>
              <m:r>
                <m:rPr>
                  <m:sty m:val="bi"/>
                </m:rPr>
                <w:rPr>
                  <w:rFonts w:ascii="Cambria Math" w:hAnsi="Cambria Math"/>
                </w:rPr>
                <m:t>X</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ij</m:t>
                  </m:r>
                </m:sub>
              </m:sSub>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w:rPr>
                      <w:rFonts w:ascii="Cambria Math" w:hAnsi="Cambria Math"/>
                    </w:rPr>
                    <m:t>cov</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m:oMathPara>
    </w:p>
    <w:p w:rsidR="00923DE9" w:rsidRPr="00135629" w:rsidP="00135629" w14:paraId="065D7CD7" w14:textId="77777777"/>
    <w:p w:rsidR="00923DE9" w:rsidRPr="00135629" w:rsidP="00135629" w14:paraId="4B8AE8BF" w14:textId="77777777">
      <w:r w:rsidRPr="00135629">
        <w:t>Alternatively, for each driving hour, the start (end or middle) time of day of each driving hour can be encoded using a sine-cosine expansion:</w:t>
      </w:r>
    </w:p>
    <w:p w:rsidR="00923DE9" w:rsidRPr="00135629" w:rsidP="00135629" w14:paraId="2B0FBA69" w14:textId="77777777"/>
    <w:p w:rsidR="00923DE9" w:rsidRPr="0060285E" w:rsidP="00135629" w14:paraId="156F0B84" w14:textId="77777777">
      <m:oMathPara>
        <m:oMath>
          <m:sSub>
            <m:sSubPr>
              <m:ctrlPr>
                <w:rPr>
                  <w:rFonts w:ascii="Cambria Math" w:hAnsi="Cambria Math"/>
                </w:rPr>
              </m:ctrlPr>
            </m:sSubPr>
            <m:e>
              <m:r>
                <w:rPr>
                  <w:rFonts w:ascii="Cambria Math" w:hAnsi="Cambria Math"/>
                </w:rPr>
                <m:t>f</m:t>
              </m:r>
              <m:r>
                <m:rPr>
                  <m:sty m:val="p"/>
                </m:rPr>
                <w:rPr>
                  <w:rFonts w:ascii="Cambria Math" w:hAnsi="Cambria Math"/>
                </w:rPr>
                <m:t>(</m:t>
              </m:r>
              <m:r>
                <w:rPr>
                  <w:rFonts w:ascii="Cambria Math" w:hAnsi="Cambria Math"/>
                </w:rPr>
                <m:t>Y</m:t>
              </m:r>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m:rPr>
                  <m:sty m:val="p"/>
                </m:rPr>
                <w:rPr>
                  <w:rFonts w:ascii="Cambria Math" w:hAnsi="Cambria Math"/>
                </w:rPr>
                <m:t>1</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m:rPr>
                      <m:sty m:val="p"/>
                    </m:rPr>
                    <w:rPr>
                      <w:rFonts w:ascii="Cambria Math" w:hAnsi="Cambria Math"/>
                    </w:rPr>
                    <m:t>1</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sin</m:t>
                  </m:r>
                </m:sub>
              </m:sSub>
            </m:sub>
          </m:sSub>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w:rPr>
                          <w:rFonts w:ascii="Cambria Math" w:hAnsi="Cambria Math"/>
                        </w:rPr>
                        <m:t>π</m:t>
                      </m:r>
                    </m:num>
                    <m:den>
                      <m:r>
                        <m:rPr>
                          <m:sty m:val="p"/>
                        </m:rPr>
                        <w:rPr>
                          <w:rFonts w:ascii="Cambria Math" w:hAnsi="Cambria Math"/>
                        </w:rPr>
                        <m:t>12</m:t>
                      </m:r>
                    </m:den>
                  </m:f>
                  <m:sSub>
                    <m:sSubPr>
                      <m:ctrlPr>
                        <w:rPr>
                          <w:rFonts w:ascii="Cambria Math" w:hAnsi="Cambria Math"/>
                        </w:rPr>
                      </m:ctrlPr>
                    </m:sSubPr>
                    <m:e>
                      <m:r>
                        <w:rPr>
                          <w:rFonts w:ascii="Cambria Math" w:hAnsi="Cambria Math"/>
                        </w:rPr>
                        <m:t>x</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ij</m:t>
                          </m:r>
                        </m:sub>
                      </m:sSub>
                    </m:sub>
                  </m:sSub>
                </m:e>
              </m:d>
            </m:e>
          </m:func>
          <m:r>
            <m:rPr>
              <m:sty m:val="p"/>
            </m:rPr>
            <w:rPr>
              <w:rFonts w:ascii="Cambria Math" w:hAnsi="Cambria Math"/>
            </w:rPr>
            <m:t xml:space="preserve">+ </m:t>
          </m:r>
          <m:sSub>
            <m:sSubPr>
              <m:ctrlPr>
                <w:rPr>
                  <w:rFonts w:ascii="Cambria Math" w:hAnsi="Cambria Math"/>
                </w:rPr>
              </m:ctrlPr>
            </m:sSubPr>
            <m:e>
              <m:r>
                <m:rPr>
                  <m:sty m:val="bi"/>
                </m:rPr>
                <w:rPr>
                  <w:rFonts w:ascii="Cambria Math" w:hAnsi="Cambria Math"/>
                </w:rPr>
                <m:t>β</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cos</m:t>
                  </m:r>
                </m:sub>
              </m:sSub>
            </m:sub>
          </m:sSub>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π</m:t>
                      </m:r>
                    </m:num>
                    <m:den>
                      <m:r>
                        <m:rPr>
                          <m:sty m:val="p"/>
                        </m:rPr>
                        <w:rPr>
                          <w:rFonts w:ascii="Cambria Math" w:hAnsi="Cambria Math"/>
                        </w:rPr>
                        <m:t>12</m:t>
                      </m:r>
                    </m:den>
                  </m:f>
                  <m:sSub>
                    <m:sSubPr>
                      <m:ctrlPr>
                        <w:rPr>
                          <w:rFonts w:ascii="Cambria Math" w:hAnsi="Cambria Math"/>
                        </w:rPr>
                      </m:ctrlPr>
                    </m:sSubPr>
                    <m:e>
                      <m:r>
                        <w:rPr>
                          <w:rFonts w:ascii="Cambria Math" w:hAnsi="Cambria Math"/>
                        </w:rPr>
                        <m:t>x</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ij</m:t>
                          </m:r>
                        </m:sub>
                      </m:sSub>
                    </m:sub>
                  </m:sSub>
                </m:e>
              </m:d>
            </m:e>
          </m:func>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w:rPr>
                      <w:rFonts w:ascii="Cambria Math" w:hAnsi="Cambria Math"/>
                    </w:rPr>
                    <m:t>cov</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m:oMathPara>
    </w:p>
    <w:p w:rsidR="0060285E" w:rsidP="00135629" w14:paraId="6019715C" w14:textId="77777777"/>
    <w:p w:rsidR="00D3498F" w:rsidRPr="00D3498F" w:rsidP="00D3498F" w14:paraId="4B1ECF48" w14:textId="77777777">
      <w:r w:rsidRPr="00D3498F">
        <w:t>Both time-of-day representations will be considered</w:t>
      </w:r>
      <w:r w:rsidR="00DA5BD1">
        <w:t>,</w:t>
      </w:r>
      <w:r w:rsidRPr="00D3498F">
        <w:t xml:space="preserve"> with </w:t>
      </w:r>
      <w:r w:rsidR="00DA5BD1">
        <w:t xml:space="preserve">the </w:t>
      </w:r>
      <w:r w:rsidRPr="00D3498F">
        <w:t>final selection determined by model fit.</w:t>
      </w:r>
    </w:p>
    <w:p w:rsidR="00923DE9" w:rsidRPr="00135629" w:rsidP="00135629" w14:paraId="7802D678" w14:textId="77777777"/>
    <w:p w:rsidR="00923DE9" w:rsidRPr="0016660B" w:rsidP="0016660B" w14:paraId="1FEAA737" w14:textId="77777777">
      <w:pPr>
        <w:rPr>
          <w:u w:val="single"/>
        </w:rPr>
      </w:pPr>
      <w:r w:rsidRPr="0016660B">
        <w:rPr>
          <w:u w:val="single"/>
        </w:rPr>
        <w:t>Unit of Analysis: Duty Day</w:t>
      </w:r>
    </w:p>
    <w:p w:rsidR="004E7256" w:rsidRPr="004E7256" w:rsidP="00135629" w14:paraId="081DB8EF" w14:textId="77777777"/>
    <w:p w:rsidR="00923DE9" w:rsidRPr="00135629" w:rsidP="00135629" w14:paraId="774C5507" w14:textId="77777777">
      <w:r w:rsidRPr="00135629">
        <w:t>The analytical approach based on the count of crashes/violations for the Duty Day unit of analysis is similar:</w:t>
      </w:r>
    </w:p>
    <w:p w:rsidR="00923DE9" w:rsidRPr="00135629" w:rsidP="00135629" w14:paraId="4666F430" w14:textId="77777777">
      <w:pPr>
        <w:rPr>
          <w:rFonts w:eastAsiaTheme="minorEastAsia"/>
        </w:rPr>
      </w:pPr>
      <m:oMathPara>
        <m:oMath>
          <m:sSub>
            <m:sSubPr>
              <m:ctrlPr>
                <w:rPr>
                  <w:rFonts w:ascii="Cambria Math" w:hAnsi="Cambria Math"/>
                </w:rPr>
              </m:ctrlPr>
            </m:sSubPr>
            <m:e>
              <m:r>
                <w:rPr>
                  <w:rFonts w:ascii="Cambria Math" w:hAnsi="Cambria Math"/>
                </w:rPr>
                <m:t>f</m:t>
              </m:r>
              <m:r>
                <m:rPr>
                  <m:sty m:val="p"/>
                </m:rPr>
                <w:rPr>
                  <w:rFonts w:ascii="Cambria Math" w:hAnsi="Cambria Math"/>
                </w:rPr>
                <m:t>(</m:t>
              </m:r>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1</m:t>
              </m:r>
              <m:r>
                <w:rPr>
                  <w:rFonts w:ascii="Cambria Math" w:hAnsi="Cambria Math"/>
                </w:rPr>
                <m:t>i</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w:rPr>
                      <w:rFonts w:ascii="Cambria Math" w:hAnsi="Cambria Math"/>
                    </w:rPr>
                    <m:t>cov</m:t>
                  </m:r>
                </m:sub>
              </m:sSub>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oMath>
      </m:oMathPara>
    </w:p>
    <w:p w:rsidR="00923DE9" w:rsidRPr="00135629" w:rsidP="00135629" w14:paraId="76B2BF02" w14:textId="77777777">
      <w:r w:rsidRPr="00135629">
        <w:t>where:</w:t>
      </w:r>
    </w:p>
    <w:p w:rsidR="00923DE9" w:rsidRPr="00135629" w:rsidP="00CF7E97" w14:paraId="4256AD4E" w14:textId="77777777">
      <w:pPr>
        <w:pStyle w:val="ListParagraph"/>
        <w:numPr>
          <w:ilvl w:val="0"/>
          <w:numId w:val="11"/>
        </w:numPr>
      </w:pPr>
      <m:oMath>
        <m:sSub>
          <m:sSubPr>
            <m:ctrlPr>
              <w:rPr>
                <w:rFonts w:ascii="Cambria Math" w:hAnsi="Cambria Math"/>
                <w:i/>
              </w:rPr>
            </m:ctrlPr>
          </m:sSubPr>
          <m:e>
            <m:r>
              <w:rPr>
                <w:rFonts w:ascii="Cambria Math" w:hAnsi="Cambria Math"/>
              </w:rPr>
              <m:t>Y</m:t>
            </m:r>
          </m:e>
          <m:sub>
            <m:r>
              <w:rPr>
                <w:rFonts w:ascii="Cambria Math" w:hAnsi="Cambria Math"/>
              </w:rPr>
              <m:t>i</m:t>
            </m:r>
          </m:sub>
        </m:sSub>
      </m:oMath>
      <w:r w:rsidRPr="00135629">
        <w:t xml:space="preserve"> is the number of a crashes observed on </w:t>
      </w:r>
      <w:r w:rsidRPr="00135629">
        <w:rPr>
          <w:i/>
          <w:iCs/>
        </w:rPr>
        <w:t>i</w:t>
      </w:r>
      <w:r w:rsidRPr="00135629">
        <w:rPr>
          <w:vertAlign w:val="superscript"/>
        </w:rPr>
        <w:t>th</w:t>
      </w:r>
      <w:r w:rsidRPr="00135629">
        <w:t xml:space="preserve"> duty day</w:t>
      </w:r>
    </w:p>
    <w:p w:rsidR="00923DE9" w:rsidRPr="00135629" w:rsidP="00CF7E97" w14:paraId="124373AA" w14:textId="77777777">
      <w:pPr>
        <w:pStyle w:val="ListParagraph"/>
        <w:numPr>
          <w:ilvl w:val="0"/>
          <w:numId w:val="11"/>
        </w:numPr>
      </w:pPr>
      <m:oMath>
        <m:r>
          <w:rPr>
            <w:rFonts w:ascii="Cambria Math" w:hAnsi="Cambria Math"/>
          </w:rPr>
          <m:t>f</m:t>
        </m:r>
        <m:d>
          <m:dPr>
            <m:ctrlPr>
              <w:rPr>
                <w:rFonts w:ascii="Cambria Math" w:hAnsi="Cambria Math"/>
              </w:rPr>
            </m:ctrlPr>
          </m:dPr>
          <m:e>
            <m:r>
              <w:rPr>
                <w:rFonts w:ascii="Cambria Math" w:hAnsi="Cambria Math"/>
              </w:rPr>
              <m:t>Yi</m:t>
            </m:r>
          </m:e>
        </m:d>
      </m:oMath>
      <w:r w:rsidRPr="00135629">
        <w:rPr>
          <w:rFonts w:eastAsiaTheme="minorEastAsia"/>
        </w:rPr>
        <w:t xml:space="preserve"> is the generalized link function.</w:t>
      </w:r>
    </w:p>
    <w:p w:rsidR="00574F5F" w:rsidP="00CF7E97" w14:paraId="40B8EA91" w14:textId="77777777">
      <w:pPr>
        <w:pStyle w:val="ListParagraph"/>
        <w:numPr>
          <w:ilvl w:val="0"/>
          <w:numId w:val="11"/>
        </w:numPr>
        <w:sectPr w:rsidSect="00574F5F">
          <w:footerReference w:type="default" r:id="rId15"/>
          <w:endnotePr>
            <w:numFmt w:val="decimal"/>
          </w:endnotePr>
          <w:type w:val="continuous"/>
          <w:pgSz w:w="12240" w:h="15840" w:code="1"/>
          <w:pgMar w:top="1296" w:right="1440" w:bottom="1296" w:left="1440" w:header="720" w:footer="720" w:gutter="0"/>
          <w:pgNumType w:start="1"/>
          <w:cols w:space="720"/>
        </w:sectPr>
      </w:pPr>
      <m:oMath>
        <m:sSub>
          <m:sSubPr>
            <m:ctrlPr>
              <w:rPr>
                <w:rFonts w:ascii="Cambria Math" w:hAnsi="Cambria Math"/>
                <w:i/>
              </w:rPr>
            </m:ctrlPr>
          </m:sSubPr>
          <m:e>
            <m:r>
              <w:rPr>
                <w:rFonts w:ascii="Cambria Math" w:hAnsi="Cambria Math"/>
              </w:rPr>
              <m:t>X</m:t>
            </m:r>
          </m:e>
          <m:sub>
            <m:r>
              <w:rPr>
                <w:rFonts w:ascii="Cambria Math" w:hAnsi="Cambria Math"/>
              </w:rPr>
              <m:t>1i</m:t>
            </m:r>
          </m:sub>
        </m:sSub>
        <m:r>
          <w:rPr>
            <w:rFonts w:ascii="Cambria Math" w:hAnsi="Cambria Math"/>
          </w:rPr>
          <m:t xml:space="preserve"> </m:t>
        </m:r>
      </m:oMath>
      <w:r w:rsidRPr="00135629" w:rsidR="00923DE9">
        <w:t xml:space="preserve">is the independent variable of interest (e.g., cumulative hours of driving in prior 7 </w:t>
      </w:r>
      <w:r w:rsidRPr="00135629" w:rsidR="00923DE9">
        <w:t>days)</w:t>
      </w:r>
      <w:r>
        <w:rPr>
          <w:rStyle w:val="FootnoteReference"/>
        </w:rPr>
        <w:footnoteReference w:id="3"/>
      </w:r>
    </w:p>
    <w:p w:rsidR="00923DE9" w:rsidRPr="00135629" w:rsidP="00CF7E97" w14:paraId="110BA428" w14:textId="77777777">
      <w:pPr>
        <w:pStyle w:val="ListParagraph"/>
        <w:numPr>
          <w:ilvl w:val="0"/>
          <w:numId w:val="11"/>
        </w:numPr>
      </w:pP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135629">
        <w:t xml:space="preserve"> is the corresponding (vector) regression parameter</w:t>
      </w:r>
    </w:p>
    <w:p w:rsidR="00923DE9" w:rsidRPr="00135629" w:rsidP="00CF7E97" w14:paraId="06A54017" w14:textId="77777777">
      <w:pPr>
        <w:pStyle w:val="ListParagraph"/>
        <w:numPr>
          <w:ilvl w:val="0"/>
          <w:numId w:val="10"/>
        </w:numPr>
      </w:pPr>
      <m:oMath>
        <m:sSub>
          <m:sSubPr>
            <m:ctrlPr>
              <w:rPr>
                <w:rFonts w:ascii="Cambria Math" w:hAnsi="Cambria Math"/>
                <w:i/>
              </w:rPr>
            </m:ctrlPr>
          </m:sSubPr>
          <m:e>
            <m:sSub>
              <m:sSubPr>
                <m:ctrlPr>
                  <w:rPr>
                    <w:rFonts w:ascii="Cambria Math" w:hAnsi="Cambria Math"/>
                    <w:i/>
                  </w:rPr>
                </m:ctrlPr>
              </m:sSubPr>
              <m:e>
                <m:r>
                  <m:rPr>
                    <m:sty m:val="bi"/>
                  </m:rPr>
                  <w:rPr>
                    <w:rFonts w:ascii="Cambria Math" w:hAnsi="Cambria Math"/>
                  </w:rPr>
                  <m:t>X</m:t>
                </m:r>
              </m:e>
              <m:sub>
                <m:r>
                  <w:rPr>
                    <w:rFonts w:ascii="Cambria Math" w:hAnsi="Cambria Math"/>
                  </w:rPr>
                  <m:t>cov</m:t>
                </m:r>
              </m:sub>
            </m:sSub>
          </m:e>
          <m:sub>
            <m:r>
              <w:rPr>
                <w:rFonts w:ascii="Cambria Math" w:hAnsi="Cambria Math"/>
              </w:rPr>
              <m:t>i</m:t>
            </m:r>
          </m:sub>
        </m:sSub>
        <m:r>
          <w:rPr>
            <w:rFonts w:ascii="Cambria Math" w:hAnsi="Cambria Math"/>
          </w:rPr>
          <m:t xml:space="preserve">, </m:t>
        </m:r>
        <m:sSub>
          <m:sSubPr>
            <m:ctrlPr>
              <w:rPr>
                <w:rFonts w:ascii="Cambria Math" w:hAnsi="Cambria Math"/>
                <w:i/>
              </w:rPr>
            </m:ctrlPr>
          </m:sSubPr>
          <m:e>
            <m:r>
              <m:rPr>
                <m:sty m:val="bi"/>
              </m:rPr>
              <w:rPr>
                <w:rFonts w:ascii="Cambria Math" w:hAnsi="Cambria Math"/>
              </w:rPr>
              <m:t>β</m:t>
            </m:r>
          </m:e>
          <m:sub>
            <m:r>
              <w:rPr>
                <w:rFonts w:ascii="Cambria Math" w:hAnsi="Cambria Math"/>
              </w:rPr>
              <m:t>cov</m:t>
            </m:r>
          </m:sub>
        </m:sSub>
      </m:oMath>
      <w:r w:rsidRPr="00135629">
        <w:rPr>
          <w:rFonts w:eastAsiaTheme="minorEastAsia"/>
        </w:rPr>
        <w:t xml:space="preserve"> </w:t>
      </w:r>
      <w:r w:rsidRPr="00135629">
        <w:t>are the covariate features and covariate parameters</w:t>
      </w:r>
    </w:p>
    <w:p w:rsidR="00923DE9" w:rsidRPr="00135629" w:rsidP="00CF7E97" w14:paraId="0C98769E" w14:textId="77777777">
      <w:pPr>
        <w:pStyle w:val="ListParagraph"/>
        <w:numPr>
          <w:ilvl w:val="0"/>
          <w:numId w:val="11"/>
        </w:numPr>
      </w:pPr>
      <m:oMath>
        <m:sSub>
          <m:sSubPr>
            <m:ctrlPr>
              <w:rPr>
                <w:rFonts w:ascii="Cambria Math" w:hAnsi="Cambria Math"/>
                <w:i/>
              </w:rPr>
            </m:ctrlPr>
          </m:sSubPr>
          <m:e>
            <m:r>
              <w:rPr>
                <w:rFonts w:ascii="Cambria Math" w:hAnsi="Cambria Math"/>
              </w:rPr>
              <m:t>ϵ</m:t>
            </m:r>
          </m:e>
          <m:sub>
            <m:r>
              <w:rPr>
                <w:rFonts w:ascii="Cambria Math" w:hAnsi="Cambria Math"/>
              </w:rPr>
              <m:t>i</m:t>
            </m:r>
          </m:sub>
        </m:sSub>
        <m:r>
          <w:rPr>
            <w:rFonts w:ascii="Cambria Math" w:hAnsi="Cambria Math"/>
          </w:rPr>
          <m:t xml:space="preserve"> i</m:t>
        </m:r>
      </m:oMath>
      <w:r w:rsidRPr="00135629">
        <w:t>s random error</w:t>
      </w:r>
    </w:p>
    <w:p w:rsidR="00574F5F" w:rsidP="00135629" w14:paraId="500B5115" w14:textId="77777777"/>
    <w:p w:rsidR="00923DE9" w:rsidRPr="00135629" w:rsidP="00135629" w14:paraId="5D32699F" w14:textId="77777777">
      <w:r w:rsidRPr="00135629">
        <w:t>The effect of time of day on crash risk is a key factor to the risk of crash, based on both traffic patterns and circadian effects on fatigue. The time-of-day factor will be included as a covariate in all analyses by encoded as either a dummy variable or a continuous variable using a sine-cosine expansion.</w:t>
      </w:r>
    </w:p>
    <w:p w:rsidR="00923DE9" w:rsidRPr="00135629" w:rsidP="00135629" w14:paraId="720ACE2D" w14:textId="77777777"/>
    <w:p w:rsidR="00923DE9" w:rsidRPr="00135629" w:rsidP="00135629" w14:paraId="23949740" w14:textId="77777777">
      <w:r w:rsidRPr="00135629">
        <w:t>For each duty day, the duty start (duty end or middle) time of day can be encoded using dummy variables based on binned approach:</w:t>
      </w:r>
    </w:p>
    <w:p w:rsidR="00923DE9" w:rsidRPr="00135629" w:rsidP="00135629" w14:paraId="167B3251" w14:textId="77777777"/>
    <w:p w:rsidR="00923DE9" w:rsidRPr="00135629" w:rsidP="00135629" w14:paraId="0F460C85" w14:textId="77777777">
      <m:oMathPara>
        <m:oMath>
          <m:sSub>
            <m:sSubPr>
              <m:ctrlPr>
                <w:rPr>
                  <w:rFonts w:ascii="Cambria Math" w:hAnsi="Cambria Math"/>
                </w:rPr>
              </m:ctrlPr>
            </m:sSubPr>
            <m:e>
              <m:r>
                <w:rPr>
                  <w:rFonts w:ascii="Cambria Math" w:hAnsi="Cambria Math"/>
                </w:rPr>
                <m:t>f</m:t>
              </m:r>
              <m:r>
                <m:rPr>
                  <m:sty m:val="p"/>
                </m:rPr>
                <w:rPr>
                  <w:rFonts w:ascii="Cambria Math" w:hAnsi="Cambria Math"/>
                </w:rPr>
                <m:t>(</m:t>
              </m:r>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sSub>
                <m:sSubPr>
                  <m:ctrlPr>
                    <w:rPr>
                      <w:rFonts w:ascii="Cambria Math" w:hAnsi="Cambria Math"/>
                    </w:rPr>
                  </m:ctrlPr>
                </m:sSubPr>
                <m:e>
                  <m:r>
                    <w:rPr>
                      <w:rFonts w:ascii="Cambria Math" w:hAnsi="Cambria Math"/>
                    </w:rPr>
                    <m:t>X</m:t>
                  </m:r>
                </m:e>
                <m:sub>
                  <m:r>
                    <m:rPr>
                      <m:sty m:val="p"/>
                    </m:rPr>
                    <w:rPr>
                      <w:rFonts w:ascii="Cambria Math" w:hAnsi="Cambria Math"/>
                    </w:rPr>
                    <m:t>1</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tod</m:t>
              </m:r>
            </m:sub>
          </m:sSub>
          <m:sSub>
            <m:sSubPr>
              <m:ctrlPr>
                <w:rPr>
                  <w:rFonts w:ascii="Cambria Math" w:hAnsi="Cambria Math"/>
                </w:rPr>
              </m:ctrlPr>
            </m:sSubPr>
            <m:e>
              <m:r>
                <m:rPr>
                  <m:sty m:val="bi"/>
                </m:rPr>
                <w:rPr>
                  <w:rFonts w:ascii="Cambria Math" w:hAnsi="Cambria Math"/>
                </w:rPr>
                <m:t>X</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i</m:t>
                  </m:r>
                </m:sub>
              </m:sSub>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w:rPr>
                      <w:rFonts w:ascii="Cambria Math" w:hAnsi="Cambria Math"/>
                    </w:rPr>
                    <m:t>cov</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m:t>
              </m:r>
            </m:sub>
          </m:sSub>
        </m:oMath>
      </m:oMathPara>
    </w:p>
    <w:p w:rsidR="00923DE9" w:rsidRPr="00135629" w:rsidP="00135629" w14:paraId="0D5AFB8C" w14:textId="77777777"/>
    <w:p w:rsidR="00923DE9" w:rsidRPr="00135629" w:rsidP="00135629" w14:paraId="7670EA4B" w14:textId="77777777">
      <w:r w:rsidRPr="00135629">
        <w:t>Alternatively, for each duty day, the duty start (end or middle) time of day can be encoded</w:t>
      </w:r>
      <w:r w:rsidR="002A2018">
        <w:t xml:space="preserve"> as a continuous variable</w:t>
      </w:r>
      <w:r w:rsidRPr="00135629">
        <w:t xml:space="preserve"> using a sine-cosine expansion:</w:t>
      </w:r>
    </w:p>
    <w:p w:rsidR="00923DE9" w:rsidRPr="00135629" w:rsidP="00135629" w14:paraId="64D9478A" w14:textId="77777777">
      <m:oMathPara>
        <m:oMath>
          <m:sSub>
            <m:sSubPr>
              <m:ctrlPr>
                <w:rPr>
                  <w:rFonts w:ascii="Cambria Math" w:hAnsi="Cambria Math"/>
                </w:rPr>
              </m:ctrlPr>
            </m:sSubPr>
            <m:e>
              <m:r>
                <w:rPr>
                  <w:rFonts w:ascii="Cambria Math" w:hAnsi="Cambria Math"/>
                </w:rPr>
                <m:t>f</m:t>
              </m:r>
              <m:r>
                <m:rPr>
                  <m:sty m:val="p"/>
                </m:rPr>
                <w:rPr>
                  <w:rFonts w:ascii="Cambria Math" w:hAnsi="Cambria Math"/>
                </w:rPr>
                <m:t>(</m:t>
              </m:r>
              <m:r>
                <w:rPr>
                  <w:rFonts w:ascii="Cambria Math" w:hAnsi="Cambria Math"/>
                </w:rPr>
                <m:t>Y</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m:rPr>
                  <m:sty m:val="p"/>
                </m:rPr>
                <w:rPr>
                  <w:rFonts w:ascii="Cambria Math" w:hAnsi="Cambria Math"/>
                </w:rPr>
                <m:t>1</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m:rPr>
                      <m:sty m:val="p"/>
                    </m:rPr>
                    <w:rPr>
                      <w:rFonts w:ascii="Cambria Math" w:hAnsi="Cambria Math"/>
                    </w:rPr>
                    <m:t>1</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sin</m:t>
                  </m:r>
                </m:sub>
              </m:sSub>
            </m:sub>
          </m:sSub>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f>
                    <m:fPr>
                      <m:ctrlPr>
                        <w:rPr>
                          <w:rFonts w:ascii="Cambria Math" w:hAnsi="Cambria Math"/>
                        </w:rPr>
                      </m:ctrlPr>
                    </m:fPr>
                    <m:num>
                      <m:r>
                        <w:rPr>
                          <w:rFonts w:ascii="Cambria Math" w:hAnsi="Cambria Math"/>
                        </w:rPr>
                        <m:t>π</m:t>
                      </m:r>
                    </m:num>
                    <m:den>
                      <m:r>
                        <m:rPr>
                          <m:sty m:val="p"/>
                        </m:rPr>
                        <w:rPr>
                          <w:rFonts w:ascii="Cambria Math" w:hAnsi="Cambria Math"/>
                        </w:rPr>
                        <m:t>12</m:t>
                      </m:r>
                    </m:den>
                  </m:f>
                  <m:sSub>
                    <m:sSubPr>
                      <m:ctrlPr>
                        <w:rPr>
                          <w:rFonts w:ascii="Cambria Math" w:hAnsi="Cambria Math"/>
                        </w:rPr>
                      </m:ctrlPr>
                    </m:sSubPr>
                    <m:e>
                      <m:r>
                        <w:rPr>
                          <w:rFonts w:ascii="Cambria Math" w:hAnsi="Cambria Math"/>
                        </w:rPr>
                        <m:t>x</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i</m:t>
                          </m:r>
                        </m:sub>
                      </m:sSub>
                    </m:sub>
                  </m:sSub>
                </m:e>
              </m:d>
            </m:e>
          </m:func>
          <m:r>
            <m:rPr>
              <m:sty m:val="p"/>
            </m:rPr>
            <w:rPr>
              <w:rFonts w:ascii="Cambria Math" w:hAnsi="Cambria Math"/>
            </w:rPr>
            <m:t xml:space="preserve">+ </m:t>
          </m:r>
          <m:sSub>
            <m:sSubPr>
              <m:ctrlPr>
                <w:rPr>
                  <w:rFonts w:ascii="Cambria Math" w:hAnsi="Cambria Math"/>
                </w:rPr>
              </m:ctrlPr>
            </m:sSubPr>
            <m:e>
              <m:r>
                <w:rPr>
                  <w:rFonts w:ascii="Cambria Math" w:hAnsi="Cambria Math"/>
                </w:rPr>
                <m:t>β</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cos</m:t>
                  </m:r>
                </m:sub>
              </m:sSub>
            </m:sub>
          </m:sSub>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f>
                    <m:fPr>
                      <m:ctrlPr>
                        <w:rPr>
                          <w:rFonts w:ascii="Cambria Math" w:hAnsi="Cambria Math"/>
                        </w:rPr>
                      </m:ctrlPr>
                    </m:fPr>
                    <m:num>
                      <m:r>
                        <w:rPr>
                          <w:rFonts w:ascii="Cambria Math" w:hAnsi="Cambria Math"/>
                        </w:rPr>
                        <m:t>π</m:t>
                      </m:r>
                    </m:num>
                    <m:den>
                      <m:r>
                        <m:rPr>
                          <m:sty m:val="p"/>
                        </m:rPr>
                        <w:rPr>
                          <w:rFonts w:ascii="Cambria Math" w:hAnsi="Cambria Math"/>
                        </w:rPr>
                        <m:t>12</m:t>
                      </m:r>
                    </m:den>
                  </m:f>
                  <m:sSub>
                    <m:sSubPr>
                      <m:ctrlPr>
                        <w:rPr>
                          <w:rFonts w:ascii="Cambria Math" w:hAnsi="Cambria Math"/>
                        </w:rPr>
                      </m:ctrlPr>
                    </m:sSubPr>
                    <m:e>
                      <m:r>
                        <w:rPr>
                          <w:rFonts w:ascii="Cambria Math" w:hAnsi="Cambria Math"/>
                        </w:rPr>
                        <m:t>x</m:t>
                      </m:r>
                    </m:e>
                    <m:sub>
                      <m:r>
                        <w:rPr>
                          <w:rFonts w:ascii="Cambria Math" w:hAnsi="Cambria Math"/>
                        </w:rPr>
                        <m:t>to</m:t>
                      </m:r>
                      <m:sSub>
                        <m:sSubPr>
                          <m:ctrlPr>
                            <w:rPr>
                              <w:rFonts w:ascii="Cambria Math" w:hAnsi="Cambria Math"/>
                            </w:rPr>
                          </m:ctrlPr>
                        </m:sSubPr>
                        <m:e>
                          <m:r>
                            <w:rPr>
                              <w:rFonts w:ascii="Cambria Math" w:hAnsi="Cambria Math"/>
                            </w:rPr>
                            <m:t>d</m:t>
                          </m:r>
                        </m:e>
                        <m:sub>
                          <m:r>
                            <w:rPr>
                              <w:rFonts w:ascii="Cambria Math" w:hAnsi="Cambria Math"/>
                            </w:rPr>
                            <m:t>i</m:t>
                          </m:r>
                        </m:sub>
                      </m:sSub>
                    </m:sub>
                  </m:sSub>
                </m:e>
              </m:d>
            </m:e>
          </m:func>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sSub>
                <m:sSubPr>
                  <m:ctrlPr>
                    <w:rPr>
                      <w:rFonts w:ascii="Cambria Math" w:hAnsi="Cambria Math"/>
                    </w:rPr>
                  </m:ctrlPr>
                </m:sSubPr>
                <m:e>
                  <m:r>
                    <m:rPr>
                      <m:sty m:val="bi"/>
                    </m:rPr>
                    <w:rPr>
                      <w:rFonts w:ascii="Cambria Math" w:hAnsi="Cambria Math"/>
                    </w:rPr>
                    <m:t>X</m:t>
                  </m:r>
                </m:e>
                <m:sub>
                  <m:r>
                    <w:rPr>
                      <w:rFonts w:ascii="Cambria Math" w:hAnsi="Cambria Math"/>
                    </w:rPr>
                    <m:t>cov</m:t>
                  </m:r>
                </m:sub>
              </m:sSub>
            </m:e>
            <m:sub>
              <m:r>
                <w:rPr>
                  <w:rFonts w:ascii="Cambria Math" w:hAnsi="Cambria Math"/>
                </w:rPr>
                <m:t>ij</m:t>
              </m:r>
            </m:sub>
          </m:sSub>
          <m:r>
            <m:rPr>
              <m:sty m:val="p"/>
            </m:rPr>
            <w:rPr>
              <w:rFonts w:ascii="Cambria Math" w:hAnsi="Cambria Math"/>
            </w:rPr>
            <m:t>+</m:t>
          </m:r>
          <m:sSub>
            <m:sSubPr>
              <m:ctrlPr>
                <w:rPr>
                  <w:rFonts w:ascii="Cambria Math" w:hAnsi="Cambria Math"/>
                </w:rPr>
              </m:ctrlPr>
            </m:sSubPr>
            <m:e>
              <m:r>
                <w:rPr>
                  <w:rFonts w:ascii="Cambria Math" w:hAnsi="Cambria Math"/>
                </w:rPr>
                <m:t>ϵ</m:t>
              </m:r>
            </m:e>
            <m:sub>
              <m:r>
                <w:rPr>
                  <w:rFonts w:ascii="Cambria Math" w:hAnsi="Cambria Math"/>
                </w:rPr>
                <m:t>ij</m:t>
              </m:r>
            </m:sub>
          </m:sSub>
        </m:oMath>
      </m:oMathPara>
    </w:p>
    <w:p w:rsidR="00923DE9" w:rsidP="00135629" w14:paraId="7E9A628E" w14:textId="77777777"/>
    <w:p w:rsidR="00102BA6" w:rsidP="00135629" w14:paraId="03C3D13C" w14:textId="77777777"/>
    <w:p w:rsidR="00102BA6" w:rsidRPr="00135629" w:rsidP="00135629" w14:paraId="0A3E90CA" w14:textId="77777777"/>
    <w:p w:rsidR="00923DE9" w:rsidRPr="00135629" w:rsidP="00135629" w14:paraId="1D454C62" w14:textId="77777777">
      <w:r w:rsidRPr="00135629">
        <w:t xml:space="preserve">An analytical approach based on the timing of crashes in the duty day extends the duty day analysis and allows the event rate to be time varying </w:t>
      </w:r>
      <m:oMath>
        <m:sSub>
          <m:sSubPr>
            <m:ctrlPr>
              <w:rPr>
                <w:rFonts w:ascii="Cambria Math" w:hAnsi="Cambria Math"/>
                <w:i/>
              </w:rPr>
            </m:ctrlPr>
          </m:sSubPr>
          <m:e>
            <m:r>
              <w:rPr>
                <w:rFonts w:ascii="Cambria Math" w:hAnsi="Cambria Math"/>
              </w:rPr>
              <m:t>h</m:t>
            </m:r>
          </m:e>
          <m:sub>
            <m:r>
              <w:rPr>
                <w:rFonts w:ascii="Cambria Math" w:hAnsi="Cambria Math"/>
              </w:rPr>
              <m:t>0</m:t>
            </m:r>
          </m:sub>
        </m:sSub>
        <m:d>
          <m:dPr>
            <m:ctrlPr>
              <w:rPr>
                <w:rFonts w:ascii="Cambria Math" w:hAnsi="Cambria Math"/>
                <w:i/>
              </w:rPr>
            </m:ctrlPr>
          </m:dPr>
          <m:e>
            <m:r>
              <w:rPr>
                <w:rFonts w:ascii="Cambria Math" w:hAnsi="Cambria Math"/>
              </w:rPr>
              <m:t>t</m:t>
            </m:r>
          </m:e>
        </m:d>
      </m:oMath>
      <w:r w:rsidRPr="00135629">
        <w:rPr>
          <w:rFonts w:eastAsiaTheme="minorEastAsia"/>
        </w:rPr>
        <w:t xml:space="preserve"> instead of a fixed rate </w:t>
      </w:r>
      <m:oMath>
        <m:sSub>
          <m:sSubPr>
            <m:ctrlPr>
              <w:rPr>
                <w:rFonts w:ascii="Cambria Math" w:hAnsi="Cambria Math"/>
                <w:i/>
              </w:rPr>
            </m:ctrlPr>
          </m:sSubPr>
          <m:e>
            <m:r>
              <w:rPr>
                <w:rFonts w:ascii="Cambria Math" w:hAnsi="Cambria Math"/>
              </w:rPr>
              <m:t>β</m:t>
            </m:r>
          </m:e>
          <m:sub>
            <m:r>
              <w:rPr>
                <w:rFonts w:ascii="Cambria Math" w:hAnsi="Cambria Math"/>
              </w:rPr>
              <m:t>0</m:t>
            </m:r>
          </m:sub>
        </m:sSub>
      </m:oMath>
      <w:r w:rsidRPr="00135629">
        <w:rPr>
          <w:rFonts w:eastAsiaTheme="minorEastAsia"/>
        </w:rPr>
        <w:t xml:space="preserve"> above, can be expressed:</w:t>
      </w:r>
    </w:p>
    <w:p w:rsidR="00923DE9" w:rsidRPr="00135629" w:rsidP="00135629" w14:paraId="06900B85" w14:textId="77777777">
      <w:pPr>
        <w:rPr>
          <w:rFonts w:eastAsiaTheme="minorEastAsia"/>
        </w:rPr>
      </w:pPr>
      <m:oMathPara>
        <m:oMath>
          <m:r>
            <w:rPr>
              <w:rFonts w:ascii="Cambria Math" w:hAnsi="Cambria Math"/>
            </w:rPr>
            <m:t>h</m:t>
          </m:r>
          <m:d>
            <m:dPr>
              <m:ctrlPr>
                <w:rPr>
                  <w:rFonts w:ascii="Cambria Math" w:hAnsi="Cambria Math"/>
                </w:rPr>
              </m:ctrlPr>
            </m:dPr>
            <m:e>
              <m:r>
                <w:rPr>
                  <w:rFonts w:ascii="Cambria Math" w:hAnsi="Cambria Math"/>
                </w:rPr>
                <m:t>t</m:t>
              </m:r>
            </m:e>
          </m:d>
          <m:r>
            <m:rPr>
              <m:sty m:val="p"/>
            </m:rPr>
            <w:rPr>
              <w:rFonts w:ascii="Cambria Math" w:hAnsi="Cambria Math"/>
            </w:rPr>
            <m:t>=</m:t>
          </m:r>
          <m:sSub>
            <m:sSubPr>
              <m:ctrlPr>
                <w:rPr>
                  <w:rFonts w:ascii="Cambria Math" w:hAnsi="Cambria Math"/>
                </w:rPr>
              </m:ctrlPr>
            </m:sSubPr>
            <m:e>
              <m:r>
                <w:rPr>
                  <w:rFonts w:ascii="Cambria Math" w:hAnsi="Cambria Math"/>
                </w:rPr>
                <m:t>h</m:t>
              </m:r>
            </m:e>
            <m:sub>
              <m:r>
                <m:rPr>
                  <m:sty m:val="p"/>
                </m:rPr>
                <w:rPr>
                  <w:rFonts w:ascii="Cambria Math" w:hAnsi="Cambria Math"/>
                </w:rPr>
                <m:t>0</m:t>
              </m:r>
            </m:sub>
          </m:sSub>
          <m:d>
            <m:dPr>
              <m:ctrlPr>
                <w:rPr>
                  <w:rFonts w:ascii="Cambria Math" w:hAnsi="Cambria Math"/>
                </w:rPr>
              </m:ctrlPr>
            </m:dPr>
            <m:e>
              <m:r>
                <w:rPr>
                  <w:rFonts w:ascii="Cambria Math" w:hAnsi="Cambria Math"/>
                </w:rPr>
                <m:t>t</m:t>
              </m:r>
            </m:e>
          </m:d>
          <m:r>
            <m:rPr>
              <m:sty m:val="p"/>
            </m:rPr>
            <w:rPr>
              <w:rFonts w:ascii="Cambria Math" w:hAnsi="Cambria Math"/>
            </w:rPr>
            <m:t>*exp⁡(</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r>
                <m:rPr>
                  <m:sty m:val="bi"/>
                </m:rPr>
                <w:rPr>
                  <w:rFonts w:ascii="Cambria Math" w:hAnsi="Cambria Math"/>
                </w:rPr>
                <m:t>X</m:t>
              </m:r>
            </m:e>
            <m:sub>
              <m:r>
                <w:rPr>
                  <w:rFonts w:ascii="Cambria Math" w:hAnsi="Cambria Math"/>
                </w:rPr>
                <m:t>cov</m:t>
              </m:r>
            </m:sub>
          </m:sSub>
          <m:r>
            <m:rPr>
              <m:sty m:val="p"/>
            </m:rPr>
            <w:rPr>
              <w:rFonts w:ascii="Cambria Math" w:hAnsi="Cambria Math"/>
            </w:rPr>
            <m:t>)</m:t>
          </m:r>
        </m:oMath>
      </m:oMathPara>
    </w:p>
    <w:p w:rsidR="00923DE9" w:rsidRPr="00135629" w:rsidP="00135629" w14:paraId="5F169E78" w14:textId="77777777">
      <w:r w:rsidRPr="00135629">
        <w:t>where:</w:t>
      </w:r>
    </w:p>
    <w:p w:rsidR="00923DE9" w:rsidRPr="00135629" w:rsidP="00CF7E97" w14:paraId="01CA416E" w14:textId="77777777">
      <w:pPr>
        <w:pStyle w:val="ListParagraph"/>
        <w:numPr>
          <w:ilvl w:val="0"/>
          <w:numId w:val="11"/>
        </w:numPr>
        <w:rPr>
          <w:rFonts w:eastAsiaTheme="minorEastAsia"/>
        </w:rPr>
      </w:pPr>
      <m:oMath>
        <m:r>
          <w:rPr>
            <w:rFonts w:ascii="Cambria Math" w:hAnsi="Cambria Math"/>
          </w:rPr>
          <m:t>h</m:t>
        </m:r>
        <m:d>
          <m:dPr>
            <m:ctrlPr>
              <w:rPr>
                <w:rFonts w:ascii="Cambria Math" w:hAnsi="Cambria Math"/>
                <w:i/>
              </w:rPr>
            </m:ctrlPr>
          </m:dPr>
          <m:e>
            <m:r>
              <w:rPr>
                <w:rFonts w:ascii="Cambria Math" w:hAnsi="Cambria Math"/>
              </w:rPr>
              <m:t>t</m:t>
            </m:r>
          </m:e>
        </m:d>
      </m:oMath>
      <w:r w:rsidRPr="00135629">
        <w:rPr>
          <w:rFonts w:eastAsiaTheme="minorEastAsia"/>
        </w:rPr>
        <w:t xml:space="preserve"> is the hazard rate during the duty period for driving hour </w:t>
      </w:r>
      <m:oMath>
        <m:r>
          <w:rPr>
            <w:rFonts w:ascii="Cambria Math" w:hAnsi="Cambria Math"/>
          </w:rPr>
          <m:t>t</m:t>
        </m:r>
      </m:oMath>
    </w:p>
    <w:p w:rsidR="00923DE9" w:rsidRPr="00135629" w:rsidP="00CF7E97" w14:paraId="473CD8A6" w14:textId="77777777">
      <w:pPr>
        <w:pStyle w:val="ListParagraph"/>
        <w:numPr>
          <w:ilvl w:val="0"/>
          <w:numId w:val="11"/>
        </w:numPr>
        <w:rPr>
          <w:rFonts w:eastAsiaTheme="minorEastAsia"/>
        </w:rPr>
      </w:pPr>
      <m:oMath>
        <m:sSub>
          <m:sSubPr>
            <m:ctrlPr>
              <w:rPr>
                <w:rFonts w:ascii="Cambria Math" w:hAnsi="Cambria Math"/>
                <w:i/>
              </w:rPr>
            </m:ctrlPr>
          </m:sSubPr>
          <m:e>
            <m:r>
              <w:rPr>
                <w:rFonts w:ascii="Cambria Math" w:hAnsi="Cambria Math"/>
              </w:rPr>
              <m:t>h</m:t>
            </m:r>
          </m:e>
          <m:sub>
            <m:r>
              <w:rPr>
                <w:rFonts w:ascii="Cambria Math" w:hAnsi="Cambria Math"/>
              </w:rPr>
              <m:t>0</m:t>
            </m:r>
          </m:sub>
        </m:sSub>
        <m:d>
          <m:dPr>
            <m:ctrlPr>
              <w:rPr>
                <w:rFonts w:ascii="Cambria Math" w:hAnsi="Cambria Math"/>
                <w:i/>
              </w:rPr>
            </m:ctrlPr>
          </m:dPr>
          <m:e>
            <m:r>
              <w:rPr>
                <w:rFonts w:ascii="Cambria Math" w:hAnsi="Cambria Math"/>
              </w:rPr>
              <m:t>t</m:t>
            </m:r>
          </m:e>
        </m:d>
      </m:oMath>
      <w:r w:rsidRPr="00135629">
        <w:rPr>
          <w:rFonts w:eastAsiaTheme="minorEastAsia"/>
        </w:rPr>
        <w:t xml:space="preserve"> is the baseline hazard rate during the duty period for driving hour </w:t>
      </w:r>
      <m:oMath>
        <m:r>
          <w:rPr>
            <w:rFonts w:ascii="Cambria Math" w:hAnsi="Cambria Math"/>
          </w:rPr>
          <m:t>t</m:t>
        </m:r>
      </m:oMath>
    </w:p>
    <w:p w:rsidR="00574F5F" w:rsidP="00CF7E97" w14:paraId="04504149" w14:textId="77777777">
      <w:pPr>
        <w:pStyle w:val="ListParagraph"/>
        <w:numPr>
          <w:ilvl w:val="0"/>
          <w:numId w:val="11"/>
        </w:numPr>
        <w:sectPr w:rsidSect="00D15FF6">
          <w:footnotePr>
            <w:numFmt w:val="lowerLetter"/>
          </w:footnotePr>
          <w:endnotePr>
            <w:numFmt w:val="decimal"/>
          </w:endnotePr>
          <w:type w:val="continuous"/>
          <w:pgSz w:w="12240" w:h="15840" w:code="1"/>
          <w:pgMar w:top="1296" w:right="1440" w:bottom="1296" w:left="1440" w:header="720" w:footer="720" w:gutter="0"/>
          <w:pgNumType w:start="22"/>
          <w:cols w:space="720"/>
        </w:sectPr>
      </w:pP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 xml:space="preserve"> </m:t>
        </m:r>
      </m:oMath>
      <w:r w:rsidRPr="00135629" w:rsidR="00923DE9">
        <w:t>is the independent variable of interest (e.g., cumulative hours of driving in prior 7 days)</w:t>
      </w:r>
      <w:r w:rsidR="00054AE7">
        <w:rPr>
          <w:vertAlign w:val="superscript"/>
        </w:rPr>
        <w:t>b</w:t>
      </w:r>
    </w:p>
    <w:p w:rsidR="00923DE9" w:rsidRPr="00135629" w:rsidP="00CF7E97" w14:paraId="15E543FF" w14:textId="77777777">
      <w:pPr>
        <w:pStyle w:val="ListParagraph"/>
        <w:numPr>
          <w:ilvl w:val="0"/>
          <w:numId w:val="11"/>
        </w:numPr>
      </w:pP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135629">
        <w:t xml:space="preserve"> is the corresponding (vector) regression parameter</w:t>
      </w:r>
    </w:p>
    <w:p w:rsidR="00923DE9" w:rsidRPr="00135629" w:rsidP="00CF7E97" w14:paraId="176E4323" w14:textId="77777777">
      <w:pPr>
        <w:pStyle w:val="ListParagraph"/>
        <w:numPr>
          <w:ilvl w:val="0"/>
          <w:numId w:val="10"/>
        </w:numPr>
      </w:pPr>
      <m:oMath>
        <m:sSub>
          <m:sSubPr>
            <m:ctrlPr>
              <w:rPr>
                <w:rFonts w:ascii="Cambria Math" w:hAnsi="Cambria Math"/>
                <w:i/>
              </w:rPr>
            </m:ctrlPr>
          </m:sSubPr>
          <m:e>
            <m:r>
              <m:rPr>
                <m:sty m:val="bi"/>
              </m:rPr>
              <w:rPr>
                <w:rFonts w:ascii="Cambria Math" w:hAnsi="Cambria Math"/>
              </w:rPr>
              <m:t>X</m:t>
            </m:r>
          </m:e>
          <m:sub>
            <m:r>
              <w:rPr>
                <w:rFonts w:ascii="Cambria Math" w:hAnsi="Cambria Math"/>
              </w:rPr>
              <m:t>cov</m:t>
            </m:r>
          </m:sub>
        </m:sSub>
        <m:r>
          <w:rPr>
            <w:rFonts w:ascii="Cambria Math" w:hAnsi="Cambria Math"/>
          </w:rPr>
          <m:t xml:space="preserve">, </m:t>
        </m:r>
        <m:sSub>
          <m:sSubPr>
            <m:ctrlPr>
              <w:rPr>
                <w:rFonts w:ascii="Cambria Math" w:hAnsi="Cambria Math"/>
                <w:i/>
              </w:rPr>
            </m:ctrlPr>
          </m:sSubPr>
          <m:e>
            <m:r>
              <m:rPr>
                <m:sty m:val="bi"/>
              </m:rPr>
              <w:rPr>
                <w:rFonts w:ascii="Cambria Math" w:hAnsi="Cambria Math"/>
              </w:rPr>
              <m:t>β</m:t>
            </m:r>
          </m:e>
          <m:sub>
            <m:r>
              <w:rPr>
                <w:rFonts w:ascii="Cambria Math" w:hAnsi="Cambria Math"/>
              </w:rPr>
              <m:t>cov</m:t>
            </m:r>
          </m:sub>
        </m:sSub>
      </m:oMath>
      <w:r w:rsidRPr="00135629">
        <w:rPr>
          <w:rFonts w:eastAsiaTheme="minorEastAsia"/>
        </w:rPr>
        <w:t xml:space="preserve"> </w:t>
      </w:r>
      <w:r w:rsidRPr="00135629">
        <w:t>are the covariate features and covariate parameters</w:t>
      </w:r>
    </w:p>
    <w:p w:rsidR="00574F5F" w:rsidP="00135629" w14:paraId="7C1263B6" w14:textId="77777777"/>
    <w:p w:rsidR="00E01008" w:rsidRPr="00135629" w:rsidP="00135629" w14:paraId="688840B0" w14:textId="77777777"/>
    <w:p w:rsidR="00E34858" w:rsidP="00135629" w14:paraId="4E269EA4" w14:textId="77777777">
      <w:r>
        <w:t xml:space="preserve">In the generalized linear models, the crash counts will be modeled with </w:t>
      </w:r>
      <w:r w:rsidRPr="00135629" w:rsidR="00923DE9">
        <w:t xml:space="preserve">Poisson </w:t>
      </w:r>
      <w:r>
        <w:t>(</w:t>
      </w:r>
      <w:r w:rsidRPr="00135629" w:rsidR="00923DE9">
        <w:t>or Negative Binomial</w:t>
      </w:r>
      <w:r w:rsidR="00C33263">
        <w:t xml:space="preserve"> or </w:t>
      </w:r>
      <w:r w:rsidR="0059328C">
        <w:t xml:space="preserve">zero-inflated </w:t>
      </w:r>
      <w:r w:rsidRPr="00C70A1D" w:rsidR="001F569B">
        <w:t>variants</w:t>
      </w:r>
      <w:r>
        <w:t>)</w:t>
      </w:r>
      <w:r w:rsidRPr="00135629" w:rsidR="00923DE9">
        <w:t xml:space="preserve"> </w:t>
      </w:r>
      <w:r>
        <w:t xml:space="preserve">distribution. </w:t>
      </w:r>
      <w:r w:rsidRPr="00414D22">
        <w:t>The outcome is the number of crashes within each sampling unit (e.g., hours of driving or duty day), modeled as a function of fixed factors and covariates</w:t>
      </w:r>
      <w:r>
        <w:t xml:space="preserve">, and </w:t>
      </w:r>
      <w:r w:rsidRPr="00135629" w:rsidR="00923DE9">
        <w:t xml:space="preserve">follows a similar approach in a prior study of </w:t>
      </w:r>
      <w:r w:rsidRPr="00D30A18" w:rsidR="00923DE9">
        <w:t>CMV driving</w:t>
      </w:r>
      <w:r w:rsidRPr="00860BE7" w:rsidR="00094CCD">
        <w:rPr>
          <w:vertAlign w:val="superscript"/>
        </w:rPr>
        <w:t>1</w:t>
      </w:r>
      <w:r w:rsidRPr="00D30A18" w:rsidR="00C246A2">
        <w:t>.</w:t>
      </w:r>
      <w:r>
        <w:t xml:space="preserve"> The</w:t>
      </w:r>
      <w:r w:rsidRPr="00135629" w:rsidR="00923DE9">
        <w:t xml:space="preserve"> generalized linear model </w:t>
      </w:r>
      <w:r>
        <w:t xml:space="preserve">uses </w:t>
      </w:r>
      <w:r w:rsidRPr="00135629" w:rsidR="00923DE9">
        <w:t>a log link function and an offset equal to</w:t>
      </w:r>
      <w:r>
        <w:t xml:space="preserve"> the</w:t>
      </w:r>
      <w:r w:rsidRPr="00135629" w:rsidR="00923DE9">
        <w:t xml:space="preserve"> natural log of exposure time </w:t>
      </w:r>
      <w:r>
        <w:t>(</w:t>
      </w:r>
      <w:r w:rsidRPr="00135629" w:rsidR="00923DE9">
        <w:t xml:space="preserve">hours driven within a duty day) </w:t>
      </w:r>
      <w:r w:rsidRPr="00414D22">
        <w:t>to account for differences in driving duration across observations.</w:t>
      </w:r>
    </w:p>
    <w:p w:rsidR="00E34858" w:rsidP="00135629" w14:paraId="3AA0D956" w14:textId="77777777"/>
    <w:p w:rsidR="00E34858" w:rsidP="00E34858" w14:paraId="47BE9753" w14:textId="77777777">
      <w:r>
        <w:t>With the use of a log-link function</w:t>
      </w:r>
      <w:r w:rsidR="000D4DFF">
        <w:t>,</w:t>
      </w:r>
      <w:r w:rsidRPr="0008287A">
        <w:t xml:space="preserve"> </w:t>
      </w:r>
      <w:r>
        <w:t xml:space="preserve">the </w:t>
      </w:r>
      <w:r w:rsidRPr="0008287A">
        <w:t xml:space="preserve">relative risk to be estimated by exponentiating the model </w:t>
      </w:r>
      <w:r>
        <w:t>parameters</w:t>
      </w:r>
      <w:r w:rsidRPr="0008287A">
        <w:t xml:space="preserve">. For example, comparing the crash rate associated with specific schedule factors to the baseline crash rate </w:t>
      </w:r>
      <w:r w:rsidR="000E368F">
        <w:t xml:space="preserve">assuming all other factors fixed </w:t>
      </w:r>
      <w:r w:rsidRPr="0008287A">
        <w:t>yields the following relative risks:</w:t>
      </w:r>
    </w:p>
    <w:p w:rsidR="00E34858" w:rsidP="00E34858" w14:paraId="75C0383F" w14:textId="77777777"/>
    <w:p w:rsidR="00E34858" w:rsidRPr="006E63E3" w:rsidP="00E34858" w14:paraId="6A3AB4B5" w14:textId="77777777">
      <m:oMathPara>
        <m:oMath>
          <m:r>
            <w:rPr>
              <w:rFonts w:ascii="Cambria Math" w:hAnsi="Cambria Math"/>
            </w:rPr>
            <m:t xml:space="preserve">Relative Risk = </m:t>
          </m:r>
          <m:f>
            <m:fPr>
              <m:ctrlPr>
                <w:rPr>
                  <w:rFonts w:ascii="Cambria Math" w:hAnsi="Cambria Math"/>
                  <w:i/>
                </w:rPr>
              </m:ctrlPr>
            </m:fPr>
            <m:num>
              <m:r>
                <w:rPr>
                  <w:rFonts w:ascii="Cambria Math" w:hAnsi="Cambria Math"/>
                </w:rPr>
                <m:t>E[Y|X=exposed factor]</m:t>
              </m:r>
            </m:num>
            <m:den>
              <m:r>
                <w:rPr>
                  <w:rFonts w:ascii="Cambria Math" w:hAnsi="Cambria Math"/>
                </w:rPr>
                <m:t>E[Y|X=baseline]</m:t>
              </m:r>
            </m:den>
          </m:f>
        </m:oMath>
      </m:oMathPara>
    </w:p>
    <w:p w:rsidR="00E34858" w:rsidP="00E34858" w14:paraId="69336C47" w14:textId="77777777">
      <m:oMathPara>
        <m:oMath>
          <m:r>
            <w:rPr>
              <w:rFonts w:ascii="Cambria Math" w:hAnsi="Cambria Math"/>
            </w:rPr>
            <m:t>=</m:t>
          </m:r>
          <m:f>
            <m:fPr>
              <m:ctrlPr>
                <w:rPr>
                  <w:rFonts w:ascii="Cambria Math" w:hAnsi="Cambria Math"/>
                  <w:i/>
                </w:rPr>
              </m:ctrlPr>
            </m:fPr>
            <m:num>
              <m:r>
                <m:rPr>
                  <m:sty m:val="p"/>
                </m:rPr>
                <w:rPr>
                  <w:rFonts w:ascii="Cambria Math" w:hAnsi="Cambria Math"/>
                </w:rPr>
                <m:t>⁡exp⁡(</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=1)+</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r>
                    <m:rPr>
                      <m:sty m:val="bi"/>
                    </m:rPr>
                    <w:rPr>
                      <w:rFonts w:ascii="Cambria Math" w:hAnsi="Cambria Math"/>
                    </w:rPr>
                    <m:t>X</m:t>
                  </m:r>
                </m:e>
                <m:sub>
                  <m:r>
                    <w:rPr>
                      <w:rFonts w:ascii="Cambria Math" w:hAnsi="Cambria Math"/>
                    </w:rPr>
                    <m:t>cov</m:t>
                  </m:r>
                </m:sub>
              </m:sSub>
              <m:r>
                <w:rPr>
                  <w:rFonts w:ascii="Cambria Math" w:hAnsi="Cambria Math"/>
                </w:rPr>
                <m:t>)</m:t>
              </m:r>
            </m:num>
            <m:den>
              <m:r>
                <m:rPr>
                  <m:sty m:val="p"/>
                </m:rPr>
                <w:rPr>
                  <w:rFonts w:ascii="Cambria Math" w:hAnsi="Cambria Math"/>
                </w:rPr>
                <m:t>exp⁡(</m:t>
              </m:r>
              <m:sSub>
                <m:sSubPr>
                  <m:ctrlPr>
                    <w:rPr>
                      <w:rFonts w:ascii="Cambria Math" w:hAnsi="Cambria Math"/>
                    </w:rPr>
                  </m:ctrlPr>
                </m:sSubPr>
                <m:e>
                  <m:r>
                    <w:rPr>
                      <w:rFonts w:ascii="Cambria Math" w:hAnsi="Cambria Math"/>
                    </w:rPr>
                    <m:t>β</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sSub>
                <m:sSubPr>
                  <m:ctrlPr>
                    <w:rPr>
                      <w:rFonts w:ascii="Cambria Math" w:hAnsi="Cambria Math"/>
                    </w:rPr>
                  </m:ctrlPr>
                </m:sSubPr>
                <m:e>
                  <m:r>
                    <w:rPr>
                      <w:rFonts w:ascii="Cambria Math" w:hAnsi="Cambria Math"/>
                    </w:rPr>
                    <m:t>(X</m:t>
                  </m:r>
                </m:e>
                <m:sub>
                  <m:r>
                    <m:rPr>
                      <m:sty m:val="p"/>
                    </m:rPr>
                    <w:rPr>
                      <w:rFonts w:ascii="Cambria Math" w:hAnsi="Cambria Math"/>
                    </w:rPr>
                    <m:t>1</m:t>
                  </m:r>
                </m:sub>
              </m:sSub>
              <m:r>
                <m:rPr>
                  <m:sty m:val="p"/>
                </m:rPr>
                <w:rPr>
                  <w:rFonts w:ascii="Cambria Math" w:hAnsi="Cambria Math"/>
                </w:rPr>
                <m:t>=0)+</m:t>
              </m:r>
              <m:sSub>
                <m:sSubPr>
                  <m:ctrlPr>
                    <w:rPr>
                      <w:rFonts w:ascii="Cambria Math" w:hAnsi="Cambria Math"/>
                    </w:rPr>
                  </m:ctrlPr>
                </m:sSubPr>
                <m:e>
                  <m:r>
                    <m:rPr>
                      <m:sty m:val="bi"/>
                    </m:rPr>
                    <w:rPr>
                      <w:rFonts w:ascii="Cambria Math" w:hAnsi="Cambria Math"/>
                    </w:rPr>
                    <m:t>β</m:t>
                  </m:r>
                </m:e>
                <m:sub>
                  <m:r>
                    <w:rPr>
                      <w:rFonts w:ascii="Cambria Math" w:hAnsi="Cambria Math"/>
                    </w:rPr>
                    <m:t>cov</m:t>
                  </m:r>
                </m:sub>
              </m:sSub>
              <m:sSub>
                <m:sSubPr>
                  <m:ctrlPr>
                    <w:rPr>
                      <w:rFonts w:ascii="Cambria Math" w:hAnsi="Cambria Math"/>
                    </w:rPr>
                  </m:ctrlPr>
                </m:sSubPr>
                <m:e>
                  <m:r>
                    <m:rPr>
                      <m:sty m:val="bi"/>
                    </m:rPr>
                    <w:rPr>
                      <w:rFonts w:ascii="Cambria Math" w:hAnsi="Cambria Math"/>
                    </w:rPr>
                    <m:t>X</m:t>
                  </m:r>
                </m:e>
                <m:sub>
                  <m:r>
                    <w:rPr>
                      <w:rFonts w:ascii="Cambria Math" w:hAnsi="Cambria Math"/>
                    </w:rPr>
                    <m:t>cov</m:t>
                  </m:r>
                </m:sub>
              </m:sSub>
              <m:r>
                <w:rPr>
                  <w:rFonts w:ascii="Cambria Math" w:hAnsi="Cambria Math"/>
                </w:rPr>
                <m:t>)</m:t>
              </m:r>
            </m:den>
          </m:f>
          <m:r>
            <m:rPr>
              <m:sty m:val="p"/>
            </m:rPr>
            <w:rPr>
              <w:rFonts w:ascii="Cambria Math" w:hAnsi="Cambria Math"/>
            </w:rPr>
            <w:br/>
          </m:r>
        </m:oMath>
        <m:oMath>
          <m:r>
            <w:rPr>
              <w:rFonts w:ascii="Cambria Math" w:hAnsi="Cambria Math"/>
            </w:rPr>
            <m:t>=</m:t>
          </m:r>
          <m:eqArr>
            <m:eqArrPr>
              <m:ctrlPr>
                <w:rPr>
                  <w:rFonts w:ascii="Cambria Math" w:hAnsi="Cambria Math"/>
                  <w:i/>
                </w:rPr>
              </m:ctrlPr>
            </m:eqArrPr>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β</m:t>
                      </m:r>
                    </m:e>
                    <m:sub>
                      <m:r>
                        <w:rPr>
                          <w:rFonts w:ascii="Cambria Math" w:hAnsi="Cambria Math"/>
                        </w:rPr>
                        <m:t>1</m:t>
                      </m:r>
                    </m:sub>
                  </m:sSub>
                </m:sup>
              </m:sSup>
            </m:e>
          </m:eqArr>
        </m:oMath>
      </m:oMathPara>
    </w:p>
    <w:p w:rsidR="00E34858" w:rsidP="00135629" w14:paraId="74CDC88A" w14:textId="77777777"/>
    <w:p w:rsidR="004E7256" w:rsidRPr="00135629" w:rsidP="00135629" w14:paraId="159353CA" w14:textId="77777777"/>
    <w:p w:rsidR="00923DE9" w:rsidRPr="00135629" w:rsidP="00135629" w14:paraId="50023763" w14:textId="77777777">
      <w:r w:rsidRPr="00135629">
        <w:t xml:space="preserve">The duty day and by driving hour analysis may be extended to a multiple regression model where the multiple independent factors (e.g., number of breaks, number of nights in restart, cumulative hours prior to duty; in the case of driving hour analysis, this includes both the driving hour factor and other independent factors, such as number of night restarts, cumulative hours prior to duty, etc.) are all included in a single regression model to better account for correlation among factors.   </w:t>
      </w:r>
    </w:p>
    <w:p w:rsidR="00E01008" w:rsidRPr="00135629" w:rsidP="00135629" w14:paraId="0013A3FD" w14:textId="77777777"/>
    <w:p w:rsidR="005A431F" w:rsidP="00135629" w14:paraId="0C86DE48" w14:textId="77777777">
      <w:r w:rsidRPr="00135629">
        <w:t xml:space="preserve">The analysis on the time-to-event data will be based on a proportional hazards model (Cox regression) that models the hazard rate as a function of both a time-varying baseline hazard function and factors (hazards). Similar to the Poisson regression models, the coefficients of the Cox model can be interpreted as the relative risk (or, more precisely, hazard ratios) associated with each factor (e.g., 1-night vs 2-night restarts). The use of the proportional hazards model may depend on the nature of the events (crashes or inspection violations), as well </w:t>
      </w:r>
      <w:r w:rsidRPr="00135629" w:rsidR="00021391">
        <w:t>as</w:t>
      </w:r>
      <w:r w:rsidRPr="00135629">
        <w:t xml:space="preserve"> the data quality of the time provided of specific events (e.g., crash times provided in MCMIS</w:t>
      </w:r>
      <w:r w:rsidRPr="00021391">
        <w:t xml:space="preserve">). </w:t>
      </w:r>
    </w:p>
    <w:p w:rsidR="19F9F616" w:rsidRPr="00C67B61" w:rsidP="19F9F616" w14:paraId="2D0A1A92" w14:textId="77777777">
      <w:pPr>
        <w:spacing w:before="240" w:after="240" w:line="259" w:lineRule="auto"/>
      </w:pPr>
      <w:r w:rsidRPr="002B433B">
        <w:t>Model assumptions will be validated to ensure suitable model specification through a variety of diagnostic methods. We will use residual plots to assess the model form – including appropriateness of the link function, linearity of predictor effects, potential omitted variable bias, and homoscedasticity.  This includes checking that the mean of the residuals does not vary</w:t>
      </w:r>
      <w:r w:rsidR="00C67B61">
        <w:t xml:space="preserve"> systematically</w:t>
      </w:r>
      <w:r w:rsidRPr="002B433B">
        <w:t xml:space="preserve"> with the predictors, and that </w:t>
      </w:r>
      <w:r w:rsidRPr="00C67B61">
        <w:t xml:space="preserve">the variance of the residuals </w:t>
      </w:r>
      <w:r w:rsidR="00C67B61">
        <w:t xml:space="preserve">remains </w:t>
      </w:r>
      <w:r w:rsidRPr="00C67B61">
        <w:t xml:space="preserve">constant </w:t>
      </w:r>
      <w:r w:rsidR="00C67B61">
        <w:t xml:space="preserve">across the range </w:t>
      </w:r>
      <w:r w:rsidRPr="00C67B61">
        <w:t>for each predictor.</w:t>
      </w:r>
    </w:p>
    <w:p w:rsidR="0000194A" w:rsidRPr="0042028C" w:rsidP="002B433B" w14:paraId="77AA0CD3" w14:textId="77777777">
      <w:pPr>
        <w:spacing w:line="259" w:lineRule="auto"/>
      </w:pPr>
      <w:r w:rsidRPr="002B433B">
        <w:t xml:space="preserve">In addition to residual plots, we will examine overdispersion statistics to evaluate the variance structure. </w:t>
      </w:r>
      <w:r w:rsidRPr="00C67B61">
        <w:t>The Poisson model regression assumes that the data variance equals the mean, and</w:t>
      </w:r>
      <w:r>
        <w:t xml:space="preserve"> the observed crash and inspection data may exhibit overdispersion where the variance is greater than the mean. The dispersion can be calculated from the ratio of residual deviance to the residual degrees of freedom, and dispersion greater than 1 (&gt; 1.5-2.0) can be a strong indicator of overdispersion in the Poisson model, in which case the Negative Binomial model may be more appropriate. </w:t>
      </w:r>
    </w:p>
    <w:p w:rsidR="0000194A" w:rsidRPr="0042028C" w:rsidP="19F9F616" w14:paraId="51BAF4B6" w14:textId="77777777">
      <w:pPr>
        <w:spacing w:line="259" w:lineRule="auto"/>
      </w:pPr>
    </w:p>
    <w:p w:rsidR="0000194A" w:rsidRPr="0042028C" w:rsidP="19F9F616" w14:paraId="0C4ABFEA" w14:textId="77777777">
      <w:pPr>
        <w:spacing w:line="259" w:lineRule="auto"/>
      </w:pPr>
      <w:r>
        <w:t xml:space="preserve">Overdispersion can be indicative of a mismatch in the between the observed and expected count distribution due to a zero inflated data set. Zero inflation is the condition where the number of observations without crashes greatly exceeds what is expected in a Poisson (or Negative Binomial) distributed process. Given the infrequent nature of crashes, zero inflation is a likely </w:t>
      </w:r>
      <w:r>
        <w:t>issue with using the standard count models, in which case zero-inflated variants</w:t>
      </w:r>
      <w:r w:rsidR="00746BB1">
        <w:t xml:space="preserve"> </w:t>
      </w:r>
      <w:r>
        <w:t xml:space="preserve">(zero-inflated Poisson/zero-inflated Negative Binomial) are considered. </w:t>
      </w:r>
    </w:p>
    <w:p w:rsidR="0000194A" w:rsidRPr="0042028C" w:rsidP="19F9F616" w14:paraId="2AB126A9" w14:textId="77777777">
      <w:pPr>
        <w:spacing w:line="259" w:lineRule="auto"/>
      </w:pPr>
    </w:p>
    <w:p w:rsidR="0000194A" w:rsidRPr="0042028C" w:rsidP="19F9F616" w14:paraId="6924F324" w14:textId="77777777">
      <w:pPr>
        <w:spacing w:line="259" w:lineRule="auto"/>
      </w:pPr>
      <w:r>
        <w:t xml:space="preserve">Model selection among Cox, Poisson, Negative Binomial, and zero-inflated variants will be conducted by fitting all candidate models and comparing their goodness-of-fit using tests such as likelihood ratio test, as well as </w:t>
      </w:r>
      <w:r w:rsidRPr="00814804" w:rsidR="00A80000">
        <w:t>information criterion including the Akaike Information Criterion (</w:t>
      </w:r>
      <w:r>
        <w:t>AIC</w:t>
      </w:r>
      <w:r w:rsidRPr="00814804" w:rsidR="00A80000">
        <w:t>)</w:t>
      </w:r>
      <w:r>
        <w:t xml:space="preserve"> and </w:t>
      </w:r>
      <w:r w:rsidRPr="00814804" w:rsidR="00A80000">
        <w:t>Bayesian Information Criterion (</w:t>
      </w:r>
      <w:r>
        <w:t>BIC</w:t>
      </w:r>
      <w:r w:rsidRPr="00814804" w:rsidR="00A80000">
        <w:t>)</w:t>
      </w:r>
      <w:r w:rsidRPr="00814804">
        <w:t>.</w:t>
      </w:r>
    </w:p>
    <w:p w:rsidR="0000194A" w:rsidRPr="002B433B" w:rsidP="19F9F616" w14:paraId="49908C70" w14:textId="77777777">
      <w:pPr>
        <w:spacing w:line="259" w:lineRule="auto"/>
      </w:pPr>
    </w:p>
    <w:p w:rsidR="0000194A" w:rsidRPr="002B433B" w:rsidP="19F9F616" w14:paraId="49686ECB" w14:textId="77777777">
      <w:pPr>
        <w:spacing w:line="259" w:lineRule="auto"/>
      </w:pPr>
      <w:r w:rsidRPr="002B433B">
        <w:t xml:space="preserve">We will perform additional model diagnostics checks for highly influential observations (e.g. outliers), and multicollinearity. Influence diagnostics, such as Cook’s distance and leverage values, will be used to identify observations with disproportionate influence on model estimates. Multicollinearity among predictors will be assessed through Variance Inflation Factors (VIF) and correlation matrices. </w:t>
      </w:r>
    </w:p>
    <w:p w:rsidR="0000194A" w:rsidRPr="00255297" w:rsidP="19F9F616" w14:paraId="466F2DE0" w14:textId="77777777">
      <w:pPr>
        <w:spacing w:line="259" w:lineRule="auto"/>
      </w:pPr>
    </w:p>
    <w:p w:rsidR="0000194A" w:rsidRPr="0042028C" w:rsidP="19F9F616" w14:paraId="323FB2D5" w14:textId="77777777">
      <w:pPr>
        <w:spacing w:line="259" w:lineRule="auto"/>
      </w:pPr>
      <w:r w:rsidRPr="002B433B">
        <w:t xml:space="preserve">Independence among observations is a primary assumption in regression models.  Individual drivers will contribute multiple duty days (observations) in the study, and we expect to see some dependence between observations because of this. Due to the infrequency of crashes, </w:t>
      </w:r>
      <w:r w:rsidRPr="00255297">
        <w:t>we</w:t>
      </w:r>
      <w:r w:rsidRPr="19F9F616">
        <w:t xml:space="preserve"> anticipate that crash occurrences within the same driver will be largely independent across day</w:t>
      </w:r>
      <w:r w:rsidRPr="002613D6">
        <w:t>s</w:t>
      </w:r>
      <w:r w:rsidRPr="002B433B">
        <w:t xml:space="preserve">. </w:t>
      </w:r>
      <w:r w:rsidRPr="002B433B" w:rsidR="00255297">
        <w:t xml:space="preserve">A mixed-effects model can account for interdependencies due to repeated observations from drivers and carriers. </w:t>
      </w:r>
      <w:r w:rsidRPr="002B433B">
        <w:t xml:space="preserve">One </w:t>
      </w:r>
      <w:r>
        <w:t xml:space="preserve">limitation of the proposed approach is that the study design excludes driver information from the analysis table and does not enable a driver to be associated across duty </w:t>
      </w:r>
      <w:r w:rsidRPr="00255297">
        <w:t xml:space="preserve">days. </w:t>
      </w:r>
      <w:r w:rsidRPr="002B433B">
        <w:t>As such, a mixed-effects model cannot be used, within-subject correlations cannot be explored, and the set of variables available for modeling is constrained</w:t>
      </w:r>
      <w:r w:rsidRPr="00255297">
        <w:t>.</w:t>
      </w:r>
      <w:r>
        <w:t xml:space="preserve"> </w:t>
      </w:r>
      <w:r w:rsidRPr="00FB4625" w:rsidR="00255297">
        <w:t xml:space="preserve">Using </w:t>
      </w:r>
      <w:r w:rsidRPr="002B433B" w:rsidR="005935A3">
        <w:t>a</w:t>
      </w:r>
      <w:r w:rsidRPr="00FB4625" w:rsidR="00255297">
        <w:t xml:space="preserve"> fixed</w:t>
      </w:r>
      <w:r w:rsidRPr="002B433B" w:rsidR="009B24AA">
        <w:t>-</w:t>
      </w:r>
      <w:r w:rsidRPr="00FB4625" w:rsidR="00255297">
        <w:t>effects model</w:t>
      </w:r>
      <w:r w:rsidRPr="002B433B" w:rsidR="00C56D03">
        <w:t>,</w:t>
      </w:r>
      <w:r w:rsidRPr="00FB4625" w:rsidR="00255297">
        <w:t xml:space="preserve"> </w:t>
      </w:r>
      <w:r w:rsidRPr="002B433B" w:rsidR="00255297">
        <w:t xml:space="preserve">we will include </w:t>
      </w:r>
      <w:r w:rsidRPr="00FB4625" w:rsidR="00255297">
        <w:t xml:space="preserve">covariates to capture driver and carrier </w:t>
      </w:r>
      <w:r w:rsidRPr="002B433B" w:rsidR="00193121">
        <w:t xml:space="preserve">effects </w:t>
      </w:r>
      <w:r w:rsidRPr="00FB4625" w:rsidR="00255297">
        <w:t xml:space="preserve">in </w:t>
      </w:r>
      <w:r w:rsidRPr="002B433B" w:rsidR="00C56D03">
        <w:t xml:space="preserve">a </w:t>
      </w:r>
      <w:r w:rsidRPr="00FB4625" w:rsidR="00255297">
        <w:t>deidentified manner.</w:t>
      </w:r>
    </w:p>
    <w:p w:rsidR="002613D6" w:rsidP="19F9F616" w14:paraId="50BC61A8" w14:textId="77777777">
      <w:pPr>
        <w:spacing w:line="259" w:lineRule="auto"/>
        <w:rPr>
          <w:highlight w:val="yellow"/>
        </w:rPr>
      </w:pPr>
    </w:p>
    <w:p w:rsidR="007330C2" w:rsidP="0016660B" w14:paraId="65FB406C" w14:textId="77777777">
      <w:r w:rsidRPr="00255297">
        <w:t>The study data collection design deidentifies data after six months, but it maintains subject identifiers to enable data to be updated within a six-month rolling window.</w:t>
      </w:r>
      <w:r>
        <w:t xml:space="preserve"> </w:t>
      </w:r>
      <w:r w:rsidRPr="0051228D" w:rsidR="002613D6">
        <w:t xml:space="preserve">We will validate the approach by performing a sensitivity analysis </w:t>
      </w:r>
      <w:r w:rsidR="00EE441B">
        <w:t>comparing</w:t>
      </w:r>
      <w:r w:rsidRPr="0051228D" w:rsidR="002613D6">
        <w:t xml:space="preserve"> mixed-effects versus fixed-effects study designs using a six-month snapshot before the data is deidentified</w:t>
      </w:r>
      <w:r w:rsidR="001700B9">
        <w:t xml:space="preserve"> and mixed-effects design is still possible</w:t>
      </w:r>
      <w:r w:rsidRPr="0051228D" w:rsidR="002613D6">
        <w:t>.</w:t>
      </w:r>
      <w:r w:rsidR="002613D6">
        <w:t xml:space="preserve"> </w:t>
      </w:r>
      <w:r w:rsidRPr="00255297" w:rsidR="002613D6">
        <w:t>This validation may be limited, however, because of: 1) the low rate of occurrence of crashes; and 2) the lag in reporting incidents through MCMIS, which may further limit the usable time period to less than six</w:t>
      </w:r>
      <w:r w:rsidR="002613D6">
        <w:t xml:space="preserve"> months.</w:t>
      </w:r>
    </w:p>
    <w:p w:rsidR="007330C2" w:rsidRPr="00135629" w:rsidP="0016660B" w14:paraId="72E359A1" w14:textId="77777777"/>
    <w:p w:rsidR="00923DE9" w:rsidRPr="0016660B" w:rsidP="0016660B" w14:paraId="16F272FF" w14:textId="77777777">
      <w:pPr>
        <w:rPr>
          <w:b/>
          <w:bCs/>
        </w:rPr>
      </w:pPr>
      <w:r w:rsidRPr="0016660B">
        <w:rPr>
          <w:b/>
          <w:bCs/>
        </w:rPr>
        <w:t>2.</w:t>
      </w:r>
      <w:r w:rsidR="00077FC2">
        <w:rPr>
          <w:b/>
          <w:bCs/>
        </w:rPr>
        <w:t>5</w:t>
      </w:r>
      <w:r w:rsidR="002B095F">
        <w:rPr>
          <w:b/>
          <w:bCs/>
        </w:rPr>
        <w:t>.</w:t>
      </w:r>
      <w:r w:rsidRPr="0016660B">
        <w:rPr>
          <w:b/>
          <w:bCs/>
        </w:rPr>
        <w:t xml:space="preserve"> Power Analysis and Sample Size Calculations</w:t>
      </w:r>
    </w:p>
    <w:p w:rsidR="0029061E" w:rsidP="00135629" w14:paraId="6E325DB3" w14:textId="77777777"/>
    <w:p w:rsidR="002702ED" w:rsidP="00135629" w14:paraId="1D419DA8" w14:textId="77777777">
      <w:r w:rsidRPr="0016660B">
        <w:rPr>
          <w:b/>
          <w:bCs/>
        </w:rPr>
        <w:t xml:space="preserve">DESCRIBE PROCEDURES FOR COLLECTING INFORMATION, INCLUDING STATISTICAL METHODOLOGY FOR STRATIFICATION AND SAMPLE SELECTION, ESTIMATION PROCEDURES, DEGREE OF ACCURACY NEEDED, AND LESS THAN ANNUAL PERIODIC DATA CYCLES.  </w:t>
      </w:r>
    </w:p>
    <w:p w:rsidR="002702ED" w:rsidRPr="0029061E" w:rsidP="00135629" w14:paraId="7949F2CC" w14:textId="77777777"/>
    <w:p w:rsidR="00433D49" w:rsidP="008E0216" w14:paraId="24F461DD" w14:textId="77777777">
      <w:r>
        <w:t>Our overall target sample</w:t>
      </w:r>
      <w:r w:rsidR="00C7031C">
        <w:t xml:space="preserve"> size,</w:t>
      </w:r>
      <w:r>
        <w:t xml:space="preserve"> </w:t>
      </w:r>
      <w:r w:rsidR="00C7031C">
        <w:t>over the 4-year study, of</w:t>
      </w:r>
      <w:r w:rsidRPr="00E079C3">
        <w:t xml:space="preserve"> 52,750 driver years</w:t>
      </w:r>
      <w:r w:rsidR="00C7031C">
        <w:t xml:space="preserve"> was based on our power analysis. </w:t>
      </w:r>
      <w:r w:rsidRPr="00D35178" w:rsidR="00630F53">
        <w:t xml:space="preserve">The power analysis was </w:t>
      </w:r>
      <w:r w:rsidRPr="00D35178" w:rsidR="008E0216">
        <w:t>conducted</w:t>
      </w:r>
      <w:r w:rsidRPr="00D35178" w:rsidR="00630F53">
        <w:t xml:space="preserve"> to determine the sample size needed to answer the research questions. </w:t>
      </w:r>
      <w:r w:rsidRPr="002B433B" w:rsidR="00630F53">
        <w:t>Based on a literature revie</w:t>
      </w:r>
      <w:r w:rsidRPr="002B433B" w:rsidR="004F1ED4">
        <w:t>w, we found</w:t>
      </w:r>
      <w:r w:rsidRPr="002B433B" w:rsidR="00630F53">
        <w:t xml:space="preserve"> that the relative risk of </w:t>
      </w:r>
      <w:r w:rsidRPr="002B433B" w:rsidR="004F1ED4">
        <w:t xml:space="preserve">the various schedule </w:t>
      </w:r>
      <w:r w:rsidRPr="002B433B" w:rsidR="00630F53">
        <w:t xml:space="preserve">factors ranged from </w:t>
      </w:r>
      <w:r w:rsidR="007B3FE9">
        <w:t>1.</w:t>
      </w:r>
      <w:r w:rsidRPr="002B433B" w:rsidR="00630F53">
        <w:t>1</w:t>
      </w:r>
      <w:r w:rsidRPr="002B433B" w:rsidR="004F1ED4">
        <w:t xml:space="preserve">5x </w:t>
      </w:r>
      <w:r w:rsidRPr="002B433B" w:rsidR="00630F53">
        <w:t>to 1.5x</w:t>
      </w:r>
      <w:r w:rsidRPr="00D35178" w:rsidR="00350DED">
        <w:t>.</w:t>
      </w:r>
      <w:r w:rsidR="00623696">
        <w:t xml:space="preserve"> </w:t>
      </w:r>
      <w:r w:rsidRPr="00D35178" w:rsidR="00493F53">
        <w:t>These effect sizes are operationally meaningful</w:t>
      </w:r>
      <w:r w:rsidRPr="002B433B" w:rsidR="00190B44">
        <w:t xml:space="preserve"> and translate </w:t>
      </w:r>
      <w:r w:rsidR="007B3FE9">
        <w:t>in</w:t>
      </w:r>
      <w:r w:rsidRPr="002B433B" w:rsidR="00190B44">
        <w:t xml:space="preserve">to an </w:t>
      </w:r>
      <w:r w:rsidR="00623696">
        <w:t>additional</w:t>
      </w:r>
      <w:r w:rsidRPr="002B433B" w:rsidR="00190B44">
        <w:t xml:space="preserve"> number of </w:t>
      </w:r>
      <w:r w:rsidR="007B3FE9">
        <w:t>crashes</w:t>
      </w:r>
      <w:r w:rsidR="00623696">
        <w:t>.</w:t>
      </w:r>
      <w:r w:rsidR="007B3FE9">
        <w:t xml:space="preserve"> </w:t>
      </w:r>
    </w:p>
    <w:p w:rsidR="00433D49" w:rsidP="008E0216" w14:paraId="4E5B2889" w14:textId="77777777"/>
    <w:p w:rsidR="00623696" w:rsidP="008E0216" w14:paraId="1A2EF407" w14:textId="77777777">
      <w:r>
        <w:t>For example, in 2021 there were 1</w:t>
      </w:r>
      <w:r w:rsidR="0066212C">
        <w:t>19</w:t>
      </w:r>
      <w:r>
        <w:t>,</w:t>
      </w:r>
      <w:r w:rsidR="0066212C">
        <w:t>462</w:t>
      </w:r>
      <w:r>
        <w:t xml:space="preserve"> crashes</w:t>
      </w:r>
      <w:r w:rsidR="00715FCE">
        <w:t xml:space="preserve"> involving combination trucks</w:t>
      </w:r>
      <w:r w:rsidR="004334BF">
        <w:rPr>
          <w:vertAlign w:val="superscript"/>
        </w:rPr>
        <w:t>7</w:t>
      </w:r>
      <w:r>
        <w:t xml:space="preserve">. </w:t>
      </w:r>
      <w:r w:rsidR="00E174C3">
        <w:t>A</w:t>
      </w:r>
      <w:r>
        <w:t>ssum</w:t>
      </w:r>
      <w:r w:rsidR="00E174C3">
        <w:t>ing</w:t>
      </w:r>
      <w:r>
        <w:t xml:space="preserve"> 98% of hours driven are in the first 10 hours, and 2% of hours driven are in the 11</w:t>
      </w:r>
      <w:r w:rsidRPr="002B433B">
        <w:rPr>
          <w:vertAlign w:val="superscript"/>
        </w:rPr>
        <w:t>th</w:t>
      </w:r>
      <w:r>
        <w:t xml:space="preserve"> hour.  If driving in the 11</w:t>
      </w:r>
      <w:r w:rsidRPr="002B433B">
        <w:rPr>
          <w:vertAlign w:val="superscript"/>
        </w:rPr>
        <w:t>th</w:t>
      </w:r>
      <w:r>
        <w:t xml:space="preserve"> hour presents no increased risk, we expect there to be </w:t>
      </w:r>
      <w:r w:rsidR="00E174C3">
        <w:t>2</w:t>
      </w:r>
      <w:r>
        <w:t>,</w:t>
      </w:r>
      <w:r w:rsidR="0066212C">
        <w:t>389</w:t>
      </w:r>
      <w:r>
        <w:t xml:space="preserve"> crashes</w:t>
      </w:r>
      <w:r w:rsidR="00715FCE">
        <w:t xml:space="preserve"> (i.e., 2% of crashes)</w:t>
      </w:r>
      <w:r>
        <w:t xml:space="preserve"> in the 11</w:t>
      </w:r>
      <w:r w:rsidRPr="002B433B">
        <w:rPr>
          <w:vertAlign w:val="superscript"/>
        </w:rPr>
        <w:t>th</w:t>
      </w:r>
      <w:r>
        <w:t xml:space="preserve"> hour.  </w:t>
      </w:r>
      <w:r w:rsidR="00E174C3">
        <w:t xml:space="preserve">If </w:t>
      </w:r>
      <w:r>
        <w:t>there w</w:t>
      </w:r>
      <w:r w:rsidR="00E174C3">
        <w:t xml:space="preserve">as 1.5x </w:t>
      </w:r>
      <w:r>
        <w:t xml:space="preserve">increased </w:t>
      </w:r>
      <w:r w:rsidR="00E174C3">
        <w:t xml:space="preserve">risk of </w:t>
      </w:r>
      <w:r>
        <w:t>a crash</w:t>
      </w:r>
      <w:r w:rsidR="00715FCE">
        <w:t xml:space="preserve"> (i.e., 50% more or 3% of crashes)</w:t>
      </w:r>
      <w:r w:rsidR="00E174C3">
        <w:t>, then we would</w:t>
      </w:r>
      <w:r>
        <w:t xml:space="preserve"> expect</w:t>
      </w:r>
      <w:r w:rsidR="00E174C3">
        <w:t xml:space="preserve"> 3</w:t>
      </w:r>
      <w:r>
        <w:t>,</w:t>
      </w:r>
      <w:r w:rsidR="0066212C">
        <w:t>584</w:t>
      </w:r>
      <w:r w:rsidR="00E174C3">
        <w:t xml:space="preserve"> crashes</w:t>
      </w:r>
      <w:r w:rsidR="00715FCE">
        <w:t xml:space="preserve"> </w:t>
      </w:r>
      <w:r w:rsidR="00E174C3">
        <w:t>in the 11</w:t>
      </w:r>
      <w:r w:rsidRPr="002B433B" w:rsidR="00E174C3">
        <w:rPr>
          <w:vertAlign w:val="superscript"/>
        </w:rPr>
        <w:t>th</w:t>
      </w:r>
      <w:r w:rsidR="00E174C3">
        <w:t xml:space="preserve"> hour.  This effect size translates to 1</w:t>
      </w:r>
      <w:r>
        <w:t>,</w:t>
      </w:r>
      <w:r w:rsidR="0066212C">
        <w:t>195</w:t>
      </w:r>
      <w:r w:rsidR="00E174C3">
        <w:t xml:space="preserve"> additional crashes </w:t>
      </w:r>
      <w:r w:rsidR="00715FCE">
        <w:t>(i.e., 3</w:t>
      </w:r>
      <w:r w:rsidR="0066212C">
        <w:t>,</w:t>
      </w:r>
      <w:r w:rsidRPr="00C15BF4" w:rsidR="00C15BF4">
        <w:rPr>
          <w:color w:val="000000" w:themeColor="text1"/>
        </w:rPr>
        <w:t>584</w:t>
      </w:r>
      <w:r w:rsidR="00715FCE">
        <w:t>-2,</w:t>
      </w:r>
      <w:r w:rsidRPr="00C15BF4" w:rsidR="00C15BF4">
        <w:rPr>
          <w:color w:val="000000" w:themeColor="text1"/>
        </w:rPr>
        <w:t>389</w:t>
      </w:r>
      <w:r w:rsidR="00715FCE">
        <w:t>=1,</w:t>
      </w:r>
      <w:r w:rsidR="0066212C">
        <w:t>195</w:t>
      </w:r>
      <w:r w:rsidR="00715FCE">
        <w:t xml:space="preserve">) </w:t>
      </w:r>
      <w:r>
        <w:t xml:space="preserve">per year </w:t>
      </w:r>
      <w:r w:rsidR="00E174C3">
        <w:t>due to driving in the 11</w:t>
      </w:r>
      <w:r w:rsidRPr="002B433B" w:rsidR="00E174C3">
        <w:rPr>
          <w:vertAlign w:val="superscript"/>
        </w:rPr>
        <w:t>th</w:t>
      </w:r>
      <w:r w:rsidR="00E174C3">
        <w:t xml:space="preserve"> hour.</w:t>
      </w:r>
    </w:p>
    <w:p w:rsidR="00D35178" w:rsidP="008E0216" w14:paraId="1654655F" w14:textId="77777777"/>
    <w:p w:rsidR="00433D49" w:rsidP="00433D49" w14:paraId="3EC1A329" w14:textId="77777777">
      <w:r w:rsidRPr="002B433B">
        <w:t>The</w:t>
      </w:r>
      <w:r w:rsidRPr="002B433B" w:rsidR="00630F53">
        <w:t xml:space="preserve"> study aims to detect differences at least as great</w:t>
      </w:r>
      <w:r w:rsidRPr="002B433B" w:rsidR="004F1ED4">
        <w:t xml:space="preserve"> as</w:t>
      </w:r>
      <w:r w:rsidRPr="002B433B" w:rsidR="00630F53">
        <w:t xml:space="preserve"> the prior </w:t>
      </w:r>
      <w:r w:rsidR="00355628">
        <w:t xml:space="preserve">published </w:t>
      </w:r>
      <w:r w:rsidRPr="002B433B" w:rsidR="00630F53">
        <w:t xml:space="preserve">estimates. </w:t>
      </w:r>
      <w:r w:rsidRPr="002B433B" w:rsidR="004D0040">
        <w:t xml:space="preserve">The </w:t>
      </w:r>
      <w:r w:rsidRPr="00D35178" w:rsidR="004D0040">
        <w:t xml:space="preserve">sample size </w:t>
      </w:r>
      <w:r w:rsidRPr="00D35178">
        <w:t>estimates were based on assumptions of</w:t>
      </w:r>
      <w:r w:rsidRPr="00D35178" w:rsidR="004D0040">
        <w:t xml:space="preserve"> the prevalence of different conditions (e.g., frequency of 1-night, 2-night restarts), and b</w:t>
      </w:r>
      <w:r w:rsidRPr="002B433B" w:rsidR="00630F53">
        <w:t xml:space="preserve">ased on </w:t>
      </w:r>
      <w:r w:rsidRPr="002B433B">
        <w:t xml:space="preserve">a power of 80% (β = 0.80) and a significance level of 5% (α = 0.05), the study requires </w:t>
      </w:r>
      <w:r w:rsidRPr="002B433B" w:rsidR="00630F53">
        <w:t>between 10,000 and 55,000 driver years of data</w:t>
      </w:r>
      <w:r w:rsidR="009D1C32">
        <w:t xml:space="preserve"> (based on an average of 100,000 miles driven per driver year) </w:t>
      </w:r>
      <w:r w:rsidRPr="002B433B" w:rsidR="00630F53">
        <w:t>to detect that difference</w:t>
      </w:r>
      <w:r w:rsidRPr="002B433B" w:rsidR="004D0040">
        <w:t xml:space="preserve"> for all the different research aims</w:t>
      </w:r>
      <w:r w:rsidRPr="002B433B" w:rsidR="00630F53">
        <w:t xml:space="preserve">.  </w:t>
      </w:r>
    </w:p>
    <w:p w:rsidR="00433D49" w:rsidP="00433D49" w14:paraId="259D37D5" w14:textId="77777777"/>
    <w:p w:rsidR="00C52C55" w:rsidP="00C52C55" w14:paraId="1B73BB5A" w14:textId="77777777">
      <w:r>
        <w:t xml:space="preserve">Once we empanel a carrier the expectation is that drivers from that carrier will continue to contribute to the study sample for the remaining number of years left in the study. </w:t>
      </w:r>
      <w:r w:rsidRPr="002B433B" w:rsidR="00630F53">
        <w:t xml:space="preserve">Our enrollment plan of </w:t>
      </w:r>
      <w:r w:rsidRPr="002B433B" w:rsidR="008E0216">
        <w:t xml:space="preserve">60 carriers over the study period (Table 14) will provide </w:t>
      </w:r>
      <w:r w:rsidRPr="002B433B" w:rsidR="00630F53">
        <w:t>52,</w:t>
      </w:r>
      <w:r w:rsidRPr="002B433B" w:rsidR="004F1ED4">
        <w:t>750</w:t>
      </w:r>
      <w:r w:rsidRPr="002B433B" w:rsidR="00630F53">
        <w:t xml:space="preserve"> driver years</w:t>
      </w:r>
      <w:r w:rsidR="009B5781">
        <w:t xml:space="preserve"> </w:t>
      </w:r>
      <w:r w:rsidRPr="002B433B" w:rsidR="008E0216">
        <w:t>and is</w:t>
      </w:r>
      <w:r w:rsidRPr="002B433B" w:rsidR="00630F53">
        <w:t xml:space="preserve"> sufficient</w:t>
      </w:r>
      <w:r w:rsidRPr="002B433B" w:rsidR="004F1ED4">
        <w:t xml:space="preserve">ly powered </w:t>
      </w:r>
      <w:r w:rsidR="00355628">
        <w:t>to meet the study objectives</w:t>
      </w:r>
      <w:r w:rsidRPr="002B433B" w:rsidR="004F1ED4">
        <w:t>.</w:t>
      </w:r>
      <w:r w:rsidR="007B3FE9">
        <w:t xml:space="preserve"> </w:t>
      </w:r>
      <w:r>
        <w:t xml:space="preserve">The study is not powered to detect true effect sizes below the minimum detectable difference (Table 20) but does establish an upper bound for these estimates. For example, focusing on the cumulative driving hours on duty, based on the literature we anticipate the effect of 1.5x.  If the observed effect size is below a relative risk 1.39, the minimum detectable effect size, the sample size will not have sufficient power to detect the effect but will establish the effect is below 1.39x. </w:t>
      </w:r>
    </w:p>
    <w:p w:rsidR="00C52C55" w:rsidP="00C52C55" w14:paraId="41E71E6C" w14:textId="77777777"/>
    <w:p w:rsidR="00433D49" w:rsidP="00433D49" w14:paraId="5A86EDF3" w14:textId="77777777">
      <w:r w:rsidRPr="006E63E3">
        <w:t>W</w:t>
      </w:r>
      <w:r w:rsidRPr="00D35178">
        <w:t>e will periodically assess observed incident frequency to confirm a priori assumptions about prevalence and effect sizes and update the sample size requirements as appropriate.</w:t>
      </w:r>
    </w:p>
    <w:p w:rsidR="00433D49" w:rsidP="008E0216" w14:paraId="05635F85" w14:textId="77777777"/>
    <w:p w:rsidR="00015BC3" w:rsidP="006244E7" w14:paraId="5054156E" w14:textId="77777777"/>
    <w:p w:rsidR="00250FA6" w:rsidRPr="002B433B" w:rsidP="002B433B" w14:paraId="44C70BEE" w14:textId="77777777">
      <w:pPr>
        <w:pStyle w:val="Caption"/>
        <w:jc w:val="center"/>
        <w:rPr>
          <w:sz w:val="20"/>
          <w:szCs w:val="20"/>
        </w:rPr>
      </w:pPr>
      <w:r w:rsidRPr="0016660B">
        <w:rPr>
          <w:rFonts w:ascii="Times New Roman" w:hAnsi="Times New Roman" w:cs="Times New Roman"/>
          <w:b/>
          <w:bCs/>
          <w:i w:val="0"/>
          <w:iCs w:val="0"/>
          <w:color w:val="auto"/>
          <w:sz w:val="20"/>
          <w:szCs w:val="20"/>
        </w:rPr>
        <w:t>Table</w:t>
      </w:r>
      <w:r>
        <w:rPr>
          <w:rFonts w:ascii="Times New Roman" w:hAnsi="Times New Roman" w:cs="Times New Roman"/>
          <w:b/>
          <w:bCs/>
          <w:i w:val="0"/>
          <w:iCs w:val="0"/>
          <w:color w:val="auto"/>
          <w:sz w:val="20"/>
          <w:szCs w:val="20"/>
        </w:rPr>
        <w:t xml:space="preserve"> 20</w:t>
      </w:r>
      <w:r w:rsidRPr="0016660B">
        <w:rPr>
          <w:rFonts w:ascii="Times New Roman" w:hAnsi="Times New Roman" w:cs="Times New Roman"/>
          <w:i w:val="0"/>
          <w:iCs w:val="0"/>
          <w:color w:val="auto"/>
          <w:sz w:val="20"/>
          <w:szCs w:val="20"/>
        </w:rPr>
        <w:t xml:space="preserve">: </w:t>
      </w:r>
      <w:r>
        <w:rPr>
          <w:rFonts w:ascii="Times New Roman" w:hAnsi="Times New Roman" w:cs="Times New Roman"/>
          <w:i w:val="0"/>
          <w:iCs w:val="0"/>
          <w:color w:val="auto"/>
          <w:sz w:val="20"/>
          <w:szCs w:val="20"/>
        </w:rPr>
        <w:t xml:space="preserve">Minimum Detectable </w:t>
      </w:r>
      <w:r w:rsidR="00C52C55">
        <w:rPr>
          <w:rFonts w:ascii="Times New Roman" w:hAnsi="Times New Roman" w:cs="Times New Roman"/>
          <w:i w:val="0"/>
          <w:iCs w:val="0"/>
          <w:color w:val="auto"/>
          <w:sz w:val="20"/>
          <w:szCs w:val="20"/>
        </w:rPr>
        <w:t>Rate</w:t>
      </w:r>
      <w:r>
        <w:rPr>
          <w:rFonts w:ascii="Times New Roman" w:hAnsi="Times New Roman" w:cs="Times New Roman"/>
          <w:i w:val="0"/>
          <w:iCs w:val="0"/>
          <w:color w:val="auto"/>
          <w:sz w:val="20"/>
          <w:szCs w:val="20"/>
        </w:rPr>
        <w:t xml:space="preserve"> for Target Sample Size</w:t>
      </w:r>
    </w:p>
    <w:tbl>
      <w:tblPr>
        <w:tblStyle w:val="TableGrid"/>
        <w:tblW w:w="0" w:type="auto"/>
        <w:tblLook w:val="04A0"/>
      </w:tblPr>
      <w:tblGrid>
        <w:gridCol w:w="3685"/>
        <w:gridCol w:w="1890"/>
        <w:gridCol w:w="1620"/>
        <w:gridCol w:w="2155"/>
      </w:tblGrid>
      <w:tr w14:paraId="33C8B068" w14:textId="77777777" w:rsidTr="002B433B">
        <w:tblPrEx>
          <w:tblW w:w="0" w:type="auto"/>
          <w:tblLook w:val="04A0"/>
        </w:tblPrEx>
        <w:tc>
          <w:tcPr>
            <w:tcW w:w="3685" w:type="dxa"/>
            <w:shd w:val="clear" w:color="auto" w:fill="D9D9D9" w:themeFill="background1" w:themeFillShade="D9"/>
          </w:tcPr>
          <w:p w:rsidR="004D0E9D" w:rsidRPr="002B433B" w:rsidP="00135629" w14:paraId="232183AD" w14:textId="77777777">
            <w:pPr>
              <w:rPr>
                <w:b/>
                <w:bCs/>
              </w:rPr>
            </w:pPr>
            <w:r w:rsidRPr="002B433B">
              <w:rPr>
                <w:b/>
                <w:bCs/>
              </w:rPr>
              <w:t>Study Aim</w:t>
            </w:r>
          </w:p>
        </w:tc>
        <w:tc>
          <w:tcPr>
            <w:tcW w:w="1890" w:type="dxa"/>
            <w:shd w:val="clear" w:color="auto" w:fill="D9D9D9" w:themeFill="background1" w:themeFillShade="D9"/>
          </w:tcPr>
          <w:p w:rsidR="004D0E9D" w:rsidRPr="002B433B" w:rsidP="00135629" w14:paraId="57C551FF" w14:textId="77777777">
            <w:pPr>
              <w:rPr>
                <w:b/>
                <w:bCs/>
              </w:rPr>
            </w:pPr>
            <w:r w:rsidRPr="002B433B">
              <w:rPr>
                <w:b/>
                <w:bCs/>
              </w:rPr>
              <w:t>Minimum Detectable Relative Rate</w:t>
            </w:r>
            <w:r>
              <w:rPr>
                <w:b/>
                <w:bCs/>
              </w:rPr>
              <w:t xml:space="preserve"> Given 52,</w:t>
            </w:r>
            <w:r w:rsidR="0034629C">
              <w:rPr>
                <w:b/>
                <w:bCs/>
              </w:rPr>
              <w:t xml:space="preserve">750 </w:t>
            </w:r>
            <w:r>
              <w:rPr>
                <w:b/>
                <w:bCs/>
              </w:rPr>
              <w:t>Driver Years</w:t>
            </w:r>
          </w:p>
        </w:tc>
        <w:tc>
          <w:tcPr>
            <w:tcW w:w="1620" w:type="dxa"/>
            <w:shd w:val="clear" w:color="auto" w:fill="D9D9D9" w:themeFill="background1" w:themeFillShade="D9"/>
          </w:tcPr>
          <w:p w:rsidR="004D0E9D" w:rsidRPr="004D0E9D" w:rsidP="00135629" w14:paraId="47E78EC9" w14:textId="77777777">
            <w:pPr>
              <w:rPr>
                <w:b/>
                <w:bCs/>
              </w:rPr>
            </w:pPr>
            <w:r>
              <w:rPr>
                <w:b/>
                <w:bCs/>
              </w:rPr>
              <w:t xml:space="preserve">Target </w:t>
            </w:r>
            <w:r w:rsidR="00C52C55">
              <w:rPr>
                <w:b/>
                <w:bCs/>
              </w:rPr>
              <w:t>Relative Rate (</w:t>
            </w:r>
            <w:r>
              <w:rPr>
                <w:b/>
                <w:bCs/>
              </w:rPr>
              <w:t>Effect Size</w:t>
            </w:r>
            <w:r w:rsidR="00C52C55">
              <w:rPr>
                <w:b/>
                <w:bCs/>
              </w:rPr>
              <w:t>)</w:t>
            </w:r>
            <w:r>
              <w:rPr>
                <w:b/>
                <w:bCs/>
              </w:rPr>
              <w:t xml:space="preserve"> </w:t>
            </w:r>
            <w:r w:rsidR="004F1ED4">
              <w:rPr>
                <w:b/>
                <w:bCs/>
              </w:rPr>
              <w:t xml:space="preserve"> </w:t>
            </w:r>
          </w:p>
        </w:tc>
        <w:tc>
          <w:tcPr>
            <w:tcW w:w="2155" w:type="dxa"/>
            <w:shd w:val="clear" w:color="auto" w:fill="D9D9D9" w:themeFill="background1" w:themeFillShade="D9"/>
          </w:tcPr>
          <w:p w:rsidR="004D0E9D" w:rsidP="00135629" w14:paraId="195D851F" w14:textId="77777777">
            <w:pPr>
              <w:rPr>
                <w:b/>
                <w:bCs/>
              </w:rPr>
            </w:pPr>
            <w:r>
              <w:rPr>
                <w:b/>
                <w:bCs/>
              </w:rPr>
              <w:t xml:space="preserve">Minimum Sample size Given </w:t>
            </w:r>
            <w:r w:rsidR="00630F53">
              <w:rPr>
                <w:b/>
                <w:bCs/>
              </w:rPr>
              <w:t>Target</w:t>
            </w:r>
            <w:r>
              <w:rPr>
                <w:b/>
                <w:bCs/>
              </w:rPr>
              <w:t xml:space="preserve"> Effect Size</w:t>
            </w:r>
          </w:p>
        </w:tc>
      </w:tr>
      <w:tr w14:paraId="31CB27A7" w14:textId="77777777" w:rsidTr="002B433B">
        <w:tblPrEx>
          <w:tblW w:w="0" w:type="auto"/>
          <w:tblLook w:val="04A0"/>
        </w:tblPrEx>
        <w:tc>
          <w:tcPr>
            <w:tcW w:w="3685" w:type="dxa"/>
          </w:tcPr>
          <w:p w:rsidR="004D0E9D" w:rsidRPr="00250FA6" w:rsidP="004D0E9D" w14:paraId="35245DD3" w14:textId="77777777">
            <w:r w:rsidRPr="00250FA6">
              <w:t>Cumulative driving hours on duty</w:t>
            </w:r>
          </w:p>
        </w:tc>
        <w:tc>
          <w:tcPr>
            <w:tcW w:w="1890" w:type="dxa"/>
          </w:tcPr>
          <w:p w:rsidR="004D0E9D" w:rsidP="004D0E9D" w14:paraId="4F302B89" w14:textId="77777777">
            <w:r>
              <w:t>1.</w:t>
            </w:r>
            <w:r w:rsidR="004D0040">
              <w:t>39</w:t>
            </w:r>
          </w:p>
        </w:tc>
        <w:tc>
          <w:tcPr>
            <w:tcW w:w="1620" w:type="dxa"/>
          </w:tcPr>
          <w:p w:rsidR="005C09B8" w:rsidP="004D0E9D" w14:paraId="06031657" w14:textId="77777777">
            <w:r>
              <w:t>1.5</w:t>
            </w:r>
          </w:p>
        </w:tc>
        <w:tc>
          <w:tcPr>
            <w:tcW w:w="2155" w:type="dxa"/>
          </w:tcPr>
          <w:p w:rsidR="004D0E9D" w:rsidP="004D0E9D" w14:paraId="3F7CCCD7" w14:textId="77777777">
            <w:r w:rsidRPr="0016660B">
              <w:t>35,000</w:t>
            </w:r>
          </w:p>
        </w:tc>
      </w:tr>
      <w:tr w14:paraId="172141E8" w14:textId="77777777" w:rsidTr="002B433B">
        <w:tblPrEx>
          <w:tblW w:w="0" w:type="auto"/>
          <w:tblLook w:val="04A0"/>
        </w:tblPrEx>
        <w:tc>
          <w:tcPr>
            <w:tcW w:w="3685" w:type="dxa"/>
          </w:tcPr>
          <w:p w:rsidR="004D0E9D" w:rsidRPr="00250FA6" w:rsidP="004D0E9D" w14:paraId="59BCF973" w14:textId="77777777">
            <w:r w:rsidRPr="00250FA6">
              <w:t>Cumulative hours in prior 7 days</w:t>
            </w:r>
          </w:p>
        </w:tc>
        <w:tc>
          <w:tcPr>
            <w:tcW w:w="1890" w:type="dxa"/>
          </w:tcPr>
          <w:p w:rsidR="004D0E9D" w:rsidP="004D0E9D" w14:paraId="41BA8B11" w14:textId="77777777">
            <w:r>
              <w:t>1.1</w:t>
            </w:r>
            <w:r w:rsidR="004D0040">
              <w:t>8</w:t>
            </w:r>
          </w:p>
        </w:tc>
        <w:tc>
          <w:tcPr>
            <w:tcW w:w="1620" w:type="dxa"/>
          </w:tcPr>
          <w:p w:rsidR="004D0E9D" w:rsidP="004D0E9D" w14:paraId="2C75E04C" w14:textId="77777777">
            <w:r>
              <w:t>1.2</w:t>
            </w:r>
          </w:p>
        </w:tc>
        <w:tc>
          <w:tcPr>
            <w:tcW w:w="2155" w:type="dxa"/>
          </w:tcPr>
          <w:p w:rsidR="004D0E9D" w:rsidP="004D0E9D" w14:paraId="412A8446" w14:textId="77777777">
            <w:r w:rsidRPr="0016660B">
              <w:t>35,000</w:t>
            </w:r>
          </w:p>
        </w:tc>
      </w:tr>
      <w:tr w14:paraId="0E6CA4BB" w14:textId="77777777" w:rsidTr="002B433B">
        <w:tblPrEx>
          <w:tblW w:w="0" w:type="auto"/>
          <w:tblLook w:val="04A0"/>
        </w:tblPrEx>
        <w:tc>
          <w:tcPr>
            <w:tcW w:w="3685" w:type="dxa"/>
          </w:tcPr>
          <w:p w:rsidR="004D0E9D" w:rsidRPr="00250FA6" w:rsidP="004D0E9D" w14:paraId="71EA17E7" w14:textId="77777777">
            <w:r w:rsidRPr="00250FA6">
              <w:t>Number of nights restart period</w:t>
            </w:r>
          </w:p>
        </w:tc>
        <w:tc>
          <w:tcPr>
            <w:tcW w:w="1890" w:type="dxa"/>
          </w:tcPr>
          <w:p w:rsidR="004D0E9D" w:rsidP="004D0E9D" w14:paraId="3CA3E2B8" w14:textId="77777777">
            <w:r>
              <w:t>1.1</w:t>
            </w:r>
            <w:r w:rsidR="004D0040">
              <w:t>7</w:t>
            </w:r>
          </w:p>
        </w:tc>
        <w:tc>
          <w:tcPr>
            <w:tcW w:w="1620" w:type="dxa"/>
          </w:tcPr>
          <w:p w:rsidR="004D0E9D" w:rsidP="004D0E9D" w14:paraId="763D7299" w14:textId="77777777">
            <w:r>
              <w:t>1.</w:t>
            </w:r>
            <w:r w:rsidR="00C33D56">
              <w:t>2</w:t>
            </w:r>
          </w:p>
        </w:tc>
        <w:tc>
          <w:tcPr>
            <w:tcW w:w="2155" w:type="dxa"/>
          </w:tcPr>
          <w:p w:rsidR="004D0E9D" w:rsidP="004D0E9D" w14:paraId="2E625BE8" w14:textId="77777777">
            <w:r>
              <w:t>4</w:t>
            </w:r>
            <w:r w:rsidR="0034629C">
              <w:t>0</w:t>
            </w:r>
            <w:r>
              <w:t>,000</w:t>
            </w:r>
          </w:p>
        </w:tc>
      </w:tr>
      <w:tr w14:paraId="52B902F1" w14:textId="77777777" w:rsidTr="002B433B">
        <w:tblPrEx>
          <w:tblW w:w="0" w:type="auto"/>
          <w:tblLook w:val="04A0"/>
        </w:tblPrEx>
        <w:tc>
          <w:tcPr>
            <w:tcW w:w="3685" w:type="dxa"/>
          </w:tcPr>
          <w:p w:rsidR="004D0E9D" w:rsidRPr="00250FA6" w:rsidP="004D0E9D" w14:paraId="78F85E6A" w14:textId="77777777">
            <w:r w:rsidRPr="00250FA6">
              <w:t>Use of sleeper berth</w:t>
            </w:r>
          </w:p>
        </w:tc>
        <w:tc>
          <w:tcPr>
            <w:tcW w:w="1890" w:type="dxa"/>
          </w:tcPr>
          <w:p w:rsidR="004D0E9D" w:rsidP="004D0E9D" w14:paraId="6B4B0975" w14:textId="77777777">
            <w:r>
              <w:t>1.14</w:t>
            </w:r>
          </w:p>
        </w:tc>
        <w:tc>
          <w:tcPr>
            <w:tcW w:w="1620" w:type="dxa"/>
          </w:tcPr>
          <w:p w:rsidR="004D0E9D" w:rsidP="004D0E9D" w14:paraId="38B6BE92" w14:textId="77777777">
            <w:r>
              <w:t>1.5</w:t>
            </w:r>
          </w:p>
        </w:tc>
        <w:tc>
          <w:tcPr>
            <w:tcW w:w="2155" w:type="dxa"/>
          </w:tcPr>
          <w:p w:rsidR="004D0E9D" w:rsidP="004D0E9D" w14:paraId="55B9C4A0" w14:textId="77777777">
            <w:r w:rsidRPr="00135629">
              <w:t>10,000</w:t>
            </w:r>
          </w:p>
        </w:tc>
      </w:tr>
      <w:tr w14:paraId="02A035F2" w14:textId="77777777" w:rsidTr="002B433B">
        <w:tblPrEx>
          <w:tblW w:w="0" w:type="auto"/>
          <w:tblLook w:val="04A0"/>
        </w:tblPrEx>
        <w:tc>
          <w:tcPr>
            <w:tcW w:w="3685" w:type="dxa"/>
          </w:tcPr>
          <w:p w:rsidR="004D0E9D" w:rsidRPr="00250FA6" w:rsidP="004D0E9D" w14:paraId="1EB2C912" w14:textId="77777777">
            <w:r w:rsidRPr="00250FA6">
              <w:t>Consecutive hours of sleeper berth</w:t>
            </w:r>
          </w:p>
        </w:tc>
        <w:tc>
          <w:tcPr>
            <w:tcW w:w="1890" w:type="dxa"/>
          </w:tcPr>
          <w:p w:rsidR="004D0E9D" w:rsidP="004D0E9D" w14:paraId="4BD87222" w14:textId="77777777">
            <w:r>
              <w:t>1.2</w:t>
            </w:r>
            <w:r w:rsidR="004D0040">
              <w:t>6</w:t>
            </w:r>
          </w:p>
        </w:tc>
        <w:tc>
          <w:tcPr>
            <w:tcW w:w="1620" w:type="dxa"/>
          </w:tcPr>
          <w:p w:rsidR="004D0E9D" w:rsidP="004D0E9D" w14:paraId="499F5DD7" w14:textId="77777777">
            <w:r>
              <w:t>1.25</w:t>
            </w:r>
          </w:p>
        </w:tc>
        <w:tc>
          <w:tcPr>
            <w:tcW w:w="2155" w:type="dxa"/>
          </w:tcPr>
          <w:p w:rsidR="004D0E9D" w:rsidP="004D0E9D" w14:paraId="01DFD2A2" w14:textId="77777777">
            <w:r w:rsidRPr="00135629">
              <w:t>55,000</w:t>
            </w:r>
          </w:p>
        </w:tc>
      </w:tr>
      <w:tr w14:paraId="6DF0EE1D" w14:textId="77777777" w:rsidTr="002B433B">
        <w:tblPrEx>
          <w:tblW w:w="0" w:type="auto"/>
          <w:tblLook w:val="04A0"/>
        </w:tblPrEx>
        <w:tc>
          <w:tcPr>
            <w:tcW w:w="3685" w:type="dxa"/>
          </w:tcPr>
          <w:p w:rsidR="004D0E9D" w:rsidRPr="00250FA6" w:rsidP="004D0E9D" w14:paraId="57423505" w14:textId="77777777">
            <w:r w:rsidRPr="00250FA6">
              <w:t>Number of breaks within duty</w:t>
            </w:r>
          </w:p>
        </w:tc>
        <w:tc>
          <w:tcPr>
            <w:tcW w:w="1890" w:type="dxa"/>
          </w:tcPr>
          <w:p w:rsidR="004D0E9D" w:rsidP="004D0E9D" w14:paraId="21F8E2D2" w14:textId="77777777">
            <w:r>
              <w:t>1.14</w:t>
            </w:r>
          </w:p>
        </w:tc>
        <w:tc>
          <w:tcPr>
            <w:tcW w:w="1620" w:type="dxa"/>
          </w:tcPr>
          <w:p w:rsidR="004D0E9D" w:rsidP="004D0E9D" w14:paraId="64225499" w14:textId="77777777">
            <w:r>
              <w:t>1.</w:t>
            </w:r>
            <w:r w:rsidR="004D0040">
              <w:t>1</w:t>
            </w:r>
            <w:r>
              <w:t>5</w:t>
            </w:r>
          </w:p>
        </w:tc>
        <w:tc>
          <w:tcPr>
            <w:tcW w:w="2155" w:type="dxa"/>
          </w:tcPr>
          <w:p w:rsidR="004D0E9D" w:rsidP="004D0E9D" w14:paraId="14146845" w14:textId="77777777">
            <w:r w:rsidRPr="00135629">
              <w:t>45,000</w:t>
            </w:r>
          </w:p>
        </w:tc>
      </w:tr>
      <w:tr w14:paraId="7EFFC1A9" w14:textId="77777777" w:rsidTr="002B433B">
        <w:tblPrEx>
          <w:tblW w:w="0" w:type="auto"/>
          <w:tblLook w:val="04A0"/>
        </w:tblPrEx>
        <w:tc>
          <w:tcPr>
            <w:tcW w:w="3685" w:type="dxa"/>
          </w:tcPr>
          <w:p w:rsidR="004D0E9D" w:rsidRPr="00250FA6" w:rsidP="004D0E9D" w14:paraId="4EEBC093" w14:textId="77777777">
            <w:r w:rsidRPr="00250FA6">
              <w:t>Use of personal conveyance</w:t>
            </w:r>
          </w:p>
        </w:tc>
        <w:tc>
          <w:tcPr>
            <w:tcW w:w="1890" w:type="dxa"/>
          </w:tcPr>
          <w:p w:rsidR="004D0E9D" w:rsidP="004D0E9D" w14:paraId="4547B2ED" w14:textId="77777777">
            <w:r>
              <w:t>1.2</w:t>
            </w:r>
            <w:r w:rsidR="004D0040">
              <w:t>5</w:t>
            </w:r>
          </w:p>
        </w:tc>
        <w:tc>
          <w:tcPr>
            <w:tcW w:w="1620" w:type="dxa"/>
          </w:tcPr>
          <w:p w:rsidR="004D0E9D" w:rsidP="004D0E9D" w14:paraId="6AA7FAAC" w14:textId="77777777">
            <w:r>
              <w:t>1.</w:t>
            </w:r>
            <w:r w:rsidR="004D0040">
              <w:t>5</w:t>
            </w:r>
          </w:p>
        </w:tc>
        <w:tc>
          <w:tcPr>
            <w:tcW w:w="2155" w:type="dxa"/>
          </w:tcPr>
          <w:p w:rsidR="004D0E9D" w:rsidP="004D0E9D" w14:paraId="49488AC0" w14:textId="77777777">
            <w:r w:rsidRPr="00135629">
              <w:t>15,000</w:t>
            </w:r>
          </w:p>
        </w:tc>
      </w:tr>
    </w:tbl>
    <w:p w:rsidR="000856E1" w:rsidP="00135629" w14:paraId="34B56F66" w14:textId="77777777"/>
    <w:p w:rsidR="00E01008" w:rsidRPr="0016660B" w:rsidP="00135629" w14:paraId="472E2B9F" w14:textId="46E5C104">
      <w:r w:rsidRPr="002A2018">
        <w:t>The details of the calculations follow and provide a more detailed view of how a different effect size may affect the true sample size needed.</w:t>
      </w:r>
      <w:r>
        <w:t xml:space="preserve"> </w:t>
      </w:r>
      <w:r w:rsidRPr="0016660B">
        <w:t xml:space="preserve">The power analysis </w:t>
      </w:r>
      <w:r w:rsidR="000D4DFF">
        <w:t xml:space="preserve">was </w:t>
      </w:r>
      <w:r w:rsidRPr="0016660B">
        <w:t xml:space="preserve">performed based on an </w:t>
      </w:r>
      <w:r w:rsidRPr="0016660B">
        <w:rPr>
          <w:rFonts w:hint="eastAsia"/>
        </w:rPr>
        <w:t>α</w:t>
      </w:r>
      <w:r w:rsidRPr="0016660B">
        <w:t xml:space="preserve"> = 0.05 and power (1 – </w:t>
      </w:r>
      <w:r w:rsidRPr="0016660B">
        <w:rPr>
          <w:rFonts w:hint="eastAsia"/>
        </w:rPr>
        <w:t>β</w:t>
      </w:r>
      <w:r w:rsidRPr="0016660B">
        <w:t>) = 0.8, and assumptions are made on the rate of crashes, drive durations, and other schedule factors. The power analysis excludes covariates in the generalized linear model.</w:t>
      </w:r>
    </w:p>
    <w:p w:rsidR="00923DE9" w:rsidRPr="0016660B" w:rsidP="00135629" w14:paraId="514C5D3C" w14:textId="77777777">
      <w:r w:rsidRPr="0016660B">
        <w:t xml:space="preserve">Given the low rate of crashes, knowing the expected number of crashes that would be observed is important for understanding if the study is sufficiently powered. Tables </w:t>
      </w:r>
      <w:r w:rsidR="002E6DA6">
        <w:t>2</w:t>
      </w:r>
      <w:r w:rsidR="00A050C0">
        <w:t>1</w:t>
      </w:r>
      <w:r w:rsidRPr="0016660B" w:rsidR="002E6DA6">
        <w:t xml:space="preserve"> </w:t>
      </w:r>
      <w:r w:rsidRPr="0016660B">
        <w:t xml:space="preserve">and </w:t>
      </w:r>
      <w:r w:rsidR="002E6DA6">
        <w:t>2</w:t>
      </w:r>
      <w:r w:rsidR="00A050C0">
        <w:t>2</w:t>
      </w:r>
      <w:r w:rsidRPr="0016660B" w:rsidR="002E6DA6">
        <w:t xml:space="preserve"> </w:t>
      </w:r>
      <w:r w:rsidRPr="0016660B">
        <w:t>provide estimates for crash rates for large trucks/buses and combination trucks (tractor/trailer), respectively.</w:t>
      </w:r>
    </w:p>
    <w:p w:rsidR="00E01008" w:rsidRPr="0016660B" w:rsidP="00135629" w14:paraId="79A1A4E7" w14:textId="77777777">
      <w:pPr>
        <w:pStyle w:val="Caption"/>
      </w:pPr>
    </w:p>
    <w:p w:rsidR="00923DE9" w:rsidRPr="0016660B" w:rsidP="0016660B" w14:paraId="49403784"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Table</w:t>
      </w:r>
      <w:r w:rsidR="00A540D5">
        <w:rPr>
          <w:rFonts w:ascii="Times New Roman" w:hAnsi="Times New Roman" w:cs="Times New Roman"/>
          <w:b/>
          <w:bCs/>
          <w:i w:val="0"/>
          <w:iCs w:val="0"/>
          <w:color w:val="auto"/>
          <w:sz w:val="20"/>
          <w:szCs w:val="20"/>
        </w:rPr>
        <w:t xml:space="preserve"> </w:t>
      </w:r>
      <w:r w:rsidR="002E6DA6">
        <w:rPr>
          <w:rFonts w:ascii="Times New Roman" w:hAnsi="Times New Roman" w:cs="Times New Roman"/>
          <w:b/>
          <w:bCs/>
          <w:i w:val="0"/>
          <w:iCs w:val="0"/>
          <w:color w:val="auto"/>
          <w:sz w:val="20"/>
          <w:szCs w:val="20"/>
        </w:rPr>
        <w:t>2</w:t>
      </w:r>
      <w:r w:rsidR="00A050C0">
        <w:rPr>
          <w:rFonts w:ascii="Times New Roman" w:hAnsi="Times New Roman" w:cs="Times New Roman"/>
          <w:b/>
          <w:bCs/>
          <w:i w:val="0"/>
          <w:iCs w:val="0"/>
          <w:color w:val="auto"/>
          <w:sz w:val="20"/>
          <w:szCs w:val="20"/>
        </w:rPr>
        <w:t>1</w:t>
      </w:r>
      <w:r w:rsidRPr="0016660B">
        <w:rPr>
          <w:rFonts w:ascii="Times New Roman" w:hAnsi="Times New Roman" w:cs="Times New Roman"/>
          <w:i w:val="0"/>
          <w:iCs w:val="0"/>
          <w:color w:val="auto"/>
          <w:sz w:val="20"/>
          <w:szCs w:val="20"/>
        </w:rPr>
        <w:t xml:space="preserve">: Crashes, Vehicle Miles Traveled, and Crash </w:t>
      </w:r>
      <w:r w:rsidRPr="009064AD" w:rsidR="009064AD">
        <w:rPr>
          <w:rFonts w:ascii="Times New Roman" w:hAnsi="Times New Roman" w:cs="Times New Roman"/>
          <w:i w:val="0"/>
          <w:iCs w:val="0"/>
          <w:color w:val="auto"/>
          <w:sz w:val="20"/>
          <w:szCs w:val="20"/>
        </w:rPr>
        <w:t>Rate</w:t>
      </w:r>
      <w:r w:rsidRPr="0016660B">
        <w:rPr>
          <w:rFonts w:ascii="Times New Roman" w:hAnsi="Times New Roman" w:cs="Times New Roman"/>
          <w:i w:val="0"/>
          <w:iCs w:val="0"/>
          <w:color w:val="auto"/>
          <w:sz w:val="20"/>
          <w:szCs w:val="20"/>
        </w:rPr>
        <w:t xml:space="preserve"> for Large Trucks and Buses 2019-2021 (Crash data from MCMIS</w:t>
      </w:r>
      <w:r w:rsidR="00B21589">
        <w:rPr>
          <w:rFonts w:ascii="Times New Roman" w:hAnsi="Times New Roman" w:cs="Times New Roman"/>
          <w:i w:val="0"/>
          <w:iCs w:val="0"/>
          <w:color w:val="auto"/>
          <w:sz w:val="20"/>
          <w:szCs w:val="20"/>
        </w:rPr>
        <w:t xml:space="preserve">; </w:t>
      </w:r>
      <w:r w:rsidRPr="0016660B">
        <w:rPr>
          <w:rFonts w:ascii="Times New Roman" w:hAnsi="Times New Roman" w:cs="Times New Roman"/>
          <w:i w:val="0"/>
          <w:iCs w:val="0"/>
          <w:color w:val="auto"/>
          <w:sz w:val="20"/>
          <w:szCs w:val="20"/>
        </w:rPr>
        <w:t>Miles Traveled from Federal Highway Administration (FHWA), Highway Statistics 2021, Table VM-1)</w:t>
      </w:r>
      <w:r w:rsidRPr="004334BF" w:rsidR="004334BF">
        <w:rPr>
          <w:rFonts w:ascii="Times New Roman" w:hAnsi="Times New Roman" w:cs="Times New Roman"/>
          <w:i w:val="0"/>
          <w:iCs w:val="0"/>
          <w:color w:val="auto"/>
          <w:sz w:val="20"/>
          <w:szCs w:val="20"/>
          <w:vertAlign w:val="superscript"/>
        </w:rPr>
        <w:t xml:space="preserve"> </w:t>
      </w:r>
      <w:r w:rsidRPr="003A2036" w:rsidR="004334BF">
        <w:rPr>
          <w:rFonts w:ascii="Times New Roman" w:hAnsi="Times New Roman" w:cs="Times New Roman"/>
          <w:i w:val="0"/>
          <w:iCs w:val="0"/>
          <w:color w:val="auto"/>
          <w:sz w:val="20"/>
          <w:szCs w:val="20"/>
          <w:vertAlign w:val="superscript"/>
        </w:rPr>
        <w:t>7</w:t>
      </w:r>
      <w:r w:rsidR="004334BF">
        <w:rPr>
          <w:rFonts w:ascii="Times New Roman" w:hAnsi="Times New Roman" w:cs="Times New Roman"/>
          <w:i w:val="0"/>
          <w:iCs w:val="0"/>
          <w:color w:val="auto"/>
          <w:sz w:val="20"/>
          <w:szCs w:val="20"/>
          <w:vertAlign w:val="superscript"/>
        </w:rPr>
        <w:t>, 8</w:t>
      </w:r>
      <w:r w:rsidRPr="0016660B">
        <w:rPr>
          <w:rFonts w:ascii="Times New Roman" w:hAnsi="Times New Roman" w:cs="Times New Roman"/>
          <w:i w:val="0"/>
          <w:iCs w:val="0"/>
          <w:color w:val="auto"/>
          <w:sz w:val="20"/>
          <w:szCs w:val="20"/>
        </w:rPr>
        <w:t>.</w:t>
      </w:r>
    </w:p>
    <w:tbl>
      <w:tblPr>
        <w:tblStyle w:val="TableGrid"/>
        <w:tblW w:w="5000" w:type="pct"/>
        <w:jc w:val="center"/>
        <w:tblLook w:val="04A0"/>
      </w:tblPr>
      <w:tblGrid>
        <w:gridCol w:w="723"/>
        <w:gridCol w:w="1440"/>
        <w:gridCol w:w="1348"/>
        <w:gridCol w:w="1978"/>
        <w:gridCol w:w="1978"/>
        <w:gridCol w:w="1883"/>
      </w:tblGrid>
      <w:tr w14:paraId="63FC9DD7" w14:textId="77777777" w:rsidTr="0016660B">
        <w:tblPrEx>
          <w:tblW w:w="5000" w:type="pct"/>
          <w:jc w:val="center"/>
          <w:tblLook w:val="04A0"/>
        </w:tblPrEx>
        <w:trPr>
          <w:jc w:val="center"/>
        </w:trPr>
        <w:tc>
          <w:tcPr>
            <w:tcW w:w="381" w:type="pct"/>
            <w:shd w:val="clear" w:color="auto" w:fill="E7E6E6" w:themeFill="background2"/>
            <w:vAlign w:val="center"/>
          </w:tcPr>
          <w:p w:rsidR="00923DE9" w:rsidRPr="0016660B" w:rsidP="00135629" w14:paraId="3F9E97B3" w14:textId="77777777">
            <w:pPr>
              <w:rPr>
                <w:b/>
                <w:bCs/>
              </w:rPr>
            </w:pPr>
            <w:r w:rsidRPr="0016660B">
              <w:rPr>
                <w:b/>
                <w:bCs/>
              </w:rPr>
              <w:t>Year</w:t>
            </w:r>
          </w:p>
        </w:tc>
        <w:tc>
          <w:tcPr>
            <w:tcW w:w="771" w:type="pct"/>
            <w:shd w:val="clear" w:color="auto" w:fill="E7E6E6" w:themeFill="background2"/>
            <w:vAlign w:val="center"/>
          </w:tcPr>
          <w:p w:rsidR="00923DE9" w:rsidRPr="0016660B" w:rsidP="00135629" w14:paraId="422E7236" w14:textId="77777777">
            <w:pPr>
              <w:rPr>
                <w:b/>
                <w:bCs/>
              </w:rPr>
            </w:pPr>
            <w:r w:rsidRPr="0016660B">
              <w:rPr>
                <w:b/>
                <w:bCs/>
              </w:rPr>
              <w:t>Large Truck/Bus</w:t>
            </w:r>
          </w:p>
          <w:p w:rsidR="00923DE9" w:rsidRPr="0016660B" w:rsidP="00135629" w14:paraId="0AE066B3" w14:textId="77777777">
            <w:pPr>
              <w:rPr>
                <w:b/>
                <w:bCs/>
              </w:rPr>
            </w:pPr>
            <w:r w:rsidRPr="0016660B">
              <w:rPr>
                <w:b/>
                <w:bCs/>
              </w:rPr>
              <w:t>Fatal Crashes</w:t>
            </w:r>
          </w:p>
        </w:tc>
        <w:tc>
          <w:tcPr>
            <w:tcW w:w="722" w:type="pct"/>
            <w:shd w:val="clear" w:color="auto" w:fill="E7E6E6" w:themeFill="background2"/>
            <w:vAlign w:val="center"/>
          </w:tcPr>
          <w:p w:rsidR="00923DE9" w:rsidRPr="0016660B" w:rsidP="00135629" w14:paraId="5DD095C6" w14:textId="77777777">
            <w:pPr>
              <w:rPr>
                <w:b/>
                <w:bCs/>
              </w:rPr>
            </w:pPr>
            <w:r w:rsidRPr="0016660B">
              <w:rPr>
                <w:b/>
                <w:bCs/>
              </w:rPr>
              <w:t>Large Truck/Bus Total Crashes</w:t>
            </w:r>
          </w:p>
        </w:tc>
        <w:tc>
          <w:tcPr>
            <w:tcW w:w="1059" w:type="pct"/>
            <w:shd w:val="clear" w:color="auto" w:fill="E7E6E6" w:themeFill="background2"/>
            <w:vAlign w:val="center"/>
          </w:tcPr>
          <w:p w:rsidR="00923DE9" w:rsidRPr="0016660B" w:rsidP="00135629" w14:paraId="260EC857" w14:textId="77777777">
            <w:pPr>
              <w:rPr>
                <w:b/>
                <w:bCs/>
              </w:rPr>
            </w:pPr>
            <w:r w:rsidRPr="0016660B">
              <w:rPr>
                <w:b/>
                <w:bCs/>
              </w:rPr>
              <w:t>Vehicle Miles Traveled</w:t>
            </w:r>
          </w:p>
          <w:p w:rsidR="00923DE9" w:rsidRPr="0016660B" w:rsidP="00135629" w14:paraId="20286B4D" w14:textId="77777777">
            <w:pPr>
              <w:rPr>
                <w:b/>
                <w:bCs/>
              </w:rPr>
            </w:pPr>
            <w:r w:rsidRPr="0016660B">
              <w:rPr>
                <w:b/>
                <w:bCs/>
              </w:rPr>
              <w:t>(in Million Miles)</w:t>
            </w:r>
          </w:p>
        </w:tc>
        <w:tc>
          <w:tcPr>
            <w:tcW w:w="1059" w:type="pct"/>
            <w:shd w:val="clear" w:color="auto" w:fill="E7E6E6" w:themeFill="background2"/>
            <w:vAlign w:val="center"/>
          </w:tcPr>
          <w:p w:rsidR="00923DE9" w:rsidRPr="0016660B" w:rsidP="00135629" w14:paraId="49A93D91" w14:textId="77777777">
            <w:pPr>
              <w:rPr>
                <w:b/>
                <w:bCs/>
              </w:rPr>
            </w:pPr>
            <w:r w:rsidRPr="0016660B">
              <w:rPr>
                <w:b/>
                <w:bCs/>
              </w:rPr>
              <w:t>Large Truck/Bus Fatal Crashes per 100 Million Miles</w:t>
            </w:r>
          </w:p>
        </w:tc>
        <w:tc>
          <w:tcPr>
            <w:tcW w:w="1008" w:type="pct"/>
            <w:shd w:val="clear" w:color="auto" w:fill="E7E6E6" w:themeFill="background2"/>
            <w:vAlign w:val="center"/>
          </w:tcPr>
          <w:p w:rsidR="00923DE9" w:rsidRPr="0016660B" w:rsidP="00135629" w14:paraId="7CABC049" w14:textId="77777777">
            <w:pPr>
              <w:rPr>
                <w:b/>
                <w:bCs/>
              </w:rPr>
            </w:pPr>
            <w:r w:rsidRPr="0016660B">
              <w:rPr>
                <w:b/>
                <w:bCs/>
              </w:rPr>
              <w:t>Large Truck/Bus Crashes per 100 Million Miles</w:t>
            </w:r>
          </w:p>
        </w:tc>
      </w:tr>
      <w:tr w14:paraId="2A9BF9DB" w14:textId="77777777" w:rsidTr="0016660B">
        <w:tblPrEx>
          <w:tblW w:w="5000" w:type="pct"/>
          <w:jc w:val="center"/>
          <w:tblLook w:val="04A0"/>
        </w:tblPrEx>
        <w:trPr>
          <w:jc w:val="center"/>
        </w:trPr>
        <w:tc>
          <w:tcPr>
            <w:tcW w:w="381" w:type="pct"/>
          </w:tcPr>
          <w:p w:rsidR="00923DE9" w:rsidRPr="0016660B" w:rsidP="00135629" w14:paraId="6D401B8B" w14:textId="77777777">
            <w:r w:rsidRPr="0016660B">
              <w:t>2019</w:t>
            </w:r>
          </w:p>
        </w:tc>
        <w:tc>
          <w:tcPr>
            <w:tcW w:w="771" w:type="pct"/>
            <w:vAlign w:val="center"/>
          </w:tcPr>
          <w:p w:rsidR="00923DE9" w:rsidRPr="0016660B" w:rsidP="0016660B" w14:paraId="4F6D868D" w14:textId="77777777">
            <w:r w:rsidRPr="0016660B">
              <w:t>4,793</w:t>
            </w:r>
          </w:p>
        </w:tc>
        <w:tc>
          <w:tcPr>
            <w:tcW w:w="722" w:type="pct"/>
            <w:vAlign w:val="center"/>
          </w:tcPr>
          <w:p w:rsidR="00923DE9" w:rsidRPr="0016660B" w:rsidP="0016660B" w14:paraId="37CFAE28" w14:textId="77777777">
            <w:r w:rsidRPr="0016660B">
              <w:t>182,088</w:t>
            </w:r>
          </w:p>
        </w:tc>
        <w:tc>
          <w:tcPr>
            <w:tcW w:w="1059" w:type="pct"/>
            <w:vAlign w:val="center"/>
          </w:tcPr>
          <w:p w:rsidR="00923DE9" w:rsidRPr="0016660B" w:rsidP="0016660B" w14:paraId="355913B1" w14:textId="77777777">
            <w:r w:rsidRPr="0016660B">
              <w:t>318,030</w:t>
            </w:r>
          </w:p>
        </w:tc>
        <w:tc>
          <w:tcPr>
            <w:tcW w:w="1059" w:type="pct"/>
            <w:vAlign w:val="center"/>
          </w:tcPr>
          <w:p w:rsidR="00923DE9" w:rsidRPr="0016660B" w:rsidP="0016660B" w14:paraId="35553B01" w14:textId="77777777">
            <w:r w:rsidRPr="0016660B">
              <w:t>1.5</w:t>
            </w:r>
          </w:p>
        </w:tc>
        <w:tc>
          <w:tcPr>
            <w:tcW w:w="1008" w:type="pct"/>
            <w:vAlign w:val="center"/>
          </w:tcPr>
          <w:p w:rsidR="00923DE9" w:rsidRPr="0016660B" w:rsidP="0016660B" w14:paraId="21C556B4" w14:textId="77777777">
            <w:r w:rsidRPr="0016660B">
              <w:t>57.3</w:t>
            </w:r>
          </w:p>
        </w:tc>
      </w:tr>
      <w:tr w14:paraId="1779CBFB" w14:textId="77777777" w:rsidTr="0016660B">
        <w:tblPrEx>
          <w:tblW w:w="5000" w:type="pct"/>
          <w:jc w:val="center"/>
          <w:tblLook w:val="04A0"/>
        </w:tblPrEx>
        <w:trPr>
          <w:jc w:val="center"/>
        </w:trPr>
        <w:tc>
          <w:tcPr>
            <w:tcW w:w="381" w:type="pct"/>
          </w:tcPr>
          <w:p w:rsidR="00923DE9" w:rsidRPr="0016660B" w:rsidP="00135629" w14:paraId="3CCCFE75" w14:textId="77777777">
            <w:r w:rsidRPr="0016660B">
              <w:t>2020</w:t>
            </w:r>
          </w:p>
        </w:tc>
        <w:tc>
          <w:tcPr>
            <w:tcW w:w="771" w:type="pct"/>
            <w:vAlign w:val="center"/>
          </w:tcPr>
          <w:p w:rsidR="00923DE9" w:rsidRPr="0016660B" w:rsidP="0016660B" w14:paraId="1F4A9550" w14:textId="77777777">
            <w:r w:rsidRPr="0016660B">
              <w:t>4,652</w:t>
            </w:r>
          </w:p>
        </w:tc>
        <w:tc>
          <w:tcPr>
            <w:tcW w:w="722" w:type="pct"/>
            <w:vAlign w:val="center"/>
          </w:tcPr>
          <w:p w:rsidR="00923DE9" w:rsidRPr="0016660B" w:rsidP="0016660B" w14:paraId="0B4EEA7E" w14:textId="77777777">
            <w:r w:rsidRPr="0016660B">
              <w:t>156,913</w:t>
            </w:r>
          </w:p>
        </w:tc>
        <w:tc>
          <w:tcPr>
            <w:tcW w:w="1059" w:type="pct"/>
            <w:vAlign w:val="center"/>
          </w:tcPr>
          <w:p w:rsidR="00923DE9" w:rsidRPr="0016660B" w:rsidP="0016660B" w14:paraId="6D86A1BD" w14:textId="77777777">
            <w:r w:rsidRPr="0016660B">
              <w:t>312,686</w:t>
            </w:r>
          </w:p>
        </w:tc>
        <w:tc>
          <w:tcPr>
            <w:tcW w:w="1059" w:type="pct"/>
            <w:vAlign w:val="center"/>
          </w:tcPr>
          <w:p w:rsidR="00923DE9" w:rsidRPr="0016660B" w:rsidP="0016660B" w14:paraId="60F7B1D1" w14:textId="77777777">
            <w:r w:rsidRPr="0016660B">
              <w:t>1.5</w:t>
            </w:r>
          </w:p>
        </w:tc>
        <w:tc>
          <w:tcPr>
            <w:tcW w:w="1008" w:type="pct"/>
            <w:vAlign w:val="center"/>
          </w:tcPr>
          <w:p w:rsidR="00923DE9" w:rsidRPr="0016660B" w:rsidP="0016660B" w14:paraId="196D76F8" w14:textId="77777777">
            <w:r w:rsidRPr="0016660B">
              <w:t>50.2</w:t>
            </w:r>
          </w:p>
        </w:tc>
      </w:tr>
      <w:tr w14:paraId="39378C8B" w14:textId="77777777" w:rsidTr="0016660B">
        <w:tblPrEx>
          <w:tblW w:w="5000" w:type="pct"/>
          <w:jc w:val="center"/>
          <w:tblLook w:val="04A0"/>
        </w:tblPrEx>
        <w:trPr>
          <w:jc w:val="center"/>
        </w:trPr>
        <w:tc>
          <w:tcPr>
            <w:tcW w:w="381" w:type="pct"/>
          </w:tcPr>
          <w:p w:rsidR="00923DE9" w:rsidRPr="0016660B" w:rsidP="00135629" w14:paraId="36932564" w14:textId="77777777">
            <w:r w:rsidRPr="0016660B">
              <w:t>2021</w:t>
            </w:r>
          </w:p>
        </w:tc>
        <w:tc>
          <w:tcPr>
            <w:tcW w:w="771" w:type="pct"/>
            <w:vAlign w:val="center"/>
          </w:tcPr>
          <w:p w:rsidR="00923DE9" w:rsidRPr="0016660B" w:rsidP="0016660B" w14:paraId="460E3290" w14:textId="77777777">
            <w:r w:rsidRPr="0016660B">
              <w:t>5,378</w:t>
            </w:r>
          </w:p>
        </w:tc>
        <w:tc>
          <w:tcPr>
            <w:tcW w:w="722" w:type="pct"/>
            <w:vAlign w:val="center"/>
          </w:tcPr>
          <w:p w:rsidR="00923DE9" w:rsidRPr="0016660B" w:rsidP="0016660B" w14:paraId="29B691DC" w14:textId="77777777">
            <w:r w:rsidRPr="0016660B">
              <w:t>184,508</w:t>
            </w:r>
          </w:p>
        </w:tc>
        <w:tc>
          <w:tcPr>
            <w:tcW w:w="1059" w:type="pct"/>
            <w:vAlign w:val="center"/>
          </w:tcPr>
          <w:p w:rsidR="00923DE9" w:rsidRPr="0016660B" w:rsidP="0016660B" w14:paraId="5C066CB4" w14:textId="77777777">
            <w:r w:rsidRPr="0016660B">
              <w:t>343,771</w:t>
            </w:r>
          </w:p>
        </w:tc>
        <w:tc>
          <w:tcPr>
            <w:tcW w:w="1059" w:type="pct"/>
            <w:vAlign w:val="center"/>
          </w:tcPr>
          <w:p w:rsidR="00923DE9" w:rsidRPr="0016660B" w:rsidP="0016660B" w14:paraId="7D850FAD" w14:textId="77777777">
            <w:r w:rsidRPr="0016660B">
              <w:t>1.6</w:t>
            </w:r>
          </w:p>
        </w:tc>
        <w:tc>
          <w:tcPr>
            <w:tcW w:w="1008" w:type="pct"/>
            <w:vAlign w:val="center"/>
          </w:tcPr>
          <w:p w:rsidR="00923DE9" w:rsidRPr="0016660B" w:rsidP="0016660B" w14:paraId="74B75B54" w14:textId="77777777">
            <w:r w:rsidRPr="0016660B">
              <w:t>53.7</w:t>
            </w:r>
          </w:p>
        </w:tc>
      </w:tr>
    </w:tbl>
    <w:p w:rsidR="00923DE9" w:rsidP="00135629" w14:paraId="2317810C" w14:textId="77777777">
      <w:pPr>
        <w:pStyle w:val="Caption"/>
      </w:pPr>
    </w:p>
    <w:p w:rsidR="00881807" w:rsidRPr="00881807" w:rsidP="00860BE7" w14:paraId="57BE66F3" w14:textId="77777777"/>
    <w:p w:rsidR="00923DE9" w:rsidRPr="0016660B" w:rsidP="0016660B" w14:paraId="3E805DF5"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Table</w:t>
      </w:r>
      <w:r w:rsidR="00A540D5">
        <w:rPr>
          <w:rFonts w:ascii="Times New Roman" w:hAnsi="Times New Roman" w:cs="Times New Roman"/>
          <w:b/>
          <w:bCs/>
          <w:i w:val="0"/>
          <w:iCs w:val="0"/>
          <w:color w:val="auto"/>
          <w:sz w:val="20"/>
          <w:szCs w:val="20"/>
        </w:rPr>
        <w:t xml:space="preserve"> </w:t>
      </w:r>
      <w:r w:rsidR="002E6DA6">
        <w:rPr>
          <w:rFonts w:ascii="Times New Roman" w:hAnsi="Times New Roman" w:cs="Times New Roman"/>
          <w:b/>
          <w:bCs/>
          <w:i w:val="0"/>
          <w:iCs w:val="0"/>
          <w:color w:val="auto"/>
          <w:sz w:val="20"/>
          <w:szCs w:val="20"/>
        </w:rPr>
        <w:t>2</w:t>
      </w:r>
      <w:r w:rsidR="00A050C0">
        <w:rPr>
          <w:rFonts w:ascii="Times New Roman" w:hAnsi="Times New Roman" w:cs="Times New Roman"/>
          <w:b/>
          <w:bCs/>
          <w:i w:val="0"/>
          <w:iCs w:val="0"/>
          <w:color w:val="auto"/>
          <w:sz w:val="20"/>
          <w:szCs w:val="20"/>
        </w:rPr>
        <w:t>2</w:t>
      </w:r>
      <w:r w:rsidRPr="0016660B">
        <w:rPr>
          <w:rFonts w:ascii="Times New Roman" w:hAnsi="Times New Roman" w:cs="Times New Roman"/>
          <w:i w:val="0"/>
          <w:iCs w:val="0"/>
          <w:color w:val="auto"/>
          <w:sz w:val="20"/>
          <w:szCs w:val="20"/>
        </w:rPr>
        <w:t xml:space="preserve">: Crashes, Vehicle Miles Traveled, and Crash </w:t>
      </w:r>
      <w:r w:rsidR="00C14248">
        <w:rPr>
          <w:rFonts w:ascii="Times New Roman" w:hAnsi="Times New Roman" w:cs="Times New Roman"/>
          <w:i w:val="0"/>
          <w:iCs w:val="0"/>
          <w:color w:val="auto"/>
          <w:sz w:val="20"/>
          <w:szCs w:val="20"/>
        </w:rPr>
        <w:t>Rate</w:t>
      </w:r>
      <w:r w:rsidRPr="0016660B">
        <w:rPr>
          <w:rFonts w:ascii="Times New Roman" w:hAnsi="Times New Roman" w:cs="Times New Roman"/>
          <w:i w:val="0"/>
          <w:iCs w:val="0"/>
          <w:color w:val="auto"/>
          <w:sz w:val="20"/>
          <w:szCs w:val="20"/>
        </w:rPr>
        <w:t xml:space="preserve"> for </w:t>
      </w:r>
      <w:r w:rsidR="003A37E5">
        <w:rPr>
          <w:rFonts w:ascii="Times New Roman" w:hAnsi="Times New Roman" w:cs="Times New Roman"/>
          <w:i w:val="0"/>
          <w:iCs w:val="0"/>
          <w:color w:val="auto"/>
          <w:sz w:val="20"/>
          <w:szCs w:val="20"/>
        </w:rPr>
        <w:t>Combination Trucks</w:t>
      </w:r>
      <w:r w:rsidRPr="0016660B">
        <w:rPr>
          <w:rFonts w:ascii="Times New Roman" w:hAnsi="Times New Roman" w:cs="Times New Roman"/>
          <w:i w:val="0"/>
          <w:iCs w:val="0"/>
          <w:color w:val="auto"/>
          <w:sz w:val="20"/>
          <w:szCs w:val="20"/>
        </w:rPr>
        <w:t xml:space="preserve"> 2019-2021 (Crash data from MCMIS</w:t>
      </w:r>
      <w:r w:rsidR="00B21589">
        <w:rPr>
          <w:rFonts w:ascii="Times New Roman" w:hAnsi="Times New Roman" w:cs="Times New Roman"/>
          <w:i w:val="0"/>
          <w:iCs w:val="0"/>
          <w:color w:val="auto"/>
          <w:sz w:val="20"/>
          <w:szCs w:val="20"/>
        </w:rPr>
        <w:t>;</w:t>
      </w:r>
      <w:r w:rsidRPr="0016660B">
        <w:rPr>
          <w:rFonts w:ascii="Times New Roman" w:hAnsi="Times New Roman" w:cs="Times New Roman"/>
          <w:i w:val="0"/>
          <w:iCs w:val="0"/>
          <w:color w:val="auto"/>
          <w:sz w:val="20"/>
          <w:szCs w:val="20"/>
        </w:rPr>
        <w:t xml:space="preserve"> Miles Traveled from Federal Highway Administration (FHWA), Highway Statistics 2021, Table VM-1)</w:t>
      </w:r>
      <w:r w:rsidRPr="00D35CD7" w:rsidR="00D35CD7">
        <w:rPr>
          <w:rFonts w:ascii="Times New Roman" w:hAnsi="Times New Roman" w:cs="Times New Roman"/>
          <w:i w:val="0"/>
          <w:iCs w:val="0"/>
          <w:color w:val="auto"/>
          <w:sz w:val="20"/>
          <w:szCs w:val="20"/>
          <w:vertAlign w:val="superscript"/>
        </w:rPr>
        <w:t xml:space="preserve"> </w:t>
      </w:r>
      <w:r w:rsidRPr="003A2036" w:rsidR="00D35CD7">
        <w:rPr>
          <w:rFonts w:ascii="Times New Roman" w:hAnsi="Times New Roman" w:cs="Times New Roman"/>
          <w:i w:val="0"/>
          <w:iCs w:val="0"/>
          <w:color w:val="auto"/>
          <w:sz w:val="20"/>
          <w:szCs w:val="20"/>
          <w:vertAlign w:val="superscript"/>
        </w:rPr>
        <w:t>7</w:t>
      </w:r>
      <w:r w:rsidR="00D35CD7">
        <w:rPr>
          <w:rFonts w:ascii="Times New Roman" w:hAnsi="Times New Roman" w:cs="Times New Roman"/>
          <w:i w:val="0"/>
          <w:iCs w:val="0"/>
          <w:color w:val="auto"/>
          <w:sz w:val="20"/>
          <w:szCs w:val="20"/>
          <w:vertAlign w:val="superscript"/>
        </w:rPr>
        <w:t>, 8</w:t>
      </w:r>
      <w:r w:rsidRPr="0016660B">
        <w:rPr>
          <w:rFonts w:ascii="Times New Roman" w:hAnsi="Times New Roman" w:cs="Times New Roman"/>
          <w:i w:val="0"/>
          <w:iCs w:val="0"/>
          <w:color w:val="auto"/>
          <w:sz w:val="20"/>
          <w:szCs w:val="20"/>
        </w:rPr>
        <w:t>.</w:t>
      </w:r>
    </w:p>
    <w:tbl>
      <w:tblPr>
        <w:tblStyle w:val="TableGrid"/>
        <w:tblW w:w="5000" w:type="pct"/>
        <w:tblLook w:val="04A0"/>
      </w:tblPr>
      <w:tblGrid>
        <w:gridCol w:w="775"/>
        <w:gridCol w:w="1810"/>
        <w:gridCol w:w="1820"/>
        <w:gridCol w:w="1739"/>
        <w:gridCol w:w="1560"/>
        <w:gridCol w:w="1646"/>
      </w:tblGrid>
      <w:tr w14:paraId="32C1669D" w14:textId="77777777" w:rsidTr="00860BE7">
        <w:tblPrEx>
          <w:tblW w:w="5000" w:type="pct"/>
          <w:tblLook w:val="04A0"/>
        </w:tblPrEx>
        <w:trPr>
          <w:cantSplit/>
        </w:trPr>
        <w:tc>
          <w:tcPr>
            <w:tcW w:w="414" w:type="pct"/>
            <w:shd w:val="clear" w:color="auto" w:fill="D9D9D9" w:themeFill="background1" w:themeFillShade="D9"/>
          </w:tcPr>
          <w:p w:rsidR="00923DE9" w:rsidRPr="0016660B" w:rsidP="00135629" w14:paraId="5DA14623" w14:textId="77777777">
            <w:pPr>
              <w:rPr>
                <w:b/>
                <w:bCs/>
              </w:rPr>
            </w:pPr>
            <w:r w:rsidRPr="0016660B">
              <w:rPr>
                <w:b/>
                <w:bCs/>
              </w:rPr>
              <w:t>Year</w:t>
            </w:r>
          </w:p>
        </w:tc>
        <w:tc>
          <w:tcPr>
            <w:tcW w:w="968" w:type="pct"/>
            <w:shd w:val="clear" w:color="auto" w:fill="D9D9D9" w:themeFill="background1" w:themeFillShade="D9"/>
          </w:tcPr>
          <w:p w:rsidR="00923DE9" w:rsidRPr="0016660B" w:rsidP="00135629" w14:paraId="0F0C8728" w14:textId="77777777">
            <w:pPr>
              <w:rPr>
                <w:b/>
                <w:bCs/>
              </w:rPr>
            </w:pPr>
            <w:r w:rsidRPr="0016660B">
              <w:rPr>
                <w:b/>
                <w:bCs/>
              </w:rPr>
              <w:t>Number of Combination Trucks Involved with Fatal Crash</w:t>
            </w:r>
          </w:p>
        </w:tc>
        <w:tc>
          <w:tcPr>
            <w:tcW w:w="973" w:type="pct"/>
            <w:shd w:val="clear" w:color="auto" w:fill="D9D9D9" w:themeFill="background1" w:themeFillShade="D9"/>
          </w:tcPr>
          <w:p w:rsidR="00923DE9" w:rsidRPr="0016660B" w:rsidP="00135629" w14:paraId="6EA9C638" w14:textId="77777777">
            <w:pPr>
              <w:rPr>
                <w:b/>
                <w:bCs/>
              </w:rPr>
            </w:pPr>
            <w:r w:rsidRPr="0016660B">
              <w:rPr>
                <w:b/>
                <w:bCs/>
              </w:rPr>
              <w:t>Number of Combination Trucks Involved with Crash</w:t>
            </w:r>
          </w:p>
        </w:tc>
        <w:tc>
          <w:tcPr>
            <w:tcW w:w="930" w:type="pct"/>
            <w:shd w:val="clear" w:color="auto" w:fill="D9D9D9" w:themeFill="background1" w:themeFillShade="D9"/>
          </w:tcPr>
          <w:p w:rsidR="00923DE9" w:rsidRPr="0016660B" w:rsidP="00135629" w14:paraId="0226577F" w14:textId="77777777">
            <w:pPr>
              <w:rPr>
                <w:b/>
                <w:bCs/>
              </w:rPr>
            </w:pPr>
            <w:r w:rsidRPr="0016660B">
              <w:rPr>
                <w:b/>
                <w:bCs/>
              </w:rPr>
              <w:t xml:space="preserve">Vehicle Miles Traveled </w:t>
            </w:r>
            <w:r w:rsidRPr="0016660B">
              <w:rPr>
                <w:b/>
                <w:bCs/>
              </w:rPr>
              <w:br/>
              <w:t>(in Million Miles)</w:t>
            </w:r>
          </w:p>
        </w:tc>
        <w:tc>
          <w:tcPr>
            <w:tcW w:w="834" w:type="pct"/>
            <w:shd w:val="clear" w:color="auto" w:fill="D9D9D9" w:themeFill="background1" w:themeFillShade="D9"/>
          </w:tcPr>
          <w:p w:rsidR="00923DE9" w:rsidRPr="0016660B" w:rsidP="00135629" w14:paraId="13F74E13" w14:textId="77777777">
            <w:pPr>
              <w:rPr>
                <w:b/>
                <w:bCs/>
              </w:rPr>
            </w:pPr>
            <w:r w:rsidRPr="0016660B">
              <w:rPr>
                <w:b/>
                <w:bCs/>
              </w:rPr>
              <w:t>Fatal Crash Vehicles per 100 Million Miles</w:t>
            </w:r>
          </w:p>
        </w:tc>
        <w:tc>
          <w:tcPr>
            <w:tcW w:w="880" w:type="pct"/>
            <w:shd w:val="clear" w:color="auto" w:fill="D9D9D9" w:themeFill="background1" w:themeFillShade="D9"/>
          </w:tcPr>
          <w:p w:rsidR="00923DE9" w:rsidRPr="0016660B" w:rsidP="00135629" w14:paraId="117AE575" w14:textId="77777777">
            <w:pPr>
              <w:rPr>
                <w:b/>
                <w:bCs/>
              </w:rPr>
            </w:pPr>
            <w:r w:rsidRPr="0016660B">
              <w:rPr>
                <w:b/>
                <w:bCs/>
              </w:rPr>
              <w:t>All Crash Vehicles per 100 Million Miles</w:t>
            </w:r>
          </w:p>
        </w:tc>
      </w:tr>
      <w:tr w14:paraId="5547FC50" w14:textId="77777777" w:rsidTr="00860BE7">
        <w:tblPrEx>
          <w:tblW w:w="5000" w:type="pct"/>
          <w:tblLook w:val="04A0"/>
        </w:tblPrEx>
        <w:trPr>
          <w:cantSplit/>
        </w:trPr>
        <w:tc>
          <w:tcPr>
            <w:tcW w:w="414" w:type="pct"/>
          </w:tcPr>
          <w:p w:rsidR="0066212C" w:rsidRPr="0016660B" w:rsidP="0066212C" w14:paraId="408A55D9" w14:textId="77777777">
            <w:r w:rsidRPr="0016660B">
              <w:t>2019</w:t>
            </w:r>
          </w:p>
        </w:tc>
        <w:tc>
          <w:tcPr>
            <w:tcW w:w="968" w:type="pct"/>
            <w:vAlign w:val="bottom"/>
          </w:tcPr>
          <w:p w:rsidR="0066212C" w:rsidRPr="0016660B" w:rsidP="0066212C" w14:paraId="160C443F" w14:textId="77777777">
            <w:r w:rsidRPr="0016660B">
              <w:t>3,</w:t>
            </w:r>
            <w:r>
              <w:t>442</w:t>
            </w:r>
          </w:p>
        </w:tc>
        <w:tc>
          <w:tcPr>
            <w:tcW w:w="973" w:type="pct"/>
            <w:vAlign w:val="bottom"/>
          </w:tcPr>
          <w:p w:rsidR="0066212C" w:rsidRPr="0016660B" w:rsidP="0066212C" w14:paraId="6FA2D344" w14:textId="77777777">
            <w:r w:rsidRPr="002B433B">
              <w:t>114</w:t>
            </w:r>
            <w:r>
              <w:t>,</w:t>
            </w:r>
            <w:r w:rsidRPr="002B433B">
              <w:t>165</w:t>
            </w:r>
          </w:p>
        </w:tc>
        <w:tc>
          <w:tcPr>
            <w:tcW w:w="930" w:type="pct"/>
          </w:tcPr>
          <w:p w:rsidR="0066212C" w:rsidRPr="0016660B" w:rsidP="0066212C" w14:paraId="548FC240" w14:textId="77777777">
            <w:r w:rsidRPr="0016660B">
              <w:t>175,305</w:t>
            </w:r>
          </w:p>
        </w:tc>
        <w:tc>
          <w:tcPr>
            <w:tcW w:w="834" w:type="pct"/>
            <w:vAlign w:val="bottom"/>
          </w:tcPr>
          <w:p w:rsidR="0066212C" w:rsidRPr="00A74422" w:rsidP="0066212C" w14:paraId="2A1BF67B" w14:textId="77777777">
            <w:r w:rsidRPr="00A74422">
              <w:t>2.0</w:t>
            </w:r>
          </w:p>
        </w:tc>
        <w:tc>
          <w:tcPr>
            <w:tcW w:w="880" w:type="pct"/>
            <w:vAlign w:val="bottom"/>
          </w:tcPr>
          <w:p w:rsidR="0066212C" w:rsidRPr="00A74422" w:rsidP="0066212C" w14:paraId="0DCB8F60" w14:textId="77777777">
            <w:r w:rsidRPr="00A74422">
              <w:t>65.1</w:t>
            </w:r>
          </w:p>
        </w:tc>
      </w:tr>
      <w:tr w14:paraId="145AB011" w14:textId="77777777" w:rsidTr="00860BE7">
        <w:tblPrEx>
          <w:tblW w:w="5000" w:type="pct"/>
          <w:tblLook w:val="04A0"/>
        </w:tblPrEx>
        <w:trPr>
          <w:cantSplit/>
        </w:trPr>
        <w:tc>
          <w:tcPr>
            <w:tcW w:w="414" w:type="pct"/>
          </w:tcPr>
          <w:p w:rsidR="0066212C" w:rsidRPr="0016660B" w:rsidP="0066212C" w14:paraId="45A769DF" w14:textId="77777777">
            <w:r w:rsidRPr="0016660B">
              <w:t>2020</w:t>
            </w:r>
          </w:p>
        </w:tc>
        <w:tc>
          <w:tcPr>
            <w:tcW w:w="968" w:type="pct"/>
            <w:vAlign w:val="bottom"/>
          </w:tcPr>
          <w:p w:rsidR="0066212C" w:rsidRPr="0016660B" w:rsidP="0066212C" w14:paraId="42955D90" w14:textId="77777777">
            <w:r>
              <w:t>3,271</w:t>
            </w:r>
          </w:p>
        </w:tc>
        <w:tc>
          <w:tcPr>
            <w:tcW w:w="973" w:type="pct"/>
            <w:vAlign w:val="bottom"/>
          </w:tcPr>
          <w:p w:rsidR="0066212C" w:rsidRPr="0016660B" w:rsidP="0066212C" w14:paraId="77333713" w14:textId="77777777">
            <w:r w:rsidRPr="002B433B">
              <w:t>101</w:t>
            </w:r>
            <w:r>
              <w:t>,</w:t>
            </w:r>
            <w:r w:rsidRPr="002B433B">
              <w:t>679</w:t>
            </w:r>
          </w:p>
        </w:tc>
        <w:tc>
          <w:tcPr>
            <w:tcW w:w="930" w:type="pct"/>
          </w:tcPr>
          <w:p w:rsidR="0066212C" w:rsidRPr="0016660B" w:rsidP="0066212C" w14:paraId="02D4C4F9" w14:textId="77777777">
            <w:r w:rsidRPr="0016660B">
              <w:t>179,817</w:t>
            </w:r>
          </w:p>
        </w:tc>
        <w:tc>
          <w:tcPr>
            <w:tcW w:w="834" w:type="pct"/>
            <w:vAlign w:val="bottom"/>
          </w:tcPr>
          <w:p w:rsidR="0066212C" w:rsidRPr="00A74422" w:rsidP="0066212C" w14:paraId="37953BAE" w14:textId="77777777">
            <w:r w:rsidRPr="00A74422">
              <w:t>1.8</w:t>
            </w:r>
          </w:p>
        </w:tc>
        <w:tc>
          <w:tcPr>
            <w:tcW w:w="880" w:type="pct"/>
            <w:vAlign w:val="bottom"/>
          </w:tcPr>
          <w:p w:rsidR="0066212C" w:rsidRPr="00A74422" w:rsidP="0066212C" w14:paraId="731F5708" w14:textId="77777777">
            <w:r w:rsidRPr="00A74422">
              <w:t>56.7</w:t>
            </w:r>
          </w:p>
        </w:tc>
      </w:tr>
      <w:tr w14:paraId="08275ACB" w14:textId="77777777" w:rsidTr="00860BE7">
        <w:tblPrEx>
          <w:tblW w:w="5000" w:type="pct"/>
          <w:tblLook w:val="04A0"/>
        </w:tblPrEx>
        <w:trPr>
          <w:cantSplit/>
        </w:trPr>
        <w:tc>
          <w:tcPr>
            <w:tcW w:w="414" w:type="pct"/>
          </w:tcPr>
          <w:p w:rsidR="0066212C" w:rsidRPr="0016660B" w:rsidP="0066212C" w14:paraId="76212DDA" w14:textId="77777777">
            <w:r w:rsidRPr="0016660B">
              <w:t>2021</w:t>
            </w:r>
          </w:p>
        </w:tc>
        <w:tc>
          <w:tcPr>
            <w:tcW w:w="968" w:type="pct"/>
            <w:vAlign w:val="bottom"/>
          </w:tcPr>
          <w:p w:rsidR="0066212C" w:rsidRPr="0016660B" w:rsidP="0066212C" w14:paraId="71E8EE71" w14:textId="77777777">
            <w:r w:rsidRPr="0016660B">
              <w:t>3,</w:t>
            </w:r>
            <w:r>
              <w:t>859</w:t>
            </w:r>
          </w:p>
        </w:tc>
        <w:tc>
          <w:tcPr>
            <w:tcW w:w="973" w:type="pct"/>
            <w:vAlign w:val="bottom"/>
          </w:tcPr>
          <w:p w:rsidR="0066212C" w:rsidRPr="0016660B" w:rsidP="0066212C" w14:paraId="101054C6" w14:textId="77777777">
            <w:r w:rsidRPr="002B433B">
              <w:t>119</w:t>
            </w:r>
            <w:r>
              <w:t>,</w:t>
            </w:r>
            <w:r w:rsidRPr="002B433B">
              <w:t>462</w:t>
            </w:r>
          </w:p>
        </w:tc>
        <w:tc>
          <w:tcPr>
            <w:tcW w:w="930" w:type="pct"/>
          </w:tcPr>
          <w:p w:rsidR="0066212C" w:rsidRPr="0016660B" w:rsidP="0066212C" w14:paraId="5D90DCCF" w14:textId="77777777">
            <w:r w:rsidRPr="0016660B">
              <w:t>195,389</w:t>
            </w:r>
          </w:p>
        </w:tc>
        <w:tc>
          <w:tcPr>
            <w:tcW w:w="834" w:type="pct"/>
            <w:vAlign w:val="bottom"/>
          </w:tcPr>
          <w:p w:rsidR="0066212C" w:rsidRPr="00A74422" w:rsidP="0066212C" w14:paraId="1973E9D6" w14:textId="77777777">
            <w:r w:rsidRPr="00A74422">
              <w:t>2.0</w:t>
            </w:r>
          </w:p>
        </w:tc>
        <w:tc>
          <w:tcPr>
            <w:tcW w:w="880" w:type="pct"/>
            <w:vAlign w:val="bottom"/>
          </w:tcPr>
          <w:p w:rsidR="0066212C" w:rsidRPr="00A74422" w:rsidP="0066212C" w14:paraId="0EDE7B28" w14:textId="77777777">
            <w:r w:rsidRPr="00A74422">
              <w:t>61.1</w:t>
            </w:r>
          </w:p>
        </w:tc>
      </w:tr>
    </w:tbl>
    <w:p w:rsidR="00923DE9" w:rsidRPr="00143B7C" w:rsidP="00135629" w14:paraId="68D2C621" w14:textId="77777777"/>
    <w:p w:rsidR="00923DE9" w:rsidRPr="0016660B" w:rsidP="00135629" w14:paraId="7907DC84" w14:textId="77777777">
      <w:r w:rsidRPr="0016660B">
        <w:t>Based on an analysis of this historical data</w:t>
      </w:r>
      <w:r w:rsidRPr="00814804" w:rsidR="00814804">
        <w:t xml:space="preserve"> (Tables 21-22)</w:t>
      </w:r>
      <w:r w:rsidRPr="00814804">
        <w:t>,</w:t>
      </w:r>
      <w:r w:rsidRPr="0016660B">
        <w:t xml:space="preserve"> we use </w:t>
      </w:r>
      <w:r w:rsidRPr="00814804" w:rsidR="00814804">
        <w:t>conservative</w:t>
      </w:r>
      <w:r w:rsidRPr="00814804">
        <w:t xml:space="preserve"> estimate</w:t>
      </w:r>
      <w:r w:rsidRPr="00814804" w:rsidR="00814804">
        <w:t>s</w:t>
      </w:r>
      <w:r w:rsidRPr="0016660B">
        <w:t xml:space="preserve"> of 50 crashes per 100 million miles and 1.5 fatal crashes per 100 million miles as the basis of our power analysis. </w:t>
      </w:r>
      <w:r w:rsidRPr="00814804" w:rsidR="00814804">
        <w:t xml:space="preserve">These estimates come from the lowest crash rates observed in the data and allow us to estimate a realistic minimum power for the study. </w:t>
      </w:r>
      <w:r w:rsidRPr="0016660B">
        <w:t xml:space="preserve">Table </w:t>
      </w:r>
      <w:r w:rsidR="002E6DA6">
        <w:t>2</w:t>
      </w:r>
      <w:r w:rsidR="00A050C0">
        <w:t>3</w:t>
      </w:r>
      <w:r w:rsidRPr="0016660B" w:rsidR="002E6DA6">
        <w:t xml:space="preserve"> </w:t>
      </w:r>
      <w:r w:rsidRPr="0016660B">
        <w:t>shows the number of expected crashes</w:t>
      </w:r>
      <w:r w:rsidRPr="00814804" w:rsidR="00814804">
        <w:t xml:space="preserve"> for the entire study population over the duration of the study, assuming the estimated crash rates</w:t>
      </w:r>
      <w:r w:rsidRPr="0016660B">
        <w:t>, given different scenarios of average carrier size and driving miles.</w:t>
      </w:r>
    </w:p>
    <w:p w:rsidR="004E7256" w:rsidRPr="0016660B" w:rsidP="00135629" w14:paraId="3DA3AFCF" w14:textId="77777777"/>
    <w:p w:rsidR="00923DE9" w:rsidRPr="0016660B" w:rsidP="0016660B" w14:paraId="4B9C7BC7"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Table</w:t>
      </w:r>
      <w:r w:rsidR="00A540D5">
        <w:rPr>
          <w:rFonts w:ascii="Times New Roman" w:hAnsi="Times New Roman" w:cs="Times New Roman"/>
          <w:b/>
          <w:bCs/>
          <w:i w:val="0"/>
          <w:iCs w:val="0"/>
          <w:color w:val="auto"/>
          <w:sz w:val="20"/>
          <w:szCs w:val="20"/>
        </w:rPr>
        <w:t xml:space="preserve"> </w:t>
      </w:r>
      <w:r w:rsidR="002E6DA6">
        <w:rPr>
          <w:rFonts w:ascii="Times New Roman" w:hAnsi="Times New Roman" w:cs="Times New Roman"/>
          <w:b/>
          <w:bCs/>
          <w:i w:val="0"/>
          <w:iCs w:val="0"/>
          <w:color w:val="auto"/>
          <w:sz w:val="20"/>
          <w:szCs w:val="20"/>
        </w:rPr>
        <w:t>2</w:t>
      </w:r>
      <w:r w:rsidR="00A050C0">
        <w:rPr>
          <w:rFonts w:ascii="Times New Roman" w:hAnsi="Times New Roman" w:cs="Times New Roman"/>
          <w:b/>
          <w:bCs/>
          <w:i w:val="0"/>
          <w:iCs w:val="0"/>
          <w:color w:val="auto"/>
          <w:sz w:val="20"/>
          <w:szCs w:val="20"/>
        </w:rPr>
        <w:t>3</w:t>
      </w:r>
      <w:r w:rsidRPr="0016660B">
        <w:rPr>
          <w:rFonts w:ascii="Times New Roman" w:hAnsi="Times New Roman" w:cs="Times New Roman"/>
          <w:i w:val="0"/>
          <w:iCs w:val="0"/>
          <w:color w:val="auto"/>
          <w:sz w:val="20"/>
          <w:szCs w:val="20"/>
        </w:rPr>
        <w:t>: Number of expected crashes for scenarios with different carrier sizes and driving miles per driver. Expected crashes are based on assuming a crash rate of 50 crashes per 100 million driving miles, and 1.5 fatal crashes per 100 million miles.</w:t>
      </w:r>
    </w:p>
    <w:tbl>
      <w:tblPr>
        <w:tblStyle w:val="TableGrid"/>
        <w:tblW w:w="5000" w:type="pct"/>
        <w:tblLayout w:type="fixed"/>
        <w:tblLook w:val="04A0"/>
      </w:tblPr>
      <w:tblGrid>
        <w:gridCol w:w="1434"/>
        <w:gridCol w:w="1801"/>
        <w:gridCol w:w="1081"/>
        <w:gridCol w:w="989"/>
        <w:gridCol w:w="1709"/>
        <w:gridCol w:w="1171"/>
        <w:gridCol w:w="1165"/>
      </w:tblGrid>
      <w:tr w14:paraId="438F4D2B" w14:textId="77777777" w:rsidTr="0016660B">
        <w:tblPrEx>
          <w:tblW w:w="5000" w:type="pct"/>
          <w:tblLayout w:type="fixed"/>
          <w:tblLook w:val="04A0"/>
        </w:tblPrEx>
        <w:trPr>
          <w:cantSplit/>
        </w:trPr>
        <w:tc>
          <w:tcPr>
            <w:tcW w:w="767" w:type="pct"/>
            <w:shd w:val="clear" w:color="auto" w:fill="D9D9D9" w:themeFill="background1" w:themeFillShade="D9"/>
          </w:tcPr>
          <w:p w:rsidR="00923DE9" w:rsidRPr="0016660B" w:rsidP="00135629" w14:paraId="4D456A7E" w14:textId="77777777">
            <w:pPr>
              <w:rPr>
                <w:b/>
                <w:bCs/>
              </w:rPr>
            </w:pPr>
            <w:r w:rsidRPr="0016660B">
              <w:rPr>
                <w:b/>
                <w:bCs/>
              </w:rPr>
              <w:t>Average Number of Drivers per Carrier</w:t>
            </w:r>
          </w:p>
        </w:tc>
        <w:tc>
          <w:tcPr>
            <w:tcW w:w="963" w:type="pct"/>
            <w:shd w:val="clear" w:color="auto" w:fill="D9D9D9" w:themeFill="background1" w:themeFillShade="D9"/>
          </w:tcPr>
          <w:p w:rsidR="00923DE9" w:rsidRPr="0016660B" w:rsidP="00135629" w14:paraId="7B133E82" w14:textId="77777777">
            <w:pPr>
              <w:rPr>
                <w:b/>
                <w:bCs/>
              </w:rPr>
            </w:pPr>
            <w:r w:rsidRPr="0016660B">
              <w:rPr>
                <w:b/>
                <w:bCs/>
              </w:rPr>
              <w:t>Average Number of Driving Miles per Driver</w:t>
            </w:r>
          </w:p>
        </w:tc>
        <w:tc>
          <w:tcPr>
            <w:tcW w:w="578" w:type="pct"/>
            <w:shd w:val="clear" w:color="auto" w:fill="D9D9D9" w:themeFill="background1" w:themeFillShade="D9"/>
          </w:tcPr>
          <w:p w:rsidR="00923DE9" w:rsidRPr="0016660B" w:rsidP="00135629" w14:paraId="2C520028" w14:textId="77777777">
            <w:pPr>
              <w:rPr>
                <w:b/>
                <w:bCs/>
              </w:rPr>
            </w:pPr>
            <w:r w:rsidRPr="0016660B">
              <w:rPr>
                <w:b/>
                <w:bCs/>
              </w:rPr>
              <w:t>Carrier Years</w:t>
            </w:r>
          </w:p>
        </w:tc>
        <w:tc>
          <w:tcPr>
            <w:tcW w:w="529" w:type="pct"/>
            <w:shd w:val="clear" w:color="auto" w:fill="D9D9D9" w:themeFill="background1" w:themeFillShade="D9"/>
          </w:tcPr>
          <w:p w:rsidR="00923DE9" w:rsidRPr="0016660B" w:rsidP="00135629" w14:paraId="60DCCCFB" w14:textId="77777777">
            <w:pPr>
              <w:rPr>
                <w:b/>
                <w:bCs/>
              </w:rPr>
            </w:pPr>
            <w:r w:rsidRPr="0016660B">
              <w:rPr>
                <w:b/>
                <w:bCs/>
              </w:rPr>
              <w:t>Driver Years</w:t>
            </w:r>
          </w:p>
        </w:tc>
        <w:tc>
          <w:tcPr>
            <w:tcW w:w="914" w:type="pct"/>
            <w:shd w:val="clear" w:color="auto" w:fill="D9D9D9" w:themeFill="background1" w:themeFillShade="D9"/>
          </w:tcPr>
          <w:p w:rsidR="00923DE9" w:rsidRPr="0016660B" w:rsidP="00135629" w14:paraId="11B099D8" w14:textId="77777777">
            <w:pPr>
              <w:rPr>
                <w:b/>
                <w:bCs/>
              </w:rPr>
            </w:pPr>
            <w:r w:rsidRPr="0016660B">
              <w:rPr>
                <w:b/>
                <w:bCs/>
              </w:rPr>
              <w:t>Total Number of Driving Miles (Million)</w:t>
            </w:r>
          </w:p>
        </w:tc>
        <w:tc>
          <w:tcPr>
            <w:tcW w:w="626" w:type="pct"/>
            <w:shd w:val="clear" w:color="auto" w:fill="D9D9D9" w:themeFill="background1" w:themeFillShade="D9"/>
          </w:tcPr>
          <w:p w:rsidR="00923DE9" w:rsidRPr="0016660B" w:rsidP="00135629" w14:paraId="3F0AB315" w14:textId="77777777">
            <w:pPr>
              <w:rPr>
                <w:b/>
                <w:bCs/>
              </w:rPr>
            </w:pPr>
            <w:r w:rsidRPr="0016660B">
              <w:rPr>
                <w:b/>
                <w:bCs/>
              </w:rPr>
              <w:t>Expected Number of Fatal Crashes</w:t>
            </w:r>
          </w:p>
        </w:tc>
        <w:tc>
          <w:tcPr>
            <w:tcW w:w="623" w:type="pct"/>
            <w:shd w:val="clear" w:color="auto" w:fill="D9D9D9" w:themeFill="background1" w:themeFillShade="D9"/>
          </w:tcPr>
          <w:p w:rsidR="00923DE9" w:rsidRPr="0016660B" w:rsidP="00135629" w14:paraId="18850EA3" w14:textId="77777777">
            <w:pPr>
              <w:rPr>
                <w:b/>
                <w:bCs/>
              </w:rPr>
            </w:pPr>
            <w:r w:rsidRPr="0016660B">
              <w:rPr>
                <w:b/>
                <w:bCs/>
              </w:rPr>
              <w:t>Expected Number of Crashes</w:t>
            </w:r>
          </w:p>
        </w:tc>
      </w:tr>
      <w:tr w14:paraId="775759C1" w14:textId="77777777" w:rsidTr="009A35DB">
        <w:tblPrEx>
          <w:tblW w:w="5000" w:type="pct"/>
          <w:tblLayout w:type="fixed"/>
          <w:tblLook w:val="04A0"/>
        </w:tblPrEx>
        <w:trPr>
          <w:cantSplit/>
        </w:trPr>
        <w:tc>
          <w:tcPr>
            <w:tcW w:w="767" w:type="pct"/>
          </w:tcPr>
          <w:p w:rsidR="00923DE9" w:rsidRPr="0016660B" w:rsidP="00135629" w14:paraId="6B904F2C" w14:textId="77777777">
            <w:r w:rsidRPr="0016660B">
              <w:t>100</w:t>
            </w:r>
          </w:p>
        </w:tc>
        <w:tc>
          <w:tcPr>
            <w:tcW w:w="963" w:type="pct"/>
          </w:tcPr>
          <w:p w:rsidR="00923DE9" w:rsidRPr="0016660B" w:rsidP="0016660B" w14:paraId="1A3A420C" w14:textId="77777777">
            <w:r w:rsidRPr="0016660B">
              <w:t>50,000</w:t>
            </w:r>
          </w:p>
        </w:tc>
        <w:tc>
          <w:tcPr>
            <w:tcW w:w="578" w:type="pct"/>
          </w:tcPr>
          <w:p w:rsidR="00923DE9" w:rsidRPr="0016660B" w:rsidP="0016660B" w14:paraId="480491F6" w14:textId="77777777">
            <w:r w:rsidRPr="0016660B">
              <w:t>150</w:t>
            </w:r>
          </w:p>
        </w:tc>
        <w:tc>
          <w:tcPr>
            <w:tcW w:w="529" w:type="pct"/>
          </w:tcPr>
          <w:p w:rsidR="00923DE9" w:rsidRPr="0016660B" w:rsidP="0016660B" w14:paraId="72606EC5" w14:textId="77777777">
            <w:r w:rsidRPr="0016660B">
              <w:t>15,000</w:t>
            </w:r>
          </w:p>
        </w:tc>
        <w:tc>
          <w:tcPr>
            <w:tcW w:w="914" w:type="pct"/>
          </w:tcPr>
          <w:p w:rsidR="00923DE9" w:rsidRPr="0016660B" w:rsidP="0016660B" w14:paraId="788664B0" w14:textId="77777777">
            <w:r w:rsidRPr="0016660B">
              <w:t>750</w:t>
            </w:r>
          </w:p>
        </w:tc>
        <w:tc>
          <w:tcPr>
            <w:tcW w:w="626" w:type="pct"/>
          </w:tcPr>
          <w:p w:rsidR="00923DE9" w:rsidRPr="0016660B" w:rsidP="0016660B" w14:paraId="56D1AE25" w14:textId="77777777">
            <w:r w:rsidRPr="00791FA0">
              <w:rPr>
                <w:color w:val="000000" w:themeColor="text1"/>
              </w:rPr>
              <w:t>11</w:t>
            </w:r>
          </w:p>
        </w:tc>
        <w:tc>
          <w:tcPr>
            <w:tcW w:w="623" w:type="pct"/>
          </w:tcPr>
          <w:p w:rsidR="00923DE9" w:rsidRPr="0016660B" w:rsidP="0016660B" w14:paraId="4512A52C" w14:textId="77777777">
            <w:r w:rsidRPr="0016660B">
              <w:t>375</w:t>
            </w:r>
          </w:p>
        </w:tc>
      </w:tr>
      <w:tr w14:paraId="5F551863" w14:textId="77777777" w:rsidTr="009A35DB">
        <w:tblPrEx>
          <w:tblW w:w="5000" w:type="pct"/>
          <w:tblLayout w:type="fixed"/>
          <w:tblLook w:val="04A0"/>
        </w:tblPrEx>
        <w:trPr>
          <w:cantSplit/>
        </w:trPr>
        <w:tc>
          <w:tcPr>
            <w:tcW w:w="767" w:type="pct"/>
          </w:tcPr>
          <w:p w:rsidR="00923DE9" w:rsidRPr="0016660B" w:rsidP="00135629" w14:paraId="6D1B39F8" w14:textId="77777777">
            <w:r w:rsidRPr="0016660B">
              <w:t>100</w:t>
            </w:r>
          </w:p>
        </w:tc>
        <w:tc>
          <w:tcPr>
            <w:tcW w:w="963" w:type="pct"/>
          </w:tcPr>
          <w:p w:rsidR="00923DE9" w:rsidRPr="0016660B" w:rsidP="0016660B" w14:paraId="488BDED9" w14:textId="77777777">
            <w:r w:rsidRPr="0016660B">
              <w:t>100,000</w:t>
            </w:r>
          </w:p>
        </w:tc>
        <w:tc>
          <w:tcPr>
            <w:tcW w:w="578" w:type="pct"/>
          </w:tcPr>
          <w:p w:rsidR="00923DE9" w:rsidRPr="0016660B" w:rsidP="0016660B" w14:paraId="38F0F922" w14:textId="77777777">
            <w:r w:rsidRPr="0016660B">
              <w:t>150</w:t>
            </w:r>
          </w:p>
        </w:tc>
        <w:tc>
          <w:tcPr>
            <w:tcW w:w="529" w:type="pct"/>
          </w:tcPr>
          <w:p w:rsidR="00923DE9" w:rsidRPr="0016660B" w:rsidP="0016660B" w14:paraId="0F926013" w14:textId="77777777">
            <w:r w:rsidRPr="0016660B">
              <w:t>15,000</w:t>
            </w:r>
          </w:p>
        </w:tc>
        <w:tc>
          <w:tcPr>
            <w:tcW w:w="914" w:type="pct"/>
          </w:tcPr>
          <w:p w:rsidR="00923DE9" w:rsidRPr="0016660B" w:rsidP="0016660B" w14:paraId="7D7C80C1" w14:textId="77777777">
            <w:r w:rsidRPr="0016660B">
              <w:t>1,500</w:t>
            </w:r>
          </w:p>
        </w:tc>
        <w:tc>
          <w:tcPr>
            <w:tcW w:w="626" w:type="pct"/>
          </w:tcPr>
          <w:p w:rsidR="00923DE9" w:rsidRPr="0016660B" w:rsidP="0016660B" w14:paraId="2C6473BC" w14:textId="77777777">
            <w:r w:rsidRPr="00791FA0">
              <w:rPr>
                <w:color w:val="000000" w:themeColor="text1"/>
              </w:rPr>
              <w:t>22</w:t>
            </w:r>
          </w:p>
        </w:tc>
        <w:tc>
          <w:tcPr>
            <w:tcW w:w="623" w:type="pct"/>
          </w:tcPr>
          <w:p w:rsidR="00923DE9" w:rsidRPr="0016660B" w:rsidP="0016660B" w14:paraId="24B8C472" w14:textId="77777777">
            <w:r w:rsidRPr="0016660B">
              <w:t>750</w:t>
            </w:r>
          </w:p>
        </w:tc>
      </w:tr>
      <w:tr w14:paraId="12E84007" w14:textId="77777777" w:rsidTr="009A35DB">
        <w:tblPrEx>
          <w:tblW w:w="5000" w:type="pct"/>
          <w:tblLayout w:type="fixed"/>
          <w:tblLook w:val="04A0"/>
        </w:tblPrEx>
        <w:trPr>
          <w:cantSplit/>
        </w:trPr>
        <w:tc>
          <w:tcPr>
            <w:tcW w:w="767" w:type="pct"/>
          </w:tcPr>
          <w:p w:rsidR="00923DE9" w:rsidRPr="0016660B" w:rsidP="00135629" w14:paraId="5E957909" w14:textId="77777777">
            <w:r w:rsidRPr="0016660B">
              <w:t>500</w:t>
            </w:r>
          </w:p>
        </w:tc>
        <w:tc>
          <w:tcPr>
            <w:tcW w:w="963" w:type="pct"/>
          </w:tcPr>
          <w:p w:rsidR="00923DE9" w:rsidRPr="0016660B" w:rsidP="0016660B" w14:paraId="27513DC4" w14:textId="77777777">
            <w:r w:rsidRPr="0016660B">
              <w:t>50,000</w:t>
            </w:r>
          </w:p>
        </w:tc>
        <w:tc>
          <w:tcPr>
            <w:tcW w:w="578" w:type="pct"/>
          </w:tcPr>
          <w:p w:rsidR="00923DE9" w:rsidRPr="0016660B" w:rsidP="0016660B" w14:paraId="72BB4677" w14:textId="77777777">
            <w:r w:rsidRPr="0016660B">
              <w:t>150</w:t>
            </w:r>
          </w:p>
        </w:tc>
        <w:tc>
          <w:tcPr>
            <w:tcW w:w="529" w:type="pct"/>
          </w:tcPr>
          <w:p w:rsidR="00923DE9" w:rsidRPr="0016660B" w:rsidP="0016660B" w14:paraId="158B4143" w14:textId="77777777">
            <w:r w:rsidRPr="0016660B">
              <w:t>75,000</w:t>
            </w:r>
          </w:p>
        </w:tc>
        <w:tc>
          <w:tcPr>
            <w:tcW w:w="914" w:type="pct"/>
          </w:tcPr>
          <w:p w:rsidR="00923DE9" w:rsidRPr="0016660B" w:rsidP="0016660B" w14:paraId="1A536EE6" w14:textId="77777777">
            <w:r w:rsidRPr="0016660B">
              <w:t>3,750</w:t>
            </w:r>
          </w:p>
        </w:tc>
        <w:tc>
          <w:tcPr>
            <w:tcW w:w="626" w:type="pct"/>
          </w:tcPr>
          <w:p w:rsidR="00923DE9" w:rsidRPr="0016660B" w:rsidP="0016660B" w14:paraId="0DD232F1" w14:textId="77777777">
            <w:r w:rsidRPr="00791FA0">
              <w:rPr>
                <w:color w:val="000000" w:themeColor="text1"/>
              </w:rPr>
              <w:t>56</w:t>
            </w:r>
          </w:p>
        </w:tc>
        <w:tc>
          <w:tcPr>
            <w:tcW w:w="623" w:type="pct"/>
          </w:tcPr>
          <w:p w:rsidR="00923DE9" w:rsidRPr="0016660B" w:rsidP="0016660B" w14:paraId="53F902AB" w14:textId="77777777">
            <w:r w:rsidRPr="0016660B">
              <w:t>1,875</w:t>
            </w:r>
          </w:p>
        </w:tc>
      </w:tr>
      <w:tr w14:paraId="7BAA0D65" w14:textId="77777777" w:rsidTr="009A35DB">
        <w:tblPrEx>
          <w:tblW w:w="5000" w:type="pct"/>
          <w:tblLayout w:type="fixed"/>
          <w:tblLook w:val="04A0"/>
        </w:tblPrEx>
        <w:trPr>
          <w:cantSplit/>
        </w:trPr>
        <w:tc>
          <w:tcPr>
            <w:tcW w:w="767" w:type="pct"/>
          </w:tcPr>
          <w:p w:rsidR="00923DE9" w:rsidRPr="0016660B" w:rsidP="00135629" w14:paraId="72ED0137" w14:textId="77777777">
            <w:r w:rsidRPr="0016660B">
              <w:t>500</w:t>
            </w:r>
          </w:p>
        </w:tc>
        <w:tc>
          <w:tcPr>
            <w:tcW w:w="963" w:type="pct"/>
          </w:tcPr>
          <w:p w:rsidR="00923DE9" w:rsidRPr="0016660B" w:rsidP="0016660B" w14:paraId="09548F6C" w14:textId="77777777">
            <w:r w:rsidRPr="0016660B">
              <w:t>100,000</w:t>
            </w:r>
          </w:p>
        </w:tc>
        <w:tc>
          <w:tcPr>
            <w:tcW w:w="578" w:type="pct"/>
          </w:tcPr>
          <w:p w:rsidR="00923DE9" w:rsidRPr="0016660B" w:rsidP="0016660B" w14:paraId="0C0EE034" w14:textId="77777777">
            <w:r w:rsidRPr="0016660B">
              <w:t>150</w:t>
            </w:r>
          </w:p>
        </w:tc>
        <w:tc>
          <w:tcPr>
            <w:tcW w:w="529" w:type="pct"/>
          </w:tcPr>
          <w:p w:rsidR="00923DE9" w:rsidRPr="0016660B" w:rsidP="0016660B" w14:paraId="31BBE6AF" w14:textId="77777777">
            <w:r w:rsidRPr="0016660B">
              <w:t>75,000</w:t>
            </w:r>
          </w:p>
        </w:tc>
        <w:tc>
          <w:tcPr>
            <w:tcW w:w="914" w:type="pct"/>
          </w:tcPr>
          <w:p w:rsidR="00923DE9" w:rsidRPr="0016660B" w:rsidP="0016660B" w14:paraId="108D9F78" w14:textId="77777777">
            <w:r w:rsidRPr="0016660B">
              <w:t>7,500</w:t>
            </w:r>
          </w:p>
        </w:tc>
        <w:tc>
          <w:tcPr>
            <w:tcW w:w="626" w:type="pct"/>
          </w:tcPr>
          <w:p w:rsidR="00923DE9" w:rsidRPr="0016660B" w:rsidP="0016660B" w14:paraId="242B748B" w14:textId="77777777">
            <w:r w:rsidRPr="00791FA0">
              <w:rPr>
                <w:color w:val="000000" w:themeColor="text1"/>
              </w:rPr>
              <w:t>112</w:t>
            </w:r>
          </w:p>
        </w:tc>
        <w:tc>
          <w:tcPr>
            <w:tcW w:w="623" w:type="pct"/>
          </w:tcPr>
          <w:p w:rsidR="00923DE9" w:rsidRPr="0016660B" w:rsidP="0016660B" w14:paraId="3222C9F2" w14:textId="77777777">
            <w:r w:rsidRPr="0016660B">
              <w:t>3,750</w:t>
            </w:r>
          </w:p>
        </w:tc>
      </w:tr>
    </w:tbl>
    <w:p w:rsidR="00923DE9" w:rsidRPr="00143B7C" w:rsidP="00135629" w14:paraId="45D0DCA5" w14:textId="77777777"/>
    <w:p w:rsidR="00881807" w:rsidP="00881807" w14:paraId="78AD70A4" w14:textId="77777777">
      <w:r>
        <w:t xml:space="preserve">A power analysis for the effect of cumulative driving hours in the duty period was performed based on the WebPower </w:t>
      </w:r>
      <w:r w:rsidRPr="004E4EA7">
        <w:t xml:space="preserve">package in R to estimate the sample size needed for comparing </w:t>
      </w:r>
      <w:r>
        <w:t xml:space="preserve">the </w:t>
      </w:r>
      <w:r w:rsidRPr="004E4EA7">
        <w:t>rate of crashes in the start of the duty (1</w:t>
      </w:r>
      <w:r w:rsidRPr="00860BE7">
        <w:rPr>
          <w:vertAlign w:val="superscript"/>
        </w:rPr>
        <w:t>st</w:t>
      </w:r>
      <w:r>
        <w:t xml:space="preserve"> h</w:t>
      </w:r>
      <w:r w:rsidRPr="004E4EA7">
        <w:t>our of driving) versus the rate of crashes in the 11</w:t>
      </w:r>
      <w:r w:rsidRPr="00860BE7">
        <w:rPr>
          <w:vertAlign w:val="superscript"/>
        </w:rPr>
        <w:t>th</w:t>
      </w:r>
      <w:r>
        <w:t xml:space="preserve"> h</w:t>
      </w:r>
      <w:r w:rsidRPr="004E4EA7">
        <w:t xml:space="preserve">our of driving. </w:t>
      </w:r>
      <w:r w:rsidRPr="00241AC1">
        <w:t>Blanco et al. (2011)</w:t>
      </w:r>
      <w:r w:rsidRPr="00241AC1" w:rsidR="00241AC1">
        <w:rPr>
          <w:vertAlign w:val="superscript"/>
        </w:rPr>
        <w:t>2</w:t>
      </w:r>
      <w:r w:rsidRPr="009241AE">
        <w:t xml:space="preserve"> estimated the relative risk of </w:t>
      </w:r>
      <w:r w:rsidR="00D16DC2">
        <w:t>crash</w:t>
      </w:r>
      <w:r w:rsidRPr="009241AE">
        <w:t xml:space="preserve"> on driving hour</w:t>
      </w:r>
      <w:r w:rsidRPr="009241AE" w:rsidR="009241AE">
        <w:t>;</w:t>
      </w:r>
      <w:r w:rsidR="009241AE">
        <w:t xml:space="preserve"> t</w:t>
      </w:r>
      <w:r w:rsidRPr="004E4EA7">
        <w:t xml:space="preserve">he </w:t>
      </w:r>
      <w:r w:rsidR="009241AE">
        <w:t>reported parameter estimate</w:t>
      </w:r>
      <w:r w:rsidRPr="004E4EA7">
        <w:t xml:space="preserve"> (</w:t>
      </w:r>
      <w:r w:rsidRPr="004640FA">
        <w:t>u</w:t>
      </w:r>
      <w:r w:rsidRPr="004E4EA7">
        <w:t xml:space="preserve"> = 0.0363) translates to 1.49x relative risk </w:t>
      </w:r>
      <w:r w:rsidR="004640FA">
        <w:t xml:space="preserve">(1.49 = </w:t>
      </w:r>
      <w:r w:rsidRPr="00860BE7" w:rsidR="004640FA">
        <w:rPr>
          <w:i/>
          <w:iCs/>
        </w:rPr>
        <w:t>e</w:t>
      </w:r>
      <w:r w:rsidR="004640FA">
        <w:rPr>
          <w:i/>
          <w:iCs/>
        </w:rPr>
        <w:t xml:space="preserve"> </w:t>
      </w:r>
      <w:r w:rsidRPr="00860BE7" w:rsidR="004640FA">
        <w:rPr>
          <w:vertAlign w:val="superscript"/>
        </w:rPr>
        <w:t>0.0363</w:t>
      </w:r>
      <w:r w:rsidR="009241AE">
        <w:rPr>
          <w:vertAlign w:val="superscript"/>
        </w:rPr>
        <w:t>×</w:t>
      </w:r>
      <w:r w:rsidRPr="00860BE7" w:rsidR="004640FA">
        <w:rPr>
          <w:vertAlign w:val="superscript"/>
        </w:rPr>
        <w:t>11</w:t>
      </w:r>
      <w:r w:rsidR="004640FA">
        <w:t xml:space="preserve">) </w:t>
      </w:r>
      <w:r w:rsidRPr="004E4EA7">
        <w:t xml:space="preserve">at </w:t>
      </w:r>
      <w:r>
        <w:t>the 11</w:t>
      </w:r>
      <w:r w:rsidRPr="00860BE7">
        <w:rPr>
          <w:vertAlign w:val="superscript"/>
        </w:rPr>
        <w:t>th</w:t>
      </w:r>
      <w:r>
        <w:t xml:space="preserve"> </w:t>
      </w:r>
      <w:r w:rsidRPr="004E4EA7">
        <w:t>hour. Assuming that 20% of duty periods would extend into the 11</w:t>
      </w:r>
      <w:r w:rsidRPr="00860BE7">
        <w:rPr>
          <w:vertAlign w:val="superscript"/>
        </w:rPr>
        <w:t>th</w:t>
      </w:r>
      <w:r>
        <w:t xml:space="preserve"> h</w:t>
      </w:r>
      <w:r w:rsidRPr="004E4EA7">
        <w:t>our of driving, and an increase of 1.5x in the rate of crashes at hour 11, the study would require 3,</w:t>
      </w:r>
      <w:r w:rsidR="00EC620A">
        <w:t>5</w:t>
      </w:r>
      <w:r w:rsidRPr="0081053F">
        <w:t xml:space="preserve">00 </w:t>
      </w:r>
      <w:r w:rsidRPr="004E4EA7">
        <w:t>million driving miles.</w:t>
      </w:r>
    </w:p>
    <w:p w:rsidR="00881807" w:rsidRPr="00881807" w:rsidP="00860BE7" w14:paraId="30C74774" w14:textId="77777777"/>
    <w:p w:rsidR="00923DE9" w:rsidRPr="0016660B" w:rsidP="0016660B" w14:paraId="680CFAFD"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Table</w:t>
      </w:r>
      <w:r w:rsidR="00A540D5">
        <w:rPr>
          <w:rFonts w:ascii="Times New Roman" w:hAnsi="Times New Roman" w:cs="Times New Roman"/>
          <w:b/>
          <w:bCs/>
          <w:i w:val="0"/>
          <w:iCs w:val="0"/>
          <w:color w:val="auto"/>
          <w:sz w:val="20"/>
          <w:szCs w:val="20"/>
        </w:rPr>
        <w:t xml:space="preserve"> </w:t>
      </w:r>
      <w:r w:rsidR="002E6DA6">
        <w:rPr>
          <w:rFonts w:ascii="Times New Roman" w:hAnsi="Times New Roman" w:cs="Times New Roman"/>
          <w:b/>
          <w:bCs/>
          <w:i w:val="0"/>
          <w:iCs w:val="0"/>
          <w:color w:val="auto"/>
          <w:sz w:val="20"/>
          <w:szCs w:val="20"/>
        </w:rPr>
        <w:t>2</w:t>
      </w:r>
      <w:r w:rsidR="00A050C0">
        <w:rPr>
          <w:rFonts w:ascii="Times New Roman" w:hAnsi="Times New Roman" w:cs="Times New Roman"/>
          <w:b/>
          <w:bCs/>
          <w:i w:val="0"/>
          <w:iCs w:val="0"/>
          <w:color w:val="auto"/>
          <w:sz w:val="20"/>
          <w:szCs w:val="20"/>
        </w:rPr>
        <w:t>4</w:t>
      </w:r>
      <w:r w:rsidRPr="0016660B">
        <w:rPr>
          <w:rFonts w:ascii="Times New Roman" w:hAnsi="Times New Roman" w:cs="Times New Roman"/>
          <w:i w:val="0"/>
          <w:iCs w:val="0"/>
          <w:color w:val="auto"/>
          <w:sz w:val="20"/>
          <w:szCs w:val="20"/>
        </w:rPr>
        <w:t xml:space="preserve">: The number of duty periods needed and expected </w:t>
      </w:r>
      <w:r w:rsidR="00D16DC2">
        <w:rPr>
          <w:rFonts w:ascii="Times New Roman" w:hAnsi="Times New Roman" w:cs="Times New Roman"/>
          <w:i w:val="0"/>
          <w:iCs w:val="0"/>
          <w:color w:val="auto"/>
          <w:sz w:val="20"/>
          <w:szCs w:val="20"/>
        </w:rPr>
        <w:t>crashe</w:t>
      </w:r>
      <w:r w:rsidRPr="0016660B" w:rsidR="00B92222">
        <w:rPr>
          <w:rFonts w:ascii="Times New Roman" w:hAnsi="Times New Roman" w:cs="Times New Roman"/>
          <w:i w:val="0"/>
          <w:iCs w:val="0"/>
          <w:color w:val="auto"/>
          <w:sz w:val="20"/>
          <w:szCs w:val="20"/>
        </w:rPr>
        <w:t xml:space="preserve">s </w:t>
      </w:r>
      <w:r w:rsidRPr="0016660B">
        <w:rPr>
          <w:rFonts w:ascii="Times New Roman" w:hAnsi="Times New Roman" w:cs="Times New Roman"/>
          <w:i w:val="0"/>
          <w:iCs w:val="0"/>
          <w:color w:val="auto"/>
          <w:sz w:val="20"/>
          <w:szCs w:val="20"/>
        </w:rPr>
        <w:t>based on a comparison of the first and 11</w:t>
      </w:r>
      <w:r w:rsidRPr="0016660B">
        <w:rPr>
          <w:rFonts w:ascii="Times New Roman" w:hAnsi="Times New Roman" w:cs="Times New Roman"/>
          <w:i w:val="0"/>
          <w:iCs w:val="0"/>
          <w:color w:val="auto"/>
          <w:sz w:val="20"/>
          <w:szCs w:val="20"/>
          <w:vertAlign w:val="superscript"/>
        </w:rPr>
        <w:t>th</w:t>
      </w:r>
      <w:r w:rsidRPr="0016660B">
        <w:rPr>
          <w:rFonts w:ascii="Times New Roman" w:hAnsi="Times New Roman" w:cs="Times New Roman"/>
          <w:i w:val="0"/>
          <w:iCs w:val="0"/>
          <w:color w:val="auto"/>
          <w:sz w:val="20"/>
          <w:szCs w:val="20"/>
        </w:rPr>
        <w:t xml:space="preserve"> hour of driving assuming a 1.5x relative risk of </w:t>
      </w:r>
      <w:r w:rsidR="00D16DC2">
        <w:rPr>
          <w:rFonts w:ascii="Times New Roman" w:hAnsi="Times New Roman" w:cs="Times New Roman"/>
          <w:i w:val="0"/>
          <w:iCs w:val="0"/>
          <w:color w:val="auto"/>
          <w:sz w:val="20"/>
          <w:szCs w:val="20"/>
        </w:rPr>
        <w:t>crashe</w:t>
      </w:r>
      <w:r w:rsidRPr="0016660B" w:rsidR="00B92222">
        <w:rPr>
          <w:rFonts w:ascii="Times New Roman" w:hAnsi="Times New Roman" w:cs="Times New Roman"/>
          <w:i w:val="0"/>
          <w:iCs w:val="0"/>
          <w:color w:val="auto"/>
          <w:sz w:val="20"/>
          <w:szCs w:val="20"/>
        </w:rPr>
        <w:t xml:space="preserve">s </w:t>
      </w:r>
      <w:r w:rsidRPr="0016660B">
        <w:rPr>
          <w:rFonts w:ascii="Times New Roman" w:hAnsi="Times New Roman" w:cs="Times New Roman"/>
          <w:i w:val="0"/>
          <w:iCs w:val="0"/>
          <w:color w:val="auto"/>
          <w:sz w:val="20"/>
          <w:szCs w:val="20"/>
        </w:rPr>
        <w:t>and 20% percent of shifts driving into the 11</w:t>
      </w:r>
      <w:r w:rsidRPr="0016660B">
        <w:rPr>
          <w:rFonts w:ascii="Times New Roman" w:hAnsi="Times New Roman" w:cs="Times New Roman"/>
          <w:i w:val="0"/>
          <w:iCs w:val="0"/>
          <w:color w:val="auto"/>
          <w:sz w:val="20"/>
          <w:szCs w:val="20"/>
          <w:vertAlign w:val="superscript"/>
        </w:rPr>
        <w:t>th</w:t>
      </w:r>
      <w:r w:rsidRPr="0016660B">
        <w:rPr>
          <w:rFonts w:ascii="Times New Roman" w:hAnsi="Times New Roman" w:cs="Times New Roman"/>
          <w:i w:val="0"/>
          <w:iCs w:val="0"/>
          <w:color w:val="auto"/>
          <w:sz w:val="20"/>
          <w:szCs w:val="20"/>
        </w:rPr>
        <w:t xml:space="preserve"> hour.</w:t>
      </w:r>
    </w:p>
    <w:tbl>
      <w:tblPr>
        <w:tblStyle w:val="TableGrid"/>
        <w:tblW w:w="5000" w:type="pct"/>
        <w:jc w:val="center"/>
        <w:tblLook w:val="06A0"/>
      </w:tblPr>
      <w:tblGrid>
        <w:gridCol w:w="1615"/>
        <w:gridCol w:w="1530"/>
        <w:gridCol w:w="1414"/>
        <w:gridCol w:w="1533"/>
        <w:gridCol w:w="1455"/>
        <w:gridCol w:w="1803"/>
      </w:tblGrid>
      <w:tr w14:paraId="30965D90" w14:textId="77777777" w:rsidTr="002562C3">
        <w:tblPrEx>
          <w:tblW w:w="5000" w:type="pct"/>
          <w:jc w:val="center"/>
          <w:tblLook w:val="06A0"/>
        </w:tblPrEx>
        <w:trPr>
          <w:jc w:val="center"/>
        </w:trPr>
        <w:tc>
          <w:tcPr>
            <w:tcW w:w="864" w:type="pct"/>
            <w:shd w:val="clear" w:color="auto" w:fill="D9D9D9" w:themeFill="background1" w:themeFillShade="D9"/>
          </w:tcPr>
          <w:p w:rsidR="00923DE9" w:rsidRPr="0016660B" w:rsidP="00135629" w14:paraId="5505B18C" w14:textId="77777777">
            <w:pPr>
              <w:rPr>
                <w:b/>
                <w:bCs/>
              </w:rPr>
            </w:pPr>
            <w:r w:rsidRPr="0016660B">
              <w:rPr>
                <w:b/>
                <w:bCs/>
              </w:rPr>
              <w:t>Duty Periods with at Least 1 Hour</w:t>
            </w:r>
          </w:p>
        </w:tc>
        <w:tc>
          <w:tcPr>
            <w:tcW w:w="818" w:type="pct"/>
            <w:shd w:val="clear" w:color="auto" w:fill="D9D9D9" w:themeFill="background1" w:themeFillShade="D9"/>
          </w:tcPr>
          <w:p w:rsidR="00923DE9" w:rsidRPr="0016660B" w:rsidP="00135629" w14:paraId="56792871" w14:textId="77777777">
            <w:pPr>
              <w:rPr>
                <w:b/>
                <w:bCs/>
              </w:rPr>
            </w:pPr>
            <w:r w:rsidRPr="0016660B">
              <w:rPr>
                <w:b/>
                <w:bCs/>
              </w:rPr>
              <w:t>Duty Periods with 11th Hour of Driving</w:t>
            </w:r>
          </w:p>
        </w:tc>
        <w:tc>
          <w:tcPr>
            <w:tcW w:w="756" w:type="pct"/>
            <w:shd w:val="clear" w:color="auto" w:fill="D9D9D9" w:themeFill="background1" w:themeFillShade="D9"/>
          </w:tcPr>
          <w:p w:rsidR="00923DE9" w:rsidRPr="0016660B" w:rsidP="00135629" w14:paraId="01115610" w14:textId="77777777">
            <w:pPr>
              <w:rPr>
                <w:b/>
                <w:bCs/>
              </w:rPr>
            </w:pPr>
            <w:r w:rsidRPr="0016660B">
              <w:rPr>
                <w:b/>
                <w:bCs/>
              </w:rPr>
              <w:t xml:space="preserve">Expected </w:t>
            </w:r>
            <w:r w:rsidR="00D16DC2">
              <w:rPr>
                <w:b/>
                <w:bCs/>
              </w:rPr>
              <w:t>Crashe</w:t>
            </w:r>
            <w:r w:rsidR="00B92222">
              <w:rPr>
                <w:b/>
                <w:bCs/>
              </w:rPr>
              <w:t xml:space="preserve">s </w:t>
            </w:r>
            <w:r w:rsidRPr="0016660B">
              <w:rPr>
                <w:b/>
                <w:bCs/>
              </w:rPr>
              <w:t>in Hour 1</w:t>
            </w:r>
          </w:p>
        </w:tc>
        <w:tc>
          <w:tcPr>
            <w:tcW w:w="820" w:type="pct"/>
            <w:shd w:val="clear" w:color="auto" w:fill="D9D9D9" w:themeFill="background1" w:themeFillShade="D9"/>
          </w:tcPr>
          <w:p w:rsidR="00923DE9" w:rsidRPr="0016660B" w:rsidP="00135629" w14:paraId="111F6394" w14:textId="77777777">
            <w:pPr>
              <w:rPr>
                <w:b/>
                <w:bCs/>
              </w:rPr>
            </w:pPr>
            <w:r w:rsidRPr="0016660B">
              <w:rPr>
                <w:b/>
                <w:bCs/>
              </w:rPr>
              <w:t xml:space="preserve">Expected </w:t>
            </w:r>
            <w:r w:rsidR="00D16DC2">
              <w:rPr>
                <w:b/>
                <w:bCs/>
              </w:rPr>
              <w:t>Crashe</w:t>
            </w:r>
            <w:r w:rsidRPr="0016660B" w:rsidR="00B92222">
              <w:rPr>
                <w:b/>
                <w:bCs/>
              </w:rPr>
              <w:t xml:space="preserve">s </w:t>
            </w:r>
            <w:r w:rsidRPr="0016660B">
              <w:rPr>
                <w:b/>
                <w:bCs/>
              </w:rPr>
              <w:t>in 11</w:t>
            </w:r>
            <w:r w:rsidRPr="0016660B">
              <w:rPr>
                <w:b/>
                <w:bCs/>
                <w:vertAlign w:val="superscript"/>
              </w:rPr>
              <w:t>th</w:t>
            </w:r>
            <w:r w:rsidRPr="0016660B">
              <w:rPr>
                <w:b/>
                <w:bCs/>
              </w:rPr>
              <w:t xml:space="preserve"> Hour</w:t>
            </w:r>
          </w:p>
        </w:tc>
        <w:tc>
          <w:tcPr>
            <w:tcW w:w="778" w:type="pct"/>
            <w:shd w:val="clear" w:color="auto" w:fill="D9D9D9" w:themeFill="background1" w:themeFillShade="D9"/>
          </w:tcPr>
          <w:p w:rsidR="00923DE9" w:rsidRPr="0016660B" w:rsidP="00135629" w14:paraId="7C3BEE58" w14:textId="77777777">
            <w:pPr>
              <w:rPr>
                <w:b/>
                <w:bCs/>
              </w:rPr>
            </w:pPr>
            <w:r w:rsidRPr="0016660B">
              <w:rPr>
                <w:b/>
                <w:bCs/>
              </w:rPr>
              <w:t>Total Number of Duty Periods</w:t>
            </w:r>
          </w:p>
        </w:tc>
        <w:tc>
          <w:tcPr>
            <w:tcW w:w="964" w:type="pct"/>
            <w:shd w:val="clear" w:color="auto" w:fill="D9D9D9" w:themeFill="background1" w:themeFillShade="D9"/>
          </w:tcPr>
          <w:p w:rsidR="00923DE9" w:rsidRPr="0016660B" w:rsidP="00135629" w14:paraId="2233998C" w14:textId="77777777">
            <w:pPr>
              <w:rPr>
                <w:b/>
                <w:bCs/>
              </w:rPr>
            </w:pPr>
            <w:r w:rsidRPr="0016660B">
              <w:rPr>
                <w:b/>
                <w:bCs/>
              </w:rPr>
              <w:t>Total Number of Miles Driven</w:t>
            </w:r>
          </w:p>
        </w:tc>
      </w:tr>
      <w:tr w14:paraId="4579A88C" w14:textId="77777777" w:rsidTr="0016660B">
        <w:tblPrEx>
          <w:tblW w:w="5000" w:type="pct"/>
          <w:jc w:val="center"/>
          <w:tblLook w:val="06A0"/>
        </w:tblPrEx>
        <w:trPr>
          <w:jc w:val="center"/>
        </w:trPr>
        <w:tc>
          <w:tcPr>
            <w:tcW w:w="864" w:type="pct"/>
          </w:tcPr>
          <w:p w:rsidR="00923DE9" w:rsidRPr="0016660B" w:rsidP="00135629" w14:paraId="13901EA7" w14:textId="77777777">
            <w:r w:rsidRPr="0016660B">
              <w:t>8,275,262</w:t>
            </w:r>
          </w:p>
        </w:tc>
        <w:tc>
          <w:tcPr>
            <w:tcW w:w="818" w:type="pct"/>
          </w:tcPr>
          <w:p w:rsidR="00923DE9" w:rsidRPr="0016660B" w:rsidP="00135629" w14:paraId="1AF4AF22" w14:textId="77777777">
            <w:r w:rsidRPr="0016660B">
              <w:t>1,655,052</w:t>
            </w:r>
          </w:p>
        </w:tc>
        <w:tc>
          <w:tcPr>
            <w:tcW w:w="756" w:type="pct"/>
          </w:tcPr>
          <w:p w:rsidR="00923DE9" w:rsidRPr="0016660B" w:rsidP="00135629" w14:paraId="37EF6340" w14:textId="77777777">
            <w:r w:rsidRPr="0016660B">
              <w:t>207</w:t>
            </w:r>
          </w:p>
        </w:tc>
        <w:tc>
          <w:tcPr>
            <w:tcW w:w="820" w:type="pct"/>
          </w:tcPr>
          <w:p w:rsidR="00923DE9" w:rsidRPr="0016660B" w:rsidP="00135629" w14:paraId="75BF550E" w14:textId="77777777">
            <w:r w:rsidRPr="0016660B">
              <w:t>62</w:t>
            </w:r>
          </w:p>
        </w:tc>
        <w:tc>
          <w:tcPr>
            <w:tcW w:w="778" w:type="pct"/>
          </w:tcPr>
          <w:p w:rsidR="00923DE9" w:rsidRPr="0016660B" w:rsidP="00135629" w14:paraId="482EECE0" w14:textId="77777777">
            <w:r w:rsidRPr="0016660B">
              <w:t>8,275,262</w:t>
            </w:r>
          </w:p>
        </w:tc>
        <w:tc>
          <w:tcPr>
            <w:tcW w:w="964" w:type="pct"/>
          </w:tcPr>
          <w:p w:rsidR="00923DE9" w:rsidRPr="0016660B" w:rsidP="00135629" w14:paraId="4B4231B4" w14:textId="77777777">
            <w:r w:rsidRPr="0016660B">
              <w:t>3,310,104,800</w:t>
            </w:r>
          </w:p>
        </w:tc>
      </w:tr>
    </w:tbl>
    <w:p w:rsidR="00923DE9" w:rsidRPr="0016660B" w:rsidP="00135629" w14:paraId="6743DAC0" w14:textId="77777777"/>
    <w:p w:rsidR="00B0792B" w:rsidP="00135629" w14:paraId="312BD410" w14:textId="77777777">
      <w:r w:rsidRPr="0016660B">
        <w:t xml:space="preserve">The power analysis for the effect of cumulative driving hours was based on the 1.5x relative risk observed in </w:t>
      </w:r>
      <w:r w:rsidR="00D16DC2">
        <w:t>crash</w:t>
      </w:r>
      <w:r w:rsidRPr="0016660B" w:rsidR="00D16DC2">
        <w:t xml:space="preserve"> </w:t>
      </w:r>
      <w:r w:rsidRPr="0016660B">
        <w:t>data</w:t>
      </w:r>
      <w:r w:rsidR="00881807">
        <w:t>. T</w:t>
      </w:r>
      <w:r w:rsidRPr="0016660B">
        <w:t>he relative risk of crashes for driving hours may be different, and</w:t>
      </w:r>
      <w:r>
        <w:t xml:space="preserve"> the</w:t>
      </w:r>
      <w:r w:rsidRPr="0016660B">
        <w:t xml:space="preserve"> sample size needed to observe statistically significant difference depends on the true underlying effect size. </w:t>
      </w:r>
      <w:r>
        <w:t>To determine the sample size needed when the relative risk is greater or less than our base assumption of 1.5x relative risk, we calculate the minimum detectable difference</w:t>
      </w:r>
      <w:r w:rsidR="00291893">
        <w:t xml:space="preserve"> in crash risk</w:t>
      </w:r>
      <w:r>
        <w:t xml:space="preserve"> for a range of sample</w:t>
      </w:r>
      <w:r w:rsidR="00291893">
        <w:t xml:space="preserve"> sizes. </w:t>
      </w:r>
      <w:r w:rsidRPr="0016660B">
        <w:t>The table below shows the detectable differences in crash rates between hour 1 and hour 11 of driving for different study sizes.</w:t>
      </w:r>
      <w:r>
        <w:t xml:space="preserve"> </w:t>
      </w:r>
    </w:p>
    <w:p w:rsidR="00E01008" w:rsidRPr="0016660B" w:rsidP="00135629" w14:paraId="79733B42" w14:textId="77777777">
      <w:pPr>
        <w:pStyle w:val="Caption"/>
      </w:pPr>
    </w:p>
    <w:p w:rsidR="00923DE9" w:rsidRPr="0016660B" w:rsidP="0016660B" w14:paraId="54B53DD3" w14:textId="77777777">
      <w:pPr>
        <w:pStyle w:val="Caption"/>
        <w:jc w:val="center"/>
        <w:rPr>
          <w:rFonts w:ascii="Times New Roman" w:hAnsi="Times New Roman" w:cs="Times New Roman"/>
          <w:i w:val="0"/>
          <w:iCs w:val="0"/>
          <w:color w:val="auto"/>
          <w:sz w:val="20"/>
          <w:szCs w:val="20"/>
        </w:rPr>
      </w:pPr>
      <w:r w:rsidRPr="0016660B">
        <w:rPr>
          <w:rFonts w:ascii="Times New Roman" w:hAnsi="Times New Roman" w:cs="Times New Roman"/>
          <w:b/>
          <w:bCs/>
          <w:i w:val="0"/>
          <w:iCs w:val="0"/>
          <w:color w:val="auto"/>
          <w:sz w:val="20"/>
          <w:szCs w:val="20"/>
        </w:rPr>
        <w:t>Table</w:t>
      </w:r>
      <w:r w:rsidR="00A540D5">
        <w:rPr>
          <w:rFonts w:ascii="Times New Roman" w:hAnsi="Times New Roman" w:cs="Times New Roman"/>
          <w:b/>
          <w:bCs/>
          <w:i w:val="0"/>
          <w:iCs w:val="0"/>
          <w:color w:val="auto"/>
          <w:sz w:val="20"/>
          <w:szCs w:val="20"/>
        </w:rPr>
        <w:t xml:space="preserve"> </w:t>
      </w:r>
      <w:r w:rsidR="002E6DA6">
        <w:rPr>
          <w:rFonts w:ascii="Times New Roman" w:hAnsi="Times New Roman" w:cs="Times New Roman"/>
          <w:b/>
          <w:bCs/>
          <w:i w:val="0"/>
          <w:iCs w:val="0"/>
          <w:color w:val="auto"/>
          <w:sz w:val="20"/>
          <w:szCs w:val="20"/>
        </w:rPr>
        <w:t>2</w:t>
      </w:r>
      <w:r w:rsidR="00A050C0">
        <w:rPr>
          <w:rFonts w:ascii="Times New Roman" w:hAnsi="Times New Roman" w:cs="Times New Roman"/>
          <w:b/>
          <w:bCs/>
          <w:i w:val="0"/>
          <w:iCs w:val="0"/>
          <w:color w:val="auto"/>
          <w:sz w:val="20"/>
          <w:szCs w:val="20"/>
        </w:rPr>
        <w:t>5</w:t>
      </w:r>
      <w:r w:rsidRPr="0016660B">
        <w:rPr>
          <w:rFonts w:ascii="Times New Roman" w:hAnsi="Times New Roman" w:cs="Times New Roman"/>
          <w:i w:val="0"/>
          <w:iCs w:val="0"/>
          <w:color w:val="auto"/>
          <w:sz w:val="20"/>
          <w:szCs w:val="20"/>
        </w:rPr>
        <w:t xml:space="preserve">: Detectable relative risk between </w:t>
      </w:r>
      <w:r w:rsidR="00D16DC2">
        <w:rPr>
          <w:rFonts w:ascii="Times New Roman" w:hAnsi="Times New Roman" w:cs="Times New Roman"/>
          <w:i w:val="0"/>
          <w:iCs w:val="0"/>
          <w:color w:val="auto"/>
          <w:sz w:val="20"/>
          <w:szCs w:val="20"/>
        </w:rPr>
        <w:t>crash</w:t>
      </w:r>
      <w:r w:rsidRPr="0016660B" w:rsidR="00EA133A">
        <w:rPr>
          <w:rFonts w:ascii="Times New Roman" w:hAnsi="Times New Roman" w:cs="Times New Roman"/>
          <w:i w:val="0"/>
          <w:iCs w:val="0"/>
          <w:color w:val="auto"/>
          <w:sz w:val="20"/>
          <w:szCs w:val="20"/>
        </w:rPr>
        <w:t xml:space="preserve"> </w:t>
      </w:r>
      <w:r w:rsidRPr="0016660B">
        <w:rPr>
          <w:rFonts w:ascii="Times New Roman" w:hAnsi="Times New Roman" w:cs="Times New Roman"/>
          <w:i w:val="0"/>
          <w:iCs w:val="0"/>
          <w:color w:val="auto"/>
          <w:sz w:val="20"/>
          <w:szCs w:val="20"/>
        </w:rPr>
        <w:t>rate during 1</w:t>
      </w:r>
      <w:r w:rsidRPr="0016660B">
        <w:rPr>
          <w:rFonts w:ascii="Times New Roman" w:hAnsi="Times New Roman" w:cs="Times New Roman"/>
          <w:i w:val="0"/>
          <w:iCs w:val="0"/>
          <w:color w:val="auto"/>
          <w:sz w:val="20"/>
          <w:szCs w:val="20"/>
          <w:vertAlign w:val="superscript"/>
        </w:rPr>
        <w:t>st</w:t>
      </w:r>
      <w:r w:rsidRPr="0016660B">
        <w:rPr>
          <w:rFonts w:ascii="Times New Roman" w:hAnsi="Times New Roman" w:cs="Times New Roman"/>
          <w:i w:val="0"/>
          <w:iCs w:val="0"/>
          <w:color w:val="auto"/>
          <w:sz w:val="20"/>
          <w:szCs w:val="20"/>
        </w:rPr>
        <w:t xml:space="preserve"> hour vs 11</w:t>
      </w:r>
      <w:r w:rsidRPr="0016660B">
        <w:rPr>
          <w:rFonts w:ascii="Times New Roman" w:hAnsi="Times New Roman" w:cs="Times New Roman"/>
          <w:i w:val="0"/>
          <w:iCs w:val="0"/>
          <w:color w:val="auto"/>
          <w:sz w:val="20"/>
          <w:szCs w:val="20"/>
          <w:vertAlign w:val="superscript"/>
        </w:rPr>
        <w:t>th</w:t>
      </w:r>
      <w:r w:rsidRPr="0016660B">
        <w:rPr>
          <w:rFonts w:ascii="Times New Roman" w:hAnsi="Times New Roman" w:cs="Times New Roman"/>
          <w:i w:val="0"/>
          <w:iCs w:val="0"/>
          <w:color w:val="auto"/>
          <w:sz w:val="20"/>
          <w:szCs w:val="20"/>
        </w:rPr>
        <w:t xml:space="preserve"> hour of driving for different study sample size, based on assumed prevalence of duties with at least the 1</w:t>
      </w:r>
      <w:r w:rsidRPr="0016660B">
        <w:rPr>
          <w:rFonts w:ascii="Times New Roman" w:hAnsi="Times New Roman" w:cs="Times New Roman"/>
          <w:i w:val="0"/>
          <w:iCs w:val="0"/>
          <w:color w:val="auto"/>
          <w:sz w:val="20"/>
          <w:szCs w:val="20"/>
          <w:vertAlign w:val="superscript"/>
        </w:rPr>
        <w:t>st</w:t>
      </w:r>
      <w:r w:rsidRPr="0016660B">
        <w:rPr>
          <w:rFonts w:ascii="Times New Roman" w:hAnsi="Times New Roman" w:cs="Times New Roman"/>
          <w:i w:val="0"/>
          <w:iCs w:val="0"/>
          <w:color w:val="auto"/>
          <w:sz w:val="20"/>
          <w:szCs w:val="20"/>
        </w:rPr>
        <w:t xml:space="preserve"> hour of driving (100% of duties) and 11</w:t>
      </w:r>
      <w:r w:rsidRPr="0016660B">
        <w:rPr>
          <w:rFonts w:ascii="Times New Roman" w:hAnsi="Times New Roman" w:cs="Times New Roman"/>
          <w:i w:val="0"/>
          <w:iCs w:val="0"/>
          <w:color w:val="auto"/>
          <w:sz w:val="20"/>
          <w:szCs w:val="20"/>
          <w:vertAlign w:val="superscript"/>
        </w:rPr>
        <w:t>th</w:t>
      </w:r>
      <w:r w:rsidRPr="0016660B">
        <w:rPr>
          <w:rFonts w:ascii="Times New Roman" w:hAnsi="Times New Roman" w:cs="Times New Roman"/>
          <w:i w:val="0"/>
          <w:iCs w:val="0"/>
          <w:color w:val="auto"/>
          <w:sz w:val="20"/>
          <w:szCs w:val="20"/>
        </w:rPr>
        <w:t xml:space="preserve"> hour of driving (20% of duties).</w:t>
      </w:r>
    </w:p>
    <w:tbl>
      <w:tblPr>
        <w:tblStyle w:val="TableGrid"/>
        <w:tblW w:w="5000" w:type="pct"/>
        <w:jc w:val="center"/>
        <w:tblLook w:val="04A0"/>
      </w:tblPr>
      <w:tblGrid>
        <w:gridCol w:w="1455"/>
        <w:gridCol w:w="1373"/>
        <w:gridCol w:w="1373"/>
        <w:gridCol w:w="1803"/>
        <w:gridCol w:w="1717"/>
        <w:gridCol w:w="1629"/>
      </w:tblGrid>
      <w:tr w14:paraId="1C312F68" w14:textId="77777777" w:rsidTr="0016660B">
        <w:tblPrEx>
          <w:tblW w:w="5000" w:type="pct"/>
          <w:jc w:val="center"/>
          <w:tblLook w:val="04A0"/>
        </w:tblPrEx>
        <w:trPr>
          <w:cantSplit/>
          <w:jc w:val="center"/>
        </w:trPr>
        <w:tc>
          <w:tcPr>
            <w:tcW w:w="778" w:type="pct"/>
            <w:shd w:val="clear" w:color="auto" w:fill="D9D9D9" w:themeFill="background1" w:themeFillShade="D9"/>
          </w:tcPr>
          <w:p w:rsidR="00923DE9" w:rsidRPr="0016660B" w:rsidP="00135629" w14:paraId="4811A264" w14:textId="77777777">
            <w:pPr>
              <w:rPr>
                <w:b/>
                <w:bCs/>
              </w:rPr>
            </w:pPr>
            <w:r w:rsidRPr="0016660B">
              <w:rPr>
                <w:b/>
                <w:bCs/>
              </w:rPr>
              <w:t>Total Million Miles Driven</w:t>
            </w:r>
          </w:p>
        </w:tc>
        <w:tc>
          <w:tcPr>
            <w:tcW w:w="734" w:type="pct"/>
            <w:shd w:val="clear" w:color="auto" w:fill="D9D9D9" w:themeFill="background1" w:themeFillShade="D9"/>
          </w:tcPr>
          <w:p w:rsidR="00923DE9" w:rsidRPr="0016660B" w:rsidP="00135629" w14:paraId="678FAEE4" w14:textId="77777777">
            <w:pPr>
              <w:rPr>
                <w:b/>
                <w:bCs/>
              </w:rPr>
            </w:pPr>
            <w:r w:rsidRPr="0016660B">
              <w:rPr>
                <w:b/>
                <w:bCs/>
              </w:rPr>
              <w:t>Number of Driver Years</w:t>
            </w:r>
          </w:p>
        </w:tc>
        <w:tc>
          <w:tcPr>
            <w:tcW w:w="734" w:type="pct"/>
            <w:shd w:val="clear" w:color="auto" w:fill="D9D9D9" w:themeFill="background1" w:themeFillShade="D9"/>
          </w:tcPr>
          <w:p w:rsidR="00923DE9" w:rsidRPr="0016660B" w:rsidP="00135629" w14:paraId="0E35557F" w14:textId="77777777">
            <w:pPr>
              <w:rPr>
                <w:b/>
                <w:bCs/>
              </w:rPr>
            </w:pPr>
            <w:r w:rsidRPr="009633DA">
              <w:rPr>
                <w:b/>
                <w:bCs/>
              </w:rPr>
              <w:t>Number of Dut</w:t>
            </w:r>
            <w:r w:rsidRPr="00860BE7" w:rsidR="009633DA">
              <w:rPr>
                <w:b/>
                <w:bCs/>
              </w:rPr>
              <w:t xml:space="preserve">y </w:t>
            </w:r>
            <w:r w:rsidRPr="00860BE7" w:rsidR="000E6D17">
              <w:rPr>
                <w:b/>
                <w:bCs/>
              </w:rPr>
              <w:t>Days</w:t>
            </w:r>
          </w:p>
        </w:tc>
        <w:tc>
          <w:tcPr>
            <w:tcW w:w="964" w:type="pct"/>
            <w:shd w:val="clear" w:color="auto" w:fill="D9D9D9" w:themeFill="background1" w:themeFillShade="D9"/>
          </w:tcPr>
          <w:p w:rsidR="00923DE9" w:rsidRPr="0016660B" w:rsidP="00135629" w14:paraId="2F1D957F" w14:textId="77777777">
            <w:pPr>
              <w:rPr>
                <w:b/>
                <w:bCs/>
              </w:rPr>
            </w:pPr>
            <w:r w:rsidRPr="0016660B">
              <w:rPr>
                <w:b/>
                <w:bCs/>
              </w:rPr>
              <w:t>Number of Duties with 1</w:t>
            </w:r>
            <w:r w:rsidRPr="0016660B">
              <w:rPr>
                <w:b/>
                <w:bCs/>
                <w:vertAlign w:val="superscript"/>
              </w:rPr>
              <w:t>st</w:t>
            </w:r>
            <w:r w:rsidRPr="0016660B">
              <w:rPr>
                <w:b/>
                <w:bCs/>
              </w:rPr>
              <w:t xml:space="preserve"> Hour of Driving</w:t>
            </w:r>
          </w:p>
        </w:tc>
        <w:tc>
          <w:tcPr>
            <w:tcW w:w="918" w:type="pct"/>
            <w:shd w:val="clear" w:color="auto" w:fill="D9D9D9" w:themeFill="background1" w:themeFillShade="D9"/>
          </w:tcPr>
          <w:p w:rsidR="00923DE9" w:rsidRPr="0016660B" w:rsidP="00135629" w14:paraId="1CFCF0FF" w14:textId="77777777">
            <w:pPr>
              <w:rPr>
                <w:b/>
                <w:bCs/>
              </w:rPr>
            </w:pPr>
            <w:r w:rsidRPr="0016660B">
              <w:rPr>
                <w:b/>
                <w:bCs/>
              </w:rPr>
              <w:t>Number of Duties with 11</w:t>
            </w:r>
            <w:r w:rsidRPr="0016660B">
              <w:rPr>
                <w:b/>
                <w:bCs/>
                <w:vertAlign w:val="superscript"/>
              </w:rPr>
              <w:t>th</w:t>
            </w:r>
            <w:r w:rsidRPr="0016660B">
              <w:rPr>
                <w:b/>
                <w:bCs/>
              </w:rPr>
              <w:t xml:space="preserve"> Hour of Driving</w:t>
            </w:r>
          </w:p>
        </w:tc>
        <w:tc>
          <w:tcPr>
            <w:tcW w:w="871" w:type="pct"/>
            <w:shd w:val="clear" w:color="auto" w:fill="D9D9D9" w:themeFill="background1" w:themeFillShade="D9"/>
          </w:tcPr>
          <w:p w:rsidR="00923DE9" w:rsidRPr="0016660B" w:rsidP="00135629" w14:paraId="2EB62188" w14:textId="77777777">
            <w:pPr>
              <w:rPr>
                <w:b/>
                <w:bCs/>
              </w:rPr>
            </w:pPr>
            <w:r w:rsidRPr="0016660B">
              <w:rPr>
                <w:b/>
                <w:bCs/>
              </w:rPr>
              <w:t>Minimum Detectable Relative Risk</w:t>
            </w:r>
          </w:p>
        </w:tc>
      </w:tr>
      <w:tr w14:paraId="779B86B8" w14:textId="77777777" w:rsidTr="002B433B">
        <w:tblPrEx>
          <w:tblW w:w="5000" w:type="pct"/>
          <w:jc w:val="center"/>
          <w:tblLook w:val="04A0"/>
        </w:tblPrEx>
        <w:trPr>
          <w:cantSplit/>
          <w:jc w:val="center"/>
        </w:trPr>
        <w:tc>
          <w:tcPr>
            <w:tcW w:w="778" w:type="pct"/>
            <w:vAlign w:val="bottom"/>
          </w:tcPr>
          <w:p w:rsidR="0081053F" w:rsidRPr="00135629" w:rsidP="0081053F" w14:paraId="25F469D2" w14:textId="77777777">
            <w:pPr>
              <w:rPr>
                <w:color w:val="000000" w:themeColor="text1"/>
              </w:rPr>
            </w:pPr>
            <w:r w:rsidRPr="0016660B">
              <w:t>1000</w:t>
            </w:r>
          </w:p>
        </w:tc>
        <w:tc>
          <w:tcPr>
            <w:tcW w:w="734" w:type="pct"/>
            <w:vAlign w:val="bottom"/>
          </w:tcPr>
          <w:p w:rsidR="0081053F" w:rsidRPr="0016660B" w:rsidP="0081053F" w14:paraId="2C8C6A3E" w14:textId="77777777">
            <w:r w:rsidRPr="0016660B">
              <w:t>10,000</w:t>
            </w:r>
          </w:p>
        </w:tc>
        <w:tc>
          <w:tcPr>
            <w:tcW w:w="734" w:type="pct"/>
            <w:vAlign w:val="bottom"/>
          </w:tcPr>
          <w:p w:rsidR="0081053F" w:rsidRPr="00135629" w:rsidP="0081053F" w14:paraId="21D494E8" w14:textId="77777777">
            <w:pPr>
              <w:rPr>
                <w:color w:val="000000" w:themeColor="text1"/>
              </w:rPr>
            </w:pPr>
            <w:r w:rsidRPr="0016660B">
              <w:t>2,500,000</w:t>
            </w:r>
          </w:p>
        </w:tc>
        <w:tc>
          <w:tcPr>
            <w:tcW w:w="964" w:type="pct"/>
            <w:vAlign w:val="bottom"/>
          </w:tcPr>
          <w:p w:rsidR="0081053F" w:rsidRPr="00135629" w:rsidP="0081053F" w14:paraId="73614D96" w14:textId="77777777">
            <w:pPr>
              <w:rPr>
                <w:color w:val="000000" w:themeColor="text1"/>
              </w:rPr>
            </w:pPr>
            <w:r w:rsidRPr="0016660B">
              <w:t xml:space="preserve">2,000,000 </w:t>
            </w:r>
          </w:p>
        </w:tc>
        <w:tc>
          <w:tcPr>
            <w:tcW w:w="918" w:type="pct"/>
            <w:vAlign w:val="bottom"/>
          </w:tcPr>
          <w:p w:rsidR="0081053F" w:rsidRPr="00135629" w:rsidP="0081053F" w14:paraId="76EA745E" w14:textId="77777777">
            <w:pPr>
              <w:rPr>
                <w:color w:val="000000" w:themeColor="text1"/>
              </w:rPr>
            </w:pPr>
            <w:r w:rsidRPr="0016660B">
              <w:t xml:space="preserve">500,000 </w:t>
            </w:r>
          </w:p>
        </w:tc>
        <w:tc>
          <w:tcPr>
            <w:tcW w:w="871" w:type="pct"/>
          </w:tcPr>
          <w:p w:rsidR="0081053F" w:rsidRPr="00135629" w:rsidP="0081053F" w14:paraId="1B7F242D" w14:textId="77777777">
            <w:pPr>
              <w:rPr>
                <w:color w:val="000000" w:themeColor="text1"/>
              </w:rPr>
            </w:pPr>
            <w:r>
              <w:t>1.95</w:t>
            </w:r>
          </w:p>
        </w:tc>
      </w:tr>
      <w:tr w14:paraId="7206E59A" w14:textId="77777777" w:rsidTr="002B433B">
        <w:tblPrEx>
          <w:tblW w:w="5000" w:type="pct"/>
          <w:jc w:val="center"/>
          <w:tblLook w:val="04A0"/>
        </w:tblPrEx>
        <w:trPr>
          <w:cantSplit/>
          <w:jc w:val="center"/>
        </w:trPr>
        <w:tc>
          <w:tcPr>
            <w:tcW w:w="778" w:type="pct"/>
            <w:vAlign w:val="bottom"/>
          </w:tcPr>
          <w:p w:rsidR="0081053F" w:rsidRPr="00135629" w:rsidP="0081053F" w14:paraId="248C3FC6" w14:textId="77777777">
            <w:pPr>
              <w:rPr>
                <w:color w:val="000000" w:themeColor="text1"/>
              </w:rPr>
            </w:pPr>
            <w:r w:rsidRPr="0016660B">
              <w:t>1500</w:t>
            </w:r>
          </w:p>
        </w:tc>
        <w:tc>
          <w:tcPr>
            <w:tcW w:w="734" w:type="pct"/>
            <w:vAlign w:val="bottom"/>
          </w:tcPr>
          <w:p w:rsidR="0081053F" w:rsidRPr="0016660B" w:rsidP="0081053F" w14:paraId="33775D61" w14:textId="77777777">
            <w:r w:rsidRPr="0016660B">
              <w:t>15,000</w:t>
            </w:r>
          </w:p>
        </w:tc>
        <w:tc>
          <w:tcPr>
            <w:tcW w:w="734" w:type="pct"/>
            <w:vAlign w:val="bottom"/>
          </w:tcPr>
          <w:p w:rsidR="0081053F" w:rsidRPr="00135629" w:rsidP="0081053F" w14:paraId="054632E6" w14:textId="77777777">
            <w:pPr>
              <w:rPr>
                <w:color w:val="000000" w:themeColor="text1"/>
              </w:rPr>
            </w:pPr>
            <w:r w:rsidRPr="0016660B">
              <w:t>3,750,000</w:t>
            </w:r>
          </w:p>
        </w:tc>
        <w:tc>
          <w:tcPr>
            <w:tcW w:w="964" w:type="pct"/>
            <w:vAlign w:val="bottom"/>
          </w:tcPr>
          <w:p w:rsidR="0081053F" w:rsidRPr="00135629" w:rsidP="0081053F" w14:paraId="711B612B" w14:textId="77777777">
            <w:pPr>
              <w:rPr>
                <w:color w:val="000000" w:themeColor="text1"/>
              </w:rPr>
            </w:pPr>
            <w:r w:rsidRPr="0016660B">
              <w:t xml:space="preserve">3,000,000 </w:t>
            </w:r>
          </w:p>
        </w:tc>
        <w:tc>
          <w:tcPr>
            <w:tcW w:w="918" w:type="pct"/>
            <w:vAlign w:val="bottom"/>
          </w:tcPr>
          <w:p w:rsidR="0081053F" w:rsidRPr="00135629" w:rsidP="0081053F" w14:paraId="426B90A1" w14:textId="77777777">
            <w:pPr>
              <w:rPr>
                <w:color w:val="000000" w:themeColor="text1"/>
              </w:rPr>
            </w:pPr>
            <w:r w:rsidRPr="0016660B">
              <w:t xml:space="preserve">750,000 </w:t>
            </w:r>
          </w:p>
        </w:tc>
        <w:tc>
          <w:tcPr>
            <w:tcW w:w="871" w:type="pct"/>
          </w:tcPr>
          <w:p w:rsidR="0081053F" w:rsidRPr="00135629" w:rsidP="0081053F" w14:paraId="33983A72" w14:textId="77777777">
            <w:pPr>
              <w:rPr>
                <w:color w:val="000000" w:themeColor="text1"/>
              </w:rPr>
            </w:pPr>
            <w:r>
              <w:t>1.76</w:t>
            </w:r>
          </w:p>
        </w:tc>
      </w:tr>
      <w:tr w14:paraId="7E345904" w14:textId="77777777" w:rsidTr="002B433B">
        <w:tblPrEx>
          <w:tblW w:w="5000" w:type="pct"/>
          <w:jc w:val="center"/>
          <w:tblLook w:val="04A0"/>
        </w:tblPrEx>
        <w:trPr>
          <w:cantSplit/>
          <w:jc w:val="center"/>
        </w:trPr>
        <w:tc>
          <w:tcPr>
            <w:tcW w:w="778" w:type="pct"/>
            <w:vAlign w:val="bottom"/>
          </w:tcPr>
          <w:p w:rsidR="0081053F" w:rsidRPr="00135629" w:rsidP="0081053F" w14:paraId="0DA33C03" w14:textId="77777777">
            <w:pPr>
              <w:rPr>
                <w:color w:val="000000" w:themeColor="text1"/>
              </w:rPr>
            </w:pPr>
            <w:r w:rsidRPr="0016660B">
              <w:t>2000</w:t>
            </w:r>
          </w:p>
        </w:tc>
        <w:tc>
          <w:tcPr>
            <w:tcW w:w="734" w:type="pct"/>
            <w:vAlign w:val="bottom"/>
          </w:tcPr>
          <w:p w:rsidR="0081053F" w:rsidRPr="0016660B" w:rsidP="0081053F" w14:paraId="4A41E454" w14:textId="77777777">
            <w:r w:rsidRPr="0016660B">
              <w:t>20,000</w:t>
            </w:r>
          </w:p>
        </w:tc>
        <w:tc>
          <w:tcPr>
            <w:tcW w:w="734" w:type="pct"/>
            <w:vAlign w:val="bottom"/>
          </w:tcPr>
          <w:p w:rsidR="0081053F" w:rsidRPr="00135629" w:rsidP="0081053F" w14:paraId="5CE14EEB" w14:textId="77777777">
            <w:pPr>
              <w:rPr>
                <w:color w:val="000000" w:themeColor="text1"/>
              </w:rPr>
            </w:pPr>
            <w:r w:rsidRPr="0016660B">
              <w:t>5,000,000</w:t>
            </w:r>
          </w:p>
        </w:tc>
        <w:tc>
          <w:tcPr>
            <w:tcW w:w="964" w:type="pct"/>
            <w:vAlign w:val="bottom"/>
          </w:tcPr>
          <w:p w:rsidR="0081053F" w:rsidRPr="00135629" w:rsidP="0081053F" w14:paraId="4A9D767F" w14:textId="77777777">
            <w:pPr>
              <w:rPr>
                <w:color w:val="000000" w:themeColor="text1"/>
              </w:rPr>
            </w:pPr>
            <w:r w:rsidRPr="0016660B">
              <w:t xml:space="preserve">4,000,000 </w:t>
            </w:r>
          </w:p>
        </w:tc>
        <w:tc>
          <w:tcPr>
            <w:tcW w:w="918" w:type="pct"/>
            <w:vAlign w:val="bottom"/>
          </w:tcPr>
          <w:p w:rsidR="0081053F" w:rsidRPr="00135629" w:rsidP="0081053F" w14:paraId="15D7B9E9" w14:textId="77777777">
            <w:pPr>
              <w:rPr>
                <w:color w:val="000000" w:themeColor="text1"/>
              </w:rPr>
            </w:pPr>
            <w:r w:rsidRPr="0016660B">
              <w:t xml:space="preserve">1,000,000 </w:t>
            </w:r>
          </w:p>
        </w:tc>
        <w:tc>
          <w:tcPr>
            <w:tcW w:w="871" w:type="pct"/>
          </w:tcPr>
          <w:p w:rsidR="0081053F" w:rsidRPr="00135629" w:rsidP="0081053F" w14:paraId="1003D5F9" w14:textId="77777777">
            <w:pPr>
              <w:rPr>
                <w:color w:val="000000" w:themeColor="text1"/>
              </w:rPr>
            </w:pPr>
            <w:r>
              <w:t>1.65</w:t>
            </w:r>
          </w:p>
        </w:tc>
      </w:tr>
      <w:tr w14:paraId="478C1226" w14:textId="77777777" w:rsidTr="002B433B">
        <w:tblPrEx>
          <w:tblW w:w="5000" w:type="pct"/>
          <w:jc w:val="center"/>
          <w:tblLook w:val="04A0"/>
        </w:tblPrEx>
        <w:trPr>
          <w:cantSplit/>
          <w:jc w:val="center"/>
        </w:trPr>
        <w:tc>
          <w:tcPr>
            <w:tcW w:w="778" w:type="pct"/>
            <w:vAlign w:val="bottom"/>
          </w:tcPr>
          <w:p w:rsidR="0081053F" w:rsidRPr="00135629" w:rsidP="0081053F" w14:paraId="3947EB0F" w14:textId="77777777">
            <w:pPr>
              <w:rPr>
                <w:color w:val="000000" w:themeColor="text1"/>
              </w:rPr>
            </w:pPr>
            <w:r w:rsidRPr="0016660B">
              <w:t>2500</w:t>
            </w:r>
          </w:p>
        </w:tc>
        <w:tc>
          <w:tcPr>
            <w:tcW w:w="734" w:type="pct"/>
            <w:vAlign w:val="bottom"/>
          </w:tcPr>
          <w:p w:rsidR="0081053F" w:rsidRPr="0016660B" w:rsidP="0081053F" w14:paraId="17117AFD" w14:textId="77777777">
            <w:r w:rsidRPr="0016660B">
              <w:t>25,000</w:t>
            </w:r>
          </w:p>
        </w:tc>
        <w:tc>
          <w:tcPr>
            <w:tcW w:w="734" w:type="pct"/>
            <w:vAlign w:val="bottom"/>
          </w:tcPr>
          <w:p w:rsidR="0081053F" w:rsidRPr="00135629" w:rsidP="0081053F" w14:paraId="14A7FBE7" w14:textId="77777777">
            <w:pPr>
              <w:rPr>
                <w:color w:val="000000" w:themeColor="text1"/>
              </w:rPr>
            </w:pPr>
            <w:r w:rsidRPr="0016660B">
              <w:t>6,250,000</w:t>
            </w:r>
          </w:p>
        </w:tc>
        <w:tc>
          <w:tcPr>
            <w:tcW w:w="964" w:type="pct"/>
            <w:vAlign w:val="bottom"/>
          </w:tcPr>
          <w:p w:rsidR="0081053F" w:rsidRPr="00135629" w:rsidP="0081053F" w14:paraId="0B77850B" w14:textId="77777777">
            <w:pPr>
              <w:rPr>
                <w:color w:val="000000" w:themeColor="text1"/>
              </w:rPr>
            </w:pPr>
            <w:r w:rsidRPr="0016660B">
              <w:t xml:space="preserve">5,000,000 </w:t>
            </w:r>
          </w:p>
        </w:tc>
        <w:tc>
          <w:tcPr>
            <w:tcW w:w="918" w:type="pct"/>
            <w:vAlign w:val="bottom"/>
          </w:tcPr>
          <w:p w:rsidR="0081053F" w:rsidRPr="00135629" w:rsidP="0081053F" w14:paraId="0337AC59" w14:textId="77777777">
            <w:pPr>
              <w:rPr>
                <w:color w:val="000000" w:themeColor="text1"/>
              </w:rPr>
            </w:pPr>
            <w:r w:rsidRPr="0016660B">
              <w:t xml:space="preserve">1,250,000 </w:t>
            </w:r>
          </w:p>
        </w:tc>
        <w:tc>
          <w:tcPr>
            <w:tcW w:w="871" w:type="pct"/>
          </w:tcPr>
          <w:p w:rsidR="0081053F" w:rsidRPr="00135629" w:rsidP="0081053F" w14:paraId="09DB9266" w14:textId="77777777">
            <w:pPr>
              <w:rPr>
                <w:color w:val="000000" w:themeColor="text1"/>
              </w:rPr>
            </w:pPr>
            <w:r>
              <w:t>1.58</w:t>
            </w:r>
          </w:p>
        </w:tc>
      </w:tr>
      <w:tr w14:paraId="3C47DFF4" w14:textId="77777777" w:rsidTr="002B433B">
        <w:tblPrEx>
          <w:tblW w:w="5000" w:type="pct"/>
          <w:jc w:val="center"/>
          <w:tblLook w:val="04A0"/>
        </w:tblPrEx>
        <w:trPr>
          <w:cantSplit/>
          <w:jc w:val="center"/>
        </w:trPr>
        <w:tc>
          <w:tcPr>
            <w:tcW w:w="778" w:type="pct"/>
            <w:vAlign w:val="bottom"/>
          </w:tcPr>
          <w:p w:rsidR="0081053F" w:rsidRPr="00135629" w:rsidP="0081053F" w14:paraId="63A10406" w14:textId="77777777">
            <w:pPr>
              <w:rPr>
                <w:color w:val="000000" w:themeColor="text1"/>
              </w:rPr>
            </w:pPr>
            <w:r w:rsidRPr="0016660B">
              <w:t>3000</w:t>
            </w:r>
          </w:p>
        </w:tc>
        <w:tc>
          <w:tcPr>
            <w:tcW w:w="734" w:type="pct"/>
            <w:vAlign w:val="bottom"/>
          </w:tcPr>
          <w:p w:rsidR="0081053F" w:rsidRPr="0016660B" w:rsidP="0081053F" w14:paraId="33244EFE" w14:textId="77777777">
            <w:r w:rsidRPr="0016660B">
              <w:t>30,000</w:t>
            </w:r>
          </w:p>
        </w:tc>
        <w:tc>
          <w:tcPr>
            <w:tcW w:w="734" w:type="pct"/>
            <w:vAlign w:val="bottom"/>
          </w:tcPr>
          <w:p w:rsidR="0081053F" w:rsidRPr="00135629" w:rsidP="0081053F" w14:paraId="12F746EF" w14:textId="77777777">
            <w:pPr>
              <w:rPr>
                <w:color w:val="000000" w:themeColor="text1"/>
              </w:rPr>
            </w:pPr>
            <w:r w:rsidRPr="0016660B">
              <w:t>7,500,000</w:t>
            </w:r>
          </w:p>
        </w:tc>
        <w:tc>
          <w:tcPr>
            <w:tcW w:w="964" w:type="pct"/>
            <w:vAlign w:val="bottom"/>
          </w:tcPr>
          <w:p w:rsidR="0081053F" w:rsidRPr="00135629" w:rsidP="0081053F" w14:paraId="3368FE70" w14:textId="77777777">
            <w:pPr>
              <w:rPr>
                <w:color w:val="000000" w:themeColor="text1"/>
              </w:rPr>
            </w:pPr>
            <w:r w:rsidRPr="0016660B">
              <w:t xml:space="preserve">6,000,000 </w:t>
            </w:r>
          </w:p>
        </w:tc>
        <w:tc>
          <w:tcPr>
            <w:tcW w:w="918" w:type="pct"/>
            <w:vAlign w:val="bottom"/>
          </w:tcPr>
          <w:p w:rsidR="0081053F" w:rsidRPr="00135629" w:rsidP="0081053F" w14:paraId="5DF5F0B1" w14:textId="77777777">
            <w:pPr>
              <w:rPr>
                <w:color w:val="000000" w:themeColor="text1"/>
              </w:rPr>
            </w:pPr>
            <w:r w:rsidRPr="0016660B">
              <w:t xml:space="preserve">1,500,000 </w:t>
            </w:r>
          </w:p>
        </w:tc>
        <w:tc>
          <w:tcPr>
            <w:tcW w:w="871" w:type="pct"/>
          </w:tcPr>
          <w:p w:rsidR="0081053F" w:rsidRPr="00135629" w:rsidP="0081053F" w14:paraId="3F1FA69E" w14:textId="77777777">
            <w:pPr>
              <w:rPr>
                <w:color w:val="000000" w:themeColor="text1"/>
              </w:rPr>
            </w:pPr>
            <w:r>
              <w:t>1.53</w:t>
            </w:r>
          </w:p>
        </w:tc>
      </w:tr>
      <w:tr w14:paraId="47E6F649" w14:textId="77777777" w:rsidTr="002B433B">
        <w:tblPrEx>
          <w:tblW w:w="5000" w:type="pct"/>
          <w:jc w:val="center"/>
          <w:tblLook w:val="04A0"/>
        </w:tblPrEx>
        <w:trPr>
          <w:cantSplit/>
          <w:jc w:val="center"/>
        </w:trPr>
        <w:tc>
          <w:tcPr>
            <w:tcW w:w="778" w:type="pct"/>
            <w:vAlign w:val="bottom"/>
          </w:tcPr>
          <w:p w:rsidR="0081053F" w:rsidRPr="0016660B" w:rsidP="0081053F" w14:paraId="2C676457" w14:textId="77777777">
            <w:r w:rsidRPr="0016660B">
              <w:t>3500</w:t>
            </w:r>
          </w:p>
        </w:tc>
        <w:tc>
          <w:tcPr>
            <w:tcW w:w="734" w:type="pct"/>
            <w:vAlign w:val="bottom"/>
          </w:tcPr>
          <w:p w:rsidR="0081053F" w:rsidRPr="0016660B" w:rsidP="0081053F" w14:paraId="15812923" w14:textId="77777777">
            <w:r w:rsidRPr="0016660B">
              <w:t>35,000</w:t>
            </w:r>
          </w:p>
        </w:tc>
        <w:tc>
          <w:tcPr>
            <w:tcW w:w="734" w:type="pct"/>
            <w:vAlign w:val="bottom"/>
          </w:tcPr>
          <w:p w:rsidR="0081053F" w:rsidRPr="00135629" w:rsidP="0081053F" w14:paraId="1713DACA" w14:textId="77777777">
            <w:pPr>
              <w:rPr>
                <w:color w:val="000000" w:themeColor="text1"/>
              </w:rPr>
            </w:pPr>
            <w:r w:rsidRPr="0016660B">
              <w:t>8,750,000</w:t>
            </w:r>
          </w:p>
        </w:tc>
        <w:tc>
          <w:tcPr>
            <w:tcW w:w="964" w:type="pct"/>
            <w:vAlign w:val="bottom"/>
          </w:tcPr>
          <w:p w:rsidR="0081053F" w:rsidRPr="00135629" w:rsidP="0081053F" w14:paraId="6FBD3E43" w14:textId="77777777">
            <w:pPr>
              <w:rPr>
                <w:color w:val="000000" w:themeColor="text1"/>
              </w:rPr>
            </w:pPr>
            <w:r w:rsidRPr="0016660B">
              <w:t xml:space="preserve">7,000,000 </w:t>
            </w:r>
          </w:p>
        </w:tc>
        <w:tc>
          <w:tcPr>
            <w:tcW w:w="918" w:type="pct"/>
            <w:vAlign w:val="bottom"/>
          </w:tcPr>
          <w:p w:rsidR="0081053F" w:rsidRPr="00135629" w:rsidP="0081053F" w14:paraId="4A0A8A19" w14:textId="77777777">
            <w:pPr>
              <w:rPr>
                <w:color w:val="000000" w:themeColor="text1"/>
              </w:rPr>
            </w:pPr>
            <w:r w:rsidRPr="0016660B">
              <w:t xml:space="preserve">1,750,000 </w:t>
            </w:r>
          </w:p>
        </w:tc>
        <w:tc>
          <w:tcPr>
            <w:tcW w:w="871" w:type="pct"/>
          </w:tcPr>
          <w:p w:rsidR="0081053F" w:rsidRPr="00135629" w:rsidP="0081053F" w14:paraId="1160C15E" w14:textId="77777777">
            <w:pPr>
              <w:rPr>
                <w:color w:val="000000" w:themeColor="text1"/>
              </w:rPr>
            </w:pPr>
            <w:r>
              <w:t>1.49</w:t>
            </w:r>
          </w:p>
        </w:tc>
      </w:tr>
      <w:tr w14:paraId="2D5CD3C9" w14:textId="77777777" w:rsidTr="002B433B">
        <w:tblPrEx>
          <w:tblW w:w="5000" w:type="pct"/>
          <w:jc w:val="center"/>
          <w:tblLook w:val="04A0"/>
        </w:tblPrEx>
        <w:trPr>
          <w:cantSplit/>
          <w:jc w:val="center"/>
        </w:trPr>
        <w:tc>
          <w:tcPr>
            <w:tcW w:w="778" w:type="pct"/>
            <w:vAlign w:val="bottom"/>
          </w:tcPr>
          <w:p w:rsidR="0081053F" w:rsidRPr="0016660B" w:rsidP="0081053F" w14:paraId="02831EC6" w14:textId="77777777">
            <w:r w:rsidRPr="0016660B">
              <w:t>4000</w:t>
            </w:r>
          </w:p>
        </w:tc>
        <w:tc>
          <w:tcPr>
            <w:tcW w:w="734" w:type="pct"/>
            <w:vAlign w:val="bottom"/>
          </w:tcPr>
          <w:p w:rsidR="0081053F" w:rsidRPr="0016660B" w:rsidP="0081053F" w14:paraId="7B4033A5" w14:textId="77777777">
            <w:r w:rsidRPr="0016660B">
              <w:t>40,000</w:t>
            </w:r>
          </w:p>
        </w:tc>
        <w:tc>
          <w:tcPr>
            <w:tcW w:w="734" w:type="pct"/>
            <w:vAlign w:val="bottom"/>
          </w:tcPr>
          <w:p w:rsidR="0081053F" w:rsidRPr="00135629" w:rsidP="0081053F" w14:paraId="690A371A" w14:textId="77777777">
            <w:pPr>
              <w:rPr>
                <w:color w:val="000000" w:themeColor="text1"/>
              </w:rPr>
            </w:pPr>
            <w:r w:rsidRPr="0016660B">
              <w:t>10,000,000</w:t>
            </w:r>
          </w:p>
        </w:tc>
        <w:tc>
          <w:tcPr>
            <w:tcW w:w="964" w:type="pct"/>
            <w:vAlign w:val="bottom"/>
          </w:tcPr>
          <w:p w:rsidR="0081053F" w:rsidRPr="00135629" w:rsidP="0081053F" w14:paraId="47F0E272" w14:textId="77777777">
            <w:pPr>
              <w:rPr>
                <w:color w:val="000000" w:themeColor="text1"/>
              </w:rPr>
            </w:pPr>
            <w:r w:rsidRPr="0016660B">
              <w:t xml:space="preserve">8,000,000 </w:t>
            </w:r>
          </w:p>
        </w:tc>
        <w:tc>
          <w:tcPr>
            <w:tcW w:w="918" w:type="pct"/>
            <w:vAlign w:val="bottom"/>
          </w:tcPr>
          <w:p w:rsidR="0081053F" w:rsidRPr="00135629" w:rsidP="0081053F" w14:paraId="7F2C0EDF" w14:textId="77777777">
            <w:pPr>
              <w:rPr>
                <w:color w:val="000000" w:themeColor="text1"/>
              </w:rPr>
            </w:pPr>
            <w:r w:rsidRPr="0016660B">
              <w:t xml:space="preserve">2,000,000 </w:t>
            </w:r>
          </w:p>
        </w:tc>
        <w:tc>
          <w:tcPr>
            <w:tcW w:w="871" w:type="pct"/>
          </w:tcPr>
          <w:p w:rsidR="0081053F" w:rsidRPr="00135629" w:rsidP="0081053F" w14:paraId="58436A96" w14:textId="77777777">
            <w:pPr>
              <w:rPr>
                <w:color w:val="000000" w:themeColor="text1"/>
              </w:rPr>
            </w:pPr>
            <w:r>
              <w:t>1.45</w:t>
            </w:r>
          </w:p>
        </w:tc>
      </w:tr>
      <w:tr w14:paraId="7CFC1049" w14:textId="77777777" w:rsidTr="002B433B">
        <w:tblPrEx>
          <w:tblW w:w="5000" w:type="pct"/>
          <w:jc w:val="center"/>
          <w:tblLook w:val="04A0"/>
        </w:tblPrEx>
        <w:trPr>
          <w:cantSplit/>
          <w:jc w:val="center"/>
        </w:trPr>
        <w:tc>
          <w:tcPr>
            <w:tcW w:w="778" w:type="pct"/>
            <w:vAlign w:val="bottom"/>
          </w:tcPr>
          <w:p w:rsidR="0081053F" w:rsidRPr="0016660B" w:rsidP="0081053F" w14:paraId="5D3590F2" w14:textId="77777777">
            <w:r w:rsidRPr="0016660B">
              <w:t>4500</w:t>
            </w:r>
          </w:p>
        </w:tc>
        <w:tc>
          <w:tcPr>
            <w:tcW w:w="734" w:type="pct"/>
            <w:vAlign w:val="bottom"/>
          </w:tcPr>
          <w:p w:rsidR="0081053F" w:rsidRPr="0016660B" w:rsidP="0081053F" w14:paraId="6B068654" w14:textId="77777777">
            <w:r w:rsidRPr="0016660B">
              <w:t>45,000</w:t>
            </w:r>
          </w:p>
        </w:tc>
        <w:tc>
          <w:tcPr>
            <w:tcW w:w="734" w:type="pct"/>
            <w:vAlign w:val="bottom"/>
          </w:tcPr>
          <w:p w:rsidR="0081053F" w:rsidRPr="00135629" w:rsidP="0081053F" w14:paraId="745C2C5D" w14:textId="77777777">
            <w:pPr>
              <w:rPr>
                <w:color w:val="000000" w:themeColor="text1"/>
              </w:rPr>
            </w:pPr>
            <w:r w:rsidRPr="0016660B">
              <w:t>11,250,000</w:t>
            </w:r>
          </w:p>
        </w:tc>
        <w:tc>
          <w:tcPr>
            <w:tcW w:w="964" w:type="pct"/>
            <w:vAlign w:val="bottom"/>
          </w:tcPr>
          <w:p w:rsidR="0081053F" w:rsidRPr="00135629" w:rsidP="0081053F" w14:paraId="0F1EE2B3" w14:textId="77777777">
            <w:pPr>
              <w:rPr>
                <w:color w:val="000000" w:themeColor="text1"/>
              </w:rPr>
            </w:pPr>
            <w:r w:rsidRPr="0016660B">
              <w:t xml:space="preserve">9,000,000 </w:t>
            </w:r>
          </w:p>
        </w:tc>
        <w:tc>
          <w:tcPr>
            <w:tcW w:w="918" w:type="pct"/>
            <w:vAlign w:val="bottom"/>
          </w:tcPr>
          <w:p w:rsidR="0081053F" w:rsidRPr="00135629" w:rsidP="0081053F" w14:paraId="2EEBAAB2" w14:textId="77777777">
            <w:pPr>
              <w:rPr>
                <w:color w:val="000000" w:themeColor="text1"/>
              </w:rPr>
            </w:pPr>
            <w:r w:rsidRPr="0016660B">
              <w:t xml:space="preserve">2,250,000 </w:t>
            </w:r>
          </w:p>
        </w:tc>
        <w:tc>
          <w:tcPr>
            <w:tcW w:w="871" w:type="pct"/>
          </w:tcPr>
          <w:p w:rsidR="0081053F" w:rsidRPr="00135629" w:rsidP="0081053F" w14:paraId="220034F3" w14:textId="77777777">
            <w:pPr>
              <w:rPr>
                <w:color w:val="000000" w:themeColor="text1"/>
              </w:rPr>
            </w:pPr>
            <w:r>
              <w:t>1.43</w:t>
            </w:r>
          </w:p>
        </w:tc>
      </w:tr>
      <w:tr w14:paraId="1128C3B1" w14:textId="77777777" w:rsidTr="002B433B">
        <w:tblPrEx>
          <w:tblW w:w="5000" w:type="pct"/>
          <w:jc w:val="center"/>
          <w:tblLook w:val="04A0"/>
        </w:tblPrEx>
        <w:trPr>
          <w:cantSplit/>
          <w:jc w:val="center"/>
        </w:trPr>
        <w:tc>
          <w:tcPr>
            <w:tcW w:w="778" w:type="pct"/>
            <w:vAlign w:val="bottom"/>
          </w:tcPr>
          <w:p w:rsidR="0081053F" w:rsidRPr="0016660B" w:rsidP="0081053F" w14:paraId="6D09C1B2" w14:textId="77777777">
            <w:r w:rsidRPr="0016660B">
              <w:t>5000</w:t>
            </w:r>
          </w:p>
        </w:tc>
        <w:tc>
          <w:tcPr>
            <w:tcW w:w="734" w:type="pct"/>
            <w:vAlign w:val="bottom"/>
          </w:tcPr>
          <w:p w:rsidR="0081053F" w:rsidRPr="0016660B" w:rsidP="0081053F" w14:paraId="2A58A933" w14:textId="77777777">
            <w:r w:rsidRPr="0016660B">
              <w:t>50,000</w:t>
            </w:r>
          </w:p>
        </w:tc>
        <w:tc>
          <w:tcPr>
            <w:tcW w:w="734" w:type="pct"/>
            <w:vAlign w:val="bottom"/>
          </w:tcPr>
          <w:p w:rsidR="0081053F" w:rsidRPr="00135629" w:rsidP="0081053F" w14:paraId="265FD3C8" w14:textId="77777777">
            <w:pPr>
              <w:rPr>
                <w:color w:val="000000" w:themeColor="text1"/>
              </w:rPr>
            </w:pPr>
            <w:r w:rsidRPr="0016660B">
              <w:t>12,500,000</w:t>
            </w:r>
          </w:p>
        </w:tc>
        <w:tc>
          <w:tcPr>
            <w:tcW w:w="964" w:type="pct"/>
            <w:vAlign w:val="bottom"/>
          </w:tcPr>
          <w:p w:rsidR="0081053F" w:rsidRPr="00135629" w:rsidP="0081053F" w14:paraId="454C79B8" w14:textId="77777777">
            <w:pPr>
              <w:rPr>
                <w:color w:val="000000" w:themeColor="text1"/>
              </w:rPr>
            </w:pPr>
            <w:r w:rsidRPr="0016660B">
              <w:t xml:space="preserve">10,000,000 </w:t>
            </w:r>
          </w:p>
        </w:tc>
        <w:tc>
          <w:tcPr>
            <w:tcW w:w="918" w:type="pct"/>
            <w:vAlign w:val="bottom"/>
          </w:tcPr>
          <w:p w:rsidR="0081053F" w:rsidRPr="00135629" w:rsidP="0081053F" w14:paraId="21E66E6C" w14:textId="77777777">
            <w:pPr>
              <w:rPr>
                <w:color w:val="000000" w:themeColor="text1"/>
              </w:rPr>
            </w:pPr>
            <w:r w:rsidRPr="0016660B">
              <w:t xml:space="preserve">2,500,000 </w:t>
            </w:r>
          </w:p>
        </w:tc>
        <w:tc>
          <w:tcPr>
            <w:tcW w:w="871" w:type="pct"/>
          </w:tcPr>
          <w:p w:rsidR="0081053F" w:rsidRPr="00135629" w:rsidP="0081053F" w14:paraId="2026F243" w14:textId="77777777">
            <w:pPr>
              <w:rPr>
                <w:color w:val="000000" w:themeColor="text1"/>
              </w:rPr>
            </w:pPr>
            <w:r>
              <w:t>1.40</w:t>
            </w:r>
          </w:p>
        </w:tc>
      </w:tr>
    </w:tbl>
    <w:p w:rsidR="00923DE9" w:rsidRPr="0016660B" w:rsidP="00135629" w14:paraId="63E81E7D" w14:textId="77777777"/>
    <w:p w:rsidR="00923DE9" w:rsidRPr="0016660B" w:rsidP="00135629" w14:paraId="5AE67C4C" w14:textId="77777777">
      <w:r w:rsidRPr="0016660B">
        <w:t>The sample size estimate for other research questions is performed in a similar manner</w:t>
      </w:r>
      <w:r w:rsidR="00047BF4">
        <w:t>, and the results are summarized in Table 26. F</w:t>
      </w:r>
      <w:r w:rsidRPr="0016660B">
        <w:t xml:space="preserve">or the sample analysis for the effect of cumulative duty prior to work start, we compare duties with less than 60 hours of driving in the last </w:t>
      </w:r>
      <w:r w:rsidR="00D563D8">
        <w:t>7</w:t>
      </w:r>
      <w:r w:rsidRPr="0016660B">
        <w:t xml:space="preserve"> days versus </w:t>
      </w:r>
      <w:r w:rsidRPr="0016660B">
        <w:t xml:space="preserve">duties with more than 60 hours of driving in the last </w:t>
      </w:r>
      <w:r w:rsidR="00D563D8">
        <w:t>7</w:t>
      </w:r>
      <w:r w:rsidRPr="0016660B">
        <w:t xml:space="preserve"> days. Based on data from prior studies, the prevalence of having more than 60 hours of driving in the prior </w:t>
      </w:r>
      <w:r w:rsidR="00D563D8">
        <w:t>7</w:t>
      </w:r>
      <w:r w:rsidRPr="0016660B">
        <w:t xml:space="preserve"> days was observed in 10% of the duty days. The analysis is based on assuming 8 hours of driving per duty, and a base crash rate of 25 crashes per 100 million driving hours for duties with less than 60 hours of cumulative driving in prior </w:t>
      </w:r>
      <w:r w:rsidR="00D563D8">
        <w:t>7</w:t>
      </w:r>
      <w:r w:rsidRPr="0016660B">
        <w:t xml:space="preserve"> days. In studies on workplace, working greater than 60 hours was associated with a 23% </w:t>
      </w:r>
      <w:r w:rsidRPr="00241AC1">
        <w:t xml:space="preserve">increase in </w:t>
      </w:r>
      <w:r w:rsidRPr="00241AC1" w:rsidR="00EA133A">
        <w:t>SCEs</w:t>
      </w:r>
      <w:r w:rsidR="00241AC1">
        <w:rPr>
          <w:vertAlign w:val="superscript"/>
        </w:rPr>
        <w:t>3</w:t>
      </w:r>
      <w:r w:rsidRPr="0016660B">
        <w:t>.</w:t>
      </w:r>
      <w:r w:rsidRPr="0016660B" w:rsidR="00EF2CB1">
        <w:t xml:space="preserve"> </w:t>
      </w:r>
    </w:p>
    <w:p w:rsidR="00923DE9" w:rsidRPr="0016660B" w:rsidP="00135629" w14:paraId="573B561C" w14:textId="77777777"/>
    <w:p w:rsidR="002B095F" w:rsidRPr="0016660B" w:rsidP="00135629" w14:paraId="1A635C99" w14:textId="77777777">
      <w:r w:rsidRPr="0016660B">
        <w:t xml:space="preserve">For the sample analysis relative to the effect of restart type, we assume that the more recent 34h restart was a 1-night restart for 15% of duty days, 45% for a 2-night restart, 40% for a 3-or-more-night restart. Then, we look at the relative risk between duties preceded by 1-night restarts versus duties preceded by 2-night restarts. The analysis is based on assuming 8 hours of driving per duty, and a base crash rate of 25 crashes per 100 million driving hours for duties preceded by a 2-night restart. Given that prior research observed limited impact of restart on safety events, we consider an effect of </w:t>
      </w:r>
      <w:r w:rsidR="008A7041">
        <w:t>20</w:t>
      </w:r>
      <w:r w:rsidRPr="0016660B">
        <w:t>% between restart conditions.</w:t>
      </w:r>
    </w:p>
    <w:p w:rsidR="00923DE9" w:rsidRPr="0016660B" w:rsidP="00135629" w14:paraId="70E406B0" w14:textId="77777777"/>
    <w:p w:rsidR="00047BF4" w:rsidRPr="0016660B" w:rsidP="00135629" w14:paraId="76E1751C" w14:textId="77777777">
      <w:r w:rsidRPr="0016660B">
        <w:t xml:space="preserve">For the sample analysis relative to the effect of sleeper berth use, the use of sleeper berth can vary depending on the carrier operations. </w:t>
      </w:r>
      <w:r w:rsidRPr="000F753D">
        <w:t>FMCSA</w:t>
      </w:r>
      <w:r w:rsidR="000F753D">
        <w:rPr>
          <w:vertAlign w:val="superscript"/>
        </w:rPr>
        <w:t>1</w:t>
      </w:r>
      <w:r w:rsidRPr="0016660B">
        <w:t xml:space="preserve"> reported 91% of long-haul drivers use sleeper berths, but other operations with more local routes may not include any sleeper berth use. For the power analysis, given the large differences in operation types, we assume that only 20% of duty days will have sleeper berth use. The analysis is based on assuming 8 hours of driving per duty, and a base crash rate of 25 crashes per 100 million driving hours for no sleeper berth use. In previous studies of sleeper berth use, sleep time </w:t>
      </w:r>
      <w:r w:rsidRPr="000F753D">
        <w:t>was comparable</w:t>
      </w:r>
      <w:r w:rsidRPr="000F753D" w:rsidR="00057B24">
        <w:rPr>
          <w:vertAlign w:val="superscript"/>
        </w:rPr>
        <w:t>4</w:t>
      </w:r>
      <w:r w:rsidRPr="0016660B">
        <w:t xml:space="preserve"> but fatality risk was 3.05 odds ratio for consecutive shifts with </w:t>
      </w:r>
      <w:r w:rsidRPr="000F753D">
        <w:t>sleeper berth</w:t>
      </w:r>
      <w:r w:rsidRPr="000F753D" w:rsidR="00BE6A18">
        <w:rPr>
          <w:vertAlign w:val="superscript"/>
        </w:rPr>
        <w:t>5</w:t>
      </w:r>
      <w:r w:rsidRPr="0016660B">
        <w:t>.</w:t>
      </w:r>
    </w:p>
    <w:p w:rsidR="00E01008" w:rsidRPr="0016660B" w:rsidP="002B433B" w14:paraId="4256B805" w14:textId="77777777"/>
    <w:p w:rsidR="00923DE9" w:rsidRPr="0016660B" w:rsidP="00135629" w14:paraId="13DE739B" w14:textId="77777777">
      <w:r w:rsidRPr="0016660B">
        <w:t>For drivers using the sleeper berth provision, a minimum of 7 consecutive hours in the sleeper berth is required during the 10-hour rest period. For drivers using the sleeper berth provision, we look at the relative risk of incidents for drivers that spend only the minimum 7 consecutive hours in the sleeper berth compared against drivers that spend more than 7 consecutive hours in the sleeper berth. For the power analysis, we assume that 20% of duty days will have sleeper berth days, and, of those duty days, we assume an even split of days with the minimum 7 consecutive hours (50%) and more than 7 consecutive hours (50%).</w:t>
      </w:r>
    </w:p>
    <w:p w:rsidR="00923DE9" w:rsidRPr="0016660B" w:rsidP="00135629" w14:paraId="5805C857" w14:textId="77777777"/>
    <w:p w:rsidR="00923DE9" w:rsidP="00135629" w14:paraId="70E392EF" w14:textId="77777777">
      <w:r w:rsidRPr="0016660B">
        <w:t>For the sample analysis relative to the effect of personal conveyance</w:t>
      </w:r>
      <w:r w:rsidRPr="00791FA0" w:rsidR="00EF0A70">
        <w:rPr>
          <w:color w:val="000000" w:themeColor="text1"/>
        </w:rPr>
        <w:t xml:space="preserve"> (i.e., the movement of a CMV for personal use while the driver is off</w:t>
      </w:r>
      <w:r w:rsidRPr="00791FA0" w:rsidR="00063EC2">
        <w:rPr>
          <w:color w:val="000000" w:themeColor="text1"/>
        </w:rPr>
        <w:t>-</w:t>
      </w:r>
      <w:r w:rsidRPr="00791FA0" w:rsidR="00EF0A70">
        <w:rPr>
          <w:color w:val="000000" w:themeColor="text1"/>
        </w:rPr>
        <w:t>duty)</w:t>
      </w:r>
      <w:r w:rsidRPr="00791FA0">
        <w:rPr>
          <w:color w:val="000000" w:themeColor="text1"/>
        </w:rPr>
        <w:t>,</w:t>
      </w:r>
      <w:r w:rsidRPr="0016660B">
        <w:t xml:space="preserve"> we assume that drivers use personal conveyance on 5% of duty days. The analysis is based on assuming 8 hours of driving per duty, and a base crash rate of 25 crashes per 100 million driving hours for duties with no personal conveyance use. Our literature review did not return any studies on the effect of personal conveyance on the driving risk, but if personal conveyance is used immediately after a driving duty, then the risk would be similar to driving into the 11</w:t>
      </w:r>
      <w:r w:rsidRPr="0016660B">
        <w:rPr>
          <w:vertAlign w:val="superscript"/>
        </w:rPr>
        <w:t>th</w:t>
      </w:r>
      <w:r w:rsidRPr="0016660B">
        <w:t xml:space="preserve"> hour (50% increase, as previously stated).</w:t>
      </w:r>
    </w:p>
    <w:p w:rsidR="0081053F" w:rsidRPr="0016660B" w:rsidP="00135629" w14:paraId="6588D927" w14:textId="77777777"/>
    <w:p w:rsidR="00923DE9" w:rsidRPr="0016660B" w:rsidP="00135629" w14:paraId="4DFF9099" w14:textId="77777777">
      <w:r w:rsidRPr="0016660B">
        <w:t xml:space="preserve">For the sample analysis relative to the effect of the number of 30-minute driving breaks, we assume for the power analysis that drivers take 0, 1, or 2 breaks with equal probability. </w:t>
      </w:r>
      <w:r w:rsidRPr="000F753D">
        <w:t>Jovanis et al.</w:t>
      </w:r>
      <w:r w:rsidRPr="000F753D" w:rsidR="00BE6A18">
        <w:rPr>
          <w:vertAlign w:val="superscript"/>
        </w:rPr>
        <w:t>6</w:t>
      </w:r>
      <w:r w:rsidRPr="0016660B">
        <w:t xml:space="preserve"> reported a 51% decrease in crash odds for drivers taking 2 breaks instead of no breaks, and a 15% decrease in crash odds when taking 1 break instead of no breaks (breaks were between 15 and 90 minutes in duration within the duty day). </w:t>
      </w:r>
    </w:p>
    <w:p w:rsidR="00E43812" w:rsidP="00135629" w14:paraId="605B18D8" w14:textId="77777777">
      <w:bookmarkStart w:id="12" w:name="11Tests_for_the_Difference_Between_Two_P"/>
      <w:bookmarkStart w:id="13" w:name="12Numeric_Results7/30/2024_11:19:54_PM"/>
      <w:bookmarkStart w:id="14" w:name="12Summary_Statements7/30/2024_11:19:54_P"/>
      <w:bookmarkStart w:id="15" w:name="11Tests_for_the_Ratio_of_Two_Negative_Bi"/>
      <w:bookmarkStart w:id="16" w:name="12Numeric_Results7/30/2024_11:25:47_PM"/>
      <w:bookmarkStart w:id="17" w:name="12Summary_Statements7/30/2024_11:25:47_P"/>
      <w:bookmarkEnd w:id="12"/>
      <w:bookmarkEnd w:id="13"/>
      <w:bookmarkEnd w:id="14"/>
      <w:bookmarkEnd w:id="15"/>
      <w:bookmarkEnd w:id="16"/>
      <w:bookmarkEnd w:id="17"/>
    </w:p>
    <w:p w:rsidR="006163B0" w:rsidRPr="002B433B" w:rsidP="002B433B" w14:paraId="21D4F974" w14:textId="77777777">
      <w:pPr>
        <w:pStyle w:val="Caption"/>
        <w:jc w:val="center"/>
        <w:rPr>
          <w:sz w:val="20"/>
          <w:szCs w:val="20"/>
        </w:rPr>
      </w:pPr>
      <w:r w:rsidRPr="002B433B">
        <w:rPr>
          <w:rFonts w:ascii="Times New Roman" w:hAnsi="Times New Roman" w:cs="Times New Roman"/>
          <w:b/>
          <w:bCs/>
          <w:i w:val="0"/>
          <w:iCs w:val="0"/>
          <w:color w:val="auto"/>
          <w:sz w:val="20"/>
          <w:szCs w:val="20"/>
        </w:rPr>
        <w:t>Table 26</w:t>
      </w:r>
      <w:r w:rsidRPr="002B433B">
        <w:rPr>
          <w:rFonts w:ascii="Times New Roman" w:hAnsi="Times New Roman" w:cs="Times New Roman"/>
          <w:i w:val="0"/>
          <w:iCs w:val="0"/>
          <w:color w:val="auto"/>
          <w:sz w:val="20"/>
          <w:szCs w:val="20"/>
        </w:rPr>
        <w:t xml:space="preserve">: </w:t>
      </w:r>
      <w:r w:rsidRPr="0016660B">
        <w:rPr>
          <w:rFonts w:ascii="Times New Roman" w:hAnsi="Times New Roman" w:cs="Times New Roman"/>
          <w:i w:val="0"/>
          <w:iCs w:val="0"/>
          <w:color w:val="auto"/>
          <w:sz w:val="20"/>
          <w:szCs w:val="20"/>
        </w:rPr>
        <w:t xml:space="preserve">Detectable relative risk </w:t>
      </w:r>
      <w:r w:rsidR="0081053F">
        <w:rPr>
          <w:rFonts w:ascii="Times New Roman" w:hAnsi="Times New Roman" w:cs="Times New Roman"/>
          <w:i w:val="0"/>
          <w:iCs w:val="0"/>
          <w:color w:val="auto"/>
          <w:sz w:val="20"/>
          <w:szCs w:val="20"/>
        </w:rPr>
        <w:t xml:space="preserve">of </w:t>
      </w:r>
      <w:r>
        <w:rPr>
          <w:rFonts w:ascii="Times New Roman" w:hAnsi="Times New Roman" w:cs="Times New Roman"/>
          <w:i w:val="0"/>
          <w:iCs w:val="0"/>
          <w:color w:val="auto"/>
          <w:sz w:val="20"/>
          <w:szCs w:val="20"/>
        </w:rPr>
        <w:t>crash</w:t>
      </w:r>
      <w:r w:rsidR="0081053F">
        <w:rPr>
          <w:rFonts w:ascii="Times New Roman" w:hAnsi="Times New Roman" w:cs="Times New Roman"/>
          <w:i w:val="0"/>
          <w:iCs w:val="0"/>
          <w:color w:val="auto"/>
          <w:sz w:val="20"/>
          <w:szCs w:val="20"/>
        </w:rPr>
        <w:t xml:space="preserve">es </w:t>
      </w:r>
      <w:r w:rsidRPr="0016660B">
        <w:rPr>
          <w:rFonts w:ascii="Times New Roman" w:hAnsi="Times New Roman" w:cs="Times New Roman"/>
          <w:i w:val="0"/>
          <w:iCs w:val="0"/>
          <w:color w:val="auto"/>
          <w:sz w:val="20"/>
          <w:szCs w:val="20"/>
        </w:rPr>
        <w:t>for different study sample size</w:t>
      </w:r>
      <w:r w:rsidR="00047BF4">
        <w:rPr>
          <w:rFonts w:ascii="Times New Roman" w:hAnsi="Times New Roman" w:cs="Times New Roman"/>
          <w:i w:val="0"/>
          <w:iCs w:val="0"/>
          <w:color w:val="auto"/>
          <w:sz w:val="20"/>
          <w:szCs w:val="20"/>
        </w:rPr>
        <w:t>s</w:t>
      </w:r>
      <w:r>
        <w:rPr>
          <w:rFonts w:ascii="Times New Roman" w:hAnsi="Times New Roman" w:cs="Times New Roman"/>
          <w:i w:val="0"/>
          <w:iCs w:val="0"/>
          <w:color w:val="auto"/>
          <w:sz w:val="20"/>
          <w:szCs w:val="20"/>
        </w:rPr>
        <w:t xml:space="preserve"> for each research aim. </w:t>
      </w:r>
      <w:r w:rsidRPr="002B433B">
        <w:rPr>
          <w:rFonts w:ascii="Times New Roman" w:hAnsi="Times New Roman" w:cs="Times New Roman"/>
          <w:i w:val="0"/>
          <w:iCs w:val="0"/>
          <w:color w:val="auto"/>
          <w:sz w:val="20"/>
          <w:szCs w:val="20"/>
        </w:rPr>
        <w:t>Cumulative Driving Hours</w:t>
      </w:r>
      <w:r w:rsidR="0081053F">
        <w:rPr>
          <w:rFonts w:ascii="Times New Roman" w:hAnsi="Times New Roman" w:cs="Times New Roman"/>
          <w:i w:val="0"/>
          <w:iCs w:val="0"/>
          <w:color w:val="auto"/>
          <w:sz w:val="20"/>
          <w:szCs w:val="20"/>
        </w:rPr>
        <w:t xml:space="preserve"> compares</w:t>
      </w:r>
      <w:r w:rsidRPr="002B433B">
        <w:rPr>
          <w:rFonts w:ascii="Times New Roman" w:hAnsi="Times New Roman" w:cs="Times New Roman"/>
          <w:i w:val="0"/>
          <w:iCs w:val="0"/>
          <w:color w:val="auto"/>
          <w:sz w:val="20"/>
          <w:szCs w:val="20"/>
        </w:rPr>
        <w:t xml:space="preserve"> 1st vs 11</w:t>
      </w:r>
      <w:r w:rsidRPr="002B433B">
        <w:rPr>
          <w:rFonts w:ascii="Times New Roman" w:hAnsi="Times New Roman" w:cs="Times New Roman"/>
          <w:i w:val="0"/>
          <w:iCs w:val="0"/>
          <w:color w:val="auto"/>
          <w:sz w:val="20"/>
          <w:szCs w:val="20"/>
          <w:vertAlign w:val="superscript"/>
        </w:rPr>
        <w:t>th</w:t>
      </w:r>
      <w:r>
        <w:rPr>
          <w:rFonts w:ascii="Times New Roman" w:hAnsi="Times New Roman" w:cs="Times New Roman"/>
          <w:i w:val="0"/>
          <w:iCs w:val="0"/>
          <w:color w:val="auto"/>
          <w:sz w:val="20"/>
          <w:szCs w:val="20"/>
        </w:rPr>
        <w:t xml:space="preserve"> h</w:t>
      </w:r>
      <w:r w:rsidRPr="002B433B">
        <w:rPr>
          <w:rFonts w:ascii="Times New Roman" w:hAnsi="Times New Roman" w:cs="Times New Roman"/>
          <w:i w:val="0"/>
          <w:iCs w:val="0"/>
          <w:color w:val="auto"/>
          <w:sz w:val="20"/>
          <w:szCs w:val="20"/>
        </w:rPr>
        <w:t>our of Driving</w:t>
      </w:r>
      <w:r w:rsidR="0081053F">
        <w:rPr>
          <w:rFonts w:ascii="Times New Roman" w:hAnsi="Times New Roman" w:cs="Times New Roman"/>
          <w:i w:val="0"/>
          <w:iCs w:val="0"/>
          <w:color w:val="auto"/>
          <w:sz w:val="20"/>
          <w:szCs w:val="20"/>
        </w:rPr>
        <w:t xml:space="preserve">. </w:t>
      </w:r>
      <w:r w:rsidRPr="002B433B">
        <w:rPr>
          <w:rFonts w:ascii="Times New Roman" w:hAnsi="Times New Roman" w:cs="Times New Roman"/>
          <w:i w:val="0"/>
          <w:iCs w:val="0"/>
          <w:color w:val="auto"/>
          <w:sz w:val="20"/>
          <w:szCs w:val="20"/>
        </w:rPr>
        <w:t>Cumulative Hours in Prior 7 days</w:t>
      </w:r>
      <w:r w:rsidR="0081053F">
        <w:rPr>
          <w:rFonts w:ascii="Times New Roman" w:hAnsi="Times New Roman" w:cs="Times New Roman"/>
          <w:i w:val="0"/>
          <w:iCs w:val="0"/>
          <w:color w:val="auto"/>
          <w:sz w:val="20"/>
          <w:szCs w:val="20"/>
        </w:rPr>
        <w:t xml:space="preserve"> compares </w:t>
      </w:r>
      <w:r w:rsidRPr="002B433B">
        <w:rPr>
          <w:rFonts w:ascii="Times New Roman" w:hAnsi="Times New Roman" w:cs="Times New Roman"/>
          <w:i w:val="0"/>
          <w:iCs w:val="0"/>
          <w:color w:val="auto"/>
          <w:sz w:val="20"/>
          <w:szCs w:val="20"/>
        </w:rPr>
        <w:t xml:space="preserve">duties with less than </w:t>
      </w:r>
      <w:r w:rsidR="0081053F">
        <w:rPr>
          <w:rFonts w:ascii="Times New Roman" w:hAnsi="Times New Roman" w:cs="Times New Roman"/>
          <w:i w:val="0"/>
          <w:iCs w:val="0"/>
          <w:color w:val="auto"/>
          <w:sz w:val="20"/>
          <w:szCs w:val="20"/>
        </w:rPr>
        <w:t xml:space="preserve">vs </w:t>
      </w:r>
      <w:r w:rsidRPr="002B433B">
        <w:rPr>
          <w:rFonts w:ascii="Times New Roman" w:hAnsi="Times New Roman" w:cs="Times New Roman"/>
          <w:i w:val="0"/>
          <w:iCs w:val="0"/>
          <w:color w:val="auto"/>
          <w:sz w:val="20"/>
          <w:szCs w:val="20"/>
        </w:rPr>
        <w:t xml:space="preserve">more than 60 hours driving in </w:t>
      </w:r>
      <w:r w:rsidR="0081053F">
        <w:rPr>
          <w:rFonts w:ascii="Times New Roman" w:hAnsi="Times New Roman" w:cs="Times New Roman"/>
          <w:i w:val="0"/>
          <w:iCs w:val="0"/>
          <w:color w:val="auto"/>
          <w:sz w:val="20"/>
          <w:szCs w:val="20"/>
        </w:rPr>
        <w:t xml:space="preserve">prior </w:t>
      </w:r>
      <w:r w:rsidRPr="002B433B">
        <w:rPr>
          <w:rFonts w:ascii="Times New Roman" w:hAnsi="Times New Roman" w:cs="Times New Roman"/>
          <w:i w:val="0"/>
          <w:iCs w:val="0"/>
          <w:color w:val="auto"/>
          <w:sz w:val="20"/>
          <w:szCs w:val="20"/>
        </w:rPr>
        <w:t>7 days</w:t>
      </w:r>
      <w:r w:rsidR="0081053F">
        <w:rPr>
          <w:rFonts w:ascii="Times New Roman" w:hAnsi="Times New Roman" w:cs="Times New Roman"/>
          <w:i w:val="0"/>
          <w:iCs w:val="0"/>
          <w:color w:val="auto"/>
          <w:sz w:val="20"/>
          <w:szCs w:val="20"/>
        </w:rPr>
        <w:t xml:space="preserve">. </w:t>
      </w:r>
      <w:r w:rsidRPr="002B433B">
        <w:rPr>
          <w:rFonts w:ascii="Times New Roman" w:hAnsi="Times New Roman" w:cs="Times New Roman"/>
          <w:i w:val="0"/>
          <w:iCs w:val="0"/>
          <w:color w:val="auto"/>
          <w:sz w:val="20"/>
          <w:szCs w:val="20"/>
        </w:rPr>
        <w:t>Number of nights restart perio</w:t>
      </w:r>
      <w:r w:rsidR="0081053F">
        <w:rPr>
          <w:rFonts w:ascii="Times New Roman" w:hAnsi="Times New Roman" w:cs="Times New Roman"/>
          <w:i w:val="0"/>
          <w:iCs w:val="0"/>
          <w:color w:val="auto"/>
          <w:sz w:val="20"/>
          <w:szCs w:val="20"/>
        </w:rPr>
        <w:t>d compares</w:t>
      </w:r>
      <w:r w:rsidRPr="002B433B">
        <w:rPr>
          <w:rFonts w:ascii="Times New Roman" w:hAnsi="Times New Roman" w:cs="Times New Roman"/>
          <w:i w:val="0"/>
          <w:iCs w:val="0"/>
          <w:color w:val="auto"/>
          <w:sz w:val="20"/>
          <w:szCs w:val="20"/>
        </w:rPr>
        <w:t xml:space="preserve"> duties with 1-night vs 2-nights in restart</w:t>
      </w:r>
      <w:r w:rsidR="0081053F">
        <w:rPr>
          <w:rFonts w:ascii="Times New Roman" w:hAnsi="Times New Roman" w:cs="Times New Roman"/>
          <w:i w:val="0"/>
          <w:iCs w:val="0"/>
          <w:color w:val="auto"/>
          <w:sz w:val="20"/>
          <w:szCs w:val="20"/>
        </w:rPr>
        <w:t xml:space="preserve">. </w:t>
      </w:r>
      <w:r w:rsidRPr="002B433B">
        <w:rPr>
          <w:rFonts w:ascii="Times New Roman" w:hAnsi="Times New Roman" w:cs="Times New Roman"/>
          <w:i w:val="0"/>
          <w:iCs w:val="0"/>
          <w:color w:val="auto"/>
          <w:sz w:val="20"/>
          <w:szCs w:val="20"/>
        </w:rPr>
        <w:t>Use of sleeper berth</w:t>
      </w:r>
      <w:r w:rsidR="0081053F">
        <w:rPr>
          <w:rFonts w:ascii="Times New Roman" w:hAnsi="Times New Roman" w:cs="Times New Roman"/>
          <w:i w:val="0"/>
          <w:iCs w:val="0"/>
          <w:color w:val="auto"/>
          <w:sz w:val="20"/>
          <w:szCs w:val="20"/>
        </w:rPr>
        <w:t xml:space="preserve"> compares</w:t>
      </w:r>
      <w:r w:rsidRPr="002B433B">
        <w:rPr>
          <w:rFonts w:ascii="Times New Roman" w:hAnsi="Times New Roman" w:cs="Times New Roman"/>
          <w:i w:val="0"/>
          <w:iCs w:val="0"/>
          <w:color w:val="auto"/>
          <w:sz w:val="20"/>
          <w:szCs w:val="20"/>
        </w:rPr>
        <w:t xml:space="preserve"> duties with and without sleeper berth use</w:t>
      </w:r>
      <w:r w:rsidR="0081053F">
        <w:rPr>
          <w:rFonts w:ascii="Times New Roman" w:hAnsi="Times New Roman" w:cs="Times New Roman"/>
          <w:i w:val="0"/>
          <w:iCs w:val="0"/>
          <w:color w:val="auto"/>
          <w:sz w:val="20"/>
          <w:szCs w:val="20"/>
        </w:rPr>
        <w:t xml:space="preserve">. </w:t>
      </w:r>
      <w:r w:rsidRPr="002B433B">
        <w:rPr>
          <w:rFonts w:ascii="Times New Roman" w:hAnsi="Times New Roman" w:cs="Times New Roman"/>
          <w:i w:val="0"/>
          <w:iCs w:val="0"/>
          <w:color w:val="auto"/>
          <w:sz w:val="20"/>
          <w:szCs w:val="20"/>
        </w:rPr>
        <w:t>Consecutive hours in</w:t>
      </w:r>
      <w:r w:rsidR="0081053F">
        <w:rPr>
          <w:rFonts w:ascii="Times New Roman" w:hAnsi="Times New Roman" w:cs="Times New Roman"/>
          <w:i w:val="0"/>
          <w:iCs w:val="0"/>
          <w:color w:val="auto"/>
          <w:sz w:val="20"/>
          <w:szCs w:val="20"/>
        </w:rPr>
        <w:t xml:space="preserve"> sleeper berth compares duties</w:t>
      </w:r>
      <w:r w:rsidRPr="002B433B">
        <w:rPr>
          <w:rFonts w:ascii="Times New Roman" w:hAnsi="Times New Roman" w:cs="Times New Roman"/>
          <w:i w:val="0"/>
          <w:iCs w:val="0"/>
          <w:color w:val="auto"/>
          <w:sz w:val="20"/>
          <w:szCs w:val="20"/>
        </w:rPr>
        <w:t xml:space="preserve"> with 7 </w:t>
      </w:r>
      <w:r w:rsidR="0081053F">
        <w:rPr>
          <w:rFonts w:ascii="Times New Roman" w:hAnsi="Times New Roman" w:cs="Times New Roman"/>
          <w:i w:val="0"/>
          <w:iCs w:val="0"/>
          <w:color w:val="auto"/>
          <w:sz w:val="20"/>
          <w:szCs w:val="20"/>
        </w:rPr>
        <w:t xml:space="preserve">consecutive hours vs </w:t>
      </w:r>
      <w:r w:rsidRPr="002B433B">
        <w:rPr>
          <w:rFonts w:ascii="Times New Roman" w:hAnsi="Times New Roman" w:cs="Times New Roman"/>
          <w:i w:val="0"/>
          <w:iCs w:val="0"/>
          <w:color w:val="auto"/>
          <w:sz w:val="20"/>
          <w:szCs w:val="20"/>
        </w:rPr>
        <w:t>more than 7 consecutive hours of sleeper berth use</w:t>
      </w:r>
      <w:r w:rsidR="0081053F">
        <w:rPr>
          <w:rFonts w:ascii="Times New Roman" w:hAnsi="Times New Roman" w:cs="Times New Roman"/>
          <w:i w:val="0"/>
          <w:iCs w:val="0"/>
          <w:color w:val="auto"/>
          <w:sz w:val="20"/>
          <w:szCs w:val="20"/>
        </w:rPr>
        <w:t>. Number o</w:t>
      </w:r>
      <w:r w:rsidRPr="002B433B">
        <w:rPr>
          <w:rFonts w:ascii="Times New Roman" w:hAnsi="Times New Roman" w:cs="Times New Roman"/>
          <w:i w:val="0"/>
          <w:iCs w:val="0"/>
          <w:color w:val="auto"/>
          <w:sz w:val="20"/>
          <w:szCs w:val="20"/>
        </w:rPr>
        <w:t>f breaks within duty</w:t>
      </w:r>
      <w:r w:rsidR="0081053F">
        <w:rPr>
          <w:rFonts w:ascii="Times New Roman" w:hAnsi="Times New Roman" w:cs="Times New Roman"/>
          <w:i w:val="0"/>
          <w:iCs w:val="0"/>
          <w:color w:val="auto"/>
          <w:sz w:val="20"/>
          <w:szCs w:val="20"/>
        </w:rPr>
        <w:t xml:space="preserve"> compares</w:t>
      </w:r>
      <w:r w:rsidRPr="002B433B">
        <w:rPr>
          <w:rFonts w:ascii="Times New Roman" w:hAnsi="Times New Roman" w:cs="Times New Roman"/>
          <w:i w:val="0"/>
          <w:iCs w:val="0"/>
          <w:color w:val="auto"/>
          <w:sz w:val="20"/>
          <w:szCs w:val="20"/>
        </w:rPr>
        <w:t xml:space="preserve"> duties with </w:t>
      </w:r>
      <w:r w:rsidR="0081053F">
        <w:rPr>
          <w:rFonts w:ascii="Times New Roman" w:hAnsi="Times New Roman" w:cs="Times New Roman"/>
          <w:i w:val="0"/>
          <w:iCs w:val="0"/>
          <w:color w:val="auto"/>
          <w:sz w:val="20"/>
          <w:szCs w:val="20"/>
        </w:rPr>
        <w:t>zero</w:t>
      </w:r>
      <w:r w:rsidRPr="002B433B">
        <w:rPr>
          <w:rFonts w:ascii="Times New Roman" w:hAnsi="Times New Roman" w:cs="Times New Roman"/>
          <w:i w:val="0"/>
          <w:iCs w:val="0"/>
          <w:color w:val="auto"/>
          <w:sz w:val="20"/>
          <w:szCs w:val="20"/>
        </w:rPr>
        <w:t xml:space="preserve"> 30-minute breaks vs </w:t>
      </w:r>
      <w:r w:rsidR="0081053F">
        <w:rPr>
          <w:rFonts w:ascii="Times New Roman" w:hAnsi="Times New Roman" w:cs="Times New Roman"/>
          <w:i w:val="0"/>
          <w:iCs w:val="0"/>
          <w:color w:val="auto"/>
          <w:sz w:val="20"/>
          <w:szCs w:val="20"/>
        </w:rPr>
        <w:t>two</w:t>
      </w:r>
      <w:r w:rsidRPr="002B433B">
        <w:rPr>
          <w:rFonts w:ascii="Times New Roman" w:hAnsi="Times New Roman" w:cs="Times New Roman"/>
          <w:i w:val="0"/>
          <w:iCs w:val="0"/>
          <w:color w:val="auto"/>
          <w:sz w:val="20"/>
          <w:szCs w:val="20"/>
        </w:rPr>
        <w:t xml:space="preserve"> 30-minute breaks within duty</w:t>
      </w:r>
      <w:r w:rsidR="0081053F">
        <w:rPr>
          <w:rFonts w:ascii="Times New Roman" w:hAnsi="Times New Roman" w:cs="Times New Roman"/>
          <w:i w:val="0"/>
          <w:iCs w:val="0"/>
          <w:color w:val="auto"/>
          <w:sz w:val="20"/>
          <w:szCs w:val="20"/>
        </w:rPr>
        <w:t xml:space="preserve">. </w:t>
      </w:r>
      <w:r w:rsidRPr="002B433B">
        <w:rPr>
          <w:rFonts w:ascii="Times New Roman" w:hAnsi="Times New Roman" w:cs="Times New Roman"/>
          <w:i w:val="0"/>
          <w:iCs w:val="0"/>
          <w:color w:val="auto"/>
          <w:sz w:val="20"/>
          <w:szCs w:val="20"/>
        </w:rPr>
        <w:t>Use of personal conveyance</w:t>
      </w:r>
      <w:r w:rsidR="0081053F">
        <w:rPr>
          <w:rFonts w:ascii="Times New Roman" w:hAnsi="Times New Roman" w:cs="Times New Roman"/>
          <w:i w:val="0"/>
          <w:iCs w:val="0"/>
          <w:color w:val="auto"/>
          <w:sz w:val="20"/>
          <w:szCs w:val="20"/>
        </w:rPr>
        <w:t xml:space="preserve"> compares </w:t>
      </w:r>
      <w:r w:rsidRPr="002B433B">
        <w:rPr>
          <w:rFonts w:ascii="Times New Roman" w:hAnsi="Times New Roman" w:cs="Times New Roman"/>
          <w:i w:val="0"/>
          <w:iCs w:val="0"/>
          <w:color w:val="auto"/>
          <w:sz w:val="20"/>
          <w:szCs w:val="20"/>
        </w:rPr>
        <w:t>duties with and without personal conveyance</w:t>
      </w:r>
      <w:r w:rsidR="0081053F">
        <w:rPr>
          <w:rFonts w:ascii="Times New Roman" w:hAnsi="Times New Roman" w:cs="Times New Roman"/>
          <w:i w:val="0"/>
          <w:iCs w:val="0"/>
          <w:color w:val="auto"/>
          <w:sz w:val="20"/>
          <w:szCs w:val="20"/>
        </w:rPr>
        <w:t xml:space="preserve">.  </w:t>
      </w:r>
    </w:p>
    <w:p w:rsidR="00DF346B" w:rsidP="00135629" w14:paraId="02728899" w14:textId="77777777">
      <w:pPr>
        <w:rPr>
          <w:color w:val="7030A0"/>
        </w:rPr>
      </w:pPr>
    </w:p>
    <w:tbl>
      <w:tblPr>
        <w:tblStyle w:val="TableGrid"/>
        <w:tblW w:w="5000" w:type="pct"/>
        <w:tblLayout w:type="fixed"/>
        <w:tblLook w:val="04A0"/>
      </w:tblPr>
      <w:tblGrid>
        <w:gridCol w:w="1037"/>
        <w:gridCol w:w="1039"/>
        <w:gridCol w:w="1040"/>
        <w:gridCol w:w="1040"/>
        <w:gridCol w:w="1040"/>
        <w:gridCol w:w="1040"/>
        <w:gridCol w:w="1040"/>
        <w:gridCol w:w="1040"/>
        <w:gridCol w:w="1034"/>
      </w:tblGrid>
      <w:tr w14:paraId="78DBACE4" w14:textId="77777777" w:rsidTr="002B433B">
        <w:tblPrEx>
          <w:tblW w:w="5000" w:type="pct"/>
          <w:tblLayout w:type="fixed"/>
          <w:tblLook w:val="04A0"/>
        </w:tblPrEx>
        <w:tc>
          <w:tcPr>
            <w:tcW w:w="555" w:type="pct"/>
            <w:vMerge w:val="restart"/>
            <w:shd w:val="clear" w:color="auto" w:fill="D9D9D9" w:themeFill="background1" w:themeFillShade="D9"/>
            <w:vAlign w:val="center"/>
          </w:tcPr>
          <w:p w:rsidR="007C47B9" w:rsidRPr="007C47B9" w:rsidP="007C47B9" w14:paraId="7EEF048F" w14:textId="77777777">
            <w:pPr>
              <w:rPr>
                <w:b/>
                <w:bCs/>
              </w:rPr>
            </w:pPr>
            <w:r w:rsidRPr="002B433B">
              <w:rPr>
                <w:b/>
                <w:bCs/>
              </w:rPr>
              <w:t>Total Million Miles</w:t>
            </w:r>
          </w:p>
        </w:tc>
        <w:tc>
          <w:tcPr>
            <w:tcW w:w="556" w:type="pct"/>
            <w:vMerge w:val="restart"/>
            <w:shd w:val="clear" w:color="auto" w:fill="D9D9D9" w:themeFill="background1" w:themeFillShade="D9"/>
            <w:vAlign w:val="center"/>
          </w:tcPr>
          <w:p w:rsidR="007C47B9" w:rsidRPr="007C47B9" w:rsidP="007C47B9" w14:paraId="328EDDE2" w14:textId="77777777">
            <w:pPr>
              <w:rPr>
                <w:b/>
                <w:bCs/>
              </w:rPr>
            </w:pPr>
            <w:r w:rsidRPr="007C47B9">
              <w:rPr>
                <w:b/>
                <w:bCs/>
              </w:rPr>
              <w:t>Num</w:t>
            </w:r>
            <w:r>
              <w:rPr>
                <w:b/>
                <w:bCs/>
              </w:rPr>
              <w:t>.</w:t>
            </w:r>
            <w:r w:rsidRPr="007C47B9">
              <w:rPr>
                <w:b/>
                <w:bCs/>
              </w:rPr>
              <w:t xml:space="preserve"> of Driver Years</w:t>
            </w:r>
          </w:p>
        </w:tc>
        <w:tc>
          <w:tcPr>
            <w:tcW w:w="3890" w:type="pct"/>
            <w:gridSpan w:val="7"/>
            <w:shd w:val="clear" w:color="auto" w:fill="D9D9D9" w:themeFill="background1" w:themeFillShade="D9"/>
          </w:tcPr>
          <w:p w:rsidR="007C47B9" w:rsidRPr="007C47B9" w:rsidP="002B433B" w14:paraId="2DE3024A" w14:textId="77777777">
            <w:pPr>
              <w:jc w:val="center"/>
              <w:rPr>
                <w:b/>
                <w:bCs/>
              </w:rPr>
            </w:pPr>
            <w:r>
              <w:rPr>
                <w:b/>
                <w:bCs/>
              </w:rPr>
              <w:t>Detectable Relative Rate</w:t>
            </w:r>
          </w:p>
        </w:tc>
      </w:tr>
      <w:tr w14:paraId="1DD1EDC4" w14:textId="77777777" w:rsidTr="00912A59">
        <w:tblPrEx>
          <w:tblW w:w="5000" w:type="pct"/>
          <w:tblLayout w:type="fixed"/>
          <w:tblLook w:val="04A0"/>
        </w:tblPrEx>
        <w:tc>
          <w:tcPr>
            <w:tcW w:w="555" w:type="pct"/>
            <w:vMerge/>
            <w:shd w:val="clear" w:color="auto" w:fill="D9D9D9" w:themeFill="background1" w:themeFillShade="D9"/>
          </w:tcPr>
          <w:p w:rsidR="007C47B9" w:rsidRPr="002B433B" w:rsidP="007339A4" w14:paraId="1E84A921" w14:textId="77777777">
            <w:pPr>
              <w:rPr>
                <w:b/>
                <w:bCs/>
              </w:rPr>
            </w:pPr>
          </w:p>
        </w:tc>
        <w:tc>
          <w:tcPr>
            <w:tcW w:w="556" w:type="pct"/>
            <w:vMerge/>
            <w:shd w:val="clear" w:color="auto" w:fill="D9D9D9" w:themeFill="background1" w:themeFillShade="D9"/>
          </w:tcPr>
          <w:p w:rsidR="007C47B9" w:rsidRPr="002B433B" w:rsidP="007339A4" w14:paraId="62592C08" w14:textId="77777777">
            <w:pPr>
              <w:rPr>
                <w:b/>
                <w:bCs/>
              </w:rPr>
            </w:pPr>
          </w:p>
        </w:tc>
        <w:tc>
          <w:tcPr>
            <w:tcW w:w="556" w:type="pct"/>
            <w:shd w:val="clear" w:color="auto" w:fill="D9D9D9" w:themeFill="background1" w:themeFillShade="D9"/>
          </w:tcPr>
          <w:p w:rsidR="007C47B9" w:rsidP="007339A4" w14:paraId="11FB0EF8" w14:textId="77777777">
            <w:pPr>
              <w:rPr>
                <w:b/>
                <w:bCs/>
              </w:rPr>
            </w:pPr>
            <w:r>
              <w:rPr>
                <w:b/>
                <w:bCs/>
              </w:rPr>
              <w:t>Cum.</w:t>
            </w:r>
          </w:p>
          <w:p w:rsidR="007C47B9" w:rsidRPr="002B433B" w:rsidP="007339A4" w14:paraId="6779EE53" w14:textId="77777777">
            <w:pPr>
              <w:rPr>
                <w:b/>
                <w:bCs/>
              </w:rPr>
            </w:pPr>
            <w:r w:rsidRPr="007C47B9">
              <w:rPr>
                <w:b/>
                <w:bCs/>
              </w:rPr>
              <w:t>D</w:t>
            </w:r>
            <w:r w:rsidRPr="002B433B">
              <w:rPr>
                <w:b/>
                <w:bCs/>
              </w:rPr>
              <w:t xml:space="preserve">riving hours </w:t>
            </w:r>
          </w:p>
        </w:tc>
        <w:tc>
          <w:tcPr>
            <w:tcW w:w="556" w:type="pct"/>
            <w:shd w:val="clear" w:color="auto" w:fill="D9D9D9" w:themeFill="background1" w:themeFillShade="D9"/>
          </w:tcPr>
          <w:p w:rsidR="007C47B9" w:rsidRPr="002B433B" w:rsidP="007339A4" w14:paraId="4BB8C2C3" w14:textId="77777777">
            <w:pPr>
              <w:rPr>
                <w:b/>
                <w:bCs/>
              </w:rPr>
            </w:pPr>
            <w:r>
              <w:rPr>
                <w:b/>
                <w:bCs/>
              </w:rPr>
              <w:t xml:space="preserve">Cum. </w:t>
            </w:r>
            <w:r w:rsidRPr="007C47B9">
              <w:rPr>
                <w:b/>
                <w:bCs/>
              </w:rPr>
              <w:t>H</w:t>
            </w:r>
            <w:r w:rsidRPr="002B433B">
              <w:rPr>
                <w:b/>
                <w:bCs/>
              </w:rPr>
              <w:t>ours in prior 7 days</w:t>
            </w:r>
          </w:p>
        </w:tc>
        <w:tc>
          <w:tcPr>
            <w:tcW w:w="556" w:type="pct"/>
            <w:shd w:val="clear" w:color="auto" w:fill="D9D9D9" w:themeFill="background1" w:themeFillShade="D9"/>
          </w:tcPr>
          <w:p w:rsidR="007C47B9" w:rsidRPr="002B433B" w:rsidP="007339A4" w14:paraId="0A14A02A" w14:textId="77777777">
            <w:pPr>
              <w:rPr>
                <w:b/>
                <w:bCs/>
              </w:rPr>
            </w:pPr>
            <w:r w:rsidRPr="007C47B9">
              <w:rPr>
                <w:b/>
                <w:bCs/>
              </w:rPr>
              <w:t>N</w:t>
            </w:r>
            <w:r w:rsidRPr="002B433B">
              <w:rPr>
                <w:b/>
                <w:bCs/>
              </w:rPr>
              <w:t xml:space="preserve">ights </w:t>
            </w:r>
            <w:r>
              <w:rPr>
                <w:b/>
                <w:bCs/>
              </w:rPr>
              <w:t xml:space="preserve">in </w:t>
            </w:r>
            <w:r w:rsidRPr="002B433B">
              <w:rPr>
                <w:b/>
                <w:bCs/>
              </w:rPr>
              <w:t>restart period</w:t>
            </w:r>
          </w:p>
        </w:tc>
        <w:tc>
          <w:tcPr>
            <w:tcW w:w="556" w:type="pct"/>
            <w:shd w:val="clear" w:color="auto" w:fill="D9D9D9" w:themeFill="background1" w:themeFillShade="D9"/>
          </w:tcPr>
          <w:p w:rsidR="007C47B9" w:rsidRPr="002B433B" w:rsidP="007339A4" w14:paraId="54511F42" w14:textId="77777777">
            <w:pPr>
              <w:rPr>
                <w:b/>
                <w:bCs/>
              </w:rPr>
            </w:pPr>
            <w:r w:rsidRPr="002B433B">
              <w:rPr>
                <w:b/>
                <w:bCs/>
              </w:rPr>
              <w:t>Use of sleeper berth</w:t>
            </w:r>
          </w:p>
        </w:tc>
        <w:tc>
          <w:tcPr>
            <w:tcW w:w="556" w:type="pct"/>
            <w:shd w:val="clear" w:color="auto" w:fill="D9D9D9" w:themeFill="background1" w:themeFillShade="D9"/>
          </w:tcPr>
          <w:p w:rsidR="007C47B9" w:rsidRPr="002B433B" w:rsidP="007339A4" w14:paraId="47290310" w14:textId="77777777">
            <w:pPr>
              <w:rPr>
                <w:b/>
                <w:bCs/>
              </w:rPr>
            </w:pPr>
            <w:r>
              <w:rPr>
                <w:b/>
                <w:bCs/>
              </w:rPr>
              <w:t>H</w:t>
            </w:r>
            <w:r w:rsidRPr="002B433B">
              <w:rPr>
                <w:b/>
                <w:bCs/>
              </w:rPr>
              <w:t xml:space="preserve">ours </w:t>
            </w:r>
            <w:r>
              <w:rPr>
                <w:b/>
                <w:bCs/>
              </w:rPr>
              <w:t>in</w:t>
            </w:r>
            <w:r w:rsidRPr="002B433B">
              <w:rPr>
                <w:b/>
                <w:bCs/>
              </w:rPr>
              <w:t xml:space="preserve"> sleeper berth</w:t>
            </w:r>
          </w:p>
        </w:tc>
        <w:tc>
          <w:tcPr>
            <w:tcW w:w="556" w:type="pct"/>
            <w:shd w:val="clear" w:color="auto" w:fill="D9D9D9" w:themeFill="background1" w:themeFillShade="D9"/>
          </w:tcPr>
          <w:p w:rsidR="007C47B9" w:rsidRPr="002B433B" w:rsidP="007339A4" w14:paraId="0B675FB9" w14:textId="77777777">
            <w:pPr>
              <w:rPr>
                <w:b/>
                <w:bCs/>
              </w:rPr>
            </w:pPr>
            <w:r w:rsidRPr="007C47B9">
              <w:rPr>
                <w:b/>
                <w:bCs/>
              </w:rPr>
              <w:t>Num.</w:t>
            </w:r>
            <w:r w:rsidRPr="002B433B">
              <w:rPr>
                <w:b/>
                <w:bCs/>
              </w:rPr>
              <w:t xml:space="preserve"> of breaks </w:t>
            </w:r>
          </w:p>
        </w:tc>
        <w:tc>
          <w:tcPr>
            <w:tcW w:w="553" w:type="pct"/>
            <w:shd w:val="clear" w:color="auto" w:fill="D9D9D9" w:themeFill="background1" w:themeFillShade="D9"/>
          </w:tcPr>
          <w:p w:rsidR="007C47B9" w:rsidRPr="002B433B" w:rsidP="007339A4" w14:paraId="17CFE6B2" w14:textId="77777777">
            <w:pPr>
              <w:rPr>
                <w:b/>
                <w:bCs/>
              </w:rPr>
            </w:pPr>
            <w:r w:rsidRPr="002B433B">
              <w:rPr>
                <w:b/>
                <w:bCs/>
              </w:rPr>
              <w:t xml:space="preserve">Use of </w:t>
            </w:r>
            <w:r>
              <w:rPr>
                <w:b/>
                <w:bCs/>
              </w:rPr>
              <w:t>P</w:t>
            </w:r>
            <w:r w:rsidR="0081053F">
              <w:rPr>
                <w:b/>
                <w:bCs/>
              </w:rPr>
              <w:t>C</w:t>
            </w:r>
          </w:p>
        </w:tc>
      </w:tr>
      <w:tr w14:paraId="3541069A" w14:textId="77777777" w:rsidTr="002B433B">
        <w:tblPrEx>
          <w:tblW w:w="5000" w:type="pct"/>
          <w:tblLayout w:type="fixed"/>
          <w:tblLook w:val="04A0"/>
        </w:tblPrEx>
        <w:tc>
          <w:tcPr>
            <w:tcW w:w="555" w:type="pct"/>
          </w:tcPr>
          <w:p w:rsidR="007339A4" w:rsidRPr="002B433B" w:rsidP="007339A4" w14:paraId="199B4D66" w14:textId="77777777">
            <w:pPr>
              <w:rPr>
                <w:color w:val="000000" w:themeColor="text1"/>
              </w:rPr>
            </w:pPr>
            <w:r w:rsidRPr="002B433B">
              <w:rPr>
                <w:color w:val="000000" w:themeColor="text1"/>
              </w:rPr>
              <w:t>1</w:t>
            </w:r>
            <w:r w:rsidR="008A7041">
              <w:rPr>
                <w:color w:val="000000" w:themeColor="text1"/>
              </w:rPr>
              <w:t>,</w:t>
            </w:r>
            <w:r w:rsidRPr="002B433B">
              <w:rPr>
                <w:color w:val="000000" w:themeColor="text1"/>
              </w:rPr>
              <w:t>000</w:t>
            </w:r>
          </w:p>
        </w:tc>
        <w:tc>
          <w:tcPr>
            <w:tcW w:w="556" w:type="pct"/>
          </w:tcPr>
          <w:p w:rsidR="007339A4" w:rsidRPr="002B433B" w:rsidP="007339A4" w14:paraId="75F509AF" w14:textId="77777777">
            <w:pPr>
              <w:rPr>
                <w:color w:val="000000" w:themeColor="text1"/>
              </w:rPr>
            </w:pPr>
            <w:r w:rsidRPr="002B433B">
              <w:rPr>
                <w:color w:val="000000" w:themeColor="text1"/>
              </w:rPr>
              <w:t>10,000</w:t>
            </w:r>
          </w:p>
        </w:tc>
        <w:tc>
          <w:tcPr>
            <w:tcW w:w="556" w:type="pct"/>
          </w:tcPr>
          <w:p w:rsidR="007339A4" w:rsidRPr="002B433B" w:rsidP="007339A4" w14:paraId="5481714A" w14:textId="77777777">
            <w:pPr>
              <w:rPr>
                <w:color w:val="000000" w:themeColor="text1"/>
              </w:rPr>
            </w:pPr>
            <w:r w:rsidRPr="002B433B">
              <w:rPr>
                <w:color w:val="000000" w:themeColor="text1"/>
              </w:rPr>
              <w:t>1.95</w:t>
            </w:r>
          </w:p>
        </w:tc>
        <w:tc>
          <w:tcPr>
            <w:tcW w:w="556" w:type="pct"/>
          </w:tcPr>
          <w:p w:rsidR="007339A4" w:rsidRPr="002B433B" w:rsidP="007339A4" w14:paraId="04E40153" w14:textId="77777777">
            <w:pPr>
              <w:rPr>
                <w:color w:val="000000" w:themeColor="text1"/>
              </w:rPr>
            </w:pPr>
            <w:r w:rsidRPr="002B433B">
              <w:rPr>
                <w:color w:val="000000" w:themeColor="text1"/>
              </w:rPr>
              <w:t>1.43</w:t>
            </w:r>
          </w:p>
        </w:tc>
        <w:tc>
          <w:tcPr>
            <w:tcW w:w="556" w:type="pct"/>
          </w:tcPr>
          <w:p w:rsidR="007339A4" w:rsidRPr="002B433B" w:rsidP="007339A4" w14:paraId="3A136DAC" w14:textId="77777777">
            <w:pPr>
              <w:rPr>
                <w:color w:val="000000" w:themeColor="text1"/>
              </w:rPr>
            </w:pPr>
            <w:r w:rsidRPr="002B433B">
              <w:rPr>
                <w:color w:val="000000" w:themeColor="text1"/>
              </w:rPr>
              <w:t>1.39</w:t>
            </w:r>
          </w:p>
        </w:tc>
        <w:tc>
          <w:tcPr>
            <w:tcW w:w="556" w:type="pct"/>
          </w:tcPr>
          <w:p w:rsidR="007339A4" w:rsidRPr="002B433B" w:rsidP="007339A4" w14:paraId="166332E2" w14:textId="77777777">
            <w:pPr>
              <w:rPr>
                <w:color w:val="000000" w:themeColor="text1"/>
              </w:rPr>
            </w:pPr>
            <w:r w:rsidRPr="002B433B">
              <w:rPr>
                <w:color w:val="000000" w:themeColor="text1"/>
              </w:rPr>
              <w:t>1.32</w:t>
            </w:r>
          </w:p>
        </w:tc>
        <w:tc>
          <w:tcPr>
            <w:tcW w:w="556" w:type="pct"/>
          </w:tcPr>
          <w:p w:rsidR="007339A4" w:rsidRPr="002B433B" w:rsidP="007339A4" w14:paraId="76A3C1F1" w14:textId="77777777">
            <w:pPr>
              <w:rPr>
                <w:color w:val="000000" w:themeColor="text1"/>
              </w:rPr>
            </w:pPr>
            <w:r w:rsidRPr="002B433B">
              <w:rPr>
                <w:color w:val="000000" w:themeColor="text1"/>
              </w:rPr>
              <w:t>1.65</w:t>
            </w:r>
          </w:p>
        </w:tc>
        <w:tc>
          <w:tcPr>
            <w:tcW w:w="556" w:type="pct"/>
          </w:tcPr>
          <w:p w:rsidR="007339A4" w:rsidRPr="002B433B" w:rsidP="007339A4" w14:paraId="03544373" w14:textId="77777777">
            <w:pPr>
              <w:rPr>
                <w:color w:val="000000" w:themeColor="text1"/>
              </w:rPr>
            </w:pPr>
            <w:r w:rsidRPr="002B433B">
              <w:rPr>
                <w:color w:val="000000" w:themeColor="text1"/>
              </w:rPr>
              <w:t>1.33</w:t>
            </w:r>
          </w:p>
        </w:tc>
        <w:tc>
          <w:tcPr>
            <w:tcW w:w="553" w:type="pct"/>
          </w:tcPr>
          <w:p w:rsidR="007339A4" w:rsidRPr="002B433B" w:rsidP="007339A4" w14:paraId="52AC40DC" w14:textId="77777777">
            <w:pPr>
              <w:rPr>
                <w:color w:val="000000" w:themeColor="text1"/>
              </w:rPr>
            </w:pPr>
            <w:r w:rsidRPr="002B433B">
              <w:rPr>
                <w:color w:val="000000" w:themeColor="text1"/>
              </w:rPr>
              <w:t>1.59</w:t>
            </w:r>
          </w:p>
        </w:tc>
      </w:tr>
      <w:tr w14:paraId="18AB14DB" w14:textId="77777777" w:rsidTr="002B433B">
        <w:tblPrEx>
          <w:tblW w:w="5000" w:type="pct"/>
          <w:tblLayout w:type="fixed"/>
          <w:tblLook w:val="04A0"/>
        </w:tblPrEx>
        <w:tc>
          <w:tcPr>
            <w:tcW w:w="555" w:type="pct"/>
          </w:tcPr>
          <w:p w:rsidR="007339A4" w:rsidRPr="002B433B" w:rsidP="007339A4" w14:paraId="1AA701C9" w14:textId="77777777">
            <w:pPr>
              <w:rPr>
                <w:color w:val="000000" w:themeColor="text1"/>
              </w:rPr>
            </w:pPr>
            <w:r w:rsidRPr="002B433B">
              <w:rPr>
                <w:color w:val="000000" w:themeColor="text1"/>
              </w:rPr>
              <w:t>1</w:t>
            </w:r>
            <w:r w:rsidR="008A7041">
              <w:rPr>
                <w:color w:val="000000" w:themeColor="text1"/>
              </w:rPr>
              <w:t>,</w:t>
            </w:r>
            <w:r w:rsidRPr="002B433B">
              <w:rPr>
                <w:color w:val="000000" w:themeColor="text1"/>
              </w:rPr>
              <w:t>500</w:t>
            </w:r>
          </w:p>
        </w:tc>
        <w:tc>
          <w:tcPr>
            <w:tcW w:w="556" w:type="pct"/>
          </w:tcPr>
          <w:p w:rsidR="007339A4" w:rsidRPr="002B433B" w:rsidP="007339A4" w14:paraId="13FC4C92" w14:textId="77777777">
            <w:pPr>
              <w:rPr>
                <w:color w:val="000000" w:themeColor="text1"/>
              </w:rPr>
            </w:pPr>
            <w:r w:rsidRPr="002B433B">
              <w:rPr>
                <w:color w:val="000000" w:themeColor="text1"/>
              </w:rPr>
              <w:t>15,000</w:t>
            </w:r>
          </w:p>
        </w:tc>
        <w:tc>
          <w:tcPr>
            <w:tcW w:w="556" w:type="pct"/>
          </w:tcPr>
          <w:p w:rsidR="007339A4" w:rsidRPr="002B433B" w:rsidP="007339A4" w14:paraId="51123AA1" w14:textId="77777777">
            <w:pPr>
              <w:rPr>
                <w:color w:val="000000" w:themeColor="text1"/>
              </w:rPr>
            </w:pPr>
            <w:r w:rsidRPr="002B433B">
              <w:rPr>
                <w:color w:val="000000" w:themeColor="text1"/>
              </w:rPr>
              <w:t>1.76</w:t>
            </w:r>
          </w:p>
        </w:tc>
        <w:tc>
          <w:tcPr>
            <w:tcW w:w="556" w:type="pct"/>
          </w:tcPr>
          <w:p w:rsidR="007339A4" w:rsidRPr="002B433B" w:rsidP="007339A4" w14:paraId="4360182B" w14:textId="77777777">
            <w:pPr>
              <w:rPr>
                <w:color w:val="000000" w:themeColor="text1"/>
              </w:rPr>
            </w:pPr>
            <w:r w:rsidRPr="002B433B">
              <w:rPr>
                <w:color w:val="000000" w:themeColor="text1"/>
              </w:rPr>
              <w:t>1.35</w:t>
            </w:r>
          </w:p>
        </w:tc>
        <w:tc>
          <w:tcPr>
            <w:tcW w:w="556" w:type="pct"/>
          </w:tcPr>
          <w:p w:rsidR="007339A4" w:rsidRPr="002B433B" w:rsidP="007339A4" w14:paraId="588BEFC1" w14:textId="77777777">
            <w:pPr>
              <w:rPr>
                <w:color w:val="000000" w:themeColor="text1"/>
              </w:rPr>
            </w:pPr>
            <w:r w:rsidRPr="002B433B">
              <w:rPr>
                <w:color w:val="000000" w:themeColor="text1"/>
              </w:rPr>
              <w:t>1.32</w:t>
            </w:r>
          </w:p>
        </w:tc>
        <w:tc>
          <w:tcPr>
            <w:tcW w:w="556" w:type="pct"/>
          </w:tcPr>
          <w:p w:rsidR="007339A4" w:rsidRPr="002B433B" w:rsidP="007339A4" w14:paraId="0B79998E" w14:textId="77777777">
            <w:pPr>
              <w:rPr>
                <w:color w:val="000000" w:themeColor="text1"/>
              </w:rPr>
            </w:pPr>
            <w:r w:rsidRPr="002B433B">
              <w:rPr>
                <w:color w:val="000000" w:themeColor="text1"/>
              </w:rPr>
              <w:t>1.26</w:t>
            </w:r>
          </w:p>
        </w:tc>
        <w:tc>
          <w:tcPr>
            <w:tcW w:w="556" w:type="pct"/>
          </w:tcPr>
          <w:p w:rsidR="007339A4" w:rsidRPr="002B433B" w:rsidP="007339A4" w14:paraId="53049947" w14:textId="77777777">
            <w:pPr>
              <w:rPr>
                <w:color w:val="000000" w:themeColor="text1"/>
              </w:rPr>
            </w:pPr>
            <w:r w:rsidRPr="002B433B">
              <w:rPr>
                <w:color w:val="000000" w:themeColor="text1"/>
              </w:rPr>
              <w:t>1.52</w:t>
            </w:r>
          </w:p>
        </w:tc>
        <w:tc>
          <w:tcPr>
            <w:tcW w:w="556" w:type="pct"/>
          </w:tcPr>
          <w:p w:rsidR="007339A4" w:rsidRPr="002B433B" w:rsidP="007339A4" w14:paraId="72791793" w14:textId="77777777">
            <w:pPr>
              <w:rPr>
                <w:color w:val="000000" w:themeColor="text1"/>
              </w:rPr>
            </w:pPr>
            <w:r w:rsidRPr="002B433B">
              <w:rPr>
                <w:color w:val="000000" w:themeColor="text1"/>
              </w:rPr>
              <w:t>1.27</w:t>
            </w:r>
          </w:p>
        </w:tc>
        <w:tc>
          <w:tcPr>
            <w:tcW w:w="553" w:type="pct"/>
          </w:tcPr>
          <w:p w:rsidR="007339A4" w:rsidRPr="002B433B" w:rsidP="007339A4" w14:paraId="2A8A59FD" w14:textId="77777777">
            <w:pPr>
              <w:rPr>
                <w:color w:val="000000" w:themeColor="text1"/>
              </w:rPr>
            </w:pPr>
            <w:r w:rsidRPr="002B433B">
              <w:rPr>
                <w:color w:val="000000" w:themeColor="text1"/>
              </w:rPr>
              <w:t>1.48</w:t>
            </w:r>
          </w:p>
        </w:tc>
      </w:tr>
      <w:tr w14:paraId="1836B415" w14:textId="77777777" w:rsidTr="002B433B">
        <w:tblPrEx>
          <w:tblW w:w="5000" w:type="pct"/>
          <w:tblLayout w:type="fixed"/>
          <w:tblLook w:val="04A0"/>
        </w:tblPrEx>
        <w:tc>
          <w:tcPr>
            <w:tcW w:w="555" w:type="pct"/>
          </w:tcPr>
          <w:p w:rsidR="007339A4" w:rsidRPr="002B433B" w:rsidP="007339A4" w14:paraId="764BD625" w14:textId="77777777">
            <w:pPr>
              <w:rPr>
                <w:color w:val="000000" w:themeColor="text1"/>
              </w:rPr>
            </w:pPr>
            <w:r w:rsidRPr="002B433B">
              <w:rPr>
                <w:color w:val="000000" w:themeColor="text1"/>
              </w:rPr>
              <w:t>2</w:t>
            </w:r>
            <w:r w:rsidR="008A7041">
              <w:rPr>
                <w:color w:val="000000" w:themeColor="text1"/>
              </w:rPr>
              <w:t>,</w:t>
            </w:r>
            <w:r w:rsidRPr="002B433B">
              <w:rPr>
                <w:color w:val="000000" w:themeColor="text1"/>
              </w:rPr>
              <w:t>000</w:t>
            </w:r>
          </w:p>
        </w:tc>
        <w:tc>
          <w:tcPr>
            <w:tcW w:w="556" w:type="pct"/>
          </w:tcPr>
          <w:p w:rsidR="007339A4" w:rsidRPr="002B433B" w:rsidP="007339A4" w14:paraId="5663394F" w14:textId="77777777">
            <w:pPr>
              <w:rPr>
                <w:color w:val="000000" w:themeColor="text1"/>
              </w:rPr>
            </w:pPr>
            <w:r w:rsidRPr="002B433B">
              <w:rPr>
                <w:color w:val="000000" w:themeColor="text1"/>
              </w:rPr>
              <w:t>20,000</w:t>
            </w:r>
          </w:p>
        </w:tc>
        <w:tc>
          <w:tcPr>
            <w:tcW w:w="556" w:type="pct"/>
          </w:tcPr>
          <w:p w:rsidR="007339A4" w:rsidRPr="002B433B" w:rsidP="007339A4" w14:paraId="379A6CE2" w14:textId="77777777">
            <w:pPr>
              <w:rPr>
                <w:color w:val="000000" w:themeColor="text1"/>
              </w:rPr>
            </w:pPr>
            <w:r w:rsidRPr="002B433B">
              <w:rPr>
                <w:color w:val="000000" w:themeColor="text1"/>
              </w:rPr>
              <w:t>1.65</w:t>
            </w:r>
          </w:p>
        </w:tc>
        <w:tc>
          <w:tcPr>
            <w:tcW w:w="556" w:type="pct"/>
          </w:tcPr>
          <w:p w:rsidR="007339A4" w:rsidRPr="002B433B" w:rsidP="007339A4" w14:paraId="3A4FE422" w14:textId="77777777">
            <w:pPr>
              <w:rPr>
                <w:color w:val="000000" w:themeColor="text1"/>
              </w:rPr>
            </w:pPr>
            <w:r w:rsidRPr="002B433B">
              <w:rPr>
                <w:color w:val="000000" w:themeColor="text1"/>
              </w:rPr>
              <w:t>1.30</w:t>
            </w:r>
          </w:p>
        </w:tc>
        <w:tc>
          <w:tcPr>
            <w:tcW w:w="556" w:type="pct"/>
          </w:tcPr>
          <w:p w:rsidR="007339A4" w:rsidRPr="002B433B" w:rsidP="007339A4" w14:paraId="25EFB183" w14:textId="77777777">
            <w:pPr>
              <w:rPr>
                <w:color w:val="000000" w:themeColor="text1"/>
              </w:rPr>
            </w:pPr>
            <w:r w:rsidRPr="002B433B">
              <w:rPr>
                <w:color w:val="000000" w:themeColor="text1"/>
              </w:rPr>
              <w:t>1.27</w:t>
            </w:r>
          </w:p>
        </w:tc>
        <w:tc>
          <w:tcPr>
            <w:tcW w:w="556" w:type="pct"/>
          </w:tcPr>
          <w:p w:rsidR="007339A4" w:rsidRPr="002B433B" w:rsidP="007339A4" w14:paraId="7779BB2A" w14:textId="77777777">
            <w:pPr>
              <w:rPr>
                <w:color w:val="000000" w:themeColor="text1"/>
              </w:rPr>
            </w:pPr>
            <w:r w:rsidRPr="002B433B">
              <w:rPr>
                <w:color w:val="000000" w:themeColor="text1"/>
              </w:rPr>
              <w:t>1.23</w:t>
            </w:r>
          </w:p>
        </w:tc>
        <w:tc>
          <w:tcPr>
            <w:tcW w:w="556" w:type="pct"/>
          </w:tcPr>
          <w:p w:rsidR="007339A4" w:rsidRPr="002B433B" w:rsidP="007339A4" w14:paraId="140E2C87" w14:textId="77777777">
            <w:pPr>
              <w:rPr>
                <w:color w:val="000000" w:themeColor="text1"/>
              </w:rPr>
            </w:pPr>
            <w:r w:rsidRPr="002B433B">
              <w:rPr>
                <w:color w:val="000000" w:themeColor="text1"/>
              </w:rPr>
              <w:t>1.44</w:t>
            </w:r>
          </w:p>
        </w:tc>
        <w:tc>
          <w:tcPr>
            <w:tcW w:w="556" w:type="pct"/>
          </w:tcPr>
          <w:p w:rsidR="007339A4" w:rsidRPr="002B433B" w:rsidP="007339A4" w14:paraId="7ECEEAAA" w14:textId="77777777">
            <w:pPr>
              <w:rPr>
                <w:color w:val="000000" w:themeColor="text1"/>
              </w:rPr>
            </w:pPr>
            <w:r w:rsidRPr="002B433B">
              <w:rPr>
                <w:color w:val="000000" w:themeColor="text1"/>
              </w:rPr>
              <w:t>1.23</w:t>
            </w:r>
          </w:p>
        </w:tc>
        <w:tc>
          <w:tcPr>
            <w:tcW w:w="553" w:type="pct"/>
          </w:tcPr>
          <w:p w:rsidR="007339A4" w:rsidRPr="002B433B" w:rsidP="007339A4" w14:paraId="630D81BA" w14:textId="77777777">
            <w:pPr>
              <w:rPr>
                <w:color w:val="000000" w:themeColor="text1"/>
              </w:rPr>
            </w:pPr>
            <w:r w:rsidRPr="002B433B">
              <w:rPr>
                <w:color w:val="000000" w:themeColor="text1"/>
              </w:rPr>
              <w:t>1.41</w:t>
            </w:r>
          </w:p>
        </w:tc>
      </w:tr>
      <w:tr w14:paraId="6B996F9C" w14:textId="77777777" w:rsidTr="002B433B">
        <w:tblPrEx>
          <w:tblW w:w="5000" w:type="pct"/>
          <w:tblLayout w:type="fixed"/>
          <w:tblLook w:val="04A0"/>
        </w:tblPrEx>
        <w:tc>
          <w:tcPr>
            <w:tcW w:w="555" w:type="pct"/>
          </w:tcPr>
          <w:p w:rsidR="007339A4" w:rsidRPr="002B433B" w:rsidP="007339A4" w14:paraId="05A7589B" w14:textId="77777777">
            <w:pPr>
              <w:rPr>
                <w:color w:val="000000" w:themeColor="text1"/>
              </w:rPr>
            </w:pPr>
            <w:r w:rsidRPr="002B433B">
              <w:rPr>
                <w:color w:val="000000" w:themeColor="text1"/>
              </w:rPr>
              <w:t>2</w:t>
            </w:r>
            <w:r w:rsidR="008A7041">
              <w:rPr>
                <w:color w:val="000000" w:themeColor="text1"/>
              </w:rPr>
              <w:t>,</w:t>
            </w:r>
            <w:r w:rsidRPr="002B433B">
              <w:rPr>
                <w:color w:val="000000" w:themeColor="text1"/>
              </w:rPr>
              <w:t>500</w:t>
            </w:r>
          </w:p>
        </w:tc>
        <w:tc>
          <w:tcPr>
            <w:tcW w:w="556" w:type="pct"/>
          </w:tcPr>
          <w:p w:rsidR="007339A4" w:rsidRPr="002B433B" w:rsidP="007339A4" w14:paraId="7FFEF704" w14:textId="77777777">
            <w:pPr>
              <w:rPr>
                <w:color w:val="000000" w:themeColor="text1"/>
              </w:rPr>
            </w:pPr>
            <w:r w:rsidRPr="002B433B">
              <w:rPr>
                <w:color w:val="000000" w:themeColor="text1"/>
              </w:rPr>
              <w:t>25,000</w:t>
            </w:r>
          </w:p>
        </w:tc>
        <w:tc>
          <w:tcPr>
            <w:tcW w:w="556" w:type="pct"/>
          </w:tcPr>
          <w:p w:rsidR="007339A4" w:rsidRPr="002B433B" w:rsidP="007339A4" w14:paraId="735743F2" w14:textId="77777777">
            <w:pPr>
              <w:rPr>
                <w:color w:val="000000" w:themeColor="text1"/>
              </w:rPr>
            </w:pPr>
            <w:r w:rsidRPr="002B433B">
              <w:rPr>
                <w:color w:val="000000" w:themeColor="text1"/>
              </w:rPr>
              <w:t>1.58</w:t>
            </w:r>
          </w:p>
        </w:tc>
        <w:tc>
          <w:tcPr>
            <w:tcW w:w="556" w:type="pct"/>
          </w:tcPr>
          <w:p w:rsidR="007339A4" w:rsidRPr="002B433B" w:rsidP="007339A4" w14:paraId="75D67F8A" w14:textId="77777777">
            <w:pPr>
              <w:rPr>
                <w:color w:val="000000" w:themeColor="text1"/>
              </w:rPr>
            </w:pPr>
            <w:r w:rsidRPr="002B433B">
              <w:rPr>
                <w:color w:val="000000" w:themeColor="text1"/>
              </w:rPr>
              <w:t>1.27</w:t>
            </w:r>
          </w:p>
        </w:tc>
        <w:tc>
          <w:tcPr>
            <w:tcW w:w="556" w:type="pct"/>
          </w:tcPr>
          <w:p w:rsidR="007339A4" w:rsidRPr="002B433B" w:rsidP="007339A4" w14:paraId="40E7CF3D" w14:textId="77777777">
            <w:pPr>
              <w:rPr>
                <w:color w:val="000000" w:themeColor="text1"/>
              </w:rPr>
            </w:pPr>
            <w:r w:rsidRPr="002B433B">
              <w:rPr>
                <w:color w:val="000000" w:themeColor="text1"/>
              </w:rPr>
              <w:t>1.24</w:t>
            </w:r>
          </w:p>
        </w:tc>
        <w:tc>
          <w:tcPr>
            <w:tcW w:w="556" w:type="pct"/>
          </w:tcPr>
          <w:p w:rsidR="007339A4" w:rsidRPr="002B433B" w:rsidP="007339A4" w14:paraId="1806259D" w14:textId="77777777">
            <w:pPr>
              <w:rPr>
                <w:color w:val="000000" w:themeColor="text1"/>
              </w:rPr>
            </w:pPr>
            <w:r w:rsidRPr="002B433B">
              <w:rPr>
                <w:color w:val="000000" w:themeColor="text1"/>
              </w:rPr>
              <w:t>1.20</w:t>
            </w:r>
          </w:p>
        </w:tc>
        <w:tc>
          <w:tcPr>
            <w:tcW w:w="556" w:type="pct"/>
          </w:tcPr>
          <w:p w:rsidR="007339A4" w:rsidRPr="002B433B" w:rsidP="007339A4" w14:paraId="3EDDB254" w14:textId="77777777">
            <w:pPr>
              <w:rPr>
                <w:color w:val="000000" w:themeColor="text1"/>
              </w:rPr>
            </w:pPr>
            <w:r w:rsidRPr="002B433B">
              <w:rPr>
                <w:color w:val="000000" w:themeColor="text1"/>
              </w:rPr>
              <w:t>1.39</w:t>
            </w:r>
          </w:p>
        </w:tc>
        <w:tc>
          <w:tcPr>
            <w:tcW w:w="556" w:type="pct"/>
          </w:tcPr>
          <w:p w:rsidR="007339A4" w:rsidRPr="002B433B" w:rsidP="007339A4" w14:paraId="5A0F267E" w14:textId="77777777">
            <w:pPr>
              <w:rPr>
                <w:color w:val="000000" w:themeColor="text1"/>
              </w:rPr>
            </w:pPr>
            <w:r w:rsidRPr="002B433B">
              <w:rPr>
                <w:color w:val="000000" w:themeColor="text1"/>
              </w:rPr>
              <w:t>1.20</w:t>
            </w:r>
          </w:p>
        </w:tc>
        <w:tc>
          <w:tcPr>
            <w:tcW w:w="553" w:type="pct"/>
          </w:tcPr>
          <w:p w:rsidR="007339A4" w:rsidRPr="002B433B" w:rsidP="007339A4" w14:paraId="124491C8" w14:textId="77777777">
            <w:pPr>
              <w:rPr>
                <w:color w:val="000000" w:themeColor="text1"/>
              </w:rPr>
            </w:pPr>
            <w:r w:rsidRPr="002B433B">
              <w:rPr>
                <w:color w:val="000000" w:themeColor="text1"/>
              </w:rPr>
              <w:t>1.37</w:t>
            </w:r>
          </w:p>
        </w:tc>
      </w:tr>
      <w:tr w14:paraId="2F5EA64D" w14:textId="77777777" w:rsidTr="002B433B">
        <w:tblPrEx>
          <w:tblW w:w="5000" w:type="pct"/>
          <w:tblLayout w:type="fixed"/>
          <w:tblLook w:val="04A0"/>
        </w:tblPrEx>
        <w:tc>
          <w:tcPr>
            <w:tcW w:w="555" w:type="pct"/>
          </w:tcPr>
          <w:p w:rsidR="007339A4" w:rsidRPr="002B433B" w:rsidP="007339A4" w14:paraId="785B9839" w14:textId="77777777">
            <w:pPr>
              <w:rPr>
                <w:color w:val="000000" w:themeColor="text1"/>
              </w:rPr>
            </w:pPr>
            <w:r w:rsidRPr="002B433B">
              <w:rPr>
                <w:color w:val="000000" w:themeColor="text1"/>
              </w:rPr>
              <w:t>3</w:t>
            </w:r>
            <w:r w:rsidR="008A7041">
              <w:rPr>
                <w:color w:val="000000" w:themeColor="text1"/>
              </w:rPr>
              <w:t>,</w:t>
            </w:r>
            <w:r w:rsidRPr="002B433B">
              <w:rPr>
                <w:color w:val="000000" w:themeColor="text1"/>
              </w:rPr>
              <w:t>000</w:t>
            </w:r>
          </w:p>
        </w:tc>
        <w:tc>
          <w:tcPr>
            <w:tcW w:w="556" w:type="pct"/>
          </w:tcPr>
          <w:p w:rsidR="007339A4" w:rsidRPr="002B433B" w:rsidP="007339A4" w14:paraId="6CEBB9EA" w14:textId="77777777">
            <w:pPr>
              <w:rPr>
                <w:color w:val="000000" w:themeColor="text1"/>
              </w:rPr>
            </w:pPr>
            <w:r w:rsidRPr="002B433B">
              <w:rPr>
                <w:color w:val="000000" w:themeColor="text1"/>
              </w:rPr>
              <w:t>30,000</w:t>
            </w:r>
          </w:p>
        </w:tc>
        <w:tc>
          <w:tcPr>
            <w:tcW w:w="556" w:type="pct"/>
          </w:tcPr>
          <w:p w:rsidR="007339A4" w:rsidRPr="002B433B" w:rsidP="007339A4" w14:paraId="2A4845E9" w14:textId="77777777">
            <w:pPr>
              <w:rPr>
                <w:color w:val="000000" w:themeColor="text1"/>
              </w:rPr>
            </w:pPr>
            <w:r w:rsidRPr="002B433B">
              <w:rPr>
                <w:color w:val="000000" w:themeColor="text1"/>
              </w:rPr>
              <w:t>1.53</w:t>
            </w:r>
          </w:p>
        </w:tc>
        <w:tc>
          <w:tcPr>
            <w:tcW w:w="556" w:type="pct"/>
          </w:tcPr>
          <w:p w:rsidR="007339A4" w:rsidRPr="002B433B" w:rsidP="007339A4" w14:paraId="31AED7E2" w14:textId="77777777">
            <w:pPr>
              <w:rPr>
                <w:color w:val="000000" w:themeColor="text1"/>
              </w:rPr>
            </w:pPr>
            <w:r w:rsidRPr="002B433B">
              <w:rPr>
                <w:color w:val="000000" w:themeColor="text1"/>
              </w:rPr>
              <w:t>1.24</w:t>
            </w:r>
          </w:p>
        </w:tc>
        <w:tc>
          <w:tcPr>
            <w:tcW w:w="556" w:type="pct"/>
          </w:tcPr>
          <w:p w:rsidR="007339A4" w:rsidRPr="002B433B" w:rsidP="007339A4" w14:paraId="1B9CC395" w14:textId="77777777">
            <w:pPr>
              <w:rPr>
                <w:color w:val="000000" w:themeColor="text1"/>
              </w:rPr>
            </w:pPr>
            <w:r w:rsidRPr="002B433B">
              <w:rPr>
                <w:color w:val="000000" w:themeColor="text1"/>
              </w:rPr>
              <w:t>1.22</w:t>
            </w:r>
          </w:p>
        </w:tc>
        <w:tc>
          <w:tcPr>
            <w:tcW w:w="556" w:type="pct"/>
          </w:tcPr>
          <w:p w:rsidR="007339A4" w:rsidRPr="002B433B" w:rsidP="007339A4" w14:paraId="6807F3BB" w14:textId="77777777">
            <w:pPr>
              <w:rPr>
                <w:color w:val="000000" w:themeColor="text1"/>
              </w:rPr>
            </w:pPr>
            <w:r w:rsidRPr="002B433B">
              <w:rPr>
                <w:color w:val="000000" w:themeColor="text1"/>
              </w:rPr>
              <w:t>1.18</w:t>
            </w:r>
          </w:p>
        </w:tc>
        <w:tc>
          <w:tcPr>
            <w:tcW w:w="556" w:type="pct"/>
          </w:tcPr>
          <w:p w:rsidR="007339A4" w:rsidRPr="002B433B" w:rsidP="007339A4" w14:paraId="141E4D83" w14:textId="77777777">
            <w:pPr>
              <w:rPr>
                <w:color w:val="000000" w:themeColor="text1"/>
              </w:rPr>
            </w:pPr>
            <w:r w:rsidRPr="002B433B">
              <w:rPr>
                <w:color w:val="000000" w:themeColor="text1"/>
              </w:rPr>
              <w:t>1.35</w:t>
            </w:r>
          </w:p>
        </w:tc>
        <w:tc>
          <w:tcPr>
            <w:tcW w:w="556" w:type="pct"/>
          </w:tcPr>
          <w:p w:rsidR="007339A4" w:rsidRPr="002B433B" w:rsidP="007339A4" w14:paraId="699068BD" w14:textId="77777777">
            <w:pPr>
              <w:rPr>
                <w:color w:val="000000" w:themeColor="text1"/>
              </w:rPr>
            </w:pPr>
            <w:r w:rsidRPr="002B433B">
              <w:rPr>
                <w:color w:val="000000" w:themeColor="text1"/>
              </w:rPr>
              <w:t>1.19</w:t>
            </w:r>
          </w:p>
        </w:tc>
        <w:tc>
          <w:tcPr>
            <w:tcW w:w="553" w:type="pct"/>
          </w:tcPr>
          <w:p w:rsidR="007339A4" w:rsidRPr="002B433B" w:rsidP="007339A4" w14:paraId="640F05CE" w14:textId="77777777">
            <w:pPr>
              <w:rPr>
                <w:color w:val="000000" w:themeColor="text1"/>
              </w:rPr>
            </w:pPr>
            <w:r w:rsidRPr="002B433B">
              <w:rPr>
                <w:color w:val="000000" w:themeColor="text1"/>
              </w:rPr>
              <w:t>1.34</w:t>
            </w:r>
          </w:p>
        </w:tc>
      </w:tr>
      <w:tr w14:paraId="72DDD90E" w14:textId="77777777" w:rsidTr="002B433B">
        <w:tblPrEx>
          <w:tblW w:w="5000" w:type="pct"/>
          <w:tblLayout w:type="fixed"/>
          <w:tblLook w:val="04A0"/>
        </w:tblPrEx>
        <w:tc>
          <w:tcPr>
            <w:tcW w:w="555" w:type="pct"/>
          </w:tcPr>
          <w:p w:rsidR="007339A4" w:rsidRPr="002B433B" w:rsidP="007339A4" w14:paraId="5D1E921E" w14:textId="77777777">
            <w:pPr>
              <w:rPr>
                <w:color w:val="000000" w:themeColor="text1"/>
              </w:rPr>
            </w:pPr>
            <w:r w:rsidRPr="002B433B">
              <w:rPr>
                <w:color w:val="000000" w:themeColor="text1"/>
              </w:rPr>
              <w:t>3</w:t>
            </w:r>
            <w:r w:rsidR="008A7041">
              <w:rPr>
                <w:color w:val="000000" w:themeColor="text1"/>
              </w:rPr>
              <w:t>,</w:t>
            </w:r>
            <w:r w:rsidRPr="002B433B">
              <w:rPr>
                <w:color w:val="000000" w:themeColor="text1"/>
              </w:rPr>
              <w:t>500</w:t>
            </w:r>
          </w:p>
        </w:tc>
        <w:tc>
          <w:tcPr>
            <w:tcW w:w="556" w:type="pct"/>
          </w:tcPr>
          <w:p w:rsidR="007339A4" w:rsidRPr="002B433B" w:rsidP="007339A4" w14:paraId="78D860F0" w14:textId="77777777">
            <w:pPr>
              <w:rPr>
                <w:color w:val="000000" w:themeColor="text1"/>
              </w:rPr>
            </w:pPr>
            <w:r w:rsidRPr="002B433B">
              <w:rPr>
                <w:color w:val="000000" w:themeColor="text1"/>
              </w:rPr>
              <w:t>35,000</w:t>
            </w:r>
          </w:p>
        </w:tc>
        <w:tc>
          <w:tcPr>
            <w:tcW w:w="556" w:type="pct"/>
          </w:tcPr>
          <w:p w:rsidR="007339A4" w:rsidRPr="002B433B" w:rsidP="007339A4" w14:paraId="200BC170" w14:textId="77777777">
            <w:pPr>
              <w:rPr>
                <w:color w:val="000000" w:themeColor="text1"/>
              </w:rPr>
            </w:pPr>
            <w:r w:rsidRPr="002B433B">
              <w:rPr>
                <w:color w:val="000000" w:themeColor="text1"/>
              </w:rPr>
              <w:t>1.49</w:t>
            </w:r>
          </w:p>
        </w:tc>
        <w:tc>
          <w:tcPr>
            <w:tcW w:w="556" w:type="pct"/>
          </w:tcPr>
          <w:p w:rsidR="007339A4" w:rsidRPr="002B433B" w:rsidP="007339A4" w14:paraId="7E08AF0A" w14:textId="77777777">
            <w:pPr>
              <w:rPr>
                <w:color w:val="000000" w:themeColor="text1"/>
              </w:rPr>
            </w:pPr>
            <w:r w:rsidRPr="002B433B">
              <w:rPr>
                <w:color w:val="000000" w:themeColor="text1"/>
              </w:rPr>
              <w:t>1.23</w:t>
            </w:r>
          </w:p>
        </w:tc>
        <w:tc>
          <w:tcPr>
            <w:tcW w:w="556" w:type="pct"/>
          </w:tcPr>
          <w:p w:rsidR="007339A4" w:rsidRPr="002B433B" w:rsidP="007339A4" w14:paraId="2E300C2B" w14:textId="77777777">
            <w:pPr>
              <w:rPr>
                <w:color w:val="000000" w:themeColor="text1"/>
              </w:rPr>
            </w:pPr>
            <w:r w:rsidRPr="002B433B">
              <w:rPr>
                <w:color w:val="000000" w:themeColor="text1"/>
              </w:rPr>
              <w:t>1.21</w:t>
            </w:r>
          </w:p>
        </w:tc>
        <w:tc>
          <w:tcPr>
            <w:tcW w:w="556" w:type="pct"/>
          </w:tcPr>
          <w:p w:rsidR="007339A4" w:rsidRPr="002B433B" w:rsidP="007339A4" w14:paraId="044F9914" w14:textId="77777777">
            <w:pPr>
              <w:rPr>
                <w:color w:val="000000" w:themeColor="text1"/>
              </w:rPr>
            </w:pPr>
            <w:r w:rsidRPr="002B433B">
              <w:rPr>
                <w:color w:val="000000" w:themeColor="text1"/>
              </w:rPr>
              <w:t>1.17</w:t>
            </w:r>
          </w:p>
        </w:tc>
        <w:tc>
          <w:tcPr>
            <w:tcW w:w="556" w:type="pct"/>
          </w:tcPr>
          <w:p w:rsidR="007339A4" w:rsidRPr="002B433B" w:rsidP="007339A4" w14:paraId="7CB0445E" w14:textId="77777777">
            <w:pPr>
              <w:rPr>
                <w:color w:val="000000" w:themeColor="text1"/>
              </w:rPr>
            </w:pPr>
            <w:r w:rsidRPr="002B433B">
              <w:rPr>
                <w:color w:val="000000" w:themeColor="text1"/>
              </w:rPr>
              <w:t>1.32</w:t>
            </w:r>
          </w:p>
        </w:tc>
        <w:tc>
          <w:tcPr>
            <w:tcW w:w="556" w:type="pct"/>
          </w:tcPr>
          <w:p w:rsidR="007339A4" w:rsidRPr="002B433B" w:rsidP="007339A4" w14:paraId="113BBB85" w14:textId="77777777">
            <w:pPr>
              <w:rPr>
                <w:color w:val="000000" w:themeColor="text1"/>
              </w:rPr>
            </w:pPr>
            <w:r w:rsidRPr="002B433B">
              <w:rPr>
                <w:color w:val="000000" w:themeColor="text1"/>
              </w:rPr>
              <w:t>1.17</w:t>
            </w:r>
          </w:p>
        </w:tc>
        <w:tc>
          <w:tcPr>
            <w:tcW w:w="553" w:type="pct"/>
          </w:tcPr>
          <w:p w:rsidR="007339A4" w:rsidRPr="002B433B" w:rsidP="007339A4" w14:paraId="3B958A0D" w14:textId="77777777">
            <w:pPr>
              <w:rPr>
                <w:color w:val="000000" w:themeColor="text1"/>
              </w:rPr>
            </w:pPr>
            <w:r w:rsidRPr="002B433B">
              <w:rPr>
                <w:color w:val="000000" w:themeColor="text1"/>
              </w:rPr>
              <w:t>1.31</w:t>
            </w:r>
          </w:p>
        </w:tc>
      </w:tr>
      <w:tr w14:paraId="3AF5C4DE" w14:textId="77777777" w:rsidTr="002B433B">
        <w:tblPrEx>
          <w:tblW w:w="5000" w:type="pct"/>
          <w:tblLayout w:type="fixed"/>
          <w:tblLook w:val="04A0"/>
        </w:tblPrEx>
        <w:tc>
          <w:tcPr>
            <w:tcW w:w="555" w:type="pct"/>
          </w:tcPr>
          <w:p w:rsidR="007339A4" w:rsidRPr="002B433B" w:rsidP="007339A4" w14:paraId="43DCE11A" w14:textId="77777777">
            <w:pPr>
              <w:rPr>
                <w:color w:val="000000" w:themeColor="text1"/>
              </w:rPr>
            </w:pPr>
            <w:r w:rsidRPr="002B433B">
              <w:rPr>
                <w:color w:val="000000" w:themeColor="text1"/>
              </w:rPr>
              <w:t>4</w:t>
            </w:r>
            <w:r w:rsidR="008A7041">
              <w:rPr>
                <w:color w:val="000000" w:themeColor="text1"/>
              </w:rPr>
              <w:t>,</w:t>
            </w:r>
            <w:r w:rsidRPr="002B433B">
              <w:rPr>
                <w:color w:val="000000" w:themeColor="text1"/>
              </w:rPr>
              <w:t>000</w:t>
            </w:r>
          </w:p>
        </w:tc>
        <w:tc>
          <w:tcPr>
            <w:tcW w:w="556" w:type="pct"/>
          </w:tcPr>
          <w:p w:rsidR="007339A4" w:rsidRPr="002B433B" w:rsidP="007339A4" w14:paraId="0BB47565" w14:textId="77777777">
            <w:pPr>
              <w:rPr>
                <w:color w:val="000000" w:themeColor="text1"/>
              </w:rPr>
            </w:pPr>
            <w:r w:rsidRPr="002B433B">
              <w:rPr>
                <w:color w:val="000000" w:themeColor="text1"/>
              </w:rPr>
              <w:t>40,000</w:t>
            </w:r>
          </w:p>
        </w:tc>
        <w:tc>
          <w:tcPr>
            <w:tcW w:w="556" w:type="pct"/>
          </w:tcPr>
          <w:p w:rsidR="007339A4" w:rsidRPr="002B433B" w:rsidP="007339A4" w14:paraId="25085A17" w14:textId="77777777">
            <w:pPr>
              <w:rPr>
                <w:color w:val="000000" w:themeColor="text1"/>
              </w:rPr>
            </w:pPr>
            <w:r w:rsidRPr="002B433B">
              <w:rPr>
                <w:color w:val="000000" w:themeColor="text1"/>
              </w:rPr>
              <w:t>1.45</w:t>
            </w:r>
          </w:p>
        </w:tc>
        <w:tc>
          <w:tcPr>
            <w:tcW w:w="556" w:type="pct"/>
          </w:tcPr>
          <w:p w:rsidR="007339A4" w:rsidRPr="002B433B" w:rsidP="007339A4" w14:paraId="4C74F940" w14:textId="77777777">
            <w:pPr>
              <w:rPr>
                <w:color w:val="000000" w:themeColor="text1"/>
              </w:rPr>
            </w:pPr>
            <w:r w:rsidRPr="002B433B">
              <w:rPr>
                <w:color w:val="000000" w:themeColor="text1"/>
              </w:rPr>
              <w:t>1.21</w:t>
            </w:r>
          </w:p>
        </w:tc>
        <w:tc>
          <w:tcPr>
            <w:tcW w:w="556" w:type="pct"/>
          </w:tcPr>
          <w:p w:rsidR="007339A4" w:rsidRPr="002B433B" w:rsidP="007339A4" w14:paraId="3E8ADE5F" w14:textId="77777777">
            <w:pPr>
              <w:rPr>
                <w:color w:val="000000" w:themeColor="text1"/>
              </w:rPr>
            </w:pPr>
            <w:r w:rsidRPr="002B433B">
              <w:rPr>
                <w:color w:val="000000" w:themeColor="text1"/>
              </w:rPr>
              <w:t>1.19</w:t>
            </w:r>
          </w:p>
        </w:tc>
        <w:tc>
          <w:tcPr>
            <w:tcW w:w="556" w:type="pct"/>
          </w:tcPr>
          <w:p w:rsidR="007339A4" w:rsidRPr="002B433B" w:rsidP="007339A4" w14:paraId="7081BF58" w14:textId="77777777">
            <w:pPr>
              <w:rPr>
                <w:color w:val="000000" w:themeColor="text1"/>
              </w:rPr>
            </w:pPr>
            <w:r w:rsidRPr="002B433B">
              <w:rPr>
                <w:color w:val="000000" w:themeColor="text1"/>
              </w:rPr>
              <w:t>1.16</w:t>
            </w:r>
          </w:p>
        </w:tc>
        <w:tc>
          <w:tcPr>
            <w:tcW w:w="556" w:type="pct"/>
          </w:tcPr>
          <w:p w:rsidR="007339A4" w:rsidRPr="002B433B" w:rsidP="007339A4" w14:paraId="3C969532" w14:textId="77777777">
            <w:pPr>
              <w:rPr>
                <w:color w:val="000000" w:themeColor="text1"/>
              </w:rPr>
            </w:pPr>
            <w:r w:rsidRPr="002B433B">
              <w:rPr>
                <w:color w:val="000000" w:themeColor="text1"/>
              </w:rPr>
              <w:t>1.30</w:t>
            </w:r>
          </w:p>
        </w:tc>
        <w:tc>
          <w:tcPr>
            <w:tcW w:w="556" w:type="pct"/>
          </w:tcPr>
          <w:p w:rsidR="007339A4" w:rsidRPr="002B433B" w:rsidP="007339A4" w14:paraId="77E66D50" w14:textId="77777777">
            <w:pPr>
              <w:rPr>
                <w:color w:val="000000" w:themeColor="text1"/>
              </w:rPr>
            </w:pPr>
            <w:r w:rsidRPr="002B433B">
              <w:rPr>
                <w:color w:val="000000" w:themeColor="text1"/>
              </w:rPr>
              <w:t>1.16</w:t>
            </w:r>
          </w:p>
        </w:tc>
        <w:tc>
          <w:tcPr>
            <w:tcW w:w="553" w:type="pct"/>
          </w:tcPr>
          <w:p w:rsidR="007339A4" w:rsidRPr="002B433B" w:rsidP="007339A4" w14:paraId="5DFC8135" w14:textId="77777777">
            <w:pPr>
              <w:rPr>
                <w:color w:val="000000" w:themeColor="text1"/>
              </w:rPr>
            </w:pPr>
            <w:r w:rsidRPr="002B433B">
              <w:rPr>
                <w:color w:val="000000" w:themeColor="text1"/>
              </w:rPr>
              <w:t>1.29</w:t>
            </w:r>
          </w:p>
        </w:tc>
      </w:tr>
      <w:tr w14:paraId="1015B6D7" w14:textId="77777777" w:rsidTr="002B433B">
        <w:tblPrEx>
          <w:tblW w:w="5000" w:type="pct"/>
          <w:tblLayout w:type="fixed"/>
          <w:tblLook w:val="04A0"/>
        </w:tblPrEx>
        <w:tc>
          <w:tcPr>
            <w:tcW w:w="555" w:type="pct"/>
          </w:tcPr>
          <w:p w:rsidR="007339A4" w:rsidRPr="002B433B" w:rsidP="007339A4" w14:paraId="018E40BC" w14:textId="77777777">
            <w:pPr>
              <w:rPr>
                <w:color w:val="000000" w:themeColor="text1"/>
              </w:rPr>
            </w:pPr>
            <w:r w:rsidRPr="002B433B">
              <w:rPr>
                <w:color w:val="000000" w:themeColor="text1"/>
              </w:rPr>
              <w:t>4</w:t>
            </w:r>
            <w:r w:rsidR="008A7041">
              <w:rPr>
                <w:color w:val="000000" w:themeColor="text1"/>
              </w:rPr>
              <w:t>,</w:t>
            </w:r>
            <w:r w:rsidRPr="002B433B">
              <w:rPr>
                <w:color w:val="000000" w:themeColor="text1"/>
              </w:rPr>
              <w:t>500</w:t>
            </w:r>
          </w:p>
        </w:tc>
        <w:tc>
          <w:tcPr>
            <w:tcW w:w="556" w:type="pct"/>
          </w:tcPr>
          <w:p w:rsidR="007339A4" w:rsidRPr="002B433B" w:rsidP="007339A4" w14:paraId="495615BB" w14:textId="77777777">
            <w:pPr>
              <w:rPr>
                <w:color w:val="000000" w:themeColor="text1"/>
              </w:rPr>
            </w:pPr>
            <w:r w:rsidRPr="002B433B">
              <w:rPr>
                <w:color w:val="000000" w:themeColor="text1"/>
              </w:rPr>
              <w:t>45,000</w:t>
            </w:r>
          </w:p>
        </w:tc>
        <w:tc>
          <w:tcPr>
            <w:tcW w:w="556" w:type="pct"/>
          </w:tcPr>
          <w:p w:rsidR="007339A4" w:rsidRPr="002B433B" w:rsidP="007339A4" w14:paraId="068C91F0" w14:textId="77777777">
            <w:pPr>
              <w:rPr>
                <w:color w:val="000000" w:themeColor="text1"/>
              </w:rPr>
            </w:pPr>
            <w:r w:rsidRPr="002B433B">
              <w:rPr>
                <w:color w:val="000000" w:themeColor="text1"/>
              </w:rPr>
              <w:t>1.43</w:t>
            </w:r>
          </w:p>
        </w:tc>
        <w:tc>
          <w:tcPr>
            <w:tcW w:w="556" w:type="pct"/>
          </w:tcPr>
          <w:p w:rsidR="007339A4" w:rsidRPr="002B433B" w:rsidP="007339A4" w14:paraId="59C74B73" w14:textId="77777777">
            <w:pPr>
              <w:rPr>
                <w:color w:val="000000" w:themeColor="text1"/>
              </w:rPr>
            </w:pPr>
            <w:r w:rsidRPr="002B433B">
              <w:rPr>
                <w:color w:val="000000" w:themeColor="text1"/>
              </w:rPr>
              <w:t>1.20</w:t>
            </w:r>
          </w:p>
        </w:tc>
        <w:tc>
          <w:tcPr>
            <w:tcW w:w="556" w:type="pct"/>
          </w:tcPr>
          <w:p w:rsidR="007339A4" w:rsidRPr="002B433B" w:rsidP="007339A4" w14:paraId="4DA65B82" w14:textId="77777777">
            <w:pPr>
              <w:rPr>
                <w:color w:val="000000" w:themeColor="text1"/>
              </w:rPr>
            </w:pPr>
            <w:r w:rsidRPr="002B433B">
              <w:rPr>
                <w:color w:val="000000" w:themeColor="text1"/>
              </w:rPr>
              <w:t>1.18</w:t>
            </w:r>
          </w:p>
        </w:tc>
        <w:tc>
          <w:tcPr>
            <w:tcW w:w="556" w:type="pct"/>
          </w:tcPr>
          <w:p w:rsidR="007339A4" w:rsidRPr="002B433B" w:rsidP="007339A4" w14:paraId="0211772D" w14:textId="77777777">
            <w:pPr>
              <w:rPr>
                <w:color w:val="000000" w:themeColor="text1"/>
              </w:rPr>
            </w:pPr>
            <w:r w:rsidRPr="002B433B">
              <w:rPr>
                <w:color w:val="000000" w:themeColor="text1"/>
              </w:rPr>
              <w:t>1.15</w:t>
            </w:r>
          </w:p>
        </w:tc>
        <w:tc>
          <w:tcPr>
            <w:tcW w:w="556" w:type="pct"/>
          </w:tcPr>
          <w:p w:rsidR="007339A4" w:rsidRPr="002B433B" w:rsidP="007339A4" w14:paraId="7315B0DE" w14:textId="77777777">
            <w:pPr>
              <w:rPr>
                <w:color w:val="000000" w:themeColor="text1"/>
              </w:rPr>
            </w:pPr>
            <w:r w:rsidRPr="002B433B">
              <w:rPr>
                <w:color w:val="000000" w:themeColor="text1"/>
              </w:rPr>
              <w:t>1.28</w:t>
            </w:r>
          </w:p>
        </w:tc>
        <w:tc>
          <w:tcPr>
            <w:tcW w:w="556" w:type="pct"/>
          </w:tcPr>
          <w:p w:rsidR="007339A4" w:rsidRPr="002B433B" w:rsidP="007339A4" w14:paraId="222F2558" w14:textId="77777777">
            <w:pPr>
              <w:rPr>
                <w:color w:val="000000" w:themeColor="text1"/>
              </w:rPr>
            </w:pPr>
            <w:r w:rsidRPr="002B433B">
              <w:rPr>
                <w:color w:val="000000" w:themeColor="text1"/>
              </w:rPr>
              <w:t>1.15</w:t>
            </w:r>
          </w:p>
        </w:tc>
        <w:tc>
          <w:tcPr>
            <w:tcW w:w="553" w:type="pct"/>
          </w:tcPr>
          <w:p w:rsidR="007339A4" w:rsidRPr="002B433B" w:rsidP="007339A4" w14:paraId="05B872B8" w14:textId="77777777">
            <w:pPr>
              <w:rPr>
                <w:color w:val="000000" w:themeColor="text1"/>
              </w:rPr>
            </w:pPr>
            <w:r w:rsidRPr="002B433B">
              <w:rPr>
                <w:color w:val="000000" w:themeColor="text1"/>
              </w:rPr>
              <w:t>1.27</w:t>
            </w:r>
          </w:p>
        </w:tc>
      </w:tr>
      <w:tr w14:paraId="2D09B201" w14:textId="77777777" w:rsidTr="002B433B">
        <w:tblPrEx>
          <w:tblW w:w="5000" w:type="pct"/>
          <w:tblLayout w:type="fixed"/>
          <w:tblLook w:val="04A0"/>
        </w:tblPrEx>
        <w:tc>
          <w:tcPr>
            <w:tcW w:w="555" w:type="pct"/>
          </w:tcPr>
          <w:p w:rsidR="007339A4" w:rsidRPr="002B433B" w:rsidP="007339A4" w14:paraId="2C142036" w14:textId="77777777">
            <w:pPr>
              <w:rPr>
                <w:color w:val="000000" w:themeColor="text1"/>
              </w:rPr>
            </w:pPr>
            <w:r w:rsidRPr="002B433B">
              <w:rPr>
                <w:color w:val="000000" w:themeColor="text1"/>
              </w:rPr>
              <w:t>5</w:t>
            </w:r>
            <w:r w:rsidR="008A7041">
              <w:rPr>
                <w:color w:val="000000" w:themeColor="text1"/>
              </w:rPr>
              <w:t>,</w:t>
            </w:r>
            <w:r w:rsidRPr="002B433B">
              <w:rPr>
                <w:color w:val="000000" w:themeColor="text1"/>
              </w:rPr>
              <w:t>000</w:t>
            </w:r>
          </w:p>
        </w:tc>
        <w:tc>
          <w:tcPr>
            <w:tcW w:w="556" w:type="pct"/>
          </w:tcPr>
          <w:p w:rsidR="007339A4" w:rsidRPr="002B433B" w:rsidP="007339A4" w14:paraId="1B2483BF" w14:textId="77777777">
            <w:pPr>
              <w:rPr>
                <w:color w:val="000000" w:themeColor="text1"/>
              </w:rPr>
            </w:pPr>
            <w:r w:rsidRPr="002B433B">
              <w:rPr>
                <w:color w:val="000000" w:themeColor="text1"/>
              </w:rPr>
              <w:t>50,000</w:t>
            </w:r>
          </w:p>
        </w:tc>
        <w:tc>
          <w:tcPr>
            <w:tcW w:w="556" w:type="pct"/>
          </w:tcPr>
          <w:p w:rsidR="007339A4" w:rsidRPr="002B433B" w:rsidP="007339A4" w14:paraId="62DEFED7" w14:textId="77777777">
            <w:pPr>
              <w:rPr>
                <w:color w:val="000000" w:themeColor="text1"/>
              </w:rPr>
            </w:pPr>
            <w:r w:rsidRPr="002B433B">
              <w:rPr>
                <w:color w:val="000000" w:themeColor="text1"/>
              </w:rPr>
              <w:t>1.40</w:t>
            </w:r>
          </w:p>
        </w:tc>
        <w:tc>
          <w:tcPr>
            <w:tcW w:w="556" w:type="pct"/>
          </w:tcPr>
          <w:p w:rsidR="007339A4" w:rsidRPr="002B433B" w:rsidP="007339A4" w14:paraId="1FE370BF" w14:textId="77777777">
            <w:pPr>
              <w:rPr>
                <w:color w:val="000000" w:themeColor="text1"/>
              </w:rPr>
            </w:pPr>
            <w:r w:rsidRPr="002B433B">
              <w:rPr>
                <w:color w:val="000000" w:themeColor="text1"/>
              </w:rPr>
              <w:t>1.19</w:t>
            </w:r>
          </w:p>
        </w:tc>
        <w:tc>
          <w:tcPr>
            <w:tcW w:w="556" w:type="pct"/>
          </w:tcPr>
          <w:p w:rsidR="007339A4" w:rsidRPr="002B433B" w:rsidP="007339A4" w14:paraId="736925C7" w14:textId="77777777">
            <w:pPr>
              <w:rPr>
                <w:color w:val="000000" w:themeColor="text1"/>
              </w:rPr>
            </w:pPr>
            <w:r w:rsidRPr="002B433B">
              <w:rPr>
                <w:color w:val="000000" w:themeColor="text1"/>
              </w:rPr>
              <w:t>1.17</w:t>
            </w:r>
          </w:p>
        </w:tc>
        <w:tc>
          <w:tcPr>
            <w:tcW w:w="556" w:type="pct"/>
          </w:tcPr>
          <w:p w:rsidR="007339A4" w:rsidRPr="002B433B" w:rsidP="007339A4" w14:paraId="23DB2DB1" w14:textId="77777777">
            <w:pPr>
              <w:rPr>
                <w:color w:val="000000" w:themeColor="text1"/>
              </w:rPr>
            </w:pPr>
            <w:r w:rsidRPr="002B433B">
              <w:rPr>
                <w:color w:val="000000" w:themeColor="text1"/>
              </w:rPr>
              <w:t>1.14</w:t>
            </w:r>
          </w:p>
        </w:tc>
        <w:tc>
          <w:tcPr>
            <w:tcW w:w="556" w:type="pct"/>
          </w:tcPr>
          <w:p w:rsidR="007339A4" w:rsidRPr="002B433B" w:rsidP="007339A4" w14:paraId="2A74B672" w14:textId="77777777">
            <w:pPr>
              <w:rPr>
                <w:color w:val="000000" w:themeColor="text1"/>
              </w:rPr>
            </w:pPr>
            <w:r w:rsidRPr="002B433B">
              <w:rPr>
                <w:color w:val="000000" w:themeColor="text1"/>
              </w:rPr>
              <w:t>1.27</w:t>
            </w:r>
          </w:p>
        </w:tc>
        <w:tc>
          <w:tcPr>
            <w:tcW w:w="556" w:type="pct"/>
          </w:tcPr>
          <w:p w:rsidR="007339A4" w:rsidRPr="002B433B" w:rsidP="007339A4" w14:paraId="5A87F068" w14:textId="77777777">
            <w:pPr>
              <w:rPr>
                <w:color w:val="000000" w:themeColor="text1"/>
              </w:rPr>
            </w:pPr>
            <w:r w:rsidRPr="002B433B">
              <w:rPr>
                <w:color w:val="000000" w:themeColor="text1"/>
              </w:rPr>
              <w:t>1.14</w:t>
            </w:r>
          </w:p>
        </w:tc>
        <w:tc>
          <w:tcPr>
            <w:tcW w:w="553" w:type="pct"/>
          </w:tcPr>
          <w:p w:rsidR="007339A4" w:rsidRPr="002B433B" w:rsidP="007339A4" w14:paraId="2C1E9A14" w14:textId="77777777">
            <w:pPr>
              <w:rPr>
                <w:color w:val="000000" w:themeColor="text1"/>
              </w:rPr>
            </w:pPr>
            <w:r w:rsidRPr="002B433B">
              <w:rPr>
                <w:color w:val="000000" w:themeColor="text1"/>
              </w:rPr>
              <w:t>1.26</w:t>
            </w:r>
          </w:p>
        </w:tc>
      </w:tr>
      <w:tr w14:paraId="288F2ABF" w14:textId="77777777" w:rsidTr="002B433B">
        <w:tblPrEx>
          <w:tblW w:w="5000" w:type="pct"/>
          <w:tblLayout w:type="fixed"/>
          <w:tblLook w:val="04A0"/>
        </w:tblPrEx>
        <w:tc>
          <w:tcPr>
            <w:tcW w:w="555" w:type="pct"/>
          </w:tcPr>
          <w:p w:rsidR="007339A4" w:rsidRPr="002B433B" w:rsidP="007339A4" w14:paraId="67FEA7CD" w14:textId="77777777">
            <w:pPr>
              <w:rPr>
                <w:color w:val="000000" w:themeColor="text1"/>
              </w:rPr>
            </w:pPr>
            <w:r w:rsidRPr="002B433B">
              <w:rPr>
                <w:color w:val="000000" w:themeColor="text1"/>
              </w:rPr>
              <w:t>7</w:t>
            </w:r>
            <w:r w:rsidR="008A7041">
              <w:rPr>
                <w:color w:val="000000" w:themeColor="text1"/>
              </w:rPr>
              <w:t>,</w:t>
            </w:r>
            <w:r w:rsidRPr="002B433B">
              <w:rPr>
                <w:color w:val="000000" w:themeColor="text1"/>
              </w:rPr>
              <w:t>500</w:t>
            </w:r>
          </w:p>
        </w:tc>
        <w:tc>
          <w:tcPr>
            <w:tcW w:w="556" w:type="pct"/>
          </w:tcPr>
          <w:p w:rsidR="007339A4" w:rsidRPr="002B433B" w:rsidP="007339A4" w14:paraId="2F7862B4" w14:textId="77777777">
            <w:pPr>
              <w:rPr>
                <w:color w:val="000000" w:themeColor="text1"/>
              </w:rPr>
            </w:pPr>
            <w:r w:rsidRPr="002B433B">
              <w:rPr>
                <w:color w:val="000000" w:themeColor="text1"/>
              </w:rPr>
              <w:t>75,000</w:t>
            </w:r>
          </w:p>
        </w:tc>
        <w:tc>
          <w:tcPr>
            <w:tcW w:w="556" w:type="pct"/>
          </w:tcPr>
          <w:p w:rsidR="007339A4" w:rsidRPr="002B433B" w:rsidP="007339A4" w14:paraId="386F5734" w14:textId="77777777">
            <w:pPr>
              <w:rPr>
                <w:color w:val="000000" w:themeColor="text1"/>
              </w:rPr>
            </w:pPr>
            <w:r w:rsidRPr="002B433B">
              <w:rPr>
                <w:color w:val="000000" w:themeColor="text1"/>
              </w:rPr>
              <w:t>1.33</w:t>
            </w:r>
          </w:p>
        </w:tc>
        <w:tc>
          <w:tcPr>
            <w:tcW w:w="556" w:type="pct"/>
          </w:tcPr>
          <w:p w:rsidR="007339A4" w:rsidRPr="002B433B" w:rsidP="007339A4" w14:paraId="22712821" w14:textId="77777777">
            <w:pPr>
              <w:rPr>
                <w:color w:val="000000" w:themeColor="text1"/>
              </w:rPr>
            </w:pPr>
            <w:r w:rsidRPr="002B433B">
              <w:rPr>
                <w:color w:val="000000" w:themeColor="text1"/>
              </w:rPr>
              <w:t>1.15</w:t>
            </w:r>
          </w:p>
        </w:tc>
        <w:tc>
          <w:tcPr>
            <w:tcW w:w="556" w:type="pct"/>
          </w:tcPr>
          <w:p w:rsidR="007339A4" w:rsidRPr="002B433B" w:rsidP="007339A4" w14:paraId="6A1D4357" w14:textId="77777777">
            <w:pPr>
              <w:rPr>
                <w:color w:val="000000" w:themeColor="text1"/>
              </w:rPr>
            </w:pPr>
            <w:r w:rsidRPr="002B433B">
              <w:rPr>
                <w:color w:val="000000" w:themeColor="text1"/>
              </w:rPr>
              <w:t>1.14</w:t>
            </w:r>
          </w:p>
        </w:tc>
        <w:tc>
          <w:tcPr>
            <w:tcW w:w="556" w:type="pct"/>
          </w:tcPr>
          <w:p w:rsidR="007339A4" w:rsidRPr="002B433B" w:rsidP="007339A4" w14:paraId="7FAD5A23" w14:textId="77777777">
            <w:pPr>
              <w:rPr>
                <w:color w:val="000000" w:themeColor="text1"/>
              </w:rPr>
            </w:pPr>
            <w:r>
              <w:rPr>
                <w:color w:val="000000" w:themeColor="text1"/>
              </w:rPr>
              <w:t>1.12</w:t>
            </w:r>
          </w:p>
        </w:tc>
        <w:tc>
          <w:tcPr>
            <w:tcW w:w="556" w:type="pct"/>
          </w:tcPr>
          <w:p w:rsidR="007339A4" w:rsidRPr="002B433B" w:rsidP="007339A4" w14:paraId="3867E262" w14:textId="77777777">
            <w:pPr>
              <w:rPr>
                <w:color w:val="000000" w:themeColor="text1"/>
              </w:rPr>
            </w:pPr>
            <w:r w:rsidRPr="002B433B">
              <w:rPr>
                <w:color w:val="000000" w:themeColor="text1"/>
              </w:rPr>
              <w:t>1.22</w:t>
            </w:r>
          </w:p>
        </w:tc>
        <w:tc>
          <w:tcPr>
            <w:tcW w:w="556" w:type="pct"/>
          </w:tcPr>
          <w:p w:rsidR="007339A4" w:rsidRPr="002B433B" w:rsidP="007339A4" w14:paraId="04649236" w14:textId="77777777">
            <w:pPr>
              <w:rPr>
                <w:color w:val="000000" w:themeColor="text1"/>
              </w:rPr>
            </w:pPr>
            <w:r w:rsidRPr="002B433B">
              <w:rPr>
                <w:color w:val="000000" w:themeColor="text1"/>
              </w:rPr>
              <w:t>1.12</w:t>
            </w:r>
          </w:p>
        </w:tc>
        <w:tc>
          <w:tcPr>
            <w:tcW w:w="553" w:type="pct"/>
          </w:tcPr>
          <w:p w:rsidR="007339A4" w:rsidRPr="002B433B" w:rsidP="007339A4" w14:paraId="2149D578" w14:textId="77777777">
            <w:pPr>
              <w:rPr>
                <w:color w:val="000000" w:themeColor="text1"/>
              </w:rPr>
            </w:pPr>
            <w:r w:rsidRPr="002B433B">
              <w:rPr>
                <w:color w:val="000000" w:themeColor="text1"/>
              </w:rPr>
              <w:t>1.21</w:t>
            </w:r>
          </w:p>
        </w:tc>
      </w:tr>
      <w:tr w14:paraId="37A9BE68" w14:textId="77777777" w:rsidTr="002B433B">
        <w:tblPrEx>
          <w:tblW w:w="5000" w:type="pct"/>
          <w:tblLayout w:type="fixed"/>
          <w:tblLook w:val="04A0"/>
        </w:tblPrEx>
        <w:tc>
          <w:tcPr>
            <w:tcW w:w="555" w:type="pct"/>
          </w:tcPr>
          <w:p w:rsidR="007339A4" w:rsidRPr="002B433B" w:rsidP="007339A4" w14:paraId="1767A62C" w14:textId="77777777">
            <w:pPr>
              <w:rPr>
                <w:color w:val="000000" w:themeColor="text1"/>
              </w:rPr>
            </w:pPr>
            <w:r w:rsidRPr="002B433B">
              <w:rPr>
                <w:color w:val="000000" w:themeColor="text1"/>
              </w:rPr>
              <w:t>10</w:t>
            </w:r>
            <w:r w:rsidR="008A7041">
              <w:rPr>
                <w:color w:val="000000" w:themeColor="text1"/>
              </w:rPr>
              <w:t>,</w:t>
            </w:r>
            <w:r w:rsidRPr="002B433B">
              <w:rPr>
                <w:color w:val="000000" w:themeColor="text1"/>
              </w:rPr>
              <w:t>000</w:t>
            </w:r>
          </w:p>
        </w:tc>
        <w:tc>
          <w:tcPr>
            <w:tcW w:w="556" w:type="pct"/>
          </w:tcPr>
          <w:p w:rsidR="007339A4" w:rsidRPr="002B433B" w:rsidP="007339A4" w14:paraId="7E5EB614" w14:textId="77777777">
            <w:pPr>
              <w:rPr>
                <w:color w:val="000000" w:themeColor="text1"/>
              </w:rPr>
            </w:pPr>
            <w:r w:rsidRPr="002B433B">
              <w:rPr>
                <w:color w:val="000000" w:themeColor="text1"/>
              </w:rPr>
              <w:t>100,000</w:t>
            </w:r>
          </w:p>
        </w:tc>
        <w:tc>
          <w:tcPr>
            <w:tcW w:w="556" w:type="pct"/>
          </w:tcPr>
          <w:p w:rsidR="007339A4" w:rsidRPr="002B433B" w:rsidP="007339A4" w14:paraId="127C2424" w14:textId="77777777">
            <w:pPr>
              <w:rPr>
                <w:color w:val="000000" w:themeColor="text1"/>
              </w:rPr>
            </w:pPr>
            <w:r w:rsidRPr="002B433B">
              <w:rPr>
                <w:color w:val="000000" w:themeColor="text1"/>
              </w:rPr>
              <w:t>1.28</w:t>
            </w:r>
          </w:p>
        </w:tc>
        <w:tc>
          <w:tcPr>
            <w:tcW w:w="556" w:type="pct"/>
          </w:tcPr>
          <w:p w:rsidR="007339A4" w:rsidRPr="002B433B" w:rsidP="007339A4" w14:paraId="3F832AC2" w14:textId="77777777">
            <w:pPr>
              <w:rPr>
                <w:color w:val="000000" w:themeColor="text1"/>
              </w:rPr>
            </w:pPr>
            <w:r w:rsidRPr="002B433B">
              <w:rPr>
                <w:color w:val="000000" w:themeColor="text1"/>
              </w:rPr>
              <w:t>1.13</w:t>
            </w:r>
          </w:p>
        </w:tc>
        <w:tc>
          <w:tcPr>
            <w:tcW w:w="556" w:type="pct"/>
          </w:tcPr>
          <w:p w:rsidR="007339A4" w:rsidRPr="002B433B" w:rsidP="007339A4" w14:paraId="260C185D" w14:textId="77777777">
            <w:pPr>
              <w:rPr>
                <w:color w:val="000000" w:themeColor="text1"/>
              </w:rPr>
            </w:pPr>
            <w:r w:rsidRPr="002B433B">
              <w:rPr>
                <w:color w:val="000000" w:themeColor="text1"/>
              </w:rPr>
              <w:t>1.12</w:t>
            </w:r>
          </w:p>
        </w:tc>
        <w:tc>
          <w:tcPr>
            <w:tcW w:w="556" w:type="pct"/>
          </w:tcPr>
          <w:p w:rsidR="007339A4" w:rsidRPr="002B433B" w:rsidP="007339A4" w14:paraId="390F70FE" w14:textId="77777777">
            <w:pPr>
              <w:rPr>
                <w:color w:val="000000" w:themeColor="text1"/>
              </w:rPr>
            </w:pPr>
            <w:r>
              <w:rPr>
                <w:color w:val="000000" w:themeColor="text1"/>
              </w:rPr>
              <w:t>1.10</w:t>
            </w:r>
          </w:p>
        </w:tc>
        <w:tc>
          <w:tcPr>
            <w:tcW w:w="556" w:type="pct"/>
          </w:tcPr>
          <w:p w:rsidR="007339A4" w:rsidRPr="002B433B" w:rsidP="007339A4" w14:paraId="206E8582" w14:textId="77777777">
            <w:pPr>
              <w:rPr>
                <w:color w:val="000000" w:themeColor="text1"/>
              </w:rPr>
            </w:pPr>
            <w:r w:rsidRPr="002B433B">
              <w:rPr>
                <w:color w:val="000000" w:themeColor="text1"/>
              </w:rPr>
              <w:t>1.19</w:t>
            </w:r>
          </w:p>
        </w:tc>
        <w:tc>
          <w:tcPr>
            <w:tcW w:w="556" w:type="pct"/>
          </w:tcPr>
          <w:p w:rsidR="007339A4" w:rsidRPr="002B433B" w:rsidP="007339A4" w14:paraId="4B049FC5" w14:textId="77777777">
            <w:pPr>
              <w:rPr>
                <w:color w:val="000000" w:themeColor="text1"/>
              </w:rPr>
            </w:pPr>
            <w:r w:rsidRPr="002B433B">
              <w:rPr>
                <w:color w:val="000000" w:themeColor="text1"/>
              </w:rPr>
              <w:t>1.10</w:t>
            </w:r>
          </w:p>
        </w:tc>
        <w:tc>
          <w:tcPr>
            <w:tcW w:w="553" w:type="pct"/>
          </w:tcPr>
          <w:p w:rsidR="007339A4" w:rsidRPr="002B433B" w:rsidP="007339A4" w14:paraId="0B7236B7" w14:textId="77777777">
            <w:pPr>
              <w:rPr>
                <w:color w:val="000000" w:themeColor="text1"/>
              </w:rPr>
            </w:pPr>
            <w:r w:rsidRPr="002B433B">
              <w:rPr>
                <w:color w:val="000000" w:themeColor="text1"/>
              </w:rPr>
              <w:t>1.18</w:t>
            </w:r>
          </w:p>
        </w:tc>
      </w:tr>
      <w:tr w14:paraId="1E6759D3" w14:textId="77777777" w:rsidTr="002B433B">
        <w:tblPrEx>
          <w:tblW w:w="5000" w:type="pct"/>
          <w:tblLayout w:type="fixed"/>
          <w:tblLook w:val="04A0"/>
        </w:tblPrEx>
        <w:tc>
          <w:tcPr>
            <w:tcW w:w="555" w:type="pct"/>
          </w:tcPr>
          <w:p w:rsidR="007339A4" w:rsidRPr="002B433B" w:rsidP="007339A4" w14:paraId="05FA70E7" w14:textId="77777777">
            <w:pPr>
              <w:rPr>
                <w:color w:val="000000" w:themeColor="text1"/>
              </w:rPr>
            </w:pPr>
            <w:r w:rsidRPr="002B433B">
              <w:rPr>
                <w:color w:val="000000" w:themeColor="text1"/>
              </w:rPr>
              <w:t>20</w:t>
            </w:r>
            <w:r w:rsidR="008A7041">
              <w:rPr>
                <w:color w:val="000000" w:themeColor="text1"/>
              </w:rPr>
              <w:t>,</w:t>
            </w:r>
            <w:r w:rsidRPr="002B433B">
              <w:rPr>
                <w:color w:val="000000" w:themeColor="text1"/>
              </w:rPr>
              <w:t>000</w:t>
            </w:r>
          </w:p>
        </w:tc>
        <w:tc>
          <w:tcPr>
            <w:tcW w:w="556" w:type="pct"/>
          </w:tcPr>
          <w:p w:rsidR="007339A4" w:rsidRPr="002B433B" w:rsidP="007339A4" w14:paraId="73CA0E94" w14:textId="77777777">
            <w:pPr>
              <w:rPr>
                <w:color w:val="000000" w:themeColor="text1"/>
              </w:rPr>
            </w:pPr>
            <w:r w:rsidRPr="002B433B">
              <w:rPr>
                <w:color w:val="000000" w:themeColor="text1"/>
              </w:rPr>
              <w:t>200,000</w:t>
            </w:r>
          </w:p>
        </w:tc>
        <w:tc>
          <w:tcPr>
            <w:tcW w:w="556" w:type="pct"/>
          </w:tcPr>
          <w:p w:rsidR="007339A4" w:rsidRPr="002B433B" w:rsidP="007339A4" w14:paraId="299E3A9B" w14:textId="77777777">
            <w:pPr>
              <w:rPr>
                <w:color w:val="000000" w:themeColor="text1"/>
              </w:rPr>
            </w:pPr>
            <w:r w:rsidRPr="002B433B">
              <w:rPr>
                <w:color w:val="000000" w:themeColor="text1"/>
              </w:rPr>
              <w:t>1.20</w:t>
            </w:r>
          </w:p>
        </w:tc>
        <w:tc>
          <w:tcPr>
            <w:tcW w:w="556" w:type="pct"/>
          </w:tcPr>
          <w:p w:rsidR="007339A4" w:rsidRPr="002B433B" w:rsidP="007339A4" w14:paraId="363B0315" w14:textId="77777777">
            <w:pPr>
              <w:rPr>
                <w:color w:val="000000" w:themeColor="text1"/>
              </w:rPr>
            </w:pPr>
            <w:r w:rsidRPr="002B433B">
              <w:rPr>
                <w:color w:val="000000" w:themeColor="text1"/>
              </w:rPr>
              <w:t>1.09</w:t>
            </w:r>
          </w:p>
        </w:tc>
        <w:tc>
          <w:tcPr>
            <w:tcW w:w="556" w:type="pct"/>
          </w:tcPr>
          <w:p w:rsidR="007339A4" w:rsidRPr="002B433B" w:rsidP="007339A4" w14:paraId="10F20E01" w14:textId="77777777">
            <w:pPr>
              <w:rPr>
                <w:color w:val="000000" w:themeColor="text1"/>
              </w:rPr>
            </w:pPr>
            <w:r w:rsidRPr="002B433B">
              <w:rPr>
                <w:color w:val="000000" w:themeColor="text1"/>
              </w:rPr>
              <w:t>1.08</w:t>
            </w:r>
          </w:p>
        </w:tc>
        <w:tc>
          <w:tcPr>
            <w:tcW w:w="556" w:type="pct"/>
          </w:tcPr>
          <w:p w:rsidR="007339A4" w:rsidRPr="002B433B" w:rsidP="007339A4" w14:paraId="310FF9E1" w14:textId="77777777">
            <w:pPr>
              <w:rPr>
                <w:color w:val="000000" w:themeColor="text1"/>
              </w:rPr>
            </w:pPr>
            <w:r>
              <w:rPr>
                <w:color w:val="000000" w:themeColor="text1"/>
              </w:rPr>
              <w:t>1.07</w:t>
            </w:r>
          </w:p>
        </w:tc>
        <w:tc>
          <w:tcPr>
            <w:tcW w:w="556" w:type="pct"/>
          </w:tcPr>
          <w:p w:rsidR="007339A4" w:rsidRPr="002B433B" w:rsidP="007339A4" w14:paraId="4CF20B72" w14:textId="77777777">
            <w:pPr>
              <w:rPr>
                <w:color w:val="000000" w:themeColor="text1"/>
              </w:rPr>
            </w:pPr>
            <w:r>
              <w:rPr>
                <w:color w:val="000000" w:themeColor="text1"/>
              </w:rPr>
              <w:t>1.13</w:t>
            </w:r>
          </w:p>
        </w:tc>
        <w:tc>
          <w:tcPr>
            <w:tcW w:w="556" w:type="pct"/>
          </w:tcPr>
          <w:p w:rsidR="007339A4" w:rsidRPr="002B433B" w:rsidP="007339A4" w14:paraId="7CAE0507" w14:textId="77777777">
            <w:pPr>
              <w:rPr>
                <w:color w:val="000000" w:themeColor="text1"/>
              </w:rPr>
            </w:pPr>
            <w:r w:rsidRPr="002B433B">
              <w:rPr>
                <w:color w:val="000000" w:themeColor="text1"/>
              </w:rPr>
              <w:t>1.07</w:t>
            </w:r>
          </w:p>
        </w:tc>
        <w:tc>
          <w:tcPr>
            <w:tcW w:w="553" w:type="pct"/>
          </w:tcPr>
          <w:p w:rsidR="007339A4" w:rsidRPr="002B433B" w:rsidP="007339A4" w14:paraId="3B03DDF8" w14:textId="77777777">
            <w:pPr>
              <w:rPr>
                <w:color w:val="000000" w:themeColor="text1"/>
              </w:rPr>
            </w:pPr>
            <w:r w:rsidRPr="002B433B">
              <w:rPr>
                <w:color w:val="000000" w:themeColor="text1"/>
              </w:rPr>
              <w:t>1.13</w:t>
            </w:r>
          </w:p>
        </w:tc>
      </w:tr>
    </w:tbl>
    <w:p w:rsidR="00DB19F8" w:rsidP="00135629" w14:paraId="7DEDA840" w14:textId="77777777">
      <w:pPr>
        <w:rPr>
          <w:color w:val="7030A0"/>
        </w:rPr>
      </w:pPr>
    </w:p>
    <w:p w:rsidR="00923DE9" w:rsidP="00135629" w14:paraId="215C8CB9" w14:textId="77777777"/>
    <w:p w:rsidR="00C60AA4" w:rsidP="00CF7E97" w14:paraId="768F5737" w14:textId="77777777">
      <w:pPr>
        <w:pStyle w:val="BodyText2"/>
        <w:numPr>
          <w:ilvl w:val="0"/>
          <w:numId w:val="4"/>
        </w:numPr>
      </w:pPr>
      <w:r w:rsidRPr="00E24314">
        <w:t>DESCRIBE METHODS TO MAXIMIZE RESPONSE RATE AND TO DEAL WITH THE ISSUES OF NON-RESPONSE</w:t>
      </w:r>
      <w:r w:rsidRPr="005612EB">
        <w:t>.</w:t>
      </w:r>
    </w:p>
    <w:p w:rsidR="00C60AA4" w:rsidP="00135629" w14:paraId="7411DA27" w14:textId="77777777">
      <w:pPr>
        <w:pStyle w:val="BodyText2"/>
      </w:pPr>
    </w:p>
    <w:p w:rsidR="00585AF5" w:rsidRPr="0016660B" w:rsidP="00135629" w14:paraId="6BEB1010" w14:textId="77777777">
      <w:pPr>
        <w:pStyle w:val="BodyText2"/>
        <w:rPr>
          <w:b w:val="0"/>
          <w:bCs w:val="0"/>
        </w:rPr>
      </w:pPr>
      <w:r w:rsidRPr="0016660B">
        <w:rPr>
          <w:b w:val="0"/>
          <w:bCs w:val="0"/>
        </w:rPr>
        <w:t xml:space="preserve">To maximize carrier participation, the research team will implement a promotion plan for advertising the website and recruiting property-carrying and passenger-carrying CMV carriers to participate. </w:t>
      </w:r>
      <w:r w:rsidR="000169F7">
        <w:rPr>
          <w:b w:val="0"/>
          <w:bCs w:val="0"/>
        </w:rPr>
        <w:t>The research team intends to</w:t>
      </w:r>
      <w:r w:rsidRPr="003907D1" w:rsidR="00C92981">
        <w:rPr>
          <w:b w:val="0"/>
          <w:bCs w:val="0"/>
        </w:rPr>
        <w:t xml:space="preserve"> rais</w:t>
      </w:r>
      <w:r w:rsidR="000169F7">
        <w:rPr>
          <w:b w:val="0"/>
          <w:bCs w:val="0"/>
        </w:rPr>
        <w:t>e</w:t>
      </w:r>
      <w:r w:rsidRPr="003907D1" w:rsidR="00C92981">
        <w:rPr>
          <w:b w:val="0"/>
          <w:bCs w:val="0"/>
        </w:rPr>
        <w:t xml:space="preserve"> awareness of the study in trade publications and </w:t>
      </w:r>
      <w:r w:rsidR="00E85110">
        <w:rPr>
          <w:b w:val="0"/>
          <w:bCs w:val="0"/>
        </w:rPr>
        <w:t xml:space="preserve">targeting </w:t>
      </w:r>
      <w:r w:rsidRPr="003907D1" w:rsidR="00C92981">
        <w:rPr>
          <w:b w:val="0"/>
          <w:bCs w:val="0"/>
        </w:rPr>
        <w:t xml:space="preserve">recruitment based on existing industry contacts. </w:t>
      </w:r>
      <w:r w:rsidRPr="003907D1" w:rsidR="006C14B4">
        <w:rPr>
          <w:b w:val="0"/>
          <w:bCs w:val="0"/>
        </w:rPr>
        <w:t>To further encourage participation</w:t>
      </w:r>
      <w:r w:rsidRPr="00395229" w:rsidR="00ED2A9A">
        <w:rPr>
          <w:b w:val="0"/>
          <w:bCs w:val="0"/>
          <w:color w:val="000000" w:themeColor="text1"/>
        </w:rPr>
        <w:t xml:space="preserve"> from carriers who are less likely to enroll</w:t>
      </w:r>
      <w:r w:rsidRPr="003907D1" w:rsidR="006C14B4">
        <w:rPr>
          <w:b w:val="0"/>
          <w:bCs w:val="0"/>
        </w:rPr>
        <w:t>, the research team will consider offering carriers proprietary reports with an analysis of fatigue risk in their operations</w:t>
      </w:r>
      <w:r w:rsidR="00682E25">
        <w:rPr>
          <w:b w:val="0"/>
          <w:bCs w:val="0"/>
        </w:rPr>
        <w:t xml:space="preserve"> based on an analysis of their HOS data</w:t>
      </w:r>
      <w:r w:rsidRPr="003907D1" w:rsidR="006C14B4">
        <w:rPr>
          <w:b w:val="0"/>
          <w:bCs w:val="0"/>
        </w:rPr>
        <w:t>.</w:t>
      </w:r>
      <w:r w:rsidR="006C14B4">
        <w:rPr>
          <w:b w:val="0"/>
          <w:bCs w:val="0"/>
        </w:rPr>
        <w:t xml:space="preserve"> </w:t>
      </w:r>
      <w:r w:rsidRPr="00395229" w:rsidR="00ED2A9A">
        <w:rPr>
          <w:b w:val="0"/>
          <w:bCs w:val="0"/>
          <w:color w:val="000000" w:themeColor="text1"/>
        </w:rPr>
        <w:t>We recognize that certain carriers</w:t>
      </w:r>
      <w:r w:rsidRPr="00395229" w:rsidR="008D6BF5">
        <w:rPr>
          <w:b w:val="0"/>
          <w:bCs w:val="0"/>
          <w:color w:val="000000" w:themeColor="text1"/>
        </w:rPr>
        <w:t xml:space="preserve"> (e.g., those with</w:t>
      </w:r>
      <w:r w:rsidRPr="00395229" w:rsidR="00ED2A9A">
        <w:rPr>
          <w:b w:val="0"/>
          <w:bCs w:val="0"/>
          <w:color w:val="000000" w:themeColor="text1"/>
        </w:rPr>
        <w:t xml:space="preserve"> smaller fleet</w:t>
      </w:r>
      <w:r w:rsidRPr="00395229" w:rsidR="008D6BF5">
        <w:rPr>
          <w:b w:val="0"/>
          <w:bCs w:val="0"/>
          <w:color w:val="000000" w:themeColor="text1"/>
        </w:rPr>
        <w:t>s)</w:t>
      </w:r>
      <w:r w:rsidRPr="00395229" w:rsidR="00ED2A9A">
        <w:rPr>
          <w:b w:val="0"/>
          <w:bCs w:val="0"/>
          <w:color w:val="000000" w:themeColor="text1"/>
        </w:rPr>
        <w:t xml:space="preserve"> may be underrepresented. As discussed in Section B1, we will address potential selection bias using model-based analytic techniques that include covariates reflecting systematic differences that may influence participation.</w:t>
      </w:r>
      <w:r w:rsidRPr="00395229" w:rsidR="008D6BF5">
        <w:rPr>
          <w:b w:val="0"/>
          <w:bCs w:val="0"/>
          <w:color w:val="000000" w:themeColor="text1"/>
        </w:rPr>
        <w:t xml:space="preserve"> </w:t>
      </w:r>
      <w:r w:rsidRPr="0016660B">
        <w:rPr>
          <w:b w:val="0"/>
          <w:bCs w:val="0"/>
        </w:rPr>
        <w:t xml:space="preserve">After </w:t>
      </w:r>
      <w:r w:rsidR="003907D1">
        <w:rPr>
          <w:b w:val="0"/>
          <w:bCs w:val="0"/>
        </w:rPr>
        <w:t xml:space="preserve">approval of </w:t>
      </w:r>
      <w:r w:rsidRPr="0016660B">
        <w:rPr>
          <w:b w:val="0"/>
          <w:bCs w:val="0"/>
        </w:rPr>
        <w:t>the ICR, researchers will commence recruiting carriers to volunteer for this study.</w:t>
      </w:r>
    </w:p>
    <w:p w:rsidR="00585AF5" w:rsidRPr="0016660B" w:rsidP="00135629" w14:paraId="33D4266E" w14:textId="77777777">
      <w:pPr>
        <w:pStyle w:val="BodyText2"/>
        <w:rPr>
          <w:b w:val="0"/>
          <w:bCs w:val="0"/>
        </w:rPr>
      </w:pPr>
    </w:p>
    <w:p w:rsidR="00585AF5" w:rsidRPr="0016660B" w:rsidP="00135629" w14:paraId="6CD32419" w14:textId="77777777">
      <w:pPr>
        <w:pStyle w:val="BodyText2"/>
        <w:rPr>
          <w:b w:val="0"/>
          <w:bCs w:val="0"/>
        </w:rPr>
      </w:pPr>
      <w:r w:rsidRPr="0016660B">
        <w:rPr>
          <w:b w:val="0"/>
          <w:bCs w:val="0"/>
        </w:rPr>
        <w:t>Pulsar’s research team is well positioned within the CMV industry to support efforts to recruit carriers during the project to provide ELD and crash data on an ongoing basis. Pulsar has:</w:t>
      </w:r>
    </w:p>
    <w:p w:rsidR="00585AF5" w:rsidRPr="0016660B" w:rsidP="00CF7E97" w14:paraId="7B1CC0A0" w14:textId="77777777">
      <w:pPr>
        <w:pStyle w:val="BodyText2"/>
        <w:numPr>
          <w:ilvl w:val="0"/>
          <w:numId w:val="13"/>
        </w:numPr>
        <w:rPr>
          <w:b w:val="0"/>
          <w:bCs w:val="0"/>
        </w:rPr>
      </w:pPr>
      <w:r w:rsidRPr="0016660B">
        <w:rPr>
          <w:b w:val="0"/>
          <w:bCs w:val="0"/>
        </w:rPr>
        <w:t>Existing active integrations with ELD and telematics providers covering most of the CMV market</w:t>
      </w:r>
    </w:p>
    <w:p w:rsidR="00585AF5" w:rsidRPr="0016660B" w:rsidP="00CF7E97" w14:paraId="1916A98C" w14:textId="77777777">
      <w:pPr>
        <w:pStyle w:val="BodyText2"/>
        <w:numPr>
          <w:ilvl w:val="0"/>
          <w:numId w:val="13"/>
        </w:numPr>
        <w:rPr>
          <w:b w:val="0"/>
          <w:bCs w:val="0"/>
        </w:rPr>
      </w:pPr>
      <w:r w:rsidRPr="0016660B">
        <w:rPr>
          <w:b w:val="0"/>
          <w:bCs w:val="0"/>
        </w:rPr>
        <w:t>Relationships with CMV and motorcoach industry associations (</w:t>
      </w:r>
      <w:r w:rsidRPr="00395229" w:rsidR="00A532C6">
        <w:rPr>
          <w:b w:val="0"/>
          <w:bCs w:val="0"/>
          <w:color w:val="000000" w:themeColor="text1"/>
        </w:rPr>
        <w:t xml:space="preserve">American Trucking </w:t>
      </w:r>
      <w:r w:rsidRPr="00395229" w:rsidR="00A532C6">
        <w:rPr>
          <w:b w:val="0"/>
          <w:bCs w:val="0"/>
          <w:color w:val="000000" w:themeColor="text1"/>
        </w:rPr>
        <w:t>Associations, Truckload Carriers Association, National Private Truck Council, National Safety Council, American Bus Association, Bus Industry Safety Council</w:t>
      </w:r>
      <w:r w:rsidRPr="0016660B">
        <w:rPr>
          <w:b w:val="0"/>
          <w:bCs w:val="0"/>
        </w:rPr>
        <w:t>, etc.)</w:t>
      </w:r>
    </w:p>
    <w:p w:rsidR="00585AF5" w:rsidRPr="0016660B" w:rsidP="00CF7E97" w14:paraId="1573173C" w14:textId="77777777">
      <w:pPr>
        <w:pStyle w:val="BodyText2"/>
        <w:numPr>
          <w:ilvl w:val="0"/>
          <w:numId w:val="13"/>
        </w:numPr>
        <w:rPr>
          <w:b w:val="0"/>
          <w:bCs w:val="0"/>
        </w:rPr>
      </w:pPr>
      <w:r w:rsidRPr="0016660B">
        <w:rPr>
          <w:b w:val="0"/>
          <w:bCs w:val="0"/>
        </w:rPr>
        <w:t>Large customer base of CMV carriers that use Trucking Fatigue Meter</w:t>
      </w:r>
      <w:r w:rsidR="00811C34">
        <w:rPr>
          <w:b w:val="0"/>
          <w:bCs w:val="0"/>
        </w:rPr>
        <w:t>, described on page 4</w:t>
      </w:r>
    </w:p>
    <w:p w:rsidR="00585AF5" w:rsidRPr="0016660B" w:rsidP="00CF7E97" w14:paraId="7B4F1530" w14:textId="77777777">
      <w:pPr>
        <w:pStyle w:val="BodyText2"/>
        <w:numPr>
          <w:ilvl w:val="0"/>
          <w:numId w:val="13"/>
        </w:numPr>
        <w:rPr>
          <w:b w:val="0"/>
          <w:bCs w:val="0"/>
        </w:rPr>
      </w:pPr>
      <w:r w:rsidRPr="0016660B">
        <w:rPr>
          <w:b w:val="0"/>
          <w:bCs w:val="0"/>
        </w:rPr>
        <w:t xml:space="preserve">Strategic </w:t>
      </w:r>
      <w:r w:rsidRPr="00395229">
        <w:rPr>
          <w:b w:val="0"/>
          <w:bCs w:val="0"/>
          <w:color w:val="000000" w:themeColor="text1"/>
        </w:rPr>
        <w:t>par</w:t>
      </w:r>
      <w:r w:rsidR="00395229">
        <w:rPr>
          <w:b w:val="0"/>
          <w:bCs w:val="0"/>
          <w:color w:val="000000" w:themeColor="text1"/>
        </w:rPr>
        <w:t>tner</w:t>
      </w:r>
      <w:r w:rsidRPr="00395229">
        <w:rPr>
          <w:b w:val="0"/>
          <w:bCs w:val="0"/>
          <w:color w:val="000000" w:themeColor="text1"/>
        </w:rPr>
        <w:t>ships</w:t>
      </w:r>
      <w:r w:rsidRPr="0016660B">
        <w:rPr>
          <w:b w:val="0"/>
          <w:bCs w:val="0"/>
        </w:rPr>
        <w:t xml:space="preserve"> with insurers that underwrite CMV carriers</w:t>
      </w:r>
    </w:p>
    <w:p w:rsidR="00585AF5" w:rsidRPr="0016660B" w:rsidP="00135629" w14:paraId="23ECBBB7" w14:textId="77777777">
      <w:pPr>
        <w:pStyle w:val="BodyText2"/>
        <w:rPr>
          <w:b w:val="0"/>
          <w:bCs w:val="0"/>
        </w:rPr>
      </w:pPr>
    </w:p>
    <w:p w:rsidR="00585AF5" w:rsidP="00135629" w14:paraId="4BEA16E6" w14:textId="77777777">
      <w:pPr>
        <w:pStyle w:val="BodyText2"/>
        <w:rPr>
          <w:b w:val="0"/>
          <w:bCs w:val="0"/>
        </w:rPr>
      </w:pPr>
      <w:r w:rsidRPr="0016660B">
        <w:rPr>
          <w:b w:val="0"/>
          <w:bCs w:val="0"/>
        </w:rPr>
        <w:t>After a carrier complete</w:t>
      </w:r>
      <w:r w:rsidR="00AE18F5">
        <w:rPr>
          <w:b w:val="0"/>
          <w:bCs w:val="0"/>
        </w:rPr>
        <w:t>s</w:t>
      </w:r>
      <w:r w:rsidRPr="0016660B">
        <w:rPr>
          <w:b w:val="0"/>
          <w:bCs w:val="0"/>
        </w:rPr>
        <w:t xml:space="preserve"> the sign-up process, Pulsar can utilize its established Fatigue Meter technology and existing integrations with ELD and telematics service providers to support direct, automatic transfer of the carrier’s ELD and crash data without the need for any manual steps to be completed by the CMV carrier.</w:t>
      </w:r>
      <w:r w:rsidR="00B300F3">
        <w:rPr>
          <w:b w:val="0"/>
          <w:bCs w:val="0"/>
        </w:rPr>
        <w:t xml:space="preserve"> It is not a requirement for the CMV carrier to be or become a Fatigue Meter customer.</w:t>
      </w:r>
      <w:r w:rsidRPr="0016660B">
        <w:rPr>
          <w:b w:val="0"/>
          <w:bCs w:val="0"/>
        </w:rPr>
        <w:t xml:space="preserve"> This approach offers more scalability, enhanced data security, and less opportunities for errors to be introduced into the data set. Providing CMV carriers an approach that is automatic and less burdensome has two strong advantages: (1) it will lower the barrier for CMV carriers to sign up to provide their data; (2) it will make it easier for carriers to continue to provide data on an ongoing basis.</w:t>
      </w:r>
    </w:p>
    <w:p w:rsidR="005A7591" w:rsidP="00135629" w14:paraId="6E7D50F7" w14:textId="77777777">
      <w:pPr>
        <w:pStyle w:val="BodyText2"/>
        <w:rPr>
          <w:b w:val="0"/>
          <w:bCs w:val="0"/>
        </w:rPr>
      </w:pPr>
    </w:p>
    <w:p w:rsidR="005A7591" w:rsidRPr="0016660B" w:rsidP="00135629" w14:paraId="589804A5" w14:textId="77777777">
      <w:pPr>
        <w:pStyle w:val="BodyText2"/>
        <w:rPr>
          <w:b w:val="0"/>
          <w:bCs w:val="0"/>
        </w:rPr>
      </w:pPr>
      <w:r>
        <w:rPr>
          <w:b w:val="0"/>
          <w:bCs w:val="0"/>
        </w:rPr>
        <w:t>Because the research team has d</w:t>
      </w:r>
      <w:r w:rsidR="00974EF9">
        <w:rPr>
          <w:b w:val="0"/>
          <w:bCs w:val="0"/>
        </w:rPr>
        <w:t xml:space="preserve">emonstrated experience successfully </w:t>
      </w:r>
      <w:r w:rsidR="00523C9A">
        <w:rPr>
          <w:b w:val="0"/>
          <w:bCs w:val="0"/>
        </w:rPr>
        <w:t>using the Fatigue Meter tech</w:t>
      </w:r>
      <w:r w:rsidR="00E3127E">
        <w:rPr>
          <w:b w:val="0"/>
          <w:bCs w:val="0"/>
        </w:rPr>
        <w:t xml:space="preserve">nology </w:t>
      </w:r>
      <w:r w:rsidR="002E24F5">
        <w:rPr>
          <w:b w:val="0"/>
          <w:bCs w:val="0"/>
        </w:rPr>
        <w:t>to</w:t>
      </w:r>
      <w:r w:rsidR="00456E52">
        <w:rPr>
          <w:b w:val="0"/>
          <w:bCs w:val="0"/>
        </w:rPr>
        <w:t xml:space="preserve"> </w:t>
      </w:r>
      <w:r w:rsidR="002E24F5">
        <w:rPr>
          <w:b w:val="0"/>
          <w:bCs w:val="0"/>
        </w:rPr>
        <w:t>collect</w:t>
      </w:r>
      <w:r w:rsidR="00141B09">
        <w:rPr>
          <w:b w:val="0"/>
          <w:bCs w:val="0"/>
        </w:rPr>
        <w:t xml:space="preserve"> ELD</w:t>
      </w:r>
      <w:r w:rsidR="00BA78A1">
        <w:rPr>
          <w:b w:val="0"/>
          <w:bCs w:val="0"/>
        </w:rPr>
        <w:t xml:space="preserve"> and crash data from CMV carriers</w:t>
      </w:r>
      <w:r w:rsidR="00B82B90">
        <w:rPr>
          <w:b w:val="0"/>
          <w:bCs w:val="0"/>
        </w:rPr>
        <w:t xml:space="preserve"> </w:t>
      </w:r>
      <w:r w:rsidR="00456E52">
        <w:rPr>
          <w:b w:val="0"/>
          <w:bCs w:val="0"/>
        </w:rPr>
        <w:t>automatically</w:t>
      </w:r>
      <w:r w:rsidR="00FE2345">
        <w:rPr>
          <w:b w:val="0"/>
          <w:bCs w:val="0"/>
        </w:rPr>
        <w:t xml:space="preserve">, the </w:t>
      </w:r>
      <w:r w:rsidR="001677E3">
        <w:rPr>
          <w:b w:val="0"/>
          <w:bCs w:val="0"/>
        </w:rPr>
        <w:t>expected r</w:t>
      </w:r>
      <w:r w:rsidR="00F757C6">
        <w:rPr>
          <w:b w:val="0"/>
          <w:bCs w:val="0"/>
        </w:rPr>
        <w:t xml:space="preserve">isk of non-response is </w:t>
      </w:r>
      <w:r w:rsidR="007C13E9">
        <w:rPr>
          <w:b w:val="0"/>
          <w:bCs w:val="0"/>
        </w:rPr>
        <w:t xml:space="preserve">minimal. </w:t>
      </w:r>
      <w:r w:rsidR="000A572C">
        <w:rPr>
          <w:b w:val="0"/>
          <w:bCs w:val="0"/>
        </w:rPr>
        <w:t xml:space="preserve">Further, </w:t>
      </w:r>
      <w:r w:rsidR="00BE44F0">
        <w:rPr>
          <w:b w:val="0"/>
          <w:bCs w:val="0"/>
        </w:rPr>
        <w:t xml:space="preserve">the integration of Fatigue Meter </w:t>
      </w:r>
      <w:r w:rsidR="00DF3CFB">
        <w:rPr>
          <w:b w:val="0"/>
          <w:bCs w:val="0"/>
        </w:rPr>
        <w:t>with carriers’</w:t>
      </w:r>
      <w:r w:rsidR="00BE44F0">
        <w:rPr>
          <w:b w:val="0"/>
          <w:bCs w:val="0"/>
        </w:rPr>
        <w:t xml:space="preserve"> TSPs</w:t>
      </w:r>
      <w:r w:rsidR="00DF3CFB">
        <w:rPr>
          <w:b w:val="0"/>
          <w:bCs w:val="0"/>
        </w:rPr>
        <w:t xml:space="preserve"> </w:t>
      </w:r>
      <w:r w:rsidR="00AC2524">
        <w:rPr>
          <w:b w:val="0"/>
          <w:bCs w:val="0"/>
        </w:rPr>
        <w:t xml:space="preserve">reduces the risk of </w:t>
      </w:r>
      <w:r w:rsidR="00CC64F3">
        <w:rPr>
          <w:b w:val="0"/>
          <w:bCs w:val="0"/>
        </w:rPr>
        <w:t xml:space="preserve">receiving </w:t>
      </w:r>
      <w:r w:rsidR="00245419">
        <w:rPr>
          <w:b w:val="0"/>
          <w:bCs w:val="0"/>
        </w:rPr>
        <w:t>unreliable data.</w:t>
      </w:r>
    </w:p>
    <w:p w:rsidR="00585AF5" w:rsidRPr="0016660B" w:rsidP="00135629" w14:paraId="5AF723F4" w14:textId="77777777">
      <w:pPr>
        <w:pStyle w:val="BodyText2"/>
        <w:rPr>
          <w:b w:val="0"/>
          <w:bCs w:val="0"/>
        </w:rPr>
      </w:pPr>
    </w:p>
    <w:p w:rsidR="00585AF5" w:rsidRPr="00860BE7" w:rsidP="00135629" w14:paraId="562B24B3" w14:textId="77777777">
      <w:pPr>
        <w:pStyle w:val="BodyText2"/>
        <w:rPr>
          <w:b w:val="0"/>
          <w:bCs w:val="0"/>
        </w:rPr>
      </w:pPr>
    </w:p>
    <w:p w:rsidR="00585AF5" w:rsidRPr="0016660B" w:rsidP="00CF7E97" w14:paraId="502BD7CB" w14:textId="77777777">
      <w:pPr>
        <w:pStyle w:val="ListParagraph"/>
        <w:numPr>
          <w:ilvl w:val="0"/>
          <w:numId w:val="4"/>
        </w:numPr>
        <w:rPr>
          <w:b/>
        </w:rPr>
      </w:pPr>
      <w:r w:rsidRPr="00E24314">
        <w:rPr>
          <w:b/>
        </w:rPr>
        <w:t>DESCRIBE TESTS OF PROCEDURES OR METHODS TO BE UNDERTAKEN</w:t>
      </w:r>
      <w:r w:rsidRPr="005612EB" w:rsidR="0004749E">
        <w:t>.</w:t>
      </w:r>
      <w:r w:rsidRPr="005612EB" w:rsidR="00EF52E4">
        <w:t xml:space="preserve">  </w:t>
      </w:r>
      <w:r w:rsidR="00E24314">
        <w:br/>
      </w:r>
    </w:p>
    <w:p w:rsidR="009C62BA" w:rsidP="0016660B" w14:paraId="3D026EBF" w14:textId="77777777">
      <w:r>
        <w:t xml:space="preserve">The research team </w:t>
      </w:r>
      <w:r w:rsidR="00351207">
        <w:t xml:space="preserve">will leverage its </w:t>
      </w:r>
      <w:r w:rsidR="005C3A5A">
        <w:t>established Fatigue Meter technology and</w:t>
      </w:r>
      <w:r w:rsidR="004412BE">
        <w:t xml:space="preserve"> existing integrations to streamline the collection of ELD</w:t>
      </w:r>
      <w:r w:rsidR="00533424">
        <w:t>, SCE,</w:t>
      </w:r>
      <w:r w:rsidR="004412BE">
        <w:t xml:space="preserve"> and crash data from carriers. </w:t>
      </w:r>
      <w:r w:rsidR="00111196">
        <w:t xml:space="preserve">Given the </w:t>
      </w:r>
      <w:r w:rsidR="002672FA">
        <w:t xml:space="preserve">historical success </w:t>
      </w:r>
      <w:r w:rsidR="00364920">
        <w:t xml:space="preserve">of this data collection method, </w:t>
      </w:r>
      <w:r w:rsidR="00953324">
        <w:t xml:space="preserve">a test of </w:t>
      </w:r>
      <w:r w:rsidR="006F0797">
        <w:t>this collection</w:t>
      </w:r>
      <w:r w:rsidR="005972E0">
        <w:t xml:space="preserve"> </w:t>
      </w:r>
      <w:r w:rsidR="001C79D2">
        <w:t>procedure</w:t>
      </w:r>
      <w:r w:rsidR="006F0797">
        <w:t xml:space="preserve"> is not necessary. </w:t>
      </w:r>
    </w:p>
    <w:p w:rsidR="00381A6D" w:rsidP="0016660B" w14:paraId="215F73B9" w14:textId="77777777"/>
    <w:p w:rsidR="00381A6D" w:rsidP="0016660B" w14:paraId="65E74DFB" w14:textId="77777777">
      <w:r>
        <w:t xml:space="preserve">While the research team has experience with collecting and processing </w:t>
      </w:r>
      <w:r w:rsidR="00943A37">
        <w:t xml:space="preserve">demographic data from carriers, </w:t>
      </w:r>
      <w:r w:rsidR="00317466">
        <w:t xml:space="preserve">a test </w:t>
      </w:r>
      <w:r w:rsidR="009A097A">
        <w:t>to trial this process</w:t>
      </w:r>
      <w:r w:rsidR="00EA4C2B">
        <w:t xml:space="preserve"> </w:t>
      </w:r>
      <w:r w:rsidR="005E5A87">
        <w:t xml:space="preserve">with </w:t>
      </w:r>
      <w:r w:rsidR="00CF25ED">
        <w:t>up to three carriers is needed to ensure</w:t>
      </w:r>
      <w:r w:rsidR="00EF2D9B">
        <w:t xml:space="preserve"> </w:t>
      </w:r>
      <w:r w:rsidR="000F6A36">
        <w:t xml:space="preserve">all requested </w:t>
      </w:r>
      <w:r w:rsidR="00FF439B">
        <w:t xml:space="preserve">data is </w:t>
      </w:r>
      <w:r w:rsidR="00B477F1">
        <w:t>readily</w:t>
      </w:r>
      <w:r w:rsidR="00E06C75">
        <w:t xml:space="preserve"> transmissible </w:t>
      </w:r>
      <w:r w:rsidR="00F458FF">
        <w:t xml:space="preserve">and </w:t>
      </w:r>
      <w:r w:rsidR="007F3D47">
        <w:t xml:space="preserve">a </w:t>
      </w:r>
      <w:r w:rsidR="00684E45">
        <w:t>streamlined</w:t>
      </w:r>
      <w:r w:rsidR="00C86069">
        <w:t xml:space="preserve"> means of </w:t>
      </w:r>
      <w:r w:rsidR="00445D83">
        <w:t>receiving and parsing</w:t>
      </w:r>
      <w:r w:rsidR="006B1834">
        <w:t xml:space="preserve"> the</w:t>
      </w:r>
      <w:r w:rsidR="007F3D47">
        <w:t xml:space="preserve"> data is established  prior </w:t>
      </w:r>
      <w:r w:rsidR="00140AA0">
        <w:t xml:space="preserve">to </w:t>
      </w:r>
      <w:r w:rsidR="00D83C26">
        <w:t>ini</w:t>
      </w:r>
      <w:r w:rsidR="00C64065">
        <w:t xml:space="preserve">tiating information collection. </w:t>
      </w:r>
      <w:r w:rsidR="00EF2D9B">
        <w:t xml:space="preserve">Carriers </w:t>
      </w:r>
      <w:r w:rsidR="00BB3B47">
        <w:t>selected for this test will only be asked to provide a</w:t>
      </w:r>
      <w:r w:rsidR="006E0651">
        <w:t xml:space="preserve"> single transfer of demographic data.</w:t>
      </w:r>
      <w:r w:rsidR="008D269A">
        <w:t xml:space="preserve"> The</w:t>
      </w:r>
      <w:r w:rsidR="00361B4D">
        <w:t xml:space="preserve"> </w:t>
      </w:r>
      <w:r w:rsidR="00DB3727">
        <w:t>goal</w:t>
      </w:r>
      <w:r w:rsidR="00361B4D">
        <w:t xml:space="preserve"> of this test is to </w:t>
      </w:r>
      <w:r w:rsidR="00DB3727">
        <w:t>reduce the burden on carriers</w:t>
      </w:r>
      <w:r w:rsidR="004862B0">
        <w:t xml:space="preserve"> during the study.</w:t>
      </w:r>
    </w:p>
    <w:p w:rsidR="00D569DC" w:rsidRPr="0016660B" w:rsidP="00135629" w14:paraId="75A784DA" w14:textId="77777777">
      <w:pPr>
        <w:rPr>
          <w:b/>
          <w:i/>
          <w:iCs/>
        </w:rPr>
      </w:pPr>
      <w:r w:rsidRPr="0016660B">
        <w:rPr>
          <w:i/>
          <w:iCs/>
        </w:rPr>
        <w:br/>
      </w:r>
    </w:p>
    <w:p w:rsidR="007B2A8C" w:rsidRPr="0016660B" w:rsidP="00CF7E97" w14:paraId="36A083E6" w14:textId="77777777">
      <w:pPr>
        <w:pStyle w:val="ListParagraph"/>
        <w:numPr>
          <w:ilvl w:val="0"/>
          <w:numId w:val="4"/>
        </w:numPr>
        <w:rPr>
          <w:b/>
          <w:bCs/>
        </w:rPr>
      </w:pPr>
      <w:r w:rsidRPr="0016660B">
        <w:rPr>
          <w:b/>
          <w:bCs/>
        </w:rPr>
        <w:t xml:space="preserve">PROVIDE NAME AND TELEPHONE NUMBER OF INDIVIDUALS WHO WERE CONSULTED ON STATISTICAL ASPECTS OF THE INFORMATION COLLECTION AND WHO WILL ACTUALLY COLLECT AND/OR ANALYZE THE INFORMATION.          </w:t>
      </w:r>
    </w:p>
    <w:p w:rsidR="006A53B2" w:rsidP="00135629" w14:paraId="46F0ED30" w14:textId="77777777"/>
    <w:p w:rsidR="00E465EC" w:rsidP="00135629" w14:paraId="23C83417" w14:textId="77777777">
      <w:r>
        <w:rPr>
          <w:b/>
          <w:bCs/>
        </w:rPr>
        <w:t>Project Leads for this information collection request</w:t>
      </w:r>
      <w:r>
        <w:t>:</w:t>
      </w:r>
    </w:p>
    <w:p w:rsidR="00E465EC" w:rsidP="00135629" w14:paraId="52830E2D" w14:textId="77777777"/>
    <w:p w:rsidR="00E465EC" w:rsidRPr="0016660B" w:rsidP="00135629" w14:paraId="08C3BA8E" w14:textId="77777777">
      <w:pPr>
        <w:rPr>
          <w:b/>
          <w:bCs/>
        </w:rPr>
      </w:pPr>
      <w:r w:rsidRPr="0016660B">
        <w:rPr>
          <w:b/>
          <w:bCs/>
        </w:rPr>
        <w:t>Theresa Hallquist</w:t>
      </w:r>
    </w:p>
    <w:p w:rsidR="00E465EC" w:rsidRPr="0016660B" w:rsidP="00135629" w14:paraId="57D883C5" w14:textId="77777777">
      <w:pPr>
        <w:rPr>
          <w:b/>
          <w:bCs/>
        </w:rPr>
      </w:pPr>
      <w:r w:rsidRPr="0016660B">
        <w:rPr>
          <w:b/>
          <w:bCs/>
        </w:rPr>
        <w:t>Project Manager</w:t>
      </w:r>
      <w:r>
        <w:rPr>
          <w:b/>
          <w:bCs/>
        </w:rPr>
        <w:t>, Research Division</w:t>
      </w:r>
    </w:p>
    <w:p w:rsidR="00E465EC" w:rsidRPr="0016660B" w:rsidP="00135629" w14:paraId="28440086" w14:textId="77777777">
      <w:pPr>
        <w:rPr>
          <w:b/>
          <w:bCs/>
        </w:rPr>
      </w:pPr>
      <w:r w:rsidRPr="0016660B">
        <w:rPr>
          <w:b/>
          <w:bCs/>
        </w:rPr>
        <w:t>Federal Motor Carrier Safety Administration</w:t>
      </w:r>
    </w:p>
    <w:p w:rsidR="00E465EC" w:rsidP="00135629" w14:paraId="53D4D3FE" w14:textId="77777777">
      <w:r>
        <w:t>1200 New Jersey Ave SE</w:t>
      </w:r>
    </w:p>
    <w:p w:rsidR="00E465EC" w:rsidP="00135629" w14:paraId="26D5A3C5" w14:textId="77777777">
      <w:r>
        <w:t>Washington, DC 20590</w:t>
      </w:r>
    </w:p>
    <w:p w:rsidR="00E465EC" w:rsidP="00135629" w14:paraId="6CF89701" w14:textId="77777777">
      <w:r>
        <w:t>+1 202.366.1064</w:t>
      </w:r>
    </w:p>
    <w:p w:rsidR="00E465EC" w:rsidP="00135629" w14:paraId="17C5E46C" w14:textId="77777777">
      <w:r>
        <w:t>theresa.hallquist@dot.gov</w:t>
      </w:r>
    </w:p>
    <w:p w:rsidR="00E465EC" w:rsidP="00135629" w14:paraId="1DD8BBCF" w14:textId="77777777"/>
    <w:p w:rsidR="00E465EC" w:rsidP="00E465EC" w14:paraId="1EA9ACFF" w14:textId="77777777">
      <w:pPr>
        <w:rPr>
          <w:b/>
          <w:bCs/>
        </w:rPr>
      </w:pPr>
      <w:r w:rsidRPr="0016660B">
        <w:rPr>
          <w:b/>
          <w:bCs/>
        </w:rPr>
        <w:t>Daniel Mollicone, PhD</w:t>
      </w:r>
    </w:p>
    <w:p w:rsidR="00E465EC" w:rsidP="00E465EC" w14:paraId="6E5E8056" w14:textId="77777777">
      <w:pPr>
        <w:rPr>
          <w:b/>
          <w:bCs/>
        </w:rPr>
      </w:pPr>
      <w:r>
        <w:rPr>
          <w:b/>
          <w:bCs/>
        </w:rPr>
        <w:t>CEO &amp; Chief Scientist</w:t>
      </w:r>
    </w:p>
    <w:p w:rsidR="00E465EC" w:rsidP="00E465EC" w14:paraId="3A6E4AF2" w14:textId="77777777">
      <w:r>
        <w:rPr>
          <w:b/>
          <w:bCs/>
        </w:rPr>
        <w:t>Pulsar Informatics</w:t>
      </w:r>
    </w:p>
    <w:p w:rsidR="00E465EC" w:rsidP="00E465EC" w14:paraId="343DE860" w14:textId="77777777">
      <w:r>
        <w:t>505 Broadway E #136</w:t>
      </w:r>
    </w:p>
    <w:p w:rsidR="00E465EC" w:rsidRPr="00E465EC" w:rsidP="00E465EC" w14:paraId="46088922" w14:textId="77777777">
      <w:r>
        <w:t>Seattle, WA 98102</w:t>
      </w:r>
    </w:p>
    <w:p w:rsidR="00E465EC" w:rsidP="00E465EC" w14:paraId="5081CA85" w14:textId="77777777">
      <w:r>
        <w:t xml:space="preserve">+1 877.791.0989 </w:t>
      </w:r>
    </w:p>
    <w:p w:rsidR="00E465EC" w:rsidP="00E465EC" w14:paraId="1E43431C" w14:textId="77777777">
      <w:r>
        <w:t>daniel@pulsarinformatics.com</w:t>
      </w:r>
    </w:p>
    <w:p w:rsidR="001E45C1" w:rsidP="00135629" w14:paraId="15724724" w14:textId="77777777"/>
    <w:p w:rsidR="00403D01" w:rsidP="00403D01" w14:paraId="5C1FEBDF" w14:textId="77777777">
      <w:pPr>
        <w:rPr>
          <w:b/>
          <w:bCs/>
        </w:rPr>
      </w:pPr>
      <w:bookmarkStart w:id="18" w:name="_Toc184730799"/>
    </w:p>
    <w:p w:rsidR="005B3B2E" w:rsidP="0016660B" w14:paraId="4FA8A1E7" w14:textId="77777777">
      <w:pPr>
        <w:spacing w:line="360" w:lineRule="auto"/>
        <w:rPr>
          <w:b/>
          <w:bCs/>
        </w:rPr>
      </w:pPr>
      <w:r w:rsidRPr="00403D01">
        <w:rPr>
          <w:b/>
          <w:bCs/>
        </w:rPr>
        <w:t>REFERENCES</w:t>
      </w:r>
      <w:bookmarkEnd w:id="18"/>
      <w:r w:rsidR="00D201ED">
        <w:rPr>
          <w:b/>
          <w:bCs/>
        </w:rPr>
        <w:t>:</w:t>
      </w:r>
    </w:p>
    <w:p w:rsidR="00B3220B" w:rsidRPr="00860FC4" w:rsidP="00CF7E97" w14:paraId="1357F73C" w14:textId="77777777">
      <w:pPr>
        <w:pStyle w:val="ListParagraph"/>
        <w:numPr>
          <w:ilvl w:val="0"/>
          <w:numId w:val="14"/>
        </w:numPr>
        <w:contextualSpacing/>
      </w:pPr>
      <w:r>
        <w:t xml:space="preserve">Federal Motor Carrier Safety Administration. (1999). </w:t>
      </w:r>
      <w:r w:rsidRPr="00860FC4">
        <w:t>Commercial Truck Driver Fatigue, Alertness, and Countermeasures Survey.</w:t>
      </w:r>
    </w:p>
    <w:p w:rsidR="00C431D3" w:rsidRPr="00860BE7" w:rsidP="00CF7E97" w14:paraId="30B463E2" w14:textId="77777777">
      <w:pPr>
        <w:pStyle w:val="ListParagraph"/>
        <w:numPr>
          <w:ilvl w:val="0"/>
          <w:numId w:val="14"/>
        </w:numPr>
        <w:contextualSpacing/>
      </w:pPr>
      <w:r w:rsidRPr="001B2DA3">
        <w:t>Blanco, M., Hanowski, R., Olson, R., Morgan, J., Soccolich, S., Wu, S., Guo, F. (2011). The Impact of Driving, Non-Driving Work, and Rest Breaks on Driving Performance in Commercial Motor Vehicle Operations.</w:t>
      </w:r>
    </w:p>
    <w:p w:rsidR="00C431D3" w:rsidRPr="00860BE7" w:rsidP="00CF7E97" w14:paraId="13689997" w14:textId="77777777">
      <w:pPr>
        <w:pStyle w:val="ListParagraph"/>
        <w:numPr>
          <w:ilvl w:val="0"/>
          <w:numId w:val="14"/>
        </w:numPr>
        <w:contextualSpacing/>
      </w:pPr>
      <w:r w:rsidRPr="00860BE7">
        <w:t>Dembe</w:t>
      </w:r>
      <w:r w:rsidR="001B2DA3">
        <w:t>,</w:t>
      </w:r>
      <w:r w:rsidRPr="00860BE7">
        <w:t xml:space="preserve"> A</w:t>
      </w:r>
      <w:r w:rsidR="001B2DA3">
        <w:t>.</w:t>
      </w:r>
      <w:r w:rsidRPr="00860BE7">
        <w:t>, Erickson</w:t>
      </w:r>
      <w:r w:rsidR="001B2DA3">
        <w:t>,</w:t>
      </w:r>
      <w:r w:rsidRPr="00860BE7">
        <w:t xml:space="preserve"> J</w:t>
      </w:r>
      <w:r w:rsidR="001B2DA3">
        <w:t>.</w:t>
      </w:r>
      <w:r w:rsidRPr="00860BE7">
        <w:t>, Delbos</w:t>
      </w:r>
      <w:r w:rsidR="001B2DA3">
        <w:t>,</w:t>
      </w:r>
      <w:r w:rsidRPr="00860BE7">
        <w:t xml:space="preserve"> R</w:t>
      </w:r>
      <w:r w:rsidR="001B2DA3">
        <w:t>.</w:t>
      </w:r>
      <w:r w:rsidRPr="00860BE7">
        <w:t>, Banks</w:t>
      </w:r>
      <w:r w:rsidR="001B2DA3">
        <w:t>,</w:t>
      </w:r>
      <w:r w:rsidRPr="00860BE7">
        <w:t xml:space="preserve"> S. </w:t>
      </w:r>
      <w:r w:rsidR="00096AE5">
        <w:t xml:space="preserve">(2005). </w:t>
      </w:r>
      <w:r w:rsidRPr="00860BE7">
        <w:t>The impact of overtime and long work hours on occupational injuries and illnesses: new evidence from the United States. Occupational and Environmental Medicine. 62(9):588-97.</w:t>
      </w:r>
    </w:p>
    <w:p w:rsidR="00C431D3" w:rsidRPr="00860BE7" w:rsidP="00CF7E97" w14:paraId="2ED8EA15" w14:textId="77777777">
      <w:pPr>
        <w:pStyle w:val="ListParagraph"/>
        <w:numPr>
          <w:ilvl w:val="0"/>
          <w:numId w:val="14"/>
        </w:numPr>
        <w:contextualSpacing/>
      </w:pPr>
      <w:r w:rsidRPr="00860BE7">
        <w:t>Darwent</w:t>
      </w:r>
      <w:r w:rsidR="0088771B">
        <w:t>,</w:t>
      </w:r>
      <w:r w:rsidRPr="00860BE7">
        <w:t xml:space="preserve"> D</w:t>
      </w:r>
      <w:r w:rsidR="0088771B">
        <w:t>.</w:t>
      </w:r>
      <w:r w:rsidRPr="00860BE7">
        <w:t>, Roach</w:t>
      </w:r>
      <w:r w:rsidR="0088771B">
        <w:t>,</w:t>
      </w:r>
      <w:r w:rsidRPr="00860BE7">
        <w:t xml:space="preserve"> G</w:t>
      </w:r>
      <w:r w:rsidR="0088771B">
        <w:t>.</w:t>
      </w:r>
      <w:r w:rsidRPr="00860BE7">
        <w:t>, Dawson</w:t>
      </w:r>
      <w:r w:rsidR="0088771B">
        <w:t>,</w:t>
      </w:r>
      <w:r w:rsidRPr="00860BE7">
        <w:t xml:space="preserve"> D.</w:t>
      </w:r>
      <w:r w:rsidR="0088771B">
        <w:t xml:space="preserve"> (2012). </w:t>
      </w:r>
      <w:r w:rsidRPr="00860BE7">
        <w:t xml:space="preserve"> How well do truck drivers sleep in cabin sleeper berths? Applied Ergonomics. 43(2):442-6.</w:t>
      </w:r>
    </w:p>
    <w:p w:rsidR="00C431D3" w:rsidRPr="00860BE7" w:rsidP="00CF7E97" w14:paraId="5298F242" w14:textId="77777777">
      <w:pPr>
        <w:pStyle w:val="ListParagraph"/>
        <w:numPr>
          <w:ilvl w:val="0"/>
          <w:numId w:val="14"/>
        </w:numPr>
        <w:contextualSpacing/>
      </w:pPr>
      <w:r w:rsidRPr="00860BE7">
        <w:t>Hertz</w:t>
      </w:r>
      <w:r w:rsidR="00F62C76">
        <w:t>,</w:t>
      </w:r>
      <w:r w:rsidRPr="00860BE7">
        <w:t xml:space="preserve"> R.</w:t>
      </w:r>
      <w:r w:rsidR="00F62C76">
        <w:t xml:space="preserve"> (1988).</w:t>
      </w:r>
      <w:r w:rsidRPr="00860BE7">
        <w:rPr>
          <w:i/>
          <w:iCs/>
        </w:rPr>
        <w:t xml:space="preserve"> </w:t>
      </w:r>
      <w:r w:rsidRPr="00860BE7">
        <w:t>Tractor-trailer driver fatality: The role of nonconsecutive rest in a sleeper berth. Accident Analysis &amp; Prevention. 20(6):431-9.</w:t>
      </w:r>
    </w:p>
    <w:p w:rsidR="00824F59" w:rsidRPr="00860BE7" w:rsidP="00CF7E97" w14:paraId="5092A485" w14:textId="77777777">
      <w:pPr>
        <w:pStyle w:val="ListParagraph"/>
        <w:numPr>
          <w:ilvl w:val="0"/>
          <w:numId w:val="14"/>
        </w:numPr>
        <w:contextualSpacing/>
      </w:pPr>
      <w:r w:rsidRPr="00860BE7">
        <w:t>Jovanis</w:t>
      </w:r>
      <w:r w:rsidR="00F62C76">
        <w:t>,</w:t>
      </w:r>
      <w:r w:rsidRPr="00860BE7">
        <w:t xml:space="preserve"> P</w:t>
      </w:r>
      <w:r w:rsidR="00F62C76">
        <w:t>.</w:t>
      </w:r>
      <w:r w:rsidRPr="00860BE7">
        <w:t>, Wu</w:t>
      </w:r>
      <w:r w:rsidR="00F62C76">
        <w:t>,</w:t>
      </w:r>
      <w:r w:rsidRPr="00860BE7">
        <w:t xml:space="preserve"> K-F</w:t>
      </w:r>
      <w:r w:rsidR="00F62C76">
        <w:t>.</w:t>
      </w:r>
      <w:r w:rsidRPr="00860BE7">
        <w:t>, Chen</w:t>
      </w:r>
      <w:r w:rsidR="00F62C76">
        <w:t>,</w:t>
      </w:r>
      <w:r w:rsidRPr="00860BE7">
        <w:t xml:space="preserve"> C. </w:t>
      </w:r>
      <w:r w:rsidR="00F62C76">
        <w:t xml:space="preserve">(2012). </w:t>
      </w:r>
      <w:r w:rsidRPr="00860BE7">
        <w:t>Effects of Hours of Service and Driving Patterns on Motor Carrier Crashes. Transportation Research Record. 2281:119-27.</w:t>
      </w:r>
    </w:p>
    <w:p w:rsidR="004334BF" w:rsidRPr="002B433B" w:rsidP="00CF7E97" w14:paraId="24BE544A" w14:textId="77777777">
      <w:pPr>
        <w:pStyle w:val="ListParagraph"/>
        <w:numPr>
          <w:ilvl w:val="0"/>
          <w:numId w:val="14"/>
        </w:numPr>
        <w:contextualSpacing/>
        <w:rPr>
          <w:b/>
          <w:bCs/>
        </w:rPr>
      </w:pPr>
      <w:r>
        <w:t xml:space="preserve">MCMIS </w:t>
      </w:r>
      <w:r w:rsidRPr="00A74422">
        <w:t xml:space="preserve">A&amp;I Crash Statistics </w:t>
      </w:r>
      <w:r>
        <w:t>(http://</w:t>
      </w:r>
      <w:r w:rsidRPr="00A74422">
        <w:t>ai.fmcsa.dot.gov</w:t>
      </w:r>
      <w:r>
        <w:t>)</w:t>
      </w:r>
    </w:p>
    <w:p w:rsidR="00A74422" w:rsidP="00CF7E97" w14:paraId="34B469C9" w14:textId="77777777">
      <w:pPr>
        <w:pStyle w:val="ListParagraph"/>
        <w:numPr>
          <w:ilvl w:val="0"/>
          <w:numId w:val="14"/>
        </w:numPr>
        <w:contextualSpacing/>
      </w:pPr>
      <w:r>
        <w:t xml:space="preserve">Federal Motor Carrier Safety Administration (2021). </w:t>
      </w:r>
      <w:r w:rsidRPr="00824F59">
        <w:t>Crashes, Vehicle Miles Traveled, and Crash Rate for Combination Trucks 2019-2021</w:t>
      </w:r>
      <w:r>
        <w:t xml:space="preserve">. </w:t>
      </w:r>
      <w:r w:rsidRPr="005612EB" w:rsidR="00B2051C">
        <w:t xml:space="preserve">  </w:t>
      </w:r>
    </w:p>
    <w:p w:rsidR="00CD7543" w:rsidRPr="001C2B34" w:rsidP="002B433B" w14:paraId="084B01C4" w14:textId="77777777">
      <w:pPr>
        <w:contextualSpacing/>
      </w:pPr>
    </w:p>
    <w:sectPr w:rsidSect="00715FCE">
      <w:footnotePr>
        <w:numFmt w:val="lowerLetter"/>
      </w:footnotePr>
      <w:endnotePr>
        <w:numFmt w:val="decimal"/>
      </w:endnotePr>
      <w:type w:val="continuous"/>
      <w:pgSz w:w="12240" w:h="15840" w:code="1"/>
      <w:pgMar w:top="1296" w:right="1440" w:bottom="1296" w:left="1440" w:header="720" w:footer="720"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1112" w:rsidP="00135629" w14:paraId="6286252A" w14:textId="77777777">
      <w:r>
        <w:separator/>
      </w:r>
    </w:p>
    <w:p w:rsidR="00A51112" w:rsidP="00135629" w14:paraId="4F4CB33E" w14:textId="77777777"/>
  </w:endnote>
  <w:endnote w:type="continuationSeparator" w:id="1">
    <w:p w:rsidR="00A51112" w:rsidP="00135629" w14:paraId="2E6CC2F9" w14:textId="77777777">
      <w:r>
        <w:continuationSeparator/>
      </w:r>
    </w:p>
    <w:p w:rsidR="00A51112" w:rsidP="00135629" w14:paraId="1D8090F8" w14:textId="77777777"/>
  </w:endnote>
  <w:endnote w:type="continuationNotice" w:id="2">
    <w:p w:rsidR="00A51112" w14:paraId="66DEF0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5115" w:rsidP="0016660B" w14:paraId="1FBE50E1" w14:textId="77777777">
    <w:pPr>
      <w:pStyle w:val="Footer"/>
      <w:jc w:val="center"/>
    </w:pPr>
    <w:r w:rsidRPr="00824F59">
      <w:rPr>
        <w:rStyle w:val="PageNumber"/>
        <w:noProof/>
      </w:rPr>
      <w:fldChar w:fldCharType="begin"/>
    </w:r>
    <w:r w:rsidRPr="00824F59">
      <w:rPr>
        <w:rStyle w:val="PageNumber"/>
        <w:noProof/>
      </w:rPr>
      <w:instrText xml:space="preserve"> PAGE   \* MERGEFORMAT </w:instrText>
    </w:r>
    <w:r w:rsidRPr="00824F59">
      <w:rPr>
        <w:rStyle w:val="PageNumber"/>
        <w:noProof/>
      </w:rPr>
      <w:fldChar w:fldCharType="separate"/>
    </w:r>
    <w:r w:rsidRPr="00824F59">
      <w:rPr>
        <w:rStyle w:val="PageNumber"/>
        <w:noProof/>
      </w:rPr>
      <w:t>1</w:t>
    </w:r>
    <w:r w:rsidRPr="00824F59">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1112" w:rsidP="00135629" w14:paraId="0ED2BCA3" w14:textId="77777777">
      <w:r>
        <w:separator/>
      </w:r>
    </w:p>
    <w:p w:rsidR="00A51112" w:rsidP="00135629" w14:paraId="459B6952" w14:textId="77777777"/>
  </w:footnote>
  <w:footnote w:type="continuationSeparator" w:id="1">
    <w:p w:rsidR="00A51112" w:rsidP="00135629" w14:paraId="66C9F3C4" w14:textId="77777777">
      <w:r>
        <w:continuationSeparator/>
      </w:r>
    </w:p>
    <w:p w:rsidR="00A51112" w:rsidP="00135629" w14:paraId="6C9989EE" w14:textId="77777777"/>
  </w:footnote>
  <w:footnote w:type="continuationNotice" w:id="2">
    <w:p w:rsidR="00A51112" w14:paraId="0965CE3B" w14:textId="77777777"/>
  </w:footnote>
  <w:footnote w:id="3">
    <w:p w:rsidR="00574F5F" w14:paraId="4E7B96EE" w14:textId="77777777">
      <w:pPr>
        <w:pStyle w:val="FootnoteText"/>
      </w:pPr>
      <w:r>
        <w:rPr>
          <w:rStyle w:val="FootnoteReference"/>
        </w:rPr>
        <w:footnoteRef/>
      </w:r>
      <w:r>
        <w:t xml:space="preserve"> </w:t>
      </w:r>
      <w:r w:rsidRPr="009E6DC0">
        <w:rPr>
          <w:sz w:val="18"/>
          <w:szCs w:val="18"/>
        </w:rPr>
        <w:t>The variable of interest can be treated as continuous variable or a vector of indicator variables, when the variable is binned into discrete. For example, the cumulative hours of driving in the prior 7 days may be treated as a continuous variable (e.g.</w:t>
      </w:r>
      <w:r w:rsidR="009A4C7B">
        <w:rPr>
          <w:sz w:val="18"/>
          <w:szCs w:val="18"/>
        </w:rPr>
        <w:t>,</w:t>
      </w:r>
      <w:r w:rsidRPr="009E6DC0">
        <w:rPr>
          <w:sz w:val="18"/>
          <w:szCs w:val="18"/>
        </w:rPr>
        <w:t xml:space="preserve"> 0 – 80 hours) or as binned into discrete groups (e.g., 0 – 20 hours, 21 – 40 hours, etc.), with a vector of indicator variables to encode which bin the duty belongs.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D64D5"/>
    <w:multiLevelType w:val="hybridMultilevel"/>
    <w:tmpl w:val="22161F0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3F2471"/>
    <w:multiLevelType w:val="hybridMultilevel"/>
    <w:tmpl w:val="9C3A04D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265A142D"/>
    <w:multiLevelType w:val="hybridMultilevel"/>
    <w:tmpl w:val="BE2ACB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3045BB3"/>
    <w:multiLevelType w:val="hybridMultilevel"/>
    <w:tmpl w:val="D72A0C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D26517"/>
    <w:multiLevelType w:val="multilevel"/>
    <w:tmpl w:val="DC1A640A"/>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3B852BBA"/>
    <w:multiLevelType w:val="hybridMultilevel"/>
    <w:tmpl w:val="9F202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36A08F7"/>
    <w:multiLevelType w:val="hybridMultilevel"/>
    <w:tmpl w:val="2E8893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D5903ED"/>
    <w:multiLevelType w:val="hybridMultilevel"/>
    <w:tmpl w:val="7032B9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100010A"/>
    <w:multiLevelType w:val="hybridMultilevel"/>
    <w:tmpl w:val="44781D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7648CA"/>
    <w:multiLevelType w:val="hybridMultilevel"/>
    <w:tmpl w:val="71BA49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0B1F52"/>
    <w:multiLevelType w:val="hybridMultilevel"/>
    <w:tmpl w:val="89A04312"/>
    <w:lvl w:ilvl="0">
      <w:start w:val="1"/>
      <w:numFmt w:val="upperLetter"/>
      <w:lvlText w:val="%1."/>
      <w:lvlJc w:val="left"/>
      <w:pPr>
        <w:tabs>
          <w:tab w:val="num" w:pos="360"/>
        </w:tabs>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7E060422"/>
    <w:multiLevelType w:val="hybridMultilevel"/>
    <w:tmpl w:val="B3183624"/>
    <w:lvl w:ilvl="0">
      <w:start w:val="1"/>
      <w:numFmt w:val="decimal"/>
      <w:lvlText w:val="%1."/>
      <w:lvlJc w:val="left"/>
      <w:pPr>
        <w:tabs>
          <w:tab w:val="num" w:pos="360"/>
        </w:tabs>
        <w:ind w:left="360" w:hanging="360"/>
      </w:pPr>
      <w:rPr>
        <w:rFonts w:hint="default"/>
      </w:rPr>
    </w:lvl>
    <w:lvl w:ilvl="1">
      <w:start w:val="1"/>
      <w:numFmt w:val="upperLetter"/>
      <w:lvlText w:val="%2."/>
      <w:lvlJc w:val="left"/>
      <w:pPr>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7E125754"/>
    <w:multiLevelType w:val="hybridMultilevel"/>
    <w:tmpl w:val="F1ACE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EB10FB0"/>
    <w:multiLevelType w:val="hybridMultilevel"/>
    <w:tmpl w:val="5AA4A526"/>
    <w:lvl w:ilvl="0">
      <w:start w:val="1"/>
      <w:numFmt w:val="decimal"/>
      <w:lvlText w:val="%1."/>
      <w:lvlJc w:val="left"/>
      <w:pPr>
        <w:ind w:left="360" w:hanging="360"/>
      </w:pPr>
      <w:rPr>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26213699">
    <w:abstractNumId w:val="11"/>
  </w:num>
  <w:num w:numId="2" w16cid:durableId="972102336">
    <w:abstractNumId w:val="13"/>
  </w:num>
  <w:num w:numId="3" w16cid:durableId="1942567777">
    <w:abstractNumId w:val="14"/>
  </w:num>
  <w:num w:numId="4" w16cid:durableId="925765400">
    <w:abstractNumId w:val="4"/>
  </w:num>
  <w:num w:numId="5" w16cid:durableId="560529628">
    <w:abstractNumId w:val="2"/>
  </w:num>
  <w:num w:numId="6" w16cid:durableId="435293334">
    <w:abstractNumId w:val="0"/>
  </w:num>
  <w:num w:numId="7" w16cid:durableId="910116654">
    <w:abstractNumId w:val="3"/>
  </w:num>
  <w:num w:numId="8" w16cid:durableId="749160801">
    <w:abstractNumId w:val="7"/>
  </w:num>
  <w:num w:numId="9" w16cid:durableId="1534417437">
    <w:abstractNumId w:val="6"/>
  </w:num>
  <w:num w:numId="10" w16cid:durableId="1091315483">
    <w:abstractNumId w:val="9"/>
  </w:num>
  <w:num w:numId="11" w16cid:durableId="1966350326">
    <w:abstractNumId w:val="8"/>
  </w:num>
  <w:num w:numId="12" w16cid:durableId="994574877">
    <w:abstractNumId w:val="5"/>
  </w:num>
  <w:num w:numId="13" w16cid:durableId="1967152167">
    <w:abstractNumId w:val="12"/>
  </w:num>
  <w:num w:numId="14" w16cid:durableId="1038554305">
    <w:abstractNumId w:val="1"/>
  </w:num>
  <w:num w:numId="15" w16cid:durableId="1051613164">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F5D"/>
    <w:rsid w:val="000002E8"/>
    <w:rsid w:val="00000A8D"/>
    <w:rsid w:val="0000110A"/>
    <w:rsid w:val="000018C8"/>
    <w:rsid w:val="0000194A"/>
    <w:rsid w:val="0000233B"/>
    <w:rsid w:val="000023E6"/>
    <w:rsid w:val="000025FF"/>
    <w:rsid w:val="00003C53"/>
    <w:rsid w:val="00004427"/>
    <w:rsid w:val="000054C7"/>
    <w:rsid w:val="00005E37"/>
    <w:rsid w:val="000060E1"/>
    <w:rsid w:val="000063A1"/>
    <w:rsid w:val="00006677"/>
    <w:rsid w:val="00007404"/>
    <w:rsid w:val="000075CC"/>
    <w:rsid w:val="00012861"/>
    <w:rsid w:val="00015365"/>
    <w:rsid w:val="00015BC3"/>
    <w:rsid w:val="000169F7"/>
    <w:rsid w:val="000174B3"/>
    <w:rsid w:val="000175AD"/>
    <w:rsid w:val="000200B1"/>
    <w:rsid w:val="00020AD6"/>
    <w:rsid w:val="00020FFC"/>
    <w:rsid w:val="00021391"/>
    <w:rsid w:val="00021551"/>
    <w:rsid w:val="00022714"/>
    <w:rsid w:val="00022B71"/>
    <w:rsid w:val="00022C53"/>
    <w:rsid w:val="0002345E"/>
    <w:rsid w:val="00024AF3"/>
    <w:rsid w:val="0002509F"/>
    <w:rsid w:val="00025314"/>
    <w:rsid w:val="00026A08"/>
    <w:rsid w:val="00026D3B"/>
    <w:rsid w:val="00030880"/>
    <w:rsid w:val="00030F06"/>
    <w:rsid w:val="00032FFA"/>
    <w:rsid w:val="00033030"/>
    <w:rsid w:val="000360B2"/>
    <w:rsid w:val="000366E7"/>
    <w:rsid w:val="00037A7B"/>
    <w:rsid w:val="00040044"/>
    <w:rsid w:val="00040B5D"/>
    <w:rsid w:val="00040B79"/>
    <w:rsid w:val="00040ECC"/>
    <w:rsid w:val="00041797"/>
    <w:rsid w:val="0004284C"/>
    <w:rsid w:val="00042854"/>
    <w:rsid w:val="0004369B"/>
    <w:rsid w:val="00044752"/>
    <w:rsid w:val="0004749E"/>
    <w:rsid w:val="00047BF4"/>
    <w:rsid w:val="00051A0F"/>
    <w:rsid w:val="00052985"/>
    <w:rsid w:val="00053277"/>
    <w:rsid w:val="00053AF5"/>
    <w:rsid w:val="00054AE7"/>
    <w:rsid w:val="00056164"/>
    <w:rsid w:val="000569F0"/>
    <w:rsid w:val="00057873"/>
    <w:rsid w:val="00057B24"/>
    <w:rsid w:val="0006084B"/>
    <w:rsid w:val="000609AB"/>
    <w:rsid w:val="00063A03"/>
    <w:rsid w:val="00063EC2"/>
    <w:rsid w:val="00066011"/>
    <w:rsid w:val="00067EAF"/>
    <w:rsid w:val="00070AEE"/>
    <w:rsid w:val="00072F19"/>
    <w:rsid w:val="00073FD1"/>
    <w:rsid w:val="00076278"/>
    <w:rsid w:val="0007777C"/>
    <w:rsid w:val="00077FC2"/>
    <w:rsid w:val="00081643"/>
    <w:rsid w:val="000825EA"/>
    <w:rsid w:val="0008270D"/>
    <w:rsid w:val="0008287A"/>
    <w:rsid w:val="00083937"/>
    <w:rsid w:val="00084561"/>
    <w:rsid w:val="0008535B"/>
    <w:rsid w:val="000856E1"/>
    <w:rsid w:val="0008638D"/>
    <w:rsid w:val="00086E9A"/>
    <w:rsid w:val="0009024E"/>
    <w:rsid w:val="00090793"/>
    <w:rsid w:val="00091DD6"/>
    <w:rsid w:val="00094088"/>
    <w:rsid w:val="00094904"/>
    <w:rsid w:val="00094B2B"/>
    <w:rsid w:val="00094CCD"/>
    <w:rsid w:val="00095F91"/>
    <w:rsid w:val="00096582"/>
    <w:rsid w:val="00096AE5"/>
    <w:rsid w:val="00096BEB"/>
    <w:rsid w:val="0009729C"/>
    <w:rsid w:val="000A0FB1"/>
    <w:rsid w:val="000A1BB0"/>
    <w:rsid w:val="000A2DAD"/>
    <w:rsid w:val="000A2FA6"/>
    <w:rsid w:val="000A3CF2"/>
    <w:rsid w:val="000A507E"/>
    <w:rsid w:val="000A524A"/>
    <w:rsid w:val="000A572C"/>
    <w:rsid w:val="000A64A2"/>
    <w:rsid w:val="000B0BDC"/>
    <w:rsid w:val="000B0EB3"/>
    <w:rsid w:val="000B13F7"/>
    <w:rsid w:val="000B20A8"/>
    <w:rsid w:val="000B349B"/>
    <w:rsid w:val="000B5AA6"/>
    <w:rsid w:val="000B5B2A"/>
    <w:rsid w:val="000B69F1"/>
    <w:rsid w:val="000B78DA"/>
    <w:rsid w:val="000B7C93"/>
    <w:rsid w:val="000B7E48"/>
    <w:rsid w:val="000C07B0"/>
    <w:rsid w:val="000C3CC6"/>
    <w:rsid w:val="000C418F"/>
    <w:rsid w:val="000C4FA3"/>
    <w:rsid w:val="000C6002"/>
    <w:rsid w:val="000C7126"/>
    <w:rsid w:val="000D1072"/>
    <w:rsid w:val="000D2A0F"/>
    <w:rsid w:val="000D3BB6"/>
    <w:rsid w:val="000D4D9D"/>
    <w:rsid w:val="000D4DFF"/>
    <w:rsid w:val="000D6202"/>
    <w:rsid w:val="000D64CE"/>
    <w:rsid w:val="000D64E9"/>
    <w:rsid w:val="000D68EE"/>
    <w:rsid w:val="000E34F3"/>
    <w:rsid w:val="000E368F"/>
    <w:rsid w:val="000E46FE"/>
    <w:rsid w:val="000E5A4E"/>
    <w:rsid w:val="000E6D17"/>
    <w:rsid w:val="000E7CDB"/>
    <w:rsid w:val="000F0014"/>
    <w:rsid w:val="000F023E"/>
    <w:rsid w:val="000F1F52"/>
    <w:rsid w:val="000F2E09"/>
    <w:rsid w:val="000F3968"/>
    <w:rsid w:val="000F3B88"/>
    <w:rsid w:val="000F3E80"/>
    <w:rsid w:val="000F5926"/>
    <w:rsid w:val="000F64F6"/>
    <w:rsid w:val="000F6A36"/>
    <w:rsid w:val="000F6F76"/>
    <w:rsid w:val="000F7115"/>
    <w:rsid w:val="000F753D"/>
    <w:rsid w:val="000F7FCE"/>
    <w:rsid w:val="00100AEB"/>
    <w:rsid w:val="00101491"/>
    <w:rsid w:val="00101D0C"/>
    <w:rsid w:val="0010238E"/>
    <w:rsid w:val="00102BA6"/>
    <w:rsid w:val="001030A0"/>
    <w:rsid w:val="00103851"/>
    <w:rsid w:val="00104B73"/>
    <w:rsid w:val="00105037"/>
    <w:rsid w:val="00105C96"/>
    <w:rsid w:val="00105F8E"/>
    <w:rsid w:val="00106F68"/>
    <w:rsid w:val="00110E19"/>
    <w:rsid w:val="00111196"/>
    <w:rsid w:val="00111AF6"/>
    <w:rsid w:val="00112BA2"/>
    <w:rsid w:val="00112F28"/>
    <w:rsid w:val="001135E9"/>
    <w:rsid w:val="00115FA4"/>
    <w:rsid w:val="0011775B"/>
    <w:rsid w:val="0011777B"/>
    <w:rsid w:val="0012055D"/>
    <w:rsid w:val="001209DA"/>
    <w:rsid w:val="00121C07"/>
    <w:rsid w:val="001235FF"/>
    <w:rsid w:val="001237AA"/>
    <w:rsid w:val="00124A09"/>
    <w:rsid w:val="00124AE8"/>
    <w:rsid w:val="00124BEB"/>
    <w:rsid w:val="00124DB7"/>
    <w:rsid w:val="0012650E"/>
    <w:rsid w:val="0012685A"/>
    <w:rsid w:val="00127567"/>
    <w:rsid w:val="00130BF5"/>
    <w:rsid w:val="00130EC3"/>
    <w:rsid w:val="00132568"/>
    <w:rsid w:val="00132859"/>
    <w:rsid w:val="00132BEB"/>
    <w:rsid w:val="00132CFF"/>
    <w:rsid w:val="001332CB"/>
    <w:rsid w:val="00135629"/>
    <w:rsid w:val="00135B04"/>
    <w:rsid w:val="00135B50"/>
    <w:rsid w:val="00136007"/>
    <w:rsid w:val="00137145"/>
    <w:rsid w:val="001372F7"/>
    <w:rsid w:val="00140AA0"/>
    <w:rsid w:val="00140D3B"/>
    <w:rsid w:val="00141A3A"/>
    <w:rsid w:val="00141B09"/>
    <w:rsid w:val="00141DB2"/>
    <w:rsid w:val="00143B7C"/>
    <w:rsid w:val="001444F0"/>
    <w:rsid w:val="00144957"/>
    <w:rsid w:val="0014504D"/>
    <w:rsid w:val="00145CFB"/>
    <w:rsid w:val="00146D78"/>
    <w:rsid w:val="0014788D"/>
    <w:rsid w:val="00150998"/>
    <w:rsid w:val="00150D89"/>
    <w:rsid w:val="0015186E"/>
    <w:rsid w:val="00152C82"/>
    <w:rsid w:val="00152DCE"/>
    <w:rsid w:val="00153289"/>
    <w:rsid w:val="00154B21"/>
    <w:rsid w:val="00156262"/>
    <w:rsid w:val="001579B2"/>
    <w:rsid w:val="001603F9"/>
    <w:rsid w:val="00161025"/>
    <w:rsid w:val="00161258"/>
    <w:rsid w:val="00162BCC"/>
    <w:rsid w:val="00164D69"/>
    <w:rsid w:val="00165690"/>
    <w:rsid w:val="001657A2"/>
    <w:rsid w:val="0016632E"/>
    <w:rsid w:val="0016660B"/>
    <w:rsid w:val="001677E3"/>
    <w:rsid w:val="001700B9"/>
    <w:rsid w:val="001706B3"/>
    <w:rsid w:val="00170A01"/>
    <w:rsid w:val="00171133"/>
    <w:rsid w:val="00171484"/>
    <w:rsid w:val="00171CE4"/>
    <w:rsid w:val="0017350E"/>
    <w:rsid w:val="001735F8"/>
    <w:rsid w:val="00174EF6"/>
    <w:rsid w:val="0017628C"/>
    <w:rsid w:val="00176A76"/>
    <w:rsid w:val="00182B6A"/>
    <w:rsid w:val="00182DF6"/>
    <w:rsid w:val="0018558C"/>
    <w:rsid w:val="00186E6C"/>
    <w:rsid w:val="00187154"/>
    <w:rsid w:val="00190B44"/>
    <w:rsid w:val="00190E17"/>
    <w:rsid w:val="00190ECE"/>
    <w:rsid w:val="00191832"/>
    <w:rsid w:val="00193121"/>
    <w:rsid w:val="00193956"/>
    <w:rsid w:val="00194A83"/>
    <w:rsid w:val="00195ED7"/>
    <w:rsid w:val="001A15B0"/>
    <w:rsid w:val="001A20BE"/>
    <w:rsid w:val="001A275E"/>
    <w:rsid w:val="001A3C29"/>
    <w:rsid w:val="001A47A3"/>
    <w:rsid w:val="001A6165"/>
    <w:rsid w:val="001A7C4D"/>
    <w:rsid w:val="001B239D"/>
    <w:rsid w:val="001B2DA3"/>
    <w:rsid w:val="001B5ED3"/>
    <w:rsid w:val="001B6092"/>
    <w:rsid w:val="001B65B6"/>
    <w:rsid w:val="001B6F8B"/>
    <w:rsid w:val="001B7498"/>
    <w:rsid w:val="001C1D9C"/>
    <w:rsid w:val="001C298B"/>
    <w:rsid w:val="001C2B34"/>
    <w:rsid w:val="001C51AA"/>
    <w:rsid w:val="001C53FD"/>
    <w:rsid w:val="001C576F"/>
    <w:rsid w:val="001C592C"/>
    <w:rsid w:val="001C5FA3"/>
    <w:rsid w:val="001C658E"/>
    <w:rsid w:val="001C6ECA"/>
    <w:rsid w:val="001C79D2"/>
    <w:rsid w:val="001D0416"/>
    <w:rsid w:val="001D1424"/>
    <w:rsid w:val="001D24D7"/>
    <w:rsid w:val="001D34E0"/>
    <w:rsid w:val="001D393C"/>
    <w:rsid w:val="001D4111"/>
    <w:rsid w:val="001D69ED"/>
    <w:rsid w:val="001D7CE3"/>
    <w:rsid w:val="001D7F6F"/>
    <w:rsid w:val="001E0720"/>
    <w:rsid w:val="001E2E5A"/>
    <w:rsid w:val="001E3CD3"/>
    <w:rsid w:val="001E3F50"/>
    <w:rsid w:val="001E45C1"/>
    <w:rsid w:val="001E687B"/>
    <w:rsid w:val="001E7304"/>
    <w:rsid w:val="001F0516"/>
    <w:rsid w:val="001F0CFC"/>
    <w:rsid w:val="001F156A"/>
    <w:rsid w:val="001F15FC"/>
    <w:rsid w:val="001F2374"/>
    <w:rsid w:val="001F27D0"/>
    <w:rsid w:val="001F3100"/>
    <w:rsid w:val="001F4370"/>
    <w:rsid w:val="001F4D9D"/>
    <w:rsid w:val="001F51C9"/>
    <w:rsid w:val="001F569B"/>
    <w:rsid w:val="001F5794"/>
    <w:rsid w:val="001F6508"/>
    <w:rsid w:val="001F7032"/>
    <w:rsid w:val="001F7822"/>
    <w:rsid w:val="0020079D"/>
    <w:rsid w:val="00201D50"/>
    <w:rsid w:val="00201E6C"/>
    <w:rsid w:val="00202395"/>
    <w:rsid w:val="00202AB1"/>
    <w:rsid w:val="00203E07"/>
    <w:rsid w:val="00205170"/>
    <w:rsid w:val="00206565"/>
    <w:rsid w:val="0021161C"/>
    <w:rsid w:val="00211A50"/>
    <w:rsid w:val="00212FCD"/>
    <w:rsid w:val="00213250"/>
    <w:rsid w:val="002134DA"/>
    <w:rsid w:val="00214128"/>
    <w:rsid w:val="002144E7"/>
    <w:rsid w:val="00215229"/>
    <w:rsid w:val="002155F2"/>
    <w:rsid w:val="00215785"/>
    <w:rsid w:val="0021593D"/>
    <w:rsid w:val="0021595C"/>
    <w:rsid w:val="00216BA1"/>
    <w:rsid w:val="00217075"/>
    <w:rsid w:val="0021737F"/>
    <w:rsid w:val="0022080B"/>
    <w:rsid w:val="0022097E"/>
    <w:rsid w:val="00220E2F"/>
    <w:rsid w:val="00221C4A"/>
    <w:rsid w:val="00221C99"/>
    <w:rsid w:val="0022297B"/>
    <w:rsid w:val="00223711"/>
    <w:rsid w:val="002249EB"/>
    <w:rsid w:val="00224A3C"/>
    <w:rsid w:val="002255DC"/>
    <w:rsid w:val="00225D3C"/>
    <w:rsid w:val="00226E62"/>
    <w:rsid w:val="00232348"/>
    <w:rsid w:val="00234F88"/>
    <w:rsid w:val="00235442"/>
    <w:rsid w:val="002354D8"/>
    <w:rsid w:val="00235672"/>
    <w:rsid w:val="00240262"/>
    <w:rsid w:val="00241AC1"/>
    <w:rsid w:val="00242F90"/>
    <w:rsid w:val="00243650"/>
    <w:rsid w:val="002448D4"/>
    <w:rsid w:val="00245115"/>
    <w:rsid w:val="00245419"/>
    <w:rsid w:val="002459A3"/>
    <w:rsid w:val="00250CB4"/>
    <w:rsid w:val="00250FA6"/>
    <w:rsid w:val="00251E86"/>
    <w:rsid w:val="002522E8"/>
    <w:rsid w:val="00253A84"/>
    <w:rsid w:val="002546AE"/>
    <w:rsid w:val="00254A86"/>
    <w:rsid w:val="00254DC5"/>
    <w:rsid w:val="00255297"/>
    <w:rsid w:val="00255EF2"/>
    <w:rsid w:val="002562C3"/>
    <w:rsid w:val="00260B8D"/>
    <w:rsid w:val="002613D6"/>
    <w:rsid w:val="002614E3"/>
    <w:rsid w:val="00263E60"/>
    <w:rsid w:val="002641DC"/>
    <w:rsid w:val="002647FC"/>
    <w:rsid w:val="00264A32"/>
    <w:rsid w:val="0026586F"/>
    <w:rsid w:val="00265A91"/>
    <w:rsid w:val="002672FA"/>
    <w:rsid w:val="00267FE0"/>
    <w:rsid w:val="002702ED"/>
    <w:rsid w:val="00270675"/>
    <w:rsid w:val="00270C7C"/>
    <w:rsid w:val="00272414"/>
    <w:rsid w:val="00272668"/>
    <w:rsid w:val="00272BD7"/>
    <w:rsid w:val="00273AA6"/>
    <w:rsid w:val="00273E9E"/>
    <w:rsid w:val="002741A1"/>
    <w:rsid w:val="0027620D"/>
    <w:rsid w:val="00276C1F"/>
    <w:rsid w:val="002825BE"/>
    <w:rsid w:val="00283BE4"/>
    <w:rsid w:val="0028502F"/>
    <w:rsid w:val="00285280"/>
    <w:rsid w:val="002870F6"/>
    <w:rsid w:val="0028754D"/>
    <w:rsid w:val="00287DF3"/>
    <w:rsid w:val="0029061E"/>
    <w:rsid w:val="00290709"/>
    <w:rsid w:val="0029100F"/>
    <w:rsid w:val="00291387"/>
    <w:rsid w:val="0029166D"/>
    <w:rsid w:val="00291893"/>
    <w:rsid w:val="00291EC6"/>
    <w:rsid w:val="0029212D"/>
    <w:rsid w:val="0029422F"/>
    <w:rsid w:val="002949B0"/>
    <w:rsid w:val="002965FA"/>
    <w:rsid w:val="00296612"/>
    <w:rsid w:val="002966EE"/>
    <w:rsid w:val="00296701"/>
    <w:rsid w:val="002968E2"/>
    <w:rsid w:val="00296CEB"/>
    <w:rsid w:val="00296F1B"/>
    <w:rsid w:val="002A021E"/>
    <w:rsid w:val="002A17DA"/>
    <w:rsid w:val="002A2018"/>
    <w:rsid w:val="002A298F"/>
    <w:rsid w:val="002A2C85"/>
    <w:rsid w:val="002A3DE5"/>
    <w:rsid w:val="002A3E0B"/>
    <w:rsid w:val="002A557F"/>
    <w:rsid w:val="002A5BCC"/>
    <w:rsid w:val="002B01D6"/>
    <w:rsid w:val="002B0755"/>
    <w:rsid w:val="002B095F"/>
    <w:rsid w:val="002B0F02"/>
    <w:rsid w:val="002B1F7B"/>
    <w:rsid w:val="002B2081"/>
    <w:rsid w:val="002B4210"/>
    <w:rsid w:val="002B433B"/>
    <w:rsid w:val="002B50B3"/>
    <w:rsid w:val="002B5776"/>
    <w:rsid w:val="002B66F5"/>
    <w:rsid w:val="002B75DB"/>
    <w:rsid w:val="002C160E"/>
    <w:rsid w:val="002C1C45"/>
    <w:rsid w:val="002C1DF7"/>
    <w:rsid w:val="002C4DD9"/>
    <w:rsid w:val="002C6721"/>
    <w:rsid w:val="002C7C60"/>
    <w:rsid w:val="002D1629"/>
    <w:rsid w:val="002D1F64"/>
    <w:rsid w:val="002D20BA"/>
    <w:rsid w:val="002D2774"/>
    <w:rsid w:val="002D2945"/>
    <w:rsid w:val="002D2DF8"/>
    <w:rsid w:val="002D344E"/>
    <w:rsid w:val="002D42C7"/>
    <w:rsid w:val="002D4BEF"/>
    <w:rsid w:val="002D4C05"/>
    <w:rsid w:val="002D4F6A"/>
    <w:rsid w:val="002D6FC2"/>
    <w:rsid w:val="002E13F4"/>
    <w:rsid w:val="002E20A3"/>
    <w:rsid w:val="002E24F5"/>
    <w:rsid w:val="002E312F"/>
    <w:rsid w:val="002E35E2"/>
    <w:rsid w:val="002E3CED"/>
    <w:rsid w:val="002E4C18"/>
    <w:rsid w:val="002E4EA2"/>
    <w:rsid w:val="002E661C"/>
    <w:rsid w:val="002E6DA6"/>
    <w:rsid w:val="002E74D3"/>
    <w:rsid w:val="002F0816"/>
    <w:rsid w:val="002F108F"/>
    <w:rsid w:val="002F1639"/>
    <w:rsid w:val="002F4280"/>
    <w:rsid w:val="002F4B57"/>
    <w:rsid w:val="002F55E8"/>
    <w:rsid w:val="002F565E"/>
    <w:rsid w:val="002F5777"/>
    <w:rsid w:val="002F58C7"/>
    <w:rsid w:val="002F63E8"/>
    <w:rsid w:val="002F6858"/>
    <w:rsid w:val="002F699E"/>
    <w:rsid w:val="002F6D37"/>
    <w:rsid w:val="002F6F9D"/>
    <w:rsid w:val="002F7449"/>
    <w:rsid w:val="002F7E14"/>
    <w:rsid w:val="00300C3B"/>
    <w:rsid w:val="00301247"/>
    <w:rsid w:val="00306633"/>
    <w:rsid w:val="003073ED"/>
    <w:rsid w:val="00310D0C"/>
    <w:rsid w:val="0031210A"/>
    <w:rsid w:val="003126CD"/>
    <w:rsid w:val="003133C7"/>
    <w:rsid w:val="00313607"/>
    <w:rsid w:val="00317466"/>
    <w:rsid w:val="003209CB"/>
    <w:rsid w:val="00325642"/>
    <w:rsid w:val="00325E97"/>
    <w:rsid w:val="00327E85"/>
    <w:rsid w:val="0033035C"/>
    <w:rsid w:val="0033123F"/>
    <w:rsid w:val="003324DB"/>
    <w:rsid w:val="00332A50"/>
    <w:rsid w:val="00332CEA"/>
    <w:rsid w:val="00333ADB"/>
    <w:rsid w:val="003340D8"/>
    <w:rsid w:val="00335515"/>
    <w:rsid w:val="00335A8A"/>
    <w:rsid w:val="00335B84"/>
    <w:rsid w:val="003404FC"/>
    <w:rsid w:val="00340553"/>
    <w:rsid w:val="00340C8A"/>
    <w:rsid w:val="0034138F"/>
    <w:rsid w:val="0034237D"/>
    <w:rsid w:val="003425ED"/>
    <w:rsid w:val="00343A9D"/>
    <w:rsid w:val="00343C29"/>
    <w:rsid w:val="00344383"/>
    <w:rsid w:val="00344A11"/>
    <w:rsid w:val="00345F9C"/>
    <w:rsid w:val="0034629C"/>
    <w:rsid w:val="00346352"/>
    <w:rsid w:val="00346389"/>
    <w:rsid w:val="0034671A"/>
    <w:rsid w:val="00347AFC"/>
    <w:rsid w:val="00350433"/>
    <w:rsid w:val="00350DED"/>
    <w:rsid w:val="00351207"/>
    <w:rsid w:val="00353B9D"/>
    <w:rsid w:val="00353C80"/>
    <w:rsid w:val="00355628"/>
    <w:rsid w:val="00361B4D"/>
    <w:rsid w:val="00364920"/>
    <w:rsid w:val="00364BD4"/>
    <w:rsid w:val="003652B5"/>
    <w:rsid w:val="003657E2"/>
    <w:rsid w:val="00367BDD"/>
    <w:rsid w:val="003718C9"/>
    <w:rsid w:val="003750A5"/>
    <w:rsid w:val="00376E83"/>
    <w:rsid w:val="00376F89"/>
    <w:rsid w:val="003778A9"/>
    <w:rsid w:val="003814CD"/>
    <w:rsid w:val="00381A6D"/>
    <w:rsid w:val="00383CF1"/>
    <w:rsid w:val="003846A3"/>
    <w:rsid w:val="00384BE7"/>
    <w:rsid w:val="00385590"/>
    <w:rsid w:val="00387BFA"/>
    <w:rsid w:val="00387CBD"/>
    <w:rsid w:val="00387CF1"/>
    <w:rsid w:val="003907D1"/>
    <w:rsid w:val="0039150B"/>
    <w:rsid w:val="00393132"/>
    <w:rsid w:val="003936ED"/>
    <w:rsid w:val="00394AB7"/>
    <w:rsid w:val="0039512D"/>
    <w:rsid w:val="00395229"/>
    <w:rsid w:val="003963F7"/>
    <w:rsid w:val="00396448"/>
    <w:rsid w:val="00396D03"/>
    <w:rsid w:val="00396E40"/>
    <w:rsid w:val="00397304"/>
    <w:rsid w:val="003A04DD"/>
    <w:rsid w:val="003A06F9"/>
    <w:rsid w:val="003A1D67"/>
    <w:rsid w:val="003A2036"/>
    <w:rsid w:val="003A2649"/>
    <w:rsid w:val="003A2FBF"/>
    <w:rsid w:val="003A37E5"/>
    <w:rsid w:val="003A43F8"/>
    <w:rsid w:val="003A581B"/>
    <w:rsid w:val="003A624C"/>
    <w:rsid w:val="003A6353"/>
    <w:rsid w:val="003A6B35"/>
    <w:rsid w:val="003A6BDE"/>
    <w:rsid w:val="003A7EB8"/>
    <w:rsid w:val="003B048E"/>
    <w:rsid w:val="003B1EA4"/>
    <w:rsid w:val="003B1F8B"/>
    <w:rsid w:val="003B240B"/>
    <w:rsid w:val="003B3221"/>
    <w:rsid w:val="003B3C91"/>
    <w:rsid w:val="003B437B"/>
    <w:rsid w:val="003B47CC"/>
    <w:rsid w:val="003B4A76"/>
    <w:rsid w:val="003C0692"/>
    <w:rsid w:val="003C1424"/>
    <w:rsid w:val="003C312E"/>
    <w:rsid w:val="003C4596"/>
    <w:rsid w:val="003C52E8"/>
    <w:rsid w:val="003D04AD"/>
    <w:rsid w:val="003D1F1F"/>
    <w:rsid w:val="003D28BE"/>
    <w:rsid w:val="003D2DDF"/>
    <w:rsid w:val="003D4D2E"/>
    <w:rsid w:val="003D550F"/>
    <w:rsid w:val="003D5D67"/>
    <w:rsid w:val="003E0274"/>
    <w:rsid w:val="003E455C"/>
    <w:rsid w:val="003E5177"/>
    <w:rsid w:val="003E6FF8"/>
    <w:rsid w:val="003E7F3B"/>
    <w:rsid w:val="003F1C83"/>
    <w:rsid w:val="003F2A13"/>
    <w:rsid w:val="003F35B6"/>
    <w:rsid w:val="003F3B11"/>
    <w:rsid w:val="003F5B6E"/>
    <w:rsid w:val="003F61C8"/>
    <w:rsid w:val="003F6FDC"/>
    <w:rsid w:val="004019AB"/>
    <w:rsid w:val="00401C4C"/>
    <w:rsid w:val="00403B10"/>
    <w:rsid w:val="00403D01"/>
    <w:rsid w:val="0040458E"/>
    <w:rsid w:val="00405114"/>
    <w:rsid w:val="004052A4"/>
    <w:rsid w:val="00405A86"/>
    <w:rsid w:val="004060EC"/>
    <w:rsid w:val="0040625D"/>
    <w:rsid w:val="00407392"/>
    <w:rsid w:val="00407E96"/>
    <w:rsid w:val="00410509"/>
    <w:rsid w:val="00414CBA"/>
    <w:rsid w:val="00414D22"/>
    <w:rsid w:val="00414F55"/>
    <w:rsid w:val="0042028C"/>
    <w:rsid w:val="0042158B"/>
    <w:rsid w:val="0042388E"/>
    <w:rsid w:val="0042404A"/>
    <w:rsid w:val="00424426"/>
    <w:rsid w:val="0042589C"/>
    <w:rsid w:val="0042640E"/>
    <w:rsid w:val="00427F10"/>
    <w:rsid w:val="00430199"/>
    <w:rsid w:val="004308FA"/>
    <w:rsid w:val="00430937"/>
    <w:rsid w:val="00430D0F"/>
    <w:rsid w:val="00432730"/>
    <w:rsid w:val="00432BD5"/>
    <w:rsid w:val="00432F5C"/>
    <w:rsid w:val="004334BF"/>
    <w:rsid w:val="00433D49"/>
    <w:rsid w:val="00434260"/>
    <w:rsid w:val="00434DAE"/>
    <w:rsid w:val="00436347"/>
    <w:rsid w:val="004412BE"/>
    <w:rsid w:val="0044507B"/>
    <w:rsid w:val="00445D83"/>
    <w:rsid w:val="00450033"/>
    <w:rsid w:val="004509CF"/>
    <w:rsid w:val="004510BE"/>
    <w:rsid w:val="004541F7"/>
    <w:rsid w:val="00454E31"/>
    <w:rsid w:val="00456E52"/>
    <w:rsid w:val="004608EA"/>
    <w:rsid w:val="00461961"/>
    <w:rsid w:val="004635A3"/>
    <w:rsid w:val="0046407C"/>
    <w:rsid w:val="004640FA"/>
    <w:rsid w:val="00464744"/>
    <w:rsid w:val="004651C0"/>
    <w:rsid w:val="004663A9"/>
    <w:rsid w:val="004679D5"/>
    <w:rsid w:val="00467BB6"/>
    <w:rsid w:val="00470192"/>
    <w:rsid w:val="00470720"/>
    <w:rsid w:val="00470C06"/>
    <w:rsid w:val="00471153"/>
    <w:rsid w:val="004715DE"/>
    <w:rsid w:val="00472090"/>
    <w:rsid w:val="0047565D"/>
    <w:rsid w:val="00476E20"/>
    <w:rsid w:val="00480D9C"/>
    <w:rsid w:val="00481BAB"/>
    <w:rsid w:val="00481E45"/>
    <w:rsid w:val="00482397"/>
    <w:rsid w:val="00483B68"/>
    <w:rsid w:val="00484D28"/>
    <w:rsid w:val="004851F4"/>
    <w:rsid w:val="00485FCF"/>
    <w:rsid w:val="004862B0"/>
    <w:rsid w:val="0048748A"/>
    <w:rsid w:val="00491371"/>
    <w:rsid w:val="00491EEC"/>
    <w:rsid w:val="00492232"/>
    <w:rsid w:val="00492834"/>
    <w:rsid w:val="00493F53"/>
    <w:rsid w:val="00495328"/>
    <w:rsid w:val="004953C2"/>
    <w:rsid w:val="004956F9"/>
    <w:rsid w:val="004957DC"/>
    <w:rsid w:val="00497057"/>
    <w:rsid w:val="00497FA4"/>
    <w:rsid w:val="004A145D"/>
    <w:rsid w:val="004A3040"/>
    <w:rsid w:val="004A42D9"/>
    <w:rsid w:val="004A448E"/>
    <w:rsid w:val="004A6A00"/>
    <w:rsid w:val="004B0B42"/>
    <w:rsid w:val="004B12B4"/>
    <w:rsid w:val="004B15F2"/>
    <w:rsid w:val="004B1EA7"/>
    <w:rsid w:val="004B275F"/>
    <w:rsid w:val="004B3A62"/>
    <w:rsid w:val="004B4485"/>
    <w:rsid w:val="004B6753"/>
    <w:rsid w:val="004C27A7"/>
    <w:rsid w:val="004C3C3E"/>
    <w:rsid w:val="004C4BD0"/>
    <w:rsid w:val="004C55B3"/>
    <w:rsid w:val="004C5A1B"/>
    <w:rsid w:val="004C60F6"/>
    <w:rsid w:val="004D0040"/>
    <w:rsid w:val="004D0E9D"/>
    <w:rsid w:val="004D3405"/>
    <w:rsid w:val="004D359A"/>
    <w:rsid w:val="004D4BB4"/>
    <w:rsid w:val="004D5328"/>
    <w:rsid w:val="004D5EB2"/>
    <w:rsid w:val="004E0C8A"/>
    <w:rsid w:val="004E2674"/>
    <w:rsid w:val="004E3A6E"/>
    <w:rsid w:val="004E4EA7"/>
    <w:rsid w:val="004E5E0E"/>
    <w:rsid w:val="004E7256"/>
    <w:rsid w:val="004E7814"/>
    <w:rsid w:val="004F0098"/>
    <w:rsid w:val="004F1DB6"/>
    <w:rsid w:val="004F1ED4"/>
    <w:rsid w:val="004F32BC"/>
    <w:rsid w:val="004F330C"/>
    <w:rsid w:val="004F3473"/>
    <w:rsid w:val="004F3C08"/>
    <w:rsid w:val="004F3E6C"/>
    <w:rsid w:val="004F3ED2"/>
    <w:rsid w:val="004F4503"/>
    <w:rsid w:val="004F5988"/>
    <w:rsid w:val="004F6D04"/>
    <w:rsid w:val="00501691"/>
    <w:rsid w:val="00501FC4"/>
    <w:rsid w:val="0050401D"/>
    <w:rsid w:val="00504B3A"/>
    <w:rsid w:val="00504E6E"/>
    <w:rsid w:val="00506D50"/>
    <w:rsid w:val="00507869"/>
    <w:rsid w:val="005114C1"/>
    <w:rsid w:val="0051228D"/>
    <w:rsid w:val="0051327E"/>
    <w:rsid w:val="00514749"/>
    <w:rsid w:val="00515433"/>
    <w:rsid w:val="00515ABD"/>
    <w:rsid w:val="00517938"/>
    <w:rsid w:val="00517EF0"/>
    <w:rsid w:val="00520193"/>
    <w:rsid w:val="0052260B"/>
    <w:rsid w:val="00523C9A"/>
    <w:rsid w:val="0053068A"/>
    <w:rsid w:val="00530748"/>
    <w:rsid w:val="005324AE"/>
    <w:rsid w:val="005333E7"/>
    <w:rsid w:val="00533424"/>
    <w:rsid w:val="00534708"/>
    <w:rsid w:val="005370C9"/>
    <w:rsid w:val="005414D7"/>
    <w:rsid w:val="00541845"/>
    <w:rsid w:val="00544F73"/>
    <w:rsid w:val="00545140"/>
    <w:rsid w:val="005461A5"/>
    <w:rsid w:val="00547038"/>
    <w:rsid w:val="00547C08"/>
    <w:rsid w:val="005512E8"/>
    <w:rsid w:val="00552ED8"/>
    <w:rsid w:val="00552FEC"/>
    <w:rsid w:val="0055521F"/>
    <w:rsid w:val="0055585B"/>
    <w:rsid w:val="00557018"/>
    <w:rsid w:val="0055718E"/>
    <w:rsid w:val="005607BD"/>
    <w:rsid w:val="00560C18"/>
    <w:rsid w:val="005612EB"/>
    <w:rsid w:val="0056212E"/>
    <w:rsid w:val="00562E18"/>
    <w:rsid w:val="00563D1C"/>
    <w:rsid w:val="00565E89"/>
    <w:rsid w:val="0056611A"/>
    <w:rsid w:val="005664FC"/>
    <w:rsid w:val="00567B63"/>
    <w:rsid w:val="00570269"/>
    <w:rsid w:val="0057059A"/>
    <w:rsid w:val="0057158A"/>
    <w:rsid w:val="0057210E"/>
    <w:rsid w:val="005730FF"/>
    <w:rsid w:val="005737CA"/>
    <w:rsid w:val="005737FC"/>
    <w:rsid w:val="00574F5F"/>
    <w:rsid w:val="00575A3B"/>
    <w:rsid w:val="005775E0"/>
    <w:rsid w:val="00577883"/>
    <w:rsid w:val="00583B3F"/>
    <w:rsid w:val="00584499"/>
    <w:rsid w:val="00584B97"/>
    <w:rsid w:val="00585AF5"/>
    <w:rsid w:val="00585F92"/>
    <w:rsid w:val="005866A8"/>
    <w:rsid w:val="0058694C"/>
    <w:rsid w:val="00587CFF"/>
    <w:rsid w:val="0059015C"/>
    <w:rsid w:val="005908EE"/>
    <w:rsid w:val="00590D1F"/>
    <w:rsid w:val="005923AC"/>
    <w:rsid w:val="0059284C"/>
    <w:rsid w:val="0059328C"/>
    <w:rsid w:val="005935A3"/>
    <w:rsid w:val="005948FA"/>
    <w:rsid w:val="00596BAD"/>
    <w:rsid w:val="005972E0"/>
    <w:rsid w:val="00597613"/>
    <w:rsid w:val="00597C98"/>
    <w:rsid w:val="005A0BB7"/>
    <w:rsid w:val="005A189B"/>
    <w:rsid w:val="005A39CB"/>
    <w:rsid w:val="005A3E46"/>
    <w:rsid w:val="005A431F"/>
    <w:rsid w:val="005A478F"/>
    <w:rsid w:val="005A7591"/>
    <w:rsid w:val="005A76EB"/>
    <w:rsid w:val="005A7FDC"/>
    <w:rsid w:val="005B08C2"/>
    <w:rsid w:val="005B1137"/>
    <w:rsid w:val="005B201F"/>
    <w:rsid w:val="005B279A"/>
    <w:rsid w:val="005B34D5"/>
    <w:rsid w:val="005B3AB8"/>
    <w:rsid w:val="005B3B2E"/>
    <w:rsid w:val="005B4366"/>
    <w:rsid w:val="005B5891"/>
    <w:rsid w:val="005B74A7"/>
    <w:rsid w:val="005C09B8"/>
    <w:rsid w:val="005C0CFC"/>
    <w:rsid w:val="005C28B3"/>
    <w:rsid w:val="005C3538"/>
    <w:rsid w:val="005C37DC"/>
    <w:rsid w:val="005C3A5A"/>
    <w:rsid w:val="005D0247"/>
    <w:rsid w:val="005D0D0E"/>
    <w:rsid w:val="005D1373"/>
    <w:rsid w:val="005D400E"/>
    <w:rsid w:val="005E0C78"/>
    <w:rsid w:val="005E19A9"/>
    <w:rsid w:val="005E3F62"/>
    <w:rsid w:val="005E5A87"/>
    <w:rsid w:val="005F0BE1"/>
    <w:rsid w:val="005F1AC2"/>
    <w:rsid w:val="005F2C88"/>
    <w:rsid w:val="005F43EF"/>
    <w:rsid w:val="005F5A33"/>
    <w:rsid w:val="005F6AC7"/>
    <w:rsid w:val="00601851"/>
    <w:rsid w:val="0060285E"/>
    <w:rsid w:val="00602A89"/>
    <w:rsid w:val="00602BDE"/>
    <w:rsid w:val="00602C70"/>
    <w:rsid w:val="0060318A"/>
    <w:rsid w:val="00605AC6"/>
    <w:rsid w:val="00606810"/>
    <w:rsid w:val="00612529"/>
    <w:rsid w:val="006133EA"/>
    <w:rsid w:val="006146B9"/>
    <w:rsid w:val="006163B0"/>
    <w:rsid w:val="006168C0"/>
    <w:rsid w:val="00617A88"/>
    <w:rsid w:val="006209F5"/>
    <w:rsid w:val="00620E3E"/>
    <w:rsid w:val="0062188C"/>
    <w:rsid w:val="00623696"/>
    <w:rsid w:val="006244E7"/>
    <w:rsid w:val="00624928"/>
    <w:rsid w:val="006269A3"/>
    <w:rsid w:val="00626BF1"/>
    <w:rsid w:val="00627B06"/>
    <w:rsid w:val="00627B38"/>
    <w:rsid w:val="00627D7A"/>
    <w:rsid w:val="00627EE2"/>
    <w:rsid w:val="00627FA0"/>
    <w:rsid w:val="00630F53"/>
    <w:rsid w:val="0063201F"/>
    <w:rsid w:val="00635C31"/>
    <w:rsid w:val="00637438"/>
    <w:rsid w:val="006412D0"/>
    <w:rsid w:val="00642777"/>
    <w:rsid w:val="00643159"/>
    <w:rsid w:val="006433F7"/>
    <w:rsid w:val="00643865"/>
    <w:rsid w:val="0064418F"/>
    <w:rsid w:val="00645288"/>
    <w:rsid w:val="00647066"/>
    <w:rsid w:val="0064744B"/>
    <w:rsid w:val="006513D4"/>
    <w:rsid w:val="00652E13"/>
    <w:rsid w:val="006532DD"/>
    <w:rsid w:val="00656E8B"/>
    <w:rsid w:val="00656EB5"/>
    <w:rsid w:val="00661D0D"/>
    <w:rsid w:val="00661EAD"/>
    <w:rsid w:val="0066212C"/>
    <w:rsid w:val="0066372E"/>
    <w:rsid w:val="00667266"/>
    <w:rsid w:val="00670458"/>
    <w:rsid w:val="00670AAE"/>
    <w:rsid w:val="006735EF"/>
    <w:rsid w:val="006766B4"/>
    <w:rsid w:val="00681B2A"/>
    <w:rsid w:val="00681CA3"/>
    <w:rsid w:val="00682E25"/>
    <w:rsid w:val="006838BA"/>
    <w:rsid w:val="00683FAA"/>
    <w:rsid w:val="00684E45"/>
    <w:rsid w:val="00684E9B"/>
    <w:rsid w:val="00686EE0"/>
    <w:rsid w:val="00690111"/>
    <w:rsid w:val="006916BE"/>
    <w:rsid w:val="00692354"/>
    <w:rsid w:val="00692ED6"/>
    <w:rsid w:val="006938D5"/>
    <w:rsid w:val="00695124"/>
    <w:rsid w:val="006971E6"/>
    <w:rsid w:val="006A0F5B"/>
    <w:rsid w:val="006A2A4D"/>
    <w:rsid w:val="006A2F64"/>
    <w:rsid w:val="006A31BF"/>
    <w:rsid w:val="006A4E9F"/>
    <w:rsid w:val="006A53B2"/>
    <w:rsid w:val="006A77FD"/>
    <w:rsid w:val="006B1834"/>
    <w:rsid w:val="006B29D7"/>
    <w:rsid w:val="006B3E50"/>
    <w:rsid w:val="006B5A33"/>
    <w:rsid w:val="006B5C1D"/>
    <w:rsid w:val="006B5D2B"/>
    <w:rsid w:val="006B5F15"/>
    <w:rsid w:val="006B6BF6"/>
    <w:rsid w:val="006C04D1"/>
    <w:rsid w:val="006C04E0"/>
    <w:rsid w:val="006C12FD"/>
    <w:rsid w:val="006C14B4"/>
    <w:rsid w:val="006C19F0"/>
    <w:rsid w:val="006C22EE"/>
    <w:rsid w:val="006C2A80"/>
    <w:rsid w:val="006C5755"/>
    <w:rsid w:val="006C64DD"/>
    <w:rsid w:val="006C6FED"/>
    <w:rsid w:val="006C714E"/>
    <w:rsid w:val="006C755B"/>
    <w:rsid w:val="006D37D1"/>
    <w:rsid w:val="006D3BAD"/>
    <w:rsid w:val="006D4701"/>
    <w:rsid w:val="006D6CF6"/>
    <w:rsid w:val="006D74C7"/>
    <w:rsid w:val="006D7ABB"/>
    <w:rsid w:val="006E0380"/>
    <w:rsid w:val="006E0651"/>
    <w:rsid w:val="006E19E1"/>
    <w:rsid w:val="006E2377"/>
    <w:rsid w:val="006E26FA"/>
    <w:rsid w:val="006E3862"/>
    <w:rsid w:val="006E3E48"/>
    <w:rsid w:val="006E4F47"/>
    <w:rsid w:val="006E5364"/>
    <w:rsid w:val="006E63E3"/>
    <w:rsid w:val="006E658E"/>
    <w:rsid w:val="006E6E6B"/>
    <w:rsid w:val="006E7DA5"/>
    <w:rsid w:val="006E7E0C"/>
    <w:rsid w:val="006F0797"/>
    <w:rsid w:val="006F20B0"/>
    <w:rsid w:val="006F2717"/>
    <w:rsid w:val="006F2AF0"/>
    <w:rsid w:val="006F2AF9"/>
    <w:rsid w:val="006F30FE"/>
    <w:rsid w:val="006F3950"/>
    <w:rsid w:val="006F3E39"/>
    <w:rsid w:val="006F6824"/>
    <w:rsid w:val="006F6ED7"/>
    <w:rsid w:val="006F73D4"/>
    <w:rsid w:val="00700920"/>
    <w:rsid w:val="0070251A"/>
    <w:rsid w:val="00702BB8"/>
    <w:rsid w:val="00702EB8"/>
    <w:rsid w:val="00703970"/>
    <w:rsid w:val="00704CEC"/>
    <w:rsid w:val="00704E70"/>
    <w:rsid w:val="007104B7"/>
    <w:rsid w:val="0071146E"/>
    <w:rsid w:val="00712C4F"/>
    <w:rsid w:val="00714900"/>
    <w:rsid w:val="007157C1"/>
    <w:rsid w:val="007157DA"/>
    <w:rsid w:val="00715FCE"/>
    <w:rsid w:val="007174ED"/>
    <w:rsid w:val="007206CF"/>
    <w:rsid w:val="00721223"/>
    <w:rsid w:val="0072201E"/>
    <w:rsid w:val="00723E8F"/>
    <w:rsid w:val="00724538"/>
    <w:rsid w:val="00725830"/>
    <w:rsid w:val="007262B4"/>
    <w:rsid w:val="00726A3D"/>
    <w:rsid w:val="00727B4C"/>
    <w:rsid w:val="00727CDE"/>
    <w:rsid w:val="007307A6"/>
    <w:rsid w:val="007307F9"/>
    <w:rsid w:val="0073094D"/>
    <w:rsid w:val="00731741"/>
    <w:rsid w:val="007319C5"/>
    <w:rsid w:val="007330C2"/>
    <w:rsid w:val="007331F0"/>
    <w:rsid w:val="007339A4"/>
    <w:rsid w:val="00733A62"/>
    <w:rsid w:val="00734039"/>
    <w:rsid w:val="007340D9"/>
    <w:rsid w:val="0073635F"/>
    <w:rsid w:val="00736999"/>
    <w:rsid w:val="00737153"/>
    <w:rsid w:val="007408D2"/>
    <w:rsid w:val="007410EF"/>
    <w:rsid w:val="00742798"/>
    <w:rsid w:val="00743275"/>
    <w:rsid w:val="00744B57"/>
    <w:rsid w:val="00744E45"/>
    <w:rsid w:val="00745144"/>
    <w:rsid w:val="00746BB1"/>
    <w:rsid w:val="0075019C"/>
    <w:rsid w:val="00750F58"/>
    <w:rsid w:val="007529F2"/>
    <w:rsid w:val="00753D73"/>
    <w:rsid w:val="007540F8"/>
    <w:rsid w:val="00754FAD"/>
    <w:rsid w:val="00756C55"/>
    <w:rsid w:val="00760196"/>
    <w:rsid w:val="0076344A"/>
    <w:rsid w:val="00765A44"/>
    <w:rsid w:val="00765F8B"/>
    <w:rsid w:val="0076731D"/>
    <w:rsid w:val="00767697"/>
    <w:rsid w:val="0076781D"/>
    <w:rsid w:val="00767F9F"/>
    <w:rsid w:val="0077032C"/>
    <w:rsid w:val="00771B5B"/>
    <w:rsid w:val="00773767"/>
    <w:rsid w:val="00774014"/>
    <w:rsid w:val="007746AD"/>
    <w:rsid w:val="0077493F"/>
    <w:rsid w:val="00775CEC"/>
    <w:rsid w:val="00777EE0"/>
    <w:rsid w:val="007821E7"/>
    <w:rsid w:val="0078261C"/>
    <w:rsid w:val="00782C82"/>
    <w:rsid w:val="00783985"/>
    <w:rsid w:val="00785445"/>
    <w:rsid w:val="0078568E"/>
    <w:rsid w:val="0079074B"/>
    <w:rsid w:val="007909AB"/>
    <w:rsid w:val="00790C67"/>
    <w:rsid w:val="00791ED4"/>
    <w:rsid w:val="00791FA0"/>
    <w:rsid w:val="007933C6"/>
    <w:rsid w:val="00794BA3"/>
    <w:rsid w:val="00794E03"/>
    <w:rsid w:val="0079608F"/>
    <w:rsid w:val="00797F09"/>
    <w:rsid w:val="007A0C27"/>
    <w:rsid w:val="007A0D4C"/>
    <w:rsid w:val="007A0F03"/>
    <w:rsid w:val="007A3313"/>
    <w:rsid w:val="007A4E25"/>
    <w:rsid w:val="007A54CC"/>
    <w:rsid w:val="007A6223"/>
    <w:rsid w:val="007A6C9B"/>
    <w:rsid w:val="007A7FD0"/>
    <w:rsid w:val="007B0ADB"/>
    <w:rsid w:val="007B1715"/>
    <w:rsid w:val="007B24AF"/>
    <w:rsid w:val="007B2A8C"/>
    <w:rsid w:val="007B2D46"/>
    <w:rsid w:val="007B2FDF"/>
    <w:rsid w:val="007B3273"/>
    <w:rsid w:val="007B3FE9"/>
    <w:rsid w:val="007B5992"/>
    <w:rsid w:val="007B620F"/>
    <w:rsid w:val="007B76D6"/>
    <w:rsid w:val="007B7D4E"/>
    <w:rsid w:val="007C0787"/>
    <w:rsid w:val="007C13E9"/>
    <w:rsid w:val="007C29F7"/>
    <w:rsid w:val="007C325A"/>
    <w:rsid w:val="007C47B9"/>
    <w:rsid w:val="007C55D8"/>
    <w:rsid w:val="007C6B14"/>
    <w:rsid w:val="007C79BA"/>
    <w:rsid w:val="007D25CC"/>
    <w:rsid w:val="007D4B43"/>
    <w:rsid w:val="007D4E69"/>
    <w:rsid w:val="007D571E"/>
    <w:rsid w:val="007E0166"/>
    <w:rsid w:val="007E0DA2"/>
    <w:rsid w:val="007E1060"/>
    <w:rsid w:val="007E2F23"/>
    <w:rsid w:val="007E2FD1"/>
    <w:rsid w:val="007E493C"/>
    <w:rsid w:val="007E6ADC"/>
    <w:rsid w:val="007E7242"/>
    <w:rsid w:val="007F1FB6"/>
    <w:rsid w:val="007F2B73"/>
    <w:rsid w:val="007F3401"/>
    <w:rsid w:val="007F3AC1"/>
    <w:rsid w:val="007F3D47"/>
    <w:rsid w:val="007F4A8C"/>
    <w:rsid w:val="007F65F7"/>
    <w:rsid w:val="007F738F"/>
    <w:rsid w:val="007F799E"/>
    <w:rsid w:val="00800B56"/>
    <w:rsid w:val="00803431"/>
    <w:rsid w:val="00803923"/>
    <w:rsid w:val="008055F5"/>
    <w:rsid w:val="0081053F"/>
    <w:rsid w:val="0081190A"/>
    <w:rsid w:val="00811C34"/>
    <w:rsid w:val="00814804"/>
    <w:rsid w:val="00814BB8"/>
    <w:rsid w:val="008158B3"/>
    <w:rsid w:val="008170CF"/>
    <w:rsid w:val="0081739B"/>
    <w:rsid w:val="00817A65"/>
    <w:rsid w:val="00820EB7"/>
    <w:rsid w:val="00821168"/>
    <w:rsid w:val="00821BF2"/>
    <w:rsid w:val="00821EC2"/>
    <w:rsid w:val="00824DD5"/>
    <w:rsid w:val="00824F59"/>
    <w:rsid w:val="0082646F"/>
    <w:rsid w:val="00830E92"/>
    <w:rsid w:val="00830F5D"/>
    <w:rsid w:val="00832C21"/>
    <w:rsid w:val="00832CFF"/>
    <w:rsid w:val="008340E0"/>
    <w:rsid w:val="00834176"/>
    <w:rsid w:val="00834ACC"/>
    <w:rsid w:val="008358E6"/>
    <w:rsid w:val="00836CE9"/>
    <w:rsid w:val="00836DAD"/>
    <w:rsid w:val="008370FB"/>
    <w:rsid w:val="00837AB4"/>
    <w:rsid w:val="00841CB3"/>
    <w:rsid w:val="00841DF6"/>
    <w:rsid w:val="008441B7"/>
    <w:rsid w:val="00844B9B"/>
    <w:rsid w:val="008450C9"/>
    <w:rsid w:val="008450F8"/>
    <w:rsid w:val="00847623"/>
    <w:rsid w:val="0084787E"/>
    <w:rsid w:val="00850614"/>
    <w:rsid w:val="00850995"/>
    <w:rsid w:val="0085176A"/>
    <w:rsid w:val="00852AC7"/>
    <w:rsid w:val="008532CE"/>
    <w:rsid w:val="00856349"/>
    <w:rsid w:val="00857929"/>
    <w:rsid w:val="00857A27"/>
    <w:rsid w:val="00857EEB"/>
    <w:rsid w:val="00860BE7"/>
    <w:rsid w:val="00860FC4"/>
    <w:rsid w:val="00862EB8"/>
    <w:rsid w:val="00863509"/>
    <w:rsid w:val="00866D6D"/>
    <w:rsid w:val="00867478"/>
    <w:rsid w:val="008701F2"/>
    <w:rsid w:val="00872171"/>
    <w:rsid w:val="00872B63"/>
    <w:rsid w:val="0087336C"/>
    <w:rsid w:val="0087484E"/>
    <w:rsid w:val="0087746B"/>
    <w:rsid w:val="00880BD1"/>
    <w:rsid w:val="008817F0"/>
    <w:rsid w:val="00881807"/>
    <w:rsid w:val="00881CB8"/>
    <w:rsid w:val="00882268"/>
    <w:rsid w:val="00882D94"/>
    <w:rsid w:val="00882F00"/>
    <w:rsid w:val="008835DF"/>
    <w:rsid w:val="00885B8A"/>
    <w:rsid w:val="00886817"/>
    <w:rsid w:val="0088771B"/>
    <w:rsid w:val="0089050D"/>
    <w:rsid w:val="008909F5"/>
    <w:rsid w:val="008928D4"/>
    <w:rsid w:val="00897098"/>
    <w:rsid w:val="008A044A"/>
    <w:rsid w:val="008A0FE1"/>
    <w:rsid w:val="008A2A5D"/>
    <w:rsid w:val="008A2D42"/>
    <w:rsid w:val="008A2E73"/>
    <w:rsid w:val="008A31EE"/>
    <w:rsid w:val="008A4DA7"/>
    <w:rsid w:val="008A6635"/>
    <w:rsid w:val="008A7041"/>
    <w:rsid w:val="008B098E"/>
    <w:rsid w:val="008B101B"/>
    <w:rsid w:val="008B1491"/>
    <w:rsid w:val="008B23B6"/>
    <w:rsid w:val="008B424C"/>
    <w:rsid w:val="008B5870"/>
    <w:rsid w:val="008B5D77"/>
    <w:rsid w:val="008B6CE5"/>
    <w:rsid w:val="008B6FF5"/>
    <w:rsid w:val="008C0377"/>
    <w:rsid w:val="008C1E2E"/>
    <w:rsid w:val="008C3EAD"/>
    <w:rsid w:val="008C5CDB"/>
    <w:rsid w:val="008C6E32"/>
    <w:rsid w:val="008D0775"/>
    <w:rsid w:val="008D1836"/>
    <w:rsid w:val="008D2263"/>
    <w:rsid w:val="008D269A"/>
    <w:rsid w:val="008D34A3"/>
    <w:rsid w:val="008D3F7C"/>
    <w:rsid w:val="008D4242"/>
    <w:rsid w:val="008D4BCE"/>
    <w:rsid w:val="008D5527"/>
    <w:rsid w:val="008D5D28"/>
    <w:rsid w:val="008D60B6"/>
    <w:rsid w:val="008D6BF5"/>
    <w:rsid w:val="008D7404"/>
    <w:rsid w:val="008E0216"/>
    <w:rsid w:val="008E04CA"/>
    <w:rsid w:val="008E1315"/>
    <w:rsid w:val="008E418C"/>
    <w:rsid w:val="008E4874"/>
    <w:rsid w:val="008E4E78"/>
    <w:rsid w:val="008E6E5D"/>
    <w:rsid w:val="008E72F1"/>
    <w:rsid w:val="008F009C"/>
    <w:rsid w:val="008F1840"/>
    <w:rsid w:val="008F239E"/>
    <w:rsid w:val="008F2CDB"/>
    <w:rsid w:val="008F39AA"/>
    <w:rsid w:val="008F3CF7"/>
    <w:rsid w:val="008F3F99"/>
    <w:rsid w:val="008F40F9"/>
    <w:rsid w:val="008F6C6E"/>
    <w:rsid w:val="00902B1F"/>
    <w:rsid w:val="00902DFA"/>
    <w:rsid w:val="009039F9"/>
    <w:rsid w:val="00903ABA"/>
    <w:rsid w:val="00903ADD"/>
    <w:rsid w:val="00904B6B"/>
    <w:rsid w:val="00905546"/>
    <w:rsid w:val="00905BC5"/>
    <w:rsid w:val="00905C8B"/>
    <w:rsid w:val="00905FE5"/>
    <w:rsid w:val="0090614B"/>
    <w:rsid w:val="009064AD"/>
    <w:rsid w:val="00906CE3"/>
    <w:rsid w:val="00907777"/>
    <w:rsid w:val="00907A37"/>
    <w:rsid w:val="00911D58"/>
    <w:rsid w:val="009137A6"/>
    <w:rsid w:val="00913C15"/>
    <w:rsid w:val="0091456F"/>
    <w:rsid w:val="00914E8B"/>
    <w:rsid w:val="00914F03"/>
    <w:rsid w:val="0091655D"/>
    <w:rsid w:val="00916662"/>
    <w:rsid w:val="00917190"/>
    <w:rsid w:val="00917374"/>
    <w:rsid w:val="00917C55"/>
    <w:rsid w:val="00917E28"/>
    <w:rsid w:val="009209DA"/>
    <w:rsid w:val="00922481"/>
    <w:rsid w:val="00922AD4"/>
    <w:rsid w:val="00922D32"/>
    <w:rsid w:val="00923585"/>
    <w:rsid w:val="009239AB"/>
    <w:rsid w:val="00923DE9"/>
    <w:rsid w:val="009241AE"/>
    <w:rsid w:val="00924476"/>
    <w:rsid w:val="00925C67"/>
    <w:rsid w:val="00926EF8"/>
    <w:rsid w:val="00930663"/>
    <w:rsid w:val="00930794"/>
    <w:rsid w:val="009309D3"/>
    <w:rsid w:val="00931A6B"/>
    <w:rsid w:val="00932C7A"/>
    <w:rsid w:val="0093393F"/>
    <w:rsid w:val="00933E50"/>
    <w:rsid w:val="00934B0A"/>
    <w:rsid w:val="00934B38"/>
    <w:rsid w:val="00935414"/>
    <w:rsid w:val="00935874"/>
    <w:rsid w:val="00935CAE"/>
    <w:rsid w:val="009361F0"/>
    <w:rsid w:val="00940CC1"/>
    <w:rsid w:val="00940E46"/>
    <w:rsid w:val="00943069"/>
    <w:rsid w:val="00943A37"/>
    <w:rsid w:val="00945016"/>
    <w:rsid w:val="0094556C"/>
    <w:rsid w:val="0094582F"/>
    <w:rsid w:val="00946A55"/>
    <w:rsid w:val="009473C5"/>
    <w:rsid w:val="00952270"/>
    <w:rsid w:val="00953324"/>
    <w:rsid w:val="00953CFD"/>
    <w:rsid w:val="00953E7C"/>
    <w:rsid w:val="00955215"/>
    <w:rsid w:val="00955D35"/>
    <w:rsid w:val="00955DDB"/>
    <w:rsid w:val="00955E7D"/>
    <w:rsid w:val="00957087"/>
    <w:rsid w:val="00957113"/>
    <w:rsid w:val="00957967"/>
    <w:rsid w:val="00957C10"/>
    <w:rsid w:val="0096039A"/>
    <w:rsid w:val="00960873"/>
    <w:rsid w:val="009620D2"/>
    <w:rsid w:val="009633DA"/>
    <w:rsid w:val="0096382C"/>
    <w:rsid w:val="0096610F"/>
    <w:rsid w:val="009664B3"/>
    <w:rsid w:val="00966D7E"/>
    <w:rsid w:val="00967B91"/>
    <w:rsid w:val="00967C39"/>
    <w:rsid w:val="009704D4"/>
    <w:rsid w:val="0097094A"/>
    <w:rsid w:val="0097098F"/>
    <w:rsid w:val="00971605"/>
    <w:rsid w:val="00972C03"/>
    <w:rsid w:val="00972EBB"/>
    <w:rsid w:val="0097310B"/>
    <w:rsid w:val="00974EF9"/>
    <w:rsid w:val="00976131"/>
    <w:rsid w:val="00976484"/>
    <w:rsid w:val="0097720B"/>
    <w:rsid w:val="009778B6"/>
    <w:rsid w:val="009800A6"/>
    <w:rsid w:val="0098017A"/>
    <w:rsid w:val="009809E0"/>
    <w:rsid w:val="009812F2"/>
    <w:rsid w:val="00982C29"/>
    <w:rsid w:val="00984E99"/>
    <w:rsid w:val="00986843"/>
    <w:rsid w:val="00987D0E"/>
    <w:rsid w:val="00987FBD"/>
    <w:rsid w:val="009902EB"/>
    <w:rsid w:val="00990492"/>
    <w:rsid w:val="00993142"/>
    <w:rsid w:val="00993ABA"/>
    <w:rsid w:val="009941A7"/>
    <w:rsid w:val="009949D4"/>
    <w:rsid w:val="00994C5D"/>
    <w:rsid w:val="0099518E"/>
    <w:rsid w:val="009958E5"/>
    <w:rsid w:val="009960A9"/>
    <w:rsid w:val="009971A2"/>
    <w:rsid w:val="00997481"/>
    <w:rsid w:val="009A0853"/>
    <w:rsid w:val="009A094C"/>
    <w:rsid w:val="009A097A"/>
    <w:rsid w:val="009A0E9B"/>
    <w:rsid w:val="009A35DB"/>
    <w:rsid w:val="009A39C8"/>
    <w:rsid w:val="009A45CC"/>
    <w:rsid w:val="009A474A"/>
    <w:rsid w:val="009A4C7B"/>
    <w:rsid w:val="009A73C1"/>
    <w:rsid w:val="009A782F"/>
    <w:rsid w:val="009B0872"/>
    <w:rsid w:val="009B17A9"/>
    <w:rsid w:val="009B24AA"/>
    <w:rsid w:val="009B35A0"/>
    <w:rsid w:val="009B3BF2"/>
    <w:rsid w:val="009B3D09"/>
    <w:rsid w:val="009B423D"/>
    <w:rsid w:val="009B5781"/>
    <w:rsid w:val="009B607E"/>
    <w:rsid w:val="009B66FC"/>
    <w:rsid w:val="009C1678"/>
    <w:rsid w:val="009C2DA8"/>
    <w:rsid w:val="009C2E2A"/>
    <w:rsid w:val="009C37BD"/>
    <w:rsid w:val="009C436D"/>
    <w:rsid w:val="009C5A8E"/>
    <w:rsid w:val="009C5CC7"/>
    <w:rsid w:val="009C62BA"/>
    <w:rsid w:val="009C7633"/>
    <w:rsid w:val="009D0746"/>
    <w:rsid w:val="009D1669"/>
    <w:rsid w:val="009D1C32"/>
    <w:rsid w:val="009D24F6"/>
    <w:rsid w:val="009D3CEF"/>
    <w:rsid w:val="009D48F3"/>
    <w:rsid w:val="009D4F72"/>
    <w:rsid w:val="009D5493"/>
    <w:rsid w:val="009D65A8"/>
    <w:rsid w:val="009D6C0F"/>
    <w:rsid w:val="009D7544"/>
    <w:rsid w:val="009E052E"/>
    <w:rsid w:val="009E0597"/>
    <w:rsid w:val="009E2734"/>
    <w:rsid w:val="009E2DCC"/>
    <w:rsid w:val="009E2F2D"/>
    <w:rsid w:val="009E3D3C"/>
    <w:rsid w:val="009E428E"/>
    <w:rsid w:val="009E43F8"/>
    <w:rsid w:val="009E4C88"/>
    <w:rsid w:val="009E5AC1"/>
    <w:rsid w:val="009E5F16"/>
    <w:rsid w:val="009E6DC0"/>
    <w:rsid w:val="009E71B6"/>
    <w:rsid w:val="009E7592"/>
    <w:rsid w:val="009E790F"/>
    <w:rsid w:val="009E7C09"/>
    <w:rsid w:val="009F2324"/>
    <w:rsid w:val="009F33B3"/>
    <w:rsid w:val="009F3FBB"/>
    <w:rsid w:val="009F45CA"/>
    <w:rsid w:val="009F4FF5"/>
    <w:rsid w:val="009F5C35"/>
    <w:rsid w:val="009F5C64"/>
    <w:rsid w:val="009F7153"/>
    <w:rsid w:val="00A00DC8"/>
    <w:rsid w:val="00A011F4"/>
    <w:rsid w:val="00A0120E"/>
    <w:rsid w:val="00A016AB"/>
    <w:rsid w:val="00A01D2F"/>
    <w:rsid w:val="00A03A3D"/>
    <w:rsid w:val="00A050C0"/>
    <w:rsid w:val="00A057B6"/>
    <w:rsid w:val="00A05C7E"/>
    <w:rsid w:val="00A06ABA"/>
    <w:rsid w:val="00A10D09"/>
    <w:rsid w:val="00A1104D"/>
    <w:rsid w:val="00A111C1"/>
    <w:rsid w:val="00A129E5"/>
    <w:rsid w:val="00A14218"/>
    <w:rsid w:val="00A15519"/>
    <w:rsid w:val="00A170BE"/>
    <w:rsid w:val="00A20A75"/>
    <w:rsid w:val="00A2121D"/>
    <w:rsid w:val="00A2229B"/>
    <w:rsid w:val="00A222BA"/>
    <w:rsid w:val="00A2377F"/>
    <w:rsid w:val="00A23F58"/>
    <w:rsid w:val="00A272D1"/>
    <w:rsid w:val="00A30862"/>
    <w:rsid w:val="00A30BC2"/>
    <w:rsid w:val="00A31CD0"/>
    <w:rsid w:val="00A322E7"/>
    <w:rsid w:val="00A32746"/>
    <w:rsid w:val="00A330FE"/>
    <w:rsid w:val="00A347D7"/>
    <w:rsid w:val="00A34C7B"/>
    <w:rsid w:val="00A37750"/>
    <w:rsid w:val="00A40873"/>
    <w:rsid w:val="00A40F35"/>
    <w:rsid w:val="00A41E10"/>
    <w:rsid w:val="00A41E9C"/>
    <w:rsid w:val="00A422E2"/>
    <w:rsid w:val="00A4333E"/>
    <w:rsid w:val="00A44006"/>
    <w:rsid w:val="00A440EA"/>
    <w:rsid w:val="00A448CD"/>
    <w:rsid w:val="00A450F2"/>
    <w:rsid w:val="00A45EBD"/>
    <w:rsid w:val="00A47427"/>
    <w:rsid w:val="00A50B97"/>
    <w:rsid w:val="00A51112"/>
    <w:rsid w:val="00A512EF"/>
    <w:rsid w:val="00A51D13"/>
    <w:rsid w:val="00A532C6"/>
    <w:rsid w:val="00A53414"/>
    <w:rsid w:val="00A5372E"/>
    <w:rsid w:val="00A540D5"/>
    <w:rsid w:val="00A56743"/>
    <w:rsid w:val="00A57624"/>
    <w:rsid w:val="00A60A07"/>
    <w:rsid w:val="00A613EE"/>
    <w:rsid w:val="00A61E3A"/>
    <w:rsid w:val="00A62A0C"/>
    <w:rsid w:val="00A6368A"/>
    <w:rsid w:val="00A63C3A"/>
    <w:rsid w:val="00A662F4"/>
    <w:rsid w:val="00A66D13"/>
    <w:rsid w:val="00A7079C"/>
    <w:rsid w:val="00A70BFC"/>
    <w:rsid w:val="00A72D09"/>
    <w:rsid w:val="00A72E59"/>
    <w:rsid w:val="00A74422"/>
    <w:rsid w:val="00A75C9A"/>
    <w:rsid w:val="00A77213"/>
    <w:rsid w:val="00A77541"/>
    <w:rsid w:val="00A80000"/>
    <w:rsid w:val="00A809F1"/>
    <w:rsid w:val="00A80B6F"/>
    <w:rsid w:val="00A8250E"/>
    <w:rsid w:val="00A825B2"/>
    <w:rsid w:val="00A84BB7"/>
    <w:rsid w:val="00A861D5"/>
    <w:rsid w:val="00A86469"/>
    <w:rsid w:val="00A91EC8"/>
    <w:rsid w:val="00A924C2"/>
    <w:rsid w:val="00A92E7D"/>
    <w:rsid w:val="00A93600"/>
    <w:rsid w:val="00A94811"/>
    <w:rsid w:val="00A94A43"/>
    <w:rsid w:val="00A955CD"/>
    <w:rsid w:val="00A9582F"/>
    <w:rsid w:val="00A95E90"/>
    <w:rsid w:val="00A96CA6"/>
    <w:rsid w:val="00A96F13"/>
    <w:rsid w:val="00A979DC"/>
    <w:rsid w:val="00AA3030"/>
    <w:rsid w:val="00AA43D6"/>
    <w:rsid w:val="00AA5E51"/>
    <w:rsid w:val="00AA64BE"/>
    <w:rsid w:val="00AA797C"/>
    <w:rsid w:val="00AB131A"/>
    <w:rsid w:val="00AB2267"/>
    <w:rsid w:val="00AB246B"/>
    <w:rsid w:val="00AB2CF8"/>
    <w:rsid w:val="00AB3A06"/>
    <w:rsid w:val="00AB4937"/>
    <w:rsid w:val="00AB5DA3"/>
    <w:rsid w:val="00AB70D7"/>
    <w:rsid w:val="00AC1067"/>
    <w:rsid w:val="00AC244A"/>
    <w:rsid w:val="00AC24A2"/>
    <w:rsid w:val="00AC2524"/>
    <w:rsid w:val="00AC2CAB"/>
    <w:rsid w:val="00AC37D8"/>
    <w:rsid w:val="00AC38F2"/>
    <w:rsid w:val="00AC4D10"/>
    <w:rsid w:val="00AC5697"/>
    <w:rsid w:val="00AC6E2E"/>
    <w:rsid w:val="00AC7EE6"/>
    <w:rsid w:val="00AC7F26"/>
    <w:rsid w:val="00AD059F"/>
    <w:rsid w:val="00AD0715"/>
    <w:rsid w:val="00AD0B11"/>
    <w:rsid w:val="00AD367A"/>
    <w:rsid w:val="00AD6186"/>
    <w:rsid w:val="00AD6457"/>
    <w:rsid w:val="00AD7AFD"/>
    <w:rsid w:val="00AE01BC"/>
    <w:rsid w:val="00AE0A8E"/>
    <w:rsid w:val="00AE18F5"/>
    <w:rsid w:val="00AE457A"/>
    <w:rsid w:val="00AE7A31"/>
    <w:rsid w:val="00AF099A"/>
    <w:rsid w:val="00AF341B"/>
    <w:rsid w:val="00AF3DD9"/>
    <w:rsid w:val="00AF5DAE"/>
    <w:rsid w:val="00AF61D2"/>
    <w:rsid w:val="00AF68CB"/>
    <w:rsid w:val="00AF6E4A"/>
    <w:rsid w:val="00AF759F"/>
    <w:rsid w:val="00AF77B4"/>
    <w:rsid w:val="00B003EB"/>
    <w:rsid w:val="00B004BC"/>
    <w:rsid w:val="00B05EDE"/>
    <w:rsid w:val="00B0792B"/>
    <w:rsid w:val="00B11422"/>
    <w:rsid w:val="00B12806"/>
    <w:rsid w:val="00B12D3E"/>
    <w:rsid w:val="00B14A7B"/>
    <w:rsid w:val="00B16D44"/>
    <w:rsid w:val="00B2051C"/>
    <w:rsid w:val="00B2099F"/>
    <w:rsid w:val="00B21228"/>
    <w:rsid w:val="00B214AC"/>
    <w:rsid w:val="00B21589"/>
    <w:rsid w:val="00B22478"/>
    <w:rsid w:val="00B226DC"/>
    <w:rsid w:val="00B23B5D"/>
    <w:rsid w:val="00B23C0F"/>
    <w:rsid w:val="00B24C83"/>
    <w:rsid w:val="00B25593"/>
    <w:rsid w:val="00B25703"/>
    <w:rsid w:val="00B26373"/>
    <w:rsid w:val="00B27520"/>
    <w:rsid w:val="00B300F3"/>
    <w:rsid w:val="00B30B10"/>
    <w:rsid w:val="00B31114"/>
    <w:rsid w:val="00B3193C"/>
    <w:rsid w:val="00B31BAC"/>
    <w:rsid w:val="00B31BD3"/>
    <w:rsid w:val="00B3220B"/>
    <w:rsid w:val="00B34286"/>
    <w:rsid w:val="00B35FCE"/>
    <w:rsid w:val="00B36DB6"/>
    <w:rsid w:val="00B3782D"/>
    <w:rsid w:val="00B42228"/>
    <w:rsid w:val="00B422F0"/>
    <w:rsid w:val="00B44896"/>
    <w:rsid w:val="00B44DBE"/>
    <w:rsid w:val="00B454DF"/>
    <w:rsid w:val="00B45D63"/>
    <w:rsid w:val="00B47575"/>
    <w:rsid w:val="00B477F1"/>
    <w:rsid w:val="00B504C3"/>
    <w:rsid w:val="00B507A2"/>
    <w:rsid w:val="00B509C5"/>
    <w:rsid w:val="00B50E84"/>
    <w:rsid w:val="00B5163A"/>
    <w:rsid w:val="00B53CA8"/>
    <w:rsid w:val="00B55301"/>
    <w:rsid w:val="00B5702F"/>
    <w:rsid w:val="00B57307"/>
    <w:rsid w:val="00B57E70"/>
    <w:rsid w:val="00B6090F"/>
    <w:rsid w:val="00B6164A"/>
    <w:rsid w:val="00B6389E"/>
    <w:rsid w:val="00B6477D"/>
    <w:rsid w:val="00B647EC"/>
    <w:rsid w:val="00B65EC3"/>
    <w:rsid w:val="00B66B6A"/>
    <w:rsid w:val="00B66BCA"/>
    <w:rsid w:val="00B67008"/>
    <w:rsid w:val="00B67106"/>
    <w:rsid w:val="00B70766"/>
    <w:rsid w:val="00B71D36"/>
    <w:rsid w:val="00B72027"/>
    <w:rsid w:val="00B73918"/>
    <w:rsid w:val="00B73FB5"/>
    <w:rsid w:val="00B74D0E"/>
    <w:rsid w:val="00B76589"/>
    <w:rsid w:val="00B76E73"/>
    <w:rsid w:val="00B7735E"/>
    <w:rsid w:val="00B77C0F"/>
    <w:rsid w:val="00B8148B"/>
    <w:rsid w:val="00B8247F"/>
    <w:rsid w:val="00B82B90"/>
    <w:rsid w:val="00B8429A"/>
    <w:rsid w:val="00B8451C"/>
    <w:rsid w:val="00B85FA4"/>
    <w:rsid w:val="00B86DB8"/>
    <w:rsid w:val="00B9069E"/>
    <w:rsid w:val="00B92222"/>
    <w:rsid w:val="00B9300A"/>
    <w:rsid w:val="00B93166"/>
    <w:rsid w:val="00B97360"/>
    <w:rsid w:val="00BA09BD"/>
    <w:rsid w:val="00BA0ED2"/>
    <w:rsid w:val="00BA11FC"/>
    <w:rsid w:val="00BA2C9F"/>
    <w:rsid w:val="00BA5097"/>
    <w:rsid w:val="00BA5226"/>
    <w:rsid w:val="00BA5994"/>
    <w:rsid w:val="00BA5DFC"/>
    <w:rsid w:val="00BA6396"/>
    <w:rsid w:val="00BA665E"/>
    <w:rsid w:val="00BA7010"/>
    <w:rsid w:val="00BA78A1"/>
    <w:rsid w:val="00BA7C40"/>
    <w:rsid w:val="00BB0260"/>
    <w:rsid w:val="00BB14E6"/>
    <w:rsid w:val="00BB277C"/>
    <w:rsid w:val="00BB3B47"/>
    <w:rsid w:val="00BB3E0D"/>
    <w:rsid w:val="00BB4D99"/>
    <w:rsid w:val="00BB5510"/>
    <w:rsid w:val="00BB6847"/>
    <w:rsid w:val="00BB7E8F"/>
    <w:rsid w:val="00BC00EF"/>
    <w:rsid w:val="00BC15D3"/>
    <w:rsid w:val="00BC1B48"/>
    <w:rsid w:val="00BC2762"/>
    <w:rsid w:val="00BC2791"/>
    <w:rsid w:val="00BC28E8"/>
    <w:rsid w:val="00BC469A"/>
    <w:rsid w:val="00BC47F9"/>
    <w:rsid w:val="00BC5300"/>
    <w:rsid w:val="00BC5BDE"/>
    <w:rsid w:val="00BD1040"/>
    <w:rsid w:val="00BD266A"/>
    <w:rsid w:val="00BD2B6D"/>
    <w:rsid w:val="00BD2B96"/>
    <w:rsid w:val="00BD4538"/>
    <w:rsid w:val="00BD519F"/>
    <w:rsid w:val="00BD5420"/>
    <w:rsid w:val="00BE0332"/>
    <w:rsid w:val="00BE03F5"/>
    <w:rsid w:val="00BE093D"/>
    <w:rsid w:val="00BE1717"/>
    <w:rsid w:val="00BE1971"/>
    <w:rsid w:val="00BE1AFA"/>
    <w:rsid w:val="00BE44F0"/>
    <w:rsid w:val="00BE4B04"/>
    <w:rsid w:val="00BE5AD8"/>
    <w:rsid w:val="00BE69D8"/>
    <w:rsid w:val="00BE6A18"/>
    <w:rsid w:val="00BE6F02"/>
    <w:rsid w:val="00BF0C93"/>
    <w:rsid w:val="00BF1DCE"/>
    <w:rsid w:val="00BF242A"/>
    <w:rsid w:val="00BF3A3C"/>
    <w:rsid w:val="00BF4B2F"/>
    <w:rsid w:val="00BF5ADD"/>
    <w:rsid w:val="00BF7C46"/>
    <w:rsid w:val="00C00305"/>
    <w:rsid w:val="00C02B1F"/>
    <w:rsid w:val="00C036D0"/>
    <w:rsid w:val="00C03E22"/>
    <w:rsid w:val="00C04542"/>
    <w:rsid w:val="00C062C4"/>
    <w:rsid w:val="00C06792"/>
    <w:rsid w:val="00C073DF"/>
    <w:rsid w:val="00C074EE"/>
    <w:rsid w:val="00C10504"/>
    <w:rsid w:val="00C10F1E"/>
    <w:rsid w:val="00C12015"/>
    <w:rsid w:val="00C1291C"/>
    <w:rsid w:val="00C14248"/>
    <w:rsid w:val="00C14920"/>
    <w:rsid w:val="00C151CD"/>
    <w:rsid w:val="00C1567E"/>
    <w:rsid w:val="00C15734"/>
    <w:rsid w:val="00C15BF4"/>
    <w:rsid w:val="00C15F68"/>
    <w:rsid w:val="00C1659F"/>
    <w:rsid w:val="00C16853"/>
    <w:rsid w:val="00C2173B"/>
    <w:rsid w:val="00C220F8"/>
    <w:rsid w:val="00C22554"/>
    <w:rsid w:val="00C234EF"/>
    <w:rsid w:val="00C239B8"/>
    <w:rsid w:val="00C23F49"/>
    <w:rsid w:val="00C246A2"/>
    <w:rsid w:val="00C25ABF"/>
    <w:rsid w:val="00C30580"/>
    <w:rsid w:val="00C33263"/>
    <w:rsid w:val="00C33BBC"/>
    <w:rsid w:val="00C33D56"/>
    <w:rsid w:val="00C33DA2"/>
    <w:rsid w:val="00C3444E"/>
    <w:rsid w:val="00C35F6E"/>
    <w:rsid w:val="00C3635B"/>
    <w:rsid w:val="00C37A7C"/>
    <w:rsid w:val="00C4031D"/>
    <w:rsid w:val="00C41D97"/>
    <w:rsid w:val="00C41ED2"/>
    <w:rsid w:val="00C4279D"/>
    <w:rsid w:val="00C4288A"/>
    <w:rsid w:val="00C431D3"/>
    <w:rsid w:val="00C43F71"/>
    <w:rsid w:val="00C45FAB"/>
    <w:rsid w:val="00C50EE2"/>
    <w:rsid w:val="00C52C55"/>
    <w:rsid w:val="00C52E78"/>
    <w:rsid w:val="00C546E9"/>
    <w:rsid w:val="00C5636C"/>
    <w:rsid w:val="00C56D03"/>
    <w:rsid w:val="00C57000"/>
    <w:rsid w:val="00C57347"/>
    <w:rsid w:val="00C60AA4"/>
    <w:rsid w:val="00C61626"/>
    <w:rsid w:val="00C62E87"/>
    <w:rsid w:val="00C63504"/>
    <w:rsid w:val="00C63CF5"/>
    <w:rsid w:val="00C64065"/>
    <w:rsid w:val="00C64391"/>
    <w:rsid w:val="00C64F43"/>
    <w:rsid w:val="00C67B61"/>
    <w:rsid w:val="00C67E0E"/>
    <w:rsid w:val="00C7031C"/>
    <w:rsid w:val="00C70A1D"/>
    <w:rsid w:val="00C72A97"/>
    <w:rsid w:val="00C73A77"/>
    <w:rsid w:val="00C76496"/>
    <w:rsid w:val="00C76F10"/>
    <w:rsid w:val="00C84E21"/>
    <w:rsid w:val="00C84FC2"/>
    <w:rsid w:val="00C85F22"/>
    <w:rsid w:val="00C86001"/>
    <w:rsid w:val="00C86069"/>
    <w:rsid w:val="00C9162C"/>
    <w:rsid w:val="00C92981"/>
    <w:rsid w:val="00C92C64"/>
    <w:rsid w:val="00C9321A"/>
    <w:rsid w:val="00C943ED"/>
    <w:rsid w:val="00C9542B"/>
    <w:rsid w:val="00C969A3"/>
    <w:rsid w:val="00C97328"/>
    <w:rsid w:val="00C97745"/>
    <w:rsid w:val="00CA0F2D"/>
    <w:rsid w:val="00CA351F"/>
    <w:rsid w:val="00CA4105"/>
    <w:rsid w:val="00CA5073"/>
    <w:rsid w:val="00CA5BEA"/>
    <w:rsid w:val="00CA6AE4"/>
    <w:rsid w:val="00CA6C7B"/>
    <w:rsid w:val="00CB27AA"/>
    <w:rsid w:val="00CB2C07"/>
    <w:rsid w:val="00CB355B"/>
    <w:rsid w:val="00CB4462"/>
    <w:rsid w:val="00CB46D4"/>
    <w:rsid w:val="00CB4B18"/>
    <w:rsid w:val="00CB6191"/>
    <w:rsid w:val="00CB6ED0"/>
    <w:rsid w:val="00CB7DB2"/>
    <w:rsid w:val="00CC030D"/>
    <w:rsid w:val="00CC24D0"/>
    <w:rsid w:val="00CC42C1"/>
    <w:rsid w:val="00CC4ED8"/>
    <w:rsid w:val="00CC64F3"/>
    <w:rsid w:val="00CC7242"/>
    <w:rsid w:val="00CD0730"/>
    <w:rsid w:val="00CD082C"/>
    <w:rsid w:val="00CD0BA3"/>
    <w:rsid w:val="00CD356F"/>
    <w:rsid w:val="00CD3F1C"/>
    <w:rsid w:val="00CD4CC4"/>
    <w:rsid w:val="00CD520F"/>
    <w:rsid w:val="00CD72FB"/>
    <w:rsid w:val="00CD7543"/>
    <w:rsid w:val="00CE1538"/>
    <w:rsid w:val="00CE2437"/>
    <w:rsid w:val="00CE2A73"/>
    <w:rsid w:val="00CE576B"/>
    <w:rsid w:val="00CE66BE"/>
    <w:rsid w:val="00CF0356"/>
    <w:rsid w:val="00CF1DC4"/>
    <w:rsid w:val="00CF25ED"/>
    <w:rsid w:val="00CF2BF3"/>
    <w:rsid w:val="00CF33EF"/>
    <w:rsid w:val="00CF3D84"/>
    <w:rsid w:val="00CF3F68"/>
    <w:rsid w:val="00CF4A0D"/>
    <w:rsid w:val="00CF5040"/>
    <w:rsid w:val="00CF527F"/>
    <w:rsid w:val="00CF57B8"/>
    <w:rsid w:val="00CF5B38"/>
    <w:rsid w:val="00CF6B1B"/>
    <w:rsid w:val="00CF7E97"/>
    <w:rsid w:val="00D02495"/>
    <w:rsid w:val="00D03C0B"/>
    <w:rsid w:val="00D045F6"/>
    <w:rsid w:val="00D04D02"/>
    <w:rsid w:val="00D06AED"/>
    <w:rsid w:val="00D07C31"/>
    <w:rsid w:val="00D108BD"/>
    <w:rsid w:val="00D11669"/>
    <w:rsid w:val="00D134DE"/>
    <w:rsid w:val="00D139C2"/>
    <w:rsid w:val="00D13BCE"/>
    <w:rsid w:val="00D1494C"/>
    <w:rsid w:val="00D14C65"/>
    <w:rsid w:val="00D15BE9"/>
    <w:rsid w:val="00D15EC3"/>
    <w:rsid w:val="00D15FF6"/>
    <w:rsid w:val="00D16DC2"/>
    <w:rsid w:val="00D1782E"/>
    <w:rsid w:val="00D20090"/>
    <w:rsid w:val="00D201ED"/>
    <w:rsid w:val="00D20C36"/>
    <w:rsid w:val="00D20CE6"/>
    <w:rsid w:val="00D21311"/>
    <w:rsid w:val="00D21551"/>
    <w:rsid w:val="00D22B45"/>
    <w:rsid w:val="00D2336A"/>
    <w:rsid w:val="00D25D20"/>
    <w:rsid w:val="00D26ACB"/>
    <w:rsid w:val="00D27E71"/>
    <w:rsid w:val="00D27EA1"/>
    <w:rsid w:val="00D3076E"/>
    <w:rsid w:val="00D30A18"/>
    <w:rsid w:val="00D30C28"/>
    <w:rsid w:val="00D30D4D"/>
    <w:rsid w:val="00D31030"/>
    <w:rsid w:val="00D32819"/>
    <w:rsid w:val="00D33D91"/>
    <w:rsid w:val="00D33DD3"/>
    <w:rsid w:val="00D3483A"/>
    <w:rsid w:val="00D3498F"/>
    <w:rsid w:val="00D34DC5"/>
    <w:rsid w:val="00D350B3"/>
    <w:rsid w:val="00D35178"/>
    <w:rsid w:val="00D35CD7"/>
    <w:rsid w:val="00D36780"/>
    <w:rsid w:val="00D413E0"/>
    <w:rsid w:val="00D42E8D"/>
    <w:rsid w:val="00D43359"/>
    <w:rsid w:val="00D434A6"/>
    <w:rsid w:val="00D443AA"/>
    <w:rsid w:val="00D446A8"/>
    <w:rsid w:val="00D44AB0"/>
    <w:rsid w:val="00D4588B"/>
    <w:rsid w:val="00D46772"/>
    <w:rsid w:val="00D50343"/>
    <w:rsid w:val="00D51060"/>
    <w:rsid w:val="00D52811"/>
    <w:rsid w:val="00D54AC2"/>
    <w:rsid w:val="00D55362"/>
    <w:rsid w:val="00D5613D"/>
    <w:rsid w:val="00D563D8"/>
    <w:rsid w:val="00D569DC"/>
    <w:rsid w:val="00D57DAF"/>
    <w:rsid w:val="00D608DB"/>
    <w:rsid w:val="00D62D33"/>
    <w:rsid w:val="00D6319F"/>
    <w:rsid w:val="00D635B9"/>
    <w:rsid w:val="00D647DC"/>
    <w:rsid w:val="00D64860"/>
    <w:rsid w:val="00D65C3A"/>
    <w:rsid w:val="00D65E78"/>
    <w:rsid w:val="00D70CD1"/>
    <w:rsid w:val="00D731FE"/>
    <w:rsid w:val="00D73C61"/>
    <w:rsid w:val="00D74305"/>
    <w:rsid w:val="00D7598E"/>
    <w:rsid w:val="00D760C8"/>
    <w:rsid w:val="00D77025"/>
    <w:rsid w:val="00D779D6"/>
    <w:rsid w:val="00D80D9A"/>
    <w:rsid w:val="00D8123B"/>
    <w:rsid w:val="00D818F4"/>
    <w:rsid w:val="00D83141"/>
    <w:rsid w:val="00D8387C"/>
    <w:rsid w:val="00D83C26"/>
    <w:rsid w:val="00D84B4D"/>
    <w:rsid w:val="00D85BDB"/>
    <w:rsid w:val="00D871DA"/>
    <w:rsid w:val="00D87D0F"/>
    <w:rsid w:val="00D90D51"/>
    <w:rsid w:val="00D90E4E"/>
    <w:rsid w:val="00D91092"/>
    <w:rsid w:val="00D936B5"/>
    <w:rsid w:val="00D94710"/>
    <w:rsid w:val="00D96126"/>
    <w:rsid w:val="00DA1557"/>
    <w:rsid w:val="00DA50E2"/>
    <w:rsid w:val="00DA58C9"/>
    <w:rsid w:val="00DA5BD1"/>
    <w:rsid w:val="00DA6332"/>
    <w:rsid w:val="00DB0EE0"/>
    <w:rsid w:val="00DB19F8"/>
    <w:rsid w:val="00DB1F32"/>
    <w:rsid w:val="00DB22C2"/>
    <w:rsid w:val="00DB269A"/>
    <w:rsid w:val="00DB3727"/>
    <w:rsid w:val="00DB394D"/>
    <w:rsid w:val="00DB4847"/>
    <w:rsid w:val="00DB540C"/>
    <w:rsid w:val="00DB5684"/>
    <w:rsid w:val="00DB5F24"/>
    <w:rsid w:val="00DB6E71"/>
    <w:rsid w:val="00DC23F0"/>
    <w:rsid w:val="00DC3A67"/>
    <w:rsid w:val="00DC43BA"/>
    <w:rsid w:val="00DC6D33"/>
    <w:rsid w:val="00DC790F"/>
    <w:rsid w:val="00DD2C24"/>
    <w:rsid w:val="00DD4A8F"/>
    <w:rsid w:val="00DD6BAC"/>
    <w:rsid w:val="00DE0EE6"/>
    <w:rsid w:val="00DE19EA"/>
    <w:rsid w:val="00DE1FED"/>
    <w:rsid w:val="00DE3241"/>
    <w:rsid w:val="00DE38E9"/>
    <w:rsid w:val="00DE3B7E"/>
    <w:rsid w:val="00DE6576"/>
    <w:rsid w:val="00DE6771"/>
    <w:rsid w:val="00DE67C0"/>
    <w:rsid w:val="00DE6F67"/>
    <w:rsid w:val="00DE7EFD"/>
    <w:rsid w:val="00DF1171"/>
    <w:rsid w:val="00DF346B"/>
    <w:rsid w:val="00DF3CFB"/>
    <w:rsid w:val="00DF3F2C"/>
    <w:rsid w:val="00DF5831"/>
    <w:rsid w:val="00DF59F2"/>
    <w:rsid w:val="00DF66E9"/>
    <w:rsid w:val="00DF7197"/>
    <w:rsid w:val="00DF7F9C"/>
    <w:rsid w:val="00E00393"/>
    <w:rsid w:val="00E007DB"/>
    <w:rsid w:val="00E01008"/>
    <w:rsid w:val="00E0241F"/>
    <w:rsid w:val="00E03A8E"/>
    <w:rsid w:val="00E04124"/>
    <w:rsid w:val="00E05AE4"/>
    <w:rsid w:val="00E05D84"/>
    <w:rsid w:val="00E06C75"/>
    <w:rsid w:val="00E079C3"/>
    <w:rsid w:val="00E07B22"/>
    <w:rsid w:val="00E14404"/>
    <w:rsid w:val="00E14AE5"/>
    <w:rsid w:val="00E150BC"/>
    <w:rsid w:val="00E15388"/>
    <w:rsid w:val="00E1612E"/>
    <w:rsid w:val="00E163C8"/>
    <w:rsid w:val="00E174C3"/>
    <w:rsid w:val="00E204D5"/>
    <w:rsid w:val="00E23F10"/>
    <w:rsid w:val="00E24314"/>
    <w:rsid w:val="00E26A30"/>
    <w:rsid w:val="00E3079A"/>
    <w:rsid w:val="00E3127E"/>
    <w:rsid w:val="00E331CF"/>
    <w:rsid w:val="00E34858"/>
    <w:rsid w:val="00E34D74"/>
    <w:rsid w:val="00E37928"/>
    <w:rsid w:val="00E41F9C"/>
    <w:rsid w:val="00E421FB"/>
    <w:rsid w:val="00E42B30"/>
    <w:rsid w:val="00E43812"/>
    <w:rsid w:val="00E465EC"/>
    <w:rsid w:val="00E4787F"/>
    <w:rsid w:val="00E5056C"/>
    <w:rsid w:val="00E50F75"/>
    <w:rsid w:val="00E54A5B"/>
    <w:rsid w:val="00E56438"/>
    <w:rsid w:val="00E56E89"/>
    <w:rsid w:val="00E6028F"/>
    <w:rsid w:val="00E61E93"/>
    <w:rsid w:val="00E62608"/>
    <w:rsid w:val="00E62781"/>
    <w:rsid w:val="00E631AD"/>
    <w:rsid w:val="00E64BE3"/>
    <w:rsid w:val="00E6518D"/>
    <w:rsid w:val="00E674CF"/>
    <w:rsid w:val="00E71517"/>
    <w:rsid w:val="00E72A53"/>
    <w:rsid w:val="00E733C9"/>
    <w:rsid w:val="00E74A21"/>
    <w:rsid w:val="00E76A24"/>
    <w:rsid w:val="00E77B40"/>
    <w:rsid w:val="00E82149"/>
    <w:rsid w:val="00E82BF7"/>
    <w:rsid w:val="00E832CB"/>
    <w:rsid w:val="00E85110"/>
    <w:rsid w:val="00E85E15"/>
    <w:rsid w:val="00E86575"/>
    <w:rsid w:val="00E869D7"/>
    <w:rsid w:val="00E878CA"/>
    <w:rsid w:val="00E87FBF"/>
    <w:rsid w:val="00E90448"/>
    <w:rsid w:val="00E91D49"/>
    <w:rsid w:val="00E91DB0"/>
    <w:rsid w:val="00E92BE2"/>
    <w:rsid w:val="00E936E0"/>
    <w:rsid w:val="00E978B8"/>
    <w:rsid w:val="00EA133A"/>
    <w:rsid w:val="00EA13A5"/>
    <w:rsid w:val="00EA1726"/>
    <w:rsid w:val="00EA29CD"/>
    <w:rsid w:val="00EA3C11"/>
    <w:rsid w:val="00EA4C2B"/>
    <w:rsid w:val="00EB1E5F"/>
    <w:rsid w:val="00EB1FC4"/>
    <w:rsid w:val="00EB5C9C"/>
    <w:rsid w:val="00EC18BC"/>
    <w:rsid w:val="00EC19CC"/>
    <w:rsid w:val="00EC1D39"/>
    <w:rsid w:val="00EC27F6"/>
    <w:rsid w:val="00EC43F8"/>
    <w:rsid w:val="00EC620A"/>
    <w:rsid w:val="00ED0ABD"/>
    <w:rsid w:val="00ED0AE8"/>
    <w:rsid w:val="00ED1E5A"/>
    <w:rsid w:val="00ED2A9A"/>
    <w:rsid w:val="00ED2D20"/>
    <w:rsid w:val="00ED2DA8"/>
    <w:rsid w:val="00ED3C39"/>
    <w:rsid w:val="00ED4C3E"/>
    <w:rsid w:val="00ED5CEE"/>
    <w:rsid w:val="00ED6370"/>
    <w:rsid w:val="00EE038D"/>
    <w:rsid w:val="00EE0B11"/>
    <w:rsid w:val="00EE1C26"/>
    <w:rsid w:val="00EE1F07"/>
    <w:rsid w:val="00EE1FF4"/>
    <w:rsid w:val="00EE25F0"/>
    <w:rsid w:val="00EE3460"/>
    <w:rsid w:val="00EE441B"/>
    <w:rsid w:val="00EE67B7"/>
    <w:rsid w:val="00EE7970"/>
    <w:rsid w:val="00EF0A70"/>
    <w:rsid w:val="00EF18BA"/>
    <w:rsid w:val="00EF2238"/>
    <w:rsid w:val="00EF2CB1"/>
    <w:rsid w:val="00EF2D9B"/>
    <w:rsid w:val="00EF3F3D"/>
    <w:rsid w:val="00EF52E4"/>
    <w:rsid w:val="00EF53D4"/>
    <w:rsid w:val="00EF64CE"/>
    <w:rsid w:val="00EF6CA7"/>
    <w:rsid w:val="00EF7356"/>
    <w:rsid w:val="00EF7519"/>
    <w:rsid w:val="00EF7808"/>
    <w:rsid w:val="00F02160"/>
    <w:rsid w:val="00F03888"/>
    <w:rsid w:val="00F0701E"/>
    <w:rsid w:val="00F07400"/>
    <w:rsid w:val="00F074AB"/>
    <w:rsid w:val="00F118E4"/>
    <w:rsid w:val="00F1193A"/>
    <w:rsid w:val="00F121B6"/>
    <w:rsid w:val="00F13EFA"/>
    <w:rsid w:val="00F17E32"/>
    <w:rsid w:val="00F22AC5"/>
    <w:rsid w:val="00F23567"/>
    <w:rsid w:val="00F24985"/>
    <w:rsid w:val="00F255B5"/>
    <w:rsid w:val="00F261A6"/>
    <w:rsid w:val="00F26737"/>
    <w:rsid w:val="00F26D13"/>
    <w:rsid w:val="00F276FB"/>
    <w:rsid w:val="00F27E54"/>
    <w:rsid w:val="00F318A2"/>
    <w:rsid w:val="00F3198E"/>
    <w:rsid w:val="00F32112"/>
    <w:rsid w:val="00F34E11"/>
    <w:rsid w:val="00F35479"/>
    <w:rsid w:val="00F3570F"/>
    <w:rsid w:val="00F3580A"/>
    <w:rsid w:val="00F358A1"/>
    <w:rsid w:val="00F35CAA"/>
    <w:rsid w:val="00F3672B"/>
    <w:rsid w:val="00F367AB"/>
    <w:rsid w:val="00F36B77"/>
    <w:rsid w:val="00F41926"/>
    <w:rsid w:val="00F41975"/>
    <w:rsid w:val="00F4208C"/>
    <w:rsid w:val="00F420AD"/>
    <w:rsid w:val="00F42EA5"/>
    <w:rsid w:val="00F4519C"/>
    <w:rsid w:val="00F4555D"/>
    <w:rsid w:val="00F458FF"/>
    <w:rsid w:val="00F45980"/>
    <w:rsid w:val="00F478F5"/>
    <w:rsid w:val="00F509ED"/>
    <w:rsid w:val="00F528EE"/>
    <w:rsid w:val="00F53FB7"/>
    <w:rsid w:val="00F54C7D"/>
    <w:rsid w:val="00F54F6E"/>
    <w:rsid w:val="00F564B1"/>
    <w:rsid w:val="00F577E3"/>
    <w:rsid w:val="00F60C45"/>
    <w:rsid w:val="00F60DFB"/>
    <w:rsid w:val="00F62C76"/>
    <w:rsid w:val="00F62EA5"/>
    <w:rsid w:val="00F63543"/>
    <w:rsid w:val="00F63EDC"/>
    <w:rsid w:val="00F647B0"/>
    <w:rsid w:val="00F65287"/>
    <w:rsid w:val="00F67272"/>
    <w:rsid w:val="00F676E0"/>
    <w:rsid w:val="00F6775D"/>
    <w:rsid w:val="00F70B34"/>
    <w:rsid w:val="00F72306"/>
    <w:rsid w:val="00F7324F"/>
    <w:rsid w:val="00F7359F"/>
    <w:rsid w:val="00F73622"/>
    <w:rsid w:val="00F7568E"/>
    <w:rsid w:val="00F757C6"/>
    <w:rsid w:val="00F758E2"/>
    <w:rsid w:val="00F77AAC"/>
    <w:rsid w:val="00F802ED"/>
    <w:rsid w:val="00F807D3"/>
    <w:rsid w:val="00F809B3"/>
    <w:rsid w:val="00F80CC7"/>
    <w:rsid w:val="00F81786"/>
    <w:rsid w:val="00F81953"/>
    <w:rsid w:val="00F826EC"/>
    <w:rsid w:val="00F83795"/>
    <w:rsid w:val="00F85CDC"/>
    <w:rsid w:val="00F85E5A"/>
    <w:rsid w:val="00F86D3A"/>
    <w:rsid w:val="00F86F3F"/>
    <w:rsid w:val="00F87260"/>
    <w:rsid w:val="00F876E2"/>
    <w:rsid w:val="00F878BD"/>
    <w:rsid w:val="00F9031B"/>
    <w:rsid w:val="00F91E8B"/>
    <w:rsid w:val="00F92057"/>
    <w:rsid w:val="00F92984"/>
    <w:rsid w:val="00F94BD3"/>
    <w:rsid w:val="00F9581B"/>
    <w:rsid w:val="00F95C0E"/>
    <w:rsid w:val="00F9677D"/>
    <w:rsid w:val="00F96C8F"/>
    <w:rsid w:val="00F96EC6"/>
    <w:rsid w:val="00FA0CC2"/>
    <w:rsid w:val="00FA11F2"/>
    <w:rsid w:val="00FA153C"/>
    <w:rsid w:val="00FA185E"/>
    <w:rsid w:val="00FA22CE"/>
    <w:rsid w:val="00FA238F"/>
    <w:rsid w:val="00FA4733"/>
    <w:rsid w:val="00FA481F"/>
    <w:rsid w:val="00FA4B22"/>
    <w:rsid w:val="00FA5331"/>
    <w:rsid w:val="00FA61CD"/>
    <w:rsid w:val="00FA63A7"/>
    <w:rsid w:val="00FA63F4"/>
    <w:rsid w:val="00FA657B"/>
    <w:rsid w:val="00FA6A66"/>
    <w:rsid w:val="00FA6EB0"/>
    <w:rsid w:val="00FB055E"/>
    <w:rsid w:val="00FB17DB"/>
    <w:rsid w:val="00FB4625"/>
    <w:rsid w:val="00FB49E6"/>
    <w:rsid w:val="00FB6089"/>
    <w:rsid w:val="00FB67D9"/>
    <w:rsid w:val="00FB7614"/>
    <w:rsid w:val="00FC3B32"/>
    <w:rsid w:val="00FC4F84"/>
    <w:rsid w:val="00FC6A4C"/>
    <w:rsid w:val="00FC7098"/>
    <w:rsid w:val="00FC7BBF"/>
    <w:rsid w:val="00FC7D10"/>
    <w:rsid w:val="00FD01DB"/>
    <w:rsid w:val="00FD1678"/>
    <w:rsid w:val="00FD1FA5"/>
    <w:rsid w:val="00FD2697"/>
    <w:rsid w:val="00FD3F3C"/>
    <w:rsid w:val="00FD4421"/>
    <w:rsid w:val="00FD616B"/>
    <w:rsid w:val="00FD67DA"/>
    <w:rsid w:val="00FD6911"/>
    <w:rsid w:val="00FD7821"/>
    <w:rsid w:val="00FD7C8C"/>
    <w:rsid w:val="00FE0390"/>
    <w:rsid w:val="00FE2345"/>
    <w:rsid w:val="00FE2732"/>
    <w:rsid w:val="00FE2DFD"/>
    <w:rsid w:val="00FE3496"/>
    <w:rsid w:val="00FE4009"/>
    <w:rsid w:val="00FE4737"/>
    <w:rsid w:val="00FE5895"/>
    <w:rsid w:val="00FE7843"/>
    <w:rsid w:val="00FE7FAC"/>
    <w:rsid w:val="00FF112A"/>
    <w:rsid w:val="00FF1158"/>
    <w:rsid w:val="00FF16B6"/>
    <w:rsid w:val="00FF27D4"/>
    <w:rsid w:val="00FF439B"/>
    <w:rsid w:val="00FF4516"/>
    <w:rsid w:val="00FF4BBA"/>
    <w:rsid w:val="00FF6371"/>
    <w:rsid w:val="00FF7604"/>
    <w:rsid w:val="01E6DC06"/>
    <w:rsid w:val="026A6AAE"/>
    <w:rsid w:val="043AB225"/>
    <w:rsid w:val="0526A261"/>
    <w:rsid w:val="06D3AED7"/>
    <w:rsid w:val="0833E01D"/>
    <w:rsid w:val="0CA007C2"/>
    <w:rsid w:val="0CCCB629"/>
    <w:rsid w:val="0E0AC2CE"/>
    <w:rsid w:val="1028D5C0"/>
    <w:rsid w:val="1141AE95"/>
    <w:rsid w:val="12A76E4E"/>
    <w:rsid w:val="12E91C79"/>
    <w:rsid w:val="134CCF5F"/>
    <w:rsid w:val="14D5D56F"/>
    <w:rsid w:val="1864B737"/>
    <w:rsid w:val="18FE40AC"/>
    <w:rsid w:val="193D54DC"/>
    <w:rsid w:val="19DF2447"/>
    <w:rsid w:val="19F9F616"/>
    <w:rsid w:val="1C2BADCD"/>
    <w:rsid w:val="1D0813B3"/>
    <w:rsid w:val="1F53DFE0"/>
    <w:rsid w:val="1FE94207"/>
    <w:rsid w:val="200A9FD8"/>
    <w:rsid w:val="207D3D73"/>
    <w:rsid w:val="2128406C"/>
    <w:rsid w:val="2252EB08"/>
    <w:rsid w:val="2274D163"/>
    <w:rsid w:val="242EBC0F"/>
    <w:rsid w:val="2503E2BE"/>
    <w:rsid w:val="25406EB3"/>
    <w:rsid w:val="271A0CCC"/>
    <w:rsid w:val="2804190C"/>
    <w:rsid w:val="2A77C155"/>
    <w:rsid w:val="2AD045B4"/>
    <w:rsid w:val="2AF382AF"/>
    <w:rsid w:val="2B5A72C6"/>
    <w:rsid w:val="2B98B5EC"/>
    <w:rsid w:val="2CD2E3FF"/>
    <w:rsid w:val="30E3A0A7"/>
    <w:rsid w:val="39145E65"/>
    <w:rsid w:val="39242A82"/>
    <w:rsid w:val="39D1D747"/>
    <w:rsid w:val="3AF333E8"/>
    <w:rsid w:val="3B37954F"/>
    <w:rsid w:val="3B52D278"/>
    <w:rsid w:val="3BFFC3A0"/>
    <w:rsid w:val="3F385CA4"/>
    <w:rsid w:val="3F6A492C"/>
    <w:rsid w:val="3FD4C5A6"/>
    <w:rsid w:val="4152BE20"/>
    <w:rsid w:val="419387CF"/>
    <w:rsid w:val="421B8F8F"/>
    <w:rsid w:val="43F13F2D"/>
    <w:rsid w:val="46F8AD81"/>
    <w:rsid w:val="475170D6"/>
    <w:rsid w:val="476A4C6C"/>
    <w:rsid w:val="496BFB3A"/>
    <w:rsid w:val="4A7FAD74"/>
    <w:rsid w:val="4F933CD2"/>
    <w:rsid w:val="4F962ECE"/>
    <w:rsid w:val="50432CAB"/>
    <w:rsid w:val="51BA9618"/>
    <w:rsid w:val="5292B28B"/>
    <w:rsid w:val="52D36055"/>
    <w:rsid w:val="54FA716D"/>
    <w:rsid w:val="58FDF83B"/>
    <w:rsid w:val="59F83D32"/>
    <w:rsid w:val="5C2E260C"/>
    <w:rsid w:val="5D464D58"/>
    <w:rsid w:val="60979076"/>
    <w:rsid w:val="6178930A"/>
    <w:rsid w:val="64120389"/>
    <w:rsid w:val="6422E56D"/>
    <w:rsid w:val="65399E93"/>
    <w:rsid w:val="66759125"/>
    <w:rsid w:val="68031CDA"/>
    <w:rsid w:val="6C9C3CCC"/>
    <w:rsid w:val="6CEA9CC6"/>
    <w:rsid w:val="6D3826F8"/>
    <w:rsid w:val="6D9B227A"/>
    <w:rsid w:val="6DB73627"/>
    <w:rsid w:val="6DC1BC2A"/>
    <w:rsid w:val="6F63D050"/>
    <w:rsid w:val="6FBB3AAA"/>
    <w:rsid w:val="6FFC5497"/>
    <w:rsid w:val="706DCC14"/>
    <w:rsid w:val="70824E4D"/>
    <w:rsid w:val="71CB7E46"/>
    <w:rsid w:val="7207B806"/>
    <w:rsid w:val="72498749"/>
    <w:rsid w:val="73261D93"/>
    <w:rsid w:val="7447E459"/>
    <w:rsid w:val="7572A5E1"/>
    <w:rsid w:val="778038BC"/>
    <w:rsid w:val="77D53F02"/>
    <w:rsid w:val="793A0223"/>
    <w:rsid w:val="7A93530B"/>
    <w:rsid w:val="7BA0AFC0"/>
    <w:rsid w:val="7BDA782B"/>
    <w:rsid w:val="7BF03249"/>
    <w:rsid w:val="7DF6E26B"/>
    <w:rsid w:val="7E324563"/>
    <w:rsid w:val="7E486D58"/>
    <w:rsid w:val="7E80FB07"/>
    <w:rsid w:val="7F625461"/>
    <w:rsid w:val="7FA1A831"/>
  </w:rsids>
  <w:docVars>
    <w:docVar w:name="EN.InstantFormat" w:val="&lt;ENInstantFormat&gt;&lt;Enabled&gt;1&lt;/Enabled&gt;&lt;ScanUnformatted&gt;1&lt;/ScanUnformatted&gt;&lt;ScanChanges&gt;1&lt;/ScanChanges&gt;&lt;Suspended&gt;1&lt;/Suspended&gt;&lt;/ENInstantFormat&gt;"/>
    <w:docVar w:name="EN.Layout" w:val="&lt;ENLayout&gt;&lt;Style&gt;Vancouver Superscript&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evwrsetefptpe2ssaxwt9merfsrzzdzxf9&quot;&gt;Master Endnote database SC&lt;record-ids&gt;&lt;item&gt;29595&lt;/item&gt;&lt;item&gt;51468&lt;/item&gt;&lt;item&gt;51469&lt;/item&gt;&lt;item&gt;51470&lt;/item&gt;&lt;item&gt;51471&lt;/item&gt;&lt;item&gt;51472&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A1DBD8F"/>
  <w15:chartTrackingRefBased/>
  <w15:docId w15:val="{04B2D21B-A0D7-4CA1-8F71-5A3F722EB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04D1"/>
    <w:pPr>
      <w:widowControl w:val="0"/>
      <w:autoSpaceDE w:val="0"/>
      <w:autoSpaceDN w:val="0"/>
      <w:adjustRightInd w:val="0"/>
    </w:pPr>
    <w:rPr>
      <w:sz w:val="24"/>
      <w:szCs w:val="24"/>
    </w:rPr>
  </w:style>
  <w:style w:type="paragraph" w:styleId="Heading1">
    <w:name w:val="heading 1"/>
    <w:basedOn w:val="Normal"/>
    <w:next w:val="Normal"/>
    <w:link w:val="Heading1Char"/>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style>
  <w:style w:type="paragraph" w:styleId="Heading2">
    <w:name w:val="heading 2"/>
    <w:basedOn w:val="Normal"/>
    <w:next w:val="Normal"/>
    <w:link w:val="Heading2Char"/>
    <w:uiPriority w:val="9"/>
    <w:unhideWhenUsed/>
    <w:qFormat/>
    <w:rsid w:val="00923DE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31F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923DE9"/>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923DE9"/>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923DE9"/>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923DE9"/>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923DE9"/>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923DE9"/>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jc w:val="center"/>
    </w:pPr>
    <w:rPr>
      <w:b/>
      <w:bCs/>
      <w:u w:val="single"/>
    </w:rPr>
  </w:style>
  <w:style w:type="paragraph" w:styleId="Subtitle">
    <w:name w:val="Subtitle"/>
    <w:basedOn w:val="Normal"/>
    <w:link w:val="SubtitleChar"/>
    <w:qFormat/>
    <w:rPr>
      <w:b/>
      <w:bCs/>
      <w:u w:val="single"/>
    </w:rPr>
  </w:style>
  <w:style w:type="paragraph" w:styleId="BodyText">
    <w:name w:val="Body Text"/>
    <w:basedOn w:val="Normal"/>
    <w:link w:val="BodyTex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rPr>
  </w:style>
  <w:style w:type="paragraph" w:styleId="BodyTextIndent">
    <w:name w:val="Body Text Indent"/>
    <w:basedOn w:val="Normal"/>
    <w:link w:val="BodyTextIndent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link w:val="HeaderChar"/>
    <w:rsid w:val="00F92057"/>
    <w:pPr>
      <w:tabs>
        <w:tab w:val="center" w:pos="4320"/>
        <w:tab w:val="right" w:pos="8640"/>
      </w:tabs>
    </w:pPr>
  </w:style>
  <w:style w:type="table" w:styleId="TableGrid">
    <w:name w:val="Table Grid"/>
    <w:basedOn w:val="TableNormal"/>
    <w:uiPriority w:val="39"/>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character" w:styleId="FollowedHyperlink">
    <w:name w:val="FollowedHyperlink"/>
    <w:rsid w:val="00A809F1"/>
    <w:rPr>
      <w:color w:val="954F72"/>
      <w:u w:val="single"/>
    </w:rPr>
  </w:style>
  <w:style w:type="character" w:styleId="UnresolvedMention">
    <w:name w:val="Unresolved Mention"/>
    <w:uiPriority w:val="99"/>
    <w:semiHidden/>
    <w:unhideWhenUsed/>
    <w:rsid w:val="002134DA"/>
    <w:rPr>
      <w:color w:val="605E5C"/>
      <w:shd w:val="clear" w:color="auto" w:fill="E1DFDD"/>
    </w:rPr>
  </w:style>
  <w:style w:type="character" w:styleId="CommentReference">
    <w:name w:val="annotation reference"/>
    <w:rsid w:val="00585F92"/>
    <w:rPr>
      <w:sz w:val="16"/>
      <w:szCs w:val="16"/>
    </w:rPr>
  </w:style>
  <w:style w:type="paragraph" w:styleId="CommentText">
    <w:name w:val="annotation text"/>
    <w:basedOn w:val="Normal"/>
    <w:link w:val="CommentTextChar"/>
    <w:rsid w:val="00585F92"/>
  </w:style>
  <w:style w:type="character" w:customStyle="1" w:styleId="CommentTextChar">
    <w:name w:val="Comment Text Char"/>
    <w:link w:val="CommentText"/>
    <w:rsid w:val="00585F92"/>
    <w:rPr>
      <w:rFonts w:ascii="Letter Gothic 12cpi" w:hAnsi="Letter Gothic 12cpi"/>
    </w:rPr>
  </w:style>
  <w:style w:type="paragraph" w:styleId="CommentSubject">
    <w:name w:val="annotation subject"/>
    <w:basedOn w:val="CommentText"/>
    <w:next w:val="CommentText"/>
    <w:link w:val="CommentSubjectChar"/>
    <w:rsid w:val="00585F92"/>
    <w:rPr>
      <w:b/>
      <w:bCs/>
    </w:rPr>
  </w:style>
  <w:style w:type="character" w:customStyle="1" w:styleId="CommentSubjectChar">
    <w:name w:val="Comment Subject Char"/>
    <w:link w:val="CommentSubject"/>
    <w:rsid w:val="00585F92"/>
    <w:rPr>
      <w:rFonts w:ascii="Letter Gothic 12cpi" w:hAnsi="Letter Gothic 12cpi"/>
      <w:b/>
      <w:bCs/>
    </w:rPr>
  </w:style>
  <w:style w:type="paragraph" w:customStyle="1" w:styleId="Default">
    <w:name w:val="Default"/>
    <w:rsid w:val="00585F92"/>
    <w:pPr>
      <w:autoSpaceDE w:val="0"/>
      <w:autoSpaceDN w:val="0"/>
      <w:adjustRightInd w:val="0"/>
    </w:pPr>
    <w:rPr>
      <w:color w:val="000000"/>
      <w:sz w:val="24"/>
      <w:szCs w:val="24"/>
    </w:rPr>
  </w:style>
  <w:style w:type="paragraph" w:styleId="Revision">
    <w:name w:val="Revision"/>
    <w:hidden/>
    <w:uiPriority w:val="99"/>
    <w:semiHidden/>
    <w:rsid w:val="00832CFF"/>
    <w:rPr>
      <w:rFonts w:ascii="Letter Gothic 12cpi" w:hAnsi="Letter Gothic 12cpi"/>
    </w:rPr>
  </w:style>
  <w:style w:type="table" w:styleId="GridTable4Accent3">
    <w:name w:val="Grid Table 4 Accent 3"/>
    <w:basedOn w:val="TableNormal"/>
    <w:uiPriority w:val="49"/>
    <w:rsid w:val="003C1424"/>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
    <w:name w:val="Grid Table 4"/>
    <w:basedOn w:val="TableNormal"/>
    <w:uiPriority w:val="49"/>
    <w:rsid w:val="00AF3D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C12015"/>
    <w:rPr>
      <w:color w:val="666666"/>
    </w:rPr>
  </w:style>
  <w:style w:type="character" w:customStyle="1" w:styleId="BodyText3Char">
    <w:name w:val="Body Text 3 Char"/>
    <w:basedOn w:val="DefaultParagraphFont"/>
    <w:link w:val="BodyText3"/>
    <w:rsid w:val="00B8148B"/>
    <w:rPr>
      <w:rFonts w:ascii="Letter Gothic 12cpi" w:hAnsi="Letter Gothic 12cpi"/>
      <w:color w:val="FF0000"/>
      <w:sz w:val="24"/>
      <w:szCs w:val="24"/>
    </w:rPr>
  </w:style>
  <w:style w:type="paragraph" w:customStyle="1" w:styleId="FMCSAText1">
    <w:name w:val="FMCSA Text 1"/>
    <w:link w:val="FMCSAText1Char"/>
    <w:uiPriority w:val="99"/>
    <w:qFormat/>
    <w:rsid w:val="00430D0F"/>
    <w:pPr>
      <w:spacing w:after="240"/>
    </w:pPr>
    <w:rPr>
      <w:rFonts w:eastAsia="Calibri"/>
      <w:sz w:val="24"/>
      <w:szCs w:val="24"/>
    </w:rPr>
  </w:style>
  <w:style w:type="character" w:customStyle="1" w:styleId="FMCSAText1Char">
    <w:name w:val="FMCSA Text 1 Char"/>
    <w:link w:val="FMCSAText1"/>
    <w:uiPriority w:val="99"/>
    <w:locked/>
    <w:rsid w:val="00430D0F"/>
    <w:rPr>
      <w:rFonts w:eastAsia="Calibri"/>
      <w:sz w:val="24"/>
      <w:szCs w:val="24"/>
    </w:rPr>
  </w:style>
  <w:style w:type="character" w:customStyle="1" w:styleId="BodyText2Char">
    <w:name w:val="Body Text 2 Char"/>
    <w:basedOn w:val="DefaultParagraphFont"/>
    <w:link w:val="BodyText2"/>
    <w:rsid w:val="00585AF5"/>
    <w:rPr>
      <w:b/>
      <w:bCs/>
      <w:sz w:val="24"/>
    </w:rPr>
  </w:style>
  <w:style w:type="character" w:customStyle="1" w:styleId="A9">
    <w:name w:val="A9"/>
    <w:uiPriority w:val="99"/>
    <w:rsid w:val="00F121B6"/>
    <w:rPr>
      <w:rFonts w:cs="Arial Narrow"/>
      <w:color w:val="000000"/>
      <w:sz w:val="16"/>
      <w:szCs w:val="16"/>
    </w:rPr>
  </w:style>
  <w:style w:type="character" w:customStyle="1" w:styleId="Heading3Char">
    <w:name w:val="Heading 3 Char"/>
    <w:basedOn w:val="DefaultParagraphFont"/>
    <w:link w:val="Heading3"/>
    <w:uiPriority w:val="9"/>
    <w:rsid w:val="007331F0"/>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23DE9"/>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923DE9"/>
    <w:pPr>
      <w:widowControl/>
      <w:autoSpaceDE/>
      <w:autoSpaceDN/>
      <w:adjustRightInd/>
      <w:spacing w:after="200"/>
    </w:pPr>
    <w:rPr>
      <w:rFonts w:asciiTheme="minorHAnsi" w:eastAsiaTheme="minorHAnsi" w:hAnsiTheme="minorHAnsi" w:cstheme="minorBidi"/>
      <w:i/>
      <w:iCs/>
      <w:color w:val="44546A" w:themeColor="text2"/>
      <w:kern w:val="2"/>
      <w:sz w:val="18"/>
      <w:szCs w:val="18"/>
      <w14:ligatures w14:val="standardContextual"/>
    </w:rPr>
  </w:style>
  <w:style w:type="character" w:customStyle="1" w:styleId="Heading4Char">
    <w:name w:val="Heading 4 Char"/>
    <w:basedOn w:val="DefaultParagraphFont"/>
    <w:link w:val="Heading4"/>
    <w:uiPriority w:val="9"/>
    <w:rsid w:val="00923DE9"/>
    <w:rPr>
      <w:rFonts w:asciiTheme="minorHAnsi" w:eastAsiaTheme="majorEastAsia" w:hAnsiTheme="minorHAnsi" w:cstheme="majorBidi"/>
      <w:i/>
      <w:iCs/>
      <w:color w:val="2F5496" w:themeColor="accent1" w:themeShade="BF"/>
      <w:kern w:val="2"/>
      <w:sz w:val="22"/>
      <w:szCs w:val="24"/>
      <w14:ligatures w14:val="standardContextual"/>
    </w:rPr>
  </w:style>
  <w:style w:type="character" w:customStyle="1" w:styleId="Heading5Char">
    <w:name w:val="Heading 5 Char"/>
    <w:basedOn w:val="DefaultParagraphFont"/>
    <w:link w:val="Heading5"/>
    <w:uiPriority w:val="9"/>
    <w:semiHidden/>
    <w:rsid w:val="00923DE9"/>
    <w:rPr>
      <w:rFonts w:asciiTheme="minorHAnsi" w:eastAsiaTheme="majorEastAsia" w:hAnsiTheme="minorHAnsi" w:cstheme="majorBidi"/>
      <w:color w:val="2F5496" w:themeColor="accent1" w:themeShade="BF"/>
      <w:kern w:val="2"/>
      <w:sz w:val="22"/>
      <w:szCs w:val="24"/>
      <w14:ligatures w14:val="standardContextual"/>
    </w:rPr>
  </w:style>
  <w:style w:type="character" w:customStyle="1" w:styleId="Heading6Char">
    <w:name w:val="Heading 6 Char"/>
    <w:basedOn w:val="DefaultParagraphFont"/>
    <w:link w:val="Heading6"/>
    <w:uiPriority w:val="9"/>
    <w:semiHidden/>
    <w:rsid w:val="00923DE9"/>
    <w:rPr>
      <w:rFonts w:asciiTheme="minorHAnsi" w:eastAsiaTheme="majorEastAsia" w:hAnsiTheme="minorHAnsi" w:cstheme="majorBidi"/>
      <w:i/>
      <w:iCs/>
      <w:color w:val="595959" w:themeColor="text1" w:themeTint="A6"/>
      <w:kern w:val="2"/>
      <w:sz w:val="22"/>
      <w:szCs w:val="24"/>
      <w14:ligatures w14:val="standardContextual"/>
    </w:rPr>
  </w:style>
  <w:style w:type="character" w:customStyle="1" w:styleId="Heading7Char">
    <w:name w:val="Heading 7 Char"/>
    <w:basedOn w:val="DefaultParagraphFont"/>
    <w:link w:val="Heading7"/>
    <w:uiPriority w:val="9"/>
    <w:semiHidden/>
    <w:rsid w:val="00923DE9"/>
    <w:rPr>
      <w:rFonts w:asciiTheme="minorHAnsi" w:eastAsiaTheme="majorEastAsia" w:hAnsiTheme="minorHAnsi" w:cstheme="majorBidi"/>
      <w:color w:val="595959" w:themeColor="text1" w:themeTint="A6"/>
      <w:kern w:val="2"/>
      <w:sz w:val="22"/>
      <w:szCs w:val="24"/>
      <w14:ligatures w14:val="standardContextual"/>
    </w:rPr>
  </w:style>
  <w:style w:type="character" w:customStyle="1" w:styleId="Heading8Char">
    <w:name w:val="Heading 8 Char"/>
    <w:basedOn w:val="DefaultParagraphFont"/>
    <w:link w:val="Heading8"/>
    <w:uiPriority w:val="9"/>
    <w:semiHidden/>
    <w:rsid w:val="00923DE9"/>
    <w:rPr>
      <w:rFonts w:asciiTheme="minorHAnsi" w:eastAsiaTheme="majorEastAsia" w:hAnsiTheme="minorHAnsi" w:cstheme="majorBidi"/>
      <w:i/>
      <w:iCs/>
      <w:color w:val="272727" w:themeColor="text1" w:themeTint="D8"/>
      <w:kern w:val="2"/>
      <w:sz w:val="22"/>
      <w:szCs w:val="24"/>
      <w14:ligatures w14:val="standardContextual"/>
    </w:rPr>
  </w:style>
  <w:style w:type="character" w:customStyle="1" w:styleId="Heading9Char">
    <w:name w:val="Heading 9 Char"/>
    <w:basedOn w:val="DefaultParagraphFont"/>
    <w:link w:val="Heading9"/>
    <w:uiPriority w:val="9"/>
    <w:semiHidden/>
    <w:rsid w:val="00923DE9"/>
    <w:rPr>
      <w:rFonts w:asciiTheme="minorHAnsi" w:eastAsiaTheme="majorEastAsia" w:hAnsiTheme="minorHAnsi" w:cstheme="majorBidi"/>
      <w:color w:val="272727" w:themeColor="text1" w:themeTint="D8"/>
      <w:kern w:val="2"/>
      <w:sz w:val="22"/>
      <w:szCs w:val="24"/>
      <w14:ligatures w14:val="standardContextual"/>
    </w:rPr>
  </w:style>
  <w:style w:type="character" w:customStyle="1" w:styleId="Heading1Char">
    <w:name w:val="Heading 1 Char"/>
    <w:basedOn w:val="DefaultParagraphFont"/>
    <w:link w:val="Heading1"/>
    <w:rsid w:val="00923DE9"/>
    <w:rPr>
      <w:rFonts w:ascii="Letter Gothic 12cpi" w:hAnsi="Letter Gothic 12cpi"/>
      <w:sz w:val="24"/>
      <w:szCs w:val="24"/>
    </w:rPr>
  </w:style>
  <w:style w:type="character" w:customStyle="1" w:styleId="TitleChar">
    <w:name w:val="Title Char"/>
    <w:basedOn w:val="DefaultParagraphFont"/>
    <w:link w:val="Title"/>
    <w:rsid w:val="00923DE9"/>
    <w:rPr>
      <w:rFonts w:ascii="Letter Gothic 12cpi" w:hAnsi="Letter Gothic 12cpi"/>
      <w:b/>
      <w:bCs/>
      <w:sz w:val="24"/>
      <w:szCs w:val="24"/>
      <w:u w:val="single"/>
    </w:rPr>
  </w:style>
  <w:style w:type="character" w:customStyle="1" w:styleId="SubtitleChar">
    <w:name w:val="Subtitle Char"/>
    <w:basedOn w:val="DefaultParagraphFont"/>
    <w:link w:val="Subtitle"/>
    <w:rsid w:val="00923DE9"/>
    <w:rPr>
      <w:rFonts w:ascii="Letter Gothic 12cpi" w:hAnsi="Letter Gothic 12cpi"/>
      <w:b/>
      <w:bCs/>
      <w:sz w:val="24"/>
      <w:szCs w:val="24"/>
      <w:u w:val="single"/>
    </w:rPr>
  </w:style>
  <w:style w:type="paragraph" w:styleId="Quote">
    <w:name w:val="Quote"/>
    <w:basedOn w:val="Normal"/>
    <w:next w:val="Normal"/>
    <w:link w:val="QuoteChar"/>
    <w:uiPriority w:val="29"/>
    <w:qFormat/>
    <w:rsid w:val="00923DE9"/>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923DE9"/>
    <w:rPr>
      <w:rFonts w:asciiTheme="minorHAnsi" w:eastAsiaTheme="minorHAnsi" w:hAnsiTheme="minorHAnsi" w:cstheme="minorBidi"/>
      <w:i/>
      <w:iCs/>
      <w:color w:val="404040" w:themeColor="text1" w:themeTint="BF"/>
      <w:kern w:val="2"/>
      <w:sz w:val="22"/>
      <w:szCs w:val="24"/>
      <w14:ligatures w14:val="standardContextual"/>
    </w:rPr>
  </w:style>
  <w:style w:type="character" w:styleId="IntenseEmphasis">
    <w:name w:val="Intense Emphasis"/>
    <w:basedOn w:val="DefaultParagraphFont"/>
    <w:uiPriority w:val="21"/>
    <w:qFormat/>
    <w:rsid w:val="00923DE9"/>
    <w:rPr>
      <w:i/>
      <w:iCs/>
      <w:color w:val="2F5496" w:themeColor="accent1" w:themeShade="BF"/>
    </w:rPr>
  </w:style>
  <w:style w:type="paragraph" w:styleId="IntenseQuote">
    <w:name w:val="Intense Quote"/>
    <w:basedOn w:val="Normal"/>
    <w:next w:val="Normal"/>
    <w:link w:val="IntenseQuoteChar"/>
    <w:uiPriority w:val="30"/>
    <w:qFormat/>
    <w:rsid w:val="00923DE9"/>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923DE9"/>
    <w:rPr>
      <w:rFonts w:asciiTheme="minorHAnsi" w:eastAsiaTheme="minorHAnsi" w:hAnsiTheme="minorHAnsi" w:cstheme="minorBidi"/>
      <w:i/>
      <w:iCs/>
      <w:color w:val="2F5496" w:themeColor="accent1" w:themeShade="BF"/>
      <w:kern w:val="2"/>
      <w:sz w:val="22"/>
      <w:szCs w:val="24"/>
      <w14:ligatures w14:val="standardContextual"/>
    </w:rPr>
  </w:style>
  <w:style w:type="character" w:styleId="IntenseReference">
    <w:name w:val="Intense Reference"/>
    <w:basedOn w:val="DefaultParagraphFont"/>
    <w:uiPriority w:val="32"/>
    <w:qFormat/>
    <w:rsid w:val="00923DE9"/>
    <w:rPr>
      <w:b/>
      <w:bCs/>
      <w:smallCaps/>
      <w:color w:val="2F5496" w:themeColor="accent1" w:themeShade="BF"/>
      <w:spacing w:val="5"/>
    </w:rPr>
  </w:style>
  <w:style w:type="character" w:customStyle="1" w:styleId="FooterChar">
    <w:name w:val="Footer Char"/>
    <w:basedOn w:val="DefaultParagraphFont"/>
    <w:link w:val="Footer"/>
    <w:uiPriority w:val="99"/>
    <w:rsid w:val="00923DE9"/>
    <w:rPr>
      <w:rFonts w:ascii="Letter Gothic 12cpi" w:hAnsi="Letter Gothic 12cpi"/>
    </w:rPr>
  </w:style>
  <w:style w:type="character" w:customStyle="1" w:styleId="BodyTextChar">
    <w:name w:val="Body Text Char"/>
    <w:basedOn w:val="DefaultParagraphFont"/>
    <w:link w:val="BodyText"/>
    <w:rsid w:val="00923DE9"/>
    <w:rPr>
      <w:rFonts w:ascii="Letter Gothic 12cpi" w:hAnsi="Letter Gothic 12cpi"/>
      <w:color w:val="FF00FF"/>
      <w:sz w:val="24"/>
      <w:szCs w:val="24"/>
    </w:rPr>
  </w:style>
  <w:style w:type="character" w:customStyle="1" w:styleId="BodyTextIndentChar">
    <w:name w:val="Body Text Indent Char"/>
    <w:basedOn w:val="DefaultParagraphFont"/>
    <w:link w:val="BodyTextIndent"/>
    <w:rsid w:val="00923DE9"/>
    <w:rPr>
      <w:rFonts w:ascii="Letter Gothic 12cpi" w:hAnsi="Letter Gothic 12cpi"/>
      <w:sz w:val="24"/>
      <w:szCs w:val="24"/>
    </w:rPr>
  </w:style>
  <w:style w:type="character" w:customStyle="1" w:styleId="HeaderChar">
    <w:name w:val="Header Char"/>
    <w:basedOn w:val="DefaultParagraphFont"/>
    <w:link w:val="Header"/>
    <w:rsid w:val="00923DE9"/>
    <w:rPr>
      <w:rFonts w:ascii="Letter Gothic 12cpi" w:hAnsi="Letter Gothic 12cpi"/>
    </w:rPr>
  </w:style>
  <w:style w:type="character" w:customStyle="1" w:styleId="DocumentMapChar">
    <w:name w:val="Document Map Char"/>
    <w:basedOn w:val="DefaultParagraphFont"/>
    <w:link w:val="DocumentMap"/>
    <w:semiHidden/>
    <w:rsid w:val="00923DE9"/>
    <w:rPr>
      <w:rFonts w:ascii="Tahoma" w:hAnsi="Tahoma" w:cs="Tahoma"/>
      <w:shd w:val="clear" w:color="auto" w:fill="000080"/>
    </w:rPr>
  </w:style>
  <w:style w:type="paragraph" w:styleId="TOCHeading">
    <w:name w:val="TOC Heading"/>
    <w:basedOn w:val="Heading1"/>
    <w:next w:val="Normal"/>
    <w:uiPriority w:val="39"/>
    <w:unhideWhenUsed/>
    <w:qFormat/>
    <w:rsid w:val="00923DE9"/>
    <w:pPr>
      <w:keepLines/>
      <w:widowControl/>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autoSpaceDE/>
      <w:autoSpaceDN/>
      <w:adjustRightInd/>
      <w:spacing w:before="240" w:line="259" w:lineRule="auto"/>
      <w:outlineLvl w:val="9"/>
    </w:pPr>
    <w:rPr>
      <w:rFonts w:asciiTheme="majorHAnsi" w:eastAsiaTheme="majorEastAsia" w:hAnsiTheme="majorHAnsi" w:cstheme="majorBidi"/>
      <w:color w:val="2F5496" w:themeColor="accent1" w:themeShade="BF"/>
      <w:sz w:val="32"/>
      <w:szCs w:val="32"/>
      <w14:ligatures w14:val="standardContextual"/>
    </w:rPr>
  </w:style>
  <w:style w:type="paragraph" w:styleId="TOC1">
    <w:name w:val="toc 1"/>
    <w:basedOn w:val="Normal"/>
    <w:next w:val="Normal"/>
    <w:autoRedefine/>
    <w:uiPriority w:val="39"/>
    <w:unhideWhenUsed/>
    <w:rsid w:val="00923DE9"/>
    <w:pPr>
      <w:widowControl/>
      <w:autoSpaceDE/>
      <w:autoSpaceDN/>
      <w:adjustRightInd/>
      <w:spacing w:after="100" w:line="278" w:lineRule="auto"/>
    </w:pPr>
    <w:rPr>
      <w:rFonts w:asciiTheme="minorHAnsi" w:eastAsiaTheme="minorHAnsi" w:hAnsiTheme="minorHAnsi" w:cstheme="minorBidi"/>
      <w:kern w:val="2"/>
      <w:sz w:val="22"/>
      <w14:ligatures w14:val="standardContextual"/>
    </w:rPr>
  </w:style>
  <w:style w:type="paragraph" w:styleId="TOC2">
    <w:name w:val="toc 2"/>
    <w:basedOn w:val="Normal"/>
    <w:next w:val="Normal"/>
    <w:autoRedefine/>
    <w:uiPriority w:val="39"/>
    <w:unhideWhenUsed/>
    <w:rsid w:val="00923DE9"/>
    <w:pPr>
      <w:widowControl/>
      <w:autoSpaceDE/>
      <w:autoSpaceDN/>
      <w:adjustRightInd/>
      <w:spacing w:after="100" w:line="278" w:lineRule="auto"/>
      <w:ind w:left="240"/>
    </w:pPr>
    <w:rPr>
      <w:rFonts w:asciiTheme="minorHAnsi" w:eastAsiaTheme="minorHAnsi" w:hAnsiTheme="minorHAnsi" w:cstheme="minorBidi"/>
      <w:kern w:val="2"/>
      <w:sz w:val="22"/>
      <w14:ligatures w14:val="standardContextual"/>
    </w:rPr>
  </w:style>
  <w:style w:type="paragraph" w:styleId="TOC3">
    <w:name w:val="toc 3"/>
    <w:basedOn w:val="Normal"/>
    <w:next w:val="Normal"/>
    <w:autoRedefine/>
    <w:uiPriority w:val="39"/>
    <w:unhideWhenUsed/>
    <w:rsid w:val="00923DE9"/>
    <w:pPr>
      <w:widowControl/>
      <w:autoSpaceDE/>
      <w:autoSpaceDN/>
      <w:adjustRightInd/>
      <w:spacing w:after="100" w:line="278" w:lineRule="auto"/>
      <w:ind w:left="480"/>
    </w:pPr>
    <w:rPr>
      <w:rFonts w:asciiTheme="minorHAnsi" w:eastAsiaTheme="minorHAnsi" w:hAnsiTheme="minorHAnsi" w:cstheme="minorBidi"/>
      <w:kern w:val="2"/>
      <w:sz w:val="22"/>
      <w14:ligatures w14:val="standardContextual"/>
    </w:rPr>
  </w:style>
  <w:style w:type="paragraph" w:customStyle="1" w:styleId="Normal0">
    <w:name w:val="[Normal]"/>
    <w:rsid w:val="00923DE9"/>
    <w:pPr>
      <w:widowControl w:val="0"/>
      <w:autoSpaceDE w:val="0"/>
      <w:autoSpaceDN w:val="0"/>
      <w:adjustRightInd w:val="0"/>
    </w:pPr>
    <w:rPr>
      <w:rFonts w:ascii="Arial" w:hAnsi="Arial" w:eastAsiaTheme="minorHAnsi" w:cs="Arial"/>
      <w:sz w:val="24"/>
      <w:szCs w:val="24"/>
      <w:lang w:val="x-none"/>
      <w14:ligatures w14:val="standardContextual"/>
    </w:rPr>
  </w:style>
  <w:style w:type="table" w:styleId="GridTable5DarkAccent1">
    <w:name w:val="Grid Table 5 Dark Accent 1"/>
    <w:basedOn w:val="TableNormal"/>
    <w:uiPriority w:val="50"/>
    <w:rsid w:val="00923DE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923DE9"/>
    <w:rPr>
      <w:rFonts w:asciiTheme="minorHAnsi" w:eastAsiaTheme="minorHAnsi" w:hAnsiTheme="minorHAnsi" w:cstheme="minorBidi"/>
      <w:kern w:val="2"/>
      <w:sz w:val="24"/>
      <w:szCs w:val="24"/>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EndNoteBibliographyTitle">
    <w:name w:val="EndNote Bibliography Title"/>
    <w:basedOn w:val="Normal"/>
    <w:link w:val="EndNoteBibliographyTitleChar"/>
    <w:rsid w:val="00923DE9"/>
    <w:pPr>
      <w:widowControl/>
      <w:autoSpaceDE/>
      <w:autoSpaceDN/>
      <w:adjustRightInd/>
      <w:spacing w:line="278" w:lineRule="auto"/>
      <w:jc w:val="center"/>
    </w:pPr>
    <w:rPr>
      <w:rFonts w:ascii="Aptos" w:hAnsi="Aptos" w:eastAsiaTheme="minorHAnsi" w:cstheme="minorBidi"/>
      <w:noProof/>
      <w:kern w:val="2"/>
      <w:sz w:val="22"/>
      <w14:ligatures w14:val="standardContextual"/>
    </w:rPr>
  </w:style>
  <w:style w:type="character" w:customStyle="1" w:styleId="EndNoteBibliographyTitleChar">
    <w:name w:val="EndNote Bibliography Title Char"/>
    <w:basedOn w:val="DefaultParagraphFont"/>
    <w:link w:val="EndNoteBibliographyTitle"/>
    <w:rsid w:val="00923DE9"/>
    <w:rPr>
      <w:rFonts w:ascii="Aptos" w:hAnsi="Aptos" w:eastAsiaTheme="minorHAnsi" w:cstheme="minorBidi"/>
      <w:noProof/>
      <w:kern w:val="2"/>
      <w:sz w:val="22"/>
      <w:szCs w:val="24"/>
      <w14:ligatures w14:val="standardContextual"/>
    </w:rPr>
  </w:style>
  <w:style w:type="paragraph" w:customStyle="1" w:styleId="EndNoteBibliography">
    <w:name w:val="EndNote Bibliography"/>
    <w:basedOn w:val="Normal"/>
    <w:link w:val="EndNoteBibliographyChar"/>
    <w:rsid w:val="00923DE9"/>
    <w:pPr>
      <w:widowControl/>
      <w:autoSpaceDE/>
      <w:autoSpaceDN/>
      <w:adjustRightInd/>
      <w:spacing w:after="160"/>
    </w:pPr>
    <w:rPr>
      <w:rFonts w:ascii="Aptos" w:hAnsi="Aptos" w:eastAsiaTheme="minorHAnsi" w:cstheme="minorBidi"/>
      <w:noProof/>
      <w:kern w:val="2"/>
      <w:sz w:val="22"/>
      <w14:ligatures w14:val="standardContextual"/>
    </w:rPr>
  </w:style>
  <w:style w:type="character" w:customStyle="1" w:styleId="EndNoteBibliographyChar">
    <w:name w:val="EndNote Bibliography Char"/>
    <w:basedOn w:val="DefaultParagraphFont"/>
    <w:link w:val="EndNoteBibliography"/>
    <w:rsid w:val="00923DE9"/>
    <w:rPr>
      <w:rFonts w:ascii="Aptos" w:hAnsi="Aptos" w:eastAsiaTheme="minorHAnsi" w:cstheme="minorBidi"/>
      <w:noProof/>
      <w:kern w:val="2"/>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svg"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6" ma:contentTypeDescription="Create a new document." ma:contentTypeScope="" ma:versionID="b24f97c0bab3154e425f23079f60cc16">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10f5db2cbb472c2d3452bceb91b4ed3d"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3B5ABB-5CD7-4B7D-9840-8588D5D08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44E6D-DDB7-46A7-A0D5-01CE71BACA7D}">
  <ds:schemaRefs>
    <ds:schemaRef ds:uri="http://schemas.openxmlformats.org/officeDocument/2006/bibliography"/>
  </ds:schemaRefs>
</ds:datastoreItem>
</file>

<file path=customXml/itemProps3.xml><?xml version="1.0" encoding="utf-8"?>
<ds:datastoreItem xmlns:ds="http://schemas.openxmlformats.org/officeDocument/2006/customXml" ds:itemID="{6B294DD0-54F6-4D3F-A21C-6F9745EB1B34}">
  <ds:schemaRefs>
    <ds:schemaRef ds:uri="http://schemas.microsoft.com/sharepoint/v3/contenttype/forms"/>
  </ds:schemaRefs>
</ds:datastoreItem>
</file>

<file path=customXml/itemProps4.xml><?xml version="1.0" encoding="utf-8"?>
<ds:datastoreItem xmlns:ds="http://schemas.openxmlformats.org/officeDocument/2006/customXml" ds:itemID="{F6141063-2449-446F-9D9C-11B3ADA39C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8137</Words>
  <Characters>46383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54412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Daniel Mollicone</dc:creator>
  <cp:lastModifiedBy>Oliver, Roxane (FMCSA)</cp:lastModifiedBy>
  <cp:revision>2</cp:revision>
  <cp:lastPrinted>2014-05-07T16:48:00Z</cp:lastPrinted>
  <dcterms:created xsi:type="dcterms:W3CDTF">2026-04-15T13:20:00Z</dcterms:created>
  <dcterms:modified xsi:type="dcterms:W3CDTF">2026-04-15T13:20:00Z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y fmtid="{D5CDD505-2E9C-101B-9397-08002B2CF9AE}" pid="3" name="docLang">
    <vt:lpwstr>en</vt:lpwstr>
  </property>
</Properties>
</file>