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97F0C" w:rsidP="00E97F0C" w14:paraId="02811789" w14:textId="77777777">
      <w:pPr>
        <w:jc w:val="center"/>
        <w:rPr>
          <w:b/>
          <w:sz w:val="24"/>
          <w:szCs w:val="24"/>
        </w:rPr>
      </w:pPr>
      <w:r w:rsidRPr="00167E53">
        <w:rPr>
          <w:b/>
          <w:sz w:val="24"/>
          <w:szCs w:val="24"/>
        </w:rPr>
        <w:t>Supporting Statement for Paperwork Reduction Act Submissions</w:t>
      </w:r>
    </w:p>
    <w:p w:rsidR="008D69DE" w:rsidP="00E97F0C" w14:paraId="631D32B9" w14:textId="0A172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Pr>
          <w:b/>
          <w:sz w:val="24"/>
          <w:szCs w:val="24"/>
        </w:rPr>
        <w:t xml:space="preserve">Housing Opportunity Through Modernization Act of 2016 (HOTMA): </w:t>
      </w:r>
    </w:p>
    <w:p w:rsidR="00E97F0C" w:rsidRPr="00167E53" w:rsidP="00E97F0C" w14:paraId="2D70A5E8" w14:textId="37D435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Pr>
          <w:b/>
          <w:sz w:val="24"/>
          <w:szCs w:val="24"/>
        </w:rPr>
        <w:t>Public Housing Waiting List Data Collection Tool</w:t>
      </w:r>
    </w:p>
    <w:p w:rsidR="00E97F0C" w:rsidRPr="00167E53" w:rsidP="00E97F0C" w14:paraId="55998588" w14:textId="058A78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167E53">
        <w:rPr>
          <w:b/>
          <w:sz w:val="24"/>
          <w:szCs w:val="24"/>
        </w:rPr>
        <w:t>(OMB</w:t>
      </w:r>
      <w:r w:rsidR="008D69DE">
        <w:rPr>
          <w:b/>
          <w:sz w:val="24"/>
          <w:szCs w:val="24"/>
        </w:rPr>
        <w:t xml:space="preserve"> Control</w:t>
      </w:r>
      <w:r w:rsidRPr="00167E53">
        <w:rPr>
          <w:b/>
          <w:sz w:val="24"/>
          <w:szCs w:val="24"/>
        </w:rPr>
        <w:t>#</w:t>
      </w:r>
      <w:r>
        <w:rPr>
          <w:b/>
          <w:sz w:val="24"/>
          <w:szCs w:val="24"/>
        </w:rPr>
        <w:t xml:space="preserve"> 2577-0302</w:t>
      </w:r>
      <w:r w:rsidRPr="00167E53">
        <w:rPr>
          <w:b/>
          <w:sz w:val="24"/>
          <w:szCs w:val="24"/>
        </w:rPr>
        <w:t>)</w:t>
      </w:r>
    </w:p>
    <w:p w:rsidR="00E97F0C" w:rsidP="00E97F0C" w14:paraId="7DA4917D" w14:textId="77777777">
      <w:pPr>
        <w:rPr>
          <w:b/>
          <w:sz w:val="24"/>
          <w:szCs w:val="24"/>
        </w:rPr>
      </w:pPr>
    </w:p>
    <w:p w:rsidR="00E97F0C" w:rsidRPr="006C7FAE" w:rsidP="00E97F0C" w14:paraId="2D6E558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r w:rsidRPr="006C7FAE">
        <w:rPr>
          <w:rFonts w:ascii="Helvetica" w:hAnsi="Helvetica"/>
          <w:b/>
          <w:sz w:val="24"/>
          <w:szCs w:val="24"/>
        </w:rPr>
        <w:t>A</w:t>
      </w:r>
      <w:r w:rsidRPr="006C7FAE">
        <w:rPr>
          <w:rFonts w:ascii="Helvetica" w:hAnsi="Helvetica"/>
          <w:b/>
          <w:sz w:val="24"/>
          <w:szCs w:val="24"/>
        </w:rPr>
        <w:t xml:space="preserve">. </w:t>
      </w:r>
      <w:r w:rsidRPr="006C7FAE">
        <w:rPr>
          <w:rFonts w:ascii="Helvetica" w:hAnsi="Helvetica"/>
          <w:b/>
          <w:sz w:val="24"/>
          <w:szCs w:val="24"/>
        </w:rPr>
        <w:tab/>
        <w:t>Justification</w:t>
      </w:r>
    </w:p>
    <w:p w:rsidR="00E97F0C" w:rsidRPr="006C7FAE" w:rsidP="00E97F0C" w14:paraId="7CD321A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p>
    <w:p w:rsidR="00E97F0C" w:rsidP="00E97F0C" w14:paraId="4AC01F06" w14:textId="77777777">
      <w:pPr>
        <w:keepLines/>
        <w:tabs>
          <w:tab w:val="left" w:pos="360"/>
        </w:tabs>
        <w:spacing w:after="80"/>
        <w:ind w:left="360" w:hanging="360"/>
        <w:rPr>
          <w:sz w:val="24"/>
          <w:szCs w:val="24"/>
        </w:rPr>
      </w:pPr>
      <w:r w:rsidRPr="006C7FAE">
        <w:rPr>
          <w:sz w:val="24"/>
          <w:szCs w:val="24"/>
        </w:rPr>
        <w:t>1.</w:t>
      </w:r>
      <w:r w:rsidRPr="006C7FAE">
        <w:rPr>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Pr>
          <w:sz w:val="24"/>
          <w:szCs w:val="24"/>
        </w:rPr>
        <w:br/>
      </w:r>
    </w:p>
    <w:p w:rsidR="00E97F0C" w:rsidP="00EC4093" w14:paraId="47730B1C" w14:textId="27D2F25B">
      <w:pPr>
        <w:ind w:left="360"/>
        <w:rPr>
          <w:color w:val="000000"/>
          <w:sz w:val="24"/>
          <w:szCs w:val="24"/>
        </w:rPr>
      </w:pPr>
      <w:r w:rsidRPr="28C8DF81">
        <w:rPr>
          <w:color w:val="000000" w:themeColor="text1"/>
          <w:sz w:val="24"/>
          <w:szCs w:val="24"/>
        </w:rPr>
        <w:t xml:space="preserve">The annual reporting of the total number of families on the public housing waiting list is governed by </w:t>
      </w:r>
      <w:r w:rsidR="002C36B1">
        <w:rPr>
          <w:color w:val="000000" w:themeColor="text1"/>
          <w:sz w:val="24"/>
          <w:szCs w:val="24"/>
        </w:rPr>
        <w:t>section 16(</w:t>
      </w:r>
      <w:r w:rsidR="0091234A">
        <w:rPr>
          <w:color w:val="000000" w:themeColor="text1"/>
          <w:sz w:val="24"/>
          <w:szCs w:val="24"/>
        </w:rPr>
        <w:t>a)(5)</w:t>
      </w:r>
      <w:r w:rsidR="004C7860">
        <w:rPr>
          <w:color w:val="000000" w:themeColor="text1"/>
          <w:sz w:val="24"/>
          <w:szCs w:val="24"/>
        </w:rPr>
        <w:t>(</w:t>
      </w:r>
      <w:r w:rsidR="0091234A">
        <w:rPr>
          <w:color w:val="000000" w:themeColor="text1"/>
          <w:sz w:val="24"/>
          <w:szCs w:val="24"/>
        </w:rPr>
        <w:t>E</w:t>
      </w:r>
      <w:r w:rsidR="004C7860">
        <w:rPr>
          <w:color w:val="000000" w:themeColor="text1"/>
          <w:sz w:val="24"/>
          <w:szCs w:val="24"/>
        </w:rPr>
        <w:t>)</w:t>
      </w:r>
      <w:r w:rsidR="0091234A">
        <w:rPr>
          <w:color w:val="000000" w:themeColor="text1"/>
          <w:sz w:val="24"/>
          <w:szCs w:val="24"/>
        </w:rPr>
        <w:t xml:space="preserve"> of </w:t>
      </w:r>
      <w:r w:rsidRPr="28C8DF81">
        <w:rPr>
          <w:color w:val="000000" w:themeColor="text1"/>
          <w:sz w:val="24"/>
          <w:szCs w:val="24"/>
        </w:rPr>
        <w:t>the United States Housing Act of 1937</w:t>
      </w:r>
      <w:r>
        <w:t xml:space="preserve"> </w:t>
      </w:r>
      <w:r w:rsidRPr="28C8DF81">
        <w:rPr>
          <w:color w:val="000000" w:themeColor="text1"/>
          <w:sz w:val="24"/>
          <w:szCs w:val="24"/>
        </w:rPr>
        <w:t>(42 U.S.C. 1437n(a)</w:t>
      </w:r>
      <w:r w:rsidR="004C7860">
        <w:rPr>
          <w:color w:val="000000" w:themeColor="text1"/>
          <w:sz w:val="24"/>
          <w:szCs w:val="24"/>
        </w:rPr>
        <w:t>(5)(E)</w:t>
      </w:r>
      <w:r w:rsidRPr="28C8DF81">
        <w:rPr>
          <w:color w:val="000000" w:themeColor="text1"/>
          <w:sz w:val="24"/>
          <w:szCs w:val="24"/>
        </w:rPr>
        <w:t>)</w:t>
      </w:r>
      <w:r w:rsidR="004C7860">
        <w:rPr>
          <w:color w:val="000000" w:themeColor="text1"/>
          <w:sz w:val="24"/>
          <w:szCs w:val="24"/>
        </w:rPr>
        <w:t>,</w:t>
      </w:r>
      <w:r w:rsidRPr="28C8DF81">
        <w:rPr>
          <w:color w:val="000000" w:themeColor="text1"/>
          <w:sz w:val="24"/>
          <w:szCs w:val="24"/>
        </w:rPr>
        <w:t xml:space="preserve"> as </w:t>
      </w:r>
      <w:r w:rsidR="00515385">
        <w:rPr>
          <w:color w:val="000000" w:themeColor="text1"/>
          <w:sz w:val="24"/>
          <w:szCs w:val="24"/>
        </w:rPr>
        <w:t>added</w:t>
      </w:r>
      <w:r w:rsidRPr="28C8DF81" w:rsidR="00515385">
        <w:rPr>
          <w:color w:val="000000" w:themeColor="text1"/>
          <w:sz w:val="24"/>
          <w:szCs w:val="24"/>
        </w:rPr>
        <w:t xml:space="preserve"> </w:t>
      </w:r>
      <w:r w:rsidRPr="28C8DF81">
        <w:rPr>
          <w:color w:val="000000" w:themeColor="text1"/>
          <w:sz w:val="24"/>
          <w:szCs w:val="24"/>
        </w:rPr>
        <w:t xml:space="preserve">by </w:t>
      </w:r>
      <w:r w:rsidR="006B583B">
        <w:rPr>
          <w:color w:val="000000" w:themeColor="text1"/>
          <w:sz w:val="24"/>
          <w:szCs w:val="24"/>
        </w:rPr>
        <w:t>s</w:t>
      </w:r>
      <w:r w:rsidRPr="28C8DF81">
        <w:rPr>
          <w:color w:val="000000" w:themeColor="text1"/>
          <w:sz w:val="24"/>
          <w:szCs w:val="24"/>
        </w:rPr>
        <w:t>ection 103 of the Housing Opportunity Through Modernization Act of 2016 (HOTMA)):</w:t>
      </w:r>
    </w:p>
    <w:p w:rsidR="00E97F0C" w:rsidP="00E97F0C" w14:paraId="237E1A86" w14:textId="77777777">
      <w:pPr>
        <w:rPr>
          <w:color w:val="000000"/>
          <w:sz w:val="24"/>
          <w:szCs w:val="24"/>
        </w:rPr>
      </w:pPr>
    </w:p>
    <w:p w:rsidR="00CC2B62" w:rsidP="00C903A0" w14:paraId="57CAF29F" w14:textId="77777777">
      <w:pPr>
        <w:ind w:left="720"/>
        <w:contextualSpacing/>
        <w:rPr>
          <w:color w:val="000000"/>
          <w:sz w:val="24"/>
          <w:szCs w:val="24"/>
        </w:rPr>
      </w:pPr>
      <w:r>
        <w:rPr>
          <w:color w:val="000000"/>
          <w:sz w:val="24"/>
          <w:szCs w:val="24"/>
        </w:rPr>
        <w:t xml:space="preserve">(E) </w:t>
      </w:r>
      <w:r w:rsidRPr="00AA2A41" w:rsidR="00E97F0C">
        <w:rPr>
          <w:color w:val="000000"/>
          <w:sz w:val="24"/>
          <w:szCs w:val="24"/>
        </w:rPr>
        <w:t xml:space="preserve">REPORTS ON OVER-INCOME FAMILIES AND WAITING </w:t>
      </w:r>
      <w:r w:rsidRPr="00AA2A41" w:rsidR="00E97F0C">
        <w:rPr>
          <w:color w:val="000000"/>
          <w:sz w:val="24"/>
          <w:szCs w:val="24"/>
        </w:rPr>
        <w:t>LISTS.—</w:t>
      </w:r>
      <w:r w:rsidRPr="00AA2A41" w:rsidR="00E97F0C">
        <w:rPr>
          <w:color w:val="000000"/>
          <w:sz w:val="24"/>
          <w:szCs w:val="24"/>
        </w:rPr>
        <w:t>The Secretary shall</w:t>
      </w:r>
    </w:p>
    <w:p w:rsidR="00FE65A7" w:rsidP="00C903A0" w14:paraId="3058107F" w14:textId="1FCA99ED">
      <w:pPr>
        <w:ind w:left="720" w:firstLine="360"/>
        <w:contextualSpacing/>
        <w:rPr>
          <w:color w:val="000000"/>
          <w:sz w:val="24"/>
          <w:szCs w:val="24"/>
        </w:rPr>
      </w:pPr>
      <w:r w:rsidRPr="00AA2A41">
        <w:rPr>
          <w:color w:val="000000"/>
          <w:sz w:val="24"/>
          <w:szCs w:val="24"/>
        </w:rPr>
        <w:t xml:space="preserve">require that each public housing agency shall— </w:t>
      </w:r>
    </w:p>
    <w:p w:rsidR="00A139A7" w:rsidP="00C903A0" w14:paraId="6E6E7501" w14:textId="0AF3F5DD">
      <w:pPr>
        <w:ind w:left="360" w:firstLine="720"/>
        <w:contextualSpacing/>
        <w:rPr>
          <w:color w:val="000000"/>
          <w:sz w:val="24"/>
          <w:szCs w:val="24"/>
        </w:rPr>
      </w:pPr>
      <w:r w:rsidRPr="00AA2A41">
        <w:rPr>
          <w:color w:val="000000"/>
          <w:sz w:val="24"/>
          <w:szCs w:val="24"/>
        </w:rPr>
        <w:t>(</w:t>
      </w:r>
      <w:r w:rsidRPr="00AA2A41" w:rsidR="00E97F0C">
        <w:rPr>
          <w:color w:val="000000"/>
          <w:sz w:val="24"/>
          <w:szCs w:val="24"/>
        </w:rPr>
        <w:t>i) submit a report annually, in a format required by the Secretary, that specifies—</w:t>
      </w:r>
    </w:p>
    <w:p w:rsidR="00A139A7" w:rsidP="00C903A0" w14:paraId="5FD7E1C1" w14:textId="6E796CD6">
      <w:pPr>
        <w:ind w:left="1080" w:firstLine="720"/>
        <w:contextualSpacing/>
        <w:rPr>
          <w:color w:val="000000"/>
          <w:sz w:val="24"/>
          <w:szCs w:val="24"/>
        </w:rPr>
      </w:pPr>
      <w:r w:rsidRPr="00AA2A41">
        <w:rPr>
          <w:color w:val="000000"/>
          <w:sz w:val="24"/>
          <w:szCs w:val="24"/>
        </w:rPr>
        <w:t>(I) the number of families residing, as of the end of the year for which the report is submitted, in public housing administered by the agency who had incomes exceeding the applicable income limitation under subparagraph (C); and</w:t>
      </w:r>
    </w:p>
    <w:p w:rsidR="00A139A7" w:rsidP="00C903A0" w14:paraId="0DEB787F" w14:textId="44EE6BD2">
      <w:pPr>
        <w:ind w:left="1080" w:firstLine="720"/>
        <w:contextualSpacing/>
        <w:rPr>
          <w:color w:val="000000"/>
          <w:sz w:val="24"/>
          <w:szCs w:val="24"/>
        </w:rPr>
      </w:pPr>
      <w:r w:rsidRPr="00AA2A41">
        <w:rPr>
          <w:color w:val="000000"/>
          <w:sz w:val="24"/>
          <w:szCs w:val="24"/>
        </w:rPr>
        <w:t>(II) the number of families, as of the end of such year, on the waiting lists for admission to public housing projects of the agency; and</w:t>
      </w:r>
    </w:p>
    <w:p w:rsidR="00E97F0C" w:rsidP="00C903A0" w14:paraId="37CC48FE" w14:textId="7338CAB2">
      <w:pPr>
        <w:ind w:left="360" w:firstLine="720"/>
        <w:contextualSpacing/>
        <w:rPr>
          <w:color w:val="000000"/>
          <w:sz w:val="24"/>
          <w:szCs w:val="24"/>
        </w:rPr>
      </w:pPr>
      <w:r w:rsidRPr="00AA2A41">
        <w:rPr>
          <w:color w:val="000000"/>
          <w:sz w:val="24"/>
          <w:szCs w:val="24"/>
        </w:rPr>
        <w:t>(ii) make the information reported pursuant to clause (i) publicly available.</w:t>
      </w:r>
    </w:p>
    <w:p w:rsidR="00E97F0C" w:rsidP="00E97F0C" w14:paraId="33190899" w14:textId="77777777">
      <w:pPr>
        <w:ind w:left="1440" w:hanging="720"/>
        <w:rPr>
          <w:color w:val="000000"/>
          <w:sz w:val="24"/>
          <w:szCs w:val="24"/>
        </w:rPr>
      </w:pPr>
    </w:p>
    <w:p w:rsidR="00E97F0C" w:rsidP="00EC4093" w14:paraId="626BA4A1" w14:textId="28900F36">
      <w:pPr>
        <w:ind w:left="360"/>
        <w:rPr>
          <w:color w:val="000000"/>
          <w:sz w:val="24"/>
          <w:szCs w:val="24"/>
        </w:rPr>
      </w:pPr>
      <w:r>
        <w:rPr>
          <w:color w:val="000000"/>
          <w:sz w:val="24"/>
          <w:szCs w:val="24"/>
        </w:rPr>
        <w:t xml:space="preserve">The regulations covering the reporting requirements were </w:t>
      </w:r>
      <w:r w:rsidRPr="003459A4">
        <w:rPr>
          <w:color w:val="000000"/>
          <w:sz w:val="24"/>
          <w:szCs w:val="24"/>
        </w:rPr>
        <w:t>published in Federal Register Notice 88 FR 9600 on February 14, 2023.</w:t>
      </w:r>
      <w:r>
        <w:rPr>
          <w:color w:val="000000"/>
          <w:sz w:val="24"/>
          <w:szCs w:val="24"/>
        </w:rPr>
        <w:t xml:space="preserve"> </w:t>
      </w:r>
      <w:r w:rsidRPr="004B53F1">
        <w:rPr>
          <w:color w:val="000000"/>
          <w:sz w:val="24"/>
          <w:szCs w:val="24"/>
        </w:rPr>
        <w:t xml:space="preserve">Each </w:t>
      </w:r>
      <w:r w:rsidRPr="00060EB6">
        <w:rPr>
          <w:color w:val="000000"/>
          <w:sz w:val="24"/>
          <w:szCs w:val="24"/>
        </w:rPr>
        <w:t>public housing agenc</w:t>
      </w:r>
      <w:r>
        <w:rPr>
          <w:color w:val="000000"/>
          <w:sz w:val="24"/>
          <w:szCs w:val="24"/>
        </w:rPr>
        <w:t>y</w:t>
      </w:r>
      <w:r w:rsidRPr="00060EB6">
        <w:rPr>
          <w:color w:val="000000"/>
          <w:sz w:val="24"/>
          <w:szCs w:val="24"/>
        </w:rPr>
        <w:t xml:space="preserve"> (PHAs) </w:t>
      </w:r>
      <w:r>
        <w:rPr>
          <w:color w:val="000000"/>
          <w:sz w:val="24"/>
          <w:szCs w:val="24"/>
        </w:rPr>
        <w:t>with a public housing program</w:t>
      </w:r>
      <w:r w:rsidRPr="004B53F1">
        <w:rPr>
          <w:color w:val="000000"/>
          <w:sz w:val="24"/>
          <w:szCs w:val="24"/>
        </w:rPr>
        <w:t xml:space="preserve"> must submit a report annually to HUD that specifies, as of the end of the year, the number of families residing in public housing with incomes exceeding the over-income limit and the number of families on the waiting lists for admission to </w:t>
      </w:r>
      <w:r>
        <w:rPr>
          <w:color w:val="000000"/>
          <w:sz w:val="24"/>
          <w:szCs w:val="24"/>
        </w:rPr>
        <w:t xml:space="preserve">a </w:t>
      </w:r>
      <w:r w:rsidRPr="004B53F1">
        <w:rPr>
          <w:color w:val="000000"/>
          <w:sz w:val="24"/>
          <w:szCs w:val="24"/>
        </w:rPr>
        <w:t xml:space="preserve">public housing </w:t>
      </w:r>
      <w:r>
        <w:rPr>
          <w:color w:val="000000"/>
          <w:sz w:val="24"/>
          <w:szCs w:val="24"/>
        </w:rPr>
        <w:t>development</w:t>
      </w:r>
      <w:r w:rsidRPr="004B53F1">
        <w:rPr>
          <w:color w:val="000000"/>
          <w:sz w:val="24"/>
          <w:szCs w:val="24"/>
        </w:rPr>
        <w:t xml:space="preserve"> and provide any other information regarding over-income families requested by HUD. These reports must be </w:t>
      </w:r>
      <w:r>
        <w:rPr>
          <w:color w:val="000000"/>
          <w:sz w:val="24"/>
          <w:szCs w:val="24"/>
        </w:rPr>
        <w:t xml:space="preserve">made </w:t>
      </w:r>
      <w:r w:rsidRPr="004B53F1">
        <w:rPr>
          <w:color w:val="000000"/>
          <w:sz w:val="24"/>
          <w:szCs w:val="24"/>
        </w:rPr>
        <w:t>publicly available</w:t>
      </w:r>
      <w:r>
        <w:rPr>
          <w:color w:val="000000"/>
          <w:sz w:val="24"/>
          <w:szCs w:val="24"/>
        </w:rPr>
        <w:t>.</w:t>
      </w:r>
    </w:p>
    <w:p w:rsidR="00E97F0C" w:rsidP="00E97F0C" w14:paraId="5697A687" w14:textId="77777777">
      <w:pPr>
        <w:ind w:left="360"/>
        <w:rPr>
          <w:color w:val="000000"/>
          <w:sz w:val="24"/>
          <w:szCs w:val="24"/>
        </w:rPr>
      </w:pPr>
    </w:p>
    <w:p w:rsidR="00E97F0C" w:rsidP="00EC4093" w14:paraId="12DC746B" w14:textId="77777777">
      <w:pPr>
        <w:ind w:left="360"/>
        <w:rPr>
          <w:sz w:val="24"/>
          <w:szCs w:val="24"/>
        </w:rPr>
      </w:pPr>
      <w:r>
        <w:rPr>
          <w:color w:val="000000"/>
          <w:sz w:val="24"/>
          <w:szCs w:val="24"/>
        </w:rPr>
        <w:t xml:space="preserve">PHAs will only need to submit data on </w:t>
      </w:r>
      <w:r w:rsidRPr="00D85555">
        <w:rPr>
          <w:color w:val="000000"/>
          <w:sz w:val="24"/>
          <w:szCs w:val="24"/>
        </w:rPr>
        <w:t>the number of families on the waiting lists for admission</w:t>
      </w:r>
      <w:r>
        <w:rPr>
          <w:color w:val="000000"/>
          <w:sz w:val="24"/>
          <w:szCs w:val="24"/>
        </w:rPr>
        <w:t xml:space="preserve">. HUD has developed an electronic tool </w:t>
      </w:r>
      <w:r w:rsidRPr="00737DB5">
        <w:rPr>
          <w:color w:val="000000"/>
          <w:sz w:val="24"/>
          <w:szCs w:val="24"/>
        </w:rPr>
        <w:t>for</w:t>
      </w:r>
      <w:r>
        <w:rPr>
          <w:color w:val="000000"/>
          <w:sz w:val="24"/>
          <w:szCs w:val="24"/>
        </w:rPr>
        <w:t xml:space="preserve"> the collection of waiting list data and a screen shot has been included for</w:t>
      </w:r>
      <w:r w:rsidRPr="00737DB5">
        <w:rPr>
          <w:color w:val="000000"/>
          <w:sz w:val="24"/>
          <w:szCs w:val="24"/>
        </w:rPr>
        <w:t xml:space="preserve"> illustration purposes</w:t>
      </w:r>
      <w:r>
        <w:rPr>
          <w:color w:val="000000"/>
          <w:sz w:val="24"/>
          <w:szCs w:val="24"/>
        </w:rPr>
        <w:t xml:space="preserve"> (the calendar year dates will be updated each year).</w:t>
      </w:r>
      <w:r w:rsidRPr="00737DB5">
        <w:rPr>
          <w:color w:val="000000"/>
          <w:sz w:val="24"/>
          <w:szCs w:val="24"/>
        </w:rPr>
        <w:t xml:space="preserve"> </w:t>
      </w:r>
      <w:r>
        <w:rPr>
          <w:color w:val="000000"/>
          <w:sz w:val="24"/>
          <w:szCs w:val="24"/>
        </w:rPr>
        <w:t>Once this data is received, HUD will make these reports public.</w:t>
      </w:r>
    </w:p>
    <w:p w:rsidR="00E97F0C" w:rsidRPr="006C7FAE" w:rsidP="00E97F0C" w14:paraId="2E6AEB83" w14:textId="77777777">
      <w:pPr>
        <w:tabs>
          <w:tab w:val="left" w:pos="360"/>
        </w:tabs>
        <w:ind w:left="360" w:hanging="360"/>
        <w:rPr>
          <w:sz w:val="24"/>
          <w:szCs w:val="24"/>
        </w:rPr>
      </w:pPr>
    </w:p>
    <w:p w:rsidR="00E97F0C" w:rsidP="00E97F0C" w14:paraId="56D9D4BC" w14:textId="77777777">
      <w:pPr>
        <w:keepLines/>
        <w:tabs>
          <w:tab w:val="left" w:pos="360"/>
        </w:tabs>
        <w:spacing w:after="80"/>
        <w:ind w:left="360" w:hanging="360"/>
        <w:rPr>
          <w:sz w:val="24"/>
          <w:szCs w:val="24"/>
        </w:rPr>
      </w:pPr>
      <w:r w:rsidRPr="006C7FAE">
        <w:rPr>
          <w:sz w:val="24"/>
          <w:szCs w:val="24"/>
        </w:rPr>
        <w:t>2.</w:t>
      </w:r>
      <w:r w:rsidRPr="006C7FAE">
        <w:rPr>
          <w:sz w:val="24"/>
          <w:szCs w:val="24"/>
        </w:rPr>
        <w:tab/>
        <w:t>Indicate how, by whom and for what purpose the information is to be used.  Except for a new collection, indicate the actual use the agency has made of the information received from the current collection.</w:t>
      </w:r>
      <w:r>
        <w:rPr>
          <w:sz w:val="24"/>
          <w:szCs w:val="24"/>
        </w:rPr>
        <w:br/>
      </w:r>
    </w:p>
    <w:p w:rsidR="009C6AEE" w:rsidP="00EC4093" w14:paraId="20FAF56A" w14:textId="2A32DBCD">
      <w:pPr>
        <w:ind w:left="360"/>
        <w:rPr>
          <w:sz w:val="24"/>
          <w:szCs w:val="24"/>
        </w:rPr>
      </w:pPr>
      <w:r>
        <w:rPr>
          <w:sz w:val="24"/>
          <w:szCs w:val="24"/>
        </w:rPr>
        <w:t>This submission is a</w:t>
      </w:r>
      <w:r w:rsidR="00D16723">
        <w:rPr>
          <w:sz w:val="24"/>
          <w:szCs w:val="24"/>
        </w:rPr>
        <w:t xml:space="preserve"> </w:t>
      </w:r>
      <w:r>
        <w:rPr>
          <w:sz w:val="24"/>
          <w:szCs w:val="24"/>
        </w:rPr>
        <w:t xml:space="preserve">revision of a currently approved collection (OMB Control #2577-0302).  </w:t>
      </w:r>
      <w:r w:rsidRPr="0F522D80" w:rsidR="00E97F0C">
        <w:rPr>
          <w:sz w:val="24"/>
          <w:szCs w:val="24"/>
        </w:rPr>
        <w:t xml:space="preserve">The data on the total number of unduplicated families on the public housing waiting list will be provided by </w:t>
      </w:r>
      <w:r w:rsidR="00601B9D">
        <w:rPr>
          <w:sz w:val="24"/>
          <w:szCs w:val="24"/>
        </w:rPr>
        <w:t>PHAs with public housing programs</w:t>
      </w:r>
      <w:r w:rsidRPr="0F522D80" w:rsidR="00E97F0C">
        <w:rPr>
          <w:sz w:val="24"/>
          <w:szCs w:val="24"/>
        </w:rPr>
        <w:t xml:space="preserve"> in the aggregate and no </w:t>
      </w:r>
      <w:r w:rsidRPr="0F522D80" w:rsidR="00E97F0C">
        <w:rPr>
          <w:sz w:val="24"/>
          <w:szCs w:val="24"/>
        </w:rPr>
        <w:t>personally</w:t>
      </w:r>
      <w:r w:rsidRPr="0F522D80" w:rsidR="00E97F0C">
        <w:rPr>
          <w:sz w:val="24"/>
          <w:szCs w:val="24"/>
        </w:rPr>
        <w:t xml:space="preserve"> identifiable information will be collected. The information collected on the number of families on the waiting lists for </w:t>
      </w:r>
      <w:r w:rsidRPr="0F522D80" w:rsidR="00E97F0C">
        <w:rPr>
          <w:sz w:val="24"/>
          <w:szCs w:val="24"/>
        </w:rPr>
        <w:t>admission to a public</w:t>
      </w:r>
      <w:r w:rsidRPr="0F522D80" w:rsidR="77DF35C6">
        <w:rPr>
          <w:sz w:val="24"/>
          <w:szCs w:val="24"/>
        </w:rPr>
        <w:t xml:space="preserve"> </w:t>
      </w:r>
      <w:r w:rsidRPr="0F522D80" w:rsidR="00E97F0C">
        <w:rPr>
          <w:sz w:val="24"/>
          <w:szCs w:val="24"/>
        </w:rPr>
        <w:t>housing development</w:t>
      </w:r>
      <w:r w:rsidRPr="0F522D80" w:rsidR="00532EAE">
        <w:rPr>
          <w:sz w:val="24"/>
          <w:szCs w:val="24"/>
        </w:rPr>
        <w:t xml:space="preserve"> </w:t>
      </w:r>
      <w:r w:rsidRPr="0F522D80" w:rsidR="00E97F0C">
        <w:rPr>
          <w:sz w:val="24"/>
          <w:szCs w:val="24"/>
        </w:rPr>
        <w:t xml:space="preserve">will be used by HUD to create a publicly available annual report that also includes the number of families residing in public housing with incomes exceeding the over-income limit as required by the HOTMA statute. </w:t>
      </w:r>
    </w:p>
    <w:p w:rsidR="00EC4093" w:rsidP="00EC4093" w14:paraId="22818381" w14:textId="77777777">
      <w:pPr>
        <w:ind w:left="360"/>
        <w:rPr>
          <w:sz w:val="24"/>
          <w:szCs w:val="24"/>
        </w:rPr>
      </w:pPr>
    </w:p>
    <w:p w:rsidR="003A76ED" w:rsidRPr="003A76ED" w:rsidP="00EC4093" w14:paraId="1F74FED9" w14:textId="1E64F7C2">
      <w:pPr>
        <w:ind w:left="360"/>
        <w:rPr>
          <w:sz w:val="24"/>
          <w:szCs w:val="24"/>
        </w:rPr>
      </w:pPr>
      <w:r w:rsidRPr="003A76ED">
        <w:rPr>
          <w:sz w:val="24"/>
          <w:szCs w:val="24"/>
        </w:rPr>
        <w:t>The information in this collection is submitted 100% electronic</w:t>
      </w:r>
      <w:r w:rsidR="002A45B9">
        <w:rPr>
          <w:sz w:val="24"/>
          <w:szCs w:val="24"/>
        </w:rPr>
        <w:t>ally</w:t>
      </w:r>
      <w:r w:rsidRPr="003A76ED">
        <w:rPr>
          <w:sz w:val="24"/>
          <w:szCs w:val="24"/>
        </w:rPr>
        <w:t xml:space="preserve"> in accordance with PIH Notice 2023-03, “this data must be submitted via a new electronic data collection tool that has been developed in the Operating Fund Web portal.” PHAs with a public housing program are notified by HUD at the beginning of the year to submit their public housing waiting list data through the </w:t>
      </w:r>
      <w:hyperlink r:id="rId9" w:history="1">
        <w:r w:rsidRPr="00502608">
          <w:rPr>
            <w:rStyle w:val="Hyperlink"/>
            <w:sz w:val="24"/>
            <w:szCs w:val="24"/>
          </w:rPr>
          <w:t>Public Housing Portal</w:t>
        </w:r>
      </w:hyperlink>
      <w:r w:rsidRPr="003A76ED">
        <w:rPr>
          <w:sz w:val="24"/>
          <w:szCs w:val="24"/>
        </w:rPr>
        <w:t>.  The PHA then uploads the waiting list data by any authorized PHA official but requires the electronic signature of the Executive Director.</w:t>
      </w:r>
    </w:p>
    <w:p w:rsidR="00E97F0C" w:rsidRPr="006C7FAE" w:rsidP="00E97F0C" w14:paraId="7DC30975" w14:textId="7026F110">
      <w:pPr>
        <w:ind w:left="360" w:firstLine="720"/>
        <w:rPr>
          <w:sz w:val="24"/>
          <w:szCs w:val="24"/>
        </w:rPr>
      </w:pPr>
      <w:r>
        <w:rPr>
          <w:sz w:val="24"/>
          <w:szCs w:val="24"/>
        </w:rPr>
        <w:tab/>
      </w:r>
      <w:r>
        <w:rPr>
          <w:sz w:val="24"/>
          <w:szCs w:val="24"/>
        </w:rPr>
        <w:tab/>
      </w:r>
    </w:p>
    <w:p w:rsidR="00E97F0C" w:rsidRPr="006C7FAE" w:rsidP="00E97F0C" w14:paraId="3E4ED38D" w14:textId="77777777">
      <w:pPr>
        <w:keepLines/>
        <w:tabs>
          <w:tab w:val="left" w:pos="360"/>
        </w:tabs>
        <w:spacing w:after="80"/>
        <w:ind w:left="360" w:hanging="360"/>
        <w:rPr>
          <w:sz w:val="24"/>
          <w:szCs w:val="24"/>
        </w:rPr>
      </w:pPr>
      <w:r w:rsidRPr="006C7FAE">
        <w:rPr>
          <w:sz w:val="24"/>
          <w:szCs w:val="24"/>
        </w:rPr>
        <w:t>3.</w:t>
      </w:r>
      <w:r w:rsidRPr="006C7FAE">
        <w:rPr>
          <w:sz w:val="24"/>
          <w:szCs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6C7FAE">
        <w:rPr>
          <w:sz w:val="24"/>
          <w:szCs w:val="24"/>
        </w:rPr>
        <w:t>for adopting</w:t>
      </w:r>
      <w:r w:rsidRPr="006C7FAE">
        <w:rPr>
          <w:sz w:val="24"/>
          <w:szCs w:val="24"/>
        </w:rPr>
        <w:t xml:space="preserve"> this means of collection.  Also describe any consideration of using information technology to reduce burden.</w:t>
      </w:r>
      <w:r>
        <w:rPr>
          <w:sz w:val="24"/>
          <w:szCs w:val="24"/>
        </w:rPr>
        <w:br/>
      </w:r>
    </w:p>
    <w:p w:rsidR="00E97F0C" w:rsidP="00EC4093" w14:paraId="7116A069" w14:textId="516ED5A3">
      <w:pPr>
        <w:ind w:left="360"/>
        <w:rPr>
          <w:sz w:val="24"/>
          <w:szCs w:val="24"/>
        </w:rPr>
      </w:pPr>
      <w:r w:rsidRPr="00D1732B">
        <w:rPr>
          <w:sz w:val="24"/>
          <w:szCs w:val="24"/>
        </w:rPr>
        <w:t>The</w:t>
      </w:r>
      <w:r>
        <w:rPr>
          <w:sz w:val="24"/>
          <w:szCs w:val="24"/>
        </w:rPr>
        <w:t xml:space="preserve"> </w:t>
      </w:r>
      <w:r w:rsidRPr="00D1732B">
        <w:rPr>
          <w:sz w:val="24"/>
          <w:szCs w:val="24"/>
        </w:rPr>
        <w:t>collection of information</w:t>
      </w:r>
      <w:r>
        <w:rPr>
          <w:sz w:val="24"/>
          <w:szCs w:val="24"/>
        </w:rPr>
        <w:t xml:space="preserve"> on the total number of families on the waiting list</w:t>
      </w:r>
      <w:r w:rsidRPr="00D1732B">
        <w:rPr>
          <w:sz w:val="24"/>
          <w:szCs w:val="24"/>
        </w:rPr>
        <w:t xml:space="preserve"> involves the use of a</w:t>
      </w:r>
      <w:r>
        <w:rPr>
          <w:sz w:val="24"/>
          <w:szCs w:val="24"/>
        </w:rPr>
        <w:t>n existing HUD IT system</w:t>
      </w:r>
      <w:r w:rsidRPr="0097734B">
        <w:rPr>
          <w:sz w:val="24"/>
          <w:szCs w:val="24"/>
        </w:rPr>
        <w:t xml:space="preserve"> </w:t>
      </w:r>
      <w:r>
        <w:rPr>
          <w:sz w:val="24"/>
          <w:szCs w:val="24"/>
        </w:rPr>
        <w:t xml:space="preserve">called the </w:t>
      </w:r>
      <w:hyperlink r:id="rId9" w:history="1">
        <w:r w:rsidRPr="002F5069">
          <w:rPr>
            <w:rStyle w:val="Hyperlink"/>
            <w:sz w:val="24"/>
            <w:szCs w:val="24"/>
          </w:rPr>
          <w:t>Public Housing Portal</w:t>
        </w:r>
      </w:hyperlink>
      <w:r>
        <w:rPr>
          <w:sz w:val="24"/>
          <w:szCs w:val="24"/>
        </w:rPr>
        <w:t xml:space="preserve">. </w:t>
      </w:r>
      <w:r w:rsidRPr="003A747B">
        <w:rPr>
          <w:sz w:val="24"/>
          <w:szCs w:val="24"/>
        </w:rPr>
        <w:t>The reason for adopting an electronic collection method is to reduce the burden on PHAs.</w:t>
      </w:r>
      <w:r w:rsidR="00B7103A">
        <w:rPr>
          <w:sz w:val="24"/>
          <w:szCs w:val="24"/>
        </w:rPr>
        <w:t xml:space="preserve">  The information is </w:t>
      </w:r>
      <w:r w:rsidR="00B7103A">
        <w:rPr>
          <w:sz w:val="24"/>
          <w:szCs w:val="24"/>
        </w:rPr>
        <w:t>being collected</w:t>
      </w:r>
      <w:r w:rsidR="00B7103A">
        <w:rPr>
          <w:sz w:val="24"/>
          <w:szCs w:val="24"/>
        </w:rPr>
        <w:t xml:space="preserve"> 100% electronic</w:t>
      </w:r>
      <w:r w:rsidR="00FC647E">
        <w:rPr>
          <w:sz w:val="24"/>
          <w:szCs w:val="24"/>
        </w:rPr>
        <w:t>ally</w:t>
      </w:r>
      <w:r w:rsidR="00B7103A">
        <w:rPr>
          <w:sz w:val="24"/>
          <w:szCs w:val="24"/>
        </w:rPr>
        <w:t xml:space="preserve"> through the Public Housing Portal</w:t>
      </w:r>
      <w:r w:rsidR="00511D69">
        <w:rPr>
          <w:sz w:val="24"/>
          <w:szCs w:val="24"/>
        </w:rPr>
        <w:t xml:space="preserve"> and can be performed online without ever having to print anything.  </w:t>
      </w:r>
      <w:r w:rsidR="00944291">
        <w:rPr>
          <w:sz w:val="24"/>
          <w:szCs w:val="24"/>
        </w:rPr>
        <w:t xml:space="preserve">PHAs </w:t>
      </w:r>
      <w:r w:rsidR="00E45AF3">
        <w:rPr>
          <w:sz w:val="24"/>
          <w:szCs w:val="24"/>
        </w:rPr>
        <w:t>can</w:t>
      </w:r>
      <w:r w:rsidR="00944291">
        <w:rPr>
          <w:sz w:val="24"/>
          <w:szCs w:val="24"/>
        </w:rPr>
        <w:t xml:space="preserve"> </w:t>
      </w:r>
      <w:r w:rsidR="002A35C8">
        <w:rPr>
          <w:sz w:val="24"/>
          <w:szCs w:val="24"/>
        </w:rPr>
        <w:t xml:space="preserve">access the module for submitting their collection data, </w:t>
      </w:r>
      <w:r w:rsidR="00E45AF3">
        <w:rPr>
          <w:sz w:val="24"/>
          <w:szCs w:val="24"/>
        </w:rPr>
        <w:t>enter</w:t>
      </w:r>
      <w:r w:rsidR="002A35C8">
        <w:rPr>
          <w:sz w:val="24"/>
          <w:szCs w:val="24"/>
        </w:rPr>
        <w:t xml:space="preserve"> the applicable PHA waiting list data, and submit </w:t>
      </w:r>
      <w:r w:rsidR="00FF57A0">
        <w:rPr>
          <w:sz w:val="24"/>
          <w:szCs w:val="24"/>
        </w:rPr>
        <w:t>the waiting list data to</w:t>
      </w:r>
      <w:r w:rsidR="002A35C8">
        <w:rPr>
          <w:sz w:val="24"/>
          <w:szCs w:val="24"/>
        </w:rPr>
        <w:t xml:space="preserve"> HUD </w:t>
      </w:r>
      <w:r w:rsidR="0063679B">
        <w:rPr>
          <w:sz w:val="24"/>
          <w:szCs w:val="24"/>
        </w:rPr>
        <w:t xml:space="preserve">all </w:t>
      </w:r>
      <w:r w:rsidR="00FF57A0">
        <w:rPr>
          <w:sz w:val="24"/>
          <w:szCs w:val="24"/>
        </w:rPr>
        <w:t xml:space="preserve">through </w:t>
      </w:r>
      <w:r w:rsidR="0063679B">
        <w:rPr>
          <w:sz w:val="24"/>
          <w:szCs w:val="24"/>
        </w:rPr>
        <w:t xml:space="preserve">the </w:t>
      </w:r>
      <w:r w:rsidR="00FF57A0">
        <w:rPr>
          <w:sz w:val="24"/>
          <w:szCs w:val="24"/>
        </w:rPr>
        <w:t xml:space="preserve">dedicated Public Housing Waiting List module in the Public Housing Portal.  </w:t>
      </w:r>
    </w:p>
    <w:p w:rsidR="00E97F0C" w:rsidRPr="006C7FAE" w:rsidP="00E97F0C" w14:paraId="0C14D455" w14:textId="77777777">
      <w:pPr>
        <w:tabs>
          <w:tab w:val="left" w:pos="360"/>
        </w:tabs>
        <w:ind w:left="360" w:hanging="360"/>
        <w:rPr>
          <w:sz w:val="24"/>
          <w:szCs w:val="24"/>
        </w:rPr>
      </w:pPr>
    </w:p>
    <w:p w:rsidR="00E97F0C" w:rsidRPr="006C7FAE" w:rsidP="00E97F0C" w14:paraId="162281D8" w14:textId="77777777">
      <w:pPr>
        <w:keepLines/>
        <w:tabs>
          <w:tab w:val="left" w:pos="360"/>
        </w:tabs>
        <w:spacing w:after="80"/>
        <w:ind w:left="360" w:hanging="360"/>
        <w:rPr>
          <w:sz w:val="24"/>
          <w:szCs w:val="24"/>
        </w:rPr>
      </w:pPr>
      <w:r w:rsidRPr="006C7FAE">
        <w:rPr>
          <w:sz w:val="24"/>
          <w:szCs w:val="24"/>
        </w:rPr>
        <w:t>4.</w:t>
      </w:r>
      <w:r w:rsidRPr="006C7FAE">
        <w:rPr>
          <w:sz w:val="24"/>
          <w:szCs w:val="24"/>
        </w:rPr>
        <w:tab/>
        <w:t>Describe efforts to identify duplication.  Show specifically why any similar information already available cannot be used or modified for use for the purposes described in Item 2 above.</w:t>
      </w:r>
      <w:r>
        <w:rPr>
          <w:sz w:val="24"/>
          <w:szCs w:val="24"/>
        </w:rPr>
        <w:br/>
      </w:r>
    </w:p>
    <w:p w:rsidR="00E97F0C" w:rsidP="00EC4093" w14:paraId="44DC0174" w14:textId="77777777">
      <w:pPr>
        <w:ind w:left="360"/>
        <w:rPr>
          <w:sz w:val="24"/>
          <w:szCs w:val="24"/>
        </w:rPr>
      </w:pPr>
      <w:r w:rsidRPr="006C6AE8">
        <w:rPr>
          <w:sz w:val="24"/>
          <w:szCs w:val="24"/>
        </w:rPr>
        <w:t>This information (</w:t>
      </w:r>
      <w:r>
        <w:rPr>
          <w:sz w:val="24"/>
          <w:szCs w:val="24"/>
        </w:rPr>
        <w:t xml:space="preserve">the </w:t>
      </w:r>
      <w:r w:rsidRPr="006C6AE8">
        <w:rPr>
          <w:sz w:val="24"/>
          <w:szCs w:val="24"/>
        </w:rPr>
        <w:t>P</w:t>
      </w:r>
      <w:r>
        <w:rPr>
          <w:sz w:val="24"/>
          <w:szCs w:val="24"/>
        </w:rPr>
        <w:t xml:space="preserve">ublic </w:t>
      </w:r>
      <w:r w:rsidRPr="006C6AE8">
        <w:rPr>
          <w:sz w:val="24"/>
          <w:szCs w:val="24"/>
        </w:rPr>
        <w:t>H</w:t>
      </w:r>
      <w:r>
        <w:rPr>
          <w:sz w:val="24"/>
          <w:szCs w:val="24"/>
        </w:rPr>
        <w:t>ousing</w:t>
      </w:r>
      <w:r w:rsidRPr="006C6AE8">
        <w:rPr>
          <w:sz w:val="24"/>
          <w:szCs w:val="24"/>
        </w:rPr>
        <w:t xml:space="preserve"> waiting list total) is maintained by individual PHAs and is not already available to HUD in the aggregate.</w:t>
      </w:r>
    </w:p>
    <w:p w:rsidR="00E97F0C" w:rsidRPr="006C7FAE" w:rsidP="00E97F0C" w14:paraId="47308BA4" w14:textId="77777777">
      <w:pPr>
        <w:keepLines/>
        <w:tabs>
          <w:tab w:val="left" w:pos="360"/>
          <w:tab w:val="left" w:pos="720"/>
        </w:tabs>
        <w:ind w:left="360"/>
        <w:rPr>
          <w:sz w:val="24"/>
          <w:szCs w:val="24"/>
        </w:rPr>
      </w:pPr>
    </w:p>
    <w:p w:rsidR="00E97F0C" w:rsidP="00E97F0C" w14:paraId="2C69FDE1" w14:textId="77777777">
      <w:pPr>
        <w:keepLines/>
        <w:tabs>
          <w:tab w:val="left" w:pos="360"/>
        </w:tabs>
        <w:spacing w:after="80"/>
        <w:ind w:left="360" w:hanging="360"/>
        <w:rPr>
          <w:sz w:val="24"/>
          <w:szCs w:val="24"/>
        </w:rPr>
      </w:pPr>
      <w:r w:rsidRPr="006C7FAE">
        <w:rPr>
          <w:sz w:val="24"/>
          <w:szCs w:val="24"/>
        </w:rPr>
        <w:t>5.</w:t>
      </w:r>
      <w:r w:rsidRPr="006C7FAE">
        <w:rPr>
          <w:sz w:val="24"/>
          <w:szCs w:val="24"/>
        </w:rPr>
        <w:tab/>
        <w:t>If the collection of information impacts small businesses or other small entities describe any methods used to minimize burden.</w:t>
      </w:r>
      <w:r>
        <w:rPr>
          <w:sz w:val="24"/>
          <w:szCs w:val="24"/>
        </w:rPr>
        <w:br/>
      </w:r>
    </w:p>
    <w:p w:rsidR="00E97F0C" w:rsidP="00E97F0C" w14:paraId="793D5868" w14:textId="5D9E9DEA">
      <w:pPr>
        <w:keepLines/>
        <w:tabs>
          <w:tab w:val="left" w:pos="360"/>
        </w:tabs>
        <w:spacing w:after="80"/>
        <w:ind w:left="720" w:hanging="360"/>
        <w:rPr>
          <w:sz w:val="24"/>
          <w:szCs w:val="24"/>
        </w:rPr>
      </w:pPr>
      <w:r>
        <w:rPr>
          <w:sz w:val="24"/>
          <w:szCs w:val="24"/>
        </w:rPr>
        <w:t xml:space="preserve">This collection of information does not impact small businesses or other small entities.  </w:t>
      </w:r>
    </w:p>
    <w:p w:rsidR="00E97F0C" w:rsidRPr="006C7FAE" w:rsidP="00E97F0C" w14:paraId="41758C69" w14:textId="77777777">
      <w:pPr>
        <w:tabs>
          <w:tab w:val="left" w:pos="360"/>
          <w:tab w:val="left" w:pos="855"/>
        </w:tabs>
        <w:ind w:left="360" w:hanging="360"/>
        <w:rPr>
          <w:sz w:val="24"/>
          <w:szCs w:val="24"/>
        </w:rPr>
      </w:pPr>
      <w:r>
        <w:rPr>
          <w:sz w:val="24"/>
          <w:szCs w:val="24"/>
        </w:rPr>
        <w:tab/>
      </w:r>
      <w:r>
        <w:rPr>
          <w:sz w:val="24"/>
          <w:szCs w:val="24"/>
        </w:rPr>
        <w:tab/>
      </w:r>
    </w:p>
    <w:p w:rsidR="00E97F0C" w:rsidRPr="006C7FAE" w:rsidP="00E97F0C" w14:paraId="55987115" w14:textId="77777777">
      <w:pPr>
        <w:keepLines/>
        <w:tabs>
          <w:tab w:val="left" w:pos="360"/>
        </w:tabs>
        <w:spacing w:after="80"/>
        <w:ind w:left="360" w:hanging="360"/>
        <w:rPr>
          <w:sz w:val="24"/>
          <w:szCs w:val="24"/>
        </w:rPr>
      </w:pPr>
      <w:r w:rsidRPr="006C7FAE">
        <w:rPr>
          <w:sz w:val="24"/>
          <w:szCs w:val="24"/>
        </w:rPr>
        <w:t>6.</w:t>
      </w:r>
      <w:r w:rsidRPr="006C7FAE">
        <w:rPr>
          <w:sz w:val="24"/>
          <w:szCs w:val="24"/>
        </w:rPr>
        <w:tab/>
        <w:t>Describe the consequences to Federal program or policy activities if the collection is not conducted or is conducted less frequently, as well as any technical or legal obstacles to reducing burden.</w:t>
      </w:r>
      <w:r>
        <w:rPr>
          <w:sz w:val="24"/>
          <w:szCs w:val="24"/>
        </w:rPr>
        <w:br/>
      </w:r>
    </w:p>
    <w:p w:rsidR="00E97F0C" w:rsidRPr="00FC0920" w:rsidP="00EC4093" w14:paraId="543723C5" w14:textId="53B8148E">
      <w:pPr>
        <w:ind w:left="360"/>
        <w:rPr>
          <w:sz w:val="24"/>
          <w:szCs w:val="24"/>
        </w:rPr>
      </w:pPr>
      <w:r w:rsidRPr="00FC0920">
        <w:rPr>
          <w:sz w:val="24"/>
          <w:szCs w:val="24"/>
        </w:rPr>
        <w:t>If the collection is not conducted or is conducted less frequently, HUD and PHAs would be out of compliance with the requirements of the HOTMA statute. The statute requires</w:t>
      </w:r>
      <w:r>
        <w:rPr>
          <w:sz w:val="24"/>
          <w:szCs w:val="24"/>
        </w:rPr>
        <w:t xml:space="preserve"> an</w:t>
      </w:r>
      <w:r w:rsidRPr="00FC0920">
        <w:rPr>
          <w:sz w:val="24"/>
          <w:szCs w:val="24"/>
        </w:rPr>
        <w:t xml:space="preserve"> annual </w:t>
      </w:r>
      <w:r>
        <w:rPr>
          <w:sz w:val="24"/>
          <w:szCs w:val="24"/>
        </w:rPr>
        <w:t>report</w:t>
      </w:r>
      <w:r w:rsidRPr="00FC0920">
        <w:rPr>
          <w:sz w:val="24"/>
          <w:szCs w:val="24"/>
        </w:rPr>
        <w:t xml:space="preserve"> </w:t>
      </w:r>
      <w:r>
        <w:rPr>
          <w:sz w:val="24"/>
          <w:szCs w:val="24"/>
        </w:rPr>
        <w:t xml:space="preserve">on the PHA waiting list </w:t>
      </w:r>
      <w:r w:rsidRPr="00FC0920">
        <w:rPr>
          <w:sz w:val="24"/>
          <w:szCs w:val="24"/>
        </w:rPr>
        <w:t xml:space="preserve">which </w:t>
      </w:r>
      <w:r>
        <w:rPr>
          <w:sz w:val="24"/>
          <w:szCs w:val="24"/>
        </w:rPr>
        <w:t>means that this reporting burden cannot be reduced.</w:t>
      </w:r>
    </w:p>
    <w:p w:rsidR="00E97F0C" w:rsidP="00E97F0C" w14:paraId="6264210B" w14:textId="77777777">
      <w:pPr>
        <w:keepLines/>
        <w:tabs>
          <w:tab w:val="left" w:pos="360"/>
          <w:tab w:val="left" w:pos="720"/>
        </w:tabs>
        <w:ind w:left="360"/>
        <w:rPr>
          <w:sz w:val="24"/>
          <w:szCs w:val="24"/>
        </w:rPr>
      </w:pPr>
    </w:p>
    <w:p w:rsidR="00EC4093" w:rsidRPr="006C7FAE" w:rsidP="00E97F0C" w14:paraId="58B20742" w14:textId="77777777">
      <w:pPr>
        <w:keepLines/>
        <w:tabs>
          <w:tab w:val="left" w:pos="360"/>
          <w:tab w:val="left" w:pos="720"/>
        </w:tabs>
        <w:ind w:left="360"/>
        <w:rPr>
          <w:sz w:val="24"/>
          <w:szCs w:val="24"/>
        </w:rPr>
      </w:pPr>
    </w:p>
    <w:p w:rsidR="00E97F0C" w:rsidP="00E97F0C" w14:paraId="36549317" w14:textId="77777777">
      <w:pPr>
        <w:numPr>
          <w:ilvl w:val="0"/>
          <w:numId w:val="1"/>
        </w:numPr>
        <w:tabs>
          <w:tab w:val="left" w:pos="360"/>
        </w:tabs>
        <w:rPr>
          <w:sz w:val="24"/>
          <w:szCs w:val="24"/>
        </w:rPr>
      </w:pPr>
      <w:r w:rsidRPr="006C7FAE">
        <w:rPr>
          <w:sz w:val="24"/>
          <w:szCs w:val="24"/>
        </w:rPr>
        <w:t>Explain any special circumstances that would cause an information collection to be conducted in a manner:</w:t>
      </w:r>
      <w:r>
        <w:rPr>
          <w:sz w:val="24"/>
          <w:szCs w:val="24"/>
        </w:rPr>
        <w:t xml:space="preserve"> </w:t>
      </w:r>
      <w:r w:rsidRPr="00B71058">
        <w:rPr>
          <w:b/>
          <w:bCs/>
          <w:sz w:val="24"/>
          <w:szCs w:val="24"/>
        </w:rPr>
        <w:t>ANSWER ALL BULLETS INDIVIDUALLY</w:t>
      </w:r>
    </w:p>
    <w:p w:rsidR="00E97F0C" w:rsidRPr="006C7FAE" w:rsidP="00E97F0C" w14:paraId="659BA901" w14:textId="77777777">
      <w:pPr>
        <w:tabs>
          <w:tab w:val="left" w:pos="360"/>
        </w:tabs>
        <w:ind w:left="360"/>
        <w:rPr>
          <w:sz w:val="24"/>
          <w:szCs w:val="24"/>
        </w:rPr>
      </w:pPr>
      <w:r w:rsidRPr="006C7FAE">
        <w:rPr>
          <w:sz w:val="24"/>
          <w:szCs w:val="24"/>
        </w:rPr>
        <w:t xml:space="preserve"> </w:t>
      </w:r>
    </w:p>
    <w:p w:rsidR="00E97F0C" w:rsidRPr="008D7710" w:rsidP="008D7710" w14:paraId="2745E801" w14:textId="6912E386">
      <w:pPr>
        <w:pStyle w:val="ListParagraph"/>
        <w:numPr>
          <w:ilvl w:val="0"/>
          <w:numId w:val="5"/>
        </w:numPr>
        <w:tabs>
          <w:tab w:val="left" w:pos="600"/>
        </w:tabs>
        <w:rPr>
          <w:sz w:val="22"/>
          <w:szCs w:val="22"/>
        </w:rPr>
      </w:pPr>
      <w:r w:rsidRPr="008D7710">
        <w:rPr>
          <w:sz w:val="24"/>
          <w:szCs w:val="24"/>
        </w:rPr>
        <w:t xml:space="preserve">requiring respondents to report information to the agency more than quarterly; </w:t>
      </w:r>
      <w:r w:rsidRPr="008D7710">
        <w:rPr>
          <w:b/>
          <w:bCs/>
          <w:sz w:val="22"/>
          <w:szCs w:val="22"/>
        </w:rPr>
        <w:t>Not applicable</w:t>
      </w:r>
    </w:p>
    <w:p w:rsidR="00E97F0C" w:rsidRPr="008D7710" w:rsidP="008D7710" w14:paraId="63584E55" w14:textId="48A21D17">
      <w:pPr>
        <w:numPr>
          <w:ilvl w:val="0"/>
          <w:numId w:val="5"/>
        </w:numPr>
        <w:tabs>
          <w:tab w:val="left" w:pos="600"/>
        </w:tabs>
        <w:rPr>
          <w:sz w:val="24"/>
          <w:szCs w:val="24"/>
        </w:rPr>
      </w:pPr>
      <w:r w:rsidRPr="008D7710">
        <w:rPr>
          <w:sz w:val="24"/>
          <w:szCs w:val="24"/>
        </w:rPr>
        <w:t>requiring respondents to prepare a written response to a collection of information in fewer than 30</w:t>
      </w:r>
      <w:r w:rsidRPr="008D7710" w:rsidR="008D7710">
        <w:rPr>
          <w:sz w:val="24"/>
          <w:szCs w:val="24"/>
        </w:rPr>
        <w:t xml:space="preserve"> </w:t>
      </w:r>
      <w:r w:rsidRPr="008D7710">
        <w:rPr>
          <w:sz w:val="24"/>
          <w:szCs w:val="24"/>
        </w:rPr>
        <w:t xml:space="preserve">days after receipt of it; </w:t>
      </w:r>
      <w:r w:rsidRPr="008D7710">
        <w:rPr>
          <w:b/>
          <w:bCs/>
          <w:sz w:val="24"/>
          <w:szCs w:val="24"/>
        </w:rPr>
        <w:t>Not applicable</w:t>
      </w:r>
    </w:p>
    <w:p w:rsidR="00E97F0C" w:rsidRPr="00B36479" w:rsidP="008D7710" w14:paraId="4DC20704" w14:textId="77777777">
      <w:pPr>
        <w:pStyle w:val="ListParagraph"/>
        <w:numPr>
          <w:ilvl w:val="0"/>
          <w:numId w:val="5"/>
        </w:numPr>
        <w:contextualSpacing w:val="0"/>
        <w:rPr>
          <w:sz w:val="24"/>
          <w:szCs w:val="24"/>
        </w:rPr>
      </w:pPr>
      <w:r w:rsidRPr="00B36479">
        <w:rPr>
          <w:sz w:val="24"/>
          <w:szCs w:val="24"/>
        </w:rPr>
        <w:t xml:space="preserve">requiring respondents to submit more than an original and two copies of any document; </w:t>
      </w:r>
    </w:p>
    <w:p w:rsidR="00E97F0C" w:rsidRPr="008D7710" w:rsidP="008D7710" w14:paraId="27941320" w14:textId="77777777">
      <w:pPr>
        <w:pStyle w:val="ListParagraph"/>
        <w:tabs>
          <w:tab w:val="left" w:pos="600"/>
        </w:tabs>
        <w:ind w:left="1080"/>
        <w:rPr>
          <w:b/>
          <w:bCs/>
          <w:sz w:val="24"/>
          <w:szCs w:val="24"/>
        </w:rPr>
      </w:pPr>
      <w:r w:rsidRPr="008D7710">
        <w:rPr>
          <w:b/>
          <w:bCs/>
          <w:sz w:val="24"/>
          <w:szCs w:val="24"/>
        </w:rPr>
        <w:t>Not applicable</w:t>
      </w:r>
    </w:p>
    <w:p w:rsidR="00E97F0C" w:rsidRPr="008D7710" w:rsidP="008D7710" w14:paraId="76AE70F6" w14:textId="4536A49C">
      <w:pPr>
        <w:pStyle w:val="ListParagraph"/>
        <w:numPr>
          <w:ilvl w:val="0"/>
          <w:numId w:val="5"/>
        </w:numPr>
        <w:tabs>
          <w:tab w:val="left" w:pos="600"/>
        </w:tabs>
        <w:rPr>
          <w:sz w:val="24"/>
          <w:szCs w:val="24"/>
        </w:rPr>
      </w:pPr>
      <w:r w:rsidRPr="008D7710">
        <w:rPr>
          <w:sz w:val="24"/>
          <w:szCs w:val="24"/>
        </w:rPr>
        <w:t xml:space="preserve">requiring respondents to retain records other than health, medical, government contract, grant-in-aid, or tax records for more than three years; </w:t>
      </w:r>
      <w:r w:rsidRPr="008D7710">
        <w:rPr>
          <w:b/>
          <w:bCs/>
          <w:sz w:val="24"/>
          <w:szCs w:val="24"/>
        </w:rPr>
        <w:t>Not applicable</w:t>
      </w:r>
    </w:p>
    <w:p w:rsidR="00E97F0C" w:rsidRPr="008D7710" w:rsidP="008D7710" w14:paraId="1D30925E" w14:textId="5C55C48B">
      <w:pPr>
        <w:pStyle w:val="ListParagraph"/>
        <w:numPr>
          <w:ilvl w:val="0"/>
          <w:numId w:val="5"/>
        </w:numPr>
        <w:tabs>
          <w:tab w:val="left" w:pos="600"/>
        </w:tabs>
        <w:rPr>
          <w:sz w:val="24"/>
          <w:szCs w:val="24"/>
        </w:rPr>
      </w:pPr>
      <w:r w:rsidRPr="008D7710">
        <w:rPr>
          <w:sz w:val="24"/>
          <w:szCs w:val="24"/>
        </w:rPr>
        <w:t xml:space="preserve">in connection with a statistical </w:t>
      </w:r>
      <w:r w:rsidRPr="008D7710">
        <w:rPr>
          <w:sz w:val="24"/>
          <w:szCs w:val="24"/>
        </w:rPr>
        <w:t>survey,</w:t>
      </w:r>
      <w:r w:rsidRPr="008D7710">
        <w:rPr>
          <w:sz w:val="24"/>
          <w:szCs w:val="24"/>
        </w:rPr>
        <w:t xml:space="preserve"> that is not designed to produce valid and reliable results than can be generalized to the universe of study; </w:t>
      </w:r>
      <w:r w:rsidRPr="008D7710">
        <w:rPr>
          <w:b/>
          <w:bCs/>
          <w:sz w:val="24"/>
          <w:szCs w:val="24"/>
        </w:rPr>
        <w:t>Not applicable</w:t>
      </w:r>
    </w:p>
    <w:p w:rsidR="00E97F0C" w:rsidRPr="008D7710" w:rsidP="008D7710" w14:paraId="6B6BE382" w14:textId="6161FA76">
      <w:pPr>
        <w:pStyle w:val="ListParagraph"/>
        <w:numPr>
          <w:ilvl w:val="0"/>
          <w:numId w:val="5"/>
        </w:numPr>
        <w:tabs>
          <w:tab w:val="left" w:pos="600"/>
        </w:tabs>
        <w:rPr>
          <w:sz w:val="24"/>
          <w:szCs w:val="24"/>
        </w:rPr>
      </w:pPr>
      <w:r w:rsidRPr="008D7710">
        <w:rPr>
          <w:sz w:val="24"/>
          <w:szCs w:val="24"/>
        </w:rPr>
        <w:t xml:space="preserve">requiring the use of a statistical data classification that has not been reviewed and approved by OMB; </w:t>
      </w:r>
      <w:r w:rsidRPr="008D7710">
        <w:rPr>
          <w:b/>
          <w:bCs/>
          <w:sz w:val="24"/>
          <w:szCs w:val="24"/>
        </w:rPr>
        <w:t>Not applicable</w:t>
      </w:r>
    </w:p>
    <w:p w:rsidR="00E97F0C" w:rsidRPr="008D7710" w:rsidP="008D7710" w14:paraId="2503D762" w14:textId="06D26546">
      <w:pPr>
        <w:pStyle w:val="ListParagraph"/>
        <w:numPr>
          <w:ilvl w:val="0"/>
          <w:numId w:val="5"/>
        </w:numPr>
        <w:tabs>
          <w:tab w:val="left" w:pos="600"/>
        </w:tabs>
        <w:rPr>
          <w:sz w:val="24"/>
          <w:szCs w:val="24"/>
        </w:rPr>
      </w:pPr>
      <w:r w:rsidRPr="008D7710">
        <w:rPr>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Pr="008D7710">
        <w:rPr>
          <w:b/>
          <w:bCs/>
          <w:sz w:val="24"/>
          <w:szCs w:val="24"/>
        </w:rPr>
        <w:t>Not</w:t>
      </w:r>
      <w:r w:rsidRPr="008D7710">
        <w:rPr>
          <w:b/>
          <w:bCs/>
          <w:sz w:val="24"/>
          <w:szCs w:val="24"/>
        </w:rPr>
        <w:t xml:space="preserve"> applicable</w:t>
      </w:r>
    </w:p>
    <w:p w:rsidR="00E97F0C" w:rsidRPr="008D7710" w:rsidP="008D7710" w14:paraId="1F6A8679" w14:textId="5083F131">
      <w:pPr>
        <w:pStyle w:val="ListParagraph"/>
        <w:numPr>
          <w:ilvl w:val="0"/>
          <w:numId w:val="5"/>
        </w:numPr>
        <w:tabs>
          <w:tab w:val="left" w:pos="600"/>
        </w:tabs>
        <w:rPr>
          <w:sz w:val="24"/>
          <w:szCs w:val="24"/>
        </w:rPr>
      </w:pPr>
      <w:r w:rsidRPr="008D7710">
        <w:rPr>
          <w:sz w:val="24"/>
          <w:szCs w:val="24"/>
        </w:rPr>
        <w:t xml:space="preserve">requiring respondents to submit proprietary trade </w:t>
      </w:r>
      <w:r w:rsidRPr="008D7710">
        <w:rPr>
          <w:sz w:val="24"/>
          <w:szCs w:val="24"/>
        </w:rPr>
        <w:t>secret</w:t>
      </w:r>
      <w:r w:rsidRPr="008D7710">
        <w:rPr>
          <w:sz w:val="24"/>
          <w:szCs w:val="24"/>
        </w:rPr>
        <w:t>, or other confidential information unless the agency can demonstrate that it has instituted procedures to protect the information's confidentiality to the extent permitted by law.</w:t>
      </w:r>
      <w:r w:rsidRPr="008D7710">
        <w:rPr>
          <w:b/>
          <w:bCs/>
          <w:sz w:val="24"/>
          <w:szCs w:val="24"/>
        </w:rPr>
        <w:t xml:space="preserve"> Not applicable</w:t>
      </w:r>
    </w:p>
    <w:p w:rsidR="00E97F0C" w:rsidRPr="006C7FAE" w:rsidP="00E97F0C" w14:paraId="54B58874" w14:textId="77777777">
      <w:pPr>
        <w:keepLines/>
        <w:tabs>
          <w:tab w:val="left" w:pos="600"/>
        </w:tabs>
        <w:spacing w:after="80"/>
        <w:rPr>
          <w:sz w:val="24"/>
          <w:szCs w:val="24"/>
        </w:rPr>
      </w:pPr>
      <w:r>
        <w:rPr>
          <w:sz w:val="24"/>
          <w:szCs w:val="24"/>
        </w:rPr>
        <w:tab/>
      </w:r>
    </w:p>
    <w:p w:rsidR="00E97F0C" w:rsidRPr="00510BD3" w:rsidP="00E97F0C" w14:paraId="5340A255" w14:textId="77777777">
      <w:pPr>
        <w:numPr>
          <w:ilvl w:val="0"/>
          <w:numId w:val="1"/>
        </w:numPr>
        <w:tabs>
          <w:tab w:val="left" w:pos="360"/>
        </w:tabs>
        <w:rPr>
          <w:sz w:val="24"/>
          <w:szCs w:val="24"/>
        </w:rPr>
      </w:pPr>
      <w:r w:rsidRPr="006C7FAE">
        <w:rPr>
          <w:sz w:val="24"/>
          <w:szCs w:val="24"/>
        </w:rPr>
        <w:t xml:space="preserve">If applicable, provide a copy and identify the date and page number of </w:t>
      </w:r>
      <w:r w:rsidRPr="006C7FAE">
        <w:rPr>
          <w:sz w:val="24"/>
          <w:szCs w:val="24"/>
        </w:rPr>
        <w:t>publication</w:t>
      </w:r>
      <w:r w:rsidRPr="006C7FAE">
        <w:rPr>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97F0C" w:rsidRPr="006C7FAE" w:rsidP="00E97F0C" w14:paraId="71A068B3" w14:textId="77777777">
      <w:pPr>
        <w:tabs>
          <w:tab w:val="left" w:pos="360"/>
        </w:tabs>
        <w:ind w:left="360"/>
        <w:rPr>
          <w:sz w:val="24"/>
          <w:szCs w:val="24"/>
        </w:rPr>
      </w:pPr>
      <w:r w:rsidRPr="006C7FAE">
        <w:rPr>
          <w:sz w:val="24"/>
          <w:szCs w:val="24"/>
        </w:rPr>
        <w:t xml:space="preserve"> </w:t>
      </w:r>
    </w:p>
    <w:p w:rsidR="00E97F0C" w:rsidRPr="006C7FAE" w:rsidP="00E97F0C" w14:paraId="31DD825B" w14:textId="77777777">
      <w:pPr>
        <w:numPr>
          <w:ilvl w:val="0"/>
          <w:numId w:val="2"/>
        </w:numPr>
        <w:tabs>
          <w:tab w:val="left" w:pos="360"/>
        </w:tabs>
        <w:ind w:left="480"/>
        <w:rPr>
          <w:sz w:val="24"/>
          <w:szCs w:val="24"/>
        </w:rPr>
      </w:pPr>
      <w:r w:rsidRPr="006C7FAE">
        <w:rPr>
          <w:sz w:val="24"/>
          <w:szCs w:val="24"/>
        </w:rPr>
        <w:t xml:space="preserve">Describe efforts to consult with </w:t>
      </w:r>
      <w:r w:rsidRPr="006C7FAE">
        <w:rPr>
          <w:sz w:val="24"/>
          <w:szCs w:val="24"/>
        </w:rPr>
        <w:t>persons</w:t>
      </w:r>
      <w:r w:rsidRPr="006C7FAE">
        <w:rPr>
          <w:sz w:val="24"/>
          <w:szCs w:val="24"/>
        </w:rPr>
        <w:t xml:space="preserve"> outside the agency to obtain their views on the availability of data, frequency of collection, the clarity of instructions and recordkeeping disclosure, or reporting format (if any) and the data elements to be recorded, disclosed, or reported.</w:t>
      </w:r>
    </w:p>
    <w:p w:rsidR="00E97F0C" w:rsidP="00E97F0C" w14:paraId="19DEA31F" w14:textId="77777777">
      <w:pPr>
        <w:keepLines/>
        <w:tabs>
          <w:tab w:val="left" w:pos="360"/>
        </w:tabs>
        <w:spacing w:after="80"/>
        <w:ind w:left="480"/>
        <w:rPr>
          <w:sz w:val="24"/>
          <w:szCs w:val="24"/>
        </w:rPr>
      </w:pPr>
      <w:r>
        <w:rPr>
          <w:sz w:val="24"/>
          <w:szCs w:val="24"/>
        </w:rPr>
        <w:tab/>
      </w:r>
    </w:p>
    <w:p w:rsidR="00E97F0C" w:rsidRPr="006C7FAE" w:rsidP="00E97F0C" w14:paraId="0D24895F" w14:textId="77777777">
      <w:pPr>
        <w:keepLines/>
        <w:numPr>
          <w:ilvl w:val="0"/>
          <w:numId w:val="2"/>
        </w:numPr>
        <w:tabs>
          <w:tab w:val="left" w:pos="360"/>
        </w:tabs>
        <w:spacing w:after="80"/>
        <w:ind w:left="480"/>
        <w:rPr>
          <w:sz w:val="24"/>
          <w:szCs w:val="24"/>
        </w:rPr>
      </w:pPr>
      <w:r w:rsidRPr="006C7FAE">
        <w:rPr>
          <w:sz w:val="24"/>
          <w:szCs w:val="24"/>
        </w:rPr>
        <w:t>Consultation</w:t>
      </w:r>
      <w:r w:rsidRPr="006C7FAE">
        <w:rPr>
          <w:sz w:val="24"/>
          <w:szCs w:val="24"/>
        </w:rPr>
        <w:t xml:space="preserve">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r>
        <w:rPr>
          <w:sz w:val="24"/>
          <w:szCs w:val="24"/>
        </w:rPr>
        <w:br/>
      </w:r>
    </w:p>
    <w:p w:rsidR="00515411" w:rsidP="00E97F0C" w14:paraId="78790D36" w14:textId="05614111">
      <w:pPr>
        <w:tabs>
          <w:tab w:val="left" w:pos="360"/>
        </w:tabs>
        <w:ind w:left="450"/>
        <w:rPr>
          <w:sz w:val="24"/>
          <w:szCs w:val="24"/>
        </w:rPr>
      </w:pPr>
      <w:r>
        <w:rPr>
          <w:sz w:val="24"/>
          <w:szCs w:val="24"/>
        </w:rPr>
        <w:t xml:space="preserve">In accordance with 5 CFR 1320.8(d), the agency’s notice announcing this collection of information appeared in the Federal Register on </w:t>
      </w:r>
      <w:r w:rsidR="00C227B7">
        <w:rPr>
          <w:sz w:val="24"/>
          <w:szCs w:val="24"/>
        </w:rPr>
        <w:t>09</w:t>
      </w:r>
      <w:r>
        <w:rPr>
          <w:sz w:val="24"/>
          <w:szCs w:val="24"/>
        </w:rPr>
        <w:t>-</w:t>
      </w:r>
      <w:r w:rsidR="00C227B7">
        <w:rPr>
          <w:sz w:val="24"/>
          <w:szCs w:val="24"/>
        </w:rPr>
        <w:t>15</w:t>
      </w:r>
      <w:r>
        <w:rPr>
          <w:sz w:val="24"/>
          <w:szCs w:val="24"/>
        </w:rPr>
        <w:t>-</w:t>
      </w:r>
      <w:r w:rsidR="00C227B7">
        <w:rPr>
          <w:sz w:val="24"/>
          <w:szCs w:val="24"/>
        </w:rPr>
        <w:t>2025</w:t>
      </w:r>
      <w:r w:rsidR="00B36E71">
        <w:rPr>
          <w:sz w:val="24"/>
          <w:szCs w:val="24"/>
        </w:rPr>
        <w:t xml:space="preserve">, (Volume </w:t>
      </w:r>
      <w:r w:rsidR="00C227B7">
        <w:rPr>
          <w:sz w:val="24"/>
          <w:szCs w:val="24"/>
        </w:rPr>
        <w:t>90</w:t>
      </w:r>
      <w:r w:rsidR="00B36E71">
        <w:rPr>
          <w:sz w:val="24"/>
          <w:szCs w:val="24"/>
        </w:rPr>
        <w:t xml:space="preserve">, No </w:t>
      </w:r>
      <w:r w:rsidR="00C227B7">
        <w:rPr>
          <w:sz w:val="24"/>
          <w:szCs w:val="24"/>
        </w:rPr>
        <w:t>44389</w:t>
      </w:r>
      <w:r w:rsidR="00B36E71">
        <w:rPr>
          <w:sz w:val="24"/>
          <w:szCs w:val="24"/>
        </w:rPr>
        <w:t>, page</w:t>
      </w:r>
      <w:r w:rsidR="00C227B7">
        <w:rPr>
          <w:sz w:val="24"/>
          <w:szCs w:val="24"/>
        </w:rPr>
        <w:t>s</w:t>
      </w:r>
      <w:r w:rsidR="00B36E71">
        <w:rPr>
          <w:sz w:val="24"/>
          <w:szCs w:val="24"/>
        </w:rPr>
        <w:t xml:space="preserve"> </w:t>
      </w:r>
      <w:r w:rsidR="00C227B7">
        <w:rPr>
          <w:sz w:val="24"/>
          <w:szCs w:val="24"/>
        </w:rPr>
        <w:t>44389-44390</w:t>
      </w:r>
      <w:r w:rsidR="00B36E71">
        <w:rPr>
          <w:sz w:val="24"/>
          <w:szCs w:val="24"/>
        </w:rPr>
        <w:t xml:space="preserve">).  The public was given until [Date], to submit comments on the proposed information.  </w:t>
      </w:r>
      <w:r w:rsidR="00C227B7">
        <w:rPr>
          <w:sz w:val="24"/>
          <w:szCs w:val="24"/>
        </w:rPr>
        <w:t>Four</w:t>
      </w:r>
      <w:r w:rsidR="00B36E71">
        <w:rPr>
          <w:sz w:val="24"/>
          <w:szCs w:val="24"/>
        </w:rPr>
        <w:t xml:space="preserve"> Comment(s) were received.  </w:t>
      </w:r>
    </w:p>
    <w:p w:rsidR="00B436B7" w:rsidP="00E97F0C" w14:paraId="64213DC1" w14:textId="77777777">
      <w:pPr>
        <w:tabs>
          <w:tab w:val="left" w:pos="360"/>
        </w:tabs>
        <w:ind w:left="450"/>
        <w:rPr>
          <w:sz w:val="24"/>
          <w:szCs w:val="24"/>
        </w:rPr>
      </w:pPr>
    </w:p>
    <w:p w:rsidR="00B436B7" w:rsidRPr="005E6324" w:rsidP="00C3620F" w14:paraId="149CF9BA" w14:textId="77777777">
      <w:pPr>
        <w:pStyle w:val="NoSpacing"/>
        <w:ind w:left="450"/>
        <w:rPr>
          <w:color w:val="000000" w:themeColor="text1"/>
          <w:sz w:val="24"/>
          <w:szCs w:val="24"/>
        </w:rPr>
      </w:pPr>
      <w:r w:rsidRPr="00D27B80">
        <w:rPr>
          <w:b/>
          <w:bCs/>
          <w:color w:val="000000" w:themeColor="text1"/>
          <w:sz w:val="24"/>
          <w:szCs w:val="24"/>
        </w:rPr>
        <w:t>Positive Comment:</w:t>
      </w:r>
      <w:r w:rsidRPr="005E6324">
        <w:rPr>
          <w:color w:val="000000" w:themeColor="text1"/>
          <w:sz w:val="24"/>
          <w:szCs w:val="24"/>
        </w:rPr>
        <w:t xml:space="preserve"> One commente</w:t>
      </w:r>
      <w:r>
        <w:rPr>
          <w:color w:val="000000" w:themeColor="text1"/>
          <w:sz w:val="24"/>
          <w:szCs w:val="24"/>
        </w:rPr>
        <w:t>r</w:t>
      </w:r>
      <w:r w:rsidRPr="005E6324">
        <w:rPr>
          <w:color w:val="000000" w:themeColor="text1"/>
          <w:sz w:val="24"/>
          <w:szCs w:val="24"/>
        </w:rPr>
        <w:t xml:space="preserve"> supported HUD’s efforts to modernize and renew its data collection under HOTMA.</w:t>
      </w:r>
    </w:p>
    <w:p w:rsidR="00B436B7" w:rsidP="00C3620F" w14:paraId="65251B9A" w14:textId="77777777">
      <w:pPr>
        <w:pStyle w:val="NoSpacing"/>
        <w:ind w:left="450"/>
        <w:rPr>
          <w:color w:val="000000" w:themeColor="text1"/>
          <w:sz w:val="24"/>
          <w:szCs w:val="24"/>
        </w:rPr>
      </w:pPr>
    </w:p>
    <w:p w:rsidR="00B436B7" w:rsidP="00C3620F" w14:paraId="5BA0C447" w14:textId="77777777">
      <w:pPr>
        <w:pStyle w:val="NoSpacing"/>
        <w:ind w:left="450"/>
        <w:rPr>
          <w:color w:val="000000" w:themeColor="text1"/>
          <w:sz w:val="24"/>
          <w:szCs w:val="24"/>
        </w:rPr>
      </w:pPr>
      <w:r w:rsidRPr="00D27B80">
        <w:rPr>
          <w:b/>
          <w:bCs/>
          <w:color w:val="000000" w:themeColor="text1"/>
          <w:sz w:val="24"/>
          <w:szCs w:val="24"/>
        </w:rPr>
        <w:t>HUD Response:</w:t>
      </w:r>
      <w:r w:rsidRPr="005E6324">
        <w:rPr>
          <w:color w:val="000000" w:themeColor="text1"/>
          <w:sz w:val="24"/>
          <w:szCs w:val="24"/>
        </w:rPr>
        <w:t xml:space="preserve"> Thank you for your comment. </w:t>
      </w:r>
    </w:p>
    <w:p w:rsidR="00B436B7" w:rsidRPr="005E6324" w:rsidP="00C3620F" w14:paraId="4196AFC2" w14:textId="77777777">
      <w:pPr>
        <w:pStyle w:val="NoSpacing"/>
        <w:ind w:left="450"/>
        <w:rPr>
          <w:color w:val="000000" w:themeColor="text1"/>
          <w:sz w:val="24"/>
          <w:szCs w:val="24"/>
        </w:rPr>
      </w:pPr>
    </w:p>
    <w:p w:rsidR="00B436B7" w:rsidRPr="005E6324" w:rsidP="00C3620F" w14:paraId="4CE188C2" w14:textId="77777777">
      <w:pPr>
        <w:pStyle w:val="NoSpacing"/>
        <w:ind w:left="450"/>
        <w:rPr>
          <w:color w:val="000000" w:themeColor="text1"/>
          <w:sz w:val="24"/>
          <w:szCs w:val="24"/>
        </w:rPr>
      </w:pPr>
      <w:r w:rsidRPr="00D27B80">
        <w:rPr>
          <w:b/>
          <w:bCs/>
          <w:color w:val="000000" w:themeColor="text1"/>
          <w:sz w:val="24"/>
          <w:szCs w:val="24"/>
        </w:rPr>
        <w:t>On individuals applying for housing with higher incomes and disability-related needs:</w:t>
      </w:r>
      <w:r w:rsidRPr="005E6324">
        <w:rPr>
          <w:color w:val="000000" w:themeColor="text1"/>
          <w:sz w:val="24"/>
          <w:szCs w:val="24"/>
        </w:rPr>
        <w:t xml:space="preserve"> The comment stated the collection information should consider higher incomes and those individuals with disability related needs.  </w:t>
      </w:r>
    </w:p>
    <w:p w:rsidR="00B436B7" w:rsidRPr="005E6324" w:rsidP="00C3620F" w14:paraId="034847CE" w14:textId="77777777">
      <w:pPr>
        <w:pStyle w:val="NoSpacing"/>
        <w:rPr>
          <w:color w:val="000000" w:themeColor="text1"/>
          <w:sz w:val="24"/>
          <w:szCs w:val="24"/>
        </w:rPr>
      </w:pPr>
    </w:p>
    <w:p w:rsidR="00B436B7" w:rsidRPr="005E6324" w:rsidP="00C3620F" w14:paraId="06F76EB3" w14:textId="77777777">
      <w:pPr>
        <w:pStyle w:val="NoSpacing"/>
        <w:ind w:left="450"/>
        <w:rPr>
          <w:color w:val="000000" w:themeColor="text1"/>
          <w:sz w:val="24"/>
          <w:szCs w:val="24"/>
        </w:rPr>
      </w:pPr>
      <w:r w:rsidRPr="00D27B80">
        <w:rPr>
          <w:b/>
          <w:bCs/>
          <w:color w:val="000000" w:themeColor="text1"/>
          <w:sz w:val="24"/>
          <w:szCs w:val="24"/>
        </w:rPr>
        <w:t>HUD Response:</w:t>
      </w:r>
      <w:r w:rsidRPr="005E6324">
        <w:rPr>
          <w:color w:val="000000" w:themeColor="text1"/>
          <w:sz w:val="24"/>
          <w:szCs w:val="24"/>
        </w:rPr>
        <w:t xml:space="preserve"> The HOTMA Public Housing Waiting List data collection</w:t>
      </w:r>
      <w:r>
        <w:rPr>
          <w:color w:val="000000" w:themeColor="text1"/>
          <w:sz w:val="24"/>
          <w:szCs w:val="24"/>
        </w:rPr>
        <w:t xml:space="preserve"> tool</w:t>
      </w:r>
      <w:r w:rsidRPr="005E6324">
        <w:rPr>
          <w:color w:val="000000" w:themeColor="text1"/>
          <w:sz w:val="24"/>
          <w:szCs w:val="24"/>
        </w:rPr>
        <w:t xml:space="preserve"> is</w:t>
      </w:r>
      <w:r>
        <w:rPr>
          <w:color w:val="000000" w:themeColor="text1"/>
          <w:sz w:val="24"/>
          <w:szCs w:val="24"/>
        </w:rPr>
        <w:t xml:space="preserve"> exclusively</w:t>
      </w:r>
      <w:r w:rsidRPr="005E6324">
        <w:rPr>
          <w:color w:val="000000" w:themeColor="text1"/>
          <w:sz w:val="24"/>
          <w:szCs w:val="24"/>
        </w:rPr>
        <w:t xml:space="preserve"> designed to collect waiting list data from PHAs</w:t>
      </w:r>
      <w:r>
        <w:rPr>
          <w:color w:val="000000" w:themeColor="text1"/>
          <w:sz w:val="24"/>
          <w:szCs w:val="24"/>
        </w:rPr>
        <w:t xml:space="preserve"> so that they remain in compliance with the reporting requirements of Section 103 of HOTMA</w:t>
      </w:r>
      <w:r w:rsidRPr="005E6324">
        <w:rPr>
          <w:color w:val="000000" w:themeColor="text1"/>
          <w:sz w:val="24"/>
          <w:szCs w:val="24"/>
        </w:rPr>
        <w:t>.  PHAs will only need to submit data on the number of families on the waiting lists for admission.  The data on the total number of unduplicated families on the public housing waiting list will be provided by the PHA in the aggregate and no personally identifiable information will be collected.</w:t>
      </w:r>
    </w:p>
    <w:p w:rsidR="00B436B7" w:rsidRPr="005E6324" w:rsidP="00C3620F" w14:paraId="5D5E79BB" w14:textId="77777777">
      <w:pPr>
        <w:pStyle w:val="NoSpacing"/>
        <w:ind w:left="450"/>
        <w:rPr>
          <w:color w:val="000000" w:themeColor="text1"/>
          <w:sz w:val="24"/>
          <w:szCs w:val="24"/>
        </w:rPr>
      </w:pPr>
    </w:p>
    <w:p w:rsidR="00B436B7" w:rsidRPr="005E6324" w:rsidP="00C3620F" w14:paraId="0C70EE51" w14:textId="77777777">
      <w:pPr>
        <w:pStyle w:val="NoSpacing"/>
        <w:ind w:left="450"/>
        <w:rPr>
          <w:color w:val="000000" w:themeColor="text1"/>
          <w:sz w:val="24"/>
          <w:szCs w:val="24"/>
        </w:rPr>
      </w:pPr>
      <w:r w:rsidRPr="00D27B80">
        <w:rPr>
          <w:b/>
          <w:bCs/>
          <w:color w:val="000000" w:themeColor="text1"/>
          <w:sz w:val="24"/>
          <w:szCs w:val="24"/>
        </w:rPr>
        <w:t>On adjusted housing allowance and waivers:</w:t>
      </w:r>
      <w:r w:rsidRPr="005E6324">
        <w:rPr>
          <w:color w:val="000000" w:themeColor="text1"/>
          <w:sz w:val="24"/>
          <w:szCs w:val="24"/>
        </w:rPr>
        <w:t xml:space="preserve"> The comment requested an exemption to allow for an adjusted housing allowance and waiver for the housing rental costs.</w:t>
      </w:r>
    </w:p>
    <w:p w:rsidR="00B436B7" w:rsidRPr="005E6324" w:rsidP="00C3620F" w14:paraId="6373597D" w14:textId="77777777">
      <w:pPr>
        <w:pStyle w:val="NoSpacing"/>
        <w:ind w:left="450"/>
        <w:rPr>
          <w:color w:val="000000" w:themeColor="text1"/>
          <w:sz w:val="24"/>
          <w:szCs w:val="24"/>
        </w:rPr>
      </w:pPr>
    </w:p>
    <w:p w:rsidR="00B436B7" w:rsidRPr="005E6324" w:rsidP="00C3620F" w14:paraId="5B3CF5DD" w14:textId="77777777">
      <w:pPr>
        <w:pStyle w:val="NoSpacing"/>
        <w:ind w:left="450"/>
        <w:rPr>
          <w:color w:val="000000" w:themeColor="text1"/>
          <w:sz w:val="24"/>
          <w:szCs w:val="24"/>
        </w:rPr>
      </w:pPr>
      <w:r w:rsidRPr="00D27B80">
        <w:rPr>
          <w:b/>
          <w:bCs/>
          <w:color w:val="000000" w:themeColor="text1"/>
          <w:sz w:val="24"/>
          <w:szCs w:val="24"/>
        </w:rPr>
        <w:t>HUD Response:</w:t>
      </w:r>
      <w:r w:rsidRPr="005E6324">
        <w:rPr>
          <w:color w:val="000000" w:themeColor="text1"/>
          <w:sz w:val="24"/>
          <w:szCs w:val="24"/>
        </w:rPr>
        <w:t xml:space="preserve"> The Public Housing Waiting List data collection does not allow for or consider waiver or exemption requests.  This request is beyond the scope of the proposed information collection.  </w:t>
      </w:r>
    </w:p>
    <w:p w:rsidR="00B436B7" w:rsidRPr="005E6324" w:rsidP="00C3620F" w14:paraId="4CB0F6E0" w14:textId="77777777">
      <w:pPr>
        <w:pStyle w:val="NoSpacing"/>
        <w:ind w:left="450"/>
        <w:rPr>
          <w:color w:val="000000" w:themeColor="text1"/>
          <w:sz w:val="24"/>
          <w:szCs w:val="24"/>
        </w:rPr>
      </w:pPr>
    </w:p>
    <w:p w:rsidR="00B436B7" w:rsidRPr="005E6324" w:rsidP="00C3620F" w14:paraId="3BFBD62D" w14:textId="77777777">
      <w:pPr>
        <w:pStyle w:val="NoSpacing"/>
        <w:ind w:left="450"/>
        <w:rPr>
          <w:color w:val="000000" w:themeColor="text1"/>
          <w:sz w:val="24"/>
          <w:szCs w:val="24"/>
        </w:rPr>
      </w:pPr>
      <w:r w:rsidRPr="00D27B80">
        <w:rPr>
          <w:b/>
          <w:bCs/>
          <w:color w:val="000000" w:themeColor="text1"/>
          <w:sz w:val="24"/>
          <w:szCs w:val="24"/>
        </w:rPr>
        <w:t>On burden of collecting information from smaller PHAs:</w:t>
      </w:r>
      <w:r w:rsidRPr="005E6324">
        <w:rPr>
          <w:color w:val="000000" w:themeColor="text1"/>
          <w:sz w:val="24"/>
          <w:szCs w:val="24"/>
        </w:rPr>
        <w:t xml:space="preserve"> The comment requested HUD consider conducting a stratified sample survey across small, medium, and large PHAs to evaluate actual staff time and resource costs needs to complete the data collection.</w:t>
      </w:r>
    </w:p>
    <w:p w:rsidR="00B436B7" w:rsidRPr="005E6324" w:rsidP="00C3620F" w14:paraId="47545E47" w14:textId="77777777">
      <w:pPr>
        <w:pStyle w:val="NoSpacing"/>
        <w:ind w:left="450"/>
        <w:rPr>
          <w:color w:val="000000" w:themeColor="text1"/>
          <w:sz w:val="24"/>
          <w:szCs w:val="24"/>
        </w:rPr>
      </w:pPr>
    </w:p>
    <w:p w:rsidR="00B436B7" w:rsidRPr="005E6324" w:rsidP="00C3620F" w14:paraId="0AB1B325" w14:textId="77777777">
      <w:pPr>
        <w:pStyle w:val="NoSpacing"/>
        <w:ind w:left="450"/>
        <w:rPr>
          <w:color w:val="000000" w:themeColor="text1"/>
          <w:sz w:val="24"/>
          <w:szCs w:val="24"/>
        </w:rPr>
      </w:pPr>
      <w:r w:rsidRPr="00D27B80">
        <w:rPr>
          <w:b/>
          <w:bCs/>
          <w:color w:val="000000" w:themeColor="text1"/>
          <w:sz w:val="24"/>
          <w:szCs w:val="24"/>
        </w:rPr>
        <w:t>HUD Response:</w:t>
      </w:r>
      <w:r w:rsidRPr="005E6324">
        <w:rPr>
          <w:color w:val="000000" w:themeColor="text1"/>
          <w:sz w:val="24"/>
          <w:szCs w:val="24"/>
        </w:rPr>
        <w:t xml:space="preserve"> The estimated hour burden of the collection of information includes variance in PHA size and is an aggregated average.    </w:t>
      </w:r>
    </w:p>
    <w:p w:rsidR="00B436B7" w:rsidRPr="005E6324" w:rsidP="00C3620F" w14:paraId="5E3254C0" w14:textId="77777777">
      <w:pPr>
        <w:pStyle w:val="NoSpacing"/>
        <w:ind w:left="450"/>
        <w:rPr>
          <w:color w:val="000000" w:themeColor="text1"/>
          <w:sz w:val="24"/>
          <w:szCs w:val="24"/>
        </w:rPr>
      </w:pPr>
    </w:p>
    <w:p w:rsidR="00B436B7" w:rsidRPr="005E6324" w:rsidP="00C3620F" w14:paraId="4BEA4070" w14:textId="77777777">
      <w:pPr>
        <w:pStyle w:val="NoSpacing"/>
        <w:ind w:left="450"/>
        <w:rPr>
          <w:color w:val="000000" w:themeColor="text1"/>
          <w:sz w:val="24"/>
          <w:szCs w:val="24"/>
        </w:rPr>
      </w:pPr>
      <w:r w:rsidRPr="00D27B80">
        <w:rPr>
          <w:b/>
          <w:bCs/>
          <w:color w:val="000000" w:themeColor="text1"/>
          <w:sz w:val="24"/>
          <w:szCs w:val="24"/>
        </w:rPr>
        <w:t>On disaggregated data:</w:t>
      </w:r>
      <w:r w:rsidRPr="005E6324">
        <w:rPr>
          <w:color w:val="000000" w:themeColor="text1"/>
          <w:sz w:val="24"/>
          <w:szCs w:val="24"/>
        </w:rPr>
        <w:t xml:space="preserve"> The comment requests HUD publish an annual summary data of disaggregated data (race, ethnicity, disability status, etc.).</w:t>
      </w:r>
    </w:p>
    <w:p w:rsidR="00B436B7" w:rsidRPr="005E6324" w:rsidP="00C3620F" w14:paraId="74B6D7BC" w14:textId="77777777">
      <w:pPr>
        <w:pStyle w:val="NoSpacing"/>
        <w:ind w:left="450"/>
        <w:rPr>
          <w:color w:val="000000" w:themeColor="text1"/>
          <w:sz w:val="24"/>
          <w:szCs w:val="24"/>
        </w:rPr>
      </w:pPr>
    </w:p>
    <w:p w:rsidR="00B436B7" w:rsidRPr="005E6324" w:rsidP="00C3620F" w14:paraId="257F3957" w14:textId="77777777">
      <w:pPr>
        <w:pStyle w:val="NoSpacing"/>
        <w:ind w:left="450"/>
        <w:rPr>
          <w:color w:val="000000" w:themeColor="text1"/>
          <w:sz w:val="24"/>
          <w:szCs w:val="24"/>
        </w:rPr>
      </w:pPr>
      <w:r w:rsidRPr="00D27B80">
        <w:rPr>
          <w:b/>
          <w:bCs/>
          <w:color w:val="000000" w:themeColor="text1"/>
          <w:sz w:val="24"/>
          <w:szCs w:val="24"/>
        </w:rPr>
        <w:t>HUD Response:</w:t>
      </w:r>
      <w:r w:rsidRPr="005E6324">
        <w:rPr>
          <w:color w:val="000000" w:themeColor="text1"/>
          <w:sz w:val="24"/>
          <w:szCs w:val="24"/>
        </w:rPr>
        <w:t xml:space="preserve"> The annual reporting of the total number of families on the public housing waiting list is governed by section 16(a)(5)(E) of the United States Housing Act of 1937 (42 U.S.C. 1437n(a)(5)(E)), as added by section 103 of the Housing Opportunity Through Modernization Act of 2016 (HOTMA)) and does not require disaggregated data.  </w:t>
      </w:r>
    </w:p>
    <w:p w:rsidR="00B436B7" w:rsidRPr="005E6324" w:rsidP="00C3620F" w14:paraId="1CC783C4" w14:textId="77777777">
      <w:pPr>
        <w:pStyle w:val="NoSpacing"/>
        <w:ind w:left="450"/>
        <w:rPr>
          <w:color w:val="000000" w:themeColor="text1"/>
          <w:sz w:val="24"/>
          <w:szCs w:val="24"/>
        </w:rPr>
      </w:pPr>
    </w:p>
    <w:p w:rsidR="00B436B7" w:rsidRPr="005E6324" w:rsidP="00C3620F" w14:paraId="2D16C2C8" w14:textId="77777777">
      <w:pPr>
        <w:pStyle w:val="NoSpacing"/>
        <w:ind w:left="450"/>
        <w:rPr>
          <w:color w:val="000000" w:themeColor="text1"/>
          <w:sz w:val="24"/>
          <w:szCs w:val="24"/>
        </w:rPr>
      </w:pPr>
      <w:r w:rsidRPr="00D27B80">
        <w:rPr>
          <w:b/>
          <w:bCs/>
          <w:color w:val="000000" w:themeColor="text1"/>
          <w:sz w:val="24"/>
          <w:szCs w:val="24"/>
        </w:rPr>
        <w:t>On publishing public dashboards with disaggregated waiting list data:</w:t>
      </w:r>
      <w:r w:rsidRPr="005E6324">
        <w:rPr>
          <w:color w:val="000000" w:themeColor="text1"/>
          <w:sz w:val="24"/>
          <w:szCs w:val="24"/>
        </w:rPr>
        <w:t xml:space="preserve"> The comment requested HUD publish public dashboards with anonymized, geographically disaggregated waiting list data.</w:t>
      </w:r>
    </w:p>
    <w:p w:rsidR="00B436B7" w:rsidRPr="005E6324" w:rsidP="00C3620F" w14:paraId="5D3B3E8F" w14:textId="77777777">
      <w:pPr>
        <w:pStyle w:val="NoSpacing"/>
        <w:ind w:left="450"/>
        <w:rPr>
          <w:color w:val="000000" w:themeColor="text1"/>
          <w:sz w:val="24"/>
          <w:szCs w:val="24"/>
        </w:rPr>
      </w:pPr>
    </w:p>
    <w:p w:rsidR="00515411" w:rsidP="00FA7A0E" w14:paraId="154219BC" w14:textId="0CB78E07">
      <w:pPr>
        <w:pStyle w:val="NoSpacing"/>
        <w:ind w:left="450"/>
        <w:rPr>
          <w:color w:val="000000" w:themeColor="text1"/>
          <w:sz w:val="24"/>
          <w:szCs w:val="24"/>
        </w:rPr>
      </w:pPr>
      <w:r w:rsidRPr="00D27B80">
        <w:rPr>
          <w:b/>
          <w:bCs/>
          <w:color w:val="000000" w:themeColor="text1"/>
          <w:sz w:val="24"/>
          <w:szCs w:val="24"/>
        </w:rPr>
        <w:t>HUD Response:</w:t>
      </w:r>
      <w:r w:rsidRPr="005E6324">
        <w:rPr>
          <w:color w:val="000000" w:themeColor="text1"/>
          <w:sz w:val="24"/>
          <w:szCs w:val="24"/>
        </w:rPr>
        <w:t xml:space="preserve"> The information collected on the number of families on the waiting lists for admission to a public housing development, will be used by HUD to create a publicly available annual report that also includes the number of families residing in public housing with incomes exceeding the over-income limit as required by the HOTMA statute.  The requested information does not include disaggregated data and i</w:t>
      </w:r>
      <w:r w:rsidR="008649CA">
        <w:rPr>
          <w:color w:val="000000" w:themeColor="text1"/>
          <w:sz w:val="24"/>
          <w:szCs w:val="24"/>
        </w:rPr>
        <w:t>s</w:t>
      </w:r>
      <w:r w:rsidRPr="005E6324">
        <w:rPr>
          <w:color w:val="000000" w:themeColor="text1"/>
          <w:sz w:val="24"/>
          <w:szCs w:val="24"/>
        </w:rPr>
        <w:t xml:space="preserve"> beyond the scope of statute.  </w:t>
      </w:r>
    </w:p>
    <w:p w:rsidR="00D16723" w:rsidRPr="00FA7A0E" w:rsidP="00FA7A0E" w14:paraId="7C507BCF" w14:textId="77777777">
      <w:pPr>
        <w:pStyle w:val="NoSpacing"/>
        <w:ind w:left="450"/>
        <w:rPr>
          <w:color w:val="000000" w:themeColor="text1"/>
          <w:sz w:val="24"/>
          <w:szCs w:val="24"/>
        </w:rPr>
      </w:pPr>
    </w:p>
    <w:p w:rsidR="00E97F0C" w:rsidRPr="006C7FAE" w:rsidP="00C3620F" w14:paraId="7749C88F" w14:textId="3FEFA872">
      <w:pPr>
        <w:tabs>
          <w:tab w:val="left" w:pos="360"/>
        </w:tabs>
        <w:rPr>
          <w:sz w:val="24"/>
          <w:szCs w:val="24"/>
        </w:rPr>
      </w:pPr>
    </w:p>
    <w:p w:rsidR="00E97F0C" w:rsidRPr="008A2F44" w:rsidP="00E97F0C" w14:paraId="64A0110E" w14:textId="77777777">
      <w:pPr>
        <w:pStyle w:val="ListParagraph"/>
        <w:keepLines/>
        <w:numPr>
          <w:ilvl w:val="0"/>
          <w:numId w:val="1"/>
        </w:numPr>
        <w:tabs>
          <w:tab w:val="left" w:pos="360"/>
        </w:tabs>
        <w:spacing w:after="80"/>
        <w:contextualSpacing w:val="0"/>
        <w:rPr>
          <w:sz w:val="24"/>
          <w:szCs w:val="24"/>
        </w:rPr>
      </w:pPr>
      <w:r w:rsidRPr="008A2F44">
        <w:rPr>
          <w:sz w:val="24"/>
          <w:szCs w:val="24"/>
        </w:rPr>
        <w:t>Explain any decision to provide any payment or gift to respondents, other than renumeration of contractors or grantees.</w:t>
      </w:r>
    </w:p>
    <w:p w:rsidR="00D16723" w:rsidP="00D16723" w14:paraId="02466575" w14:textId="77777777">
      <w:pPr>
        <w:tabs>
          <w:tab w:val="left" w:pos="360"/>
        </w:tabs>
        <w:ind w:left="360"/>
        <w:rPr>
          <w:sz w:val="24"/>
          <w:szCs w:val="24"/>
        </w:rPr>
      </w:pPr>
    </w:p>
    <w:p w:rsidR="00E97F0C" w:rsidP="00D16723" w14:paraId="6BBB30B5" w14:textId="4ECBFA19">
      <w:pPr>
        <w:tabs>
          <w:tab w:val="left" w:pos="360"/>
        </w:tabs>
        <w:ind w:left="360"/>
        <w:rPr>
          <w:sz w:val="24"/>
          <w:szCs w:val="24"/>
        </w:rPr>
      </w:pPr>
      <w:r>
        <w:rPr>
          <w:sz w:val="24"/>
          <w:szCs w:val="24"/>
        </w:rPr>
        <w:t xml:space="preserve">No payment or gifts were provided to respondents.  </w:t>
      </w:r>
    </w:p>
    <w:p w:rsidR="00E97F0C" w:rsidRPr="006C7FAE" w:rsidP="00E97F0C" w14:paraId="07487BCE" w14:textId="77777777">
      <w:pPr>
        <w:tabs>
          <w:tab w:val="left" w:pos="360"/>
        </w:tabs>
        <w:ind w:left="360" w:hanging="360"/>
        <w:rPr>
          <w:sz w:val="24"/>
          <w:szCs w:val="24"/>
        </w:rPr>
      </w:pPr>
      <w:r>
        <w:rPr>
          <w:sz w:val="24"/>
          <w:szCs w:val="24"/>
        </w:rPr>
        <w:tab/>
      </w:r>
    </w:p>
    <w:p w:rsidR="00E97F0C" w:rsidP="00E97F0C" w14:paraId="02C23E9E" w14:textId="77777777">
      <w:pPr>
        <w:keepLines/>
        <w:tabs>
          <w:tab w:val="left" w:pos="360"/>
        </w:tabs>
        <w:spacing w:after="80"/>
        <w:ind w:left="360" w:hanging="360"/>
        <w:rPr>
          <w:sz w:val="24"/>
          <w:szCs w:val="24"/>
        </w:rPr>
      </w:pPr>
      <w:r w:rsidRPr="006C7FAE">
        <w:rPr>
          <w:sz w:val="24"/>
          <w:szCs w:val="24"/>
        </w:rPr>
        <w:t>10.</w:t>
      </w:r>
      <w:r w:rsidRPr="006C7FAE">
        <w:rPr>
          <w:sz w:val="24"/>
          <w:szCs w:val="24"/>
        </w:rPr>
        <w:tab/>
        <w:t>Describe any assurance of confidentiality provided to respondents and the basis for assurance in statute, regulation or agency policy.</w:t>
      </w:r>
      <w:r w:rsidRPr="000D5079">
        <w:t xml:space="preserve"> </w:t>
      </w:r>
      <w:r w:rsidRPr="000D5079">
        <w:rPr>
          <w:sz w:val="24"/>
          <w:szCs w:val="24"/>
        </w:rPr>
        <w:t>If the collection requires a system of records notice (SORN) or privacy impact assessment (PIA), those should be cited and described here.</w:t>
      </w:r>
    </w:p>
    <w:p w:rsidR="00E7333D" w:rsidP="00E97F0C" w14:paraId="75D611AC" w14:textId="5E3626FB">
      <w:pPr>
        <w:keepLines/>
        <w:tabs>
          <w:tab w:val="left" w:pos="360"/>
        </w:tabs>
        <w:spacing w:after="80"/>
        <w:ind w:left="360"/>
        <w:rPr>
          <w:sz w:val="24"/>
          <w:szCs w:val="24"/>
        </w:rPr>
      </w:pPr>
      <w:r>
        <w:rPr>
          <w:sz w:val="24"/>
          <w:szCs w:val="24"/>
        </w:rPr>
        <w:tab/>
      </w:r>
      <w:r>
        <w:rPr>
          <w:sz w:val="24"/>
          <w:szCs w:val="24"/>
        </w:rPr>
        <w:br/>
      </w:r>
      <w:r w:rsidR="0069027C">
        <w:rPr>
          <w:sz w:val="24"/>
          <w:szCs w:val="24"/>
        </w:rPr>
        <w:t xml:space="preserve">Assurance </w:t>
      </w:r>
      <w:r w:rsidR="002915F9">
        <w:rPr>
          <w:sz w:val="24"/>
          <w:szCs w:val="24"/>
        </w:rPr>
        <w:t xml:space="preserve">of confidentiality is neither provided nor needed for this information collection.  </w:t>
      </w:r>
      <w:r>
        <w:rPr>
          <w:sz w:val="24"/>
          <w:szCs w:val="24"/>
        </w:rPr>
        <w:t xml:space="preserve">The collection does not require a system of records notice (SORN) or privacy impact assessment (PIA).  </w:t>
      </w:r>
      <w:r w:rsidRPr="00F24DD2">
        <w:rPr>
          <w:sz w:val="24"/>
          <w:szCs w:val="24"/>
        </w:rPr>
        <w:t xml:space="preserve">Information about </w:t>
      </w:r>
      <w:r>
        <w:rPr>
          <w:sz w:val="24"/>
          <w:szCs w:val="24"/>
        </w:rPr>
        <w:t>public housing waiting lists</w:t>
      </w:r>
      <w:r w:rsidRPr="00F24DD2">
        <w:rPr>
          <w:sz w:val="24"/>
          <w:szCs w:val="24"/>
        </w:rPr>
        <w:t xml:space="preserve"> from</w:t>
      </w:r>
      <w:r>
        <w:rPr>
          <w:sz w:val="24"/>
          <w:szCs w:val="24"/>
        </w:rPr>
        <w:t xml:space="preserve"> PHAs</w:t>
      </w:r>
      <w:r w:rsidRPr="00F24DD2">
        <w:rPr>
          <w:sz w:val="24"/>
          <w:szCs w:val="24"/>
        </w:rPr>
        <w:t xml:space="preserve"> will be presented as aggregated information </w:t>
      </w:r>
      <w:r>
        <w:rPr>
          <w:sz w:val="24"/>
          <w:szCs w:val="24"/>
        </w:rPr>
        <w:t>in</w:t>
      </w:r>
      <w:r w:rsidRPr="00F24DD2">
        <w:rPr>
          <w:sz w:val="24"/>
          <w:szCs w:val="24"/>
        </w:rPr>
        <w:t xml:space="preserve"> a public document. </w:t>
      </w:r>
      <w:r>
        <w:rPr>
          <w:sz w:val="24"/>
          <w:szCs w:val="24"/>
        </w:rPr>
        <w:t xml:space="preserve"> No personal identifiable information is requested by respondents.</w:t>
      </w:r>
    </w:p>
    <w:p w:rsidR="00E97F0C" w:rsidRPr="006C7FAE" w:rsidP="00E97F0C" w14:paraId="70E8F063" w14:textId="7688B6B4">
      <w:pPr>
        <w:keepLines/>
        <w:tabs>
          <w:tab w:val="left" w:pos="360"/>
        </w:tabs>
        <w:spacing w:after="80"/>
        <w:ind w:left="360"/>
        <w:rPr>
          <w:sz w:val="24"/>
          <w:szCs w:val="24"/>
        </w:rPr>
      </w:pPr>
      <w:r>
        <w:rPr>
          <w:sz w:val="24"/>
          <w:szCs w:val="24"/>
        </w:rPr>
        <w:t xml:space="preserve">  </w:t>
      </w:r>
    </w:p>
    <w:p w:rsidR="00E97F0C" w:rsidRPr="006C7FAE" w:rsidP="00E97F0C" w14:paraId="335B00A0" w14:textId="77777777">
      <w:pPr>
        <w:keepLines/>
        <w:tabs>
          <w:tab w:val="left" w:pos="360"/>
        </w:tabs>
        <w:spacing w:after="80"/>
        <w:ind w:left="360" w:hanging="360"/>
        <w:rPr>
          <w:sz w:val="24"/>
          <w:szCs w:val="24"/>
        </w:rPr>
      </w:pPr>
      <w:r w:rsidRPr="006C7FAE">
        <w:rPr>
          <w:sz w:val="24"/>
          <w:szCs w:val="24"/>
        </w:rPr>
        <w:t>11.</w:t>
      </w:r>
      <w:r w:rsidRPr="006C7FAE">
        <w:rPr>
          <w:sz w:val="24"/>
          <w:szCs w:val="24"/>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6C7FAE">
        <w:rPr>
          <w:sz w:val="24"/>
          <w:szCs w:val="24"/>
        </w:rPr>
        <w:t>persons</w:t>
      </w:r>
      <w:r w:rsidRPr="006C7FAE">
        <w:rPr>
          <w:sz w:val="24"/>
          <w:szCs w:val="24"/>
        </w:rPr>
        <w:t xml:space="preserve"> from whom the information is requested, and any steps to be taken to obtain their consent.</w:t>
      </w:r>
    </w:p>
    <w:p w:rsidR="001D437B" w:rsidP="00E97F0C" w14:paraId="59A5473E" w14:textId="77777777">
      <w:pPr>
        <w:tabs>
          <w:tab w:val="left" w:pos="360"/>
        </w:tabs>
        <w:ind w:left="720" w:hanging="360"/>
        <w:rPr>
          <w:sz w:val="24"/>
          <w:szCs w:val="24"/>
        </w:rPr>
      </w:pPr>
    </w:p>
    <w:p w:rsidR="00E97F0C" w:rsidP="00E97F0C" w14:paraId="4533D1DE" w14:textId="4B7B70DA">
      <w:pPr>
        <w:tabs>
          <w:tab w:val="left" w:pos="360"/>
        </w:tabs>
        <w:ind w:left="720" w:hanging="360"/>
        <w:rPr>
          <w:sz w:val="24"/>
          <w:szCs w:val="24"/>
        </w:rPr>
      </w:pPr>
      <w:r>
        <w:rPr>
          <w:sz w:val="24"/>
          <w:szCs w:val="24"/>
        </w:rPr>
        <w:t xml:space="preserve">The are no questions of a sensitive nature that require additional justifications. </w:t>
      </w:r>
    </w:p>
    <w:p w:rsidR="00E97F0C" w:rsidP="00E97F0C" w14:paraId="70070005" w14:textId="77777777">
      <w:pPr>
        <w:tabs>
          <w:tab w:val="left" w:pos="360"/>
        </w:tabs>
        <w:ind w:left="360" w:hanging="360"/>
        <w:rPr>
          <w:sz w:val="24"/>
          <w:szCs w:val="24"/>
        </w:rPr>
      </w:pPr>
      <w:r>
        <w:rPr>
          <w:sz w:val="24"/>
          <w:szCs w:val="24"/>
        </w:rPr>
        <w:tab/>
      </w:r>
    </w:p>
    <w:p w:rsidR="00E97F0C" w:rsidP="00E97F0C" w14:paraId="5798BFDE" w14:textId="45395A52">
      <w:pPr>
        <w:tabs>
          <w:tab w:val="left" w:pos="360"/>
        </w:tabs>
        <w:ind w:left="360" w:hanging="360"/>
        <w:rPr>
          <w:sz w:val="24"/>
          <w:szCs w:val="24"/>
        </w:rPr>
      </w:pPr>
      <w:r w:rsidRPr="006C7FAE">
        <w:rPr>
          <w:sz w:val="24"/>
          <w:szCs w:val="24"/>
        </w:rPr>
        <w:t>12.</w:t>
      </w:r>
      <w:r w:rsidRPr="006C7FAE">
        <w:rPr>
          <w:sz w:val="24"/>
          <w:szCs w:val="24"/>
        </w:rPr>
        <w:tab/>
        <w:t>Provide estimates of the hour burden of the collection of information.  The statement should:</w:t>
      </w:r>
    </w:p>
    <w:p w:rsidR="00E97F0C" w:rsidRPr="006C7FAE" w:rsidP="00E97F0C" w14:paraId="1A0591D3" w14:textId="77777777">
      <w:pPr>
        <w:tabs>
          <w:tab w:val="left" w:pos="360"/>
        </w:tabs>
        <w:ind w:left="360" w:hanging="360"/>
        <w:rPr>
          <w:sz w:val="24"/>
          <w:szCs w:val="24"/>
        </w:rPr>
      </w:pPr>
      <w:r w:rsidRPr="006C7FAE">
        <w:rPr>
          <w:sz w:val="24"/>
          <w:szCs w:val="24"/>
        </w:rPr>
        <w:t xml:space="preserve"> </w:t>
      </w:r>
    </w:p>
    <w:p w:rsidR="00E97F0C" w:rsidP="00E97F0C" w14:paraId="62B80DE3" w14:textId="77777777">
      <w:pPr>
        <w:numPr>
          <w:ilvl w:val="0"/>
          <w:numId w:val="2"/>
        </w:numPr>
        <w:tabs>
          <w:tab w:val="left" w:pos="480"/>
        </w:tabs>
        <w:ind w:left="480"/>
        <w:rPr>
          <w:sz w:val="24"/>
          <w:szCs w:val="24"/>
        </w:rPr>
      </w:pPr>
      <w:r>
        <w:rPr>
          <w:sz w:val="24"/>
          <w:szCs w:val="24"/>
        </w:rPr>
        <w:t>I</w:t>
      </w:r>
      <w:r w:rsidRPr="006C7FAE">
        <w:rPr>
          <w:sz w:val="24"/>
          <w:szCs w:val="24"/>
        </w:rPr>
        <w:t>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97F0C" w:rsidP="00E97F0C" w14:paraId="49F9AD2F" w14:textId="77777777">
      <w:pPr>
        <w:tabs>
          <w:tab w:val="left" w:pos="480"/>
        </w:tabs>
        <w:ind w:left="480"/>
        <w:rPr>
          <w:sz w:val="24"/>
          <w:szCs w:val="24"/>
        </w:rPr>
      </w:pPr>
      <w:r w:rsidRPr="006C7FAE">
        <w:rPr>
          <w:sz w:val="24"/>
          <w:szCs w:val="24"/>
        </w:rPr>
        <w:t xml:space="preserve"> </w:t>
      </w:r>
    </w:p>
    <w:p w:rsidR="00E97F0C" w:rsidP="00E97F0C" w14:paraId="0A75B740" w14:textId="77777777">
      <w:pPr>
        <w:numPr>
          <w:ilvl w:val="0"/>
          <w:numId w:val="2"/>
        </w:numPr>
        <w:tabs>
          <w:tab w:val="left" w:pos="480"/>
        </w:tabs>
        <w:ind w:left="480"/>
        <w:rPr>
          <w:sz w:val="24"/>
          <w:szCs w:val="24"/>
        </w:rPr>
      </w:pPr>
      <w:r>
        <w:rPr>
          <w:sz w:val="24"/>
          <w:szCs w:val="24"/>
        </w:rPr>
        <w:t>I</w:t>
      </w:r>
      <w:r w:rsidRPr="006C7FAE">
        <w:rPr>
          <w:sz w:val="24"/>
          <w:szCs w:val="24"/>
        </w:rPr>
        <w:t xml:space="preserve">f this request covers more than one form, provide separate hour burden estimates for each form and aggregate the hour burdens in </w:t>
      </w:r>
      <w:r>
        <w:rPr>
          <w:sz w:val="24"/>
          <w:szCs w:val="24"/>
        </w:rPr>
        <w:t>chart below</w:t>
      </w:r>
      <w:r w:rsidRPr="006C7FAE">
        <w:rPr>
          <w:sz w:val="24"/>
          <w:szCs w:val="24"/>
        </w:rPr>
        <w:t xml:space="preserve">; and </w:t>
      </w:r>
    </w:p>
    <w:p w:rsidR="00E97F0C" w:rsidP="00E97F0C" w14:paraId="6103B730" w14:textId="77777777">
      <w:pPr>
        <w:pStyle w:val="ListParagraph"/>
        <w:rPr>
          <w:sz w:val="24"/>
          <w:szCs w:val="24"/>
        </w:rPr>
      </w:pPr>
    </w:p>
    <w:p w:rsidR="00E97F0C" w:rsidP="00E97F0C" w14:paraId="66979B54" w14:textId="77777777">
      <w:pPr>
        <w:keepLines/>
        <w:numPr>
          <w:ilvl w:val="0"/>
          <w:numId w:val="2"/>
        </w:numPr>
        <w:tabs>
          <w:tab w:val="left" w:pos="480"/>
        </w:tabs>
        <w:spacing w:after="80"/>
        <w:ind w:left="480"/>
        <w:rPr>
          <w:sz w:val="24"/>
          <w:szCs w:val="24"/>
        </w:rPr>
      </w:pPr>
      <w:r>
        <w:rPr>
          <w:sz w:val="24"/>
          <w:szCs w:val="24"/>
        </w:rPr>
        <w:t>P</w:t>
      </w:r>
      <w:r w:rsidRPr="006C7FAE">
        <w:rPr>
          <w:sz w:val="24"/>
          <w:szCs w:val="24"/>
        </w:rPr>
        <w:t>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E97F0C" w:rsidP="003A4109" w14:paraId="612EDF1F" w14:textId="2ECA7D78">
      <w:pPr>
        <w:keepLines/>
        <w:tabs>
          <w:tab w:val="left" w:pos="480"/>
        </w:tabs>
        <w:spacing w:after="80"/>
        <w:ind w:left="480" w:firstLine="690"/>
        <w:rPr>
          <w:sz w:val="24"/>
          <w:szCs w:val="24"/>
        </w:rPr>
      </w:pPr>
      <w:r>
        <w:rPr>
          <w:sz w:val="24"/>
          <w:szCs w:val="24"/>
        </w:rPr>
        <w:br/>
      </w:r>
      <w:r w:rsidR="005D2DB9">
        <w:rPr>
          <w:sz w:val="24"/>
          <w:szCs w:val="24"/>
        </w:rPr>
        <w:t xml:space="preserve">The number of PHAs responding to the Public Housing Waiting List Collection Tool </w:t>
      </w:r>
      <w:r w:rsidR="00DC2896">
        <w:rPr>
          <w:sz w:val="24"/>
          <w:szCs w:val="24"/>
        </w:rPr>
        <w:t xml:space="preserve">is 2,681.  The estimated </w:t>
      </w:r>
      <w:r w:rsidR="006E3146">
        <w:rPr>
          <w:sz w:val="24"/>
          <w:szCs w:val="24"/>
        </w:rPr>
        <w:t xml:space="preserve">burden hour per response is </w:t>
      </w:r>
      <w:r w:rsidR="00336484">
        <w:rPr>
          <w:sz w:val="24"/>
          <w:szCs w:val="24"/>
        </w:rPr>
        <w:t>one half</w:t>
      </w:r>
      <w:r w:rsidR="006E3146">
        <w:rPr>
          <w:sz w:val="24"/>
          <w:szCs w:val="24"/>
        </w:rPr>
        <w:t xml:space="preserve"> hours </w:t>
      </w:r>
      <w:r w:rsidR="00E1637E">
        <w:rPr>
          <w:sz w:val="24"/>
          <w:szCs w:val="24"/>
        </w:rPr>
        <w:t>based on</w:t>
      </w:r>
      <w:r w:rsidR="006E3146">
        <w:rPr>
          <w:sz w:val="24"/>
          <w:szCs w:val="24"/>
        </w:rPr>
        <w:t xml:space="preserve"> the average time to gather the waiting list total</w:t>
      </w:r>
      <w:r w:rsidR="00336484">
        <w:rPr>
          <w:sz w:val="24"/>
          <w:szCs w:val="24"/>
        </w:rPr>
        <w:t xml:space="preserve">s and submit the data to the Public Housing Portal.  </w:t>
      </w:r>
      <w:r w:rsidR="00E1637E">
        <w:rPr>
          <w:sz w:val="24"/>
          <w:szCs w:val="24"/>
        </w:rPr>
        <w:t>The hourly cost per response</w:t>
      </w:r>
      <w:r w:rsidR="00100026">
        <w:rPr>
          <w:sz w:val="24"/>
          <w:szCs w:val="24"/>
        </w:rPr>
        <w:t xml:space="preserve"> of $</w:t>
      </w:r>
      <w:r w:rsidR="00004DBE">
        <w:rPr>
          <w:sz w:val="24"/>
          <w:szCs w:val="24"/>
        </w:rPr>
        <w:t>23.73</w:t>
      </w:r>
      <w:r w:rsidR="00E1637E">
        <w:rPr>
          <w:sz w:val="24"/>
          <w:szCs w:val="24"/>
        </w:rPr>
        <w:t xml:space="preserve"> is based on </w:t>
      </w:r>
      <w:r w:rsidR="00100026">
        <w:rPr>
          <w:sz w:val="24"/>
          <w:szCs w:val="24"/>
        </w:rPr>
        <w:t xml:space="preserve">the current </w:t>
      </w:r>
      <w:hyperlink r:id="rId10" w:history="1">
        <w:r w:rsidRPr="00EE0124" w:rsidR="00100026">
          <w:rPr>
            <w:rStyle w:val="Hyperlink"/>
            <w:sz w:val="24"/>
            <w:szCs w:val="24"/>
          </w:rPr>
          <w:t xml:space="preserve">U.S. Bureau of Labor Statistics Occupational Outlook Handbook </w:t>
        </w:r>
        <w:r w:rsidRPr="00EE0124" w:rsidR="003A4109">
          <w:rPr>
            <w:rStyle w:val="Hyperlink"/>
            <w:sz w:val="24"/>
            <w:szCs w:val="24"/>
          </w:rPr>
          <w:t xml:space="preserve">median hourly pay </w:t>
        </w:r>
        <w:r w:rsidRPr="00EE0124" w:rsidR="00100026">
          <w:rPr>
            <w:rStyle w:val="Hyperlink"/>
            <w:sz w:val="24"/>
            <w:szCs w:val="24"/>
          </w:rPr>
          <w:t>for Secretaries and Administrative Assistants</w:t>
        </w:r>
        <w:r w:rsidRPr="00EE0124" w:rsidR="00004DBE">
          <w:rPr>
            <w:rStyle w:val="Hyperlink"/>
            <w:sz w:val="24"/>
            <w:szCs w:val="24"/>
          </w:rPr>
          <w:t>, Except Legal, Medical, and Executive</w:t>
        </w:r>
      </w:hyperlink>
      <w:r w:rsidR="00100026">
        <w:rPr>
          <w:sz w:val="24"/>
          <w:szCs w:val="24"/>
        </w:rPr>
        <w:t xml:space="preserve">.  </w:t>
      </w:r>
    </w:p>
    <w:p w:rsidR="001D6AD5" w:rsidP="00E97F0C" w14:paraId="2574E215" w14:textId="77777777">
      <w:pPr>
        <w:keepLines/>
        <w:tabs>
          <w:tab w:val="left" w:pos="480"/>
        </w:tabs>
        <w:spacing w:after="80"/>
        <w:ind w:left="480"/>
        <w:rPr>
          <w:sz w:val="24"/>
          <w:szCs w:val="24"/>
        </w:rPr>
      </w:pPr>
    </w:p>
    <w:tbl>
      <w:tblPr>
        <w:tblW w:w="10080" w:type="dxa"/>
        <w:tblInd w:w="80" w:type="dxa"/>
        <w:tblCellMar>
          <w:left w:w="0" w:type="dxa"/>
          <w:right w:w="0" w:type="dxa"/>
        </w:tblCellMar>
        <w:tblLook w:val="04A0"/>
      </w:tblPr>
      <w:tblGrid>
        <w:gridCol w:w="2700"/>
        <w:gridCol w:w="1260"/>
        <w:gridCol w:w="1170"/>
        <w:gridCol w:w="1170"/>
        <w:gridCol w:w="990"/>
        <w:gridCol w:w="900"/>
        <w:gridCol w:w="1080"/>
        <w:gridCol w:w="810"/>
      </w:tblGrid>
      <w:tr w14:paraId="35B93B07" w14:textId="77777777" w:rsidTr="00461A1C">
        <w:tblPrEx>
          <w:tblW w:w="10080" w:type="dxa"/>
          <w:tblInd w:w="80" w:type="dxa"/>
          <w:tblCellMar>
            <w:left w:w="0" w:type="dxa"/>
            <w:right w:w="0" w:type="dxa"/>
          </w:tblCellMar>
          <w:tblLook w:val="04A0"/>
        </w:tblPrEx>
        <w:trPr>
          <w:trHeight w:val="643"/>
        </w:trPr>
        <w:tc>
          <w:tcPr>
            <w:tcW w:w="27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97F0C" w:rsidRPr="00461A1C" w14:paraId="5E32A0E5" w14:textId="77777777">
            <w:pPr>
              <w:adjustRightInd/>
              <w:jc w:val="center"/>
              <w:textAlignment w:val="auto"/>
              <w:rPr>
                <w:rFonts w:eastAsia="Calibri"/>
                <w:b/>
                <w:bCs/>
                <w:color w:val="000000"/>
                <w:sz w:val="18"/>
                <w:szCs w:val="18"/>
              </w:rPr>
            </w:pPr>
            <w:r w:rsidRPr="00461A1C">
              <w:rPr>
                <w:rFonts w:eastAsia="Calibri"/>
                <w:b/>
                <w:bCs/>
                <w:color w:val="000000"/>
                <w:sz w:val="18"/>
                <w:szCs w:val="18"/>
              </w:rPr>
              <w:t>Information Collection</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97F0C" w:rsidRPr="00461A1C" w14:paraId="57535BF7" w14:textId="77777777">
            <w:pPr>
              <w:adjustRightInd/>
              <w:jc w:val="center"/>
              <w:textAlignment w:val="auto"/>
              <w:rPr>
                <w:rFonts w:eastAsia="Calibri"/>
                <w:b/>
                <w:bCs/>
                <w:color w:val="000000"/>
                <w:sz w:val="18"/>
                <w:szCs w:val="18"/>
              </w:rPr>
            </w:pPr>
            <w:r w:rsidRPr="00461A1C">
              <w:rPr>
                <w:rFonts w:eastAsia="Calibri"/>
                <w:b/>
                <w:bCs/>
                <w:color w:val="000000"/>
                <w:sz w:val="18"/>
                <w:szCs w:val="18"/>
              </w:rPr>
              <w:t>Number of Respondents</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97F0C" w:rsidRPr="00461A1C" w14:paraId="33FBE65A" w14:textId="77777777">
            <w:pPr>
              <w:adjustRightInd/>
              <w:jc w:val="center"/>
              <w:textAlignment w:val="auto"/>
              <w:rPr>
                <w:rFonts w:eastAsia="Calibri"/>
                <w:b/>
                <w:bCs/>
                <w:color w:val="000000"/>
                <w:sz w:val="18"/>
                <w:szCs w:val="18"/>
              </w:rPr>
            </w:pPr>
            <w:r w:rsidRPr="00461A1C">
              <w:rPr>
                <w:rFonts w:eastAsia="Calibri"/>
                <w:b/>
                <w:bCs/>
                <w:color w:val="000000"/>
                <w:sz w:val="18"/>
                <w:szCs w:val="18"/>
              </w:rPr>
              <w:t>Frequency of Response</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97F0C" w:rsidRPr="00461A1C" w14:paraId="61C0D971" w14:textId="77777777">
            <w:pPr>
              <w:overflowPunct/>
              <w:autoSpaceDE/>
              <w:autoSpaceDN/>
              <w:adjustRightInd/>
              <w:jc w:val="center"/>
              <w:textAlignment w:val="auto"/>
              <w:rPr>
                <w:rFonts w:eastAsia="Calibri"/>
                <w:b/>
                <w:bCs/>
                <w:color w:val="000000"/>
                <w:sz w:val="18"/>
                <w:szCs w:val="18"/>
              </w:rPr>
            </w:pPr>
            <w:r w:rsidRPr="00461A1C">
              <w:rPr>
                <w:rFonts w:eastAsia="Calibri"/>
                <w:b/>
                <w:bCs/>
                <w:color w:val="000000"/>
                <w:sz w:val="18"/>
                <w:szCs w:val="18"/>
              </w:rPr>
              <w:t>Responses</w:t>
            </w:r>
          </w:p>
          <w:p w:rsidR="00E97F0C" w:rsidRPr="00461A1C" w14:paraId="3E62C095" w14:textId="77777777">
            <w:pPr>
              <w:adjustRightInd/>
              <w:jc w:val="center"/>
              <w:textAlignment w:val="auto"/>
              <w:rPr>
                <w:rFonts w:eastAsia="Calibri"/>
                <w:b/>
                <w:bCs/>
                <w:color w:val="000000"/>
                <w:sz w:val="18"/>
                <w:szCs w:val="18"/>
              </w:rPr>
            </w:pPr>
            <w:r w:rsidRPr="00461A1C">
              <w:rPr>
                <w:rFonts w:eastAsia="Calibri"/>
                <w:b/>
                <w:bCs/>
                <w:color w:val="000000"/>
                <w:sz w:val="18"/>
                <w:szCs w:val="18"/>
              </w:rPr>
              <w:t>Per Annum</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97F0C" w:rsidRPr="00461A1C" w14:paraId="6D82E99F" w14:textId="77777777">
            <w:pPr>
              <w:adjustRightInd/>
              <w:jc w:val="center"/>
              <w:textAlignment w:val="auto"/>
              <w:rPr>
                <w:rFonts w:eastAsia="Calibri"/>
                <w:b/>
                <w:bCs/>
                <w:color w:val="000000"/>
                <w:sz w:val="18"/>
                <w:szCs w:val="18"/>
              </w:rPr>
            </w:pPr>
            <w:r w:rsidRPr="00461A1C">
              <w:rPr>
                <w:rFonts w:eastAsia="Calibri"/>
                <w:b/>
                <w:bCs/>
                <w:color w:val="000000"/>
                <w:sz w:val="18"/>
                <w:szCs w:val="18"/>
              </w:rPr>
              <w:t>Burden Hour Per Response</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97F0C" w:rsidRPr="00461A1C" w14:paraId="52495C44" w14:textId="77777777">
            <w:pPr>
              <w:adjustRightInd/>
              <w:jc w:val="center"/>
              <w:textAlignment w:val="auto"/>
              <w:rPr>
                <w:rFonts w:eastAsia="Calibri"/>
                <w:b/>
                <w:bCs/>
                <w:color w:val="000000"/>
                <w:sz w:val="18"/>
                <w:szCs w:val="18"/>
              </w:rPr>
            </w:pPr>
            <w:r w:rsidRPr="00461A1C">
              <w:rPr>
                <w:rFonts w:eastAsia="Calibri"/>
                <w:b/>
                <w:bCs/>
                <w:color w:val="000000"/>
                <w:sz w:val="18"/>
                <w:szCs w:val="18"/>
              </w:rPr>
              <w:t>Annual Burden Hours</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97F0C" w:rsidRPr="00461A1C" w14:paraId="63657EEF" w14:textId="77777777">
            <w:pPr>
              <w:adjustRightInd/>
              <w:jc w:val="center"/>
              <w:textAlignment w:val="auto"/>
              <w:rPr>
                <w:rFonts w:eastAsia="Calibri"/>
                <w:b/>
                <w:bCs/>
                <w:color w:val="000000"/>
                <w:sz w:val="18"/>
                <w:szCs w:val="18"/>
              </w:rPr>
            </w:pPr>
            <w:r w:rsidRPr="00461A1C">
              <w:rPr>
                <w:rFonts w:eastAsia="Calibri"/>
                <w:b/>
                <w:bCs/>
                <w:color w:val="000000"/>
                <w:sz w:val="18"/>
                <w:szCs w:val="18"/>
              </w:rPr>
              <w:t>Hourly Cost Per Response</w:t>
            </w:r>
          </w:p>
        </w:tc>
        <w:tc>
          <w:tcPr>
            <w:tcW w:w="8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97F0C" w:rsidRPr="00461A1C" w14:paraId="47C375AF" w14:textId="77777777">
            <w:pPr>
              <w:overflowPunct/>
              <w:autoSpaceDE/>
              <w:autoSpaceDN/>
              <w:adjustRightInd/>
              <w:jc w:val="center"/>
              <w:textAlignment w:val="auto"/>
              <w:rPr>
                <w:rFonts w:eastAsia="Calibri"/>
                <w:b/>
                <w:bCs/>
                <w:color w:val="000000"/>
                <w:sz w:val="18"/>
                <w:szCs w:val="18"/>
              </w:rPr>
            </w:pPr>
            <w:r w:rsidRPr="00461A1C">
              <w:rPr>
                <w:rFonts w:eastAsia="Calibri"/>
                <w:b/>
                <w:bCs/>
                <w:color w:val="000000"/>
                <w:sz w:val="18"/>
                <w:szCs w:val="18"/>
              </w:rPr>
              <w:t>Annual Cost</w:t>
            </w:r>
          </w:p>
          <w:p w:rsidR="00E97F0C" w:rsidRPr="00461A1C" w14:paraId="308692C4" w14:textId="77777777">
            <w:pPr>
              <w:adjustRightInd/>
              <w:jc w:val="center"/>
              <w:textAlignment w:val="auto"/>
              <w:rPr>
                <w:rFonts w:eastAsia="Calibri"/>
                <w:b/>
                <w:bCs/>
                <w:color w:val="000000"/>
                <w:sz w:val="18"/>
                <w:szCs w:val="18"/>
              </w:rPr>
            </w:pPr>
          </w:p>
        </w:tc>
      </w:tr>
      <w:tr w14:paraId="51A36515" w14:textId="77777777" w:rsidTr="00461A1C">
        <w:tblPrEx>
          <w:tblW w:w="10080" w:type="dxa"/>
          <w:tblInd w:w="80" w:type="dxa"/>
          <w:tblCellMar>
            <w:left w:w="0" w:type="dxa"/>
            <w:right w:w="0" w:type="dxa"/>
          </w:tblCellMar>
          <w:tblLook w:val="04A0"/>
        </w:tblPrEx>
        <w:tc>
          <w:tcPr>
            <w:tcW w:w="2700" w:type="dxa"/>
            <w:tcBorders>
              <w:top w:val="nil"/>
              <w:left w:val="single" w:sz="8" w:space="0" w:color="auto"/>
              <w:bottom w:val="nil"/>
              <w:right w:val="single" w:sz="8" w:space="0" w:color="auto"/>
            </w:tcBorders>
            <w:tcMar>
              <w:top w:w="0" w:type="dxa"/>
              <w:left w:w="108" w:type="dxa"/>
              <w:bottom w:w="0" w:type="dxa"/>
              <w:right w:w="108" w:type="dxa"/>
            </w:tcMar>
          </w:tcPr>
          <w:p w:rsidR="00E97F0C" w:rsidRPr="00461A1C" w14:paraId="1E1A3C82" w14:textId="593F0E55">
            <w:pPr>
              <w:adjustRightInd/>
              <w:textAlignment w:val="auto"/>
              <w:rPr>
                <w:rFonts w:eastAsia="Calibri"/>
                <w:b/>
                <w:bCs/>
                <w:color w:val="000000"/>
                <w:sz w:val="18"/>
                <w:szCs w:val="18"/>
              </w:rPr>
            </w:pPr>
            <w:r w:rsidRPr="00461A1C">
              <w:rPr>
                <w:rFonts w:ascii="Garamond" w:hAnsi="Garamond"/>
                <w:b/>
                <w:color w:val="000000" w:themeColor="text1"/>
                <w:sz w:val="18"/>
                <w:szCs w:val="18"/>
              </w:rPr>
              <w:t xml:space="preserve">Public Housing Waiting List Data Collection Tool (Includes maintaining the data through the year in order calculate and </w:t>
            </w:r>
            <w:r w:rsidRPr="00461A1C">
              <w:rPr>
                <w:rFonts w:ascii="Garamond" w:hAnsi="Garamond"/>
                <w:b/>
                <w:color w:val="000000" w:themeColor="text1"/>
                <w:sz w:val="18"/>
                <w:szCs w:val="18"/>
              </w:rPr>
              <w:t>submit</w:t>
            </w:r>
            <w:r w:rsidRPr="00461A1C">
              <w:rPr>
                <w:rFonts w:ascii="Garamond" w:hAnsi="Garamond"/>
                <w:b/>
                <w:color w:val="000000" w:themeColor="text1"/>
                <w:sz w:val="18"/>
                <w:szCs w:val="18"/>
              </w:rPr>
              <w:t xml:space="preserve"> at the end of the calendar year) </w:t>
            </w:r>
          </w:p>
        </w:tc>
        <w:tc>
          <w:tcPr>
            <w:tcW w:w="1260" w:type="dxa"/>
            <w:tcBorders>
              <w:top w:val="nil"/>
              <w:left w:val="nil"/>
              <w:bottom w:val="nil"/>
              <w:right w:val="single" w:sz="8" w:space="0" w:color="auto"/>
            </w:tcBorders>
            <w:tcMar>
              <w:top w:w="0" w:type="dxa"/>
              <w:left w:w="108" w:type="dxa"/>
              <w:bottom w:w="0" w:type="dxa"/>
              <w:right w:w="108" w:type="dxa"/>
            </w:tcMar>
          </w:tcPr>
          <w:p w:rsidR="00E97F0C" w:rsidRPr="00461A1C" w14:paraId="6F900D35" w14:textId="77777777">
            <w:pPr>
              <w:adjustRightInd/>
              <w:jc w:val="center"/>
              <w:textAlignment w:val="auto"/>
              <w:rPr>
                <w:rFonts w:eastAsia="Calibri"/>
                <w:b/>
                <w:bCs/>
                <w:color w:val="000000"/>
                <w:sz w:val="18"/>
                <w:szCs w:val="18"/>
              </w:rPr>
            </w:pPr>
            <w:r w:rsidRPr="00461A1C">
              <w:rPr>
                <w:rFonts w:eastAsia="Calibri"/>
                <w:b/>
                <w:bCs/>
                <w:color w:val="000000"/>
                <w:sz w:val="18"/>
                <w:szCs w:val="18"/>
              </w:rPr>
              <w:t>2,681</w:t>
            </w:r>
          </w:p>
        </w:tc>
        <w:tc>
          <w:tcPr>
            <w:tcW w:w="1170" w:type="dxa"/>
            <w:tcBorders>
              <w:top w:val="nil"/>
              <w:left w:val="nil"/>
              <w:bottom w:val="nil"/>
              <w:right w:val="single" w:sz="8" w:space="0" w:color="auto"/>
            </w:tcBorders>
            <w:tcMar>
              <w:top w:w="0" w:type="dxa"/>
              <w:left w:w="108" w:type="dxa"/>
              <w:bottom w:w="0" w:type="dxa"/>
              <w:right w:w="108" w:type="dxa"/>
            </w:tcMar>
          </w:tcPr>
          <w:p w:rsidR="00E97F0C" w:rsidRPr="00461A1C" w14:paraId="04579D1F" w14:textId="77777777">
            <w:pPr>
              <w:adjustRightInd/>
              <w:jc w:val="center"/>
              <w:textAlignment w:val="auto"/>
              <w:rPr>
                <w:rFonts w:eastAsia="Calibri"/>
                <w:b/>
                <w:bCs/>
                <w:color w:val="000000"/>
                <w:sz w:val="18"/>
                <w:szCs w:val="18"/>
              </w:rPr>
            </w:pPr>
            <w:r w:rsidRPr="00461A1C">
              <w:rPr>
                <w:rFonts w:eastAsia="Calibri"/>
                <w:b/>
                <w:bCs/>
                <w:color w:val="000000"/>
                <w:sz w:val="18"/>
                <w:szCs w:val="18"/>
              </w:rPr>
              <w:t>1</w:t>
            </w:r>
          </w:p>
        </w:tc>
        <w:tc>
          <w:tcPr>
            <w:tcW w:w="1170" w:type="dxa"/>
            <w:tcBorders>
              <w:top w:val="nil"/>
              <w:left w:val="nil"/>
              <w:bottom w:val="nil"/>
              <w:right w:val="single" w:sz="8" w:space="0" w:color="auto"/>
            </w:tcBorders>
            <w:tcMar>
              <w:top w:w="0" w:type="dxa"/>
              <w:left w:w="108" w:type="dxa"/>
              <w:bottom w:w="0" w:type="dxa"/>
              <w:right w:w="108" w:type="dxa"/>
            </w:tcMar>
          </w:tcPr>
          <w:p w:rsidR="00E97F0C" w:rsidRPr="00461A1C" w14:paraId="30337346" w14:textId="77777777">
            <w:pPr>
              <w:adjustRightInd/>
              <w:jc w:val="center"/>
              <w:textAlignment w:val="auto"/>
              <w:rPr>
                <w:rFonts w:eastAsia="Calibri"/>
                <w:b/>
                <w:bCs/>
                <w:color w:val="000000"/>
                <w:sz w:val="18"/>
                <w:szCs w:val="18"/>
              </w:rPr>
            </w:pPr>
            <w:r w:rsidRPr="00461A1C">
              <w:rPr>
                <w:rFonts w:eastAsia="Calibri"/>
                <w:b/>
                <w:bCs/>
                <w:color w:val="000000"/>
                <w:sz w:val="18"/>
                <w:szCs w:val="18"/>
              </w:rPr>
              <w:t>2,681</w:t>
            </w:r>
          </w:p>
        </w:tc>
        <w:tc>
          <w:tcPr>
            <w:tcW w:w="990" w:type="dxa"/>
            <w:tcBorders>
              <w:top w:val="nil"/>
              <w:left w:val="nil"/>
              <w:bottom w:val="nil"/>
              <w:right w:val="single" w:sz="8" w:space="0" w:color="auto"/>
            </w:tcBorders>
            <w:tcMar>
              <w:top w:w="0" w:type="dxa"/>
              <w:left w:w="108" w:type="dxa"/>
              <w:bottom w:w="0" w:type="dxa"/>
              <w:right w:w="108" w:type="dxa"/>
            </w:tcMar>
          </w:tcPr>
          <w:p w:rsidR="00E97F0C" w:rsidRPr="00461A1C" w14:paraId="40DA0312" w14:textId="1C405960">
            <w:pPr>
              <w:adjustRightInd/>
              <w:jc w:val="center"/>
              <w:textAlignment w:val="auto"/>
              <w:rPr>
                <w:rFonts w:eastAsia="Calibri"/>
                <w:b/>
                <w:bCs/>
                <w:color w:val="000000"/>
                <w:sz w:val="18"/>
                <w:szCs w:val="18"/>
              </w:rPr>
            </w:pPr>
            <w:r w:rsidRPr="00461A1C">
              <w:rPr>
                <w:rFonts w:eastAsia="Calibri"/>
                <w:b/>
                <w:bCs/>
                <w:color w:val="000000"/>
                <w:sz w:val="18"/>
                <w:szCs w:val="18"/>
              </w:rPr>
              <w:t>.5</w:t>
            </w:r>
            <w:r w:rsidRPr="00461A1C" w:rsidR="001D437B">
              <w:rPr>
                <w:rFonts w:eastAsia="Calibri"/>
                <w:b/>
                <w:bCs/>
                <w:color w:val="000000"/>
                <w:sz w:val="18"/>
                <w:szCs w:val="18"/>
              </w:rPr>
              <w:t>0</w:t>
            </w:r>
            <w:r w:rsidRPr="00461A1C">
              <w:rPr>
                <w:rFonts w:eastAsia="Calibri"/>
                <w:b/>
                <w:bCs/>
                <w:color w:val="000000"/>
                <w:sz w:val="18"/>
                <w:szCs w:val="18"/>
              </w:rPr>
              <w:t xml:space="preserve"> </w:t>
            </w:r>
          </w:p>
        </w:tc>
        <w:tc>
          <w:tcPr>
            <w:tcW w:w="900" w:type="dxa"/>
            <w:tcBorders>
              <w:top w:val="nil"/>
              <w:left w:val="nil"/>
              <w:bottom w:val="nil"/>
              <w:right w:val="single" w:sz="8" w:space="0" w:color="auto"/>
            </w:tcBorders>
            <w:tcMar>
              <w:top w:w="0" w:type="dxa"/>
              <w:left w:w="108" w:type="dxa"/>
              <w:bottom w:w="0" w:type="dxa"/>
              <w:right w:w="108" w:type="dxa"/>
            </w:tcMar>
          </w:tcPr>
          <w:p w:rsidR="00E97F0C" w:rsidRPr="00461A1C" w14:paraId="06B49DB0" w14:textId="77777777">
            <w:pPr>
              <w:adjustRightInd/>
              <w:jc w:val="center"/>
              <w:textAlignment w:val="auto"/>
              <w:rPr>
                <w:rFonts w:eastAsia="Calibri"/>
                <w:b/>
                <w:bCs/>
                <w:color w:val="000000"/>
                <w:sz w:val="18"/>
                <w:szCs w:val="18"/>
              </w:rPr>
            </w:pPr>
            <w:r w:rsidRPr="00461A1C">
              <w:rPr>
                <w:rFonts w:eastAsia="Calibri"/>
                <w:b/>
                <w:bCs/>
                <w:color w:val="000000"/>
                <w:sz w:val="18"/>
                <w:szCs w:val="18"/>
              </w:rPr>
              <w:t>1341</w:t>
            </w:r>
          </w:p>
        </w:tc>
        <w:tc>
          <w:tcPr>
            <w:tcW w:w="1080" w:type="dxa"/>
            <w:tcBorders>
              <w:top w:val="nil"/>
              <w:left w:val="nil"/>
              <w:bottom w:val="nil"/>
              <w:right w:val="single" w:sz="8" w:space="0" w:color="auto"/>
            </w:tcBorders>
            <w:tcMar>
              <w:top w:w="0" w:type="dxa"/>
              <w:left w:w="108" w:type="dxa"/>
              <w:bottom w:w="0" w:type="dxa"/>
              <w:right w:w="108" w:type="dxa"/>
            </w:tcMar>
          </w:tcPr>
          <w:p w:rsidR="00E97F0C" w:rsidRPr="00461A1C" w14:paraId="5A121BBD" w14:textId="10957A40">
            <w:pPr>
              <w:adjustRightInd/>
              <w:jc w:val="center"/>
              <w:textAlignment w:val="auto"/>
              <w:rPr>
                <w:rFonts w:eastAsia="Calibri"/>
                <w:b/>
                <w:bCs/>
                <w:color w:val="000000"/>
                <w:sz w:val="18"/>
                <w:szCs w:val="18"/>
              </w:rPr>
            </w:pPr>
            <w:r w:rsidRPr="00461A1C">
              <w:rPr>
                <w:rFonts w:eastAsia="Calibri"/>
                <w:b/>
                <w:bCs/>
                <w:color w:val="000000"/>
                <w:sz w:val="18"/>
                <w:szCs w:val="18"/>
              </w:rPr>
              <w:t>$</w:t>
            </w:r>
            <w:r w:rsidR="00FE52CF">
              <w:rPr>
                <w:rFonts w:eastAsia="Calibri"/>
                <w:b/>
                <w:bCs/>
                <w:color w:val="000000"/>
                <w:sz w:val="18"/>
                <w:szCs w:val="18"/>
              </w:rPr>
              <w:t>23.73</w:t>
            </w:r>
            <w:r>
              <w:rPr>
                <w:rStyle w:val="FootnoteReference"/>
                <w:rFonts w:eastAsia="Calibri"/>
                <w:b/>
                <w:bCs/>
                <w:color w:val="000000"/>
                <w:sz w:val="18"/>
                <w:szCs w:val="18"/>
              </w:rPr>
              <w:footnoteReference w:id="2"/>
            </w:r>
          </w:p>
        </w:tc>
        <w:tc>
          <w:tcPr>
            <w:tcW w:w="810" w:type="dxa"/>
            <w:tcBorders>
              <w:top w:val="nil"/>
              <w:left w:val="nil"/>
              <w:bottom w:val="nil"/>
              <w:right w:val="single" w:sz="8" w:space="0" w:color="auto"/>
            </w:tcBorders>
            <w:tcMar>
              <w:top w:w="0" w:type="dxa"/>
              <w:left w:w="108" w:type="dxa"/>
              <w:bottom w:w="0" w:type="dxa"/>
              <w:right w:w="108" w:type="dxa"/>
            </w:tcMar>
          </w:tcPr>
          <w:p w:rsidR="00E97F0C" w:rsidRPr="00461A1C" w14:paraId="03BF0159" w14:textId="5F1F37EC">
            <w:pPr>
              <w:adjustRightInd/>
              <w:jc w:val="right"/>
              <w:textAlignment w:val="auto"/>
              <w:rPr>
                <w:rFonts w:eastAsia="Calibri"/>
                <w:b/>
                <w:bCs/>
                <w:color w:val="000000"/>
                <w:sz w:val="18"/>
                <w:szCs w:val="18"/>
              </w:rPr>
            </w:pPr>
            <w:r w:rsidRPr="00461A1C">
              <w:rPr>
                <w:rFonts w:eastAsia="Calibri"/>
                <w:b/>
                <w:bCs/>
                <w:color w:val="000000"/>
                <w:sz w:val="18"/>
                <w:szCs w:val="18"/>
              </w:rPr>
              <w:t>$</w:t>
            </w:r>
            <w:r w:rsidR="00A92C72">
              <w:rPr>
                <w:rFonts w:eastAsia="Calibri"/>
                <w:b/>
                <w:bCs/>
                <w:color w:val="000000"/>
                <w:sz w:val="18"/>
                <w:szCs w:val="18"/>
              </w:rPr>
              <w:t>31,822</w:t>
            </w:r>
          </w:p>
        </w:tc>
      </w:tr>
      <w:tr w14:paraId="745810D0" w14:textId="77777777" w:rsidTr="00461A1C">
        <w:tblPrEx>
          <w:tblW w:w="10080" w:type="dxa"/>
          <w:tblInd w:w="80" w:type="dxa"/>
          <w:tblCellMar>
            <w:left w:w="0" w:type="dxa"/>
            <w:right w:w="0" w:type="dxa"/>
          </w:tblCellMar>
          <w:tblLook w:val="04A0"/>
        </w:tblPrEx>
        <w:trPr>
          <w:trHeight w:val="75"/>
        </w:trPr>
        <w:tc>
          <w:tcPr>
            <w:tcW w:w="2700"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E97F0C" w:rsidRPr="00461A1C" w14:paraId="0469C7D9" w14:textId="77777777">
            <w:pPr>
              <w:adjustRightInd/>
              <w:textAlignment w:val="auto"/>
              <w:rPr>
                <w:rFonts w:ascii="Garamond" w:hAnsi="Garamond"/>
                <w:b/>
                <w:color w:val="000000" w:themeColor="text1"/>
                <w:sz w:val="18"/>
                <w:szCs w:val="18"/>
              </w:rPr>
            </w:pPr>
          </w:p>
        </w:tc>
        <w:tc>
          <w:tcPr>
            <w:tcW w:w="1260" w:type="dxa"/>
            <w:tcBorders>
              <w:top w:val="nil"/>
              <w:left w:val="nil"/>
              <w:bottom w:val="single" w:sz="4" w:space="0" w:color="auto"/>
              <w:right w:val="single" w:sz="8" w:space="0" w:color="auto"/>
            </w:tcBorders>
            <w:tcMar>
              <w:top w:w="0" w:type="dxa"/>
              <w:left w:w="108" w:type="dxa"/>
              <w:bottom w:w="0" w:type="dxa"/>
              <w:right w:w="108" w:type="dxa"/>
            </w:tcMar>
          </w:tcPr>
          <w:p w:rsidR="00E97F0C" w:rsidRPr="00461A1C" w14:paraId="692494EA" w14:textId="77777777">
            <w:pPr>
              <w:adjustRightInd/>
              <w:jc w:val="center"/>
              <w:textAlignment w:val="auto"/>
              <w:rPr>
                <w:rFonts w:eastAsia="Calibri"/>
                <w:b/>
                <w:bCs/>
                <w:color w:val="000000"/>
                <w:sz w:val="18"/>
                <w:szCs w:val="18"/>
              </w:rPr>
            </w:pPr>
          </w:p>
        </w:tc>
        <w:tc>
          <w:tcPr>
            <w:tcW w:w="1170" w:type="dxa"/>
            <w:tcBorders>
              <w:top w:val="nil"/>
              <w:left w:val="nil"/>
              <w:bottom w:val="single" w:sz="4" w:space="0" w:color="auto"/>
              <w:right w:val="single" w:sz="8" w:space="0" w:color="auto"/>
            </w:tcBorders>
            <w:tcMar>
              <w:top w:w="0" w:type="dxa"/>
              <w:left w:w="108" w:type="dxa"/>
              <w:bottom w:w="0" w:type="dxa"/>
              <w:right w:w="108" w:type="dxa"/>
            </w:tcMar>
          </w:tcPr>
          <w:p w:rsidR="00E97F0C" w:rsidRPr="00461A1C" w14:paraId="3B71C0FB" w14:textId="77777777">
            <w:pPr>
              <w:adjustRightInd/>
              <w:jc w:val="center"/>
              <w:textAlignment w:val="auto"/>
              <w:rPr>
                <w:rFonts w:eastAsia="Calibri"/>
                <w:b/>
                <w:bCs/>
                <w:color w:val="000000"/>
                <w:sz w:val="18"/>
                <w:szCs w:val="18"/>
              </w:rPr>
            </w:pPr>
          </w:p>
        </w:tc>
        <w:tc>
          <w:tcPr>
            <w:tcW w:w="1170" w:type="dxa"/>
            <w:tcBorders>
              <w:top w:val="nil"/>
              <w:left w:val="nil"/>
              <w:bottom w:val="single" w:sz="4" w:space="0" w:color="auto"/>
              <w:right w:val="single" w:sz="8" w:space="0" w:color="auto"/>
            </w:tcBorders>
            <w:tcMar>
              <w:top w:w="0" w:type="dxa"/>
              <w:left w:w="108" w:type="dxa"/>
              <w:bottom w:w="0" w:type="dxa"/>
              <w:right w:w="108" w:type="dxa"/>
            </w:tcMar>
          </w:tcPr>
          <w:p w:rsidR="00E97F0C" w:rsidRPr="00461A1C" w14:paraId="16052D36" w14:textId="77777777">
            <w:pPr>
              <w:adjustRightInd/>
              <w:jc w:val="center"/>
              <w:textAlignment w:val="auto"/>
              <w:rPr>
                <w:rFonts w:eastAsia="Calibri"/>
                <w:b/>
                <w:bCs/>
                <w:color w:val="000000"/>
                <w:sz w:val="18"/>
                <w:szCs w:val="18"/>
              </w:rPr>
            </w:pPr>
          </w:p>
        </w:tc>
        <w:tc>
          <w:tcPr>
            <w:tcW w:w="990" w:type="dxa"/>
            <w:tcBorders>
              <w:top w:val="nil"/>
              <w:left w:val="nil"/>
              <w:bottom w:val="single" w:sz="4" w:space="0" w:color="auto"/>
              <w:right w:val="single" w:sz="8" w:space="0" w:color="auto"/>
            </w:tcBorders>
            <w:tcMar>
              <w:top w:w="0" w:type="dxa"/>
              <w:left w:w="108" w:type="dxa"/>
              <w:bottom w:w="0" w:type="dxa"/>
              <w:right w:w="108" w:type="dxa"/>
            </w:tcMar>
          </w:tcPr>
          <w:p w:rsidR="00E97F0C" w:rsidRPr="00461A1C" w14:paraId="5FA423CB" w14:textId="77777777">
            <w:pPr>
              <w:adjustRightInd/>
              <w:jc w:val="center"/>
              <w:textAlignment w:val="auto"/>
              <w:rPr>
                <w:rFonts w:eastAsia="Calibri"/>
                <w:b/>
                <w:bCs/>
                <w:color w:val="000000"/>
                <w:sz w:val="18"/>
                <w:szCs w:val="18"/>
              </w:rPr>
            </w:pPr>
          </w:p>
        </w:tc>
        <w:tc>
          <w:tcPr>
            <w:tcW w:w="900" w:type="dxa"/>
            <w:tcBorders>
              <w:top w:val="nil"/>
              <w:left w:val="nil"/>
              <w:bottom w:val="single" w:sz="4" w:space="0" w:color="auto"/>
              <w:right w:val="single" w:sz="8" w:space="0" w:color="auto"/>
            </w:tcBorders>
            <w:tcMar>
              <w:top w:w="0" w:type="dxa"/>
              <w:left w:w="108" w:type="dxa"/>
              <w:bottom w:w="0" w:type="dxa"/>
              <w:right w:w="108" w:type="dxa"/>
            </w:tcMar>
          </w:tcPr>
          <w:p w:rsidR="00E97F0C" w:rsidRPr="00461A1C" w14:paraId="36FDFEE9" w14:textId="77777777">
            <w:pPr>
              <w:adjustRightInd/>
              <w:jc w:val="center"/>
              <w:textAlignment w:val="auto"/>
              <w:rPr>
                <w:rFonts w:eastAsia="Calibri"/>
                <w:b/>
                <w:bCs/>
                <w:color w:val="000000"/>
                <w:sz w:val="18"/>
                <w:szCs w:val="18"/>
              </w:rPr>
            </w:pPr>
          </w:p>
        </w:tc>
        <w:tc>
          <w:tcPr>
            <w:tcW w:w="1080" w:type="dxa"/>
            <w:tcBorders>
              <w:top w:val="nil"/>
              <w:left w:val="nil"/>
              <w:bottom w:val="single" w:sz="4" w:space="0" w:color="auto"/>
              <w:right w:val="single" w:sz="8" w:space="0" w:color="auto"/>
            </w:tcBorders>
            <w:tcMar>
              <w:top w:w="0" w:type="dxa"/>
              <w:left w:w="108" w:type="dxa"/>
              <w:bottom w:w="0" w:type="dxa"/>
              <w:right w:w="108" w:type="dxa"/>
            </w:tcMar>
          </w:tcPr>
          <w:p w:rsidR="00E97F0C" w:rsidRPr="00461A1C" w14:paraId="4928F428" w14:textId="77777777">
            <w:pPr>
              <w:adjustRightInd/>
              <w:jc w:val="center"/>
              <w:textAlignment w:val="auto"/>
              <w:rPr>
                <w:rFonts w:eastAsia="Calibri"/>
                <w:b/>
                <w:bCs/>
                <w:color w:val="000000"/>
                <w:sz w:val="18"/>
                <w:szCs w:val="18"/>
              </w:rPr>
            </w:pPr>
          </w:p>
        </w:tc>
        <w:tc>
          <w:tcPr>
            <w:tcW w:w="810" w:type="dxa"/>
            <w:tcBorders>
              <w:top w:val="nil"/>
              <w:left w:val="nil"/>
              <w:bottom w:val="single" w:sz="4" w:space="0" w:color="auto"/>
              <w:right w:val="single" w:sz="8" w:space="0" w:color="auto"/>
            </w:tcBorders>
            <w:tcMar>
              <w:top w:w="0" w:type="dxa"/>
              <w:left w:w="108" w:type="dxa"/>
              <w:bottom w:w="0" w:type="dxa"/>
              <w:right w:w="108" w:type="dxa"/>
            </w:tcMar>
          </w:tcPr>
          <w:p w:rsidR="00E97F0C" w:rsidRPr="00461A1C" w14:paraId="432B6F42" w14:textId="77777777">
            <w:pPr>
              <w:adjustRightInd/>
              <w:jc w:val="right"/>
              <w:textAlignment w:val="auto"/>
              <w:rPr>
                <w:rFonts w:eastAsia="Calibri"/>
                <w:b/>
                <w:bCs/>
                <w:color w:val="000000"/>
                <w:sz w:val="18"/>
                <w:szCs w:val="18"/>
              </w:rPr>
            </w:pPr>
          </w:p>
        </w:tc>
      </w:tr>
      <w:tr w14:paraId="758078E6" w14:textId="77777777" w:rsidTr="00461A1C">
        <w:tblPrEx>
          <w:tblW w:w="10080" w:type="dxa"/>
          <w:tblInd w:w="80" w:type="dxa"/>
          <w:tblCellMar>
            <w:left w:w="0" w:type="dxa"/>
            <w:right w:w="0" w:type="dxa"/>
          </w:tblCellMar>
          <w:tblLook w:val="04A0"/>
        </w:tblPrEx>
        <w:tc>
          <w:tcPr>
            <w:tcW w:w="270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E97F0C" w:rsidRPr="00461A1C" w14:paraId="7189F398" w14:textId="77777777">
            <w:pPr>
              <w:adjustRightInd/>
              <w:textAlignment w:val="auto"/>
              <w:rPr>
                <w:rFonts w:eastAsia="Calibri"/>
                <w:b/>
                <w:bCs/>
                <w:color w:val="000000"/>
                <w:sz w:val="18"/>
                <w:szCs w:val="18"/>
              </w:rPr>
            </w:pPr>
            <w:r w:rsidRPr="00461A1C">
              <w:rPr>
                <w:rFonts w:eastAsia="Calibri"/>
                <w:b/>
                <w:bCs/>
                <w:color w:val="000000"/>
                <w:sz w:val="18"/>
                <w:szCs w:val="18"/>
              </w:rPr>
              <w:t>Total</w:t>
            </w:r>
          </w:p>
        </w:tc>
        <w:tc>
          <w:tcPr>
            <w:tcW w:w="126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E97F0C" w:rsidRPr="00461A1C" w14:paraId="54530E1F" w14:textId="77777777">
            <w:pPr>
              <w:adjustRightInd/>
              <w:jc w:val="center"/>
              <w:textAlignment w:val="auto"/>
              <w:rPr>
                <w:rFonts w:eastAsia="Calibri"/>
                <w:b/>
                <w:bCs/>
                <w:color w:val="000000"/>
                <w:sz w:val="18"/>
                <w:szCs w:val="18"/>
              </w:rPr>
            </w:pPr>
            <w:r w:rsidRPr="00461A1C">
              <w:rPr>
                <w:rFonts w:eastAsia="Calibri"/>
                <w:b/>
                <w:bCs/>
                <w:color w:val="000000"/>
                <w:sz w:val="18"/>
                <w:szCs w:val="18"/>
              </w:rPr>
              <w:t>2,681</w:t>
            </w:r>
          </w:p>
        </w:tc>
        <w:tc>
          <w:tcPr>
            <w:tcW w:w="117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E97F0C" w:rsidRPr="00461A1C" w14:paraId="11519780" w14:textId="77777777">
            <w:pPr>
              <w:adjustRightInd/>
              <w:jc w:val="center"/>
              <w:textAlignment w:val="auto"/>
              <w:rPr>
                <w:rFonts w:eastAsia="Calibri"/>
                <w:b/>
                <w:bCs/>
                <w:color w:val="000000"/>
                <w:sz w:val="18"/>
                <w:szCs w:val="18"/>
              </w:rPr>
            </w:pPr>
            <w:r w:rsidRPr="00461A1C">
              <w:rPr>
                <w:rFonts w:eastAsia="Calibri"/>
                <w:b/>
                <w:bCs/>
                <w:color w:val="000000"/>
                <w:sz w:val="18"/>
                <w:szCs w:val="18"/>
              </w:rPr>
              <w:t>1</w:t>
            </w:r>
          </w:p>
        </w:tc>
        <w:tc>
          <w:tcPr>
            <w:tcW w:w="117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E97F0C" w:rsidRPr="00461A1C" w14:paraId="022DD3FC" w14:textId="77777777">
            <w:pPr>
              <w:adjustRightInd/>
              <w:jc w:val="center"/>
              <w:textAlignment w:val="auto"/>
              <w:rPr>
                <w:rFonts w:eastAsia="Calibri"/>
                <w:b/>
                <w:bCs/>
                <w:color w:val="000000"/>
                <w:sz w:val="18"/>
                <w:szCs w:val="18"/>
              </w:rPr>
            </w:pPr>
            <w:r w:rsidRPr="00461A1C">
              <w:rPr>
                <w:rFonts w:eastAsia="Calibri"/>
                <w:b/>
                <w:bCs/>
                <w:color w:val="000000"/>
                <w:sz w:val="18"/>
                <w:szCs w:val="18"/>
              </w:rPr>
              <w:t>2,681</w:t>
            </w:r>
          </w:p>
        </w:tc>
        <w:tc>
          <w:tcPr>
            <w:tcW w:w="99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E97F0C" w:rsidRPr="00461A1C" w14:paraId="332A0CCA" w14:textId="10D7A8B7">
            <w:pPr>
              <w:adjustRightInd/>
              <w:jc w:val="center"/>
              <w:textAlignment w:val="auto"/>
              <w:rPr>
                <w:rFonts w:eastAsia="Calibri"/>
                <w:b/>
                <w:bCs/>
                <w:color w:val="000000"/>
                <w:sz w:val="18"/>
                <w:szCs w:val="18"/>
              </w:rPr>
            </w:pPr>
            <w:r w:rsidRPr="00461A1C">
              <w:rPr>
                <w:rFonts w:eastAsia="Calibri"/>
                <w:b/>
                <w:bCs/>
                <w:color w:val="000000"/>
                <w:sz w:val="18"/>
                <w:szCs w:val="18"/>
              </w:rPr>
              <w:t>.5</w:t>
            </w:r>
            <w:r w:rsidRPr="00461A1C" w:rsidR="001D437B">
              <w:rPr>
                <w:rFonts w:eastAsia="Calibri"/>
                <w:b/>
                <w:bCs/>
                <w:color w:val="000000"/>
                <w:sz w:val="18"/>
                <w:szCs w:val="18"/>
              </w:rPr>
              <w:t>0</w:t>
            </w:r>
            <w:r w:rsidRPr="00461A1C">
              <w:rPr>
                <w:rFonts w:eastAsia="Calibri"/>
                <w:b/>
                <w:bCs/>
                <w:color w:val="000000"/>
                <w:sz w:val="18"/>
                <w:szCs w:val="18"/>
              </w:rPr>
              <w:t xml:space="preserve"> </w:t>
            </w:r>
          </w:p>
        </w:tc>
        <w:tc>
          <w:tcPr>
            <w:tcW w:w="90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E97F0C" w:rsidRPr="00461A1C" w14:paraId="6F397B99" w14:textId="77777777">
            <w:pPr>
              <w:adjustRightInd/>
              <w:jc w:val="center"/>
              <w:textAlignment w:val="auto"/>
              <w:rPr>
                <w:rFonts w:eastAsia="Calibri"/>
                <w:b/>
                <w:bCs/>
                <w:color w:val="000000"/>
                <w:sz w:val="18"/>
                <w:szCs w:val="18"/>
              </w:rPr>
            </w:pPr>
            <w:r w:rsidRPr="00461A1C">
              <w:rPr>
                <w:rFonts w:eastAsia="Calibri"/>
                <w:b/>
                <w:bCs/>
                <w:color w:val="000000"/>
                <w:sz w:val="18"/>
                <w:szCs w:val="18"/>
              </w:rPr>
              <w:t>1341</w:t>
            </w:r>
          </w:p>
        </w:tc>
        <w:tc>
          <w:tcPr>
            <w:tcW w:w="108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E97F0C" w:rsidRPr="00461A1C" w14:paraId="0B4781BD" w14:textId="37381F76">
            <w:pPr>
              <w:adjustRightInd/>
              <w:jc w:val="center"/>
              <w:textAlignment w:val="auto"/>
              <w:rPr>
                <w:rFonts w:eastAsia="Calibri"/>
                <w:b/>
                <w:bCs/>
                <w:color w:val="000000"/>
                <w:sz w:val="18"/>
                <w:szCs w:val="18"/>
              </w:rPr>
            </w:pPr>
            <w:r w:rsidRPr="00461A1C">
              <w:rPr>
                <w:rFonts w:eastAsia="Calibri"/>
                <w:b/>
                <w:bCs/>
                <w:color w:val="000000"/>
                <w:sz w:val="18"/>
                <w:szCs w:val="18"/>
              </w:rPr>
              <w:t>$</w:t>
            </w:r>
            <w:r w:rsidR="00FE52CF">
              <w:rPr>
                <w:rFonts w:eastAsia="Calibri"/>
                <w:b/>
                <w:bCs/>
                <w:color w:val="000000"/>
                <w:sz w:val="18"/>
                <w:szCs w:val="18"/>
              </w:rPr>
              <w:t>23.73</w:t>
            </w:r>
          </w:p>
        </w:tc>
        <w:tc>
          <w:tcPr>
            <w:tcW w:w="81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E97F0C" w:rsidRPr="00461A1C" w14:paraId="5148EB87" w14:textId="7D896C4E">
            <w:pPr>
              <w:adjustRightInd/>
              <w:jc w:val="right"/>
              <w:textAlignment w:val="auto"/>
              <w:rPr>
                <w:rFonts w:eastAsia="Calibri"/>
                <w:b/>
                <w:bCs/>
                <w:color w:val="000000"/>
                <w:sz w:val="18"/>
                <w:szCs w:val="18"/>
              </w:rPr>
            </w:pPr>
            <w:r w:rsidRPr="00461A1C">
              <w:rPr>
                <w:rFonts w:eastAsia="Calibri"/>
                <w:b/>
                <w:bCs/>
                <w:color w:val="000000"/>
                <w:sz w:val="18"/>
                <w:szCs w:val="18"/>
              </w:rPr>
              <w:t>$</w:t>
            </w:r>
            <w:r w:rsidR="00A92C72">
              <w:rPr>
                <w:rFonts w:eastAsia="Calibri"/>
                <w:b/>
                <w:bCs/>
                <w:color w:val="000000"/>
                <w:sz w:val="18"/>
                <w:szCs w:val="18"/>
              </w:rPr>
              <w:t>31,822</w:t>
            </w:r>
          </w:p>
        </w:tc>
      </w:tr>
    </w:tbl>
    <w:p w:rsidR="00E97F0C" w:rsidP="00E97F0C" w14:paraId="5CAB0E1B" w14:textId="77777777">
      <w:pPr>
        <w:keepLines/>
        <w:tabs>
          <w:tab w:val="left" w:pos="480"/>
        </w:tabs>
        <w:spacing w:after="80"/>
        <w:ind w:left="480"/>
        <w:rPr>
          <w:sz w:val="24"/>
          <w:szCs w:val="24"/>
        </w:rPr>
      </w:pPr>
    </w:p>
    <w:p w:rsidR="00E97F0C" w:rsidP="00E97F0C" w14:paraId="29491A12" w14:textId="77777777">
      <w:pPr>
        <w:tabs>
          <w:tab w:val="left" w:pos="360"/>
        </w:tabs>
        <w:ind w:left="360" w:hanging="360"/>
        <w:rPr>
          <w:sz w:val="24"/>
          <w:szCs w:val="24"/>
        </w:rPr>
      </w:pPr>
      <w:r w:rsidRPr="006C7FAE">
        <w:rPr>
          <w:sz w:val="24"/>
          <w:szCs w:val="24"/>
        </w:rPr>
        <w:t>13.</w:t>
      </w:r>
      <w:r w:rsidRPr="006C7FAE">
        <w:rPr>
          <w:sz w:val="24"/>
          <w:szCs w:val="24"/>
        </w:rPr>
        <w:tab/>
        <w:t>Provide an estimate of the total annual cost burden to respondents or recordkeepers resulting from the collection of information</w:t>
      </w:r>
      <w:r>
        <w:rPr>
          <w:sz w:val="24"/>
          <w:szCs w:val="24"/>
        </w:rPr>
        <w:t xml:space="preserve">. </w:t>
      </w:r>
      <w:r w:rsidRPr="000D5079">
        <w:rPr>
          <w:sz w:val="24"/>
          <w:szCs w:val="24"/>
        </w:rPr>
        <w:t>(Do not include the cost of any hour burden already reflected on the burden worksheet</w:t>
      </w:r>
      <w:r w:rsidRPr="006C7FAE">
        <w:rPr>
          <w:sz w:val="24"/>
          <w:szCs w:val="24"/>
        </w:rPr>
        <w:t xml:space="preserve"> shown in Items 12 and 14).</w:t>
      </w:r>
    </w:p>
    <w:p w:rsidR="00E97F0C" w:rsidRPr="006C7FAE" w:rsidP="00E97F0C" w14:paraId="7479EC78" w14:textId="77777777">
      <w:pPr>
        <w:tabs>
          <w:tab w:val="left" w:pos="360"/>
        </w:tabs>
        <w:ind w:left="360" w:hanging="360"/>
        <w:rPr>
          <w:sz w:val="24"/>
          <w:szCs w:val="24"/>
        </w:rPr>
      </w:pPr>
      <w:r w:rsidRPr="006C7FAE">
        <w:rPr>
          <w:sz w:val="24"/>
          <w:szCs w:val="24"/>
        </w:rPr>
        <w:t xml:space="preserve"> </w:t>
      </w:r>
    </w:p>
    <w:p w:rsidR="00E97F0C" w:rsidRPr="006C7FAE" w:rsidP="00E97F0C" w14:paraId="04719FD3" w14:textId="77777777">
      <w:pPr>
        <w:numPr>
          <w:ilvl w:val="0"/>
          <w:numId w:val="2"/>
        </w:numPr>
        <w:tabs>
          <w:tab w:val="left" w:pos="360"/>
        </w:tabs>
        <w:ind w:left="480"/>
        <w:rPr>
          <w:sz w:val="24"/>
          <w:szCs w:val="24"/>
        </w:rPr>
      </w:pPr>
      <w:r w:rsidRPr="006C7FAE">
        <w:rPr>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w:t>
      </w:r>
      <w:r w:rsidRPr="006C7FAE">
        <w:rPr>
          <w:sz w:val="24"/>
          <w:szCs w:val="24"/>
        </w:rPr>
        <w:t>take into account</w:t>
      </w:r>
      <w:r w:rsidRPr="006C7FAE">
        <w:rPr>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6C7FAE">
        <w:rPr>
          <w:sz w:val="24"/>
          <w:szCs w:val="24"/>
        </w:rPr>
        <w:t>time period</w:t>
      </w:r>
      <w:r w:rsidRPr="006C7FAE">
        <w:rPr>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facilities; </w:t>
      </w:r>
    </w:p>
    <w:p w:rsidR="00E97F0C" w:rsidRPr="006C7FAE" w:rsidP="00E97F0C" w14:paraId="160D083E" w14:textId="77777777">
      <w:pPr>
        <w:numPr>
          <w:ilvl w:val="0"/>
          <w:numId w:val="2"/>
        </w:numPr>
        <w:tabs>
          <w:tab w:val="left" w:pos="360"/>
        </w:tabs>
        <w:ind w:left="480"/>
        <w:rPr>
          <w:sz w:val="24"/>
          <w:szCs w:val="24"/>
        </w:rPr>
      </w:pPr>
      <w:r w:rsidRPr="006C7FAE">
        <w:rPr>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E97F0C" w:rsidP="00E97F0C" w14:paraId="0D01FAE8" w14:textId="77777777">
      <w:pPr>
        <w:keepLines/>
        <w:numPr>
          <w:ilvl w:val="0"/>
          <w:numId w:val="2"/>
        </w:numPr>
        <w:tabs>
          <w:tab w:val="left" w:pos="360"/>
        </w:tabs>
        <w:spacing w:after="80"/>
        <w:ind w:left="480"/>
        <w:rPr>
          <w:sz w:val="24"/>
          <w:szCs w:val="24"/>
        </w:rPr>
      </w:pPr>
      <w:r>
        <w:rPr>
          <w:sz w:val="24"/>
          <w:szCs w:val="24"/>
        </w:rPr>
        <w:t>G</w:t>
      </w:r>
      <w:r w:rsidRPr="006C7FAE">
        <w:rPr>
          <w:sz w:val="24"/>
          <w:szCs w:val="24"/>
        </w:rPr>
        <w:t>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E97F0C" w:rsidP="00E97F0C" w14:paraId="20035B98" w14:textId="64766092">
      <w:pPr>
        <w:keepLines/>
        <w:tabs>
          <w:tab w:val="left" w:pos="360"/>
        </w:tabs>
        <w:spacing w:after="80"/>
        <w:ind w:left="480"/>
        <w:rPr>
          <w:sz w:val="24"/>
          <w:szCs w:val="24"/>
        </w:rPr>
      </w:pPr>
      <w:r>
        <w:rPr>
          <w:sz w:val="24"/>
          <w:szCs w:val="24"/>
        </w:rPr>
        <w:br/>
      </w:r>
      <w:r w:rsidR="000E70B6">
        <w:rPr>
          <w:sz w:val="24"/>
          <w:szCs w:val="24"/>
        </w:rPr>
        <w:t xml:space="preserve">There are no additional costs </w:t>
      </w:r>
      <w:r w:rsidR="000E70B6">
        <w:rPr>
          <w:sz w:val="24"/>
          <w:szCs w:val="24"/>
        </w:rPr>
        <w:t>to</w:t>
      </w:r>
      <w:r w:rsidR="000E70B6">
        <w:rPr>
          <w:sz w:val="24"/>
          <w:szCs w:val="24"/>
        </w:rPr>
        <w:t xml:space="preserve"> respondents other than the costs shown above in Question 12. </w:t>
      </w:r>
    </w:p>
    <w:p w:rsidR="00E97F0C" w:rsidRPr="006C7FAE" w:rsidP="00461A1C" w14:paraId="3BDD8A5F" w14:textId="77777777">
      <w:pPr>
        <w:pStyle w:val="NoSpacing"/>
      </w:pPr>
    </w:p>
    <w:p w:rsidR="00E97F0C" w:rsidP="00E97F0C" w14:paraId="3D12222C" w14:textId="77777777">
      <w:pPr>
        <w:keepLines/>
        <w:tabs>
          <w:tab w:val="left" w:pos="360"/>
        </w:tabs>
        <w:spacing w:after="80"/>
        <w:ind w:left="360" w:hanging="360"/>
        <w:rPr>
          <w:sz w:val="24"/>
          <w:szCs w:val="24"/>
        </w:rPr>
      </w:pPr>
      <w:r w:rsidRPr="006C7FAE">
        <w:rPr>
          <w:sz w:val="24"/>
          <w:szCs w:val="24"/>
        </w:rPr>
        <w:t>14.</w:t>
      </w:r>
      <w:r w:rsidRPr="006C7FAE">
        <w:rPr>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6C7FAE">
        <w:rPr>
          <w:sz w:val="24"/>
          <w:szCs w:val="24"/>
        </w:rPr>
        <w:t>expense</w:t>
      </w:r>
      <w:r w:rsidRPr="006C7FAE">
        <w:rPr>
          <w:sz w:val="24"/>
          <w:szCs w:val="24"/>
        </w:rPr>
        <w:t xml:space="preserve"> that would not have been incurred without this collection of information.  Agencies also may aggregate cost estimates from Items 12, 13, and 14 in a single table.</w:t>
      </w:r>
    </w:p>
    <w:p w:rsidR="00E97F0C" w:rsidRPr="005D39A5" w:rsidP="00E97F0C" w14:paraId="7BB5CCA5" w14:textId="60C229C0">
      <w:pPr>
        <w:keepLines/>
        <w:spacing w:after="80"/>
        <w:ind w:left="450" w:firstLine="360"/>
        <w:rPr>
          <w:sz w:val="24"/>
          <w:szCs w:val="24"/>
        </w:rPr>
      </w:pPr>
      <w:r>
        <w:rPr>
          <w:sz w:val="24"/>
          <w:szCs w:val="24"/>
        </w:rPr>
        <w:br/>
      </w:r>
      <w:r w:rsidRPr="005D39A5">
        <w:rPr>
          <w:sz w:val="24"/>
          <w:szCs w:val="24"/>
        </w:rPr>
        <w:t>The cost burden to the Federal government will primarily be in analyzing the number of families residing in public housing with incomes exceeding the over-income limit from HUD’s Inventory Management System/PIH Information Center (IMS/PIC) system. This data will then be combined with the number of families on the waiting lists for admission to public housing projects as reported by the PHAs. HUD will make these reports publicly available. </w:t>
      </w:r>
    </w:p>
    <w:p w:rsidR="00E97F0C" w:rsidRPr="005D39A5" w:rsidP="00E97F0C" w14:paraId="0878CDE8" w14:textId="77777777">
      <w:pPr>
        <w:keepLines/>
        <w:tabs>
          <w:tab w:val="left" w:pos="360"/>
        </w:tabs>
        <w:spacing w:after="80"/>
        <w:ind w:left="360" w:hanging="360"/>
        <w:rPr>
          <w:sz w:val="24"/>
          <w:szCs w:val="24"/>
        </w:rPr>
      </w:pPr>
      <w:r w:rsidRPr="005D39A5">
        <w:rPr>
          <w:sz w:val="24"/>
          <w:szCs w:val="24"/>
        </w:rPr>
        <w:t> </w:t>
      </w:r>
    </w:p>
    <w:p w:rsidR="00E97F0C" w:rsidRPr="005D39A5" w:rsidP="00E97F0C" w14:paraId="1D7FE96B" w14:textId="66BBD7E1">
      <w:pPr>
        <w:keepLines/>
        <w:tabs>
          <w:tab w:val="left" w:pos="360"/>
        </w:tabs>
        <w:spacing w:after="80"/>
        <w:ind w:left="360" w:hanging="360"/>
        <w:rPr>
          <w:sz w:val="24"/>
          <w:szCs w:val="24"/>
        </w:rPr>
      </w:pPr>
      <w:r>
        <w:rPr>
          <w:sz w:val="24"/>
          <w:szCs w:val="24"/>
        </w:rPr>
        <w:tab/>
      </w:r>
      <w:r w:rsidRPr="005D39A5">
        <w:rPr>
          <w:sz w:val="24"/>
          <w:szCs w:val="24"/>
        </w:rPr>
        <w:t xml:space="preserve">Once all the data has been collected, a complete review and analysis </w:t>
      </w:r>
      <w:r w:rsidRPr="005D39A5">
        <w:rPr>
          <w:sz w:val="24"/>
          <w:szCs w:val="24"/>
        </w:rPr>
        <w:t>requires</w:t>
      </w:r>
      <w:r w:rsidRPr="005D39A5">
        <w:rPr>
          <w:sz w:val="24"/>
          <w:szCs w:val="24"/>
        </w:rPr>
        <w:t xml:space="preserve"> an estimated 24 hours to create this annual report. This estimate include</w:t>
      </w:r>
      <w:r w:rsidR="005777ED">
        <w:rPr>
          <w:sz w:val="24"/>
          <w:szCs w:val="24"/>
        </w:rPr>
        <w:t>s</w:t>
      </w:r>
      <w:r w:rsidRPr="005D39A5">
        <w:rPr>
          <w:sz w:val="24"/>
          <w:szCs w:val="24"/>
        </w:rPr>
        <w:t xml:space="preserve"> the time HUD staff may need to consult with other offices in HUD for verification of the data. The </w:t>
      </w:r>
      <w:r w:rsidRPr="005D39A5" w:rsidR="00412D87">
        <w:rPr>
          <w:sz w:val="24"/>
          <w:szCs w:val="24"/>
        </w:rPr>
        <w:t>202</w:t>
      </w:r>
      <w:r w:rsidR="00412D87">
        <w:rPr>
          <w:sz w:val="24"/>
          <w:szCs w:val="24"/>
        </w:rPr>
        <w:t>6</w:t>
      </w:r>
      <w:r w:rsidRPr="005D39A5" w:rsidR="00412D87">
        <w:rPr>
          <w:sz w:val="24"/>
          <w:szCs w:val="24"/>
        </w:rPr>
        <w:t xml:space="preserve"> </w:t>
      </w:r>
      <w:r w:rsidRPr="005D39A5">
        <w:rPr>
          <w:sz w:val="24"/>
          <w:szCs w:val="24"/>
        </w:rPr>
        <w:t>national average HUD staff salary = $90,</w:t>
      </w:r>
      <w:r w:rsidR="003A7F67">
        <w:rPr>
          <w:sz w:val="24"/>
          <w:szCs w:val="24"/>
        </w:rPr>
        <w:t>952</w:t>
      </w:r>
      <w:r w:rsidRPr="005D39A5" w:rsidR="003A7F67">
        <w:rPr>
          <w:sz w:val="24"/>
          <w:szCs w:val="24"/>
        </w:rPr>
        <w:t xml:space="preserve"> </w:t>
      </w:r>
      <w:r w:rsidRPr="005D39A5">
        <w:rPr>
          <w:sz w:val="24"/>
          <w:szCs w:val="24"/>
        </w:rPr>
        <w:t>per year or $43.</w:t>
      </w:r>
      <w:r w:rsidR="00412D87">
        <w:rPr>
          <w:sz w:val="24"/>
          <w:szCs w:val="24"/>
        </w:rPr>
        <w:t>57</w:t>
      </w:r>
      <w:r w:rsidRPr="005D39A5" w:rsidR="00412D87">
        <w:rPr>
          <w:sz w:val="24"/>
          <w:szCs w:val="24"/>
        </w:rPr>
        <w:t xml:space="preserve"> </w:t>
      </w:r>
      <w:r w:rsidRPr="005D39A5">
        <w:rPr>
          <w:sz w:val="24"/>
          <w:szCs w:val="24"/>
        </w:rPr>
        <w:t>per hour.  </w:t>
      </w:r>
    </w:p>
    <w:p w:rsidR="00E97F0C" w:rsidRPr="005D39A5" w:rsidP="00E97F0C" w14:paraId="4F2A60D2" w14:textId="77777777">
      <w:pPr>
        <w:keepLines/>
        <w:tabs>
          <w:tab w:val="left" w:pos="360"/>
        </w:tabs>
        <w:spacing w:after="80"/>
        <w:ind w:left="360" w:hanging="360"/>
        <w:rPr>
          <w:sz w:val="24"/>
          <w:szCs w:val="24"/>
        </w:rPr>
      </w:pPr>
      <w:r w:rsidRPr="005D39A5">
        <w:rPr>
          <w:sz w:val="24"/>
          <w:szCs w:val="24"/>
        </w:rPr>
        <w:t> </w:t>
      </w:r>
    </w:p>
    <w:p w:rsidR="00E97F0C" w:rsidRPr="005D39A5" w:rsidP="00461A1C" w14:paraId="4F5378EB" w14:textId="0017A1F0">
      <w:pPr>
        <w:keepLines/>
        <w:tabs>
          <w:tab w:val="left" w:pos="360"/>
        </w:tabs>
        <w:spacing w:after="80"/>
        <w:rPr>
          <w:sz w:val="24"/>
          <w:szCs w:val="24"/>
        </w:rPr>
      </w:pPr>
      <w:r>
        <w:rPr>
          <w:sz w:val="24"/>
          <w:szCs w:val="24"/>
        </w:rPr>
        <w:tab/>
      </w:r>
      <w:r>
        <w:rPr>
          <w:sz w:val="24"/>
          <w:szCs w:val="24"/>
        </w:rPr>
        <w:tab/>
      </w:r>
      <w:r w:rsidRPr="005D39A5">
        <w:rPr>
          <w:sz w:val="24"/>
          <w:szCs w:val="24"/>
        </w:rPr>
        <w:t xml:space="preserve">Therefore, the estimated Annualized Costs to the Federal government </w:t>
      </w:r>
      <w:r w:rsidRPr="005D39A5">
        <w:rPr>
          <w:sz w:val="24"/>
          <w:szCs w:val="24"/>
        </w:rPr>
        <w:t>is</w:t>
      </w:r>
      <w:r w:rsidRPr="005D39A5">
        <w:rPr>
          <w:sz w:val="24"/>
          <w:szCs w:val="24"/>
        </w:rPr>
        <w:t xml:space="preserve">: 1 (report generated annually) x 24 hours = 24 hours of staff </w:t>
      </w:r>
      <w:r w:rsidRPr="005D39A5">
        <w:rPr>
          <w:sz w:val="24"/>
          <w:szCs w:val="24"/>
        </w:rPr>
        <w:t>time  24</w:t>
      </w:r>
      <w:r w:rsidRPr="005D39A5">
        <w:rPr>
          <w:sz w:val="24"/>
          <w:szCs w:val="24"/>
        </w:rPr>
        <w:t xml:space="preserve"> hours x $43.</w:t>
      </w:r>
      <w:r w:rsidR="00412D87">
        <w:rPr>
          <w:sz w:val="24"/>
          <w:szCs w:val="24"/>
        </w:rPr>
        <w:t>57</w:t>
      </w:r>
      <w:r w:rsidRPr="005D39A5" w:rsidR="00412D87">
        <w:rPr>
          <w:sz w:val="24"/>
          <w:szCs w:val="24"/>
        </w:rPr>
        <w:t xml:space="preserve"> </w:t>
      </w:r>
      <w:r w:rsidRPr="005D39A5">
        <w:rPr>
          <w:sz w:val="24"/>
          <w:szCs w:val="24"/>
        </w:rPr>
        <w:t>= $1,</w:t>
      </w:r>
      <w:r w:rsidRPr="005D39A5" w:rsidR="00412D87">
        <w:rPr>
          <w:sz w:val="24"/>
          <w:szCs w:val="24"/>
        </w:rPr>
        <w:t>0</w:t>
      </w:r>
      <w:r w:rsidR="00412D87">
        <w:rPr>
          <w:sz w:val="24"/>
          <w:szCs w:val="24"/>
        </w:rPr>
        <w:t>46</w:t>
      </w:r>
      <w:r w:rsidRPr="005D39A5" w:rsidR="00412D87">
        <w:rPr>
          <w:sz w:val="24"/>
          <w:szCs w:val="24"/>
        </w:rPr>
        <w:t> </w:t>
      </w:r>
    </w:p>
    <w:tbl>
      <w:tblPr>
        <w:tblW w:w="9990" w:type="dxa"/>
        <w:tblInd w:w="80" w:type="dxa"/>
        <w:tblCellMar>
          <w:left w:w="0" w:type="dxa"/>
          <w:right w:w="0" w:type="dxa"/>
        </w:tblCellMar>
        <w:tblLook w:val="04A0"/>
      </w:tblPr>
      <w:tblGrid>
        <w:gridCol w:w="1789"/>
        <w:gridCol w:w="1349"/>
        <w:gridCol w:w="1476"/>
        <w:gridCol w:w="1184"/>
        <w:gridCol w:w="1196"/>
        <w:gridCol w:w="861"/>
        <w:gridCol w:w="1098"/>
        <w:gridCol w:w="1037"/>
      </w:tblGrid>
      <w:tr w14:paraId="300DAF33" w14:textId="77777777">
        <w:tblPrEx>
          <w:tblW w:w="9990" w:type="dxa"/>
          <w:tblInd w:w="80" w:type="dxa"/>
          <w:tblCellMar>
            <w:left w:w="0" w:type="dxa"/>
            <w:right w:w="0" w:type="dxa"/>
          </w:tblCellMar>
          <w:tblLook w:val="04A0"/>
        </w:tblPrEx>
        <w:trPr>
          <w:trHeight w:val="643"/>
        </w:trPr>
        <w:tc>
          <w:tcPr>
            <w:tcW w:w="17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97F0C" w:rsidRPr="006C7FAE" w14:paraId="0FC79C0F" w14:textId="77777777">
            <w:pPr>
              <w:adjustRightInd/>
              <w:jc w:val="center"/>
              <w:textAlignment w:val="auto"/>
              <w:rPr>
                <w:rFonts w:eastAsia="Calibri"/>
                <w:b/>
                <w:bCs/>
                <w:color w:val="000000"/>
              </w:rPr>
            </w:pPr>
            <w:bookmarkStart w:id="0" w:name="_Hlk207178990"/>
            <w:r w:rsidRPr="006C7FAE">
              <w:rPr>
                <w:rFonts w:eastAsia="Calibri"/>
                <w:b/>
                <w:bCs/>
                <w:color w:val="000000"/>
              </w:rPr>
              <w:t>Information Collection</w:t>
            </w:r>
          </w:p>
        </w:tc>
        <w:tc>
          <w:tcPr>
            <w:tcW w:w="13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97F0C" w:rsidRPr="006C7FAE" w14:paraId="77BA98DA" w14:textId="77777777">
            <w:pPr>
              <w:adjustRightInd/>
              <w:jc w:val="center"/>
              <w:textAlignment w:val="auto"/>
              <w:rPr>
                <w:rFonts w:eastAsia="Calibri"/>
                <w:b/>
                <w:bCs/>
                <w:color w:val="000000"/>
              </w:rPr>
            </w:pPr>
            <w:r w:rsidRPr="006C7FAE">
              <w:rPr>
                <w:rFonts w:eastAsia="Calibri"/>
                <w:b/>
                <w:bCs/>
                <w:color w:val="000000"/>
              </w:rPr>
              <w:t>Number of Respondents</w:t>
            </w:r>
          </w:p>
        </w:tc>
        <w:tc>
          <w:tcPr>
            <w:tcW w:w="14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97F0C" w:rsidRPr="006C7FAE" w14:paraId="4C86E63F" w14:textId="77777777">
            <w:pPr>
              <w:adjustRightInd/>
              <w:jc w:val="center"/>
              <w:textAlignment w:val="auto"/>
              <w:rPr>
                <w:rFonts w:eastAsia="Calibri"/>
                <w:b/>
                <w:bCs/>
                <w:color w:val="000000"/>
              </w:rPr>
            </w:pPr>
            <w:r w:rsidRPr="006C7FAE">
              <w:rPr>
                <w:rFonts w:eastAsia="Calibri"/>
                <w:b/>
                <w:bCs/>
                <w:color w:val="000000"/>
              </w:rPr>
              <w:t>Frequency of Response</w:t>
            </w:r>
          </w:p>
        </w:tc>
        <w:tc>
          <w:tcPr>
            <w:tcW w:w="11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97F0C" w:rsidRPr="006C7FAE" w14:paraId="6E3BCCE2" w14:textId="77777777">
            <w:pPr>
              <w:overflowPunct/>
              <w:autoSpaceDE/>
              <w:autoSpaceDN/>
              <w:adjustRightInd/>
              <w:jc w:val="center"/>
              <w:textAlignment w:val="auto"/>
              <w:rPr>
                <w:rFonts w:eastAsia="Calibri"/>
                <w:b/>
                <w:bCs/>
                <w:color w:val="000000"/>
              </w:rPr>
            </w:pPr>
            <w:r w:rsidRPr="006C7FAE">
              <w:rPr>
                <w:rFonts w:eastAsia="Calibri"/>
                <w:b/>
                <w:bCs/>
                <w:color w:val="000000"/>
              </w:rPr>
              <w:t>Responses</w:t>
            </w:r>
          </w:p>
          <w:p w:rsidR="00E97F0C" w:rsidRPr="006C7FAE" w14:paraId="072FFDAE" w14:textId="77777777">
            <w:pPr>
              <w:adjustRightInd/>
              <w:jc w:val="center"/>
              <w:textAlignment w:val="auto"/>
              <w:rPr>
                <w:rFonts w:eastAsia="Calibri"/>
                <w:b/>
                <w:bCs/>
                <w:color w:val="000000"/>
              </w:rPr>
            </w:pPr>
            <w:r w:rsidRPr="006C7FAE">
              <w:rPr>
                <w:rFonts w:eastAsia="Calibri"/>
                <w:b/>
                <w:bCs/>
                <w:color w:val="000000"/>
              </w:rPr>
              <w:t>Per Annum</w:t>
            </w:r>
          </w:p>
        </w:tc>
        <w:tc>
          <w:tcPr>
            <w:tcW w:w="11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97F0C" w:rsidRPr="006C7FAE" w14:paraId="5723AE30" w14:textId="77777777">
            <w:pPr>
              <w:adjustRightInd/>
              <w:jc w:val="center"/>
              <w:textAlignment w:val="auto"/>
              <w:rPr>
                <w:rFonts w:eastAsia="Calibri"/>
                <w:b/>
                <w:bCs/>
                <w:color w:val="000000"/>
              </w:rPr>
            </w:pPr>
            <w:r w:rsidRPr="006C7FAE">
              <w:rPr>
                <w:rFonts w:eastAsia="Calibri"/>
                <w:b/>
                <w:bCs/>
                <w:color w:val="000000"/>
              </w:rPr>
              <w:t>Burden Hour Per Response</w:t>
            </w:r>
          </w:p>
        </w:tc>
        <w:tc>
          <w:tcPr>
            <w:tcW w:w="8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97F0C" w:rsidRPr="006C7FAE" w14:paraId="0EDE4733" w14:textId="77777777">
            <w:pPr>
              <w:adjustRightInd/>
              <w:jc w:val="center"/>
              <w:textAlignment w:val="auto"/>
              <w:rPr>
                <w:rFonts w:eastAsia="Calibri"/>
                <w:b/>
                <w:bCs/>
                <w:color w:val="000000"/>
              </w:rPr>
            </w:pPr>
            <w:r w:rsidRPr="006C7FAE">
              <w:rPr>
                <w:rFonts w:eastAsia="Calibri"/>
                <w:b/>
                <w:bCs/>
                <w:color w:val="000000"/>
              </w:rPr>
              <w:t>Annual Burden Hours</w:t>
            </w:r>
          </w:p>
        </w:tc>
        <w:tc>
          <w:tcPr>
            <w:tcW w:w="10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97F0C" w:rsidRPr="006C7FAE" w14:paraId="005E2841" w14:textId="77777777">
            <w:pPr>
              <w:adjustRightInd/>
              <w:jc w:val="center"/>
              <w:textAlignment w:val="auto"/>
              <w:rPr>
                <w:rFonts w:eastAsia="Calibri"/>
                <w:b/>
                <w:bCs/>
                <w:color w:val="000000"/>
              </w:rPr>
            </w:pPr>
            <w:r w:rsidRPr="006C7FAE">
              <w:rPr>
                <w:rFonts w:eastAsia="Calibri"/>
                <w:b/>
                <w:bCs/>
                <w:color w:val="000000"/>
              </w:rPr>
              <w:t>Hourly Cost Per Response</w:t>
            </w:r>
          </w:p>
        </w:tc>
        <w:tc>
          <w:tcPr>
            <w:tcW w:w="10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97F0C" w:rsidRPr="006C7FAE" w14:paraId="373AE5FC" w14:textId="77777777">
            <w:pPr>
              <w:overflowPunct/>
              <w:autoSpaceDE/>
              <w:autoSpaceDN/>
              <w:adjustRightInd/>
              <w:jc w:val="center"/>
              <w:textAlignment w:val="auto"/>
              <w:rPr>
                <w:rFonts w:eastAsia="Calibri"/>
                <w:b/>
                <w:bCs/>
                <w:color w:val="000000"/>
              </w:rPr>
            </w:pPr>
            <w:r w:rsidRPr="006C7FAE">
              <w:rPr>
                <w:rFonts w:eastAsia="Calibri"/>
                <w:b/>
                <w:bCs/>
                <w:color w:val="000000"/>
              </w:rPr>
              <w:t>Annual Cost</w:t>
            </w:r>
          </w:p>
          <w:p w:rsidR="00E97F0C" w:rsidRPr="006C7FAE" w14:paraId="6995BA01" w14:textId="77777777">
            <w:pPr>
              <w:adjustRightInd/>
              <w:jc w:val="center"/>
              <w:textAlignment w:val="auto"/>
              <w:rPr>
                <w:rFonts w:eastAsia="Calibri"/>
                <w:b/>
                <w:bCs/>
                <w:color w:val="000000"/>
              </w:rPr>
            </w:pPr>
          </w:p>
        </w:tc>
      </w:tr>
      <w:tr w14:paraId="6C0FB40C" w14:textId="77777777">
        <w:tblPrEx>
          <w:tblW w:w="9990" w:type="dxa"/>
          <w:tblInd w:w="80" w:type="dxa"/>
          <w:tblCellMar>
            <w:left w:w="0" w:type="dxa"/>
            <w:right w:w="0" w:type="dxa"/>
          </w:tblCellMar>
          <w:tblLook w:val="04A0"/>
        </w:tblPrEx>
        <w:tc>
          <w:tcPr>
            <w:tcW w:w="1789"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E97F0C" w:rsidRPr="00576962" w14:paraId="18071484" w14:textId="77777777">
            <w:pPr>
              <w:adjustRightInd/>
              <w:textAlignment w:val="auto"/>
              <w:rPr>
                <w:rFonts w:eastAsia="Calibri"/>
                <w:b/>
                <w:bCs/>
                <w:color w:val="000000"/>
              </w:rPr>
            </w:pPr>
            <w:r w:rsidRPr="74CE4145">
              <w:rPr>
                <w:rFonts w:ascii="Garamond" w:hAnsi="Garamond"/>
                <w:b/>
                <w:color w:val="000000" w:themeColor="text1"/>
                <w:sz w:val="18"/>
                <w:szCs w:val="18"/>
              </w:rPr>
              <w:t xml:space="preserve">Public Housing Waiting List Data Collection Tool </w:t>
            </w:r>
          </w:p>
        </w:tc>
        <w:tc>
          <w:tcPr>
            <w:tcW w:w="1349" w:type="dxa"/>
            <w:tcBorders>
              <w:top w:val="nil"/>
              <w:left w:val="nil"/>
              <w:bottom w:val="single" w:sz="4" w:space="0" w:color="auto"/>
              <w:right w:val="single" w:sz="8" w:space="0" w:color="auto"/>
            </w:tcBorders>
            <w:tcMar>
              <w:top w:w="0" w:type="dxa"/>
              <w:left w:w="108" w:type="dxa"/>
              <w:bottom w:w="0" w:type="dxa"/>
              <w:right w:w="108" w:type="dxa"/>
            </w:tcMar>
          </w:tcPr>
          <w:p w:rsidR="00E97F0C" w:rsidRPr="00576962" w14:paraId="62AACF63" w14:textId="77777777">
            <w:pPr>
              <w:adjustRightInd/>
              <w:jc w:val="center"/>
              <w:textAlignment w:val="auto"/>
              <w:rPr>
                <w:rFonts w:eastAsia="Calibri"/>
                <w:b/>
                <w:bCs/>
                <w:color w:val="000000"/>
              </w:rPr>
            </w:pPr>
            <w:r>
              <w:rPr>
                <w:rFonts w:eastAsia="Calibri"/>
                <w:b/>
                <w:bCs/>
                <w:color w:val="000000"/>
              </w:rPr>
              <w:t>2,681</w:t>
            </w:r>
          </w:p>
        </w:tc>
        <w:tc>
          <w:tcPr>
            <w:tcW w:w="1476" w:type="dxa"/>
            <w:tcBorders>
              <w:top w:val="nil"/>
              <w:left w:val="nil"/>
              <w:bottom w:val="single" w:sz="4" w:space="0" w:color="auto"/>
              <w:right w:val="single" w:sz="8" w:space="0" w:color="auto"/>
            </w:tcBorders>
            <w:tcMar>
              <w:top w:w="0" w:type="dxa"/>
              <w:left w:w="108" w:type="dxa"/>
              <w:bottom w:w="0" w:type="dxa"/>
              <w:right w:w="108" w:type="dxa"/>
            </w:tcMar>
          </w:tcPr>
          <w:p w:rsidR="00E97F0C" w:rsidRPr="00576962" w14:paraId="4DE2F516" w14:textId="77777777">
            <w:pPr>
              <w:adjustRightInd/>
              <w:jc w:val="center"/>
              <w:textAlignment w:val="auto"/>
              <w:rPr>
                <w:rFonts w:eastAsia="Calibri"/>
                <w:b/>
                <w:bCs/>
                <w:color w:val="000000"/>
              </w:rPr>
            </w:pPr>
            <w:r>
              <w:rPr>
                <w:rFonts w:eastAsia="Calibri"/>
                <w:b/>
                <w:bCs/>
                <w:color w:val="000000"/>
              </w:rPr>
              <w:t>1</w:t>
            </w:r>
          </w:p>
        </w:tc>
        <w:tc>
          <w:tcPr>
            <w:tcW w:w="1184" w:type="dxa"/>
            <w:tcBorders>
              <w:top w:val="nil"/>
              <w:left w:val="nil"/>
              <w:bottom w:val="single" w:sz="4" w:space="0" w:color="auto"/>
              <w:right w:val="single" w:sz="8" w:space="0" w:color="auto"/>
            </w:tcBorders>
            <w:tcMar>
              <w:top w:w="0" w:type="dxa"/>
              <w:left w:w="108" w:type="dxa"/>
              <w:bottom w:w="0" w:type="dxa"/>
              <w:right w:w="108" w:type="dxa"/>
            </w:tcMar>
          </w:tcPr>
          <w:p w:rsidR="00E97F0C" w:rsidRPr="00576962" w14:paraId="16E12AF5" w14:textId="77777777">
            <w:pPr>
              <w:adjustRightInd/>
              <w:jc w:val="center"/>
              <w:textAlignment w:val="auto"/>
              <w:rPr>
                <w:rFonts w:eastAsia="Calibri"/>
                <w:b/>
                <w:bCs/>
                <w:color w:val="000000"/>
              </w:rPr>
            </w:pPr>
            <w:r>
              <w:rPr>
                <w:rFonts w:eastAsia="Calibri"/>
                <w:b/>
                <w:bCs/>
                <w:color w:val="000000"/>
              </w:rPr>
              <w:t>2,681</w:t>
            </w:r>
          </w:p>
        </w:tc>
        <w:tc>
          <w:tcPr>
            <w:tcW w:w="1196" w:type="dxa"/>
            <w:tcBorders>
              <w:top w:val="nil"/>
              <w:left w:val="nil"/>
              <w:bottom w:val="single" w:sz="4" w:space="0" w:color="auto"/>
              <w:right w:val="single" w:sz="8" w:space="0" w:color="auto"/>
            </w:tcBorders>
            <w:tcMar>
              <w:top w:w="0" w:type="dxa"/>
              <w:left w:w="108" w:type="dxa"/>
              <w:bottom w:w="0" w:type="dxa"/>
              <w:right w:w="108" w:type="dxa"/>
            </w:tcMar>
          </w:tcPr>
          <w:p w:rsidR="00E97F0C" w:rsidRPr="00576962" w14:paraId="5739A3F0" w14:textId="77777777">
            <w:pPr>
              <w:adjustRightInd/>
              <w:jc w:val="center"/>
              <w:textAlignment w:val="auto"/>
              <w:rPr>
                <w:rFonts w:eastAsia="Calibri"/>
                <w:b/>
                <w:bCs/>
                <w:color w:val="000000"/>
              </w:rPr>
            </w:pPr>
            <w:r>
              <w:rPr>
                <w:rFonts w:eastAsia="Calibri"/>
                <w:b/>
                <w:bCs/>
                <w:color w:val="000000"/>
              </w:rPr>
              <w:t>.0089</w:t>
            </w:r>
          </w:p>
        </w:tc>
        <w:tc>
          <w:tcPr>
            <w:tcW w:w="861" w:type="dxa"/>
            <w:tcBorders>
              <w:top w:val="nil"/>
              <w:left w:val="nil"/>
              <w:bottom w:val="single" w:sz="4" w:space="0" w:color="auto"/>
              <w:right w:val="single" w:sz="8" w:space="0" w:color="auto"/>
            </w:tcBorders>
            <w:tcMar>
              <w:top w:w="0" w:type="dxa"/>
              <w:left w:w="108" w:type="dxa"/>
              <w:bottom w:w="0" w:type="dxa"/>
              <w:right w:w="108" w:type="dxa"/>
            </w:tcMar>
          </w:tcPr>
          <w:p w:rsidR="00E97F0C" w:rsidRPr="00576962" w14:paraId="59530B19" w14:textId="77777777">
            <w:pPr>
              <w:adjustRightInd/>
              <w:jc w:val="center"/>
              <w:textAlignment w:val="auto"/>
              <w:rPr>
                <w:rFonts w:eastAsia="Calibri"/>
                <w:b/>
                <w:bCs/>
                <w:color w:val="000000"/>
              </w:rPr>
            </w:pPr>
            <w:r>
              <w:rPr>
                <w:rFonts w:eastAsia="Calibri"/>
                <w:b/>
                <w:bCs/>
                <w:color w:val="000000"/>
              </w:rPr>
              <w:t>24</w:t>
            </w:r>
          </w:p>
        </w:tc>
        <w:tc>
          <w:tcPr>
            <w:tcW w:w="1098" w:type="dxa"/>
            <w:tcBorders>
              <w:top w:val="nil"/>
              <w:left w:val="nil"/>
              <w:bottom w:val="single" w:sz="4" w:space="0" w:color="auto"/>
              <w:right w:val="single" w:sz="8" w:space="0" w:color="auto"/>
            </w:tcBorders>
            <w:tcMar>
              <w:top w:w="0" w:type="dxa"/>
              <w:left w:w="108" w:type="dxa"/>
              <w:bottom w:w="0" w:type="dxa"/>
              <w:right w:w="108" w:type="dxa"/>
            </w:tcMar>
          </w:tcPr>
          <w:p w:rsidR="00E97F0C" w:rsidRPr="007E50D7" w14:paraId="61DDA0E9" w14:textId="7C11C008">
            <w:pPr>
              <w:adjustRightInd/>
              <w:jc w:val="center"/>
              <w:textAlignment w:val="auto"/>
              <w:rPr>
                <w:rFonts w:eastAsia="Calibri"/>
                <w:b/>
                <w:bCs/>
                <w:color w:val="000000"/>
              </w:rPr>
            </w:pPr>
            <w:r>
              <w:rPr>
                <w:rFonts w:eastAsia="Calibri"/>
                <w:b/>
                <w:bCs/>
                <w:color w:val="000000"/>
              </w:rPr>
              <w:t>$43.</w:t>
            </w:r>
            <w:r w:rsidR="00100EF7">
              <w:rPr>
                <w:rFonts w:eastAsia="Calibri"/>
                <w:b/>
                <w:bCs/>
                <w:color w:val="000000"/>
              </w:rPr>
              <w:t>57</w:t>
            </w:r>
            <w:r w:rsidR="00D37170">
              <w:rPr>
                <w:rFonts w:eastAsia="Calibri"/>
                <w:b/>
                <w:bCs/>
                <w:color w:val="000000"/>
              </w:rPr>
              <w:t>*</w:t>
            </w:r>
          </w:p>
        </w:tc>
        <w:tc>
          <w:tcPr>
            <w:tcW w:w="1037" w:type="dxa"/>
            <w:tcBorders>
              <w:top w:val="nil"/>
              <w:left w:val="nil"/>
              <w:bottom w:val="single" w:sz="4" w:space="0" w:color="auto"/>
              <w:right w:val="single" w:sz="8" w:space="0" w:color="auto"/>
            </w:tcBorders>
            <w:tcMar>
              <w:top w:w="0" w:type="dxa"/>
              <w:left w:w="108" w:type="dxa"/>
              <w:bottom w:w="0" w:type="dxa"/>
              <w:right w:w="108" w:type="dxa"/>
            </w:tcMar>
          </w:tcPr>
          <w:p w:rsidR="00E97F0C" w:rsidRPr="007E50D7" w14:paraId="0E72FAE4" w14:textId="7A357CDB">
            <w:pPr>
              <w:adjustRightInd/>
              <w:jc w:val="right"/>
              <w:textAlignment w:val="auto"/>
              <w:rPr>
                <w:rFonts w:eastAsia="Calibri"/>
                <w:b/>
                <w:bCs/>
                <w:color w:val="000000"/>
              </w:rPr>
            </w:pPr>
            <w:r>
              <w:rPr>
                <w:rFonts w:eastAsia="Calibri"/>
                <w:b/>
                <w:bCs/>
                <w:color w:val="000000"/>
              </w:rPr>
              <w:t>$</w:t>
            </w:r>
            <w:r w:rsidR="00467A44">
              <w:rPr>
                <w:rFonts w:eastAsia="Calibri"/>
                <w:b/>
                <w:bCs/>
                <w:color w:val="000000"/>
              </w:rPr>
              <w:t>1</w:t>
            </w:r>
            <w:r w:rsidR="00414AC0">
              <w:rPr>
                <w:rFonts w:eastAsia="Calibri"/>
                <w:b/>
                <w:bCs/>
                <w:color w:val="000000"/>
              </w:rPr>
              <w:t>,</w:t>
            </w:r>
            <w:r w:rsidR="00467A44">
              <w:rPr>
                <w:rFonts w:eastAsia="Calibri"/>
                <w:b/>
                <w:bCs/>
                <w:color w:val="000000"/>
              </w:rPr>
              <w:t>046</w:t>
            </w:r>
          </w:p>
        </w:tc>
      </w:tr>
      <w:tr w14:paraId="6F3DAA88" w14:textId="77777777">
        <w:tblPrEx>
          <w:tblW w:w="9990" w:type="dxa"/>
          <w:tblInd w:w="80" w:type="dxa"/>
          <w:tblCellMar>
            <w:left w:w="0" w:type="dxa"/>
            <w:right w:w="0" w:type="dxa"/>
          </w:tblCellMar>
          <w:tblLook w:val="04A0"/>
        </w:tblPrEx>
        <w:tc>
          <w:tcPr>
            <w:tcW w:w="1789" w:type="dxa"/>
            <w:tcBorders>
              <w:top w:val="single" w:sz="4" w:space="0" w:color="auto"/>
              <w:left w:val="single" w:sz="8" w:space="0" w:color="auto"/>
              <w:bottom w:val="nil"/>
              <w:right w:val="single" w:sz="8" w:space="0" w:color="auto"/>
            </w:tcBorders>
            <w:tcMar>
              <w:top w:w="0" w:type="dxa"/>
              <w:left w:w="108" w:type="dxa"/>
              <w:bottom w:w="0" w:type="dxa"/>
              <w:right w:w="108" w:type="dxa"/>
            </w:tcMar>
          </w:tcPr>
          <w:p w:rsidR="00E97F0C" w:rsidRPr="74CE4145" w14:paraId="317B2B8B" w14:textId="77777777">
            <w:pPr>
              <w:adjustRightInd/>
              <w:textAlignment w:val="auto"/>
              <w:rPr>
                <w:rFonts w:ascii="Garamond" w:hAnsi="Garamond"/>
                <w:b/>
                <w:color w:val="000000" w:themeColor="text1"/>
                <w:sz w:val="18"/>
                <w:szCs w:val="18"/>
              </w:rPr>
            </w:pPr>
            <w:r>
              <w:rPr>
                <w:rFonts w:ascii="Garamond" w:hAnsi="Garamond"/>
                <w:b/>
                <w:color w:val="000000" w:themeColor="text1"/>
                <w:sz w:val="18"/>
                <w:szCs w:val="18"/>
              </w:rPr>
              <w:t>TOTAL</w:t>
            </w:r>
          </w:p>
        </w:tc>
        <w:tc>
          <w:tcPr>
            <w:tcW w:w="1349" w:type="dxa"/>
            <w:tcBorders>
              <w:top w:val="single" w:sz="4" w:space="0" w:color="auto"/>
              <w:left w:val="nil"/>
              <w:bottom w:val="nil"/>
              <w:right w:val="single" w:sz="8" w:space="0" w:color="auto"/>
            </w:tcBorders>
            <w:tcMar>
              <w:top w:w="0" w:type="dxa"/>
              <w:left w:w="108" w:type="dxa"/>
              <w:bottom w:w="0" w:type="dxa"/>
              <w:right w:w="108" w:type="dxa"/>
            </w:tcMar>
          </w:tcPr>
          <w:p w:rsidR="00E97F0C" w14:paraId="5D423EA6" w14:textId="77777777">
            <w:pPr>
              <w:adjustRightInd/>
              <w:jc w:val="center"/>
              <w:textAlignment w:val="auto"/>
              <w:rPr>
                <w:rFonts w:eastAsia="Calibri"/>
                <w:b/>
                <w:bCs/>
                <w:color w:val="000000"/>
              </w:rPr>
            </w:pPr>
            <w:r>
              <w:rPr>
                <w:rFonts w:eastAsia="Calibri"/>
                <w:b/>
                <w:bCs/>
                <w:color w:val="000000"/>
              </w:rPr>
              <w:t>2,681</w:t>
            </w:r>
          </w:p>
        </w:tc>
        <w:tc>
          <w:tcPr>
            <w:tcW w:w="1476" w:type="dxa"/>
            <w:tcBorders>
              <w:top w:val="single" w:sz="4" w:space="0" w:color="auto"/>
              <w:left w:val="nil"/>
              <w:bottom w:val="nil"/>
              <w:right w:val="single" w:sz="8" w:space="0" w:color="auto"/>
            </w:tcBorders>
            <w:tcMar>
              <w:top w:w="0" w:type="dxa"/>
              <w:left w:w="108" w:type="dxa"/>
              <w:bottom w:w="0" w:type="dxa"/>
              <w:right w:w="108" w:type="dxa"/>
            </w:tcMar>
          </w:tcPr>
          <w:p w:rsidR="00E97F0C" w14:paraId="516A4743" w14:textId="77777777">
            <w:pPr>
              <w:adjustRightInd/>
              <w:jc w:val="center"/>
              <w:textAlignment w:val="auto"/>
              <w:rPr>
                <w:rFonts w:eastAsia="Calibri"/>
                <w:b/>
                <w:bCs/>
                <w:color w:val="000000"/>
              </w:rPr>
            </w:pPr>
            <w:r>
              <w:rPr>
                <w:rFonts w:eastAsia="Calibri"/>
                <w:b/>
                <w:bCs/>
                <w:color w:val="000000"/>
              </w:rPr>
              <w:t>1</w:t>
            </w:r>
          </w:p>
        </w:tc>
        <w:tc>
          <w:tcPr>
            <w:tcW w:w="1184" w:type="dxa"/>
            <w:tcBorders>
              <w:top w:val="single" w:sz="4" w:space="0" w:color="auto"/>
              <w:left w:val="nil"/>
              <w:bottom w:val="nil"/>
              <w:right w:val="single" w:sz="8" w:space="0" w:color="auto"/>
            </w:tcBorders>
            <w:tcMar>
              <w:top w:w="0" w:type="dxa"/>
              <w:left w:w="108" w:type="dxa"/>
              <w:bottom w:w="0" w:type="dxa"/>
              <w:right w:w="108" w:type="dxa"/>
            </w:tcMar>
          </w:tcPr>
          <w:p w:rsidR="00E97F0C" w14:paraId="753CB0D3" w14:textId="77777777">
            <w:pPr>
              <w:adjustRightInd/>
              <w:jc w:val="center"/>
              <w:textAlignment w:val="auto"/>
              <w:rPr>
                <w:rFonts w:eastAsia="Calibri"/>
                <w:b/>
                <w:bCs/>
                <w:color w:val="000000"/>
              </w:rPr>
            </w:pPr>
            <w:r>
              <w:rPr>
                <w:rFonts w:eastAsia="Calibri"/>
                <w:b/>
                <w:bCs/>
                <w:color w:val="000000"/>
              </w:rPr>
              <w:t>2,681</w:t>
            </w:r>
          </w:p>
        </w:tc>
        <w:tc>
          <w:tcPr>
            <w:tcW w:w="1196" w:type="dxa"/>
            <w:tcBorders>
              <w:top w:val="single" w:sz="4" w:space="0" w:color="auto"/>
              <w:left w:val="nil"/>
              <w:bottom w:val="nil"/>
              <w:right w:val="single" w:sz="8" w:space="0" w:color="auto"/>
            </w:tcBorders>
            <w:tcMar>
              <w:top w:w="0" w:type="dxa"/>
              <w:left w:w="108" w:type="dxa"/>
              <w:bottom w:w="0" w:type="dxa"/>
              <w:right w:w="108" w:type="dxa"/>
            </w:tcMar>
          </w:tcPr>
          <w:p w:rsidR="00E97F0C" w14:paraId="3458868A" w14:textId="77777777">
            <w:pPr>
              <w:adjustRightInd/>
              <w:jc w:val="center"/>
              <w:textAlignment w:val="auto"/>
              <w:rPr>
                <w:rFonts w:eastAsia="Calibri"/>
                <w:b/>
                <w:bCs/>
                <w:color w:val="000000"/>
              </w:rPr>
            </w:pPr>
            <w:r>
              <w:rPr>
                <w:rFonts w:eastAsia="Calibri"/>
                <w:b/>
                <w:bCs/>
                <w:color w:val="000000"/>
              </w:rPr>
              <w:t>.0089</w:t>
            </w:r>
          </w:p>
        </w:tc>
        <w:tc>
          <w:tcPr>
            <w:tcW w:w="861" w:type="dxa"/>
            <w:tcBorders>
              <w:top w:val="single" w:sz="4" w:space="0" w:color="auto"/>
              <w:left w:val="nil"/>
              <w:bottom w:val="nil"/>
              <w:right w:val="single" w:sz="8" w:space="0" w:color="auto"/>
            </w:tcBorders>
            <w:tcMar>
              <w:top w:w="0" w:type="dxa"/>
              <w:left w:w="108" w:type="dxa"/>
              <w:bottom w:w="0" w:type="dxa"/>
              <w:right w:w="108" w:type="dxa"/>
            </w:tcMar>
          </w:tcPr>
          <w:p w:rsidR="00E97F0C" w14:paraId="432E2796" w14:textId="77777777">
            <w:pPr>
              <w:adjustRightInd/>
              <w:jc w:val="center"/>
              <w:textAlignment w:val="auto"/>
              <w:rPr>
                <w:rFonts w:eastAsia="Calibri"/>
                <w:b/>
                <w:bCs/>
                <w:color w:val="000000"/>
              </w:rPr>
            </w:pPr>
            <w:r>
              <w:rPr>
                <w:rFonts w:eastAsia="Calibri"/>
                <w:b/>
                <w:bCs/>
                <w:color w:val="000000"/>
              </w:rPr>
              <w:t>24</w:t>
            </w:r>
          </w:p>
        </w:tc>
        <w:tc>
          <w:tcPr>
            <w:tcW w:w="1098" w:type="dxa"/>
            <w:tcBorders>
              <w:top w:val="single" w:sz="4" w:space="0" w:color="auto"/>
              <w:left w:val="nil"/>
              <w:bottom w:val="nil"/>
              <w:right w:val="single" w:sz="8" w:space="0" w:color="auto"/>
            </w:tcBorders>
            <w:tcMar>
              <w:top w:w="0" w:type="dxa"/>
              <w:left w:w="108" w:type="dxa"/>
              <w:bottom w:w="0" w:type="dxa"/>
              <w:right w:w="108" w:type="dxa"/>
            </w:tcMar>
          </w:tcPr>
          <w:p w:rsidR="00E97F0C" w14:paraId="5CB17BF5" w14:textId="6E33ACB4">
            <w:pPr>
              <w:adjustRightInd/>
              <w:jc w:val="center"/>
              <w:textAlignment w:val="auto"/>
              <w:rPr>
                <w:rFonts w:eastAsia="Calibri"/>
                <w:b/>
                <w:bCs/>
                <w:color w:val="000000"/>
              </w:rPr>
            </w:pPr>
            <w:r>
              <w:rPr>
                <w:rFonts w:eastAsia="Calibri"/>
                <w:b/>
                <w:bCs/>
                <w:color w:val="000000"/>
              </w:rPr>
              <w:t>$43.</w:t>
            </w:r>
            <w:r w:rsidR="00104560">
              <w:rPr>
                <w:rFonts w:eastAsia="Calibri"/>
                <w:b/>
                <w:bCs/>
                <w:color w:val="000000"/>
              </w:rPr>
              <w:t>57</w:t>
            </w:r>
          </w:p>
        </w:tc>
        <w:tc>
          <w:tcPr>
            <w:tcW w:w="1037" w:type="dxa"/>
            <w:tcBorders>
              <w:top w:val="single" w:sz="4" w:space="0" w:color="auto"/>
              <w:left w:val="nil"/>
              <w:bottom w:val="nil"/>
              <w:right w:val="single" w:sz="8" w:space="0" w:color="auto"/>
            </w:tcBorders>
            <w:tcMar>
              <w:top w:w="0" w:type="dxa"/>
              <w:left w:w="108" w:type="dxa"/>
              <w:bottom w:w="0" w:type="dxa"/>
              <w:right w:w="108" w:type="dxa"/>
            </w:tcMar>
          </w:tcPr>
          <w:p w:rsidR="00E97F0C" w14:paraId="1FED575F" w14:textId="7103E0E8">
            <w:pPr>
              <w:adjustRightInd/>
              <w:jc w:val="right"/>
              <w:textAlignment w:val="auto"/>
              <w:rPr>
                <w:rFonts w:eastAsia="Calibri"/>
                <w:b/>
                <w:bCs/>
                <w:color w:val="000000"/>
              </w:rPr>
            </w:pPr>
            <w:r>
              <w:rPr>
                <w:rFonts w:eastAsia="Calibri"/>
                <w:b/>
                <w:bCs/>
                <w:color w:val="000000"/>
              </w:rPr>
              <w:t>$</w:t>
            </w:r>
            <w:r w:rsidR="00467A44">
              <w:rPr>
                <w:rFonts w:eastAsia="Calibri"/>
                <w:b/>
                <w:bCs/>
                <w:color w:val="000000"/>
              </w:rPr>
              <w:t>1</w:t>
            </w:r>
            <w:r w:rsidR="00414AC0">
              <w:rPr>
                <w:rFonts w:eastAsia="Calibri"/>
                <w:b/>
                <w:bCs/>
                <w:color w:val="000000"/>
              </w:rPr>
              <w:t>,</w:t>
            </w:r>
            <w:r w:rsidR="00467A44">
              <w:rPr>
                <w:rFonts w:eastAsia="Calibri"/>
                <w:b/>
                <w:bCs/>
                <w:color w:val="000000"/>
              </w:rPr>
              <w:t>046</w:t>
            </w:r>
          </w:p>
        </w:tc>
      </w:tr>
      <w:tr w14:paraId="5F7832A6" w14:textId="77777777">
        <w:tblPrEx>
          <w:tblW w:w="9990" w:type="dxa"/>
          <w:tblInd w:w="80" w:type="dxa"/>
          <w:tblCellMar>
            <w:left w:w="0" w:type="dxa"/>
            <w:right w:w="0" w:type="dxa"/>
          </w:tblCellMar>
          <w:tblLook w:val="04A0"/>
        </w:tblPrEx>
        <w:tc>
          <w:tcPr>
            <w:tcW w:w="178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97F0C" w:rsidRPr="00576962" w14:paraId="2BC40723" w14:textId="77777777">
            <w:pPr>
              <w:adjustRightInd/>
              <w:textAlignment w:val="auto"/>
              <w:rPr>
                <w:rFonts w:eastAsia="Calibri"/>
                <w:b/>
                <w:bCs/>
                <w:color w:val="000000"/>
              </w:rPr>
            </w:pPr>
          </w:p>
        </w:tc>
        <w:tc>
          <w:tcPr>
            <w:tcW w:w="1349" w:type="dxa"/>
            <w:tcBorders>
              <w:top w:val="nil"/>
              <w:left w:val="nil"/>
              <w:bottom w:val="single" w:sz="8" w:space="0" w:color="auto"/>
              <w:right w:val="single" w:sz="8" w:space="0" w:color="auto"/>
            </w:tcBorders>
            <w:tcMar>
              <w:top w:w="0" w:type="dxa"/>
              <w:left w:w="108" w:type="dxa"/>
              <w:bottom w:w="0" w:type="dxa"/>
              <w:right w:w="108" w:type="dxa"/>
            </w:tcMar>
          </w:tcPr>
          <w:p w:rsidR="00E97F0C" w:rsidRPr="00576962" w14:paraId="1A529A91" w14:textId="77777777">
            <w:pPr>
              <w:adjustRightInd/>
              <w:jc w:val="center"/>
              <w:textAlignment w:val="auto"/>
              <w:rPr>
                <w:rFonts w:eastAsia="Calibri"/>
                <w:b/>
                <w:bCs/>
                <w:color w:val="000000"/>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E97F0C" w:rsidRPr="00576962" w14:paraId="6E005FC6" w14:textId="77777777">
            <w:pPr>
              <w:adjustRightInd/>
              <w:jc w:val="center"/>
              <w:textAlignment w:val="auto"/>
              <w:rPr>
                <w:rFonts w:eastAsia="Calibri"/>
                <w:b/>
                <w:bCs/>
                <w:color w:val="000000"/>
              </w:rPr>
            </w:pPr>
          </w:p>
        </w:tc>
        <w:tc>
          <w:tcPr>
            <w:tcW w:w="1184" w:type="dxa"/>
            <w:tcBorders>
              <w:top w:val="nil"/>
              <w:left w:val="nil"/>
              <w:bottom w:val="single" w:sz="8" w:space="0" w:color="auto"/>
              <w:right w:val="single" w:sz="8" w:space="0" w:color="auto"/>
            </w:tcBorders>
            <w:tcMar>
              <w:top w:w="0" w:type="dxa"/>
              <w:left w:w="108" w:type="dxa"/>
              <w:bottom w:w="0" w:type="dxa"/>
              <w:right w:w="108" w:type="dxa"/>
            </w:tcMar>
          </w:tcPr>
          <w:p w:rsidR="00E97F0C" w:rsidRPr="00576962" w14:paraId="1F672A7D" w14:textId="77777777">
            <w:pPr>
              <w:adjustRightInd/>
              <w:jc w:val="center"/>
              <w:textAlignment w:val="auto"/>
              <w:rPr>
                <w:rFonts w:eastAsia="Calibri"/>
                <w:b/>
                <w:bCs/>
                <w:color w:val="000000"/>
              </w:rPr>
            </w:pPr>
          </w:p>
        </w:tc>
        <w:tc>
          <w:tcPr>
            <w:tcW w:w="1196" w:type="dxa"/>
            <w:tcBorders>
              <w:top w:val="nil"/>
              <w:left w:val="nil"/>
              <w:bottom w:val="single" w:sz="8" w:space="0" w:color="auto"/>
              <w:right w:val="single" w:sz="8" w:space="0" w:color="auto"/>
            </w:tcBorders>
            <w:tcMar>
              <w:top w:w="0" w:type="dxa"/>
              <w:left w:w="108" w:type="dxa"/>
              <w:bottom w:w="0" w:type="dxa"/>
              <w:right w:w="108" w:type="dxa"/>
            </w:tcMar>
          </w:tcPr>
          <w:p w:rsidR="00E97F0C" w:rsidRPr="00576962" w14:paraId="53D5C51E" w14:textId="77777777">
            <w:pPr>
              <w:adjustRightInd/>
              <w:jc w:val="center"/>
              <w:textAlignment w:val="auto"/>
              <w:rPr>
                <w:rFonts w:eastAsia="Calibri"/>
                <w:b/>
                <w:bCs/>
                <w:color w:val="000000"/>
              </w:rPr>
            </w:pPr>
          </w:p>
        </w:tc>
        <w:tc>
          <w:tcPr>
            <w:tcW w:w="861" w:type="dxa"/>
            <w:tcBorders>
              <w:top w:val="nil"/>
              <w:left w:val="nil"/>
              <w:bottom w:val="single" w:sz="8" w:space="0" w:color="auto"/>
              <w:right w:val="single" w:sz="8" w:space="0" w:color="auto"/>
            </w:tcBorders>
            <w:tcMar>
              <w:top w:w="0" w:type="dxa"/>
              <w:left w:w="108" w:type="dxa"/>
              <w:bottom w:w="0" w:type="dxa"/>
              <w:right w:w="108" w:type="dxa"/>
            </w:tcMar>
          </w:tcPr>
          <w:p w:rsidR="00E97F0C" w:rsidRPr="00576962" w14:paraId="4AF7E338" w14:textId="77777777">
            <w:pPr>
              <w:adjustRightInd/>
              <w:jc w:val="center"/>
              <w:textAlignment w:val="auto"/>
              <w:rPr>
                <w:rFonts w:eastAsia="Calibri"/>
                <w:b/>
                <w:bCs/>
                <w:color w:val="000000"/>
              </w:rPr>
            </w:pPr>
          </w:p>
        </w:tc>
        <w:tc>
          <w:tcPr>
            <w:tcW w:w="1098" w:type="dxa"/>
            <w:tcBorders>
              <w:top w:val="nil"/>
              <w:left w:val="nil"/>
              <w:bottom w:val="single" w:sz="8" w:space="0" w:color="auto"/>
              <w:right w:val="single" w:sz="8" w:space="0" w:color="auto"/>
            </w:tcBorders>
            <w:tcMar>
              <w:top w:w="0" w:type="dxa"/>
              <w:left w:w="108" w:type="dxa"/>
              <w:bottom w:w="0" w:type="dxa"/>
              <w:right w:w="108" w:type="dxa"/>
            </w:tcMar>
          </w:tcPr>
          <w:p w:rsidR="00E97F0C" w:rsidRPr="007E50D7" w14:paraId="22D4B496" w14:textId="77777777">
            <w:pPr>
              <w:adjustRightInd/>
              <w:jc w:val="right"/>
              <w:textAlignment w:val="auto"/>
              <w:rPr>
                <w:rFonts w:eastAsia="Calibri"/>
                <w:b/>
                <w:bCs/>
                <w:color w:val="000000"/>
              </w:rPr>
            </w:pPr>
          </w:p>
        </w:tc>
        <w:tc>
          <w:tcPr>
            <w:tcW w:w="1037" w:type="dxa"/>
            <w:tcBorders>
              <w:top w:val="nil"/>
              <w:left w:val="nil"/>
              <w:bottom w:val="single" w:sz="8" w:space="0" w:color="auto"/>
              <w:right w:val="single" w:sz="8" w:space="0" w:color="auto"/>
            </w:tcBorders>
            <w:tcMar>
              <w:top w:w="0" w:type="dxa"/>
              <w:left w:w="108" w:type="dxa"/>
              <w:bottom w:w="0" w:type="dxa"/>
              <w:right w:w="108" w:type="dxa"/>
            </w:tcMar>
          </w:tcPr>
          <w:p w:rsidR="00E97F0C" w:rsidRPr="007E50D7" w14:paraId="55209EC8" w14:textId="77777777">
            <w:pPr>
              <w:adjustRightInd/>
              <w:jc w:val="right"/>
              <w:textAlignment w:val="auto"/>
              <w:rPr>
                <w:rFonts w:eastAsia="Calibri"/>
                <w:b/>
                <w:bCs/>
                <w:color w:val="000000"/>
              </w:rPr>
            </w:pPr>
          </w:p>
        </w:tc>
      </w:tr>
    </w:tbl>
    <w:bookmarkEnd w:id="0"/>
    <w:p w:rsidR="00E97F0C" w:rsidP="00E97F0C" w14:paraId="213BFBE6" w14:textId="2763198F">
      <w:pPr>
        <w:keepLines/>
        <w:tabs>
          <w:tab w:val="left" w:pos="360"/>
          <w:tab w:val="left" w:pos="720"/>
        </w:tabs>
        <w:rPr>
          <w:sz w:val="18"/>
          <w:szCs w:val="18"/>
        </w:rPr>
      </w:pPr>
      <w:r>
        <w:rPr>
          <w:sz w:val="18"/>
          <w:szCs w:val="18"/>
        </w:rPr>
        <w:tab/>
      </w:r>
      <w:r w:rsidR="00D37170">
        <w:rPr>
          <w:sz w:val="18"/>
          <w:szCs w:val="18"/>
        </w:rPr>
        <w:t>*</w:t>
      </w:r>
      <w:r>
        <w:fldChar w:fldCharType="begin"/>
      </w:r>
      <w:r w:rsidRPr="00091A91" w:rsidR="00D37170">
        <w:rPr>
          <w:rStyle w:val="Hyperlink"/>
        </w:rPr>
        <w:instrText xml:space="preserve"> HYPERLINK "https://www.opm.gov/policy-data-oversight/pay-leave/salaries-wages/salary-tables/pdf/2026/GS_h.pdf" </w:instrText>
      </w:r>
      <w:r>
        <w:fldChar w:fldCharType="separate"/>
      </w:r>
      <w:r w:rsidRPr="00091A91" w:rsidR="00D37170">
        <w:rPr>
          <w:rStyle w:val="Hyperlink"/>
        </w:rPr>
        <w:t>Based 202</w:t>
      </w:r>
      <w:r w:rsidRPr="00091A91" w:rsidR="00091A91">
        <w:rPr>
          <w:rStyle w:val="Hyperlink"/>
        </w:rPr>
        <w:t>6</w:t>
      </w:r>
      <w:r w:rsidRPr="00091A91" w:rsidR="00D37170">
        <w:rPr>
          <w:rStyle w:val="Hyperlink"/>
        </w:rPr>
        <w:t xml:space="preserve"> OPM Base GS Salary Table, GS-13, Step 1</w:t>
      </w:r>
      <w:r>
        <w:fldChar w:fldCharType="end"/>
      </w:r>
      <w:r>
        <w:rPr>
          <w:sz w:val="18"/>
          <w:szCs w:val="18"/>
        </w:rPr>
        <w:tab/>
      </w:r>
    </w:p>
    <w:p w:rsidR="00E97F0C" w:rsidRPr="006C7FAE" w:rsidP="00E97F0C" w14:paraId="153B681F" w14:textId="77777777">
      <w:pPr>
        <w:tabs>
          <w:tab w:val="left" w:pos="360"/>
        </w:tabs>
        <w:ind w:left="360" w:hanging="360"/>
        <w:rPr>
          <w:sz w:val="24"/>
          <w:szCs w:val="24"/>
        </w:rPr>
      </w:pPr>
      <w:r>
        <w:rPr>
          <w:sz w:val="24"/>
          <w:szCs w:val="24"/>
        </w:rPr>
        <w:tab/>
      </w:r>
    </w:p>
    <w:p w:rsidR="00E97F0C" w:rsidP="00E97F0C" w14:paraId="23161E44" w14:textId="77777777">
      <w:pPr>
        <w:keepLines/>
        <w:tabs>
          <w:tab w:val="left" w:pos="360"/>
        </w:tabs>
        <w:spacing w:after="80"/>
        <w:ind w:left="360" w:hanging="360"/>
        <w:rPr>
          <w:sz w:val="24"/>
          <w:szCs w:val="24"/>
        </w:rPr>
      </w:pPr>
      <w:r w:rsidRPr="006C7FAE">
        <w:rPr>
          <w:sz w:val="24"/>
          <w:szCs w:val="24"/>
        </w:rPr>
        <w:t>15.</w:t>
      </w:r>
      <w:r w:rsidRPr="006C7FAE">
        <w:rPr>
          <w:sz w:val="24"/>
          <w:szCs w:val="24"/>
        </w:rPr>
        <w:tab/>
        <w:t>Explain the reasons for any program changes or adjustments reported in Items 1</w:t>
      </w:r>
      <w:r>
        <w:rPr>
          <w:sz w:val="24"/>
          <w:szCs w:val="24"/>
        </w:rPr>
        <w:t>2</w:t>
      </w:r>
      <w:r w:rsidRPr="006C7FAE">
        <w:rPr>
          <w:sz w:val="24"/>
          <w:szCs w:val="24"/>
        </w:rPr>
        <w:t xml:space="preserve"> and 14 of the </w:t>
      </w:r>
      <w:r>
        <w:rPr>
          <w:sz w:val="24"/>
          <w:szCs w:val="24"/>
        </w:rPr>
        <w:t>Supporting Statement</w:t>
      </w:r>
      <w:r w:rsidRPr="006C7FAE">
        <w:rPr>
          <w:sz w:val="24"/>
          <w:szCs w:val="24"/>
        </w:rPr>
        <w:t>.</w:t>
      </w:r>
    </w:p>
    <w:p w:rsidR="00EC4093" w:rsidP="00E97F0C" w14:paraId="30AD157E" w14:textId="228DCE49">
      <w:pPr>
        <w:keepLines/>
        <w:tabs>
          <w:tab w:val="left" w:pos="360"/>
        </w:tabs>
        <w:spacing w:after="80"/>
        <w:ind w:left="360" w:hanging="360"/>
        <w:rPr>
          <w:sz w:val="24"/>
          <w:szCs w:val="24"/>
        </w:rPr>
      </w:pPr>
      <w:r>
        <w:rPr>
          <w:sz w:val="24"/>
          <w:szCs w:val="24"/>
        </w:rPr>
        <w:tab/>
      </w:r>
      <w:r w:rsidRPr="00D039FD">
        <w:rPr>
          <w:sz w:val="24"/>
          <w:szCs w:val="24"/>
        </w:rPr>
        <w:t xml:space="preserve"> </w:t>
      </w:r>
      <w:r>
        <w:rPr>
          <w:sz w:val="24"/>
          <w:szCs w:val="24"/>
        </w:rPr>
        <w:tab/>
      </w:r>
      <w:r>
        <w:rPr>
          <w:sz w:val="24"/>
          <w:szCs w:val="24"/>
        </w:rPr>
        <w:br/>
      </w:r>
      <w:r w:rsidR="00D31519">
        <w:rPr>
          <w:sz w:val="24"/>
          <w:szCs w:val="24"/>
        </w:rPr>
        <w:t>This submission is a</w:t>
      </w:r>
      <w:r w:rsidR="00D16723">
        <w:rPr>
          <w:sz w:val="24"/>
          <w:szCs w:val="24"/>
        </w:rPr>
        <w:t xml:space="preserve"> </w:t>
      </w:r>
      <w:r w:rsidR="00D31519">
        <w:rPr>
          <w:sz w:val="24"/>
          <w:szCs w:val="24"/>
        </w:rPr>
        <w:t>revision of a currently approved collection (OMB Control #2577-0302).</w:t>
      </w:r>
      <w:r w:rsidR="00A14E76">
        <w:rPr>
          <w:sz w:val="24"/>
          <w:szCs w:val="24"/>
        </w:rPr>
        <w:t xml:space="preserve">The </w:t>
      </w:r>
      <w:r w:rsidRPr="006C7FAE" w:rsidR="00A14E76">
        <w:rPr>
          <w:sz w:val="24"/>
          <w:szCs w:val="24"/>
        </w:rPr>
        <w:t>estimates of annualized cost</w:t>
      </w:r>
      <w:r w:rsidR="002A1927">
        <w:rPr>
          <w:sz w:val="24"/>
          <w:szCs w:val="24"/>
        </w:rPr>
        <w:t>s</w:t>
      </w:r>
      <w:r w:rsidRPr="006C7FAE" w:rsidR="00A14E76">
        <w:rPr>
          <w:sz w:val="24"/>
          <w:szCs w:val="24"/>
        </w:rPr>
        <w:t xml:space="preserve"> to respondents for collections of information</w:t>
      </w:r>
      <w:r w:rsidR="00A14E76">
        <w:rPr>
          <w:sz w:val="24"/>
          <w:szCs w:val="24"/>
        </w:rPr>
        <w:t xml:space="preserve"> has changed </w:t>
      </w:r>
      <w:r w:rsidR="00695BE2">
        <w:rPr>
          <w:sz w:val="24"/>
          <w:szCs w:val="24"/>
        </w:rPr>
        <w:t xml:space="preserve">since 2022 due an overall decrease in </w:t>
      </w:r>
      <w:r w:rsidR="00ED6ECB">
        <w:rPr>
          <w:sz w:val="24"/>
          <w:szCs w:val="24"/>
        </w:rPr>
        <w:t>PHA</w:t>
      </w:r>
      <w:r w:rsidR="00C806EC">
        <w:rPr>
          <w:sz w:val="24"/>
          <w:szCs w:val="24"/>
        </w:rPr>
        <w:t xml:space="preserve"> developments through </w:t>
      </w:r>
      <w:r w:rsidR="00234591">
        <w:rPr>
          <w:sz w:val="24"/>
          <w:szCs w:val="24"/>
        </w:rPr>
        <w:t>repositioning</w:t>
      </w:r>
      <w:r w:rsidR="007E221B">
        <w:rPr>
          <w:sz w:val="24"/>
          <w:szCs w:val="24"/>
        </w:rPr>
        <w:t xml:space="preserve">, </w:t>
      </w:r>
      <w:r w:rsidR="008A289B">
        <w:rPr>
          <w:sz w:val="24"/>
          <w:szCs w:val="24"/>
        </w:rPr>
        <w:t xml:space="preserve">an increase in in the hourly cost per response to reflect updated salaries, and </w:t>
      </w:r>
      <w:r w:rsidR="002F6809">
        <w:rPr>
          <w:sz w:val="24"/>
          <w:szCs w:val="24"/>
        </w:rPr>
        <w:t xml:space="preserve">an increase in </w:t>
      </w:r>
      <w:r w:rsidR="00ED6ECB">
        <w:rPr>
          <w:sz w:val="24"/>
          <w:szCs w:val="24"/>
        </w:rPr>
        <w:t xml:space="preserve">the burden hours per response </w:t>
      </w:r>
      <w:r w:rsidR="00C0370B">
        <w:rPr>
          <w:sz w:val="24"/>
          <w:szCs w:val="24"/>
        </w:rPr>
        <w:t xml:space="preserve">to reflect the </w:t>
      </w:r>
      <w:r w:rsidR="002F6809">
        <w:rPr>
          <w:sz w:val="24"/>
          <w:szCs w:val="24"/>
        </w:rPr>
        <w:t>comprehensive</w:t>
      </w:r>
      <w:r w:rsidR="00C0370B">
        <w:rPr>
          <w:sz w:val="24"/>
          <w:szCs w:val="24"/>
        </w:rPr>
        <w:t xml:space="preserve"> time to compile data and submit to HUD</w:t>
      </w:r>
      <w:r w:rsidR="002F6809">
        <w:rPr>
          <w:sz w:val="24"/>
          <w:szCs w:val="24"/>
        </w:rPr>
        <w:t xml:space="preserve"> through the Public Housing Portal. </w:t>
      </w:r>
    </w:p>
    <w:p w:rsidR="00E97F0C" w:rsidP="00E97F0C" w14:paraId="2293E89A" w14:textId="42D641F4">
      <w:pPr>
        <w:keepLines/>
        <w:tabs>
          <w:tab w:val="left" w:pos="360"/>
        </w:tabs>
        <w:spacing w:after="80"/>
        <w:ind w:left="360" w:hanging="360"/>
        <w:rPr>
          <w:sz w:val="24"/>
          <w:szCs w:val="24"/>
        </w:rPr>
      </w:pPr>
      <w:r>
        <w:rPr>
          <w:sz w:val="24"/>
          <w:szCs w:val="24"/>
        </w:rPr>
        <w:t xml:space="preserve">  </w:t>
      </w:r>
    </w:p>
    <w:p w:rsidR="00E97F0C" w:rsidP="00E97F0C" w14:paraId="1F4F23E1" w14:textId="77777777">
      <w:pPr>
        <w:keepLines/>
        <w:tabs>
          <w:tab w:val="left" w:pos="360"/>
        </w:tabs>
        <w:spacing w:after="80"/>
        <w:ind w:left="360" w:hanging="360"/>
        <w:rPr>
          <w:sz w:val="24"/>
          <w:szCs w:val="24"/>
        </w:rPr>
      </w:pPr>
      <w:r w:rsidRPr="006C7FAE">
        <w:rPr>
          <w:sz w:val="24"/>
          <w:szCs w:val="24"/>
        </w:rPr>
        <w:t>16.</w:t>
      </w:r>
      <w:r w:rsidRPr="006C7FAE">
        <w:rPr>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Pr>
          <w:sz w:val="24"/>
          <w:szCs w:val="24"/>
        </w:rPr>
        <w:br/>
      </w:r>
    </w:p>
    <w:p w:rsidR="00E97F0C" w:rsidP="00E97F0C" w14:paraId="3A20309A" w14:textId="7B1E532B">
      <w:pPr>
        <w:pStyle w:val="NoSpacing"/>
        <w:ind w:left="360"/>
      </w:pPr>
      <w:r w:rsidRPr="00447AC0">
        <w:rPr>
          <w:sz w:val="24"/>
          <w:szCs w:val="24"/>
        </w:rPr>
        <w:t xml:space="preserve">As required by HOTMA, these reports will be made public. HUD plans to publish the data as one report in an electronic format. PHAs will be given 90 days (Jan 1st – March </w:t>
      </w:r>
      <w:r w:rsidR="009E1917">
        <w:rPr>
          <w:sz w:val="24"/>
          <w:szCs w:val="24"/>
        </w:rPr>
        <w:t>31st</w:t>
      </w:r>
      <w:r w:rsidRPr="00447AC0">
        <w:rPr>
          <w:sz w:val="24"/>
          <w:szCs w:val="24"/>
        </w:rPr>
        <w:t>) to submit the total number of families on their waiting list as of December 31st of the previous year.  Once tabulated internally, the report will be published on the HUD.gov website by April 30th annual</w:t>
      </w:r>
      <w:r w:rsidR="009912C0">
        <w:rPr>
          <w:sz w:val="24"/>
          <w:szCs w:val="24"/>
        </w:rPr>
        <w:t>ly.</w:t>
      </w:r>
      <w:r>
        <w:rPr>
          <w:sz w:val="24"/>
          <w:szCs w:val="24"/>
        </w:rPr>
        <w:br/>
      </w:r>
    </w:p>
    <w:p w:rsidR="00E97F0C" w:rsidP="00E97F0C" w14:paraId="7FF550D1" w14:textId="77777777">
      <w:pPr>
        <w:keepLines/>
        <w:tabs>
          <w:tab w:val="left" w:pos="360"/>
        </w:tabs>
        <w:spacing w:after="80"/>
        <w:ind w:left="360" w:hanging="360"/>
        <w:rPr>
          <w:sz w:val="24"/>
          <w:szCs w:val="24"/>
        </w:rPr>
      </w:pPr>
      <w:r w:rsidRPr="006C7FAE">
        <w:rPr>
          <w:sz w:val="24"/>
          <w:szCs w:val="24"/>
        </w:rPr>
        <w:t>17.</w:t>
      </w:r>
      <w:r w:rsidRPr="006C7FAE">
        <w:rPr>
          <w:sz w:val="24"/>
          <w:szCs w:val="24"/>
        </w:rPr>
        <w:tab/>
        <w:t>If seeking approval to not display the expiration date for OMB approval of the information collection, explain the reasons that display would be inappropriate.</w:t>
      </w:r>
      <w:r>
        <w:rPr>
          <w:sz w:val="24"/>
          <w:szCs w:val="24"/>
        </w:rPr>
        <w:br/>
      </w:r>
    </w:p>
    <w:p w:rsidR="00E97F0C" w:rsidP="00E97F0C" w14:paraId="012A7012" w14:textId="0264101F">
      <w:pPr>
        <w:keepLines/>
        <w:tabs>
          <w:tab w:val="left" w:pos="360"/>
        </w:tabs>
        <w:spacing w:after="80"/>
        <w:ind w:left="360"/>
        <w:rPr>
          <w:sz w:val="24"/>
          <w:szCs w:val="24"/>
        </w:rPr>
      </w:pPr>
      <w:r w:rsidRPr="00EC03A3">
        <w:rPr>
          <w:sz w:val="24"/>
          <w:szCs w:val="24"/>
        </w:rPr>
        <w:t>The OMB expiration date will be displayed on all data collection instruments. No exceptions are requested.</w:t>
      </w:r>
      <w:r>
        <w:rPr>
          <w:sz w:val="24"/>
          <w:szCs w:val="24"/>
        </w:rPr>
        <w:br/>
      </w:r>
    </w:p>
    <w:p w:rsidR="00E97F0C" w:rsidP="00E97F0C" w14:paraId="541A05AE" w14:textId="77777777">
      <w:pPr>
        <w:keepLines/>
        <w:tabs>
          <w:tab w:val="left" w:pos="360"/>
        </w:tabs>
        <w:spacing w:after="80"/>
        <w:ind w:left="360" w:hanging="360"/>
        <w:rPr>
          <w:sz w:val="24"/>
          <w:szCs w:val="24"/>
        </w:rPr>
      </w:pPr>
      <w:r w:rsidRPr="006C7FAE">
        <w:rPr>
          <w:sz w:val="24"/>
          <w:szCs w:val="24"/>
        </w:rPr>
        <w:t>18.</w:t>
      </w:r>
      <w:r w:rsidRPr="006C7FAE">
        <w:rPr>
          <w:sz w:val="24"/>
          <w:szCs w:val="24"/>
        </w:rPr>
        <w:tab/>
        <w:t>Explain each exception to the certification statement.</w:t>
      </w:r>
    </w:p>
    <w:p w:rsidR="00EC4093" w:rsidP="00E97F0C" w14:paraId="123F3871" w14:textId="77777777">
      <w:pPr>
        <w:keepLines/>
        <w:tabs>
          <w:tab w:val="left" w:pos="360"/>
        </w:tabs>
        <w:spacing w:after="80"/>
        <w:ind w:left="720" w:hanging="360"/>
        <w:rPr>
          <w:sz w:val="24"/>
          <w:szCs w:val="24"/>
        </w:rPr>
      </w:pPr>
    </w:p>
    <w:p w:rsidR="00E97F0C" w:rsidRPr="006C7FAE" w:rsidP="00E97F0C" w14:paraId="0558C553" w14:textId="322360A4">
      <w:pPr>
        <w:keepLines/>
        <w:tabs>
          <w:tab w:val="left" w:pos="360"/>
        </w:tabs>
        <w:spacing w:after="80"/>
        <w:ind w:left="720" w:hanging="360"/>
        <w:rPr>
          <w:sz w:val="24"/>
          <w:szCs w:val="24"/>
        </w:rPr>
      </w:pPr>
      <w:r>
        <w:rPr>
          <w:sz w:val="24"/>
          <w:szCs w:val="24"/>
        </w:rPr>
        <w:t xml:space="preserve">There are no exceptions to the certification statement. </w:t>
      </w:r>
    </w:p>
    <w:p w:rsidR="00CE4C30" w14:paraId="17B7B61F" w14:textId="77777777"/>
    <w:sectPr w:rsidSect="00E97F0C">
      <w:footerReference w:type="default" r:id="rId11"/>
      <w:pgSz w:w="12240" w:h="15840"/>
      <w:pgMar w:top="1440" w:right="1440" w:bottom="1440" w:left="900" w:header="480" w:footer="480" w:gutter="0"/>
      <w:cols w:space="480" w:equalWidth="0">
        <w:col w:w="10080" w:space="0"/>
      </w:cols>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00259617"/>
      <w:docPartObj>
        <w:docPartGallery w:val="Page Numbers (Bottom of Page)"/>
        <w:docPartUnique/>
      </w:docPartObj>
    </w:sdtPr>
    <w:sdtEndPr>
      <w:rPr>
        <w:noProof/>
      </w:rPr>
    </w:sdtEndPr>
    <w:sdtContent>
      <w:p w:rsidR="00F07748" w14:paraId="3A2ED47B" w14:textId="3C800F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07748" w14:paraId="66847D6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E7870" w:rsidP="00E97F0C" w14:paraId="253829A2" w14:textId="77777777">
      <w:r>
        <w:separator/>
      </w:r>
    </w:p>
  </w:footnote>
  <w:footnote w:type="continuationSeparator" w:id="1">
    <w:p w:rsidR="00BE7870" w:rsidP="00E97F0C" w14:paraId="3F73B7FA" w14:textId="77777777">
      <w:r>
        <w:continuationSeparator/>
      </w:r>
    </w:p>
  </w:footnote>
  <w:footnote w:id="2">
    <w:p w:rsidR="00E97F0C" w:rsidP="00E97F0C" w14:paraId="3996A951" w14:textId="6AEA4E01">
      <w:pPr>
        <w:pStyle w:val="FootnoteText"/>
      </w:pPr>
      <w:r>
        <w:rPr>
          <w:rStyle w:val="FootnoteReference"/>
        </w:rPr>
        <w:footnoteRef/>
      </w:r>
      <w:r>
        <w:t xml:space="preserve"> </w:t>
      </w:r>
      <w:r w:rsidRPr="007D2711">
        <w:t xml:space="preserve">The level of work required to complete this web-based tool is equivalent to the work performed by an </w:t>
      </w:r>
      <w:r>
        <w:t>E</w:t>
      </w:r>
      <w:r w:rsidRPr="007D2711">
        <w:t xml:space="preserve">xecutive </w:t>
      </w:r>
      <w:r>
        <w:t>A</w:t>
      </w:r>
      <w:r w:rsidRPr="007D2711">
        <w:t xml:space="preserve">ssistant. The cost estimate provided in this table is based on the </w:t>
      </w:r>
      <w:hyperlink r:id="rId1" w:history="1">
        <w:r w:rsidRPr="00EE0124">
          <w:rPr>
            <w:rStyle w:val="Hyperlink"/>
          </w:rPr>
          <w:t>Bureau of Labor Statistics, U.S. Department of Labor, Occupational Outlook Handbook, Secretaries and Administrative Assistants</w:t>
        </w:r>
        <w:r w:rsidRPr="00EE0124" w:rsidR="00DD69C4">
          <w:rPr>
            <w:rStyle w:val="Hyperlink"/>
          </w:rPr>
          <w:t>, Except Legal, Medical, and Executive</w:t>
        </w:r>
      </w:hyperlink>
      <w:r w:rsidR="00EE0124">
        <w:t>.</w:t>
      </w:r>
      <w:r w:rsidRPr="007D2711">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0DC73D90"/>
    <w:multiLevelType w:val="hybridMultilevel"/>
    <w:tmpl w:val="FD125DF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
    <w:nsid w:val="28241A4F"/>
    <w:multiLevelType w:val="hybridMultilevel"/>
    <w:tmpl w:val="EC843AC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4B206095"/>
    <w:multiLevelType w:val="singleLevel"/>
    <w:tmpl w:val="2FA6477C"/>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abstractNum w:abstractNumId="4">
    <w:nsid w:val="5B657C7E"/>
    <w:multiLevelType w:val="hybridMultilevel"/>
    <w:tmpl w:val="894A79E8"/>
    <w:lvl w:ilvl="0">
      <w:start w:val="1"/>
      <w:numFmt w:val="bullet"/>
      <w:lvlText w:val=""/>
      <w:lvlJc w:val="left"/>
      <w:pPr>
        <w:ind w:left="1044" w:hanging="360"/>
      </w:pPr>
      <w:rPr>
        <w:rFonts w:ascii="Symbol" w:hAnsi="Symbol" w:hint="default"/>
      </w:rPr>
    </w:lvl>
    <w:lvl w:ilvl="1" w:tentative="1">
      <w:start w:val="1"/>
      <w:numFmt w:val="bullet"/>
      <w:lvlText w:val="o"/>
      <w:lvlJc w:val="left"/>
      <w:pPr>
        <w:ind w:left="1764" w:hanging="360"/>
      </w:pPr>
      <w:rPr>
        <w:rFonts w:ascii="Courier New" w:hAnsi="Courier New" w:cs="Courier New" w:hint="default"/>
      </w:rPr>
    </w:lvl>
    <w:lvl w:ilvl="2" w:tentative="1">
      <w:start w:val="1"/>
      <w:numFmt w:val="bullet"/>
      <w:lvlText w:val=""/>
      <w:lvlJc w:val="left"/>
      <w:pPr>
        <w:ind w:left="2484" w:hanging="360"/>
      </w:pPr>
      <w:rPr>
        <w:rFonts w:ascii="Wingdings" w:hAnsi="Wingdings" w:hint="default"/>
      </w:rPr>
    </w:lvl>
    <w:lvl w:ilvl="3" w:tentative="1">
      <w:start w:val="1"/>
      <w:numFmt w:val="bullet"/>
      <w:lvlText w:val=""/>
      <w:lvlJc w:val="left"/>
      <w:pPr>
        <w:ind w:left="3204" w:hanging="360"/>
      </w:pPr>
      <w:rPr>
        <w:rFonts w:ascii="Symbol" w:hAnsi="Symbol" w:hint="default"/>
      </w:rPr>
    </w:lvl>
    <w:lvl w:ilvl="4" w:tentative="1">
      <w:start w:val="1"/>
      <w:numFmt w:val="bullet"/>
      <w:lvlText w:val="o"/>
      <w:lvlJc w:val="left"/>
      <w:pPr>
        <w:ind w:left="3924" w:hanging="360"/>
      </w:pPr>
      <w:rPr>
        <w:rFonts w:ascii="Courier New" w:hAnsi="Courier New" w:cs="Courier New" w:hint="default"/>
      </w:rPr>
    </w:lvl>
    <w:lvl w:ilvl="5" w:tentative="1">
      <w:start w:val="1"/>
      <w:numFmt w:val="bullet"/>
      <w:lvlText w:val=""/>
      <w:lvlJc w:val="left"/>
      <w:pPr>
        <w:ind w:left="4644" w:hanging="360"/>
      </w:pPr>
      <w:rPr>
        <w:rFonts w:ascii="Wingdings" w:hAnsi="Wingdings" w:hint="default"/>
      </w:rPr>
    </w:lvl>
    <w:lvl w:ilvl="6" w:tentative="1">
      <w:start w:val="1"/>
      <w:numFmt w:val="bullet"/>
      <w:lvlText w:val=""/>
      <w:lvlJc w:val="left"/>
      <w:pPr>
        <w:ind w:left="5364" w:hanging="360"/>
      </w:pPr>
      <w:rPr>
        <w:rFonts w:ascii="Symbol" w:hAnsi="Symbol" w:hint="default"/>
      </w:rPr>
    </w:lvl>
    <w:lvl w:ilvl="7" w:tentative="1">
      <w:start w:val="1"/>
      <w:numFmt w:val="bullet"/>
      <w:lvlText w:val="o"/>
      <w:lvlJc w:val="left"/>
      <w:pPr>
        <w:ind w:left="6084" w:hanging="360"/>
      </w:pPr>
      <w:rPr>
        <w:rFonts w:ascii="Courier New" w:hAnsi="Courier New" w:cs="Courier New" w:hint="default"/>
      </w:rPr>
    </w:lvl>
    <w:lvl w:ilvl="8" w:tentative="1">
      <w:start w:val="1"/>
      <w:numFmt w:val="bullet"/>
      <w:lvlText w:val=""/>
      <w:lvlJc w:val="left"/>
      <w:pPr>
        <w:ind w:left="6804" w:hanging="360"/>
      </w:pPr>
      <w:rPr>
        <w:rFonts w:ascii="Wingdings" w:hAnsi="Wingdings" w:hint="default"/>
      </w:rPr>
    </w:lvl>
  </w:abstractNum>
  <w:num w:numId="1" w16cid:durableId="962225968">
    <w:abstractNumId w:val="3"/>
  </w:num>
  <w:num w:numId="2" w16cid:durableId="1774594277">
    <w:abstractNumId w:val="0"/>
    <w:lvlOverride w:ilvl="0">
      <w:lvl w:ilvl="0">
        <w:start w:val="1"/>
        <w:numFmt w:val="bullet"/>
        <w:lvlText w:val=""/>
        <w:legacy w:legacy="1" w:legacySpace="0" w:legacyIndent="144"/>
        <w:lvlJc w:val="left"/>
        <w:pPr>
          <w:ind w:left="684" w:hanging="144"/>
        </w:pPr>
        <w:rPr>
          <w:rFonts w:ascii="Symbol" w:hAnsi="Symbol" w:hint="default"/>
          <w:sz w:val="16"/>
        </w:rPr>
      </w:lvl>
    </w:lvlOverride>
  </w:num>
  <w:num w:numId="3" w16cid:durableId="1141650518">
    <w:abstractNumId w:val="1"/>
  </w:num>
  <w:num w:numId="4" w16cid:durableId="141193138">
    <w:abstractNumId w:val="4"/>
  </w:num>
  <w:num w:numId="5" w16cid:durableId="18232367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F0C"/>
    <w:rsid w:val="00004DBE"/>
    <w:rsid w:val="000063B1"/>
    <w:rsid w:val="00013101"/>
    <w:rsid w:val="00013AE8"/>
    <w:rsid w:val="00043529"/>
    <w:rsid w:val="00060EB6"/>
    <w:rsid w:val="00066C97"/>
    <w:rsid w:val="00090FDC"/>
    <w:rsid w:val="00091A91"/>
    <w:rsid w:val="000D5079"/>
    <w:rsid w:val="000E198B"/>
    <w:rsid w:val="000E70B6"/>
    <w:rsid w:val="000F03D3"/>
    <w:rsid w:val="00100026"/>
    <w:rsid w:val="00100EF7"/>
    <w:rsid w:val="00104560"/>
    <w:rsid w:val="0011745B"/>
    <w:rsid w:val="00123480"/>
    <w:rsid w:val="00136D5C"/>
    <w:rsid w:val="0014098D"/>
    <w:rsid w:val="001412AD"/>
    <w:rsid w:val="001565C6"/>
    <w:rsid w:val="001602BF"/>
    <w:rsid w:val="00167E53"/>
    <w:rsid w:val="001A4871"/>
    <w:rsid w:val="001B7799"/>
    <w:rsid w:val="001C0B94"/>
    <w:rsid w:val="001C37F8"/>
    <w:rsid w:val="001D437B"/>
    <w:rsid w:val="001D6AD5"/>
    <w:rsid w:val="00210E10"/>
    <w:rsid w:val="002114F2"/>
    <w:rsid w:val="002258D5"/>
    <w:rsid w:val="00234591"/>
    <w:rsid w:val="0026542B"/>
    <w:rsid w:val="002660FF"/>
    <w:rsid w:val="00275810"/>
    <w:rsid w:val="00283C34"/>
    <w:rsid w:val="002915F9"/>
    <w:rsid w:val="0029750C"/>
    <w:rsid w:val="002A1927"/>
    <w:rsid w:val="002A35C8"/>
    <w:rsid w:val="002A45B9"/>
    <w:rsid w:val="002C36B1"/>
    <w:rsid w:val="002C6246"/>
    <w:rsid w:val="002E3F31"/>
    <w:rsid w:val="002F5069"/>
    <w:rsid w:val="002F6809"/>
    <w:rsid w:val="002F75D8"/>
    <w:rsid w:val="003209D1"/>
    <w:rsid w:val="00324700"/>
    <w:rsid w:val="00335884"/>
    <w:rsid w:val="00336484"/>
    <w:rsid w:val="003459A4"/>
    <w:rsid w:val="00353D61"/>
    <w:rsid w:val="003A4109"/>
    <w:rsid w:val="003A747B"/>
    <w:rsid w:val="003A76ED"/>
    <w:rsid w:val="003A7F67"/>
    <w:rsid w:val="003B115D"/>
    <w:rsid w:val="003C67AB"/>
    <w:rsid w:val="003E4715"/>
    <w:rsid w:val="003F076B"/>
    <w:rsid w:val="003F64BB"/>
    <w:rsid w:val="00403865"/>
    <w:rsid w:val="00412D87"/>
    <w:rsid w:val="00414AC0"/>
    <w:rsid w:val="00416CE6"/>
    <w:rsid w:val="0041744E"/>
    <w:rsid w:val="00425CAB"/>
    <w:rsid w:val="00427D90"/>
    <w:rsid w:val="00427EEB"/>
    <w:rsid w:val="00447AC0"/>
    <w:rsid w:val="00461A1C"/>
    <w:rsid w:val="00467A44"/>
    <w:rsid w:val="0048409F"/>
    <w:rsid w:val="004851B9"/>
    <w:rsid w:val="0049562E"/>
    <w:rsid w:val="004976F6"/>
    <w:rsid w:val="0049792F"/>
    <w:rsid w:val="004B53F1"/>
    <w:rsid w:val="004C3CB2"/>
    <w:rsid w:val="004C4077"/>
    <w:rsid w:val="004C5528"/>
    <w:rsid w:val="004C6BF0"/>
    <w:rsid w:val="004C7860"/>
    <w:rsid w:val="004F6F56"/>
    <w:rsid w:val="005025F9"/>
    <w:rsid w:val="00502608"/>
    <w:rsid w:val="00510BD3"/>
    <w:rsid w:val="00511D69"/>
    <w:rsid w:val="00515385"/>
    <w:rsid w:val="00515411"/>
    <w:rsid w:val="00532EAE"/>
    <w:rsid w:val="00535715"/>
    <w:rsid w:val="00567B6F"/>
    <w:rsid w:val="00576962"/>
    <w:rsid w:val="005777ED"/>
    <w:rsid w:val="005C5482"/>
    <w:rsid w:val="005D08DD"/>
    <w:rsid w:val="005D2DB9"/>
    <w:rsid w:val="005D38FB"/>
    <w:rsid w:val="005D39A5"/>
    <w:rsid w:val="005E6324"/>
    <w:rsid w:val="00601B9D"/>
    <w:rsid w:val="0063679B"/>
    <w:rsid w:val="00637186"/>
    <w:rsid w:val="0065253A"/>
    <w:rsid w:val="006644C4"/>
    <w:rsid w:val="0066711E"/>
    <w:rsid w:val="0069027C"/>
    <w:rsid w:val="00694538"/>
    <w:rsid w:val="00695BE2"/>
    <w:rsid w:val="006B2AE3"/>
    <w:rsid w:val="006B583B"/>
    <w:rsid w:val="006C6AE8"/>
    <w:rsid w:val="006C7FAE"/>
    <w:rsid w:val="006D0E82"/>
    <w:rsid w:val="006D6530"/>
    <w:rsid w:val="006E3146"/>
    <w:rsid w:val="00703C44"/>
    <w:rsid w:val="007230C7"/>
    <w:rsid w:val="007231D7"/>
    <w:rsid w:val="00733DCC"/>
    <w:rsid w:val="007368E9"/>
    <w:rsid w:val="00737DB5"/>
    <w:rsid w:val="00747B8A"/>
    <w:rsid w:val="00760542"/>
    <w:rsid w:val="00770D39"/>
    <w:rsid w:val="007764C1"/>
    <w:rsid w:val="00776653"/>
    <w:rsid w:val="007775F9"/>
    <w:rsid w:val="00782349"/>
    <w:rsid w:val="007A0BEB"/>
    <w:rsid w:val="007B044E"/>
    <w:rsid w:val="007B58DB"/>
    <w:rsid w:val="007D2711"/>
    <w:rsid w:val="007E0736"/>
    <w:rsid w:val="007E221B"/>
    <w:rsid w:val="007E50D7"/>
    <w:rsid w:val="00802788"/>
    <w:rsid w:val="00817717"/>
    <w:rsid w:val="00821B52"/>
    <w:rsid w:val="008444B6"/>
    <w:rsid w:val="00850C74"/>
    <w:rsid w:val="008649CA"/>
    <w:rsid w:val="008744EA"/>
    <w:rsid w:val="00887AAA"/>
    <w:rsid w:val="00893074"/>
    <w:rsid w:val="008A289B"/>
    <w:rsid w:val="008A2F44"/>
    <w:rsid w:val="008B6AB5"/>
    <w:rsid w:val="008C044C"/>
    <w:rsid w:val="008C7068"/>
    <w:rsid w:val="008D1B30"/>
    <w:rsid w:val="008D44A2"/>
    <w:rsid w:val="008D69DE"/>
    <w:rsid w:val="008D7710"/>
    <w:rsid w:val="0091234A"/>
    <w:rsid w:val="00927A5A"/>
    <w:rsid w:val="00944291"/>
    <w:rsid w:val="00975E43"/>
    <w:rsid w:val="0097734B"/>
    <w:rsid w:val="009912C0"/>
    <w:rsid w:val="009C6AEE"/>
    <w:rsid w:val="009E1917"/>
    <w:rsid w:val="00A139A7"/>
    <w:rsid w:val="00A14E76"/>
    <w:rsid w:val="00A20E55"/>
    <w:rsid w:val="00A27059"/>
    <w:rsid w:val="00A50519"/>
    <w:rsid w:val="00A53FB9"/>
    <w:rsid w:val="00A92C72"/>
    <w:rsid w:val="00AA2981"/>
    <w:rsid w:val="00AA2A41"/>
    <w:rsid w:val="00AA7BAA"/>
    <w:rsid w:val="00AB58C5"/>
    <w:rsid w:val="00AE02A3"/>
    <w:rsid w:val="00AE1452"/>
    <w:rsid w:val="00AF10D5"/>
    <w:rsid w:val="00B07201"/>
    <w:rsid w:val="00B1047B"/>
    <w:rsid w:val="00B167E8"/>
    <w:rsid w:val="00B24800"/>
    <w:rsid w:val="00B36479"/>
    <w:rsid w:val="00B36E71"/>
    <w:rsid w:val="00B436B7"/>
    <w:rsid w:val="00B7103A"/>
    <w:rsid w:val="00B71058"/>
    <w:rsid w:val="00BB1767"/>
    <w:rsid w:val="00BC7A32"/>
    <w:rsid w:val="00BD1E3F"/>
    <w:rsid w:val="00BE7870"/>
    <w:rsid w:val="00BF02CF"/>
    <w:rsid w:val="00C00051"/>
    <w:rsid w:val="00C008CD"/>
    <w:rsid w:val="00C01DD4"/>
    <w:rsid w:val="00C0370B"/>
    <w:rsid w:val="00C17970"/>
    <w:rsid w:val="00C227B7"/>
    <w:rsid w:val="00C3620F"/>
    <w:rsid w:val="00C806EC"/>
    <w:rsid w:val="00C903A0"/>
    <w:rsid w:val="00CA549A"/>
    <w:rsid w:val="00CC2B62"/>
    <w:rsid w:val="00CE4C30"/>
    <w:rsid w:val="00CF154C"/>
    <w:rsid w:val="00D039FD"/>
    <w:rsid w:val="00D12A08"/>
    <w:rsid w:val="00D16723"/>
    <w:rsid w:val="00D1732B"/>
    <w:rsid w:val="00D27B80"/>
    <w:rsid w:val="00D31519"/>
    <w:rsid w:val="00D37170"/>
    <w:rsid w:val="00D40A0B"/>
    <w:rsid w:val="00D47645"/>
    <w:rsid w:val="00D84471"/>
    <w:rsid w:val="00D85555"/>
    <w:rsid w:val="00D95D6D"/>
    <w:rsid w:val="00DC2896"/>
    <w:rsid w:val="00DC7891"/>
    <w:rsid w:val="00DD69C4"/>
    <w:rsid w:val="00DE6BAB"/>
    <w:rsid w:val="00E0462D"/>
    <w:rsid w:val="00E1637E"/>
    <w:rsid w:val="00E23861"/>
    <w:rsid w:val="00E35D0A"/>
    <w:rsid w:val="00E401E5"/>
    <w:rsid w:val="00E45AF3"/>
    <w:rsid w:val="00E574CA"/>
    <w:rsid w:val="00E653F8"/>
    <w:rsid w:val="00E6639F"/>
    <w:rsid w:val="00E7333D"/>
    <w:rsid w:val="00E8245A"/>
    <w:rsid w:val="00E95F11"/>
    <w:rsid w:val="00E97F0C"/>
    <w:rsid w:val="00EC03A3"/>
    <w:rsid w:val="00EC4093"/>
    <w:rsid w:val="00ED6ECB"/>
    <w:rsid w:val="00EE0124"/>
    <w:rsid w:val="00EF3008"/>
    <w:rsid w:val="00F009EF"/>
    <w:rsid w:val="00F07748"/>
    <w:rsid w:val="00F11C8E"/>
    <w:rsid w:val="00F24802"/>
    <w:rsid w:val="00F24DD2"/>
    <w:rsid w:val="00F31DCE"/>
    <w:rsid w:val="00F414CC"/>
    <w:rsid w:val="00F575B7"/>
    <w:rsid w:val="00F82C06"/>
    <w:rsid w:val="00F84A7E"/>
    <w:rsid w:val="00FA7A0E"/>
    <w:rsid w:val="00FB61F4"/>
    <w:rsid w:val="00FC0920"/>
    <w:rsid w:val="00FC647E"/>
    <w:rsid w:val="00FD05B1"/>
    <w:rsid w:val="00FE52CF"/>
    <w:rsid w:val="00FE65A7"/>
    <w:rsid w:val="00FF57A0"/>
    <w:rsid w:val="0F522D80"/>
    <w:rsid w:val="28C8DF81"/>
    <w:rsid w:val="74CE4145"/>
    <w:rsid w:val="77DF35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95D16C"/>
  <w15:chartTrackingRefBased/>
  <w15:docId w15:val="{F7126E8D-45F6-4DD2-965F-BB3C75B87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7F0C"/>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E97F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7F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7F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7F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7F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7F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7F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7F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7F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F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7F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7F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7F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7F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7F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7F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7F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7F0C"/>
    <w:rPr>
      <w:rFonts w:eastAsiaTheme="majorEastAsia" w:cstheme="majorBidi"/>
      <w:color w:val="272727" w:themeColor="text1" w:themeTint="D8"/>
    </w:rPr>
  </w:style>
  <w:style w:type="paragraph" w:styleId="Title">
    <w:name w:val="Title"/>
    <w:basedOn w:val="Normal"/>
    <w:next w:val="Normal"/>
    <w:link w:val="TitleChar"/>
    <w:uiPriority w:val="10"/>
    <w:qFormat/>
    <w:rsid w:val="00E97F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7F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7F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7F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7F0C"/>
    <w:pPr>
      <w:spacing w:before="160"/>
      <w:jc w:val="center"/>
    </w:pPr>
    <w:rPr>
      <w:i/>
      <w:iCs/>
      <w:color w:val="404040" w:themeColor="text1" w:themeTint="BF"/>
    </w:rPr>
  </w:style>
  <w:style w:type="character" w:customStyle="1" w:styleId="QuoteChar">
    <w:name w:val="Quote Char"/>
    <w:basedOn w:val="DefaultParagraphFont"/>
    <w:link w:val="Quote"/>
    <w:uiPriority w:val="29"/>
    <w:rsid w:val="00E97F0C"/>
    <w:rPr>
      <w:i/>
      <w:iCs/>
      <w:color w:val="404040" w:themeColor="text1" w:themeTint="BF"/>
    </w:rPr>
  </w:style>
  <w:style w:type="paragraph" w:styleId="ListParagraph">
    <w:name w:val="List Paragraph"/>
    <w:basedOn w:val="Normal"/>
    <w:uiPriority w:val="34"/>
    <w:qFormat/>
    <w:rsid w:val="00E97F0C"/>
    <w:pPr>
      <w:ind w:left="720"/>
      <w:contextualSpacing/>
    </w:pPr>
  </w:style>
  <w:style w:type="character" w:styleId="IntenseEmphasis">
    <w:name w:val="Intense Emphasis"/>
    <w:basedOn w:val="DefaultParagraphFont"/>
    <w:uiPriority w:val="21"/>
    <w:qFormat/>
    <w:rsid w:val="00E97F0C"/>
    <w:rPr>
      <w:i/>
      <w:iCs/>
      <w:color w:val="0F4761" w:themeColor="accent1" w:themeShade="BF"/>
    </w:rPr>
  </w:style>
  <w:style w:type="paragraph" w:styleId="IntenseQuote">
    <w:name w:val="Intense Quote"/>
    <w:basedOn w:val="Normal"/>
    <w:next w:val="Normal"/>
    <w:link w:val="IntenseQuoteChar"/>
    <w:uiPriority w:val="30"/>
    <w:qFormat/>
    <w:rsid w:val="00E97F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7F0C"/>
    <w:rPr>
      <w:i/>
      <w:iCs/>
      <w:color w:val="0F4761" w:themeColor="accent1" w:themeShade="BF"/>
    </w:rPr>
  </w:style>
  <w:style w:type="character" w:styleId="IntenseReference">
    <w:name w:val="Intense Reference"/>
    <w:basedOn w:val="DefaultParagraphFont"/>
    <w:uiPriority w:val="32"/>
    <w:qFormat/>
    <w:rsid w:val="00E97F0C"/>
    <w:rPr>
      <w:b/>
      <w:bCs/>
      <w:smallCaps/>
      <w:color w:val="0F4761" w:themeColor="accent1" w:themeShade="BF"/>
      <w:spacing w:val="5"/>
    </w:rPr>
  </w:style>
  <w:style w:type="paragraph" w:styleId="NoSpacing">
    <w:name w:val="No Spacing"/>
    <w:uiPriority w:val="1"/>
    <w:qFormat/>
    <w:rsid w:val="00E97F0C"/>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E97F0C"/>
    <w:rPr>
      <w:color w:val="467886" w:themeColor="hyperlink"/>
      <w:u w:val="single"/>
    </w:rPr>
  </w:style>
  <w:style w:type="paragraph" w:styleId="FootnoteText">
    <w:name w:val="footnote text"/>
    <w:basedOn w:val="Normal"/>
    <w:link w:val="FootnoteTextChar"/>
    <w:uiPriority w:val="99"/>
    <w:semiHidden/>
    <w:unhideWhenUsed/>
    <w:rsid w:val="00E97F0C"/>
  </w:style>
  <w:style w:type="character" w:customStyle="1" w:styleId="FootnoteTextChar">
    <w:name w:val="Footnote Text Char"/>
    <w:basedOn w:val="DefaultParagraphFont"/>
    <w:link w:val="FootnoteText"/>
    <w:uiPriority w:val="99"/>
    <w:semiHidden/>
    <w:rsid w:val="00E97F0C"/>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E97F0C"/>
    <w:rPr>
      <w:vertAlign w:val="superscript"/>
    </w:rPr>
  </w:style>
  <w:style w:type="paragraph" w:styleId="Revision">
    <w:name w:val="Revision"/>
    <w:hidden/>
    <w:uiPriority w:val="99"/>
    <w:semiHidden/>
    <w:rsid w:val="00747B8A"/>
    <w:pPr>
      <w:spacing w:after="0" w:line="240" w:lineRule="auto"/>
    </w:pPr>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1565C6"/>
    <w:rPr>
      <w:sz w:val="16"/>
      <w:szCs w:val="16"/>
    </w:rPr>
  </w:style>
  <w:style w:type="paragraph" w:styleId="CommentText">
    <w:name w:val="annotation text"/>
    <w:basedOn w:val="Normal"/>
    <w:link w:val="CommentTextChar"/>
    <w:uiPriority w:val="99"/>
    <w:unhideWhenUsed/>
    <w:rsid w:val="001565C6"/>
  </w:style>
  <w:style w:type="character" w:customStyle="1" w:styleId="CommentTextChar">
    <w:name w:val="Comment Text Char"/>
    <w:basedOn w:val="DefaultParagraphFont"/>
    <w:link w:val="CommentText"/>
    <w:uiPriority w:val="99"/>
    <w:rsid w:val="001565C6"/>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565C6"/>
    <w:rPr>
      <w:b/>
      <w:bCs/>
    </w:rPr>
  </w:style>
  <w:style w:type="character" w:customStyle="1" w:styleId="CommentSubjectChar">
    <w:name w:val="Comment Subject Char"/>
    <w:basedOn w:val="CommentTextChar"/>
    <w:link w:val="CommentSubject"/>
    <w:uiPriority w:val="99"/>
    <w:semiHidden/>
    <w:rsid w:val="001565C6"/>
    <w:rPr>
      <w:rFonts w:ascii="Times New Roman" w:eastAsia="Times New Roman" w:hAnsi="Times New Roman" w:cs="Times New Roman"/>
      <w:b/>
      <w:bCs/>
      <w:kern w:val="0"/>
      <w:sz w:val="20"/>
      <w:szCs w:val="20"/>
      <w14:ligatures w14:val="none"/>
    </w:rPr>
  </w:style>
  <w:style w:type="paragraph" w:styleId="Header">
    <w:name w:val="header"/>
    <w:basedOn w:val="Normal"/>
    <w:link w:val="HeaderChar"/>
    <w:uiPriority w:val="99"/>
    <w:unhideWhenUsed/>
    <w:rsid w:val="00F07748"/>
    <w:pPr>
      <w:tabs>
        <w:tab w:val="center" w:pos="4680"/>
        <w:tab w:val="right" w:pos="9360"/>
      </w:tabs>
    </w:pPr>
  </w:style>
  <w:style w:type="character" w:customStyle="1" w:styleId="HeaderChar">
    <w:name w:val="Header Char"/>
    <w:basedOn w:val="DefaultParagraphFont"/>
    <w:link w:val="Header"/>
    <w:uiPriority w:val="99"/>
    <w:rsid w:val="00F07748"/>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F07748"/>
    <w:pPr>
      <w:tabs>
        <w:tab w:val="center" w:pos="4680"/>
        <w:tab w:val="right" w:pos="9360"/>
      </w:tabs>
    </w:pPr>
  </w:style>
  <w:style w:type="character" w:customStyle="1" w:styleId="FooterChar">
    <w:name w:val="Footer Char"/>
    <w:basedOn w:val="DefaultParagraphFont"/>
    <w:link w:val="Footer"/>
    <w:uiPriority w:val="99"/>
    <w:rsid w:val="00F07748"/>
    <w:rPr>
      <w:rFonts w:ascii="Times New Roman" w:eastAsia="Times New Roman" w:hAnsi="Times New Roman" w:cs="Times New Roman"/>
      <w:kern w:val="0"/>
      <w:sz w:val="20"/>
      <w:szCs w:val="20"/>
      <w14:ligatures w14:val="none"/>
    </w:rPr>
  </w:style>
  <w:style w:type="character" w:customStyle="1" w:styleId="cf01">
    <w:name w:val="cf01"/>
    <w:basedOn w:val="DefaultParagraphFont"/>
    <w:rsid w:val="003B115D"/>
    <w:rPr>
      <w:rFonts w:ascii="Segoe UI" w:hAnsi="Segoe UI" w:cs="Segoe UI" w:hint="default"/>
      <w:b/>
      <w:bCs/>
      <w:sz w:val="18"/>
      <w:szCs w:val="18"/>
      <w:u w:val="single"/>
    </w:rPr>
  </w:style>
  <w:style w:type="character" w:styleId="FollowedHyperlink">
    <w:name w:val="FollowedHyperlink"/>
    <w:basedOn w:val="DefaultParagraphFont"/>
    <w:uiPriority w:val="99"/>
    <w:semiHidden/>
    <w:unhideWhenUsed/>
    <w:rsid w:val="00BC7A32"/>
    <w:rPr>
      <w:color w:val="96607D" w:themeColor="followedHyperlink"/>
      <w:u w:val="single"/>
    </w:rPr>
  </w:style>
  <w:style w:type="character" w:styleId="UnresolvedMention">
    <w:name w:val="Unresolved Mention"/>
    <w:basedOn w:val="DefaultParagraphFont"/>
    <w:uiPriority w:val="99"/>
    <w:semiHidden/>
    <w:unhideWhenUsed/>
    <w:rsid w:val="00091A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data.bls.gov/oesprofile/?major_group=430000&amp;occupation=436014&amp;measure=01&amp;areas=INDUSTRY,STATE,MSA"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hud.gov/helping-americans/public-indian-housing-systems-pic"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data.bls.gov/oesprofile/?major_group=430000&amp;occupation=436014&amp;measure=01&amp;areas=INDUSTRY,STATE,MS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7f5aa1-1025-4c0b-9294-5f1fb97aa2fc">
      <Terms xmlns="http://schemas.microsoft.com/office/infopath/2007/PartnerControls"/>
    </lcf76f155ced4ddcb4097134ff3c332f>
    <TaxCatchAll xmlns="49abe566-ee47-4bc8-88ec-357f3bfe4a3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021DA34629C9E4FB313965FF4153471" ma:contentTypeVersion="15" ma:contentTypeDescription="Create a new document." ma:contentTypeScope="" ma:versionID="563ddf0bd48e3571673e52bcfb6a6a87">
  <xsd:schema xmlns:xsd="http://www.w3.org/2001/XMLSchema" xmlns:xs="http://www.w3.org/2001/XMLSchema" xmlns:p="http://schemas.microsoft.com/office/2006/metadata/properties" xmlns:ns2="9c7f5aa1-1025-4c0b-9294-5f1fb97aa2fc" xmlns:ns3="49abe566-ee47-4bc8-88ec-357f3bfe4a3f" targetNamespace="http://schemas.microsoft.com/office/2006/metadata/properties" ma:root="true" ma:fieldsID="75e4c9f5b565849ff024fbe1b5927f73" ns2:_="" ns3:_="">
    <xsd:import namespace="9c7f5aa1-1025-4c0b-9294-5f1fb97aa2fc"/>
    <xsd:import namespace="49abe566-ee47-4bc8-88ec-357f3bfe4a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f5aa1-1025-4c0b-9294-5f1fb97aa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abe566-ee47-4bc8-88ec-357f3bfe4a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421023-3180-4f4c-a377-d230c5bf626c}" ma:internalName="TaxCatchAll" ma:showField="CatchAllData" ma:web="49abe566-ee47-4bc8-88ec-357f3bfe4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494A8F-4283-4C5B-836F-6174FF5F0E19}">
  <ds:schemaRefs>
    <ds:schemaRef ds:uri="http://schemas.microsoft.com/sharepoint/v3/contenttype/forms"/>
  </ds:schemaRefs>
</ds:datastoreItem>
</file>

<file path=customXml/itemProps2.xml><?xml version="1.0" encoding="utf-8"?>
<ds:datastoreItem xmlns:ds="http://schemas.openxmlformats.org/officeDocument/2006/customXml" ds:itemID="{B24F6B66-021F-4BE3-A124-E9003760E489}">
  <ds:schemaRefs>
    <ds:schemaRef ds:uri="http://schemas.microsoft.com/office/2006/metadata/properties"/>
    <ds:schemaRef ds:uri="http://schemas.microsoft.com/office/infopath/2007/PartnerControls"/>
    <ds:schemaRef ds:uri="9c7f5aa1-1025-4c0b-9294-5f1fb97aa2fc"/>
    <ds:schemaRef ds:uri="49abe566-ee47-4bc8-88ec-357f3bfe4a3f"/>
  </ds:schemaRefs>
</ds:datastoreItem>
</file>

<file path=customXml/itemProps3.xml><?xml version="1.0" encoding="utf-8"?>
<ds:datastoreItem xmlns:ds="http://schemas.openxmlformats.org/officeDocument/2006/customXml" ds:itemID="{7865A1FC-C764-4459-994A-3E2548C5C8F6}">
  <ds:schemaRefs>
    <ds:schemaRef ds:uri="http://schemas.openxmlformats.org/officeDocument/2006/bibliography"/>
  </ds:schemaRefs>
</ds:datastoreItem>
</file>

<file path=customXml/itemProps4.xml><?xml version="1.0" encoding="utf-8"?>
<ds:datastoreItem xmlns:ds="http://schemas.openxmlformats.org/officeDocument/2006/customXml" ds:itemID="{941291F4-A33B-4C72-A4F2-89491A2EB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f5aa1-1025-4c0b-9294-5f1fb97aa2fc"/>
    <ds:schemaRef ds:uri="49abe566-ee47-4bc8-88ec-357f3bfe4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Template>
  <TotalTime>2</TotalTime>
  <Pages>8</Pages>
  <Words>3163</Words>
  <Characters>18030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Cook, Benjamin A</dc:creator>
  <cp:lastModifiedBy>Guido, Anna P</cp:lastModifiedBy>
  <cp:revision>2</cp:revision>
  <cp:lastPrinted>2026-05-18T17:14:00Z</cp:lastPrinted>
  <dcterms:created xsi:type="dcterms:W3CDTF">2026-06-03T18:09:00Z</dcterms:created>
  <dcterms:modified xsi:type="dcterms:W3CDTF">2026-06-03T18:09:00Z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0x0101009021DA34629C9E4FB313965FF4153471</vt:lpwstr>
  </property>
  <property fmtid="{D5CDD505-2E9C-101B-9397-08002B2CF9AE}" pid="3" name="MediaServiceImageTags">
    <vt:lpwstr/>
  </property>
  <property fmtid="{D5CDD505-2E9C-101B-9397-08002B2CF9AE}" pid="4" name="_dlc_DocIdItemGuid">
    <vt:lpwstr>1d2608e9-925f-4345-bda2-ae46f7f31dcd</vt:lpwstr>
  </property>
</Properties>
</file>