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11F50" w14:paraId="259010AF" w14:textId="77777777">
      <w:pPr>
        <w:pStyle w:val="BodyText"/>
        <w:spacing w:before="78"/>
        <w:ind w:left="2194" w:right="2190"/>
        <w:jc w:val="center"/>
      </w:pPr>
      <w:r>
        <w:t>INFORMATION</w:t>
      </w:r>
      <w:r>
        <w:rPr>
          <w:spacing w:val="-2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 xml:space="preserve">REQUEST </w:t>
      </w:r>
      <w:r>
        <w:rPr>
          <w:spacing w:val="-2"/>
        </w:rPr>
        <w:t>(ICR)</w:t>
      </w:r>
    </w:p>
    <w:p w:rsidR="00811F50" w14:paraId="22DCCAB0" w14:textId="464BC1C3">
      <w:pPr>
        <w:pStyle w:val="BodyText"/>
        <w:ind w:left="2188" w:right="2190"/>
        <w:jc w:val="center"/>
      </w:pPr>
      <w:r>
        <w:t>Virginia</w:t>
      </w:r>
      <w:r>
        <w:rPr>
          <w:spacing w:val="-3"/>
        </w:rPr>
        <w:t xml:space="preserve"> </w:t>
      </w:r>
      <w:r>
        <w:t>Graeme</w:t>
      </w:r>
      <w:r>
        <w:rPr>
          <w:spacing w:val="-3"/>
        </w:rPr>
        <w:t xml:space="preserve"> </w:t>
      </w:r>
      <w:r>
        <w:t>Baker</w:t>
      </w:r>
      <w:r>
        <w:rPr>
          <w:spacing w:val="-3"/>
        </w:rPr>
        <w:t xml:space="preserve"> </w:t>
      </w:r>
      <w:r>
        <w:t>Pool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Spa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Act Verification of Compliance Form</w:t>
      </w:r>
    </w:p>
    <w:p w:rsidR="001078DF" w14:paraId="63552124" w14:textId="4C914766">
      <w:pPr>
        <w:pStyle w:val="BodyText"/>
        <w:ind w:left="2188" w:right="2190"/>
        <w:jc w:val="center"/>
      </w:pPr>
      <w:r>
        <w:t>OMB Control No. 3041-0142</w:t>
      </w:r>
    </w:p>
    <w:p w:rsidR="00811F50" w14:paraId="0B5895DC" w14:textId="77777777">
      <w:pPr>
        <w:pStyle w:val="BodyText"/>
        <w:ind w:left="2190" w:right="2190"/>
        <w:jc w:val="center"/>
      </w:pPr>
      <w:r>
        <w:t>SUPPORTING</w:t>
      </w:r>
      <w:r>
        <w:rPr>
          <w:spacing w:val="1"/>
        </w:rPr>
        <w:t xml:space="preserve"> </w:t>
      </w:r>
      <w:r>
        <w:rPr>
          <w:spacing w:val="-2"/>
        </w:rPr>
        <w:t>STATEMENT</w:t>
      </w:r>
    </w:p>
    <w:p w:rsidR="00811F50" w14:paraId="6079DD2E" w14:textId="77777777">
      <w:pPr>
        <w:pStyle w:val="BodyText"/>
        <w:spacing w:before="7"/>
      </w:pPr>
    </w:p>
    <w:p w:rsidR="00811F50" w14:paraId="3E2719C2" w14:textId="77777777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721"/>
      </w:pPr>
      <w:r>
        <w:rPr>
          <w:spacing w:val="-2"/>
        </w:rPr>
        <w:t>Justification</w:t>
      </w:r>
    </w:p>
    <w:p w:rsidR="00811F50" w14:paraId="7D13FE77" w14:textId="77777777">
      <w:pPr>
        <w:pStyle w:val="BodyText"/>
        <w:spacing w:before="3"/>
        <w:rPr>
          <w:b/>
          <w:sz w:val="25"/>
        </w:rPr>
      </w:pPr>
    </w:p>
    <w:p w:rsidR="00811F50" w14:paraId="03161704" w14:textId="0E37164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47" w:lineRule="auto"/>
        <w:ind w:right="180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circumstances that</w:t>
      </w:r>
      <w:r>
        <w:rPr>
          <w:b/>
          <w:spacing w:val="-3"/>
          <w:sz w:val="24"/>
        </w:rPr>
        <w:t xml:space="preserve"> </w:t>
      </w:r>
      <w:r w:rsidR="00C45FBF">
        <w:rPr>
          <w:b/>
          <w:sz w:val="24"/>
        </w:rPr>
        <w:t>make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information necessary</w:t>
      </w:r>
    </w:p>
    <w:p w:rsidR="00811F50" w14:paraId="017DAAA1" w14:textId="77777777">
      <w:pPr>
        <w:pStyle w:val="BodyText"/>
        <w:spacing w:before="2"/>
        <w:rPr>
          <w:b/>
          <w:sz w:val="23"/>
        </w:rPr>
      </w:pPr>
    </w:p>
    <w:p w:rsidR="00811F50" w14:paraId="4D07A27B" w14:textId="77777777">
      <w:pPr>
        <w:pStyle w:val="BodyText"/>
        <w:spacing w:before="1"/>
        <w:ind w:left="820" w:right="231"/>
      </w:pPr>
      <w:r>
        <w:t>The</w:t>
      </w:r>
      <w:r>
        <w:rPr>
          <w:spacing w:val="-3"/>
        </w:rPr>
        <w:t xml:space="preserve"> </w:t>
      </w:r>
      <w:r>
        <w:t>CPSC</w:t>
      </w:r>
      <w:r>
        <w:rPr>
          <w:spacing w:val="-3"/>
        </w:rPr>
        <w:t xml:space="preserve"> </w:t>
      </w:r>
      <w:r>
        <w:t>administers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oversees</w:t>
      </w:r>
      <w:r>
        <w:rPr>
          <w:spacing w:val="-3"/>
        </w:rPr>
        <w:t xml:space="preserve"> </w:t>
      </w:r>
      <w:r>
        <w:t>compliance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Graeme Baker Pool and Spa Safety Act (“Act”) (Pub. L. No. 110-140).</w:t>
      </w:r>
      <w:r>
        <w:rPr>
          <w:spacing w:val="40"/>
        </w:rPr>
        <w:t xml:space="preserve"> </w:t>
      </w:r>
      <w:r>
        <w:t xml:space="preserve">The Act is designed to prevent the tragic and hidden </w:t>
      </w:r>
      <w:r>
        <w:t>hazard</w:t>
      </w:r>
      <w:r>
        <w:t xml:space="preserve"> of drain entrapment and </w:t>
      </w:r>
      <w:r>
        <w:t>eviscerations</w:t>
      </w:r>
      <w:r>
        <w:t xml:space="preserve"> in public pools and spas.</w:t>
      </w:r>
    </w:p>
    <w:p w:rsidR="00811F50" w14:paraId="38F117CE" w14:textId="77777777">
      <w:pPr>
        <w:pStyle w:val="BodyText"/>
      </w:pPr>
    </w:p>
    <w:p w:rsidR="00811F50" w14:paraId="142AF961" w14:textId="77777777">
      <w:pPr>
        <w:pStyle w:val="BodyText"/>
        <w:ind w:left="820" w:right="121"/>
      </w:pPr>
      <w:r>
        <w:t>To achieve its purposes, the Act requires, among other things, each swimming pool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spa</w:t>
      </w:r>
      <w:r>
        <w:rPr>
          <w:spacing w:val="-1"/>
        </w:rPr>
        <w:t xml:space="preserve"> </w:t>
      </w:r>
      <w:r>
        <w:t>drain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manufactured,</w:t>
      </w:r>
      <w:r>
        <w:rPr>
          <w:spacing w:val="-1"/>
        </w:rPr>
        <w:t xml:space="preserve"> </w:t>
      </w:r>
      <w:r>
        <w:t>distributed,</w:t>
      </w:r>
      <w:r>
        <w:rPr>
          <w:spacing w:val="-1"/>
        </w:rPr>
        <w:t xml:space="preserve"> </w:t>
      </w:r>
      <w:r>
        <w:t>or introduced</w:t>
      </w:r>
      <w:r>
        <w:rPr>
          <w:spacing w:val="-1"/>
        </w:rPr>
        <w:t xml:space="preserve"> </w:t>
      </w:r>
      <w:r>
        <w:t>into commerce meet specific requirements of the CPSC recognized performance standard, and that each public pool and spa be equipped with anti-entrapment devices or systems that comply with the recognized performance standard.</w:t>
      </w:r>
    </w:p>
    <w:p w:rsidR="00811F50" w14:paraId="4FADB2EA" w14:textId="77777777">
      <w:pPr>
        <w:pStyle w:val="BodyText"/>
      </w:pPr>
    </w:p>
    <w:p w:rsidR="00811F50" w14:paraId="55B58915" w14:textId="77777777">
      <w:pPr>
        <w:pStyle w:val="BodyText"/>
        <w:spacing w:before="1"/>
        <w:ind w:left="820" w:right="231"/>
      </w:pPr>
      <w:r>
        <w:t>CPSC,</w:t>
      </w:r>
      <w:r>
        <w:rPr>
          <w:spacing w:val="-2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State contracted</w:t>
      </w:r>
      <w:r>
        <w:rPr>
          <w:spacing w:val="-2"/>
        </w:rPr>
        <w:t xml:space="preserve"> </w:t>
      </w:r>
      <w:r>
        <w:t>employees,</w:t>
      </w:r>
      <w:r>
        <w:rPr>
          <w:spacing w:val="-1"/>
        </w:rPr>
        <w:t xml:space="preserve"> </w:t>
      </w:r>
      <w:r>
        <w:t>inspects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assesses public pools and spas for compliance with the Act. A form is used to record observations and assessments of compliance.</w:t>
      </w:r>
      <w:r>
        <w:rPr>
          <w:spacing w:val="40"/>
        </w:rPr>
        <w:t xml:space="preserve"> </w:t>
      </w:r>
      <w:r>
        <w:t>OMB has previously approved this information collection and the form associated with it (e.g., OMB Approval No. 3041-0142).</w:t>
      </w:r>
    </w:p>
    <w:p w:rsidR="00811F50" w14:paraId="3058CECF" w14:textId="77777777">
      <w:pPr>
        <w:pStyle w:val="BodyText"/>
        <w:spacing w:before="7"/>
      </w:pPr>
    </w:p>
    <w:p w:rsidR="00811F50" w14:paraId="5A02AF6B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ind w:hanging="721"/>
      </w:pPr>
      <w:r>
        <w:t>Use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sharing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811F50" w14:paraId="34107C01" w14:textId="77777777">
      <w:pPr>
        <w:pStyle w:val="BodyText"/>
        <w:rPr>
          <w:b/>
        </w:rPr>
      </w:pPr>
    </w:p>
    <w:p w:rsidR="00811F50" w14:paraId="77720DEC" w14:textId="77777777">
      <w:pPr>
        <w:pStyle w:val="BodyText"/>
        <w:ind w:left="820" w:right="231"/>
      </w:pPr>
      <w:r>
        <w:t>The CPSC will use the information collected on the form to identify and document public pool and spa facilities that have not installed compliant covers and other anti-entrapment devices that may</w:t>
      </w:r>
      <w:r>
        <w:rPr>
          <w:spacing w:val="-3"/>
        </w:rPr>
        <w:t xml:space="preserve"> </w:t>
      </w:r>
      <w:r>
        <w:t xml:space="preserve">be required. Compliance efforts are then taken to ensure appropriate covers and/or anti-entrapment devices are </w:t>
      </w:r>
      <w:r>
        <w:rPr>
          <w:spacing w:val="-2"/>
        </w:rPr>
        <w:t>installed.</w:t>
      </w:r>
    </w:p>
    <w:p w:rsidR="00811F50" w14:paraId="6D8D1596" w14:textId="77777777">
      <w:pPr>
        <w:pStyle w:val="BodyText"/>
        <w:spacing w:before="7"/>
      </w:pPr>
    </w:p>
    <w:p w:rsidR="00811F50" w14:paraId="58820943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1"/>
        <w:ind w:hanging="721"/>
      </w:pP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(IT)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information </w:t>
      </w:r>
      <w:r>
        <w:rPr>
          <w:spacing w:val="-2"/>
        </w:rPr>
        <w:t>collection</w:t>
      </w:r>
    </w:p>
    <w:p w:rsidR="00811F50" w14:paraId="0FAA2D3A" w14:textId="77777777">
      <w:pPr>
        <w:pStyle w:val="BodyText"/>
        <w:spacing w:before="7"/>
        <w:rPr>
          <w:b/>
        </w:rPr>
      </w:pPr>
    </w:p>
    <w:p w:rsidR="00811F50" w14:paraId="0E95D467" w14:textId="77777777">
      <w:pPr>
        <w:pStyle w:val="BodyText"/>
        <w:ind w:left="820" w:right="231"/>
      </w:pP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 information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occur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 form that</w:t>
      </w:r>
      <w:r>
        <w:rPr>
          <w:spacing w:val="-1"/>
        </w:rPr>
        <w:t xml:space="preserve"> </w:t>
      </w:r>
      <w:r>
        <w:t>CPSC</w:t>
      </w:r>
      <w:r>
        <w:rPr>
          <w:spacing w:val="-1"/>
        </w:rPr>
        <w:t xml:space="preserve"> </w:t>
      </w:r>
      <w:r>
        <w:t>staff will</w:t>
      </w:r>
      <w:r>
        <w:rPr>
          <w:spacing w:val="-2"/>
        </w:rPr>
        <w:t xml:space="preserve"> </w:t>
      </w:r>
      <w:r>
        <w:t xml:space="preserve">fill in </w:t>
      </w:r>
      <w:r>
        <w:t>during the course of</w:t>
      </w:r>
      <w:r>
        <w:t xml:space="preserve"> the pool and spa inspection.</w:t>
      </w:r>
    </w:p>
    <w:p w:rsidR="00811F50" w14:paraId="25022E17" w14:textId="77777777">
      <w:pPr>
        <w:pStyle w:val="BodyText"/>
        <w:spacing w:before="8"/>
      </w:pPr>
    </w:p>
    <w:p w:rsidR="00811F50" w14:paraId="5FAEE472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ind w:hanging="721"/>
      </w:pPr>
      <w:r>
        <w:t>Efforts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rPr>
          <w:spacing w:val="-2"/>
        </w:rPr>
        <w:t>Duplication</w:t>
      </w:r>
    </w:p>
    <w:p w:rsidR="00811F50" w14:paraId="537EDD2D" w14:textId="77777777">
      <w:pPr>
        <w:pStyle w:val="BodyText"/>
        <w:rPr>
          <w:b/>
        </w:rPr>
      </w:pPr>
    </w:p>
    <w:p w:rsidR="00811F50" w14:paraId="44F7F98A" w14:textId="77777777">
      <w:pPr>
        <w:pStyle w:val="BodyText"/>
        <w:ind w:left="820" w:right="121"/>
      </w:pPr>
      <w:r>
        <w:t>The Verification of Compliance Form (“form”) provides for very detailed information recordation for each individual</w:t>
      </w:r>
      <w:r>
        <w:rPr>
          <w:spacing w:val="-1"/>
        </w:rPr>
        <w:t xml:space="preserve"> </w:t>
      </w:r>
      <w:r>
        <w:t>pump located at a pool</w:t>
      </w:r>
      <w:r>
        <w:rPr>
          <w:spacing w:val="-1"/>
        </w:rPr>
        <w:t xml:space="preserve"> </w:t>
      </w:r>
      <w:r>
        <w:t>or spa facility. The CPSC staff is unaware of any other source of this information other than</w:t>
      </w:r>
    </w:p>
    <w:p w:rsidR="00811F50" w14:paraId="782CF613" w14:textId="77777777">
      <w:pPr>
        <w:sectPr>
          <w:footerReference w:type="default" r:id="rId8"/>
          <w:type w:val="continuous"/>
          <w:pgSz w:w="12240" w:h="15840"/>
          <w:pgMar w:top="1360" w:right="1340" w:bottom="1300" w:left="1340" w:header="0" w:footer="1118" w:gutter="0"/>
          <w:pgNumType w:start="1"/>
          <w:cols w:space="720"/>
        </w:sectPr>
      </w:pPr>
    </w:p>
    <w:p w:rsidR="00811F50" w14:paraId="6FE93A06" w14:textId="77777777">
      <w:pPr>
        <w:pStyle w:val="BodyText"/>
        <w:spacing w:before="78"/>
        <w:ind w:left="820"/>
      </w:pPr>
      <w:r>
        <w:t>directly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 xml:space="preserve">pool </w:t>
      </w:r>
      <w:r>
        <w:rPr>
          <w:spacing w:val="-2"/>
        </w:rPr>
        <w:t>managers.</w:t>
      </w:r>
    </w:p>
    <w:p w:rsidR="00811F50" w14:paraId="6163F396" w14:textId="77777777">
      <w:pPr>
        <w:pStyle w:val="BodyText"/>
        <w:spacing w:before="7"/>
      </w:pPr>
    </w:p>
    <w:p w:rsidR="00811F50" w14:paraId="5284A1A0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ind w:hanging="721"/>
      </w:pPr>
      <w:r>
        <w:t>Impact on Small</w:t>
      </w:r>
      <w:r>
        <w:rPr>
          <w:spacing w:val="1"/>
        </w:rPr>
        <w:t xml:space="preserve"> </w:t>
      </w:r>
      <w:r>
        <w:rPr>
          <w:spacing w:val="-2"/>
        </w:rPr>
        <w:t>Businesses</w:t>
      </w:r>
    </w:p>
    <w:p w:rsidR="00811F50" w14:paraId="453952B0" w14:textId="77777777">
      <w:pPr>
        <w:pStyle w:val="BodyText"/>
        <w:rPr>
          <w:b/>
        </w:rPr>
      </w:pPr>
    </w:p>
    <w:p w:rsidR="000D65AE" w:rsidP="004C25D6" w14:paraId="5F23CC60" w14:textId="5BF38987">
      <w:pPr>
        <w:pStyle w:val="BodyText"/>
        <w:ind w:left="820" w:right="121"/>
      </w:pPr>
      <w:r>
        <w:t>The form does not have a disproportionate impact on pool owners or operators because the form will be filled out entirely by the field investigators during the normal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pool or</w:t>
      </w:r>
      <w:r>
        <w:rPr>
          <w:spacing w:val="-1"/>
        </w:rPr>
        <w:t xml:space="preserve"> </w:t>
      </w:r>
      <w:r>
        <w:t>spa</w:t>
      </w:r>
      <w:r>
        <w:rPr>
          <w:spacing w:val="-1"/>
        </w:rPr>
        <w:t xml:space="preserve"> </w:t>
      </w:r>
      <w:r>
        <w:t>inspection. 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facility being inspected, the average time to inspect a pool or spa facility should not exceed three hours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pool</w:t>
      </w:r>
      <w:r>
        <w:rPr>
          <w:spacing w:val="-2"/>
        </w:rPr>
        <w:t xml:space="preserve"> </w:t>
      </w:r>
      <w:r>
        <w:t>owner/operator. The pool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spa</w:t>
      </w:r>
      <w:r>
        <w:rPr>
          <w:spacing w:val="-1"/>
        </w:rPr>
        <w:t xml:space="preserve"> </w:t>
      </w:r>
      <w:r>
        <w:t>manager would not necessarily need to be present throughout the entire inspection.</w:t>
      </w:r>
    </w:p>
    <w:p w:rsidR="00811F50" w14:paraId="2437FD4B" w14:textId="77777777">
      <w:pPr>
        <w:pStyle w:val="BodyText"/>
        <w:spacing w:before="8"/>
      </w:pPr>
    </w:p>
    <w:p w:rsidR="00811F50" w14:paraId="12FCFD17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line="247" w:lineRule="auto"/>
        <w:ind w:right="567"/>
      </w:pPr>
      <w:r>
        <w:t>Consequences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conducted or is conducted less frequently</w:t>
      </w:r>
    </w:p>
    <w:p w:rsidR="00811F50" w14:paraId="0E8622D7" w14:textId="77777777">
      <w:pPr>
        <w:pStyle w:val="BodyText"/>
        <w:spacing w:before="2"/>
        <w:rPr>
          <w:b/>
          <w:sz w:val="23"/>
        </w:rPr>
      </w:pPr>
    </w:p>
    <w:p w:rsidR="00811F50" w14:paraId="4AF35085" w14:textId="77777777">
      <w:pPr>
        <w:pStyle w:val="BodyText"/>
        <w:spacing w:before="1"/>
        <w:ind w:left="820"/>
      </w:pPr>
      <w:r>
        <w:t>Failure to provide the information sought by the questionnaire would impair the CPSC’s</w:t>
      </w:r>
      <w:r>
        <w:rPr>
          <w:spacing w:val="-1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 identify</w:t>
      </w:r>
      <w:r>
        <w:rPr>
          <w:spacing w:val="-3"/>
        </w:rPr>
        <w:t xml:space="preserve"> </w:t>
      </w:r>
      <w:r>
        <w:t>noncompliant</w:t>
      </w:r>
      <w:r>
        <w:rPr>
          <w:spacing w:val="-1"/>
        </w:rPr>
        <w:t xml:space="preserve"> </w:t>
      </w:r>
      <w:r>
        <w:t>pools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spas</w:t>
      </w:r>
      <w:r>
        <w:rPr>
          <w:spacing w:val="-1"/>
        </w:rPr>
        <w:t xml:space="preserve"> </w:t>
      </w:r>
      <w:r>
        <w:t>and specifically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drain covers are noncompliant. The failure to obtain this information could lead to the use</w:t>
      </w:r>
      <w:r>
        <w:rPr>
          <w:spacing w:val="-1"/>
        </w:rPr>
        <w:t xml:space="preserve"> </w:t>
      </w:r>
      <w:r>
        <w:t>of non-compliant</w:t>
      </w:r>
      <w:r>
        <w:rPr>
          <w:spacing w:val="-1"/>
        </w:rPr>
        <w:t xml:space="preserve"> </w:t>
      </w:r>
      <w:r>
        <w:t>drain</w:t>
      </w:r>
      <w:r>
        <w:rPr>
          <w:spacing w:val="-1"/>
        </w:rPr>
        <w:t xml:space="preserve"> </w:t>
      </w:r>
      <w:r>
        <w:t>covers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pose</w:t>
      </w:r>
      <w:r>
        <w:rPr>
          <w:spacing w:val="-1"/>
        </w:rPr>
        <w:t xml:space="preserve"> </w:t>
      </w:r>
      <w:r>
        <w:t>a risk</w:t>
      </w:r>
      <w:r>
        <w:rPr>
          <w:spacing w:val="-1"/>
        </w:rPr>
        <w:t xml:space="preserve"> </w:t>
      </w:r>
      <w:r>
        <w:t>of serious</w:t>
      </w:r>
      <w:r>
        <w:rPr>
          <w:spacing w:val="-1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public.</w:t>
      </w:r>
    </w:p>
    <w:p w:rsidR="00811F50" w14:paraId="7364E3EB" w14:textId="77777777">
      <w:pPr>
        <w:pStyle w:val="BodyText"/>
        <w:spacing w:before="7"/>
      </w:pPr>
    </w:p>
    <w:p w:rsidR="00811F50" w14:paraId="008893E7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line="247" w:lineRule="auto"/>
        <w:ind w:right="425"/>
      </w:pPr>
      <w:r>
        <w:t>Special</w:t>
      </w:r>
      <w:r>
        <w:rPr>
          <w:spacing w:val="-3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requiring</w:t>
      </w:r>
      <w:r>
        <w:rPr>
          <w:spacing w:val="-3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more often than quarterly or to prepare responses in fewer than 30 days</w:t>
      </w:r>
    </w:p>
    <w:p w:rsidR="00811F50" w14:paraId="129EBD31" w14:textId="77777777">
      <w:pPr>
        <w:pStyle w:val="BodyText"/>
        <w:spacing w:before="2"/>
        <w:rPr>
          <w:b/>
          <w:sz w:val="23"/>
        </w:rPr>
      </w:pPr>
    </w:p>
    <w:p w:rsidR="00811F50" w14:paraId="6ECCC416" w14:textId="77777777">
      <w:pPr>
        <w:pStyle w:val="BodyText"/>
        <w:ind w:left="8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applicable.</w:t>
      </w:r>
    </w:p>
    <w:p w:rsidR="00811F50" w14:paraId="408B69AE" w14:textId="77777777">
      <w:pPr>
        <w:pStyle w:val="BodyText"/>
        <w:spacing w:before="7"/>
      </w:pPr>
    </w:p>
    <w:p w:rsidR="00811F50" w14:paraId="3F6206D0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ind w:hanging="721"/>
      </w:pPr>
      <w:r>
        <w:t>Agency’s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:rsidR="00811F50" w14:paraId="2EAC21CB" w14:textId="77777777">
      <w:pPr>
        <w:pStyle w:val="BodyText"/>
        <w:spacing w:before="1"/>
        <w:rPr>
          <w:b/>
        </w:rPr>
      </w:pPr>
    </w:p>
    <w:p w:rsidR="008B2F74" w:rsidP="008B2F74" w14:paraId="0718FF5B" w14:textId="77777777">
      <w:pPr>
        <w:pStyle w:val="BodyText"/>
        <w:ind w:left="820" w:right="123"/>
      </w:pPr>
      <w:r>
        <w:t>Given the limited purpose and nature of the information collection, no consultation outside the agency</w:t>
      </w:r>
      <w:r>
        <w:rPr>
          <w:spacing w:val="-3"/>
        </w:rPr>
        <w:t xml:space="preserve"> </w:t>
      </w:r>
      <w:r>
        <w:t xml:space="preserve">was necessary. </w:t>
      </w:r>
      <w:r w:rsidR="0069566A">
        <w:t>However, the CPSC consults with various stakeholders on a variety of issues related to the Virginia Graeme Baker Pool and Spa Safety Act</w:t>
      </w:r>
      <w:r w:rsidR="00E42D91">
        <w:t xml:space="preserve"> as necessary</w:t>
      </w:r>
      <w:r w:rsidR="0069566A">
        <w:t xml:space="preserve">. </w:t>
      </w:r>
      <w:hyperlink w:history="1"/>
      <w:r w:rsidR="00E42D91">
        <w:t xml:space="preserve"> </w:t>
      </w:r>
    </w:p>
    <w:p w:rsidR="00811F50" w:rsidRPr="008B2F74" w:rsidP="008B2F74" w14:paraId="1C99467C" w14:textId="6C9C85E5">
      <w:pPr>
        <w:pStyle w:val="BodyText"/>
        <w:ind w:left="820" w:right="123"/>
        <w:rPr>
          <w:spacing w:val="-1"/>
        </w:rPr>
      </w:pPr>
      <w:r>
        <w:br/>
      </w:r>
      <w:r w:rsidRPr="00D54D81" w:rsidR="00872D1C">
        <w:t xml:space="preserve">Federal Register (FR) notice, </w:t>
      </w:r>
      <w:r w:rsidRPr="00D54D81" w:rsidR="00D50926">
        <w:t>90</w:t>
      </w:r>
      <w:r w:rsidRPr="00D54D81" w:rsidR="00872D1C">
        <w:t xml:space="preserve"> FR</w:t>
      </w:r>
      <w:r w:rsidRPr="00D54D81" w:rsidR="00872D1C">
        <w:rPr>
          <w:spacing w:val="-2"/>
        </w:rPr>
        <w:t xml:space="preserve"> </w:t>
      </w:r>
      <w:r w:rsidRPr="00D54D81" w:rsidR="00D54D81">
        <w:t>58231</w:t>
      </w:r>
      <w:r w:rsidRPr="00D54D81" w:rsidR="00872D1C">
        <w:t>,</w:t>
      </w:r>
      <w:r w:rsidRPr="00D54D81" w:rsidR="00872D1C">
        <w:rPr>
          <w:spacing w:val="-1"/>
        </w:rPr>
        <w:t xml:space="preserve"> </w:t>
      </w:r>
      <w:r w:rsidRPr="00D54D81" w:rsidR="00872D1C">
        <w:t>was</w:t>
      </w:r>
      <w:r w:rsidRPr="00D54D81" w:rsidR="00872D1C">
        <w:rPr>
          <w:spacing w:val="-2"/>
        </w:rPr>
        <w:t xml:space="preserve"> </w:t>
      </w:r>
      <w:r w:rsidRPr="00D54D81" w:rsidR="00872D1C">
        <w:t xml:space="preserve">published </w:t>
      </w:r>
      <w:r w:rsidRPr="00D54D81" w:rsidR="00403703">
        <w:t>December</w:t>
      </w:r>
      <w:r w:rsidRPr="00D54D81" w:rsidR="00872D1C">
        <w:rPr>
          <w:spacing w:val="-2"/>
        </w:rPr>
        <w:t xml:space="preserve"> </w:t>
      </w:r>
      <w:r w:rsidRPr="00D54D81" w:rsidR="008E76F2">
        <w:rPr>
          <w:spacing w:val="-2"/>
        </w:rPr>
        <w:t xml:space="preserve">16, </w:t>
      </w:r>
      <w:r w:rsidRPr="00D54D81" w:rsidR="00872D1C">
        <w:t>202</w:t>
      </w:r>
      <w:r w:rsidRPr="00D54D81" w:rsidR="00403703">
        <w:t>5</w:t>
      </w:r>
      <w:r w:rsidRPr="00D54D81" w:rsidR="00872D1C">
        <w:t>.</w:t>
      </w:r>
      <w:r w:rsidRPr="00D54D81" w:rsidR="00872D1C">
        <w:rPr>
          <w:spacing w:val="-1"/>
        </w:rPr>
        <w:t xml:space="preserve"> </w:t>
      </w:r>
      <w:r w:rsidRPr="00D54D81" w:rsidR="002A4F7E">
        <w:rPr>
          <w:spacing w:val="-1"/>
        </w:rPr>
        <w:t>The Commission did not receive any public comments</w:t>
      </w:r>
      <w:r w:rsidRPr="00D54D81" w:rsidR="004A3900">
        <w:t>.</w:t>
      </w:r>
      <w:r w:rsidR="004A3900">
        <w:t xml:space="preserve"> </w:t>
      </w:r>
    </w:p>
    <w:p w:rsidR="00811F50" w14:paraId="3F31BF71" w14:textId="77777777">
      <w:pPr>
        <w:pStyle w:val="BodyText"/>
        <w:spacing w:before="7"/>
      </w:pPr>
    </w:p>
    <w:p w:rsidR="00811F50" w:rsidP="008C43CD" w14:paraId="728A14F6" w14:textId="77777777">
      <w:pPr>
        <w:pStyle w:val="Heading1"/>
        <w:keepNext/>
        <w:numPr>
          <w:ilvl w:val="1"/>
          <w:numId w:val="1"/>
        </w:numPr>
        <w:tabs>
          <w:tab w:val="left" w:pos="820"/>
          <w:tab w:val="left" w:pos="821"/>
        </w:tabs>
        <w:ind w:hanging="721"/>
      </w:pPr>
      <w:r>
        <w:t>Decision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payment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4"/>
        </w:rPr>
        <w:t>gift</w:t>
      </w:r>
    </w:p>
    <w:p w:rsidR="00811F50" w:rsidP="008C43CD" w14:paraId="36530313" w14:textId="77777777">
      <w:pPr>
        <w:pStyle w:val="BodyText"/>
        <w:keepNext/>
        <w:rPr>
          <w:b/>
        </w:rPr>
      </w:pPr>
    </w:p>
    <w:p w:rsidR="00811F50" w:rsidP="008C43CD" w14:paraId="29A9C459" w14:textId="77777777">
      <w:pPr>
        <w:pStyle w:val="BodyText"/>
        <w:keepNext/>
        <w:ind w:left="820" w:right="231"/>
      </w:pPr>
      <w:r>
        <w:t>The</w:t>
      </w:r>
      <w:r>
        <w:rPr>
          <w:spacing w:val="-2"/>
        </w:rPr>
        <w:t xml:space="preserve"> </w:t>
      </w:r>
      <w:r>
        <w:t>CPSC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 provide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gifts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pool and</w:t>
      </w:r>
      <w:r>
        <w:rPr>
          <w:spacing w:val="-2"/>
        </w:rPr>
        <w:t xml:space="preserve"> </w:t>
      </w:r>
      <w:r>
        <w:t>spa owners/operators in connection with the information collection.</w:t>
      </w:r>
    </w:p>
    <w:p w:rsidR="00811F50" w14:paraId="70DE5901" w14:textId="77777777">
      <w:pPr>
        <w:pStyle w:val="BodyText"/>
        <w:spacing w:before="7"/>
      </w:pPr>
    </w:p>
    <w:p w:rsidR="00811F50" w14:paraId="1D0970EE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1"/>
        <w:ind w:hanging="721"/>
      </w:pPr>
      <w:r>
        <w:t>Assurance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confidentiality</w:t>
      </w:r>
    </w:p>
    <w:p w:rsidR="00811F50" w14:paraId="0E3E0DCA" w14:textId="77777777">
      <w:pPr>
        <w:pStyle w:val="BodyText"/>
        <w:rPr>
          <w:b/>
        </w:rPr>
      </w:pPr>
    </w:p>
    <w:p w:rsidR="00811F50" w14:paraId="7DA3C21D" w14:textId="77777777">
      <w:pPr>
        <w:pStyle w:val="BodyText"/>
        <w:ind w:left="820" w:right="231"/>
      </w:pPr>
      <w:r>
        <w:t xml:space="preserve">The information recorded in response to the questions on the form would be subject to the Freedom of Information Act and its exemptions to public </w:t>
      </w:r>
      <w:r>
        <w:rPr>
          <w:spacing w:val="-2"/>
        </w:rPr>
        <w:t>disclosure.</w:t>
      </w:r>
    </w:p>
    <w:p w:rsidR="00811F50" w14:paraId="0E5ADA89" w14:textId="77777777">
      <w:pPr>
        <w:pStyle w:val="BodyText"/>
        <w:spacing w:before="7"/>
      </w:pPr>
    </w:p>
    <w:p w:rsidR="00811F50" w14:paraId="4E7E60F5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ind w:hanging="721"/>
      </w:pPr>
      <w:r>
        <w:t>Questions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sensitive </w:t>
      </w:r>
      <w:r>
        <w:rPr>
          <w:spacing w:val="-2"/>
        </w:rPr>
        <w:t>nature</w:t>
      </w:r>
    </w:p>
    <w:p w:rsidR="00811F50" w14:paraId="615A70C4" w14:textId="77777777">
      <w:pPr>
        <w:pStyle w:val="BodyText"/>
        <w:spacing w:before="7"/>
        <w:rPr>
          <w:b/>
        </w:rPr>
      </w:pPr>
    </w:p>
    <w:p w:rsidR="00811F50" w:rsidP="002212CE" w14:paraId="03D5DF9F" w14:textId="67F7BA6F">
      <w:pPr>
        <w:pStyle w:val="BodyText"/>
        <w:spacing w:before="1"/>
        <w:ind w:left="820"/>
        <w:rPr>
          <w:sz w:val="20"/>
        </w:rPr>
      </w:pPr>
      <w:r>
        <w:t>No</w:t>
      </w:r>
      <w:r>
        <w:rPr>
          <w:spacing w:val="-1"/>
        </w:rPr>
        <w:t xml:space="preserve"> </w:t>
      </w:r>
      <w:r>
        <w:t>questions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nature are</w:t>
      </w:r>
      <w:r>
        <w:rPr>
          <w:spacing w:val="-1"/>
        </w:rPr>
        <w:t xml:space="preserve"> </w:t>
      </w:r>
      <w:r>
        <w:rPr>
          <w:spacing w:val="-2"/>
        </w:rPr>
        <w:t>asked.</w:t>
      </w:r>
      <w:r w:rsidR="002212CE">
        <w:t xml:space="preserve"> </w:t>
      </w:r>
    </w:p>
    <w:p w:rsidR="00811F50" w14:paraId="3EF07FAC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223"/>
        <w:ind w:hanging="721"/>
      </w:pPr>
      <w:r>
        <w:t>Estimate of hour</w:t>
      </w:r>
      <w:r>
        <w:rPr>
          <w:spacing w:val="1"/>
        </w:rPr>
        <w:t xml:space="preserve"> </w:t>
      </w:r>
      <w:r>
        <w:t xml:space="preserve">burden to </w:t>
      </w:r>
      <w:r>
        <w:rPr>
          <w:spacing w:val="-2"/>
        </w:rPr>
        <w:t>respondents</w:t>
      </w:r>
    </w:p>
    <w:p w:rsidR="00811F50" w14:paraId="2B5ECA12" w14:textId="77777777">
      <w:pPr>
        <w:pStyle w:val="BodyText"/>
        <w:rPr>
          <w:b/>
        </w:rPr>
      </w:pPr>
    </w:p>
    <w:p w:rsidR="00F537B1" w:rsidP="00857196" w14:paraId="7EE04C7D" w14:textId="38371757">
      <w:pPr>
        <w:pStyle w:val="BodyText"/>
        <w:ind w:left="820" w:right="121"/>
      </w:pPr>
      <w:r>
        <w:t xml:space="preserve">Investigators will be talking to either the pool owner/operators or staff at the time of the inspection. Investigators will be collecting drain </w:t>
      </w:r>
      <w:r>
        <w:t>cover</w:t>
      </w:r>
      <w:r>
        <w:t xml:space="preserve"> and </w:t>
      </w:r>
      <w:r>
        <w:t>sump</w:t>
      </w:r>
      <w:r>
        <w:t xml:space="preserve"> certification documents, and equipment room information. </w:t>
      </w:r>
      <w:r w:rsidR="00457DC0">
        <w:t>During the course of</w:t>
      </w:r>
      <w:r w:rsidR="00457DC0">
        <w:t xml:space="preserve"> the inspection</w:t>
      </w:r>
      <w:r w:rsidR="00DE0661">
        <w:t xml:space="preserve"> the Virginia Graeme Baker Pool and Spa Safety Act Verification of Compliance Form would be completed.</w:t>
      </w:r>
      <w:r w:rsidR="00857196">
        <w:t xml:space="preserve"> </w:t>
      </w:r>
      <w:r w:rsidR="00A24B5A">
        <w:t xml:space="preserve">CPSC compliance staff estimates that </w:t>
      </w:r>
      <w:r w:rsidR="00084AD0">
        <w:t>50</w:t>
      </w:r>
      <w:r w:rsidR="00A24B5A">
        <w:t xml:space="preserve"> inspections are completed annually, based on a review of prior completed inspections. If an operator is found to be non-compliant,</w:t>
      </w:r>
      <w:r w:rsidR="001F1F5E">
        <w:t xml:space="preserve"> compliance staff requests the facility </w:t>
      </w:r>
      <w:r w:rsidR="009D0A54">
        <w:t xml:space="preserve">to </w:t>
      </w:r>
      <w:r w:rsidR="001F1F5E">
        <w:t>stop operating the pool and/or spa.</w:t>
      </w:r>
      <w:r w:rsidR="00A24B5A">
        <w:t xml:space="preserve"> </w:t>
      </w:r>
    </w:p>
    <w:p w:rsidR="00282A20" w14:paraId="58C68B0E" w14:textId="77777777">
      <w:pPr>
        <w:pStyle w:val="BodyText"/>
        <w:ind w:left="820" w:right="121"/>
      </w:pPr>
    </w:p>
    <w:p w:rsidR="00811F50" w:rsidP="00FC2A4B" w14:paraId="6E7ACD2F" w14:textId="56EFC7AC">
      <w:pPr>
        <w:pStyle w:val="BodyText"/>
        <w:ind w:left="820" w:right="121"/>
      </w:pPr>
      <w:r>
        <w:t xml:space="preserve">It is estimated that three hours will be required to inspect a pool or spa facility. The total burden hours are </w:t>
      </w:r>
      <w:r w:rsidRPr="00442914">
        <w:t xml:space="preserve">at most </w:t>
      </w:r>
      <w:r w:rsidR="00442914">
        <w:t>150</w:t>
      </w:r>
      <w:r w:rsidRPr="00442914">
        <w:t xml:space="preserve"> (</w:t>
      </w:r>
      <w:r w:rsidR="00442914">
        <w:t>5</w:t>
      </w:r>
      <w:r w:rsidRPr="00442914">
        <w:t>0 inspections x</w:t>
      </w:r>
      <w:r>
        <w:t xml:space="preserve"> 3 hours per inspection). We estimate that hourly compensation for the time required for inspecting is $</w:t>
      </w:r>
      <w:r w:rsidR="0030339D">
        <w:t>76</w:t>
      </w:r>
      <w:r w:rsidR="00B64562">
        <w:t>.45</w:t>
      </w:r>
      <w:r>
        <w:t xml:space="preserve"> (U.S. Bureau of Labor Statistics, “Employer Costs for Employee Compensation,” </w:t>
      </w:r>
      <w:r w:rsidR="00B64562">
        <w:t>June 2025</w:t>
      </w:r>
      <w:r>
        <w:t xml:space="preserve">, Table </w:t>
      </w:r>
      <w:r w:rsidR="004D14CD">
        <w:t>4</w:t>
      </w:r>
      <w:r>
        <w:t xml:space="preserve">, total compensation for management, professional, and related workers in </w:t>
      </w:r>
      <w:r w:rsidR="004D14CD">
        <w:t xml:space="preserve">private </w:t>
      </w:r>
      <w:r>
        <w:t xml:space="preserve">service-producing industries: </w:t>
      </w:r>
      <w:hyperlink r:id="rId9" w:history="1">
        <w:r w:rsidRPr="001C1D0C" w:rsidR="001C1D0C">
          <w:rPr>
            <w:rStyle w:val="Hyperlink"/>
          </w:rPr>
          <w:t>Employer Costs for Employee Compensation News Release - 2025 Q02 Results</w:t>
        </w:r>
      </w:hyperlink>
      <w:r>
        <w:t>). We estimate the annual cost to be $</w:t>
      </w:r>
      <w:r w:rsidR="00FC2A4B">
        <w:t>11,468</w:t>
      </w:r>
      <w:r>
        <w:t xml:space="preserve"> ($</w:t>
      </w:r>
      <w:r w:rsidR="00FC2A4B">
        <w:t>76.45</w:t>
      </w:r>
      <w:r>
        <w:t xml:space="preserve"> </w:t>
      </w:r>
      <w:r w:rsidR="00417504">
        <w:t>×</w:t>
      </w:r>
      <w:r>
        <w:t xml:space="preserve"> </w:t>
      </w:r>
      <w:r w:rsidR="00442914">
        <w:t>150</w:t>
      </w:r>
      <w:r w:rsidR="00FC2A4B">
        <w:t xml:space="preserve"> = $11,467.50</w:t>
      </w:r>
      <w:r>
        <w:t>).</w:t>
      </w:r>
    </w:p>
    <w:p w:rsidR="00811F50" w14:paraId="781E6A33" w14:textId="77777777">
      <w:pPr>
        <w:pStyle w:val="BodyText"/>
        <w:spacing w:before="8"/>
      </w:pPr>
    </w:p>
    <w:p w:rsidR="00811F50" w:rsidP="00A24B5A" w14:paraId="41DD168C" w14:textId="77777777">
      <w:pPr>
        <w:pStyle w:val="Heading1"/>
        <w:keepNext/>
        <w:numPr>
          <w:ilvl w:val="1"/>
          <w:numId w:val="1"/>
        </w:numPr>
        <w:tabs>
          <w:tab w:val="left" w:pos="820"/>
          <w:tab w:val="left" w:pos="821"/>
        </w:tabs>
        <w:spacing w:before="1" w:line="247" w:lineRule="auto"/>
        <w:ind w:left="821" w:right="1627"/>
      </w:pPr>
      <w:r>
        <w:t>Estimate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recordkeepers</w:t>
      </w:r>
    </w:p>
    <w:p w:rsidR="00811F50" w14:paraId="59B6C19D" w14:textId="77777777">
      <w:pPr>
        <w:pStyle w:val="BodyText"/>
        <w:spacing w:before="2"/>
        <w:rPr>
          <w:b/>
          <w:sz w:val="23"/>
        </w:rPr>
      </w:pPr>
    </w:p>
    <w:p w:rsidR="00811F50" w14:paraId="532E8C2F" w14:textId="77777777">
      <w:pPr>
        <w:pStyle w:val="BodyText"/>
        <w:ind w:left="820" w:right="121"/>
      </w:pPr>
      <w:r>
        <w:t>There are no costs to respondents beyond those presented in Section A.12. 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 further operating,</w:t>
      </w:r>
      <w:r>
        <w:rPr>
          <w:spacing w:val="-1"/>
        </w:rPr>
        <w:t xml:space="preserve"> </w:t>
      </w:r>
      <w:r>
        <w:t>maintenance,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collection.</w:t>
      </w:r>
    </w:p>
    <w:p w:rsidR="00811F50" w14:paraId="3BC4D359" w14:textId="77777777">
      <w:pPr>
        <w:pStyle w:val="BodyText"/>
        <w:spacing w:before="7"/>
      </w:pPr>
    </w:p>
    <w:p w:rsidR="00811F50" w14:paraId="08ECC2DF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ind w:hanging="721"/>
      </w:pPr>
      <w:r>
        <w:t xml:space="preserve">Estimate of annualized cost to the federal </w:t>
      </w:r>
      <w:r>
        <w:rPr>
          <w:spacing w:val="-2"/>
        </w:rPr>
        <w:t>government</w:t>
      </w:r>
    </w:p>
    <w:p w:rsidR="00811F50" w14:paraId="7DFC87B3" w14:textId="77777777">
      <w:pPr>
        <w:pStyle w:val="BodyText"/>
        <w:rPr>
          <w:b/>
        </w:rPr>
      </w:pPr>
    </w:p>
    <w:p w:rsidR="00811F50" w14:paraId="5BEEE20D" w14:textId="739BED1B">
      <w:pPr>
        <w:pStyle w:val="BodyText"/>
        <w:ind w:left="820" w:right="231"/>
      </w:pPr>
      <w:r>
        <w:t>The CPSC estimates that it will take an average of four hours to review the information collected from the oral communications with pool owners/operators or staff. The annual cost to the Federal government of the collection of information in these regulations is estimated to be $</w:t>
      </w:r>
      <w:r w:rsidR="00D86196">
        <w:t>16,268</w:t>
      </w:r>
      <w:r>
        <w:t>. This is based on an average wage rate of $</w:t>
      </w:r>
      <w:r w:rsidR="006C634C">
        <w:t>81.34</w:t>
      </w:r>
      <w:r w:rsidR="007D43A6">
        <w:t xml:space="preserve"> </w:t>
      </w:r>
      <w:r>
        <w:t xml:space="preserve">(the equivalent of a GS-12 Step 5 employee). This represents </w:t>
      </w:r>
      <w:r w:rsidR="00302A27">
        <w:t>67.7</w:t>
      </w:r>
      <w:r>
        <w:t xml:space="preserve"> percent of total compensation with an additional 3</w:t>
      </w:r>
      <w:r w:rsidR="00D049CA">
        <w:t>2</w:t>
      </w:r>
      <w:r>
        <w:t>.</w:t>
      </w:r>
      <w:r w:rsidR="00302A27">
        <w:t xml:space="preserve">3 </w:t>
      </w:r>
      <w:r>
        <w:t>percent coming from benefits (</w:t>
      </w:r>
      <w:r w:rsidR="00C87524">
        <w:t xml:space="preserve">U.S. </w:t>
      </w:r>
      <w:r>
        <w:t>B</w:t>
      </w:r>
      <w:r w:rsidR="00C87524">
        <w:t xml:space="preserve">ureau of </w:t>
      </w:r>
      <w:r>
        <w:t>L</w:t>
      </w:r>
      <w:r w:rsidR="00C87524">
        <w:t xml:space="preserve">abor </w:t>
      </w:r>
      <w:r>
        <w:t>S</w:t>
      </w:r>
      <w:r w:rsidR="00C87524">
        <w:t>tatistics</w:t>
      </w:r>
      <w:r>
        <w:t xml:space="preserve">, </w:t>
      </w:r>
      <w:r w:rsidR="00C87524">
        <w:t xml:space="preserve">Table 2, </w:t>
      </w:r>
      <w:r w:rsidR="00C05710">
        <w:t>June 2025</w:t>
      </w:r>
      <w:r>
        <w:t>, percentage of total benefits for all civilian</w:t>
      </w:r>
      <w:r>
        <w:rPr>
          <w:spacing w:val="-1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professional,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employees</w:t>
      </w:r>
      <w:r w:rsidR="00C87524">
        <w:t xml:space="preserve">: </w:t>
      </w:r>
      <w:hyperlink r:id="rId9" w:history="1">
        <w:r w:rsidRPr="006C634C" w:rsidR="006C634C">
          <w:rPr>
            <w:rStyle w:val="Hyperlink"/>
          </w:rPr>
          <w:t>Employer Costs for Employee Compensation News Release - 2025 Q02 Results</w:t>
        </w:r>
      </w:hyperlink>
      <w:r>
        <w:t>),</w:t>
      </w:r>
      <w:r>
        <w:rPr>
          <w:spacing w:val="-2"/>
        </w:rPr>
        <w:t xml:space="preserve"> </w:t>
      </w:r>
      <w:r>
        <w:t>or $</w:t>
      </w:r>
      <w:r w:rsidR="00226CDE">
        <w:t>81.34</w:t>
      </w:r>
      <w:r>
        <w:t xml:space="preserve"> </w:t>
      </w:r>
      <w:r w:rsidR="00417504">
        <w:t>×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 xml:space="preserve">hours </w:t>
      </w:r>
      <w:r w:rsidR="00417504">
        <w:t>×</w:t>
      </w:r>
      <w:r>
        <w:t xml:space="preserve"> </w:t>
      </w:r>
      <w:r w:rsidR="00442914">
        <w:t>5</w:t>
      </w:r>
      <w:r>
        <w:t>0 inspections.</w:t>
      </w:r>
    </w:p>
    <w:p w:rsidR="00811F50" w14:paraId="7662E8A8" w14:textId="77777777">
      <w:pPr>
        <w:pStyle w:val="BodyText"/>
        <w:spacing w:before="8"/>
      </w:pPr>
    </w:p>
    <w:p w:rsidR="00811F50" w14:paraId="4B84705D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ind w:hanging="721"/>
      </w:pPr>
      <w:r>
        <w:t>Program</w:t>
      </w:r>
      <w:r>
        <w:rPr>
          <w:spacing w:val="-2"/>
        </w:rPr>
        <w:t xml:space="preserve"> </w:t>
      </w:r>
      <w:r>
        <w:t>changes or</w:t>
      </w:r>
      <w:r>
        <w:rPr>
          <w:spacing w:val="-1"/>
        </w:rPr>
        <w:t xml:space="preserve"> </w:t>
      </w:r>
      <w:r>
        <w:rPr>
          <w:spacing w:val="-2"/>
        </w:rPr>
        <w:t>adjustments</w:t>
      </w:r>
    </w:p>
    <w:p w:rsidR="00811F50" w14:paraId="32D77907" w14:textId="77777777">
      <w:pPr>
        <w:pStyle w:val="BodyText"/>
        <w:rPr>
          <w:b/>
        </w:rPr>
      </w:pPr>
    </w:p>
    <w:p w:rsidR="00811F50" w14:paraId="0F4AC1D6" w14:textId="7807262D">
      <w:pPr>
        <w:pStyle w:val="BodyText"/>
        <w:ind w:left="820"/>
      </w:pPr>
      <w:r w:rsidRPr="00442914">
        <w:t>The</w:t>
      </w:r>
      <w:r w:rsidR="005167A3">
        <w:t>re are no changes or adjustments to the program</w:t>
      </w:r>
      <w:r w:rsidRPr="00442914">
        <w:rPr>
          <w:spacing w:val="-2"/>
        </w:rPr>
        <w:t>.</w:t>
      </w:r>
      <w:r w:rsidR="001078DF">
        <w:rPr>
          <w:spacing w:val="-2"/>
        </w:rPr>
        <w:t xml:space="preserve"> </w:t>
      </w:r>
    </w:p>
    <w:p w:rsidR="00811F50" w14:paraId="41FADC60" w14:textId="77777777">
      <w:pPr>
        <w:pStyle w:val="BodyText"/>
        <w:spacing w:before="1"/>
        <w:rPr>
          <w:sz w:val="25"/>
        </w:rPr>
      </w:pPr>
    </w:p>
    <w:p w:rsidR="00811F50" w14:paraId="4FE51A1A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ind w:hanging="721"/>
      </w:pP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tabulation and</w:t>
      </w:r>
      <w:r>
        <w:rPr>
          <w:spacing w:val="1"/>
        </w:rPr>
        <w:t xml:space="preserve"> </w:t>
      </w:r>
      <w:r>
        <w:rPr>
          <w:spacing w:val="-2"/>
        </w:rPr>
        <w:t>publication</w:t>
      </w:r>
    </w:p>
    <w:p w:rsidR="00811F50" w14:paraId="23273F5F" w14:textId="77777777">
      <w:pPr>
        <w:pStyle w:val="BodyText"/>
        <w:rPr>
          <w:b/>
        </w:rPr>
      </w:pPr>
    </w:p>
    <w:p w:rsidR="00811F50" w14:paraId="33B6F6E1" w14:textId="77777777">
      <w:pPr>
        <w:pStyle w:val="BodyText"/>
        <w:ind w:left="820"/>
      </w:pPr>
      <w:r>
        <w:t>Information</w:t>
      </w:r>
      <w:r>
        <w:rPr>
          <w:spacing w:val="-1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under this</w:t>
      </w:r>
      <w:r>
        <w:rPr>
          <w:spacing w:val="-2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published.</w:t>
      </w:r>
    </w:p>
    <w:p w:rsidR="00811F50" w14:paraId="0D29E7A3" w14:textId="77777777">
      <w:pPr>
        <w:pStyle w:val="BodyText"/>
        <w:rPr>
          <w:sz w:val="25"/>
        </w:rPr>
      </w:pPr>
    </w:p>
    <w:p w:rsidR="000F2E55" w:rsidRPr="000F2E55" w:rsidP="004D14CD" w14:paraId="12A99C69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1"/>
        <w:ind w:hanging="721"/>
      </w:pPr>
      <w:r>
        <w:t>Exemption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display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expiration </w:t>
      </w:r>
      <w:r>
        <w:rPr>
          <w:spacing w:val="-4"/>
        </w:rPr>
        <w:t>date</w:t>
      </w:r>
    </w:p>
    <w:p w:rsidR="000F2E55" w:rsidP="000F2E55" w14:paraId="6F75BE00" w14:textId="77777777">
      <w:pPr>
        <w:pStyle w:val="Heading1"/>
        <w:tabs>
          <w:tab w:val="left" w:pos="820"/>
          <w:tab w:val="left" w:pos="821"/>
        </w:tabs>
        <w:spacing w:before="1"/>
        <w:ind w:firstLine="0"/>
      </w:pPr>
    </w:p>
    <w:p w:rsidR="00811F50" w:rsidRPr="000F2E55" w:rsidP="000F2E55" w14:paraId="648D53FF" w14:textId="0FE21614">
      <w:pPr>
        <w:pStyle w:val="Heading1"/>
        <w:tabs>
          <w:tab w:val="left" w:pos="820"/>
          <w:tab w:val="left" w:pos="821"/>
        </w:tabs>
        <w:spacing w:before="1"/>
        <w:ind w:firstLine="0"/>
        <w:rPr>
          <w:b w:val="0"/>
        </w:rPr>
      </w:pPr>
      <w:r w:rsidRPr="000F2E55">
        <w:rPr>
          <w:b w:val="0"/>
        </w:rPr>
        <w:t>The</w:t>
      </w:r>
      <w:r w:rsidRPr="000F2E55">
        <w:rPr>
          <w:b w:val="0"/>
          <w:spacing w:val="-1"/>
        </w:rPr>
        <w:t xml:space="preserve"> </w:t>
      </w:r>
      <w:r w:rsidRPr="000F2E55">
        <w:rPr>
          <w:b w:val="0"/>
        </w:rPr>
        <w:t>agency</w:t>
      </w:r>
      <w:r w:rsidRPr="000F2E55">
        <w:rPr>
          <w:b w:val="0"/>
          <w:spacing w:val="-4"/>
        </w:rPr>
        <w:t xml:space="preserve"> </w:t>
      </w:r>
      <w:r w:rsidRPr="000F2E55">
        <w:rPr>
          <w:b w:val="0"/>
        </w:rPr>
        <w:t>does</w:t>
      </w:r>
      <w:r w:rsidRPr="000F2E55">
        <w:rPr>
          <w:b w:val="0"/>
          <w:spacing w:val="-1"/>
        </w:rPr>
        <w:t xml:space="preserve"> </w:t>
      </w:r>
      <w:r w:rsidRPr="000F2E55">
        <w:rPr>
          <w:b w:val="0"/>
        </w:rPr>
        <w:t>not seek</w:t>
      </w:r>
      <w:r w:rsidRPr="000F2E55">
        <w:rPr>
          <w:b w:val="0"/>
          <w:spacing w:val="-1"/>
        </w:rPr>
        <w:t xml:space="preserve"> </w:t>
      </w:r>
      <w:r w:rsidRPr="000F2E55">
        <w:rPr>
          <w:b w:val="0"/>
        </w:rPr>
        <w:t>an</w:t>
      </w:r>
      <w:r w:rsidRPr="000F2E55">
        <w:rPr>
          <w:b w:val="0"/>
          <w:spacing w:val="-1"/>
        </w:rPr>
        <w:t xml:space="preserve"> </w:t>
      </w:r>
      <w:r w:rsidRPr="000F2E55">
        <w:rPr>
          <w:b w:val="0"/>
        </w:rPr>
        <w:t>exemption</w:t>
      </w:r>
      <w:r w:rsidRPr="000F2E55">
        <w:rPr>
          <w:b w:val="0"/>
          <w:spacing w:val="-1"/>
        </w:rPr>
        <w:t xml:space="preserve"> </w:t>
      </w:r>
      <w:r w:rsidRPr="000F2E55">
        <w:rPr>
          <w:b w:val="0"/>
        </w:rPr>
        <w:t>from</w:t>
      </w:r>
      <w:r w:rsidRPr="000F2E55">
        <w:rPr>
          <w:b w:val="0"/>
          <w:spacing w:val="1"/>
        </w:rPr>
        <w:t xml:space="preserve"> </w:t>
      </w:r>
      <w:r w:rsidRPr="000F2E55">
        <w:rPr>
          <w:b w:val="0"/>
        </w:rPr>
        <w:t>displaying</w:t>
      </w:r>
      <w:r w:rsidRPr="000F2E55">
        <w:rPr>
          <w:b w:val="0"/>
          <w:spacing w:val="-2"/>
        </w:rPr>
        <w:t xml:space="preserve"> </w:t>
      </w:r>
      <w:r w:rsidRPr="000F2E55">
        <w:rPr>
          <w:b w:val="0"/>
        </w:rPr>
        <w:t>the</w:t>
      </w:r>
      <w:r w:rsidRPr="000F2E55">
        <w:rPr>
          <w:b w:val="0"/>
          <w:spacing w:val="-1"/>
        </w:rPr>
        <w:t xml:space="preserve"> </w:t>
      </w:r>
      <w:r w:rsidRPr="000F2E55">
        <w:rPr>
          <w:b w:val="0"/>
        </w:rPr>
        <w:t xml:space="preserve">expiration </w:t>
      </w:r>
      <w:r w:rsidRPr="000F2E55">
        <w:rPr>
          <w:b w:val="0"/>
          <w:spacing w:val="-2"/>
        </w:rPr>
        <w:t>date.</w:t>
      </w:r>
    </w:p>
    <w:p w:rsidR="00811F50" w14:paraId="1CDC456A" w14:textId="77777777">
      <w:pPr>
        <w:pStyle w:val="BodyText"/>
        <w:spacing w:before="7"/>
      </w:pPr>
    </w:p>
    <w:p w:rsidR="00811F50" w14:paraId="495FBCF0" w14:textId="77777777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ind w:hanging="721"/>
      </w:pPr>
      <w:r>
        <w:t>Exemption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rPr>
          <w:spacing w:val="-2"/>
        </w:rPr>
        <w:t>statement</w:t>
      </w:r>
    </w:p>
    <w:p w:rsidR="00811F50" w14:paraId="78E01D53" w14:textId="77777777">
      <w:pPr>
        <w:pStyle w:val="BodyText"/>
        <w:rPr>
          <w:b/>
        </w:rPr>
      </w:pPr>
    </w:p>
    <w:p w:rsidR="00811F50" w14:paraId="48D1E6B3" w14:textId="77777777">
      <w:pPr>
        <w:pStyle w:val="BodyText"/>
        <w:ind w:left="8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applicable.</w:t>
      </w:r>
    </w:p>
    <w:p w:rsidR="00811F50" w14:paraId="378C2A15" w14:textId="77777777">
      <w:pPr>
        <w:pStyle w:val="BodyText"/>
        <w:spacing w:before="8"/>
      </w:pPr>
    </w:p>
    <w:p w:rsidR="00811F50" w14:paraId="1737454B" w14:textId="77777777">
      <w:pPr>
        <w:pStyle w:val="Heading1"/>
        <w:numPr>
          <w:ilvl w:val="0"/>
          <w:numId w:val="1"/>
        </w:numPr>
        <w:tabs>
          <w:tab w:val="left" w:pos="475"/>
        </w:tabs>
        <w:ind w:left="474" w:hanging="375"/>
      </w:pP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Employing</w:t>
      </w:r>
      <w:r>
        <w:rPr>
          <w:spacing w:val="-2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:rsidR="00811F50" w14:paraId="3E6A03AC" w14:textId="77777777">
      <w:pPr>
        <w:pStyle w:val="BodyText"/>
        <w:rPr>
          <w:b/>
        </w:rPr>
      </w:pPr>
    </w:p>
    <w:p w:rsidR="00811F50" w14:paraId="041BA485" w14:textId="77777777">
      <w:pPr>
        <w:pStyle w:val="BodyText"/>
        <w:ind w:left="8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applicable.</w:t>
      </w:r>
    </w:p>
    <w:sectPr>
      <w:footerReference w:type="default" r:id="rId10"/>
      <w:pgSz w:w="12240" w:h="15840"/>
      <w:pgMar w:top="1640" w:right="1340" w:bottom="1620" w:left="1340" w:header="0" w:footer="14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1F50" w14:paraId="05DA7E93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3804285</wp:posOffset>
              </wp:positionH>
              <wp:positionV relativeFrom="page">
                <wp:posOffset>9208770</wp:posOffset>
              </wp:positionV>
              <wp:extent cx="176530" cy="177800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F50" w14:textId="77777777">
                          <w:pPr>
                            <w:pStyle w:val="BodyText"/>
                            <w:spacing w:line="260" w:lineRule="exact"/>
                            <w:ind w:left="60"/>
                          </w:pPr>
                          <w:r>
                            <w:rPr>
                              <w:w w:val="103"/>
                            </w:rPr>
                            <w:fldChar w:fldCharType="begin"/>
                          </w:r>
                          <w:r>
                            <w:rPr>
                              <w:w w:val="103"/>
                            </w:rPr>
                            <w:instrText xml:space="preserve"> PAGE </w:instrText>
                          </w:r>
                          <w:r>
                            <w:rPr>
                              <w:w w:val="103"/>
                            </w:rPr>
                            <w:fldChar w:fldCharType="separate"/>
                          </w:r>
                          <w:r>
                            <w:rPr>
                              <w:w w:val="103"/>
                            </w:rPr>
                            <w:t>2</w:t>
                          </w:r>
                          <w:r>
                            <w:rPr>
                              <w:w w:val="10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3.9pt;height:14pt;margin-top:725.1pt;margin-left:299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811F50" w14:paraId="43C5801A" w14:textId="77777777">
                    <w:pPr>
                      <w:pStyle w:val="BodyText"/>
                      <w:spacing w:line="260" w:lineRule="exact"/>
                      <w:ind w:left="60"/>
                    </w:pPr>
                    <w:r>
                      <w:rPr>
                        <w:w w:val="103"/>
                      </w:rPr>
                      <w:fldChar w:fldCharType="begin"/>
                    </w:r>
                    <w:r>
                      <w:rPr>
                        <w:w w:val="103"/>
                      </w:rPr>
                      <w:instrText xml:space="preserve"> PAGE </w:instrText>
                    </w:r>
                    <w:r>
                      <w:rPr>
                        <w:w w:val="103"/>
                      </w:rPr>
                      <w:fldChar w:fldCharType="separate"/>
                    </w:r>
                    <w:r>
                      <w:rPr>
                        <w:w w:val="103"/>
                      </w:rPr>
                      <w:t>2</w:t>
                    </w:r>
                    <w:r>
                      <w:rPr>
                        <w:w w:val="10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1F50" w14:paraId="0A314FF0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3804285</wp:posOffset>
              </wp:positionH>
              <wp:positionV relativeFrom="page">
                <wp:posOffset>9013825</wp:posOffset>
              </wp:positionV>
              <wp:extent cx="176530" cy="177800"/>
              <wp:effectExtent l="0" t="0" r="0" b="0"/>
              <wp:wrapNone/>
              <wp:docPr id="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F50" w14:textId="77777777">
                          <w:pPr>
                            <w:pStyle w:val="BodyText"/>
                            <w:spacing w:line="260" w:lineRule="exact"/>
                            <w:ind w:left="60"/>
                          </w:pPr>
                          <w:r>
                            <w:rPr>
                              <w:w w:val="103"/>
                            </w:rPr>
                            <w:fldChar w:fldCharType="begin"/>
                          </w:r>
                          <w:r>
                            <w:rPr>
                              <w:w w:val="103"/>
                            </w:rPr>
                            <w:instrText xml:space="preserve"> PAGE </w:instrText>
                          </w:r>
                          <w:r>
                            <w:rPr>
                              <w:w w:val="103"/>
                            </w:rPr>
                            <w:fldChar w:fldCharType="separate"/>
                          </w:r>
                          <w:r>
                            <w:rPr>
                              <w:w w:val="103"/>
                            </w:rPr>
                            <w:t>3</w:t>
                          </w:r>
                          <w:r>
                            <w:rPr>
                              <w:w w:val="10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13.9pt;height:14pt;margin-top:709.75pt;margin-left:299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811F50" w14:paraId="706F3854" w14:textId="77777777">
                    <w:pPr>
                      <w:pStyle w:val="BodyText"/>
                      <w:spacing w:line="260" w:lineRule="exact"/>
                      <w:ind w:left="60"/>
                    </w:pPr>
                    <w:r>
                      <w:rPr>
                        <w:w w:val="103"/>
                      </w:rPr>
                      <w:fldChar w:fldCharType="begin"/>
                    </w:r>
                    <w:r>
                      <w:rPr>
                        <w:w w:val="103"/>
                      </w:rPr>
                      <w:instrText xml:space="preserve"> PAGE </w:instrText>
                    </w:r>
                    <w:r>
                      <w:rPr>
                        <w:w w:val="103"/>
                      </w:rPr>
                      <w:fldChar w:fldCharType="separate"/>
                    </w:r>
                    <w:r>
                      <w:rPr>
                        <w:w w:val="103"/>
                      </w:rPr>
                      <w:t>3</w:t>
                    </w:r>
                    <w:r>
                      <w:rPr>
                        <w:w w:val="10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24345A3"/>
    <w:multiLevelType w:val="hybridMultilevel"/>
    <w:tmpl w:val="A4E80C72"/>
    <w:lvl w:ilvl="0">
      <w:start w:val="1"/>
      <w:numFmt w:val="upperLetter"/>
      <w:lvlText w:val="%1."/>
      <w:lvlJc w:val="left"/>
      <w:pPr>
        <w:ind w:left="820" w:hanging="720"/>
      </w:pPr>
      <w:rPr>
        <w:rFonts w:ascii="Arial" w:eastAsia="Arial" w:hAnsi="Arial" w:cs="Arial" w:hint="default"/>
        <w:b/>
        <w:bCs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0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720"/>
      </w:pPr>
      <w:rPr>
        <w:rFonts w:hint="default"/>
        <w:lang w:val="en-US" w:eastAsia="en-US" w:bidi="ar-SA"/>
      </w:rPr>
    </w:lvl>
  </w:abstractNum>
  <w:num w:numId="1" w16cid:durableId="117522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50"/>
    <w:rsid w:val="00012F23"/>
    <w:rsid w:val="00084AD0"/>
    <w:rsid w:val="000C2260"/>
    <w:rsid w:val="000D65AE"/>
    <w:rsid w:val="000F2E55"/>
    <w:rsid w:val="000F5D16"/>
    <w:rsid w:val="001078DF"/>
    <w:rsid w:val="0016510A"/>
    <w:rsid w:val="0017362A"/>
    <w:rsid w:val="00195C18"/>
    <w:rsid w:val="001C1D0C"/>
    <w:rsid w:val="001C7AED"/>
    <w:rsid w:val="001D0854"/>
    <w:rsid w:val="001E1370"/>
    <w:rsid w:val="001F1F5E"/>
    <w:rsid w:val="00204FCE"/>
    <w:rsid w:val="002212CE"/>
    <w:rsid w:val="00226703"/>
    <w:rsid w:val="00226CDE"/>
    <w:rsid w:val="00282A20"/>
    <w:rsid w:val="002A4F7E"/>
    <w:rsid w:val="002C6A9E"/>
    <w:rsid w:val="00302A27"/>
    <w:rsid w:val="0030339D"/>
    <w:rsid w:val="0036105C"/>
    <w:rsid w:val="00403703"/>
    <w:rsid w:val="00417504"/>
    <w:rsid w:val="00423622"/>
    <w:rsid w:val="00433E04"/>
    <w:rsid w:val="00442914"/>
    <w:rsid w:val="00442F75"/>
    <w:rsid w:val="00457DC0"/>
    <w:rsid w:val="00465A67"/>
    <w:rsid w:val="004A3900"/>
    <w:rsid w:val="004C25D6"/>
    <w:rsid w:val="004D14CD"/>
    <w:rsid w:val="004E7C0A"/>
    <w:rsid w:val="00505E9D"/>
    <w:rsid w:val="00506CF2"/>
    <w:rsid w:val="005167A3"/>
    <w:rsid w:val="00572FA1"/>
    <w:rsid w:val="005B2E64"/>
    <w:rsid w:val="005D2E74"/>
    <w:rsid w:val="00642360"/>
    <w:rsid w:val="006428DB"/>
    <w:rsid w:val="00675D79"/>
    <w:rsid w:val="0069566A"/>
    <w:rsid w:val="006A2A94"/>
    <w:rsid w:val="006B2794"/>
    <w:rsid w:val="006C634C"/>
    <w:rsid w:val="006E509F"/>
    <w:rsid w:val="006F3F54"/>
    <w:rsid w:val="00746D2E"/>
    <w:rsid w:val="00786C73"/>
    <w:rsid w:val="007B7800"/>
    <w:rsid w:val="007B782B"/>
    <w:rsid w:val="007D43A6"/>
    <w:rsid w:val="007F0375"/>
    <w:rsid w:val="007F4A21"/>
    <w:rsid w:val="00811F50"/>
    <w:rsid w:val="00844678"/>
    <w:rsid w:val="00857196"/>
    <w:rsid w:val="00872D1C"/>
    <w:rsid w:val="008B12B5"/>
    <w:rsid w:val="008B2B8E"/>
    <w:rsid w:val="008B2F74"/>
    <w:rsid w:val="008B7248"/>
    <w:rsid w:val="008B7E10"/>
    <w:rsid w:val="008C43CD"/>
    <w:rsid w:val="008E76F2"/>
    <w:rsid w:val="009000A0"/>
    <w:rsid w:val="00907C59"/>
    <w:rsid w:val="0094723E"/>
    <w:rsid w:val="009A1BB5"/>
    <w:rsid w:val="009D0A54"/>
    <w:rsid w:val="009E3F6D"/>
    <w:rsid w:val="00A1313E"/>
    <w:rsid w:val="00A24B5A"/>
    <w:rsid w:val="00A642BC"/>
    <w:rsid w:val="00AA1FBD"/>
    <w:rsid w:val="00AB0C45"/>
    <w:rsid w:val="00B02EE6"/>
    <w:rsid w:val="00B17322"/>
    <w:rsid w:val="00B21D77"/>
    <w:rsid w:val="00B478EA"/>
    <w:rsid w:val="00B64562"/>
    <w:rsid w:val="00BF1468"/>
    <w:rsid w:val="00BF4026"/>
    <w:rsid w:val="00C05710"/>
    <w:rsid w:val="00C45FBF"/>
    <w:rsid w:val="00C46F58"/>
    <w:rsid w:val="00C528C0"/>
    <w:rsid w:val="00C77124"/>
    <w:rsid w:val="00C87524"/>
    <w:rsid w:val="00D01AB0"/>
    <w:rsid w:val="00D049CA"/>
    <w:rsid w:val="00D20D9F"/>
    <w:rsid w:val="00D50926"/>
    <w:rsid w:val="00D53DA4"/>
    <w:rsid w:val="00D54D81"/>
    <w:rsid w:val="00D86196"/>
    <w:rsid w:val="00DA2BE6"/>
    <w:rsid w:val="00DB5D73"/>
    <w:rsid w:val="00DC2067"/>
    <w:rsid w:val="00DD0F4A"/>
    <w:rsid w:val="00DE0661"/>
    <w:rsid w:val="00DF4A3D"/>
    <w:rsid w:val="00E42D91"/>
    <w:rsid w:val="00EF37F8"/>
    <w:rsid w:val="00F01813"/>
    <w:rsid w:val="00F537B1"/>
    <w:rsid w:val="00F96563"/>
    <w:rsid w:val="00FC2A4B"/>
    <w:rsid w:val="00FD5B55"/>
    <w:rsid w:val="00FE5B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68C331"/>
  <w15:docId w15:val="{002BA940-E116-4E83-8BE1-47DA535E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7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D1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D1C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D1C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65A67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9566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6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661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066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24B5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D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2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D9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42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D9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yperlink" Target="https://www.bls.gov/news.release/archives/ecec_09122025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7dbbc-a89a-4499-b4ce-0d8d138f1174" xsi:nil="true"/>
    <lcf76f155ced4ddcb4097134ff3c332f xmlns="81d5c1c9-3c8a-41e1-921b-abb7aea3d9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ACB156F469B4A93A5D430B492853F" ma:contentTypeVersion="12" ma:contentTypeDescription="Create a new document." ma:contentTypeScope="" ma:versionID="7c5f81a41cb9bee3ea7a274e65cd9257">
  <xsd:schema xmlns:xsd="http://www.w3.org/2001/XMLSchema" xmlns:xs="http://www.w3.org/2001/XMLSchema" xmlns:p="http://schemas.microsoft.com/office/2006/metadata/properties" xmlns:ns2="81d5c1c9-3c8a-41e1-921b-abb7aea3d9aa" xmlns:ns3="9287dbbc-a89a-4499-b4ce-0d8d138f1174" targetNamespace="http://schemas.microsoft.com/office/2006/metadata/properties" ma:root="true" ma:fieldsID="970f93761c9c3dc574c50f0ea9082ba4" ns2:_="" ns3:_="">
    <xsd:import namespace="81d5c1c9-3c8a-41e1-921b-abb7aea3d9aa"/>
    <xsd:import namespace="9287dbbc-a89a-4499-b4ce-0d8d138f1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5c1c9-3c8a-41e1-921b-abb7aea3d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d931de-ee36-4d41-a9cf-aa0650e9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7dbbc-a89a-4499-b4ce-0d8d138f11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e7259-5053-4d93-8f7e-f2bb5895ab9d}" ma:internalName="TaxCatchAll" ma:showField="CatchAllData" ma:web="9287dbbc-a89a-4499-b4ce-0d8d138f1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1DF1B-864A-4E87-8EC3-68475E1C509B}">
  <ds:schemaRefs>
    <ds:schemaRef ds:uri="http://schemas.microsoft.com/office/2006/metadata/properties"/>
    <ds:schemaRef ds:uri="http://schemas.microsoft.com/office/infopath/2007/PartnerControls"/>
    <ds:schemaRef ds:uri="9287dbbc-a89a-4499-b4ce-0d8d138f1174"/>
    <ds:schemaRef ds:uri="81d5c1c9-3c8a-41e1-921b-abb7aea3d9aa"/>
  </ds:schemaRefs>
</ds:datastoreItem>
</file>

<file path=customXml/itemProps2.xml><?xml version="1.0" encoding="utf-8"?>
<ds:datastoreItem xmlns:ds="http://schemas.openxmlformats.org/officeDocument/2006/customXml" ds:itemID="{079DD27D-5173-4250-8C8F-56B6D771E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D571-C35E-4D5C-8CAE-CDB62E19C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5c1c9-3c8a-41e1-921b-abb7aea3d9aa"/>
    <ds:schemaRef ds:uri="9287dbbc-a89a-4499-b4ce-0d8d138f1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4A94D-C974-4C65-B752-4A023013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1053</Words>
  <Characters>5778</Characters>
  <Application>Microsoft Office Word</Application>
  <DocSecurity>0</DocSecurity>
  <Lines>155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CPSC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pchao</dc:creator>
  <cp:lastModifiedBy>Gillham, Cynthia</cp:lastModifiedBy>
  <cp:revision>38</cp:revision>
  <dcterms:created xsi:type="dcterms:W3CDTF">2022-11-14T14:13:00Z</dcterms:created>
  <dcterms:modified xsi:type="dcterms:W3CDTF">2026-03-30T13:03:00Z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0x010100510ACB156F469B4A93A5D430B492853F</vt:lpwstr>
  </property>
  <property fmtid="{D5CDD505-2E9C-101B-9397-08002B2CF9AE}" pid="3" name="Created">
    <vt:filetime>2019-09-05T00:00:00Z</vt:filetime>
  </property>
  <property fmtid="{D5CDD505-2E9C-101B-9397-08002B2CF9AE}" pid="4" name="Creator">
    <vt:lpwstr>Microsoft® Word 2013</vt:lpwstr>
  </property>
  <property fmtid="{D5CDD505-2E9C-101B-9397-08002B2CF9AE}" pid="5" name="docLang">
    <vt:lpwstr>en</vt:lpwstr>
  </property>
  <property fmtid="{D5CDD505-2E9C-101B-9397-08002B2CF9AE}" pid="6" name="LastSaved">
    <vt:filetime>2022-06-29T00:00:00Z</vt:filetime>
  </property>
  <property fmtid="{D5CDD505-2E9C-101B-9397-08002B2CF9AE}" pid="7" name="MediaServiceImageTags">
    <vt:lpwstr/>
  </property>
  <property fmtid="{D5CDD505-2E9C-101B-9397-08002B2CF9AE}" pid="8" name="Producer">
    <vt:lpwstr>Microsoft® Word 2013</vt:lpwstr>
  </property>
</Properties>
</file>