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1A90" w:rsidRPr="00D807AF" w14:paraId="0CB162EA" w14:textId="77777777">
      <w:pPr>
        <w:pStyle w:val="Footer"/>
        <w:tabs>
          <w:tab w:val="clear" w:pos="4320"/>
          <w:tab w:val="center" w:pos="4680"/>
          <w:tab w:val="clear" w:pos="8640"/>
        </w:tabs>
        <w:jc w:val="center"/>
        <w:rPr>
          <w:rFonts w:ascii="Times New Roman" w:hAnsi="Times New Roman"/>
          <w:b/>
        </w:rPr>
      </w:pPr>
      <w:r w:rsidRPr="00D807AF">
        <w:rPr>
          <w:rFonts w:ascii="Times New Roman" w:hAnsi="Times New Roman"/>
          <w:b/>
        </w:rPr>
        <w:t>SUPPORTING STATEMENT</w:t>
      </w:r>
    </w:p>
    <w:p w:rsidR="00AD6A6E" w14:paraId="0C2C66A7" w14:textId="77777777">
      <w:pPr>
        <w:tabs>
          <w:tab w:val="center" w:pos="4680"/>
        </w:tabs>
        <w:jc w:val="center"/>
        <w:rPr>
          <w:rFonts w:ascii="Times New Roman" w:hAnsi="Times New Roman"/>
          <w:b/>
        </w:rPr>
      </w:pPr>
      <w:r>
        <w:rPr>
          <w:rFonts w:ascii="Times New Roman" w:hAnsi="Times New Roman"/>
          <w:b/>
        </w:rPr>
        <w:t xml:space="preserve">Forms Relating to FDIC Outside Counsel, </w:t>
      </w:r>
    </w:p>
    <w:p w:rsidR="00731A90" w:rsidRPr="00D807AF" w14:paraId="1E6ADEA0" w14:textId="77777777">
      <w:pPr>
        <w:tabs>
          <w:tab w:val="center" w:pos="4680"/>
        </w:tabs>
        <w:jc w:val="center"/>
        <w:rPr>
          <w:rFonts w:ascii="Times New Roman" w:hAnsi="Times New Roman"/>
          <w:b/>
        </w:rPr>
      </w:pPr>
      <w:r>
        <w:rPr>
          <w:rFonts w:ascii="Times New Roman" w:hAnsi="Times New Roman"/>
          <w:b/>
        </w:rPr>
        <w:t>Legal Support, and Expert Services Programs</w:t>
      </w:r>
    </w:p>
    <w:p w:rsidR="00731A90" w:rsidRPr="00D807AF" w14:paraId="04EB5E52" w14:textId="77777777">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9431C3">
        <w:rPr>
          <w:rFonts w:ascii="Times New Roman" w:hAnsi="Times New Roman"/>
          <w:b/>
        </w:rPr>
        <w:t>0</w:t>
      </w:r>
      <w:r w:rsidR="00AD6A6E">
        <w:rPr>
          <w:rFonts w:ascii="Times New Roman" w:hAnsi="Times New Roman"/>
          <w:b/>
        </w:rPr>
        <w:t>122</w:t>
      </w:r>
      <w:r w:rsidRPr="00D807AF">
        <w:rPr>
          <w:rFonts w:ascii="Times New Roman" w:hAnsi="Times New Roman"/>
          <w:b/>
        </w:rPr>
        <w:t>)</w:t>
      </w:r>
    </w:p>
    <w:p w:rsidR="00731A90" w14:paraId="548E1A1F" w14:textId="77777777">
      <w:pPr>
        <w:rPr>
          <w:rFonts w:ascii="Times New Roman" w:hAnsi="Times New Roman"/>
        </w:rPr>
      </w:pPr>
    </w:p>
    <w:p w:rsidR="00731A90" w14:paraId="6A8D0927" w14:textId="77777777">
      <w:pPr>
        <w:rPr>
          <w:rFonts w:ascii="Times New Roman" w:hAnsi="Times New Roman"/>
          <w:u w:val="single"/>
        </w:rPr>
      </w:pPr>
      <w:r>
        <w:rPr>
          <w:rFonts w:ascii="Times New Roman" w:hAnsi="Times New Roman"/>
          <w:u w:val="single"/>
        </w:rPr>
        <w:t>INTRODUCTION</w:t>
      </w:r>
    </w:p>
    <w:p w:rsidR="00731A90" w14:paraId="3FA4FA9B" w14:textId="77777777">
      <w:pPr>
        <w:rPr>
          <w:rFonts w:ascii="Times New Roman" w:hAnsi="Times New Roman"/>
          <w:u w:val="single"/>
        </w:rPr>
      </w:pPr>
    </w:p>
    <w:p w:rsidR="00DB04B6" w:rsidRPr="00DB04B6" w:rsidP="003C5AB0" w14:paraId="372ED331" w14:textId="6855C70F">
      <w:pPr>
        <w:widowControl/>
        <w:rPr>
          <w:rFonts w:ascii="Times New Roman" w:hAnsi="Times New Roman"/>
        </w:rPr>
      </w:pPr>
      <w:r w:rsidRPr="00DB04B6">
        <w:rPr>
          <w:rFonts w:ascii="Times New Roman" w:hAnsi="Times New Roman"/>
        </w:rPr>
        <w:t xml:space="preserve">The Federal Deposit Insurance Corporation (FDIC) is requesting a three-year </w:t>
      </w:r>
      <w:r w:rsidR="007F7BC9">
        <w:rPr>
          <w:rFonts w:ascii="Times New Roman" w:hAnsi="Times New Roman"/>
        </w:rPr>
        <w:t>extension</w:t>
      </w:r>
      <w:r w:rsidR="00067509">
        <w:rPr>
          <w:rFonts w:ascii="Times New Roman" w:hAnsi="Times New Roman"/>
        </w:rPr>
        <w:t>,</w:t>
      </w:r>
      <w:r w:rsidR="007F7BC9">
        <w:rPr>
          <w:rFonts w:ascii="Times New Roman" w:hAnsi="Times New Roman"/>
        </w:rPr>
        <w:t xml:space="preserve"> </w:t>
      </w:r>
      <w:r w:rsidR="00067509">
        <w:rPr>
          <w:rFonts w:ascii="Times New Roman" w:hAnsi="Times New Roman"/>
        </w:rPr>
        <w:t>with</w:t>
      </w:r>
      <w:r w:rsidR="00963D32">
        <w:rPr>
          <w:rFonts w:ascii="Times New Roman" w:hAnsi="Times New Roman"/>
        </w:rPr>
        <w:t>out</w:t>
      </w:r>
      <w:r w:rsidR="00067509">
        <w:rPr>
          <w:rFonts w:ascii="Times New Roman" w:hAnsi="Times New Roman"/>
        </w:rPr>
        <w:t xml:space="preserve"> </w:t>
      </w:r>
      <w:r w:rsidR="007F7BC9">
        <w:rPr>
          <w:rFonts w:ascii="Times New Roman" w:hAnsi="Times New Roman"/>
        </w:rPr>
        <w:t>revision</w:t>
      </w:r>
      <w:r w:rsidR="006D4D8E">
        <w:rPr>
          <w:rFonts w:ascii="Times New Roman" w:hAnsi="Times New Roman"/>
        </w:rPr>
        <w:t>,</w:t>
      </w:r>
      <w:r w:rsidRPr="00DB04B6" w:rsidR="007F7BC9">
        <w:rPr>
          <w:rFonts w:ascii="Times New Roman" w:hAnsi="Times New Roman"/>
        </w:rPr>
        <w:t xml:space="preserve"> </w:t>
      </w:r>
      <w:r w:rsidRPr="00DB04B6">
        <w:rPr>
          <w:rFonts w:ascii="Times New Roman" w:hAnsi="Times New Roman"/>
        </w:rPr>
        <w:t xml:space="preserve">of the information collection </w:t>
      </w:r>
      <w:r>
        <w:rPr>
          <w:rFonts w:ascii="Times New Roman" w:hAnsi="Times New Roman"/>
        </w:rPr>
        <w:t>entitled “</w:t>
      </w:r>
      <w:r w:rsidR="00AD6A6E">
        <w:rPr>
          <w:rFonts w:ascii="Times New Roman" w:hAnsi="Times New Roman"/>
        </w:rPr>
        <w:t>Forms Relating to FDIC Outside Counsel, Legal Support, and Expert Services Programs</w:t>
      </w:r>
      <w:r>
        <w:rPr>
          <w:rFonts w:ascii="Times New Roman" w:hAnsi="Times New Roman"/>
        </w:rPr>
        <w:t>”</w:t>
      </w:r>
      <w:r w:rsidR="009431C3">
        <w:rPr>
          <w:rFonts w:ascii="Times New Roman" w:hAnsi="Times New Roman"/>
        </w:rPr>
        <w:t xml:space="preserve"> (OMB Control Number 3064-00</w:t>
      </w:r>
      <w:r w:rsidR="00AD6A6E">
        <w:rPr>
          <w:rFonts w:ascii="Times New Roman" w:hAnsi="Times New Roman"/>
        </w:rPr>
        <w:t>122</w:t>
      </w:r>
      <w:r w:rsidR="009431C3">
        <w:rPr>
          <w:rFonts w:ascii="Times New Roman" w:hAnsi="Times New Roman"/>
        </w:rPr>
        <w:t>).</w:t>
      </w:r>
      <w:r>
        <w:rPr>
          <w:rFonts w:ascii="Times New Roman" w:hAnsi="Times New Roman"/>
        </w:rPr>
        <w:t xml:space="preserve"> </w:t>
      </w:r>
      <w:r w:rsidRPr="00AD6A6E" w:rsidR="00AD6A6E">
        <w:rPr>
          <w:rFonts w:ascii="Times New Roman" w:hAnsi="Times New Roman"/>
          <w:szCs w:val="24"/>
        </w:rPr>
        <w:t xml:space="preserve">The information collected enables the FDIC to ensure that all individuals, businesses and firms seeking to provide legal support services to the FDIC </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et the eligibility require</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 xml:space="preserve">nts established by Congress.  The information is also used to manage and monitor payments to contractors, document contract amendments, expiration dates, billable individuals, and to ensure that law firms, experts, and other legal support services providers </w:t>
      </w:r>
      <w:r w:rsidRPr="00AD6A6E" w:rsidR="00AD6A6E">
        <w:rPr>
          <w:rFonts w:ascii="Times New Roman" w:hAnsi="Times New Roman"/>
          <w:szCs w:val="24"/>
        </w:rPr>
        <w:t>are in compliance with</w:t>
      </w:r>
      <w:r w:rsidRPr="00AD6A6E" w:rsidR="00AD6A6E">
        <w:rPr>
          <w:rFonts w:ascii="Times New Roman" w:hAnsi="Times New Roman"/>
          <w:szCs w:val="24"/>
        </w:rPr>
        <w:t xml:space="preserve"> statutory and regulatory requirements.  As currently approved, this collection consists of </w:t>
      </w:r>
      <w:r w:rsidR="00AD6A6E">
        <w:rPr>
          <w:rFonts w:ascii="Times New Roman" w:hAnsi="Times New Roman"/>
          <w:szCs w:val="24"/>
        </w:rPr>
        <w:t>18</w:t>
      </w:r>
      <w:r w:rsidRPr="00AD6A6E" w:rsidR="00AD6A6E">
        <w:rPr>
          <w:rFonts w:ascii="Times New Roman" w:hAnsi="Times New Roman"/>
          <w:szCs w:val="24"/>
        </w:rPr>
        <w:t xml:space="preserve"> forms.</w:t>
      </w:r>
      <w:r w:rsidRPr="004A4C59" w:rsidR="004A4C59">
        <w:rPr>
          <w:rFonts w:ascii="Times New Roman" w:hAnsi="Times New Roman"/>
        </w:rPr>
        <w:t xml:space="preserve"> The current clearance expires on </w:t>
      </w:r>
      <w:r w:rsidR="00E65D87">
        <w:rPr>
          <w:rFonts w:ascii="Times New Roman" w:hAnsi="Times New Roman"/>
        </w:rPr>
        <w:t>March 31, 2026</w:t>
      </w:r>
      <w:r w:rsidRPr="004A4C59" w:rsidR="004A4C59">
        <w:rPr>
          <w:rFonts w:ascii="Times New Roman" w:hAnsi="Times New Roman"/>
        </w:rPr>
        <w:t>.</w:t>
      </w:r>
    </w:p>
    <w:p w:rsidR="00DB04B6" w:rsidP="004D1876" w14:paraId="1A68D233" w14:textId="77777777">
      <w:pPr>
        <w:rPr>
          <w:rFonts w:ascii="Times New Roman" w:hAnsi="Times New Roman"/>
        </w:rPr>
      </w:pPr>
    </w:p>
    <w:p w:rsidR="00731A90" w:rsidRPr="004D7E89" w:rsidP="004D7E89" w14:paraId="4254A85F" w14:textId="77777777">
      <w:pPr>
        <w:pStyle w:val="ListParagraph"/>
        <w:numPr>
          <w:ilvl w:val="0"/>
          <w:numId w:val="12"/>
        </w:numPr>
        <w:rPr>
          <w:u w:val="single"/>
        </w:rPr>
      </w:pPr>
      <w:r w:rsidRPr="004D7E89">
        <w:rPr>
          <w:u w:val="single"/>
        </w:rPr>
        <w:t>JUSTIFICATION</w:t>
      </w:r>
    </w:p>
    <w:p w:rsidR="004D7E89" w:rsidRPr="004D7E89" w:rsidP="004D7E89" w14:paraId="44CC270B" w14:textId="77777777">
      <w:pPr>
        <w:pStyle w:val="ListParagraph"/>
        <w:ind w:left="1080"/>
        <w:rPr>
          <w:u w:val="single"/>
        </w:rPr>
      </w:pPr>
    </w:p>
    <w:p w:rsidR="00731A90" w14:paraId="6702A55D" w14:textId="77777777">
      <w:pPr>
        <w:rPr>
          <w:rFonts w:ascii="Times New Roman" w:hAnsi="Times New Roman"/>
        </w:rPr>
      </w:pPr>
    </w:p>
    <w:p w:rsidR="00731A90" w:rsidP="006D4D8E" w14:paraId="6B8ECEDA" w14:textId="77777777">
      <w:pPr>
        <w:numPr>
          <w:ilvl w:val="0"/>
          <w:numId w:val="11"/>
        </w:numPr>
        <w:ind w:left="1440" w:hanging="720"/>
        <w:rPr>
          <w:rFonts w:ascii="Times New Roman" w:hAnsi="Times New Roman"/>
        </w:rPr>
      </w:pPr>
      <w:r w:rsidRPr="00B662BE">
        <w:rPr>
          <w:rFonts w:ascii="Times New Roman" w:hAnsi="Times New Roman"/>
          <w:bCs/>
          <w:szCs w:val="24"/>
          <w:u w:val="single"/>
        </w:rPr>
        <w:t>Circumstances that make the collection necessary:</w:t>
      </w:r>
    </w:p>
    <w:p w:rsidR="00731A90" w14:paraId="60A27AE1" w14:textId="77777777">
      <w:pPr>
        <w:ind w:firstLine="1440"/>
        <w:rPr>
          <w:rFonts w:ascii="Times New Roman" w:hAnsi="Times New Roman"/>
        </w:rPr>
      </w:pPr>
    </w:p>
    <w:p w:rsidR="00AD6A6E" w:rsidRPr="00AD6A6E" w:rsidP="00AD6A6E" w14:paraId="5450E2FA" w14:textId="3DC27F0A">
      <w:pPr>
        <w:ind w:left="1440"/>
        <w:rPr>
          <w:rFonts w:ascii="Times New Roman" w:hAnsi="Times New Roman"/>
          <w:snapToGrid/>
        </w:rPr>
      </w:pPr>
      <w:r w:rsidRPr="00AD6A6E">
        <w:rPr>
          <w:rFonts w:ascii="Times New Roman" w:hAnsi="Times New Roman"/>
          <w:snapToGrid/>
        </w:rPr>
        <w:t xml:space="preserve">The Federal Deposit Insurance Act (the “Act”) authorizes the FDIC to </w:t>
      </w:r>
      <w:r w:rsidRPr="00AD6A6E">
        <w:rPr>
          <w:rFonts w:ascii="Times New Roman" w:hAnsi="Times New Roman"/>
          <w:snapToGrid/>
        </w:rPr>
        <w:t>enter into</w:t>
      </w:r>
      <w:r w:rsidRPr="00AD6A6E">
        <w:rPr>
          <w:rFonts w:ascii="Times New Roman" w:hAnsi="Times New Roman"/>
          <w:snapToGrid/>
        </w:rPr>
        <w:t xml:space="preserve"> contracts using private sector contractors to provide goods or services (12 USC 1819).  The Act and its implementing </w:t>
      </w:r>
      <w:r w:rsidRPr="00AD6A6E" w:rsidR="0013412F">
        <w:rPr>
          <w:rFonts w:ascii="Times New Roman" w:hAnsi="Times New Roman"/>
          <w:snapToGrid/>
        </w:rPr>
        <w:t>regulation also</w:t>
      </w:r>
      <w:r w:rsidRPr="00AD6A6E">
        <w:rPr>
          <w:rFonts w:ascii="Times New Roman" w:hAnsi="Times New Roman"/>
          <w:snapToGrid/>
        </w:rPr>
        <w:t xml:space="preserve"> set forth certain minimum standards of contractor competence, experience, fitness, and integrity (12 USC 1822(f)(4), 12 CFR Part 366).</w:t>
      </w:r>
    </w:p>
    <w:p w:rsidR="00AD6A6E" w:rsidRPr="00AD6A6E" w:rsidP="00AD6A6E" w14:paraId="3E207779" w14:textId="77777777">
      <w:pPr>
        <w:ind w:left="1440"/>
        <w:rPr>
          <w:rFonts w:ascii="Times New Roman" w:hAnsi="Times New Roman"/>
          <w:snapToGrid/>
        </w:rPr>
      </w:pPr>
    </w:p>
    <w:p w:rsidR="00AD6A6E" w:rsidRPr="00AD6A6E" w:rsidP="00AD6A6E" w14:paraId="7E9430F3" w14:textId="77777777">
      <w:pPr>
        <w:ind w:left="1440"/>
        <w:rPr>
          <w:rFonts w:ascii="Times New Roman" w:hAnsi="Times New Roman"/>
          <w:snapToGrid/>
        </w:rPr>
      </w:pPr>
      <w:r w:rsidRPr="00AD6A6E">
        <w:rPr>
          <w:rFonts w:ascii="Times New Roman" w:hAnsi="Times New Roman"/>
          <w:snapToGrid/>
        </w:rPr>
        <w:t>The FDIC Legal Division has developed the forms in this collection to facilitate its procure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of and pay</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 xml:space="preserve">nt for outside counsel, expert, and legal support services and to ensure compliance with the </w:t>
      </w:r>
      <w:r w:rsidRPr="00AD6A6E">
        <w:rPr>
          <w:rFonts w:ascii="Times New Roman" w:hAnsi="Times New Roman"/>
          <w:snapToGrid/>
        </w:rPr>
        <w:t>aforementioned statutory</w:t>
      </w:r>
      <w:r w:rsidRPr="00AD6A6E">
        <w:rPr>
          <w:rFonts w:ascii="Times New Roman" w:hAnsi="Times New Roman"/>
          <w:snapToGrid/>
        </w:rPr>
        <w:t xml:space="preserve"> and regulatory require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nts.</w:t>
      </w:r>
    </w:p>
    <w:p w:rsidR="00075303" w:rsidRPr="00373ED8" w:rsidP="001509ED" w14:paraId="1626CBDF" w14:textId="77777777">
      <w:pPr>
        <w:ind w:left="1440"/>
        <w:rPr>
          <w:rFonts w:ascii="Times New Roman" w:hAnsi="Times New Roman"/>
        </w:rPr>
      </w:pPr>
    </w:p>
    <w:p w:rsidR="004D1876" w:rsidRPr="00373ED8" w:rsidP="006D4D8E" w14:paraId="6967EB92" w14:textId="77777777">
      <w:pPr>
        <w:numPr>
          <w:ilvl w:val="0"/>
          <w:numId w:val="11"/>
        </w:numPr>
        <w:tabs>
          <w:tab w:val="left" w:pos="-1440"/>
        </w:tabs>
        <w:ind w:left="1440" w:hanging="720"/>
        <w:rPr>
          <w:rFonts w:ascii="Times New Roman" w:hAnsi="Times New Roman"/>
        </w:rPr>
      </w:pPr>
      <w:r w:rsidRPr="00373ED8">
        <w:rPr>
          <w:rFonts w:ascii="Times New Roman" w:hAnsi="Times New Roman"/>
          <w:u w:val="single"/>
        </w:rPr>
        <w:t>Use of the information:</w:t>
      </w:r>
    </w:p>
    <w:p w:rsidR="004D1876" w:rsidRPr="00373ED8" w:rsidP="004D1876" w14:paraId="52C53DC5" w14:textId="77777777">
      <w:pPr>
        <w:ind w:left="1440"/>
        <w:rPr>
          <w:rFonts w:ascii="Times New Roman" w:hAnsi="Times New Roman"/>
        </w:rPr>
      </w:pPr>
    </w:p>
    <w:p w:rsidR="00F034F1" w:rsidP="00AD6A6E" w14:paraId="73DF8076" w14:textId="69906E62">
      <w:pPr>
        <w:ind w:left="1440"/>
        <w:rPr>
          <w:rFonts w:ascii="Times New Roman" w:hAnsi="Times New Roman"/>
        </w:rPr>
      </w:pPr>
      <w:r w:rsidRPr="00AD6A6E">
        <w:rPr>
          <w:rFonts w:ascii="Times New Roman" w:hAnsi="Times New Roman"/>
        </w:rPr>
        <w:t xml:space="preserve">The information collected is used to permit the FDIC to make determinations with respect to disqualifying conditions or conflicts of interest, to budget and reimburse for services, to assess cost-effectiveness, </w:t>
      </w:r>
      <w:r>
        <w:rPr>
          <w:rFonts w:ascii="Times New Roman" w:hAnsi="Times New Roman"/>
        </w:rPr>
        <w:t xml:space="preserve">and </w:t>
      </w:r>
      <w:r w:rsidRPr="00AD6A6E">
        <w:rPr>
          <w:rFonts w:ascii="Times New Roman" w:hAnsi="Times New Roman"/>
        </w:rPr>
        <w:t>to measure progress.</w:t>
      </w:r>
    </w:p>
    <w:p w:rsidR="00AD6A6E" w:rsidP="004D1876" w14:paraId="60501D29" w14:textId="77777777">
      <w:pPr>
        <w:ind w:left="2880"/>
        <w:rPr>
          <w:rFonts w:ascii="Times New Roman" w:hAnsi="Times New Roman"/>
        </w:rPr>
      </w:pPr>
    </w:p>
    <w:p w:rsidR="00731A90" w:rsidP="006D4D8E" w14:paraId="7C7B961E" w14:textId="77777777">
      <w:pPr>
        <w:numPr>
          <w:ilvl w:val="0"/>
          <w:numId w:val="11"/>
        </w:numPr>
        <w:ind w:left="1440" w:hanging="720"/>
        <w:rPr>
          <w:rFonts w:ascii="Times New Roman" w:hAnsi="Times New Roman"/>
        </w:rPr>
      </w:pPr>
      <w:r w:rsidRPr="00B662BE">
        <w:rPr>
          <w:rFonts w:ascii="Times New Roman" w:hAnsi="Times New Roman"/>
          <w:bCs/>
          <w:szCs w:val="24"/>
          <w:u w:val="single"/>
        </w:rPr>
        <w:t>Consideration of the use of improved information technology:</w:t>
      </w:r>
    </w:p>
    <w:p w:rsidR="00731A90" w14:paraId="2C3AF024" w14:textId="77777777">
      <w:pPr>
        <w:rPr>
          <w:rFonts w:ascii="Times New Roman" w:hAnsi="Times New Roman"/>
        </w:rPr>
      </w:pPr>
    </w:p>
    <w:p w:rsidR="00F034F1" w:rsidP="00736FF6" w14:paraId="6C1B56A3" w14:textId="77777777">
      <w:pPr>
        <w:ind w:left="1440"/>
        <w:rPr>
          <w:rFonts w:ascii="Times New Roman" w:hAnsi="Times New Roman"/>
        </w:rPr>
      </w:pPr>
      <w:r w:rsidRPr="00AD6A6E">
        <w:rPr>
          <w:rFonts w:ascii="Times New Roman" w:hAnsi="Times New Roman"/>
        </w:rPr>
        <w:t xml:space="preserve">The forms in this collection are on </w:t>
      </w:r>
      <w:r w:rsidRPr="00AD6A6E">
        <w:rPr>
          <w:rFonts w:ascii="Times New Roman" w:hAnsi="Times New Roman"/>
        </w:rPr>
        <w:t>the FDIC’s</w:t>
      </w:r>
      <w:r w:rsidRPr="00AD6A6E">
        <w:rPr>
          <w:rFonts w:ascii="Times New Roman" w:hAnsi="Times New Roman"/>
        </w:rPr>
        <w:t xml:space="preserve"> external web site, available for on-line completion and electronic submission, as well as view-and-print capability.</w:t>
      </w:r>
    </w:p>
    <w:p w:rsidR="006F2769" w:rsidP="00736FF6" w14:paraId="6FD7A8F1" w14:textId="77777777">
      <w:pPr>
        <w:ind w:left="1440"/>
        <w:rPr>
          <w:rFonts w:ascii="Times New Roman" w:hAnsi="Times New Roman"/>
        </w:rPr>
      </w:pPr>
    </w:p>
    <w:p w:rsidR="00731A90" w:rsidP="006D4D8E" w14:paraId="3F791DF6" w14:textId="77777777">
      <w:pPr>
        <w:numPr>
          <w:ilvl w:val="0"/>
          <w:numId w:val="11"/>
        </w:numPr>
        <w:ind w:left="1440" w:hanging="720"/>
        <w:rPr>
          <w:rFonts w:ascii="Times New Roman" w:hAnsi="Times New Roman"/>
        </w:rPr>
      </w:pPr>
      <w:r>
        <w:rPr>
          <w:rFonts w:ascii="Times New Roman" w:hAnsi="Times New Roman"/>
          <w:u w:val="single"/>
        </w:rPr>
        <w:t>Efforts to identify duplication</w:t>
      </w:r>
      <w:r w:rsidR="008F53AC">
        <w:rPr>
          <w:rFonts w:ascii="Times New Roman" w:hAnsi="Times New Roman"/>
          <w:u w:val="single"/>
        </w:rPr>
        <w:t>:</w:t>
      </w:r>
    </w:p>
    <w:p w:rsidR="00731A90" w14:paraId="247F3C50" w14:textId="77777777">
      <w:pPr>
        <w:rPr>
          <w:rFonts w:ascii="Times New Roman" w:hAnsi="Times New Roman"/>
        </w:rPr>
      </w:pPr>
    </w:p>
    <w:p w:rsidR="00731A90" w:rsidP="00F034F1" w14:paraId="403989A7" w14:textId="77777777">
      <w:pPr>
        <w:ind w:left="1440"/>
        <w:rPr>
          <w:rFonts w:ascii="Times New Roman" w:hAnsi="Times New Roman"/>
        </w:rPr>
      </w:pPr>
      <w:r w:rsidRPr="00F034F1">
        <w:rPr>
          <w:rFonts w:ascii="Times New Roman" w:hAnsi="Times New Roman"/>
        </w:rPr>
        <w:t>This collection does not duplicate information provided elsewhere.  The information is unique to the occasion to which the application relates.</w:t>
      </w:r>
    </w:p>
    <w:p w:rsidR="00F034F1" w14:paraId="7A62952B" w14:textId="77777777">
      <w:pPr>
        <w:ind w:left="720"/>
        <w:rPr>
          <w:rFonts w:ascii="Times New Roman" w:hAnsi="Times New Roman"/>
        </w:rPr>
      </w:pPr>
    </w:p>
    <w:p w:rsidR="00EA72EA" w:rsidRPr="00EA72EA" w:rsidP="004D7E89" w14:paraId="33019A18" w14:textId="77777777">
      <w:pPr>
        <w:numPr>
          <w:ilvl w:val="0"/>
          <w:numId w:val="11"/>
        </w:numPr>
        <w:ind w:left="1440" w:hanging="720"/>
        <w:rPr>
          <w:rFonts w:ascii="Times New Roman" w:hAnsi="Times New Roman"/>
          <w:u w:val="single"/>
        </w:rPr>
      </w:pPr>
      <w:r w:rsidRPr="008873E8">
        <w:rPr>
          <w:rFonts w:ascii="Times New Roman" w:hAnsi="Times New Roman"/>
          <w:bCs/>
          <w:szCs w:val="24"/>
          <w:u w:val="single"/>
        </w:rPr>
        <w:t>Methods used to minimize burden if the collectio</w:t>
      </w:r>
      <w:r>
        <w:rPr>
          <w:rFonts w:ascii="Times New Roman" w:hAnsi="Times New Roman"/>
          <w:bCs/>
          <w:szCs w:val="24"/>
          <w:u w:val="single"/>
        </w:rPr>
        <w:t xml:space="preserve">n has a significant impact on </w:t>
      </w:r>
    </w:p>
    <w:p w:rsidR="00731A90" w:rsidP="00EA72EA" w14:paraId="5F814DC7" w14:textId="77777777">
      <w:pPr>
        <w:ind w:left="1080" w:firstLine="360"/>
        <w:rPr>
          <w:rFonts w:ascii="Times New Roman" w:hAnsi="Times New Roman"/>
          <w:u w:val="single"/>
        </w:rPr>
      </w:pPr>
      <w:r w:rsidRPr="008873E8">
        <w:rPr>
          <w:rFonts w:ascii="Times New Roman" w:hAnsi="Times New Roman"/>
          <w:bCs/>
          <w:szCs w:val="24"/>
          <w:u w:val="single"/>
        </w:rPr>
        <w:t>substantial number of small entities:</w:t>
      </w:r>
    </w:p>
    <w:p w:rsidR="00731A90" w14:paraId="7E91BAEF" w14:textId="77777777">
      <w:pPr>
        <w:ind w:left="1440"/>
        <w:rPr>
          <w:rFonts w:ascii="Times New Roman" w:hAnsi="Times New Roman"/>
        </w:rPr>
      </w:pPr>
    </w:p>
    <w:p w:rsidR="00AD6A6E" w:rsidRPr="00AD6A6E" w:rsidP="00AD6A6E" w14:paraId="37BD5564" w14:textId="77777777">
      <w:pPr>
        <w:widowControl/>
        <w:ind w:left="1440"/>
        <w:rPr>
          <w:rFonts w:ascii="Times New Roman" w:hAnsi="Times New Roman"/>
          <w:szCs w:val="24"/>
        </w:rPr>
      </w:pPr>
      <w:r w:rsidRPr="00AD6A6E">
        <w:rPr>
          <w:rFonts w:ascii="Times New Roman" w:hAnsi="Times New Roman"/>
          <w:szCs w:val="24"/>
        </w:rPr>
        <w:t xml:space="preserve">The forms have been designed to minimize burden on small entities, limiting the questions to those minimally necessary to obtain sufficient information to establish program eligibility and to reimburse legal contractors for services and expenses.   </w:t>
      </w:r>
    </w:p>
    <w:p w:rsidR="00731A90" w14:paraId="7581ACD3" w14:textId="77777777">
      <w:pPr>
        <w:rPr>
          <w:rFonts w:ascii="Times New Roman" w:hAnsi="Times New Roman"/>
        </w:rPr>
      </w:pPr>
    </w:p>
    <w:p w:rsidR="00731A90" w:rsidP="00EA72EA" w14:paraId="0AD01025" w14:textId="77777777">
      <w:pPr>
        <w:numPr>
          <w:ilvl w:val="0"/>
          <w:numId w:val="11"/>
        </w:numPr>
        <w:tabs>
          <w:tab w:val="left" w:pos="-1620"/>
        </w:tabs>
        <w:ind w:left="1440" w:hanging="720"/>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14:paraId="6B0807B9" w14:textId="77777777">
      <w:pPr>
        <w:rPr>
          <w:rFonts w:ascii="Times New Roman" w:hAnsi="Times New Roman"/>
        </w:rPr>
      </w:pPr>
    </w:p>
    <w:p w:rsidR="001509ED" w:rsidP="001509ED" w14:paraId="2E1D2B76" w14:textId="77777777">
      <w:pPr>
        <w:ind w:left="1440"/>
        <w:rPr>
          <w:rFonts w:ascii="Times New Roman" w:hAnsi="Times New Roman"/>
          <w:snapToGrid/>
        </w:rPr>
      </w:pPr>
      <w:r w:rsidRPr="00AD6A6E">
        <w:rPr>
          <w:rFonts w:ascii="Times New Roman" w:hAnsi="Times New Roman"/>
          <w:snapToGrid/>
        </w:rPr>
        <w:t>The forms are required when a law firm, expert or other legal support services provider enters into a contractual agree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 xml:space="preserve">nt with the FDIC, when </w:t>
      </w:r>
      <w:r w:rsidRPr="00AD6A6E">
        <w:rPr>
          <w:rFonts w:ascii="Times New Roman" w:hAnsi="Times New Roman"/>
          <w:snapToGrid/>
        </w:rPr>
        <w:t>changes occur</w:t>
      </w:r>
      <w:r w:rsidRPr="00AD6A6E">
        <w:rPr>
          <w:rFonts w:ascii="Times New Roman" w:hAnsi="Times New Roman"/>
          <w:snapToGrid/>
        </w:rPr>
        <w:t xml:space="preserve"> that affect the contractor’s initial representations, and when the contractor seeks pay</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for services and/or expenses.  Less frequent collection would compromise the FDIC’s ability to ensure compliance with statutory and regulatory require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nts, and to effectively monitor contract compliance and expenditures.  The information is collected only on an as-needed basis.</w:t>
      </w:r>
    </w:p>
    <w:p w:rsidR="00AD6A6E" w:rsidP="001509ED" w14:paraId="30190D08" w14:textId="77777777">
      <w:pPr>
        <w:ind w:left="1440"/>
        <w:rPr>
          <w:rFonts w:ascii="Times New Roman" w:hAnsi="Times New Roman"/>
        </w:rPr>
      </w:pPr>
    </w:p>
    <w:p w:rsidR="00D807AF" w:rsidRPr="001F2A5D" w:rsidP="00EA72EA" w14:paraId="4C15CA77" w14:textId="77777777">
      <w:pPr>
        <w:numPr>
          <w:ilvl w:val="0"/>
          <w:numId w:val="11"/>
        </w:numPr>
        <w:ind w:left="1440" w:hanging="720"/>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14:paraId="7B0519E8" w14:textId="77777777">
      <w:pPr>
        <w:rPr>
          <w:rFonts w:ascii="Times New Roman" w:hAnsi="Times New Roman"/>
        </w:rPr>
      </w:pPr>
    </w:p>
    <w:p w:rsidR="00D40E93" w:rsidRPr="0011503E" w:rsidP="002F0A91" w14:paraId="0DBFE1F4" w14:textId="77777777">
      <w:pPr>
        <w:ind w:left="1440"/>
        <w:rPr>
          <w:rFonts w:ascii="Times New Roman" w:hAnsi="Times New Roman"/>
        </w:rPr>
      </w:pPr>
      <w:r w:rsidRPr="00712682">
        <w:rPr>
          <w:rFonts w:ascii="Times New Roman" w:hAnsi="Times New Roman"/>
        </w:rPr>
        <w:t>None. This information collection is conducted in accordance with the guidelines in 5 CFR 1320.5(d)(2).</w:t>
      </w:r>
    </w:p>
    <w:p w:rsidR="00731A90" w:rsidP="00F034F1" w14:paraId="154C0D1C" w14:textId="77777777">
      <w:pPr>
        <w:pStyle w:val="BodyTextIndent"/>
        <w:ind w:left="1440"/>
      </w:pPr>
      <w:r w:rsidRPr="008873E8">
        <w:rPr>
          <w:szCs w:val="24"/>
        </w:rPr>
        <w:t xml:space="preserve"> </w:t>
      </w:r>
    </w:p>
    <w:p w:rsidR="00D807AF" w:rsidRPr="001F2A5D" w:rsidP="004D7E89" w14:paraId="219F98E1" w14:textId="77777777">
      <w:pPr>
        <w:numPr>
          <w:ilvl w:val="0"/>
          <w:numId w:val="11"/>
        </w:numPr>
        <w:ind w:left="1440" w:hanging="720"/>
        <w:rPr>
          <w:rFonts w:ascii="Times New Roman" w:hAnsi="Times New Roman"/>
          <w:szCs w:val="24"/>
        </w:rPr>
      </w:pPr>
      <w:r w:rsidRPr="008873E8">
        <w:rPr>
          <w:rFonts w:ascii="Times New Roman" w:hAnsi="Times New Roman"/>
          <w:bCs/>
          <w:szCs w:val="24"/>
          <w:u w:val="single"/>
        </w:rPr>
        <w:t xml:space="preserve">Efforts to consult with </w:t>
      </w:r>
      <w:r w:rsidRPr="008873E8">
        <w:rPr>
          <w:rFonts w:ascii="Times New Roman" w:hAnsi="Times New Roman"/>
          <w:bCs/>
          <w:szCs w:val="24"/>
          <w:u w:val="single"/>
        </w:rPr>
        <w:t>persons</w:t>
      </w:r>
      <w:r w:rsidRPr="008873E8">
        <w:rPr>
          <w:rFonts w:ascii="Times New Roman" w:hAnsi="Times New Roman"/>
          <w:bCs/>
          <w:szCs w:val="24"/>
          <w:u w:val="single"/>
        </w:rPr>
        <w:t xml:space="preserve"> outside the agency:</w:t>
      </w:r>
    </w:p>
    <w:p w:rsidR="00731A90" w:rsidP="00D807AF" w14:paraId="02B8C1F0" w14:textId="77777777">
      <w:pPr>
        <w:ind w:firstLine="720"/>
        <w:rPr>
          <w:rFonts w:ascii="Times New Roman" w:hAnsi="Times New Roman"/>
        </w:rPr>
      </w:pPr>
    </w:p>
    <w:p w:rsidR="001E004B" w:rsidP="00DB04B6" w14:paraId="04F4D1A2" w14:textId="70056C68">
      <w:pPr>
        <w:widowControl/>
        <w:autoSpaceDE w:val="0"/>
        <w:autoSpaceDN w:val="0"/>
        <w:adjustRightInd w:val="0"/>
        <w:ind w:left="1440"/>
        <w:rPr>
          <w:rFonts w:ascii="Times New Roman" w:hAnsi="Times New Roman"/>
          <w:iCs/>
          <w:szCs w:val="24"/>
        </w:rPr>
      </w:pPr>
      <w:r>
        <w:rPr>
          <w:rFonts w:ascii="Times New Roman" w:hAnsi="Times New Roman"/>
        </w:rPr>
        <w:t xml:space="preserve">On </w:t>
      </w:r>
      <w:r w:rsidR="009546CC">
        <w:rPr>
          <w:rFonts w:ascii="Times New Roman" w:hAnsi="Times New Roman"/>
          <w:szCs w:val="24"/>
        </w:rPr>
        <w:t>December 15, 2025</w:t>
      </w:r>
      <w:r>
        <w:rPr>
          <w:rFonts w:ascii="Times New Roman" w:hAnsi="Times New Roman"/>
          <w:szCs w:val="24"/>
        </w:rPr>
        <w:t xml:space="preserve">, the FDIC published a </w:t>
      </w:r>
      <w:r w:rsidRPr="009546CC">
        <w:rPr>
          <w:rFonts w:ascii="Times New Roman" w:hAnsi="Times New Roman"/>
          <w:szCs w:val="24"/>
        </w:rPr>
        <w:t>Federal Register</w:t>
      </w:r>
      <w:r>
        <w:rPr>
          <w:rFonts w:ascii="Times New Roman" w:hAnsi="Times New Roman"/>
          <w:szCs w:val="24"/>
        </w:rPr>
        <w:t xml:space="preserve"> notice proposing to </w:t>
      </w:r>
      <w:r w:rsidR="00B13C8A">
        <w:rPr>
          <w:rFonts w:ascii="Times New Roman" w:hAnsi="Times New Roman"/>
          <w:szCs w:val="24"/>
        </w:rPr>
        <w:t>renew</w:t>
      </w:r>
      <w:r>
        <w:rPr>
          <w:rFonts w:ascii="Times New Roman" w:hAnsi="Times New Roman"/>
          <w:szCs w:val="24"/>
        </w:rPr>
        <w:t xml:space="preserve"> the </w:t>
      </w:r>
      <w:r w:rsidR="00AD6A6E">
        <w:rPr>
          <w:rFonts w:ascii="Times New Roman" w:hAnsi="Times New Roman"/>
          <w:szCs w:val="24"/>
        </w:rPr>
        <w:t>Forms Relating to FDIC</w:t>
      </w:r>
      <w:r>
        <w:rPr>
          <w:rFonts w:ascii="Times New Roman" w:hAnsi="Times New Roman"/>
          <w:szCs w:val="24"/>
        </w:rPr>
        <w:t xml:space="preserve"> </w:t>
      </w:r>
      <w:r w:rsidR="00AD6A6E">
        <w:rPr>
          <w:rFonts w:ascii="Times New Roman" w:hAnsi="Times New Roman"/>
          <w:szCs w:val="24"/>
        </w:rPr>
        <w:t xml:space="preserve">Outside Counsel, Legal Support, and Expert Services Programs </w:t>
      </w:r>
      <w:r>
        <w:rPr>
          <w:rFonts w:ascii="Times New Roman" w:hAnsi="Times New Roman"/>
          <w:szCs w:val="24"/>
        </w:rPr>
        <w:t>existing information collection (</w:t>
      </w:r>
      <w:r w:rsidR="00B13C8A">
        <w:rPr>
          <w:rFonts w:ascii="Times New Roman" w:hAnsi="Times New Roman"/>
          <w:szCs w:val="24"/>
        </w:rPr>
        <w:t>90</w:t>
      </w:r>
      <w:r w:rsidRPr="006A0452">
        <w:rPr>
          <w:rFonts w:ascii="Times New Roman" w:hAnsi="Times New Roman"/>
          <w:szCs w:val="24"/>
        </w:rPr>
        <w:t xml:space="preserve"> FR </w:t>
      </w:r>
      <w:r w:rsidR="00B13C8A">
        <w:rPr>
          <w:rFonts w:ascii="Times New Roman" w:hAnsi="Times New Roman"/>
          <w:szCs w:val="24"/>
        </w:rPr>
        <w:t>58013</w:t>
      </w:r>
      <w:r>
        <w:rPr>
          <w:rFonts w:ascii="Times New Roman" w:hAnsi="Times New Roman"/>
          <w:szCs w:val="24"/>
        </w:rPr>
        <w:t xml:space="preserve">).  </w:t>
      </w:r>
      <w:r>
        <w:rPr>
          <w:rFonts w:ascii="Times New Roman" w:hAnsi="Times New Roman"/>
          <w:iCs/>
          <w:szCs w:val="24"/>
        </w:rPr>
        <w:t>The FDIC</w:t>
      </w:r>
      <w:r w:rsidRPr="007E5FB2">
        <w:rPr>
          <w:rFonts w:ascii="Times New Roman" w:hAnsi="Times New Roman"/>
          <w:iCs/>
          <w:szCs w:val="24"/>
        </w:rPr>
        <w:t xml:space="preserve"> </w:t>
      </w:r>
      <w:r>
        <w:rPr>
          <w:rFonts w:ascii="Times New Roman" w:hAnsi="Times New Roman"/>
          <w:iCs/>
          <w:szCs w:val="24"/>
        </w:rPr>
        <w:t>did not</w:t>
      </w:r>
      <w:r w:rsidRPr="007E5FB2">
        <w:rPr>
          <w:rFonts w:ascii="Times New Roman" w:hAnsi="Times New Roman"/>
          <w:iCs/>
          <w:szCs w:val="24"/>
        </w:rPr>
        <w:t xml:space="preserve"> receive </w:t>
      </w:r>
      <w:r>
        <w:rPr>
          <w:rFonts w:ascii="Times New Roman" w:hAnsi="Times New Roman"/>
          <w:iCs/>
          <w:szCs w:val="24"/>
        </w:rPr>
        <w:t>any</w:t>
      </w:r>
      <w:r w:rsidRPr="007E5FB2">
        <w:rPr>
          <w:rFonts w:ascii="Times New Roman" w:hAnsi="Times New Roman"/>
          <w:iCs/>
          <w:szCs w:val="24"/>
        </w:rPr>
        <w:t xml:space="preserve"> comment</w:t>
      </w:r>
      <w:r>
        <w:rPr>
          <w:rFonts w:ascii="Times New Roman" w:hAnsi="Times New Roman"/>
          <w:iCs/>
          <w:szCs w:val="24"/>
        </w:rPr>
        <w:t>s addressing this collection of information</w:t>
      </w:r>
      <w:r w:rsidRPr="007E5FB2">
        <w:rPr>
          <w:rFonts w:ascii="Times New Roman" w:hAnsi="Times New Roman"/>
          <w:iCs/>
          <w:szCs w:val="24"/>
        </w:rPr>
        <w:t>.</w:t>
      </w:r>
    </w:p>
    <w:p w:rsidR="001509ED" w:rsidP="00DB04B6" w14:paraId="3F1AE53B" w14:textId="77777777">
      <w:pPr>
        <w:widowControl/>
        <w:autoSpaceDE w:val="0"/>
        <w:autoSpaceDN w:val="0"/>
        <w:adjustRightInd w:val="0"/>
        <w:ind w:left="1440"/>
        <w:rPr>
          <w:rFonts w:ascii="Times New Roman" w:hAnsi="Times New Roman"/>
        </w:rPr>
      </w:pPr>
    </w:p>
    <w:p w:rsidR="00D807AF" w:rsidRPr="001F2A5D" w:rsidP="006D4D8E" w14:paraId="05D8EDCE" w14:textId="77777777">
      <w:pPr>
        <w:numPr>
          <w:ilvl w:val="0"/>
          <w:numId w:val="11"/>
        </w:numPr>
        <w:ind w:left="1440" w:hanging="720"/>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14:paraId="6E27B92C" w14:textId="77777777">
      <w:pPr>
        <w:rPr>
          <w:rFonts w:ascii="Times New Roman" w:hAnsi="Times New Roman"/>
        </w:rPr>
      </w:pPr>
    </w:p>
    <w:p w:rsidR="00731A90" w14:paraId="04F7B5D0" w14:textId="77777777">
      <w:pPr>
        <w:ind w:left="1440"/>
        <w:rPr>
          <w:rFonts w:ascii="Times New Roman" w:hAnsi="Times New Roman"/>
        </w:rPr>
      </w:pPr>
      <w:r>
        <w:rPr>
          <w:rFonts w:ascii="Times New Roman" w:hAnsi="Times New Roman"/>
        </w:rPr>
        <w:t xml:space="preserve">None. </w:t>
      </w:r>
    </w:p>
    <w:p w:rsidR="00731A90" w14:paraId="2E06A489" w14:textId="77777777">
      <w:pPr>
        <w:rPr>
          <w:rFonts w:ascii="Times New Roman" w:hAnsi="Times New Roman"/>
        </w:rPr>
      </w:pPr>
    </w:p>
    <w:p w:rsidR="00731A90" w:rsidP="006D4D8E" w14:paraId="4FE2E98B" w14:textId="77777777">
      <w:pPr>
        <w:numPr>
          <w:ilvl w:val="0"/>
          <w:numId w:val="11"/>
        </w:numPr>
        <w:ind w:left="1440" w:hanging="720"/>
        <w:rPr>
          <w:rFonts w:ascii="Times New Roman" w:hAnsi="Times New Roman"/>
        </w:rPr>
      </w:pPr>
      <w:r w:rsidRPr="00647F97">
        <w:rPr>
          <w:rFonts w:ascii="Times New Roman TUR" w:hAnsi="Times New Roman TUR" w:cs="Times New Roman TUR"/>
          <w:bCs/>
          <w:u w:val="single"/>
        </w:rPr>
        <w:t>Any assurance of confidentiality:</w:t>
      </w:r>
    </w:p>
    <w:p w:rsidR="00731A90" w14:paraId="4F26682A" w14:textId="77777777">
      <w:pPr>
        <w:rPr>
          <w:rFonts w:ascii="Times New Roman" w:hAnsi="Times New Roman"/>
        </w:rPr>
      </w:pPr>
    </w:p>
    <w:p w:rsidR="00E5596D" w:rsidP="00F034F1" w14:paraId="0F76F7F7" w14:textId="77777777">
      <w:pPr>
        <w:ind w:left="1440"/>
        <w:rPr>
          <w:rFonts w:ascii="Times New Roman" w:hAnsi="Times New Roman"/>
        </w:rPr>
      </w:pPr>
      <w:r w:rsidRPr="00F034F1">
        <w:rPr>
          <w:rFonts w:ascii="Times New Roman" w:hAnsi="Times New Roman"/>
        </w:rPr>
        <w:t>Information will be kept private to the extent allowed by law.</w:t>
      </w:r>
    </w:p>
    <w:p w:rsidR="00F034F1" w14:paraId="62137700" w14:textId="77777777">
      <w:pPr>
        <w:rPr>
          <w:rFonts w:ascii="Times New Roman" w:hAnsi="Times New Roman"/>
        </w:rPr>
      </w:pPr>
    </w:p>
    <w:p w:rsidR="00736FF6" w:rsidRPr="00E5596D" w14:paraId="1FC924A7" w14:textId="77777777">
      <w:pPr>
        <w:rPr>
          <w:rFonts w:ascii="Times New Roman" w:hAnsi="Times New Roman"/>
        </w:rPr>
      </w:pPr>
    </w:p>
    <w:p w:rsidR="00731A90" w:rsidP="006D4D8E" w14:paraId="028FD27E" w14:textId="77777777">
      <w:pPr>
        <w:numPr>
          <w:ilvl w:val="0"/>
          <w:numId w:val="11"/>
        </w:numPr>
        <w:ind w:left="1440" w:hanging="720"/>
        <w:rPr>
          <w:rFonts w:ascii="Times New Roman" w:hAnsi="Times New Roman"/>
        </w:rPr>
      </w:pPr>
      <w:r w:rsidRPr="00647F97">
        <w:rPr>
          <w:rFonts w:ascii="Times New Roman TUR" w:hAnsi="Times New Roman TUR" w:cs="Times New Roman TUR"/>
          <w:bCs/>
          <w:u w:val="single"/>
        </w:rPr>
        <w:t>Justification for questions of a sensitive nature:</w:t>
      </w:r>
    </w:p>
    <w:p w:rsidR="00731A90" w14:paraId="628AEB9C" w14:textId="77777777">
      <w:pPr>
        <w:rPr>
          <w:rFonts w:ascii="Times New Roman" w:hAnsi="Times New Roman"/>
        </w:rPr>
      </w:pPr>
    </w:p>
    <w:p w:rsidR="001509ED" w:rsidP="006D4D8E" w14:paraId="067DB697" w14:textId="77777777">
      <w:pPr>
        <w:ind w:left="1440"/>
        <w:rPr>
          <w:rFonts w:ascii="Times New Roman" w:hAnsi="Times New Roman"/>
        </w:rPr>
      </w:pPr>
      <w:r w:rsidRPr="00736FF6">
        <w:rPr>
          <w:rFonts w:ascii="Times New Roman" w:hAnsi="Times New Roman"/>
        </w:rPr>
        <w:t>Questions about prior convictions, patterns or practices of defalcation, and prohibitions from participating in banking activities are required by statute.</w:t>
      </w:r>
    </w:p>
    <w:p w:rsidR="00736FF6" w:rsidP="001509ED" w14:paraId="1FD26D17" w14:textId="77777777">
      <w:pPr>
        <w:ind w:left="1440"/>
        <w:rPr>
          <w:rFonts w:ascii="Times New Roman" w:hAnsi="Times New Roman"/>
        </w:rPr>
      </w:pPr>
    </w:p>
    <w:p w:rsidR="00731A90" w:rsidP="006D4D8E" w14:paraId="66AFC19A" w14:textId="77777777">
      <w:pPr>
        <w:numPr>
          <w:ilvl w:val="0"/>
          <w:numId w:val="11"/>
        </w:numPr>
        <w:ind w:left="1440" w:hanging="720"/>
        <w:rPr>
          <w:rFonts w:ascii="Times New Roman" w:hAnsi="Times New Roman"/>
          <w:szCs w:val="24"/>
          <w:u w:val="single"/>
        </w:rPr>
      </w:pPr>
      <w:r w:rsidRPr="000D67E2">
        <w:rPr>
          <w:rFonts w:ascii="Times New Roman" w:hAnsi="Times New Roman"/>
          <w:szCs w:val="24"/>
          <w:u w:val="single"/>
        </w:rPr>
        <w:t>Estimate of hour burden including annualized hourly costs:</w:t>
      </w:r>
    </w:p>
    <w:p w:rsidR="008A1A8E" w:rsidRPr="00E12D38" w:rsidP="002A4E44" w14:paraId="6448F569" w14:textId="77777777">
      <w:pPr>
        <w:rPr>
          <w:rFonts w:ascii="Times New Roman" w:hAnsi="Times New Roman"/>
          <w:szCs w:val="24"/>
        </w:rPr>
      </w:pPr>
    </w:p>
    <w:p w:rsidR="00C516B6" w:rsidP="00C516B6" w14:paraId="5DFBADFC" w14:textId="77777777">
      <w:pPr>
        <w:ind w:left="1080"/>
        <w:rPr>
          <w:rFonts w:ascii="Times New Roman" w:hAnsi="Times New Roman"/>
          <w:i/>
          <w:szCs w:val="24"/>
        </w:rPr>
      </w:pPr>
      <w:r w:rsidRPr="00AF79FB">
        <w:rPr>
          <w:rFonts w:ascii="Times New Roman" w:hAnsi="Times New Roman"/>
          <w:i/>
          <w:szCs w:val="24"/>
        </w:rPr>
        <w:t>Estimated Annual Burden</w:t>
      </w:r>
    </w:p>
    <w:p w:rsidR="00426E20" w:rsidP="00C516B6" w14:paraId="6CFE56E7" w14:textId="77777777">
      <w:pPr>
        <w:ind w:left="1080"/>
        <w:rPr>
          <w:rFonts w:ascii="Times New Roman" w:hAnsi="Times New Roman"/>
          <w:i/>
          <w:szCs w:val="24"/>
        </w:rPr>
      </w:pPr>
    </w:p>
    <w:tbl>
      <w:tblPr>
        <w:tblStyle w:val="TableGrid2"/>
        <w:tblW w:w="9536" w:type="dxa"/>
        <w:tblLook w:val="04A0"/>
      </w:tblPr>
      <w:tblGrid>
        <w:gridCol w:w="2785"/>
        <w:gridCol w:w="1389"/>
        <w:gridCol w:w="1350"/>
        <w:gridCol w:w="1255"/>
        <w:gridCol w:w="1133"/>
        <w:gridCol w:w="1624"/>
      </w:tblGrid>
      <w:tr w14:paraId="05DD99EB" w14:textId="77777777" w:rsidTr="00512A3C">
        <w:tblPrEx>
          <w:tblW w:w="9536" w:type="dxa"/>
          <w:tblLook w:val="04A0"/>
        </w:tblPrEx>
        <w:trPr>
          <w:trHeight w:val="360"/>
        </w:trPr>
        <w:tc>
          <w:tcPr>
            <w:tcW w:w="9536" w:type="dxa"/>
            <w:gridSpan w:val="6"/>
            <w:hideMark/>
          </w:tcPr>
          <w:p w:rsidR="00426E20" w:rsidRPr="00426E20" w:rsidP="00426E20" w14:paraId="1D1691A1" w14:textId="7458D393">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Summary of Estimated Annual Burden (OMB No. 3064-0122)</w:t>
            </w:r>
          </w:p>
        </w:tc>
      </w:tr>
      <w:tr w14:paraId="61183A44" w14:textId="77777777" w:rsidTr="00467512">
        <w:tblPrEx>
          <w:tblW w:w="9536" w:type="dxa"/>
          <w:tblLook w:val="04A0"/>
        </w:tblPrEx>
        <w:trPr>
          <w:trHeight w:val="1140"/>
        </w:trPr>
        <w:tc>
          <w:tcPr>
            <w:tcW w:w="2785" w:type="dxa"/>
            <w:shd w:val="clear" w:color="auto" w:fill="F2F2F2" w:themeFill="background1" w:themeFillShade="F2"/>
            <w:hideMark/>
          </w:tcPr>
          <w:p w:rsidR="00426E20" w:rsidRPr="00426E20" w:rsidP="00426E20" w14:paraId="21668A57"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Information Collection (IC) (Obligation to Respond)</w:t>
            </w:r>
          </w:p>
        </w:tc>
        <w:tc>
          <w:tcPr>
            <w:tcW w:w="1440" w:type="dxa"/>
            <w:shd w:val="clear" w:color="auto" w:fill="F2F2F2" w:themeFill="background1" w:themeFillShade="F2"/>
            <w:hideMark/>
          </w:tcPr>
          <w:p w:rsidR="00426E20" w:rsidRPr="00426E20" w:rsidP="00426E20" w14:paraId="75D5E76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Type of Burden</w:t>
            </w:r>
            <w:r w:rsidRPr="00426E20">
              <w:rPr>
                <w:rFonts w:ascii="Times New Roman" w:hAnsi="Times New Roman" w:cs="Times New Roman"/>
                <w:snapToGrid/>
                <w:color w:val="000000"/>
                <w:sz w:val="22"/>
              </w:rPr>
              <w:br/>
              <w:t>(Frequency of Response)</w:t>
            </w:r>
          </w:p>
        </w:tc>
        <w:tc>
          <w:tcPr>
            <w:tcW w:w="1350" w:type="dxa"/>
            <w:shd w:val="clear" w:color="auto" w:fill="F2F2F2" w:themeFill="background1" w:themeFillShade="F2"/>
            <w:hideMark/>
          </w:tcPr>
          <w:p w:rsidR="00426E20" w:rsidRPr="00426E20" w:rsidP="00426E20" w14:paraId="2A1B0BF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 xml:space="preserve"> Number of Respondents </w:t>
            </w:r>
          </w:p>
        </w:tc>
        <w:tc>
          <w:tcPr>
            <w:tcW w:w="1244" w:type="dxa"/>
            <w:shd w:val="clear" w:color="auto" w:fill="F2F2F2" w:themeFill="background1" w:themeFillShade="F2"/>
            <w:hideMark/>
          </w:tcPr>
          <w:p w:rsidR="00426E20" w:rsidRPr="00426E20" w:rsidP="00426E20" w14:paraId="6AA61F4C"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 xml:space="preserve"> Number of Responses per Respondent</w:t>
            </w:r>
          </w:p>
        </w:tc>
        <w:tc>
          <w:tcPr>
            <w:tcW w:w="1093" w:type="dxa"/>
            <w:shd w:val="clear" w:color="auto" w:fill="F2F2F2" w:themeFill="background1" w:themeFillShade="F2"/>
            <w:hideMark/>
          </w:tcPr>
          <w:p w:rsidR="00426E20" w:rsidRPr="00426E20" w:rsidP="00426E20" w14:paraId="020BA564"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Average Time per Response (HH:MM)</w:t>
            </w:r>
          </w:p>
        </w:tc>
        <w:tc>
          <w:tcPr>
            <w:tcW w:w="1624" w:type="dxa"/>
            <w:shd w:val="clear" w:color="auto" w:fill="F2F2F2" w:themeFill="background1" w:themeFillShade="F2"/>
            <w:hideMark/>
          </w:tcPr>
          <w:p w:rsidR="00426E20" w:rsidRPr="00426E20" w:rsidP="00426E20" w14:paraId="13D4ADB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Annual Burden (Hours)</w:t>
            </w:r>
          </w:p>
        </w:tc>
      </w:tr>
      <w:tr w14:paraId="61A52D54" w14:textId="77777777" w:rsidTr="00512A3C">
        <w:tblPrEx>
          <w:tblW w:w="9536" w:type="dxa"/>
          <w:tblLook w:val="04A0"/>
        </w:tblPrEx>
        <w:trPr>
          <w:trHeight w:val="845"/>
        </w:trPr>
        <w:tc>
          <w:tcPr>
            <w:tcW w:w="2785" w:type="dxa"/>
            <w:hideMark/>
          </w:tcPr>
          <w:p w:rsidR="00426E20" w:rsidRPr="00426E20" w:rsidP="00426E20" w14:paraId="798020CF"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 Legal Service Agreement,</w:t>
            </w:r>
            <w:r w:rsidRPr="00426E20">
              <w:rPr>
                <w:rFonts w:ascii="Times New Roman" w:hAnsi="Times New Roman" w:cs="Times New Roman"/>
                <w:snapToGrid/>
                <w:color w:val="000000"/>
                <w:sz w:val="22"/>
              </w:rPr>
              <w:br/>
              <w:t>12 CFR 361 and 12 CFR 366 (Mandatory)</w:t>
            </w:r>
          </w:p>
        </w:tc>
        <w:tc>
          <w:tcPr>
            <w:tcW w:w="1440" w:type="dxa"/>
            <w:hideMark/>
          </w:tcPr>
          <w:p w:rsidR="00426E20" w:rsidRPr="00426E20" w:rsidP="00426E20" w14:paraId="4377AACC"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hideMark/>
          </w:tcPr>
          <w:p w:rsidR="00426E20" w:rsidRPr="00426E20" w:rsidP="00426E20" w14:paraId="60E028DA" w14:textId="77777777">
            <w:pPr>
              <w:widowControl/>
              <w:jc w:val="center"/>
              <w:rPr>
                <w:rFonts w:ascii="Times New Roman" w:eastAsia="Source Sans Pro" w:hAnsi="Times New Roman" w:cs="Times New Roman"/>
                <w:snapToGrid/>
                <w:sz w:val="22"/>
              </w:rPr>
            </w:pPr>
            <w:r w:rsidRPr="00426E20">
              <w:rPr>
                <w:rFonts w:ascii="Times New Roman" w:hAnsi="Times New Roman" w:cs="Times New Roman"/>
                <w:snapToGrid/>
                <w:color w:val="000000"/>
                <w:sz w:val="22"/>
              </w:rPr>
              <w:t>52</w:t>
            </w:r>
          </w:p>
          <w:p w:rsidR="00426E20" w:rsidRPr="00426E20" w:rsidP="00426E20" w14:paraId="128C1DBF" w14:textId="77777777">
            <w:pPr>
              <w:widowControl/>
              <w:jc w:val="center"/>
              <w:rPr>
                <w:rFonts w:ascii="Times New Roman" w:eastAsia="Source Sans Pro" w:hAnsi="Times New Roman" w:cs="Times New Roman"/>
                <w:snapToGrid/>
                <w:sz w:val="22"/>
                <w:lang w:bidi="en-US"/>
              </w:rPr>
            </w:pPr>
          </w:p>
        </w:tc>
        <w:tc>
          <w:tcPr>
            <w:tcW w:w="1244" w:type="dxa"/>
            <w:noWrap/>
            <w:hideMark/>
          </w:tcPr>
          <w:p w:rsidR="00426E20" w:rsidRPr="00426E20" w:rsidP="00426E20" w14:paraId="245DE71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hideMark/>
          </w:tcPr>
          <w:p w:rsidR="00426E20" w:rsidRPr="00426E20" w:rsidP="00426E20" w14:paraId="4177AB8F"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00:15</w:t>
            </w:r>
          </w:p>
        </w:tc>
        <w:tc>
          <w:tcPr>
            <w:tcW w:w="1624" w:type="dxa"/>
            <w:noWrap/>
            <w:hideMark/>
          </w:tcPr>
          <w:p w:rsidR="00426E20" w:rsidRPr="00426E20" w:rsidP="00426E20" w14:paraId="26FD61FF"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13</w:t>
            </w:r>
          </w:p>
        </w:tc>
      </w:tr>
      <w:tr w14:paraId="3C0F3E32" w14:textId="77777777" w:rsidTr="00512A3C">
        <w:tblPrEx>
          <w:tblW w:w="9536" w:type="dxa"/>
          <w:tblLook w:val="04A0"/>
        </w:tblPrEx>
        <w:trPr>
          <w:trHeight w:val="1140"/>
        </w:trPr>
        <w:tc>
          <w:tcPr>
            <w:tcW w:w="2785" w:type="dxa"/>
          </w:tcPr>
          <w:p w:rsidR="00426E20" w:rsidRPr="00426E20" w:rsidP="00426E20" w14:paraId="18C8EA7A"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2. Outside Counsel Legal Services Agreement Rate Schedule,</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6ED80091"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tcPr>
          <w:p w:rsidR="00426E20" w:rsidRPr="00426E20" w:rsidP="00426E20" w14:paraId="6F9AA7F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52</w:t>
            </w:r>
          </w:p>
          <w:p w:rsidR="00426E20" w:rsidRPr="00426E20" w:rsidP="00426E20" w14:paraId="1B2BBC14" w14:textId="77777777">
            <w:pPr>
              <w:widowControl/>
              <w:jc w:val="center"/>
              <w:rPr>
                <w:rFonts w:ascii="Times New Roman" w:hAnsi="Times New Roman" w:cs="Times New Roman"/>
                <w:snapToGrid/>
                <w:color w:val="000000"/>
                <w:sz w:val="22"/>
              </w:rPr>
            </w:pPr>
          </w:p>
        </w:tc>
        <w:tc>
          <w:tcPr>
            <w:tcW w:w="1244" w:type="dxa"/>
          </w:tcPr>
          <w:p w:rsidR="00426E20" w:rsidRPr="00426E20" w:rsidP="00426E20" w14:paraId="77DB0808"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28D000A9"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01:00</w:t>
            </w:r>
          </w:p>
        </w:tc>
        <w:tc>
          <w:tcPr>
            <w:tcW w:w="1624" w:type="dxa"/>
          </w:tcPr>
          <w:p w:rsidR="00426E20" w:rsidRPr="00426E20" w:rsidP="00426E20" w14:paraId="4EB620A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52</w:t>
            </w:r>
          </w:p>
        </w:tc>
      </w:tr>
      <w:tr w14:paraId="688D24F0" w14:textId="77777777" w:rsidTr="00512A3C">
        <w:tblPrEx>
          <w:tblW w:w="9536" w:type="dxa"/>
          <w:tblLook w:val="04A0"/>
        </w:tblPrEx>
        <w:trPr>
          <w:trHeight w:val="1140"/>
        </w:trPr>
        <w:tc>
          <w:tcPr>
            <w:tcW w:w="2785" w:type="dxa"/>
          </w:tcPr>
          <w:p w:rsidR="00426E20" w:rsidRPr="00426E20" w:rsidP="00426E20" w14:paraId="2FD1DF5A"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3. Representations and Certifications for Legal Contractors,</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21725BB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tcPr>
          <w:p w:rsidR="00426E20" w:rsidRPr="00426E20" w:rsidP="00426E20" w14:paraId="3B350AB1"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59</w:t>
            </w:r>
          </w:p>
          <w:p w:rsidR="00426E20" w:rsidRPr="00426E20" w:rsidP="00426E20" w14:paraId="7CE7FD44" w14:textId="77777777">
            <w:pPr>
              <w:widowControl/>
              <w:jc w:val="center"/>
              <w:rPr>
                <w:rFonts w:ascii="Times New Roman" w:hAnsi="Times New Roman" w:cs="Times New Roman"/>
                <w:snapToGrid/>
                <w:color w:val="000000"/>
                <w:sz w:val="22"/>
              </w:rPr>
            </w:pPr>
          </w:p>
        </w:tc>
        <w:tc>
          <w:tcPr>
            <w:tcW w:w="1244" w:type="dxa"/>
          </w:tcPr>
          <w:p w:rsidR="00426E20" w:rsidRPr="00426E20" w:rsidP="00426E20" w14:paraId="6AEC1927"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7E8DEC51"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01:00</w:t>
            </w:r>
          </w:p>
        </w:tc>
        <w:tc>
          <w:tcPr>
            <w:tcW w:w="1624" w:type="dxa"/>
          </w:tcPr>
          <w:p w:rsidR="00426E20" w:rsidRPr="00426E20" w:rsidP="00426E20" w14:paraId="25AFE91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59</w:t>
            </w:r>
          </w:p>
        </w:tc>
      </w:tr>
      <w:tr w14:paraId="6DFCA7FC" w14:textId="77777777" w:rsidTr="00512A3C">
        <w:tblPrEx>
          <w:tblW w:w="9536" w:type="dxa"/>
          <w:tblLook w:val="04A0"/>
        </w:tblPrEx>
        <w:trPr>
          <w:trHeight w:val="1140"/>
        </w:trPr>
        <w:tc>
          <w:tcPr>
            <w:tcW w:w="2785" w:type="dxa"/>
          </w:tcPr>
          <w:p w:rsidR="00426E20" w:rsidRPr="00426E20" w:rsidP="00426E20" w14:paraId="09CEFD62"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 xml:space="preserve">4. Legal Services </w:t>
            </w:r>
            <w:r w:rsidRPr="00426E20">
              <w:rPr>
                <w:rFonts w:ascii="Times New Roman" w:hAnsi="Times New Roman" w:cs="Times New Roman"/>
                <w:snapToGrid/>
                <w:color w:val="000000"/>
                <w:sz w:val="22"/>
              </w:rPr>
              <w:t>Agreement  Amendment</w:t>
            </w:r>
            <w:r w:rsidRPr="00426E20">
              <w:rPr>
                <w:rFonts w:ascii="Times New Roman" w:hAnsi="Times New Roman" w:cs="Times New Roman"/>
                <w:snapToGrid/>
                <w:color w:val="000000"/>
                <w:sz w:val="22"/>
              </w:rPr>
              <w:t>,</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64DB452F"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tcPr>
          <w:p w:rsidR="00426E20" w:rsidRPr="00426E20" w:rsidP="00426E20" w14:paraId="4AF9F8D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99</w:t>
            </w:r>
          </w:p>
          <w:p w:rsidR="00426E20" w:rsidRPr="00426E20" w:rsidP="00426E20" w14:paraId="72CBFEA2" w14:textId="77777777">
            <w:pPr>
              <w:widowControl/>
              <w:jc w:val="center"/>
              <w:rPr>
                <w:rFonts w:ascii="Times New Roman" w:hAnsi="Times New Roman" w:cs="Times New Roman"/>
                <w:snapToGrid/>
                <w:color w:val="000000"/>
                <w:sz w:val="22"/>
              </w:rPr>
            </w:pPr>
          </w:p>
        </w:tc>
        <w:tc>
          <w:tcPr>
            <w:tcW w:w="1244" w:type="dxa"/>
          </w:tcPr>
          <w:p w:rsidR="00426E20" w:rsidRPr="00426E20" w:rsidP="00426E20" w14:paraId="16F48557"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3DAC1114"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tcPr>
          <w:p w:rsidR="00426E20" w:rsidRPr="00426E20" w:rsidP="00426E20" w14:paraId="0D18082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50</w:t>
            </w:r>
          </w:p>
        </w:tc>
      </w:tr>
      <w:tr w14:paraId="73D12535" w14:textId="77777777" w:rsidTr="00512A3C">
        <w:tblPrEx>
          <w:tblW w:w="9536" w:type="dxa"/>
          <w:tblLook w:val="04A0"/>
        </w:tblPrEx>
        <w:trPr>
          <w:trHeight w:val="1095"/>
        </w:trPr>
        <w:tc>
          <w:tcPr>
            <w:tcW w:w="2785" w:type="dxa"/>
            <w:hideMark/>
          </w:tcPr>
          <w:p w:rsidR="00426E20" w:rsidRPr="00426E20" w:rsidP="00426E20" w14:paraId="10C57220"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5. Non-Litigation Budget Form,</w:t>
            </w:r>
            <w:r w:rsidRPr="00426E20">
              <w:rPr>
                <w:rFonts w:ascii="Times New Roman" w:hAnsi="Times New Roman" w:cs="Times New Roman"/>
                <w:snapToGrid/>
                <w:color w:val="000000"/>
                <w:sz w:val="22"/>
              </w:rPr>
              <w:br/>
              <w:t>12 CFR 361 and 12 CFR 366 (Mandatory)</w:t>
            </w:r>
          </w:p>
        </w:tc>
        <w:tc>
          <w:tcPr>
            <w:tcW w:w="1440" w:type="dxa"/>
            <w:hideMark/>
          </w:tcPr>
          <w:p w:rsidR="00426E20" w:rsidRPr="00426E20" w:rsidP="00426E20" w14:paraId="01B7E79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hideMark/>
          </w:tcPr>
          <w:p w:rsidR="00426E20" w:rsidRPr="00426E20" w:rsidP="00426E20" w14:paraId="073CDEB5" w14:textId="77777777">
            <w:pPr>
              <w:widowControl/>
              <w:jc w:val="center"/>
              <w:rPr>
                <w:rFonts w:ascii="Times New Roman" w:eastAsia="Source Sans Pro" w:hAnsi="Times New Roman" w:cs="Times New Roman"/>
                <w:snapToGrid/>
                <w:sz w:val="22"/>
              </w:rPr>
            </w:pPr>
            <w:r w:rsidRPr="00426E20">
              <w:rPr>
                <w:rFonts w:ascii="Times New Roman" w:hAnsi="Times New Roman" w:cs="Times New Roman"/>
                <w:snapToGrid/>
                <w:color w:val="000000"/>
                <w:sz w:val="22"/>
              </w:rPr>
              <w:t>8</w:t>
            </w:r>
          </w:p>
          <w:p w:rsidR="00426E20" w:rsidRPr="00426E20" w:rsidP="00426E20" w14:paraId="45387E7A" w14:textId="77777777">
            <w:pPr>
              <w:widowControl/>
              <w:jc w:val="center"/>
              <w:rPr>
                <w:rFonts w:ascii="Times New Roman" w:eastAsia="Source Sans Pro" w:hAnsi="Times New Roman" w:cs="Times New Roman"/>
                <w:snapToGrid/>
                <w:sz w:val="22"/>
                <w:lang w:bidi="en-US"/>
              </w:rPr>
            </w:pPr>
          </w:p>
        </w:tc>
        <w:tc>
          <w:tcPr>
            <w:tcW w:w="1244" w:type="dxa"/>
            <w:noWrap/>
            <w:hideMark/>
          </w:tcPr>
          <w:p w:rsidR="00426E20" w:rsidRPr="00426E20" w:rsidP="00426E20" w14:paraId="2358EC0C"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hideMark/>
          </w:tcPr>
          <w:p w:rsidR="00426E20" w:rsidRPr="00426E20" w:rsidP="00426E20" w14:paraId="25645BD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hideMark/>
          </w:tcPr>
          <w:p w:rsidR="00426E20" w:rsidRPr="00426E20" w:rsidP="00426E20" w14:paraId="1623BB3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4</w:t>
            </w:r>
          </w:p>
        </w:tc>
      </w:tr>
      <w:tr w14:paraId="4397DC20" w14:textId="77777777" w:rsidTr="00512A3C">
        <w:tblPrEx>
          <w:tblW w:w="9536" w:type="dxa"/>
          <w:tblLook w:val="04A0"/>
        </w:tblPrEx>
        <w:trPr>
          <w:trHeight w:val="1095"/>
        </w:trPr>
        <w:tc>
          <w:tcPr>
            <w:tcW w:w="2785" w:type="dxa"/>
          </w:tcPr>
          <w:p w:rsidR="00426E20" w:rsidRPr="00426E20" w:rsidP="00426E20" w14:paraId="398D5D5D"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6. Amended Non-Litigation Budget,</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7F437D0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5B20FB0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p w:rsidR="00426E20" w:rsidRPr="00426E20" w:rsidP="00426E20" w14:paraId="1B4BAC24"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41179E1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4217ECD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tcPr>
          <w:p w:rsidR="00426E20" w:rsidRPr="00426E20" w:rsidP="00426E20" w14:paraId="2AE58E7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r>
      <w:tr w14:paraId="1F480D2B" w14:textId="77777777" w:rsidTr="00512A3C">
        <w:tblPrEx>
          <w:tblW w:w="9536" w:type="dxa"/>
          <w:tblLook w:val="04A0"/>
        </w:tblPrEx>
        <w:trPr>
          <w:trHeight w:val="1095"/>
        </w:trPr>
        <w:tc>
          <w:tcPr>
            <w:tcW w:w="2785" w:type="dxa"/>
          </w:tcPr>
          <w:p w:rsidR="00426E20" w:rsidRPr="00426E20" w:rsidP="00426E20" w14:paraId="33E4907E"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7. Litigation Budget,</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6287F59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14E53DB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7</w:t>
            </w:r>
          </w:p>
          <w:p w:rsidR="00426E20" w:rsidRPr="00426E20" w:rsidP="00426E20" w14:paraId="397DF84A"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30AB020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2B7A9E64"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tcPr>
          <w:p w:rsidR="00426E20" w:rsidRPr="00426E20" w:rsidP="00426E20" w14:paraId="1A1B2ADD"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4</w:t>
            </w:r>
          </w:p>
        </w:tc>
      </w:tr>
      <w:tr w14:paraId="06E7BBDB" w14:textId="77777777" w:rsidTr="00512A3C">
        <w:tblPrEx>
          <w:tblW w:w="9536" w:type="dxa"/>
          <w:tblLook w:val="04A0"/>
        </w:tblPrEx>
        <w:trPr>
          <w:trHeight w:val="827"/>
        </w:trPr>
        <w:tc>
          <w:tcPr>
            <w:tcW w:w="2785" w:type="dxa"/>
            <w:hideMark/>
          </w:tcPr>
          <w:p w:rsidR="00426E20" w:rsidRPr="00426E20" w:rsidP="00426E20" w14:paraId="2A2DFCE5"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8. Amended Litigation Budget,</w:t>
            </w:r>
            <w:r w:rsidRPr="00426E20">
              <w:rPr>
                <w:rFonts w:ascii="Times New Roman" w:hAnsi="Times New Roman" w:cs="Times New Roman"/>
                <w:snapToGrid/>
                <w:color w:val="000000"/>
                <w:sz w:val="22"/>
              </w:rPr>
              <w:br/>
              <w:t>12 CFR 361 and 12 CFR 366 (Mandatory)</w:t>
            </w:r>
          </w:p>
        </w:tc>
        <w:tc>
          <w:tcPr>
            <w:tcW w:w="1440" w:type="dxa"/>
            <w:hideMark/>
          </w:tcPr>
          <w:p w:rsidR="00426E20" w:rsidRPr="00426E20" w:rsidP="00426E20" w14:paraId="414BA19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hideMark/>
          </w:tcPr>
          <w:p w:rsidR="00426E20" w:rsidRPr="00426E20" w:rsidP="00426E20" w14:paraId="0D83649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2</w:t>
            </w:r>
          </w:p>
          <w:p w:rsidR="00426E20" w:rsidRPr="00426E20" w:rsidP="00426E20" w14:paraId="04B5DD6E" w14:textId="77777777">
            <w:pPr>
              <w:widowControl/>
              <w:jc w:val="center"/>
              <w:rPr>
                <w:rFonts w:ascii="Times New Roman" w:hAnsi="Times New Roman" w:cs="Times New Roman"/>
                <w:snapToGrid/>
                <w:color w:val="000000"/>
                <w:sz w:val="22"/>
              </w:rPr>
            </w:pPr>
          </w:p>
        </w:tc>
        <w:tc>
          <w:tcPr>
            <w:tcW w:w="1244" w:type="dxa"/>
            <w:noWrap/>
            <w:hideMark/>
          </w:tcPr>
          <w:p w:rsidR="00426E20" w:rsidRPr="00426E20" w:rsidP="00426E20" w14:paraId="4FFC74C4"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hideMark/>
          </w:tcPr>
          <w:p w:rsidR="00426E20" w:rsidRPr="00426E20" w:rsidP="00426E20" w14:paraId="231858B3"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hideMark/>
          </w:tcPr>
          <w:p w:rsidR="00426E20" w:rsidRPr="00426E20" w:rsidP="00426E20" w14:paraId="780F882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r>
      <w:tr w14:paraId="59CAAE32" w14:textId="77777777" w:rsidTr="00512A3C">
        <w:tblPrEx>
          <w:tblW w:w="9536" w:type="dxa"/>
          <w:tblLook w:val="04A0"/>
        </w:tblPrEx>
        <w:trPr>
          <w:trHeight w:val="1095"/>
        </w:trPr>
        <w:tc>
          <w:tcPr>
            <w:tcW w:w="2785" w:type="dxa"/>
          </w:tcPr>
          <w:p w:rsidR="00426E20" w:rsidRPr="00426E20" w:rsidP="00426E20" w14:paraId="031E7922"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9. Legal Invoice for Fees and Expenses,</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4319C62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4ED36D82"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150</w:t>
            </w:r>
          </w:p>
          <w:p w:rsidR="00426E20" w:rsidRPr="00426E20" w:rsidP="00426E20" w14:paraId="201CEC92"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10AC5670"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3E7CBF69"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00:15</w:t>
            </w:r>
          </w:p>
        </w:tc>
        <w:tc>
          <w:tcPr>
            <w:tcW w:w="1624" w:type="dxa"/>
            <w:noWrap/>
          </w:tcPr>
          <w:p w:rsidR="00426E20" w:rsidRPr="00426E20" w:rsidP="00426E20" w14:paraId="52C7E5E0"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38</w:t>
            </w:r>
          </w:p>
        </w:tc>
      </w:tr>
      <w:tr w14:paraId="0608AE6E" w14:textId="77777777" w:rsidTr="00512A3C">
        <w:tblPrEx>
          <w:tblW w:w="9536" w:type="dxa"/>
          <w:tblLook w:val="04A0"/>
        </w:tblPrEx>
        <w:trPr>
          <w:trHeight w:val="782"/>
        </w:trPr>
        <w:tc>
          <w:tcPr>
            <w:tcW w:w="2785" w:type="dxa"/>
          </w:tcPr>
          <w:p w:rsidR="00426E20" w:rsidRPr="00426E20" w:rsidP="00426E20" w14:paraId="4F899C9D"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10. Firm Travel Voucher,</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6D4A14D0"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4E0D715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33</w:t>
            </w:r>
          </w:p>
          <w:p w:rsidR="00426E20" w:rsidRPr="00426E20" w:rsidP="00426E20" w14:paraId="74C1E128"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4CE7B178"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6F901ED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tcPr>
          <w:p w:rsidR="00426E20" w:rsidRPr="00426E20" w:rsidP="00426E20" w14:paraId="06FBD43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17</w:t>
            </w:r>
          </w:p>
        </w:tc>
      </w:tr>
      <w:tr w14:paraId="6E019651" w14:textId="77777777" w:rsidTr="00512A3C">
        <w:tblPrEx>
          <w:tblW w:w="9536" w:type="dxa"/>
          <w:tblLook w:val="04A0"/>
        </w:tblPrEx>
        <w:trPr>
          <w:trHeight w:val="1095"/>
        </w:trPr>
        <w:tc>
          <w:tcPr>
            <w:tcW w:w="2785" w:type="dxa"/>
          </w:tcPr>
          <w:p w:rsidR="00426E20" w:rsidRPr="00426E20" w:rsidP="00426E20" w14:paraId="161855C8"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11. Representations and Certifications for Experts and Legal Support Services Providers,</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3E9F8664"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08F36EA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11</w:t>
            </w:r>
          </w:p>
          <w:p w:rsidR="00426E20" w:rsidRPr="00426E20" w:rsidP="00426E20" w14:paraId="7DE93C68"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77BF5B03"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03137E6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00:45</w:t>
            </w:r>
          </w:p>
        </w:tc>
        <w:tc>
          <w:tcPr>
            <w:tcW w:w="1624" w:type="dxa"/>
            <w:noWrap/>
          </w:tcPr>
          <w:p w:rsidR="00426E20" w:rsidRPr="00426E20" w:rsidP="00426E20" w14:paraId="1DE4CFB8"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8</w:t>
            </w:r>
          </w:p>
        </w:tc>
      </w:tr>
      <w:tr w14:paraId="4F15E404" w14:textId="77777777" w:rsidTr="00512A3C">
        <w:tblPrEx>
          <w:tblW w:w="9536" w:type="dxa"/>
          <w:tblLook w:val="04A0"/>
        </w:tblPrEx>
        <w:trPr>
          <w:trHeight w:val="1095"/>
        </w:trPr>
        <w:tc>
          <w:tcPr>
            <w:tcW w:w="2785" w:type="dxa"/>
          </w:tcPr>
          <w:p w:rsidR="00426E20" w:rsidRPr="00426E20" w:rsidP="00426E20" w14:paraId="4DF0956A"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12. Agreement for Services (Expert or Legal Support Services Provider) Provider Rate Schedule,</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21A0E43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3460E51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11</w:t>
            </w:r>
          </w:p>
          <w:p w:rsidR="00426E20" w:rsidRPr="00426E20" w:rsidP="00426E20" w14:paraId="04421AB3"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7706E8FD"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5F25394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01:00</w:t>
            </w:r>
          </w:p>
        </w:tc>
        <w:tc>
          <w:tcPr>
            <w:tcW w:w="1624" w:type="dxa"/>
            <w:noWrap/>
          </w:tcPr>
          <w:p w:rsidR="00426E20" w:rsidRPr="00426E20" w:rsidP="00426E20" w14:paraId="321447D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11</w:t>
            </w:r>
          </w:p>
        </w:tc>
      </w:tr>
      <w:tr w14:paraId="04CB8CCD" w14:textId="77777777" w:rsidTr="00512A3C">
        <w:tblPrEx>
          <w:tblW w:w="9536" w:type="dxa"/>
          <w:tblLook w:val="04A0"/>
        </w:tblPrEx>
        <w:trPr>
          <w:trHeight w:val="1095"/>
        </w:trPr>
        <w:tc>
          <w:tcPr>
            <w:tcW w:w="2785" w:type="dxa"/>
          </w:tcPr>
          <w:p w:rsidR="00426E20" w:rsidRPr="00426E20" w:rsidP="00426E20" w14:paraId="15D95B87"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 xml:space="preserve">13. Agreement for Services (Expert or Legal Support </w:t>
            </w:r>
            <w:r w:rsidRPr="00426E20">
              <w:rPr>
                <w:rFonts w:ascii="Times New Roman" w:hAnsi="Times New Roman" w:cs="Times New Roman"/>
                <w:snapToGrid/>
                <w:color w:val="000000"/>
                <w:sz w:val="22"/>
              </w:rPr>
              <w:t>Services  Provider</w:t>
            </w:r>
            <w:r w:rsidRPr="00426E20">
              <w:rPr>
                <w:rFonts w:ascii="Times New Roman" w:hAnsi="Times New Roman" w:cs="Times New Roman"/>
                <w:snapToGrid/>
                <w:color w:val="000000"/>
                <w:sz w:val="22"/>
              </w:rPr>
              <w:t xml:space="preserve"> Amendment,</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4E98F700"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5D48943D"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10</w:t>
            </w:r>
          </w:p>
          <w:p w:rsidR="00426E20" w:rsidRPr="00426E20" w:rsidP="00426E20" w14:paraId="446BCED0"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76E9D58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03B29A2E"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tcPr>
          <w:p w:rsidR="00426E20" w:rsidRPr="00426E20" w:rsidP="00426E20" w14:paraId="75D1984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5</w:t>
            </w:r>
          </w:p>
        </w:tc>
      </w:tr>
      <w:tr w14:paraId="4F14D156" w14:textId="77777777" w:rsidTr="00512A3C">
        <w:tblPrEx>
          <w:tblW w:w="9536" w:type="dxa"/>
          <w:tblLook w:val="04A0"/>
        </w:tblPrEx>
        <w:trPr>
          <w:trHeight w:val="1095"/>
        </w:trPr>
        <w:tc>
          <w:tcPr>
            <w:tcW w:w="2785" w:type="dxa"/>
          </w:tcPr>
          <w:p w:rsidR="00426E20" w:rsidRPr="00426E20" w:rsidP="00426E20" w14:paraId="0FE54029"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 xml:space="preserve">14. Legal Support </w:t>
            </w:r>
            <w:r w:rsidRPr="00426E20">
              <w:rPr>
                <w:rFonts w:ascii="Times New Roman" w:hAnsi="Times New Roman" w:cs="Times New Roman"/>
                <w:snapToGrid/>
                <w:color w:val="000000"/>
                <w:sz w:val="22"/>
              </w:rPr>
              <w:t>Services  Provider</w:t>
            </w:r>
            <w:r w:rsidRPr="00426E20">
              <w:rPr>
                <w:rFonts w:ascii="Times New Roman" w:hAnsi="Times New Roman" w:cs="Times New Roman"/>
                <w:snapToGrid/>
                <w:color w:val="000000"/>
                <w:sz w:val="22"/>
              </w:rPr>
              <w:t xml:space="preserve"> Budget Form,</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68DB146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37AA6D0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6</w:t>
            </w:r>
          </w:p>
          <w:p w:rsidR="00426E20" w:rsidRPr="00426E20" w:rsidP="00426E20" w14:paraId="2025E643"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68FF52B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2614D6B4"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tcPr>
          <w:p w:rsidR="00426E20" w:rsidRPr="00426E20" w:rsidP="00426E20" w14:paraId="087D6EE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3</w:t>
            </w:r>
          </w:p>
        </w:tc>
      </w:tr>
      <w:tr w14:paraId="1802FA90" w14:textId="77777777" w:rsidTr="00512A3C">
        <w:tblPrEx>
          <w:tblW w:w="9536" w:type="dxa"/>
          <w:tblLook w:val="04A0"/>
        </w:tblPrEx>
        <w:trPr>
          <w:trHeight w:val="800"/>
        </w:trPr>
        <w:tc>
          <w:tcPr>
            <w:tcW w:w="2785" w:type="dxa"/>
          </w:tcPr>
          <w:p w:rsidR="00426E20" w:rsidRPr="00426E20" w:rsidP="00426E20" w14:paraId="6CAFB146"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15. Expert budget,</w:t>
            </w:r>
            <w:r w:rsidRPr="00426E20">
              <w:rPr>
                <w:rFonts w:ascii="Times New Roman" w:hAnsi="Times New Roman" w:cs="Times New Roman"/>
                <w:snapToGrid/>
                <w:color w:val="000000"/>
                <w:sz w:val="22"/>
              </w:rPr>
              <w:br/>
              <w:t>12 CFR 361 and 12 CFR 366 (Mandatory)</w:t>
            </w:r>
          </w:p>
        </w:tc>
        <w:tc>
          <w:tcPr>
            <w:tcW w:w="1440" w:type="dxa"/>
          </w:tcPr>
          <w:p w:rsidR="00426E20" w:rsidRPr="00426E20" w:rsidP="00426E20" w14:paraId="2B30ACE3"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tcPr>
          <w:p w:rsidR="00426E20" w:rsidRPr="00426E20" w:rsidP="00426E20" w14:paraId="05654E0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p w:rsidR="00426E20" w:rsidRPr="00426E20" w:rsidP="00426E20" w14:paraId="1A6EC938" w14:textId="77777777">
            <w:pPr>
              <w:widowControl/>
              <w:jc w:val="center"/>
              <w:rPr>
                <w:rFonts w:ascii="Times New Roman" w:hAnsi="Times New Roman" w:cs="Times New Roman"/>
                <w:snapToGrid/>
                <w:color w:val="000000"/>
                <w:sz w:val="22"/>
              </w:rPr>
            </w:pPr>
          </w:p>
        </w:tc>
        <w:tc>
          <w:tcPr>
            <w:tcW w:w="1244" w:type="dxa"/>
            <w:noWrap/>
          </w:tcPr>
          <w:p w:rsidR="00426E20" w:rsidRPr="00426E20" w:rsidP="00426E20" w14:paraId="272A340D"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tcPr>
          <w:p w:rsidR="00426E20" w:rsidRPr="00426E20" w:rsidP="00426E20" w14:paraId="191B8DDF"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tcPr>
          <w:p w:rsidR="00426E20" w:rsidRPr="00426E20" w:rsidP="00426E20" w14:paraId="511E71DD"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r>
      <w:tr w14:paraId="3F7FD5F2" w14:textId="77777777" w:rsidTr="00512A3C">
        <w:tblPrEx>
          <w:tblW w:w="9536" w:type="dxa"/>
          <w:tblLook w:val="04A0"/>
        </w:tblPrEx>
        <w:trPr>
          <w:trHeight w:val="1095"/>
        </w:trPr>
        <w:tc>
          <w:tcPr>
            <w:tcW w:w="2785" w:type="dxa"/>
            <w:hideMark/>
          </w:tcPr>
          <w:p w:rsidR="00426E20" w:rsidRPr="00426E20" w:rsidP="00426E20" w14:paraId="45532088"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16. Expert invoice for Fees and Expenses,</w:t>
            </w:r>
            <w:r w:rsidRPr="00426E20">
              <w:rPr>
                <w:rFonts w:ascii="Times New Roman" w:hAnsi="Times New Roman" w:cs="Times New Roman"/>
                <w:snapToGrid/>
                <w:color w:val="000000"/>
                <w:sz w:val="22"/>
              </w:rPr>
              <w:br/>
              <w:t>12 CFR 361 and 12 CFR 366 (Mandatory)</w:t>
            </w:r>
          </w:p>
        </w:tc>
        <w:tc>
          <w:tcPr>
            <w:tcW w:w="1440" w:type="dxa"/>
            <w:hideMark/>
          </w:tcPr>
          <w:p w:rsidR="00426E20" w:rsidRPr="00426E20" w:rsidP="00426E20" w14:paraId="2113E06B"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hideMark/>
          </w:tcPr>
          <w:p w:rsidR="00426E20" w:rsidRPr="00426E20" w:rsidP="00426E20" w14:paraId="129528A3"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p w:rsidR="00426E20" w:rsidRPr="00426E20" w:rsidP="00426E20" w14:paraId="7F44BECA" w14:textId="77777777">
            <w:pPr>
              <w:widowControl/>
              <w:jc w:val="center"/>
              <w:rPr>
                <w:rFonts w:ascii="Times New Roman" w:hAnsi="Times New Roman" w:cs="Times New Roman"/>
                <w:snapToGrid/>
                <w:color w:val="000000"/>
                <w:sz w:val="22"/>
              </w:rPr>
            </w:pPr>
          </w:p>
        </w:tc>
        <w:tc>
          <w:tcPr>
            <w:tcW w:w="1244" w:type="dxa"/>
            <w:noWrap/>
            <w:hideMark/>
          </w:tcPr>
          <w:p w:rsidR="00426E20" w:rsidRPr="00426E20" w:rsidP="00426E20" w14:paraId="0B5859D3"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hideMark/>
          </w:tcPr>
          <w:p w:rsidR="00426E20" w:rsidRPr="00426E20" w:rsidP="00426E20" w14:paraId="577AB2A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00:15</w:t>
            </w:r>
          </w:p>
        </w:tc>
        <w:tc>
          <w:tcPr>
            <w:tcW w:w="1624" w:type="dxa"/>
            <w:noWrap/>
            <w:hideMark/>
          </w:tcPr>
          <w:p w:rsidR="00426E20" w:rsidRPr="00426E20" w:rsidP="00426E20" w14:paraId="19251ABF"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w:t>
            </w:r>
          </w:p>
        </w:tc>
      </w:tr>
      <w:tr w14:paraId="155E0586" w14:textId="77777777" w:rsidTr="00512A3C">
        <w:tblPrEx>
          <w:tblW w:w="9536" w:type="dxa"/>
          <w:tblLook w:val="04A0"/>
        </w:tblPrEx>
        <w:trPr>
          <w:trHeight w:val="1365"/>
        </w:trPr>
        <w:tc>
          <w:tcPr>
            <w:tcW w:w="2785" w:type="dxa"/>
            <w:hideMark/>
          </w:tcPr>
          <w:p w:rsidR="00426E20" w:rsidRPr="00426E20" w:rsidP="00426E20" w14:paraId="263F8679"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 xml:space="preserve">17. Legal Support </w:t>
            </w:r>
            <w:r w:rsidRPr="00426E20">
              <w:rPr>
                <w:rFonts w:ascii="Times New Roman" w:hAnsi="Times New Roman" w:cs="Times New Roman"/>
                <w:snapToGrid/>
                <w:color w:val="000000"/>
                <w:sz w:val="22"/>
              </w:rPr>
              <w:t>Services  Provider</w:t>
            </w:r>
            <w:r w:rsidRPr="00426E20">
              <w:rPr>
                <w:rFonts w:ascii="Times New Roman" w:hAnsi="Times New Roman" w:cs="Times New Roman"/>
                <w:snapToGrid/>
                <w:color w:val="000000"/>
                <w:sz w:val="22"/>
              </w:rPr>
              <w:t xml:space="preserve"> Invoice for Fees and Expenses,</w:t>
            </w:r>
            <w:r w:rsidRPr="00426E20">
              <w:rPr>
                <w:rFonts w:ascii="Times New Roman" w:hAnsi="Times New Roman" w:cs="Times New Roman"/>
                <w:snapToGrid/>
                <w:color w:val="000000"/>
                <w:sz w:val="22"/>
              </w:rPr>
              <w:br/>
              <w:t>12 CFR 361 and 12 CFR 366 (Mandatory)</w:t>
            </w:r>
          </w:p>
        </w:tc>
        <w:tc>
          <w:tcPr>
            <w:tcW w:w="1440" w:type="dxa"/>
            <w:hideMark/>
          </w:tcPr>
          <w:p w:rsidR="00426E20" w:rsidRPr="00426E20" w:rsidP="00426E20" w14:paraId="6E169676"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hideMark/>
          </w:tcPr>
          <w:p w:rsidR="00426E20" w:rsidRPr="00426E20" w:rsidP="00426E20" w14:paraId="73972A2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23</w:t>
            </w:r>
          </w:p>
          <w:p w:rsidR="00426E20" w:rsidRPr="00426E20" w:rsidP="00426E20" w14:paraId="0938C242" w14:textId="77777777">
            <w:pPr>
              <w:widowControl/>
              <w:jc w:val="center"/>
              <w:rPr>
                <w:rFonts w:ascii="Times New Roman" w:hAnsi="Times New Roman" w:cs="Times New Roman"/>
                <w:snapToGrid/>
                <w:color w:val="000000"/>
                <w:sz w:val="22"/>
              </w:rPr>
            </w:pPr>
          </w:p>
        </w:tc>
        <w:tc>
          <w:tcPr>
            <w:tcW w:w="1244" w:type="dxa"/>
            <w:noWrap/>
            <w:hideMark/>
          </w:tcPr>
          <w:p w:rsidR="00426E20" w:rsidRPr="00426E20" w:rsidP="00426E20" w14:paraId="61811858"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tc>
        <w:tc>
          <w:tcPr>
            <w:tcW w:w="1093" w:type="dxa"/>
            <w:hideMark/>
          </w:tcPr>
          <w:p w:rsidR="00426E20" w:rsidRPr="00426E20" w:rsidP="00426E20" w14:paraId="308FD4E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00:15</w:t>
            </w:r>
          </w:p>
        </w:tc>
        <w:tc>
          <w:tcPr>
            <w:tcW w:w="1624" w:type="dxa"/>
            <w:noWrap/>
            <w:hideMark/>
          </w:tcPr>
          <w:p w:rsidR="00426E20" w:rsidRPr="00426E20" w:rsidP="00426E20" w14:paraId="18E7F2E5"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6</w:t>
            </w:r>
          </w:p>
        </w:tc>
      </w:tr>
      <w:tr w14:paraId="42E55858" w14:textId="77777777" w:rsidTr="00512A3C">
        <w:tblPrEx>
          <w:tblW w:w="9536" w:type="dxa"/>
          <w:tblLook w:val="04A0"/>
        </w:tblPrEx>
        <w:trPr>
          <w:trHeight w:val="1367"/>
        </w:trPr>
        <w:tc>
          <w:tcPr>
            <w:tcW w:w="2785" w:type="dxa"/>
            <w:hideMark/>
          </w:tcPr>
          <w:p w:rsidR="00426E20" w:rsidRPr="00426E20" w:rsidP="00426E20" w14:paraId="5306A059"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18. Oral Representations and Certifications for Expert Legal Support Services,</w:t>
            </w:r>
            <w:r w:rsidRPr="00426E20">
              <w:rPr>
                <w:rFonts w:ascii="Times New Roman" w:hAnsi="Times New Roman" w:cs="Times New Roman"/>
                <w:snapToGrid/>
                <w:color w:val="000000"/>
                <w:sz w:val="22"/>
              </w:rPr>
              <w:br/>
              <w:t>12 CFR 361 and 12 CFR 366 (Mandatory)</w:t>
            </w:r>
          </w:p>
        </w:tc>
        <w:tc>
          <w:tcPr>
            <w:tcW w:w="1440" w:type="dxa"/>
            <w:hideMark/>
          </w:tcPr>
          <w:p w:rsidR="00426E20" w:rsidRPr="00426E20" w:rsidP="00426E20" w14:paraId="404258C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Reporting</w:t>
            </w:r>
            <w:r w:rsidRPr="00426E20">
              <w:rPr>
                <w:rFonts w:ascii="Times New Roman" w:hAnsi="Times New Roman" w:cs="Times New Roman"/>
                <w:snapToGrid/>
                <w:color w:val="000000"/>
                <w:sz w:val="22"/>
              </w:rPr>
              <w:br/>
              <w:t>(On Occasion)</w:t>
            </w:r>
          </w:p>
        </w:tc>
        <w:tc>
          <w:tcPr>
            <w:tcW w:w="1350" w:type="dxa"/>
            <w:noWrap/>
            <w:hideMark/>
          </w:tcPr>
          <w:p w:rsidR="00426E20" w:rsidRPr="00426E20" w:rsidP="00426E20" w14:paraId="4C550AC9"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1</w:t>
            </w:r>
          </w:p>
          <w:p w:rsidR="00426E20" w:rsidRPr="00426E20" w:rsidP="00426E20" w14:paraId="758B8CD8" w14:textId="77777777">
            <w:pPr>
              <w:widowControl/>
              <w:jc w:val="center"/>
              <w:rPr>
                <w:rFonts w:ascii="Times New Roman" w:hAnsi="Times New Roman" w:cs="Times New Roman"/>
                <w:snapToGrid/>
                <w:color w:val="000000"/>
                <w:sz w:val="22"/>
              </w:rPr>
            </w:pPr>
          </w:p>
        </w:tc>
        <w:tc>
          <w:tcPr>
            <w:tcW w:w="1244" w:type="dxa"/>
            <w:noWrap/>
            <w:hideMark/>
          </w:tcPr>
          <w:p w:rsidR="00426E20" w:rsidRPr="00426E20" w:rsidP="00426E20" w14:paraId="05A733C8"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0.333</w:t>
            </w:r>
          </w:p>
        </w:tc>
        <w:tc>
          <w:tcPr>
            <w:tcW w:w="1093" w:type="dxa"/>
            <w:hideMark/>
          </w:tcPr>
          <w:p w:rsidR="00426E20" w:rsidRPr="00426E20" w:rsidP="00426E20" w14:paraId="7A7A3620"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00:30</w:t>
            </w:r>
          </w:p>
        </w:tc>
        <w:tc>
          <w:tcPr>
            <w:tcW w:w="1624" w:type="dxa"/>
            <w:noWrap/>
            <w:hideMark/>
          </w:tcPr>
          <w:p w:rsidR="00426E20" w:rsidRPr="00426E20" w:rsidP="00426E20" w14:paraId="3D7B6BDA" w14:textId="77777777">
            <w:pPr>
              <w:widowControl/>
              <w:jc w:val="center"/>
              <w:rPr>
                <w:rFonts w:ascii="Times New Roman" w:hAnsi="Times New Roman" w:cs="Times New Roman"/>
                <w:snapToGrid/>
                <w:color w:val="000000"/>
                <w:sz w:val="22"/>
              </w:rPr>
            </w:pPr>
            <w:r w:rsidRPr="00426E20">
              <w:rPr>
                <w:rFonts w:ascii="Times New Roman" w:hAnsi="Times New Roman" w:cs="Times New Roman"/>
                <w:snapToGrid/>
                <w:color w:val="000000"/>
                <w:sz w:val="22"/>
              </w:rPr>
              <w:t>0</w:t>
            </w:r>
          </w:p>
        </w:tc>
      </w:tr>
      <w:tr w14:paraId="37B95838" w14:textId="77777777" w:rsidTr="00467512">
        <w:tblPrEx>
          <w:tblW w:w="9536" w:type="dxa"/>
          <w:tblLook w:val="04A0"/>
        </w:tblPrEx>
        <w:trPr>
          <w:trHeight w:val="300"/>
        </w:trPr>
        <w:tc>
          <w:tcPr>
            <w:tcW w:w="7912" w:type="dxa"/>
            <w:gridSpan w:val="5"/>
            <w:shd w:val="clear" w:color="auto" w:fill="F2F2F2" w:themeFill="background1" w:themeFillShade="F2"/>
            <w:noWrap/>
            <w:hideMark/>
          </w:tcPr>
          <w:p w:rsidR="00426E20" w:rsidRPr="00426E20" w:rsidP="00426E20" w14:paraId="737B131D" w14:textId="77777777">
            <w:pPr>
              <w:widowControl/>
              <w:jc w:val="right"/>
              <w:rPr>
                <w:rFonts w:ascii="Times New Roman" w:hAnsi="Times New Roman" w:cs="Times New Roman"/>
                <w:b/>
                <w:bCs/>
                <w:i/>
                <w:iCs/>
                <w:snapToGrid/>
                <w:color w:val="000000"/>
                <w:sz w:val="22"/>
              </w:rPr>
            </w:pPr>
            <w:r w:rsidRPr="00426E20">
              <w:rPr>
                <w:rFonts w:ascii="Times New Roman" w:hAnsi="Times New Roman" w:cs="Times New Roman"/>
                <w:b/>
                <w:bCs/>
                <w:i/>
                <w:iCs/>
                <w:snapToGrid/>
                <w:color w:val="000000"/>
                <w:sz w:val="22"/>
              </w:rPr>
              <w:t>Total Annual Burden (Hours):</w:t>
            </w:r>
          </w:p>
        </w:tc>
        <w:tc>
          <w:tcPr>
            <w:tcW w:w="1624" w:type="dxa"/>
            <w:shd w:val="clear" w:color="auto" w:fill="F2F2F2" w:themeFill="background1" w:themeFillShade="F2"/>
            <w:noWrap/>
            <w:hideMark/>
          </w:tcPr>
          <w:p w:rsidR="00426E20" w:rsidRPr="00426E20" w:rsidP="00426E20" w14:paraId="539935FF" w14:textId="77777777">
            <w:pPr>
              <w:widowControl/>
              <w:jc w:val="right"/>
              <w:rPr>
                <w:rFonts w:ascii="Times New Roman" w:hAnsi="Times New Roman" w:cs="Times New Roman"/>
                <w:b/>
                <w:bCs/>
                <w:i/>
                <w:iCs/>
                <w:snapToGrid/>
                <w:color w:val="000000"/>
                <w:sz w:val="22"/>
              </w:rPr>
            </w:pPr>
            <w:r w:rsidRPr="00426E20">
              <w:rPr>
                <w:rFonts w:ascii="Times New Roman" w:hAnsi="Times New Roman" w:cs="Times New Roman"/>
                <w:b/>
                <w:bCs/>
                <w:i/>
                <w:iCs/>
                <w:snapToGrid/>
                <w:color w:val="000000"/>
                <w:sz w:val="22"/>
              </w:rPr>
              <w:t>273</w:t>
            </w:r>
          </w:p>
        </w:tc>
      </w:tr>
      <w:tr w14:paraId="5843D1D2" w14:textId="77777777" w:rsidTr="00512A3C">
        <w:tblPrEx>
          <w:tblW w:w="9536" w:type="dxa"/>
          <w:tblLook w:val="04A0"/>
        </w:tblPrEx>
        <w:trPr>
          <w:trHeight w:val="252"/>
        </w:trPr>
        <w:tc>
          <w:tcPr>
            <w:tcW w:w="9536" w:type="dxa"/>
            <w:gridSpan w:val="6"/>
            <w:noWrap/>
            <w:hideMark/>
          </w:tcPr>
          <w:p w:rsidR="00426E20" w:rsidRPr="00426E20" w:rsidP="00426E20" w14:paraId="5C7A3B5A"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Source: FDIC.</w:t>
            </w:r>
          </w:p>
        </w:tc>
      </w:tr>
      <w:tr w14:paraId="5F33A082" w14:textId="77777777" w:rsidTr="00512A3C">
        <w:tblPrEx>
          <w:tblW w:w="9536" w:type="dxa"/>
          <w:tblLook w:val="04A0"/>
        </w:tblPrEx>
        <w:trPr>
          <w:trHeight w:val="289"/>
        </w:trPr>
        <w:tc>
          <w:tcPr>
            <w:tcW w:w="9536" w:type="dxa"/>
            <w:gridSpan w:val="6"/>
            <w:hideMark/>
          </w:tcPr>
          <w:p w:rsidR="00426E20" w:rsidRPr="00426E20" w:rsidP="00426E20" w14:paraId="3CD5553C" w14:textId="77777777">
            <w:pPr>
              <w:widowControl/>
              <w:rPr>
                <w:rFonts w:ascii="Times New Roman" w:hAnsi="Times New Roman" w:cs="Times New Roman"/>
                <w:snapToGrid/>
                <w:color w:val="000000"/>
                <w:sz w:val="22"/>
              </w:rPr>
            </w:pPr>
            <w:r w:rsidRPr="00426E20">
              <w:rPr>
                <w:rFonts w:ascii="Times New Roman" w:hAnsi="Times New Roman" w:cs="Times New Roman"/>
                <w:snapToGrid/>
                <w:color w:val="000000"/>
                <w:sz w:val="22"/>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bl>
    <w:p w:rsidR="002A4E44" w:rsidP="00C516B6" w14:paraId="7FB07D50" w14:textId="77777777">
      <w:pPr>
        <w:ind w:left="1080"/>
        <w:rPr>
          <w:rFonts w:ascii="Times New Roman" w:hAnsi="Times New Roman"/>
          <w:i/>
          <w:szCs w:val="24"/>
        </w:rPr>
      </w:pPr>
    </w:p>
    <w:p w:rsidR="00C96990" w:rsidP="006B5B26" w14:paraId="147AF0FB" w14:textId="77777777">
      <w:pPr>
        <w:rPr>
          <w:rFonts w:ascii="Times New Roman" w:hAnsi="Times New Roman"/>
          <w:i/>
        </w:rPr>
      </w:pPr>
      <w:r>
        <w:rPr>
          <w:rFonts w:ascii="Times New Roman" w:hAnsi="Times New Roman"/>
          <w:i/>
        </w:rPr>
        <w:t xml:space="preserve">The estimated </w:t>
      </w:r>
      <w:r w:rsidRPr="00905E1E">
        <w:rPr>
          <w:rFonts w:ascii="Times New Roman" w:hAnsi="Times New Roman"/>
          <w:i/>
        </w:rPr>
        <w:t xml:space="preserve">labor </w:t>
      </w:r>
      <w:r w:rsidRPr="00905E1E" w:rsidR="00905E1E">
        <w:rPr>
          <w:rFonts w:ascii="Times New Roman" w:hAnsi="Times New Roman"/>
          <w:i/>
        </w:rPr>
        <w:t>cost</w:t>
      </w:r>
      <w:r>
        <w:rPr>
          <w:rFonts w:ascii="Times New Roman" w:hAnsi="Times New Roman"/>
          <w:i/>
        </w:rPr>
        <w:t xml:space="preserve"> is calculated as </w:t>
      </w:r>
      <w:r>
        <w:rPr>
          <w:rFonts w:ascii="Times New Roman" w:hAnsi="Times New Roman"/>
          <w:i/>
        </w:rPr>
        <w:t>follow</w:t>
      </w:r>
      <w:r>
        <w:rPr>
          <w:rFonts w:ascii="Times New Roman" w:hAnsi="Times New Roman"/>
          <w:i/>
        </w:rPr>
        <w:t>:</w:t>
      </w:r>
    </w:p>
    <w:p w:rsidR="00C516B6" w:rsidP="006B5B26" w14:paraId="4B7B7D83" w14:textId="77777777">
      <w:pPr>
        <w:rPr>
          <w:rFonts w:ascii="Times New Roman" w:hAnsi="Times New Roman"/>
          <w:i/>
        </w:rPr>
      </w:pPr>
    </w:p>
    <w:tbl>
      <w:tblPr>
        <w:tblStyle w:val="TableGrid3"/>
        <w:tblW w:w="9359" w:type="dxa"/>
        <w:tblLayout w:type="fixed"/>
        <w:tblLook w:val="06A0"/>
      </w:tblPr>
      <w:tblGrid>
        <w:gridCol w:w="1337"/>
        <w:gridCol w:w="1337"/>
        <w:gridCol w:w="1337"/>
        <w:gridCol w:w="1337"/>
        <w:gridCol w:w="1337"/>
        <w:gridCol w:w="1230"/>
        <w:gridCol w:w="1444"/>
      </w:tblGrid>
      <w:tr w14:paraId="1F656031" w14:textId="77777777" w:rsidTr="00512A3C">
        <w:tblPrEx>
          <w:tblW w:w="9359" w:type="dxa"/>
          <w:tblLayout w:type="fixed"/>
          <w:tblLook w:val="06A0"/>
        </w:tblPrEx>
        <w:trPr>
          <w:trHeight w:val="300"/>
        </w:trPr>
        <w:tc>
          <w:tcPr>
            <w:tcW w:w="9359" w:type="dxa"/>
            <w:gridSpan w:val="7"/>
          </w:tcPr>
          <w:p w:rsidR="00AD7509" w:rsidRPr="00AD7509" w:rsidP="00AD7509" w14:paraId="0644FB32" w14:textId="7E95FF8E">
            <w:pPr>
              <w:widowControl/>
              <w:jc w:val="center"/>
              <w:rPr>
                <w:rFonts w:ascii="Times New Roman" w:hAnsi="Times New Roman" w:cs="Times New Roman"/>
                <w:snapToGrid/>
                <w:sz w:val="22"/>
              </w:rPr>
            </w:pPr>
            <w:r w:rsidRPr="00AD7509">
              <w:rPr>
                <w:rFonts w:ascii="Times New Roman" w:hAnsi="Times New Roman" w:cs="Times New Roman"/>
                <w:snapToGrid/>
                <w:color w:val="000000"/>
                <w:sz w:val="22"/>
              </w:rPr>
              <w:t>Summary of Hourly Burden Cost Estimate (OMB No. 3064-0122)</w:t>
            </w:r>
          </w:p>
        </w:tc>
      </w:tr>
      <w:tr w14:paraId="6A0A5D96" w14:textId="77777777" w:rsidTr="00467512">
        <w:tblPrEx>
          <w:tblW w:w="9359" w:type="dxa"/>
          <w:tblLayout w:type="fixed"/>
          <w:tblLook w:val="06A0"/>
        </w:tblPrEx>
        <w:trPr>
          <w:trHeight w:val="300"/>
        </w:trPr>
        <w:tc>
          <w:tcPr>
            <w:tcW w:w="7915" w:type="dxa"/>
            <w:gridSpan w:val="6"/>
            <w:shd w:val="clear" w:color="auto" w:fill="F2F2F2" w:themeFill="background1" w:themeFillShade="F2"/>
          </w:tcPr>
          <w:p w:rsidR="00AD7509" w:rsidRPr="00AD7509" w:rsidP="00AD7509" w14:paraId="0F280607" w14:textId="77777777">
            <w:pPr>
              <w:widowControl/>
              <w:suppressAutoHyphens/>
              <w:jc w:val="center"/>
              <w:rPr>
                <w:rFonts w:ascii="Times New Roman" w:eastAsia="Source Sans Pro" w:hAnsi="Times New Roman" w:cs="Times New Roman"/>
                <w:snapToGrid/>
                <w:sz w:val="22"/>
                <w:lang w:bidi="en-US"/>
              </w:rPr>
            </w:pPr>
            <w:r w:rsidRPr="00AD7509">
              <w:rPr>
                <w:rFonts w:ascii="Times New Roman" w:hAnsi="Times New Roman" w:cs="Times New Roman"/>
                <w:snapToGrid/>
                <w:color w:val="000000"/>
                <w:sz w:val="22"/>
              </w:rPr>
              <w:t xml:space="preserve">Percentage Shares of Hours Spent by and </w:t>
            </w:r>
            <w:r w:rsidRPr="00AD7509">
              <w:rPr>
                <w:rFonts w:ascii="Times New Roman" w:eastAsia="Source Sans Pro" w:hAnsi="Times New Roman" w:cs="Times New Roman"/>
                <w:snapToGrid/>
                <w:sz w:val="22"/>
                <w:lang w:bidi="en-US"/>
              </w:rPr>
              <w:br/>
            </w:r>
            <w:r w:rsidRPr="00AD7509">
              <w:rPr>
                <w:rFonts w:ascii="Times New Roman" w:hAnsi="Times New Roman" w:cs="Times New Roman"/>
                <w:snapToGrid/>
                <w:color w:val="000000"/>
                <w:sz w:val="22"/>
              </w:rPr>
              <w:t xml:space="preserve">Hourly Compensation Rates for each Occupation Group </w:t>
            </w:r>
          </w:p>
        </w:tc>
        <w:tc>
          <w:tcPr>
            <w:tcW w:w="1444" w:type="dxa"/>
            <w:vMerge w:val="restart"/>
            <w:shd w:val="clear" w:color="auto" w:fill="F2F2F2" w:themeFill="background1" w:themeFillShade="F2"/>
          </w:tcPr>
          <w:p w:rsidR="00AD7509" w:rsidRPr="00AD7509" w:rsidP="00AD7509" w14:paraId="0D7C064D"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Estimated Hourly Compensation Rate</w:t>
            </w:r>
          </w:p>
        </w:tc>
      </w:tr>
      <w:tr w14:paraId="0A9E7D67" w14:textId="77777777" w:rsidTr="00467512">
        <w:tblPrEx>
          <w:tblW w:w="9359" w:type="dxa"/>
          <w:tblLayout w:type="fixed"/>
          <w:tblLook w:val="06A0"/>
        </w:tblPrEx>
        <w:trPr>
          <w:trHeight w:val="300"/>
        </w:trPr>
        <w:tc>
          <w:tcPr>
            <w:tcW w:w="1337" w:type="dxa"/>
            <w:shd w:val="clear" w:color="auto" w:fill="F2F2F2" w:themeFill="background1" w:themeFillShade="F2"/>
          </w:tcPr>
          <w:p w:rsidR="00AD7509" w:rsidRPr="00AD7509" w:rsidP="00AD7509" w14:paraId="2AB52460"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Exec. &amp; Mgr.      ($159.03)</w:t>
            </w:r>
          </w:p>
        </w:tc>
        <w:tc>
          <w:tcPr>
            <w:tcW w:w="1337" w:type="dxa"/>
            <w:shd w:val="clear" w:color="auto" w:fill="F2F2F2" w:themeFill="background1" w:themeFillShade="F2"/>
          </w:tcPr>
          <w:p w:rsidR="00AD7509" w:rsidRPr="00AD7509" w:rsidP="00AD7509" w14:paraId="02414B66"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Lawyer</w:t>
            </w:r>
            <w:r w:rsidRPr="00AD7509">
              <w:rPr>
                <w:rFonts w:ascii="Times New Roman" w:hAnsi="Times New Roman" w:cs="Times New Roman"/>
                <w:snapToGrid/>
                <w:color w:val="000000"/>
                <w:sz w:val="22"/>
              </w:rPr>
              <w:t xml:space="preserve">   (</w:t>
            </w:r>
            <w:r w:rsidRPr="00AD7509">
              <w:rPr>
                <w:rFonts w:ascii="Times New Roman" w:hAnsi="Times New Roman" w:cs="Times New Roman"/>
                <w:snapToGrid/>
                <w:color w:val="000000"/>
                <w:sz w:val="22"/>
              </w:rPr>
              <w:t>$179.36)</w:t>
            </w:r>
          </w:p>
        </w:tc>
        <w:tc>
          <w:tcPr>
            <w:tcW w:w="1337" w:type="dxa"/>
            <w:shd w:val="clear" w:color="auto" w:fill="F2F2F2" w:themeFill="background1" w:themeFillShade="F2"/>
          </w:tcPr>
          <w:p w:rsidR="00AD7509" w:rsidRPr="00AD7509" w:rsidP="00AD7509" w14:paraId="1DF63756"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Compl</w:t>
            </w:r>
            <w:r w:rsidRPr="00AD7509">
              <w:rPr>
                <w:rFonts w:ascii="Times New Roman" w:hAnsi="Times New Roman" w:cs="Times New Roman"/>
                <w:snapToGrid/>
                <w:color w:val="000000"/>
                <w:sz w:val="22"/>
              </w:rPr>
              <w:t>. Ofc.   ($80.68)</w:t>
            </w:r>
          </w:p>
        </w:tc>
        <w:tc>
          <w:tcPr>
            <w:tcW w:w="1337" w:type="dxa"/>
            <w:shd w:val="clear" w:color="auto" w:fill="F2F2F2" w:themeFill="background1" w:themeFillShade="F2"/>
          </w:tcPr>
          <w:p w:rsidR="00AD7509" w:rsidRPr="00AD7509" w:rsidP="00AD7509" w14:paraId="09B5A954"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 xml:space="preserve">IT </w:t>
            </w:r>
            <w:r w:rsidRPr="00AD7509">
              <w:rPr>
                <w:rFonts w:ascii="Times New Roman" w:hAnsi="Times New Roman" w:cs="Times New Roman"/>
                <w:snapToGrid/>
                <w:color w:val="000000"/>
                <w:sz w:val="22"/>
              </w:rPr>
              <w:t xml:space="preserve">   (</w:t>
            </w:r>
            <w:r w:rsidRPr="00AD7509">
              <w:rPr>
                <w:rFonts w:ascii="Times New Roman" w:hAnsi="Times New Roman" w:cs="Times New Roman"/>
                <w:snapToGrid/>
                <w:color w:val="000000"/>
                <w:sz w:val="22"/>
              </w:rPr>
              <w:t>$116.37)</w:t>
            </w:r>
          </w:p>
        </w:tc>
        <w:tc>
          <w:tcPr>
            <w:tcW w:w="1337" w:type="dxa"/>
            <w:shd w:val="clear" w:color="auto" w:fill="F2F2F2" w:themeFill="background1" w:themeFillShade="F2"/>
          </w:tcPr>
          <w:p w:rsidR="00AD7509" w:rsidRPr="00AD7509" w:rsidP="00AD7509" w14:paraId="192D9FC9"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 xml:space="preserve">Fin. </w:t>
            </w:r>
            <w:r w:rsidRPr="00AD7509">
              <w:rPr>
                <w:rFonts w:ascii="Times New Roman" w:hAnsi="Times New Roman" w:cs="Times New Roman"/>
                <w:snapToGrid/>
                <w:color w:val="000000"/>
                <w:sz w:val="22"/>
              </w:rPr>
              <w:t>Anlst</w:t>
            </w:r>
            <w:r w:rsidRPr="00AD7509">
              <w:rPr>
                <w:rFonts w:ascii="Times New Roman" w:hAnsi="Times New Roman" w:cs="Times New Roman"/>
                <w:snapToGrid/>
                <w:color w:val="000000"/>
                <w:sz w:val="22"/>
              </w:rPr>
              <w:t>.    ($101.18)</w:t>
            </w:r>
          </w:p>
        </w:tc>
        <w:tc>
          <w:tcPr>
            <w:tcW w:w="1230" w:type="dxa"/>
            <w:shd w:val="clear" w:color="auto" w:fill="F2F2F2" w:themeFill="background1" w:themeFillShade="F2"/>
          </w:tcPr>
          <w:p w:rsidR="00AD7509" w:rsidRPr="00AD7509" w:rsidP="00AD7509" w14:paraId="06579234" w14:textId="77777777">
            <w:pPr>
              <w:widowControl/>
              <w:suppressAutoHyphens/>
              <w:jc w:val="center"/>
              <w:rPr>
                <w:rFonts w:ascii="Times New Roman" w:hAnsi="Times New Roman" w:cs="Times New Roman"/>
                <w:snapToGrid/>
                <w:color w:val="000000"/>
                <w:sz w:val="22"/>
              </w:rPr>
            </w:pPr>
            <w:r w:rsidRPr="00AD7509">
              <w:rPr>
                <w:rFonts w:ascii="Times New Roman" w:hAnsi="Times New Roman" w:cs="Times New Roman"/>
                <w:snapToGrid/>
                <w:color w:val="000000"/>
                <w:sz w:val="22"/>
              </w:rPr>
              <w:t xml:space="preserve">Clerical </w:t>
            </w:r>
            <w:r w:rsidRPr="00AD7509">
              <w:rPr>
                <w:rFonts w:ascii="Times New Roman" w:hAnsi="Times New Roman" w:cs="Times New Roman"/>
                <w:snapToGrid/>
                <w:color w:val="000000"/>
                <w:sz w:val="22"/>
              </w:rPr>
              <w:t xml:space="preserve">   (</w:t>
            </w:r>
            <w:r w:rsidRPr="00AD7509">
              <w:rPr>
                <w:rFonts w:ascii="Times New Roman" w:hAnsi="Times New Roman" w:cs="Times New Roman"/>
                <w:snapToGrid/>
                <w:color w:val="000000"/>
                <w:sz w:val="22"/>
              </w:rPr>
              <w:t>$42.51)</w:t>
            </w:r>
          </w:p>
        </w:tc>
        <w:tc>
          <w:tcPr>
            <w:tcW w:w="1444" w:type="dxa"/>
            <w:vMerge/>
          </w:tcPr>
          <w:p w:rsidR="00AD7509" w:rsidRPr="00AD7509" w:rsidP="00AD7509" w14:paraId="6890807F" w14:textId="77777777">
            <w:pPr>
              <w:suppressAutoHyphens/>
              <w:spacing w:after="240" w:line="260" w:lineRule="exact"/>
              <w:ind w:right="-86"/>
              <w:rPr>
                <w:rFonts w:ascii="Times New Roman" w:eastAsia="Source Sans Pro" w:hAnsi="Times New Roman" w:cs="Times New Roman"/>
                <w:snapToGrid/>
                <w:sz w:val="22"/>
                <w:lang w:bidi="en-US"/>
              </w:rPr>
            </w:pPr>
          </w:p>
        </w:tc>
      </w:tr>
      <w:tr w14:paraId="380AC00B" w14:textId="77777777" w:rsidTr="00512A3C">
        <w:tblPrEx>
          <w:tblW w:w="9359" w:type="dxa"/>
          <w:tblLayout w:type="fixed"/>
          <w:tblLook w:val="06A0"/>
        </w:tblPrEx>
        <w:trPr>
          <w:trHeight w:val="300"/>
        </w:trPr>
        <w:tc>
          <w:tcPr>
            <w:tcW w:w="1337" w:type="dxa"/>
            <w:vAlign w:val="center"/>
          </w:tcPr>
          <w:p w:rsidR="00AD7509" w:rsidRPr="00AD7509" w:rsidP="00AD7509" w14:paraId="7D3D9628"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0</w:t>
            </w:r>
          </w:p>
        </w:tc>
        <w:tc>
          <w:tcPr>
            <w:tcW w:w="1337" w:type="dxa"/>
            <w:vAlign w:val="center"/>
          </w:tcPr>
          <w:p w:rsidR="00AD7509" w:rsidRPr="00AD7509" w:rsidP="00AD7509" w14:paraId="3EB67025"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50</w:t>
            </w:r>
          </w:p>
        </w:tc>
        <w:tc>
          <w:tcPr>
            <w:tcW w:w="1337" w:type="dxa"/>
            <w:vAlign w:val="center"/>
          </w:tcPr>
          <w:p w:rsidR="00AD7509" w:rsidRPr="00AD7509" w:rsidP="00AD7509" w14:paraId="77F91FC4"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0</w:t>
            </w:r>
          </w:p>
        </w:tc>
        <w:tc>
          <w:tcPr>
            <w:tcW w:w="1337" w:type="dxa"/>
            <w:vAlign w:val="center"/>
          </w:tcPr>
          <w:p w:rsidR="00AD7509" w:rsidRPr="00AD7509" w:rsidP="00AD7509" w14:paraId="2B44AAB9"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0</w:t>
            </w:r>
          </w:p>
        </w:tc>
        <w:tc>
          <w:tcPr>
            <w:tcW w:w="1337" w:type="dxa"/>
            <w:vAlign w:val="center"/>
          </w:tcPr>
          <w:p w:rsidR="00AD7509" w:rsidRPr="00AD7509" w:rsidP="00AD7509" w14:paraId="04565340"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0</w:t>
            </w:r>
          </w:p>
        </w:tc>
        <w:tc>
          <w:tcPr>
            <w:tcW w:w="1230" w:type="dxa"/>
            <w:vAlign w:val="center"/>
          </w:tcPr>
          <w:p w:rsidR="00AD7509" w:rsidRPr="00AD7509" w:rsidP="00AD7509" w14:paraId="7EC48222"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50</w:t>
            </w:r>
          </w:p>
        </w:tc>
        <w:tc>
          <w:tcPr>
            <w:tcW w:w="1444" w:type="dxa"/>
            <w:vAlign w:val="center"/>
          </w:tcPr>
          <w:p w:rsidR="00AD7509" w:rsidRPr="00AD7509" w:rsidP="00AD7509" w14:paraId="53C141EB" w14:textId="77777777">
            <w:pPr>
              <w:spacing w:before="240" w:after="120" w:line="240" w:lineRule="exact"/>
              <w:rPr>
                <w:rFonts w:ascii="Times New Roman" w:eastAsia="Source Sans Pro" w:hAnsi="Times New Roman" w:cs="Times New Roman"/>
                <w:snapToGrid/>
                <w:color w:val="000000"/>
                <w:sz w:val="22"/>
                <w:lang w:bidi="en-US"/>
              </w:rPr>
            </w:pPr>
            <w:r w:rsidRPr="00AD7509">
              <w:rPr>
                <w:rFonts w:ascii="Times New Roman" w:eastAsia="Source Sans Pro" w:hAnsi="Times New Roman" w:cs="Times New Roman"/>
                <w:snapToGrid/>
                <w:color w:val="000000"/>
                <w:sz w:val="22"/>
                <w:lang w:bidi="en-US"/>
              </w:rPr>
              <w:t>$110.94</w:t>
            </w:r>
          </w:p>
        </w:tc>
      </w:tr>
      <w:tr w14:paraId="4695A540" w14:textId="77777777" w:rsidTr="00512A3C">
        <w:tblPrEx>
          <w:tblW w:w="9359" w:type="dxa"/>
          <w:tblLayout w:type="fixed"/>
          <w:tblLook w:val="06A0"/>
        </w:tblPrEx>
        <w:trPr>
          <w:trHeight w:val="300"/>
        </w:trPr>
        <w:tc>
          <w:tcPr>
            <w:tcW w:w="9359" w:type="dxa"/>
            <w:gridSpan w:val="7"/>
          </w:tcPr>
          <w:p w:rsidR="00AD7509" w:rsidRPr="00AD7509" w:rsidP="00AD7509" w14:paraId="0F764083" w14:textId="77777777">
            <w:pPr>
              <w:widowControl/>
              <w:suppressAutoHyphens/>
              <w:rPr>
                <w:rFonts w:ascii="Times New Roman" w:hAnsi="Times New Roman" w:cs="Times New Roman"/>
                <w:snapToGrid/>
                <w:color w:val="000000"/>
                <w:sz w:val="22"/>
              </w:rPr>
            </w:pPr>
            <w:r w:rsidRPr="00AD7509">
              <w:rPr>
                <w:rFonts w:ascii="Times New Roman" w:hAnsi="Times New Roman" w:cs="Times New Roman"/>
                <w:snapToGrid/>
                <w:color w:val="000000"/>
                <w:sz w:val="22"/>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March 2025). Standard Occupational Classification (SOC) Codes: Exec. And </w:t>
            </w:r>
            <w:r w:rsidRPr="00AD7509">
              <w:rPr>
                <w:rFonts w:ascii="Times New Roman" w:hAnsi="Times New Roman" w:cs="Times New Roman"/>
                <w:snapToGrid/>
                <w:color w:val="000000"/>
                <w:sz w:val="22"/>
              </w:rPr>
              <w:t>Mgr</w:t>
            </w:r>
            <w:r w:rsidRPr="00AD7509">
              <w:rPr>
                <w:rFonts w:ascii="Times New Roman" w:hAnsi="Times New Roman" w:cs="Times New Roman"/>
                <w:snapToGrid/>
                <w:color w:val="000000"/>
                <w:sz w:val="22"/>
              </w:rPr>
              <w:t xml:space="preserve"> = 11-0000 Management Occupations; Lawyer = 23-0000 Legal Occupations; </w:t>
            </w:r>
            <w:r w:rsidRPr="00AD7509">
              <w:rPr>
                <w:rFonts w:ascii="Times New Roman" w:hAnsi="Times New Roman" w:cs="Times New Roman"/>
                <w:snapToGrid/>
                <w:color w:val="000000"/>
                <w:sz w:val="22"/>
              </w:rPr>
              <w:t>Compl</w:t>
            </w:r>
            <w:r w:rsidRPr="00AD7509">
              <w:rPr>
                <w:rFonts w:ascii="Times New Roman" w:hAnsi="Times New Roman" w:cs="Times New Roman"/>
                <w:snapToGrid/>
                <w:color w:val="000000"/>
                <w:sz w:val="22"/>
              </w:rPr>
              <w:t xml:space="preserve">. Ofc. = 13-1040 Compliance Officers; IT = 15-0000 Computer and Mathematical Occupations; Fin. </w:t>
            </w:r>
            <w:r w:rsidRPr="00AD7509">
              <w:rPr>
                <w:rFonts w:ascii="Times New Roman" w:hAnsi="Times New Roman" w:cs="Times New Roman"/>
                <w:snapToGrid/>
                <w:color w:val="000000"/>
                <w:sz w:val="22"/>
              </w:rPr>
              <w:t>Anlst</w:t>
            </w:r>
            <w:r w:rsidRPr="00AD7509">
              <w:rPr>
                <w:rFonts w:ascii="Times New Roman" w:hAnsi="Times New Roman" w:cs="Times New Roman"/>
                <w:snapToGrid/>
                <w:color w:val="000000"/>
                <w:sz w:val="22"/>
              </w:rPr>
              <w:t xml:space="preserve">. = 13-2051 Financial and Investment Analysts; Clerical = 43-0000 Office and Administrative Support Occupations. </w:t>
            </w:r>
          </w:p>
        </w:tc>
      </w:tr>
    </w:tbl>
    <w:p w:rsidR="00C516B6" w:rsidP="006B5B26" w14:paraId="5155C44C" w14:textId="77777777">
      <w:pPr>
        <w:rPr>
          <w:rFonts w:ascii="Times New Roman" w:hAnsi="Times New Roman"/>
          <w:i/>
        </w:rPr>
      </w:pPr>
    </w:p>
    <w:tbl>
      <w:tblPr>
        <w:tblW w:w="9440" w:type="dxa"/>
        <w:tblLook w:val="04A0"/>
      </w:tblPr>
      <w:tblGrid>
        <w:gridCol w:w="2340"/>
        <w:gridCol w:w="2150"/>
        <w:gridCol w:w="2610"/>
        <w:gridCol w:w="2340"/>
      </w:tblGrid>
      <w:tr w14:paraId="24283CC1" w14:textId="77777777" w:rsidTr="00716F27">
        <w:tblPrEx>
          <w:tblW w:w="9440" w:type="dxa"/>
          <w:tblLook w:val="04A0"/>
        </w:tblPrEx>
        <w:trPr>
          <w:trHeight w:val="360"/>
        </w:trPr>
        <w:tc>
          <w:tcPr>
            <w:tcW w:w="9440" w:type="dxa"/>
            <w:gridSpan w:val="4"/>
            <w:tcBorders>
              <w:top w:val="single" w:sz="8" w:space="0" w:color="auto"/>
              <w:left w:val="single" w:sz="8" w:space="0" w:color="auto"/>
              <w:bottom w:val="single" w:sz="8" w:space="0" w:color="auto"/>
              <w:right w:val="single" w:sz="8" w:space="0" w:color="000000"/>
            </w:tcBorders>
            <w:noWrap/>
            <w:vAlign w:val="center"/>
            <w:hideMark/>
          </w:tcPr>
          <w:p w:rsidR="00716F27" w:rsidRPr="00716F27" w:rsidP="00716F27" w14:paraId="3FAE7E18" w14:textId="43D0FFA8">
            <w:pPr>
              <w:widowControl/>
              <w:jc w:val="center"/>
              <w:rPr>
                <w:rFonts w:ascii="Times New Roman" w:hAnsi="Times New Roman"/>
                <w:snapToGrid/>
                <w:color w:val="000000"/>
                <w:sz w:val="22"/>
                <w:szCs w:val="22"/>
              </w:rPr>
            </w:pPr>
            <w:r w:rsidRPr="00716F27">
              <w:rPr>
                <w:rFonts w:ascii="Times New Roman" w:hAnsi="Times New Roman"/>
                <w:snapToGrid/>
                <w:color w:val="000000"/>
                <w:sz w:val="22"/>
                <w:szCs w:val="22"/>
              </w:rPr>
              <w:t>Total Estimated Cost Burden (OMB No. 3064-0122)</w:t>
            </w:r>
          </w:p>
        </w:tc>
      </w:tr>
      <w:tr w14:paraId="76B1F827" w14:textId="77777777" w:rsidTr="00467512">
        <w:tblPrEx>
          <w:tblW w:w="9440" w:type="dxa"/>
          <w:tblLook w:val="04A0"/>
        </w:tblPrEx>
        <w:trPr>
          <w:trHeight w:val="600"/>
        </w:trPr>
        <w:tc>
          <w:tcPr>
            <w:tcW w:w="234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716F27" w:rsidRPr="00716F27" w:rsidP="00716F27" w14:paraId="36AF9061" w14:textId="77777777">
            <w:pPr>
              <w:widowControl/>
              <w:rPr>
                <w:rFonts w:ascii="Times New Roman" w:hAnsi="Times New Roman"/>
                <w:snapToGrid/>
                <w:color w:val="000000"/>
                <w:sz w:val="22"/>
                <w:szCs w:val="22"/>
              </w:rPr>
            </w:pPr>
            <w:r w:rsidRPr="00716F27">
              <w:rPr>
                <w:rFonts w:ascii="Times New Roman" w:hAnsi="Times New Roman"/>
                <w:snapToGrid/>
                <w:color w:val="000000"/>
                <w:sz w:val="22"/>
                <w:szCs w:val="22"/>
              </w:rPr>
              <w:t>Information Collection Request</w:t>
            </w:r>
          </w:p>
        </w:tc>
        <w:tc>
          <w:tcPr>
            <w:tcW w:w="2150" w:type="dxa"/>
            <w:tcBorders>
              <w:top w:val="nil"/>
              <w:left w:val="nil"/>
              <w:bottom w:val="single" w:sz="8" w:space="0" w:color="auto"/>
              <w:right w:val="single" w:sz="8" w:space="0" w:color="auto"/>
            </w:tcBorders>
            <w:shd w:val="clear" w:color="auto" w:fill="F2F2F2" w:themeFill="background1" w:themeFillShade="F2"/>
            <w:vAlign w:val="center"/>
            <w:hideMark/>
          </w:tcPr>
          <w:p w:rsidR="00716F27" w:rsidRPr="00716F27" w:rsidP="00716F27" w14:paraId="0842B208" w14:textId="77777777">
            <w:pPr>
              <w:widowControl/>
              <w:jc w:val="center"/>
              <w:rPr>
                <w:rFonts w:ascii="Times New Roman" w:hAnsi="Times New Roman"/>
                <w:snapToGrid/>
                <w:color w:val="000000"/>
                <w:sz w:val="22"/>
                <w:szCs w:val="22"/>
              </w:rPr>
            </w:pPr>
            <w:r w:rsidRPr="00716F27">
              <w:rPr>
                <w:rFonts w:ascii="Times New Roman" w:hAnsi="Times New Roman"/>
                <w:snapToGrid/>
                <w:color w:val="000000"/>
                <w:sz w:val="22"/>
                <w:szCs w:val="22"/>
              </w:rPr>
              <w:t>Annual Burden (Hours)</w:t>
            </w:r>
          </w:p>
        </w:tc>
        <w:tc>
          <w:tcPr>
            <w:tcW w:w="2610" w:type="dxa"/>
            <w:tcBorders>
              <w:top w:val="nil"/>
              <w:left w:val="nil"/>
              <w:bottom w:val="single" w:sz="8" w:space="0" w:color="auto"/>
              <w:right w:val="single" w:sz="8" w:space="0" w:color="auto"/>
            </w:tcBorders>
            <w:shd w:val="clear" w:color="auto" w:fill="F2F2F2" w:themeFill="background1" w:themeFillShade="F2"/>
            <w:vAlign w:val="center"/>
            <w:hideMark/>
          </w:tcPr>
          <w:p w:rsidR="00716F27" w:rsidRPr="00716F27" w:rsidP="00716F27" w14:paraId="01B499C1" w14:textId="77777777">
            <w:pPr>
              <w:widowControl/>
              <w:jc w:val="center"/>
              <w:rPr>
                <w:rFonts w:ascii="Times New Roman" w:hAnsi="Times New Roman"/>
                <w:snapToGrid/>
                <w:color w:val="000000"/>
                <w:sz w:val="22"/>
                <w:szCs w:val="22"/>
              </w:rPr>
            </w:pPr>
            <w:r w:rsidRPr="00716F27">
              <w:rPr>
                <w:rFonts w:ascii="Times New Roman" w:hAnsi="Times New Roman"/>
                <w:snapToGrid/>
                <w:color w:val="000000"/>
                <w:sz w:val="22"/>
                <w:szCs w:val="22"/>
              </w:rPr>
              <w:t>Weighted Average Hourly Compensation Rate</w:t>
            </w:r>
          </w:p>
        </w:tc>
        <w:tc>
          <w:tcPr>
            <w:tcW w:w="2340" w:type="dxa"/>
            <w:tcBorders>
              <w:top w:val="nil"/>
              <w:left w:val="nil"/>
              <w:bottom w:val="single" w:sz="8" w:space="0" w:color="auto"/>
              <w:right w:val="single" w:sz="8" w:space="0" w:color="auto"/>
            </w:tcBorders>
            <w:shd w:val="clear" w:color="auto" w:fill="F2F2F2" w:themeFill="background1" w:themeFillShade="F2"/>
            <w:vAlign w:val="center"/>
            <w:hideMark/>
          </w:tcPr>
          <w:p w:rsidR="00716F27" w:rsidRPr="00716F27" w:rsidP="00716F27" w14:paraId="087B211D" w14:textId="77777777">
            <w:pPr>
              <w:widowControl/>
              <w:jc w:val="center"/>
              <w:rPr>
                <w:rFonts w:ascii="Times New Roman" w:hAnsi="Times New Roman"/>
                <w:snapToGrid/>
                <w:color w:val="000000"/>
                <w:sz w:val="22"/>
                <w:szCs w:val="22"/>
              </w:rPr>
            </w:pPr>
            <w:r w:rsidRPr="00716F27">
              <w:rPr>
                <w:rFonts w:ascii="Times New Roman" w:hAnsi="Times New Roman"/>
                <w:snapToGrid/>
                <w:color w:val="000000"/>
                <w:sz w:val="22"/>
                <w:szCs w:val="22"/>
              </w:rPr>
              <w:t>Annual Respondent Cost</w:t>
            </w:r>
          </w:p>
        </w:tc>
      </w:tr>
      <w:tr w14:paraId="675FE085" w14:textId="77777777" w:rsidTr="00512A3C">
        <w:tblPrEx>
          <w:tblW w:w="9440" w:type="dxa"/>
          <w:tblLook w:val="04A0"/>
        </w:tblPrEx>
        <w:trPr>
          <w:trHeight w:val="863"/>
        </w:trPr>
        <w:tc>
          <w:tcPr>
            <w:tcW w:w="2340" w:type="dxa"/>
            <w:tcBorders>
              <w:top w:val="nil"/>
              <w:left w:val="single" w:sz="8" w:space="0" w:color="auto"/>
              <w:bottom w:val="single" w:sz="8" w:space="0" w:color="auto"/>
              <w:right w:val="single" w:sz="8" w:space="0" w:color="auto"/>
            </w:tcBorders>
            <w:vAlign w:val="center"/>
            <w:hideMark/>
          </w:tcPr>
          <w:p w:rsidR="00716F27" w:rsidRPr="00716F27" w:rsidP="00716F27" w14:paraId="2489DDDB" w14:textId="77777777">
            <w:pPr>
              <w:widowControl/>
              <w:rPr>
                <w:rFonts w:ascii="Times New Roman" w:hAnsi="Times New Roman"/>
                <w:snapToGrid/>
                <w:color w:val="000000"/>
                <w:sz w:val="22"/>
                <w:szCs w:val="22"/>
              </w:rPr>
            </w:pPr>
            <w:r w:rsidRPr="00716F27">
              <w:rPr>
                <w:rFonts w:ascii="Times New Roman" w:hAnsi="Times New Roman"/>
                <w:snapToGrid/>
                <w:color w:val="000000"/>
                <w:sz w:val="22"/>
                <w:szCs w:val="22"/>
              </w:rPr>
              <w:t>Sample Information Collection Request</w:t>
            </w:r>
          </w:p>
        </w:tc>
        <w:tc>
          <w:tcPr>
            <w:tcW w:w="2150" w:type="dxa"/>
            <w:tcBorders>
              <w:top w:val="nil"/>
              <w:left w:val="nil"/>
              <w:bottom w:val="single" w:sz="8" w:space="0" w:color="auto"/>
              <w:right w:val="single" w:sz="8" w:space="0" w:color="auto"/>
            </w:tcBorders>
            <w:noWrap/>
            <w:vAlign w:val="center"/>
            <w:hideMark/>
          </w:tcPr>
          <w:p w:rsidR="00716F27" w:rsidRPr="00716F27" w:rsidP="00716F27" w14:paraId="5810E244" w14:textId="77777777">
            <w:pPr>
              <w:widowControl/>
              <w:jc w:val="center"/>
              <w:rPr>
                <w:rFonts w:ascii="Times New Roman" w:hAnsi="Times New Roman"/>
                <w:snapToGrid/>
                <w:color w:val="000000"/>
                <w:sz w:val="22"/>
                <w:szCs w:val="22"/>
              </w:rPr>
            </w:pPr>
            <w:r w:rsidRPr="00716F27">
              <w:rPr>
                <w:rFonts w:ascii="Times New Roman" w:hAnsi="Times New Roman"/>
                <w:snapToGrid/>
                <w:color w:val="000000"/>
                <w:sz w:val="22"/>
                <w:szCs w:val="22"/>
              </w:rPr>
              <w:t>273</w:t>
            </w:r>
          </w:p>
        </w:tc>
        <w:tc>
          <w:tcPr>
            <w:tcW w:w="2610" w:type="dxa"/>
            <w:tcBorders>
              <w:top w:val="nil"/>
              <w:left w:val="nil"/>
              <w:bottom w:val="single" w:sz="8" w:space="0" w:color="auto"/>
              <w:right w:val="single" w:sz="8" w:space="0" w:color="auto"/>
            </w:tcBorders>
            <w:noWrap/>
            <w:vAlign w:val="center"/>
            <w:hideMark/>
          </w:tcPr>
          <w:p w:rsidR="00716F27" w:rsidRPr="00716F27" w:rsidP="00716F27" w14:paraId="1AC51E07" w14:textId="77777777">
            <w:pPr>
              <w:widowControl/>
              <w:ind w:firstLine="220" w:firstLineChars="100"/>
              <w:jc w:val="center"/>
              <w:rPr>
                <w:rFonts w:ascii="Times New Roman" w:hAnsi="Times New Roman"/>
                <w:snapToGrid/>
                <w:color w:val="000000"/>
                <w:sz w:val="22"/>
                <w:szCs w:val="22"/>
              </w:rPr>
            </w:pPr>
            <w:r w:rsidRPr="00716F27">
              <w:rPr>
                <w:rFonts w:ascii="Times New Roman" w:hAnsi="Times New Roman"/>
                <w:snapToGrid/>
                <w:color w:val="000000"/>
                <w:sz w:val="22"/>
                <w:szCs w:val="22"/>
              </w:rPr>
              <w:t>$110.94</w:t>
            </w:r>
          </w:p>
        </w:tc>
        <w:tc>
          <w:tcPr>
            <w:tcW w:w="2340" w:type="dxa"/>
            <w:tcBorders>
              <w:top w:val="nil"/>
              <w:left w:val="nil"/>
              <w:bottom w:val="single" w:sz="8" w:space="0" w:color="auto"/>
              <w:right w:val="single" w:sz="8" w:space="0" w:color="auto"/>
            </w:tcBorders>
            <w:noWrap/>
            <w:vAlign w:val="center"/>
            <w:hideMark/>
          </w:tcPr>
          <w:p w:rsidR="00716F27" w:rsidRPr="00716F27" w:rsidP="00716F27" w14:paraId="171DA56C" w14:textId="77777777">
            <w:pPr>
              <w:widowControl/>
              <w:ind w:firstLine="220" w:firstLineChars="100"/>
              <w:jc w:val="center"/>
              <w:rPr>
                <w:rFonts w:ascii="Times New Roman" w:hAnsi="Times New Roman"/>
                <w:snapToGrid/>
                <w:color w:val="000000"/>
                <w:sz w:val="22"/>
                <w:szCs w:val="22"/>
              </w:rPr>
            </w:pPr>
            <w:r w:rsidRPr="00716F27">
              <w:rPr>
                <w:rFonts w:ascii="Times New Roman" w:hAnsi="Times New Roman"/>
                <w:snapToGrid/>
                <w:color w:val="000000"/>
                <w:sz w:val="22"/>
                <w:szCs w:val="22"/>
              </w:rPr>
              <w:t>$30,287</w:t>
            </w:r>
          </w:p>
        </w:tc>
      </w:tr>
      <w:tr w14:paraId="736E20D3" w14:textId="77777777" w:rsidTr="00467512">
        <w:tblPrEx>
          <w:tblW w:w="9440" w:type="dxa"/>
          <w:tblLook w:val="04A0"/>
        </w:tblPrEx>
        <w:trPr>
          <w:trHeight w:val="360"/>
        </w:trPr>
        <w:tc>
          <w:tcPr>
            <w:tcW w:w="7100" w:type="dxa"/>
            <w:gridSpan w:val="3"/>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rsidR="00716F27" w:rsidRPr="00716F27" w:rsidP="00716F27" w14:paraId="643548AC" w14:textId="77777777">
            <w:pPr>
              <w:widowControl/>
              <w:jc w:val="right"/>
              <w:rPr>
                <w:rFonts w:ascii="Times New Roman" w:hAnsi="Times New Roman"/>
                <w:b/>
                <w:bCs/>
                <w:i/>
                <w:iCs/>
                <w:snapToGrid/>
                <w:color w:val="000000"/>
                <w:sz w:val="22"/>
                <w:szCs w:val="22"/>
              </w:rPr>
            </w:pPr>
            <w:r w:rsidRPr="00716F27">
              <w:rPr>
                <w:rFonts w:ascii="Times New Roman" w:hAnsi="Times New Roman"/>
                <w:b/>
                <w:bCs/>
                <w:i/>
                <w:iCs/>
                <w:snapToGrid/>
                <w:color w:val="000000"/>
                <w:sz w:val="22"/>
                <w:szCs w:val="22"/>
              </w:rPr>
              <w:t>Total Annual Respondent Cost:</w:t>
            </w:r>
          </w:p>
        </w:tc>
        <w:tc>
          <w:tcPr>
            <w:tcW w:w="2340" w:type="dxa"/>
            <w:tcBorders>
              <w:top w:val="nil"/>
              <w:left w:val="nil"/>
              <w:bottom w:val="single" w:sz="8" w:space="0" w:color="auto"/>
              <w:right w:val="single" w:sz="8" w:space="0" w:color="auto"/>
            </w:tcBorders>
            <w:shd w:val="clear" w:color="auto" w:fill="F2F2F2" w:themeFill="background1" w:themeFillShade="F2"/>
            <w:vAlign w:val="center"/>
            <w:hideMark/>
          </w:tcPr>
          <w:p w:rsidR="00716F27" w:rsidRPr="00716F27" w:rsidP="00716F27" w14:paraId="6B31E013" w14:textId="77777777">
            <w:pPr>
              <w:widowControl/>
              <w:ind w:firstLine="220" w:firstLineChars="100"/>
              <w:jc w:val="right"/>
              <w:rPr>
                <w:rFonts w:ascii="Times New Roman" w:hAnsi="Times New Roman"/>
                <w:b/>
                <w:bCs/>
                <w:i/>
                <w:iCs/>
                <w:snapToGrid/>
                <w:color w:val="000000"/>
                <w:sz w:val="22"/>
                <w:szCs w:val="22"/>
              </w:rPr>
            </w:pPr>
            <w:r w:rsidRPr="00716F27">
              <w:rPr>
                <w:rFonts w:ascii="Times New Roman" w:hAnsi="Times New Roman"/>
                <w:b/>
                <w:bCs/>
                <w:i/>
                <w:iCs/>
                <w:snapToGrid/>
                <w:color w:val="000000"/>
                <w:sz w:val="22"/>
                <w:szCs w:val="22"/>
              </w:rPr>
              <w:t xml:space="preserve">$30,287 </w:t>
            </w:r>
          </w:p>
        </w:tc>
      </w:tr>
      <w:tr w14:paraId="68922D71" w14:textId="77777777" w:rsidTr="00716F27">
        <w:tblPrEx>
          <w:tblW w:w="9440" w:type="dxa"/>
          <w:tblLook w:val="04A0"/>
        </w:tblPrEx>
        <w:trPr>
          <w:trHeight w:val="277"/>
        </w:trPr>
        <w:tc>
          <w:tcPr>
            <w:tcW w:w="9440" w:type="dxa"/>
            <w:gridSpan w:val="4"/>
            <w:tcBorders>
              <w:top w:val="single" w:sz="8" w:space="0" w:color="auto"/>
              <w:left w:val="single" w:sz="8" w:space="0" w:color="auto"/>
              <w:bottom w:val="single" w:sz="8" w:space="0" w:color="auto"/>
              <w:right w:val="single" w:sz="8" w:space="0" w:color="000000"/>
            </w:tcBorders>
            <w:noWrap/>
            <w:hideMark/>
          </w:tcPr>
          <w:p w:rsidR="00716F27" w:rsidRPr="00716F27" w:rsidP="00716F27" w14:paraId="62EE3C75" w14:textId="77777777">
            <w:pPr>
              <w:widowControl/>
              <w:rPr>
                <w:rFonts w:ascii="Times New Roman" w:hAnsi="Times New Roman"/>
                <w:snapToGrid/>
                <w:color w:val="000000"/>
                <w:sz w:val="22"/>
                <w:szCs w:val="22"/>
              </w:rPr>
            </w:pPr>
            <w:r w:rsidRPr="00716F27">
              <w:rPr>
                <w:rFonts w:ascii="Times New Roman" w:hAnsi="Times New Roman"/>
                <w:snapToGrid/>
                <w:color w:val="000000"/>
                <w:sz w:val="22"/>
                <w:szCs w:val="22"/>
              </w:rPr>
              <w:t>Source: FDIC.</w:t>
            </w:r>
          </w:p>
        </w:tc>
      </w:tr>
    </w:tbl>
    <w:p w:rsidR="00EA7DBC" w:rsidRPr="00716F27" w:rsidP="006B5B26" w14:paraId="43402702" w14:textId="77777777">
      <w:pPr>
        <w:rPr>
          <w:rFonts w:ascii="Times New Roman" w:hAnsi="Times New Roman"/>
          <w:iCs/>
        </w:rPr>
      </w:pPr>
    </w:p>
    <w:p w:rsidR="002847B4" w:rsidRPr="00BA19E0" w:rsidP="00736FF6" w14:paraId="33C05890" w14:textId="77777777">
      <w:pPr>
        <w:pStyle w:val="CommentText"/>
        <w:rPr>
          <w:rStyle w:val="documentbody1"/>
          <w:color w:val="000000"/>
          <w:sz w:val="24"/>
          <w:szCs w:val="24"/>
          <w:u w:val="single"/>
        </w:rPr>
      </w:pPr>
    </w:p>
    <w:p w:rsidR="009F4532" w:rsidRPr="001F2A5D" w:rsidP="006D4D8E" w14:paraId="75124C13" w14:textId="77777777">
      <w:pPr>
        <w:numPr>
          <w:ilvl w:val="0"/>
          <w:numId w:val="11"/>
        </w:numPr>
        <w:ind w:left="1440" w:hanging="720"/>
        <w:outlineLvl w:val="0"/>
        <w:rPr>
          <w:rFonts w:ascii="Times New Roman" w:hAnsi="Times New Roman"/>
          <w:szCs w:val="24"/>
          <w:u w:val="single"/>
        </w:rPr>
      </w:pPr>
      <w:r w:rsidRPr="009E60FB">
        <w:rPr>
          <w:rFonts w:ascii="Times New Roman" w:hAnsi="Times New Roman"/>
          <w:bCs/>
          <w:szCs w:val="24"/>
          <w:u w:val="single"/>
        </w:rPr>
        <w:t xml:space="preserve">Estimate of start-up costs </w:t>
      </w:r>
      <w:r w:rsidRPr="009E60FB">
        <w:rPr>
          <w:rFonts w:ascii="Times New Roman" w:hAnsi="Times New Roman"/>
          <w:bCs/>
          <w:szCs w:val="24"/>
          <w:u w:val="single"/>
        </w:rPr>
        <w:t>to</w:t>
      </w:r>
      <w:r w:rsidRPr="009E60FB">
        <w:rPr>
          <w:rFonts w:ascii="Times New Roman" w:hAnsi="Times New Roman"/>
          <w:bCs/>
          <w:szCs w:val="24"/>
          <w:u w:val="single"/>
        </w:rPr>
        <w:t xml:space="preserve"> respondents:</w:t>
      </w:r>
    </w:p>
    <w:p w:rsidR="00731A90" w14:paraId="59FD64D8" w14:textId="77777777">
      <w:pPr>
        <w:rPr>
          <w:rFonts w:ascii="Times New Roman" w:hAnsi="Times New Roman"/>
        </w:rPr>
      </w:pPr>
    </w:p>
    <w:p w:rsidR="00731A90" w14:paraId="69129AB1" w14:textId="77777777">
      <w:pPr>
        <w:ind w:left="1440"/>
        <w:rPr>
          <w:rFonts w:ascii="Times New Roman" w:hAnsi="Times New Roman"/>
        </w:rPr>
      </w:pPr>
      <w:r>
        <w:rPr>
          <w:rFonts w:ascii="Times New Roman" w:hAnsi="Times New Roman"/>
        </w:rPr>
        <w:t xml:space="preserve">None. </w:t>
      </w:r>
    </w:p>
    <w:p w:rsidR="00731A90" w14:paraId="09C56B8B" w14:textId="77777777">
      <w:pPr>
        <w:rPr>
          <w:rFonts w:ascii="Times New Roman" w:hAnsi="Times New Roman"/>
        </w:rPr>
      </w:pPr>
    </w:p>
    <w:p w:rsidR="00731A90" w:rsidP="006D4D8E" w14:paraId="75BB74E8" w14:textId="77777777">
      <w:pPr>
        <w:numPr>
          <w:ilvl w:val="0"/>
          <w:numId w:val="11"/>
        </w:numPr>
        <w:ind w:left="1440" w:hanging="720"/>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14:paraId="3380D813" w14:textId="77777777">
      <w:pPr>
        <w:ind w:firstLine="720"/>
        <w:rPr>
          <w:rFonts w:ascii="Times New Roman" w:hAnsi="Times New Roman"/>
        </w:rPr>
      </w:pPr>
    </w:p>
    <w:p w:rsidR="007E3A41" w:rsidP="007E3A41" w14:paraId="70EE2B0A" w14:textId="77777777">
      <w:pPr>
        <w:ind w:left="720" w:firstLine="720"/>
        <w:rPr>
          <w:rFonts w:ascii="Times New Roman" w:hAnsi="Times New Roman"/>
        </w:rPr>
      </w:pPr>
      <w:r>
        <w:rPr>
          <w:rFonts w:ascii="Times New Roman" w:hAnsi="Times New Roman"/>
        </w:rPr>
        <w:t>None</w:t>
      </w:r>
    </w:p>
    <w:p w:rsidR="002616EA" w:rsidP="002616EA" w14:paraId="7BF60C2D" w14:textId="77777777">
      <w:pPr>
        <w:rPr>
          <w:rFonts w:ascii="Times New Roman" w:hAnsi="Times New Roman"/>
        </w:rPr>
      </w:pPr>
    </w:p>
    <w:p w:rsidR="009F4532" w:rsidRPr="001F2A5D" w:rsidP="006D4D8E" w14:paraId="293E09C5" w14:textId="77777777">
      <w:pPr>
        <w:numPr>
          <w:ilvl w:val="0"/>
          <w:numId w:val="11"/>
        </w:numPr>
        <w:ind w:left="1440" w:hanging="720"/>
        <w:outlineLvl w:val="0"/>
        <w:rPr>
          <w:rFonts w:ascii="Times New Roman" w:hAnsi="Times New Roman"/>
          <w:szCs w:val="24"/>
        </w:rPr>
      </w:pPr>
      <w:r w:rsidRPr="009E60FB">
        <w:rPr>
          <w:rFonts w:ascii="Times New Roman" w:hAnsi="Times New Roman"/>
          <w:szCs w:val="24"/>
          <w:u w:val="single"/>
        </w:rPr>
        <w:t>Analysis of change in burden:</w:t>
      </w:r>
    </w:p>
    <w:p w:rsidR="00731A90" w14:paraId="4C0981F0" w14:textId="77777777">
      <w:pPr>
        <w:ind w:firstLine="720"/>
        <w:rPr>
          <w:rFonts w:ascii="Times New Roman" w:hAnsi="Times New Roman"/>
        </w:rPr>
      </w:pPr>
    </w:p>
    <w:p w:rsidR="00E24050" w:rsidP="00E24050" w14:paraId="2598AA12" w14:textId="48FC963E">
      <w:pPr>
        <w:ind w:left="1440"/>
        <w:rPr>
          <w:rFonts w:ascii="Times New Roman" w:hAnsi="Times New Roman"/>
          <w:snapToGrid/>
          <w:szCs w:val="24"/>
        </w:rPr>
      </w:pPr>
      <w:r>
        <w:rPr>
          <w:rFonts w:ascii="Times New Roman" w:hAnsi="Times New Roman"/>
          <w:snapToGrid/>
          <w:szCs w:val="24"/>
        </w:rPr>
        <w:t>The change in burden is due primarily to a revision in the methodology used</w:t>
      </w:r>
      <w:r w:rsidR="008749F3">
        <w:rPr>
          <w:rFonts w:ascii="Times New Roman" w:hAnsi="Times New Roman"/>
          <w:snapToGrid/>
          <w:szCs w:val="24"/>
        </w:rPr>
        <w:t xml:space="preserve"> to </w:t>
      </w:r>
      <w:r w:rsidR="008749F3">
        <w:rPr>
          <w:rFonts w:ascii="Times New Roman" w:hAnsi="Times New Roman"/>
          <w:snapToGrid/>
          <w:szCs w:val="24"/>
        </w:rPr>
        <w:t>estimate the number of respondents and responses</w:t>
      </w:r>
      <w:r w:rsidR="004A1A4D">
        <w:rPr>
          <w:rFonts w:ascii="Times New Roman" w:hAnsi="Times New Roman"/>
          <w:snapToGrid/>
          <w:szCs w:val="24"/>
        </w:rPr>
        <w:t>.</w:t>
      </w:r>
      <w:r w:rsidR="008749F3">
        <w:rPr>
          <w:rFonts w:ascii="Times New Roman" w:hAnsi="Times New Roman"/>
          <w:snapToGrid/>
          <w:szCs w:val="24"/>
        </w:rPr>
        <w:t xml:space="preserve"> </w:t>
      </w:r>
      <w:r w:rsidR="00D4780F">
        <w:rPr>
          <w:rFonts w:ascii="Times New Roman" w:hAnsi="Times New Roman"/>
          <w:snapToGrid/>
          <w:szCs w:val="24"/>
        </w:rPr>
        <w:t xml:space="preserve">Previously, the FDIC estimated responses using counts of web-based </w:t>
      </w:r>
      <w:r w:rsidR="002343A0">
        <w:rPr>
          <w:rFonts w:ascii="Times New Roman" w:hAnsi="Times New Roman"/>
          <w:snapToGrid/>
          <w:szCs w:val="24"/>
        </w:rPr>
        <w:t xml:space="preserve">downloads of the associated forms.  </w:t>
      </w:r>
      <w:r w:rsidR="009C132B">
        <w:rPr>
          <w:rFonts w:ascii="Times New Roman" w:hAnsi="Times New Roman"/>
          <w:snapToGrid/>
          <w:szCs w:val="24"/>
        </w:rPr>
        <w:t>Under the revised methodology, the estimated number of annual respondents is based</w:t>
      </w:r>
      <w:r w:rsidR="00E26D9A">
        <w:rPr>
          <w:rFonts w:ascii="Times New Roman" w:hAnsi="Times New Roman"/>
          <w:snapToGrid/>
          <w:szCs w:val="24"/>
        </w:rPr>
        <w:t xml:space="preserve"> on the historical average number of submissions for</w:t>
      </w:r>
      <w:r w:rsidR="00743ABE">
        <w:rPr>
          <w:rFonts w:ascii="Times New Roman" w:hAnsi="Times New Roman"/>
          <w:snapToGrid/>
          <w:szCs w:val="24"/>
        </w:rPr>
        <w:t xml:space="preserve"> the relevant forms, with conservative </w:t>
      </w:r>
      <w:r w:rsidR="00095B28">
        <w:rPr>
          <w:rFonts w:ascii="Times New Roman" w:hAnsi="Times New Roman"/>
          <w:snapToGrid/>
          <w:szCs w:val="24"/>
        </w:rPr>
        <w:t>estimates applied</w:t>
      </w:r>
      <w:r w:rsidR="006C05B7">
        <w:rPr>
          <w:rFonts w:ascii="Times New Roman" w:hAnsi="Times New Roman"/>
          <w:snapToGrid/>
          <w:szCs w:val="24"/>
        </w:rPr>
        <w:t xml:space="preserve"> where submission data were unavailable.</w:t>
      </w:r>
      <w:r>
        <w:rPr>
          <w:rFonts w:ascii="Times New Roman" w:hAnsi="Times New Roman"/>
          <w:snapToGrid/>
          <w:szCs w:val="24"/>
        </w:rPr>
        <w:t xml:space="preserve"> Using this approach, the FDIC estimates 527 annual responses, an increase of 438</w:t>
      </w:r>
      <w:r w:rsidR="007A78FE">
        <w:rPr>
          <w:rFonts w:ascii="Times New Roman" w:hAnsi="Times New Roman"/>
          <w:snapToGrid/>
          <w:szCs w:val="24"/>
        </w:rPr>
        <w:t xml:space="preserve"> responses</w:t>
      </w:r>
      <w:r>
        <w:rPr>
          <w:rFonts w:ascii="Times New Roman" w:hAnsi="Times New Roman"/>
          <w:snapToGrid/>
          <w:szCs w:val="24"/>
        </w:rPr>
        <w:t xml:space="preserve"> from the previously approved ICR.</w:t>
      </w:r>
      <w:r w:rsidR="00752FFA">
        <w:rPr>
          <w:rFonts w:ascii="Times New Roman" w:hAnsi="Times New Roman"/>
          <w:snapToGrid/>
          <w:szCs w:val="24"/>
        </w:rPr>
        <w:t xml:space="preserve"> Th</w:t>
      </w:r>
      <w:r w:rsidR="004E101C">
        <w:rPr>
          <w:rFonts w:ascii="Times New Roman" w:hAnsi="Times New Roman"/>
          <w:snapToGrid/>
          <w:szCs w:val="24"/>
        </w:rPr>
        <w:t>is</w:t>
      </w:r>
      <w:r w:rsidR="00752FFA">
        <w:rPr>
          <w:rFonts w:ascii="Times New Roman" w:hAnsi="Times New Roman"/>
          <w:snapToGrid/>
          <w:szCs w:val="24"/>
        </w:rPr>
        <w:t xml:space="preserve"> increase reflects</w:t>
      </w:r>
      <w:r w:rsidR="00926413">
        <w:rPr>
          <w:rFonts w:ascii="Times New Roman" w:hAnsi="Times New Roman"/>
          <w:snapToGrid/>
          <w:szCs w:val="24"/>
        </w:rPr>
        <w:t xml:space="preserve"> a methodological revision intended to improve the accuracy of the burden estimates</w:t>
      </w:r>
      <w:r w:rsidR="00266D3B">
        <w:rPr>
          <w:rFonts w:ascii="Times New Roman" w:hAnsi="Times New Roman"/>
          <w:snapToGrid/>
          <w:szCs w:val="24"/>
        </w:rPr>
        <w:t xml:space="preserve"> rather than a change to the underlying information collection requirements.</w:t>
      </w:r>
    </w:p>
    <w:p w:rsidR="0033027B" w:rsidP="004A1A4D" w14:paraId="32D924D3" w14:textId="77777777"/>
    <w:p w:rsidR="009F4532" w:rsidRPr="001F2A5D" w:rsidP="00EA72EA" w14:paraId="4F66945C" w14:textId="77777777">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14:paraId="2D5661DE" w14:textId="77777777">
      <w:pPr>
        <w:rPr>
          <w:rFonts w:ascii="Times New Roman" w:hAnsi="Times New Roman"/>
        </w:rPr>
      </w:pPr>
    </w:p>
    <w:p w:rsidR="00731A90" w14:paraId="65F55052" w14:textId="77777777">
      <w:pPr>
        <w:ind w:left="1440"/>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731A90" w14:paraId="0F174F5B" w14:textId="77777777">
      <w:pPr>
        <w:rPr>
          <w:rFonts w:ascii="Times New Roman" w:hAnsi="Times New Roman"/>
        </w:rPr>
      </w:pPr>
    </w:p>
    <w:p w:rsidR="00731A90" w:rsidP="006D4D8E" w14:paraId="0C4C0950" w14:textId="77777777">
      <w:pPr>
        <w:numPr>
          <w:ilvl w:val="0"/>
          <w:numId w:val="11"/>
        </w:numPr>
        <w:ind w:left="1440" w:hanging="720"/>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14:paraId="5C0DFED4" w14:textId="77777777">
      <w:pPr>
        <w:rPr>
          <w:rFonts w:ascii="Times New Roman" w:hAnsi="Times New Roman"/>
        </w:rPr>
      </w:pPr>
    </w:p>
    <w:p w:rsidR="00731A90" w14:paraId="1FF5F0C5" w14:textId="77777777">
      <w:pPr>
        <w:ind w:left="1440"/>
        <w:rPr>
          <w:rFonts w:ascii="Times New Roman" w:hAnsi="Times New Roman"/>
        </w:rPr>
      </w:pPr>
      <w:r>
        <w:rPr>
          <w:rFonts w:ascii="Times New Roman" w:hAnsi="Times New Roman"/>
        </w:rPr>
        <w:t>Not applicable.</w:t>
      </w:r>
    </w:p>
    <w:p w:rsidR="00731A90" w14:paraId="7BFBB06F" w14:textId="77777777">
      <w:pPr>
        <w:rPr>
          <w:rFonts w:ascii="Times New Roman" w:hAnsi="Times New Roman"/>
        </w:rPr>
      </w:pPr>
    </w:p>
    <w:p w:rsidR="00731A90" w:rsidP="006D4D8E" w14:paraId="01AC9C1F" w14:textId="77777777">
      <w:pPr>
        <w:numPr>
          <w:ilvl w:val="0"/>
          <w:numId w:val="11"/>
        </w:numPr>
        <w:ind w:left="1440" w:hanging="720"/>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rsidP="006D4D8E" w14:paraId="55EE063C" w14:textId="77777777">
      <w:pPr>
        <w:ind w:left="1440" w:hanging="720"/>
        <w:rPr>
          <w:rFonts w:ascii="Times New Roman" w:hAnsi="Times New Roman"/>
        </w:rPr>
      </w:pPr>
    </w:p>
    <w:p w:rsidR="00731A90" w14:paraId="277215C0" w14:textId="77777777">
      <w:pPr>
        <w:ind w:left="1440"/>
        <w:rPr>
          <w:rFonts w:ascii="Times New Roman" w:hAnsi="Times New Roman"/>
        </w:rPr>
      </w:pPr>
      <w:r>
        <w:rPr>
          <w:rFonts w:ascii="Times New Roman" w:hAnsi="Times New Roman"/>
        </w:rPr>
        <w:t>None.</w:t>
      </w:r>
    </w:p>
    <w:p w:rsidR="00731A90" w14:paraId="5EB92B15" w14:textId="77777777">
      <w:pPr>
        <w:rPr>
          <w:rFonts w:ascii="Times New Roman" w:hAnsi="Times New Roman"/>
        </w:rPr>
      </w:pPr>
    </w:p>
    <w:p w:rsidR="00731A90" w14:paraId="00B6B7A6" w14:textId="77777777">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14:paraId="7CB007CF" w14:textId="77777777">
      <w:pPr>
        <w:rPr>
          <w:rFonts w:ascii="Times New Roman" w:hAnsi="Times New Roman"/>
          <w:u w:val="single"/>
        </w:rPr>
      </w:pPr>
    </w:p>
    <w:p w:rsidR="00731A90" w14:paraId="08288C5C" w14:textId="77777777">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14:paraId="169D63B1" w14:textId="77777777">
      <w:pPr>
        <w:rPr>
          <w:rFonts w:ascii="Times New Roman" w:hAnsi="Times New Roman"/>
        </w:rPr>
      </w:pPr>
    </w:p>
    <w:p w:rsidR="00731A90" w14:paraId="2F062E9B" w14:textId="77777777">
      <w:pPr>
        <w:rPr>
          <w:rFonts w:ascii="Times New Roman" w:hAnsi="Times New Roman"/>
        </w:rPr>
      </w:pPr>
    </w:p>
    <w:p w:rsidR="00731A90" w14:paraId="1B36B7B8" w14:textId="77777777">
      <w:pPr>
        <w:rPr>
          <w:rFonts w:ascii="Times New Roman" w:hAnsi="Times New Roman"/>
        </w:rPr>
      </w:pPr>
    </w:p>
    <w:p w:rsidR="00731A90" w14:paraId="1D32C54B" w14:textId="77777777"/>
    <w:sectPr w:rsidSect="00CC299C">
      <w:footerReference w:type="default" r:id="rId5"/>
      <w:endnotePr>
        <w:numFmt w:val="decimal"/>
      </w:endnotePr>
      <w:type w:val="continuous"/>
      <w:pgSz w:w="12240" w:h="15840"/>
      <w:pgMar w:top="1296"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F33" w14:paraId="0846D8CC" w14:textId="77777777">
    <w:pPr>
      <w:spacing w:line="240" w:lineRule="exact"/>
    </w:pPr>
  </w:p>
  <w:p w:rsidR="00782F33" w14:paraId="20F7D005"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D00AE">
      <w:rPr>
        <w:rFonts w:ascii="Times New Roman" w:hAnsi="Times New Roman"/>
        <w:noProof/>
      </w:rPr>
      <w:t>6</w:t>
    </w:r>
    <w:r>
      <w:rPr>
        <w:rFonts w:ascii="Times New Roman" w:hAnsi="Times New Roman"/>
      </w:rPr>
      <w:fldChar w:fldCharType="end"/>
    </w:r>
  </w:p>
  <w:p w:rsidR="00782F33" w14:paraId="5DF4155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7761F8"/>
    <w:multiLevelType w:val="hybridMultilevel"/>
    <w:tmpl w:val="170A613C"/>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192ABB"/>
    <w:multiLevelType w:val="hybridMultilevel"/>
    <w:tmpl w:val="D55E27A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9">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16cid:durableId="1353609524">
    <w:abstractNumId w:val="8"/>
  </w:num>
  <w:num w:numId="2" w16cid:durableId="1386681689">
    <w:abstractNumId w:val="1"/>
  </w:num>
  <w:num w:numId="3" w16cid:durableId="845092172">
    <w:abstractNumId w:val="2"/>
  </w:num>
  <w:num w:numId="4" w16cid:durableId="1896043431">
    <w:abstractNumId w:val="0"/>
  </w:num>
  <w:num w:numId="5" w16cid:durableId="1631932288">
    <w:abstractNumId w:val="11"/>
  </w:num>
  <w:num w:numId="6" w16cid:durableId="2051227660">
    <w:abstractNumId w:val="9"/>
  </w:num>
  <w:num w:numId="7" w16cid:durableId="1178080454">
    <w:abstractNumId w:val="5"/>
  </w:num>
  <w:num w:numId="8" w16cid:durableId="341588504">
    <w:abstractNumId w:val="7"/>
  </w:num>
  <w:num w:numId="9" w16cid:durableId="763302756">
    <w:abstractNumId w:val="10"/>
  </w:num>
  <w:num w:numId="10" w16cid:durableId="1565524247">
    <w:abstractNumId w:val="3"/>
  </w:num>
  <w:num w:numId="11" w16cid:durableId="785275210">
    <w:abstractNumId w:val="6"/>
  </w:num>
  <w:num w:numId="12" w16cid:durableId="2002343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2DE"/>
    <w:rsid w:val="00005BCF"/>
    <w:rsid w:val="00013A0F"/>
    <w:rsid w:val="00020CDC"/>
    <w:rsid w:val="0003174D"/>
    <w:rsid w:val="00067509"/>
    <w:rsid w:val="000712DC"/>
    <w:rsid w:val="00075303"/>
    <w:rsid w:val="00095B28"/>
    <w:rsid w:val="000A65F3"/>
    <w:rsid w:val="000C5523"/>
    <w:rsid w:val="000D67E2"/>
    <w:rsid w:val="000D7176"/>
    <w:rsid w:val="0011503E"/>
    <w:rsid w:val="00121C50"/>
    <w:rsid w:val="0013412F"/>
    <w:rsid w:val="001378FD"/>
    <w:rsid w:val="00142214"/>
    <w:rsid w:val="001509ED"/>
    <w:rsid w:val="00173189"/>
    <w:rsid w:val="0018551F"/>
    <w:rsid w:val="00195400"/>
    <w:rsid w:val="001A10B6"/>
    <w:rsid w:val="001C4726"/>
    <w:rsid w:val="001D433C"/>
    <w:rsid w:val="001E004B"/>
    <w:rsid w:val="001E5B3C"/>
    <w:rsid w:val="001F2A5D"/>
    <w:rsid w:val="002343A0"/>
    <w:rsid w:val="0024688B"/>
    <w:rsid w:val="002616EA"/>
    <w:rsid w:val="00266D3B"/>
    <w:rsid w:val="00281F97"/>
    <w:rsid w:val="002847B4"/>
    <w:rsid w:val="002853B0"/>
    <w:rsid w:val="002864BB"/>
    <w:rsid w:val="0028728D"/>
    <w:rsid w:val="0029442A"/>
    <w:rsid w:val="002A4E44"/>
    <w:rsid w:val="002D2C1C"/>
    <w:rsid w:val="002D58BF"/>
    <w:rsid w:val="002F0A91"/>
    <w:rsid w:val="003036FF"/>
    <w:rsid w:val="00324E6B"/>
    <w:rsid w:val="0033027B"/>
    <w:rsid w:val="00344C29"/>
    <w:rsid w:val="00361E1E"/>
    <w:rsid w:val="00370F7D"/>
    <w:rsid w:val="00373ED8"/>
    <w:rsid w:val="003A2A04"/>
    <w:rsid w:val="003C37B8"/>
    <w:rsid w:val="003C5AB0"/>
    <w:rsid w:val="003E3253"/>
    <w:rsid w:val="00401A8A"/>
    <w:rsid w:val="00412D5F"/>
    <w:rsid w:val="00414D83"/>
    <w:rsid w:val="00420255"/>
    <w:rsid w:val="00426E20"/>
    <w:rsid w:val="00440038"/>
    <w:rsid w:val="00440D54"/>
    <w:rsid w:val="00462D56"/>
    <w:rsid w:val="00462F60"/>
    <w:rsid w:val="00467512"/>
    <w:rsid w:val="00471381"/>
    <w:rsid w:val="00497E0B"/>
    <w:rsid w:val="004A1A4D"/>
    <w:rsid w:val="004A4C59"/>
    <w:rsid w:val="004C4367"/>
    <w:rsid w:val="004D1876"/>
    <w:rsid w:val="004D6D84"/>
    <w:rsid w:val="004D7E89"/>
    <w:rsid w:val="004E101C"/>
    <w:rsid w:val="004E7B81"/>
    <w:rsid w:val="004F2F9B"/>
    <w:rsid w:val="00503AAC"/>
    <w:rsid w:val="00534357"/>
    <w:rsid w:val="00565D70"/>
    <w:rsid w:val="00566D21"/>
    <w:rsid w:val="00574D7A"/>
    <w:rsid w:val="005A5F9C"/>
    <w:rsid w:val="005D2FE1"/>
    <w:rsid w:val="005D7452"/>
    <w:rsid w:val="005E2771"/>
    <w:rsid w:val="005E4AC4"/>
    <w:rsid w:val="005F15BB"/>
    <w:rsid w:val="00603AE5"/>
    <w:rsid w:val="00606638"/>
    <w:rsid w:val="0061500B"/>
    <w:rsid w:val="00647F97"/>
    <w:rsid w:val="00652F4C"/>
    <w:rsid w:val="00692309"/>
    <w:rsid w:val="00696FEB"/>
    <w:rsid w:val="00697A37"/>
    <w:rsid w:val="006A0452"/>
    <w:rsid w:val="006A13B2"/>
    <w:rsid w:val="006A7DD6"/>
    <w:rsid w:val="006B23FE"/>
    <w:rsid w:val="006B4247"/>
    <w:rsid w:val="006B5B26"/>
    <w:rsid w:val="006C05B7"/>
    <w:rsid w:val="006C65B7"/>
    <w:rsid w:val="006D4D8E"/>
    <w:rsid w:val="006E11B2"/>
    <w:rsid w:val="006E670D"/>
    <w:rsid w:val="006F2769"/>
    <w:rsid w:val="00703ECB"/>
    <w:rsid w:val="00712682"/>
    <w:rsid w:val="00716F27"/>
    <w:rsid w:val="00723A34"/>
    <w:rsid w:val="00727480"/>
    <w:rsid w:val="00731A90"/>
    <w:rsid w:val="00736FF6"/>
    <w:rsid w:val="00743ABE"/>
    <w:rsid w:val="00752FFA"/>
    <w:rsid w:val="00782F33"/>
    <w:rsid w:val="007844D0"/>
    <w:rsid w:val="00784EE8"/>
    <w:rsid w:val="007A78FE"/>
    <w:rsid w:val="007B274F"/>
    <w:rsid w:val="007C6837"/>
    <w:rsid w:val="007C6F0C"/>
    <w:rsid w:val="007D1404"/>
    <w:rsid w:val="007E3A41"/>
    <w:rsid w:val="007E3BBD"/>
    <w:rsid w:val="007E5FB2"/>
    <w:rsid w:val="007F7BC9"/>
    <w:rsid w:val="00805511"/>
    <w:rsid w:val="00807C1A"/>
    <w:rsid w:val="00817925"/>
    <w:rsid w:val="00832BA4"/>
    <w:rsid w:val="0086426A"/>
    <w:rsid w:val="008749F3"/>
    <w:rsid w:val="00876F23"/>
    <w:rsid w:val="00877FB0"/>
    <w:rsid w:val="008873E8"/>
    <w:rsid w:val="008A1A8E"/>
    <w:rsid w:val="008F53AC"/>
    <w:rsid w:val="00905E1E"/>
    <w:rsid w:val="00926413"/>
    <w:rsid w:val="00937193"/>
    <w:rsid w:val="009431C3"/>
    <w:rsid w:val="009546CC"/>
    <w:rsid w:val="00963D32"/>
    <w:rsid w:val="00967A7E"/>
    <w:rsid w:val="0099128A"/>
    <w:rsid w:val="00994D3E"/>
    <w:rsid w:val="009A329F"/>
    <w:rsid w:val="009A6AB2"/>
    <w:rsid w:val="009B6429"/>
    <w:rsid w:val="009C132B"/>
    <w:rsid w:val="009D2490"/>
    <w:rsid w:val="009D24E5"/>
    <w:rsid w:val="009E60FB"/>
    <w:rsid w:val="009F4532"/>
    <w:rsid w:val="00A07652"/>
    <w:rsid w:val="00A20A6C"/>
    <w:rsid w:val="00A61329"/>
    <w:rsid w:val="00A61517"/>
    <w:rsid w:val="00A63E49"/>
    <w:rsid w:val="00A700DA"/>
    <w:rsid w:val="00A92D47"/>
    <w:rsid w:val="00AA35E1"/>
    <w:rsid w:val="00AD251A"/>
    <w:rsid w:val="00AD2B69"/>
    <w:rsid w:val="00AD6A6E"/>
    <w:rsid w:val="00AD7509"/>
    <w:rsid w:val="00AF79FB"/>
    <w:rsid w:val="00B0375D"/>
    <w:rsid w:val="00B13C8A"/>
    <w:rsid w:val="00B17C0A"/>
    <w:rsid w:val="00B26610"/>
    <w:rsid w:val="00B35942"/>
    <w:rsid w:val="00B434D6"/>
    <w:rsid w:val="00B46EDD"/>
    <w:rsid w:val="00B662BE"/>
    <w:rsid w:val="00B723D8"/>
    <w:rsid w:val="00B77E76"/>
    <w:rsid w:val="00B830E4"/>
    <w:rsid w:val="00B92CD6"/>
    <w:rsid w:val="00BA19E0"/>
    <w:rsid w:val="00BA29C4"/>
    <w:rsid w:val="00BC7C03"/>
    <w:rsid w:val="00BD18FD"/>
    <w:rsid w:val="00BD2DF7"/>
    <w:rsid w:val="00BF402A"/>
    <w:rsid w:val="00C11DC7"/>
    <w:rsid w:val="00C2633A"/>
    <w:rsid w:val="00C2664C"/>
    <w:rsid w:val="00C46EA0"/>
    <w:rsid w:val="00C47D42"/>
    <w:rsid w:val="00C51500"/>
    <w:rsid w:val="00C516B6"/>
    <w:rsid w:val="00C53139"/>
    <w:rsid w:val="00C5691D"/>
    <w:rsid w:val="00C56B13"/>
    <w:rsid w:val="00C806D4"/>
    <w:rsid w:val="00C96990"/>
    <w:rsid w:val="00CA0749"/>
    <w:rsid w:val="00CA613E"/>
    <w:rsid w:val="00CC299C"/>
    <w:rsid w:val="00D10113"/>
    <w:rsid w:val="00D1076C"/>
    <w:rsid w:val="00D25FC8"/>
    <w:rsid w:val="00D40E93"/>
    <w:rsid w:val="00D4780F"/>
    <w:rsid w:val="00D664A3"/>
    <w:rsid w:val="00D807AF"/>
    <w:rsid w:val="00DB04B6"/>
    <w:rsid w:val="00DC002F"/>
    <w:rsid w:val="00E12D38"/>
    <w:rsid w:val="00E21A3A"/>
    <w:rsid w:val="00E24050"/>
    <w:rsid w:val="00E26D96"/>
    <w:rsid w:val="00E26D9A"/>
    <w:rsid w:val="00E47BDF"/>
    <w:rsid w:val="00E5596D"/>
    <w:rsid w:val="00E65D87"/>
    <w:rsid w:val="00E72F1F"/>
    <w:rsid w:val="00E92265"/>
    <w:rsid w:val="00EA72EA"/>
    <w:rsid w:val="00EA7DBC"/>
    <w:rsid w:val="00EB2791"/>
    <w:rsid w:val="00EC3ECC"/>
    <w:rsid w:val="00ED00AE"/>
    <w:rsid w:val="00ED73FC"/>
    <w:rsid w:val="00EE0FD1"/>
    <w:rsid w:val="00F034F1"/>
    <w:rsid w:val="00F115F5"/>
    <w:rsid w:val="00F25C9F"/>
    <w:rsid w:val="00F30B4A"/>
    <w:rsid w:val="00F74201"/>
    <w:rsid w:val="00F80067"/>
    <w:rsid w:val="00F94074"/>
    <w:rsid w:val="00FD5E35"/>
    <w:rsid w:val="00FF4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2EABAC"/>
  <w15:chartTrackingRefBased/>
  <w15:docId w15:val="{42D1918C-952E-43A0-B855-DB75289A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Footnote Text Char Char Char Char Char Char Char Char Char Char Char Char Char Char Char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2">
    <w:name w:val="Body Text Indent 2"/>
    <w:basedOn w:val="Normal"/>
    <w:link w:val="BodyTextIndent2Char"/>
    <w:rsid w:val="001509ED"/>
    <w:pPr>
      <w:spacing w:after="120" w:line="480" w:lineRule="auto"/>
      <w:ind w:left="360"/>
    </w:pPr>
  </w:style>
  <w:style w:type="character" w:customStyle="1" w:styleId="BodyTextIndent2Char">
    <w:name w:val="Body Text Indent 2 Char"/>
    <w:link w:val="BodyTextIndent2"/>
    <w:rsid w:val="001509ED"/>
    <w:rPr>
      <w:rFonts w:ascii="Courier" w:hAnsi="Courier"/>
      <w:snapToGrid w:val="0"/>
      <w:sz w:val="24"/>
    </w:rPr>
  </w:style>
  <w:style w:type="character" w:customStyle="1" w:styleId="ms-rtethemefontface-1">
    <w:name w:val="ms-rtethemefontface-1"/>
    <w:rsid w:val="003036FF"/>
  </w:style>
  <w:style w:type="table" w:customStyle="1" w:styleId="TableGrid2">
    <w:name w:val="Table Grid2"/>
    <w:basedOn w:val="TableNormal"/>
    <w:next w:val="TableGrid"/>
    <w:uiPriority w:val="39"/>
    <w:rsid w:val="00426E20"/>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7509"/>
    <w:pPr>
      <w:spacing w:after="120"/>
    </w:pPr>
  </w:style>
  <w:style w:type="character" w:customStyle="1" w:styleId="BodyTextChar">
    <w:name w:val="Body Text Char"/>
    <w:basedOn w:val="DefaultParagraphFont"/>
    <w:link w:val="BodyText"/>
    <w:rsid w:val="00AD7509"/>
    <w:rPr>
      <w:rFonts w:ascii="Courier" w:hAnsi="Courier"/>
      <w:snapToGrid w:val="0"/>
      <w:sz w:val="24"/>
    </w:rPr>
  </w:style>
  <w:style w:type="table" w:customStyle="1" w:styleId="TableGrid3">
    <w:name w:val="Table Grid3"/>
    <w:basedOn w:val="TableNormal"/>
    <w:next w:val="TableGrid"/>
    <w:uiPriority w:val="39"/>
    <w:rsid w:val="00AD7509"/>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C1A3-B7B1-4A31-8652-5ED49174E8D4}">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Piervincenzi, William</dc:creator>
  <cp:lastModifiedBy>Meiers, Robert M.</cp:lastModifiedBy>
  <cp:revision>2</cp:revision>
  <dcterms:created xsi:type="dcterms:W3CDTF">2026-03-30T18:23:00Z</dcterms:created>
  <dcterms:modified xsi:type="dcterms:W3CDTF">2026-03-30T18:23:00Z</dcterms:modified>
</cp:coreProperties>
</file>