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2435" w:rsidRPr="00952435" w:rsidP="00952435" w14:paraId="319AA6C2" w14:textId="62D1D8CF">
      <w:pPr>
        <w:widowControl w:val="0"/>
        <w:suppressAutoHyphens w:val="0"/>
        <w:overflowPunct w:val="0"/>
        <w:autoSpaceDE w:val="0"/>
        <w:autoSpaceDN w:val="0"/>
        <w:adjustRightInd w:val="0"/>
        <w:jc w:val="center"/>
        <w:textAlignment w:val="baseline"/>
        <w:rPr>
          <w:caps/>
          <w:kern w:val="0"/>
          <w:szCs w:val="22"/>
          <w:lang w:eastAsia="en-US"/>
        </w:rPr>
      </w:pPr>
      <w:r w:rsidRPr="00952435">
        <w:rPr>
          <w:kern w:val="0"/>
          <w:szCs w:val="22"/>
          <w:lang w:eastAsia="en-US"/>
        </w:rPr>
        <w:t>U. S. Small Business Administration (SB</w:t>
      </w:r>
      <w:r w:rsidRPr="00952435">
        <w:rPr>
          <w:caps/>
          <w:kern w:val="0"/>
          <w:szCs w:val="22"/>
          <w:lang w:eastAsia="en-US"/>
        </w:rPr>
        <w:t>A)</w:t>
      </w:r>
    </w:p>
    <w:p w:rsidR="008315AA" w:rsidP="008E4D5D" w14:paraId="6EA98C25" w14:textId="561FB106">
      <w:pPr>
        <w:widowControl w:val="0"/>
        <w:suppressAutoHyphens w:val="0"/>
        <w:overflowPunct w:val="0"/>
        <w:autoSpaceDE w:val="0"/>
        <w:autoSpaceDN w:val="0"/>
        <w:adjustRightInd w:val="0"/>
        <w:jc w:val="center"/>
        <w:textAlignment w:val="baseline"/>
        <w:rPr>
          <w:kern w:val="0"/>
          <w:szCs w:val="22"/>
          <w:lang w:eastAsia="en-US"/>
        </w:rPr>
      </w:pPr>
      <w:r>
        <w:rPr>
          <w:kern w:val="0"/>
          <w:szCs w:val="22"/>
          <w:lang w:eastAsia="en-US"/>
        </w:rPr>
        <w:t>SBIC Critical Technologies Supplemental</w:t>
      </w:r>
      <w:r w:rsidR="00FD5DFE">
        <w:rPr>
          <w:kern w:val="0"/>
          <w:szCs w:val="22"/>
          <w:lang w:eastAsia="en-US"/>
        </w:rPr>
        <w:t xml:space="preserve"> Information </w:t>
      </w:r>
      <w:r w:rsidR="00FA72CE">
        <w:rPr>
          <w:kern w:val="0"/>
          <w:szCs w:val="22"/>
          <w:lang w:eastAsia="en-US"/>
        </w:rPr>
        <w:t xml:space="preserve">– SBA Form </w:t>
      </w:r>
      <w:r w:rsidR="00FD5DFE">
        <w:rPr>
          <w:kern w:val="0"/>
          <w:szCs w:val="22"/>
          <w:lang w:eastAsia="en-US"/>
        </w:rPr>
        <w:t xml:space="preserve">1030 and </w:t>
      </w:r>
      <w:r w:rsidR="00FA72CE">
        <w:rPr>
          <w:kern w:val="0"/>
          <w:szCs w:val="22"/>
          <w:lang w:eastAsia="en-US"/>
        </w:rPr>
        <w:t>1032</w:t>
      </w:r>
    </w:p>
    <w:p w:rsidR="00952435" w:rsidRPr="00952435" w:rsidP="008E4D5D" w14:paraId="2B72C5CE" w14:textId="33D9F0A6">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 xml:space="preserve">OMB Control Number </w:t>
      </w:r>
      <w:r w:rsidR="00077DD7">
        <w:rPr>
          <w:kern w:val="0"/>
          <w:szCs w:val="22"/>
          <w:lang w:eastAsia="en-US"/>
        </w:rPr>
        <w:t>3245</w:t>
      </w:r>
      <w:r w:rsidRPr="00952435">
        <w:rPr>
          <w:kern w:val="0"/>
          <w:szCs w:val="22"/>
          <w:lang w:eastAsia="en-US"/>
        </w:rPr>
        <w:t>-</w:t>
      </w:r>
      <w:r w:rsidR="00A93CE0">
        <w:rPr>
          <w:kern w:val="0"/>
          <w:szCs w:val="22"/>
          <w:lang w:eastAsia="en-US"/>
        </w:rPr>
        <w:t>XXXX</w:t>
      </w:r>
      <w:r w:rsidRPr="00952435">
        <w:rPr>
          <w:kern w:val="0"/>
          <w:szCs w:val="22"/>
          <w:lang w:eastAsia="en-US"/>
        </w:rPr>
        <w:t xml:space="preserve"> </w:t>
      </w:r>
    </w:p>
    <w:p w:rsidR="00952435" w:rsidRPr="00952435" w:rsidP="00952435" w14:paraId="6D1B4660" w14:textId="77777777">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Justification – Part A Supporting Statement</w:t>
      </w:r>
    </w:p>
    <w:p w:rsidR="00387136" w14:paraId="02AB9E83" w14:textId="77777777"/>
    <w:p w:rsidR="00956F4D" w14:paraId="70C3A4DE" w14:textId="77777777"/>
    <w:p w:rsidR="00733C7F" w:rsidP="59EC8B78" w14:paraId="61167556" w14:textId="578DB851">
      <w:pPr>
        <w:widowControl w:val="0"/>
        <w:suppressAutoHyphens w:val="0"/>
        <w:overflowPunct w:val="0"/>
        <w:autoSpaceDE w:val="0"/>
        <w:autoSpaceDN w:val="0"/>
        <w:adjustRightInd w:val="0"/>
        <w:jc w:val="both"/>
        <w:textAlignment w:val="baseline"/>
        <w:rPr>
          <w:kern w:val="0"/>
          <w:lang w:eastAsia="en-US"/>
        </w:rPr>
      </w:pPr>
      <w:r w:rsidRPr="430F09AE">
        <w:rPr>
          <w:kern w:val="0"/>
          <w:u w:val="single"/>
          <w:lang w:eastAsia="en-US"/>
        </w:rPr>
        <w:t>Overview of Information Collection:</w:t>
      </w:r>
      <w:r w:rsidRPr="430F09AE">
        <w:rPr>
          <w:kern w:val="0"/>
          <w:lang w:eastAsia="en-US"/>
        </w:rPr>
        <w:t xml:space="preserve"> The U.S. Small Business Administration (SBA) is </w:t>
      </w:r>
      <w:r w:rsidRPr="430F09AE" w:rsidR="5D936155">
        <w:rPr>
          <w:kern w:val="0"/>
          <w:lang w:eastAsia="en-US"/>
        </w:rPr>
        <w:t>re</w:t>
      </w:r>
      <w:r w:rsidR="00A93CE0">
        <w:rPr>
          <w:kern w:val="0"/>
          <w:lang w:eastAsia="en-US"/>
        </w:rPr>
        <w:t>questing approval of a</w:t>
      </w:r>
      <w:r w:rsidRPr="0AACF6AF" w:rsidR="00B77EB6">
        <w:rPr>
          <w:lang w:eastAsia="en-US"/>
        </w:rPr>
        <w:t xml:space="preserve"> </w:t>
      </w:r>
      <w:r w:rsidR="00A93CE0">
        <w:rPr>
          <w:kern w:val="0"/>
          <w:lang w:eastAsia="en-US"/>
        </w:rPr>
        <w:t>n</w:t>
      </w:r>
      <w:r w:rsidRPr="0AACF6AF" w:rsidR="00B77EB6">
        <w:rPr>
          <w:lang w:eastAsia="en-US"/>
        </w:rPr>
        <w:t>ew</w:t>
      </w:r>
      <w:r w:rsidR="00A93CE0">
        <w:rPr>
          <w:kern w:val="0"/>
          <w:lang w:eastAsia="en-US"/>
        </w:rPr>
        <w:t xml:space="preserve"> information collection </w:t>
      </w:r>
      <w:r w:rsidRPr="430F09AE" w:rsidR="00956F4D">
        <w:rPr>
          <w:kern w:val="0"/>
          <w:lang w:eastAsia="en-US"/>
        </w:rPr>
        <w:t xml:space="preserve">for </w:t>
      </w:r>
      <w:r w:rsidRPr="430F09AE" w:rsidR="00E6054A">
        <w:rPr>
          <w:kern w:val="0"/>
          <w:lang w:eastAsia="en-US"/>
        </w:rPr>
        <w:t xml:space="preserve">the </w:t>
      </w:r>
      <w:r w:rsidRPr="430F09AE" w:rsidR="00526B41">
        <w:rPr>
          <w:kern w:val="0"/>
          <w:lang w:eastAsia="en-US"/>
        </w:rPr>
        <w:t>Small Business Investment Company (SBIC) program</w:t>
      </w:r>
      <w:r w:rsidRPr="430F09AE" w:rsidR="00F52205">
        <w:rPr>
          <w:kern w:val="0"/>
          <w:lang w:eastAsia="en-US"/>
        </w:rPr>
        <w:t>’s</w:t>
      </w:r>
      <w:r w:rsidRPr="430F09AE" w:rsidR="00526B41">
        <w:rPr>
          <w:kern w:val="0"/>
          <w:lang w:eastAsia="en-US"/>
        </w:rPr>
        <w:t xml:space="preserve"> </w:t>
      </w:r>
      <w:r w:rsidR="00FA72CE">
        <w:rPr>
          <w:kern w:val="0"/>
          <w:lang w:eastAsia="en-US"/>
        </w:rPr>
        <w:t xml:space="preserve">Form 1030 and 1032 </w:t>
      </w:r>
      <w:r w:rsidRPr="0AACF6AF" w:rsidR="00FC1D56">
        <w:rPr>
          <w:lang w:eastAsia="en-US"/>
        </w:rPr>
        <w:t xml:space="preserve">to be </w:t>
      </w:r>
      <w:r w:rsidRPr="430F09AE" w:rsidR="00F52205">
        <w:rPr>
          <w:kern w:val="0"/>
          <w:lang w:eastAsia="en-US"/>
        </w:rPr>
        <w:t xml:space="preserve">used </w:t>
      </w:r>
      <w:r w:rsidR="00FA72CE">
        <w:rPr>
          <w:kern w:val="0"/>
          <w:lang w:eastAsia="en-US"/>
        </w:rPr>
        <w:t xml:space="preserve">in part </w:t>
      </w:r>
      <w:r w:rsidRPr="430F09AE" w:rsidR="00F52205">
        <w:rPr>
          <w:kern w:val="0"/>
          <w:lang w:eastAsia="en-US"/>
        </w:rPr>
        <w:t>by</w:t>
      </w:r>
      <w:r w:rsidRPr="430F09AE" w:rsidR="00956F4D">
        <w:rPr>
          <w:kern w:val="0"/>
          <w:lang w:eastAsia="en-US"/>
        </w:rPr>
        <w:t xml:space="preserve"> </w:t>
      </w:r>
      <w:r w:rsidRPr="430F09AE" w:rsidR="00526B41">
        <w:rPr>
          <w:kern w:val="0"/>
          <w:lang w:eastAsia="en-US"/>
        </w:rPr>
        <w:t>applicants seeking a license to operate as an SBIC</w:t>
      </w:r>
      <w:r w:rsidRPr="430F09AE" w:rsidR="007B0E3B">
        <w:rPr>
          <w:lang w:eastAsia="en-US"/>
        </w:rPr>
        <w:t xml:space="preserve"> </w:t>
      </w:r>
      <w:r w:rsidR="00A93CE0">
        <w:rPr>
          <w:lang w:eastAsia="en-US"/>
        </w:rPr>
        <w:t xml:space="preserve">under </w:t>
      </w:r>
      <w:r w:rsidRPr="430F09AE" w:rsidR="3661AAC1">
        <w:rPr>
          <w:lang w:eastAsia="en-US"/>
        </w:rPr>
        <w:t>SBA’s</w:t>
      </w:r>
      <w:r w:rsidRPr="430F09AE" w:rsidR="007B0E3B">
        <w:rPr>
          <w:lang w:eastAsia="en-US"/>
        </w:rPr>
        <w:t xml:space="preserve"> Critical Technology </w:t>
      </w:r>
      <w:r w:rsidR="00A93CE0">
        <w:rPr>
          <w:lang w:eastAsia="en-US"/>
        </w:rPr>
        <w:t>initiative (SBICCT)</w:t>
      </w:r>
      <w:r w:rsidR="00365F5E">
        <w:rPr>
          <w:lang w:eastAsia="en-US"/>
        </w:rPr>
        <w:t xml:space="preserve"> or </w:t>
      </w:r>
      <w:r w:rsidR="6F3212DB">
        <w:rPr>
          <w:lang w:eastAsia="en-US"/>
        </w:rPr>
        <w:t>to operate within the Department of War’s (DoW)</w:t>
      </w:r>
      <w:r w:rsidR="00365F5E">
        <w:rPr>
          <w:lang w:eastAsia="en-US"/>
        </w:rPr>
        <w:t xml:space="preserve"> Critical Technology Limited Partner program (CTLP)</w:t>
      </w:r>
      <w:r w:rsidR="00A93CE0">
        <w:rPr>
          <w:lang w:eastAsia="en-US"/>
        </w:rPr>
        <w:t xml:space="preserve">.  </w:t>
      </w:r>
      <w:r w:rsidRPr="430F09AE" w:rsidR="00B31C27">
        <w:rPr>
          <w:kern w:val="0"/>
          <w:lang w:eastAsia="en-US"/>
        </w:rPr>
        <w:t xml:space="preserve"> </w:t>
      </w:r>
      <w:r w:rsidR="00563445">
        <w:rPr>
          <w:kern w:val="0"/>
          <w:lang w:eastAsia="en-US"/>
        </w:rPr>
        <w:t>SBICCTs and CTLP program participants will be required to report additional information to ensure it will attract and scale private capital investment into businesses involved in the development of technologies, components, and production processes critical to the U.S. national and economic security and refrain from deploying capital in a manner inconsistent with public benefit.</w:t>
      </w:r>
    </w:p>
    <w:p w:rsidR="00F469D3" w:rsidP="59EC8B78" w14:paraId="1E1F2A4C" w14:textId="15747AE7">
      <w:pPr>
        <w:widowControl w:val="0"/>
        <w:suppressAutoHyphens w:val="0"/>
        <w:overflowPunct w:val="0"/>
        <w:autoSpaceDE w:val="0"/>
        <w:autoSpaceDN w:val="0"/>
        <w:adjustRightInd w:val="0"/>
        <w:jc w:val="both"/>
        <w:textAlignment w:val="baseline"/>
        <w:rPr>
          <w:kern w:val="0"/>
          <w:lang w:eastAsia="en-US"/>
        </w:rPr>
      </w:pPr>
    </w:p>
    <w:p w:rsidR="007B0E3B" w:rsidRPr="005E4032" w:rsidP="007B0E3B" w14:paraId="7CEFD19F" w14:textId="72E4DCE8">
      <w:pPr>
        <w:pStyle w:val="ListParagraph"/>
        <w:numPr>
          <w:ilvl w:val="0"/>
          <w:numId w:val="21"/>
        </w:numPr>
        <w:suppressAutoHyphens w:val="0"/>
        <w:ind w:left="0"/>
        <w:jc w:val="both"/>
        <w:rPr>
          <w:u w:val="single"/>
        </w:rPr>
      </w:pPr>
      <w:r w:rsidRPr="59EC8B78">
        <w:rPr>
          <w:kern w:val="0"/>
          <w:u w:val="single"/>
          <w:lang w:eastAsia="en-US"/>
        </w:rPr>
        <w:t>Need &amp; Method for the Information Collection.</w:t>
      </w:r>
      <w:r w:rsidRPr="003F11E4" w:rsidR="007B444F">
        <w:rPr>
          <w:kern w:val="0"/>
          <w:lang w:eastAsia="en-US"/>
        </w:rPr>
        <w:t xml:space="preserve"> </w:t>
      </w:r>
      <w:r>
        <w:t xml:space="preserve">The Small Business Investment Act of 1958, as amended (the Act), authorizes SBA to license, regulate, and provide leverage to Small Business Investment Companies (SBICs) for the purpose of providing financial and management assistance to eligible small business concerns. Section 301(c) of the Act requires that SBA consider certain factors in its evaluation of a license application, including adequate capital; diversification of ownership; whether management is qualified and has the knowledge, experience and capability necessary to comply with the Act; the need for and availability of financing in the applicant’s proposed service area; the general business reputation of the applicant’s owners and managers; and the probability of successful operations. SBA Form </w:t>
      </w:r>
      <w:r w:rsidR="008B019E">
        <w:t>1030</w:t>
      </w:r>
      <w:r>
        <w:t xml:space="preserve">, </w:t>
      </w:r>
      <w:r w:rsidR="008B019E">
        <w:t>the Risk Assessment Supplemental Information</w:t>
      </w:r>
      <w:r w:rsidR="006C5577">
        <w:t xml:space="preserve">, </w:t>
      </w:r>
      <w:r w:rsidR="008315AA">
        <w:t xml:space="preserve">and SBA Form 1032, the SBIC Critical Technologies Supplemental Questionnaire, are </w:t>
      </w:r>
      <w:r>
        <w:t xml:space="preserve">used in </w:t>
      </w:r>
      <w:r w:rsidR="006E1247">
        <w:t xml:space="preserve">both </w:t>
      </w:r>
      <w:r>
        <w:t>the SBIC licensing process</w:t>
      </w:r>
      <w:r w:rsidR="0042037D">
        <w:t xml:space="preserve"> and </w:t>
      </w:r>
      <w:r w:rsidR="006E1247">
        <w:t>throughout</w:t>
      </w:r>
      <w:r w:rsidR="0042037D">
        <w:t xml:space="preserve"> post-licensing </w:t>
      </w:r>
      <w:r w:rsidR="007532A5">
        <w:t>fund</w:t>
      </w:r>
      <w:r w:rsidR="0042037D">
        <w:t xml:space="preserve"> operations</w:t>
      </w:r>
      <w:r w:rsidR="00E30145">
        <w:t>.</w:t>
      </w:r>
      <w:r w:rsidR="00D541AA">
        <w:t xml:space="preserve"> </w:t>
      </w:r>
    </w:p>
    <w:p w:rsidR="007B0E3B" w:rsidP="59EC8B78" w14:paraId="6339843E" w14:textId="77777777">
      <w:pPr>
        <w:pStyle w:val="ListParagraph"/>
        <w:suppressAutoHyphens w:val="0"/>
        <w:jc w:val="both"/>
        <w:rPr>
          <w:u w:val="single"/>
        </w:rPr>
      </w:pPr>
    </w:p>
    <w:p w:rsidR="009B5394" w:rsidP="009B5394" w14:paraId="73ABEDBC" w14:textId="6FF9B3F4">
      <w:pPr>
        <w:rPr>
          <w:kern w:val="0"/>
          <w:lang w:eastAsia="en-US"/>
        </w:rPr>
      </w:pPr>
      <w:r>
        <w:t>SBA’s authority to collect this information is derived from the Small Business Investment Act of 1958 (15 U.S.C. 681 et seq.), including provisions governing licensing, oversight, and regulation of Small Business Investment Companies (SBICs). SBA is further authorized under 13 CFR Part 107 to evaluate the character, fitness, and qualifications of applicants and associated persons</w:t>
      </w:r>
      <w:r w:rsidR="006E1247">
        <w:t xml:space="preserve"> involved in the operations of the applicant</w:t>
      </w:r>
      <w:r>
        <w:t>.</w:t>
      </w:r>
    </w:p>
    <w:p w:rsidR="009B5394" w:rsidP="009B5394" w14:paraId="25CC2CC6" w14:textId="77777777"/>
    <w:p w:rsidR="009B5394" w:rsidP="009B5394" w14:paraId="7CE23658" w14:textId="24DE7BED">
      <w:pPr>
        <w:pStyle w:val="ListParagraph"/>
        <w:suppressAutoHyphens w:val="0"/>
        <w:jc w:val="both"/>
      </w:pPr>
      <w:r>
        <w:t>Additionally, pursuant to OMB Circular A-129, federal credit agencies must evaluate program participants to safeguard the integrity of federal credit programs. The collection of information under Forms 1030 and 1032 supports SBA’s obligation to assess ownership structure, management control, and risk factors, including potential foreign ownership, influence, or control.</w:t>
      </w:r>
    </w:p>
    <w:p w:rsidR="009B5394" w:rsidRPr="005E4032" w:rsidP="009B5394" w14:paraId="5AC4EA85" w14:textId="77777777">
      <w:pPr>
        <w:pStyle w:val="ListParagraph"/>
        <w:suppressAutoHyphens w:val="0"/>
        <w:jc w:val="both"/>
        <w:rPr>
          <w:u w:val="single"/>
        </w:rPr>
      </w:pPr>
    </w:p>
    <w:p w:rsidR="007B0E3B" w:rsidP="007B0E3B" w14:paraId="1ACBA628" w14:textId="58C9FD6A">
      <w:pPr>
        <w:pStyle w:val="ListParagraph"/>
        <w:suppressAutoHyphens w:val="0"/>
        <w:jc w:val="both"/>
      </w:pPr>
      <w:r>
        <w:t>On June 5, 2025, the Do</w:t>
      </w:r>
      <w:r w:rsidR="00A93CE0">
        <w:t>W</w:t>
      </w:r>
      <w:r>
        <w:t xml:space="preserve"> and SBA amended and restated its original Memorandum of Agreement (MOA) dated March 2, 2023 to formally continue and expand its relationship </w:t>
      </w:r>
      <w:r w:rsidR="00070734">
        <w:t>with</w:t>
      </w:r>
      <w:r>
        <w:t xml:space="preserve"> respect to the SBIC Program, the SBICCT Initiative and </w:t>
      </w:r>
      <w:r w:rsidR="00A93CE0">
        <w:t>the</w:t>
      </w:r>
      <w:r>
        <w:t xml:space="preserve"> CTLP </w:t>
      </w:r>
      <w:r w:rsidR="00365F5E">
        <w:t>p</w:t>
      </w:r>
      <w:r>
        <w:t>rogram.  While Do</w:t>
      </w:r>
      <w:r w:rsidR="00A93CE0">
        <w:t>W</w:t>
      </w:r>
      <w:r>
        <w:t xml:space="preserve"> and SBA have their own statutory and regulatory authorities permitting the activities, rights and obligations included in the MOA, the Economy Act, 31 U.S.C. §</w:t>
      </w:r>
      <w:r w:rsidR="00F459CE">
        <w:t xml:space="preserve"> </w:t>
      </w:r>
      <w:r>
        <w:t xml:space="preserve">1535 (the “Economy Act”) provides the authority and procedures by which one executive agency needing supplies or services obtains and transfers funds for such supplies or services from another executive agency.  The Economy Act is the primary </w:t>
      </w:r>
      <w:r>
        <w:t>governing authority for Do</w:t>
      </w:r>
      <w:r w:rsidR="00A93CE0">
        <w:t>W</w:t>
      </w:r>
      <w:r>
        <w:t xml:space="preserve"> to support the programs and activities implemented under SBA’s authorities and the primary governing authority for SBA to support the programs and activities implemented under Do</w:t>
      </w:r>
      <w:r w:rsidR="00A93CE0">
        <w:t>W</w:t>
      </w:r>
      <w:r>
        <w:t>’s authorities</w:t>
      </w:r>
      <w:r w:rsidR="00B4452F">
        <w:t>.</w:t>
      </w:r>
    </w:p>
    <w:p w:rsidR="59EC8B78" w:rsidP="59EC8B78" w14:paraId="3F770787" w14:textId="1D74D435">
      <w:pPr>
        <w:pStyle w:val="ListParagraph"/>
        <w:jc w:val="both"/>
      </w:pPr>
    </w:p>
    <w:p w:rsidR="009B5394" w:rsidP="009B5394" w14:paraId="01D31FA6" w14:textId="0DC3C65B">
      <w:pPr>
        <w:pStyle w:val="ListParagraph"/>
        <w:suppressAutoHyphens w:val="0"/>
        <w:jc w:val="both"/>
      </w:pPr>
      <w:r>
        <w:t xml:space="preserve">As part of </w:t>
      </w:r>
      <w:r w:rsidR="00DA2190">
        <w:t>its</w:t>
      </w:r>
      <w:r>
        <w:t xml:space="preserve"> responsibilities under the Do</w:t>
      </w:r>
      <w:r w:rsidR="00A93CE0">
        <w:t>W</w:t>
      </w:r>
      <w:r>
        <w:t xml:space="preserve"> </w:t>
      </w:r>
      <w:r w:rsidR="00A93CE0">
        <w:t>SBICCT Initiative</w:t>
      </w:r>
      <w:r w:rsidR="00365F5E">
        <w:t xml:space="preserve"> and CTLP program</w:t>
      </w:r>
      <w:r>
        <w:t xml:space="preserve">, </w:t>
      </w:r>
      <w:r w:rsidR="00014E4C">
        <w:t xml:space="preserve">SBA </w:t>
      </w:r>
      <w:r>
        <w:t xml:space="preserve">will collect </w:t>
      </w:r>
      <w:r w:rsidR="00365F5E">
        <w:t xml:space="preserve">required </w:t>
      </w:r>
      <w:r>
        <w:t>information from applicants through the submission of SBA Form</w:t>
      </w:r>
      <w:r w:rsidR="008315AA">
        <w:t>s</w:t>
      </w:r>
      <w:r>
        <w:t xml:space="preserve"> </w:t>
      </w:r>
      <w:r w:rsidR="00A93CE0">
        <w:t>1030</w:t>
      </w:r>
      <w:r w:rsidR="008315AA">
        <w:t xml:space="preserve"> and 1032</w:t>
      </w:r>
      <w:r w:rsidR="2D301238">
        <w:t>.</w:t>
      </w:r>
      <w:r>
        <w:t xml:space="preserve"> System of Records Notice (SORN) titled, Small Business Investment Company Information System (SBA SBICS 40),</w:t>
      </w:r>
      <w:r w:rsidR="00897AFC">
        <w:t xml:space="preserve"> which</w:t>
      </w:r>
      <w:r>
        <w:t xml:space="preserve"> serves as the centralized and automated framework for the organization, retrieval, and analysis of information support</w:t>
      </w:r>
      <w:r w:rsidR="00897AFC">
        <w:t>ing</w:t>
      </w:r>
      <w:r>
        <w:t xml:space="preserve"> SBA’s oversight and risk management roles for the SBIC program and SBA’s technical assistance to and </w:t>
      </w:r>
    </w:p>
    <w:p w:rsidR="00B4452F" w:rsidRPr="007B0E3B" w:rsidP="00E038BD" w14:paraId="1E722395" w14:textId="2A9D588B">
      <w:pPr>
        <w:pStyle w:val="ListParagraph"/>
        <w:suppressAutoHyphens w:val="0"/>
        <w:jc w:val="both"/>
      </w:pPr>
      <w:r>
        <w:t>related support of any Capital Assistance Program</w:t>
      </w:r>
      <w:r w:rsidR="00D37F01">
        <w:t xml:space="preserve"> (defined below)</w:t>
      </w:r>
      <w:r>
        <w:t>.  This</w:t>
      </w:r>
      <w:r w:rsidR="00835A3A">
        <w:t xml:space="preserve"> information collection</w:t>
      </w:r>
      <w:r>
        <w:t xml:space="preserve"> includes managers, executives, members, and employees associated or affiliated with an SBIC or a Capital Assistance Program applicant/ licensee (‘‘CAP Entity’’), and personal and professional references for certain of the foregoing. It also includes investors, portfolio companies, certain portfolio company employees, service providers, and certain other individuals associated, affiliated or involved with an SBIC or a CAP Entity. In addition to those disclosures generally permitted under 5 U.S.C. 552a(b) of the Privacy Act, all or a portion of the information contained in this system may be disclosed to authorized entities, as is determined to be relevant and necessary, outside SBA as a routine use pursuant to 5 U.S.C. 552a(b)(3) </w:t>
      </w:r>
      <w:r w:rsidR="00E038BD">
        <w:t>to other Federal agencies or Federal entities when mandated by executive orders or statute, or as documented by a Memorandum of Understanding or Memorandum of Agreement or Information Exchange Agreement or Data Sharing Agreement (each an ‘‘Agreement’’) and approved by the applicable Authorizing Officials in compliance with the Privacy Act of 1974, as amended, 5 U.S.C. 552a and SBA’s policies, specifically including any Agreement under which SBA, through its Office of Investment and Innovation and supporting offices, provides technical assistance and support to a federal loan or guarantee program authorized by statute and designed to provide investment capital assistance to eligible businesses (each such program for purposes of this SORN a ‘‘Capital Assistance Program.’’)</w:t>
      </w:r>
      <w:r w:rsidR="00D37F01">
        <w:t>.</w:t>
      </w:r>
      <w:r w:rsidR="00E038BD">
        <w:t xml:space="preserve"> These Agreements may be subject to review and approval by SBA’s Office of General Counsel and SBA’s Senior Agency Official for Privacy or designee.</w:t>
      </w:r>
    </w:p>
    <w:p w:rsidR="001218D6" w:rsidRPr="001218D6" w:rsidP="59EC8B78" w14:paraId="36EDE49A" w14:textId="034AA6B0">
      <w:pPr>
        <w:suppressAutoHyphens w:val="0"/>
        <w:jc w:val="both"/>
      </w:pPr>
    </w:p>
    <w:p w:rsidR="00355CA8" w:rsidP="00A93CE0" w14:paraId="58E17B00" w14:textId="42AF72DD">
      <w:pPr>
        <w:numPr>
          <w:ilvl w:val="0"/>
          <w:numId w:val="16"/>
        </w:numPr>
        <w:suppressAutoHyphens w:val="0"/>
        <w:spacing w:after="120"/>
        <w:ind w:left="0"/>
        <w:jc w:val="both"/>
      </w:pPr>
      <w:r w:rsidRPr="49886C38">
        <w:rPr>
          <w:u w:val="single"/>
        </w:rPr>
        <w:t>Use of</w:t>
      </w:r>
      <w:r w:rsidRPr="49886C38" w:rsidR="00913400">
        <w:rPr>
          <w:u w:val="single"/>
        </w:rPr>
        <w:t xml:space="preserve"> information.</w:t>
      </w:r>
      <w:r>
        <w:t xml:space="preserve"> The </w:t>
      </w:r>
      <w:r w:rsidR="00A93CE0">
        <w:t xml:space="preserve">Risk Assessment Supplemental Information </w:t>
      </w:r>
      <w:r w:rsidR="008315AA">
        <w:t xml:space="preserve">and Critical Technologies Supplemental Questionnaire </w:t>
      </w:r>
      <w:r w:rsidR="00913400">
        <w:t>provide SBA</w:t>
      </w:r>
      <w:r w:rsidR="00A85EDD">
        <w:t xml:space="preserve"> and/or DOW</w:t>
      </w:r>
      <w:r w:rsidR="00913400">
        <w:t xml:space="preserve"> with the information necessary to make informed and proper decisions regarding the approval or denial of an applicant for an SBIC</w:t>
      </w:r>
      <w:r w:rsidR="00D37F01">
        <w:t>CT</w:t>
      </w:r>
      <w:r w:rsidR="00A85EDD">
        <w:t xml:space="preserve"> or CTLP</w:t>
      </w:r>
      <w:r w:rsidR="00913400">
        <w:t xml:space="preserve"> license. </w:t>
      </w:r>
      <w:r w:rsidR="006C5577">
        <w:t xml:space="preserve">The </w:t>
      </w:r>
      <w:r w:rsidR="00E30145">
        <w:t xml:space="preserve">SBA </w:t>
      </w:r>
      <w:r w:rsidR="00913400">
        <w:t xml:space="preserve">Form </w:t>
      </w:r>
      <w:r w:rsidR="00A93CE0">
        <w:t>1030</w:t>
      </w:r>
      <w:r w:rsidR="00913400">
        <w:t xml:space="preserve"> </w:t>
      </w:r>
      <w:r w:rsidR="00763E03">
        <w:t xml:space="preserve">requests </w:t>
      </w:r>
      <w:r w:rsidR="00A93CE0">
        <w:t xml:space="preserve">detailed information on all individuals and entities associated with an applicant’s </w:t>
      </w:r>
      <w:r w:rsidR="00A85EDD">
        <w:t>g</w:t>
      </w:r>
      <w:r w:rsidR="00A93CE0">
        <w:t xml:space="preserve">eneral </w:t>
      </w:r>
      <w:r w:rsidR="00A85EDD">
        <w:t>p</w:t>
      </w:r>
      <w:r w:rsidR="00A93CE0">
        <w:t xml:space="preserve">artner, </w:t>
      </w:r>
      <w:r w:rsidR="00A85EDD">
        <w:t>m</w:t>
      </w:r>
      <w:r w:rsidR="00A93CE0">
        <w:t xml:space="preserve">anagement </w:t>
      </w:r>
      <w:r w:rsidR="00A85EDD">
        <w:t>c</w:t>
      </w:r>
      <w:r w:rsidR="00A93CE0">
        <w:t xml:space="preserve">ompany, </w:t>
      </w:r>
      <w:r w:rsidR="00A85EDD">
        <w:t>l</w:t>
      </w:r>
      <w:r w:rsidR="00A93CE0">
        <w:t xml:space="preserve">imited </w:t>
      </w:r>
      <w:r w:rsidR="00A85EDD">
        <w:t>p</w:t>
      </w:r>
      <w:r w:rsidR="00A93CE0">
        <w:t xml:space="preserve">artners and third-party service providers.  The information provided enables U.S. government departments, agencies and their contractors to conduct a comprehensive risk assessment of potential foreign ownership, influence, or control.  </w:t>
      </w:r>
      <w:r w:rsidR="00E41D31">
        <w:t>The SBA Form 1032 requests detailed information on the proposed critical technology or enabling technology and production process for each investment.</w:t>
      </w:r>
    </w:p>
    <w:p w:rsidR="004214CB" w:rsidP="004214CB" w14:paraId="1E83CF7E" w14:textId="096CD22A">
      <w:pPr>
        <w:suppressAutoHyphens w:val="0"/>
        <w:spacing w:after="120"/>
        <w:jc w:val="both"/>
      </w:pPr>
      <w:r w:rsidRPr="004214CB">
        <w:t>Information collected under Forms 1030 and 1032 may be reviewed by authorized federal departments, agencies, or their contractors for purposes of national security, foreign ownership risk analysis, and federal credit integrity assessments. Such disclosures are made consistent with applicable Privacy Act routine uses and federal information-sharing authorities.</w:t>
      </w:r>
    </w:p>
    <w:p w:rsidR="00790CCB" w:rsidP="004214CB" w14:paraId="523CD2BE" w14:textId="77777777">
      <w:pPr>
        <w:suppressAutoHyphens w:val="0"/>
        <w:spacing w:after="120"/>
        <w:jc w:val="both"/>
      </w:pPr>
    </w:p>
    <w:p w:rsidR="00A93CE0" w:rsidP="00A93CE0" w14:paraId="068B74D7" w14:textId="77777777">
      <w:pPr>
        <w:suppressAutoHyphens w:val="0"/>
        <w:spacing w:after="120"/>
        <w:jc w:val="both"/>
      </w:pPr>
    </w:p>
    <w:p w:rsidR="001218D6" w:rsidP="00355CA8" w14:paraId="0AB32383" w14:textId="23267EAE">
      <w:pPr>
        <w:numPr>
          <w:ilvl w:val="1"/>
          <w:numId w:val="14"/>
        </w:numPr>
        <w:suppressAutoHyphens w:val="0"/>
        <w:ind w:left="0"/>
        <w:jc w:val="both"/>
      </w:pPr>
      <w:r w:rsidRPr="00385E7B">
        <w:rPr>
          <w:u w:val="single"/>
        </w:rPr>
        <w:t xml:space="preserve">Use of Information </w:t>
      </w:r>
      <w:r w:rsidRPr="00385E7B" w:rsidR="00891D70">
        <w:rPr>
          <w:u w:val="single"/>
        </w:rPr>
        <w:t>Technolog</w:t>
      </w:r>
      <w:r w:rsidRPr="00385E7B">
        <w:rPr>
          <w:u w:val="single"/>
        </w:rPr>
        <w:t>y</w:t>
      </w:r>
      <w:r w:rsidRPr="00385E7B" w:rsidR="00891D70">
        <w:rPr>
          <w:u w:val="single"/>
        </w:rPr>
        <w:t>.</w:t>
      </w:r>
      <w:r w:rsidRPr="00385E7B">
        <w:t xml:space="preserve"> </w:t>
      </w:r>
      <w:r w:rsidR="00891D70">
        <w:t xml:space="preserve">SBA application forms are made available for download </w:t>
      </w:r>
      <w:r w:rsidR="00763335">
        <w:t xml:space="preserve">from the SBIC Program webpage at </w:t>
      </w:r>
      <w:hyperlink r:id="rId8" w:history="1">
        <w:r w:rsidRPr="008B10E8" w:rsidR="00B4452F">
          <w:rPr>
            <w:rStyle w:val="Hyperlink"/>
          </w:rPr>
          <w:t>https://www.sba.gov/partners/sbics/apply-be-sbic</w:t>
        </w:r>
      </w:hyperlink>
      <w:r w:rsidR="00B4452F">
        <w:rPr>
          <w:rStyle w:val="Hyperlink"/>
        </w:rPr>
        <w:t xml:space="preserve"> </w:t>
      </w:r>
      <w:r w:rsidRPr="430F09AE" w:rsidR="00B4452F">
        <w:rPr>
          <w:rStyle w:val="Hyperlink"/>
          <w:color w:val="auto"/>
          <w:u w:val="none"/>
        </w:rPr>
        <w:t>and would be made available on Do</w:t>
      </w:r>
      <w:r w:rsidR="00430051">
        <w:rPr>
          <w:rStyle w:val="Hyperlink"/>
          <w:color w:val="auto"/>
          <w:u w:val="none"/>
        </w:rPr>
        <w:t>W</w:t>
      </w:r>
      <w:r w:rsidRPr="430F09AE" w:rsidR="00B4452F">
        <w:rPr>
          <w:rStyle w:val="Hyperlink"/>
          <w:color w:val="auto"/>
          <w:u w:val="none"/>
        </w:rPr>
        <w:t xml:space="preserve">’s </w:t>
      </w:r>
      <w:r w:rsidRPr="430F09AE" w:rsidR="00CF2B50">
        <w:rPr>
          <w:rStyle w:val="Hyperlink"/>
          <w:color w:val="auto"/>
          <w:u w:val="none"/>
        </w:rPr>
        <w:t>Office of Strategic Capital – Do</w:t>
      </w:r>
      <w:r w:rsidR="008B019E">
        <w:rPr>
          <w:rStyle w:val="Hyperlink"/>
          <w:color w:val="auto"/>
          <w:u w:val="none"/>
        </w:rPr>
        <w:t>W</w:t>
      </w:r>
      <w:r w:rsidRPr="430F09AE" w:rsidR="00CF2B50">
        <w:rPr>
          <w:rStyle w:val="Hyperlink"/>
          <w:color w:val="auto"/>
          <w:u w:val="none"/>
        </w:rPr>
        <w:t xml:space="preserve"> Research &amp; Engineering </w:t>
      </w:r>
      <w:r w:rsidRPr="430F09AE" w:rsidR="00B4452F">
        <w:rPr>
          <w:rStyle w:val="Hyperlink"/>
          <w:color w:val="auto"/>
          <w:u w:val="none"/>
        </w:rPr>
        <w:t xml:space="preserve">website </w:t>
      </w:r>
      <w:r w:rsidRPr="430F09AE" w:rsidR="00CF2B50">
        <w:rPr>
          <w:rStyle w:val="Hyperlink"/>
          <w:color w:val="auto"/>
          <w:u w:val="none"/>
        </w:rPr>
        <w:t>at</w:t>
      </w:r>
      <w:r w:rsidR="00CF2B50">
        <w:rPr>
          <w:rStyle w:val="Hyperlink"/>
        </w:rPr>
        <w:t xml:space="preserve"> </w:t>
      </w:r>
      <w:hyperlink r:id="rId9" w:history="1">
        <w:r w:rsidR="00CF2B50">
          <w:rPr>
            <w:rStyle w:val="Hyperlink"/>
          </w:rPr>
          <w:t>https://www.cto.mil/osc/</w:t>
        </w:r>
      </w:hyperlink>
      <w:r w:rsidR="00891D70">
        <w:t xml:space="preserve">. </w:t>
      </w:r>
      <w:r w:rsidR="00D562D3">
        <w:t>Generally, a</w:t>
      </w:r>
      <w:r w:rsidR="00891D70">
        <w:t>ll application materials are prepared using Microsoft Excel</w:t>
      </w:r>
      <w:r w:rsidR="00691378">
        <w:t xml:space="preserve"> and</w:t>
      </w:r>
      <w:r w:rsidR="00891D70">
        <w:t xml:space="preserve"> accepted </w:t>
      </w:r>
      <w:r w:rsidR="00095092">
        <w:t xml:space="preserve">only </w:t>
      </w:r>
      <w:r w:rsidR="00891D70">
        <w:t xml:space="preserve">in electronic format </w:t>
      </w:r>
      <w:r w:rsidR="00691378">
        <w:t xml:space="preserve">to </w:t>
      </w:r>
      <w:r w:rsidR="00BE3F5D">
        <w:t>reduce burden and</w:t>
      </w:r>
      <w:r w:rsidR="00891D70">
        <w:t xml:space="preserve"> </w:t>
      </w:r>
      <w:r w:rsidR="00925C00">
        <w:t xml:space="preserve">expedite </w:t>
      </w:r>
      <w:r w:rsidR="00891D70">
        <w:t xml:space="preserve">the preparation and review process. </w:t>
      </w:r>
      <w:r w:rsidR="0017598A">
        <w:t xml:space="preserve">SBA Form </w:t>
      </w:r>
      <w:r w:rsidR="00430051">
        <w:t>1030</w:t>
      </w:r>
      <w:r w:rsidR="00925C00">
        <w:t xml:space="preserve"> is</w:t>
      </w:r>
      <w:r w:rsidR="000F3246">
        <w:t xml:space="preserve"> prepared in Excel</w:t>
      </w:r>
      <w:r w:rsidR="00925C00">
        <w:t xml:space="preserve"> and</w:t>
      </w:r>
      <w:r w:rsidR="000F3246">
        <w:t xml:space="preserve"> will provide applicants and SBA with the greatest flexibility to analyze quantitative information.</w:t>
      </w:r>
      <w:r w:rsidR="00891D70">
        <w:t xml:space="preserve"> Applicants </w:t>
      </w:r>
      <w:r w:rsidR="0017598A">
        <w:t>may</w:t>
      </w:r>
      <w:r w:rsidR="00891D70">
        <w:t xml:space="preserve"> still be required to submit </w:t>
      </w:r>
      <w:r w:rsidR="000F3246">
        <w:t xml:space="preserve">portions of </w:t>
      </w:r>
      <w:r w:rsidR="00891D70">
        <w:t xml:space="preserve">their </w:t>
      </w:r>
      <w:r w:rsidR="00355CA8">
        <w:t>final l</w:t>
      </w:r>
      <w:r w:rsidR="00891D70">
        <w:t>icens</w:t>
      </w:r>
      <w:r w:rsidR="00355CA8">
        <w:t>ing documents</w:t>
      </w:r>
      <w:r w:rsidR="00891D70">
        <w:t xml:space="preserve"> in hard copy so SBA may maintain a record of signed originals</w:t>
      </w:r>
      <w:r w:rsidR="00545763">
        <w:t>, which is anticipated to be less than 5%</w:t>
      </w:r>
      <w:r w:rsidR="00891D70">
        <w:t>.</w:t>
      </w:r>
    </w:p>
    <w:p w:rsidR="001218D6" w:rsidP="00856586" w14:paraId="15661163" w14:textId="77777777">
      <w:pPr>
        <w:suppressAutoHyphens w:val="0"/>
        <w:ind w:hanging="360"/>
      </w:pPr>
    </w:p>
    <w:p w:rsidR="00F25956" w:rsidP="00385E7B" w14:paraId="22C5FE55" w14:textId="237A208A">
      <w:pPr>
        <w:numPr>
          <w:ilvl w:val="1"/>
          <w:numId w:val="14"/>
        </w:numPr>
        <w:suppressAutoHyphens w:val="0"/>
        <w:ind w:left="0"/>
        <w:jc w:val="both"/>
      </w:pPr>
      <w:r w:rsidRPr="59EC8B78">
        <w:rPr>
          <w:u w:val="single"/>
        </w:rPr>
        <w:t>Non</w:t>
      </w:r>
      <w:r w:rsidRPr="59EC8B78" w:rsidR="002206DA">
        <w:rPr>
          <w:u w:val="single"/>
        </w:rPr>
        <w:t>-d</w:t>
      </w:r>
      <w:r w:rsidRPr="59EC8B78" w:rsidR="001218D6">
        <w:rPr>
          <w:u w:val="single"/>
        </w:rPr>
        <w:t>uplication.</w:t>
      </w:r>
      <w:r w:rsidR="001218D6">
        <w:t xml:space="preserve"> </w:t>
      </w:r>
      <w:r w:rsidR="00E92171">
        <w:t xml:space="preserve">The </w:t>
      </w:r>
      <w:r w:rsidR="00430051">
        <w:t xml:space="preserve">Risk Assessment Supplemental Information </w:t>
      </w:r>
      <w:r>
        <w:t xml:space="preserve">is </w:t>
      </w:r>
      <w:r w:rsidR="0042037D">
        <w:t xml:space="preserve">used to identify </w:t>
      </w:r>
      <w:r w:rsidR="00B504D5">
        <w:t xml:space="preserve">potential foreign ownership, influence, or control in </w:t>
      </w:r>
      <w:r>
        <w:t>the formation and operation of an SBIC</w:t>
      </w:r>
      <w:r w:rsidR="00462616">
        <w:t>CT</w:t>
      </w:r>
      <w:r w:rsidR="0042037D">
        <w:t xml:space="preserve"> or CTLP fund</w:t>
      </w:r>
      <w:r w:rsidR="00E41D31">
        <w:t xml:space="preserve"> while the Critical Technologies Supplemental Questionnaire is </w:t>
      </w:r>
      <w:r w:rsidR="0042037D">
        <w:t xml:space="preserve">used to provide information on each </w:t>
      </w:r>
      <w:r w:rsidR="00E41D31">
        <w:t>critical technology</w:t>
      </w:r>
      <w:r w:rsidR="0042037D">
        <w:t xml:space="preserve"> investment</w:t>
      </w:r>
      <w:r w:rsidR="00E41D31">
        <w:t xml:space="preserve">.  </w:t>
      </w:r>
      <w:r>
        <w:t xml:space="preserve">Companies are newly formed for the specific purpose of seeking an SBIC license and have not previously reported the required information to SBA or any other </w:t>
      </w:r>
      <w:r w:rsidR="002206DA">
        <w:t>g</w:t>
      </w:r>
      <w:r>
        <w:t xml:space="preserve">overnmental entity. </w:t>
      </w:r>
    </w:p>
    <w:p w:rsidR="00F25956" w:rsidP="00385E7B" w14:paraId="20BABAC7" w14:textId="77777777">
      <w:pPr>
        <w:suppressAutoHyphens w:val="0"/>
        <w:ind w:hanging="360"/>
        <w:jc w:val="both"/>
      </w:pPr>
    </w:p>
    <w:p w:rsidR="00F25956" w:rsidP="00385E7B" w14:paraId="369C2B1A" w14:textId="1D7B6682">
      <w:pPr>
        <w:jc w:val="both"/>
      </w:pPr>
      <w:r>
        <w:t>In some cases, SBIC</w:t>
      </w:r>
      <w:r w:rsidR="00462616">
        <w:t>CT or CTLP</w:t>
      </w:r>
      <w:r w:rsidR="00B504D5">
        <w:t xml:space="preserve"> </w:t>
      </w:r>
      <w:r>
        <w:t xml:space="preserve">applicants may have already prepared some of the information requested </w:t>
      </w:r>
      <w:r w:rsidR="00E92171">
        <w:t xml:space="preserve">in </w:t>
      </w:r>
      <w:r w:rsidR="00E41D31">
        <w:t>Forms 1030 and 1032 f</w:t>
      </w:r>
      <w:r w:rsidR="00E92171">
        <w:t xml:space="preserve">or </w:t>
      </w:r>
      <w:r>
        <w:t>private investors. Where appropriate, these applicants are encouraged to use pre-existing materials to satisfy SBA’s information requests and thus limit the amount of new material that must be produced.</w:t>
      </w:r>
      <w:r w:rsidR="0023087A">
        <w:t xml:space="preserve"> </w:t>
      </w:r>
      <w:r w:rsidR="005028E9">
        <w:t>However, w</w:t>
      </w:r>
      <w:r w:rsidR="0023087A">
        <w:t>ithout th</w:t>
      </w:r>
      <w:r w:rsidR="005028E9">
        <w:t>is collection</w:t>
      </w:r>
      <w:r w:rsidR="0023087A">
        <w:t xml:space="preserve">, this information is not otherwise </w:t>
      </w:r>
      <w:r w:rsidR="008F508A">
        <w:t>a</w:t>
      </w:r>
      <w:r w:rsidR="005028E9">
        <w:t>vailable to SBA.</w:t>
      </w:r>
    </w:p>
    <w:p w:rsidR="00F25956" w:rsidP="00856586" w14:paraId="202E50E0" w14:textId="77777777">
      <w:pPr>
        <w:suppressAutoHyphens w:val="0"/>
        <w:ind w:hanging="360"/>
        <w:rPr>
          <w:u w:val="single"/>
        </w:rPr>
      </w:pPr>
    </w:p>
    <w:p w:rsidR="00F25956" w:rsidP="00CE1FCA" w14:paraId="048D06BC" w14:textId="2BC1231F">
      <w:pPr>
        <w:numPr>
          <w:ilvl w:val="1"/>
          <w:numId w:val="14"/>
        </w:numPr>
        <w:suppressAutoHyphens w:val="0"/>
        <w:ind w:left="0"/>
        <w:jc w:val="both"/>
      </w:pPr>
      <w:r w:rsidRPr="00CE1FCA">
        <w:rPr>
          <w:u w:val="single"/>
        </w:rPr>
        <w:t>Burden on Small Business.</w:t>
      </w:r>
      <w:r>
        <w:t xml:space="preserve"> The majority of applicants for an SBIC</w:t>
      </w:r>
      <w:r w:rsidR="00D42E49">
        <w:t>CT or CTLP</w:t>
      </w:r>
      <w:r>
        <w:t xml:space="preserve"> license are small entities. These entities typically are newly formed for the purpose of seeking an SBIC</w:t>
      </w:r>
      <w:r w:rsidR="00D42E49">
        <w:t>CT or CTLP</w:t>
      </w:r>
      <w:r>
        <w:t xml:space="preserve"> license. This information collection will not have a significant impact on a substantial number of these entities. The one-time burden of completing </w:t>
      </w:r>
      <w:r w:rsidR="00E41D31">
        <w:t xml:space="preserve">SBA Form 1030 and 1032 </w:t>
      </w:r>
      <w:r>
        <w:t xml:space="preserve">is part of the overall process of organizing and capitalizing the </w:t>
      </w:r>
      <w:r w:rsidR="0001570E">
        <w:t>SBIC applicant</w:t>
      </w:r>
      <w:r w:rsidR="008911FC">
        <w:t xml:space="preserve">, which anticipated to be </w:t>
      </w:r>
      <w:r w:rsidR="00B86946">
        <w:t>over 90%</w:t>
      </w:r>
      <w:r>
        <w:t>.</w:t>
      </w:r>
      <w:r w:rsidR="006D648B">
        <w:t xml:space="preserve"> Updating the form is completed on a quarterly basis</w:t>
      </w:r>
      <w:r w:rsidR="00924C47">
        <w:t xml:space="preserve"> if the underling information has changed.</w:t>
      </w:r>
      <w:r w:rsidR="004D2915">
        <w:t xml:space="preserve"> </w:t>
      </w:r>
      <w:bookmarkStart w:id="0" w:name="_Hlk137535067"/>
    </w:p>
    <w:p w:rsidR="00F25956" w:rsidP="00CE1FCA" w14:paraId="3148103F" w14:textId="77777777">
      <w:pPr>
        <w:suppressAutoHyphens w:val="0"/>
        <w:ind w:hanging="360"/>
        <w:jc w:val="both"/>
      </w:pPr>
    </w:p>
    <w:bookmarkEnd w:id="0"/>
    <w:p w:rsidR="00A40757" w:rsidP="00CE1FCA" w14:paraId="2800B1C4" w14:textId="185BE5DD">
      <w:pPr>
        <w:numPr>
          <w:ilvl w:val="1"/>
          <w:numId w:val="14"/>
        </w:numPr>
        <w:suppressAutoHyphens w:val="0"/>
        <w:ind w:left="0"/>
        <w:jc w:val="both"/>
      </w:pPr>
      <w:r w:rsidRPr="0AACF6AF">
        <w:rPr>
          <w:u w:val="single"/>
        </w:rPr>
        <w:t xml:space="preserve">Less Frequent </w:t>
      </w:r>
      <w:r w:rsidRPr="0AACF6AF" w:rsidR="00C96CC7">
        <w:rPr>
          <w:u w:val="single"/>
        </w:rPr>
        <w:t>C</w:t>
      </w:r>
      <w:r w:rsidRPr="0AACF6AF" w:rsidR="00F25956">
        <w:rPr>
          <w:u w:val="single"/>
        </w:rPr>
        <w:t>ollection.</w:t>
      </w:r>
      <w:r w:rsidR="00C96CC7">
        <w:t xml:space="preserve"> </w:t>
      </w:r>
      <w:r w:rsidR="0075071A">
        <w:t xml:space="preserve">The </w:t>
      </w:r>
      <w:r w:rsidR="00DC25DA">
        <w:t>Risk Assessment Supplemental Information</w:t>
      </w:r>
      <w:r w:rsidR="00E41D31">
        <w:t xml:space="preserve"> and Critical Technologies Supplemental Questionnaire are </w:t>
      </w:r>
      <w:r w:rsidR="001E6103">
        <w:t xml:space="preserve">critical to </w:t>
      </w:r>
      <w:r w:rsidR="00DC25DA">
        <w:t>assess the risks of any potential foreign ownership, influence, or control in applicants that manage private capital investments in critical technologies that are vital for national security</w:t>
      </w:r>
      <w:r w:rsidR="0042037D">
        <w:t xml:space="preserve"> and in the determination that investments made are fulfilling </w:t>
      </w:r>
      <w:r w:rsidR="00C9724C">
        <w:t>SBA</w:t>
      </w:r>
      <w:r w:rsidR="0042037D">
        <w:t>’s Critical Technologies strategic priorities</w:t>
      </w:r>
      <w:r w:rsidR="00DC25DA">
        <w:t xml:space="preserve">. </w:t>
      </w:r>
      <w:r w:rsidR="005F1E57">
        <w:t xml:space="preserve">Each </w:t>
      </w:r>
      <w:r w:rsidR="00C9724C">
        <w:t xml:space="preserve">SBICCT or CTLP </w:t>
      </w:r>
      <w:r w:rsidR="005F1E57">
        <w:t xml:space="preserve">applicant </w:t>
      </w:r>
      <w:r w:rsidR="00C9724C">
        <w:t>will be</w:t>
      </w:r>
      <w:r w:rsidR="005F1E57">
        <w:t xml:space="preserve"> required to submit this information </w:t>
      </w:r>
      <w:r w:rsidR="005070D8">
        <w:t xml:space="preserve">at time of </w:t>
      </w:r>
      <w:r w:rsidR="00AE2558">
        <w:t xml:space="preserve">the application submission, </w:t>
      </w:r>
      <w:r w:rsidR="002B1AB9">
        <w:t>and updates to the information contained in the forms</w:t>
      </w:r>
      <w:r w:rsidR="00B128C3">
        <w:t xml:space="preserve"> at </w:t>
      </w:r>
      <w:r w:rsidR="00AE2558">
        <w:t xml:space="preserve">fund closing, and </w:t>
      </w:r>
      <w:r w:rsidR="00EA3D42">
        <w:t>on a quarterly basis</w:t>
      </w:r>
      <w:r w:rsidR="00B128C3">
        <w:t xml:space="preserve"> thereafter</w:t>
      </w:r>
      <w:r w:rsidR="00EA3D42">
        <w:t xml:space="preserve">. </w:t>
      </w:r>
      <w:r w:rsidR="00DC25DA">
        <w:t xml:space="preserve"> </w:t>
      </w:r>
      <w:r w:rsidR="001E6103">
        <w:t>There is no similar information available that can be used to accomplish the purposes of this collection. If the information were not collected, SBA would be unable to meet its responsibilities with respect to the licensing and oversight of SBICs</w:t>
      </w:r>
      <w:r w:rsidR="00B94037">
        <w:t xml:space="preserve"> under the SBICCT Initiative or CTLP program.</w:t>
      </w:r>
      <w:r w:rsidR="001E6103">
        <w:t xml:space="preserve"> </w:t>
      </w:r>
    </w:p>
    <w:p w:rsidR="00A40757" w:rsidRPr="00A40757" w:rsidP="00C96CC7" w14:paraId="3DB07901" w14:textId="77777777">
      <w:pPr>
        <w:suppressAutoHyphens w:val="0"/>
        <w:ind w:hanging="360"/>
        <w:jc w:val="both"/>
      </w:pPr>
    </w:p>
    <w:p w:rsidR="0064144A" w:rsidP="003614B2" w14:paraId="62B68D0B" w14:textId="188E1DAA">
      <w:pPr>
        <w:numPr>
          <w:ilvl w:val="1"/>
          <w:numId w:val="14"/>
        </w:numPr>
        <w:suppressAutoHyphens w:val="0"/>
        <w:ind w:left="0"/>
        <w:jc w:val="both"/>
      </w:pPr>
      <w:r w:rsidRPr="59EC8B78">
        <w:rPr>
          <w:u w:val="single"/>
        </w:rPr>
        <w:t xml:space="preserve">Paperwork Reduction Act Guidelines. </w:t>
      </w:r>
      <w:r w:rsidR="00BA4908">
        <w:t xml:space="preserve">There are no special circumstances that would cause the conditions described. Although, </w:t>
      </w:r>
      <w:r w:rsidR="00623C6F">
        <w:t>SBIC</w:t>
      </w:r>
      <w:r w:rsidR="00DC25DA">
        <w:t>CT</w:t>
      </w:r>
      <w:r w:rsidR="00623C6F">
        <w:t xml:space="preserve"> </w:t>
      </w:r>
      <w:r w:rsidR="00DC25DA">
        <w:t xml:space="preserve">Initiative </w:t>
      </w:r>
      <w:r w:rsidR="00365F5E">
        <w:t xml:space="preserve">and CTLP </w:t>
      </w:r>
      <w:r w:rsidR="003101FB">
        <w:t>p</w:t>
      </w:r>
      <w:r w:rsidR="00365F5E">
        <w:t xml:space="preserve">rogram </w:t>
      </w:r>
      <w:r w:rsidR="00623C6F">
        <w:t xml:space="preserve">applicants </w:t>
      </w:r>
      <w:r w:rsidR="00F25956">
        <w:t>are required to submit confidential business information</w:t>
      </w:r>
      <w:r w:rsidR="00BA4908">
        <w:t>, the information collected will be protected to the extent permitted by law.</w:t>
      </w:r>
      <w:r w:rsidR="00F25956">
        <w:t xml:space="preserve"> Without this information, SBA could not satisfy its obligation to evaluate an </w:t>
      </w:r>
      <w:r w:rsidR="004B2B39">
        <w:t xml:space="preserve">applicant’s investment into small businesses involved in the development of technologies, </w:t>
      </w:r>
      <w:r w:rsidR="004B2B39">
        <w:t xml:space="preserve">components, and production processes critical to the U.S. national and economic security and refrain from deploying capital in a manner inconsistent with public benefit. </w:t>
      </w:r>
    </w:p>
    <w:p w:rsidR="0064144A" w:rsidP="0001183D" w14:paraId="2EFA0A11" w14:textId="77777777">
      <w:pPr>
        <w:suppressAutoHyphens w:val="0"/>
        <w:jc w:val="both"/>
      </w:pPr>
    </w:p>
    <w:p w:rsidR="00952281" w:rsidRPr="003101FB" w:rsidP="00617ACD" w14:paraId="217C8A3F" w14:textId="6E231192">
      <w:pPr>
        <w:numPr>
          <w:ilvl w:val="1"/>
          <w:numId w:val="14"/>
        </w:numPr>
        <w:suppressAutoHyphens w:val="0"/>
        <w:ind w:left="0"/>
        <w:jc w:val="both"/>
        <w:rPr>
          <w:u w:val="single"/>
        </w:rPr>
      </w:pPr>
      <w:r w:rsidRPr="0001183D">
        <w:rPr>
          <w:u w:val="single"/>
        </w:rPr>
        <w:t>Consultation and Public Comments.</w:t>
      </w:r>
      <w:r w:rsidRPr="0001183D">
        <w:t xml:space="preserve"> </w:t>
      </w:r>
      <w:r w:rsidRPr="0064144A">
        <w:t xml:space="preserve">A </w:t>
      </w:r>
      <w:r w:rsidR="00C4798C">
        <w:t>6</w:t>
      </w:r>
      <w:r w:rsidR="00DC25DA">
        <w:t>0</w:t>
      </w:r>
      <w:r w:rsidRPr="0064144A">
        <w:t xml:space="preserve">-day notice was published in the Federal Register on </w:t>
      </w:r>
      <w:r w:rsidR="004B2B39">
        <w:t>Friday</w:t>
      </w:r>
      <w:r w:rsidRPr="0064144A">
        <w:t xml:space="preserve">, </w:t>
      </w:r>
      <w:r w:rsidR="00AD7232">
        <w:t>September</w:t>
      </w:r>
      <w:r w:rsidRPr="0064144A">
        <w:t xml:space="preserve"> </w:t>
      </w:r>
      <w:r w:rsidR="00AD7232">
        <w:t>1</w:t>
      </w:r>
      <w:r w:rsidR="004B2B39">
        <w:t>2</w:t>
      </w:r>
      <w:r w:rsidRPr="0064144A">
        <w:t>, 202</w:t>
      </w:r>
      <w:r w:rsidR="00AD7232">
        <w:t>5</w:t>
      </w:r>
      <w:r w:rsidR="00252D28">
        <w:t>,</w:t>
      </w:r>
      <w:r w:rsidRPr="430F09AE" w:rsidR="00252D28">
        <w:rPr>
          <w:rFonts w:ascii="Tms Rmn" w:hAnsi="Tms Rmn"/>
          <w:kern w:val="0"/>
          <w:lang w:eastAsia="en-US"/>
        </w:rPr>
        <w:t xml:space="preserve"> </w:t>
      </w:r>
      <w:hyperlink r:id="rId10" w:history="1">
        <w:r w:rsidRPr="00AD7232" w:rsidR="00AD7232">
          <w:rPr>
            <w:rStyle w:val="Hyperlink"/>
            <w:rFonts w:ascii="Tms Rmn" w:hAnsi="Tms Rmn"/>
            <w:kern w:val="0"/>
            <w:lang w:eastAsia="en-US"/>
          </w:rPr>
          <w:t xml:space="preserve">90 FR </w:t>
        </w:r>
        <w:r w:rsidR="004B2B39">
          <w:rPr>
            <w:rStyle w:val="Hyperlink"/>
            <w:rFonts w:ascii="Tms Rmn" w:hAnsi="Tms Rmn"/>
            <w:kern w:val="0"/>
            <w:lang w:eastAsia="en-US"/>
          </w:rPr>
          <w:t>38876</w:t>
        </w:r>
      </w:hyperlink>
      <w:r w:rsidR="00AD7232">
        <w:rPr>
          <w:rFonts w:ascii="Tms Rmn" w:hAnsi="Tms Rmn"/>
          <w:kern w:val="0"/>
          <w:lang w:eastAsia="en-US"/>
        </w:rPr>
        <w:t>.</w:t>
      </w:r>
      <w:r w:rsidRPr="0064144A">
        <w:t xml:space="preserve"> The comment period closed on </w:t>
      </w:r>
      <w:r w:rsidR="004B2B39">
        <w:t>Tuesday</w:t>
      </w:r>
      <w:r w:rsidRPr="0064144A">
        <w:t xml:space="preserve">, </w:t>
      </w:r>
      <w:r w:rsidR="004B2B39">
        <w:t xml:space="preserve">October 14, </w:t>
      </w:r>
      <w:r w:rsidRPr="0064144A">
        <w:t>202</w:t>
      </w:r>
      <w:r w:rsidR="00AD7232">
        <w:t>5</w:t>
      </w:r>
      <w:r w:rsidRPr="0064144A">
        <w:t>.</w:t>
      </w:r>
      <w:r w:rsidR="00365F5E">
        <w:t xml:space="preserve"> </w:t>
      </w:r>
      <w:r w:rsidRPr="00A61BDF">
        <w:t xml:space="preserve">SBA </w:t>
      </w:r>
      <w:r w:rsidR="00DC25DA">
        <w:t xml:space="preserve">did not receive any comments during the comment period.  </w:t>
      </w:r>
    </w:p>
    <w:p w:rsidR="430F09AE" w:rsidP="430F09AE" w14:paraId="1F590F82" w14:textId="3AC1C120">
      <w:pPr>
        <w:jc w:val="both"/>
      </w:pPr>
    </w:p>
    <w:p w:rsidR="00A40757" w:rsidP="005C3122" w14:paraId="2A32D1F6" w14:textId="57EAC48C">
      <w:pPr>
        <w:numPr>
          <w:ilvl w:val="1"/>
          <w:numId w:val="14"/>
        </w:numPr>
        <w:suppressAutoHyphens w:val="0"/>
        <w:ind w:left="0"/>
        <w:jc w:val="both"/>
      </w:pPr>
      <w:r w:rsidRPr="0017304C">
        <w:rPr>
          <w:u w:val="single"/>
        </w:rPr>
        <w:t xml:space="preserve">Gifts or </w:t>
      </w:r>
      <w:r w:rsidRPr="0017304C" w:rsidR="00952281">
        <w:rPr>
          <w:u w:val="single"/>
        </w:rPr>
        <w:t>Payment.</w:t>
      </w:r>
      <w:r w:rsidRPr="0017304C">
        <w:t xml:space="preserve"> </w:t>
      </w:r>
      <w:r w:rsidRPr="006665C7" w:rsidR="006665C7">
        <w:t>No payments or gifts are provided to respondents.</w:t>
      </w:r>
    </w:p>
    <w:p w:rsidR="00A40757" w:rsidP="0017304C" w14:paraId="7AAD97C4" w14:textId="77777777">
      <w:pPr>
        <w:suppressAutoHyphens w:val="0"/>
        <w:ind w:hanging="360"/>
        <w:jc w:val="both"/>
      </w:pPr>
    </w:p>
    <w:p w:rsidR="00C47E43" w:rsidP="0017304C" w14:paraId="11EF63B5" w14:textId="75D106CA">
      <w:pPr>
        <w:numPr>
          <w:ilvl w:val="1"/>
          <w:numId w:val="14"/>
        </w:numPr>
        <w:ind w:left="0"/>
        <w:jc w:val="both"/>
      </w:pPr>
      <w:r w:rsidRPr="0AACF6AF">
        <w:rPr>
          <w:u w:val="single"/>
        </w:rPr>
        <w:t>Privacy and</w:t>
      </w:r>
      <w:r w:rsidRPr="0AACF6AF" w:rsidR="00952281">
        <w:rPr>
          <w:u w:val="single"/>
        </w:rPr>
        <w:t xml:space="preserve"> </w:t>
      </w:r>
      <w:r w:rsidRPr="0AACF6AF">
        <w:rPr>
          <w:u w:val="single"/>
        </w:rPr>
        <w:t>C</w:t>
      </w:r>
      <w:r w:rsidRPr="0AACF6AF" w:rsidR="00952281">
        <w:rPr>
          <w:u w:val="single"/>
        </w:rPr>
        <w:t>onfidentiality.</w:t>
      </w:r>
      <w:r w:rsidR="00053C3C">
        <w:t xml:space="preserve"> </w:t>
      </w:r>
      <w:r w:rsidR="00952281">
        <w:t xml:space="preserve">The information collected in SBA Form </w:t>
      </w:r>
      <w:r w:rsidR="00365F5E">
        <w:t>1030</w:t>
      </w:r>
      <w:r w:rsidR="00952281">
        <w:t xml:space="preserve"> includes personal data concerning managers of the proposed SBIC</w:t>
      </w:r>
      <w:r w:rsidR="00652F1A">
        <w:t>CT</w:t>
      </w:r>
      <w:r w:rsidR="00365F5E">
        <w:t xml:space="preserve"> or CTLP</w:t>
      </w:r>
      <w:r w:rsidR="00652F1A">
        <w:t xml:space="preserve"> </w:t>
      </w:r>
      <w:r w:rsidR="00CF0D94">
        <w:t>applicant</w:t>
      </w:r>
      <w:r w:rsidR="003101FB">
        <w:t xml:space="preserve">. </w:t>
      </w:r>
      <w:r w:rsidR="003068CD">
        <w:t xml:space="preserve">SBA Form </w:t>
      </w:r>
      <w:r w:rsidR="003101FB">
        <w:t>1030</w:t>
      </w:r>
      <w:r w:rsidR="003068CD">
        <w:t xml:space="preserve"> also requests </w:t>
      </w:r>
      <w:r w:rsidR="009D3065">
        <w:t xml:space="preserve">personal </w:t>
      </w:r>
      <w:r w:rsidR="003068CD">
        <w:t>background information</w:t>
      </w:r>
      <w:r w:rsidR="009D3116">
        <w:t xml:space="preserve"> (such as </w:t>
      </w:r>
      <w:r w:rsidR="00615833">
        <w:t xml:space="preserve">name, address, </w:t>
      </w:r>
      <w:r w:rsidR="003101FB">
        <w:t>social media profiles</w:t>
      </w:r>
      <w:r w:rsidR="00DD2DAF">
        <w:t>,</w:t>
      </w:r>
      <w:r w:rsidR="003101FB">
        <w:t xml:space="preserve"> and co</w:t>
      </w:r>
      <w:r w:rsidR="000B3898">
        <w:t>ntact information</w:t>
      </w:r>
      <w:r w:rsidR="009D3116">
        <w:t>)</w:t>
      </w:r>
      <w:r w:rsidR="00D55513">
        <w:t>,</w:t>
      </w:r>
      <w:r w:rsidR="003068CD">
        <w:t xml:space="preserve"> which is needed to </w:t>
      </w:r>
      <w:r w:rsidR="005D3637">
        <w:t xml:space="preserve">enable </w:t>
      </w:r>
      <w:r w:rsidR="00F528C4">
        <w:t xml:space="preserve">SBA and DoW to conduct a comprehensive risk assessment of potential foreign ownership, influence, or control </w:t>
      </w:r>
      <w:r w:rsidR="00E4057D">
        <w:t xml:space="preserve">and make </w:t>
      </w:r>
      <w:r w:rsidR="002B547F">
        <w:t xml:space="preserve">appropriate </w:t>
      </w:r>
      <w:r w:rsidR="00E4057D">
        <w:t xml:space="preserve">decisions regarding </w:t>
      </w:r>
      <w:r w:rsidR="007E6DC5">
        <w:t>the approval or denial of an applicant for an SBIC license.</w:t>
      </w:r>
      <w:r w:rsidR="00D55513">
        <w:t xml:space="preserve"> </w:t>
      </w:r>
      <w:r w:rsidR="00E41D31">
        <w:t xml:space="preserve">The information collected in SBA Form 1032 includes the type of proposed critical technology or enabling technology, component or production process. </w:t>
      </w:r>
    </w:p>
    <w:p w:rsidR="00C47E43" w:rsidP="00C47E43" w14:paraId="0EA639B9" w14:textId="77777777">
      <w:pPr>
        <w:jc w:val="both"/>
      </w:pPr>
    </w:p>
    <w:p w:rsidR="00595B1E" w:rsidP="00C47E43" w14:paraId="4CD943B1" w14:textId="21FF6D9F">
      <w:pPr>
        <w:jc w:val="both"/>
      </w:pPr>
      <w:r w:rsidRPr="00735439">
        <w:t>The collection of ownership, foreign affiliation, and related data elements is necessary to evaluate potential foreign ownership, influence, or control risks and ensure compliance with federal statutory and regulatory requirements. SBA limits collection to information directly relevant to program eligibility and national security risk assessment and applies data minimization principles where practicable.</w:t>
      </w:r>
      <w:r w:rsidR="004A010A">
        <w:t xml:space="preserve"> </w:t>
      </w:r>
      <w:r w:rsidR="00D55513">
        <w:t xml:space="preserve">This system is associated </w:t>
      </w:r>
      <w:r w:rsidR="00B45448">
        <w:t xml:space="preserve">with </w:t>
      </w:r>
      <w:r w:rsidR="00247015">
        <w:t xml:space="preserve">the </w:t>
      </w:r>
      <w:r w:rsidR="000260AC">
        <w:t>Office of Investment and Innovation (</w:t>
      </w:r>
      <w:r w:rsidR="00CF0D94">
        <w:t>“</w:t>
      </w:r>
      <w:r w:rsidR="00B45448">
        <w:t>OII</w:t>
      </w:r>
      <w:r w:rsidR="00CF0D94">
        <w:t>”</w:t>
      </w:r>
      <w:r w:rsidR="000260AC">
        <w:t>)</w:t>
      </w:r>
      <w:r w:rsidR="00B45448">
        <w:t xml:space="preserve"> C</w:t>
      </w:r>
      <w:r w:rsidR="00B60CC2">
        <w:t xml:space="preserve">ustomer </w:t>
      </w:r>
      <w:r w:rsidR="00B45448">
        <w:t>R</w:t>
      </w:r>
      <w:r w:rsidR="00B60CC2">
        <w:t xml:space="preserve">elationship </w:t>
      </w:r>
      <w:r w:rsidR="00B45448">
        <w:t>M</w:t>
      </w:r>
      <w:r w:rsidR="00B60CC2">
        <w:t>anagement (</w:t>
      </w:r>
      <w:r w:rsidR="00C71CA0">
        <w:t>“</w:t>
      </w:r>
      <w:r w:rsidR="00B60CC2">
        <w:t>CRM</w:t>
      </w:r>
      <w:r w:rsidR="00C71CA0">
        <w:t>”</w:t>
      </w:r>
      <w:r w:rsidR="00B60CC2">
        <w:t>)</w:t>
      </w:r>
      <w:r w:rsidR="00B45448">
        <w:t xml:space="preserve"> system</w:t>
      </w:r>
      <w:r w:rsidR="00B60CC2">
        <w:t>.</w:t>
      </w:r>
      <w:r w:rsidR="00965737">
        <w:t xml:space="preserve"> Additional details may be found</w:t>
      </w:r>
      <w:r w:rsidR="00AE6355">
        <w:t xml:space="preserve"> in the OII CRM Privacy Impact Assessment</w:t>
      </w:r>
      <w:r w:rsidR="00247015">
        <w:t>, s</w:t>
      </w:r>
      <w:r w:rsidR="00AE6355">
        <w:t xml:space="preserve">upported by </w:t>
      </w:r>
      <w:r w:rsidR="00247015">
        <w:t xml:space="preserve">SBA 40, System of Records Notice, </w:t>
      </w:r>
      <w:hyperlink r:id="rId11" w:history="1">
        <w:r w:rsidR="00157DDC">
          <w:rPr>
            <w:rStyle w:val="Hyperlink"/>
          </w:rPr>
          <w:t>PAI-2025 SBA.pdf (govinfo.gov)</w:t>
        </w:r>
      </w:hyperlink>
      <w:r w:rsidR="00247015">
        <w:t>. </w:t>
      </w:r>
      <w:r w:rsidRPr="0096691D" w:rsidR="0096691D">
        <w:t>Information may also be shared with other federal agencies consistent with routine use provisions and applicable law for risk assessment and eligibility determinations. A Privacy Impact Assessment will be conducted or updated as necessary to reflect the new data elements collected under these forms.</w:t>
      </w:r>
    </w:p>
    <w:p w:rsidR="00595B1E" w:rsidP="00595B1E" w14:paraId="4606CB12" w14:textId="77777777">
      <w:pPr>
        <w:pStyle w:val="ListParagraph"/>
      </w:pPr>
    </w:p>
    <w:p w:rsidR="00952281" w:rsidP="00595B1E" w14:paraId="140DD70E" w14:textId="590C6DB3">
      <w:pPr>
        <w:jc w:val="both"/>
      </w:pPr>
      <w:r>
        <w:t xml:space="preserve">The information provided is </w:t>
      </w:r>
      <w:r w:rsidRPr="00666F9F" w:rsidR="00666F9F">
        <w:t>protected from disclosure under the Freedom of Information Act; specifically, exemptions 4, 6 and 8 allow SBA to withhold financial data on individual companies. The information collected will be protected to the extent permitted by law. Records are maintained under conditions designed to preclude access by persons other than Agency personnel with a need to know.</w:t>
      </w:r>
      <w:r>
        <w:t xml:space="preserve"> </w:t>
      </w:r>
    </w:p>
    <w:p w:rsidR="00952281" w:rsidP="0017304C" w14:paraId="71FFE995" w14:textId="77777777">
      <w:pPr>
        <w:suppressAutoHyphens w:val="0"/>
        <w:ind w:hanging="360"/>
        <w:jc w:val="both"/>
        <w:rPr>
          <w:u w:val="single"/>
        </w:rPr>
      </w:pPr>
    </w:p>
    <w:p w:rsidR="006A0036" w:rsidP="0017304C" w14:paraId="71D496C2" w14:textId="3FD205F1">
      <w:pPr>
        <w:numPr>
          <w:ilvl w:val="1"/>
          <w:numId w:val="14"/>
        </w:numPr>
        <w:suppressAutoHyphens w:val="0"/>
        <w:ind w:left="0"/>
        <w:jc w:val="both"/>
      </w:pPr>
      <w:r w:rsidRPr="00A11E69">
        <w:rPr>
          <w:u w:val="single"/>
        </w:rPr>
        <w:t xml:space="preserve">Sensitive </w:t>
      </w:r>
      <w:r w:rsidRPr="00A11E69" w:rsidR="00952281">
        <w:rPr>
          <w:u w:val="single"/>
        </w:rPr>
        <w:t>Questions.</w:t>
      </w:r>
      <w:r w:rsidRPr="006A0036" w:rsidR="00952281">
        <w:t xml:space="preserve"> </w:t>
      </w:r>
      <w:r w:rsidR="00A11E69">
        <w:t>SBA Form</w:t>
      </w:r>
      <w:r w:rsidR="00E41D31">
        <w:t>s</w:t>
      </w:r>
      <w:r w:rsidR="00A11E69">
        <w:t xml:space="preserve"> </w:t>
      </w:r>
      <w:r w:rsidR="003101FB">
        <w:t>1030</w:t>
      </w:r>
      <w:r w:rsidR="00A11E69">
        <w:t xml:space="preserve"> </w:t>
      </w:r>
      <w:r w:rsidR="00E41D31">
        <w:t xml:space="preserve">and 1032 </w:t>
      </w:r>
      <w:r w:rsidR="00A11E69">
        <w:t xml:space="preserve">request </w:t>
      </w:r>
      <w:r w:rsidR="0067300A">
        <w:t xml:space="preserve">confidential business </w:t>
      </w:r>
      <w:r w:rsidR="001E6103">
        <w:t>information that may be considered sensitive</w:t>
      </w:r>
      <w:r w:rsidR="0067300A">
        <w:t>, including</w:t>
      </w:r>
      <w:r w:rsidR="009A676C">
        <w:t xml:space="preserve"> </w:t>
      </w:r>
      <w:r w:rsidR="003101FB">
        <w:t>portfolio ownership information</w:t>
      </w:r>
      <w:r w:rsidR="00E41D31">
        <w:t xml:space="preserve"> and proposed critical technology or enabling technology, component or production processes</w:t>
      </w:r>
      <w:r w:rsidR="001E6103">
        <w:t xml:space="preserve">.  SBA considers this information essential to the fulfillment of its </w:t>
      </w:r>
      <w:r w:rsidR="003101FB">
        <w:t xml:space="preserve">assessment of foreign influence risks and </w:t>
      </w:r>
      <w:r w:rsidR="00E41D31">
        <w:t xml:space="preserve">types of critical technology or enabling technology, component or production processes that are critical to national security.  </w:t>
      </w:r>
    </w:p>
    <w:p w:rsidR="006A0036" w:rsidP="0017304C" w14:paraId="03A88332" w14:textId="77777777">
      <w:pPr>
        <w:suppressAutoHyphens w:val="0"/>
        <w:ind w:hanging="360"/>
        <w:jc w:val="both"/>
      </w:pPr>
    </w:p>
    <w:p w:rsidR="00AC7873" w:rsidP="430F09AE" w14:paraId="4A78DA54" w14:textId="773ACC48">
      <w:pPr>
        <w:pStyle w:val="BodyTextIndent"/>
        <w:tabs>
          <w:tab w:val="clear" w:pos="450"/>
        </w:tabs>
        <w:ind w:left="0" w:firstLine="0"/>
        <w:jc w:val="both"/>
      </w:pPr>
      <w:r>
        <w:t xml:space="preserve">SBA safeguards business proprietary information in compliance </w:t>
      </w:r>
      <w:r w:rsidR="5053AFE8">
        <w:t>with</w:t>
      </w:r>
      <w:r>
        <w:t xml:space="preserve"> federal laws, guidelines</w:t>
      </w:r>
      <w:r w:rsidR="009A676C">
        <w:t>,</w:t>
      </w:r>
      <w:r>
        <w:t xml:space="preserve"> and SBA's Cybersecurity and Privacy Policy. Data in transit and at rest </w:t>
      </w:r>
      <w:r w:rsidR="00995240">
        <w:t>are</w:t>
      </w:r>
      <w:r>
        <w:t xml:space="preserve"> encrypted to mitigate the </w:t>
      </w:r>
      <w:r>
        <w:t xml:space="preserve">potential of data spillage. Access controls and role-based permissions are just some of the other security precautions in safeguarding our customer's data.  </w:t>
      </w:r>
    </w:p>
    <w:p w:rsidR="00AC7873" w:rsidP="006F419C" w14:paraId="4B1F27EB" w14:textId="77777777">
      <w:pPr>
        <w:pStyle w:val="BodyTextIndent"/>
        <w:tabs>
          <w:tab w:val="left" w:pos="-2790"/>
          <w:tab w:val="clear" w:pos="450"/>
        </w:tabs>
        <w:ind w:left="0" w:hanging="360"/>
        <w:jc w:val="both"/>
        <w:rPr>
          <w:szCs w:val="24"/>
        </w:rPr>
      </w:pPr>
    </w:p>
    <w:p w:rsidR="00AC21FB" w:rsidP="008D1334" w14:paraId="7D5E7759" w14:textId="3BB81498">
      <w:pPr>
        <w:numPr>
          <w:ilvl w:val="1"/>
          <w:numId w:val="14"/>
        </w:numPr>
        <w:suppressAutoHyphens w:val="0"/>
        <w:ind w:left="0"/>
        <w:jc w:val="both"/>
      </w:pPr>
      <w:r w:rsidRPr="0AACF6AF">
        <w:rPr>
          <w:u w:val="single"/>
        </w:rPr>
        <w:t xml:space="preserve">Burden </w:t>
      </w:r>
      <w:r w:rsidRPr="0AACF6AF" w:rsidR="001E6103">
        <w:rPr>
          <w:u w:val="single"/>
        </w:rPr>
        <w:t>Estimate</w:t>
      </w:r>
      <w:r w:rsidRPr="0AACF6AF" w:rsidR="00A044F5">
        <w:rPr>
          <w:u w:val="single"/>
        </w:rPr>
        <w:t>.</w:t>
      </w:r>
      <w:r>
        <w:t xml:space="preserve"> The estimated hour burden for</w:t>
      </w:r>
      <w:r w:rsidR="008D1334">
        <w:t xml:space="preserve"> Form 1030 and 1032</w:t>
      </w:r>
      <w:r>
        <w:t xml:space="preserve"> is calculated </w:t>
      </w:r>
      <w:r w:rsidR="001253DA">
        <w:t xml:space="preserve">in the following table </w:t>
      </w:r>
      <w:r w:rsidR="007F7B9F">
        <w:t xml:space="preserve">with the </w:t>
      </w:r>
      <w:r w:rsidR="001253DA">
        <w:t xml:space="preserve">assumption that </w:t>
      </w:r>
      <w:r w:rsidR="00A46578">
        <w:t>e</w:t>
      </w:r>
      <w:r w:rsidRPr="00A46578" w:rsidR="00A46578">
        <w:t>ach applicant is required to submit this information at time of the application submission, and updates to the information contained in the forms at fund closing, and on a quarterly basis thereafter</w:t>
      </w:r>
      <w:r w:rsidR="001F796A">
        <w:t>.</w:t>
      </w:r>
      <w:r w:rsidR="000E1033">
        <w:t xml:space="preserve"> SBA estimates each applicant will submit this form </w:t>
      </w:r>
      <w:r w:rsidR="00021E33">
        <w:t>(5 or 6) times a year</w:t>
      </w:r>
      <w:r w:rsidRPr="00A46578" w:rsidR="00A46578">
        <w:t>.</w:t>
      </w:r>
      <w:r w:rsidR="00015828">
        <w:t xml:space="preserve">  </w:t>
      </w:r>
      <w:r w:rsidR="000818FC">
        <w:t xml:space="preserve">As noted above, in some cases, SBIC applicants may have already prepared some of the information requested in Forms 1030 and 1032 for private investors. Where appropriate, these applicants are encouraged to use pre-existing materials to satisfy SBA’s information requests and thus limit the amount of new material that must be produced. </w:t>
      </w:r>
      <w:r w:rsidR="00DD7422">
        <w:t xml:space="preserve">The time necessary to gather ownership records, collect third-party disclosures and prepare technical investment summaries </w:t>
      </w:r>
      <w:r w:rsidR="0057233D">
        <w:t xml:space="preserve">is estimated to be </w:t>
      </w:r>
      <w:r w:rsidR="00A67306">
        <w:t>half an hour</w:t>
      </w:r>
      <w:r w:rsidR="0057233D">
        <w:t xml:space="preserve"> for each Form.</w:t>
      </w:r>
    </w:p>
    <w:p w:rsidR="00B510AC" w:rsidP="008A6077" w14:paraId="00B3209F" w14:textId="77777777">
      <w:pPr>
        <w:pStyle w:val="BodyTextIndent"/>
        <w:tabs>
          <w:tab w:val="left" w:pos="-2790"/>
          <w:tab w:val="clear" w:pos="450"/>
        </w:tabs>
        <w:ind w:left="36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1350"/>
        <w:gridCol w:w="270"/>
        <w:gridCol w:w="1080"/>
        <w:gridCol w:w="270"/>
        <w:gridCol w:w="1080"/>
        <w:gridCol w:w="360"/>
        <w:gridCol w:w="1103"/>
      </w:tblGrid>
      <w:tr w14:paraId="3D070CE5" w14:textId="77777777" w:rsidTr="0AACF6AF">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65" w:type="dxa"/>
            <w:shd w:val="clear" w:color="auto" w:fill="3333CC"/>
          </w:tcPr>
          <w:p w:rsidR="00FC4446" w:rsidRPr="00FC4446" w:rsidP="00FC4446" w14:paraId="7C00A24A" w14:textId="77777777">
            <w:pPr>
              <w:tabs>
                <w:tab w:val="left" w:pos="540"/>
              </w:tabs>
              <w:suppressAutoHyphens w:val="0"/>
              <w:overflowPunct w:val="0"/>
              <w:autoSpaceDE w:val="0"/>
              <w:autoSpaceDN w:val="0"/>
              <w:adjustRightInd w:val="0"/>
              <w:ind w:left="1080" w:hanging="653"/>
              <w:jc w:val="center"/>
              <w:textAlignment w:val="baseline"/>
              <w:rPr>
                <w:b/>
                <w:color w:val="FFFFFF"/>
                <w:kern w:val="0"/>
                <w:sz w:val="18"/>
                <w:szCs w:val="18"/>
                <w:lang w:eastAsia="en-US"/>
              </w:rPr>
            </w:pPr>
          </w:p>
          <w:p w:rsidR="00FC4446" w:rsidRPr="00FC4446" w:rsidP="00FC4446" w14:paraId="3F5EDA62" w14:textId="77777777">
            <w:pPr>
              <w:tabs>
                <w:tab w:val="left" w:pos="540"/>
              </w:tabs>
              <w:suppressAutoHyphens w:val="0"/>
              <w:overflowPunct w:val="0"/>
              <w:autoSpaceDE w:val="0"/>
              <w:autoSpaceDN w:val="0"/>
              <w:adjustRightInd w:val="0"/>
              <w:ind w:left="522" w:hanging="653"/>
              <w:jc w:val="center"/>
              <w:textAlignment w:val="baseline"/>
              <w:rPr>
                <w:b/>
                <w:color w:val="FFFFFF"/>
                <w:kern w:val="0"/>
                <w:sz w:val="18"/>
                <w:szCs w:val="18"/>
                <w:lang w:eastAsia="en-US"/>
              </w:rPr>
            </w:pPr>
            <w:r w:rsidRPr="00FC4446">
              <w:rPr>
                <w:b/>
                <w:color w:val="FFFFFF"/>
                <w:kern w:val="0"/>
                <w:sz w:val="18"/>
                <w:szCs w:val="18"/>
                <w:lang w:eastAsia="en-US"/>
              </w:rPr>
              <w:t>Respondent Type</w:t>
            </w:r>
          </w:p>
        </w:tc>
        <w:tc>
          <w:tcPr>
            <w:tcW w:w="1350" w:type="dxa"/>
            <w:shd w:val="clear" w:color="auto" w:fill="3333CC"/>
          </w:tcPr>
          <w:p w:rsidR="00FC4446" w:rsidRPr="00FC4446" w:rsidP="00FC4446" w14:paraId="34ECB1DA" w14:textId="77777777">
            <w:pPr>
              <w:suppressAutoHyphens w:val="0"/>
              <w:overflowPunct w:val="0"/>
              <w:autoSpaceDE w:val="0"/>
              <w:autoSpaceDN w:val="0"/>
              <w:adjustRightInd w:val="0"/>
              <w:ind w:left="130" w:right="72"/>
              <w:jc w:val="center"/>
              <w:textAlignment w:val="baseline"/>
              <w:rPr>
                <w:b/>
                <w:color w:val="FFFFFF"/>
                <w:kern w:val="0"/>
                <w:sz w:val="18"/>
                <w:szCs w:val="18"/>
                <w:lang w:eastAsia="en-US"/>
              </w:rPr>
            </w:pPr>
            <w:r w:rsidRPr="00FC4446">
              <w:rPr>
                <w:b/>
                <w:color w:val="FFFFFF"/>
                <w:kern w:val="0"/>
                <w:sz w:val="18"/>
                <w:szCs w:val="18"/>
                <w:lang w:eastAsia="en-US"/>
              </w:rPr>
              <w:t>Number of respondents</w:t>
            </w:r>
          </w:p>
        </w:tc>
        <w:tc>
          <w:tcPr>
            <w:tcW w:w="270" w:type="dxa"/>
            <w:shd w:val="clear" w:color="auto" w:fill="3333CC"/>
            <w:vAlign w:val="center"/>
          </w:tcPr>
          <w:p w:rsidR="00FC4446" w:rsidRPr="00FC4446" w:rsidP="00FC4446" w14:paraId="776FC046" w14:textId="77777777">
            <w:pPr>
              <w:tabs>
                <w:tab w:val="left" w:pos="-6930"/>
              </w:tabs>
              <w:suppressAutoHyphens w:val="0"/>
              <w:overflowPunct w:val="0"/>
              <w:autoSpaceDE w:val="0"/>
              <w:autoSpaceDN w:val="0"/>
              <w:adjustRightInd w:val="0"/>
              <w:ind w:left="-109" w:firstLine="9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3033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753812ED" w14:textId="77777777">
            <w:pPr>
              <w:tabs>
                <w:tab w:val="left" w:pos="972"/>
              </w:tabs>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Frequency</w:t>
            </w:r>
          </w:p>
        </w:tc>
        <w:tc>
          <w:tcPr>
            <w:tcW w:w="270" w:type="dxa"/>
            <w:shd w:val="clear" w:color="auto" w:fill="3333CC"/>
          </w:tcPr>
          <w:p w:rsidR="00FC4446" w:rsidRPr="00FC4446" w:rsidP="00FC4446" w14:paraId="033AFD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091F6E7D" w14:textId="77777777">
            <w:pPr>
              <w:tabs>
                <w:tab w:val="left" w:pos="-8568"/>
              </w:tabs>
              <w:suppressAutoHyphens w:val="0"/>
              <w:overflowPunct w:val="0"/>
              <w:autoSpaceDE w:val="0"/>
              <w:autoSpaceDN w:val="0"/>
              <w:adjustRightInd w:val="0"/>
              <w:ind w:right="35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DE62B8" w14:textId="77777777">
            <w:pPr>
              <w:tabs>
                <w:tab w:val="left" w:pos="-9018"/>
              </w:tabs>
              <w:suppressAutoHyphens w:val="0"/>
              <w:overflowPunct w:val="0"/>
              <w:autoSpaceDE w:val="0"/>
              <w:autoSpaceDN w:val="0"/>
              <w:adjustRightInd w:val="0"/>
              <w:ind w:left="-18" w:right="162"/>
              <w:jc w:val="center"/>
              <w:textAlignment w:val="baseline"/>
              <w:rPr>
                <w:b/>
                <w:color w:val="FFFFFF"/>
                <w:kern w:val="0"/>
                <w:sz w:val="18"/>
                <w:szCs w:val="18"/>
                <w:lang w:eastAsia="en-US"/>
              </w:rPr>
            </w:pPr>
            <w:r w:rsidRPr="00FC4446">
              <w:rPr>
                <w:b/>
                <w:color w:val="FFFFFF"/>
                <w:kern w:val="0"/>
                <w:sz w:val="18"/>
                <w:szCs w:val="18"/>
                <w:lang w:eastAsia="en-US"/>
              </w:rPr>
              <w:t>Hours per response</w:t>
            </w:r>
          </w:p>
        </w:tc>
        <w:tc>
          <w:tcPr>
            <w:tcW w:w="360" w:type="dxa"/>
            <w:shd w:val="clear" w:color="auto" w:fill="3333CC"/>
          </w:tcPr>
          <w:p w:rsidR="00FC4446" w:rsidRPr="00FC4446" w:rsidP="00FC4446" w14:paraId="0F7DE4E2"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6BC27798"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w:t>
            </w:r>
          </w:p>
        </w:tc>
        <w:tc>
          <w:tcPr>
            <w:tcW w:w="1103" w:type="dxa"/>
            <w:shd w:val="clear" w:color="auto" w:fill="3333CC"/>
          </w:tcPr>
          <w:p w:rsidR="00FC4446" w:rsidRPr="00FC4446" w:rsidP="00FC4446" w14:paraId="1E730156" w14:textId="77777777">
            <w:pPr>
              <w:tabs>
                <w:tab w:val="left" w:pos="540"/>
              </w:tabs>
              <w:suppressAutoHyphens w:val="0"/>
              <w:overflowPunct w:val="0"/>
              <w:autoSpaceDE w:val="0"/>
              <w:autoSpaceDN w:val="0"/>
              <w:adjustRightInd w:val="0"/>
              <w:ind w:right="149"/>
              <w:jc w:val="center"/>
              <w:textAlignment w:val="baseline"/>
              <w:rPr>
                <w:b/>
                <w:color w:val="FFFFFF"/>
                <w:kern w:val="0"/>
                <w:sz w:val="18"/>
                <w:szCs w:val="18"/>
                <w:lang w:eastAsia="en-US"/>
              </w:rPr>
            </w:pPr>
            <w:r w:rsidRPr="00FC4446">
              <w:rPr>
                <w:b/>
                <w:color w:val="FFFFFF"/>
                <w:kern w:val="0"/>
                <w:sz w:val="18"/>
                <w:szCs w:val="18"/>
                <w:lang w:eastAsia="en-US"/>
              </w:rPr>
              <w:t>Total Hour Burden</w:t>
            </w:r>
          </w:p>
        </w:tc>
      </w:tr>
      <w:tr w14:paraId="669CF541" w14:textId="77777777" w:rsidTr="0AACF6AF">
        <w:tblPrEx>
          <w:tblW w:w="9378" w:type="dxa"/>
          <w:tblLayout w:type="fixed"/>
          <w:tblLook w:val="01E0"/>
        </w:tblPrEx>
        <w:tc>
          <w:tcPr>
            <w:tcW w:w="3865" w:type="dxa"/>
          </w:tcPr>
          <w:p w:rsidR="00FC4446" w:rsidRPr="00FC4446" w:rsidP="00FC4446" w14:paraId="52868010" w14:textId="1B6F6B8F">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Form 1030 </w:t>
            </w:r>
          </w:p>
        </w:tc>
        <w:tc>
          <w:tcPr>
            <w:tcW w:w="1350" w:type="dxa"/>
          </w:tcPr>
          <w:p w:rsidR="00FC4446" w:rsidRPr="00FC4446" w:rsidP="00FC4446" w14:paraId="0CEBBB9C" w14:textId="2B10CE2F">
            <w:pPr>
              <w:tabs>
                <w:tab w:val="left" w:pos="-2070"/>
              </w:tabs>
              <w:suppressAutoHyphens w:val="0"/>
              <w:overflowPunct w:val="0"/>
              <w:autoSpaceDE w:val="0"/>
              <w:autoSpaceDN w:val="0"/>
              <w:adjustRightInd w:val="0"/>
              <w:jc w:val="center"/>
              <w:textAlignment w:val="baseline"/>
              <w:rPr>
                <w:kern w:val="0"/>
                <w:sz w:val="20"/>
                <w:szCs w:val="20"/>
                <w:highlight w:val="yellow"/>
                <w:lang w:eastAsia="en-US"/>
              </w:rPr>
            </w:pPr>
            <w:r>
              <w:rPr>
                <w:kern w:val="0"/>
                <w:sz w:val="20"/>
                <w:szCs w:val="20"/>
                <w:lang w:eastAsia="en-US"/>
              </w:rPr>
              <w:t>2</w:t>
            </w:r>
            <w:r w:rsidR="00773035">
              <w:rPr>
                <w:kern w:val="0"/>
                <w:sz w:val="20"/>
                <w:szCs w:val="20"/>
                <w:lang w:eastAsia="en-US"/>
              </w:rPr>
              <w:t>5</w:t>
            </w:r>
          </w:p>
        </w:tc>
        <w:tc>
          <w:tcPr>
            <w:tcW w:w="270" w:type="dxa"/>
          </w:tcPr>
          <w:p w:rsidR="00FC4446" w:rsidRPr="00FC4446" w:rsidP="00FC4446" w14:paraId="4A890253"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AACF6AF" w14:paraId="052AFBE7" w14:textId="60EBC9D1">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w:t>
            </w:r>
          </w:p>
        </w:tc>
        <w:tc>
          <w:tcPr>
            <w:tcW w:w="270" w:type="dxa"/>
          </w:tcPr>
          <w:p w:rsidR="00FC4446" w:rsidRPr="00FC4446" w:rsidP="00FC4446" w14:paraId="5D0E86E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115A891D" w14:textId="3E034E4F">
            <w:pPr>
              <w:tabs>
                <w:tab w:val="left" w:pos="-9018"/>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0.5</w:t>
            </w:r>
          </w:p>
        </w:tc>
        <w:tc>
          <w:tcPr>
            <w:tcW w:w="360" w:type="dxa"/>
          </w:tcPr>
          <w:p w:rsidR="00FC4446" w:rsidRPr="00FC4446" w:rsidP="00FC4446" w14:paraId="594AE9A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vAlign w:val="center"/>
          </w:tcPr>
          <w:p w:rsidR="00FC4446" w:rsidRPr="00FC4446" w:rsidP="00FC4446" w14:paraId="29F2E737" w14:textId="33DF5621">
            <w:pPr>
              <w:tabs>
                <w:tab w:val="left" w:pos="-2070"/>
              </w:tabs>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75</w:t>
            </w:r>
          </w:p>
        </w:tc>
      </w:tr>
      <w:tr w14:paraId="2693D32B" w14:textId="77777777" w:rsidTr="0AACF6AF">
        <w:tblPrEx>
          <w:tblW w:w="9378" w:type="dxa"/>
          <w:tblLayout w:type="fixed"/>
          <w:tblLook w:val="01E0"/>
        </w:tblPrEx>
        <w:tc>
          <w:tcPr>
            <w:tcW w:w="3865" w:type="dxa"/>
          </w:tcPr>
          <w:p w:rsidR="00FC4446" w:rsidRPr="00FC4446" w:rsidP="430F09AE" w14:paraId="2E79BB5F" w14:textId="41591452">
            <w:pPr>
              <w:suppressAutoHyphens w:val="0"/>
              <w:overflowPunct w:val="0"/>
              <w:autoSpaceDE w:val="0"/>
              <w:autoSpaceDN w:val="0"/>
              <w:adjustRightInd w:val="0"/>
              <w:textAlignment w:val="baseline"/>
              <w:rPr>
                <w:kern w:val="0"/>
                <w:sz w:val="20"/>
                <w:szCs w:val="20"/>
                <w:lang w:eastAsia="en-US"/>
              </w:rPr>
            </w:pPr>
            <w:r>
              <w:rPr>
                <w:kern w:val="0"/>
                <w:sz w:val="20"/>
                <w:szCs w:val="20"/>
                <w:lang w:eastAsia="en-US"/>
              </w:rPr>
              <w:t>Form 1032</w:t>
            </w:r>
          </w:p>
        </w:tc>
        <w:tc>
          <w:tcPr>
            <w:tcW w:w="1350" w:type="dxa"/>
          </w:tcPr>
          <w:p w:rsidR="00FC4446" w:rsidRPr="00FC4446" w:rsidP="59EC8B78" w14:paraId="0F15EF8D" w14:textId="29FD01E4">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25</w:t>
            </w:r>
          </w:p>
        </w:tc>
        <w:tc>
          <w:tcPr>
            <w:tcW w:w="270" w:type="dxa"/>
          </w:tcPr>
          <w:p w:rsidR="00FC4446" w:rsidRPr="00FC4446" w:rsidP="59EC8B78" w14:paraId="5793A500"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562DD45B" w14:textId="19F8014A">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w:t>
            </w:r>
          </w:p>
        </w:tc>
        <w:tc>
          <w:tcPr>
            <w:tcW w:w="270" w:type="dxa"/>
          </w:tcPr>
          <w:p w:rsidR="00FC4446" w:rsidRPr="00FC4446" w:rsidP="59EC8B78" w14:paraId="37387B5B"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0CE112CD" w14:textId="5CD4941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0.5</w:t>
            </w:r>
          </w:p>
        </w:tc>
        <w:tc>
          <w:tcPr>
            <w:tcW w:w="360" w:type="dxa"/>
          </w:tcPr>
          <w:p w:rsidR="00FC4446" w:rsidRPr="00FC4446" w:rsidP="59EC8B78" w14:paraId="319AF38D"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vAlign w:val="center"/>
          </w:tcPr>
          <w:p w:rsidR="00FC4446" w:rsidRPr="00FC4446" w:rsidP="59EC8B78" w14:paraId="207E4117" w14:textId="5A56416F">
            <w:pPr>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75</w:t>
            </w:r>
          </w:p>
        </w:tc>
      </w:tr>
      <w:tr w14:paraId="35060E52" w14:textId="77777777" w:rsidTr="0AACF6AF">
        <w:tblPrEx>
          <w:tblW w:w="9378" w:type="dxa"/>
          <w:tblLayout w:type="fixed"/>
          <w:tblLook w:val="01E0"/>
        </w:tblPrEx>
        <w:tc>
          <w:tcPr>
            <w:tcW w:w="3865" w:type="dxa"/>
          </w:tcPr>
          <w:p w:rsidR="00FC4446" w:rsidRPr="00FC4446" w:rsidP="00FC4446" w14:paraId="1018DADC" w14:textId="6F803517">
            <w:pPr>
              <w:tabs>
                <w:tab w:val="left" w:pos="-2070"/>
              </w:tabs>
              <w:suppressAutoHyphens w:val="0"/>
              <w:overflowPunct w:val="0"/>
              <w:autoSpaceDE w:val="0"/>
              <w:autoSpaceDN w:val="0"/>
              <w:adjustRightInd w:val="0"/>
              <w:textAlignment w:val="baseline"/>
              <w:rPr>
                <w:kern w:val="0"/>
                <w:sz w:val="20"/>
                <w:szCs w:val="20"/>
                <w:lang w:eastAsia="en-US"/>
              </w:rPr>
            </w:pPr>
          </w:p>
        </w:tc>
        <w:tc>
          <w:tcPr>
            <w:tcW w:w="1350" w:type="dxa"/>
          </w:tcPr>
          <w:p w:rsidR="00FC4446" w:rsidRPr="00FC4446" w:rsidP="59EC8B78" w14:paraId="2490F347" w14:textId="3517DCD9">
            <w:pPr>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59EC8B78" w14:paraId="67D1BDF6"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74717808" w14:textId="7F6732E1">
            <w:pPr>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59EC8B78" w14:paraId="4016B9CD"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42E2C0B8" w14:textId="7EB84CCC">
            <w:pPr>
              <w:suppressAutoHyphens w:val="0"/>
              <w:overflowPunct w:val="0"/>
              <w:autoSpaceDE w:val="0"/>
              <w:autoSpaceDN w:val="0"/>
              <w:adjustRightInd w:val="0"/>
              <w:jc w:val="center"/>
              <w:textAlignment w:val="baseline"/>
              <w:rPr>
                <w:kern w:val="0"/>
                <w:sz w:val="20"/>
                <w:szCs w:val="20"/>
                <w:lang w:eastAsia="en-US"/>
              </w:rPr>
            </w:pPr>
          </w:p>
        </w:tc>
        <w:tc>
          <w:tcPr>
            <w:tcW w:w="360" w:type="dxa"/>
          </w:tcPr>
          <w:p w:rsidR="00FC4446" w:rsidRPr="00FC4446" w:rsidP="59EC8B78" w14:paraId="1008251E"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vAlign w:val="center"/>
          </w:tcPr>
          <w:p w:rsidR="00FC4446" w:rsidRPr="00FC4446" w:rsidP="59EC8B78" w14:paraId="2384B44F" w14:textId="0B636221">
            <w:pPr>
              <w:suppressAutoHyphens w:val="0"/>
              <w:overflowPunct w:val="0"/>
              <w:autoSpaceDE w:val="0"/>
              <w:autoSpaceDN w:val="0"/>
              <w:adjustRightInd w:val="0"/>
              <w:jc w:val="right"/>
              <w:textAlignment w:val="baseline"/>
              <w:rPr>
                <w:color w:val="000000"/>
                <w:kern w:val="0"/>
                <w:sz w:val="20"/>
                <w:szCs w:val="20"/>
                <w:lang w:eastAsia="en-US"/>
              </w:rPr>
            </w:pPr>
          </w:p>
        </w:tc>
      </w:tr>
      <w:tr w14:paraId="5A986C8D" w14:textId="77777777" w:rsidTr="0AACF6AF">
        <w:tblPrEx>
          <w:tblW w:w="9378" w:type="dxa"/>
          <w:tblLayout w:type="fixed"/>
          <w:tblLook w:val="01E0"/>
        </w:tblPrEx>
        <w:tc>
          <w:tcPr>
            <w:tcW w:w="3865" w:type="dxa"/>
          </w:tcPr>
          <w:p w:rsidR="00FC4446" w:rsidRPr="00FC4446" w:rsidP="00FC4446" w14:paraId="77B1EC4E" w14:textId="77777777">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 xml:space="preserve"> TOTAL COLLECTION</w:t>
            </w:r>
          </w:p>
        </w:tc>
        <w:tc>
          <w:tcPr>
            <w:tcW w:w="1350" w:type="dxa"/>
          </w:tcPr>
          <w:p w:rsidR="00FC4446" w:rsidRPr="00FC4446" w:rsidP="59EC8B78" w14:paraId="7FC35C33" w14:textId="12961EA3">
            <w:pPr>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59EC8B78" w14:paraId="04B51814"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32695B02" w14:textId="77777777">
            <w:pPr>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59EC8B78" w14:paraId="0ED527DB"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2266C504" w14:textId="77777777">
            <w:pPr>
              <w:suppressAutoHyphens w:val="0"/>
              <w:overflowPunct w:val="0"/>
              <w:autoSpaceDE w:val="0"/>
              <w:autoSpaceDN w:val="0"/>
              <w:adjustRightInd w:val="0"/>
              <w:jc w:val="right"/>
              <w:textAlignment w:val="baseline"/>
              <w:rPr>
                <w:kern w:val="0"/>
                <w:sz w:val="20"/>
                <w:szCs w:val="20"/>
                <w:lang w:eastAsia="en-US"/>
              </w:rPr>
            </w:pPr>
          </w:p>
        </w:tc>
        <w:tc>
          <w:tcPr>
            <w:tcW w:w="360" w:type="dxa"/>
          </w:tcPr>
          <w:p w:rsidR="00FC4446" w:rsidRPr="00FC4446" w:rsidP="59EC8B78" w14:paraId="5BA0F6BB"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Pr>
          <w:p w:rsidR="00FC4446" w:rsidRPr="00FC4446" w:rsidP="59EC8B78" w14:paraId="49263A53" w14:textId="3A191917">
            <w:pPr>
              <w:suppressAutoHyphens w:val="0"/>
              <w:overflowPunct w:val="0"/>
              <w:autoSpaceDE w:val="0"/>
              <w:autoSpaceDN w:val="0"/>
              <w:adjustRightInd w:val="0"/>
              <w:jc w:val="right"/>
              <w:textAlignment w:val="baseline"/>
              <w:rPr>
                <w:kern w:val="0"/>
                <w:sz w:val="20"/>
                <w:szCs w:val="20"/>
                <w:lang w:eastAsia="en-US"/>
              </w:rPr>
            </w:pPr>
            <w:r>
              <w:rPr>
                <w:kern w:val="0"/>
                <w:sz w:val="20"/>
                <w:szCs w:val="20"/>
                <w:lang w:eastAsia="en-US"/>
              </w:rPr>
              <w:t>150</w:t>
            </w:r>
          </w:p>
        </w:tc>
      </w:tr>
    </w:tbl>
    <w:p w:rsidR="00B510AC" w:rsidP="001A25A1" w14:paraId="0FE5529C" w14:textId="77777777">
      <w:pPr>
        <w:pStyle w:val="BodyTextIndent"/>
        <w:tabs>
          <w:tab w:val="left" w:pos="-2790"/>
          <w:tab w:val="clear" w:pos="450"/>
        </w:tabs>
      </w:pPr>
    </w:p>
    <w:p w:rsidR="00AC21FB" w:rsidP="00B111ED" w14:paraId="03A70DDA" w14:textId="77777777">
      <w:pPr>
        <w:pStyle w:val="BodyTextIndent"/>
        <w:tabs>
          <w:tab w:val="clear" w:pos="450"/>
          <w:tab w:val="left" w:pos="540"/>
        </w:tabs>
        <w:ind w:left="0" w:firstLine="0"/>
      </w:pPr>
    </w:p>
    <w:p w:rsidR="00AC21FB" w:rsidP="004B175A" w14:paraId="516C4A73" w14:textId="77777777">
      <w:pPr>
        <w:pStyle w:val="BodyTextIndent"/>
        <w:tabs>
          <w:tab w:val="clear" w:pos="450"/>
        </w:tabs>
        <w:ind w:left="0" w:firstLine="0"/>
      </w:pPr>
      <w:r>
        <w:t>The cost to respondents of the estimated hour burden is shown in the following table:</w:t>
      </w:r>
    </w:p>
    <w:p w:rsidR="00AC21FB" w:rsidP="008A6077" w14:paraId="4270F66B" w14:textId="77777777">
      <w:pPr>
        <w:pStyle w:val="BodyTextIndent"/>
        <w:tabs>
          <w:tab w:val="clear" w:pos="450"/>
          <w:tab w:val="left" w:pos="540"/>
        </w:tabs>
        <w:ind w:left="1080" w:firstLine="0"/>
      </w:pPr>
    </w:p>
    <w:p w:rsidR="00AC21FB" w:rsidP="008A6077" w14:paraId="55BA1187" w14:textId="77777777">
      <w:pPr>
        <w:pStyle w:val="BodyTextIndent"/>
        <w:tabs>
          <w:tab w:val="clear" w:pos="450"/>
          <w:tab w:val="left" w:pos="540"/>
        </w:tabs>
        <w:ind w:left="1080" w:firstLine="0"/>
      </w:pPr>
    </w:p>
    <w:tbl>
      <w:tblPr>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065"/>
        <w:gridCol w:w="236"/>
        <w:gridCol w:w="1062"/>
        <w:gridCol w:w="288"/>
        <w:gridCol w:w="990"/>
        <w:gridCol w:w="450"/>
        <w:gridCol w:w="1170"/>
      </w:tblGrid>
      <w:tr w14:paraId="6C7B91FB" w14:textId="77777777" w:rsidTr="59EC8B78">
        <w:tblPrEx>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10" w:type="dxa"/>
            <w:shd w:val="clear" w:color="auto" w:fill="3333CC"/>
          </w:tcPr>
          <w:p w:rsidR="00DA5AC1" w:rsidRPr="00DA5AC1" w:rsidP="00DA5AC1" w14:paraId="69DB20A3" w14:textId="77777777">
            <w:pPr>
              <w:tabs>
                <w:tab w:val="left" w:pos="540"/>
              </w:tabs>
              <w:suppressAutoHyphens w:val="0"/>
              <w:overflowPunct w:val="0"/>
              <w:autoSpaceDE w:val="0"/>
              <w:autoSpaceDN w:val="0"/>
              <w:adjustRightInd w:val="0"/>
              <w:ind w:right="-98"/>
              <w:jc w:val="center"/>
              <w:textAlignment w:val="baseline"/>
              <w:rPr>
                <w:b/>
                <w:color w:val="FFFFFF"/>
                <w:kern w:val="0"/>
                <w:sz w:val="18"/>
                <w:szCs w:val="18"/>
                <w:lang w:eastAsia="en-US"/>
              </w:rPr>
            </w:pPr>
            <w:bookmarkStart w:id="1" w:name="_Hlk137547445"/>
          </w:p>
          <w:p w:rsidR="00DA5AC1" w:rsidRPr="00DA5AC1" w:rsidP="00DA5AC1" w14:paraId="167FF49E" w14:textId="72891BAC">
            <w:pPr>
              <w:tabs>
                <w:tab w:val="left" w:pos="-2790"/>
              </w:tabs>
              <w:suppressAutoHyphens w:val="0"/>
              <w:overflowPunct w:val="0"/>
              <w:autoSpaceDE w:val="0"/>
              <w:autoSpaceDN w:val="0"/>
              <w:adjustRightInd w:val="0"/>
              <w:ind w:right="-98"/>
              <w:jc w:val="center"/>
              <w:textAlignment w:val="baseline"/>
              <w:rPr>
                <w:b/>
                <w:color w:val="FFFFFF"/>
                <w:kern w:val="0"/>
                <w:sz w:val="18"/>
                <w:szCs w:val="18"/>
                <w:lang w:eastAsia="en-US"/>
              </w:rPr>
            </w:pPr>
            <w:r>
              <w:rPr>
                <w:b/>
                <w:color w:val="FFFFFF"/>
                <w:kern w:val="0"/>
                <w:sz w:val="18"/>
                <w:szCs w:val="18"/>
                <w:lang w:eastAsia="en-US"/>
              </w:rPr>
              <w:t>Respondent Type</w:t>
            </w:r>
          </w:p>
        </w:tc>
        <w:tc>
          <w:tcPr>
            <w:tcW w:w="1065" w:type="dxa"/>
            <w:shd w:val="clear" w:color="auto" w:fill="3333CC"/>
          </w:tcPr>
          <w:p w:rsidR="00DA5AC1" w:rsidRPr="00DA5AC1" w:rsidP="00DA5AC1" w14:paraId="45D81E5A" w14:textId="77777777">
            <w:pPr>
              <w:tabs>
                <w:tab w:val="left" w:pos="-6229"/>
              </w:tabs>
              <w:suppressAutoHyphens w:val="0"/>
              <w:overflowPunct w:val="0"/>
              <w:autoSpaceDE w:val="0"/>
              <w:autoSpaceDN w:val="0"/>
              <w:adjustRightInd w:val="0"/>
              <w:ind w:right="73"/>
              <w:jc w:val="center"/>
              <w:textAlignment w:val="baseline"/>
              <w:rPr>
                <w:b/>
                <w:color w:val="FFFFFF"/>
                <w:kern w:val="0"/>
                <w:sz w:val="18"/>
                <w:szCs w:val="18"/>
                <w:lang w:eastAsia="en-US"/>
              </w:rPr>
            </w:pPr>
            <w:r w:rsidRPr="00DA5AC1">
              <w:rPr>
                <w:b/>
                <w:color w:val="FFFFFF"/>
                <w:kern w:val="0"/>
                <w:sz w:val="18"/>
                <w:szCs w:val="18"/>
                <w:lang w:eastAsia="en-US"/>
              </w:rPr>
              <w:t>Number of responses</w:t>
            </w:r>
          </w:p>
        </w:tc>
        <w:tc>
          <w:tcPr>
            <w:tcW w:w="236" w:type="dxa"/>
            <w:shd w:val="clear" w:color="auto" w:fill="3333CC"/>
            <w:vAlign w:val="center"/>
          </w:tcPr>
          <w:p w:rsidR="00DA5AC1" w:rsidRPr="00DA5AC1" w:rsidP="00DA5AC1" w14:paraId="0F112B1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062" w:type="dxa"/>
            <w:shd w:val="clear" w:color="auto" w:fill="3333CC"/>
          </w:tcPr>
          <w:p w:rsidR="00DA5AC1" w:rsidRPr="00DA5AC1" w:rsidP="00DA5AC1" w14:paraId="20AE6394" w14:textId="1B11F68A">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 xml:space="preserve">Hours per response </w:t>
            </w:r>
          </w:p>
        </w:tc>
        <w:tc>
          <w:tcPr>
            <w:tcW w:w="288" w:type="dxa"/>
            <w:shd w:val="clear" w:color="auto" w:fill="3333CC"/>
            <w:vAlign w:val="center"/>
          </w:tcPr>
          <w:p w:rsidR="00DA5AC1" w:rsidRPr="00DA5AC1" w:rsidP="00DA5AC1" w14:paraId="5D2ED8EA"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990" w:type="dxa"/>
            <w:shd w:val="clear" w:color="auto" w:fill="3333CC"/>
          </w:tcPr>
          <w:p w:rsidR="00DA5AC1" w:rsidRPr="00DA5AC1" w:rsidP="00DA5AC1" w14:paraId="69447307" w14:textId="6FE4520E">
            <w:pPr>
              <w:tabs>
                <w:tab w:val="left" w:pos="-9925"/>
                <w:tab w:val="left" w:pos="-9808"/>
              </w:tabs>
              <w:suppressAutoHyphens w:val="0"/>
              <w:overflowPunct w:val="0"/>
              <w:autoSpaceDE w:val="0"/>
              <w:autoSpaceDN w:val="0"/>
              <w:adjustRightInd w:val="0"/>
              <w:ind w:left="2" w:right="72"/>
              <w:jc w:val="center"/>
              <w:textAlignment w:val="baseline"/>
              <w:rPr>
                <w:b/>
                <w:color w:val="FFFFFF"/>
                <w:kern w:val="0"/>
                <w:sz w:val="18"/>
                <w:szCs w:val="18"/>
                <w:lang w:eastAsia="en-US"/>
              </w:rPr>
            </w:pPr>
            <w:r w:rsidRPr="00DA5AC1">
              <w:rPr>
                <w:b/>
                <w:color w:val="FFFFFF"/>
                <w:kern w:val="0"/>
                <w:sz w:val="18"/>
                <w:szCs w:val="18"/>
                <w:lang w:eastAsia="en-US"/>
              </w:rPr>
              <w:t xml:space="preserve">Cost per </w:t>
            </w:r>
            <w:r w:rsidR="00EE4C97">
              <w:rPr>
                <w:b/>
                <w:color w:val="FFFFFF"/>
                <w:kern w:val="0"/>
                <w:sz w:val="18"/>
                <w:szCs w:val="18"/>
                <w:lang w:eastAsia="en-US"/>
              </w:rPr>
              <w:t>Response</w:t>
            </w:r>
          </w:p>
        </w:tc>
        <w:tc>
          <w:tcPr>
            <w:tcW w:w="450" w:type="dxa"/>
            <w:shd w:val="clear" w:color="auto" w:fill="3333CC"/>
          </w:tcPr>
          <w:p w:rsidR="00DA5AC1" w:rsidRPr="00DA5AC1" w:rsidP="00DA5AC1" w14:paraId="01FDD493" w14:textId="77777777">
            <w:pPr>
              <w:suppressAutoHyphens w:val="0"/>
              <w:overflowPunct w:val="0"/>
              <w:autoSpaceDE w:val="0"/>
              <w:autoSpaceDN w:val="0"/>
              <w:adjustRightInd w:val="0"/>
              <w:jc w:val="center"/>
              <w:textAlignment w:val="baseline"/>
              <w:rPr>
                <w:b/>
                <w:color w:val="FFFFFF"/>
                <w:kern w:val="0"/>
                <w:sz w:val="18"/>
                <w:szCs w:val="18"/>
                <w:lang w:eastAsia="en-US"/>
              </w:rPr>
            </w:pPr>
          </w:p>
          <w:p w:rsidR="00DA5AC1" w:rsidRPr="00DA5AC1" w:rsidP="00DA5AC1" w14:paraId="01D0B6A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170" w:type="dxa"/>
            <w:shd w:val="clear" w:color="auto" w:fill="3333CC"/>
          </w:tcPr>
          <w:p w:rsidR="00DA5AC1" w:rsidRPr="00DA5AC1" w:rsidP="00DA5AC1" w14:paraId="3EFB5DA4"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p>
          <w:p w:rsidR="00DA5AC1" w:rsidRPr="00DA5AC1" w:rsidP="00DA5AC1" w14:paraId="4C441F8F"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r w:rsidRPr="00DA5AC1">
              <w:rPr>
                <w:b/>
                <w:color w:val="FFFFFF"/>
                <w:kern w:val="0"/>
                <w:sz w:val="18"/>
                <w:szCs w:val="18"/>
                <w:lang w:eastAsia="en-US"/>
              </w:rPr>
              <w:t>Total Cost</w:t>
            </w:r>
          </w:p>
        </w:tc>
      </w:tr>
      <w:tr w14:paraId="1198D08A" w14:textId="77777777" w:rsidTr="59EC8B78">
        <w:tblPrEx>
          <w:tblW w:w="8771" w:type="dxa"/>
          <w:tblInd w:w="85" w:type="dxa"/>
          <w:tblLayout w:type="fixed"/>
          <w:tblLook w:val="01E0"/>
        </w:tblPrEx>
        <w:tc>
          <w:tcPr>
            <w:tcW w:w="3510" w:type="dxa"/>
          </w:tcPr>
          <w:p w:rsidR="00473073" w:rsidRPr="00DA5AC1" w:rsidP="00473073" w14:paraId="5B9C2CA3" w14:textId="47F9BB93">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Form 1030</w:t>
            </w:r>
          </w:p>
        </w:tc>
        <w:tc>
          <w:tcPr>
            <w:tcW w:w="1065" w:type="dxa"/>
          </w:tcPr>
          <w:p w:rsidR="00473073" w:rsidRPr="00DA5AC1" w:rsidP="59EC8B78" w14:paraId="11695D22" w14:textId="252CE6F6">
            <w:pPr>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150</w:t>
            </w:r>
          </w:p>
        </w:tc>
        <w:tc>
          <w:tcPr>
            <w:tcW w:w="236" w:type="dxa"/>
          </w:tcPr>
          <w:p w:rsidR="00473073" w:rsidRPr="00DA5AC1" w:rsidP="00473073" w14:paraId="122694C1"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6D257AD0" w14:textId="3FD49DD6">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0.5</w:t>
            </w:r>
          </w:p>
        </w:tc>
        <w:tc>
          <w:tcPr>
            <w:tcW w:w="288" w:type="dxa"/>
          </w:tcPr>
          <w:p w:rsidR="00473073" w:rsidRPr="00DA5AC1" w:rsidP="00473073" w14:paraId="51E5816F"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6CA37389" w14:textId="46A53938">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00A72D6C">
              <w:rPr>
                <w:kern w:val="0"/>
                <w:sz w:val="20"/>
                <w:szCs w:val="20"/>
                <w:lang w:eastAsia="en-US"/>
              </w:rPr>
              <w:t>59.24</w:t>
            </w:r>
          </w:p>
        </w:tc>
        <w:tc>
          <w:tcPr>
            <w:tcW w:w="450" w:type="dxa"/>
          </w:tcPr>
          <w:p w:rsidR="00473073" w:rsidRPr="00DA5AC1" w:rsidP="00473073" w14:paraId="55944468"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34112A84" w14:textId="4B90E89E">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00BF0EFA">
              <w:rPr>
                <w:kern w:val="0"/>
                <w:sz w:val="20"/>
                <w:szCs w:val="20"/>
                <w:lang w:eastAsia="en-US"/>
              </w:rPr>
              <w:t>8,886</w:t>
            </w:r>
          </w:p>
        </w:tc>
      </w:tr>
      <w:tr w14:paraId="6256D09D" w14:textId="77777777" w:rsidTr="59EC8B78">
        <w:tblPrEx>
          <w:tblW w:w="8771" w:type="dxa"/>
          <w:tblInd w:w="85" w:type="dxa"/>
          <w:tblLayout w:type="fixed"/>
          <w:tblLook w:val="01E0"/>
        </w:tblPrEx>
        <w:tc>
          <w:tcPr>
            <w:tcW w:w="3510" w:type="dxa"/>
          </w:tcPr>
          <w:p w:rsidR="00473073" w:rsidRPr="00DA5AC1" w:rsidP="00473073" w14:paraId="2E84F5A8" w14:textId="3C47524D">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Form 1032</w:t>
            </w:r>
          </w:p>
        </w:tc>
        <w:tc>
          <w:tcPr>
            <w:tcW w:w="1065" w:type="dxa"/>
          </w:tcPr>
          <w:p w:rsidR="00473073" w:rsidRPr="00DA5AC1" w:rsidP="59EC8B78" w14:paraId="3DD0F85C" w14:textId="1138D5FC">
            <w:pPr>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150</w:t>
            </w:r>
          </w:p>
        </w:tc>
        <w:tc>
          <w:tcPr>
            <w:tcW w:w="236" w:type="dxa"/>
          </w:tcPr>
          <w:p w:rsidR="00473073" w:rsidRPr="00DA5AC1" w:rsidP="00473073" w14:paraId="14D4C275"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4134BE99" w14:textId="05631CBA">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0.5</w:t>
            </w:r>
          </w:p>
        </w:tc>
        <w:tc>
          <w:tcPr>
            <w:tcW w:w="288" w:type="dxa"/>
          </w:tcPr>
          <w:p w:rsidR="00473073" w:rsidRPr="00DA5AC1" w:rsidP="00473073" w14:paraId="1F80C0FC"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29784F60" w14:textId="4C75DD31">
            <w:pPr>
              <w:suppressAutoHyphens w:val="0"/>
              <w:overflowPunct w:val="0"/>
              <w:autoSpaceDE w:val="0"/>
              <w:autoSpaceDN w:val="0"/>
              <w:adjustRightInd w:val="0"/>
              <w:ind w:left="2" w:right="72"/>
              <w:jc w:val="center"/>
              <w:textAlignment w:val="baseline"/>
              <w:rPr>
                <w:kern w:val="0"/>
                <w:sz w:val="20"/>
                <w:szCs w:val="20"/>
                <w:lang w:eastAsia="en-US"/>
              </w:rPr>
            </w:pPr>
            <w:r>
              <w:rPr>
                <w:kern w:val="0"/>
                <w:sz w:val="20"/>
                <w:szCs w:val="20"/>
                <w:lang w:eastAsia="en-US"/>
              </w:rPr>
              <w:t>$59.24</w:t>
            </w:r>
          </w:p>
        </w:tc>
        <w:tc>
          <w:tcPr>
            <w:tcW w:w="450" w:type="dxa"/>
          </w:tcPr>
          <w:p w:rsidR="00473073" w:rsidRPr="00DA5AC1" w:rsidP="00473073" w14:paraId="0789E8D3"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59EC8B78" w14:paraId="50B59D0D" w14:textId="60B386ED">
            <w:pPr>
              <w:suppressAutoHyphens w:val="0"/>
              <w:overflowPunct w:val="0"/>
              <w:autoSpaceDE w:val="0"/>
              <w:autoSpaceDN w:val="0"/>
              <w:adjustRightInd w:val="0"/>
              <w:ind w:left="34"/>
              <w:jc w:val="right"/>
              <w:textAlignment w:val="baseline"/>
              <w:rPr>
                <w:kern w:val="0"/>
                <w:sz w:val="20"/>
                <w:szCs w:val="20"/>
                <w:lang w:eastAsia="en-US"/>
              </w:rPr>
            </w:pPr>
            <w:r>
              <w:rPr>
                <w:kern w:val="0"/>
                <w:sz w:val="20"/>
                <w:szCs w:val="20"/>
                <w:lang w:eastAsia="en-US"/>
              </w:rPr>
              <w:t>$</w:t>
            </w:r>
            <w:r w:rsidR="0064229C">
              <w:rPr>
                <w:kern w:val="0"/>
                <w:sz w:val="20"/>
                <w:szCs w:val="20"/>
                <w:lang w:eastAsia="en-US"/>
              </w:rPr>
              <w:t>8,886</w:t>
            </w:r>
          </w:p>
        </w:tc>
      </w:tr>
      <w:tr w14:paraId="6BD7649C" w14:textId="77777777" w:rsidTr="59EC8B78">
        <w:tblPrEx>
          <w:tblW w:w="8771" w:type="dxa"/>
          <w:tblInd w:w="85" w:type="dxa"/>
          <w:tblLayout w:type="fixed"/>
          <w:tblLook w:val="01E0"/>
        </w:tblPrEx>
        <w:tc>
          <w:tcPr>
            <w:tcW w:w="3510" w:type="dxa"/>
          </w:tcPr>
          <w:p w:rsidR="00473073" w:rsidRPr="00DA5AC1" w:rsidP="00473073" w14:paraId="378E0F85" w14:textId="094D52B1">
            <w:pPr>
              <w:tabs>
                <w:tab w:val="left" w:pos="-2070"/>
              </w:tabs>
              <w:suppressAutoHyphens w:val="0"/>
              <w:overflowPunct w:val="0"/>
              <w:autoSpaceDE w:val="0"/>
              <w:autoSpaceDN w:val="0"/>
              <w:adjustRightInd w:val="0"/>
              <w:textAlignment w:val="baseline"/>
              <w:rPr>
                <w:kern w:val="0"/>
                <w:sz w:val="20"/>
                <w:szCs w:val="20"/>
                <w:lang w:eastAsia="en-US"/>
              </w:rPr>
            </w:pPr>
          </w:p>
        </w:tc>
        <w:tc>
          <w:tcPr>
            <w:tcW w:w="1065" w:type="dxa"/>
          </w:tcPr>
          <w:p w:rsidR="00473073" w:rsidRPr="00DA5AC1" w:rsidP="59EC8B78" w14:paraId="5FF63E27" w14:textId="41B9A074">
            <w:pPr>
              <w:suppressAutoHyphens w:val="0"/>
              <w:overflowPunct w:val="0"/>
              <w:autoSpaceDE w:val="0"/>
              <w:autoSpaceDN w:val="0"/>
              <w:adjustRightInd w:val="0"/>
              <w:ind w:right="73"/>
              <w:jc w:val="center"/>
              <w:textAlignment w:val="baseline"/>
              <w:rPr>
                <w:kern w:val="0"/>
                <w:sz w:val="20"/>
                <w:szCs w:val="20"/>
                <w:lang w:eastAsia="en-US"/>
              </w:rPr>
            </w:pPr>
          </w:p>
        </w:tc>
        <w:tc>
          <w:tcPr>
            <w:tcW w:w="236" w:type="dxa"/>
          </w:tcPr>
          <w:p w:rsidR="00473073" w:rsidRPr="00DA5AC1" w:rsidP="00473073" w14:paraId="04BB3A09"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1DAE12E9" w14:textId="6F2D8E51">
            <w:pPr>
              <w:suppressAutoHyphens w:val="0"/>
              <w:overflowPunct w:val="0"/>
              <w:autoSpaceDE w:val="0"/>
              <w:autoSpaceDN w:val="0"/>
              <w:adjustRightInd w:val="0"/>
              <w:jc w:val="center"/>
              <w:textAlignment w:val="baseline"/>
              <w:rPr>
                <w:kern w:val="0"/>
                <w:sz w:val="20"/>
                <w:szCs w:val="20"/>
                <w:lang w:eastAsia="en-US"/>
              </w:rPr>
            </w:pPr>
          </w:p>
        </w:tc>
        <w:tc>
          <w:tcPr>
            <w:tcW w:w="288" w:type="dxa"/>
          </w:tcPr>
          <w:p w:rsidR="00473073" w:rsidRPr="00DA5AC1" w:rsidP="00473073" w14:paraId="3A182B7E"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4C49591D" w14:textId="6EDB53DF">
            <w:pPr>
              <w:suppressAutoHyphens w:val="0"/>
              <w:overflowPunct w:val="0"/>
              <w:autoSpaceDE w:val="0"/>
              <w:autoSpaceDN w:val="0"/>
              <w:adjustRightInd w:val="0"/>
              <w:ind w:left="2" w:right="72"/>
              <w:jc w:val="center"/>
              <w:textAlignment w:val="baseline"/>
              <w:rPr>
                <w:kern w:val="0"/>
                <w:sz w:val="20"/>
                <w:szCs w:val="20"/>
                <w:lang w:eastAsia="en-US"/>
              </w:rPr>
            </w:pPr>
          </w:p>
        </w:tc>
        <w:tc>
          <w:tcPr>
            <w:tcW w:w="450" w:type="dxa"/>
          </w:tcPr>
          <w:p w:rsidR="00473073" w:rsidRPr="00DA5AC1" w:rsidP="00473073" w14:paraId="34EC8D4B"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71F55554" w14:textId="753434D2">
            <w:pPr>
              <w:suppressAutoHyphens w:val="0"/>
              <w:overflowPunct w:val="0"/>
              <w:autoSpaceDE w:val="0"/>
              <w:autoSpaceDN w:val="0"/>
              <w:adjustRightInd w:val="0"/>
              <w:ind w:left="34"/>
              <w:jc w:val="right"/>
              <w:textAlignment w:val="baseline"/>
              <w:rPr>
                <w:kern w:val="0"/>
                <w:sz w:val="20"/>
                <w:szCs w:val="20"/>
                <w:lang w:eastAsia="en-US"/>
              </w:rPr>
            </w:pPr>
          </w:p>
        </w:tc>
      </w:tr>
      <w:tr w14:paraId="436F3E94" w14:textId="77777777" w:rsidTr="59EC8B78">
        <w:tblPrEx>
          <w:tblW w:w="8771" w:type="dxa"/>
          <w:tblInd w:w="85" w:type="dxa"/>
          <w:tblLayout w:type="fixed"/>
          <w:tblLook w:val="01E0"/>
        </w:tblPrEx>
        <w:tc>
          <w:tcPr>
            <w:tcW w:w="3510" w:type="dxa"/>
          </w:tcPr>
          <w:p w:rsidR="00DA5AC1" w:rsidRPr="00DA5AC1" w:rsidP="00DA5AC1" w14:paraId="6578FB08" w14:textId="77777777">
            <w:pPr>
              <w:tabs>
                <w:tab w:val="left" w:pos="-2070"/>
              </w:tabs>
              <w:suppressAutoHyphens w:val="0"/>
              <w:overflowPunct w:val="0"/>
              <w:autoSpaceDE w:val="0"/>
              <w:autoSpaceDN w:val="0"/>
              <w:adjustRightInd w:val="0"/>
              <w:textAlignment w:val="baseline"/>
              <w:rPr>
                <w:kern w:val="0"/>
                <w:sz w:val="20"/>
                <w:szCs w:val="20"/>
                <w:lang w:eastAsia="en-US"/>
              </w:rPr>
            </w:pPr>
            <w:r w:rsidRPr="00DA5AC1">
              <w:rPr>
                <w:kern w:val="0"/>
                <w:sz w:val="20"/>
                <w:szCs w:val="20"/>
                <w:lang w:eastAsia="en-US"/>
              </w:rPr>
              <w:t>TOTAL COLLECTION</w:t>
            </w:r>
          </w:p>
        </w:tc>
        <w:tc>
          <w:tcPr>
            <w:tcW w:w="1065" w:type="dxa"/>
          </w:tcPr>
          <w:p w:rsidR="00DA5AC1" w:rsidRPr="00DA5AC1" w:rsidP="59EC8B78" w14:paraId="6D433C0B" w14:textId="77777777">
            <w:pPr>
              <w:suppressAutoHyphens w:val="0"/>
              <w:overflowPunct w:val="0"/>
              <w:autoSpaceDE w:val="0"/>
              <w:autoSpaceDN w:val="0"/>
              <w:adjustRightInd w:val="0"/>
              <w:ind w:right="73"/>
              <w:jc w:val="center"/>
              <w:textAlignment w:val="baseline"/>
              <w:rPr>
                <w:kern w:val="0"/>
                <w:sz w:val="20"/>
                <w:szCs w:val="20"/>
                <w:lang w:eastAsia="en-US"/>
              </w:rPr>
            </w:pPr>
          </w:p>
        </w:tc>
        <w:tc>
          <w:tcPr>
            <w:tcW w:w="236" w:type="dxa"/>
          </w:tcPr>
          <w:p w:rsidR="00DA5AC1" w:rsidRPr="00DA5AC1" w:rsidP="00DA5AC1" w14:paraId="47635F8B"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DA5AC1" w:rsidRPr="00DA5AC1" w:rsidP="00DA5AC1" w14:paraId="4A55208D" w14:textId="77777777">
            <w:pPr>
              <w:suppressAutoHyphens w:val="0"/>
              <w:overflowPunct w:val="0"/>
              <w:autoSpaceDE w:val="0"/>
              <w:autoSpaceDN w:val="0"/>
              <w:adjustRightInd w:val="0"/>
              <w:jc w:val="center"/>
              <w:textAlignment w:val="baseline"/>
              <w:rPr>
                <w:kern w:val="0"/>
                <w:sz w:val="20"/>
                <w:szCs w:val="20"/>
                <w:lang w:eastAsia="en-US"/>
              </w:rPr>
            </w:pPr>
          </w:p>
        </w:tc>
        <w:tc>
          <w:tcPr>
            <w:tcW w:w="288" w:type="dxa"/>
          </w:tcPr>
          <w:p w:rsidR="00DA5AC1" w:rsidRPr="00DA5AC1" w:rsidP="00DA5AC1" w14:paraId="3ECE9EE2"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DA5AC1" w:rsidRPr="00DA5AC1" w:rsidP="59EC8B78" w14:paraId="17B21FE4" w14:textId="77777777">
            <w:pPr>
              <w:suppressAutoHyphens w:val="0"/>
              <w:overflowPunct w:val="0"/>
              <w:autoSpaceDE w:val="0"/>
              <w:autoSpaceDN w:val="0"/>
              <w:adjustRightInd w:val="0"/>
              <w:ind w:left="2" w:right="72"/>
              <w:jc w:val="center"/>
              <w:textAlignment w:val="baseline"/>
              <w:rPr>
                <w:kern w:val="0"/>
                <w:sz w:val="20"/>
                <w:szCs w:val="20"/>
                <w:lang w:eastAsia="en-US"/>
              </w:rPr>
            </w:pPr>
          </w:p>
        </w:tc>
        <w:tc>
          <w:tcPr>
            <w:tcW w:w="450" w:type="dxa"/>
          </w:tcPr>
          <w:p w:rsidR="00DA5AC1" w:rsidRPr="00DA5AC1" w:rsidP="00DA5AC1" w14:paraId="277E34DD"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DA5AC1" w:rsidRPr="00DA5AC1" w:rsidP="59EC8B78" w14:paraId="2FBEBD41" w14:textId="624C220A">
            <w:pPr>
              <w:suppressAutoHyphens w:val="0"/>
              <w:overflowPunct w:val="0"/>
              <w:autoSpaceDE w:val="0"/>
              <w:autoSpaceDN w:val="0"/>
              <w:adjustRightInd w:val="0"/>
              <w:ind w:left="-90"/>
              <w:jc w:val="right"/>
              <w:textAlignment w:val="baseline"/>
              <w:rPr>
                <w:kern w:val="0"/>
                <w:sz w:val="20"/>
                <w:szCs w:val="20"/>
                <w:lang w:eastAsia="en-US"/>
              </w:rPr>
            </w:pPr>
            <w:r w:rsidRPr="59EC8B78">
              <w:rPr>
                <w:kern w:val="0"/>
                <w:sz w:val="20"/>
                <w:szCs w:val="20"/>
                <w:lang w:eastAsia="en-US"/>
              </w:rPr>
              <w:t>$</w:t>
            </w:r>
            <w:r w:rsidR="0064229C">
              <w:rPr>
                <w:sz w:val="20"/>
                <w:szCs w:val="20"/>
                <w:lang w:eastAsia="en-US"/>
              </w:rPr>
              <w:t>17,772</w:t>
            </w:r>
          </w:p>
        </w:tc>
      </w:tr>
      <w:bookmarkEnd w:id="1"/>
    </w:tbl>
    <w:p w:rsidR="003270DB" w:rsidP="003270DB" w14:paraId="4CF828A9" w14:textId="77777777">
      <w:pPr>
        <w:pStyle w:val="BodyTextIndent"/>
        <w:tabs>
          <w:tab w:val="clear" w:pos="450"/>
          <w:tab w:val="left" w:pos="540"/>
        </w:tabs>
        <w:ind w:left="0" w:firstLine="0"/>
      </w:pPr>
    </w:p>
    <w:p w:rsidR="00213F11" w:rsidP="59EC8B78" w14:paraId="749A63EC" w14:textId="3B94F2DF">
      <w:pPr>
        <w:widowControl w:val="0"/>
        <w:overflowPunct w:val="0"/>
        <w:autoSpaceDE w:val="0"/>
        <w:autoSpaceDN w:val="0"/>
        <w:adjustRightInd w:val="0"/>
        <w:jc w:val="both"/>
        <w:textAlignment w:val="baseline"/>
        <w:rPr>
          <w:kern w:val="0"/>
          <w:lang w:eastAsia="en-US"/>
        </w:rPr>
      </w:pPr>
      <w:r w:rsidRPr="59EC8B78">
        <w:rPr>
          <w:kern w:val="0"/>
          <w:lang w:eastAsia="en-US"/>
        </w:rPr>
        <w:t>The estimated hourly cost to respondents is calculated using the mean hourly wage of $</w:t>
      </w:r>
      <w:r w:rsidRPr="59EC8B78" w:rsidR="00571591">
        <w:rPr>
          <w:kern w:val="0"/>
          <w:lang w:eastAsia="en-US"/>
        </w:rPr>
        <w:t xml:space="preserve">118.48 </w:t>
      </w:r>
      <w:r w:rsidRPr="59EC8B78">
        <w:rPr>
          <w:kern w:val="0"/>
          <w:lang w:eastAsia="en-US"/>
        </w:rPr>
        <w:t>(mean annual wage of $</w:t>
      </w:r>
      <w:r w:rsidRPr="59EC8B78" w:rsidR="00D13E61">
        <w:rPr>
          <w:kern w:val="0"/>
          <w:lang w:eastAsia="en-US"/>
        </w:rPr>
        <w:t>246,440</w:t>
      </w:r>
      <w:r w:rsidRPr="59EC8B78">
        <w:rPr>
          <w:kern w:val="0"/>
          <w:lang w:eastAsia="en-US"/>
        </w:rPr>
        <w:t xml:space="preserve">) </w:t>
      </w:r>
      <w:r w:rsidRPr="59EC8B78" w:rsidR="00633B29">
        <w:rPr>
          <w:kern w:val="0"/>
          <w:lang w:eastAsia="en-US"/>
        </w:rPr>
        <w:t xml:space="preserve">for </w:t>
      </w:r>
      <w:r w:rsidRPr="59EC8B78" w:rsidR="00D13E61">
        <w:rPr>
          <w:kern w:val="0"/>
          <w:lang w:eastAsia="en-US"/>
        </w:rPr>
        <w:t>Chief Executives</w:t>
      </w:r>
      <w:r w:rsidRPr="59EC8B78">
        <w:rPr>
          <w:kern w:val="0"/>
          <w:lang w:eastAsia="en-US"/>
        </w:rPr>
        <w:t xml:space="preserve"> (rate obtained from the most recently available 2022 Bureau of Labor Statistics, Occupational Employment Statistics, </w:t>
      </w:r>
      <w:hyperlink r:id="rId12" w:history="1">
        <w:r w:rsidR="003B693A">
          <w:rPr>
            <w:color w:val="0000FF"/>
            <w:u w:val="single"/>
          </w:rPr>
          <w:t>Chief Executives</w:t>
        </w:r>
      </w:hyperlink>
      <w:r w:rsidRPr="59EC8B78">
        <w:rPr>
          <w:kern w:val="0"/>
          <w:lang w:eastAsia="en-US"/>
        </w:rPr>
        <w:t xml:space="preserve">). </w:t>
      </w:r>
    </w:p>
    <w:p w:rsidR="00AC21FB" w:rsidRPr="005E4032" w:rsidP="59EC8B78" w14:paraId="3E41F095" w14:textId="3FFA518E">
      <w:pPr>
        <w:widowControl w:val="0"/>
        <w:suppressAutoHyphens w:val="0"/>
        <w:jc w:val="both"/>
        <w:rPr>
          <w:lang w:eastAsia="en-US"/>
        </w:rPr>
      </w:pPr>
    </w:p>
    <w:p w:rsidR="00893B06" w:rsidP="00746626" w14:paraId="4D246138" w14:textId="7B32C842">
      <w:pPr>
        <w:numPr>
          <w:ilvl w:val="1"/>
          <w:numId w:val="14"/>
        </w:numPr>
        <w:suppressAutoHyphens w:val="0"/>
        <w:ind w:left="0"/>
      </w:pPr>
      <w:r w:rsidRPr="00261E48">
        <w:rPr>
          <w:u w:val="single"/>
        </w:rPr>
        <w:t>Estimate</w:t>
      </w:r>
      <w:r w:rsidR="00633B29">
        <w:rPr>
          <w:u w:val="single"/>
        </w:rPr>
        <w:t>d</w:t>
      </w:r>
      <w:r w:rsidRPr="00261E48">
        <w:rPr>
          <w:u w:val="single"/>
        </w:rPr>
        <w:t xml:space="preserve"> </w:t>
      </w:r>
      <w:r w:rsidR="00C53E13">
        <w:rPr>
          <w:u w:val="single"/>
        </w:rPr>
        <w:t>nonrecurring</w:t>
      </w:r>
      <w:r w:rsidR="00633B29">
        <w:rPr>
          <w:u w:val="single"/>
        </w:rPr>
        <w:t xml:space="preserve"> costs</w:t>
      </w:r>
      <w:r w:rsidRPr="00261E48">
        <w:rPr>
          <w:u w:val="single"/>
        </w:rPr>
        <w:t>.</w:t>
      </w:r>
    </w:p>
    <w:p w:rsidR="00893B06" w:rsidP="00E371C6" w14:paraId="07B26CA7" w14:textId="77777777">
      <w:pPr>
        <w:pStyle w:val="BodyTextIndent"/>
        <w:numPr>
          <w:ilvl w:val="0"/>
          <w:numId w:val="6"/>
        </w:numPr>
        <w:tabs>
          <w:tab w:val="left" w:pos="-2790"/>
          <w:tab w:val="clear" w:pos="450"/>
        </w:tabs>
        <w:spacing w:after="120"/>
        <w:ind w:left="900" w:hanging="450"/>
        <w:jc w:val="both"/>
      </w:pPr>
      <w:r>
        <w:t>There are no capital or start-up costs to respondents.</w:t>
      </w:r>
    </w:p>
    <w:p w:rsidR="00893B06" w:rsidP="00E371C6" w14:paraId="62FEFBD6" w14:textId="7260DB4B">
      <w:pPr>
        <w:pStyle w:val="BodyTextIndent"/>
        <w:numPr>
          <w:ilvl w:val="0"/>
          <w:numId w:val="6"/>
        </w:numPr>
        <w:tabs>
          <w:tab w:val="left" w:pos="-2790"/>
          <w:tab w:val="clear" w:pos="450"/>
        </w:tabs>
        <w:spacing w:after="120"/>
        <w:ind w:left="900" w:hanging="450"/>
        <w:jc w:val="both"/>
      </w:pPr>
      <w:r>
        <w:t xml:space="preserve">The annual cost burden for the purchase of services </w:t>
      </w:r>
      <w:r w:rsidR="00E371C6">
        <w:t xml:space="preserve">and fees </w:t>
      </w:r>
      <w:r>
        <w:t>resulting from the collection of information is estimated as follows:</w:t>
      </w:r>
    </w:p>
    <w:tbl>
      <w:tblPr>
        <w:tblW w:w="0" w:type="auto"/>
        <w:tblInd w:w="58" w:type="dxa"/>
        <w:tblLayout w:type="fixed"/>
        <w:tblLook w:val="0000"/>
      </w:tblPr>
      <w:tblGrid>
        <w:gridCol w:w="4527"/>
        <w:gridCol w:w="1080"/>
      </w:tblGrid>
      <w:tr w14:paraId="69657DCC" w14:textId="77777777" w:rsidTr="59EC8B78">
        <w:tblPrEx>
          <w:tblW w:w="0" w:type="auto"/>
          <w:tblInd w:w="58" w:type="dxa"/>
          <w:tblLayout w:type="fixed"/>
          <w:tblLook w:val="0000"/>
        </w:tblPrEx>
        <w:trPr>
          <w:trHeight w:val="255"/>
        </w:trPr>
        <w:tc>
          <w:tcPr>
            <w:tcW w:w="4527"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4A31D2" w:rsidRPr="00CB6648" w:rsidP="008A6077" w14:paraId="6B103148" w14:textId="32009859">
            <w:pPr>
              <w:snapToGrid w:val="0"/>
              <w:rPr>
                <w:b/>
                <w:bCs/>
                <w:color w:val="FFFFFF" w:themeColor="background1"/>
                <w:sz w:val="18"/>
                <w:szCs w:val="18"/>
              </w:rPr>
            </w:pPr>
            <w:r w:rsidRPr="00CB6648">
              <w:rPr>
                <w:b/>
                <w:bCs/>
                <w:color w:val="FFFFFF" w:themeColor="background1"/>
                <w:sz w:val="18"/>
                <w:szCs w:val="18"/>
              </w:rPr>
              <w:t>Estimated Expense</w:t>
            </w:r>
            <w:r w:rsidR="0073038C">
              <w:rPr>
                <w:b/>
                <w:bCs/>
                <w:color w:val="FFFFFF" w:themeColor="background1"/>
                <w:sz w:val="18"/>
                <w:szCs w:val="18"/>
              </w:rPr>
              <w:t>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CC"/>
            <w:vAlign w:val="bottom"/>
          </w:tcPr>
          <w:p w:rsidR="004A31D2" w:rsidRPr="00CB6648" w:rsidP="008A6077" w14:paraId="5EF1480A" w14:textId="77777777">
            <w:pPr>
              <w:snapToGrid w:val="0"/>
              <w:jc w:val="center"/>
              <w:rPr>
                <w:b/>
                <w:bCs/>
                <w:color w:val="FFFFFF" w:themeColor="background1"/>
                <w:sz w:val="18"/>
                <w:szCs w:val="18"/>
              </w:rPr>
            </w:pPr>
            <w:r w:rsidRPr="00CB6648">
              <w:rPr>
                <w:b/>
                <w:bCs/>
                <w:color w:val="FFFFFF" w:themeColor="background1"/>
                <w:sz w:val="18"/>
                <w:szCs w:val="18"/>
              </w:rPr>
              <w:t>Total</w:t>
            </w:r>
          </w:p>
        </w:tc>
      </w:tr>
      <w:tr w14:paraId="10D8F53E"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7597F6F7" w14:textId="0536A607">
            <w:pPr>
              <w:snapToGrid w:val="0"/>
              <w:rPr>
                <w:color w:val="000000"/>
                <w:sz w:val="18"/>
                <w:szCs w:val="18"/>
              </w:rPr>
            </w:pP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5914DFC2" w14:textId="4F5183B5">
            <w:pPr>
              <w:snapToGrid w:val="0"/>
              <w:jc w:val="right"/>
              <w:rPr>
                <w:color w:val="000000"/>
                <w:sz w:val="18"/>
                <w:szCs w:val="18"/>
              </w:rPr>
            </w:pPr>
          </w:p>
        </w:tc>
      </w:tr>
      <w:tr w14:paraId="45E4CF94"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6E44F4E2" w14:textId="77777777">
            <w:pPr>
              <w:snapToGrid w:val="0"/>
              <w:rPr>
                <w:color w:val="000000"/>
                <w:sz w:val="18"/>
                <w:szCs w:val="18"/>
              </w:rPr>
            </w:pPr>
            <w:r w:rsidRPr="00CB6648">
              <w:rPr>
                <w:color w:val="000000"/>
                <w:sz w:val="18"/>
                <w:szCs w:val="18"/>
              </w:rPr>
              <w:t>Accounting/financial advisory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38B654ED" w14:textId="75532DBB">
            <w:pPr>
              <w:snapToGrid w:val="0"/>
              <w:jc w:val="right"/>
              <w:rPr>
                <w:color w:val="000000"/>
                <w:sz w:val="18"/>
                <w:szCs w:val="18"/>
              </w:rPr>
            </w:pPr>
            <w:r w:rsidRPr="00CB6648">
              <w:rPr>
                <w:color w:val="000000"/>
                <w:sz w:val="18"/>
                <w:szCs w:val="18"/>
              </w:rPr>
              <w:t>$</w:t>
            </w:r>
            <w:r w:rsidR="00E65C8A">
              <w:rPr>
                <w:color w:val="000000"/>
                <w:sz w:val="18"/>
                <w:szCs w:val="18"/>
              </w:rPr>
              <w:t>158.5</w:t>
            </w:r>
          </w:p>
        </w:tc>
      </w:tr>
      <w:tr w14:paraId="79C1FD25" w14:textId="77777777" w:rsidTr="59EC8B78">
        <w:tblPrEx>
          <w:tblW w:w="0" w:type="auto"/>
          <w:tblInd w:w="58" w:type="dxa"/>
          <w:tblLayout w:type="fixed"/>
          <w:tblLook w:val="0000"/>
        </w:tblPrEx>
        <w:trPr>
          <w:trHeight w:val="270"/>
        </w:trPr>
        <w:tc>
          <w:tcPr>
            <w:tcW w:w="4527" w:type="dxa"/>
            <w:tcBorders>
              <w:top w:val="single" w:sz="4" w:space="0" w:color="000000" w:themeColor="text1"/>
              <w:left w:val="single" w:sz="4" w:space="0" w:color="000000" w:themeColor="text1"/>
              <w:bottom w:val="double" w:sz="4" w:space="0" w:color="auto"/>
            </w:tcBorders>
            <w:shd w:val="clear" w:color="auto" w:fill="FFFFFF" w:themeFill="background1"/>
            <w:vAlign w:val="bottom"/>
          </w:tcPr>
          <w:p w:rsidR="004A31D2" w:rsidRPr="00CB6648" w:rsidP="008A6077" w14:paraId="496F47EF" w14:textId="0D25EE4F">
            <w:pPr>
              <w:snapToGrid w:val="0"/>
              <w:rPr>
                <w:color w:val="000000"/>
                <w:sz w:val="18"/>
                <w:szCs w:val="18"/>
              </w:rPr>
            </w:pPr>
          </w:p>
        </w:tc>
        <w:tc>
          <w:tcPr>
            <w:tcW w:w="1080" w:type="dxa"/>
            <w:tcBorders>
              <w:top w:val="single" w:sz="4" w:space="0" w:color="000000" w:themeColor="text1"/>
              <w:left w:val="single" w:sz="4" w:space="0" w:color="000000" w:themeColor="text1"/>
              <w:bottom w:val="double" w:sz="4" w:space="0" w:color="auto"/>
              <w:right w:val="single" w:sz="4" w:space="0" w:color="000000" w:themeColor="text1"/>
            </w:tcBorders>
            <w:shd w:val="clear" w:color="auto" w:fill="FFFFFF" w:themeFill="background1"/>
            <w:vAlign w:val="bottom"/>
          </w:tcPr>
          <w:p w:rsidR="004A31D2" w:rsidRPr="00CB6648" w:rsidP="008A6077" w14:paraId="2109384F" w14:textId="3BE2F6E1">
            <w:pPr>
              <w:snapToGrid w:val="0"/>
              <w:jc w:val="right"/>
              <w:rPr>
                <w:color w:val="000000"/>
                <w:sz w:val="18"/>
                <w:szCs w:val="18"/>
              </w:rPr>
            </w:pPr>
          </w:p>
        </w:tc>
      </w:tr>
      <w:tr w14:paraId="175794FC" w14:textId="77777777" w:rsidTr="59EC8B78">
        <w:tblPrEx>
          <w:tblW w:w="0" w:type="auto"/>
          <w:tblInd w:w="58" w:type="dxa"/>
          <w:tblLayout w:type="fixed"/>
          <w:tblLook w:val="0000"/>
        </w:tblPrEx>
        <w:trPr>
          <w:trHeight w:val="255"/>
        </w:trPr>
        <w:tc>
          <w:tcPr>
            <w:tcW w:w="4527" w:type="dxa"/>
            <w:tcBorders>
              <w:top w:val="double" w:sz="4" w:space="0" w:color="auto"/>
              <w:left w:val="single" w:sz="4" w:space="0" w:color="000000" w:themeColor="text1"/>
              <w:bottom w:val="single" w:sz="4" w:space="0" w:color="000000" w:themeColor="text1"/>
            </w:tcBorders>
            <w:shd w:val="clear" w:color="auto" w:fill="FFFFFF" w:themeFill="background1"/>
            <w:vAlign w:val="bottom"/>
          </w:tcPr>
          <w:p w:rsidR="004A31D2" w:rsidRPr="00CB6648" w:rsidP="008A6077" w14:paraId="22197B77" w14:textId="52CE06F0">
            <w:pPr>
              <w:snapToGrid w:val="0"/>
              <w:rPr>
                <w:color w:val="000000"/>
                <w:sz w:val="18"/>
                <w:szCs w:val="18"/>
              </w:rPr>
            </w:pPr>
            <w:r w:rsidRPr="00CB6648">
              <w:rPr>
                <w:color w:val="000000"/>
                <w:sz w:val="18"/>
                <w:szCs w:val="18"/>
              </w:rPr>
              <w:t xml:space="preserve">Total </w:t>
            </w:r>
            <w:r>
              <w:rPr>
                <w:color w:val="000000"/>
                <w:sz w:val="18"/>
                <w:szCs w:val="18"/>
              </w:rPr>
              <w:t>C</w:t>
            </w:r>
            <w:r w:rsidRPr="00CB6648">
              <w:rPr>
                <w:color w:val="000000"/>
                <w:sz w:val="18"/>
                <w:szCs w:val="18"/>
              </w:rPr>
              <w:t xml:space="preserve">ost </w:t>
            </w:r>
            <w:r>
              <w:rPr>
                <w:color w:val="000000"/>
                <w:sz w:val="18"/>
                <w:szCs w:val="18"/>
              </w:rPr>
              <w:t>P</w:t>
            </w:r>
            <w:r w:rsidRPr="00CB6648">
              <w:rPr>
                <w:color w:val="000000"/>
                <w:sz w:val="18"/>
                <w:szCs w:val="18"/>
              </w:rPr>
              <w:t xml:space="preserve">er </w:t>
            </w:r>
            <w:r>
              <w:rPr>
                <w:color w:val="000000"/>
                <w:sz w:val="18"/>
                <w:szCs w:val="18"/>
              </w:rPr>
              <w:t>R</w:t>
            </w:r>
            <w:r w:rsidRPr="00CB6648">
              <w:rPr>
                <w:color w:val="000000"/>
                <w:sz w:val="18"/>
                <w:szCs w:val="18"/>
              </w:rPr>
              <w:t>esponse</w:t>
            </w:r>
          </w:p>
        </w:tc>
        <w:tc>
          <w:tcPr>
            <w:tcW w:w="1080"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75F01B63" w14:textId="5170D07B">
            <w:pPr>
              <w:snapToGrid w:val="0"/>
              <w:jc w:val="right"/>
              <w:rPr>
                <w:color w:val="000000"/>
                <w:sz w:val="18"/>
                <w:szCs w:val="18"/>
              </w:rPr>
            </w:pPr>
            <w:r>
              <w:rPr>
                <w:color w:val="000000"/>
                <w:sz w:val="18"/>
                <w:szCs w:val="18"/>
              </w:rPr>
              <w:t>$</w:t>
            </w:r>
            <w:r w:rsidR="00E65C8A">
              <w:rPr>
                <w:color w:val="000000"/>
                <w:sz w:val="18"/>
                <w:szCs w:val="18"/>
              </w:rPr>
              <w:t>158.5</w:t>
            </w:r>
          </w:p>
        </w:tc>
      </w:tr>
      <w:tr w14:paraId="2BD03AFD" w14:textId="77777777" w:rsidTr="59EC8B78">
        <w:tblPrEx>
          <w:tblW w:w="0" w:type="auto"/>
          <w:tblInd w:w="58" w:type="dxa"/>
          <w:tblLayout w:type="fixed"/>
          <w:tblLook w:val="0000"/>
        </w:tblPrEx>
        <w:trPr>
          <w:trHeight w:val="270"/>
        </w:trPr>
        <w:tc>
          <w:tcPr>
            <w:tcW w:w="4527" w:type="dxa"/>
            <w:tcBorders>
              <w:left w:val="single" w:sz="4" w:space="0" w:color="000000" w:themeColor="text1"/>
              <w:bottom w:val="double" w:sz="1" w:space="0" w:color="000000" w:themeColor="text1"/>
            </w:tcBorders>
            <w:shd w:val="clear" w:color="auto" w:fill="FFFFFF" w:themeFill="background1"/>
            <w:vAlign w:val="bottom"/>
          </w:tcPr>
          <w:p w:rsidR="004A31D2" w:rsidRPr="00CB6648" w:rsidP="008A6077" w14:paraId="15FB504E" w14:textId="014D0920">
            <w:pPr>
              <w:snapToGrid w:val="0"/>
              <w:rPr>
                <w:color w:val="000000"/>
                <w:sz w:val="18"/>
                <w:szCs w:val="18"/>
              </w:rPr>
            </w:pPr>
            <w:r>
              <w:rPr>
                <w:color w:val="000000"/>
                <w:sz w:val="18"/>
                <w:szCs w:val="18"/>
              </w:rPr>
              <w:t>Quarterly and Annual Submission (</w:t>
            </w:r>
            <w:r w:rsidR="00952D5B">
              <w:rPr>
                <w:color w:val="000000"/>
                <w:sz w:val="18"/>
                <w:szCs w:val="18"/>
              </w:rPr>
              <w:t>6</w:t>
            </w:r>
            <w:r>
              <w:rPr>
                <w:color w:val="000000"/>
                <w:sz w:val="18"/>
                <w:szCs w:val="18"/>
              </w:rPr>
              <w:t>x Annually)</w:t>
            </w:r>
          </w:p>
        </w:tc>
        <w:tc>
          <w:tcPr>
            <w:tcW w:w="1080" w:type="dxa"/>
            <w:tcBorders>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4A31D2" w:rsidRPr="00CB6648" w:rsidP="004B4665" w14:paraId="755DD563" w14:textId="74D88255">
            <w:pPr>
              <w:snapToGrid w:val="0"/>
              <w:jc w:val="right"/>
              <w:rPr>
                <w:color w:val="000000"/>
                <w:sz w:val="18"/>
                <w:szCs w:val="18"/>
              </w:rPr>
            </w:pPr>
          </w:p>
        </w:tc>
      </w:tr>
      <w:tr w14:paraId="1820336F" w14:textId="77777777" w:rsidTr="00B07026">
        <w:tblPrEx>
          <w:tblW w:w="0" w:type="auto"/>
          <w:tblInd w:w="58" w:type="dxa"/>
          <w:tblLayout w:type="fixed"/>
          <w:tblLook w:val="0000"/>
        </w:tblPrEx>
        <w:trPr>
          <w:trHeight w:val="270"/>
        </w:trPr>
        <w:tc>
          <w:tcPr>
            <w:tcW w:w="4527" w:type="dxa"/>
            <w:tcBorders>
              <w:left w:val="single" w:sz="4" w:space="0" w:color="000000" w:themeColor="text1"/>
            </w:tcBorders>
            <w:shd w:val="clear" w:color="auto" w:fill="FFFFFF" w:themeFill="background1"/>
            <w:vAlign w:val="bottom"/>
          </w:tcPr>
          <w:p w:rsidR="004A31D2" w:rsidRPr="00CB6648" w:rsidP="008A6077" w14:paraId="6E73D7D8" w14:textId="61FC7BD5">
            <w:pPr>
              <w:snapToGrid w:val="0"/>
              <w:rPr>
                <w:color w:val="000000"/>
                <w:sz w:val="18"/>
                <w:szCs w:val="18"/>
              </w:rPr>
            </w:pPr>
            <w:r w:rsidRPr="00CB6648">
              <w:rPr>
                <w:color w:val="000000"/>
                <w:sz w:val="18"/>
                <w:szCs w:val="18"/>
              </w:rPr>
              <w:t xml:space="preserve">Total </w:t>
            </w:r>
          </w:p>
        </w:tc>
        <w:tc>
          <w:tcPr>
            <w:tcW w:w="1080" w:type="dxa"/>
            <w:tcBorders>
              <w:left w:val="single" w:sz="4" w:space="0" w:color="000000" w:themeColor="text1"/>
              <w:right w:val="single" w:sz="4" w:space="0" w:color="000000" w:themeColor="text1"/>
            </w:tcBorders>
            <w:shd w:val="clear" w:color="auto" w:fill="FFFFFF" w:themeFill="background1"/>
            <w:vAlign w:val="bottom"/>
          </w:tcPr>
          <w:p w:rsidR="004A31D2" w:rsidRPr="00CB6648" w:rsidP="008A6077" w14:paraId="160D526F" w14:textId="6FA6AF6B">
            <w:pPr>
              <w:snapToGrid w:val="0"/>
              <w:jc w:val="right"/>
              <w:rPr>
                <w:color w:val="000000"/>
                <w:sz w:val="18"/>
                <w:szCs w:val="18"/>
              </w:rPr>
            </w:pPr>
            <w:r w:rsidRPr="00CB6648">
              <w:rPr>
                <w:color w:val="000000"/>
                <w:sz w:val="18"/>
                <w:szCs w:val="18"/>
              </w:rPr>
              <w:t>$</w:t>
            </w:r>
            <w:r w:rsidR="00DB373D">
              <w:rPr>
                <w:color w:val="000000"/>
                <w:sz w:val="18"/>
                <w:szCs w:val="18"/>
              </w:rPr>
              <w:t>951.0</w:t>
            </w:r>
            <w:r w:rsidRPr="00CB6648">
              <w:rPr>
                <w:color w:val="000000"/>
                <w:sz w:val="18"/>
                <w:szCs w:val="18"/>
              </w:rPr>
              <w:t xml:space="preserve"> </w:t>
            </w:r>
          </w:p>
        </w:tc>
      </w:tr>
      <w:tr w14:paraId="38ACD974" w14:textId="77777777" w:rsidTr="59EC8B78">
        <w:tblPrEx>
          <w:tblW w:w="0" w:type="auto"/>
          <w:tblInd w:w="58" w:type="dxa"/>
          <w:tblLayout w:type="fixed"/>
          <w:tblLook w:val="0000"/>
        </w:tblPrEx>
        <w:trPr>
          <w:trHeight w:val="270"/>
        </w:trPr>
        <w:tc>
          <w:tcPr>
            <w:tcW w:w="4527" w:type="dxa"/>
            <w:tcBorders>
              <w:left w:val="single" w:sz="4" w:space="0" w:color="000000" w:themeColor="text1"/>
              <w:bottom w:val="single" w:sz="4" w:space="0" w:color="000000" w:themeColor="text1"/>
            </w:tcBorders>
            <w:shd w:val="clear" w:color="auto" w:fill="FFFFFF" w:themeFill="background1"/>
            <w:vAlign w:val="bottom"/>
          </w:tcPr>
          <w:p w:rsidR="00B07026" w:rsidRPr="00CB6648" w:rsidP="008A6077" w14:paraId="53EAA7E5" w14:textId="6F1A2B22">
            <w:pPr>
              <w:snapToGrid w:val="0"/>
              <w:rPr>
                <w:color w:val="000000"/>
                <w:sz w:val="18"/>
                <w:szCs w:val="18"/>
              </w:rPr>
            </w:pPr>
            <w:r>
              <w:rPr>
                <w:color w:val="000000"/>
                <w:sz w:val="18"/>
                <w:szCs w:val="18"/>
              </w:rPr>
              <w:t>Total for all respondents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B07026" w:rsidRPr="00CB6648" w:rsidP="008A6077" w14:paraId="6C37EDDB" w14:textId="615A7095">
            <w:pPr>
              <w:snapToGrid w:val="0"/>
              <w:jc w:val="right"/>
              <w:rPr>
                <w:color w:val="000000"/>
                <w:sz w:val="18"/>
                <w:szCs w:val="18"/>
              </w:rPr>
            </w:pPr>
            <w:r>
              <w:rPr>
                <w:color w:val="000000"/>
                <w:sz w:val="18"/>
                <w:szCs w:val="18"/>
              </w:rPr>
              <w:t>$23,775</w:t>
            </w:r>
          </w:p>
        </w:tc>
      </w:tr>
    </w:tbl>
    <w:p w:rsidR="00893B06" w:rsidP="00F53F31" w14:paraId="19B717BB" w14:textId="77777777">
      <w:pPr>
        <w:suppressAutoHyphens w:val="0"/>
        <w:ind w:hanging="360"/>
      </w:pPr>
    </w:p>
    <w:p w:rsidR="000E7261" w:rsidP="000E7261" w14:paraId="1C5443C8" w14:textId="38329DD1">
      <w:pPr>
        <w:widowControl w:val="0"/>
        <w:overflowPunct w:val="0"/>
        <w:autoSpaceDE w:val="0"/>
        <w:autoSpaceDN w:val="0"/>
        <w:adjustRightInd w:val="0"/>
        <w:jc w:val="both"/>
        <w:textAlignment w:val="baseline"/>
        <w:rPr>
          <w:kern w:val="0"/>
          <w:lang w:eastAsia="en-US"/>
        </w:rPr>
      </w:pPr>
      <w:r w:rsidRPr="59EC8B78">
        <w:rPr>
          <w:kern w:val="0"/>
          <w:lang w:eastAsia="en-US"/>
        </w:rPr>
        <w:t xml:space="preserve">The estimated hourly cost </w:t>
      </w:r>
      <w:r>
        <w:rPr>
          <w:kern w:val="0"/>
          <w:lang w:eastAsia="en-US"/>
        </w:rPr>
        <w:t xml:space="preserve">of a corporate attorney </w:t>
      </w:r>
      <w:r w:rsidRPr="59EC8B78">
        <w:rPr>
          <w:kern w:val="0"/>
          <w:lang w:eastAsia="en-US"/>
        </w:rPr>
        <w:t xml:space="preserve">is calculated using the </w:t>
      </w:r>
      <w:r>
        <w:rPr>
          <w:kern w:val="0"/>
          <w:lang w:eastAsia="en-US"/>
        </w:rPr>
        <w:t>average</w:t>
      </w:r>
      <w:r w:rsidRPr="59EC8B78">
        <w:rPr>
          <w:kern w:val="0"/>
          <w:lang w:eastAsia="en-US"/>
        </w:rPr>
        <w:t xml:space="preserve"> hourly </w:t>
      </w:r>
      <w:r w:rsidR="0024108B">
        <w:rPr>
          <w:kern w:val="0"/>
          <w:lang w:eastAsia="en-US"/>
        </w:rPr>
        <w:t>rate</w:t>
      </w:r>
      <w:r w:rsidRPr="59EC8B78">
        <w:rPr>
          <w:kern w:val="0"/>
          <w:lang w:eastAsia="en-US"/>
        </w:rPr>
        <w:t xml:space="preserve"> of $</w:t>
      </w:r>
      <w:r w:rsidR="0024108B">
        <w:rPr>
          <w:kern w:val="0"/>
          <w:lang w:eastAsia="en-US"/>
        </w:rPr>
        <w:t>317</w:t>
      </w:r>
      <w:r w:rsidR="00716F30">
        <w:rPr>
          <w:kern w:val="0"/>
          <w:lang w:eastAsia="en-US"/>
        </w:rPr>
        <w:t xml:space="preserve"> (rates typically ranging from $196 to $490 depending on location and practice area</w:t>
      </w:r>
      <w:r w:rsidR="00EC2D87">
        <w:rPr>
          <w:kern w:val="0"/>
          <w:lang w:eastAsia="en-US"/>
        </w:rPr>
        <w:t>)</w:t>
      </w:r>
      <w:r w:rsidRPr="59EC8B78">
        <w:rPr>
          <w:kern w:val="0"/>
          <w:lang w:eastAsia="en-US"/>
        </w:rPr>
        <w:t xml:space="preserve"> for </w:t>
      </w:r>
      <w:r w:rsidR="00C75F39">
        <w:rPr>
          <w:kern w:val="0"/>
          <w:lang w:eastAsia="en-US"/>
        </w:rPr>
        <w:t>Lawyers</w:t>
      </w:r>
      <w:r w:rsidR="004674FB">
        <w:rPr>
          <w:kern w:val="0"/>
          <w:lang w:eastAsia="en-US"/>
        </w:rPr>
        <w:t xml:space="preserve"> </w:t>
      </w:r>
      <w:r w:rsidR="004C3C4E">
        <w:rPr>
          <w:kern w:val="0"/>
          <w:lang w:eastAsia="en-US"/>
        </w:rPr>
        <w:t xml:space="preserve">performing the required services to review </w:t>
      </w:r>
      <w:r w:rsidR="002D7FD3">
        <w:rPr>
          <w:kern w:val="0"/>
          <w:lang w:eastAsia="en-US"/>
        </w:rPr>
        <w:t xml:space="preserve">the forms for a </w:t>
      </w:r>
      <w:r w:rsidR="00DF33D8">
        <w:rPr>
          <w:kern w:val="0"/>
          <w:lang w:eastAsia="en-US"/>
        </w:rPr>
        <w:t>half</w:t>
      </w:r>
      <w:r w:rsidR="002D7FD3">
        <w:rPr>
          <w:kern w:val="0"/>
          <w:lang w:eastAsia="en-US"/>
        </w:rPr>
        <w:t xml:space="preserve"> an hour</w:t>
      </w:r>
      <w:r w:rsidRPr="59EC8B78">
        <w:rPr>
          <w:kern w:val="0"/>
          <w:lang w:eastAsia="en-US"/>
        </w:rPr>
        <w:t xml:space="preserve"> (</w:t>
      </w:r>
      <w:r w:rsidR="00EC2D87">
        <w:rPr>
          <w:kern w:val="0"/>
          <w:lang w:eastAsia="en-US"/>
        </w:rPr>
        <w:t xml:space="preserve">average hourly rate </w:t>
      </w:r>
      <w:r w:rsidRPr="59EC8B78">
        <w:rPr>
          <w:kern w:val="0"/>
          <w:lang w:eastAsia="en-US"/>
        </w:rPr>
        <w:t xml:space="preserve">obtained from </w:t>
      </w:r>
      <w:hyperlink r:id="rId13" w:history="1">
        <w:r w:rsidRPr="00B427F5" w:rsidR="00EC2D87">
          <w:rPr>
            <w:rStyle w:val="Hyperlink"/>
            <w:kern w:val="0"/>
            <w:lang w:eastAsia="en-US"/>
          </w:rPr>
          <w:t>Clio’s Legal Trends Re</w:t>
        </w:r>
        <w:r w:rsidRPr="00B427F5" w:rsidR="008A762F">
          <w:rPr>
            <w:rStyle w:val="Hyperlink"/>
            <w:kern w:val="0"/>
            <w:lang w:eastAsia="en-US"/>
          </w:rPr>
          <w:t>por</w:t>
        </w:r>
        <w:r w:rsidRPr="00B427F5" w:rsidR="005B3B8A">
          <w:rPr>
            <w:rStyle w:val="Hyperlink"/>
            <w:kern w:val="0"/>
            <w:lang w:eastAsia="en-US"/>
          </w:rPr>
          <w:t>t</w:t>
        </w:r>
      </w:hyperlink>
      <w:r w:rsidRPr="59EC8B78">
        <w:rPr>
          <w:kern w:val="0"/>
          <w:lang w:eastAsia="en-US"/>
        </w:rPr>
        <w:t xml:space="preserve">). </w:t>
      </w:r>
    </w:p>
    <w:p w:rsidR="009219A0" w:rsidP="00F53F31" w14:paraId="2BE97B6B" w14:textId="67B91DA8">
      <w:pPr>
        <w:suppressAutoHyphens w:val="0"/>
        <w:ind w:hanging="360"/>
      </w:pPr>
    </w:p>
    <w:p w:rsidR="000E7261" w:rsidRPr="00893B06" w:rsidP="00F53F31" w14:paraId="6D188C67" w14:textId="77777777">
      <w:pPr>
        <w:suppressAutoHyphens w:val="0"/>
        <w:ind w:hanging="360"/>
      </w:pPr>
    </w:p>
    <w:p w:rsidR="00893B06" w:rsidP="00F53F31" w14:paraId="0D726B48" w14:textId="7DF43491">
      <w:pPr>
        <w:numPr>
          <w:ilvl w:val="1"/>
          <w:numId w:val="14"/>
        </w:numPr>
        <w:suppressAutoHyphens w:val="0"/>
        <w:ind w:left="0"/>
      </w:pPr>
      <w:r w:rsidRPr="59EC8B78">
        <w:rPr>
          <w:u w:val="single"/>
        </w:rPr>
        <w:t xml:space="preserve">Estimated </w:t>
      </w:r>
      <w:r w:rsidRPr="59EC8B78" w:rsidR="00DA3876">
        <w:rPr>
          <w:u w:val="single"/>
        </w:rPr>
        <w:t>c</w:t>
      </w:r>
      <w:r w:rsidRPr="59EC8B78">
        <w:rPr>
          <w:u w:val="single"/>
        </w:rPr>
        <w:t xml:space="preserve">ost to the </w:t>
      </w:r>
      <w:r w:rsidRPr="59EC8B78" w:rsidR="00EE07D9">
        <w:rPr>
          <w:u w:val="single"/>
        </w:rPr>
        <w:t>G</w:t>
      </w:r>
      <w:r w:rsidRPr="59EC8B78">
        <w:rPr>
          <w:u w:val="single"/>
        </w:rPr>
        <w:t>overnment.</w:t>
      </w:r>
      <w:r>
        <w:t xml:space="preserve"> </w:t>
      </w:r>
      <w:r w:rsidR="004D0712">
        <w:t xml:space="preserve">The Federal Government’s cost to review and analyze each </w:t>
      </w:r>
      <w:r w:rsidR="00272D51">
        <w:t>Form 1030</w:t>
      </w:r>
      <w:r w:rsidR="004D0712">
        <w:t xml:space="preserve"> </w:t>
      </w:r>
      <w:r w:rsidR="00693510">
        <w:t xml:space="preserve">and Form 1032 </w:t>
      </w:r>
      <w:r w:rsidR="00DA3876">
        <w:t>submi</w:t>
      </w:r>
      <w:r w:rsidR="00C711F1">
        <w:t>ssion</w:t>
      </w:r>
      <w:r w:rsidR="00DA3876">
        <w:t xml:space="preserve"> </w:t>
      </w:r>
      <w:r w:rsidR="004D0712">
        <w:t>is estimated at $</w:t>
      </w:r>
      <w:r w:rsidR="0000421A">
        <w:t>56.85</w:t>
      </w:r>
      <w:r w:rsidR="004D0712">
        <w:t xml:space="preserve">. The aggregate cost is computed </w:t>
      </w:r>
      <w:r w:rsidR="00B75365">
        <w:t>using FY 2023 hourly rates for Washington, DC</w:t>
      </w:r>
      <w:r w:rsidR="004D0712">
        <w:t>:</w:t>
      </w:r>
    </w:p>
    <w:p w:rsidR="00893B06" w:rsidRPr="00797EE6" w:rsidP="00F53F31" w14:paraId="4BEE0613" w14:textId="77777777">
      <w:pPr>
        <w:pStyle w:val="BodyTextIndent"/>
        <w:tabs>
          <w:tab w:val="left" w:pos="-2790"/>
          <w:tab w:val="clear" w:pos="450"/>
        </w:tabs>
        <w:ind w:left="720" w:firstLine="0"/>
        <w:rPr>
          <w:u w:val="single"/>
        </w:rPr>
      </w:pPr>
    </w:p>
    <w:tbl>
      <w:tblPr>
        <w:tblW w:w="0" w:type="auto"/>
        <w:tblInd w:w="108" w:type="dxa"/>
        <w:tblLayout w:type="fixed"/>
        <w:tblLook w:val="0000"/>
      </w:tblPr>
      <w:tblGrid>
        <w:gridCol w:w="5287"/>
        <w:gridCol w:w="990"/>
        <w:gridCol w:w="862"/>
        <w:gridCol w:w="1122"/>
      </w:tblGrid>
      <w:tr w14:paraId="760C60F3"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056BEB89" w14:textId="32F564E8">
            <w:pPr>
              <w:snapToGrid w:val="0"/>
              <w:rPr>
                <w:b/>
                <w:bCs/>
                <w:color w:val="FFFFFF" w:themeColor="background1"/>
                <w:sz w:val="18"/>
                <w:szCs w:val="18"/>
              </w:rPr>
            </w:pPr>
            <w:r>
              <w:rPr>
                <w:b/>
                <w:bCs/>
                <w:color w:val="FFFFFF" w:themeColor="background1"/>
                <w:sz w:val="18"/>
                <w:szCs w:val="18"/>
              </w:rPr>
              <w:t>Form</w:t>
            </w:r>
            <w:r w:rsidR="004B4665">
              <w:rPr>
                <w:b/>
                <w:bCs/>
                <w:color w:val="FFFFFF" w:themeColor="background1"/>
                <w:sz w:val="18"/>
                <w:szCs w:val="18"/>
              </w:rPr>
              <w:t>s</w:t>
            </w:r>
            <w:r>
              <w:rPr>
                <w:b/>
                <w:bCs/>
                <w:color w:val="FFFFFF" w:themeColor="background1"/>
                <w:sz w:val="18"/>
                <w:szCs w:val="18"/>
              </w:rPr>
              <w:t xml:space="preserve"> 1030</w:t>
            </w:r>
            <w:r w:rsidR="004B4665">
              <w:rPr>
                <w:b/>
                <w:bCs/>
                <w:color w:val="FFFFFF" w:themeColor="background1"/>
                <w:sz w:val="18"/>
                <w:szCs w:val="18"/>
              </w:rPr>
              <w:t xml:space="preserve"> and 1032</w:t>
            </w:r>
            <w:r w:rsidRPr="00B21FDB" w:rsidR="00B21FDB">
              <w:rPr>
                <w:b/>
                <w:bCs/>
                <w:color w:val="FFFFFF" w:themeColor="background1"/>
                <w:sz w:val="18"/>
                <w:szCs w:val="18"/>
              </w:rPr>
              <w:t xml:space="preserve"> Review</w:t>
            </w:r>
            <w:r w:rsidR="004B4665">
              <w:rPr>
                <w:b/>
                <w:bCs/>
                <w:color w:val="FFFFFF" w:themeColor="background1"/>
                <w:sz w:val="18"/>
                <w:szCs w:val="18"/>
              </w:rPr>
              <w:t>s</w:t>
            </w:r>
          </w:p>
        </w:tc>
        <w:tc>
          <w:tcPr>
            <w:tcW w:w="990"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18379813" w14:textId="77777777">
            <w:pPr>
              <w:snapToGrid w:val="0"/>
              <w:rPr>
                <w:b/>
                <w:bCs/>
                <w:color w:val="FFFFFF" w:themeColor="background1"/>
                <w:sz w:val="18"/>
                <w:szCs w:val="18"/>
              </w:rPr>
            </w:pPr>
            <w:r w:rsidRPr="00B21FDB">
              <w:rPr>
                <w:b/>
                <w:bCs/>
                <w:color w:val="FFFFFF" w:themeColor="background1"/>
                <w:sz w:val="18"/>
                <w:szCs w:val="18"/>
              </w:rPr>
              <w:t>Hours</w:t>
            </w:r>
          </w:p>
        </w:tc>
        <w:tc>
          <w:tcPr>
            <w:tcW w:w="862"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27D1D850" w14:textId="77777777">
            <w:pPr>
              <w:snapToGrid w:val="0"/>
              <w:rPr>
                <w:b/>
                <w:bCs/>
                <w:color w:val="FFFFFF" w:themeColor="background1"/>
                <w:sz w:val="18"/>
                <w:szCs w:val="18"/>
              </w:rPr>
            </w:pPr>
            <w:r w:rsidRPr="00B21FDB">
              <w:rPr>
                <w:b/>
                <w:bCs/>
                <w:color w:val="FFFFFF" w:themeColor="background1"/>
                <w:sz w:val="18"/>
                <w:szCs w:val="18"/>
              </w:rPr>
              <w:t>Rate</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CC"/>
            <w:vAlign w:val="bottom"/>
          </w:tcPr>
          <w:p w:rsidR="00893B06" w:rsidRPr="00B21FDB" w:rsidP="008A6077" w14:paraId="38642C83" w14:textId="77777777">
            <w:pPr>
              <w:snapToGrid w:val="0"/>
              <w:rPr>
                <w:b/>
                <w:bCs/>
                <w:color w:val="FFFFFF" w:themeColor="background1"/>
                <w:sz w:val="18"/>
                <w:szCs w:val="18"/>
              </w:rPr>
            </w:pPr>
            <w:r w:rsidRPr="00B21FDB">
              <w:rPr>
                <w:b/>
                <w:bCs/>
                <w:color w:val="FFFFFF" w:themeColor="background1"/>
                <w:sz w:val="18"/>
                <w:szCs w:val="18"/>
              </w:rPr>
              <w:t>Total</w:t>
            </w:r>
          </w:p>
        </w:tc>
      </w:tr>
      <w:tr w14:paraId="084F43F4"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1FF3368" w14:textId="6FA74EFD">
            <w:pPr>
              <w:snapToGrid w:val="0"/>
              <w:rPr>
                <w:color w:val="000000"/>
                <w:sz w:val="18"/>
                <w:szCs w:val="18"/>
              </w:rPr>
            </w:pPr>
            <w:r w:rsidRPr="00B21FDB">
              <w:rPr>
                <w:color w:val="000000"/>
                <w:sz w:val="18"/>
                <w:szCs w:val="18"/>
              </w:rPr>
              <w:t>Analysis by Licensing Analyst (GS-13)</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46640814" w14:textId="57616251">
            <w:pPr>
              <w:snapToGrid w:val="0"/>
              <w:jc w:val="right"/>
              <w:rPr>
                <w:color w:val="000000"/>
                <w:sz w:val="18"/>
                <w:szCs w:val="18"/>
              </w:rPr>
            </w:pPr>
            <w:r>
              <w:rPr>
                <w:color w:val="000000"/>
                <w:sz w:val="18"/>
                <w:szCs w:val="18"/>
              </w:rPr>
              <w:t>0.50</w:t>
            </w:r>
            <w:r w:rsidRPr="00B21FDB" w:rsidR="00750728">
              <w:rPr>
                <w:color w:val="000000"/>
                <w:sz w:val="18"/>
                <w:szCs w:val="18"/>
              </w:rPr>
              <w:t xml:space="preserve">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0696C54E" w14:textId="6380D183">
            <w:pPr>
              <w:snapToGrid w:val="0"/>
              <w:jc w:val="right"/>
              <w:rPr>
                <w:color w:val="000000"/>
                <w:sz w:val="18"/>
                <w:szCs w:val="18"/>
              </w:rPr>
            </w:pPr>
            <w:r w:rsidRPr="00B21FDB">
              <w:rPr>
                <w:color w:val="000000"/>
                <w:sz w:val="18"/>
                <w:szCs w:val="18"/>
              </w:rPr>
              <w:t>$</w:t>
            </w:r>
            <w:r w:rsidRPr="00B21FDB" w:rsidR="00D940F6">
              <w:rPr>
                <w:color w:val="000000"/>
                <w:sz w:val="18"/>
                <w:szCs w:val="18"/>
              </w:rPr>
              <w:t>60.83</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611BF33D" w14:textId="5B77A9FF">
            <w:pPr>
              <w:snapToGrid w:val="0"/>
              <w:jc w:val="right"/>
              <w:rPr>
                <w:color w:val="000000"/>
                <w:sz w:val="18"/>
                <w:szCs w:val="18"/>
              </w:rPr>
            </w:pPr>
            <w:r w:rsidRPr="00B21FDB">
              <w:rPr>
                <w:color w:val="000000"/>
                <w:sz w:val="18"/>
                <w:szCs w:val="18"/>
              </w:rPr>
              <w:t>$</w:t>
            </w:r>
            <w:r w:rsidR="00272D51">
              <w:rPr>
                <w:color w:val="000000"/>
                <w:sz w:val="18"/>
                <w:szCs w:val="18"/>
              </w:rPr>
              <w:t>30.42</w:t>
            </w:r>
            <w:r w:rsidRPr="00B21FDB">
              <w:rPr>
                <w:color w:val="000000"/>
                <w:sz w:val="18"/>
                <w:szCs w:val="18"/>
              </w:rPr>
              <w:t xml:space="preserve"> </w:t>
            </w:r>
          </w:p>
        </w:tc>
      </w:tr>
      <w:tr w14:paraId="35D32D51"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3EEA47B" w14:textId="62A9C05E">
            <w:pPr>
              <w:snapToGrid w:val="0"/>
              <w:rPr>
                <w:color w:val="000000"/>
                <w:sz w:val="18"/>
                <w:szCs w:val="18"/>
              </w:rPr>
            </w:pPr>
            <w:r w:rsidRPr="00B21FDB">
              <w:rPr>
                <w:color w:val="000000"/>
                <w:sz w:val="18"/>
                <w:szCs w:val="18"/>
              </w:rPr>
              <w:t>Supervisory Review (GS-14</w:t>
            </w:r>
            <w:r w:rsidRPr="00B21FDB" w:rsidR="00BF0170">
              <w:rPr>
                <w:color w:val="000000"/>
                <w:sz w:val="18"/>
                <w:szCs w:val="18"/>
              </w:rPr>
              <w:t>, Step 5</w:t>
            </w:r>
            <w:r w:rsidRPr="00B21FDB">
              <w:rPr>
                <w:color w:val="000000"/>
                <w:sz w:val="18"/>
                <w:szCs w:val="18"/>
              </w:rPr>
              <w:t>)</w:t>
            </w:r>
            <w:r w:rsidRPr="00B21FDB" w:rsidR="00BF0170">
              <w:rPr>
                <w:color w:val="000000"/>
                <w:sz w:val="18"/>
                <w:szCs w:val="18"/>
              </w:rPr>
              <w:t xml:space="preserve"> </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528EF67" w14:textId="23992AB8">
            <w:pPr>
              <w:snapToGrid w:val="0"/>
              <w:jc w:val="right"/>
              <w:rPr>
                <w:color w:val="000000"/>
                <w:sz w:val="18"/>
                <w:szCs w:val="18"/>
              </w:rPr>
            </w:pPr>
            <w:r>
              <w:rPr>
                <w:color w:val="000000"/>
                <w:sz w:val="18"/>
                <w:szCs w:val="18"/>
              </w:rPr>
              <w:t>0.25</w:t>
            </w:r>
            <w:r w:rsidRPr="00B21FDB" w:rsidR="00750728">
              <w:rPr>
                <w:color w:val="000000"/>
                <w:sz w:val="18"/>
                <w:szCs w:val="18"/>
              </w:rPr>
              <w:t xml:space="preserve">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1E7531C4" w14:textId="56A3568C">
            <w:pPr>
              <w:snapToGrid w:val="0"/>
              <w:jc w:val="right"/>
              <w:rPr>
                <w:color w:val="000000"/>
                <w:sz w:val="18"/>
                <w:szCs w:val="18"/>
              </w:rPr>
            </w:pPr>
            <w:r w:rsidRPr="00B21FDB">
              <w:rPr>
                <w:color w:val="000000"/>
                <w:sz w:val="18"/>
                <w:szCs w:val="18"/>
              </w:rPr>
              <w:t>$</w:t>
            </w:r>
            <w:r w:rsidRPr="00B21FDB" w:rsidR="00D940F6">
              <w:rPr>
                <w:color w:val="000000"/>
                <w:sz w:val="18"/>
                <w:szCs w:val="18"/>
              </w:rPr>
              <w:t>71.88</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1102DC89" w14:textId="4881B114">
            <w:pPr>
              <w:snapToGrid w:val="0"/>
              <w:jc w:val="right"/>
              <w:rPr>
                <w:color w:val="000000"/>
                <w:sz w:val="18"/>
                <w:szCs w:val="18"/>
              </w:rPr>
            </w:pPr>
            <w:r w:rsidRPr="00B21FDB">
              <w:rPr>
                <w:color w:val="000000"/>
                <w:sz w:val="18"/>
                <w:szCs w:val="18"/>
              </w:rPr>
              <w:t>$</w:t>
            </w:r>
            <w:r w:rsidR="00272D51">
              <w:rPr>
                <w:color w:val="000000"/>
                <w:sz w:val="18"/>
                <w:szCs w:val="18"/>
              </w:rPr>
              <w:t>17.97</w:t>
            </w:r>
            <w:r w:rsidRPr="00B21FDB">
              <w:rPr>
                <w:color w:val="000000"/>
                <w:sz w:val="18"/>
                <w:szCs w:val="18"/>
              </w:rPr>
              <w:t xml:space="preserve"> </w:t>
            </w:r>
          </w:p>
        </w:tc>
      </w:tr>
      <w:tr w14:paraId="588E85F6"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017E4316" w14:textId="5A5E121E">
            <w:pPr>
              <w:snapToGrid w:val="0"/>
              <w:rPr>
                <w:color w:val="000000"/>
                <w:sz w:val="18"/>
                <w:szCs w:val="18"/>
              </w:rPr>
            </w:pPr>
            <w:r w:rsidRPr="00B21FDB">
              <w:rPr>
                <w:color w:val="000000"/>
                <w:sz w:val="18"/>
                <w:szCs w:val="18"/>
              </w:rPr>
              <w:t>Supervisory Review (GS-15</w:t>
            </w:r>
            <w:r w:rsidRPr="00B21FDB" w:rsidR="00BF0170">
              <w:rPr>
                <w:color w:val="000000"/>
                <w:sz w:val="18"/>
                <w:szCs w:val="18"/>
              </w:rPr>
              <w:t>,</w:t>
            </w:r>
            <w:r w:rsidRPr="00B21FDB" w:rsidR="00BF0170">
              <w:rPr>
                <w:sz w:val="18"/>
                <w:szCs w:val="18"/>
              </w:rPr>
              <w:t xml:space="preserve"> </w:t>
            </w:r>
            <w:r w:rsidRPr="00B21FDB" w:rsidR="00BF0170">
              <w:rPr>
                <w:color w:val="000000"/>
                <w:sz w:val="18"/>
                <w:szCs w:val="18"/>
              </w:rPr>
              <w:t xml:space="preserve">Step 5) </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3E0617B" w14:textId="1B77A0D2">
            <w:pPr>
              <w:snapToGrid w:val="0"/>
              <w:jc w:val="right"/>
              <w:rPr>
                <w:color w:val="000000"/>
                <w:sz w:val="18"/>
                <w:szCs w:val="18"/>
              </w:rPr>
            </w:pPr>
            <w:r>
              <w:rPr>
                <w:color w:val="000000"/>
                <w:sz w:val="18"/>
                <w:szCs w:val="18"/>
              </w:rPr>
              <w:t>0.10</w:t>
            </w:r>
            <w:r w:rsidRPr="00B21FDB" w:rsidR="00750728">
              <w:rPr>
                <w:color w:val="000000"/>
                <w:sz w:val="18"/>
                <w:szCs w:val="18"/>
              </w:rPr>
              <w:t xml:space="preserve">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32089842" w14:textId="7783798D">
            <w:pPr>
              <w:snapToGrid w:val="0"/>
              <w:jc w:val="right"/>
              <w:rPr>
                <w:color w:val="000000"/>
                <w:sz w:val="18"/>
                <w:szCs w:val="18"/>
              </w:rPr>
            </w:pPr>
            <w:r w:rsidRPr="00B21FDB">
              <w:rPr>
                <w:color w:val="000000"/>
                <w:sz w:val="18"/>
                <w:szCs w:val="18"/>
              </w:rPr>
              <w:t>$</w:t>
            </w:r>
            <w:r w:rsidRPr="00B21FDB" w:rsidR="00D940F6">
              <w:rPr>
                <w:color w:val="000000"/>
                <w:sz w:val="18"/>
                <w:szCs w:val="18"/>
              </w:rPr>
              <w:t>84.55</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0EC5E27D" w14:textId="7A9ADACB">
            <w:pPr>
              <w:snapToGrid w:val="0"/>
              <w:jc w:val="right"/>
              <w:rPr>
                <w:color w:val="000000"/>
                <w:sz w:val="18"/>
                <w:szCs w:val="18"/>
              </w:rPr>
            </w:pPr>
            <w:r w:rsidRPr="00B21FDB">
              <w:rPr>
                <w:color w:val="000000"/>
                <w:sz w:val="18"/>
                <w:szCs w:val="18"/>
              </w:rPr>
              <w:t>$</w:t>
            </w:r>
            <w:r w:rsidR="00272D51">
              <w:rPr>
                <w:color w:val="000000"/>
                <w:sz w:val="18"/>
                <w:szCs w:val="18"/>
              </w:rPr>
              <w:t>8.46</w:t>
            </w:r>
            <w:r w:rsidRPr="00B21FDB">
              <w:rPr>
                <w:color w:val="000000"/>
                <w:sz w:val="18"/>
                <w:szCs w:val="18"/>
              </w:rPr>
              <w:t xml:space="preserve"> </w:t>
            </w:r>
          </w:p>
        </w:tc>
      </w:tr>
      <w:tr w14:paraId="081A0597"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EB6232E" w14:textId="12BB3257">
            <w:pPr>
              <w:snapToGrid w:val="0"/>
              <w:rPr>
                <w:color w:val="000000"/>
                <w:sz w:val="18"/>
                <w:szCs w:val="18"/>
              </w:rPr>
            </w:pP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C707C5E" w14:textId="061C9CE2">
            <w:pPr>
              <w:snapToGrid w:val="0"/>
              <w:jc w:val="right"/>
              <w:rPr>
                <w:color w:val="000000"/>
                <w:sz w:val="18"/>
                <w:szCs w:val="18"/>
              </w:rPr>
            </w:pP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2600846" w14:textId="1987B44D">
            <w:pPr>
              <w:snapToGrid w:val="0"/>
              <w:jc w:val="right"/>
              <w:rPr>
                <w:color w:val="000000"/>
                <w:sz w:val="18"/>
                <w:szCs w:val="18"/>
              </w:rPr>
            </w:pP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192A5560" w14:textId="21DC3FC9">
            <w:pPr>
              <w:snapToGrid w:val="0"/>
              <w:jc w:val="right"/>
              <w:rPr>
                <w:color w:val="000000"/>
                <w:sz w:val="18"/>
                <w:szCs w:val="18"/>
              </w:rPr>
            </w:pPr>
          </w:p>
        </w:tc>
      </w:tr>
      <w:tr w14:paraId="20A03BEB" w14:textId="77777777" w:rsidTr="59EC8B78">
        <w:tblPrEx>
          <w:tblW w:w="0" w:type="auto"/>
          <w:tblInd w:w="108" w:type="dxa"/>
          <w:tblLayout w:type="fixed"/>
          <w:tblLook w:val="0000"/>
        </w:tblPrEx>
        <w:trPr>
          <w:trHeight w:val="255"/>
        </w:trPr>
        <w:tc>
          <w:tcPr>
            <w:tcW w:w="5287" w:type="dxa"/>
            <w:tcBorders>
              <w:top w:val="single" w:sz="8" w:space="0" w:color="000000" w:themeColor="text1"/>
              <w:left w:val="single" w:sz="4" w:space="0" w:color="000000" w:themeColor="text1"/>
              <w:bottom w:val="single" w:sz="4" w:space="0" w:color="000000" w:themeColor="text1"/>
            </w:tcBorders>
            <w:shd w:val="clear" w:color="auto" w:fill="FFFFFF" w:themeFill="background1"/>
            <w:vAlign w:val="bottom"/>
          </w:tcPr>
          <w:p w:rsidR="00893B06" w:rsidRPr="00B21FDB" w:rsidP="008A6077" w14:paraId="227DED62" w14:textId="53B67EF0">
            <w:pPr>
              <w:snapToGrid w:val="0"/>
              <w:rPr>
                <w:color w:val="000000"/>
                <w:sz w:val="18"/>
                <w:szCs w:val="18"/>
              </w:rPr>
            </w:pPr>
            <w:r w:rsidRPr="00B21FDB">
              <w:rPr>
                <w:color w:val="000000"/>
                <w:sz w:val="18"/>
                <w:szCs w:val="18"/>
              </w:rPr>
              <w:t xml:space="preserve">Total Cost </w:t>
            </w:r>
            <w:r w:rsidR="004B4665">
              <w:rPr>
                <w:color w:val="000000"/>
                <w:sz w:val="18"/>
                <w:szCs w:val="18"/>
              </w:rPr>
              <w:t>for Reviews</w:t>
            </w:r>
          </w:p>
        </w:tc>
        <w:tc>
          <w:tcPr>
            <w:tcW w:w="990" w:type="dxa"/>
            <w:tcBorders>
              <w:top w:val="single" w:sz="8" w:space="0" w:color="000000" w:themeColor="text1"/>
              <w:bottom w:val="single" w:sz="4" w:space="0" w:color="000000" w:themeColor="text1"/>
            </w:tcBorders>
            <w:shd w:val="clear" w:color="auto" w:fill="FFFFFF" w:themeFill="background1"/>
            <w:vAlign w:val="bottom"/>
          </w:tcPr>
          <w:p w:rsidR="00893B06" w:rsidRPr="00B21FDB" w:rsidP="008A6077" w14:paraId="5408952D" w14:textId="77777777">
            <w:pPr>
              <w:snapToGrid w:val="0"/>
              <w:rPr>
                <w:color w:val="000000"/>
                <w:sz w:val="18"/>
                <w:szCs w:val="18"/>
              </w:rPr>
            </w:pPr>
            <w:r w:rsidRPr="00B21FDB">
              <w:rPr>
                <w:color w:val="000000"/>
                <w:sz w:val="18"/>
                <w:szCs w:val="18"/>
              </w:rPr>
              <w:t> </w:t>
            </w:r>
          </w:p>
        </w:tc>
        <w:tc>
          <w:tcPr>
            <w:tcW w:w="862" w:type="dxa"/>
            <w:tcBorders>
              <w:top w:val="single" w:sz="8" w:space="0" w:color="000000" w:themeColor="text1"/>
              <w:bottom w:val="single" w:sz="4" w:space="0" w:color="000000" w:themeColor="text1"/>
            </w:tcBorders>
            <w:shd w:val="clear" w:color="auto" w:fill="FFFFFF" w:themeFill="background1"/>
            <w:vAlign w:val="bottom"/>
          </w:tcPr>
          <w:p w:rsidR="00893B06" w:rsidRPr="00B21FDB" w:rsidP="008A6077" w14:paraId="684FD19C" w14:textId="77777777">
            <w:pPr>
              <w:snapToGrid w:val="0"/>
              <w:rPr>
                <w:color w:val="000000"/>
                <w:sz w:val="18"/>
                <w:szCs w:val="18"/>
              </w:rPr>
            </w:pPr>
            <w:r w:rsidRPr="00B21FDB">
              <w:rPr>
                <w:color w:val="000000"/>
                <w:sz w:val="18"/>
                <w:szCs w:val="18"/>
              </w:rPr>
              <w:t> </w:t>
            </w:r>
          </w:p>
        </w:tc>
        <w:tc>
          <w:tcPr>
            <w:tcW w:w="1122"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59294DF3" w14:textId="10238C3E">
            <w:pPr>
              <w:snapToGrid w:val="0"/>
              <w:jc w:val="right"/>
              <w:rPr>
                <w:color w:val="000000"/>
                <w:sz w:val="18"/>
                <w:szCs w:val="18"/>
              </w:rPr>
            </w:pPr>
            <w:r w:rsidRPr="00A56B36">
              <w:rPr>
                <w:color w:val="000000"/>
                <w:sz w:val="18"/>
                <w:szCs w:val="18"/>
              </w:rPr>
              <w:t>$</w:t>
            </w:r>
            <w:r w:rsidR="006B0AC5">
              <w:rPr>
                <w:color w:val="000000"/>
                <w:sz w:val="18"/>
                <w:szCs w:val="18"/>
              </w:rPr>
              <w:t>56.85</w:t>
            </w:r>
          </w:p>
        </w:tc>
      </w:tr>
      <w:tr w14:paraId="60966346"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double" w:sz="1" w:space="0" w:color="000000" w:themeColor="text1"/>
            </w:tcBorders>
            <w:shd w:val="clear" w:color="auto" w:fill="FFFFFF" w:themeFill="background1"/>
            <w:vAlign w:val="bottom"/>
          </w:tcPr>
          <w:p w:rsidR="00893B06" w:rsidRPr="00B21FDB" w:rsidP="008A6077" w14:paraId="3E277BA4" w14:textId="3936A785">
            <w:pPr>
              <w:snapToGrid w:val="0"/>
              <w:rPr>
                <w:color w:val="000000"/>
                <w:sz w:val="18"/>
                <w:szCs w:val="18"/>
              </w:rPr>
            </w:pPr>
            <w:r w:rsidRPr="00B21FDB">
              <w:rPr>
                <w:color w:val="000000"/>
                <w:sz w:val="18"/>
                <w:szCs w:val="18"/>
              </w:rPr>
              <w:t>Estimated N</w:t>
            </w:r>
            <w:r w:rsidR="00A56B36">
              <w:rPr>
                <w:color w:val="000000"/>
                <w:sz w:val="18"/>
                <w:szCs w:val="18"/>
              </w:rPr>
              <w:t>umber</w:t>
            </w:r>
            <w:r w:rsidRPr="00B21FDB">
              <w:rPr>
                <w:color w:val="000000"/>
                <w:sz w:val="18"/>
                <w:szCs w:val="18"/>
              </w:rPr>
              <w:t xml:space="preserve"> of </w:t>
            </w:r>
            <w:r w:rsidR="006B0AC5">
              <w:rPr>
                <w:color w:val="000000"/>
                <w:sz w:val="18"/>
                <w:szCs w:val="18"/>
              </w:rPr>
              <w:t>Form</w:t>
            </w:r>
            <w:r w:rsidR="004B4665">
              <w:rPr>
                <w:color w:val="000000"/>
                <w:sz w:val="18"/>
                <w:szCs w:val="18"/>
              </w:rPr>
              <w:t>s</w:t>
            </w:r>
          </w:p>
        </w:tc>
        <w:tc>
          <w:tcPr>
            <w:tcW w:w="990" w:type="dxa"/>
            <w:tcBorders>
              <w:top w:val="single" w:sz="4" w:space="0" w:color="000000" w:themeColor="text1"/>
              <w:bottom w:val="double" w:sz="1" w:space="0" w:color="000000" w:themeColor="text1"/>
            </w:tcBorders>
            <w:shd w:val="clear" w:color="auto" w:fill="FFFFFF" w:themeFill="background1"/>
            <w:vAlign w:val="bottom"/>
          </w:tcPr>
          <w:p w:rsidR="00893B06" w:rsidRPr="00B21FDB" w:rsidP="008A6077" w14:paraId="0BBF112E" w14:textId="77777777">
            <w:pPr>
              <w:snapToGrid w:val="0"/>
              <w:rPr>
                <w:color w:val="000000"/>
                <w:sz w:val="18"/>
                <w:szCs w:val="18"/>
              </w:rPr>
            </w:pPr>
            <w:r w:rsidRPr="00B21FDB">
              <w:rPr>
                <w:color w:val="000000"/>
                <w:sz w:val="18"/>
                <w:szCs w:val="18"/>
              </w:rPr>
              <w:t> </w:t>
            </w:r>
          </w:p>
        </w:tc>
        <w:tc>
          <w:tcPr>
            <w:tcW w:w="862" w:type="dxa"/>
            <w:tcBorders>
              <w:top w:val="single" w:sz="4" w:space="0" w:color="000000" w:themeColor="text1"/>
              <w:bottom w:val="double" w:sz="1" w:space="0" w:color="000000" w:themeColor="text1"/>
            </w:tcBorders>
            <w:shd w:val="clear" w:color="auto" w:fill="FFFFFF" w:themeFill="background1"/>
            <w:vAlign w:val="bottom"/>
          </w:tcPr>
          <w:p w:rsidR="00893B06" w:rsidRPr="00B21FDB" w:rsidP="008A6077" w14:paraId="3C02D9F1" w14:textId="77777777">
            <w:pPr>
              <w:snapToGrid w:val="0"/>
              <w:rPr>
                <w:color w:val="000000"/>
                <w:sz w:val="18"/>
                <w:szCs w:val="18"/>
              </w:rPr>
            </w:pPr>
            <w:r w:rsidRPr="00B21FDB">
              <w:rPr>
                <w:color w:val="000000"/>
                <w:sz w:val="18"/>
                <w:szCs w:val="18"/>
              </w:rPr>
              <w:t> </w:t>
            </w:r>
          </w:p>
        </w:tc>
        <w:tc>
          <w:tcPr>
            <w:tcW w:w="1122" w:type="dxa"/>
            <w:tcBorders>
              <w:top w:val="single" w:sz="4" w:space="0" w:color="000000" w:themeColor="text1"/>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893B06" w:rsidRPr="00B21FDB" w:rsidP="008A6077" w14:paraId="546FD049" w14:textId="2E927D3A">
            <w:pPr>
              <w:snapToGrid w:val="0"/>
              <w:jc w:val="right"/>
              <w:rPr>
                <w:color w:val="000000"/>
                <w:sz w:val="18"/>
                <w:szCs w:val="18"/>
              </w:rPr>
            </w:pPr>
            <w:r>
              <w:rPr>
                <w:color w:val="000000" w:themeColor="text1"/>
                <w:sz w:val="18"/>
                <w:szCs w:val="18"/>
              </w:rPr>
              <w:t>2</w:t>
            </w:r>
            <w:r w:rsidR="006B0AC5">
              <w:rPr>
                <w:color w:val="000000" w:themeColor="text1"/>
                <w:sz w:val="18"/>
                <w:szCs w:val="18"/>
              </w:rPr>
              <w:t>00</w:t>
            </w:r>
          </w:p>
        </w:tc>
      </w:tr>
      <w:tr w14:paraId="20FA460C" w14:textId="77777777" w:rsidTr="59EC8B78">
        <w:tblPrEx>
          <w:tblW w:w="0" w:type="auto"/>
          <w:tblInd w:w="108" w:type="dxa"/>
          <w:tblLayout w:type="fixed"/>
          <w:tblLook w:val="0000"/>
        </w:tblPrEx>
        <w:trPr>
          <w:trHeight w:val="255"/>
        </w:trPr>
        <w:tc>
          <w:tcPr>
            <w:tcW w:w="5287" w:type="dxa"/>
            <w:tcBorders>
              <w:top w:val="double" w:sz="1" w:space="0" w:color="000000" w:themeColor="text1"/>
              <w:left w:val="single" w:sz="4" w:space="0" w:color="000000" w:themeColor="text1"/>
              <w:bottom w:val="double" w:sz="1" w:space="0" w:color="000000" w:themeColor="text1"/>
            </w:tcBorders>
            <w:shd w:val="clear" w:color="auto" w:fill="FFFFFF" w:themeFill="background1"/>
            <w:vAlign w:val="bottom"/>
          </w:tcPr>
          <w:p w:rsidR="00893B06" w:rsidRPr="00B21FDB" w:rsidP="008A6077" w14:paraId="046B5DB5" w14:textId="374C00FF">
            <w:pPr>
              <w:snapToGrid w:val="0"/>
              <w:rPr>
                <w:color w:val="000000"/>
                <w:sz w:val="18"/>
                <w:szCs w:val="18"/>
              </w:rPr>
            </w:pPr>
            <w:r w:rsidRPr="00B21FDB">
              <w:rPr>
                <w:color w:val="000000"/>
                <w:sz w:val="18"/>
                <w:szCs w:val="18"/>
              </w:rPr>
              <w:t xml:space="preserve">Total Annual Cost </w:t>
            </w:r>
          </w:p>
        </w:tc>
        <w:tc>
          <w:tcPr>
            <w:tcW w:w="990" w:type="dxa"/>
            <w:tcBorders>
              <w:top w:val="double" w:sz="1" w:space="0" w:color="000000" w:themeColor="text1"/>
              <w:bottom w:val="double" w:sz="1" w:space="0" w:color="000000" w:themeColor="text1"/>
            </w:tcBorders>
            <w:shd w:val="clear" w:color="auto" w:fill="FFFFFF" w:themeFill="background1"/>
            <w:vAlign w:val="bottom"/>
          </w:tcPr>
          <w:p w:rsidR="00893B06" w:rsidRPr="00B21FDB" w:rsidP="008A6077" w14:paraId="25F6A419" w14:textId="77777777">
            <w:pPr>
              <w:snapToGrid w:val="0"/>
              <w:rPr>
                <w:color w:val="000000"/>
                <w:sz w:val="18"/>
                <w:szCs w:val="18"/>
              </w:rPr>
            </w:pPr>
            <w:r w:rsidRPr="00B21FDB">
              <w:rPr>
                <w:color w:val="000000"/>
                <w:sz w:val="18"/>
                <w:szCs w:val="18"/>
              </w:rPr>
              <w:t> </w:t>
            </w:r>
          </w:p>
        </w:tc>
        <w:tc>
          <w:tcPr>
            <w:tcW w:w="862" w:type="dxa"/>
            <w:tcBorders>
              <w:top w:val="double" w:sz="1" w:space="0" w:color="000000" w:themeColor="text1"/>
              <w:bottom w:val="double" w:sz="1" w:space="0" w:color="000000" w:themeColor="text1"/>
            </w:tcBorders>
            <w:shd w:val="clear" w:color="auto" w:fill="FFFFFF" w:themeFill="background1"/>
            <w:vAlign w:val="bottom"/>
          </w:tcPr>
          <w:p w:rsidR="00893B06" w:rsidRPr="00B21FDB" w:rsidP="008A6077" w14:paraId="02022788" w14:textId="77777777">
            <w:pPr>
              <w:snapToGrid w:val="0"/>
              <w:rPr>
                <w:color w:val="000000"/>
                <w:sz w:val="18"/>
                <w:szCs w:val="18"/>
              </w:rPr>
            </w:pPr>
            <w:r w:rsidRPr="00B21FDB">
              <w:rPr>
                <w:color w:val="000000"/>
                <w:sz w:val="18"/>
                <w:szCs w:val="18"/>
              </w:rPr>
              <w:t> </w:t>
            </w:r>
          </w:p>
        </w:tc>
        <w:tc>
          <w:tcPr>
            <w:tcW w:w="1122" w:type="dxa"/>
            <w:tcBorders>
              <w:top w:val="double" w:sz="1" w:space="0" w:color="000000" w:themeColor="text1"/>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893B06" w:rsidRPr="00B21FDB" w:rsidP="008A6077" w14:paraId="27B334B8" w14:textId="661830F0">
            <w:pPr>
              <w:snapToGrid w:val="0"/>
              <w:jc w:val="right"/>
              <w:rPr>
                <w:color w:val="000000"/>
                <w:sz w:val="18"/>
                <w:szCs w:val="18"/>
              </w:rPr>
            </w:pPr>
            <w:r w:rsidRPr="59EC8B78">
              <w:rPr>
                <w:color w:val="000000" w:themeColor="text1"/>
                <w:sz w:val="18"/>
                <w:szCs w:val="18"/>
              </w:rPr>
              <w:t>$</w:t>
            </w:r>
            <w:r w:rsidR="004B4665">
              <w:rPr>
                <w:color w:val="000000" w:themeColor="text1"/>
                <w:sz w:val="18"/>
                <w:szCs w:val="18"/>
              </w:rPr>
              <w:t>11,370</w:t>
            </w:r>
            <w:r w:rsidRPr="59EC8B78">
              <w:rPr>
                <w:color w:val="000000" w:themeColor="text1"/>
                <w:sz w:val="18"/>
                <w:szCs w:val="18"/>
              </w:rPr>
              <w:t xml:space="preserve"> </w:t>
            </w:r>
          </w:p>
        </w:tc>
      </w:tr>
    </w:tbl>
    <w:p w:rsidR="007F5038" w:rsidP="00EE07D9" w14:paraId="569878CB" w14:textId="77777777">
      <w:pPr>
        <w:suppressAutoHyphens w:val="0"/>
        <w:ind w:hanging="360"/>
        <w:jc w:val="both"/>
      </w:pPr>
    </w:p>
    <w:p w:rsidR="00F85097" w:rsidRPr="00F53F31" w:rsidP="00EE07D9" w14:paraId="75E70D74" w14:textId="2D13AFD3">
      <w:pPr>
        <w:numPr>
          <w:ilvl w:val="1"/>
          <w:numId w:val="14"/>
        </w:numPr>
        <w:suppressAutoHyphens w:val="0"/>
        <w:ind w:left="0"/>
        <w:jc w:val="both"/>
      </w:pPr>
      <w:r w:rsidRPr="59EC8B78">
        <w:rPr>
          <w:u w:val="single"/>
        </w:rPr>
        <w:t>Reasons for changes.</w:t>
      </w:r>
      <w:r>
        <w:t xml:space="preserve"> </w:t>
      </w:r>
      <w:r w:rsidR="006B0AC5">
        <w:t>Not applicable.  This is a new collection of information</w:t>
      </w:r>
      <w:r w:rsidR="68B2F046">
        <w:t>.</w:t>
      </w:r>
    </w:p>
    <w:p w:rsidR="00F85097" w:rsidP="00EE07D9" w14:paraId="51055879" w14:textId="77777777">
      <w:pPr>
        <w:suppressAutoHyphens w:val="0"/>
        <w:ind w:hanging="360"/>
        <w:jc w:val="both"/>
      </w:pPr>
    </w:p>
    <w:p w:rsidR="00F85097" w:rsidP="00EE07D9" w14:paraId="064F0E76" w14:textId="77FE9A93">
      <w:pPr>
        <w:numPr>
          <w:ilvl w:val="1"/>
          <w:numId w:val="14"/>
        </w:numPr>
        <w:suppressAutoHyphens w:val="0"/>
        <w:ind w:left="0"/>
        <w:jc w:val="both"/>
      </w:pPr>
      <w:r w:rsidRPr="007B25E8">
        <w:rPr>
          <w:u w:val="single"/>
        </w:rPr>
        <w:t>Publicizing Results.</w:t>
      </w:r>
      <w:r w:rsidRPr="007B25E8">
        <w:t xml:space="preserve"> Not applicable. Results of this collection of information will not be published. </w:t>
      </w:r>
    </w:p>
    <w:p w:rsidR="007B25E8" w:rsidRPr="007B25E8" w:rsidP="00EE07D9" w14:paraId="243FE68B" w14:textId="77777777">
      <w:pPr>
        <w:suppressAutoHyphens w:val="0"/>
        <w:jc w:val="both"/>
        <w:rPr>
          <w:kern w:val="0"/>
          <w:szCs w:val="20"/>
          <w:lang w:eastAsia="en-US"/>
        </w:rPr>
      </w:pPr>
    </w:p>
    <w:p w:rsidR="000D71C3" w:rsidRPr="000D71C3" w:rsidP="00EE07D9" w14:paraId="6A60D629" w14:textId="095F334E">
      <w:pPr>
        <w:numPr>
          <w:ilvl w:val="1"/>
          <w:numId w:val="14"/>
        </w:numPr>
        <w:suppressAutoHyphens w:val="0"/>
        <w:ind w:left="0"/>
        <w:jc w:val="both"/>
        <w:rPr>
          <w:kern w:val="0"/>
          <w:szCs w:val="20"/>
          <w:lang w:eastAsia="en-US"/>
        </w:rPr>
      </w:pPr>
      <w:r w:rsidRPr="000D71C3">
        <w:rPr>
          <w:kern w:val="0"/>
          <w:szCs w:val="20"/>
          <w:u w:val="single"/>
          <w:lang w:eastAsia="en-US"/>
        </w:rPr>
        <w:t>OMB Not to Display Approval.</w:t>
      </w:r>
      <w:r w:rsidRPr="000D71C3">
        <w:rPr>
          <w:kern w:val="0"/>
          <w:szCs w:val="20"/>
          <w:lang w:eastAsia="en-US"/>
        </w:rPr>
        <w:t xml:space="preserve"> Not applicable. The expiration date will be displayed.  </w:t>
      </w:r>
    </w:p>
    <w:p w:rsidR="00F85097" w:rsidP="00EE07D9" w14:paraId="2014E7EC" w14:textId="77777777">
      <w:pPr>
        <w:suppressAutoHyphens w:val="0"/>
        <w:ind w:hanging="360"/>
        <w:jc w:val="both"/>
      </w:pPr>
    </w:p>
    <w:p w:rsidR="001E6103" w:rsidRPr="00E805AF" w:rsidP="00EE07D9" w14:paraId="6C777271" w14:textId="789A2DB9">
      <w:pPr>
        <w:pStyle w:val="ListParagraph"/>
        <w:numPr>
          <w:ilvl w:val="1"/>
          <w:numId w:val="14"/>
        </w:numPr>
        <w:ind w:left="0"/>
        <w:jc w:val="both"/>
      </w:pPr>
      <w:r w:rsidRPr="002D078F">
        <w:rPr>
          <w:u w:val="single"/>
        </w:rPr>
        <w:t xml:space="preserve">Exceptions to </w:t>
      </w:r>
      <w:r w:rsidRPr="002D078F" w:rsidR="002D078F">
        <w:rPr>
          <w:u w:val="single"/>
        </w:rPr>
        <w:t xml:space="preserve">“Certification for Paperwork Reduction Submissions.” </w:t>
      </w:r>
      <w:r w:rsidRPr="00E805AF" w:rsidR="00E805AF">
        <w:t>There are no exceptions to the certification statement</w:t>
      </w:r>
      <w:r w:rsidR="006C06A8">
        <w:t>.</w:t>
      </w:r>
    </w:p>
    <w:p w:rsidR="002D078F" w:rsidRPr="0064659C" w:rsidP="00EE07D9" w14:paraId="6B1D70EC" w14:textId="77777777">
      <w:pPr>
        <w:pStyle w:val="BodyTextIndent"/>
        <w:tabs>
          <w:tab w:val="left" w:pos="-2790"/>
          <w:tab w:val="clear" w:pos="450"/>
        </w:tabs>
        <w:ind w:left="0" w:hanging="360"/>
        <w:jc w:val="both"/>
      </w:pPr>
    </w:p>
    <w:p w:rsidR="006C06A8" w:rsidP="006C06A8" w14:paraId="47A143CE" w14:textId="77777777">
      <w:pPr>
        <w:pStyle w:val="BodyTextIndent"/>
        <w:tabs>
          <w:tab w:val="left" w:pos="-2790"/>
          <w:tab w:val="clear" w:pos="450"/>
        </w:tabs>
        <w:spacing w:after="120"/>
        <w:ind w:left="0" w:firstLine="0"/>
        <w:jc w:val="both"/>
      </w:pPr>
      <w:r>
        <w:rPr>
          <w:u w:val="single"/>
        </w:rPr>
        <w:t xml:space="preserve">Part B: </w:t>
      </w:r>
      <w:r w:rsidR="00750728">
        <w:rPr>
          <w:u w:val="single"/>
        </w:rPr>
        <w:t>Collection of Information Employing Statistical Methods.</w:t>
      </w:r>
      <w:r w:rsidR="00750728">
        <w:t xml:space="preserve"> </w:t>
      </w:r>
    </w:p>
    <w:p w:rsidR="00E805AF" w:rsidRPr="00272D51" w:rsidP="003F11E4" w14:paraId="5462B160" w14:textId="7AA283A5">
      <w:pPr>
        <w:pStyle w:val="BodyTextIndent"/>
        <w:tabs>
          <w:tab w:val="left" w:pos="-2790"/>
          <w:tab w:val="clear" w:pos="450"/>
        </w:tabs>
        <w:spacing w:after="120"/>
        <w:ind w:left="0" w:firstLine="0"/>
        <w:jc w:val="both"/>
      </w:pPr>
      <w:r>
        <w:t xml:space="preserve">This collection of information </w:t>
      </w:r>
      <w:r w:rsidR="002D078F">
        <w:t xml:space="preserve">is not a survey and </w:t>
      </w:r>
      <w:r>
        <w:t>does not employ statistical methods.</w:t>
      </w:r>
    </w:p>
    <w:sectPr>
      <w:footerReference w:type="default" r:id="rId14"/>
      <w:pgSz w:w="12240" w:h="15840"/>
      <w:pgMar w:top="1440" w:right="1440" w:bottom="1440" w:left="144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290">
    <w:charset w:val="00"/>
    <w:family w:val="auto"/>
    <w:pitch w:val="variable"/>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103" w14:paraId="62765D7F" w14:textId="77777777">
    <w:pPr>
      <w:pStyle w:val="Footer"/>
      <w:jc w:val="right"/>
    </w:pPr>
    <w:r>
      <w:fldChar w:fldCharType="begin"/>
    </w:r>
    <w:r>
      <w:instrText xml:space="preserve"> PAGE \*Arabic </w:instrText>
    </w:r>
    <w:r>
      <w:fldChar w:fldCharType="separate"/>
    </w:r>
    <w:r w:rsidR="00972B3C">
      <w:rPr>
        <w:noProof/>
      </w:rPr>
      <w:t>3</w:t>
    </w:r>
    <w:r>
      <w:fldChar w:fldCharType="end"/>
    </w:r>
    <w:r>
      <w:t xml:space="preserve"> of </w:t>
    </w:r>
    <w:r w:rsidR="00972B3C">
      <w:fldChar w:fldCharType="begin"/>
    </w:r>
    <w:r>
      <w:instrText xml:space="preserve"> NUMPAGES \*Arabic </w:instrText>
    </w:r>
    <w:r w:rsidR="00972B3C">
      <w:fldChar w:fldCharType="separate"/>
    </w:r>
    <w:r w:rsidR="00972B3C">
      <w:rPr>
        <w:noProof/>
      </w:rPr>
      <w:t>9</w:t>
    </w:r>
    <w:r w:rsidR="00972B3C">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0" w:firstLine="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upperLetter"/>
      <w:lvlText w:val="%1."/>
      <w:lvlJc w:val="left"/>
      <w:pPr>
        <w:tabs>
          <w:tab w:val="num" w:pos="0"/>
        </w:tabs>
        <w:ind w:left="720" w:hanging="360"/>
      </w:pPr>
    </w:lvl>
    <w:lvl w:ilvl="1">
      <w:start w:val="1"/>
      <w:numFmt w:val="decimal"/>
      <w:lvlText w:val="%2."/>
      <w:lvlJc w:val="left"/>
      <w:pPr>
        <w:tabs>
          <w:tab w:val="num" w:pos="-810"/>
        </w:tabs>
        <w:ind w:left="630" w:hanging="360"/>
      </w:pPr>
    </w:lvl>
    <w:lvl w:ilvl="2">
      <w:start w:val="5"/>
      <w:numFmt w:val="bullet"/>
      <w:lvlText w:val="-"/>
      <w:lvlJc w:val="left"/>
      <w:pPr>
        <w:tabs>
          <w:tab w:val="num" w:pos="0"/>
        </w:tabs>
        <w:ind w:left="2340" w:hanging="36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bullet"/>
      <w:lvlText w:val=""/>
      <w:lvlJc w:val="left"/>
      <w:pPr>
        <w:tabs>
          <w:tab w:val="num" w:pos="180"/>
        </w:tabs>
        <w:ind w:left="1260" w:hanging="360"/>
      </w:pPr>
      <w:rPr>
        <w:rFonts w:ascii="Symbol" w:hAnsi="Symbol"/>
      </w:rPr>
    </w:lvl>
    <w:lvl w:ilvl="1">
      <w:start w:val="1"/>
      <w:numFmt w:val="bullet"/>
      <w:lvlText w:val="o"/>
      <w:lvlJc w:val="left"/>
      <w:pPr>
        <w:tabs>
          <w:tab w:val="num" w:pos="180"/>
        </w:tabs>
        <w:ind w:left="1980" w:hanging="360"/>
      </w:pPr>
      <w:rPr>
        <w:rFonts w:ascii="Courier New" w:hAnsi="Courier New" w:cs="Courier New"/>
      </w:rPr>
    </w:lvl>
    <w:lvl w:ilvl="2">
      <w:start w:val="1"/>
      <w:numFmt w:val="bullet"/>
      <w:lvlText w:val=""/>
      <w:lvlJc w:val="left"/>
      <w:pPr>
        <w:tabs>
          <w:tab w:val="num" w:pos="180"/>
        </w:tabs>
        <w:ind w:left="2700" w:hanging="360"/>
      </w:pPr>
      <w:rPr>
        <w:rFonts w:ascii="Wingdings" w:hAnsi="Wingdings"/>
      </w:rPr>
    </w:lvl>
    <w:lvl w:ilvl="3">
      <w:start w:val="1"/>
      <w:numFmt w:val="bullet"/>
      <w:lvlText w:val=""/>
      <w:lvlJc w:val="left"/>
      <w:pPr>
        <w:tabs>
          <w:tab w:val="num" w:pos="180"/>
        </w:tabs>
        <w:ind w:left="3420" w:hanging="360"/>
      </w:pPr>
      <w:rPr>
        <w:rFonts w:ascii="Symbol" w:hAnsi="Symbol"/>
      </w:rPr>
    </w:lvl>
    <w:lvl w:ilvl="4">
      <w:start w:val="1"/>
      <w:numFmt w:val="bullet"/>
      <w:lvlText w:val="o"/>
      <w:lvlJc w:val="left"/>
      <w:pPr>
        <w:tabs>
          <w:tab w:val="num" w:pos="180"/>
        </w:tabs>
        <w:ind w:left="4140" w:hanging="360"/>
      </w:pPr>
      <w:rPr>
        <w:rFonts w:ascii="Courier New" w:hAnsi="Courier New" w:cs="Courier New"/>
      </w:rPr>
    </w:lvl>
    <w:lvl w:ilvl="5">
      <w:start w:val="1"/>
      <w:numFmt w:val="bullet"/>
      <w:lvlText w:val=""/>
      <w:lvlJc w:val="left"/>
      <w:pPr>
        <w:tabs>
          <w:tab w:val="num" w:pos="180"/>
        </w:tabs>
        <w:ind w:left="4860" w:hanging="360"/>
      </w:pPr>
      <w:rPr>
        <w:rFonts w:ascii="Wingdings" w:hAnsi="Wingdings"/>
      </w:rPr>
    </w:lvl>
    <w:lvl w:ilvl="6">
      <w:start w:val="1"/>
      <w:numFmt w:val="bullet"/>
      <w:lvlText w:val=""/>
      <w:lvlJc w:val="left"/>
      <w:pPr>
        <w:tabs>
          <w:tab w:val="num" w:pos="180"/>
        </w:tabs>
        <w:ind w:left="5580" w:hanging="360"/>
      </w:pPr>
      <w:rPr>
        <w:rFonts w:ascii="Symbol" w:hAnsi="Symbol"/>
      </w:rPr>
    </w:lvl>
    <w:lvl w:ilvl="7">
      <w:start w:val="1"/>
      <w:numFmt w:val="bullet"/>
      <w:lvlText w:val="o"/>
      <w:lvlJc w:val="left"/>
      <w:pPr>
        <w:tabs>
          <w:tab w:val="num" w:pos="180"/>
        </w:tabs>
        <w:ind w:left="6300" w:hanging="360"/>
      </w:pPr>
      <w:rPr>
        <w:rFonts w:ascii="Courier New" w:hAnsi="Courier New" w:cs="Courier New"/>
      </w:rPr>
    </w:lvl>
    <w:lvl w:ilvl="8">
      <w:start w:val="1"/>
      <w:numFmt w:val="bullet"/>
      <w:lvlText w:val=""/>
      <w:lvlJc w:val="left"/>
      <w:pPr>
        <w:tabs>
          <w:tab w:val="num" w:pos="180"/>
        </w:tabs>
        <w:ind w:left="7020" w:hanging="360"/>
      </w:pPr>
      <w:rPr>
        <w:rFonts w:ascii="Wingdings" w:hAnsi="Wingdings"/>
      </w:rPr>
    </w:lvl>
  </w:abstractNum>
  <w:abstractNum w:abstractNumId="4">
    <w:nsid w:val="00000005"/>
    <w:multiLevelType w:val="multilevel"/>
    <w:tmpl w:val="00000005"/>
    <w:name w:val="WW8Num5"/>
    <w:lvl w:ilvl="0">
      <w:start w:val="10"/>
      <w:numFmt w:val="bullet"/>
      <w:lvlText w:val="-"/>
      <w:lvlJc w:val="left"/>
      <w:pPr>
        <w:tabs>
          <w:tab w:val="num" w:pos="0"/>
        </w:tabs>
        <w:ind w:left="720" w:hanging="360"/>
      </w:pPr>
      <w:rPr>
        <w:rFonts w:ascii="Calibri" w:hAnsi="Calibri" w:cs="font29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lowerLetter"/>
      <w:lvlText w:val="%1."/>
      <w:lvlJc w:val="left"/>
      <w:pPr>
        <w:tabs>
          <w:tab w:val="num" w:pos="-11"/>
        </w:tabs>
        <w:ind w:left="709" w:hanging="360"/>
      </w:pPr>
    </w:lvl>
    <w:lvl w:ilvl="1">
      <w:start w:val="1"/>
      <w:numFmt w:val="lowerLetter"/>
      <w:lvlText w:val="%2."/>
      <w:lvlJc w:val="left"/>
      <w:pPr>
        <w:tabs>
          <w:tab w:val="num" w:pos="-11"/>
        </w:tabs>
        <w:ind w:left="1429" w:hanging="360"/>
      </w:pPr>
    </w:lvl>
    <w:lvl w:ilvl="2">
      <w:start w:val="1"/>
      <w:numFmt w:val="lowerRoman"/>
      <w:lvlText w:val="%3."/>
      <w:lvlJc w:val="left"/>
      <w:pPr>
        <w:tabs>
          <w:tab w:val="num" w:pos="-11"/>
        </w:tabs>
        <w:ind w:left="2149" w:hanging="180"/>
      </w:pPr>
    </w:lvl>
    <w:lvl w:ilvl="3">
      <w:start w:val="1"/>
      <w:numFmt w:val="decimal"/>
      <w:lvlText w:val="%4."/>
      <w:lvlJc w:val="left"/>
      <w:pPr>
        <w:tabs>
          <w:tab w:val="num" w:pos="-11"/>
        </w:tabs>
        <w:ind w:left="2869" w:hanging="360"/>
      </w:pPr>
    </w:lvl>
    <w:lvl w:ilvl="4">
      <w:start w:val="1"/>
      <w:numFmt w:val="lowerLetter"/>
      <w:lvlText w:val="%5."/>
      <w:lvlJc w:val="left"/>
      <w:pPr>
        <w:tabs>
          <w:tab w:val="num" w:pos="-11"/>
        </w:tabs>
        <w:ind w:left="3589" w:hanging="360"/>
      </w:pPr>
    </w:lvl>
    <w:lvl w:ilvl="5">
      <w:start w:val="1"/>
      <w:numFmt w:val="lowerRoman"/>
      <w:lvlText w:val="%6."/>
      <w:lvlJc w:val="left"/>
      <w:pPr>
        <w:tabs>
          <w:tab w:val="num" w:pos="-11"/>
        </w:tabs>
        <w:ind w:left="4309" w:hanging="180"/>
      </w:pPr>
    </w:lvl>
    <w:lvl w:ilvl="6">
      <w:start w:val="1"/>
      <w:numFmt w:val="decimal"/>
      <w:lvlText w:val="%7."/>
      <w:lvlJc w:val="left"/>
      <w:pPr>
        <w:tabs>
          <w:tab w:val="num" w:pos="-11"/>
        </w:tabs>
        <w:ind w:left="5029" w:hanging="360"/>
      </w:pPr>
    </w:lvl>
    <w:lvl w:ilvl="7">
      <w:start w:val="1"/>
      <w:numFmt w:val="lowerLetter"/>
      <w:lvlText w:val="%8."/>
      <w:lvlJc w:val="left"/>
      <w:pPr>
        <w:tabs>
          <w:tab w:val="num" w:pos="-11"/>
        </w:tabs>
        <w:ind w:left="5749" w:hanging="360"/>
      </w:pPr>
    </w:lvl>
    <w:lvl w:ilvl="8">
      <w:start w:val="1"/>
      <w:numFmt w:val="lowerRoman"/>
      <w:lvlText w:val="%9."/>
      <w:lvlJc w:val="left"/>
      <w:pPr>
        <w:tabs>
          <w:tab w:val="num" w:pos="-11"/>
        </w:tabs>
        <w:ind w:left="6469" w:hanging="180"/>
      </w:pPr>
    </w:lvl>
  </w:abstractNum>
  <w:abstractNum w:abstractNumId="6">
    <w:nsid w:val="00000007"/>
    <w:multiLevelType w:val="multilevel"/>
    <w:tmpl w:val="B492F752"/>
    <w:name w:val="WW8Num7"/>
    <w:lvl w:ilvl="0">
      <w:start w:val="14"/>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8"/>
    <w:multiLevelType w:val="multilevel"/>
    <w:tmpl w:val="00000008"/>
    <w:name w:val="WW8Num8"/>
    <w:lvl w:ilvl="0">
      <w:start w:val="1"/>
      <w:numFmt w:val="decimal"/>
      <w:lvlText w:val="%1."/>
      <w:lvlJc w:val="left"/>
      <w:pPr>
        <w:tabs>
          <w:tab w:val="num" w:pos="2138"/>
        </w:tabs>
        <w:ind w:left="213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2858"/>
        </w:tabs>
        <w:ind w:left="2858" w:hanging="360"/>
      </w:pPr>
    </w:lvl>
    <w:lvl w:ilvl="3">
      <w:start w:val="1"/>
      <w:numFmt w:val="decimal"/>
      <w:lvlText w:val="%4."/>
      <w:lvlJc w:val="left"/>
      <w:pPr>
        <w:tabs>
          <w:tab w:val="num" w:pos="3218"/>
        </w:tabs>
        <w:ind w:left="3218" w:hanging="360"/>
      </w:pPr>
    </w:lvl>
    <w:lvl w:ilvl="4">
      <w:start w:val="1"/>
      <w:numFmt w:val="decimal"/>
      <w:lvlText w:val="%5."/>
      <w:lvlJc w:val="left"/>
      <w:pPr>
        <w:tabs>
          <w:tab w:val="num" w:pos="3578"/>
        </w:tabs>
        <w:ind w:left="3578" w:hanging="360"/>
      </w:pPr>
    </w:lvl>
    <w:lvl w:ilvl="5">
      <w:start w:val="1"/>
      <w:numFmt w:val="decimal"/>
      <w:lvlText w:val="%6."/>
      <w:lvlJc w:val="left"/>
      <w:pPr>
        <w:tabs>
          <w:tab w:val="num" w:pos="3938"/>
        </w:tabs>
        <w:ind w:left="3938" w:hanging="360"/>
      </w:pPr>
    </w:lvl>
    <w:lvl w:ilvl="6">
      <w:start w:val="1"/>
      <w:numFmt w:val="decimal"/>
      <w:lvlText w:val="%7."/>
      <w:lvlJc w:val="left"/>
      <w:pPr>
        <w:tabs>
          <w:tab w:val="num" w:pos="4298"/>
        </w:tabs>
        <w:ind w:left="4298" w:hanging="360"/>
      </w:pPr>
    </w:lvl>
    <w:lvl w:ilvl="7">
      <w:start w:val="1"/>
      <w:numFmt w:val="decimal"/>
      <w:lvlText w:val="%8."/>
      <w:lvlJc w:val="left"/>
      <w:pPr>
        <w:tabs>
          <w:tab w:val="num" w:pos="4658"/>
        </w:tabs>
        <w:ind w:left="4658" w:hanging="360"/>
      </w:pPr>
    </w:lvl>
    <w:lvl w:ilvl="8">
      <w:start w:val="1"/>
      <w:numFmt w:val="decimal"/>
      <w:lvlText w:val="%9."/>
      <w:lvlJc w:val="left"/>
      <w:pPr>
        <w:tabs>
          <w:tab w:val="num" w:pos="5018"/>
        </w:tabs>
        <w:ind w:left="5018" w:hanging="360"/>
      </w:pPr>
    </w:lvl>
  </w:abstractNum>
  <w:abstractNum w:abstractNumId="8">
    <w:nsid w:val="060C33A7"/>
    <w:multiLevelType w:val="hybridMultilevel"/>
    <w:tmpl w:val="690C50E0"/>
    <w:lvl w:ilvl="0">
      <w:start w:val="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A2165C"/>
    <w:multiLevelType w:val="hybridMultilevel"/>
    <w:tmpl w:val="FE5484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3B96315"/>
    <w:multiLevelType w:val="hybridMultilevel"/>
    <w:tmpl w:val="B4BE8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6346D"/>
    <w:multiLevelType w:val="hybridMultilevel"/>
    <w:tmpl w:val="0B2AA7F8"/>
    <w:name w:val="WW8Num32"/>
    <w:lvl w:ilvl="0">
      <w:start w:val="2"/>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83ED8"/>
    <w:multiLevelType w:val="hybridMultilevel"/>
    <w:tmpl w:val="799CDC4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EF47D2"/>
    <w:multiLevelType w:val="hybridMultilevel"/>
    <w:tmpl w:val="4614ED0A"/>
    <w:lvl w:ilvl="0">
      <w:start w:val="1"/>
      <w:numFmt w:val="upperLetter"/>
      <w:lvlText w:val="%1."/>
      <w:lvlJc w:val="left"/>
      <w:pPr>
        <w:ind w:left="720" w:hanging="360"/>
      </w:pPr>
    </w:lvl>
    <w:lvl w:ilvl="1">
      <w:start w:val="3"/>
      <w:numFmt w:val="decimal"/>
      <w:lvlText w:val="%2."/>
      <w:lvlJc w:val="left"/>
      <w:pPr>
        <w:ind w:left="1440" w:hanging="360"/>
      </w:pPr>
      <w:rPr>
        <w:rFonts w:hint="default"/>
      </w:rPr>
    </w:lvl>
    <w:lvl w:ilvl="2">
      <w:start w:val="5"/>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293239E"/>
    <w:multiLevelType w:val="hybridMultilevel"/>
    <w:tmpl w:val="1276B0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FE62D1"/>
    <w:multiLevelType w:val="hybridMultilevel"/>
    <w:tmpl w:val="20CEE1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22E0DF0"/>
    <w:multiLevelType w:val="multilevel"/>
    <w:tmpl w:val="55F4F8CA"/>
    <w:name w:val="WW8Num72"/>
    <w:lvl w:ilvl="0">
      <w:start w:val="15"/>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78DB4E22"/>
    <w:multiLevelType w:val="singleLevel"/>
    <w:tmpl w:val="6FC8A70C"/>
    <w:lvl w:ilvl="0">
      <w:start w:val="10"/>
      <w:numFmt w:val="decimal"/>
      <w:lvlText w:val="%1."/>
      <w:lvlJc w:val="left"/>
      <w:pPr>
        <w:tabs>
          <w:tab w:val="num" w:pos="450"/>
        </w:tabs>
        <w:ind w:left="450" w:hanging="450"/>
      </w:pPr>
      <w:rPr>
        <w:rFonts w:hint="default"/>
      </w:rPr>
    </w:lvl>
  </w:abstractNum>
  <w:num w:numId="1" w16cid:durableId="1573390280">
    <w:abstractNumId w:val="0"/>
  </w:num>
  <w:num w:numId="2" w16cid:durableId="34887688">
    <w:abstractNumId w:val="1"/>
  </w:num>
  <w:num w:numId="3" w16cid:durableId="1504051670">
    <w:abstractNumId w:val="2"/>
  </w:num>
  <w:num w:numId="4" w16cid:durableId="278729241">
    <w:abstractNumId w:val="3"/>
  </w:num>
  <w:num w:numId="5" w16cid:durableId="1981688904">
    <w:abstractNumId w:val="4"/>
  </w:num>
  <w:num w:numId="6" w16cid:durableId="900478110">
    <w:abstractNumId w:val="5"/>
  </w:num>
  <w:num w:numId="7" w16cid:durableId="1553078604">
    <w:abstractNumId w:val="6"/>
  </w:num>
  <w:num w:numId="8" w16cid:durableId="360126680">
    <w:abstractNumId w:val="7"/>
  </w:num>
  <w:num w:numId="9" w16cid:durableId="1657956969">
    <w:abstractNumId w:val="18"/>
  </w:num>
  <w:num w:numId="10" w16cid:durableId="89712970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991865">
    <w:abstractNumId w:val="10"/>
  </w:num>
  <w:num w:numId="12" w16cid:durableId="102232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049046">
    <w:abstractNumId w:val="10"/>
  </w:num>
  <w:num w:numId="14" w16cid:durableId="1985507417">
    <w:abstractNumId w:val="13"/>
  </w:num>
  <w:num w:numId="15" w16cid:durableId="1867597420">
    <w:abstractNumId w:val="18"/>
  </w:num>
  <w:num w:numId="16" w16cid:durableId="1358317032">
    <w:abstractNumId w:val="11"/>
  </w:num>
  <w:num w:numId="17" w16cid:durableId="1796636612">
    <w:abstractNumId w:val="17"/>
  </w:num>
  <w:num w:numId="18" w16cid:durableId="1640571716">
    <w:abstractNumId w:val="9"/>
  </w:num>
  <w:num w:numId="19" w16cid:durableId="1393115019">
    <w:abstractNumId w:val="12"/>
  </w:num>
  <w:num w:numId="20" w16cid:durableId="1575747927">
    <w:abstractNumId w:val="14"/>
  </w:num>
  <w:num w:numId="21" w16cid:durableId="342559461">
    <w:abstractNumId w:val="15"/>
  </w:num>
  <w:num w:numId="22" w16cid:durableId="1990597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8"/>
    <w:rsid w:val="00001694"/>
    <w:rsid w:val="00002149"/>
    <w:rsid w:val="0000421A"/>
    <w:rsid w:val="00010B65"/>
    <w:rsid w:val="0001183D"/>
    <w:rsid w:val="000129E6"/>
    <w:rsid w:val="00014E4C"/>
    <w:rsid w:val="00015052"/>
    <w:rsid w:val="0001570E"/>
    <w:rsid w:val="00015828"/>
    <w:rsid w:val="0001701F"/>
    <w:rsid w:val="00021E33"/>
    <w:rsid w:val="000239DC"/>
    <w:rsid w:val="000244B4"/>
    <w:rsid w:val="00024CFA"/>
    <w:rsid w:val="00025A7E"/>
    <w:rsid w:val="000260AC"/>
    <w:rsid w:val="00036248"/>
    <w:rsid w:val="0004191C"/>
    <w:rsid w:val="00042EEF"/>
    <w:rsid w:val="00050479"/>
    <w:rsid w:val="00050A5B"/>
    <w:rsid w:val="00053C3C"/>
    <w:rsid w:val="00057ED4"/>
    <w:rsid w:val="00070734"/>
    <w:rsid w:val="00070F40"/>
    <w:rsid w:val="000752B8"/>
    <w:rsid w:val="00077DD7"/>
    <w:rsid w:val="000808A0"/>
    <w:rsid w:val="000818FC"/>
    <w:rsid w:val="0008265E"/>
    <w:rsid w:val="00083091"/>
    <w:rsid w:val="00084F2C"/>
    <w:rsid w:val="00095092"/>
    <w:rsid w:val="000A0F81"/>
    <w:rsid w:val="000A124A"/>
    <w:rsid w:val="000A176A"/>
    <w:rsid w:val="000A1A86"/>
    <w:rsid w:val="000A488C"/>
    <w:rsid w:val="000A60F9"/>
    <w:rsid w:val="000A6C24"/>
    <w:rsid w:val="000B3898"/>
    <w:rsid w:val="000C0B9F"/>
    <w:rsid w:val="000C1C98"/>
    <w:rsid w:val="000C5466"/>
    <w:rsid w:val="000C7FCB"/>
    <w:rsid w:val="000D25B8"/>
    <w:rsid w:val="000D71C3"/>
    <w:rsid w:val="000E1033"/>
    <w:rsid w:val="000E28C9"/>
    <w:rsid w:val="000E488E"/>
    <w:rsid w:val="000E6301"/>
    <w:rsid w:val="000E6D83"/>
    <w:rsid w:val="000E7261"/>
    <w:rsid w:val="000F3246"/>
    <w:rsid w:val="000F3F04"/>
    <w:rsid w:val="000F5B7E"/>
    <w:rsid w:val="00102A81"/>
    <w:rsid w:val="00107EFD"/>
    <w:rsid w:val="00113C1C"/>
    <w:rsid w:val="00117C03"/>
    <w:rsid w:val="001218D6"/>
    <w:rsid w:val="001253DA"/>
    <w:rsid w:val="00132EA6"/>
    <w:rsid w:val="00136B6E"/>
    <w:rsid w:val="00137361"/>
    <w:rsid w:val="001378A2"/>
    <w:rsid w:val="0014127B"/>
    <w:rsid w:val="001430C6"/>
    <w:rsid w:val="00143D43"/>
    <w:rsid w:val="00152FAF"/>
    <w:rsid w:val="00157DDC"/>
    <w:rsid w:val="001600B4"/>
    <w:rsid w:val="00161087"/>
    <w:rsid w:val="00161D6C"/>
    <w:rsid w:val="00166623"/>
    <w:rsid w:val="00170D93"/>
    <w:rsid w:val="0017304C"/>
    <w:rsid w:val="00174740"/>
    <w:rsid w:val="0017598A"/>
    <w:rsid w:val="00180A40"/>
    <w:rsid w:val="00183509"/>
    <w:rsid w:val="00196FAC"/>
    <w:rsid w:val="001A25A1"/>
    <w:rsid w:val="001B0C36"/>
    <w:rsid w:val="001B19E3"/>
    <w:rsid w:val="001C13B1"/>
    <w:rsid w:val="001C239C"/>
    <w:rsid w:val="001C3CB0"/>
    <w:rsid w:val="001C478B"/>
    <w:rsid w:val="001C4E68"/>
    <w:rsid w:val="001C7074"/>
    <w:rsid w:val="001D1178"/>
    <w:rsid w:val="001D2F2E"/>
    <w:rsid w:val="001E4CB9"/>
    <w:rsid w:val="001E6103"/>
    <w:rsid w:val="001F0487"/>
    <w:rsid w:val="001F4E25"/>
    <w:rsid w:val="001F73E3"/>
    <w:rsid w:val="001F796A"/>
    <w:rsid w:val="00201044"/>
    <w:rsid w:val="00213592"/>
    <w:rsid w:val="00213F11"/>
    <w:rsid w:val="00216D4F"/>
    <w:rsid w:val="002206DA"/>
    <w:rsid w:val="002206EF"/>
    <w:rsid w:val="00226007"/>
    <w:rsid w:val="0023087A"/>
    <w:rsid w:val="0023147C"/>
    <w:rsid w:val="00232E1C"/>
    <w:rsid w:val="00233836"/>
    <w:rsid w:val="00234493"/>
    <w:rsid w:val="002356DE"/>
    <w:rsid w:val="002379F4"/>
    <w:rsid w:val="0024108B"/>
    <w:rsid w:val="00242A15"/>
    <w:rsid w:val="00243F96"/>
    <w:rsid w:val="0024581C"/>
    <w:rsid w:val="00247015"/>
    <w:rsid w:val="00252D28"/>
    <w:rsid w:val="00253CAD"/>
    <w:rsid w:val="0025541A"/>
    <w:rsid w:val="00261E48"/>
    <w:rsid w:val="00262BF5"/>
    <w:rsid w:val="00271F67"/>
    <w:rsid w:val="00272D51"/>
    <w:rsid w:val="0027359A"/>
    <w:rsid w:val="002737C0"/>
    <w:rsid w:val="002766EC"/>
    <w:rsid w:val="002838C0"/>
    <w:rsid w:val="00283945"/>
    <w:rsid w:val="00283E60"/>
    <w:rsid w:val="00285C1C"/>
    <w:rsid w:val="0029099D"/>
    <w:rsid w:val="002933F6"/>
    <w:rsid w:val="002A2152"/>
    <w:rsid w:val="002A4FE0"/>
    <w:rsid w:val="002A6D9F"/>
    <w:rsid w:val="002B0D9F"/>
    <w:rsid w:val="002B1AB9"/>
    <w:rsid w:val="002B2679"/>
    <w:rsid w:val="002B4B64"/>
    <w:rsid w:val="002B547F"/>
    <w:rsid w:val="002B5C26"/>
    <w:rsid w:val="002B73C4"/>
    <w:rsid w:val="002C08BE"/>
    <w:rsid w:val="002C1383"/>
    <w:rsid w:val="002D078F"/>
    <w:rsid w:val="002D0FA4"/>
    <w:rsid w:val="002D1767"/>
    <w:rsid w:val="002D7FD3"/>
    <w:rsid w:val="002E4227"/>
    <w:rsid w:val="002E4AF3"/>
    <w:rsid w:val="002E59E4"/>
    <w:rsid w:val="002F3BB6"/>
    <w:rsid w:val="002F4687"/>
    <w:rsid w:val="00302244"/>
    <w:rsid w:val="003068CD"/>
    <w:rsid w:val="00306B36"/>
    <w:rsid w:val="00307B31"/>
    <w:rsid w:val="00307F8C"/>
    <w:rsid w:val="0031011D"/>
    <w:rsid w:val="003101FB"/>
    <w:rsid w:val="00311737"/>
    <w:rsid w:val="00312974"/>
    <w:rsid w:val="00313E81"/>
    <w:rsid w:val="00314D15"/>
    <w:rsid w:val="00326BD2"/>
    <w:rsid w:val="003270DB"/>
    <w:rsid w:val="00327B9D"/>
    <w:rsid w:val="00330B3A"/>
    <w:rsid w:val="00334D8F"/>
    <w:rsid w:val="00335571"/>
    <w:rsid w:val="00337022"/>
    <w:rsid w:val="0034038A"/>
    <w:rsid w:val="00354BCC"/>
    <w:rsid w:val="00355CA8"/>
    <w:rsid w:val="003614B2"/>
    <w:rsid w:val="00365F5E"/>
    <w:rsid w:val="0037005D"/>
    <w:rsid w:val="003735BD"/>
    <w:rsid w:val="00375928"/>
    <w:rsid w:val="00385E7B"/>
    <w:rsid w:val="00386088"/>
    <w:rsid w:val="00387136"/>
    <w:rsid w:val="00392314"/>
    <w:rsid w:val="003967BD"/>
    <w:rsid w:val="003A3002"/>
    <w:rsid w:val="003A3F15"/>
    <w:rsid w:val="003A45A9"/>
    <w:rsid w:val="003B693A"/>
    <w:rsid w:val="003C05E5"/>
    <w:rsid w:val="003C1425"/>
    <w:rsid w:val="003C18A4"/>
    <w:rsid w:val="003C2DC1"/>
    <w:rsid w:val="003C3114"/>
    <w:rsid w:val="003C4CF8"/>
    <w:rsid w:val="003C6719"/>
    <w:rsid w:val="003C6A41"/>
    <w:rsid w:val="003C6C20"/>
    <w:rsid w:val="003C7C59"/>
    <w:rsid w:val="003D23F4"/>
    <w:rsid w:val="003D4EED"/>
    <w:rsid w:val="003D514A"/>
    <w:rsid w:val="003D73A1"/>
    <w:rsid w:val="003E2318"/>
    <w:rsid w:val="003E31F6"/>
    <w:rsid w:val="003E6874"/>
    <w:rsid w:val="003F0B0B"/>
    <w:rsid w:val="003F11E4"/>
    <w:rsid w:val="003F24CB"/>
    <w:rsid w:val="003F2B1C"/>
    <w:rsid w:val="003F501C"/>
    <w:rsid w:val="003F7242"/>
    <w:rsid w:val="00401043"/>
    <w:rsid w:val="00401C4F"/>
    <w:rsid w:val="0042037D"/>
    <w:rsid w:val="004214CB"/>
    <w:rsid w:val="00430051"/>
    <w:rsid w:val="00435A78"/>
    <w:rsid w:val="00444F24"/>
    <w:rsid w:val="004538F5"/>
    <w:rsid w:val="00453E51"/>
    <w:rsid w:val="004575B7"/>
    <w:rsid w:val="00459EEF"/>
    <w:rsid w:val="00460711"/>
    <w:rsid w:val="00462224"/>
    <w:rsid w:val="00462616"/>
    <w:rsid w:val="00467491"/>
    <w:rsid w:val="004674FB"/>
    <w:rsid w:val="00473073"/>
    <w:rsid w:val="0047377D"/>
    <w:rsid w:val="0047747A"/>
    <w:rsid w:val="00480B6F"/>
    <w:rsid w:val="00481B81"/>
    <w:rsid w:val="004823D5"/>
    <w:rsid w:val="00496C71"/>
    <w:rsid w:val="004A010A"/>
    <w:rsid w:val="004A31D2"/>
    <w:rsid w:val="004A4652"/>
    <w:rsid w:val="004B175A"/>
    <w:rsid w:val="004B2B39"/>
    <w:rsid w:val="004B4665"/>
    <w:rsid w:val="004B7FDC"/>
    <w:rsid w:val="004C165E"/>
    <w:rsid w:val="004C1EE6"/>
    <w:rsid w:val="004C27E5"/>
    <w:rsid w:val="004C3C4E"/>
    <w:rsid w:val="004C593E"/>
    <w:rsid w:val="004D0712"/>
    <w:rsid w:val="004D2915"/>
    <w:rsid w:val="004E2635"/>
    <w:rsid w:val="004E5EC2"/>
    <w:rsid w:val="00501D17"/>
    <w:rsid w:val="005028E9"/>
    <w:rsid w:val="00505506"/>
    <w:rsid w:val="005070D8"/>
    <w:rsid w:val="00512746"/>
    <w:rsid w:val="00517DC6"/>
    <w:rsid w:val="00520337"/>
    <w:rsid w:val="00525412"/>
    <w:rsid w:val="00526088"/>
    <w:rsid w:val="00526B41"/>
    <w:rsid w:val="00532745"/>
    <w:rsid w:val="005343A5"/>
    <w:rsid w:val="00535CF0"/>
    <w:rsid w:val="00545763"/>
    <w:rsid w:val="0054775C"/>
    <w:rsid w:val="005509E2"/>
    <w:rsid w:val="005512F3"/>
    <w:rsid w:val="005522E6"/>
    <w:rsid w:val="00556BB6"/>
    <w:rsid w:val="005608E9"/>
    <w:rsid w:val="00561155"/>
    <w:rsid w:val="00563445"/>
    <w:rsid w:val="005640A8"/>
    <w:rsid w:val="00571591"/>
    <w:rsid w:val="0057233D"/>
    <w:rsid w:val="00584DF7"/>
    <w:rsid w:val="00595B1E"/>
    <w:rsid w:val="005A1223"/>
    <w:rsid w:val="005A14F8"/>
    <w:rsid w:val="005A3E9A"/>
    <w:rsid w:val="005B0315"/>
    <w:rsid w:val="005B3B8A"/>
    <w:rsid w:val="005B5988"/>
    <w:rsid w:val="005B67F1"/>
    <w:rsid w:val="005C190A"/>
    <w:rsid w:val="005C2B92"/>
    <w:rsid w:val="005C3122"/>
    <w:rsid w:val="005C3450"/>
    <w:rsid w:val="005C6053"/>
    <w:rsid w:val="005C7E22"/>
    <w:rsid w:val="005C7EFA"/>
    <w:rsid w:val="005D2F67"/>
    <w:rsid w:val="005D31E3"/>
    <w:rsid w:val="005D3637"/>
    <w:rsid w:val="005D7175"/>
    <w:rsid w:val="005E0BB4"/>
    <w:rsid w:val="005E4032"/>
    <w:rsid w:val="005F1E57"/>
    <w:rsid w:val="005F3EE6"/>
    <w:rsid w:val="005F4FB5"/>
    <w:rsid w:val="005F7124"/>
    <w:rsid w:val="005F773C"/>
    <w:rsid w:val="00601FE4"/>
    <w:rsid w:val="00602715"/>
    <w:rsid w:val="006045F5"/>
    <w:rsid w:val="00605702"/>
    <w:rsid w:val="006156BD"/>
    <w:rsid w:val="00615833"/>
    <w:rsid w:val="00617652"/>
    <w:rsid w:val="00617ACD"/>
    <w:rsid w:val="00620988"/>
    <w:rsid w:val="00621D40"/>
    <w:rsid w:val="00623C6F"/>
    <w:rsid w:val="00627168"/>
    <w:rsid w:val="00633B29"/>
    <w:rsid w:val="006344FF"/>
    <w:rsid w:val="0064144A"/>
    <w:rsid w:val="0064229C"/>
    <w:rsid w:val="00643818"/>
    <w:rsid w:val="0064659C"/>
    <w:rsid w:val="00652F1A"/>
    <w:rsid w:val="00655072"/>
    <w:rsid w:val="006572C0"/>
    <w:rsid w:val="00663ECD"/>
    <w:rsid w:val="006665C7"/>
    <w:rsid w:val="00666F9F"/>
    <w:rsid w:val="00667EB1"/>
    <w:rsid w:val="00671F96"/>
    <w:rsid w:val="0067300A"/>
    <w:rsid w:val="00674DE9"/>
    <w:rsid w:val="00675685"/>
    <w:rsid w:val="00677F44"/>
    <w:rsid w:val="006846CE"/>
    <w:rsid w:val="00684C98"/>
    <w:rsid w:val="00687BB2"/>
    <w:rsid w:val="00691378"/>
    <w:rsid w:val="00693510"/>
    <w:rsid w:val="00693BD1"/>
    <w:rsid w:val="00693FC3"/>
    <w:rsid w:val="00694B9D"/>
    <w:rsid w:val="00697413"/>
    <w:rsid w:val="006A0036"/>
    <w:rsid w:val="006A0E7A"/>
    <w:rsid w:val="006A1476"/>
    <w:rsid w:val="006A28B4"/>
    <w:rsid w:val="006B0AC5"/>
    <w:rsid w:val="006B0AD8"/>
    <w:rsid w:val="006B0FCA"/>
    <w:rsid w:val="006B2851"/>
    <w:rsid w:val="006B6196"/>
    <w:rsid w:val="006B69E8"/>
    <w:rsid w:val="006C06A8"/>
    <w:rsid w:val="006C16CA"/>
    <w:rsid w:val="006C32FA"/>
    <w:rsid w:val="006C4094"/>
    <w:rsid w:val="006C5577"/>
    <w:rsid w:val="006C7CC9"/>
    <w:rsid w:val="006D648B"/>
    <w:rsid w:val="006E116A"/>
    <w:rsid w:val="006E1247"/>
    <w:rsid w:val="006E2486"/>
    <w:rsid w:val="006E63BB"/>
    <w:rsid w:val="006F419C"/>
    <w:rsid w:val="006F47DC"/>
    <w:rsid w:val="006F5A7F"/>
    <w:rsid w:val="006F63F5"/>
    <w:rsid w:val="006F76C6"/>
    <w:rsid w:val="006F7D4A"/>
    <w:rsid w:val="007061EB"/>
    <w:rsid w:val="00716897"/>
    <w:rsid w:val="00716F30"/>
    <w:rsid w:val="007171BE"/>
    <w:rsid w:val="00722665"/>
    <w:rsid w:val="0072338C"/>
    <w:rsid w:val="0073038C"/>
    <w:rsid w:val="00731B32"/>
    <w:rsid w:val="007328F2"/>
    <w:rsid w:val="00733C7F"/>
    <w:rsid w:val="00735439"/>
    <w:rsid w:val="0073732D"/>
    <w:rsid w:val="00737B15"/>
    <w:rsid w:val="00743D8C"/>
    <w:rsid w:val="007449A4"/>
    <w:rsid w:val="00746626"/>
    <w:rsid w:val="0075071A"/>
    <w:rsid w:val="00750728"/>
    <w:rsid w:val="0075116A"/>
    <w:rsid w:val="007532A5"/>
    <w:rsid w:val="00755619"/>
    <w:rsid w:val="00763335"/>
    <w:rsid w:val="00763E03"/>
    <w:rsid w:val="00765098"/>
    <w:rsid w:val="00766D11"/>
    <w:rsid w:val="00767F88"/>
    <w:rsid w:val="00773035"/>
    <w:rsid w:val="007741CC"/>
    <w:rsid w:val="007769AB"/>
    <w:rsid w:val="00776FB4"/>
    <w:rsid w:val="00781359"/>
    <w:rsid w:val="00781C1D"/>
    <w:rsid w:val="00786157"/>
    <w:rsid w:val="007871C5"/>
    <w:rsid w:val="00790013"/>
    <w:rsid w:val="007902F9"/>
    <w:rsid w:val="00790CCB"/>
    <w:rsid w:val="00792F50"/>
    <w:rsid w:val="0079463E"/>
    <w:rsid w:val="00794852"/>
    <w:rsid w:val="00797EE6"/>
    <w:rsid w:val="007A1497"/>
    <w:rsid w:val="007A1543"/>
    <w:rsid w:val="007A330B"/>
    <w:rsid w:val="007A6A42"/>
    <w:rsid w:val="007A7A00"/>
    <w:rsid w:val="007B0E3B"/>
    <w:rsid w:val="007B25E8"/>
    <w:rsid w:val="007B2C03"/>
    <w:rsid w:val="007B444F"/>
    <w:rsid w:val="007C104B"/>
    <w:rsid w:val="007C6213"/>
    <w:rsid w:val="007D3EB4"/>
    <w:rsid w:val="007D52D6"/>
    <w:rsid w:val="007D7302"/>
    <w:rsid w:val="007E6DC5"/>
    <w:rsid w:val="007F07F2"/>
    <w:rsid w:val="007F0D16"/>
    <w:rsid w:val="007F1F1E"/>
    <w:rsid w:val="007F45C1"/>
    <w:rsid w:val="007F5038"/>
    <w:rsid w:val="007F7B9F"/>
    <w:rsid w:val="008032DB"/>
    <w:rsid w:val="00803893"/>
    <w:rsid w:val="00810D13"/>
    <w:rsid w:val="00811921"/>
    <w:rsid w:val="00812463"/>
    <w:rsid w:val="0082080F"/>
    <w:rsid w:val="00822F9C"/>
    <w:rsid w:val="00826B78"/>
    <w:rsid w:val="008315AA"/>
    <w:rsid w:val="008330DA"/>
    <w:rsid w:val="00833C9D"/>
    <w:rsid w:val="00835A3A"/>
    <w:rsid w:val="00836378"/>
    <w:rsid w:val="008369D2"/>
    <w:rsid w:val="0083731D"/>
    <w:rsid w:val="00837FC8"/>
    <w:rsid w:val="00843415"/>
    <w:rsid w:val="008434D5"/>
    <w:rsid w:val="0085176F"/>
    <w:rsid w:val="00853D83"/>
    <w:rsid w:val="0085605E"/>
    <w:rsid w:val="00856586"/>
    <w:rsid w:val="008615E3"/>
    <w:rsid w:val="0086611F"/>
    <w:rsid w:val="00867B5D"/>
    <w:rsid w:val="0087038E"/>
    <w:rsid w:val="00876F90"/>
    <w:rsid w:val="008863B5"/>
    <w:rsid w:val="00890B2F"/>
    <w:rsid w:val="008911FC"/>
    <w:rsid w:val="00891D70"/>
    <w:rsid w:val="00893B06"/>
    <w:rsid w:val="0089462F"/>
    <w:rsid w:val="00897AFC"/>
    <w:rsid w:val="008A23BE"/>
    <w:rsid w:val="008A3818"/>
    <w:rsid w:val="008A4811"/>
    <w:rsid w:val="008A6077"/>
    <w:rsid w:val="008A762F"/>
    <w:rsid w:val="008B019E"/>
    <w:rsid w:val="008B0E94"/>
    <w:rsid w:val="008B10E8"/>
    <w:rsid w:val="008C1B67"/>
    <w:rsid w:val="008C3A21"/>
    <w:rsid w:val="008D1334"/>
    <w:rsid w:val="008D1EF1"/>
    <w:rsid w:val="008D4C38"/>
    <w:rsid w:val="008D590B"/>
    <w:rsid w:val="008E072D"/>
    <w:rsid w:val="008E412C"/>
    <w:rsid w:val="008E44E5"/>
    <w:rsid w:val="008E4D5D"/>
    <w:rsid w:val="008F4EF6"/>
    <w:rsid w:val="008F508A"/>
    <w:rsid w:val="008F5BDA"/>
    <w:rsid w:val="00900A01"/>
    <w:rsid w:val="00904F1A"/>
    <w:rsid w:val="0090660D"/>
    <w:rsid w:val="00907EF9"/>
    <w:rsid w:val="00910D24"/>
    <w:rsid w:val="00913400"/>
    <w:rsid w:val="009164A6"/>
    <w:rsid w:val="009219A0"/>
    <w:rsid w:val="009222FA"/>
    <w:rsid w:val="00922BE0"/>
    <w:rsid w:val="00924C47"/>
    <w:rsid w:val="00925C00"/>
    <w:rsid w:val="00936DD5"/>
    <w:rsid w:val="0094170A"/>
    <w:rsid w:val="00942F66"/>
    <w:rsid w:val="00952281"/>
    <w:rsid w:val="00952435"/>
    <w:rsid w:val="00952D5B"/>
    <w:rsid w:val="00952D82"/>
    <w:rsid w:val="00955732"/>
    <w:rsid w:val="00955D0C"/>
    <w:rsid w:val="00956F4D"/>
    <w:rsid w:val="009577CE"/>
    <w:rsid w:val="009610D5"/>
    <w:rsid w:val="00961542"/>
    <w:rsid w:val="00961E14"/>
    <w:rsid w:val="009638FC"/>
    <w:rsid w:val="00965737"/>
    <w:rsid w:val="0096691D"/>
    <w:rsid w:val="00967A84"/>
    <w:rsid w:val="00970CE7"/>
    <w:rsid w:val="00972B3C"/>
    <w:rsid w:val="00973BC7"/>
    <w:rsid w:val="0098113C"/>
    <w:rsid w:val="009814C9"/>
    <w:rsid w:val="0098277B"/>
    <w:rsid w:val="00985435"/>
    <w:rsid w:val="0098583F"/>
    <w:rsid w:val="0098649B"/>
    <w:rsid w:val="009871A2"/>
    <w:rsid w:val="00987A94"/>
    <w:rsid w:val="00991117"/>
    <w:rsid w:val="00995240"/>
    <w:rsid w:val="00997306"/>
    <w:rsid w:val="00997B1B"/>
    <w:rsid w:val="009A0EA7"/>
    <w:rsid w:val="009A3203"/>
    <w:rsid w:val="009A4261"/>
    <w:rsid w:val="009A676C"/>
    <w:rsid w:val="009A74FA"/>
    <w:rsid w:val="009B0D52"/>
    <w:rsid w:val="009B498F"/>
    <w:rsid w:val="009B49E1"/>
    <w:rsid w:val="009B5394"/>
    <w:rsid w:val="009B59AB"/>
    <w:rsid w:val="009B5B0B"/>
    <w:rsid w:val="009B6BF4"/>
    <w:rsid w:val="009C059D"/>
    <w:rsid w:val="009C23CE"/>
    <w:rsid w:val="009C3B85"/>
    <w:rsid w:val="009D3065"/>
    <w:rsid w:val="009D3116"/>
    <w:rsid w:val="009E1C13"/>
    <w:rsid w:val="009E2917"/>
    <w:rsid w:val="009E48EA"/>
    <w:rsid w:val="009E4D3B"/>
    <w:rsid w:val="009F0330"/>
    <w:rsid w:val="009F3786"/>
    <w:rsid w:val="009F719F"/>
    <w:rsid w:val="00A00226"/>
    <w:rsid w:val="00A0035B"/>
    <w:rsid w:val="00A044F5"/>
    <w:rsid w:val="00A05BFB"/>
    <w:rsid w:val="00A07FBD"/>
    <w:rsid w:val="00A11E69"/>
    <w:rsid w:val="00A15FF6"/>
    <w:rsid w:val="00A217BC"/>
    <w:rsid w:val="00A22F19"/>
    <w:rsid w:val="00A30E70"/>
    <w:rsid w:val="00A322BF"/>
    <w:rsid w:val="00A40757"/>
    <w:rsid w:val="00A46578"/>
    <w:rsid w:val="00A50ECD"/>
    <w:rsid w:val="00A53649"/>
    <w:rsid w:val="00A56B36"/>
    <w:rsid w:val="00A61BDF"/>
    <w:rsid w:val="00A67306"/>
    <w:rsid w:val="00A6732D"/>
    <w:rsid w:val="00A7070F"/>
    <w:rsid w:val="00A70B85"/>
    <w:rsid w:val="00A72006"/>
    <w:rsid w:val="00A72D6C"/>
    <w:rsid w:val="00A801A5"/>
    <w:rsid w:val="00A85EDD"/>
    <w:rsid w:val="00A863D0"/>
    <w:rsid w:val="00A86E8D"/>
    <w:rsid w:val="00A90862"/>
    <w:rsid w:val="00A90FD2"/>
    <w:rsid w:val="00A93CE0"/>
    <w:rsid w:val="00A96260"/>
    <w:rsid w:val="00AA2519"/>
    <w:rsid w:val="00AA6868"/>
    <w:rsid w:val="00AB0B9B"/>
    <w:rsid w:val="00AB3BA2"/>
    <w:rsid w:val="00AB4EA8"/>
    <w:rsid w:val="00AB7DD7"/>
    <w:rsid w:val="00AC1625"/>
    <w:rsid w:val="00AC21FB"/>
    <w:rsid w:val="00AC29C9"/>
    <w:rsid w:val="00AC3721"/>
    <w:rsid w:val="00AC418A"/>
    <w:rsid w:val="00AC6E40"/>
    <w:rsid w:val="00AC7873"/>
    <w:rsid w:val="00AC7BE4"/>
    <w:rsid w:val="00AD134B"/>
    <w:rsid w:val="00AD1709"/>
    <w:rsid w:val="00AD2176"/>
    <w:rsid w:val="00AD53A1"/>
    <w:rsid w:val="00AD7232"/>
    <w:rsid w:val="00AD7D76"/>
    <w:rsid w:val="00AE0417"/>
    <w:rsid w:val="00AE2558"/>
    <w:rsid w:val="00AE6355"/>
    <w:rsid w:val="00AE7E9A"/>
    <w:rsid w:val="00AF273F"/>
    <w:rsid w:val="00AF6CFB"/>
    <w:rsid w:val="00B00DFB"/>
    <w:rsid w:val="00B04AF3"/>
    <w:rsid w:val="00B0574D"/>
    <w:rsid w:val="00B064CD"/>
    <w:rsid w:val="00B07026"/>
    <w:rsid w:val="00B111ED"/>
    <w:rsid w:val="00B1209A"/>
    <w:rsid w:val="00B128C3"/>
    <w:rsid w:val="00B13D01"/>
    <w:rsid w:val="00B21FDB"/>
    <w:rsid w:val="00B23FCE"/>
    <w:rsid w:val="00B31C27"/>
    <w:rsid w:val="00B401F7"/>
    <w:rsid w:val="00B427F5"/>
    <w:rsid w:val="00B4452F"/>
    <w:rsid w:val="00B45448"/>
    <w:rsid w:val="00B47996"/>
    <w:rsid w:val="00B504D5"/>
    <w:rsid w:val="00B510AC"/>
    <w:rsid w:val="00B51CEA"/>
    <w:rsid w:val="00B52B5D"/>
    <w:rsid w:val="00B52C08"/>
    <w:rsid w:val="00B56E2E"/>
    <w:rsid w:val="00B60CC2"/>
    <w:rsid w:val="00B65D7A"/>
    <w:rsid w:val="00B702A7"/>
    <w:rsid w:val="00B7099C"/>
    <w:rsid w:val="00B75365"/>
    <w:rsid w:val="00B75ABC"/>
    <w:rsid w:val="00B76277"/>
    <w:rsid w:val="00B7694D"/>
    <w:rsid w:val="00B77083"/>
    <w:rsid w:val="00B77EB6"/>
    <w:rsid w:val="00B83801"/>
    <w:rsid w:val="00B86946"/>
    <w:rsid w:val="00B87E6A"/>
    <w:rsid w:val="00B91624"/>
    <w:rsid w:val="00B926D6"/>
    <w:rsid w:val="00B92EB4"/>
    <w:rsid w:val="00B94037"/>
    <w:rsid w:val="00B95492"/>
    <w:rsid w:val="00B97716"/>
    <w:rsid w:val="00BA0222"/>
    <w:rsid w:val="00BA0FCF"/>
    <w:rsid w:val="00BA4217"/>
    <w:rsid w:val="00BA4908"/>
    <w:rsid w:val="00BA7117"/>
    <w:rsid w:val="00BC6A28"/>
    <w:rsid w:val="00BC7F7B"/>
    <w:rsid w:val="00BD17EF"/>
    <w:rsid w:val="00BD1A1A"/>
    <w:rsid w:val="00BD4F0E"/>
    <w:rsid w:val="00BD785F"/>
    <w:rsid w:val="00BE210A"/>
    <w:rsid w:val="00BE3F5D"/>
    <w:rsid w:val="00BF0170"/>
    <w:rsid w:val="00BF0EFA"/>
    <w:rsid w:val="00BF2BEF"/>
    <w:rsid w:val="00BF4FCF"/>
    <w:rsid w:val="00BF6DE6"/>
    <w:rsid w:val="00BF6DFB"/>
    <w:rsid w:val="00C002B1"/>
    <w:rsid w:val="00C030E1"/>
    <w:rsid w:val="00C04A8E"/>
    <w:rsid w:val="00C10BB3"/>
    <w:rsid w:val="00C1356C"/>
    <w:rsid w:val="00C239F0"/>
    <w:rsid w:val="00C31E98"/>
    <w:rsid w:val="00C41A44"/>
    <w:rsid w:val="00C462F7"/>
    <w:rsid w:val="00C4798C"/>
    <w:rsid w:val="00C47E43"/>
    <w:rsid w:val="00C47F0E"/>
    <w:rsid w:val="00C5130E"/>
    <w:rsid w:val="00C53328"/>
    <w:rsid w:val="00C53E13"/>
    <w:rsid w:val="00C56046"/>
    <w:rsid w:val="00C6288C"/>
    <w:rsid w:val="00C63335"/>
    <w:rsid w:val="00C63507"/>
    <w:rsid w:val="00C63962"/>
    <w:rsid w:val="00C63C4D"/>
    <w:rsid w:val="00C711F1"/>
    <w:rsid w:val="00C71CA0"/>
    <w:rsid w:val="00C71F2F"/>
    <w:rsid w:val="00C75F39"/>
    <w:rsid w:val="00C96B81"/>
    <w:rsid w:val="00C96CC7"/>
    <w:rsid w:val="00C9724C"/>
    <w:rsid w:val="00CA2078"/>
    <w:rsid w:val="00CA44F7"/>
    <w:rsid w:val="00CA7851"/>
    <w:rsid w:val="00CB0602"/>
    <w:rsid w:val="00CB449B"/>
    <w:rsid w:val="00CB4BD9"/>
    <w:rsid w:val="00CB5545"/>
    <w:rsid w:val="00CB5650"/>
    <w:rsid w:val="00CB6648"/>
    <w:rsid w:val="00CB7236"/>
    <w:rsid w:val="00CB7B65"/>
    <w:rsid w:val="00CC5936"/>
    <w:rsid w:val="00CC5E35"/>
    <w:rsid w:val="00CD14A3"/>
    <w:rsid w:val="00CD4DED"/>
    <w:rsid w:val="00CE008D"/>
    <w:rsid w:val="00CE0503"/>
    <w:rsid w:val="00CE1EDC"/>
    <w:rsid w:val="00CE1FCA"/>
    <w:rsid w:val="00CE2507"/>
    <w:rsid w:val="00CF04BD"/>
    <w:rsid w:val="00CF0D94"/>
    <w:rsid w:val="00CF25C0"/>
    <w:rsid w:val="00CF2B50"/>
    <w:rsid w:val="00D0273B"/>
    <w:rsid w:val="00D115A5"/>
    <w:rsid w:val="00D13E61"/>
    <w:rsid w:val="00D15E05"/>
    <w:rsid w:val="00D16E90"/>
    <w:rsid w:val="00D20794"/>
    <w:rsid w:val="00D22AD8"/>
    <w:rsid w:val="00D27664"/>
    <w:rsid w:val="00D340BA"/>
    <w:rsid w:val="00D34897"/>
    <w:rsid w:val="00D34E55"/>
    <w:rsid w:val="00D35549"/>
    <w:rsid w:val="00D36792"/>
    <w:rsid w:val="00D37F01"/>
    <w:rsid w:val="00D428EC"/>
    <w:rsid w:val="00D42D0F"/>
    <w:rsid w:val="00D42E49"/>
    <w:rsid w:val="00D541AA"/>
    <w:rsid w:val="00D54840"/>
    <w:rsid w:val="00D55513"/>
    <w:rsid w:val="00D562D3"/>
    <w:rsid w:val="00D724F0"/>
    <w:rsid w:val="00D72F4F"/>
    <w:rsid w:val="00D73DD8"/>
    <w:rsid w:val="00D77399"/>
    <w:rsid w:val="00D823EB"/>
    <w:rsid w:val="00D841DC"/>
    <w:rsid w:val="00D84488"/>
    <w:rsid w:val="00D845E3"/>
    <w:rsid w:val="00D85056"/>
    <w:rsid w:val="00D90668"/>
    <w:rsid w:val="00D940F6"/>
    <w:rsid w:val="00DA2190"/>
    <w:rsid w:val="00DA2741"/>
    <w:rsid w:val="00DA3876"/>
    <w:rsid w:val="00DA5AC1"/>
    <w:rsid w:val="00DA7BD0"/>
    <w:rsid w:val="00DB373D"/>
    <w:rsid w:val="00DB4B20"/>
    <w:rsid w:val="00DB4B79"/>
    <w:rsid w:val="00DB4E9C"/>
    <w:rsid w:val="00DB5DE8"/>
    <w:rsid w:val="00DC15E3"/>
    <w:rsid w:val="00DC25DA"/>
    <w:rsid w:val="00DC3C36"/>
    <w:rsid w:val="00DC5EE8"/>
    <w:rsid w:val="00DD2644"/>
    <w:rsid w:val="00DD2DAF"/>
    <w:rsid w:val="00DD454E"/>
    <w:rsid w:val="00DD51DB"/>
    <w:rsid w:val="00DD5EA3"/>
    <w:rsid w:val="00DD5F28"/>
    <w:rsid w:val="00DD7422"/>
    <w:rsid w:val="00DE260C"/>
    <w:rsid w:val="00DE28B9"/>
    <w:rsid w:val="00DE39B8"/>
    <w:rsid w:val="00DE3D6C"/>
    <w:rsid w:val="00DF0B32"/>
    <w:rsid w:val="00DF1763"/>
    <w:rsid w:val="00DF1945"/>
    <w:rsid w:val="00DF33D8"/>
    <w:rsid w:val="00E038BD"/>
    <w:rsid w:val="00E1185D"/>
    <w:rsid w:val="00E13BBC"/>
    <w:rsid w:val="00E21877"/>
    <w:rsid w:val="00E22BB5"/>
    <w:rsid w:val="00E30145"/>
    <w:rsid w:val="00E33675"/>
    <w:rsid w:val="00E35348"/>
    <w:rsid w:val="00E35C24"/>
    <w:rsid w:val="00E371C6"/>
    <w:rsid w:val="00E37365"/>
    <w:rsid w:val="00E4057D"/>
    <w:rsid w:val="00E41D31"/>
    <w:rsid w:val="00E53B8D"/>
    <w:rsid w:val="00E54370"/>
    <w:rsid w:val="00E543C3"/>
    <w:rsid w:val="00E6054A"/>
    <w:rsid w:val="00E61467"/>
    <w:rsid w:val="00E622EB"/>
    <w:rsid w:val="00E65C8A"/>
    <w:rsid w:val="00E6774E"/>
    <w:rsid w:val="00E71987"/>
    <w:rsid w:val="00E71C25"/>
    <w:rsid w:val="00E73FD6"/>
    <w:rsid w:val="00E77482"/>
    <w:rsid w:val="00E805AF"/>
    <w:rsid w:val="00E87C86"/>
    <w:rsid w:val="00E92171"/>
    <w:rsid w:val="00EA2152"/>
    <w:rsid w:val="00EA3D42"/>
    <w:rsid w:val="00EA697E"/>
    <w:rsid w:val="00EB2B06"/>
    <w:rsid w:val="00EB63E4"/>
    <w:rsid w:val="00EC098D"/>
    <w:rsid w:val="00EC2D87"/>
    <w:rsid w:val="00EC6A6B"/>
    <w:rsid w:val="00ED7717"/>
    <w:rsid w:val="00EE07D9"/>
    <w:rsid w:val="00EE10E5"/>
    <w:rsid w:val="00EE490D"/>
    <w:rsid w:val="00EE4C97"/>
    <w:rsid w:val="00EE59A1"/>
    <w:rsid w:val="00EE6B28"/>
    <w:rsid w:val="00EE6E25"/>
    <w:rsid w:val="00EF02BF"/>
    <w:rsid w:val="00EF10A2"/>
    <w:rsid w:val="00EF14EC"/>
    <w:rsid w:val="00EF2305"/>
    <w:rsid w:val="00F0047E"/>
    <w:rsid w:val="00F0272D"/>
    <w:rsid w:val="00F12BC0"/>
    <w:rsid w:val="00F132B0"/>
    <w:rsid w:val="00F152FE"/>
    <w:rsid w:val="00F25956"/>
    <w:rsid w:val="00F273DD"/>
    <w:rsid w:val="00F27D82"/>
    <w:rsid w:val="00F31759"/>
    <w:rsid w:val="00F32303"/>
    <w:rsid w:val="00F354BD"/>
    <w:rsid w:val="00F41CF1"/>
    <w:rsid w:val="00F43A4E"/>
    <w:rsid w:val="00F45131"/>
    <w:rsid w:val="00F459CE"/>
    <w:rsid w:val="00F469D3"/>
    <w:rsid w:val="00F5012D"/>
    <w:rsid w:val="00F520A7"/>
    <w:rsid w:val="00F52205"/>
    <w:rsid w:val="00F528C4"/>
    <w:rsid w:val="00F53F31"/>
    <w:rsid w:val="00F55326"/>
    <w:rsid w:val="00F5659C"/>
    <w:rsid w:val="00F602A7"/>
    <w:rsid w:val="00F624FF"/>
    <w:rsid w:val="00F62C8F"/>
    <w:rsid w:val="00F66D8C"/>
    <w:rsid w:val="00F7047D"/>
    <w:rsid w:val="00F72E00"/>
    <w:rsid w:val="00F840E6"/>
    <w:rsid w:val="00F845C5"/>
    <w:rsid w:val="00F85097"/>
    <w:rsid w:val="00F873B5"/>
    <w:rsid w:val="00F94617"/>
    <w:rsid w:val="00FA11A4"/>
    <w:rsid w:val="00FA192B"/>
    <w:rsid w:val="00FA3592"/>
    <w:rsid w:val="00FA72CE"/>
    <w:rsid w:val="00FB15FE"/>
    <w:rsid w:val="00FB4A1F"/>
    <w:rsid w:val="00FC1D56"/>
    <w:rsid w:val="00FC3EC8"/>
    <w:rsid w:val="00FC4446"/>
    <w:rsid w:val="00FC49ED"/>
    <w:rsid w:val="00FD0ADC"/>
    <w:rsid w:val="00FD0C4D"/>
    <w:rsid w:val="00FD271B"/>
    <w:rsid w:val="00FD3310"/>
    <w:rsid w:val="00FD46E1"/>
    <w:rsid w:val="00FD5CDB"/>
    <w:rsid w:val="00FD5DFE"/>
    <w:rsid w:val="00FD66E8"/>
    <w:rsid w:val="00FE0215"/>
    <w:rsid w:val="00FE0A3A"/>
    <w:rsid w:val="00FE3000"/>
    <w:rsid w:val="00FE3A3A"/>
    <w:rsid w:val="00FF11DB"/>
    <w:rsid w:val="00FF2DD3"/>
    <w:rsid w:val="00FF5AB3"/>
    <w:rsid w:val="00FF5EDB"/>
    <w:rsid w:val="01900DC7"/>
    <w:rsid w:val="01908A6F"/>
    <w:rsid w:val="01EF6A2A"/>
    <w:rsid w:val="05288C6B"/>
    <w:rsid w:val="05A09B5D"/>
    <w:rsid w:val="05ED6948"/>
    <w:rsid w:val="063B3ECF"/>
    <w:rsid w:val="0AACF6AF"/>
    <w:rsid w:val="0D753974"/>
    <w:rsid w:val="0E0529D8"/>
    <w:rsid w:val="0EDCE30B"/>
    <w:rsid w:val="0EE7FD6A"/>
    <w:rsid w:val="12181E58"/>
    <w:rsid w:val="171EC7E2"/>
    <w:rsid w:val="17915149"/>
    <w:rsid w:val="18709513"/>
    <w:rsid w:val="198D5057"/>
    <w:rsid w:val="1AB4C8FA"/>
    <w:rsid w:val="1AD2294B"/>
    <w:rsid w:val="1AE9B77E"/>
    <w:rsid w:val="1C2F76CD"/>
    <w:rsid w:val="1CF5CECA"/>
    <w:rsid w:val="1D75492C"/>
    <w:rsid w:val="1DB56746"/>
    <w:rsid w:val="1F4100C2"/>
    <w:rsid w:val="1FD9BDD6"/>
    <w:rsid w:val="20C4FB7B"/>
    <w:rsid w:val="20C98EC7"/>
    <w:rsid w:val="227A8C06"/>
    <w:rsid w:val="22B4E80E"/>
    <w:rsid w:val="23BDA180"/>
    <w:rsid w:val="257D7627"/>
    <w:rsid w:val="27E55E57"/>
    <w:rsid w:val="2A5AD75B"/>
    <w:rsid w:val="2C701629"/>
    <w:rsid w:val="2D301238"/>
    <w:rsid w:val="2E6EE358"/>
    <w:rsid w:val="2E826928"/>
    <w:rsid w:val="2FD857E8"/>
    <w:rsid w:val="2FF945C0"/>
    <w:rsid w:val="32B137F1"/>
    <w:rsid w:val="33417AF5"/>
    <w:rsid w:val="34DECE79"/>
    <w:rsid w:val="364C5DFC"/>
    <w:rsid w:val="3661AAC1"/>
    <w:rsid w:val="36B2DBA4"/>
    <w:rsid w:val="38DC4ADF"/>
    <w:rsid w:val="3AA673E2"/>
    <w:rsid w:val="3BBBC8A0"/>
    <w:rsid w:val="3C316277"/>
    <w:rsid w:val="3CB23E20"/>
    <w:rsid w:val="3E6912AA"/>
    <w:rsid w:val="3F50CB89"/>
    <w:rsid w:val="3FDE4E35"/>
    <w:rsid w:val="40F0EF9E"/>
    <w:rsid w:val="41DF8C98"/>
    <w:rsid w:val="420EF43C"/>
    <w:rsid w:val="42FB0B7E"/>
    <w:rsid w:val="430F09AE"/>
    <w:rsid w:val="430FFE48"/>
    <w:rsid w:val="43A889EA"/>
    <w:rsid w:val="4576EDA5"/>
    <w:rsid w:val="47A29578"/>
    <w:rsid w:val="4861465B"/>
    <w:rsid w:val="49886C38"/>
    <w:rsid w:val="4A999337"/>
    <w:rsid w:val="4BD31BF4"/>
    <w:rsid w:val="4BE2EF8F"/>
    <w:rsid w:val="4C8E76A8"/>
    <w:rsid w:val="4CCD89F1"/>
    <w:rsid w:val="5053AFE8"/>
    <w:rsid w:val="51DC8643"/>
    <w:rsid w:val="51F56571"/>
    <w:rsid w:val="52EADC0D"/>
    <w:rsid w:val="53F32524"/>
    <w:rsid w:val="5452F183"/>
    <w:rsid w:val="5475332F"/>
    <w:rsid w:val="5727D2BE"/>
    <w:rsid w:val="57535C62"/>
    <w:rsid w:val="57BDE62A"/>
    <w:rsid w:val="580DB1B4"/>
    <w:rsid w:val="5824A629"/>
    <w:rsid w:val="583D572E"/>
    <w:rsid w:val="59EC8B78"/>
    <w:rsid w:val="5B2DE2BF"/>
    <w:rsid w:val="5D936155"/>
    <w:rsid w:val="5E565BBA"/>
    <w:rsid w:val="5E62349D"/>
    <w:rsid w:val="5E665520"/>
    <w:rsid w:val="60BCC078"/>
    <w:rsid w:val="61D14967"/>
    <w:rsid w:val="62F5F34B"/>
    <w:rsid w:val="6855D1FD"/>
    <w:rsid w:val="68B2F046"/>
    <w:rsid w:val="68D6B7DA"/>
    <w:rsid w:val="69E29527"/>
    <w:rsid w:val="6A68168F"/>
    <w:rsid w:val="6AFB9AA7"/>
    <w:rsid w:val="6C0E8720"/>
    <w:rsid w:val="6C1D9976"/>
    <w:rsid w:val="6C58E416"/>
    <w:rsid w:val="6F3212DB"/>
    <w:rsid w:val="6F60C394"/>
    <w:rsid w:val="707317A8"/>
    <w:rsid w:val="71B32E0A"/>
    <w:rsid w:val="72378059"/>
    <w:rsid w:val="7277138B"/>
    <w:rsid w:val="72AAD5D3"/>
    <w:rsid w:val="733398CC"/>
    <w:rsid w:val="7A17BCF8"/>
    <w:rsid w:val="7AD724A0"/>
    <w:rsid w:val="7C1D7327"/>
    <w:rsid w:val="7CCE1ACA"/>
    <w:rsid w:val="7D49E458"/>
    <w:rsid w:val="7FBC09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3E6EBFF0"/>
  <w15:docId w15:val="{8DDA8C2B-98B5-4D60-8171-B00CCF5B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2">
    <w:name w:val="WW8Num3z2"/>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Calibri" w:hAnsi="Calibri" w:cs="font29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font290"/>
    </w:rPr>
  </w:style>
  <w:style w:type="character" w:customStyle="1" w:styleId="Heading1Char">
    <w:name w:val="Heading 1 Char"/>
    <w:basedOn w:val="DefaultParagraphFont"/>
  </w:style>
  <w:style w:type="character" w:customStyle="1" w:styleId="Heading2Char">
    <w:name w:val="Heading 2 Char"/>
    <w:basedOn w:val="DefaultParagraphFont"/>
  </w:style>
  <w:style w:type="character" w:styleId="Strong">
    <w:name w:val="Strong"/>
    <w:qFormat/>
    <w:rPr>
      <w:b/>
      <w:bCs/>
    </w:rPr>
  </w:style>
  <w:style w:type="character" w:styleId="SubtleEmphasis">
    <w:name w:val="Subtle Emphasis"/>
    <w:basedOn w:val="DefaultParagraphFont"/>
    <w:qFormat/>
  </w:style>
  <w:style w:type="character" w:styleId="IntenseEmphasis">
    <w:name w:val="Intense Emphasis"/>
    <w:basedOn w:val="DefaultParagraphFont"/>
    <w:qFormat/>
  </w:style>
  <w:style w:type="character" w:styleId="SubtleReference">
    <w:name w:val="Subtle Reference"/>
    <w:basedOn w:val="DefaultParagraphFont"/>
    <w:qFormat/>
  </w:style>
  <w:style w:type="character" w:customStyle="1" w:styleId="BodyTextIndentChar">
    <w:name w:val="Body Text Indent Char"/>
    <w:basedOn w:val="DefaultParagraphFont"/>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laceholderText">
    <w:name w:val="Placeholder Text"/>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style>
  <w:style w:type="paragraph" w:styleId="ListParagraph">
    <w:name w:val="List Paragraph"/>
    <w:basedOn w:val="Normal"/>
    <w:qFormat/>
  </w:style>
  <w:style w:type="paragraph" w:styleId="BodyTextIndent">
    <w:name w:val="Body Text Indent"/>
    <w:basedOn w:val="Normal"/>
    <w:pPr>
      <w:tabs>
        <w:tab w:val="left" w:pos="450"/>
      </w:tabs>
      <w:ind w:left="810" w:hanging="810"/>
    </w:pPr>
    <w:rPr>
      <w:szCs w:val="20"/>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style>
  <w:style w:type="paragraph" w:customStyle="1" w:styleId="Instructions">
    <w:name w:val="Instruction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AD53A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08BE"/>
    <w:rPr>
      <w:sz w:val="16"/>
      <w:szCs w:val="16"/>
    </w:rPr>
  </w:style>
  <w:style w:type="paragraph" w:styleId="CommentText">
    <w:name w:val="annotation text"/>
    <w:basedOn w:val="Normal"/>
    <w:link w:val="CommentTextChar"/>
    <w:uiPriority w:val="99"/>
    <w:unhideWhenUsed/>
    <w:rsid w:val="002C08BE"/>
    <w:rPr>
      <w:sz w:val="20"/>
      <w:szCs w:val="20"/>
    </w:rPr>
  </w:style>
  <w:style w:type="character" w:customStyle="1" w:styleId="CommentTextChar">
    <w:name w:val="Comment Text Char"/>
    <w:link w:val="CommentText"/>
    <w:uiPriority w:val="99"/>
    <w:rsid w:val="002C08BE"/>
    <w:rPr>
      <w:kern w:val="1"/>
      <w:lang w:eastAsia="ar-SA"/>
    </w:rPr>
  </w:style>
  <w:style w:type="paragraph" w:styleId="CommentSubject">
    <w:name w:val="annotation subject"/>
    <w:basedOn w:val="CommentText"/>
    <w:next w:val="CommentText"/>
    <w:link w:val="CommentSubjectChar"/>
    <w:uiPriority w:val="99"/>
    <w:semiHidden/>
    <w:unhideWhenUsed/>
    <w:rsid w:val="002C08BE"/>
    <w:rPr>
      <w:b/>
      <w:bCs/>
    </w:rPr>
  </w:style>
  <w:style w:type="character" w:customStyle="1" w:styleId="CommentSubjectChar">
    <w:name w:val="Comment Subject Char"/>
    <w:link w:val="CommentSubject"/>
    <w:uiPriority w:val="99"/>
    <w:semiHidden/>
    <w:rsid w:val="002C08BE"/>
    <w:rPr>
      <w:b/>
      <w:bCs/>
      <w:kern w:val="1"/>
      <w:lang w:eastAsia="ar-SA"/>
    </w:rPr>
  </w:style>
  <w:style w:type="paragraph" w:styleId="Revision">
    <w:name w:val="Revision"/>
    <w:hidden/>
    <w:uiPriority w:val="99"/>
    <w:semiHidden/>
    <w:rsid w:val="00972B3C"/>
    <w:rPr>
      <w:kern w:val="1"/>
      <w:sz w:val="24"/>
      <w:szCs w:val="24"/>
      <w:lang w:eastAsia="ar-SA"/>
    </w:rPr>
  </w:style>
  <w:style w:type="paragraph" w:styleId="NormalWeb">
    <w:name w:val="Normal (Web)"/>
    <w:basedOn w:val="Normal"/>
    <w:uiPriority w:val="99"/>
    <w:semiHidden/>
    <w:unhideWhenUsed/>
    <w:rsid w:val="00666F9F"/>
  </w:style>
  <w:style w:type="character" w:styleId="UnresolvedMention">
    <w:name w:val="Unresolved Mention"/>
    <w:basedOn w:val="DefaultParagraphFont"/>
    <w:uiPriority w:val="99"/>
    <w:semiHidden/>
    <w:unhideWhenUsed/>
    <w:rsid w:val="00AF6CFB"/>
    <w:rPr>
      <w:color w:val="605E5C"/>
      <w:shd w:val="clear" w:color="auto" w:fill="E1DFDD"/>
    </w:rPr>
  </w:style>
  <w:style w:type="character" w:styleId="FollowedHyperlink">
    <w:name w:val="FollowedHyperlink"/>
    <w:basedOn w:val="DefaultParagraphFont"/>
    <w:uiPriority w:val="99"/>
    <w:semiHidden/>
    <w:unhideWhenUsed/>
    <w:rsid w:val="00CF0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5/08/12/2025-15286/data-collection-available-for-public-comments" TargetMode="External" /><Relationship Id="rId11" Type="http://schemas.openxmlformats.org/officeDocument/2006/relationships/hyperlink" Target="https://www.govinfo.gov/app/details/PAI-2025-SBA" TargetMode="External" /><Relationship Id="rId12" Type="http://schemas.openxmlformats.org/officeDocument/2006/relationships/hyperlink" Target="https://www.bls.gov/oes/current/oes111011.htm" TargetMode="External" /><Relationship Id="rId13" Type="http://schemas.openxmlformats.org/officeDocument/2006/relationships/hyperlink" Target="https://www.clio.com/resources/legal-trends/compare-lawyer-rate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ba.gov/partners/sbics/apply-be-sbic" TargetMode="External" /><Relationship Id="rId9" Type="http://schemas.openxmlformats.org/officeDocument/2006/relationships/hyperlink" Target="https://www.cto.mil/o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ffb507e-ed50-41f2-9e83-8c5487a1ea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7F32AE36DB340B8251AA358A5CA66" ma:contentTypeVersion="16" ma:contentTypeDescription="Create a new document." ma:contentTypeScope="" ma:versionID="5d3c038b45ed1eab45a05451266e9ed4">
  <xsd:schema xmlns:xsd="http://www.w3.org/2001/XMLSchema" xmlns:xs="http://www.w3.org/2001/XMLSchema" xmlns:p="http://schemas.microsoft.com/office/2006/metadata/properties" xmlns:ns3="9ab3d26f-0bff-46ed-a209-8a6bdf0133be" xmlns:ns4="dffb507e-ed50-41f2-9e83-8c5487a1ea7c" targetNamespace="http://schemas.microsoft.com/office/2006/metadata/properties" ma:root="true" ma:fieldsID="7bc15b6a6b106342381882c0441e7727" ns3:_="" ns4:_="">
    <xsd:import namespace="9ab3d26f-0bff-46ed-a209-8a6bdf0133be"/>
    <xsd:import namespace="dffb507e-ed50-41f2-9e83-8c5487a1ea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d26f-0bff-46ed-a209-8a6bdf013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b507e-ed50-41f2-9e83-8c5487a1ea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56031-3510-4DBD-99AB-DD69A7379D4B}">
  <ds:schemaRefs>
    <ds:schemaRef ds:uri="http://schemas.openxmlformats.org/officeDocument/2006/bibliography"/>
  </ds:schemaRefs>
</ds:datastoreItem>
</file>

<file path=customXml/itemProps2.xml><?xml version="1.0" encoding="utf-8"?>
<ds:datastoreItem xmlns:ds="http://schemas.openxmlformats.org/officeDocument/2006/customXml" ds:itemID="{593F04BA-DADD-4FE7-A4DB-0B3A34C6A245}">
  <ds:schemaRefs>
    <ds:schemaRef ds:uri="http://schemas.microsoft.com/office/2006/metadata/properties"/>
    <ds:schemaRef ds:uri="http://schemas.microsoft.com/office/infopath/2007/PartnerControls"/>
    <ds:schemaRef ds:uri="dffb507e-ed50-41f2-9e83-8c5487a1ea7c"/>
  </ds:schemaRefs>
</ds:datastoreItem>
</file>

<file path=customXml/itemProps3.xml><?xml version="1.0" encoding="utf-8"?>
<ds:datastoreItem xmlns:ds="http://schemas.openxmlformats.org/officeDocument/2006/customXml" ds:itemID="{E8F22205-58E5-4B6D-B9A4-0D1B2F05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d26f-0bff-46ed-a209-8a6bdf0133be"/>
    <ds:schemaRef ds:uri="dffb507e-ed50-41f2-9e83-8c5487a1e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41815-B6BA-4424-B456-987E159CED4C}">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Louis.Cupp@sba.gov</dc:creator>
  <cp:lastModifiedBy>Carter, Shauniece M.</cp:lastModifiedBy>
  <cp:revision>8</cp:revision>
  <cp:lastPrinted>2025-12-04T02:23:00Z</cp:lastPrinted>
  <dcterms:created xsi:type="dcterms:W3CDTF">2026-02-27T14:19:00Z</dcterms:created>
  <dcterms:modified xsi:type="dcterms:W3CDTF">2026-03-05T15:14:00Z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0x010100BA07F32AE36DB340B8251AA358A5CA66</vt:lpwstr>
  </property>
</Properties>
</file>