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07982" w:rsidP="000E4917" w14:paraId="42D21A55" w14:textId="77777777">
      <w:pPr>
        <w:tabs>
          <w:tab w:val="center" w:pos="4680"/>
        </w:tabs>
        <w:jc w:val="center"/>
        <w:rPr>
          <w:rFonts w:cstheme="minorHAnsi"/>
          <w:b/>
          <w:bCs/>
        </w:rPr>
      </w:pPr>
    </w:p>
    <w:p w:rsidR="00E07982" w:rsidP="000E4917" w14:paraId="3973116E" w14:textId="77777777">
      <w:pPr>
        <w:tabs>
          <w:tab w:val="center" w:pos="4680"/>
        </w:tabs>
        <w:jc w:val="center"/>
        <w:rPr>
          <w:rFonts w:cstheme="minorHAnsi"/>
          <w:b/>
          <w:bCs/>
        </w:rPr>
      </w:pPr>
    </w:p>
    <w:p w:rsidR="00447C1E" w:rsidRPr="00B6102B" w:rsidP="004C4417" w14:paraId="0D2E1C3C" w14:textId="114905E0">
      <w:pPr>
        <w:tabs>
          <w:tab w:val="center" w:pos="4680"/>
        </w:tabs>
        <w:jc w:val="center"/>
        <w:rPr>
          <w:rFonts w:eastAsiaTheme="minorEastAsia" w:cstheme="minorHAnsi"/>
          <w:b/>
          <w:bCs/>
          <w:szCs w:val="24"/>
        </w:rPr>
      </w:pPr>
      <w:r w:rsidRPr="00B6102B">
        <w:rPr>
          <w:rFonts w:cstheme="minorHAnsi"/>
          <w:b/>
          <w:bCs/>
        </w:rPr>
        <w:t>SUPPORTING STATEMENT</w:t>
      </w:r>
      <w:r w:rsidRPr="00B6102B" w:rsidR="0062567E">
        <w:rPr>
          <w:rFonts w:cstheme="minorHAnsi"/>
          <w:b/>
          <w:bCs/>
        </w:rPr>
        <w:t xml:space="preserve"> </w:t>
      </w:r>
      <w:r w:rsidRPr="00B6102B" w:rsidR="00204E6E">
        <w:rPr>
          <w:rFonts w:cstheme="minorHAnsi"/>
          <w:b/>
          <w:bCs/>
        </w:rPr>
        <w:t xml:space="preserve">- PART A </w:t>
      </w:r>
      <w:r w:rsidRPr="00B6102B" w:rsidR="0062567E">
        <w:rPr>
          <w:rFonts w:cstheme="minorHAnsi"/>
          <w:b/>
          <w:bCs/>
        </w:rPr>
        <w:t>for</w:t>
      </w:r>
      <w:r w:rsidRPr="00B6102B" w:rsidR="000E4917">
        <w:rPr>
          <w:rFonts w:cstheme="minorHAnsi"/>
          <w:b/>
          <w:bCs/>
        </w:rPr>
        <w:br/>
      </w:r>
    </w:p>
    <w:p w:rsidR="00BD1DD0" w:rsidRPr="004C4417" w:rsidP="00447C1E" w14:paraId="71DD45C3" w14:textId="6087D351">
      <w:pPr>
        <w:tabs>
          <w:tab w:val="right" w:pos="9360"/>
        </w:tabs>
        <w:spacing w:line="480" w:lineRule="auto"/>
        <w:jc w:val="center"/>
        <w:rPr>
          <w:b/>
        </w:rPr>
      </w:pPr>
      <w:r w:rsidRPr="004C4417">
        <w:rPr>
          <w:b/>
        </w:rPr>
        <w:t xml:space="preserve">OMB </w:t>
      </w:r>
      <w:r w:rsidRPr="004C4417" w:rsidR="009F7E1A">
        <w:rPr>
          <w:b/>
        </w:rPr>
        <w:t xml:space="preserve">Control </w:t>
      </w:r>
      <w:r w:rsidRPr="00B6102B" w:rsidR="009F7E1A">
        <w:rPr>
          <w:rFonts w:cstheme="minorHAnsi"/>
          <w:b/>
          <w:szCs w:val="24"/>
        </w:rPr>
        <w:t>Number</w:t>
      </w:r>
      <w:r w:rsidRPr="004C4417">
        <w:rPr>
          <w:b/>
        </w:rPr>
        <w:t xml:space="preserve"> 0584-</w:t>
      </w:r>
      <w:r w:rsidRPr="004C4417" w:rsidR="00624A31">
        <w:rPr>
          <w:b/>
        </w:rPr>
        <w:t>0579</w:t>
      </w:r>
      <w:r w:rsidRPr="004C4417" w:rsidR="00B335C9">
        <w:rPr>
          <w:b/>
        </w:rPr>
        <w:t xml:space="preserve">:  </w:t>
      </w:r>
    </w:p>
    <w:p w:rsidR="00B335C9" w:rsidRPr="004C4417" w:rsidP="00447C1E" w14:paraId="672A6659" w14:textId="70D6FBFE">
      <w:pPr>
        <w:tabs>
          <w:tab w:val="right" w:pos="9360"/>
        </w:tabs>
        <w:spacing w:line="480" w:lineRule="auto"/>
        <w:jc w:val="center"/>
      </w:pPr>
      <w:r w:rsidRPr="00912BD8">
        <w:rPr>
          <w:rFonts w:cstheme="minorHAnsi"/>
          <w:b/>
          <w:szCs w:val="24"/>
        </w:rPr>
        <w:t>Major Changes in Program Design</w:t>
      </w:r>
      <w:r w:rsidRPr="00B6102B" w:rsidR="00166C20">
        <w:rPr>
          <w:rFonts w:cstheme="minorHAnsi"/>
          <w:b/>
          <w:szCs w:val="24"/>
        </w:rPr>
        <w:t xml:space="preserve"> </w:t>
      </w:r>
    </w:p>
    <w:p w:rsidR="00B335C9" w:rsidRPr="004C4417" w:rsidP="00447C1E" w14:paraId="0A37501D" w14:textId="77777777">
      <w:pPr>
        <w:tabs>
          <w:tab w:val="right" w:pos="9360"/>
        </w:tabs>
        <w:spacing w:line="480" w:lineRule="auto"/>
        <w:jc w:val="center"/>
      </w:pPr>
    </w:p>
    <w:p w:rsidR="00405218" w:rsidRPr="004C4417" w:rsidP="00447C1E" w14:paraId="0A44FF84" w14:textId="77777777">
      <w:pPr>
        <w:spacing w:line="480" w:lineRule="auto"/>
        <w:jc w:val="center"/>
      </w:pPr>
    </w:p>
    <w:p w:rsidR="00405218" w:rsidRPr="004C4417" w:rsidP="00447C1E" w14:paraId="2453E41E" w14:textId="77777777">
      <w:pPr>
        <w:spacing w:line="480" w:lineRule="auto"/>
        <w:jc w:val="center"/>
      </w:pPr>
    </w:p>
    <w:p w:rsidR="00405218" w:rsidRPr="004C4417" w:rsidP="00447C1E" w14:paraId="04B03E6E" w14:textId="77777777">
      <w:pPr>
        <w:spacing w:line="480" w:lineRule="auto"/>
        <w:jc w:val="center"/>
      </w:pPr>
    </w:p>
    <w:p w:rsidR="00405218" w:rsidRPr="004C4417" w:rsidP="00447C1E" w14:paraId="6BEEB57F" w14:textId="77777777">
      <w:pPr>
        <w:spacing w:line="480" w:lineRule="auto"/>
        <w:jc w:val="center"/>
      </w:pPr>
    </w:p>
    <w:p w:rsidR="00405218" w:rsidRPr="004C4417" w:rsidP="00C3510E" w14:paraId="7A80EE12" w14:textId="11D4DF80">
      <w:pPr>
        <w:spacing w:line="480" w:lineRule="auto"/>
      </w:pPr>
    </w:p>
    <w:p w:rsidR="00454E98" w:rsidRPr="004C4417" w:rsidP="004C4417" w14:paraId="7F39493C" w14:textId="77777777">
      <w:pPr>
        <w:spacing w:line="480" w:lineRule="auto"/>
      </w:pPr>
    </w:p>
    <w:p w:rsidR="00454E98" w:rsidRPr="00AE29A3" w:rsidP="00C3510E" w14:paraId="5B278E1F" w14:textId="77777777">
      <w:pPr>
        <w:spacing w:line="480" w:lineRule="auto"/>
        <w:rPr>
          <w:rFonts w:cstheme="minorHAnsi"/>
          <w:szCs w:val="24"/>
        </w:rPr>
      </w:pPr>
    </w:p>
    <w:p w:rsidR="00454E98" w:rsidRPr="00AE29A3" w:rsidP="00C3510E" w14:paraId="4582C611" w14:textId="77777777">
      <w:pPr>
        <w:spacing w:line="480" w:lineRule="auto"/>
        <w:rPr>
          <w:rFonts w:cstheme="minorHAnsi"/>
          <w:szCs w:val="24"/>
        </w:rPr>
      </w:pPr>
    </w:p>
    <w:p w:rsidR="00B6102B" w:rsidRPr="00AE29A3" w:rsidP="00C3510E" w14:paraId="371A7337" w14:textId="77777777">
      <w:pPr>
        <w:spacing w:line="480" w:lineRule="auto"/>
        <w:rPr>
          <w:rFonts w:cstheme="minorHAnsi"/>
          <w:szCs w:val="24"/>
        </w:rPr>
      </w:pPr>
    </w:p>
    <w:p w:rsidR="00405218" w:rsidRPr="00AE29A3" w:rsidP="00447C1E" w14:paraId="4D4DED54" w14:textId="77777777">
      <w:pPr>
        <w:spacing w:line="480" w:lineRule="auto"/>
        <w:jc w:val="center"/>
        <w:rPr>
          <w:rFonts w:cstheme="minorHAnsi"/>
          <w:szCs w:val="24"/>
        </w:rPr>
      </w:pPr>
    </w:p>
    <w:p w:rsidR="009842BA" w:rsidRPr="00AE29A3" w:rsidP="00447C1E" w14:paraId="0BF46919" w14:textId="77777777">
      <w:pPr>
        <w:spacing w:line="480" w:lineRule="auto"/>
        <w:jc w:val="center"/>
        <w:rPr>
          <w:rFonts w:cstheme="minorHAnsi"/>
          <w:szCs w:val="24"/>
        </w:rPr>
      </w:pPr>
    </w:p>
    <w:p w:rsidR="00447C1E" w:rsidRPr="004C4417" w:rsidP="00405B13" w14:paraId="59AD10AE" w14:textId="1006539A">
      <w:pPr>
        <w:spacing w:line="480" w:lineRule="auto"/>
        <w:jc w:val="center"/>
        <w:rPr>
          <w:sz w:val="22"/>
        </w:rPr>
      </w:pPr>
      <w:r w:rsidRPr="00AE29A3">
        <w:rPr>
          <w:rFonts w:cstheme="minorHAnsi"/>
          <w:sz w:val="22"/>
          <w:szCs w:val="22"/>
        </w:rPr>
        <w:t>Yameche Robinson</w:t>
      </w:r>
      <w:r w:rsidRPr="00AE29A3" w:rsidR="00405B13">
        <w:rPr>
          <w:rFonts w:cstheme="minorHAnsi"/>
          <w:sz w:val="22"/>
          <w:szCs w:val="22"/>
        </w:rPr>
        <w:t xml:space="preserve">, </w:t>
      </w:r>
      <w:r w:rsidRPr="004C4417">
        <w:rPr>
          <w:sz w:val="22"/>
        </w:rPr>
        <w:t>Program Analyst</w:t>
      </w:r>
    </w:p>
    <w:p w:rsidR="00447C1E" w:rsidRPr="004C4417" w:rsidP="00447C1E" w14:paraId="1432F95E" w14:textId="0E58F92A">
      <w:pPr>
        <w:tabs>
          <w:tab w:val="left" w:pos="-720"/>
        </w:tabs>
        <w:suppressAutoHyphens/>
        <w:spacing w:line="480" w:lineRule="auto"/>
        <w:jc w:val="center"/>
        <w:rPr>
          <w:sz w:val="22"/>
        </w:rPr>
      </w:pPr>
      <w:r w:rsidRPr="004C4417">
        <w:rPr>
          <w:sz w:val="22"/>
        </w:rPr>
        <w:t>Supplemental Nutrition Assistance Program</w:t>
      </w:r>
    </w:p>
    <w:p w:rsidR="00447C1E" w:rsidRPr="004C4417" w:rsidP="00447C1E" w14:paraId="6C209B7F" w14:textId="77777777">
      <w:pPr>
        <w:spacing w:line="480" w:lineRule="auto"/>
        <w:jc w:val="center"/>
        <w:rPr>
          <w:sz w:val="22"/>
        </w:rPr>
      </w:pPr>
      <w:r w:rsidRPr="004C4417">
        <w:rPr>
          <w:sz w:val="22"/>
        </w:rPr>
        <w:t>USDA, Food and Nutrition Service</w:t>
      </w:r>
    </w:p>
    <w:p w:rsidR="00447C1E" w:rsidRPr="004C4417" w:rsidP="497248DF" w14:paraId="468BE7CB" w14:textId="20FCFE25">
      <w:pPr>
        <w:spacing w:line="480" w:lineRule="auto"/>
        <w:jc w:val="center"/>
        <w:rPr>
          <w:sz w:val="22"/>
        </w:rPr>
      </w:pPr>
      <w:r w:rsidRPr="004C4417">
        <w:rPr>
          <w:sz w:val="22"/>
        </w:rPr>
        <w:t>1320 Braddock Place</w:t>
      </w:r>
    </w:p>
    <w:p w:rsidR="009E709A" w:rsidRPr="004C4417" w:rsidP="009E709A" w14:paraId="2BC05404" w14:textId="09C062CE">
      <w:pPr>
        <w:spacing w:line="480" w:lineRule="auto"/>
        <w:jc w:val="center"/>
        <w:rPr>
          <w:sz w:val="22"/>
        </w:rPr>
      </w:pPr>
      <w:r w:rsidRPr="004C4417">
        <w:rPr>
          <w:sz w:val="22"/>
        </w:rPr>
        <w:t>Alexandria, Virginia 223</w:t>
      </w:r>
      <w:r w:rsidRPr="004C4417" w:rsidR="38DCDD64">
        <w:rPr>
          <w:sz w:val="22"/>
        </w:rPr>
        <w:t>14</w:t>
      </w:r>
    </w:p>
    <w:p w:rsidR="00905A5F" w:rsidRPr="00D645CD" w:rsidP="00FE4AF1" w14:paraId="3F62E1A5" w14:textId="77777777">
      <w:pPr>
        <w:widowControl/>
        <w:overflowPunct/>
        <w:autoSpaceDE/>
        <w:autoSpaceDN/>
        <w:adjustRightInd/>
        <w:textAlignment w:val="auto"/>
        <w:rPr>
          <w:rFonts w:cstheme="minorHAnsi"/>
          <w:b/>
          <w:szCs w:val="24"/>
          <w:u w:val="single"/>
        </w:rPr>
      </w:pPr>
      <w:r w:rsidRPr="00B6102B">
        <w:rPr>
          <w:rFonts w:cstheme="minorHAnsi"/>
          <w:szCs w:val="24"/>
        </w:rPr>
        <w:br w:type="page"/>
      </w:r>
      <w:r w:rsidRPr="00D645CD">
        <w:rPr>
          <w:rFonts w:cstheme="minorHAnsi"/>
          <w:b/>
          <w:szCs w:val="24"/>
          <w:u w:val="single"/>
        </w:rPr>
        <w:t>Table of Contents</w:t>
      </w:r>
    </w:p>
    <w:p w:rsidR="000765DD" w14:paraId="1614F10D" w14:textId="49EA85AE">
      <w:pPr>
        <w:pStyle w:val="TOC1"/>
        <w:rPr>
          <w:rFonts w:asciiTheme="minorHAnsi" w:eastAsiaTheme="minorEastAsia" w:hAnsiTheme="minorHAnsi" w:cstheme="minorBidi"/>
          <w:b w:val="0"/>
          <w:bCs w:val="0"/>
          <w:caps w:val="0"/>
          <w:kern w:val="2"/>
          <w:sz w:val="24"/>
          <w:szCs w:val="24"/>
          <w14:ligatures w14:val="standardContextual"/>
        </w:rPr>
      </w:pPr>
      <w:r w:rsidRPr="00D645CD">
        <w:fldChar w:fldCharType="begin"/>
      </w:r>
      <w:r w:rsidRPr="00D645CD">
        <w:instrText xml:space="preserve"> TOC \o "1-2" \h \z \u </w:instrText>
      </w:r>
      <w:r w:rsidRPr="00D645CD">
        <w:fldChar w:fldCharType="separate"/>
      </w:r>
      <w:hyperlink w:anchor="_Toc229140318" w:history="1">
        <w:r w:rsidRPr="003A05C2">
          <w:rPr>
            <w:rStyle w:val="Hyperlink"/>
            <w:rFonts w:ascii="Source Sans Pro" w:hAnsi="Source Sans Pro"/>
          </w:rPr>
          <w:t>A1. Circumstances that make the collection of information necessary.</w:t>
        </w:r>
        <w:r>
          <w:rPr>
            <w:webHidden/>
          </w:rPr>
          <w:tab/>
        </w:r>
        <w:r>
          <w:rPr>
            <w:webHidden/>
          </w:rPr>
          <w:fldChar w:fldCharType="begin"/>
        </w:r>
        <w:r>
          <w:rPr>
            <w:webHidden/>
          </w:rPr>
          <w:instrText xml:space="preserve"> PAGEREF _Toc229140318 \h </w:instrText>
        </w:r>
        <w:r>
          <w:rPr>
            <w:webHidden/>
          </w:rPr>
          <w:fldChar w:fldCharType="separate"/>
        </w:r>
        <w:r>
          <w:rPr>
            <w:webHidden/>
          </w:rPr>
          <w:t>3</w:t>
        </w:r>
        <w:r>
          <w:rPr>
            <w:webHidden/>
          </w:rPr>
          <w:fldChar w:fldCharType="end"/>
        </w:r>
      </w:hyperlink>
    </w:p>
    <w:p w:rsidR="000765DD" w14:paraId="3C7033E0" w14:textId="29C5329A">
      <w:pPr>
        <w:pStyle w:val="TOC1"/>
        <w:rPr>
          <w:rFonts w:asciiTheme="minorHAnsi" w:eastAsiaTheme="minorEastAsia" w:hAnsiTheme="minorHAnsi" w:cstheme="minorBidi"/>
          <w:b w:val="0"/>
          <w:bCs w:val="0"/>
          <w:caps w:val="0"/>
          <w:kern w:val="2"/>
          <w:sz w:val="24"/>
          <w:szCs w:val="24"/>
          <w14:ligatures w14:val="standardContextual"/>
        </w:rPr>
      </w:pPr>
      <w:hyperlink w:anchor="_Toc229140319" w:history="1">
        <w:r w:rsidRPr="003A05C2">
          <w:rPr>
            <w:rStyle w:val="Hyperlink"/>
            <w:rFonts w:ascii="Source Sans Pro" w:hAnsi="Source Sans Pro"/>
          </w:rPr>
          <w:t>A2. Purpose and Use of the Information.</w:t>
        </w:r>
        <w:r>
          <w:rPr>
            <w:webHidden/>
          </w:rPr>
          <w:tab/>
        </w:r>
        <w:r>
          <w:rPr>
            <w:webHidden/>
          </w:rPr>
          <w:fldChar w:fldCharType="begin"/>
        </w:r>
        <w:r>
          <w:rPr>
            <w:webHidden/>
          </w:rPr>
          <w:instrText xml:space="preserve"> PAGEREF _Toc229140319 \h </w:instrText>
        </w:r>
        <w:r>
          <w:rPr>
            <w:webHidden/>
          </w:rPr>
          <w:fldChar w:fldCharType="separate"/>
        </w:r>
        <w:r>
          <w:rPr>
            <w:webHidden/>
          </w:rPr>
          <w:t>3</w:t>
        </w:r>
        <w:r>
          <w:rPr>
            <w:webHidden/>
          </w:rPr>
          <w:fldChar w:fldCharType="end"/>
        </w:r>
      </w:hyperlink>
    </w:p>
    <w:p w:rsidR="000765DD" w14:paraId="3782DC09" w14:textId="77AC3F29">
      <w:pPr>
        <w:pStyle w:val="TOC1"/>
        <w:rPr>
          <w:rFonts w:asciiTheme="minorHAnsi" w:eastAsiaTheme="minorEastAsia" w:hAnsiTheme="minorHAnsi" w:cstheme="minorBidi"/>
          <w:b w:val="0"/>
          <w:bCs w:val="0"/>
          <w:caps w:val="0"/>
          <w:kern w:val="2"/>
          <w:sz w:val="24"/>
          <w:szCs w:val="24"/>
          <w14:ligatures w14:val="standardContextual"/>
        </w:rPr>
      </w:pPr>
      <w:hyperlink w:anchor="_Toc229140320" w:history="1">
        <w:r w:rsidRPr="003A05C2">
          <w:rPr>
            <w:rStyle w:val="Hyperlink"/>
            <w:rFonts w:ascii="Source Sans Pro" w:hAnsi="Source Sans Pro"/>
          </w:rPr>
          <w:t>A3.  Use of information technology and burden reduction.</w:t>
        </w:r>
        <w:r>
          <w:rPr>
            <w:webHidden/>
          </w:rPr>
          <w:tab/>
        </w:r>
        <w:r>
          <w:rPr>
            <w:webHidden/>
          </w:rPr>
          <w:fldChar w:fldCharType="begin"/>
        </w:r>
        <w:r>
          <w:rPr>
            <w:webHidden/>
          </w:rPr>
          <w:instrText xml:space="preserve"> PAGEREF _Toc229140320 \h </w:instrText>
        </w:r>
        <w:r>
          <w:rPr>
            <w:webHidden/>
          </w:rPr>
          <w:fldChar w:fldCharType="separate"/>
        </w:r>
        <w:r>
          <w:rPr>
            <w:webHidden/>
          </w:rPr>
          <w:t>4</w:t>
        </w:r>
        <w:r>
          <w:rPr>
            <w:webHidden/>
          </w:rPr>
          <w:fldChar w:fldCharType="end"/>
        </w:r>
      </w:hyperlink>
    </w:p>
    <w:p w:rsidR="000765DD" w14:paraId="32401FEF" w14:textId="68C809E6">
      <w:pPr>
        <w:pStyle w:val="TOC1"/>
        <w:rPr>
          <w:rFonts w:asciiTheme="minorHAnsi" w:eastAsiaTheme="minorEastAsia" w:hAnsiTheme="minorHAnsi" w:cstheme="minorBidi"/>
          <w:b w:val="0"/>
          <w:bCs w:val="0"/>
          <w:caps w:val="0"/>
          <w:kern w:val="2"/>
          <w:sz w:val="24"/>
          <w:szCs w:val="24"/>
          <w14:ligatures w14:val="standardContextual"/>
        </w:rPr>
      </w:pPr>
      <w:hyperlink w:anchor="_Toc229140321" w:history="1">
        <w:r w:rsidRPr="003A05C2">
          <w:rPr>
            <w:rStyle w:val="Hyperlink"/>
            <w:rFonts w:ascii="Source Sans Pro" w:hAnsi="Source Sans Pro"/>
          </w:rPr>
          <w:t>A4.  Efforts to identify duplication.</w:t>
        </w:r>
        <w:r>
          <w:rPr>
            <w:webHidden/>
          </w:rPr>
          <w:tab/>
        </w:r>
        <w:r>
          <w:rPr>
            <w:webHidden/>
          </w:rPr>
          <w:fldChar w:fldCharType="begin"/>
        </w:r>
        <w:r>
          <w:rPr>
            <w:webHidden/>
          </w:rPr>
          <w:instrText xml:space="preserve"> PAGEREF _Toc229140321 \h </w:instrText>
        </w:r>
        <w:r>
          <w:rPr>
            <w:webHidden/>
          </w:rPr>
          <w:fldChar w:fldCharType="separate"/>
        </w:r>
        <w:r>
          <w:rPr>
            <w:webHidden/>
          </w:rPr>
          <w:t>5</w:t>
        </w:r>
        <w:r>
          <w:rPr>
            <w:webHidden/>
          </w:rPr>
          <w:fldChar w:fldCharType="end"/>
        </w:r>
      </w:hyperlink>
    </w:p>
    <w:p w:rsidR="000765DD" w14:paraId="6115E56B" w14:textId="2E08FB37">
      <w:pPr>
        <w:pStyle w:val="TOC1"/>
        <w:rPr>
          <w:rFonts w:asciiTheme="minorHAnsi" w:eastAsiaTheme="minorEastAsia" w:hAnsiTheme="minorHAnsi" w:cstheme="minorBidi"/>
          <w:b w:val="0"/>
          <w:bCs w:val="0"/>
          <w:caps w:val="0"/>
          <w:kern w:val="2"/>
          <w:sz w:val="24"/>
          <w:szCs w:val="24"/>
          <w14:ligatures w14:val="standardContextual"/>
        </w:rPr>
      </w:pPr>
      <w:hyperlink w:anchor="_Toc229140322" w:history="1">
        <w:r w:rsidRPr="003A05C2">
          <w:rPr>
            <w:rStyle w:val="Hyperlink"/>
            <w:rFonts w:ascii="Source Sans Pro" w:hAnsi="Source Sans Pro"/>
          </w:rPr>
          <w:t>A5.  Impacts on small businesses or other small entities.</w:t>
        </w:r>
        <w:r>
          <w:rPr>
            <w:webHidden/>
          </w:rPr>
          <w:tab/>
        </w:r>
        <w:r>
          <w:rPr>
            <w:webHidden/>
          </w:rPr>
          <w:fldChar w:fldCharType="begin"/>
        </w:r>
        <w:r>
          <w:rPr>
            <w:webHidden/>
          </w:rPr>
          <w:instrText xml:space="preserve"> PAGEREF _Toc229140322 \h </w:instrText>
        </w:r>
        <w:r>
          <w:rPr>
            <w:webHidden/>
          </w:rPr>
          <w:fldChar w:fldCharType="separate"/>
        </w:r>
        <w:r>
          <w:rPr>
            <w:webHidden/>
          </w:rPr>
          <w:t>5</w:t>
        </w:r>
        <w:r>
          <w:rPr>
            <w:webHidden/>
          </w:rPr>
          <w:fldChar w:fldCharType="end"/>
        </w:r>
      </w:hyperlink>
    </w:p>
    <w:p w:rsidR="000765DD" w14:paraId="200F32A8" w14:textId="1D3A27DF">
      <w:pPr>
        <w:pStyle w:val="TOC1"/>
        <w:rPr>
          <w:rFonts w:asciiTheme="minorHAnsi" w:eastAsiaTheme="minorEastAsia" w:hAnsiTheme="minorHAnsi" w:cstheme="minorBidi"/>
          <w:b w:val="0"/>
          <w:bCs w:val="0"/>
          <w:caps w:val="0"/>
          <w:kern w:val="2"/>
          <w:sz w:val="24"/>
          <w:szCs w:val="24"/>
          <w14:ligatures w14:val="standardContextual"/>
        </w:rPr>
      </w:pPr>
      <w:hyperlink w:anchor="_Toc229140323" w:history="1">
        <w:r w:rsidRPr="003A05C2">
          <w:rPr>
            <w:rStyle w:val="Hyperlink"/>
            <w:rFonts w:ascii="Source Sans Pro" w:hAnsi="Source Sans Pro"/>
          </w:rPr>
          <w:t>A6.  Consequences of collecting the information less frequently.</w:t>
        </w:r>
        <w:r>
          <w:rPr>
            <w:webHidden/>
          </w:rPr>
          <w:tab/>
        </w:r>
        <w:r>
          <w:rPr>
            <w:webHidden/>
          </w:rPr>
          <w:fldChar w:fldCharType="begin"/>
        </w:r>
        <w:r>
          <w:rPr>
            <w:webHidden/>
          </w:rPr>
          <w:instrText xml:space="preserve"> PAGEREF _Toc229140323 \h </w:instrText>
        </w:r>
        <w:r>
          <w:rPr>
            <w:webHidden/>
          </w:rPr>
          <w:fldChar w:fldCharType="separate"/>
        </w:r>
        <w:r>
          <w:rPr>
            <w:webHidden/>
          </w:rPr>
          <w:t>5</w:t>
        </w:r>
        <w:r>
          <w:rPr>
            <w:webHidden/>
          </w:rPr>
          <w:fldChar w:fldCharType="end"/>
        </w:r>
      </w:hyperlink>
    </w:p>
    <w:p w:rsidR="000765DD" w14:paraId="02172962" w14:textId="4EF024C3">
      <w:pPr>
        <w:pStyle w:val="TOC1"/>
        <w:rPr>
          <w:rFonts w:asciiTheme="minorHAnsi" w:eastAsiaTheme="minorEastAsia" w:hAnsiTheme="minorHAnsi" w:cstheme="minorBidi"/>
          <w:b w:val="0"/>
          <w:bCs w:val="0"/>
          <w:caps w:val="0"/>
          <w:kern w:val="2"/>
          <w:sz w:val="24"/>
          <w:szCs w:val="24"/>
          <w14:ligatures w14:val="standardContextual"/>
        </w:rPr>
      </w:pPr>
      <w:hyperlink w:anchor="_Toc229140324" w:history="1">
        <w:r w:rsidRPr="003A05C2">
          <w:rPr>
            <w:rStyle w:val="Hyperlink"/>
            <w:rFonts w:ascii="Source Sans Pro" w:hAnsi="Source Sans Pro"/>
          </w:rPr>
          <w:t>A7.  Special circumstances relating to the Guidelines of 5 CFR 1320.5.</w:t>
        </w:r>
        <w:r>
          <w:rPr>
            <w:webHidden/>
          </w:rPr>
          <w:tab/>
        </w:r>
        <w:r>
          <w:rPr>
            <w:webHidden/>
          </w:rPr>
          <w:fldChar w:fldCharType="begin"/>
        </w:r>
        <w:r>
          <w:rPr>
            <w:webHidden/>
          </w:rPr>
          <w:instrText xml:space="preserve"> PAGEREF _Toc229140324 \h </w:instrText>
        </w:r>
        <w:r>
          <w:rPr>
            <w:webHidden/>
          </w:rPr>
          <w:fldChar w:fldCharType="separate"/>
        </w:r>
        <w:r>
          <w:rPr>
            <w:webHidden/>
          </w:rPr>
          <w:t>6</w:t>
        </w:r>
        <w:r>
          <w:rPr>
            <w:webHidden/>
          </w:rPr>
          <w:fldChar w:fldCharType="end"/>
        </w:r>
      </w:hyperlink>
    </w:p>
    <w:p w:rsidR="000765DD" w14:paraId="4D9B399E" w14:textId="58CB97ED">
      <w:pPr>
        <w:pStyle w:val="TOC1"/>
        <w:rPr>
          <w:rFonts w:asciiTheme="minorHAnsi" w:eastAsiaTheme="minorEastAsia" w:hAnsiTheme="minorHAnsi" w:cstheme="minorBidi"/>
          <w:b w:val="0"/>
          <w:bCs w:val="0"/>
          <w:caps w:val="0"/>
          <w:kern w:val="2"/>
          <w:sz w:val="24"/>
          <w:szCs w:val="24"/>
          <w14:ligatures w14:val="standardContextual"/>
        </w:rPr>
      </w:pPr>
      <w:hyperlink w:anchor="_Toc229140325" w:history="1">
        <w:r w:rsidRPr="003A05C2">
          <w:rPr>
            <w:rStyle w:val="Hyperlink"/>
            <w:rFonts w:ascii="Source Sans Pro" w:hAnsi="Source Sans Pro"/>
          </w:rPr>
          <w:t>A8.  Comments to the Federal Register Notice and efforts for consultation.</w:t>
        </w:r>
        <w:r>
          <w:rPr>
            <w:webHidden/>
          </w:rPr>
          <w:tab/>
        </w:r>
        <w:r>
          <w:rPr>
            <w:webHidden/>
          </w:rPr>
          <w:fldChar w:fldCharType="begin"/>
        </w:r>
        <w:r>
          <w:rPr>
            <w:webHidden/>
          </w:rPr>
          <w:instrText xml:space="preserve"> PAGEREF _Toc229140325 \h </w:instrText>
        </w:r>
        <w:r>
          <w:rPr>
            <w:webHidden/>
          </w:rPr>
          <w:fldChar w:fldCharType="separate"/>
        </w:r>
        <w:r>
          <w:rPr>
            <w:webHidden/>
          </w:rPr>
          <w:t>6</w:t>
        </w:r>
        <w:r>
          <w:rPr>
            <w:webHidden/>
          </w:rPr>
          <w:fldChar w:fldCharType="end"/>
        </w:r>
      </w:hyperlink>
    </w:p>
    <w:p w:rsidR="000765DD" w14:paraId="56FE31E6" w14:textId="59ED94F6">
      <w:pPr>
        <w:pStyle w:val="TOC1"/>
        <w:rPr>
          <w:rFonts w:asciiTheme="minorHAnsi" w:eastAsiaTheme="minorEastAsia" w:hAnsiTheme="minorHAnsi" w:cstheme="minorBidi"/>
          <w:b w:val="0"/>
          <w:bCs w:val="0"/>
          <w:caps w:val="0"/>
          <w:kern w:val="2"/>
          <w:sz w:val="24"/>
          <w:szCs w:val="24"/>
          <w14:ligatures w14:val="standardContextual"/>
        </w:rPr>
      </w:pPr>
      <w:hyperlink w:anchor="_Toc229140326" w:history="1">
        <w:r w:rsidRPr="003A05C2">
          <w:rPr>
            <w:rStyle w:val="Hyperlink"/>
            <w:rFonts w:ascii="Source Sans Pro" w:hAnsi="Source Sans Pro"/>
          </w:rPr>
          <w:t>A9.  Explain any decisions to provide any payment or gift to respondents.  Explain any decision to provide any payment or gift to respondents, other than remuneration of contractors or grantees.</w:t>
        </w:r>
        <w:r>
          <w:rPr>
            <w:webHidden/>
          </w:rPr>
          <w:tab/>
        </w:r>
        <w:r>
          <w:rPr>
            <w:webHidden/>
          </w:rPr>
          <w:fldChar w:fldCharType="begin"/>
        </w:r>
        <w:r>
          <w:rPr>
            <w:webHidden/>
          </w:rPr>
          <w:instrText xml:space="preserve"> PAGEREF _Toc229140326 \h </w:instrText>
        </w:r>
        <w:r>
          <w:rPr>
            <w:webHidden/>
          </w:rPr>
          <w:fldChar w:fldCharType="separate"/>
        </w:r>
        <w:r>
          <w:rPr>
            <w:webHidden/>
          </w:rPr>
          <w:t>7</w:t>
        </w:r>
        <w:r>
          <w:rPr>
            <w:webHidden/>
          </w:rPr>
          <w:fldChar w:fldCharType="end"/>
        </w:r>
      </w:hyperlink>
    </w:p>
    <w:p w:rsidR="000765DD" w14:paraId="70CD2AAE" w14:textId="4BB6AAF1">
      <w:pPr>
        <w:pStyle w:val="TOC1"/>
        <w:rPr>
          <w:rFonts w:asciiTheme="minorHAnsi" w:eastAsiaTheme="minorEastAsia" w:hAnsiTheme="minorHAnsi" w:cstheme="minorBidi"/>
          <w:b w:val="0"/>
          <w:bCs w:val="0"/>
          <w:caps w:val="0"/>
          <w:kern w:val="2"/>
          <w:sz w:val="24"/>
          <w:szCs w:val="24"/>
          <w14:ligatures w14:val="standardContextual"/>
        </w:rPr>
      </w:pPr>
      <w:hyperlink w:anchor="_Toc229140327" w:history="1">
        <w:r w:rsidRPr="003A05C2">
          <w:rPr>
            <w:rStyle w:val="Hyperlink"/>
            <w:rFonts w:ascii="Source Sans Pro" w:hAnsi="Source Sans Pro"/>
          </w:rPr>
          <w:t>A10.  Assurances of confidentiality provided to respondents.</w:t>
        </w:r>
        <w:r>
          <w:rPr>
            <w:webHidden/>
          </w:rPr>
          <w:tab/>
        </w:r>
        <w:r>
          <w:rPr>
            <w:webHidden/>
          </w:rPr>
          <w:fldChar w:fldCharType="begin"/>
        </w:r>
        <w:r>
          <w:rPr>
            <w:webHidden/>
          </w:rPr>
          <w:instrText xml:space="preserve"> PAGEREF _Toc229140327 \h </w:instrText>
        </w:r>
        <w:r>
          <w:rPr>
            <w:webHidden/>
          </w:rPr>
          <w:fldChar w:fldCharType="separate"/>
        </w:r>
        <w:r>
          <w:rPr>
            <w:webHidden/>
          </w:rPr>
          <w:t>7</w:t>
        </w:r>
        <w:r>
          <w:rPr>
            <w:webHidden/>
          </w:rPr>
          <w:fldChar w:fldCharType="end"/>
        </w:r>
      </w:hyperlink>
    </w:p>
    <w:p w:rsidR="000765DD" w14:paraId="09EB4528" w14:textId="6590F695">
      <w:pPr>
        <w:pStyle w:val="TOC1"/>
        <w:rPr>
          <w:rFonts w:asciiTheme="minorHAnsi" w:eastAsiaTheme="minorEastAsia" w:hAnsiTheme="minorHAnsi" w:cstheme="minorBidi"/>
          <w:b w:val="0"/>
          <w:bCs w:val="0"/>
          <w:caps w:val="0"/>
          <w:kern w:val="2"/>
          <w:sz w:val="24"/>
          <w:szCs w:val="24"/>
          <w14:ligatures w14:val="standardContextual"/>
        </w:rPr>
      </w:pPr>
      <w:hyperlink w:anchor="_Toc229140328" w:history="1">
        <w:r w:rsidRPr="003A05C2">
          <w:rPr>
            <w:rStyle w:val="Hyperlink"/>
            <w:rFonts w:ascii="Source Sans Pro" w:hAnsi="Source Sans Pro"/>
          </w:rPr>
          <w:t>A11.  Justification for any questions of a sensitive nature.</w:t>
        </w:r>
        <w:r>
          <w:rPr>
            <w:webHidden/>
          </w:rPr>
          <w:tab/>
        </w:r>
        <w:r>
          <w:rPr>
            <w:webHidden/>
          </w:rPr>
          <w:fldChar w:fldCharType="begin"/>
        </w:r>
        <w:r>
          <w:rPr>
            <w:webHidden/>
          </w:rPr>
          <w:instrText xml:space="preserve"> PAGEREF _Toc229140328 \h </w:instrText>
        </w:r>
        <w:r>
          <w:rPr>
            <w:webHidden/>
          </w:rPr>
          <w:fldChar w:fldCharType="separate"/>
        </w:r>
        <w:r>
          <w:rPr>
            <w:webHidden/>
          </w:rPr>
          <w:t>7</w:t>
        </w:r>
        <w:r>
          <w:rPr>
            <w:webHidden/>
          </w:rPr>
          <w:fldChar w:fldCharType="end"/>
        </w:r>
      </w:hyperlink>
    </w:p>
    <w:p w:rsidR="000765DD" w14:paraId="21C8D165" w14:textId="01F90E06">
      <w:pPr>
        <w:pStyle w:val="TOC1"/>
        <w:rPr>
          <w:rFonts w:asciiTheme="minorHAnsi" w:eastAsiaTheme="minorEastAsia" w:hAnsiTheme="minorHAnsi" w:cstheme="minorBidi"/>
          <w:b w:val="0"/>
          <w:bCs w:val="0"/>
          <w:caps w:val="0"/>
          <w:kern w:val="2"/>
          <w:sz w:val="24"/>
          <w:szCs w:val="24"/>
          <w14:ligatures w14:val="standardContextual"/>
        </w:rPr>
      </w:pPr>
      <w:hyperlink w:anchor="_Toc229140329" w:history="1">
        <w:r w:rsidRPr="003A05C2">
          <w:rPr>
            <w:rStyle w:val="Hyperlink"/>
            <w:rFonts w:ascii="Source Sans Pro" w:hAnsi="Source Sans Pro"/>
          </w:rPr>
          <w:t>A12.  Estimates of the hour burden of the collection of information.</w:t>
        </w:r>
        <w:r>
          <w:rPr>
            <w:webHidden/>
          </w:rPr>
          <w:tab/>
        </w:r>
        <w:r>
          <w:rPr>
            <w:webHidden/>
          </w:rPr>
          <w:fldChar w:fldCharType="begin"/>
        </w:r>
        <w:r>
          <w:rPr>
            <w:webHidden/>
          </w:rPr>
          <w:instrText xml:space="preserve"> PAGEREF _Toc229140329 \h </w:instrText>
        </w:r>
        <w:r>
          <w:rPr>
            <w:webHidden/>
          </w:rPr>
          <w:fldChar w:fldCharType="separate"/>
        </w:r>
        <w:r>
          <w:rPr>
            <w:webHidden/>
          </w:rPr>
          <w:t>8</w:t>
        </w:r>
        <w:r>
          <w:rPr>
            <w:webHidden/>
          </w:rPr>
          <w:fldChar w:fldCharType="end"/>
        </w:r>
      </w:hyperlink>
    </w:p>
    <w:p w:rsidR="000765DD" w14:paraId="3015DC92" w14:textId="50A61D9A">
      <w:pPr>
        <w:pStyle w:val="TOC1"/>
        <w:rPr>
          <w:rFonts w:asciiTheme="minorHAnsi" w:eastAsiaTheme="minorEastAsia" w:hAnsiTheme="minorHAnsi" w:cstheme="minorBidi"/>
          <w:b w:val="0"/>
          <w:bCs w:val="0"/>
          <w:caps w:val="0"/>
          <w:kern w:val="2"/>
          <w:sz w:val="24"/>
          <w:szCs w:val="24"/>
          <w14:ligatures w14:val="standardContextual"/>
        </w:rPr>
      </w:pPr>
      <w:hyperlink w:anchor="_Toc229140330" w:history="1">
        <w:r w:rsidRPr="003A05C2">
          <w:rPr>
            <w:rStyle w:val="Hyperlink"/>
            <w:rFonts w:ascii="Source Sans Pro" w:hAnsi="Source Sans Pro"/>
          </w:rPr>
          <w:t>A13.  Estimates of other total annual cost burden.</w:t>
        </w:r>
        <w:r>
          <w:rPr>
            <w:webHidden/>
          </w:rPr>
          <w:tab/>
        </w:r>
        <w:r>
          <w:rPr>
            <w:webHidden/>
          </w:rPr>
          <w:fldChar w:fldCharType="begin"/>
        </w:r>
        <w:r>
          <w:rPr>
            <w:webHidden/>
          </w:rPr>
          <w:instrText xml:space="preserve"> PAGEREF _Toc229140330 \h </w:instrText>
        </w:r>
        <w:r>
          <w:rPr>
            <w:webHidden/>
          </w:rPr>
          <w:fldChar w:fldCharType="separate"/>
        </w:r>
        <w:r>
          <w:rPr>
            <w:webHidden/>
          </w:rPr>
          <w:t>2</w:t>
        </w:r>
        <w:r>
          <w:rPr>
            <w:webHidden/>
          </w:rPr>
          <w:fldChar w:fldCharType="end"/>
        </w:r>
      </w:hyperlink>
    </w:p>
    <w:p w:rsidR="000765DD" w14:paraId="51BB8E73" w14:textId="67F08F86">
      <w:pPr>
        <w:pStyle w:val="TOC1"/>
        <w:rPr>
          <w:rFonts w:asciiTheme="minorHAnsi" w:eastAsiaTheme="minorEastAsia" w:hAnsiTheme="minorHAnsi" w:cstheme="minorBidi"/>
          <w:b w:val="0"/>
          <w:bCs w:val="0"/>
          <w:caps w:val="0"/>
          <w:kern w:val="2"/>
          <w:sz w:val="24"/>
          <w:szCs w:val="24"/>
          <w14:ligatures w14:val="standardContextual"/>
        </w:rPr>
      </w:pPr>
      <w:hyperlink w:anchor="_Toc229140331" w:history="1">
        <w:r w:rsidRPr="003A05C2">
          <w:rPr>
            <w:rStyle w:val="Hyperlink"/>
            <w:rFonts w:ascii="Source Sans Pro" w:hAnsi="Source Sans Pro"/>
          </w:rPr>
          <w:t>A14.  Provide estimates of annualized cost to the Federal government.</w:t>
        </w:r>
        <w:r>
          <w:rPr>
            <w:webHidden/>
          </w:rPr>
          <w:tab/>
        </w:r>
        <w:r>
          <w:rPr>
            <w:webHidden/>
          </w:rPr>
          <w:fldChar w:fldCharType="begin"/>
        </w:r>
        <w:r>
          <w:rPr>
            <w:webHidden/>
          </w:rPr>
          <w:instrText xml:space="preserve"> PAGEREF _Toc229140331 \h </w:instrText>
        </w:r>
        <w:r>
          <w:rPr>
            <w:webHidden/>
          </w:rPr>
          <w:fldChar w:fldCharType="separate"/>
        </w:r>
        <w:r>
          <w:rPr>
            <w:webHidden/>
          </w:rPr>
          <w:t>2</w:t>
        </w:r>
        <w:r>
          <w:rPr>
            <w:webHidden/>
          </w:rPr>
          <w:fldChar w:fldCharType="end"/>
        </w:r>
      </w:hyperlink>
    </w:p>
    <w:p w:rsidR="000765DD" w14:paraId="2354C193" w14:textId="40711665">
      <w:pPr>
        <w:pStyle w:val="TOC1"/>
        <w:rPr>
          <w:rFonts w:asciiTheme="minorHAnsi" w:eastAsiaTheme="minorEastAsia" w:hAnsiTheme="minorHAnsi" w:cstheme="minorBidi"/>
          <w:b w:val="0"/>
          <w:bCs w:val="0"/>
          <w:caps w:val="0"/>
          <w:kern w:val="2"/>
          <w:sz w:val="24"/>
          <w:szCs w:val="24"/>
          <w14:ligatures w14:val="standardContextual"/>
        </w:rPr>
      </w:pPr>
      <w:hyperlink w:anchor="_Toc229140332" w:history="1">
        <w:r w:rsidRPr="003A05C2">
          <w:rPr>
            <w:rStyle w:val="Hyperlink"/>
            <w:rFonts w:ascii="Source Sans Pro" w:hAnsi="Source Sans Pro"/>
            <w:spacing w:val="-3"/>
          </w:rPr>
          <w:t>A15.  Explanation of program changes or adjustments.</w:t>
        </w:r>
        <w:r>
          <w:rPr>
            <w:webHidden/>
          </w:rPr>
          <w:tab/>
        </w:r>
        <w:r>
          <w:rPr>
            <w:webHidden/>
          </w:rPr>
          <w:fldChar w:fldCharType="begin"/>
        </w:r>
        <w:r>
          <w:rPr>
            <w:webHidden/>
          </w:rPr>
          <w:instrText xml:space="preserve"> PAGEREF _Toc229140332 \h </w:instrText>
        </w:r>
        <w:r>
          <w:rPr>
            <w:webHidden/>
          </w:rPr>
          <w:fldChar w:fldCharType="separate"/>
        </w:r>
        <w:r>
          <w:rPr>
            <w:webHidden/>
          </w:rPr>
          <w:t>3</w:t>
        </w:r>
        <w:r>
          <w:rPr>
            <w:webHidden/>
          </w:rPr>
          <w:fldChar w:fldCharType="end"/>
        </w:r>
      </w:hyperlink>
    </w:p>
    <w:p w:rsidR="000765DD" w14:paraId="0592D82F" w14:textId="18EA858B">
      <w:pPr>
        <w:pStyle w:val="TOC1"/>
        <w:rPr>
          <w:rFonts w:asciiTheme="minorHAnsi" w:eastAsiaTheme="minorEastAsia" w:hAnsiTheme="minorHAnsi" w:cstheme="minorBidi"/>
          <w:b w:val="0"/>
          <w:bCs w:val="0"/>
          <w:caps w:val="0"/>
          <w:kern w:val="2"/>
          <w:sz w:val="24"/>
          <w:szCs w:val="24"/>
          <w14:ligatures w14:val="standardContextual"/>
        </w:rPr>
      </w:pPr>
      <w:hyperlink w:anchor="_Toc229140333" w:history="1">
        <w:r w:rsidRPr="003A05C2">
          <w:rPr>
            <w:rStyle w:val="Hyperlink"/>
            <w:rFonts w:ascii="Source Sans Pro" w:hAnsi="Source Sans Pro"/>
          </w:rPr>
          <w:t>A16.  Plans for tabulation, and publication and project time schedule. For collections of information whose results are planned to be published, outline plans for tabulation and publication.</w:t>
        </w:r>
        <w:r>
          <w:rPr>
            <w:webHidden/>
          </w:rPr>
          <w:tab/>
        </w:r>
        <w:r>
          <w:rPr>
            <w:webHidden/>
          </w:rPr>
          <w:fldChar w:fldCharType="begin"/>
        </w:r>
        <w:r>
          <w:rPr>
            <w:webHidden/>
          </w:rPr>
          <w:instrText xml:space="preserve"> PAGEREF _Toc229140333 \h </w:instrText>
        </w:r>
        <w:r>
          <w:rPr>
            <w:webHidden/>
          </w:rPr>
          <w:fldChar w:fldCharType="separate"/>
        </w:r>
        <w:r>
          <w:rPr>
            <w:webHidden/>
          </w:rPr>
          <w:t>4</w:t>
        </w:r>
        <w:r>
          <w:rPr>
            <w:webHidden/>
          </w:rPr>
          <w:fldChar w:fldCharType="end"/>
        </w:r>
      </w:hyperlink>
    </w:p>
    <w:p w:rsidR="000765DD" w14:paraId="6D7C23E4" w14:textId="5F75BD5C">
      <w:pPr>
        <w:pStyle w:val="TOC1"/>
        <w:rPr>
          <w:rFonts w:asciiTheme="minorHAnsi" w:eastAsiaTheme="minorEastAsia" w:hAnsiTheme="minorHAnsi" w:cstheme="minorBidi"/>
          <w:b w:val="0"/>
          <w:bCs w:val="0"/>
          <w:caps w:val="0"/>
          <w:kern w:val="2"/>
          <w:sz w:val="24"/>
          <w:szCs w:val="24"/>
          <w14:ligatures w14:val="standardContextual"/>
        </w:rPr>
      </w:pPr>
      <w:hyperlink w:anchor="_Toc229140334" w:history="1">
        <w:r w:rsidRPr="003A05C2">
          <w:rPr>
            <w:rStyle w:val="Hyperlink"/>
            <w:rFonts w:ascii="Source Sans Pro" w:hAnsi="Source Sans Pro"/>
          </w:rPr>
          <w:t>A17.  Displaying the OMB Approval Expiration Date. If seeking approval to not display the expiration date for OMB approval of the information collection, explain the reasons that display would be inappropriate.</w:t>
        </w:r>
        <w:r>
          <w:rPr>
            <w:webHidden/>
          </w:rPr>
          <w:tab/>
        </w:r>
        <w:r>
          <w:rPr>
            <w:webHidden/>
          </w:rPr>
          <w:fldChar w:fldCharType="begin"/>
        </w:r>
        <w:r>
          <w:rPr>
            <w:webHidden/>
          </w:rPr>
          <w:instrText xml:space="preserve"> PAGEREF _Toc229140334 \h </w:instrText>
        </w:r>
        <w:r>
          <w:rPr>
            <w:webHidden/>
          </w:rPr>
          <w:fldChar w:fldCharType="separate"/>
        </w:r>
        <w:r>
          <w:rPr>
            <w:webHidden/>
          </w:rPr>
          <w:t>4</w:t>
        </w:r>
        <w:r>
          <w:rPr>
            <w:webHidden/>
          </w:rPr>
          <w:fldChar w:fldCharType="end"/>
        </w:r>
      </w:hyperlink>
    </w:p>
    <w:p w:rsidR="000765DD" w14:paraId="4E79D119" w14:textId="4ED30B44">
      <w:pPr>
        <w:pStyle w:val="TOC1"/>
        <w:rPr>
          <w:rFonts w:asciiTheme="minorHAnsi" w:eastAsiaTheme="minorEastAsia" w:hAnsiTheme="minorHAnsi" w:cstheme="minorBidi"/>
          <w:b w:val="0"/>
          <w:bCs w:val="0"/>
          <w:caps w:val="0"/>
          <w:kern w:val="2"/>
          <w:sz w:val="24"/>
          <w:szCs w:val="24"/>
          <w14:ligatures w14:val="standardContextual"/>
        </w:rPr>
      </w:pPr>
      <w:hyperlink w:anchor="_Toc229140335" w:history="1">
        <w:r w:rsidRPr="003A05C2">
          <w:rPr>
            <w:rStyle w:val="Hyperlink"/>
            <w:rFonts w:ascii="Source Sans Pro" w:hAnsi="Source Sans Pro"/>
          </w:rPr>
          <w:t>A18.  Exceptions to the certification statement identified in 83-I, Item 19.  Explain each exception to the certification statement identified in Item 19 of the OMB 83-I "Certification for Paperwork Reduction Act."</w:t>
        </w:r>
        <w:r>
          <w:rPr>
            <w:webHidden/>
          </w:rPr>
          <w:tab/>
        </w:r>
        <w:r>
          <w:rPr>
            <w:webHidden/>
          </w:rPr>
          <w:fldChar w:fldCharType="begin"/>
        </w:r>
        <w:r>
          <w:rPr>
            <w:webHidden/>
          </w:rPr>
          <w:instrText xml:space="preserve"> PAGEREF _Toc229140335 \h </w:instrText>
        </w:r>
        <w:r>
          <w:rPr>
            <w:webHidden/>
          </w:rPr>
          <w:fldChar w:fldCharType="separate"/>
        </w:r>
        <w:r>
          <w:rPr>
            <w:webHidden/>
          </w:rPr>
          <w:t>4</w:t>
        </w:r>
        <w:r>
          <w:rPr>
            <w:webHidden/>
          </w:rPr>
          <w:fldChar w:fldCharType="end"/>
        </w:r>
      </w:hyperlink>
    </w:p>
    <w:p w:rsidR="00905A5F" w:rsidP="009F7E1A" w14:paraId="6A05A809" w14:textId="32577BE2">
      <w:pPr>
        <w:tabs>
          <w:tab w:val="center" w:pos="4680"/>
        </w:tabs>
        <w:rPr>
          <w:rFonts w:cstheme="minorHAnsi"/>
          <w:b/>
          <w:sz w:val="22"/>
          <w:szCs w:val="22"/>
          <w:u w:val="single"/>
        </w:rPr>
      </w:pPr>
      <w:r w:rsidRPr="00D645CD">
        <w:rPr>
          <w:rFonts w:cstheme="minorHAnsi"/>
          <w:b/>
          <w:sz w:val="22"/>
          <w:szCs w:val="22"/>
          <w:u w:val="single"/>
        </w:rPr>
        <w:fldChar w:fldCharType="end"/>
      </w:r>
    </w:p>
    <w:p w:rsidR="00C638D7" w:rsidP="009F7E1A" w14:paraId="7868CD0F" w14:textId="77777777">
      <w:pPr>
        <w:tabs>
          <w:tab w:val="center" w:pos="4680"/>
        </w:tabs>
        <w:rPr>
          <w:rFonts w:cstheme="minorHAnsi"/>
          <w:b/>
          <w:sz w:val="22"/>
          <w:szCs w:val="22"/>
          <w:u w:val="single"/>
        </w:rPr>
      </w:pPr>
    </w:p>
    <w:p w:rsidR="00C638D7" w:rsidP="009F7E1A" w14:paraId="6F146C1E" w14:textId="77777777">
      <w:pPr>
        <w:tabs>
          <w:tab w:val="center" w:pos="4680"/>
        </w:tabs>
        <w:rPr>
          <w:rFonts w:cstheme="minorHAnsi"/>
          <w:b/>
          <w:sz w:val="22"/>
          <w:szCs w:val="22"/>
          <w:u w:val="single"/>
        </w:rPr>
      </w:pPr>
    </w:p>
    <w:p w:rsidR="00C638D7" w:rsidRPr="00B6102B" w:rsidP="009F7E1A" w14:paraId="6666F912" w14:textId="77777777">
      <w:pPr>
        <w:tabs>
          <w:tab w:val="center" w:pos="4680"/>
        </w:tabs>
        <w:rPr>
          <w:rFonts w:cstheme="minorHAnsi"/>
          <w:b/>
          <w:szCs w:val="24"/>
          <w:u w:val="single"/>
        </w:rPr>
      </w:pPr>
    </w:p>
    <w:p w:rsidR="002568E6" w:rsidRPr="00B6102B" w:rsidP="009F7E1A" w14:paraId="415A6A99" w14:textId="77777777">
      <w:pPr>
        <w:tabs>
          <w:tab w:val="center" w:pos="4680"/>
        </w:tabs>
        <w:rPr>
          <w:rFonts w:cstheme="minorHAnsi"/>
          <w:b/>
          <w:szCs w:val="24"/>
          <w:u w:val="single"/>
        </w:rPr>
      </w:pPr>
      <w:r w:rsidRPr="00B6102B">
        <w:rPr>
          <w:rFonts w:cstheme="minorHAnsi"/>
          <w:b/>
          <w:szCs w:val="24"/>
          <w:u w:val="single"/>
        </w:rPr>
        <w:t>Appendices</w:t>
      </w:r>
    </w:p>
    <w:p w:rsidR="00FE4AF1" w:rsidRPr="00B6102B" w:rsidP="00FE4AF1" w14:paraId="61DFF16D" w14:textId="5C5F3C17">
      <w:pPr>
        <w:tabs>
          <w:tab w:val="center" w:pos="4680"/>
        </w:tabs>
        <w:rPr>
          <w:rFonts w:cstheme="minorHAnsi"/>
          <w:szCs w:val="24"/>
          <w:highlight w:val="cyan"/>
        </w:rPr>
      </w:pPr>
    </w:p>
    <w:p w:rsidR="00812645" w:rsidRPr="004C4417" w:rsidP="00990344" w14:paraId="45ABA018" w14:textId="77777777">
      <w:pPr>
        <w:widowControl/>
        <w:numPr>
          <w:ilvl w:val="0"/>
          <w:numId w:val="2"/>
        </w:numPr>
        <w:tabs>
          <w:tab w:val="left" w:pos="660"/>
          <w:tab w:val="left" w:pos="990"/>
        </w:tabs>
        <w:overflowPunct/>
        <w:autoSpaceDE/>
        <w:autoSpaceDN/>
        <w:adjustRightInd/>
        <w:spacing w:before="40" w:after="40"/>
        <w:textAlignment w:val="auto"/>
        <w:rPr>
          <w:color w:val="000000" w:themeColor="text1"/>
          <w:sz w:val="22"/>
        </w:rPr>
      </w:pPr>
      <w:r w:rsidRPr="004C4417">
        <w:rPr>
          <w:color w:val="000000" w:themeColor="text1"/>
          <w:sz w:val="22"/>
        </w:rPr>
        <w:t>Section 11 of the Food and Nutrition Act of 2008</w:t>
      </w:r>
    </w:p>
    <w:p w:rsidR="00812645" w:rsidRPr="004C4417" w:rsidP="00990344" w14:paraId="6429A537" w14:textId="77777777">
      <w:pPr>
        <w:widowControl/>
        <w:numPr>
          <w:ilvl w:val="0"/>
          <w:numId w:val="2"/>
        </w:numPr>
        <w:tabs>
          <w:tab w:val="left" w:pos="660"/>
          <w:tab w:val="left" w:pos="990"/>
        </w:tabs>
        <w:overflowPunct/>
        <w:autoSpaceDE/>
        <w:autoSpaceDN/>
        <w:adjustRightInd/>
        <w:spacing w:before="40" w:after="40"/>
        <w:textAlignment w:val="auto"/>
        <w:rPr>
          <w:color w:val="000000" w:themeColor="text1"/>
          <w:sz w:val="22"/>
        </w:rPr>
      </w:pPr>
      <w:r w:rsidRPr="004C4417">
        <w:rPr>
          <w:color w:val="000000" w:themeColor="text1"/>
          <w:sz w:val="22"/>
        </w:rPr>
        <w:t xml:space="preserve">7 CFR 272.15 </w:t>
      </w:r>
    </w:p>
    <w:p w:rsidR="00812645" w:rsidRPr="004C4417" w:rsidP="00990344" w14:paraId="2CB4096C" w14:textId="77777777">
      <w:pPr>
        <w:widowControl/>
        <w:numPr>
          <w:ilvl w:val="0"/>
          <w:numId w:val="2"/>
        </w:numPr>
        <w:tabs>
          <w:tab w:val="left" w:pos="660"/>
          <w:tab w:val="left" w:pos="990"/>
        </w:tabs>
        <w:overflowPunct/>
        <w:autoSpaceDE/>
        <w:autoSpaceDN/>
        <w:adjustRightInd/>
        <w:spacing w:before="40" w:after="40"/>
        <w:textAlignment w:val="auto"/>
        <w:rPr>
          <w:color w:val="000000" w:themeColor="text1"/>
          <w:sz w:val="22"/>
        </w:rPr>
      </w:pPr>
      <w:r w:rsidRPr="004C4417">
        <w:rPr>
          <w:color w:val="000000" w:themeColor="text1"/>
          <w:sz w:val="22"/>
        </w:rPr>
        <w:t>Major Changes Notification Template</w:t>
      </w:r>
    </w:p>
    <w:p w:rsidR="00812645" w:rsidRPr="004C4417" w:rsidP="00990344" w14:paraId="11DA30EE" w14:textId="77777777">
      <w:pPr>
        <w:widowControl/>
        <w:numPr>
          <w:ilvl w:val="0"/>
          <w:numId w:val="2"/>
        </w:numPr>
        <w:tabs>
          <w:tab w:val="left" w:pos="660"/>
          <w:tab w:val="left" w:pos="990"/>
        </w:tabs>
        <w:overflowPunct/>
        <w:autoSpaceDE/>
        <w:autoSpaceDN/>
        <w:adjustRightInd/>
        <w:spacing w:before="40" w:after="40"/>
        <w:textAlignment w:val="auto"/>
        <w:rPr>
          <w:color w:val="000000" w:themeColor="text1"/>
          <w:sz w:val="22"/>
        </w:rPr>
      </w:pPr>
      <w:r w:rsidRPr="004C4417">
        <w:rPr>
          <w:color w:val="000000" w:themeColor="text1"/>
          <w:sz w:val="22"/>
        </w:rPr>
        <w:t>Major Changes Quarterly Reporting Template</w:t>
      </w:r>
    </w:p>
    <w:p w:rsidR="00812645" w:rsidRPr="004C4417" w:rsidP="00990344" w14:paraId="7A93D2E1" w14:textId="77777777">
      <w:pPr>
        <w:widowControl/>
        <w:numPr>
          <w:ilvl w:val="0"/>
          <w:numId w:val="2"/>
        </w:numPr>
        <w:tabs>
          <w:tab w:val="left" w:pos="660"/>
          <w:tab w:val="left" w:pos="990"/>
        </w:tabs>
        <w:overflowPunct/>
        <w:autoSpaceDE/>
        <w:autoSpaceDN/>
        <w:adjustRightInd/>
        <w:spacing w:before="40" w:after="40"/>
        <w:textAlignment w:val="auto"/>
        <w:rPr>
          <w:color w:val="000000" w:themeColor="text1"/>
          <w:sz w:val="22"/>
        </w:rPr>
      </w:pPr>
      <w:r w:rsidRPr="004C4417">
        <w:rPr>
          <w:color w:val="000000" w:themeColor="text1"/>
          <w:sz w:val="22"/>
        </w:rPr>
        <w:t>Major Changes Quarterly Reporting Template for Call Center Modifications</w:t>
      </w:r>
    </w:p>
    <w:p w:rsidR="00812645" w:rsidP="00990344" w14:paraId="140DF954" w14:textId="77777777">
      <w:pPr>
        <w:widowControl/>
        <w:numPr>
          <w:ilvl w:val="0"/>
          <w:numId w:val="2"/>
        </w:numPr>
        <w:tabs>
          <w:tab w:val="left" w:pos="660"/>
          <w:tab w:val="left" w:pos="990"/>
        </w:tabs>
        <w:overflowPunct/>
        <w:autoSpaceDE/>
        <w:autoSpaceDN/>
        <w:adjustRightInd/>
        <w:spacing w:before="40" w:after="40"/>
        <w:textAlignment w:val="auto"/>
        <w:rPr>
          <w:color w:val="000000" w:themeColor="text1"/>
          <w:sz w:val="22"/>
        </w:rPr>
      </w:pPr>
      <w:r w:rsidRPr="004C4417">
        <w:rPr>
          <w:color w:val="000000" w:themeColor="text1"/>
          <w:sz w:val="22"/>
        </w:rPr>
        <w:t>Excel Burden Table</w:t>
      </w:r>
    </w:p>
    <w:p w:rsidR="00B40928" w:rsidRPr="004C4417" w:rsidP="00990344" w14:paraId="70A78291" w14:textId="18E8D3F1">
      <w:pPr>
        <w:widowControl/>
        <w:numPr>
          <w:ilvl w:val="0"/>
          <w:numId w:val="2"/>
        </w:numPr>
        <w:tabs>
          <w:tab w:val="left" w:pos="660"/>
          <w:tab w:val="left" w:pos="990"/>
        </w:tabs>
        <w:overflowPunct/>
        <w:autoSpaceDE/>
        <w:autoSpaceDN/>
        <w:adjustRightInd/>
        <w:spacing w:before="40" w:after="40"/>
        <w:textAlignment w:val="auto"/>
        <w:rPr>
          <w:color w:val="000000" w:themeColor="text1"/>
          <w:sz w:val="22"/>
        </w:rPr>
      </w:pPr>
      <w:r>
        <w:rPr>
          <w:color w:val="000000" w:themeColor="text1"/>
          <w:sz w:val="22"/>
        </w:rPr>
        <w:t>Public Comments and Responses</w:t>
      </w:r>
    </w:p>
    <w:p w:rsidR="00812645" w:rsidRPr="00B6102B" w:rsidP="00812645" w14:paraId="7722BB18" w14:textId="77777777">
      <w:pPr>
        <w:tabs>
          <w:tab w:val="left" w:pos="-720"/>
        </w:tabs>
        <w:suppressAutoHyphens/>
        <w:rPr>
          <w:rFonts w:cstheme="minorHAnsi"/>
          <w:b/>
          <w:szCs w:val="24"/>
        </w:rPr>
      </w:pPr>
    </w:p>
    <w:p w:rsidR="009F7E1A" w:rsidRPr="00B6102B" w14:paraId="0D0B940D" w14:textId="77777777">
      <w:pPr>
        <w:tabs>
          <w:tab w:val="left" w:pos="-720"/>
        </w:tabs>
        <w:suppressAutoHyphens/>
        <w:rPr>
          <w:rFonts w:cstheme="minorHAnsi"/>
          <w:b/>
          <w:szCs w:val="24"/>
        </w:rPr>
      </w:pPr>
    </w:p>
    <w:p w:rsidR="006912D1" w:rsidRPr="00B6102B" w14:paraId="0E27B00A" w14:textId="2295FEE4">
      <w:pPr>
        <w:widowControl/>
        <w:overflowPunct/>
        <w:autoSpaceDE/>
        <w:autoSpaceDN/>
        <w:adjustRightInd/>
        <w:textAlignment w:val="auto"/>
        <w:rPr>
          <w:rFonts w:cstheme="minorHAnsi"/>
          <w:szCs w:val="24"/>
        </w:rPr>
      </w:pPr>
    </w:p>
    <w:p w:rsidR="004F2F54" w:rsidRPr="00B6102B" w14:paraId="3F6A0E6D" w14:textId="77777777">
      <w:pPr>
        <w:tabs>
          <w:tab w:val="left" w:pos="-720"/>
        </w:tabs>
        <w:suppressAutoHyphens/>
        <w:rPr>
          <w:rFonts w:cstheme="minorHAnsi"/>
          <w:szCs w:val="24"/>
        </w:rPr>
      </w:pPr>
    </w:p>
    <w:p w:rsidR="005A3F80" w:rsidRPr="004C4417" w:rsidP="0062567E" w14:paraId="10C1908D" w14:textId="77777777">
      <w:pPr>
        <w:pStyle w:val="Heading1"/>
        <w:rPr>
          <w:rFonts w:ascii="Source Sans Pro" w:hAnsi="Source Sans Pro"/>
        </w:rPr>
      </w:pPr>
      <w:bookmarkStart w:id="0" w:name="_Toc401831357"/>
      <w:bookmarkStart w:id="1" w:name="_Toc401832401"/>
      <w:bookmarkStart w:id="2" w:name="_Toc229140318"/>
      <w:r w:rsidRPr="004C4417">
        <w:rPr>
          <w:rFonts w:ascii="Source Sans Pro" w:hAnsi="Source Sans Pro"/>
        </w:rPr>
        <w:t xml:space="preserve">A1. </w:t>
      </w:r>
      <w:r w:rsidRPr="004C4417" w:rsidR="002568E6">
        <w:rPr>
          <w:rFonts w:ascii="Source Sans Pro" w:hAnsi="Source Sans Pro"/>
        </w:rPr>
        <w:t>C</w:t>
      </w:r>
      <w:r w:rsidRPr="004C4417">
        <w:rPr>
          <w:rFonts w:ascii="Source Sans Pro" w:hAnsi="Source Sans Pro"/>
        </w:rPr>
        <w:t>ircumstances that make the collection of information necessary.</w:t>
      </w:r>
      <w:bookmarkEnd w:id="0"/>
      <w:bookmarkEnd w:id="1"/>
      <w:bookmarkEnd w:id="2"/>
    </w:p>
    <w:p w:rsidR="003333DF" w:rsidRPr="00B6102B" w:rsidP="003333DF" w14:paraId="60061E4C" w14:textId="77777777">
      <w:pPr>
        <w:tabs>
          <w:tab w:val="left" w:pos="-720"/>
        </w:tabs>
        <w:suppressAutoHyphens/>
        <w:rPr>
          <w:rFonts w:cstheme="minorHAnsi"/>
          <w:b/>
          <w:szCs w:val="24"/>
        </w:rPr>
      </w:pPr>
    </w:p>
    <w:p w:rsidR="003333DF" w:rsidRPr="00B6102B" w:rsidP="003333DF" w14:paraId="294A1375" w14:textId="77777777">
      <w:pPr>
        <w:tabs>
          <w:tab w:val="left" w:pos="-720"/>
        </w:tabs>
        <w:suppressAutoHyphens/>
        <w:rPr>
          <w:rFonts w:cstheme="minorHAnsi"/>
          <w:b/>
          <w:szCs w:val="24"/>
        </w:rPr>
      </w:pPr>
      <w:r w:rsidRPr="00B6102B">
        <w:rPr>
          <w:rFonts w:cstheme="minorHAnsi"/>
          <w:b/>
          <w:szCs w:val="24"/>
        </w:rPr>
        <w:t>Identify any legal or administrative requirements that necessitate the collection. Attach a copy of the appropriate section of each statute and regulation mandating or authorizing the collection of information.</w:t>
      </w:r>
    </w:p>
    <w:p w:rsidR="00A308DB" w:rsidRPr="00B6102B" w:rsidP="009F7E1A" w14:paraId="44EAFD9C" w14:textId="77777777">
      <w:pPr>
        <w:tabs>
          <w:tab w:val="left" w:pos="-720"/>
        </w:tabs>
        <w:suppressAutoHyphens/>
        <w:rPr>
          <w:rFonts w:cstheme="minorHAnsi"/>
          <w:szCs w:val="24"/>
        </w:rPr>
      </w:pPr>
    </w:p>
    <w:p w:rsidR="00412C03" w:rsidRPr="004C4417" w:rsidP="004C4417" w14:paraId="34C33AC9" w14:textId="10468010">
      <w:pPr>
        <w:spacing w:line="480" w:lineRule="auto"/>
        <w:ind w:firstLine="720"/>
        <w:rPr>
          <w:sz w:val="22"/>
        </w:rPr>
      </w:pPr>
      <w:r w:rsidRPr="004C4417">
        <w:rPr>
          <w:sz w:val="22"/>
        </w:rPr>
        <w:t>This is a re</w:t>
      </w:r>
      <w:r w:rsidRPr="004C4417" w:rsidR="000B1AFE">
        <w:rPr>
          <w:sz w:val="22"/>
        </w:rPr>
        <w:t>vision</w:t>
      </w:r>
      <w:r w:rsidRPr="004C4417">
        <w:rPr>
          <w:sz w:val="22"/>
        </w:rPr>
        <w:t xml:space="preserve"> of </w:t>
      </w:r>
      <w:r w:rsidRPr="00C45C6B">
        <w:rPr>
          <w:sz w:val="22"/>
          <w:szCs w:val="22"/>
        </w:rPr>
        <w:t>a</w:t>
      </w:r>
      <w:r w:rsidRPr="00C45C6B" w:rsidR="000F58AA">
        <w:rPr>
          <w:sz w:val="22"/>
          <w:szCs w:val="22"/>
        </w:rPr>
        <w:t>n</w:t>
      </w:r>
      <w:r w:rsidRPr="004C4417">
        <w:rPr>
          <w:sz w:val="22"/>
        </w:rPr>
        <w:t xml:space="preserve"> approved information collection</w:t>
      </w:r>
      <w:r w:rsidRPr="004C4417" w:rsidR="00BE78E2">
        <w:rPr>
          <w:sz w:val="22"/>
        </w:rPr>
        <w:t xml:space="preserve"> set to expire </w:t>
      </w:r>
      <w:r w:rsidR="00BE78E2">
        <w:rPr>
          <w:sz w:val="22"/>
          <w:szCs w:val="22"/>
        </w:rPr>
        <w:t>5/31/2026</w:t>
      </w:r>
      <w:r w:rsidRPr="004C4417">
        <w:rPr>
          <w:sz w:val="22"/>
        </w:rPr>
        <w:t xml:space="preserve">. </w:t>
      </w:r>
      <w:r w:rsidR="00B40928">
        <w:rPr>
          <w:sz w:val="22"/>
        </w:rPr>
        <w:t xml:space="preserve">The </w:t>
      </w:r>
      <w:r w:rsidRPr="00B40928" w:rsidR="00B40928">
        <w:rPr>
          <w:sz w:val="22"/>
        </w:rPr>
        <w:t>title listed for the currently approved collection is “A Review of Major Changes in Program Design and Management Evaluation Systems”.  However, this collection does not include information directly associated with Management Evaluation Systems (which is included in OMB control number 0584-0010, expiration 8/31/26).  Therefore, FNS requests to revise the title to “Major Changes in Program Design” to align with the information requested.</w:t>
      </w:r>
      <w:r w:rsidR="00B40928">
        <w:rPr>
          <w:sz w:val="22"/>
        </w:rPr>
        <w:t xml:space="preserve"> </w:t>
      </w:r>
      <w:r w:rsidRPr="004C4417">
        <w:rPr>
          <w:sz w:val="22"/>
        </w:rPr>
        <w:t>The Food, Conservation, and Energy Act of 2008 (Public Law 110-246) amended Section 11(a)(4) of the Food and Nutrition Act of 2008 (7 U.S.C. 2020; the Act)</w:t>
      </w:r>
      <w:r w:rsidR="00E66579">
        <w:rPr>
          <w:sz w:val="22"/>
        </w:rPr>
        <w:t xml:space="preserve"> (Appendix A)</w:t>
      </w:r>
      <w:r w:rsidRPr="004C4417">
        <w:rPr>
          <w:sz w:val="22"/>
        </w:rPr>
        <w:t>, to require the Department of Agriculture (the Department) to develop standards for identifying major changes in the operations of State SNAP agencies. The resulting standards are codified at 7 CFR 272.15</w:t>
      </w:r>
      <w:r w:rsidRPr="00C45C6B">
        <w:rPr>
          <w:sz w:val="22"/>
          <w:szCs w:val="22"/>
        </w:rPr>
        <w:t>.</w:t>
      </w:r>
    </w:p>
    <w:p w:rsidR="00412C03" w:rsidRPr="004C4417" w:rsidP="004C4417" w14:paraId="40B30AB5" w14:textId="56829362">
      <w:pPr>
        <w:spacing w:line="480" w:lineRule="auto"/>
        <w:ind w:firstLine="720"/>
        <w:rPr>
          <w:sz w:val="22"/>
        </w:rPr>
      </w:pPr>
      <w:r w:rsidRPr="004C4417">
        <w:rPr>
          <w:sz w:val="22"/>
        </w:rPr>
        <w:t xml:space="preserve">Per Section 11(a)(4)(B) </w:t>
      </w:r>
      <w:r w:rsidR="000A16F8">
        <w:rPr>
          <w:sz w:val="22"/>
        </w:rPr>
        <w:t>(Appendix A)</w:t>
      </w:r>
      <w:r w:rsidR="002B367F">
        <w:rPr>
          <w:sz w:val="22"/>
        </w:rPr>
        <w:t xml:space="preserve"> </w:t>
      </w:r>
      <w:r w:rsidRPr="004C4417">
        <w:rPr>
          <w:sz w:val="22"/>
        </w:rPr>
        <w:t xml:space="preserve">of the Act, State agencies implementing major changes must notify </w:t>
      </w:r>
      <w:r w:rsidR="007542BA">
        <w:rPr>
          <w:sz w:val="22"/>
          <w:szCs w:val="22"/>
        </w:rPr>
        <w:t>FNS</w:t>
      </w:r>
      <w:r w:rsidRPr="004C4417">
        <w:rPr>
          <w:sz w:val="22"/>
        </w:rPr>
        <w:t xml:space="preserve"> and collect information to identify and correct negative impacts on program integrity or access. </w:t>
      </w:r>
    </w:p>
    <w:p w:rsidR="003E1BBC" w:rsidRPr="00B6102B" w:rsidP="004C4417" w14:paraId="515D7AA2" w14:textId="77777777">
      <w:pPr>
        <w:tabs>
          <w:tab w:val="left" w:pos="-720"/>
        </w:tabs>
        <w:suppressAutoHyphens/>
        <w:spacing w:line="480" w:lineRule="auto"/>
        <w:rPr>
          <w:rFonts w:cstheme="minorHAnsi"/>
          <w:szCs w:val="24"/>
        </w:rPr>
      </w:pPr>
    </w:p>
    <w:p w:rsidR="00A308DB" w:rsidRPr="004C4417" w:rsidP="0062567E" w14:paraId="00B5A14F" w14:textId="77777777">
      <w:pPr>
        <w:pStyle w:val="Heading1"/>
        <w:rPr>
          <w:rFonts w:ascii="Source Sans Pro" w:hAnsi="Source Sans Pro"/>
        </w:rPr>
      </w:pPr>
      <w:bookmarkStart w:id="3" w:name="_Toc401831358"/>
      <w:bookmarkStart w:id="4" w:name="_Toc401832402"/>
      <w:bookmarkStart w:id="5" w:name="_Toc229140319"/>
      <w:r w:rsidRPr="004C4417">
        <w:rPr>
          <w:rFonts w:ascii="Source Sans Pro" w:hAnsi="Source Sans Pro"/>
        </w:rPr>
        <w:t xml:space="preserve">A2. </w:t>
      </w:r>
      <w:r w:rsidRPr="004C4417" w:rsidR="00447C1E">
        <w:rPr>
          <w:rFonts w:ascii="Source Sans Pro" w:hAnsi="Source Sans Pro"/>
        </w:rPr>
        <w:t>Purpose and Use of the Information.</w:t>
      </w:r>
      <w:bookmarkEnd w:id="3"/>
      <w:bookmarkEnd w:id="4"/>
      <w:bookmarkEnd w:id="5"/>
    </w:p>
    <w:p w:rsidR="0062567E" w:rsidRPr="00B6102B" w14:paraId="3DEEC669" w14:textId="77777777">
      <w:pPr>
        <w:tabs>
          <w:tab w:val="left" w:pos="-720"/>
        </w:tabs>
        <w:suppressAutoHyphens/>
        <w:rPr>
          <w:rFonts w:cstheme="minorHAnsi"/>
          <w:b/>
          <w:szCs w:val="24"/>
        </w:rPr>
      </w:pPr>
    </w:p>
    <w:p w:rsidR="003333DF" w:rsidRPr="00B6102B" w14:paraId="4CA16FB5" w14:textId="77777777">
      <w:pPr>
        <w:tabs>
          <w:tab w:val="left" w:pos="-720"/>
        </w:tabs>
        <w:suppressAutoHyphens/>
        <w:rPr>
          <w:rFonts w:cstheme="minorHAnsi"/>
          <w:b/>
          <w:szCs w:val="24"/>
        </w:rPr>
      </w:pPr>
      <w:r w:rsidRPr="00B6102B">
        <w:rPr>
          <w:rFonts w:cstheme="minorHAnsi"/>
          <w:b/>
          <w:szCs w:val="24"/>
        </w:rPr>
        <w:t>Indicate</w:t>
      </w:r>
      <w:r w:rsidRPr="00B6102B" w:rsidR="009F0786">
        <w:rPr>
          <w:rFonts w:cstheme="minorHAnsi"/>
          <w:b/>
          <w:szCs w:val="24"/>
        </w:rPr>
        <w:t xml:space="preserve"> how, by whom, and for what pur</w:t>
      </w:r>
      <w:r w:rsidRPr="00B6102B">
        <w:rPr>
          <w:rFonts w:cstheme="minorHAnsi"/>
          <w:b/>
          <w:szCs w:val="24"/>
        </w:rPr>
        <w:t>pose the information is to be used.</w:t>
      </w:r>
      <w:r w:rsidRPr="00B6102B" w:rsidR="009F0786">
        <w:rPr>
          <w:rFonts w:cstheme="minorHAnsi"/>
          <w:b/>
          <w:szCs w:val="24"/>
        </w:rPr>
        <w:t xml:space="preserve">  Except for a new collec</w:t>
      </w:r>
      <w:r w:rsidRPr="00B6102B">
        <w:rPr>
          <w:rFonts w:cstheme="minorHAnsi"/>
          <w:b/>
          <w:szCs w:val="24"/>
        </w:rPr>
        <w:t>tion, indicate how the agency has ac</w:t>
      </w:r>
      <w:r w:rsidRPr="00B6102B" w:rsidR="00E27BE9">
        <w:rPr>
          <w:rFonts w:cstheme="minorHAnsi"/>
          <w:b/>
          <w:szCs w:val="24"/>
        </w:rPr>
        <w:t>tually used the informa</w:t>
      </w:r>
      <w:r w:rsidRPr="00B6102B">
        <w:rPr>
          <w:rFonts w:cstheme="minorHAnsi"/>
          <w:b/>
          <w:szCs w:val="24"/>
        </w:rPr>
        <w:t>tion r</w:t>
      </w:r>
      <w:r w:rsidRPr="00B6102B" w:rsidR="00E27BE9">
        <w:rPr>
          <w:rFonts w:cstheme="minorHAnsi"/>
          <w:b/>
          <w:szCs w:val="24"/>
        </w:rPr>
        <w:t>eceived from the current collec</w:t>
      </w:r>
      <w:r w:rsidRPr="00B6102B">
        <w:rPr>
          <w:rFonts w:cstheme="minorHAnsi"/>
          <w:b/>
          <w:szCs w:val="24"/>
        </w:rPr>
        <w:t>tion.</w:t>
      </w:r>
    </w:p>
    <w:p w:rsidR="009F7E1A" w:rsidRPr="00B6102B" w:rsidP="009F7E1A" w14:paraId="3656B9AB" w14:textId="77777777">
      <w:pPr>
        <w:tabs>
          <w:tab w:val="left" w:pos="-720"/>
        </w:tabs>
        <w:suppressAutoHyphens/>
        <w:rPr>
          <w:rFonts w:cstheme="minorHAnsi"/>
          <w:szCs w:val="24"/>
        </w:rPr>
      </w:pPr>
    </w:p>
    <w:p w:rsidR="00E63930" w:rsidRPr="004C4417" w:rsidP="004C4417" w14:paraId="7B134E75" w14:textId="25AF4A6C">
      <w:pPr>
        <w:spacing w:line="480" w:lineRule="auto"/>
        <w:ind w:firstLine="720"/>
        <w:rPr>
          <w:sz w:val="22"/>
        </w:rPr>
      </w:pPr>
      <w:r>
        <w:rPr>
          <w:sz w:val="22"/>
        </w:rPr>
        <w:t xml:space="preserve">The information collection is mandatory for State agencies implementing major changes in SNAP operations and is used to identify and correct negative impacts on program integrity or access.  </w:t>
      </w:r>
      <w:r w:rsidRPr="004C4417" w:rsidR="0033265B">
        <w:rPr>
          <w:sz w:val="22"/>
        </w:rPr>
        <w:t xml:space="preserve">Regulations at 7 CFR 272.15 </w:t>
      </w:r>
      <w:r w:rsidR="002B367F">
        <w:rPr>
          <w:sz w:val="22"/>
        </w:rPr>
        <w:t xml:space="preserve">(Appendix B) </w:t>
      </w:r>
      <w:r w:rsidRPr="004C4417" w:rsidR="0033265B">
        <w:rPr>
          <w:sz w:val="22"/>
        </w:rPr>
        <w:t xml:space="preserve">require State agencies to notify </w:t>
      </w:r>
      <w:r w:rsidR="007542BA">
        <w:rPr>
          <w:sz w:val="22"/>
          <w:szCs w:val="22"/>
        </w:rPr>
        <w:t>FNS</w:t>
      </w:r>
      <w:r w:rsidRPr="004C4417" w:rsidR="0033265B">
        <w:rPr>
          <w:sz w:val="22"/>
        </w:rPr>
        <w:t xml:space="preserve"> when planning to implement a major change in</w:t>
      </w:r>
      <w:r w:rsidRPr="00C45C6B" w:rsidR="0033265B">
        <w:rPr>
          <w:sz w:val="22"/>
          <w:szCs w:val="22"/>
        </w:rPr>
        <w:t xml:space="preserve"> </w:t>
      </w:r>
      <w:r w:rsidRPr="00C45C6B" w:rsidR="00193773">
        <w:rPr>
          <w:sz w:val="22"/>
          <w:szCs w:val="22"/>
        </w:rPr>
        <w:t>SNAP</w:t>
      </w:r>
      <w:r w:rsidRPr="004C4417" w:rsidR="00193773">
        <w:rPr>
          <w:sz w:val="22"/>
        </w:rPr>
        <w:t xml:space="preserve"> </w:t>
      </w:r>
      <w:r w:rsidRPr="004C4417" w:rsidR="0033265B">
        <w:rPr>
          <w:sz w:val="22"/>
        </w:rPr>
        <w:t xml:space="preserve">operations. Major changes include closing local offices, increasing reliance on automated systems, </w:t>
      </w:r>
      <w:r w:rsidRPr="00C45C6B" w:rsidR="0033265B">
        <w:rPr>
          <w:sz w:val="22"/>
          <w:szCs w:val="22"/>
        </w:rPr>
        <w:t>chang</w:t>
      </w:r>
      <w:r w:rsidRPr="00C45C6B" w:rsidR="000B62C6">
        <w:rPr>
          <w:sz w:val="22"/>
          <w:szCs w:val="22"/>
        </w:rPr>
        <w:t>ing</w:t>
      </w:r>
      <w:r w:rsidRPr="004C4417" w:rsidR="0033265B">
        <w:rPr>
          <w:sz w:val="22"/>
        </w:rPr>
        <w:t xml:space="preserve"> operations that may increase difficulty</w:t>
      </w:r>
      <w:r w:rsidRPr="004C4417" w:rsidR="00CA22C0">
        <w:rPr>
          <w:sz w:val="22"/>
        </w:rPr>
        <w:t xml:space="preserve"> </w:t>
      </w:r>
      <w:r w:rsidRPr="00C45C6B" w:rsidR="00CA22C0">
        <w:rPr>
          <w:sz w:val="22"/>
          <w:szCs w:val="22"/>
        </w:rPr>
        <w:t>for</w:t>
      </w:r>
      <w:r w:rsidRPr="004C4417" w:rsidR="0033265B">
        <w:rPr>
          <w:sz w:val="22"/>
        </w:rPr>
        <w:t xml:space="preserve"> households </w:t>
      </w:r>
      <w:r w:rsidRPr="00C45C6B" w:rsidR="002C0785">
        <w:rPr>
          <w:sz w:val="22"/>
          <w:szCs w:val="22"/>
        </w:rPr>
        <w:t xml:space="preserve">to </w:t>
      </w:r>
      <w:r w:rsidRPr="00C45C6B" w:rsidR="0033265B">
        <w:rPr>
          <w:sz w:val="22"/>
          <w:szCs w:val="22"/>
        </w:rPr>
        <w:t>report</w:t>
      </w:r>
      <w:r w:rsidRPr="004C4417" w:rsidR="0033265B">
        <w:rPr>
          <w:sz w:val="22"/>
        </w:rPr>
        <w:t xml:space="preserve"> required information, </w:t>
      </w:r>
      <w:r w:rsidRPr="004C4417" w:rsidR="009E7815">
        <w:rPr>
          <w:sz w:val="22"/>
        </w:rPr>
        <w:t>reducing</w:t>
      </w:r>
      <w:r w:rsidRPr="004C4417" w:rsidR="000E5FC5">
        <w:rPr>
          <w:sz w:val="22"/>
        </w:rPr>
        <w:t xml:space="preserve"> </w:t>
      </w:r>
      <w:r w:rsidRPr="004C4417" w:rsidR="0033265B">
        <w:rPr>
          <w:sz w:val="22"/>
        </w:rPr>
        <w:t xml:space="preserve">or </w:t>
      </w:r>
      <w:r w:rsidRPr="004C4417" w:rsidR="002C0785">
        <w:rPr>
          <w:sz w:val="22"/>
        </w:rPr>
        <w:t>chang</w:t>
      </w:r>
      <w:r w:rsidRPr="004C4417" w:rsidR="009E7815">
        <w:rPr>
          <w:sz w:val="22"/>
        </w:rPr>
        <w:t>ing</w:t>
      </w:r>
      <w:r w:rsidRPr="004C4417" w:rsidR="002C0785">
        <w:rPr>
          <w:sz w:val="22"/>
        </w:rPr>
        <w:t xml:space="preserve"> </w:t>
      </w:r>
      <w:r w:rsidRPr="004C4417" w:rsidR="0033265B">
        <w:rPr>
          <w:sz w:val="22"/>
        </w:rPr>
        <w:t xml:space="preserve">responsibilities completed by SNAP merit system personnel, or other activities identified by </w:t>
      </w:r>
      <w:r w:rsidR="007542BA">
        <w:rPr>
          <w:sz w:val="22"/>
          <w:szCs w:val="22"/>
        </w:rPr>
        <w:t>FNS</w:t>
      </w:r>
      <w:r w:rsidRPr="00C45C6B" w:rsidR="0033265B">
        <w:rPr>
          <w:sz w:val="22"/>
          <w:szCs w:val="22"/>
        </w:rPr>
        <w:t>.</w:t>
      </w:r>
      <w:r w:rsidRPr="004C4417" w:rsidR="0033265B">
        <w:rPr>
          <w:sz w:val="22"/>
        </w:rPr>
        <w:t xml:space="preserve"> To notify </w:t>
      </w:r>
      <w:r w:rsidR="007542BA">
        <w:rPr>
          <w:sz w:val="22"/>
          <w:szCs w:val="22"/>
        </w:rPr>
        <w:t>FNS</w:t>
      </w:r>
      <w:r w:rsidRPr="004C4417" w:rsidR="0033265B">
        <w:rPr>
          <w:sz w:val="22"/>
        </w:rPr>
        <w:t>, State agencies complete the Major Changes Notification Template (</w:t>
      </w:r>
      <w:r w:rsidRPr="00C45C6B" w:rsidR="00630B61">
        <w:rPr>
          <w:sz w:val="22"/>
          <w:szCs w:val="22"/>
        </w:rPr>
        <w:t>Appendix</w:t>
      </w:r>
      <w:r w:rsidRPr="004C4417" w:rsidR="0033265B">
        <w:rPr>
          <w:sz w:val="22"/>
        </w:rPr>
        <w:t xml:space="preserve"> C) and </w:t>
      </w:r>
      <w:r w:rsidRPr="00C45C6B" w:rsidR="00B03D7A">
        <w:rPr>
          <w:sz w:val="22"/>
          <w:szCs w:val="22"/>
        </w:rPr>
        <w:t>submit</w:t>
      </w:r>
      <w:r w:rsidRPr="00C45C6B" w:rsidR="00125C85">
        <w:rPr>
          <w:sz w:val="22"/>
          <w:szCs w:val="22"/>
        </w:rPr>
        <w:t xml:space="preserve"> via</w:t>
      </w:r>
      <w:r w:rsidRPr="00C45C6B" w:rsidR="00394323">
        <w:rPr>
          <w:sz w:val="22"/>
          <w:szCs w:val="22"/>
        </w:rPr>
        <w:t xml:space="preserve"> the Waiver </w:t>
      </w:r>
      <w:r w:rsidRPr="00C45C6B" w:rsidR="00394323">
        <w:rPr>
          <w:sz w:val="22"/>
          <w:szCs w:val="22"/>
        </w:rPr>
        <w:t>Information Management System (WIMS)</w:t>
      </w:r>
      <w:r w:rsidRPr="00C45C6B" w:rsidR="006B428F">
        <w:rPr>
          <w:sz w:val="22"/>
          <w:szCs w:val="22"/>
        </w:rPr>
        <w:t xml:space="preserve">, a </w:t>
      </w:r>
      <w:r w:rsidRPr="00C45C6B" w:rsidR="001A4535">
        <w:rPr>
          <w:sz w:val="22"/>
          <w:szCs w:val="22"/>
        </w:rPr>
        <w:t xml:space="preserve">software </w:t>
      </w:r>
      <w:r w:rsidRPr="00C45C6B" w:rsidR="002B30F0">
        <w:rPr>
          <w:sz w:val="22"/>
          <w:szCs w:val="22"/>
        </w:rPr>
        <w:t>platform</w:t>
      </w:r>
      <w:r w:rsidRPr="00C45C6B" w:rsidR="004102D6">
        <w:rPr>
          <w:sz w:val="22"/>
          <w:szCs w:val="22"/>
        </w:rPr>
        <w:t xml:space="preserve"> used by </w:t>
      </w:r>
      <w:r w:rsidRPr="00C45C6B" w:rsidR="00FF6D22">
        <w:rPr>
          <w:sz w:val="22"/>
          <w:szCs w:val="22"/>
        </w:rPr>
        <w:t xml:space="preserve">State agencies </w:t>
      </w:r>
      <w:r w:rsidRPr="00C45C6B" w:rsidR="002B6C4C">
        <w:rPr>
          <w:sz w:val="22"/>
          <w:szCs w:val="22"/>
        </w:rPr>
        <w:t>for recordkeeping</w:t>
      </w:r>
      <w:r w:rsidRPr="004C4417" w:rsidR="0033265B">
        <w:rPr>
          <w:sz w:val="22"/>
        </w:rPr>
        <w:t xml:space="preserve">. The template includes a description of the change and an analysis of projected impact of the major change.  </w:t>
      </w:r>
    </w:p>
    <w:p w:rsidR="0033265B" w:rsidRPr="00C45C6B" w:rsidP="00363ADF" w14:paraId="07AADDC8" w14:textId="46E643D9">
      <w:pPr>
        <w:spacing w:line="480" w:lineRule="auto"/>
        <w:ind w:firstLine="720"/>
        <w:rPr>
          <w:sz w:val="22"/>
          <w:szCs w:val="22"/>
        </w:rPr>
      </w:pPr>
      <w:r w:rsidRPr="00C45C6B">
        <w:rPr>
          <w:sz w:val="22"/>
          <w:szCs w:val="22"/>
        </w:rPr>
        <w:t>When the State</w:t>
      </w:r>
      <w:r w:rsidRPr="00C45C6B" w:rsidR="0053694F">
        <w:rPr>
          <w:sz w:val="22"/>
          <w:szCs w:val="22"/>
        </w:rPr>
        <w:t xml:space="preserve"> submits a</w:t>
      </w:r>
      <w:r w:rsidRPr="00C45C6B" w:rsidR="00074C37">
        <w:rPr>
          <w:sz w:val="22"/>
          <w:szCs w:val="22"/>
        </w:rPr>
        <w:t xml:space="preserve"> </w:t>
      </w:r>
      <w:r w:rsidRPr="00C45C6B">
        <w:rPr>
          <w:sz w:val="22"/>
          <w:szCs w:val="22"/>
        </w:rPr>
        <w:t>notification</w:t>
      </w:r>
      <w:r w:rsidRPr="00C45C6B" w:rsidR="0053694F">
        <w:rPr>
          <w:sz w:val="22"/>
          <w:szCs w:val="22"/>
        </w:rPr>
        <w:t xml:space="preserve">, </w:t>
      </w:r>
      <w:r w:rsidR="007542BA">
        <w:rPr>
          <w:sz w:val="22"/>
          <w:szCs w:val="22"/>
        </w:rPr>
        <w:t>FNS</w:t>
      </w:r>
      <w:r w:rsidRPr="00C45C6B" w:rsidR="008452C5">
        <w:rPr>
          <w:sz w:val="22"/>
          <w:szCs w:val="22"/>
        </w:rPr>
        <w:t xml:space="preserve"> initiates a review to determine </w:t>
      </w:r>
      <w:r w:rsidRPr="00C45C6B" w:rsidR="005F0BA8">
        <w:rPr>
          <w:sz w:val="22"/>
          <w:szCs w:val="22"/>
        </w:rPr>
        <w:t xml:space="preserve">whether </w:t>
      </w:r>
      <w:r w:rsidRPr="00C45C6B" w:rsidR="00127A87">
        <w:rPr>
          <w:sz w:val="22"/>
          <w:szCs w:val="22"/>
        </w:rPr>
        <w:t xml:space="preserve">the change </w:t>
      </w:r>
      <w:r w:rsidRPr="00C45C6B" w:rsidR="006E581E">
        <w:rPr>
          <w:sz w:val="22"/>
          <w:szCs w:val="22"/>
        </w:rPr>
        <w:t xml:space="preserve">meets the </w:t>
      </w:r>
      <w:r w:rsidRPr="00C45C6B" w:rsidR="00193481">
        <w:rPr>
          <w:sz w:val="22"/>
          <w:szCs w:val="22"/>
        </w:rPr>
        <w:t xml:space="preserve">regulatory </w:t>
      </w:r>
      <w:r w:rsidRPr="00C45C6B" w:rsidR="005A0901">
        <w:rPr>
          <w:sz w:val="22"/>
          <w:szCs w:val="22"/>
        </w:rPr>
        <w:t xml:space="preserve">criteria </w:t>
      </w:r>
      <w:r w:rsidRPr="00C45C6B" w:rsidR="00193481">
        <w:rPr>
          <w:sz w:val="22"/>
          <w:szCs w:val="22"/>
        </w:rPr>
        <w:t>for</w:t>
      </w:r>
      <w:r w:rsidRPr="00C45C6B" w:rsidR="005A0901">
        <w:rPr>
          <w:sz w:val="22"/>
          <w:szCs w:val="22"/>
        </w:rPr>
        <w:t xml:space="preserve"> </w:t>
      </w:r>
      <w:r w:rsidRPr="00C45C6B" w:rsidR="007A6063">
        <w:rPr>
          <w:sz w:val="22"/>
          <w:szCs w:val="22"/>
        </w:rPr>
        <w:t xml:space="preserve">a </w:t>
      </w:r>
      <w:r w:rsidRPr="00C45C6B" w:rsidR="00A352DF">
        <w:rPr>
          <w:sz w:val="22"/>
          <w:szCs w:val="22"/>
        </w:rPr>
        <w:t>m</w:t>
      </w:r>
      <w:r w:rsidRPr="00C45C6B" w:rsidR="007A6063">
        <w:rPr>
          <w:sz w:val="22"/>
          <w:szCs w:val="22"/>
        </w:rPr>
        <w:t xml:space="preserve">ajor </w:t>
      </w:r>
      <w:r w:rsidRPr="00C45C6B" w:rsidR="00A352DF">
        <w:rPr>
          <w:sz w:val="22"/>
          <w:szCs w:val="22"/>
        </w:rPr>
        <w:t>c</w:t>
      </w:r>
      <w:r w:rsidRPr="00C45C6B" w:rsidR="007A6063">
        <w:rPr>
          <w:sz w:val="22"/>
          <w:szCs w:val="22"/>
        </w:rPr>
        <w:t>hange</w:t>
      </w:r>
      <w:r w:rsidRPr="00C45C6B">
        <w:rPr>
          <w:sz w:val="22"/>
          <w:szCs w:val="22"/>
        </w:rPr>
        <w:t>.</w:t>
      </w:r>
      <w:r w:rsidRPr="00C45C6B" w:rsidR="0037703A">
        <w:rPr>
          <w:sz w:val="22"/>
          <w:szCs w:val="22"/>
        </w:rPr>
        <w:t xml:space="preserve"> </w:t>
      </w:r>
      <w:r w:rsidRPr="00C45C6B">
        <w:rPr>
          <w:sz w:val="22"/>
          <w:szCs w:val="22"/>
        </w:rPr>
        <w:t>If the</w:t>
      </w:r>
      <w:r w:rsidRPr="00C45C6B" w:rsidR="009634B7">
        <w:rPr>
          <w:sz w:val="22"/>
          <w:szCs w:val="22"/>
        </w:rPr>
        <w:t xml:space="preserve"> change </w:t>
      </w:r>
      <w:r w:rsidRPr="00C45C6B">
        <w:rPr>
          <w:sz w:val="22"/>
          <w:szCs w:val="22"/>
        </w:rPr>
        <w:t xml:space="preserve">does not meet </w:t>
      </w:r>
      <w:r w:rsidRPr="00C45C6B" w:rsidR="00514374">
        <w:rPr>
          <w:sz w:val="22"/>
          <w:szCs w:val="22"/>
        </w:rPr>
        <w:t>the</w:t>
      </w:r>
      <w:r w:rsidRPr="00C45C6B">
        <w:rPr>
          <w:sz w:val="22"/>
          <w:szCs w:val="22"/>
        </w:rPr>
        <w:t xml:space="preserve"> criteria,</w:t>
      </w:r>
      <w:r w:rsidRPr="00C45C6B" w:rsidR="007E0F14">
        <w:rPr>
          <w:sz w:val="22"/>
          <w:szCs w:val="22"/>
        </w:rPr>
        <w:t xml:space="preserve"> </w:t>
      </w:r>
      <w:r w:rsidR="007542BA">
        <w:rPr>
          <w:sz w:val="22"/>
          <w:szCs w:val="22"/>
        </w:rPr>
        <w:t>FNS</w:t>
      </w:r>
      <w:r w:rsidRPr="00C45C6B" w:rsidR="007E0F14">
        <w:rPr>
          <w:sz w:val="22"/>
          <w:szCs w:val="22"/>
        </w:rPr>
        <w:t xml:space="preserve"> </w:t>
      </w:r>
      <w:r w:rsidRPr="00C45C6B" w:rsidR="001C3E68">
        <w:rPr>
          <w:sz w:val="22"/>
          <w:szCs w:val="22"/>
        </w:rPr>
        <w:t>co</w:t>
      </w:r>
      <w:r w:rsidRPr="00C45C6B" w:rsidR="005A0901">
        <w:rPr>
          <w:sz w:val="22"/>
          <w:szCs w:val="22"/>
        </w:rPr>
        <w:t>ntacts</w:t>
      </w:r>
      <w:r w:rsidRPr="00C45C6B" w:rsidR="001C3E68">
        <w:rPr>
          <w:sz w:val="22"/>
          <w:szCs w:val="22"/>
        </w:rPr>
        <w:t xml:space="preserve"> the State agency</w:t>
      </w:r>
      <w:r w:rsidRPr="00C45C6B" w:rsidR="00C234DF">
        <w:rPr>
          <w:sz w:val="22"/>
          <w:szCs w:val="22"/>
        </w:rPr>
        <w:t xml:space="preserve"> to</w:t>
      </w:r>
      <w:r w:rsidRPr="00C45C6B" w:rsidR="009506BF">
        <w:rPr>
          <w:sz w:val="22"/>
          <w:szCs w:val="22"/>
        </w:rPr>
        <w:t xml:space="preserve"> advise </w:t>
      </w:r>
      <w:r w:rsidRPr="00C45C6B" w:rsidR="0058381C">
        <w:rPr>
          <w:sz w:val="22"/>
          <w:szCs w:val="22"/>
        </w:rPr>
        <w:t>that the change</w:t>
      </w:r>
      <w:r w:rsidRPr="00C45C6B" w:rsidR="003D0694">
        <w:rPr>
          <w:sz w:val="22"/>
          <w:szCs w:val="22"/>
        </w:rPr>
        <w:t xml:space="preserve"> does not qualify as major</w:t>
      </w:r>
      <w:r w:rsidRPr="00C45C6B" w:rsidR="0058381C">
        <w:rPr>
          <w:sz w:val="22"/>
          <w:szCs w:val="22"/>
        </w:rPr>
        <w:t xml:space="preserve"> </w:t>
      </w:r>
      <w:r w:rsidRPr="00C45C6B" w:rsidR="002B1AEA">
        <w:rPr>
          <w:sz w:val="22"/>
          <w:szCs w:val="22"/>
        </w:rPr>
        <w:t>and provide</w:t>
      </w:r>
      <w:r w:rsidRPr="00C45C6B" w:rsidR="003D0694">
        <w:rPr>
          <w:sz w:val="22"/>
          <w:szCs w:val="22"/>
        </w:rPr>
        <w:t>s</w:t>
      </w:r>
      <w:r w:rsidRPr="00C45C6B" w:rsidR="002B1AEA">
        <w:rPr>
          <w:sz w:val="22"/>
          <w:szCs w:val="22"/>
        </w:rPr>
        <w:t xml:space="preserve"> guidance on the procedure </w:t>
      </w:r>
      <w:r w:rsidRPr="00C45C6B" w:rsidR="0072174A">
        <w:rPr>
          <w:sz w:val="22"/>
          <w:szCs w:val="22"/>
        </w:rPr>
        <w:t>to formally withdraw</w:t>
      </w:r>
      <w:r w:rsidRPr="00C45C6B" w:rsidR="00223B9C">
        <w:rPr>
          <w:sz w:val="22"/>
          <w:szCs w:val="22"/>
        </w:rPr>
        <w:t xml:space="preserve"> the notification. </w:t>
      </w:r>
      <w:r w:rsidRPr="00C45C6B">
        <w:rPr>
          <w:sz w:val="22"/>
          <w:szCs w:val="22"/>
        </w:rPr>
        <w:t xml:space="preserve">If the notification does meet </w:t>
      </w:r>
      <w:r w:rsidRPr="00C45C6B" w:rsidR="00B93605">
        <w:rPr>
          <w:sz w:val="22"/>
          <w:szCs w:val="22"/>
        </w:rPr>
        <w:t>the</w:t>
      </w:r>
      <w:r w:rsidRPr="00C45C6B" w:rsidR="00772EDE">
        <w:rPr>
          <w:sz w:val="22"/>
          <w:szCs w:val="22"/>
        </w:rPr>
        <w:t xml:space="preserve"> criteria</w:t>
      </w:r>
      <w:r w:rsidRPr="00C45C6B">
        <w:rPr>
          <w:sz w:val="22"/>
          <w:szCs w:val="22"/>
        </w:rPr>
        <w:t>,</w:t>
      </w:r>
      <w:r w:rsidRPr="00C45C6B" w:rsidR="00D60B27">
        <w:rPr>
          <w:sz w:val="22"/>
          <w:szCs w:val="22"/>
        </w:rPr>
        <w:t xml:space="preserve"> </w:t>
      </w:r>
      <w:r w:rsidR="007542BA">
        <w:rPr>
          <w:sz w:val="22"/>
          <w:szCs w:val="22"/>
        </w:rPr>
        <w:t>FNS</w:t>
      </w:r>
      <w:r w:rsidRPr="00C45C6B" w:rsidR="00D60B27">
        <w:rPr>
          <w:sz w:val="22"/>
          <w:szCs w:val="22"/>
        </w:rPr>
        <w:t xml:space="preserve"> </w:t>
      </w:r>
      <w:r w:rsidRPr="00C45C6B" w:rsidR="00372716">
        <w:rPr>
          <w:sz w:val="22"/>
          <w:szCs w:val="22"/>
        </w:rPr>
        <w:t xml:space="preserve">works in partnership </w:t>
      </w:r>
      <w:r w:rsidRPr="00C45C6B" w:rsidR="00D60B27">
        <w:rPr>
          <w:sz w:val="22"/>
          <w:szCs w:val="22"/>
        </w:rPr>
        <w:t xml:space="preserve">with the State agency to </w:t>
      </w:r>
      <w:r w:rsidRPr="00C45C6B" w:rsidR="00D92841">
        <w:rPr>
          <w:sz w:val="22"/>
          <w:szCs w:val="22"/>
        </w:rPr>
        <w:t>clarify any ambiguous</w:t>
      </w:r>
      <w:r w:rsidRPr="00C45C6B" w:rsidR="00D25C2A">
        <w:rPr>
          <w:sz w:val="22"/>
          <w:szCs w:val="22"/>
        </w:rPr>
        <w:t xml:space="preserve"> </w:t>
      </w:r>
      <w:r w:rsidRPr="00C45C6B" w:rsidR="00477AD5">
        <w:rPr>
          <w:sz w:val="22"/>
          <w:szCs w:val="22"/>
        </w:rPr>
        <w:t xml:space="preserve">or incomplete </w:t>
      </w:r>
      <w:r w:rsidRPr="00C45C6B" w:rsidR="00D25C2A">
        <w:rPr>
          <w:sz w:val="22"/>
          <w:szCs w:val="22"/>
        </w:rPr>
        <w:t>information</w:t>
      </w:r>
      <w:r w:rsidRPr="00C45C6B" w:rsidR="00EC0C49">
        <w:rPr>
          <w:sz w:val="22"/>
          <w:szCs w:val="22"/>
        </w:rPr>
        <w:t xml:space="preserve"> and</w:t>
      </w:r>
      <w:r w:rsidRPr="00C45C6B" w:rsidR="001A01E4">
        <w:rPr>
          <w:sz w:val="22"/>
          <w:szCs w:val="22"/>
        </w:rPr>
        <w:t xml:space="preserve"> </w:t>
      </w:r>
      <w:r w:rsidRPr="00C45C6B" w:rsidR="006D508A">
        <w:rPr>
          <w:sz w:val="22"/>
          <w:szCs w:val="22"/>
        </w:rPr>
        <w:t>issue</w:t>
      </w:r>
      <w:r w:rsidRPr="00C45C6B" w:rsidR="00627997">
        <w:rPr>
          <w:sz w:val="22"/>
          <w:szCs w:val="22"/>
        </w:rPr>
        <w:t>s</w:t>
      </w:r>
      <w:r w:rsidRPr="00C45C6B" w:rsidR="001A01E4">
        <w:rPr>
          <w:sz w:val="22"/>
          <w:szCs w:val="22"/>
        </w:rPr>
        <w:t xml:space="preserve"> </w:t>
      </w:r>
      <w:r w:rsidRPr="00C45C6B" w:rsidR="003D1871">
        <w:rPr>
          <w:sz w:val="22"/>
          <w:szCs w:val="22"/>
        </w:rPr>
        <w:t>a</w:t>
      </w:r>
      <w:r w:rsidRPr="00C45C6B" w:rsidR="00C8474B">
        <w:rPr>
          <w:sz w:val="22"/>
          <w:szCs w:val="22"/>
        </w:rPr>
        <w:t xml:space="preserve"> letter of</w:t>
      </w:r>
      <w:r w:rsidRPr="00C45C6B" w:rsidR="003D1871">
        <w:rPr>
          <w:sz w:val="22"/>
          <w:szCs w:val="22"/>
        </w:rPr>
        <w:t xml:space="preserve"> </w:t>
      </w:r>
      <w:r w:rsidRPr="00C45C6B">
        <w:rPr>
          <w:sz w:val="22"/>
          <w:szCs w:val="22"/>
        </w:rPr>
        <w:t xml:space="preserve">acknowledgement </w:t>
      </w:r>
      <w:r w:rsidRPr="00C45C6B" w:rsidR="001A01E4">
        <w:rPr>
          <w:sz w:val="22"/>
          <w:szCs w:val="22"/>
        </w:rPr>
        <w:t>in response</w:t>
      </w:r>
      <w:r w:rsidRPr="00C45C6B" w:rsidR="00293E47">
        <w:rPr>
          <w:sz w:val="22"/>
          <w:szCs w:val="22"/>
        </w:rPr>
        <w:t>.</w:t>
      </w:r>
      <w:r w:rsidRPr="00C45C6B" w:rsidR="001A01E4">
        <w:rPr>
          <w:sz w:val="22"/>
          <w:szCs w:val="22"/>
        </w:rPr>
        <w:t xml:space="preserve"> </w:t>
      </w:r>
      <w:r w:rsidRPr="00C45C6B" w:rsidR="00B10B4A">
        <w:rPr>
          <w:sz w:val="22"/>
          <w:szCs w:val="22"/>
        </w:rPr>
        <w:t xml:space="preserve">The </w:t>
      </w:r>
      <w:r w:rsidRPr="00C45C6B" w:rsidR="00C8474B">
        <w:rPr>
          <w:sz w:val="22"/>
          <w:szCs w:val="22"/>
        </w:rPr>
        <w:t>letter of acknowledgement</w:t>
      </w:r>
      <w:r w:rsidRPr="00C45C6B" w:rsidR="001A01E4">
        <w:rPr>
          <w:sz w:val="22"/>
          <w:szCs w:val="22"/>
        </w:rPr>
        <w:t xml:space="preserve"> </w:t>
      </w:r>
      <w:r w:rsidRPr="00C45C6B" w:rsidR="00D24382">
        <w:rPr>
          <w:sz w:val="22"/>
          <w:szCs w:val="22"/>
        </w:rPr>
        <w:t>outline</w:t>
      </w:r>
      <w:r w:rsidRPr="00C45C6B">
        <w:rPr>
          <w:sz w:val="22"/>
          <w:szCs w:val="22"/>
        </w:rPr>
        <w:t xml:space="preserve">s </w:t>
      </w:r>
      <w:r w:rsidRPr="00C45C6B" w:rsidR="009A0B06">
        <w:rPr>
          <w:sz w:val="22"/>
          <w:szCs w:val="22"/>
        </w:rPr>
        <w:t xml:space="preserve">the </w:t>
      </w:r>
      <w:r w:rsidRPr="00C45C6B">
        <w:rPr>
          <w:sz w:val="22"/>
          <w:szCs w:val="22"/>
        </w:rPr>
        <w:t>reporting requirements</w:t>
      </w:r>
      <w:r w:rsidRPr="00C45C6B" w:rsidR="009A0B06">
        <w:rPr>
          <w:sz w:val="22"/>
          <w:szCs w:val="22"/>
        </w:rPr>
        <w:t xml:space="preserve">, </w:t>
      </w:r>
      <w:r w:rsidRPr="00C45C6B" w:rsidR="00D24382">
        <w:rPr>
          <w:sz w:val="22"/>
          <w:szCs w:val="22"/>
        </w:rPr>
        <w:t>in accordance with</w:t>
      </w:r>
      <w:r w:rsidRPr="00C45C6B" w:rsidR="009A0B06">
        <w:rPr>
          <w:sz w:val="22"/>
          <w:szCs w:val="22"/>
        </w:rPr>
        <w:t xml:space="preserve"> </w:t>
      </w:r>
      <w:r w:rsidRPr="00C45C6B" w:rsidR="00465E63">
        <w:rPr>
          <w:sz w:val="22"/>
          <w:szCs w:val="22"/>
        </w:rPr>
        <w:t>applica</w:t>
      </w:r>
      <w:r w:rsidRPr="00C45C6B" w:rsidR="00634222">
        <w:rPr>
          <w:sz w:val="22"/>
          <w:szCs w:val="22"/>
        </w:rPr>
        <w:t xml:space="preserve">ble </w:t>
      </w:r>
      <w:r w:rsidRPr="00C45C6B" w:rsidR="006D508A">
        <w:rPr>
          <w:sz w:val="22"/>
          <w:szCs w:val="22"/>
        </w:rPr>
        <w:t>regulations</w:t>
      </w:r>
      <w:r w:rsidRPr="00C45C6B" w:rsidR="009A0B06">
        <w:rPr>
          <w:sz w:val="22"/>
          <w:szCs w:val="22"/>
        </w:rPr>
        <w:t xml:space="preserve"> and</w:t>
      </w:r>
      <w:r w:rsidRPr="00C45C6B">
        <w:rPr>
          <w:sz w:val="22"/>
          <w:szCs w:val="22"/>
        </w:rPr>
        <w:t xml:space="preserve"> </w:t>
      </w:r>
      <w:r w:rsidRPr="00C45C6B" w:rsidR="00AD378A">
        <w:rPr>
          <w:sz w:val="22"/>
          <w:szCs w:val="22"/>
        </w:rPr>
        <w:t>includes the appropriate</w:t>
      </w:r>
      <w:r w:rsidRPr="00C45C6B">
        <w:rPr>
          <w:sz w:val="22"/>
          <w:szCs w:val="22"/>
        </w:rPr>
        <w:t xml:space="preserve"> reporting template</w:t>
      </w:r>
      <w:r w:rsidRPr="00C45C6B" w:rsidR="00DA1D72">
        <w:rPr>
          <w:sz w:val="22"/>
          <w:szCs w:val="22"/>
        </w:rPr>
        <w:t>(</w:t>
      </w:r>
      <w:r w:rsidRPr="00C45C6B">
        <w:rPr>
          <w:sz w:val="22"/>
          <w:szCs w:val="22"/>
        </w:rPr>
        <w:t>s</w:t>
      </w:r>
      <w:r w:rsidRPr="00C45C6B" w:rsidR="00DF0886">
        <w:rPr>
          <w:sz w:val="22"/>
          <w:szCs w:val="22"/>
        </w:rPr>
        <w:t>)</w:t>
      </w:r>
      <w:r w:rsidRPr="00C45C6B" w:rsidR="00634222">
        <w:rPr>
          <w:sz w:val="22"/>
          <w:szCs w:val="22"/>
        </w:rPr>
        <w:t xml:space="preserve"> to be used by the State agency</w:t>
      </w:r>
      <w:r w:rsidRPr="00C45C6B" w:rsidR="00157C19">
        <w:rPr>
          <w:sz w:val="22"/>
          <w:szCs w:val="22"/>
        </w:rPr>
        <w:t xml:space="preserve"> (</w:t>
      </w:r>
      <w:r w:rsidRPr="00C45C6B" w:rsidR="001110EA">
        <w:rPr>
          <w:sz w:val="22"/>
          <w:szCs w:val="22"/>
        </w:rPr>
        <w:t>Appendices</w:t>
      </w:r>
      <w:r w:rsidRPr="00C45C6B" w:rsidR="00157C19">
        <w:rPr>
          <w:sz w:val="22"/>
          <w:szCs w:val="22"/>
        </w:rPr>
        <w:t xml:space="preserve"> D</w:t>
      </w:r>
      <w:r w:rsidRPr="00C45C6B" w:rsidR="007C2EEC">
        <w:rPr>
          <w:sz w:val="22"/>
          <w:szCs w:val="22"/>
        </w:rPr>
        <w:t xml:space="preserve"> and</w:t>
      </w:r>
      <w:r w:rsidRPr="00C45C6B" w:rsidR="008B05DA">
        <w:rPr>
          <w:sz w:val="22"/>
          <w:szCs w:val="22"/>
        </w:rPr>
        <w:t xml:space="preserve"> </w:t>
      </w:r>
      <w:r w:rsidRPr="00C45C6B" w:rsidR="007C2EEC">
        <w:rPr>
          <w:sz w:val="22"/>
          <w:szCs w:val="22"/>
        </w:rPr>
        <w:t>E)</w:t>
      </w:r>
      <w:r w:rsidRPr="00C45C6B">
        <w:rPr>
          <w:sz w:val="22"/>
          <w:szCs w:val="22"/>
        </w:rPr>
        <w:t xml:space="preserve">. </w:t>
      </w:r>
    </w:p>
    <w:p w:rsidR="0033265B" w:rsidRPr="004C4417" w:rsidP="00363ADF" w14:paraId="5C738AA2" w14:textId="4BBFE8E8">
      <w:pPr>
        <w:tabs>
          <w:tab w:val="left" w:pos="-720"/>
        </w:tabs>
        <w:suppressAutoHyphens/>
        <w:spacing w:line="480" w:lineRule="auto"/>
        <w:rPr>
          <w:sz w:val="22"/>
        </w:rPr>
      </w:pPr>
      <w:r w:rsidRPr="00C45C6B">
        <w:rPr>
          <w:sz w:val="22"/>
          <w:szCs w:val="22"/>
        </w:rPr>
        <w:tab/>
      </w:r>
      <w:r w:rsidRPr="004C4417">
        <w:rPr>
          <w:sz w:val="22"/>
        </w:rPr>
        <w:t xml:space="preserve">States implementing major </w:t>
      </w:r>
      <w:r w:rsidRPr="00C45C6B" w:rsidR="00FD485B">
        <w:rPr>
          <w:sz w:val="22"/>
          <w:szCs w:val="22"/>
        </w:rPr>
        <w:t>program</w:t>
      </w:r>
      <w:r w:rsidRPr="00C45C6B" w:rsidR="002358AE">
        <w:rPr>
          <w:sz w:val="22"/>
          <w:szCs w:val="22"/>
        </w:rPr>
        <w:t xml:space="preserve"> </w:t>
      </w:r>
      <w:r w:rsidRPr="00C45C6B">
        <w:rPr>
          <w:sz w:val="22"/>
          <w:szCs w:val="22"/>
        </w:rPr>
        <w:t>change</w:t>
      </w:r>
      <w:r w:rsidRPr="00C45C6B" w:rsidR="00FD485B">
        <w:rPr>
          <w:sz w:val="22"/>
          <w:szCs w:val="22"/>
        </w:rPr>
        <w:t>s</w:t>
      </w:r>
      <w:r w:rsidRPr="00C45C6B">
        <w:rPr>
          <w:sz w:val="22"/>
          <w:szCs w:val="22"/>
        </w:rPr>
        <w:t xml:space="preserve"> </w:t>
      </w:r>
      <w:r w:rsidRPr="00C45C6B" w:rsidR="002358AE">
        <w:rPr>
          <w:sz w:val="22"/>
          <w:szCs w:val="22"/>
        </w:rPr>
        <w:t>are required</w:t>
      </w:r>
      <w:r w:rsidRPr="004C4417" w:rsidR="002358AE">
        <w:rPr>
          <w:sz w:val="22"/>
        </w:rPr>
        <w:t xml:space="preserve"> to </w:t>
      </w:r>
      <w:r w:rsidRPr="00C45C6B" w:rsidR="002358AE">
        <w:rPr>
          <w:sz w:val="22"/>
          <w:szCs w:val="22"/>
        </w:rPr>
        <w:t>submit</w:t>
      </w:r>
      <w:r w:rsidRPr="004C4417" w:rsidR="002358AE">
        <w:rPr>
          <w:sz w:val="22"/>
        </w:rPr>
        <w:t xml:space="preserve"> quarterly </w:t>
      </w:r>
      <w:r w:rsidRPr="00C45C6B">
        <w:rPr>
          <w:sz w:val="22"/>
          <w:szCs w:val="22"/>
        </w:rPr>
        <w:t>report</w:t>
      </w:r>
      <w:r w:rsidRPr="00C45C6B" w:rsidR="007F2B52">
        <w:rPr>
          <w:sz w:val="22"/>
          <w:szCs w:val="22"/>
        </w:rPr>
        <w:t>s</w:t>
      </w:r>
      <w:r w:rsidRPr="00C45C6B">
        <w:rPr>
          <w:sz w:val="22"/>
          <w:szCs w:val="22"/>
        </w:rPr>
        <w:t xml:space="preserve"> to </w:t>
      </w:r>
      <w:r w:rsidR="007542BA">
        <w:rPr>
          <w:sz w:val="22"/>
          <w:szCs w:val="22"/>
        </w:rPr>
        <w:t>FNS</w:t>
      </w:r>
      <w:r w:rsidRPr="00C45C6B" w:rsidR="00762583">
        <w:rPr>
          <w:sz w:val="22"/>
          <w:szCs w:val="22"/>
        </w:rPr>
        <w:t xml:space="preserve">. </w:t>
      </w:r>
      <w:r w:rsidRPr="00C45C6B" w:rsidR="0014661B">
        <w:rPr>
          <w:sz w:val="22"/>
          <w:szCs w:val="22"/>
        </w:rPr>
        <w:t>The quarterly reports must include detailed</w:t>
      </w:r>
      <w:r w:rsidRPr="004C4417" w:rsidR="0014661B">
        <w:rPr>
          <w:sz w:val="22"/>
        </w:rPr>
        <w:t xml:space="preserve"> </w:t>
      </w:r>
      <w:r w:rsidRPr="004C4417">
        <w:rPr>
          <w:sz w:val="22"/>
        </w:rPr>
        <w:t xml:space="preserve">information to </w:t>
      </w:r>
      <w:r w:rsidRPr="00C45C6B" w:rsidR="00692D33">
        <w:rPr>
          <w:sz w:val="22"/>
          <w:szCs w:val="22"/>
        </w:rPr>
        <w:t xml:space="preserve">help </w:t>
      </w:r>
      <w:r w:rsidRPr="004C4417">
        <w:rPr>
          <w:sz w:val="22"/>
        </w:rPr>
        <w:t xml:space="preserve">identify and </w:t>
      </w:r>
      <w:r w:rsidRPr="00C45C6B" w:rsidR="00692D33">
        <w:rPr>
          <w:sz w:val="22"/>
          <w:szCs w:val="22"/>
        </w:rPr>
        <w:t>address</w:t>
      </w:r>
      <w:r w:rsidRPr="004C4417" w:rsidR="00692D33">
        <w:rPr>
          <w:sz w:val="22"/>
        </w:rPr>
        <w:t xml:space="preserve"> </w:t>
      </w:r>
      <w:r w:rsidRPr="004C4417">
        <w:rPr>
          <w:sz w:val="22"/>
        </w:rPr>
        <w:t xml:space="preserve">any adverse </w:t>
      </w:r>
      <w:r w:rsidRPr="00C45C6B" w:rsidR="009E0A14">
        <w:rPr>
          <w:sz w:val="22"/>
          <w:szCs w:val="22"/>
        </w:rPr>
        <w:t>impacts</w:t>
      </w:r>
      <w:r w:rsidRPr="004C4417" w:rsidR="009E0A14">
        <w:rPr>
          <w:sz w:val="22"/>
        </w:rPr>
        <w:t xml:space="preserve"> </w:t>
      </w:r>
      <w:r w:rsidRPr="004C4417">
        <w:rPr>
          <w:sz w:val="22"/>
        </w:rPr>
        <w:t>on program integrity or access</w:t>
      </w:r>
      <w:r w:rsidRPr="00C45C6B" w:rsidR="003E2DD8">
        <w:rPr>
          <w:sz w:val="22"/>
          <w:szCs w:val="22"/>
        </w:rPr>
        <w:t xml:space="preserve">. </w:t>
      </w:r>
      <w:r w:rsidR="007542BA">
        <w:rPr>
          <w:sz w:val="22"/>
          <w:szCs w:val="22"/>
        </w:rPr>
        <w:t>FNS</w:t>
      </w:r>
      <w:r w:rsidRPr="00C45C6B" w:rsidR="005368D6">
        <w:rPr>
          <w:sz w:val="22"/>
          <w:szCs w:val="22"/>
        </w:rPr>
        <w:t xml:space="preserve"> </w:t>
      </w:r>
      <w:r w:rsidRPr="00C45C6B" w:rsidR="009E0A14">
        <w:rPr>
          <w:sz w:val="22"/>
          <w:szCs w:val="22"/>
        </w:rPr>
        <w:t xml:space="preserve">reviews </w:t>
      </w:r>
      <w:r w:rsidRPr="00C45C6B" w:rsidR="00886F51">
        <w:rPr>
          <w:sz w:val="22"/>
          <w:szCs w:val="22"/>
        </w:rPr>
        <w:t xml:space="preserve">the </w:t>
      </w:r>
      <w:r w:rsidRPr="00C45C6B" w:rsidR="00CE0E66">
        <w:rPr>
          <w:sz w:val="22"/>
          <w:szCs w:val="22"/>
        </w:rPr>
        <w:t>data</w:t>
      </w:r>
      <w:r w:rsidRPr="00C45C6B" w:rsidR="005368D6">
        <w:rPr>
          <w:sz w:val="22"/>
          <w:szCs w:val="22"/>
        </w:rPr>
        <w:t xml:space="preserve"> </w:t>
      </w:r>
      <w:r w:rsidRPr="004C4417">
        <w:rPr>
          <w:sz w:val="22"/>
        </w:rPr>
        <w:t xml:space="preserve">to monitor </w:t>
      </w:r>
      <w:r w:rsidRPr="00C45C6B" w:rsidR="008369A7">
        <w:rPr>
          <w:sz w:val="22"/>
          <w:szCs w:val="22"/>
        </w:rPr>
        <w:t xml:space="preserve">potential </w:t>
      </w:r>
      <w:r w:rsidRPr="004C4417">
        <w:rPr>
          <w:sz w:val="22"/>
        </w:rPr>
        <w:t xml:space="preserve">adverse </w:t>
      </w:r>
      <w:r w:rsidRPr="00C45C6B" w:rsidR="008369A7">
        <w:rPr>
          <w:sz w:val="22"/>
          <w:szCs w:val="22"/>
        </w:rPr>
        <w:t>effect</w:t>
      </w:r>
      <w:r w:rsidRPr="00C45C6B" w:rsidR="00025E0D">
        <w:rPr>
          <w:sz w:val="22"/>
          <w:szCs w:val="22"/>
        </w:rPr>
        <w:t>s</w:t>
      </w:r>
      <w:r w:rsidRPr="00C45C6B" w:rsidR="007C5970">
        <w:rPr>
          <w:sz w:val="22"/>
          <w:szCs w:val="22"/>
        </w:rPr>
        <w:t>, provide</w:t>
      </w:r>
      <w:r w:rsidR="000F760E">
        <w:rPr>
          <w:sz w:val="22"/>
          <w:szCs w:val="22"/>
        </w:rPr>
        <w:t>s</w:t>
      </w:r>
      <w:r w:rsidRPr="00C45C6B" w:rsidR="00F2281C">
        <w:rPr>
          <w:sz w:val="22"/>
          <w:szCs w:val="22"/>
        </w:rPr>
        <w:t xml:space="preserve"> targeted</w:t>
      </w:r>
      <w:r w:rsidRPr="004C4417" w:rsidR="00F2281C">
        <w:rPr>
          <w:sz w:val="22"/>
        </w:rPr>
        <w:t xml:space="preserve"> </w:t>
      </w:r>
      <w:r w:rsidRPr="004C4417">
        <w:rPr>
          <w:sz w:val="22"/>
        </w:rPr>
        <w:t>technical assistance</w:t>
      </w:r>
      <w:r w:rsidRPr="00C45C6B" w:rsidR="00586EC1">
        <w:rPr>
          <w:sz w:val="22"/>
          <w:szCs w:val="22"/>
        </w:rPr>
        <w:t xml:space="preserve"> and ensure</w:t>
      </w:r>
      <w:r w:rsidR="000F760E">
        <w:rPr>
          <w:sz w:val="22"/>
          <w:szCs w:val="22"/>
        </w:rPr>
        <w:t>s</w:t>
      </w:r>
      <w:r w:rsidRPr="00C45C6B" w:rsidR="00586EC1">
        <w:rPr>
          <w:sz w:val="22"/>
          <w:szCs w:val="22"/>
        </w:rPr>
        <w:t xml:space="preserve"> effective oversight</w:t>
      </w:r>
      <w:r w:rsidRPr="00C45C6B">
        <w:rPr>
          <w:sz w:val="22"/>
          <w:szCs w:val="22"/>
        </w:rPr>
        <w:t xml:space="preserve">. </w:t>
      </w:r>
      <w:r w:rsidRPr="00C45C6B" w:rsidR="00EC531B">
        <w:rPr>
          <w:sz w:val="22"/>
          <w:szCs w:val="22"/>
        </w:rPr>
        <w:t>Additionally, the</w:t>
      </w:r>
      <w:r w:rsidRPr="004C4417" w:rsidR="00EC531B">
        <w:rPr>
          <w:sz w:val="22"/>
        </w:rPr>
        <w:t xml:space="preserve"> </w:t>
      </w:r>
      <w:r w:rsidRPr="004C4417">
        <w:rPr>
          <w:sz w:val="22"/>
        </w:rPr>
        <w:t xml:space="preserve">reports also </w:t>
      </w:r>
      <w:r w:rsidRPr="00C45C6B" w:rsidR="00EC531B">
        <w:rPr>
          <w:sz w:val="22"/>
          <w:szCs w:val="22"/>
        </w:rPr>
        <w:t xml:space="preserve">enable </w:t>
      </w:r>
      <w:r w:rsidR="007542BA">
        <w:rPr>
          <w:sz w:val="22"/>
          <w:szCs w:val="22"/>
        </w:rPr>
        <w:t>FNS</w:t>
      </w:r>
      <w:r w:rsidRPr="004C4417">
        <w:rPr>
          <w:sz w:val="22"/>
        </w:rPr>
        <w:t xml:space="preserve"> to monitor </w:t>
      </w:r>
      <w:r w:rsidRPr="00C45C6B" w:rsidR="001630C7">
        <w:rPr>
          <w:sz w:val="22"/>
          <w:szCs w:val="22"/>
        </w:rPr>
        <w:t xml:space="preserve">the </w:t>
      </w:r>
      <w:r w:rsidRPr="004C4417" w:rsidR="001630C7">
        <w:rPr>
          <w:sz w:val="22"/>
        </w:rPr>
        <w:t>implementation</w:t>
      </w:r>
      <w:r w:rsidRPr="004C4417">
        <w:rPr>
          <w:sz w:val="22"/>
        </w:rPr>
        <w:t xml:space="preserve"> of major changes and </w:t>
      </w:r>
      <w:r w:rsidRPr="00C45C6B" w:rsidR="005D6F4D">
        <w:rPr>
          <w:sz w:val="22"/>
          <w:szCs w:val="22"/>
        </w:rPr>
        <w:t>initiat</w:t>
      </w:r>
      <w:r w:rsidRPr="00C45C6B" w:rsidR="002903BE">
        <w:rPr>
          <w:sz w:val="22"/>
          <w:szCs w:val="22"/>
        </w:rPr>
        <w:t xml:space="preserve">e </w:t>
      </w:r>
      <w:r w:rsidRPr="004C4417">
        <w:rPr>
          <w:sz w:val="22"/>
        </w:rPr>
        <w:t xml:space="preserve">corrective actions, as </w:t>
      </w:r>
      <w:r w:rsidRPr="00C45C6B" w:rsidR="002903BE">
        <w:rPr>
          <w:sz w:val="22"/>
          <w:szCs w:val="22"/>
        </w:rPr>
        <w:t>necessary</w:t>
      </w:r>
      <w:r w:rsidRPr="004C4417">
        <w:rPr>
          <w:sz w:val="22"/>
        </w:rPr>
        <w:t xml:space="preserve">. </w:t>
      </w:r>
    </w:p>
    <w:p w:rsidR="0033265B" w:rsidRPr="004C4417" w:rsidP="004C4417" w14:paraId="57D185DF" w14:textId="65725C7F">
      <w:pPr>
        <w:spacing w:line="480" w:lineRule="auto"/>
        <w:ind w:firstLine="720"/>
        <w:rPr>
          <w:sz w:val="22"/>
        </w:rPr>
      </w:pPr>
      <w:r w:rsidRPr="004C4417">
        <w:rPr>
          <w:sz w:val="22"/>
        </w:rPr>
        <w:t xml:space="preserve">All major changes </w:t>
      </w:r>
      <w:r w:rsidRPr="00C45C6B" w:rsidR="00551BFC">
        <w:rPr>
          <w:sz w:val="22"/>
          <w:szCs w:val="22"/>
        </w:rPr>
        <w:t>must be documented using</w:t>
      </w:r>
      <w:r w:rsidRPr="004C4417" w:rsidR="00551BFC">
        <w:rPr>
          <w:sz w:val="22"/>
        </w:rPr>
        <w:t xml:space="preserve"> the </w:t>
      </w:r>
      <w:r w:rsidRPr="004C4417">
        <w:rPr>
          <w:sz w:val="22"/>
        </w:rPr>
        <w:t>Major Changes Quarterly Reporting Template (</w:t>
      </w:r>
      <w:r w:rsidRPr="00C45C6B" w:rsidR="00630B61">
        <w:rPr>
          <w:sz w:val="22"/>
          <w:szCs w:val="22"/>
        </w:rPr>
        <w:t>Appendix</w:t>
      </w:r>
      <w:r w:rsidRPr="00C45C6B">
        <w:rPr>
          <w:sz w:val="22"/>
          <w:szCs w:val="22"/>
        </w:rPr>
        <w:t xml:space="preserve"> D). </w:t>
      </w:r>
      <w:r w:rsidRPr="00C45C6B" w:rsidR="00551BFC">
        <w:rPr>
          <w:sz w:val="22"/>
          <w:szCs w:val="22"/>
        </w:rPr>
        <w:t xml:space="preserve">If the </w:t>
      </w:r>
      <w:r w:rsidRPr="00C45C6B">
        <w:rPr>
          <w:sz w:val="22"/>
          <w:szCs w:val="22"/>
        </w:rPr>
        <w:t xml:space="preserve">change </w:t>
      </w:r>
      <w:r w:rsidRPr="00C45C6B" w:rsidR="0035589B">
        <w:rPr>
          <w:sz w:val="22"/>
          <w:szCs w:val="22"/>
        </w:rPr>
        <w:t>involves</w:t>
      </w:r>
      <w:r w:rsidRPr="00C45C6B">
        <w:rPr>
          <w:sz w:val="22"/>
          <w:szCs w:val="22"/>
        </w:rPr>
        <w:t xml:space="preserve"> call center</w:t>
      </w:r>
      <w:r w:rsidRPr="00C45C6B" w:rsidR="00683A26">
        <w:rPr>
          <w:sz w:val="22"/>
          <w:szCs w:val="22"/>
        </w:rPr>
        <w:t xml:space="preserve"> operations, the State agency</w:t>
      </w:r>
      <w:r w:rsidRPr="00C45C6B">
        <w:rPr>
          <w:sz w:val="22"/>
          <w:szCs w:val="22"/>
        </w:rPr>
        <w:t xml:space="preserve"> </w:t>
      </w:r>
      <w:r w:rsidRPr="00C45C6B" w:rsidR="00661DBF">
        <w:rPr>
          <w:sz w:val="22"/>
          <w:szCs w:val="22"/>
        </w:rPr>
        <w:t>is also required</w:t>
      </w:r>
      <w:r w:rsidRPr="00C45C6B" w:rsidR="00D11F5C">
        <w:rPr>
          <w:sz w:val="22"/>
          <w:szCs w:val="22"/>
        </w:rPr>
        <w:t xml:space="preserve"> to </w:t>
      </w:r>
      <w:r w:rsidRPr="00C45C6B" w:rsidR="00BE05EB">
        <w:rPr>
          <w:sz w:val="22"/>
          <w:szCs w:val="22"/>
        </w:rPr>
        <w:t>also report customer service-related</w:t>
      </w:r>
      <w:r w:rsidRPr="00C45C6B">
        <w:rPr>
          <w:sz w:val="22"/>
          <w:szCs w:val="22"/>
        </w:rPr>
        <w:t xml:space="preserve"> data</w:t>
      </w:r>
      <w:r w:rsidRPr="004C4417">
        <w:rPr>
          <w:sz w:val="22"/>
        </w:rPr>
        <w:t xml:space="preserve"> on the Major Changes Quarterly Reporting Template for Call Center Modifications (</w:t>
      </w:r>
      <w:r w:rsidRPr="00C45C6B" w:rsidR="00630B61">
        <w:rPr>
          <w:sz w:val="22"/>
          <w:szCs w:val="22"/>
        </w:rPr>
        <w:t>Appendix</w:t>
      </w:r>
      <w:r w:rsidRPr="004C4417">
        <w:rPr>
          <w:sz w:val="22"/>
        </w:rPr>
        <w:t xml:space="preserve"> E).</w:t>
      </w:r>
    </w:p>
    <w:p w:rsidR="009D465B" w:rsidRPr="004C4417" w:rsidP="004C4417" w14:paraId="05DD09A4" w14:textId="4394D3D5">
      <w:pPr>
        <w:spacing w:line="480" w:lineRule="auto"/>
        <w:ind w:firstLine="720"/>
        <w:rPr>
          <w:sz w:val="22"/>
        </w:rPr>
      </w:pPr>
      <w:r w:rsidRPr="00C45C6B">
        <w:rPr>
          <w:sz w:val="22"/>
          <w:szCs w:val="22"/>
        </w:rPr>
        <w:t xml:space="preserve">In accordance with </w:t>
      </w:r>
      <w:r w:rsidRPr="004C4417" w:rsidR="0033265B">
        <w:rPr>
          <w:sz w:val="22"/>
        </w:rPr>
        <w:t>7 CFR 272.15(b)(4</w:t>
      </w:r>
      <w:r w:rsidRPr="00C45C6B" w:rsidR="0033265B">
        <w:rPr>
          <w:sz w:val="22"/>
          <w:szCs w:val="22"/>
        </w:rPr>
        <w:t>)</w:t>
      </w:r>
      <w:r w:rsidR="00FC701E">
        <w:rPr>
          <w:sz w:val="22"/>
          <w:szCs w:val="22"/>
        </w:rPr>
        <w:t xml:space="preserve"> (Appendix B)</w:t>
      </w:r>
      <w:r w:rsidRPr="00C45C6B">
        <w:rPr>
          <w:sz w:val="22"/>
          <w:szCs w:val="22"/>
        </w:rPr>
        <w:t>,</w:t>
      </w:r>
      <w:r w:rsidRPr="004C4417">
        <w:rPr>
          <w:sz w:val="22"/>
        </w:rPr>
        <w:t xml:space="preserve"> </w:t>
      </w:r>
      <w:r w:rsidRPr="004C4417" w:rsidR="007542BA">
        <w:rPr>
          <w:sz w:val="22"/>
        </w:rPr>
        <w:t>FNS</w:t>
      </w:r>
      <w:r w:rsidRPr="004C4417" w:rsidR="00AB6EF7">
        <w:rPr>
          <w:sz w:val="22"/>
        </w:rPr>
        <w:t xml:space="preserve"> </w:t>
      </w:r>
      <w:r w:rsidRPr="00C45C6B">
        <w:rPr>
          <w:sz w:val="22"/>
          <w:szCs w:val="22"/>
        </w:rPr>
        <w:t>reserves</w:t>
      </w:r>
      <w:r w:rsidRPr="004C4417">
        <w:rPr>
          <w:sz w:val="22"/>
        </w:rPr>
        <w:t xml:space="preserve"> the </w:t>
      </w:r>
      <w:r w:rsidRPr="00C45C6B">
        <w:rPr>
          <w:sz w:val="22"/>
          <w:szCs w:val="22"/>
        </w:rPr>
        <w:t>right</w:t>
      </w:r>
      <w:r w:rsidRPr="004C4417" w:rsidR="0033265B">
        <w:rPr>
          <w:sz w:val="22"/>
        </w:rPr>
        <w:t xml:space="preserve"> to </w:t>
      </w:r>
      <w:r w:rsidRPr="00C45C6B" w:rsidR="00AF1939">
        <w:rPr>
          <w:sz w:val="22"/>
          <w:szCs w:val="22"/>
        </w:rPr>
        <w:t>request</w:t>
      </w:r>
      <w:r w:rsidRPr="004C4417" w:rsidR="00AF1939">
        <w:rPr>
          <w:sz w:val="22"/>
        </w:rPr>
        <w:t xml:space="preserve"> </w:t>
      </w:r>
      <w:r w:rsidRPr="004C4417" w:rsidR="0033265B">
        <w:rPr>
          <w:sz w:val="22"/>
        </w:rPr>
        <w:t xml:space="preserve">additional information in a </w:t>
      </w:r>
      <w:r w:rsidRPr="00C45C6B" w:rsidR="0033265B">
        <w:rPr>
          <w:sz w:val="22"/>
          <w:szCs w:val="22"/>
        </w:rPr>
        <w:t>State</w:t>
      </w:r>
      <w:r w:rsidRPr="00C45C6B" w:rsidR="00E54CCE">
        <w:rPr>
          <w:sz w:val="22"/>
          <w:szCs w:val="22"/>
        </w:rPr>
        <w:t xml:space="preserve"> agency</w:t>
      </w:r>
      <w:r w:rsidRPr="00C45C6B" w:rsidR="0033265B">
        <w:rPr>
          <w:sz w:val="22"/>
          <w:szCs w:val="22"/>
        </w:rPr>
        <w:t>’s</w:t>
      </w:r>
      <w:r w:rsidRPr="004C4417" w:rsidR="0033265B">
        <w:rPr>
          <w:sz w:val="22"/>
        </w:rPr>
        <w:t xml:space="preserve"> quarterly report </w:t>
      </w:r>
      <w:r w:rsidRPr="00C45C6B" w:rsidR="0032316B">
        <w:rPr>
          <w:sz w:val="22"/>
          <w:szCs w:val="22"/>
        </w:rPr>
        <w:t>when necessary</w:t>
      </w:r>
      <w:r w:rsidRPr="004C4417" w:rsidR="0033265B">
        <w:rPr>
          <w:sz w:val="22"/>
        </w:rPr>
        <w:t xml:space="preserve"> to </w:t>
      </w:r>
      <w:r w:rsidRPr="00C45C6B" w:rsidR="0032316B">
        <w:rPr>
          <w:sz w:val="22"/>
          <w:szCs w:val="22"/>
        </w:rPr>
        <w:t>assess</w:t>
      </w:r>
      <w:r w:rsidRPr="004C4417" w:rsidR="0033265B">
        <w:rPr>
          <w:sz w:val="22"/>
        </w:rPr>
        <w:t xml:space="preserve"> the impact of a major change on </w:t>
      </w:r>
      <w:r w:rsidRPr="00C45C6B" w:rsidR="0085028C">
        <w:rPr>
          <w:sz w:val="22"/>
          <w:szCs w:val="22"/>
        </w:rPr>
        <w:t xml:space="preserve">SNAP </w:t>
      </w:r>
      <w:r w:rsidRPr="004C4417" w:rsidR="0033265B">
        <w:rPr>
          <w:sz w:val="22"/>
        </w:rPr>
        <w:t>integrity and access</w:t>
      </w:r>
      <w:r w:rsidRPr="00C45C6B" w:rsidR="0033265B">
        <w:rPr>
          <w:sz w:val="22"/>
          <w:szCs w:val="22"/>
        </w:rPr>
        <w:t xml:space="preserve">. </w:t>
      </w:r>
      <w:r w:rsidRPr="004C4417" w:rsidR="00196FED">
        <w:rPr>
          <w:sz w:val="22"/>
        </w:rPr>
        <w:t xml:space="preserve"> </w:t>
      </w:r>
      <w:r w:rsidRPr="004C4417" w:rsidR="007542BA">
        <w:rPr>
          <w:sz w:val="22"/>
        </w:rPr>
        <w:t>FNS</w:t>
      </w:r>
      <w:r w:rsidRPr="004C4417" w:rsidR="00196FED">
        <w:rPr>
          <w:sz w:val="22"/>
        </w:rPr>
        <w:t xml:space="preserve"> </w:t>
      </w:r>
      <w:r w:rsidRPr="00C45C6B" w:rsidR="00196FED">
        <w:rPr>
          <w:sz w:val="22"/>
          <w:szCs w:val="22"/>
        </w:rPr>
        <w:t>collaborates</w:t>
      </w:r>
      <w:r w:rsidRPr="004C4417" w:rsidR="00196FED">
        <w:rPr>
          <w:sz w:val="22"/>
        </w:rPr>
        <w:t xml:space="preserve"> </w:t>
      </w:r>
      <w:r w:rsidRPr="004C4417" w:rsidR="0033265B">
        <w:rPr>
          <w:sz w:val="22"/>
        </w:rPr>
        <w:t xml:space="preserve">with </w:t>
      </w:r>
      <w:r w:rsidRPr="00C45C6B" w:rsidR="0033265B">
        <w:rPr>
          <w:sz w:val="22"/>
          <w:szCs w:val="22"/>
        </w:rPr>
        <w:t>State</w:t>
      </w:r>
      <w:r w:rsidRPr="00C45C6B" w:rsidR="00D80786">
        <w:rPr>
          <w:sz w:val="22"/>
          <w:szCs w:val="22"/>
        </w:rPr>
        <w:t xml:space="preserve"> agencie</w:t>
      </w:r>
      <w:r w:rsidRPr="00C45C6B" w:rsidR="0033265B">
        <w:rPr>
          <w:sz w:val="22"/>
          <w:szCs w:val="22"/>
        </w:rPr>
        <w:t>s</w:t>
      </w:r>
      <w:r w:rsidRPr="004C4417" w:rsidR="0033265B">
        <w:rPr>
          <w:sz w:val="22"/>
        </w:rPr>
        <w:t xml:space="preserve"> to </w:t>
      </w:r>
      <w:r w:rsidRPr="00C45C6B" w:rsidR="00BC4B90">
        <w:rPr>
          <w:sz w:val="22"/>
          <w:szCs w:val="22"/>
        </w:rPr>
        <w:t>identify</w:t>
      </w:r>
      <w:r w:rsidRPr="004C4417" w:rsidR="00BC4B90">
        <w:rPr>
          <w:sz w:val="22"/>
        </w:rPr>
        <w:t xml:space="preserve"> what </w:t>
      </w:r>
      <w:r w:rsidRPr="00C45C6B" w:rsidR="00BC4B90">
        <w:rPr>
          <w:sz w:val="22"/>
          <w:szCs w:val="22"/>
        </w:rPr>
        <w:t xml:space="preserve">supplemental </w:t>
      </w:r>
      <w:r w:rsidRPr="004C4417" w:rsidR="00BC4B90">
        <w:rPr>
          <w:sz w:val="22"/>
        </w:rPr>
        <w:t xml:space="preserve">data </w:t>
      </w:r>
      <w:r w:rsidRPr="00C45C6B" w:rsidR="00BC4B90">
        <w:rPr>
          <w:sz w:val="22"/>
          <w:szCs w:val="22"/>
        </w:rPr>
        <w:t xml:space="preserve">is feasible to collect and ensures </w:t>
      </w:r>
      <w:r w:rsidRPr="004C4417" w:rsidR="00BC4B90">
        <w:rPr>
          <w:sz w:val="22"/>
        </w:rPr>
        <w:t xml:space="preserve">that </w:t>
      </w:r>
      <w:r w:rsidRPr="00C45C6B" w:rsidR="00BC4B90">
        <w:rPr>
          <w:sz w:val="22"/>
          <w:szCs w:val="22"/>
        </w:rPr>
        <w:t>only essential information</w:t>
      </w:r>
      <w:r w:rsidRPr="00C45C6B" w:rsidR="005C4DD9">
        <w:rPr>
          <w:sz w:val="22"/>
          <w:szCs w:val="22"/>
        </w:rPr>
        <w:t xml:space="preserve"> is required</w:t>
      </w:r>
      <w:r w:rsidRPr="004C4417" w:rsidR="005C4DD9">
        <w:rPr>
          <w:sz w:val="22"/>
        </w:rPr>
        <w:t>.</w:t>
      </w:r>
      <w:r w:rsidRPr="004C4417" w:rsidR="0033265B">
        <w:rPr>
          <w:sz w:val="22"/>
        </w:rPr>
        <w:t xml:space="preserve"> </w:t>
      </w:r>
    </w:p>
    <w:p w:rsidR="00A308DB" w:rsidRPr="004C4417" w:rsidP="0062567E" w14:paraId="3AA6C8ED" w14:textId="77777777">
      <w:pPr>
        <w:pStyle w:val="Heading1"/>
        <w:rPr>
          <w:rFonts w:ascii="Source Sans Pro" w:hAnsi="Source Sans Pro"/>
        </w:rPr>
      </w:pPr>
      <w:bookmarkStart w:id="6" w:name="_Toc401831359"/>
      <w:bookmarkStart w:id="7" w:name="_Toc401832403"/>
      <w:bookmarkStart w:id="8" w:name="_Toc229140320"/>
      <w:r w:rsidRPr="004C4417">
        <w:rPr>
          <w:rFonts w:ascii="Source Sans Pro" w:hAnsi="Source Sans Pro"/>
        </w:rPr>
        <w:t xml:space="preserve">A3.  </w:t>
      </w:r>
      <w:r w:rsidRPr="004C4417" w:rsidR="00831EA7">
        <w:rPr>
          <w:rFonts w:ascii="Source Sans Pro" w:hAnsi="Source Sans Pro"/>
        </w:rPr>
        <w:t xml:space="preserve">Use of </w:t>
      </w:r>
      <w:r w:rsidRPr="004C4417" w:rsidR="00826253">
        <w:rPr>
          <w:rFonts w:ascii="Source Sans Pro" w:hAnsi="Source Sans Pro"/>
        </w:rPr>
        <w:t>i</w:t>
      </w:r>
      <w:r w:rsidRPr="004C4417" w:rsidR="00831EA7">
        <w:rPr>
          <w:rFonts w:ascii="Source Sans Pro" w:hAnsi="Source Sans Pro"/>
        </w:rPr>
        <w:t xml:space="preserve">nformation </w:t>
      </w:r>
      <w:r w:rsidRPr="004C4417" w:rsidR="00826253">
        <w:rPr>
          <w:rFonts w:ascii="Source Sans Pro" w:hAnsi="Source Sans Pro"/>
        </w:rPr>
        <w:t>t</w:t>
      </w:r>
      <w:r w:rsidRPr="004C4417" w:rsidR="00831EA7">
        <w:rPr>
          <w:rFonts w:ascii="Source Sans Pro" w:hAnsi="Source Sans Pro"/>
        </w:rPr>
        <w:t xml:space="preserve">echnology and </w:t>
      </w:r>
      <w:r w:rsidRPr="004C4417" w:rsidR="00826253">
        <w:rPr>
          <w:rFonts w:ascii="Source Sans Pro" w:hAnsi="Source Sans Pro"/>
        </w:rPr>
        <w:t>b</w:t>
      </w:r>
      <w:r w:rsidRPr="004C4417" w:rsidR="00831EA7">
        <w:rPr>
          <w:rFonts w:ascii="Source Sans Pro" w:hAnsi="Source Sans Pro"/>
        </w:rPr>
        <w:t xml:space="preserve">urden </w:t>
      </w:r>
      <w:r w:rsidRPr="004C4417" w:rsidR="00826253">
        <w:rPr>
          <w:rFonts w:ascii="Source Sans Pro" w:hAnsi="Source Sans Pro"/>
        </w:rPr>
        <w:t>r</w:t>
      </w:r>
      <w:r w:rsidRPr="004C4417" w:rsidR="00831EA7">
        <w:rPr>
          <w:rFonts w:ascii="Source Sans Pro" w:hAnsi="Source Sans Pro"/>
        </w:rPr>
        <w:t>eduction</w:t>
      </w:r>
      <w:r w:rsidRPr="004C4417">
        <w:rPr>
          <w:rFonts w:ascii="Source Sans Pro" w:hAnsi="Source Sans Pro"/>
        </w:rPr>
        <w:t>.</w:t>
      </w:r>
      <w:bookmarkEnd w:id="6"/>
      <w:bookmarkEnd w:id="7"/>
      <w:bookmarkEnd w:id="8"/>
      <w:r w:rsidRPr="004C4417">
        <w:rPr>
          <w:rFonts w:ascii="Source Sans Pro" w:hAnsi="Source Sans Pro"/>
        </w:rPr>
        <w:t xml:space="preserve">  </w:t>
      </w:r>
    </w:p>
    <w:p w:rsidR="003333DF" w:rsidRPr="00B6102B" w14:paraId="049F31CB" w14:textId="77777777">
      <w:pPr>
        <w:tabs>
          <w:tab w:val="left" w:pos="0"/>
        </w:tabs>
        <w:suppressAutoHyphens/>
        <w:rPr>
          <w:rFonts w:cstheme="minorHAnsi"/>
          <w:szCs w:val="24"/>
        </w:rPr>
      </w:pPr>
    </w:p>
    <w:p w:rsidR="003333DF" w:rsidRPr="00B6102B" w:rsidP="0A8DE830" w14:paraId="71921477" w14:textId="359A27A2">
      <w:pPr>
        <w:rPr>
          <w:rFonts w:cstheme="minorBidi"/>
          <w:b/>
          <w:bCs/>
        </w:rPr>
      </w:pPr>
      <w:r w:rsidRPr="00B6102B">
        <w:rPr>
          <w:rFonts w:cstheme="minorBidi"/>
          <w:b/>
          <w:bCs/>
        </w:rPr>
        <w:t xml:space="preserve">A3.1 </w:t>
      </w:r>
      <w:r w:rsidRPr="00B6102B" w:rsidR="0C90CAA8">
        <w:rPr>
          <w:rFonts w:cstheme="minorBidi"/>
          <w:b/>
          <w:bCs/>
        </w:rPr>
        <w:t xml:space="preserve">- </w:t>
      </w:r>
      <w:r w:rsidRPr="00B6102B">
        <w:rPr>
          <w:rFonts w:cstheme="minorBidi"/>
          <w:b/>
          <w:bCs/>
        </w:rPr>
        <w:t xml:space="preserve">Describe whether, and to what extent, the collection of information involves the use of </w:t>
      </w:r>
      <w:r w:rsidRPr="00B6102B" w:rsidR="00542C4F">
        <w:rPr>
          <w:rFonts w:cstheme="minorBidi"/>
          <w:b/>
          <w:bCs/>
        </w:rPr>
        <w:t>automated, electronic, mechanical, or other technolog</w:t>
      </w:r>
      <w:r w:rsidRPr="00B6102B">
        <w:rPr>
          <w:rFonts w:cstheme="minorBidi"/>
          <w:b/>
          <w:bCs/>
        </w:rPr>
        <w:t>ical collection techniques or oth</w:t>
      </w:r>
      <w:r w:rsidRPr="00B6102B" w:rsidR="00542C4F">
        <w:rPr>
          <w:rFonts w:cstheme="minorBidi"/>
          <w:b/>
          <w:bCs/>
        </w:rPr>
        <w:t>er forms of information technology, e.g., permitting electronic sub</w:t>
      </w:r>
      <w:r w:rsidRPr="00B6102B">
        <w:rPr>
          <w:rFonts w:cstheme="minorBidi"/>
          <w:b/>
          <w:bCs/>
        </w:rPr>
        <w:t>mission of responses, and the basis for the decision for adopting this means of co</w:t>
      </w:r>
      <w:r w:rsidRPr="00B6102B" w:rsidR="00542C4F">
        <w:rPr>
          <w:rFonts w:cstheme="minorBidi"/>
          <w:b/>
          <w:bCs/>
        </w:rPr>
        <w:t>llection. Also describe any con</w:t>
      </w:r>
      <w:r w:rsidRPr="00B6102B">
        <w:rPr>
          <w:rFonts w:cstheme="minorBidi"/>
          <w:b/>
          <w:bCs/>
        </w:rPr>
        <w:t>sideratio</w:t>
      </w:r>
      <w:r w:rsidRPr="00B6102B" w:rsidR="00542C4F">
        <w:rPr>
          <w:rFonts w:cstheme="minorBidi"/>
          <w:b/>
          <w:bCs/>
        </w:rPr>
        <w:t>n of using information technology to reduce bur</w:t>
      </w:r>
      <w:r w:rsidRPr="00B6102B">
        <w:rPr>
          <w:rFonts w:cstheme="minorBidi"/>
          <w:b/>
          <w:bCs/>
        </w:rPr>
        <w:t>den.</w:t>
      </w:r>
    </w:p>
    <w:p w:rsidR="00A308DB" w:rsidRPr="004C4417" w14:paraId="53128261" w14:textId="77777777">
      <w:pPr>
        <w:tabs>
          <w:tab w:val="left" w:pos="0"/>
        </w:tabs>
        <w:suppressAutoHyphens/>
        <w:rPr>
          <w:sz w:val="22"/>
        </w:rPr>
      </w:pPr>
    </w:p>
    <w:p w:rsidR="00DE0656" w:rsidRPr="00DE0656" w:rsidP="004C4417" w14:paraId="3A334263" w14:textId="6B50E279">
      <w:pPr>
        <w:suppressAutoHyphens/>
        <w:spacing w:line="480" w:lineRule="auto"/>
        <w:ind w:firstLine="720"/>
        <w:rPr>
          <w:b/>
          <w:bCs/>
          <w:sz w:val="22"/>
        </w:rPr>
      </w:pPr>
      <w:r w:rsidRPr="00DE0656">
        <w:rPr>
          <w:b/>
          <w:bCs/>
          <w:sz w:val="22"/>
        </w:rPr>
        <w:t>Burden Reduction:</w:t>
      </w:r>
    </w:p>
    <w:p w:rsidR="0A8DE830" w:rsidRPr="004C4417" w:rsidP="004C4417" w14:paraId="75BA69B5" w14:textId="0CA43B95">
      <w:pPr>
        <w:suppressAutoHyphens/>
        <w:spacing w:line="480" w:lineRule="auto"/>
        <w:ind w:firstLine="720"/>
        <w:rPr>
          <w:sz w:val="22"/>
        </w:rPr>
      </w:pPr>
      <w:r w:rsidRPr="004C4417">
        <w:rPr>
          <w:sz w:val="22"/>
        </w:rPr>
        <w:t>FNS</w:t>
      </w:r>
      <w:r w:rsidRPr="004C4417" w:rsidR="00E97BEC">
        <w:rPr>
          <w:sz w:val="22"/>
        </w:rPr>
        <w:t xml:space="preserve"> makes every effort to comply with the E-Government Act, 2002 (E-Gov) and to provide for alternative submission of information collections. Currently, State agencies submit </w:t>
      </w:r>
      <w:r w:rsidRPr="00C45C6B" w:rsidR="00AC7616">
        <w:rPr>
          <w:rFonts w:cstheme="minorBidi"/>
          <w:sz w:val="22"/>
          <w:szCs w:val="22"/>
        </w:rPr>
        <w:t xml:space="preserve">Major Changes in Program Design </w:t>
      </w:r>
      <w:r w:rsidRPr="00C45C6B" w:rsidR="0036262D">
        <w:rPr>
          <w:rFonts w:cstheme="minorBidi"/>
          <w:sz w:val="22"/>
          <w:szCs w:val="22"/>
        </w:rPr>
        <w:t xml:space="preserve">notifications and </w:t>
      </w:r>
      <w:r w:rsidRPr="004C4417" w:rsidR="00E97BEC">
        <w:rPr>
          <w:sz w:val="22"/>
        </w:rPr>
        <w:t xml:space="preserve">quarterly data </w:t>
      </w:r>
      <w:r w:rsidRPr="00C45C6B" w:rsidR="00BB3EF7">
        <w:rPr>
          <w:rFonts w:cstheme="minorBidi"/>
          <w:sz w:val="22"/>
          <w:szCs w:val="22"/>
        </w:rPr>
        <w:t xml:space="preserve">metrics </w:t>
      </w:r>
      <w:r w:rsidRPr="004C4417" w:rsidR="00E97BEC">
        <w:rPr>
          <w:sz w:val="22"/>
        </w:rPr>
        <w:t xml:space="preserve">to FNS via </w:t>
      </w:r>
      <w:r w:rsidRPr="00C45C6B" w:rsidR="003F6A45">
        <w:rPr>
          <w:rFonts w:cstheme="minorBidi"/>
          <w:sz w:val="22"/>
          <w:szCs w:val="22"/>
        </w:rPr>
        <w:t>WIMS</w:t>
      </w:r>
      <w:r w:rsidR="00370BFA">
        <w:rPr>
          <w:rFonts w:cstheme="minorBidi"/>
          <w:sz w:val="22"/>
          <w:szCs w:val="22"/>
        </w:rPr>
        <w:t xml:space="preserve"> </w:t>
      </w:r>
      <w:r w:rsidR="002B26F2">
        <w:rPr>
          <w:rFonts w:cstheme="minorBidi"/>
          <w:sz w:val="22"/>
          <w:szCs w:val="22"/>
        </w:rPr>
        <w:t xml:space="preserve">at </w:t>
      </w:r>
      <w:hyperlink r:id="rId10" w:history="1">
        <w:r w:rsidRPr="00451382" w:rsidR="002B26F2">
          <w:rPr>
            <w:rStyle w:val="Hyperlink"/>
            <w:rFonts w:cstheme="minorHAnsi"/>
            <w:sz w:val="22"/>
            <w:szCs w:val="22"/>
          </w:rPr>
          <w:t>https://www.wims.fns.usda.gov</w:t>
        </w:r>
      </w:hyperlink>
      <w:r w:rsidR="002B26F2">
        <w:rPr>
          <w:rFonts w:cstheme="minorHAnsi"/>
          <w:sz w:val="22"/>
          <w:szCs w:val="22"/>
        </w:rPr>
        <w:t xml:space="preserve"> </w:t>
      </w:r>
      <w:r w:rsidRPr="00370BFA" w:rsidR="00370BFA">
        <w:rPr>
          <w:rFonts w:cstheme="minorBidi"/>
          <w:sz w:val="22"/>
          <w:szCs w:val="22"/>
        </w:rPr>
        <w:t>; as such, we anticipate 100% of responses will be submitted electronically.</w:t>
      </w:r>
    </w:p>
    <w:p w:rsidR="00340EA3" w:rsidRPr="00B6102B" w14:paraId="47F12E96" w14:textId="77777777">
      <w:pPr>
        <w:tabs>
          <w:tab w:val="left" w:pos="0"/>
        </w:tabs>
        <w:suppressAutoHyphens/>
        <w:rPr>
          <w:rFonts w:cstheme="minorHAnsi"/>
          <w:szCs w:val="24"/>
        </w:rPr>
      </w:pPr>
    </w:p>
    <w:p w:rsidR="00A308DB" w:rsidRPr="004C4417" w:rsidP="0062567E" w14:paraId="36241C27" w14:textId="77777777">
      <w:pPr>
        <w:pStyle w:val="Heading1"/>
        <w:rPr>
          <w:rFonts w:ascii="Source Sans Pro" w:hAnsi="Source Sans Pro"/>
        </w:rPr>
      </w:pPr>
      <w:bookmarkStart w:id="9" w:name="_Toc401831360"/>
      <w:bookmarkStart w:id="10" w:name="_Toc401832404"/>
      <w:bookmarkStart w:id="11" w:name="_Toc229140321"/>
      <w:r w:rsidRPr="004C4417">
        <w:rPr>
          <w:rFonts w:ascii="Source Sans Pro" w:hAnsi="Source Sans Pro"/>
        </w:rPr>
        <w:t xml:space="preserve">A4.  </w:t>
      </w:r>
      <w:r w:rsidRPr="004C4417" w:rsidR="002568E6">
        <w:rPr>
          <w:rFonts w:ascii="Source Sans Pro" w:hAnsi="Source Sans Pro"/>
        </w:rPr>
        <w:t>E</w:t>
      </w:r>
      <w:r w:rsidRPr="004C4417">
        <w:rPr>
          <w:rFonts w:ascii="Source Sans Pro" w:hAnsi="Source Sans Pro"/>
        </w:rPr>
        <w:t>fforts to identify duplication.</w:t>
      </w:r>
      <w:bookmarkEnd w:id="9"/>
      <w:bookmarkEnd w:id="10"/>
      <w:bookmarkEnd w:id="11"/>
      <w:r w:rsidRPr="004C4417">
        <w:rPr>
          <w:rFonts w:ascii="Source Sans Pro" w:hAnsi="Source Sans Pro"/>
        </w:rPr>
        <w:t xml:space="preserve"> </w:t>
      </w:r>
    </w:p>
    <w:p w:rsidR="003333DF" w:rsidRPr="00B6102B" w14:paraId="4101652C" w14:textId="77777777">
      <w:pPr>
        <w:tabs>
          <w:tab w:val="left" w:pos="0"/>
        </w:tabs>
        <w:suppressAutoHyphens/>
        <w:rPr>
          <w:rFonts w:cstheme="minorHAnsi"/>
          <w:szCs w:val="24"/>
        </w:rPr>
      </w:pPr>
    </w:p>
    <w:p w:rsidR="003333DF" w:rsidRPr="00B6102B" w14:paraId="1A4FBA97" w14:textId="4F0FD3C9">
      <w:pPr>
        <w:tabs>
          <w:tab w:val="left" w:pos="0"/>
        </w:tabs>
        <w:suppressAutoHyphens/>
        <w:rPr>
          <w:rFonts w:cstheme="minorHAnsi"/>
          <w:szCs w:val="24"/>
        </w:rPr>
      </w:pPr>
      <w:r w:rsidRPr="00B6102B">
        <w:rPr>
          <w:rFonts w:cstheme="minorHAnsi"/>
          <w:b/>
          <w:szCs w:val="24"/>
        </w:rPr>
        <w:t>Descr</w:t>
      </w:r>
      <w:r w:rsidRPr="00B6102B" w:rsidR="00751946">
        <w:rPr>
          <w:rFonts w:cstheme="minorHAnsi"/>
          <w:b/>
          <w:szCs w:val="24"/>
        </w:rPr>
        <w:t>ibe efforts to identify duplica</w:t>
      </w:r>
      <w:r w:rsidRPr="00B6102B">
        <w:rPr>
          <w:rFonts w:cstheme="minorHAnsi"/>
          <w:b/>
          <w:szCs w:val="24"/>
        </w:rPr>
        <w:t>tion.</w:t>
      </w:r>
      <w:r w:rsidRPr="00B6102B" w:rsidR="00CE23A7">
        <w:rPr>
          <w:rFonts w:cstheme="minorHAnsi"/>
          <w:b/>
          <w:szCs w:val="24"/>
        </w:rPr>
        <w:t xml:space="preserve"> </w:t>
      </w:r>
      <w:r w:rsidRPr="00B6102B" w:rsidR="00751946">
        <w:rPr>
          <w:rFonts w:cstheme="minorHAnsi"/>
          <w:b/>
          <w:szCs w:val="24"/>
        </w:rPr>
        <w:t>Show specifically why any similar information already avail</w:t>
      </w:r>
      <w:r w:rsidRPr="00B6102B">
        <w:rPr>
          <w:rFonts w:cstheme="minorHAnsi"/>
          <w:b/>
          <w:szCs w:val="24"/>
        </w:rPr>
        <w:t xml:space="preserve">able cannot be used or </w:t>
      </w:r>
      <w:r w:rsidRPr="00B6102B" w:rsidR="00751946">
        <w:rPr>
          <w:rFonts w:cstheme="minorHAnsi"/>
          <w:b/>
          <w:szCs w:val="24"/>
        </w:rPr>
        <w:t>modified for use for the purposes descri</w:t>
      </w:r>
      <w:r w:rsidRPr="00B6102B">
        <w:rPr>
          <w:rFonts w:cstheme="minorHAnsi"/>
          <w:b/>
          <w:szCs w:val="24"/>
        </w:rPr>
        <w:t>bed in Question 2.</w:t>
      </w:r>
    </w:p>
    <w:p w:rsidR="009F7E1A" w:rsidRPr="00B6102B" w:rsidP="009F7E1A" w14:paraId="4B99056E" w14:textId="77777777">
      <w:pPr>
        <w:tabs>
          <w:tab w:val="left" w:pos="-720"/>
        </w:tabs>
        <w:suppressAutoHyphens/>
        <w:rPr>
          <w:rFonts w:cstheme="minorHAnsi"/>
          <w:szCs w:val="24"/>
        </w:rPr>
      </w:pPr>
    </w:p>
    <w:p w:rsidR="00F837E8" w:rsidRPr="004C4417" w:rsidP="00363ADF" w14:paraId="7943EAF2" w14:textId="76F55EEB">
      <w:pPr>
        <w:tabs>
          <w:tab w:val="left" w:pos="-720"/>
        </w:tabs>
        <w:suppressAutoHyphens/>
        <w:spacing w:line="480" w:lineRule="auto"/>
        <w:rPr>
          <w:sz w:val="22"/>
        </w:rPr>
      </w:pPr>
      <w:r w:rsidRPr="00C45C6B">
        <w:rPr>
          <w:rFonts w:cstheme="minorHAnsi"/>
          <w:sz w:val="22"/>
          <w:szCs w:val="22"/>
        </w:rPr>
        <w:tab/>
      </w:r>
      <w:r w:rsidRPr="004C4417">
        <w:rPr>
          <w:sz w:val="22"/>
        </w:rPr>
        <w:t xml:space="preserve">There is no similar information collection. </w:t>
      </w:r>
      <w:r w:rsidR="007542BA">
        <w:rPr>
          <w:rFonts w:cstheme="minorHAnsi"/>
          <w:sz w:val="22"/>
          <w:szCs w:val="22"/>
        </w:rPr>
        <w:t>FNS</w:t>
      </w:r>
      <w:r w:rsidRPr="004C4417">
        <w:rPr>
          <w:sz w:val="22"/>
        </w:rPr>
        <w:t xml:space="preserve"> has made every effort to avoid duplication. FNS has reviewed USDA reporting requirements, State </w:t>
      </w:r>
      <w:r w:rsidRPr="00C45C6B" w:rsidR="00DE51D0">
        <w:rPr>
          <w:rFonts w:cstheme="minorHAnsi"/>
          <w:sz w:val="22"/>
          <w:szCs w:val="22"/>
        </w:rPr>
        <w:t xml:space="preserve">agency </w:t>
      </w:r>
      <w:r w:rsidRPr="004C4417">
        <w:rPr>
          <w:sz w:val="22"/>
        </w:rPr>
        <w:t xml:space="preserve">administrative reporting requirements, and special studies by other government and private agencies. </w:t>
      </w:r>
      <w:r w:rsidRPr="004C4417" w:rsidR="00C142E1">
        <w:rPr>
          <w:sz w:val="22"/>
        </w:rPr>
        <w:t>FNS</w:t>
      </w:r>
      <w:r w:rsidRPr="004C4417">
        <w:rPr>
          <w:sz w:val="22"/>
        </w:rPr>
        <w:t xml:space="preserve"> monitors State</w:t>
      </w:r>
      <w:r w:rsidRPr="004C4417" w:rsidR="00177FDE">
        <w:rPr>
          <w:sz w:val="22"/>
        </w:rPr>
        <w:t xml:space="preserve"> </w:t>
      </w:r>
      <w:r w:rsidRPr="00C45C6B" w:rsidR="00177FDE">
        <w:rPr>
          <w:rFonts w:cstheme="minorHAnsi"/>
          <w:sz w:val="22"/>
          <w:szCs w:val="22"/>
        </w:rPr>
        <w:t>agency</w:t>
      </w:r>
      <w:r w:rsidRPr="00C45C6B">
        <w:rPr>
          <w:rFonts w:cstheme="minorHAnsi"/>
          <w:sz w:val="22"/>
          <w:szCs w:val="22"/>
        </w:rPr>
        <w:t xml:space="preserve"> </w:t>
      </w:r>
      <w:r w:rsidRPr="004C4417">
        <w:rPr>
          <w:sz w:val="22"/>
        </w:rPr>
        <w:t xml:space="preserve">performance to ensure that the program is efficiently and economically operated. FNS is solely responsible for reviewing State </w:t>
      </w:r>
      <w:r w:rsidRPr="004C4417" w:rsidR="001630C7">
        <w:rPr>
          <w:sz w:val="22"/>
        </w:rPr>
        <w:t>agencies</w:t>
      </w:r>
      <w:r w:rsidRPr="004C4417" w:rsidR="00257CFF">
        <w:rPr>
          <w:sz w:val="22"/>
        </w:rPr>
        <w:t xml:space="preserve"> </w:t>
      </w:r>
      <w:r w:rsidRPr="00C45C6B" w:rsidR="00553CA6">
        <w:rPr>
          <w:rFonts w:cstheme="minorHAnsi"/>
          <w:sz w:val="22"/>
          <w:szCs w:val="22"/>
        </w:rPr>
        <w:t>executing</w:t>
      </w:r>
      <w:r w:rsidRPr="00C45C6B">
        <w:rPr>
          <w:rFonts w:cstheme="minorHAnsi"/>
          <w:sz w:val="22"/>
          <w:szCs w:val="22"/>
        </w:rPr>
        <w:t xml:space="preserve"> </w:t>
      </w:r>
      <w:r w:rsidRPr="004C4417">
        <w:rPr>
          <w:sz w:val="22"/>
        </w:rPr>
        <w:t xml:space="preserve">major changes in SNAP design. </w:t>
      </w:r>
      <w:r w:rsidR="007542BA">
        <w:rPr>
          <w:rFonts w:cstheme="minorHAnsi"/>
          <w:sz w:val="22"/>
          <w:szCs w:val="22"/>
        </w:rPr>
        <w:t>FNS</w:t>
      </w:r>
      <w:r w:rsidRPr="004C4417">
        <w:rPr>
          <w:sz w:val="22"/>
        </w:rPr>
        <w:t xml:space="preserve"> is not aware of any State agency monitoring systems designed to obtain data similar to that required for this information collection.</w:t>
      </w:r>
    </w:p>
    <w:p w:rsidR="003E1BBC" w:rsidRPr="00B6102B" w:rsidP="006565EE" w14:paraId="15765925" w14:textId="77777777">
      <w:pPr>
        <w:tabs>
          <w:tab w:val="left" w:pos="-720"/>
        </w:tabs>
        <w:suppressAutoHyphens/>
        <w:rPr>
          <w:rFonts w:cstheme="minorHAnsi"/>
          <w:szCs w:val="24"/>
        </w:rPr>
      </w:pPr>
    </w:p>
    <w:p w:rsidR="00A308DB" w:rsidRPr="004C4417" w:rsidP="0062567E" w14:paraId="26BC57CC" w14:textId="77777777">
      <w:pPr>
        <w:pStyle w:val="Heading1"/>
        <w:rPr>
          <w:rFonts w:ascii="Source Sans Pro" w:hAnsi="Source Sans Pro"/>
        </w:rPr>
      </w:pPr>
      <w:bookmarkStart w:id="12" w:name="_Toc401831361"/>
      <w:bookmarkStart w:id="13" w:name="_Toc401832405"/>
      <w:bookmarkStart w:id="14" w:name="_Toc229140322"/>
      <w:r w:rsidRPr="004C4417">
        <w:rPr>
          <w:rFonts w:ascii="Source Sans Pro" w:hAnsi="Source Sans Pro"/>
        </w:rPr>
        <w:t>A5.  Impacts on small businesses or other small entities.</w:t>
      </w:r>
      <w:bookmarkEnd w:id="12"/>
      <w:bookmarkEnd w:id="13"/>
      <w:bookmarkEnd w:id="14"/>
      <w:r w:rsidRPr="004C4417">
        <w:rPr>
          <w:rFonts w:ascii="Source Sans Pro" w:hAnsi="Source Sans Pro"/>
        </w:rPr>
        <w:t xml:space="preserve">  </w:t>
      </w:r>
    </w:p>
    <w:p w:rsidR="003333DF" w:rsidRPr="00B6102B" w14:paraId="4DDBEF00" w14:textId="77777777">
      <w:pPr>
        <w:tabs>
          <w:tab w:val="left" w:pos="0"/>
        </w:tabs>
        <w:suppressAutoHyphens/>
        <w:rPr>
          <w:rFonts w:cstheme="minorHAnsi"/>
          <w:szCs w:val="24"/>
        </w:rPr>
      </w:pPr>
    </w:p>
    <w:p w:rsidR="003333DF" w:rsidRPr="00B6102B" w14:paraId="58759A68" w14:textId="77777777">
      <w:pPr>
        <w:tabs>
          <w:tab w:val="left" w:pos="0"/>
        </w:tabs>
        <w:suppressAutoHyphens/>
        <w:rPr>
          <w:rFonts w:cstheme="minorHAnsi"/>
          <w:szCs w:val="24"/>
        </w:rPr>
      </w:pPr>
      <w:r w:rsidRPr="00B6102B">
        <w:rPr>
          <w:rFonts w:cstheme="minorHAnsi"/>
          <w:b/>
          <w:szCs w:val="24"/>
        </w:rPr>
        <w:t>If t</w:t>
      </w:r>
      <w:r w:rsidRPr="00B6102B" w:rsidR="006E4B7F">
        <w:rPr>
          <w:rFonts w:cstheme="minorHAnsi"/>
          <w:b/>
          <w:szCs w:val="24"/>
        </w:rPr>
        <w:t>he collection of information im</w:t>
      </w:r>
      <w:r w:rsidRPr="00B6102B">
        <w:rPr>
          <w:rFonts w:cstheme="minorHAnsi"/>
          <w:b/>
          <w:szCs w:val="24"/>
        </w:rPr>
        <w:t>pacts small businesses or other small entities (Item 5 of OMB Form 83-I), de</w:t>
      </w:r>
      <w:r w:rsidRPr="00B6102B" w:rsidR="006E4B7F">
        <w:rPr>
          <w:rFonts w:cstheme="minorHAnsi"/>
          <w:b/>
          <w:szCs w:val="24"/>
        </w:rPr>
        <w:t>scribe any methods used to mini</w:t>
      </w:r>
      <w:r w:rsidRPr="00B6102B">
        <w:rPr>
          <w:rFonts w:cstheme="minorHAnsi"/>
          <w:b/>
          <w:szCs w:val="24"/>
        </w:rPr>
        <w:t>mize burden.</w:t>
      </w:r>
    </w:p>
    <w:p w:rsidR="00A308DB" w:rsidRPr="00B6102B" w14:paraId="3461D779" w14:textId="77777777">
      <w:pPr>
        <w:tabs>
          <w:tab w:val="left" w:pos="0"/>
        </w:tabs>
        <w:suppressAutoHyphens/>
        <w:rPr>
          <w:rFonts w:cstheme="minorHAnsi"/>
          <w:szCs w:val="24"/>
        </w:rPr>
      </w:pPr>
    </w:p>
    <w:p w:rsidR="003E1BBC" w:rsidRPr="004C4417" w:rsidP="00363ADF" w14:paraId="6AABC0E0" w14:textId="3E47678A">
      <w:pPr>
        <w:tabs>
          <w:tab w:val="left" w:pos="-720"/>
        </w:tabs>
        <w:suppressAutoHyphens/>
        <w:spacing w:line="480" w:lineRule="auto"/>
        <w:rPr>
          <w:sz w:val="22"/>
        </w:rPr>
      </w:pPr>
      <w:r w:rsidRPr="00C45C6B">
        <w:rPr>
          <w:rFonts w:cstheme="minorHAnsi"/>
          <w:sz w:val="22"/>
          <w:szCs w:val="22"/>
        </w:rPr>
        <w:tab/>
      </w:r>
      <w:r w:rsidRPr="004C4417" w:rsidR="00DC25A1">
        <w:rPr>
          <w:sz w:val="22"/>
        </w:rPr>
        <w:t xml:space="preserve">Information being requested or required </w:t>
      </w:r>
      <w:r w:rsidRPr="00C45C6B" w:rsidR="00F936A3">
        <w:rPr>
          <w:rFonts w:cstheme="minorHAnsi"/>
          <w:sz w:val="22"/>
          <w:szCs w:val="22"/>
        </w:rPr>
        <w:t>is</w:t>
      </w:r>
      <w:r w:rsidRPr="004C4417" w:rsidR="00EE4AE3">
        <w:rPr>
          <w:sz w:val="22"/>
        </w:rPr>
        <w:t xml:space="preserve"> </w:t>
      </w:r>
      <w:r w:rsidRPr="004C4417" w:rsidR="00DC25A1">
        <w:rPr>
          <w:sz w:val="22"/>
        </w:rPr>
        <w:t>held to the minimum required for the intended use. No small entities are impacted by this collection of information. The collection is limited to what is necessary to comply with statutory requirements and to protect SNAP integrity. This information collection is solely limited to SNAP State agencies.</w:t>
      </w:r>
    </w:p>
    <w:p w:rsidR="00706259" w:rsidRPr="00B6102B" w:rsidP="00706259" w14:paraId="2FAECB74" w14:textId="77777777">
      <w:pPr>
        <w:tabs>
          <w:tab w:val="left" w:pos="-720"/>
        </w:tabs>
        <w:suppressAutoHyphens/>
        <w:rPr>
          <w:rFonts w:cstheme="minorHAnsi"/>
          <w:spacing w:val="-3"/>
          <w:szCs w:val="24"/>
        </w:rPr>
      </w:pPr>
    </w:p>
    <w:p w:rsidR="00A308DB" w:rsidRPr="004C4417" w:rsidP="0062567E" w14:paraId="0469EA1D" w14:textId="77777777">
      <w:pPr>
        <w:pStyle w:val="Heading1"/>
        <w:rPr>
          <w:rFonts w:ascii="Source Sans Pro" w:hAnsi="Source Sans Pro"/>
        </w:rPr>
      </w:pPr>
      <w:bookmarkStart w:id="15" w:name="_Toc401831362"/>
      <w:bookmarkStart w:id="16" w:name="_Toc401832406"/>
      <w:bookmarkStart w:id="17" w:name="_Toc229140323"/>
      <w:r w:rsidRPr="004C4417">
        <w:rPr>
          <w:rFonts w:ascii="Source Sans Pro" w:hAnsi="Source Sans Pro"/>
        </w:rPr>
        <w:t xml:space="preserve">A6.  Consequences </w:t>
      </w:r>
      <w:r w:rsidRPr="004C4417" w:rsidR="00826253">
        <w:rPr>
          <w:rFonts w:ascii="Source Sans Pro" w:hAnsi="Source Sans Pro"/>
        </w:rPr>
        <w:t xml:space="preserve">of collecting the </w:t>
      </w:r>
      <w:r w:rsidRPr="004C4417" w:rsidR="00DA0E06">
        <w:rPr>
          <w:rFonts w:ascii="Source Sans Pro" w:hAnsi="Source Sans Pro"/>
        </w:rPr>
        <w:t>i</w:t>
      </w:r>
      <w:r w:rsidRPr="004C4417" w:rsidR="00826253">
        <w:rPr>
          <w:rFonts w:ascii="Source Sans Pro" w:hAnsi="Source Sans Pro"/>
        </w:rPr>
        <w:t xml:space="preserve">nformation </w:t>
      </w:r>
      <w:r w:rsidRPr="004C4417">
        <w:rPr>
          <w:rFonts w:ascii="Source Sans Pro" w:hAnsi="Source Sans Pro"/>
        </w:rPr>
        <w:t>less frequently.</w:t>
      </w:r>
      <w:bookmarkEnd w:id="15"/>
      <w:bookmarkEnd w:id="16"/>
      <w:bookmarkEnd w:id="17"/>
      <w:r w:rsidRPr="004C4417">
        <w:rPr>
          <w:rFonts w:ascii="Source Sans Pro" w:hAnsi="Source Sans Pro"/>
        </w:rPr>
        <w:t xml:space="preserve">  </w:t>
      </w:r>
    </w:p>
    <w:p w:rsidR="003333DF" w:rsidRPr="00B6102B" w:rsidP="005C04BB" w14:paraId="0FB78278" w14:textId="77777777">
      <w:pPr>
        <w:tabs>
          <w:tab w:val="left" w:pos="0"/>
        </w:tabs>
        <w:suppressAutoHyphens/>
        <w:rPr>
          <w:rFonts w:cstheme="minorHAnsi"/>
          <w:szCs w:val="24"/>
        </w:rPr>
      </w:pPr>
    </w:p>
    <w:p w:rsidR="003333DF" w:rsidRPr="00B6102B" w:rsidP="0062567E" w14:paraId="7EDB9515" w14:textId="77777777">
      <w:pPr>
        <w:rPr>
          <w:rFonts w:cstheme="minorHAnsi"/>
          <w:b/>
          <w:szCs w:val="24"/>
        </w:rPr>
      </w:pPr>
      <w:r w:rsidRPr="00B6102B">
        <w:rPr>
          <w:rFonts w:cstheme="minorHAnsi"/>
          <w:b/>
          <w:szCs w:val="24"/>
        </w:rPr>
        <w:t>Describe the consequence to Federal program or policy activities if the collect</w:t>
      </w:r>
      <w:r w:rsidRPr="00B6102B" w:rsidR="00E315C8">
        <w:rPr>
          <w:rFonts w:cstheme="minorHAnsi"/>
          <w:b/>
          <w:szCs w:val="24"/>
        </w:rPr>
        <w:t>ion is not conducted, or is conducted less frequent</w:t>
      </w:r>
      <w:r w:rsidRPr="00B6102B">
        <w:rPr>
          <w:rFonts w:cstheme="minorHAnsi"/>
          <w:b/>
          <w:szCs w:val="24"/>
        </w:rPr>
        <w:t>ly, as well as any technical or legal obstacles to reducing burden.</w:t>
      </w:r>
    </w:p>
    <w:p w:rsidR="00E11A38" w:rsidRPr="00B6102B" w:rsidP="00E11A38" w14:paraId="1FC39945" w14:textId="77777777">
      <w:pPr>
        <w:tabs>
          <w:tab w:val="left" w:pos="-720"/>
        </w:tabs>
        <w:suppressAutoHyphens/>
        <w:rPr>
          <w:rFonts w:cstheme="minorHAnsi"/>
          <w:szCs w:val="24"/>
        </w:rPr>
      </w:pPr>
    </w:p>
    <w:p w:rsidR="00B115CB" w:rsidRPr="004C4417" w:rsidP="004C4417" w14:paraId="328603FE" w14:textId="4D576F14">
      <w:pPr>
        <w:tabs>
          <w:tab w:val="left" w:pos="5760"/>
        </w:tabs>
        <w:suppressAutoHyphens/>
        <w:spacing w:line="480" w:lineRule="auto"/>
        <w:ind w:firstLine="720"/>
        <w:rPr>
          <w:sz w:val="22"/>
        </w:rPr>
      </w:pPr>
      <w:r>
        <w:rPr>
          <w:sz w:val="22"/>
        </w:rPr>
        <w:t xml:space="preserve">This ongoing and mandatory </w:t>
      </w:r>
      <w:r w:rsidR="007226DE">
        <w:rPr>
          <w:sz w:val="22"/>
        </w:rPr>
        <w:t xml:space="preserve">quarterly </w:t>
      </w:r>
      <w:r>
        <w:rPr>
          <w:sz w:val="22"/>
        </w:rPr>
        <w:t>d</w:t>
      </w:r>
      <w:r w:rsidRPr="004C4417" w:rsidR="00C932A9">
        <w:rPr>
          <w:sz w:val="22"/>
        </w:rPr>
        <w:t xml:space="preserve">ata </w:t>
      </w:r>
      <w:r w:rsidRPr="00C45C6B">
        <w:rPr>
          <w:rFonts w:cstheme="minorBidi"/>
          <w:sz w:val="22"/>
          <w:szCs w:val="22"/>
        </w:rPr>
        <w:t>collect</w:t>
      </w:r>
      <w:r>
        <w:rPr>
          <w:rFonts w:cstheme="minorBidi"/>
          <w:sz w:val="22"/>
          <w:szCs w:val="22"/>
        </w:rPr>
        <w:t>ion</w:t>
      </w:r>
      <w:r w:rsidRPr="00C45C6B" w:rsidR="00586A0B">
        <w:rPr>
          <w:rFonts w:cstheme="minorBidi"/>
          <w:sz w:val="22"/>
          <w:szCs w:val="22"/>
        </w:rPr>
        <w:t xml:space="preserve"> </w:t>
      </w:r>
      <w:r w:rsidRPr="00C45C6B" w:rsidR="006F4DB5">
        <w:rPr>
          <w:rFonts w:cstheme="minorBidi"/>
          <w:sz w:val="22"/>
          <w:szCs w:val="22"/>
        </w:rPr>
        <w:t xml:space="preserve">plays a critical role in evaluating how significant </w:t>
      </w:r>
      <w:r w:rsidRPr="004C4417" w:rsidR="006F4DB5">
        <w:rPr>
          <w:sz w:val="22"/>
        </w:rPr>
        <w:t xml:space="preserve">changes </w:t>
      </w:r>
      <w:r w:rsidRPr="00C45C6B" w:rsidR="006F4DB5">
        <w:rPr>
          <w:rFonts w:cstheme="minorBidi"/>
          <w:sz w:val="22"/>
          <w:szCs w:val="22"/>
        </w:rPr>
        <w:t>to</w:t>
      </w:r>
      <w:r w:rsidRPr="004C4417" w:rsidR="006F4DB5">
        <w:rPr>
          <w:sz w:val="22"/>
        </w:rPr>
        <w:t xml:space="preserve"> </w:t>
      </w:r>
      <w:r w:rsidRPr="004C4417" w:rsidR="009D263A">
        <w:rPr>
          <w:sz w:val="22"/>
        </w:rPr>
        <w:t>SNAP</w:t>
      </w:r>
      <w:r w:rsidRPr="004C4417" w:rsidR="00E83DEF">
        <w:rPr>
          <w:sz w:val="22"/>
        </w:rPr>
        <w:t xml:space="preserve"> design </w:t>
      </w:r>
      <w:r w:rsidRPr="00C45C6B" w:rsidR="00E83DEF">
        <w:rPr>
          <w:rFonts w:cstheme="minorBidi"/>
          <w:sz w:val="22"/>
          <w:szCs w:val="22"/>
        </w:rPr>
        <w:t>affects participant’s</w:t>
      </w:r>
      <w:r w:rsidRPr="004C4417" w:rsidR="00E83DEF">
        <w:rPr>
          <w:sz w:val="22"/>
        </w:rPr>
        <w:t xml:space="preserve"> access to benefits and other </w:t>
      </w:r>
      <w:r w:rsidRPr="00C45C6B" w:rsidR="00E83DEF">
        <w:rPr>
          <w:rFonts w:cstheme="minorBidi"/>
          <w:sz w:val="22"/>
          <w:szCs w:val="22"/>
        </w:rPr>
        <w:t xml:space="preserve">essential program elements. </w:t>
      </w:r>
      <w:r w:rsidRPr="00C45C6B" w:rsidR="00C932A9">
        <w:rPr>
          <w:rFonts w:cstheme="minorBidi"/>
          <w:sz w:val="22"/>
          <w:szCs w:val="22"/>
        </w:rPr>
        <w:t>Without</w:t>
      </w:r>
      <w:r w:rsidRPr="004C4417" w:rsidR="00C932A9">
        <w:rPr>
          <w:sz w:val="22"/>
        </w:rPr>
        <w:t xml:space="preserve"> this </w:t>
      </w:r>
      <w:r w:rsidRPr="00C45C6B" w:rsidR="00C932A9">
        <w:rPr>
          <w:rFonts w:cstheme="minorBidi"/>
          <w:sz w:val="22"/>
          <w:szCs w:val="22"/>
        </w:rPr>
        <w:t xml:space="preserve">regular </w:t>
      </w:r>
      <w:r w:rsidRPr="004C4417" w:rsidR="00C932A9">
        <w:rPr>
          <w:sz w:val="22"/>
        </w:rPr>
        <w:t>collection</w:t>
      </w:r>
      <w:r w:rsidRPr="00C45C6B" w:rsidR="00C932A9">
        <w:rPr>
          <w:rFonts w:cstheme="minorBidi"/>
          <w:sz w:val="22"/>
          <w:szCs w:val="22"/>
        </w:rPr>
        <w:t>,</w:t>
      </w:r>
      <w:r w:rsidRPr="004C4417" w:rsidR="00C932A9">
        <w:rPr>
          <w:sz w:val="22"/>
        </w:rPr>
        <w:t xml:space="preserve"> </w:t>
      </w:r>
      <w:r w:rsidRPr="004C4417" w:rsidR="007542BA">
        <w:rPr>
          <w:sz w:val="22"/>
        </w:rPr>
        <w:t>FNS</w:t>
      </w:r>
      <w:r w:rsidRPr="004C4417" w:rsidR="00C932A9">
        <w:rPr>
          <w:sz w:val="22"/>
        </w:rPr>
        <w:t xml:space="preserve"> would </w:t>
      </w:r>
      <w:r w:rsidRPr="00C45C6B" w:rsidR="00C932A9">
        <w:rPr>
          <w:rFonts w:cstheme="minorBidi"/>
          <w:sz w:val="22"/>
          <w:szCs w:val="22"/>
        </w:rPr>
        <w:t>lack the necessary insight</w:t>
      </w:r>
      <w:r w:rsidRPr="004C4417" w:rsidR="00C932A9">
        <w:rPr>
          <w:sz w:val="22"/>
        </w:rPr>
        <w:t xml:space="preserve"> to </w:t>
      </w:r>
      <w:r w:rsidRPr="00C45C6B" w:rsidR="00C932A9">
        <w:rPr>
          <w:rFonts w:cstheme="minorBidi"/>
          <w:sz w:val="22"/>
          <w:szCs w:val="22"/>
        </w:rPr>
        <w:t>effectively</w:t>
      </w:r>
      <w:r w:rsidRPr="004C4417" w:rsidR="00C932A9">
        <w:rPr>
          <w:sz w:val="22"/>
        </w:rPr>
        <w:t xml:space="preserve"> monitor these changes, </w:t>
      </w:r>
      <w:r w:rsidRPr="00C45C6B" w:rsidR="00C932A9">
        <w:rPr>
          <w:rFonts w:cstheme="minorBidi"/>
          <w:sz w:val="22"/>
          <w:szCs w:val="22"/>
        </w:rPr>
        <w:t>detect</w:t>
      </w:r>
      <w:r w:rsidRPr="004C4417" w:rsidR="00C932A9">
        <w:rPr>
          <w:sz w:val="22"/>
        </w:rPr>
        <w:t xml:space="preserve"> potential compliance issues, and </w:t>
      </w:r>
      <w:r w:rsidRPr="00C45C6B" w:rsidR="00C932A9">
        <w:rPr>
          <w:rFonts w:cstheme="minorBidi"/>
          <w:sz w:val="22"/>
          <w:szCs w:val="22"/>
        </w:rPr>
        <w:t>offer timely</w:t>
      </w:r>
      <w:r w:rsidRPr="004C4417" w:rsidR="00C932A9">
        <w:rPr>
          <w:sz w:val="22"/>
        </w:rPr>
        <w:t xml:space="preserve"> technical assistance to </w:t>
      </w:r>
      <w:r w:rsidRPr="00C45C6B" w:rsidR="00C932A9">
        <w:rPr>
          <w:rFonts w:cstheme="minorBidi"/>
          <w:sz w:val="22"/>
          <w:szCs w:val="22"/>
        </w:rPr>
        <w:t>State agencies implementing</w:t>
      </w:r>
      <w:r w:rsidRPr="004C4417" w:rsidR="00C932A9">
        <w:rPr>
          <w:sz w:val="22"/>
        </w:rPr>
        <w:t xml:space="preserve"> major program </w:t>
      </w:r>
      <w:r w:rsidRPr="00C45C6B" w:rsidR="00C932A9">
        <w:rPr>
          <w:rFonts w:cstheme="minorBidi"/>
          <w:sz w:val="22"/>
          <w:szCs w:val="22"/>
        </w:rPr>
        <w:t>modifications.</w:t>
      </w:r>
      <w:r w:rsidRPr="00C45C6B" w:rsidR="004E136F">
        <w:rPr>
          <w:rFonts w:cstheme="minorBidi"/>
          <w:sz w:val="22"/>
          <w:szCs w:val="22"/>
        </w:rPr>
        <w:t xml:space="preserve"> </w:t>
      </w:r>
      <w:r w:rsidRPr="00C45C6B" w:rsidR="00C932A9">
        <w:rPr>
          <w:rFonts w:cstheme="minorBidi"/>
          <w:sz w:val="22"/>
          <w:szCs w:val="22"/>
        </w:rPr>
        <w:t>Reducing the frequency of data</w:t>
      </w:r>
      <w:r w:rsidRPr="004C4417" w:rsidR="00C932A9">
        <w:rPr>
          <w:sz w:val="22"/>
        </w:rPr>
        <w:t xml:space="preserve"> collection would </w:t>
      </w:r>
      <w:r w:rsidRPr="00C45C6B" w:rsidR="00976E96">
        <w:rPr>
          <w:rFonts w:cstheme="minorBidi"/>
          <w:sz w:val="22"/>
          <w:szCs w:val="22"/>
        </w:rPr>
        <w:t>delay</w:t>
      </w:r>
      <w:r w:rsidRPr="00C45C6B" w:rsidR="00C932A9">
        <w:rPr>
          <w:rFonts w:cstheme="minorBidi"/>
          <w:sz w:val="22"/>
          <w:szCs w:val="22"/>
        </w:rPr>
        <w:t xml:space="preserve"> </w:t>
      </w:r>
      <w:r w:rsidR="007542BA">
        <w:rPr>
          <w:rFonts w:cstheme="minorBidi"/>
          <w:sz w:val="22"/>
          <w:szCs w:val="22"/>
        </w:rPr>
        <w:t>FNS</w:t>
      </w:r>
      <w:r w:rsidRPr="00C45C6B" w:rsidR="00C932A9">
        <w:rPr>
          <w:rFonts w:cstheme="minorBidi"/>
          <w:sz w:val="22"/>
          <w:szCs w:val="22"/>
        </w:rPr>
        <w:t>’s ability</w:t>
      </w:r>
      <w:r w:rsidRPr="004C4417" w:rsidR="00C932A9">
        <w:rPr>
          <w:sz w:val="22"/>
        </w:rPr>
        <w:t xml:space="preserve"> to identify</w:t>
      </w:r>
      <w:r w:rsidRPr="00C45C6B" w:rsidR="00C932A9">
        <w:rPr>
          <w:rFonts w:cstheme="minorBidi"/>
          <w:sz w:val="22"/>
          <w:szCs w:val="22"/>
        </w:rPr>
        <w:t xml:space="preserve"> and address</w:t>
      </w:r>
      <w:r w:rsidRPr="004C4417" w:rsidR="00C932A9">
        <w:rPr>
          <w:sz w:val="22"/>
        </w:rPr>
        <w:t xml:space="preserve"> issues </w:t>
      </w:r>
      <w:r w:rsidRPr="00C45C6B" w:rsidR="00C932A9">
        <w:rPr>
          <w:rFonts w:cstheme="minorBidi"/>
          <w:sz w:val="22"/>
          <w:szCs w:val="22"/>
        </w:rPr>
        <w:t>early, increasing the risk that</w:t>
      </w:r>
      <w:r w:rsidRPr="004C4417" w:rsidR="00C932A9">
        <w:rPr>
          <w:sz w:val="22"/>
        </w:rPr>
        <w:t xml:space="preserve"> non-compliant </w:t>
      </w:r>
      <w:r w:rsidRPr="00C45C6B" w:rsidR="00C932A9">
        <w:rPr>
          <w:rFonts w:cstheme="minorBidi"/>
          <w:sz w:val="22"/>
          <w:szCs w:val="22"/>
        </w:rPr>
        <w:t xml:space="preserve">practices </w:t>
      </w:r>
      <w:r w:rsidRPr="00C45C6B" w:rsidR="006E107B">
        <w:rPr>
          <w:rFonts w:cstheme="minorBidi"/>
          <w:sz w:val="22"/>
          <w:szCs w:val="22"/>
        </w:rPr>
        <w:t>persist</w:t>
      </w:r>
      <w:r w:rsidRPr="00C45C6B" w:rsidR="00C932A9">
        <w:rPr>
          <w:rFonts w:cstheme="minorBidi"/>
          <w:sz w:val="22"/>
          <w:szCs w:val="22"/>
        </w:rPr>
        <w:t xml:space="preserve"> and potentially </w:t>
      </w:r>
      <w:r w:rsidRPr="00C45C6B" w:rsidR="00633555">
        <w:rPr>
          <w:rFonts w:cstheme="minorBidi"/>
          <w:sz w:val="22"/>
          <w:szCs w:val="22"/>
        </w:rPr>
        <w:t>compromise</w:t>
      </w:r>
      <w:r w:rsidRPr="00C45C6B" w:rsidR="00C932A9">
        <w:rPr>
          <w:rFonts w:cstheme="minorBidi"/>
          <w:sz w:val="22"/>
          <w:szCs w:val="22"/>
        </w:rPr>
        <w:t xml:space="preserve"> program integrity</w:t>
      </w:r>
      <w:r w:rsidRPr="004C4417" w:rsidR="00C932A9">
        <w:rPr>
          <w:sz w:val="22"/>
        </w:rPr>
        <w:t>.</w:t>
      </w:r>
    </w:p>
    <w:p w:rsidR="003E1BBC" w:rsidRPr="00B6102B" w:rsidP="00DB201E" w14:paraId="3E268D0F" w14:textId="77777777">
      <w:pPr>
        <w:tabs>
          <w:tab w:val="left" w:pos="-720"/>
        </w:tabs>
        <w:suppressAutoHyphens/>
        <w:rPr>
          <w:rFonts w:cstheme="minorHAnsi"/>
          <w:szCs w:val="24"/>
        </w:rPr>
      </w:pPr>
    </w:p>
    <w:p w:rsidR="00A308DB" w:rsidRPr="004C4417" w:rsidP="0062567E" w14:paraId="721E1497" w14:textId="77777777">
      <w:pPr>
        <w:pStyle w:val="Heading1"/>
        <w:rPr>
          <w:rFonts w:ascii="Source Sans Pro" w:hAnsi="Source Sans Pro"/>
        </w:rPr>
      </w:pPr>
      <w:bookmarkStart w:id="18" w:name="_Toc401831363"/>
      <w:bookmarkStart w:id="19" w:name="_Toc401832407"/>
      <w:bookmarkStart w:id="20" w:name="_Toc229140324"/>
      <w:r w:rsidRPr="004C4417">
        <w:rPr>
          <w:rFonts w:ascii="Source Sans Pro" w:hAnsi="Source Sans Pro"/>
        </w:rPr>
        <w:t xml:space="preserve">A7.  </w:t>
      </w:r>
      <w:r w:rsidRPr="004C4417" w:rsidR="00A37C87">
        <w:rPr>
          <w:rFonts w:ascii="Source Sans Pro" w:hAnsi="Source Sans Pro"/>
        </w:rPr>
        <w:t>Special c</w:t>
      </w:r>
      <w:r w:rsidRPr="004C4417">
        <w:rPr>
          <w:rFonts w:ascii="Source Sans Pro" w:hAnsi="Source Sans Pro"/>
        </w:rPr>
        <w:t xml:space="preserve">ircumstances </w:t>
      </w:r>
      <w:r w:rsidRPr="004C4417" w:rsidR="00A37C87">
        <w:rPr>
          <w:rFonts w:ascii="Source Sans Pro" w:hAnsi="Source Sans Pro"/>
        </w:rPr>
        <w:t>relating to the Guidelines of</w:t>
      </w:r>
      <w:r w:rsidRPr="004C4417">
        <w:rPr>
          <w:rFonts w:ascii="Source Sans Pro" w:hAnsi="Source Sans Pro"/>
        </w:rPr>
        <w:t xml:space="preserve"> 5 CFR 1320.</w:t>
      </w:r>
      <w:r w:rsidRPr="004C4417" w:rsidR="003C6BDD">
        <w:rPr>
          <w:rFonts w:ascii="Source Sans Pro" w:hAnsi="Source Sans Pro"/>
        </w:rPr>
        <w:t>5</w:t>
      </w:r>
      <w:r w:rsidRPr="004C4417">
        <w:rPr>
          <w:rFonts w:ascii="Source Sans Pro" w:hAnsi="Source Sans Pro"/>
        </w:rPr>
        <w:t>.</w:t>
      </w:r>
      <w:bookmarkEnd w:id="18"/>
      <w:bookmarkEnd w:id="19"/>
      <w:bookmarkEnd w:id="20"/>
      <w:r w:rsidRPr="004C4417">
        <w:rPr>
          <w:rFonts w:ascii="Source Sans Pro" w:hAnsi="Source Sans Pro"/>
        </w:rPr>
        <w:t xml:space="preserve">  </w:t>
      </w:r>
    </w:p>
    <w:p w:rsidR="00A308DB" w:rsidRPr="00B6102B" w:rsidP="00213436" w14:paraId="34CE0A41" w14:textId="77777777">
      <w:pPr>
        <w:tabs>
          <w:tab w:val="left" w:pos="0"/>
        </w:tabs>
        <w:suppressAutoHyphens/>
        <w:rPr>
          <w:rFonts w:cstheme="minorHAnsi"/>
          <w:szCs w:val="24"/>
        </w:rPr>
      </w:pPr>
    </w:p>
    <w:p w:rsidR="003333DF" w:rsidRPr="00B6102B" w:rsidP="0062567E" w14:paraId="0D9DB9DE" w14:textId="77777777">
      <w:pPr>
        <w:widowControl/>
        <w:rPr>
          <w:rFonts w:cstheme="minorHAnsi"/>
          <w:b/>
          <w:szCs w:val="24"/>
        </w:rPr>
      </w:pPr>
      <w:r w:rsidRPr="00B6102B">
        <w:rPr>
          <w:rFonts w:cstheme="minorHAnsi"/>
          <w:b/>
          <w:szCs w:val="24"/>
        </w:rPr>
        <w:t>Explain any special circumstances that woul</w:t>
      </w:r>
      <w:r w:rsidRPr="00B6102B" w:rsidR="00CF7CB1">
        <w:rPr>
          <w:rFonts w:cstheme="minorHAnsi"/>
          <w:b/>
          <w:szCs w:val="24"/>
        </w:rPr>
        <w:t>d cause an information collecti</w:t>
      </w:r>
      <w:r w:rsidRPr="00B6102B">
        <w:rPr>
          <w:rFonts w:cstheme="minorHAnsi"/>
          <w:b/>
          <w:szCs w:val="24"/>
        </w:rPr>
        <w:t>on to</w:t>
      </w:r>
      <w:r w:rsidRPr="00B6102B" w:rsidR="00CF7CB1">
        <w:rPr>
          <w:rFonts w:cstheme="minorHAnsi"/>
          <w:b/>
          <w:szCs w:val="24"/>
        </w:rPr>
        <w:t xml:space="preserve"> be con</w:t>
      </w:r>
      <w:r w:rsidRPr="00B6102B">
        <w:rPr>
          <w:rFonts w:cstheme="minorHAnsi"/>
          <w:b/>
          <w:szCs w:val="24"/>
        </w:rPr>
        <w:t xml:space="preserve">ducted in a manner: </w:t>
      </w:r>
    </w:p>
    <w:p w:rsidR="003333DF" w:rsidRPr="00B6102B" w:rsidP="00990344" w14:paraId="76756752"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B6102B">
        <w:rPr>
          <w:rFonts w:cstheme="minorHAnsi"/>
          <w:b/>
          <w:szCs w:val="24"/>
        </w:rPr>
        <w:t>Requirin</w:t>
      </w:r>
      <w:r w:rsidRPr="00B6102B" w:rsidR="00CF7CB1">
        <w:rPr>
          <w:rFonts w:cstheme="minorHAnsi"/>
          <w:b/>
          <w:szCs w:val="24"/>
        </w:rPr>
        <w:t>g respondents to report informa</w:t>
      </w:r>
      <w:r w:rsidRPr="00B6102B">
        <w:rPr>
          <w:rFonts w:cstheme="minorHAnsi"/>
          <w:b/>
          <w:szCs w:val="24"/>
        </w:rPr>
        <w:t xml:space="preserve">tion to the agency more often than quarterly; </w:t>
      </w:r>
    </w:p>
    <w:p w:rsidR="003333DF" w:rsidRPr="00B6102B" w:rsidP="00990344" w14:paraId="00A18D04"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B6102B">
        <w:rPr>
          <w:rFonts w:cstheme="minorHAnsi"/>
          <w:b/>
          <w:szCs w:val="24"/>
        </w:rPr>
        <w:t>Requirin</w:t>
      </w:r>
      <w:r w:rsidRPr="00B6102B" w:rsidR="008F3F14">
        <w:rPr>
          <w:rFonts w:cstheme="minorHAnsi"/>
          <w:b/>
          <w:szCs w:val="24"/>
        </w:rPr>
        <w:t>g respondents to prepare a writ</w:t>
      </w:r>
      <w:r w:rsidRPr="00B6102B">
        <w:rPr>
          <w:rFonts w:cstheme="minorHAnsi"/>
          <w:b/>
          <w:szCs w:val="24"/>
        </w:rPr>
        <w:t>ten re</w:t>
      </w:r>
      <w:r w:rsidRPr="00B6102B" w:rsidR="008F3F14">
        <w:rPr>
          <w:rFonts w:cstheme="minorHAnsi"/>
          <w:b/>
          <w:szCs w:val="24"/>
        </w:rPr>
        <w:t>sponse to a collection of informa</w:t>
      </w:r>
      <w:r w:rsidRPr="00B6102B">
        <w:rPr>
          <w:rFonts w:cstheme="minorHAnsi"/>
          <w:b/>
          <w:szCs w:val="24"/>
        </w:rPr>
        <w:t xml:space="preserve">tion in fewer than 30 days after receipt of it; </w:t>
      </w:r>
    </w:p>
    <w:p w:rsidR="003333DF" w:rsidRPr="00B6102B" w:rsidP="00990344" w14:paraId="0822033D"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B6102B">
        <w:rPr>
          <w:rFonts w:cstheme="minorHAnsi"/>
          <w:b/>
          <w:szCs w:val="24"/>
        </w:rPr>
        <w:t>Requiring respondents to submit more than an orig</w:t>
      </w:r>
      <w:r w:rsidRPr="00B6102B" w:rsidR="008F3F14">
        <w:rPr>
          <w:rFonts w:cstheme="minorHAnsi"/>
          <w:b/>
          <w:szCs w:val="24"/>
        </w:rPr>
        <w:t>inal and two copies of any docu</w:t>
      </w:r>
      <w:r w:rsidRPr="00B6102B">
        <w:rPr>
          <w:rFonts w:cstheme="minorHAnsi"/>
          <w:b/>
          <w:szCs w:val="24"/>
        </w:rPr>
        <w:t xml:space="preserve">ment; </w:t>
      </w:r>
    </w:p>
    <w:p w:rsidR="003333DF" w:rsidRPr="00B6102B" w:rsidP="00990344" w14:paraId="6B658A8B"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B6102B">
        <w:rPr>
          <w:rFonts w:cstheme="minorHAnsi"/>
          <w:b/>
          <w:szCs w:val="24"/>
        </w:rPr>
        <w:t>Req</w:t>
      </w:r>
      <w:r w:rsidRPr="00B6102B" w:rsidR="008F3F14">
        <w:rPr>
          <w:rFonts w:cstheme="minorHAnsi"/>
          <w:b/>
          <w:szCs w:val="24"/>
        </w:rPr>
        <w:t>uiring respondents to retain re</w:t>
      </w:r>
      <w:r w:rsidRPr="00B6102B">
        <w:rPr>
          <w:rFonts w:cstheme="minorHAnsi"/>
          <w:b/>
          <w:szCs w:val="24"/>
        </w:rPr>
        <w:t>cords, othe</w:t>
      </w:r>
      <w:r w:rsidRPr="00B6102B" w:rsidR="008F3F14">
        <w:rPr>
          <w:rFonts w:cstheme="minorHAnsi"/>
          <w:b/>
          <w:szCs w:val="24"/>
        </w:rPr>
        <w:t>r than health, medical, governm</w:t>
      </w:r>
      <w:r w:rsidRPr="00B6102B">
        <w:rPr>
          <w:rFonts w:cstheme="minorHAnsi"/>
          <w:b/>
          <w:szCs w:val="24"/>
        </w:rPr>
        <w:t>ent contract, grant-in-aid, or tax records for more than three years</w:t>
      </w:r>
      <w:r w:rsidRPr="00B6102B" w:rsidR="008F3F14">
        <w:rPr>
          <w:rFonts w:cstheme="minorHAnsi"/>
          <w:b/>
          <w:szCs w:val="24"/>
        </w:rPr>
        <w:t>;</w:t>
      </w:r>
    </w:p>
    <w:p w:rsidR="003333DF" w:rsidRPr="00B6102B" w:rsidP="00990344" w14:paraId="03168A42"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B6102B">
        <w:rPr>
          <w:rFonts w:cstheme="minorHAnsi"/>
          <w:b/>
          <w:szCs w:val="24"/>
        </w:rPr>
        <w:t xml:space="preserve">In connection with a statistical survey, that is not designed to produce valid and reliable results that can be generalized to the universe of study; </w:t>
      </w:r>
    </w:p>
    <w:p w:rsidR="003333DF" w:rsidRPr="00B6102B" w:rsidP="00990344" w14:paraId="7A2FD9F0"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B6102B">
        <w:rPr>
          <w:rFonts w:cstheme="minorHAnsi"/>
          <w:b/>
          <w:szCs w:val="24"/>
        </w:rPr>
        <w:t>Requiring the use of a statistical data classification that has not been reviewed and approved by OMB;</w:t>
      </w:r>
    </w:p>
    <w:p w:rsidR="003333DF" w:rsidRPr="00B6102B" w:rsidP="00990344" w14:paraId="6626F195" w14:textId="77777777">
      <w:pPr>
        <w:widowControl/>
        <w:numPr>
          <w:ilvl w:val="0"/>
          <w:numId w:val="1"/>
        </w:numPr>
        <w:tabs>
          <w:tab w:val="left" w:pos="-720"/>
        </w:tabs>
        <w:suppressAutoHyphens/>
        <w:overflowPunct/>
        <w:autoSpaceDE/>
        <w:autoSpaceDN/>
        <w:adjustRightInd/>
        <w:textAlignment w:val="auto"/>
        <w:rPr>
          <w:rFonts w:cstheme="minorHAnsi"/>
          <w:b/>
          <w:szCs w:val="24"/>
        </w:rPr>
      </w:pPr>
      <w:r w:rsidRPr="00B6102B">
        <w:rPr>
          <w:rFonts w:cstheme="minorHAnsi"/>
          <w:b/>
          <w:szCs w:val="24"/>
        </w:rPr>
        <w:t>That includ</w:t>
      </w:r>
      <w:r w:rsidRPr="00B6102B" w:rsidR="00383C0A">
        <w:rPr>
          <w:rFonts w:cstheme="minorHAnsi"/>
          <w:b/>
          <w:szCs w:val="24"/>
        </w:rPr>
        <w:t>es a pledge of confidentiality that is not supported by authority established in statute or regulation, that is not supported by dis</w:t>
      </w:r>
      <w:r w:rsidRPr="00B6102B">
        <w:rPr>
          <w:rFonts w:cstheme="minorHAnsi"/>
          <w:b/>
          <w:szCs w:val="24"/>
        </w:rPr>
        <w:t>closure and data security policies that are consistent wi</w:t>
      </w:r>
      <w:r w:rsidRPr="00B6102B" w:rsidR="00383C0A">
        <w:rPr>
          <w:rFonts w:cstheme="minorHAnsi"/>
          <w:b/>
          <w:szCs w:val="24"/>
        </w:rPr>
        <w:t>th the pledge, or which unnecessarily impedes shar</w:t>
      </w:r>
      <w:r w:rsidRPr="00B6102B">
        <w:rPr>
          <w:rFonts w:cstheme="minorHAnsi"/>
          <w:b/>
          <w:szCs w:val="24"/>
        </w:rPr>
        <w:t>ing of d</w:t>
      </w:r>
      <w:r w:rsidRPr="00B6102B" w:rsidR="00383C0A">
        <w:rPr>
          <w:rFonts w:cstheme="minorHAnsi"/>
          <w:b/>
          <w:szCs w:val="24"/>
        </w:rPr>
        <w:t>ata with other agencies for com</w:t>
      </w:r>
      <w:r w:rsidRPr="00B6102B" w:rsidR="00D3753F">
        <w:rPr>
          <w:rFonts w:cstheme="minorHAnsi"/>
          <w:b/>
          <w:szCs w:val="24"/>
        </w:rPr>
        <w:t>patible confiden</w:t>
      </w:r>
      <w:r w:rsidRPr="00B6102B">
        <w:rPr>
          <w:rFonts w:cstheme="minorHAnsi"/>
          <w:b/>
          <w:szCs w:val="24"/>
        </w:rPr>
        <w:t xml:space="preserve">tial use; or </w:t>
      </w:r>
    </w:p>
    <w:p w:rsidR="003333DF" w:rsidRPr="004C4417" w:rsidP="00990344" w14:paraId="12E095A5" w14:textId="77777777">
      <w:pPr>
        <w:pStyle w:val="BodyText"/>
        <w:numPr>
          <w:ilvl w:val="0"/>
          <w:numId w:val="1"/>
        </w:numPr>
        <w:rPr>
          <w:rFonts w:ascii="Source Sans Pro" w:hAnsi="Source Sans Pro"/>
          <w:b w:val="0"/>
        </w:rPr>
      </w:pPr>
      <w:r w:rsidRPr="004C4417">
        <w:rPr>
          <w:rFonts w:ascii="Source Sans Pro" w:hAnsi="Source Sans Pro"/>
        </w:rPr>
        <w:t>Requiri</w:t>
      </w:r>
      <w:r w:rsidRPr="004C4417" w:rsidR="0032533B">
        <w:rPr>
          <w:rFonts w:ascii="Source Sans Pro" w:hAnsi="Source Sans Pro"/>
        </w:rPr>
        <w:t>ng respondents to submit propri</w:t>
      </w:r>
      <w:r w:rsidRPr="004C4417">
        <w:rPr>
          <w:rFonts w:ascii="Source Sans Pro" w:hAnsi="Source Sans Pro"/>
        </w:rPr>
        <w:t>etary trade secret, or other confidential informat</w:t>
      </w:r>
      <w:r w:rsidRPr="004C4417" w:rsidR="0032533B">
        <w:rPr>
          <w:rFonts w:ascii="Source Sans Pro" w:hAnsi="Source Sans Pro"/>
        </w:rPr>
        <w:t>ion unless the agency can demon</w:t>
      </w:r>
      <w:r w:rsidRPr="004C4417">
        <w:rPr>
          <w:rFonts w:ascii="Source Sans Pro" w:hAnsi="Source Sans Pro"/>
        </w:rPr>
        <w:t>strate that it has instituted procedures to protect the information's confidentiali</w:t>
      </w:r>
      <w:r w:rsidRPr="004C4417" w:rsidR="0032533B">
        <w:rPr>
          <w:rFonts w:ascii="Source Sans Pro" w:hAnsi="Source Sans Pro"/>
        </w:rPr>
        <w:t>ty to the extent permit</w:t>
      </w:r>
      <w:r w:rsidRPr="004C4417">
        <w:rPr>
          <w:rFonts w:ascii="Source Sans Pro" w:hAnsi="Source Sans Pro"/>
        </w:rPr>
        <w:t>ted by law.</w:t>
      </w:r>
    </w:p>
    <w:p w:rsidR="00E11A38" w:rsidRPr="00B6102B" w:rsidP="00E11A38" w14:paraId="6D98A12B" w14:textId="77777777">
      <w:pPr>
        <w:tabs>
          <w:tab w:val="left" w:pos="-720"/>
        </w:tabs>
        <w:suppressAutoHyphens/>
        <w:rPr>
          <w:rFonts w:cstheme="minorHAnsi"/>
          <w:szCs w:val="24"/>
        </w:rPr>
      </w:pPr>
    </w:p>
    <w:p w:rsidR="00D735F0" w:rsidRPr="004C4417" w:rsidP="00A6165A" w14:paraId="34D9105E" w14:textId="6998A345">
      <w:pPr>
        <w:tabs>
          <w:tab w:val="left" w:pos="-720"/>
        </w:tabs>
        <w:suppressAutoHyphens/>
        <w:spacing w:line="480" w:lineRule="auto"/>
        <w:rPr>
          <w:sz w:val="22"/>
        </w:rPr>
      </w:pPr>
      <w:r w:rsidRPr="00C45C6B">
        <w:rPr>
          <w:rFonts w:cstheme="minorHAnsi"/>
          <w:sz w:val="22"/>
          <w:szCs w:val="22"/>
        </w:rPr>
        <w:tab/>
      </w:r>
      <w:r w:rsidRPr="004C4417" w:rsidR="00495458">
        <w:rPr>
          <w:sz w:val="22"/>
        </w:rPr>
        <w:t>There are no</w:t>
      </w:r>
      <w:r w:rsidR="007226DE">
        <w:rPr>
          <w:rFonts w:cstheme="minorHAnsi"/>
          <w:sz w:val="22"/>
          <w:szCs w:val="22"/>
        </w:rPr>
        <w:t xml:space="preserve"> </w:t>
      </w:r>
      <w:r w:rsidRPr="004C4417" w:rsidR="00495458">
        <w:rPr>
          <w:sz w:val="22"/>
        </w:rPr>
        <w:t xml:space="preserve"> special circumstances. The collection of information is conducted in a manner consistent with the guidelines in 5 CFR 1320.5.</w:t>
      </w:r>
    </w:p>
    <w:p w:rsidR="00D735F0" w:rsidRPr="00B6102B" w:rsidP="00BE0B08" w14:paraId="1E29534B" w14:textId="77777777">
      <w:pPr>
        <w:tabs>
          <w:tab w:val="left" w:pos="0"/>
        </w:tabs>
        <w:suppressAutoHyphens/>
        <w:rPr>
          <w:rFonts w:cstheme="minorHAnsi"/>
          <w:szCs w:val="24"/>
        </w:rPr>
      </w:pPr>
    </w:p>
    <w:p w:rsidR="00BE0B08" w:rsidRPr="004C4417" w:rsidP="0062567E" w14:paraId="1C91280B" w14:textId="77777777">
      <w:pPr>
        <w:pStyle w:val="Heading1"/>
        <w:rPr>
          <w:rFonts w:ascii="Source Sans Pro" w:hAnsi="Source Sans Pro"/>
        </w:rPr>
      </w:pPr>
      <w:bookmarkStart w:id="21" w:name="_Toc401831364"/>
      <w:bookmarkStart w:id="22" w:name="_Toc401832408"/>
      <w:bookmarkStart w:id="23" w:name="_Toc229140325"/>
      <w:r w:rsidRPr="004C4417">
        <w:rPr>
          <w:rFonts w:ascii="Source Sans Pro" w:hAnsi="Source Sans Pro"/>
        </w:rPr>
        <w:t xml:space="preserve">A8.  </w:t>
      </w:r>
      <w:r w:rsidRPr="004C4417" w:rsidR="005917B8">
        <w:rPr>
          <w:rFonts w:ascii="Source Sans Pro" w:hAnsi="Source Sans Pro"/>
        </w:rPr>
        <w:t xml:space="preserve">Comments to the Federal Register Notice and efforts </w:t>
      </w:r>
      <w:r w:rsidRPr="004C4417" w:rsidR="002568E6">
        <w:rPr>
          <w:rFonts w:ascii="Source Sans Pro" w:hAnsi="Source Sans Pro"/>
        </w:rPr>
        <w:t xml:space="preserve">for </w:t>
      </w:r>
      <w:r w:rsidRPr="004C4417" w:rsidR="005917B8">
        <w:rPr>
          <w:rFonts w:ascii="Source Sans Pro" w:hAnsi="Source Sans Pro"/>
        </w:rPr>
        <w:t>consult</w:t>
      </w:r>
      <w:r w:rsidRPr="004C4417" w:rsidR="002568E6">
        <w:rPr>
          <w:rFonts w:ascii="Source Sans Pro" w:hAnsi="Source Sans Pro"/>
        </w:rPr>
        <w:t>ation</w:t>
      </w:r>
      <w:r w:rsidRPr="004C4417" w:rsidR="005917B8">
        <w:rPr>
          <w:rFonts w:ascii="Source Sans Pro" w:hAnsi="Source Sans Pro"/>
        </w:rPr>
        <w:t>.</w:t>
      </w:r>
      <w:bookmarkEnd w:id="21"/>
      <w:bookmarkEnd w:id="22"/>
      <w:bookmarkEnd w:id="23"/>
      <w:r w:rsidRPr="004C4417">
        <w:rPr>
          <w:rFonts w:ascii="Source Sans Pro" w:hAnsi="Source Sans Pro"/>
        </w:rPr>
        <w:t xml:space="preserve">  </w:t>
      </w:r>
    </w:p>
    <w:p w:rsidR="003333DF" w:rsidRPr="00B6102B" w:rsidP="005917B8" w14:paraId="5997CC1D" w14:textId="77777777">
      <w:pPr>
        <w:tabs>
          <w:tab w:val="left" w:pos="450"/>
        </w:tabs>
        <w:suppressAutoHyphens/>
        <w:ind w:left="450" w:hanging="450"/>
        <w:rPr>
          <w:rFonts w:cstheme="minorHAnsi"/>
          <w:szCs w:val="24"/>
        </w:rPr>
      </w:pPr>
    </w:p>
    <w:p w:rsidR="003333DF" w:rsidRPr="00B6102B" w:rsidP="0062567E" w14:paraId="6E6E3348" w14:textId="77777777">
      <w:pPr>
        <w:rPr>
          <w:rFonts w:cstheme="minorHAnsi"/>
          <w:b/>
          <w:szCs w:val="24"/>
        </w:rPr>
      </w:pPr>
      <w:r w:rsidRPr="00B6102B">
        <w:rPr>
          <w:rFonts w:cstheme="minorHAnsi"/>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B6102B">
        <w:rPr>
          <w:rFonts w:cstheme="minorHAnsi"/>
          <w:b/>
          <w:szCs w:val="24"/>
        </w:rPr>
        <w:tab/>
      </w:r>
    </w:p>
    <w:p w:rsidR="003333DF" w:rsidRPr="00B6102B" w:rsidP="0062567E" w14:paraId="110FFD37" w14:textId="77777777">
      <w:pPr>
        <w:rPr>
          <w:rFonts w:cstheme="minorHAnsi"/>
          <w:b/>
          <w:szCs w:val="24"/>
        </w:rPr>
      </w:pPr>
    </w:p>
    <w:p w:rsidR="003333DF" w:rsidRPr="00B6102B" w:rsidP="0062567E" w14:paraId="35B53411" w14:textId="77777777">
      <w:pPr>
        <w:rPr>
          <w:rFonts w:cstheme="minorHAnsi"/>
          <w:b/>
          <w:szCs w:val="24"/>
        </w:rPr>
      </w:pPr>
      <w:r w:rsidRPr="00B6102B">
        <w:rPr>
          <w:rFonts w:cstheme="minorHAnsi"/>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B6102B" w:rsidP="0062567E" w14:paraId="6B699379" w14:textId="77777777">
      <w:pPr>
        <w:rPr>
          <w:rFonts w:cstheme="minorHAnsi"/>
          <w:b/>
          <w:szCs w:val="24"/>
        </w:rPr>
      </w:pPr>
    </w:p>
    <w:p w:rsidR="003333DF" w:rsidRPr="00B6102B" w:rsidP="0062567E" w14:paraId="17E78751" w14:textId="77777777">
      <w:pPr>
        <w:rPr>
          <w:rFonts w:cstheme="minorHAnsi"/>
          <w:b/>
          <w:szCs w:val="24"/>
        </w:rPr>
      </w:pPr>
      <w:r w:rsidRPr="00B6102B">
        <w:rPr>
          <w:rFonts w:cstheme="minorHAnsi"/>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B6102B" w:rsidP="004C4417" w14:paraId="3FE9F23F" w14:textId="77777777">
      <w:pPr>
        <w:tabs>
          <w:tab w:val="left" w:pos="-720"/>
        </w:tabs>
        <w:suppressAutoHyphens/>
        <w:rPr>
          <w:rFonts w:cstheme="minorHAnsi"/>
          <w:szCs w:val="24"/>
        </w:rPr>
      </w:pPr>
      <w:bookmarkStart w:id="24" w:name="OLE_LINK1"/>
      <w:bookmarkStart w:id="25" w:name="OLE_LINK2"/>
    </w:p>
    <w:p w:rsidR="00515979" w:rsidRPr="00515979" w:rsidP="007F57EE" w14:paraId="17C8B9AD" w14:textId="518E0906">
      <w:pPr>
        <w:tabs>
          <w:tab w:val="left" w:pos="-720"/>
        </w:tabs>
        <w:suppressAutoHyphens/>
        <w:spacing w:line="480" w:lineRule="auto"/>
        <w:rPr>
          <w:color w:val="000000"/>
          <w:sz w:val="22"/>
        </w:rPr>
        <w:sectPr w:rsidSect="00E12B9A">
          <w:pgSz w:w="12240" w:h="15840"/>
          <w:pgMar w:top="1339" w:right="778" w:bottom="1094" w:left="864" w:header="0" w:footer="979" w:gutter="0"/>
          <w:cols w:space="720"/>
        </w:sectPr>
      </w:pPr>
      <w:r>
        <w:rPr>
          <w:rFonts w:cstheme="minorHAnsi"/>
          <w:sz w:val="22"/>
          <w:szCs w:val="22"/>
        </w:rPr>
        <w:tab/>
      </w:r>
      <w:r w:rsidRPr="00764A1F" w:rsidR="005128FB">
        <w:rPr>
          <w:rFonts w:cstheme="minorHAnsi"/>
          <w:sz w:val="22"/>
          <w:szCs w:val="22"/>
        </w:rPr>
        <w:t>The 60-day notice</w:t>
      </w:r>
      <w:r w:rsidRPr="00764A1F" w:rsidR="00F430D6">
        <w:rPr>
          <w:rFonts w:cstheme="minorHAnsi"/>
          <w:sz w:val="22"/>
          <w:szCs w:val="22"/>
        </w:rPr>
        <w:t xml:space="preserve"> for this information collection published</w:t>
      </w:r>
      <w:r w:rsidRPr="00764A1F" w:rsidR="005128FB">
        <w:rPr>
          <w:rFonts w:cstheme="minorHAnsi"/>
          <w:sz w:val="22"/>
          <w:szCs w:val="22"/>
        </w:rPr>
        <w:t xml:space="preserve"> in the Federal Register on </w:t>
      </w:r>
      <w:r w:rsidRPr="00764A1F" w:rsidR="0058079B">
        <w:rPr>
          <w:rFonts w:cstheme="minorHAnsi"/>
          <w:sz w:val="22"/>
          <w:szCs w:val="22"/>
        </w:rPr>
        <w:t>J</w:t>
      </w:r>
      <w:r w:rsidRPr="00764A1F" w:rsidR="00BC1D73">
        <w:rPr>
          <w:rFonts w:cstheme="minorHAnsi"/>
          <w:sz w:val="22"/>
          <w:szCs w:val="22"/>
        </w:rPr>
        <w:t>anuary 7, 2026</w:t>
      </w:r>
      <w:r w:rsidRPr="00764A1F" w:rsidR="005128FB">
        <w:rPr>
          <w:rFonts w:cstheme="minorHAnsi"/>
          <w:sz w:val="22"/>
          <w:szCs w:val="22"/>
        </w:rPr>
        <w:t>,</w:t>
      </w:r>
      <w:r w:rsidRPr="00764A1F" w:rsidR="00204CBA">
        <w:rPr>
          <w:rFonts w:cstheme="minorHAnsi"/>
          <w:sz w:val="22"/>
          <w:szCs w:val="22"/>
        </w:rPr>
        <w:t xml:space="preserve"> and </w:t>
      </w:r>
      <w:r w:rsidRPr="00764A1F" w:rsidR="00204CBA">
        <w:rPr>
          <w:rFonts w:cstheme="minorHAnsi"/>
          <w:sz w:val="22"/>
          <w:szCs w:val="22"/>
        </w:rPr>
        <w:t>can be found on page</w:t>
      </w:r>
      <w:r w:rsidRPr="00764A1F" w:rsidR="00DA07FF">
        <w:rPr>
          <w:rFonts w:cstheme="minorHAnsi"/>
          <w:sz w:val="22"/>
          <w:szCs w:val="22"/>
        </w:rPr>
        <w:t xml:space="preserve"> </w:t>
      </w:r>
      <w:r w:rsidRPr="00764A1F" w:rsidR="008128C6">
        <w:rPr>
          <w:rFonts w:cstheme="minorHAnsi"/>
          <w:sz w:val="22"/>
          <w:szCs w:val="22"/>
        </w:rPr>
        <w:t>496</w:t>
      </w:r>
      <w:r w:rsidRPr="00764A1F" w:rsidR="008D618C">
        <w:rPr>
          <w:rFonts w:cstheme="minorHAnsi"/>
          <w:sz w:val="22"/>
          <w:szCs w:val="22"/>
        </w:rPr>
        <w:t>,</w:t>
      </w:r>
      <w:r w:rsidRPr="00764A1F" w:rsidR="005128FB">
        <w:rPr>
          <w:rFonts w:cstheme="minorHAnsi"/>
          <w:sz w:val="22"/>
          <w:szCs w:val="22"/>
        </w:rPr>
        <w:t xml:space="preserve"> </w:t>
      </w:r>
      <w:r w:rsidR="004B7A6D">
        <w:rPr>
          <w:rFonts w:cstheme="minorHAnsi"/>
          <w:sz w:val="22"/>
          <w:szCs w:val="22"/>
        </w:rPr>
        <w:t>(</w:t>
      </w:r>
      <w:r w:rsidRPr="00D5435B" w:rsidR="00D5435B">
        <w:rPr>
          <w:rFonts w:cstheme="minorHAnsi"/>
          <w:sz w:val="22"/>
          <w:szCs w:val="22"/>
        </w:rPr>
        <w:t>91 FR 496)</w:t>
      </w:r>
      <w:r w:rsidRPr="00764A1F" w:rsidR="005128FB">
        <w:rPr>
          <w:rFonts w:cstheme="minorHAnsi"/>
          <w:sz w:val="22"/>
          <w:szCs w:val="22"/>
        </w:rPr>
        <w:t xml:space="preserve">. </w:t>
      </w:r>
      <w:r w:rsidR="00407251">
        <w:rPr>
          <w:rFonts w:cstheme="minorHAnsi"/>
          <w:sz w:val="22"/>
          <w:szCs w:val="22"/>
        </w:rPr>
        <w:t xml:space="preserve"> </w:t>
      </w:r>
      <w:r w:rsidRPr="00EA24B7" w:rsidR="00EA24B7">
        <w:rPr>
          <w:rFonts w:cstheme="minorHAnsi"/>
          <w:sz w:val="22"/>
          <w:szCs w:val="22"/>
        </w:rPr>
        <w:t>FNS received one relevant public comment during the 60-day notice period</w:t>
      </w:r>
      <w:r w:rsidR="00175DC6">
        <w:rPr>
          <w:rFonts w:cstheme="minorHAnsi"/>
          <w:sz w:val="22"/>
          <w:szCs w:val="22"/>
        </w:rPr>
        <w:t xml:space="preserve"> </w:t>
      </w:r>
      <w:r w:rsidR="005174C8">
        <w:rPr>
          <w:rFonts w:cstheme="minorHAnsi"/>
          <w:sz w:val="22"/>
          <w:szCs w:val="22"/>
        </w:rPr>
        <w:t>(Appendix G</w:t>
      </w:r>
      <w:r w:rsidR="00175DC6">
        <w:rPr>
          <w:rFonts w:cstheme="minorHAnsi"/>
          <w:sz w:val="22"/>
          <w:szCs w:val="22"/>
        </w:rPr>
        <w:t xml:space="preserve">). </w:t>
      </w:r>
      <w:r w:rsidRPr="00D53D71" w:rsidR="001214BA">
        <w:rPr>
          <w:color w:val="000000"/>
          <w:sz w:val="22"/>
        </w:rPr>
        <w:t xml:space="preserve">The comment </w:t>
      </w:r>
      <w:r w:rsidR="00CF3750">
        <w:rPr>
          <w:color w:val="000000"/>
          <w:sz w:val="22"/>
        </w:rPr>
        <w:t>acknowledg</w:t>
      </w:r>
      <w:r w:rsidRPr="00D53D71" w:rsidR="00CF3750">
        <w:rPr>
          <w:color w:val="000000"/>
          <w:sz w:val="22"/>
        </w:rPr>
        <w:t xml:space="preserve">ed </w:t>
      </w:r>
      <w:r w:rsidRPr="00D53D71" w:rsidR="001214BA">
        <w:rPr>
          <w:color w:val="000000"/>
          <w:sz w:val="22"/>
        </w:rPr>
        <w:t xml:space="preserve">the </w:t>
      </w:r>
      <w:r w:rsidR="00A10D11">
        <w:rPr>
          <w:color w:val="000000"/>
          <w:sz w:val="22"/>
        </w:rPr>
        <w:t>significance</w:t>
      </w:r>
      <w:r w:rsidRPr="00D53D71" w:rsidR="00A10D11">
        <w:rPr>
          <w:color w:val="000000"/>
          <w:sz w:val="22"/>
        </w:rPr>
        <w:t xml:space="preserve"> </w:t>
      </w:r>
      <w:r w:rsidRPr="00D53D71" w:rsidR="001214BA">
        <w:rPr>
          <w:color w:val="000000"/>
          <w:sz w:val="22"/>
        </w:rPr>
        <w:t xml:space="preserve">of </w:t>
      </w:r>
      <w:r w:rsidR="00E75BD7">
        <w:rPr>
          <w:color w:val="000000"/>
          <w:sz w:val="22"/>
        </w:rPr>
        <w:t>collecting</w:t>
      </w:r>
      <w:r w:rsidRPr="00D53D71" w:rsidR="00E75BD7">
        <w:rPr>
          <w:color w:val="000000"/>
          <w:sz w:val="22"/>
        </w:rPr>
        <w:t xml:space="preserve"> </w:t>
      </w:r>
      <w:r w:rsidRPr="00D53D71" w:rsidR="001214BA">
        <w:rPr>
          <w:color w:val="000000"/>
          <w:sz w:val="22"/>
        </w:rPr>
        <w:t xml:space="preserve">the </w:t>
      </w:r>
      <w:r w:rsidRPr="001214BA" w:rsidR="001214BA">
        <w:rPr>
          <w:color w:val="000000"/>
          <w:sz w:val="22"/>
        </w:rPr>
        <w:t xml:space="preserve">information </w:t>
      </w:r>
      <w:r w:rsidR="00FC2EF9">
        <w:rPr>
          <w:color w:val="000000"/>
          <w:sz w:val="22"/>
        </w:rPr>
        <w:t>and</w:t>
      </w:r>
      <w:r w:rsidRPr="00D53D71" w:rsidR="00FC2EF9">
        <w:rPr>
          <w:color w:val="000000"/>
          <w:sz w:val="22"/>
        </w:rPr>
        <w:t xml:space="preserve"> </w:t>
      </w:r>
      <w:r w:rsidR="00A10D11">
        <w:rPr>
          <w:color w:val="000000"/>
          <w:sz w:val="22"/>
        </w:rPr>
        <w:t>suggested</w:t>
      </w:r>
      <w:r w:rsidRPr="00D53D71" w:rsidR="00A10D11">
        <w:rPr>
          <w:color w:val="000000"/>
          <w:sz w:val="22"/>
        </w:rPr>
        <w:t xml:space="preserve"> </w:t>
      </w:r>
      <w:r w:rsidR="00490872">
        <w:rPr>
          <w:color w:val="000000"/>
          <w:sz w:val="22"/>
        </w:rPr>
        <w:t xml:space="preserve">simplifying the </w:t>
      </w:r>
      <w:r w:rsidRPr="00D53D71" w:rsidR="001214BA">
        <w:rPr>
          <w:color w:val="000000"/>
          <w:sz w:val="22"/>
        </w:rPr>
        <w:t xml:space="preserve">forms or </w:t>
      </w:r>
      <w:r w:rsidRPr="00D53D71" w:rsidR="00BE7966">
        <w:rPr>
          <w:color w:val="000000"/>
          <w:sz w:val="22"/>
        </w:rPr>
        <w:t>automat</w:t>
      </w:r>
      <w:r w:rsidR="00BE7966">
        <w:rPr>
          <w:color w:val="000000"/>
          <w:sz w:val="22"/>
        </w:rPr>
        <w:t>ing</w:t>
      </w:r>
      <w:r w:rsidRPr="00D53D71" w:rsidR="00BE7966">
        <w:rPr>
          <w:color w:val="000000"/>
          <w:sz w:val="22"/>
        </w:rPr>
        <w:t xml:space="preserve"> </w:t>
      </w:r>
      <w:r w:rsidR="00D65AAD">
        <w:rPr>
          <w:color w:val="000000"/>
          <w:sz w:val="22"/>
        </w:rPr>
        <w:t xml:space="preserve">collection </w:t>
      </w:r>
      <w:r w:rsidRPr="00D53D71" w:rsidR="001214BA">
        <w:rPr>
          <w:color w:val="000000"/>
          <w:sz w:val="22"/>
        </w:rPr>
        <w:t>systems</w:t>
      </w:r>
      <w:r w:rsidR="00D65AAD">
        <w:rPr>
          <w:color w:val="000000"/>
          <w:sz w:val="22"/>
        </w:rPr>
        <w:t xml:space="preserve"> </w:t>
      </w:r>
      <w:r w:rsidR="00E85F55">
        <w:rPr>
          <w:color w:val="000000"/>
          <w:sz w:val="22"/>
        </w:rPr>
        <w:t>to</w:t>
      </w:r>
      <w:r w:rsidRPr="00D53D71" w:rsidR="001214BA">
        <w:rPr>
          <w:color w:val="000000"/>
          <w:sz w:val="22"/>
        </w:rPr>
        <w:t xml:space="preserve"> make the process more efficient.</w:t>
      </w:r>
      <w:r>
        <w:rPr>
          <w:color w:val="000000"/>
          <w:sz w:val="22"/>
        </w:rPr>
        <w:t xml:space="preserve">  </w:t>
      </w:r>
      <w:r w:rsidR="00BF3756">
        <w:rPr>
          <w:color w:val="000000"/>
          <w:sz w:val="22"/>
        </w:rPr>
        <w:t>FNS appreciates a</w:t>
      </w:r>
      <w:r w:rsidRPr="00515979">
        <w:rPr>
          <w:color w:val="000000"/>
          <w:sz w:val="22"/>
        </w:rPr>
        <w:t xml:space="preserve">ll public comments </w:t>
      </w:r>
      <w:r w:rsidR="001E434E">
        <w:rPr>
          <w:color w:val="000000"/>
          <w:sz w:val="22"/>
        </w:rPr>
        <w:t xml:space="preserve">and </w:t>
      </w:r>
      <w:r w:rsidR="007E562B">
        <w:rPr>
          <w:color w:val="000000"/>
          <w:sz w:val="22"/>
        </w:rPr>
        <w:t xml:space="preserve">has taken </w:t>
      </w:r>
      <w:r w:rsidR="00850422">
        <w:rPr>
          <w:color w:val="000000"/>
          <w:sz w:val="22"/>
        </w:rPr>
        <w:t xml:space="preserve">the comments </w:t>
      </w:r>
      <w:r w:rsidRPr="00515979">
        <w:rPr>
          <w:color w:val="000000"/>
          <w:sz w:val="22"/>
        </w:rPr>
        <w:t>into consideration</w:t>
      </w:r>
      <w:r w:rsidR="00850422">
        <w:rPr>
          <w:color w:val="000000"/>
          <w:sz w:val="22"/>
        </w:rPr>
        <w:t xml:space="preserve"> </w:t>
      </w:r>
      <w:r w:rsidR="00C67909">
        <w:rPr>
          <w:color w:val="000000"/>
          <w:sz w:val="22"/>
        </w:rPr>
        <w:t>in</w:t>
      </w:r>
      <w:r w:rsidR="00DB2B19">
        <w:rPr>
          <w:color w:val="000000"/>
          <w:sz w:val="22"/>
        </w:rPr>
        <w:t xml:space="preserve"> the information collection request submitted to OM</w:t>
      </w:r>
      <w:r w:rsidR="00D770DD">
        <w:rPr>
          <w:color w:val="000000"/>
          <w:sz w:val="22"/>
        </w:rPr>
        <w:t>B</w:t>
      </w:r>
      <w:r w:rsidR="00312C95">
        <w:rPr>
          <w:color w:val="000000"/>
          <w:sz w:val="22"/>
        </w:rPr>
        <w:t>.</w:t>
      </w:r>
    </w:p>
    <w:p w:rsidR="003E1BBC" w:rsidRPr="000812F0" w:rsidP="00ED28F2" w14:paraId="0FFDD70E" w14:textId="408AAE29">
      <w:pPr>
        <w:tabs>
          <w:tab w:val="left" w:pos="-720"/>
        </w:tabs>
        <w:suppressAutoHyphens/>
        <w:spacing w:line="480" w:lineRule="auto"/>
        <w:rPr>
          <w:rFonts w:cstheme="minorHAnsi"/>
          <w:sz w:val="22"/>
          <w:szCs w:val="22"/>
        </w:rPr>
      </w:pPr>
      <w:r>
        <w:rPr>
          <w:color w:val="000000"/>
          <w:sz w:val="22"/>
        </w:rPr>
        <w:tab/>
      </w:r>
      <w:r w:rsidRPr="000812F0" w:rsidR="003E1FEB">
        <w:rPr>
          <w:rFonts w:cstheme="minorHAnsi"/>
          <w:sz w:val="22"/>
          <w:szCs w:val="22"/>
        </w:rPr>
        <w:t>FNS engaged stakeholder consultation with three State agency representatives</w:t>
      </w:r>
      <w:r w:rsidRPr="000812F0" w:rsidR="00297363">
        <w:rPr>
          <w:rFonts w:cstheme="minorHAnsi"/>
          <w:sz w:val="22"/>
          <w:szCs w:val="22"/>
        </w:rPr>
        <w:t>:</w:t>
      </w:r>
      <w:r w:rsidRPr="000812F0" w:rsidR="006012A4">
        <w:rPr>
          <w:rFonts w:cstheme="minorHAnsi"/>
          <w:sz w:val="22"/>
          <w:szCs w:val="22"/>
        </w:rPr>
        <w:t xml:space="preserve"> </w:t>
      </w:r>
      <w:r w:rsidRPr="000812F0" w:rsidR="00CD71F6">
        <w:rPr>
          <w:rFonts w:cstheme="minorHAnsi"/>
          <w:sz w:val="22"/>
          <w:szCs w:val="22"/>
        </w:rPr>
        <w:t>C.</w:t>
      </w:r>
      <w:r w:rsidRPr="000812F0" w:rsidR="007B696C">
        <w:rPr>
          <w:rFonts w:cstheme="minorHAnsi"/>
          <w:sz w:val="22"/>
          <w:szCs w:val="22"/>
        </w:rPr>
        <w:t xml:space="preserve"> </w:t>
      </w:r>
      <w:r w:rsidRPr="000812F0" w:rsidR="006012A4">
        <w:rPr>
          <w:rFonts w:cstheme="minorHAnsi"/>
          <w:sz w:val="22"/>
          <w:szCs w:val="22"/>
        </w:rPr>
        <w:t>Hall</w:t>
      </w:r>
      <w:r w:rsidRPr="000812F0" w:rsidR="007B696C">
        <w:rPr>
          <w:rFonts w:cstheme="minorHAnsi"/>
          <w:sz w:val="22"/>
          <w:szCs w:val="22"/>
        </w:rPr>
        <w:t xml:space="preserve"> from the </w:t>
      </w:r>
      <w:r w:rsidRPr="000812F0" w:rsidR="00D143BD">
        <w:rPr>
          <w:rFonts w:cstheme="minorHAnsi"/>
          <w:sz w:val="22"/>
          <w:szCs w:val="22"/>
        </w:rPr>
        <w:t xml:space="preserve">Kentucky Cabinet for Health and Family Services, </w:t>
      </w:r>
      <w:r w:rsidRPr="000812F0" w:rsidR="00836EE9">
        <w:rPr>
          <w:rFonts w:cstheme="minorHAnsi"/>
          <w:sz w:val="22"/>
          <w:szCs w:val="22"/>
        </w:rPr>
        <w:t xml:space="preserve">A. Sharpe from the </w:t>
      </w:r>
      <w:r w:rsidRPr="000812F0" w:rsidR="007B696C">
        <w:rPr>
          <w:rFonts w:cstheme="minorHAnsi"/>
          <w:sz w:val="22"/>
          <w:szCs w:val="22"/>
        </w:rPr>
        <w:t xml:space="preserve">Tennessee Department of Human Services, </w:t>
      </w:r>
      <w:r w:rsidRPr="000812F0" w:rsidR="00B66A1A">
        <w:rPr>
          <w:rFonts w:cstheme="minorHAnsi"/>
          <w:sz w:val="22"/>
          <w:szCs w:val="22"/>
        </w:rPr>
        <w:t>H. Knies from the Ohio</w:t>
      </w:r>
      <w:r w:rsidRPr="000812F0" w:rsidR="00575B2F">
        <w:rPr>
          <w:rFonts w:cstheme="minorHAnsi"/>
          <w:sz w:val="22"/>
          <w:szCs w:val="22"/>
        </w:rPr>
        <w:t xml:space="preserve"> Department of Job and Family Services</w:t>
      </w:r>
      <w:r w:rsidRPr="000812F0" w:rsidR="003450E5">
        <w:rPr>
          <w:rFonts w:cstheme="minorHAnsi"/>
          <w:sz w:val="22"/>
          <w:szCs w:val="22"/>
        </w:rPr>
        <w:t xml:space="preserve">.  </w:t>
      </w:r>
      <w:r w:rsidRPr="000812F0" w:rsidR="001F4297">
        <w:rPr>
          <w:rFonts w:cstheme="minorHAnsi"/>
          <w:sz w:val="22"/>
          <w:szCs w:val="22"/>
        </w:rPr>
        <w:t xml:space="preserve">  </w:t>
      </w:r>
      <w:r w:rsidRPr="000812F0" w:rsidR="003450E5">
        <w:rPr>
          <w:rFonts w:cstheme="minorHAnsi"/>
          <w:sz w:val="22"/>
          <w:szCs w:val="22"/>
        </w:rPr>
        <w:t>As a result</w:t>
      </w:r>
      <w:r w:rsidRPr="000812F0" w:rsidR="004C7585">
        <w:rPr>
          <w:rFonts w:cstheme="minorHAnsi"/>
          <w:sz w:val="22"/>
          <w:szCs w:val="22"/>
        </w:rPr>
        <w:t xml:space="preserve"> of feedback from these State agency representatives, we adjusted the estimated number of hours per response of a</w:t>
      </w:r>
      <w:r w:rsidRPr="000812F0" w:rsidR="00797F70">
        <w:rPr>
          <w:rFonts w:cstheme="minorHAnsi"/>
          <w:sz w:val="22"/>
          <w:szCs w:val="22"/>
        </w:rPr>
        <w:t xml:space="preserve"> notification of a major change </w:t>
      </w:r>
      <w:r w:rsidRPr="000812F0" w:rsidR="0099276A">
        <w:rPr>
          <w:rFonts w:cstheme="minorHAnsi"/>
          <w:sz w:val="22"/>
          <w:szCs w:val="22"/>
        </w:rPr>
        <w:t xml:space="preserve">from 60 hours to </w:t>
      </w:r>
      <w:r w:rsidRPr="000812F0" w:rsidR="00DC188E">
        <w:rPr>
          <w:rFonts w:cstheme="minorHAnsi"/>
          <w:sz w:val="22"/>
          <w:szCs w:val="22"/>
        </w:rPr>
        <w:t xml:space="preserve">70 hours, </w:t>
      </w:r>
      <w:r w:rsidRPr="000812F0" w:rsidR="00542C13">
        <w:rPr>
          <w:rFonts w:cstheme="minorHAnsi"/>
          <w:sz w:val="22"/>
          <w:szCs w:val="22"/>
        </w:rPr>
        <w:t>quarterly reporting from 70 hours to 75 hours</w:t>
      </w:r>
      <w:r w:rsidRPr="000812F0" w:rsidR="0093502E">
        <w:rPr>
          <w:rFonts w:cstheme="minorHAnsi"/>
          <w:sz w:val="22"/>
          <w:szCs w:val="22"/>
        </w:rPr>
        <w:t xml:space="preserve"> and additional data reporting from 70 hours to 80 hours.  </w:t>
      </w:r>
      <w:r w:rsidRPr="000812F0" w:rsidR="002E20D5">
        <w:rPr>
          <w:rFonts w:cstheme="minorHAnsi"/>
          <w:sz w:val="22"/>
          <w:szCs w:val="22"/>
        </w:rPr>
        <w:t xml:space="preserve">The estimated number of hours per response for </w:t>
      </w:r>
      <w:r w:rsidRPr="000812F0" w:rsidR="002276C8">
        <w:rPr>
          <w:rFonts w:cstheme="minorHAnsi"/>
          <w:sz w:val="22"/>
          <w:szCs w:val="22"/>
        </w:rPr>
        <w:t>quarterly reporting associated with a Call Center remains at 50 hours</w:t>
      </w:r>
      <w:r w:rsidRPr="000812F0" w:rsidR="00A67B12">
        <w:rPr>
          <w:rFonts w:cstheme="minorHAnsi"/>
          <w:sz w:val="22"/>
          <w:szCs w:val="22"/>
        </w:rPr>
        <w:t xml:space="preserve"> per response.</w:t>
      </w:r>
      <w:r w:rsidRPr="000812F0" w:rsidR="00FF1DA9">
        <w:rPr>
          <w:rFonts w:cstheme="minorHAnsi"/>
          <w:sz w:val="22"/>
          <w:szCs w:val="22"/>
        </w:rPr>
        <w:tab/>
      </w:r>
    </w:p>
    <w:p w:rsidR="003333DF" w:rsidRPr="004C4417" w:rsidP="003C5BDC" w14:paraId="66A4E15B" w14:textId="09119A7B">
      <w:pPr>
        <w:pStyle w:val="Heading1"/>
        <w:rPr>
          <w:rFonts w:ascii="Source Sans Pro" w:hAnsi="Source Sans Pro"/>
        </w:rPr>
      </w:pPr>
      <w:bookmarkStart w:id="26" w:name="_Toc401831365"/>
      <w:bookmarkStart w:id="27" w:name="_Toc401832409"/>
      <w:bookmarkStart w:id="28" w:name="_Toc229140326"/>
      <w:bookmarkEnd w:id="24"/>
      <w:bookmarkEnd w:id="25"/>
      <w:r w:rsidRPr="004C4417">
        <w:rPr>
          <w:rFonts w:ascii="Source Sans Pro" w:hAnsi="Source Sans Pro"/>
        </w:rPr>
        <w:t>A9.  Explain any decisions to provide any payment or gift to respondents.</w:t>
      </w:r>
      <w:bookmarkEnd w:id="26"/>
      <w:bookmarkEnd w:id="27"/>
      <w:r w:rsidRPr="004C4417">
        <w:rPr>
          <w:rFonts w:ascii="Source Sans Pro" w:hAnsi="Source Sans Pro"/>
        </w:rPr>
        <w:t xml:space="preserve">  Explain any decision to provide any payment or gift to respondents, other than remuneration of contractors or grantees.</w:t>
      </w:r>
      <w:bookmarkEnd w:id="28"/>
    </w:p>
    <w:p w:rsidR="00ED28F2" w:rsidRPr="00B6102B" w:rsidP="00ED28F2" w14:paraId="61CDCEAD" w14:textId="77777777">
      <w:pPr>
        <w:tabs>
          <w:tab w:val="left" w:pos="-720"/>
        </w:tabs>
        <w:suppressAutoHyphens/>
        <w:rPr>
          <w:rFonts w:cstheme="minorHAnsi"/>
          <w:szCs w:val="24"/>
        </w:rPr>
      </w:pPr>
    </w:p>
    <w:p w:rsidR="005A49ED" w:rsidRPr="004C4417" w:rsidP="004C4417" w14:paraId="549B6542" w14:textId="2EDB4145">
      <w:pPr>
        <w:tabs>
          <w:tab w:val="left" w:pos="-720"/>
        </w:tabs>
        <w:suppressAutoHyphens/>
        <w:rPr>
          <w:sz w:val="22"/>
        </w:rPr>
      </w:pPr>
      <w:r w:rsidRPr="004C4417">
        <w:rPr>
          <w:sz w:val="22"/>
        </w:rPr>
        <w:t>No payment or gift will be provided to respondents.</w:t>
      </w:r>
    </w:p>
    <w:p w:rsidR="005A49ED" w:rsidRPr="004C4417" w:rsidP="004C4417" w14:paraId="1332B698" w14:textId="77777777">
      <w:pPr>
        <w:tabs>
          <w:tab w:val="left" w:pos="-720"/>
        </w:tabs>
        <w:suppressAutoHyphens/>
        <w:rPr>
          <w:u w:val="single"/>
        </w:rPr>
      </w:pPr>
    </w:p>
    <w:p w:rsidR="005A49ED" w:rsidRPr="00B6102B" w:rsidP="00E3448F" w14:paraId="084A36DB" w14:textId="77777777">
      <w:pPr>
        <w:tabs>
          <w:tab w:val="left" w:pos="-720"/>
        </w:tabs>
        <w:suppressAutoHyphens/>
        <w:rPr>
          <w:rFonts w:cstheme="minorHAnsi"/>
          <w:szCs w:val="24"/>
          <w:u w:val="single"/>
        </w:rPr>
      </w:pPr>
    </w:p>
    <w:p w:rsidR="00BE0B08" w:rsidRPr="004C4417" w:rsidP="0062567E" w14:paraId="3F8C7B1B" w14:textId="77777777">
      <w:pPr>
        <w:pStyle w:val="Heading1"/>
        <w:rPr>
          <w:rFonts w:ascii="Source Sans Pro" w:hAnsi="Source Sans Pro"/>
        </w:rPr>
      </w:pPr>
      <w:bookmarkStart w:id="29" w:name="_Toc401831366"/>
      <w:bookmarkStart w:id="30" w:name="_Toc401832410"/>
      <w:bookmarkStart w:id="31" w:name="_Toc229140327"/>
      <w:r w:rsidRPr="004C4417">
        <w:rPr>
          <w:rFonts w:ascii="Source Sans Pro" w:hAnsi="Source Sans Pro"/>
        </w:rPr>
        <w:t>A10.  Assurances of confidentiality provided to respondents.</w:t>
      </w:r>
      <w:bookmarkEnd w:id="29"/>
      <w:bookmarkEnd w:id="30"/>
      <w:bookmarkEnd w:id="31"/>
      <w:r w:rsidRPr="004C4417">
        <w:rPr>
          <w:rFonts w:ascii="Source Sans Pro" w:hAnsi="Source Sans Pro"/>
        </w:rPr>
        <w:t xml:space="preserve">  </w:t>
      </w:r>
    </w:p>
    <w:p w:rsidR="003333DF" w:rsidRPr="00B6102B" w:rsidP="00BE0B08" w14:paraId="23DE523C" w14:textId="77777777">
      <w:pPr>
        <w:rPr>
          <w:rFonts w:cstheme="minorHAnsi"/>
          <w:szCs w:val="24"/>
        </w:rPr>
      </w:pPr>
    </w:p>
    <w:p w:rsidR="003333DF" w:rsidRPr="004C4417" w:rsidP="0062567E" w14:paraId="5EA9004F" w14:textId="77777777">
      <w:pPr>
        <w:pStyle w:val="ListParagraph"/>
        <w:spacing w:line="240" w:lineRule="auto"/>
        <w:ind w:left="0"/>
        <w:rPr>
          <w:rFonts w:ascii="Source Sans Pro" w:hAnsi="Source Sans Pro"/>
          <w:b/>
        </w:rPr>
      </w:pPr>
      <w:r w:rsidRPr="004C4417">
        <w:rPr>
          <w:rFonts w:ascii="Source Sans Pro" w:hAnsi="Source Sans Pro"/>
          <w:b/>
        </w:rPr>
        <w:t>Describe any assurance of confidentiality provided to respondents and the basis for the assurance in statute, regulation, or agency policy.</w:t>
      </w:r>
    </w:p>
    <w:p w:rsidR="003333DF" w:rsidRPr="00B6102B" w:rsidP="00BE0B08" w14:paraId="52E56223" w14:textId="77777777">
      <w:pPr>
        <w:rPr>
          <w:rFonts w:cstheme="minorHAnsi"/>
          <w:szCs w:val="24"/>
        </w:rPr>
      </w:pPr>
    </w:p>
    <w:p w:rsidR="00971479" w:rsidRPr="004C4417" w:rsidP="004C4417" w14:paraId="66EB0457" w14:textId="68CC87B4">
      <w:pPr>
        <w:suppressAutoHyphens/>
        <w:spacing w:line="480" w:lineRule="auto"/>
        <w:ind w:firstLine="720"/>
        <w:rPr>
          <w:sz w:val="22"/>
        </w:rPr>
      </w:pPr>
      <w:r>
        <w:rPr>
          <w:rFonts w:cstheme="minorBidi"/>
          <w:sz w:val="22"/>
          <w:szCs w:val="22"/>
        </w:rPr>
        <w:t>FNS</w:t>
      </w:r>
      <w:r w:rsidRPr="004C4417" w:rsidR="00701838">
        <w:rPr>
          <w:sz w:val="22"/>
        </w:rPr>
        <w:t xml:space="preserve"> complies with the Privacy Act of 1974. No </w:t>
      </w:r>
      <w:r w:rsidR="007226DE">
        <w:rPr>
          <w:sz w:val="22"/>
        </w:rPr>
        <w:t>pr</w:t>
      </w:r>
      <w:r w:rsidRPr="004C4417" w:rsidR="00701838">
        <w:rPr>
          <w:sz w:val="22"/>
        </w:rPr>
        <w:t>i</w:t>
      </w:r>
      <w:r w:rsidR="007226DE">
        <w:rPr>
          <w:sz w:val="22"/>
        </w:rPr>
        <w:t>vate</w:t>
      </w:r>
      <w:r w:rsidRPr="004C4417" w:rsidR="00701838">
        <w:rPr>
          <w:sz w:val="22"/>
        </w:rPr>
        <w:t xml:space="preserve"> information is associated with this collection of information. This information collection request has been reviewed and </w:t>
      </w:r>
      <w:r w:rsidRPr="004C4417" w:rsidR="00701838">
        <w:rPr>
          <w:sz w:val="22"/>
        </w:rPr>
        <w:t>cleared</w:t>
      </w:r>
      <w:r w:rsidRPr="004C4417" w:rsidR="00701838">
        <w:rPr>
          <w:sz w:val="22"/>
        </w:rPr>
        <w:t xml:space="preserve"> by </w:t>
      </w:r>
      <w:r w:rsidRPr="00C45C6B" w:rsidR="00BB762D">
        <w:rPr>
          <w:rFonts w:cstheme="minorBidi"/>
          <w:sz w:val="22"/>
          <w:szCs w:val="22"/>
        </w:rPr>
        <w:t xml:space="preserve">USDA </w:t>
      </w:r>
      <w:r w:rsidRPr="004C4417" w:rsidR="00701838">
        <w:rPr>
          <w:sz w:val="22"/>
        </w:rPr>
        <w:t>FNS Privacy Officer</w:t>
      </w:r>
      <w:r w:rsidRPr="00E23CAC" w:rsidR="00701838">
        <w:rPr>
          <w:sz w:val="22"/>
        </w:rPr>
        <w:t xml:space="preserve">, </w:t>
      </w:r>
      <w:r w:rsidRPr="00F66133" w:rsidR="00F66133">
        <w:rPr>
          <w:rFonts w:cstheme="minorBidi"/>
          <w:sz w:val="22"/>
          <w:szCs w:val="22"/>
        </w:rPr>
        <w:t>Evlyn Hearne, on May 26, 2026</w:t>
      </w:r>
      <w:r w:rsidRPr="00E23CAC" w:rsidR="00701838">
        <w:rPr>
          <w:rFonts w:cstheme="minorBidi"/>
          <w:sz w:val="22"/>
          <w:szCs w:val="22"/>
        </w:rPr>
        <w:t>.</w:t>
      </w:r>
    </w:p>
    <w:p w:rsidR="003E1BBC" w:rsidRPr="00B6102B" w:rsidP="00971479" w14:paraId="4F8872EA" w14:textId="77777777">
      <w:pPr>
        <w:tabs>
          <w:tab w:val="left" w:pos="-720"/>
        </w:tabs>
        <w:suppressAutoHyphens/>
        <w:rPr>
          <w:rFonts w:cstheme="minorHAnsi"/>
          <w:szCs w:val="24"/>
        </w:rPr>
      </w:pPr>
    </w:p>
    <w:p w:rsidR="00A308DB" w:rsidRPr="004C4417" w:rsidP="0062567E" w14:paraId="29928342" w14:textId="77777777">
      <w:pPr>
        <w:pStyle w:val="Heading1"/>
        <w:rPr>
          <w:rFonts w:ascii="Source Sans Pro" w:hAnsi="Source Sans Pro"/>
        </w:rPr>
      </w:pPr>
      <w:bookmarkStart w:id="32" w:name="_Toc401831367"/>
      <w:bookmarkStart w:id="33" w:name="_Toc401832411"/>
      <w:bookmarkStart w:id="34" w:name="_Toc229140328"/>
      <w:r w:rsidRPr="004C4417">
        <w:rPr>
          <w:rFonts w:ascii="Source Sans Pro" w:hAnsi="Source Sans Pro"/>
        </w:rPr>
        <w:t>A11.  Justification for any questions of a sensitive nature.</w:t>
      </w:r>
      <w:bookmarkEnd w:id="32"/>
      <w:bookmarkEnd w:id="33"/>
      <w:bookmarkEnd w:id="34"/>
      <w:r w:rsidRPr="004C4417">
        <w:rPr>
          <w:rFonts w:ascii="Source Sans Pro" w:hAnsi="Source Sans Pro"/>
        </w:rPr>
        <w:t xml:space="preserve">  </w:t>
      </w:r>
      <w:r w:rsidRPr="004C4417" w:rsidR="005A3F80">
        <w:rPr>
          <w:rFonts w:ascii="Source Sans Pro" w:hAnsi="Source Sans Pro"/>
        </w:rPr>
        <w:t xml:space="preserve">  </w:t>
      </w:r>
    </w:p>
    <w:p w:rsidR="003333DF" w:rsidRPr="00B6102B" w:rsidP="00BE0B08" w14:paraId="5043CB0F" w14:textId="77777777">
      <w:pPr>
        <w:tabs>
          <w:tab w:val="left" w:pos="0"/>
        </w:tabs>
        <w:suppressAutoHyphens/>
        <w:rPr>
          <w:rFonts w:cstheme="minorHAnsi"/>
          <w:szCs w:val="24"/>
        </w:rPr>
      </w:pPr>
    </w:p>
    <w:p w:rsidR="003333DF" w:rsidRPr="00B6102B" w:rsidP="00BE0B08" w14:paraId="4DE9DDC2" w14:textId="77777777">
      <w:pPr>
        <w:tabs>
          <w:tab w:val="left" w:pos="0"/>
        </w:tabs>
        <w:suppressAutoHyphens/>
        <w:rPr>
          <w:rFonts w:cstheme="minorHAnsi"/>
          <w:b/>
          <w:szCs w:val="24"/>
        </w:rPr>
      </w:pPr>
      <w:r w:rsidRPr="00B6102B">
        <w:rPr>
          <w:rFonts w:cstheme="minorHAnsi"/>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B6102B" w:rsidP="00ED28F2" w14:paraId="07459315" w14:textId="77777777">
      <w:pPr>
        <w:tabs>
          <w:tab w:val="left" w:pos="-720"/>
        </w:tabs>
        <w:suppressAutoHyphens/>
        <w:rPr>
          <w:rFonts w:cstheme="minorHAnsi"/>
          <w:szCs w:val="24"/>
        </w:rPr>
      </w:pPr>
    </w:p>
    <w:p w:rsidR="00154AB1" w:rsidRPr="004C4417" w:rsidP="00154AB1" w14:paraId="2981F794" w14:textId="4A0A59D3">
      <w:pPr>
        <w:tabs>
          <w:tab w:val="left" w:pos="-720"/>
        </w:tabs>
        <w:suppressAutoHyphens/>
        <w:spacing w:line="480" w:lineRule="auto"/>
        <w:rPr>
          <w:sz w:val="22"/>
        </w:rPr>
      </w:pPr>
      <w:r w:rsidRPr="004C4417">
        <w:rPr>
          <w:sz w:val="22"/>
        </w:rPr>
        <w:t>There are no questions of a sensitive nature included in this information collection.</w:t>
      </w:r>
      <w:r w:rsidR="00AA476C">
        <w:rPr>
          <w:sz w:val="22"/>
        </w:rPr>
        <w:t xml:space="preserve"> </w:t>
      </w:r>
      <w:r w:rsidRPr="00AA476C" w:rsidR="00AA476C">
        <w:rPr>
          <w:sz w:val="22"/>
        </w:rPr>
        <w:t xml:space="preserve">This information collection request has been reviewed and </w:t>
      </w:r>
      <w:r w:rsidRPr="00AA476C" w:rsidR="00AA476C">
        <w:rPr>
          <w:sz w:val="22"/>
        </w:rPr>
        <w:t>cleared</w:t>
      </w:r>
      <w:r w:rsidRPr="00AA476C" w:rsidR="00AA476C">
        <w:rPr>
          <w:sz w:val="22"/>
        </w:rPr>
        <w:t xml:space="preserve"> by USDA FNS Privacy Officer, </w:t>
      </w:r>
      <w:r w:rsidRPr="00F66133" w:rsidR="00F66133">
        <w:rPr>
          <w:sz w:val="22"/>
        </w:rPr>
        <w:t>Evlyn Hearne, on May 26, 2026</w:t>
      </w:r>
      <w:r w:rsidRPr="00F66133" w:rsidR="00AA476C">
        <w:rPr>
          <w:sz w:val="22"/>
        </w:rPr>
        <w:t>.</w:t>
      </w:r>
    </w:p>
    <w:p w:rsidR="003E1BBC" w:rsidRPr="00B6102B" w:rsidP="0039015C" w14:paraId="6A88DB34" w14:textId="77777777">
      <w:pPr>
        <w:rPr>
          <w:rFonts w:cstheme="minorHAnsi"/>
          <w:szCs w:val="24"/>
        </w:rPr>
      </w:pPr>
    </w:p>
    <w:p w:rsidR="000438E8" w:rsidRPr="004C4417" w:rsidP="0062567E" w14:paraId="6D037106" w14:textId="77777777">
      <w:pPr>
        <w:pStyle w:val="Heading1"/>
        <w:rPr>
          <w:rFonts w:ascii="Source Sans Pro" w:hAnsi="Source Sans Pro"/>
        </w:rPr>
      </w:pPr>
      <w:bookmarkStart w:id="35" w:name="_Toc401831368"/>
      <w:bookmarkStart w:id="36" w:name="_Toc401832412"/>
      <w:bookmarkStart w:id="37" w:name="_Toc229140329"/>
      <w:r w:rsidRPr="004C4417">
        <w:rPr>
          <w:rFonts w:ascii="Source Sans Pro" w:hAnsi="Source Sans Pro"/>
        </w:rPr>
        <w:t>A12.  Estimates of the hour burden of the collection of information.</w:t>
      </w:r>
      <w:bookmarkEnd w:id="35"/>
      <w:bookmarkEnd w:id="36"/>
      <w:bookmarkEnd w:id="37"/>
      <w:r w:rsidRPr="004C4417">
        <w:rPr>
          <w:rFonts w:ascii="Source Sans Pro" w:hAnsi="Source Sans Pro"/>
        </w:rPr>
        <w:t xml:space="preserve">  </w:t>
      </w:r>
    </w:p>
    <w:p w:rsidR="003333DF" w:rsidRPr="00B6102B" w:rsidP="000438E8" w14:paraId="6DFB9E20" w14:textId="77777777">
      <w:pPr>
        <w:tabs>
          <w:tab w:val="left" w:pos="0"/>
        </w:tabs>
        <w:suppressAutoHyphens/>
        <w:rPr>
          <w:rFonts w:cstheme="minorHAnsi"/>
          <w:b/>
          <w:szCs w:val="24"/>
        </w:rPr>
      </w:pPr>
    </w:p>
    <w:p w:rsidR="003333DF" w:rsidRPr="00B6102B" w:rsidP="000438E8" w14:paraId="44C93468" w14:textId="77777777">
      <w:pPr>
        <w:tabs>
          <w:tab w:val="left" w:pos="0"/>
        </w:tabs>
        <w:suppressAutoHyphens/>
        <w:rPr>
          <w:rFonts w:cstheme="minorHAnsi"/>
          <w:b/>
          <w:szCs w:val="24"/>
        </w:rPr>
      </w:pPr>
      <w:r w:rsidRPr="00B6102B">
        <w:rPr>
          <w:rFonts w:cstheme="minorHAnsi"/>
          <w:b/>
          <w:szCs w:val="24"/>
        </w:rPr>
        <w:t>Provide estimates of the hour burden of the collection of information.  Indicate the number of respondents, frequency of response, annual hour burden, and an explanation of how the burden was estimated.</w:t>
      </w:r>
    </w:p>
    <w:p w:rsidR="003333DF" w:rsidRPr="00B6102B" w:rsidP="000438E8" w14:paraId="70DF9E56" w14:textId="77777777">
      <w:pPr>
        <w:tabs>
          <w:tab w:val="left" w:pos="0"/>
        </w:tabs>
        <w:suppressAutoHyphens/>
        <w:rPr>
          <w:rFonts w:cstheme="minorHAnsi"/>
          <w:b/>
          <w:szCs w:val="24"/>
        </w:rPr>
      </w:pPr>
    </w:p>
    <w:p w:rsidR="003333DF" w:rsidRPr="00B6102B" w:rsidP="00CE23A7" w14:paraId="197DA859" w14:textId="6B2A7777">
      <w:pPr>
        <w:tabs>
          <w:tab w:val="left" w:pos="0"/>
        </w:tabs>
        <w:suppressAutoHyphens/>
        <w:ind w:left="720" w:hanging="720"/>
        <w:rPr>
          <w:rFonts w:cstheme="minorHAnsi"/>
          <w:b/>
          <w:szCs w:val="24"/>
        </w:rPr>
      </w:pPr>
      <w:r w:rsidRPr="00B6102B">
        <w:rPr>
          <w:rFonts w:cstheme="minorHAnsi"/>
          <w:b/>
          <w:szCs w:val="24"/>
        </w:rPr>
        <w:tab/>
        <w:t>A.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4C4417" w:rsidP="00ED28F2" w14:paraId="44E871BC" w14:textId="77777777">
      <w:pPr>
        <w:tabs>
          <w:tab w:val="left" w:pos="-720"/>
        </w:tabs>
        <w:suppressAutoHyphens/>
        <w:rPr>
          <w:sz w:val="22"/>
        </w:rPr>
      </w:pPr>
    </w:p>
    <w:p w:rsidR="0049126F" w:rsidRPr="004C4417" w:rsidP="004C4417" w14:paraId="25546589" w14:textId="19213A79">
      <w:pPr>
        <w:pStyle w:val="Default"/>
        <w:spacing w:line="480" w:lineRule="auto"/>
        <w:ind w:firstLine="720"/>
        <w:rPr>
          <w:rFonts w:ascii="Source Sans Pro" w:hAnsi="Source Sans Pro"/>
          <w:sz w:val="22"/>
        </w:rPr>
      </w:pPr>
      <w:r w:rsidRPr="004C4417">
        <w:rPr>
          <w:rFonts w:ascii="Source Sans Pro" w:hAnsi="Source Sans Pro"/>
          <w:sz w:val="22"/>
        </w:rPr>
        <w:t xml:space="preserve">The estimated burden for this information collection including the number of respondents, frequency of response, average time to respond and annual </w:t>
      </w:r>
      <w:r w:rsidRPr="00E96C27">
        <w:rPr>
          <w:rFonts w:ascii="Source Sans Pro" w:hAnsi="Source Sans Pro" w:cs="Calibri"/>
          <w:iCs/>
          <w:sz w:val="22"/>
          <w:szCs w:val="22"/>
        </w:rPr>
        <w:t>hour</w:t>
      </w:r>
      <w:r w:rsidRPr="00E96C27" w:rsidR="00FF6D22">
        <w:rPr>
          <w:rFonts w:ascii="Source Sans Pro" w:hAnsi="Source Sans Pro" w:cs="Calibri"/>
          <w:iCs/>
          <w:sz w:val="22"/>
          <w:szCs w:val="22"/>
        </w:rPr>
        <w:t>ly</w:t>
      </w:r>
      <w:r w:rsidRPr="00E96C27">
        <w:rPr>
          <w:rFonts w:ascii="Source Sans Pro" w:hAnsi="Source Sans Pro" w:cs="Calibri"/>
          <w:iCs/>
          <w:sz w:val="22"/>
          <w:szCs w:val="22"/>
        </w:rPr>
        <w:t xml:space="preserve"> burden are shown in the attached Burden Table (</w:t>
      </w:r>
      <w:r w:rsidRPr="00E96C27" w:rsidR="00630B61">
        <w:rPr>
          <w:rFonts w:ascii="Source Sans Pro" w:hAnsi="Source Sans Pro" w:cs="Calibri"/>
          <w:iCs/>
          <w:sz w:val="22"/>
          <w:szCs w:val="22"/>
        </w:rPr>
        <w:t>Appendix</w:t>
      </w:r>
      <w:r w:rsidRPr="00E96C27">
        <w:rPr>
          <w:rFonts w:ascii="Source Sans Pro" w:hAnsi="Source Sans Pro" w:cs="Calibri"/>
          <w:iCs/>
          <w:sz w:val="22"/>
          <w:szCs w:val="22"/>
        </w:rPr>
        <w:t xml:space="preserve"> F). </w:t>
      </w:r>
      <w:r w:rsidRPr="00E96C27" w:rsidR="00D110E9">
        <w:rPr>
          <w:rFonts w:ascii="Source Sans Pro" w:hAnsi="Source Sans Pro" w:cs="Calibri"/>
          <w:iCs/>
          <w:sz w:val="22"/>
          <w:szCs w:val="22"/>
        </w:rPr>
        <w:t xml:space="preserve"> A summary of the burden appears below.</w:t>
      </w:r>
    </w:p>
    <w:p w:rsidR="0049126F" w:rsidRPr="00E96C27" w:rsidP="00595A9A" w14:paraId="61D82F5A" w14:textId="1B95555E">
      <w:pPr>
        <w:pStyle w:val="Default"/>
        <w:spacing w:line="480" w:lineRule="auto"/>
        <w:rPr>
          <w:rFonts w:ascii="Source Sans Pro" w:hAnsi="Source Sans Pro" w:cs="Calibri"/>
          <w:b/>
          <w:bCs/>
          <w:iCs/>
          <w:sz w:val="22"/>
          <w:szCs w:val="22"/>
        </w:rPr>
      </w:pPr>
      <w:r w:rsidRPr="00E52732">
        <w:rPr>
          <w:rFonts w:ascii="Source Sans Pro" w:hAnsi="Source Sans Pro" w:cs="Calibri"/>
          <w:b/>
          <w:bCs/>
          <w:iCs/>
          <w:sz w:val="22"/>
          <w:szCs w:val="22"/>
        </w:rPr>
        <w:t>Reporting Burden</w:t>
      </w:r>
    </w:p>
    <w:p w:rsidR="003F5D80" w:rsidRPr="00E96C27" w:rsidP="00C82A1A" w14:paraId="484754C1" w14:textId="36E68A2C">
      <w:pPr>
        <w:pStyle w:val="Default"/>
        <w:spacing w:line="480" w:lineRule="auto"/>
        <w:ind w:firstLine="720"/>
        <w:rPr>
          <w:rFonts w:ascii="Source Sans Pro" w:hAnsi="Source Sans Pro" w:cs="Calibri"/>
          <w:iCs/>
          <w:sz w:val="22"/>
          <w:szCs w:val="22"/>
        </w:rPr>
      </w:pPr>
      <w:r w:rsidRPr="00E96C27">
        <w:rPr>
          <w:rFonts w:ascii="Source Sans Pro" w:hAnsi="Source Sans Pro" w:cs="Calibri"/>
          <w:iCs/>
          <w:sz w:val="22"/>
          <w:szCs w:val="22"/>
        </w:rPr>
        <w:t>FNS</w:t>
      </w:r>
      <w:r w:rsidRPr="00E96C27" w:rsidR="00595A9A">
        <w:rPr>
          <w:rFonts w:ascii="Source Sans Pro" w:hAnsi="Source Sans Pro" w:cs="Calibri"/>
          <w:iCs/>
          <w:sz w:val="22"/>
          <w:szCs w:val="22"/>
        </w:rPr>
        <w:t xml:space="preserve"> estimates approximately </w:t>
      </w:r>
      <w:r w:rsidRPr="00E96C27" w:rsidR="004C58CD">
        <w:rPr>
          <w:rFonts w:ascii="Source Sans Pro" w:hAnsi="Source Sans Pro" w:cs="Calibri"/>
          <w:iCs/>
          <w:sz w:val="22"/>
          <w:szCs w:val="22"/>
        </w:rPr>
        <w:t>20</w:t>
      </w:r>
      <w:r w:rsidRPr="00E96C27" w:rsidR="00595A9A">
        <w:rPr>
          <w:rFonts w:ascii="Source Sans Pro" w:hAnsi="Source Sans Pro" w:cs="Calibri"/>
          <w:iCs/>
          <w:sz w:val="22"/>
          <w:szCs w:val="22"/>
        </w:rPr>
        <w:t xml:space="preserve"> State agencies will </w:t>
      </w:r>
      <w:r w:rsidRPr="00E96C27" w:rsidR="00EB3D06">
        <w:rPr>
          <w:rFonts w:ascii="Source Sans Pro" w:hAnsi="Source Sans Pro" w:cs="Calibri"/>
          <w:iCs/>
          <w:sz w:val="22"/>
          <w:szCs w:val="22"/>
        </w:rPr>
        <w:t>submit</w:t>
      </w:r>
      <w:r w:rsidRPr="00E96C27" w:rsidR="00B826AD">
        <w:rPr>
          <w:rFonts w:ascii="Source Sans Pro" w:hAnsi="Source Sans Pro" w:cs="Calibri"/>
          <w:iCs/>
          <w:sz w:val="22"/>
          <w:szCs w:val="22"/>
        </w:rPr>
        <w:t xml:space="preserve"> </w:t>
      </w:r>
      <w:r w:rsidRPr="00E96C27" w:rsidR="00587BE6">
        <w:rPr>
          <w:rFonts w:ascii="Source Sans Pro" w:hAnsi="Source Sans Pro" w:cs="Calibri"/>
          <w:iCs/>
          <w:sz w:val="22"/>
          <w:szCs w:val="22"/>
        </w:rPr>
        <w:t>two (</w:t>
      </w:r>
      <w:r w:rsidRPr="00E96C27" w:rsidR="00BD6321">
        <w:rPr>
          <w:rFonts w:ascii="Source Sans Pro" w:hAnsi="Source Sans Pro" w:cs="Calibri"/>
          <w:iCs/>
          <w:sz w:val="22"/>
          <w:szCs w:val="22"/>
        </w:rPr>
        <w:t>2</w:t>
      </w:r>
      <w:r w:rsidRPr="00E96C27" w:rsidR="00587BE6">
        <w:rPr>
          <w:rFonts w:ascii="Source Sans Pro" w:hAnsi="Source Sans Pro" w:cs="Calibri"/>
          <w:iCs/>
          <w:sz w:val="22"/>
          <w:szCs w:val="22"/>
        </w:rPr>
        <w:t>)</w:t>
      </w:r>
      <w:r w:rsidRPr="00E96C27" w:rsidR="00BD6321">
        <w:rPr>
          <w:rFonts w:ascii="Source Sans Pro" w:hAnsi="Source Sans Pro" w:cs="Calibri"/>
          <w:iCs/>
          <w:sz w:val="22"/>
          <w:szCs w:val="22"/>
        </w:rPr>
        <w:t xml:space="preserve"> major change</w:t>
      </w:r>
      <w:r w:rsidRPr="00E96C27" w:rsidR="002770DE">
        <w:rPr>
          <w:rFonts w:ascii="Source Sans Pro" w:hAnsi="Source Sans Pro" w:cs="Calibri"/>
          <w:iCs/>
          <w:sz w:val="22"/>
          <w:szCs w:val="22"/>
        </w:rPr>
        <w:t xml:space="preserve"> notifications</w:t>
      </w:r>
      <w:r w:rsidRPr="00E96C27" w:rsidR="00595A9A">
        <w:rPr>
          <w:rFonts w:ascii="Source Sans Pro" w:hAnsi="Source Sans Pro" w:cs="Calibri"/>
          <w:iCs/>
          <w:sz w:val="22"/>
          <w:szCs w:val="22"/>
        </w:rPr>
        <w:t xml:space="preserve"> </w:t>
      </w:r>
      <w:r w:rsidRPr="00E96C27" w:rsidR="00454923">
        <w:rPr>
          <w:rFonts w:ascii="Source Sans Pro" w:hAnsi="Source Sans Pro" w:cs="Calibri"/>
          <w:iCs/>
          <w:sz w:val="22"/>
          <w:szCs w:val="22"/>
        </w:rPr>
        <w:t xml:space="preserve">annually </w:t>
      </w:r>
      <w:r w:rsidRPr="00E96C27" w:rsidR="00F82EC7">
        <w:rPr>
          <w:rFonts w:ascii="Source Sans Pro" w:hAnsi="Source Sans Pro" w:cs="Calibri"/>
          <w:iCs/>
          <w:sz w:val="22"/>
          <w:szCs w:val="22"/>
        </w:rPr>
        <w:t>(Appendix C)</w:t>
      </w:r>
      <w:r w:rsidRPr="00E96C27" w:rsidR="002B34FD">
        <w:rPr>
          <w:rFonts w:ascii="Source Sans Pro" w:hAnsi="Source Sans Pro" w:cs="Calibri"/>
          <w:iCs/>
          <w:sz w:val="22"/>
          <w:szCs w:val="22"/>
        </w:rPr>
        <w:t xml:space="preserve">, </w:t>
      </w:r>
      <w:r w:rsidRPr="00E96C27" w:rsidR="006D4186">
        <w:rPr>
          <w:rFonts w:ascii="Source Sans Pro" w:hAnsi="Source Sans Pro" w:cs="Calibri"/>
          <w:iCs/>
          <w:sz w:val="22"/>
          <w:szCs w:val="22"/>
        </w:rPr>
        <w:t xml:space="preserve">resulting in </w:t>
      </w:r>
      <w:r w:rsidRPr="00E96C27" w:rsidR="002B34FD">
        <w:rPr>
          <w:rFonts w:ascii="Source Sans Pro" w:hAnsi="Source Sans Pro" w:cs="Calibri"/>
          <w:iCs/>
          <w:sz w:val="22"/>
          <w:szCs w:val="22"/>
        </w:rPr>
        <w:t xml:space="preserve">a total </w:t>
      </w:r>
      <w:r w:rsidRPr="004C4417" w:rsidR="002B34FD">
        <w:rPr>
          <w:rFonts w:ascii="Source Sans Pro" w:hAnsi="Source Sans Pro"/>
          <w:sz w:val="22"/>
        </w:rPr>
        <w:t xml:space="preserve">of </w:t>
      </w:r>
      <w:r w:rsidRPr="00E96C27" w:rsidR="007B006C">
        <w:rPr>
          <w:rFonts w:ascii="Source Sans Pro" w:hAnsi="Source Sans Pro" w:cs="Calibri"/>
          <w:iCs/>
          <w:sz w:val="22"/>
          <w:szCs w:val="22"/>
        </w:rPr>
        <w:t xml:space="preserve">40 </w:t>
      </w:r>
      <w:r w:rsidRPr="00E96C27" w:rsidR="003E0841">
        <w:rPr>
          <w:rFonts w:ascii="Source Sans Pro" w:hAnsi="Source Sans Pro" w:cs="Calibri"/>
          <w:iCs/>
          <w:sz w:val="22"/>
          <w:szCs w:val="22"/>
        </w:rPr>
        <w:t>responses</w:t>
      </w:r>
      <w:r w:rsidRPr="00E96C27" w:rsidR="006D4186">
        <w:rPr>
          <w:rFonts w:ascii="Source Sans Pro" w:hAnsi="Source Sans Pro" w:cs="Calibri"/>
          <w:iCs/>
          <w:sz w:val="22"/>
          <w:szCs w:val="22"/>
        </w:rPr>
        <w:t>.</w:t>
      </w:r>
      <w:r w:rsidRPr="00E96C27" w:rsidR="003E1144">
        <w:rPr>
          <w:rFonts w:ascii="Source Sans Pro" w:hAnsi="Source Sans Pro" w:cs="Calibri"/>
          <w:iCs/>
          <w:sz w:val="22"/>
          <w:szCs w:val="22"/>
        </w:rPr>
        <w:t xml:space="preserve"> </w:t>
      </w:r>
      <w:r w:rsidRPr="00E96C27" w:rsidR="003C6449">
        <w:rPr>
          <w:rFonts w:ascii="Source Sans Pro" w:hAnsi="Source Sans Pro" w:cs="Calibri"/>
          <w:iCs/>
          <w:sz w:val="22"/>
          <w:szCs w:val="22"/>
        </w:rPr>
        <w:t xml:space="preserve">At an estimated </w:t>
      </w:r>
      <w:r w:rsidR="000B52FF">
        <w:rPr>
          <w:rFonts w:ascii="Source Sans Pro" w:hAnsi="Source Sans Pro" w:cs="Calibri"/>
          <w:iCs/>
          <w:sz w:val="22"/>
          <w:szCs w:val="22"/>
        </w:rPr>
        <w:t>7</w:t>
      </w:r>
      <w:r w:rsidRPr="00E96C27" w:rsidR="000B52FF">
        <w:rPr>
          <w:rFonts w:ascii="Source Sans Pro" w:hAnsi="Source Sans Pro" w:cs="Calibri"/>
          <w:iCs/>
          <w:sz w:val="22"/>
          <w:szCs w:val="22"/>
        </w:rPr>
        <w:t xml:space="preserve">0 </w:t>
      </w:r>
      <w:r w:rsidRPr="00E96C27" w:rsidR="0039430C">
        <w:rPr>
          <w:rFonts w:ascii="Source Sans Pro" w:hAnsi="Source Sans Pro" w:cs="Calibri"/>
          <w:iCs/>
          <w:sz w:val="22"/>
          <w:szCs w:val="22"/>
        </w:rPr>
        <w:t>hours per response</w:t>
      </w:r>
      <w:r w:rsidRPr="00E96C27" w:rsidR="003C6449">
        <w:rPr>
          <w:rFonts w:ascii="Source Sans Pro" w:hAnsi="Source Sans Pro" w:cs="Calibri"/>
          <w:iCs/>
          <w:sz w:val="22"/>
          <w:szCs w:val="22"/>
        </w:rPr>
        <w:t xml:space="preserve">, </w:t>
      </w:r>
      <w:r w:rsidRPr="004C4417" w:rsidR="003C6449">
        <w:rPr>
          <w:rFonts w:ascii="Source Sans Pro" w:hAnsi="Source Sans Pro"/>
          <w:sz w:val="22"/>
        </w:rPr>
        <w:t xml:space="preserve">the </w:t>
      </w:r>
      <w:r w:rsidRPr="00E96C27" w:rsidR="003C6449">
        <w:rPr>
          <w:rFonts w:ascii="Source Sans Pro" w:hAnsi="Source Sans Pro" w:cs="Calibri"/>
          <w:iCs/>
          <w:sz w:val="22"/>
          <w:szCs w:val="22"/>
        </w:rPr>
        <w:t>total</w:t>
      </w:r>
      <w:r w:rsidRPr="00E96C27" w:rsidR="00F91826">
        <w:rPr>
          <w:rFonts w:ascii="Source Sans Pro" w:hAnsi="Source Sans Pro" w:cs="Calibri"/>
          <w:iCs/>
          <w:sz w:val="22"/>
          <w:szCs w:val="22"/>
        </w:rPr>
        <w:t xml:space="preserve"> annual burden for notifying </w:t>
      </w:r>
      <w:r w:rsidRPr="00E96C27">
        <w:rPr>
          <w:rFonts w:ascii="Source Sans Pro" w:hAnsi="Source Sans Pro" w:cs="Calibri"/>
          <w:iCs/>
          <w:sz w:val="22"/>
          <w:szCs w:val="22"/>
        </w:rPr>
        <w:t>FNS</w:t>
      </w:r>
      <w:r w:rsidRPr="00E96C27" w:rsidR="00F91826">
        <w:rPr>
          <w:rFonts w:ascii="Source Sans Pro" w:hAnsi="Source Sans Pro" w:cs="Calibri"/>
          <w:iCs/>
          <w:sz w:val="22"/>
          <w:szCs w:val="22"/>
        </w:rPr>
        <w:t xml:space="preserve"> of major changes in SNAP design</w:t>
      </w:r>
      <w:r w:rsidRPr="00E96C27" w:rsidR="00115168">
        <w:rPr>
          <w:rFonts w:ascii="Source Sans Pro" w:hAnsi="Source Sans Pro" w:cs="Calibri"/>
          <w:iCs/>
          <w:sz w:val="22"/>
          <w:szCs w:val="22"/>
        </w:rPr>
        <w:t xml:space="preserve"> is projected to be</w:t>
      </w:r>
      <w:r w:rsidRPr="00E96C27" w:rsidR="00595A9A">
        <w:rPr>
          <w:rFonts w:ascii="Source Sans Pro" w:hAnsi="Source Sans Pro" w:cs="Calibri"/>
          <w:iCs/>
          <w:sz w:val="22"/>
          <w:szCs w:val="22"/>
        </w:rPr>
        <w:t xml:space="preserve"> </w:t>
      </w:r>
      <w:r w:rsidRPr="00E96C27" w:rsidR="00F77659">
        <w:rPr>
          <w:rFonts w:ascii="Source Sans Pro" w:hAnsi="Source Sans Pro" w:cs="Calibri"/>
          <w:iCs/>
          <w:sz w:val="22"/>
          <w:szCs w:val="22"/>
        </w:rPr>
        <w:t>2,</w:t>
      </w:r>
      <w:r w:rsidR="000B52FF">
        <w:rPr>
          <w:rFonts w:ascii="Source Sans Pro" w:hAnsi="Source Sans Pro" w:cs="Calibri"/>
          <w:iCs/>
          <w:sz w:val="22"/>
          <w:szCs w:val="22"/>
        </w:rPr>
        <w:t>8</w:t>
      </w:r>
      <w:r w:rsidRPr="00E96C27" w:rsidR="000B52FF">
        <w:rPr>
          <w:rFonts w:ascii="Source Sans Pro" w:hAnsi="Source Sans Pro" w:cs="Calibri"/>
          <w:iCs/>
          <w:sz w:val="22"/>
          <w:szCs w:val="22"/>
        </w:rPr>
        <w:t xml:space="preserve">00 </w:t>
      </w:r>
      <w:r w:rsidRPr="00E96C27" w:rsidR="00595A9A">
        <w:rPr>
          <w:rFonts w:ascii="Source Sans Pro" w:hAnsi="Source Sans Pro" w:cs="Calibri"/>
          <w:iCs/>
          <w:sz w:val="22"/>
          <w:szCs w:val="22"/>
        </w:rPr>
        <w:t>hours</w:t>
      </w:r>
      <w:r w:rsidRPr="00E96C27" w:rsidR="007A08CB">
        <w:rPr>
          <w:rFonts w:ascii="Source Sans Pro" w:hAnsi="Source Sans Pro" w:cs="Calibri"/>
          <w:iCs/>
          <w:sz w:val="22"/>
          <w:szCs w:val="22"/>
        </w:rPr>
        <w:t xml:space="preserve"> (</w:t>
      </w:r>
      <w:r w:rsidRPr="00E96C27" w:rsidR="004C58CD">
        <w:rPr>
          <w:rFonts w:ascii="Source Sans Pro" w:hAnsi="Source Sans Pro" w:cs="Calibri"/>
          <w:iCs/>
          <w:sz w:val="22"/>
          <w:szCs w:val="22"/>
        </w:rPr>
        <w:t>20</w:t>
      </w:r>
      <w:r w:rsidRPr="00E96C27" w:rsidR="009C454E">
        <w:rPr>
          <w:rFonts w:ascii="Source Sans Pro" w:hAnsi="Source Sans Pro" w:cs="Calibri"/>
          <w:iCs/>
          <w:sz w:val="22"/>
          <w:szCs w:val="22"/>
        </w:rPr>
        <w:t xml:space="preserve"> State agencies x 2 major</w:t>
      </w:r>
      <w:r w:rsidRPr="00E96C27" w:rsidR="00FF3275">
        <w:rPr>
          <w:rFonts w:ascii="Source Sans Pro" w:hAnsi="Source Sans Pro" w:cs="Calibri"/>
          <w:iCs/>
          <w:sz w:val="22"/>
          <w:szCs w:val="22"/>
        </w:rPr>
        <w:t xml:space="preserve"> change notifications</w:t>
      </w:r>
      <w:r w:rsidRPr="00E96C27" w:rsidR="007A7F3A">
        <w:rPr>
          <w:rFonts w:ascii="Source Sans Pro" w:hAnsi="Source Sans Pro" w:cs="Calibri"/>
          <w:iCs/>
          <w:sz w:val="22"/>
          <w:szCs w:val="22"/>
        </w:rPr>
        <w:t xml:space="preserve"> per State agency</w:t>
      </w:r>
      <w:r w:rsidRPr="00E96C27" w:rsidR="003764C0">
        <w:rPr>
          <w:rFonts w:ascii="Source Sans Pro" w:hAnsi="Source Sans Pro" w:cs="Calibri"/>
          <w:iCs/>
          <w:sz w:val="22"/>
          <w:szCs w:val="22"/>
        </w:rPr>
        <w:t xml:space="preserve"> x</w:t>
      </w:r>
      <w:r w:rsidR="000B52FF">
        <w:rPr>
          <w:rFonts w:ascii="Source Sans Pro" w:hAnsi="Source Sans Pro" w:cs="Calibri"/>
          <w:iCs/>
          <w:sz w:val="22"/>
          <w:szCs w:val="22"/>
        </w:rPr>
        <w:t>7</w:t>
      </w:r>
      <w:r w:rsidRPr="00E96C27" w:rsidR="003764C0">
        <w:rPr>
          <w:rFonts w:ascii="Source Sans Pro" w:hAnsi="Source Sans Pro" w:cs="Calibri"/>
          <w:iCs/>
          <w:sz w:val="22"/>
          <w:szCs w:val="22"/>
        </w:rPr>
        <w:t>0</w:t>
      </w:r>
      <w:r w:rsidRPr="00E96C27" w:rsidR="00B51043">
        <w:rPr>
          <w:rFonts w:ascii="Source Sans Pro" w:hAnsi="Source Sans Pro" w:cs="Calibri"/>
          <w:iCs/>
          <w:sz w:val="22"/>
          <w:szCs w:val="22"/>
        </w:rPr>
        <w:t xml:space="preserve"> hours per </w:t>
      </w:r>
      <w:r w:rsidRPr="00E96C27" w:rsidR="00E84A0C">
        <w:rPr>
          <w:rFonts w:ascii="Source Sans Pro" w:hAnsi="Source Sans Pro" w:cs="Calibri"/>
          <w:iCs/>
          <w:sz w:val="22"/>
          <w:szCs w:val="22"/>
        </w:rPr>
        <w:t>response</w:t>
      </w:r>
      <w:r w:rsidRPr="00E96C27" w:rsidR="00B51043">
        <w:rPr>
          <w:rFonts w:ascii="Source Sans Pro" w:hAnsi="Source Sans Pro" w:cs="Calibri"/>
          <w:iCs/>
          <w:sz w:val="22"/>
          <w:szCs w:val="22"/>
        </w:rPr>
        <w:t xml:space="preserve"> = </w:t>
      </w:r>
      <w:r w:rsidRPr="00E96C27" w:rsidR="00F77659">
        <w:rPr>
          <w:rFonts w:ascii="Source Sans Pro" w:hAnsi="Source Sans Pro" w:cs="Calibri"/>
          <w:iCs/>
          <w:sz w:val="22"/>
          <w:szCs w:val="22"/>
        </w:rPr>
        <w:t>2,</w:t>
      </w:r>
      <w:r w:rsidR="000B52FF">
        <w:rPr>
          <w:rFonts w:ascii="Source Sans Pro" w:hAnsi="Source Sans Pro" w:cs="Calibri"/>
          <w:iCs/>
          <w:sz w:val="22"/>
          <w:szCs w:val="22"/>
        </w:rPr>
        <w:t>8</w:t>
      </w:r>
      <w:r w:rsidRPr="00E96C27" w:rsidR="000B52FF">
        <w:rPr>
          <w:rFonts w:ascii="Source Sans Pro" w:hAnsi="Source Sans Pro" w:cs="Calibri"/>
          <w:iCs/>
          <w:sz w:val="22"/>
          <w:szCs w:val="22"/>
        </w:rPr>
        <w:t xml:space="preserve">00 </w:t>
      </w:r>
      <w:r w:rsidRPr="00E96C27" w:rsidR="001C63BA">
        <w:rPr>
          <w:rFonts w:ascii="Source Sans Pro" w:hAnsi="Source Sans Pro" w:cs="Calibri"/>
          <w:iCs/>
          <w:sz w:val="22"/>
          <w:szCs w:val="22"/>
        </w:rPr>
        <w:t>estimated</w:t>
      </w:r>
      <w:r w:rsidRPr="00E96C27" w:rsidR="002E05FB">
        <w:rPr>
          <w:rFonts w:ascii="Source Sans Pro" w:hAnsi="Source Sans Pro" w:cs="Calibri"/>
          <w:iCs/>
          <w:sz w:val="22"/>
          <w:szCs w:val="22"/>
        </w:rPr>
        <w:t xml:space="preserve"> total burden</w:t>
      </w:r>
      <w:r w:rsidRPr="00E96C27" w:rsidR="001C63BA">
        <w:rPr>
          <w:rFonts w:ascii="Source Sans Pro" w:hAnsi="Source Sans Pro" w:cs="Calibri"/>
          <w:iCs/>
          <w:sz w:val="22"/>
          <w:szCs w:val="22"/>
        </w:rPr>
        <w:t xml:space="preserve"> </w:t>
      </w:r>
      <w:r w:rsidRPr="00E96C27" w:rsidR="00805E13">
        <w:rPr>
          <w:rFonts w:ascii="Source Sans Pro" w:hAnsi="Source Sans Pro" w:cs="Calibri"/>
          <w:iCs/>
          <w:sz w:val="22"/>
          <w:szCs w:val="22"/>
        </w:rPr>
        <w:t>hours</w:t>
      </w:r>
      <w:r w:rsidRPr="00E96C27" w:rsidR="002D4C5F">
        <w:rPr>
          <w:rFonts w:ascii="Source Sans Pro" w:hAnsi="Source Sans Pro" w:cs="Calibri"/>
          <w:iCs/>
          <w:sz w:val="22"/>
          <w:szCs w:val="22"/>
        </w:rPr>
        <w:t>)</w:t>
      </w:r>
      <w:r w:rsidRPr="00E96C27" w:rsidR="00595A9A">
        <w:rPr>
          <w:rFonts w:ascii="Source Sans Pro" w:hAnsi="Source Sans Pro" w:cs="Calibri"/>
          <w:iCs/>
          <w:sz w:val="22"/>
          <w:szCs w:val="22"/>
        </w:rPr>
        <w:t xml:space="preserve">. </w:t>
      </w:r>
      <w:r w:rsidRPr="00E96C27" w:rsidR="003D4914">
        <w:rPr>
          <w:rFonts w:ascii="Source Sans Pro" w:hAnsi="Source Sans Pro" w:cs="Calibri"/>
          <w:iCs/>
          <w:sz w:val="22"/>
          <w:szCs w:val="22"/>
        </w:rPr>
        <w:t xml:space="preserve"> </w:t>
      </w:r>
      <w:bookmarkStart w:id="38" w:name="_Hlk196928464"/>
      <w:r w:rsidRPr="00E96C27" w:rsidR="00BB1985">
        <w:rPr>
          <w:rFonts w:ascii="Source Sans Pro" w:hAnsi="Source Sans Pro" w:cs="Calibri"/>
          <w:iCs/>
          <w:sz w:val="22"/>
          <w:szCs w:val="22"/>
        </w:rPr>
        <w:t xml:space="preserve">This reflects </w:t>
      </w:r>
      <w:r w:rsidRPr="00E96C27" w:rsidR="003D4914">
        <w:rPr>
          <w:rFonts w:ascii="Source Sans Pro" w:hAnsi="Source Sans Pro" w:cs="Calibri"/>
          <w:iCs/>
          <w:sz w:val="22"/>
          <w:szCs w:val="22"/>
        </w:rPr>
        <w:t xml:space="preserve">an increase of </w:t>
      </w:r>
      <w:r w:rsidR="00DE5319">
        <w:rPr>
          <w:rFonts w:ascii="Source Sans Pro" w:hAnsi="Source Sans Pro" w:cs="Calibri"/>
          <w:iCs/>
          <w:sz w:val="22"/>
          <w:szCs w:val="22"/>
        </w:rPr>
        <w:t>2</w:t>
      </w:r>
      <w:r w:rsidRPr="00E96C27" w:rsidR="00900845">
        <w:rPr>
          <w:rFonts w:ascii="Source Sans Pro" w:hAnsi="Source Sans Pro" w:cs="Calibri"/>
          <w:iCs/>
          <w:sz w:val="22"/>
          <w:szCs w:val="22"/>
        </w:rPr>
        <w:t>,</w:t>
      </w:r>
      <w:r w:rsidR="00DE5319">
        <w:rPr>
          <w:rFonts w:ascii="Source Sans Pro" w:hAnsi="Source Sans Pro" w:cs="Calibri"/>
          <w:iCs/>
          <w:sz w:val="22"/>
          <w:szCs w:val="22"/>
        </w:rPr>
        <w:t>0</w:t>
      </w:r>
      <w:r w:rsidRPr="00E96C27" w:rsidR="00900845">
        <w:rPr>
          <w:rFonts w:ascii="Source Sans Pro" w:hAnsi="Source Sans Pro" w:cs="Calibri"/>
          <w:iCs/>
          <w:sz w:val="22"/>
          <w:szCs w:val="22"/>
        </w:rPr>
        <w:t>20</w:t>
      </w:r>
      <w:r w:rsidRPr="00E96C27" w:rsidR="003D4914">
        <w:rPr>
          <w:rFonts w:ascii="Source Sans Pro" w:hAnsi="Source Sans Pro" w:cs="Calibri"/>
          <w:iCs/>
          <w:sz w:val="22"/>
          <w:szCs w:val="22"/>
        </w:rPr>
        <w:t xml:space="preserve"> hours </w:t>
      </w:r>
      <w:r w:rsidRPr="00E96C27" w:rsidR="00B96907">
        <w:rPr>
          <w:rFonts w:ascii="Source Sans Pro" w:hAnsi="Source Sans Pro" w:cs="Calibri"/>
          <w:iCs/>
          <w:sz w:val="22"/>
          <w:szCs w:val="22"/>
        </w:rPr>
        <w:t xml:space="preserve">compared to </w:t>
      </w:r>
      <w:r w:rsidRPr="004C4417" w:rsidR="003D4914">
        <w:rPr>
          <w:rFonts w:ascii="Source Sans Pro" w:hAnsi="Source Sans Pro"/>
          <w:sz w:val="22"/>
        </w:rPr>
        <w:t xml:space="preserve">the </w:t>
      </w:r>
      <w:r w:rsidRPr="00E96C27" w:rsidR="003D4914">
        <w:rPr>
          <w:rFonts w:ascii="Source Sans Pro" w:hAnsi="Source Sans Pro" w:cs="Calibri"/>
          <w:iCs/>
          <w:sz w:val="22"/>
          <w:szCs w:val="22"/>
        </w:rPr>
        <w:t>previous submission</w:t>
      </w:r>
      <w:r w:rsidRPr="00E96C27" w:rsidR="00B96907">
        <w:rPr>
          <w:rFonts w:ascii="Source Sans Pro" w:hAnsi="Source Sans Pro" w:cs="Calibri"/>
          <w:iCs/>
          <w:sz w:val="22"/>
          <w:szCs w:val="22"/>
        </w:rPr>
        <w:t>.</w:t>
      </w:r>
      <w:r w:rsidRPr="00E96C27" w:rsidR="00B44F23">
        <w:rPr>
          <w:rFonts w:ascii="Source Sans Pro" w:hAnsi="Source Sans Pro" w:cs="Calibri"/>
          <w:iCs/>
          <w:sz w:val="22"/>
          <w:szCs w:val="22"/>
        </w:rPr>
        <w:t xml:space="preserve"> </w:t>
      </w:r>
      <w:r w:rsidRPr="00E96C27" w:rsidR="00B72D91">
        <w:rPr>
          <w:rFonts w:ascii="Source Sans Pro" w:hAnsi="Source Sans Pro" w:cs="Calibri"/>
          <w:iCs/>
          <w:sz w:val="22"/>
          <w:szCs w:val="22"/>
        </w:rPr>
        <w:t xml:space="preserve">The per response </w:t>
      </w:r>
      <w:r w:rsidRPr="00E96C27" w:rsidR="00E5237F">
        <w:rPr>
          <w:rFonts w:ascii="Source Sans Pro" w:hAnsi="Source Sans Pro" w:cs="Calibri"/>
          <w:iCs/>
          <w:sz w:val="22"/>
          <w:szCs w:val="22"/>
        </w:rPr>
        <w:t xml:space="preserve">estimate </w:t>
      </w:r>
      <w:r w:rsidR="00970914">
        <w:rPr>
          <w:rFonts w:ascii="Source Sans Pro" w:hAnsi="Source Sans Pro" w:cs="Calibri"/>
          <w:iCs/>
          <w:sz w:val="22"/>
          <w:szCs w:val="22"/>
        </w:rPr>
        <w:t xml:space="preserve">was adjusted from </w:t>
      </w:r>
      <w:r w:rsidR="00CA3662">
        <w:rPr>
          <w:rFonts w:ascii="Source Sans Pro" w:hAnsi="Source Sans Pro" w:cs="Calibri"/>
          <w:iCs/>
          <w:sz w:val="22"/>
          <w:szCs w:val="22"/>
        </w:rPr>
        <w:t>60 hours per response to 70 hours per response as a result of State a</w:t>
      </w:r>
      <w:r w:rsidR="001D2F27">
        <w:rPr>
          <w:rFonts w:ascii="Source Sans Pro" w:hAnsi="Source Sans Pro" w:cs="Calibri"/>
          <w:iCs/>
          <w:sz w:val="22"/>
          <w:szCs w:val="22"/>
        </w:rPr>
        <w:t>gency consultations.</w:t>
      </w:r>
      <w:r w:rsidRPr="00E96C27" w:rsidR="00B72D91">
        <w:rPr>
          <w:rFonts w:ascii="Source Sans Pro" w:hAnsi="Source Sans Pro" w:cs="Calibri"/>
          <w:iCs/>
          <w:sz w:val="22"/>
          <w:szCs w:val="22"/>
        </w:rPr>
        <w:t xml:space="preserve"> </w:t>
      </w:r>
    </w:p>
    <w:bookmarkEnd w:id="38"/>
    <w:p w:rsidR="00770180" w:rsidRPr="00E96C27" w:rsidP="00354792" w14:paraId="3CA6C2FD" w14:textId="28377F74">
      <w:pPr>
        <w:pStyle w:val="Default"/>
        <w:spacing w:line="480" w:lineRule="auto"/>
        <w:ind w:firstLine="720"/>
        <w:rPr>
          <w:rFonts w:ascii="Source Sans Pro" w:hAnsi="Source Sans Pro" w:cs="Calibri"/>
          <w:iCs/>
          <w:sz w:val="22"/>
          <w:szCs w:val="22"/>
        </w:rPr>
      </w:pPr>
      <w:r w:rsidRPr="00E96C27">
        <w:rPr>
          <w:rFonts w:ascii="Source Sans Pro" w:hAnsi="Source Sans Pro" w:cs="Calibri"/>
          <w:iCs/>
          <w:sz w:val="22"/>
          <w:szCs w:val="22"/>
        </w:rPr>
        <w:t>O</w:t>
      </w:r>
      <w:r w:rsidRPr="00E96C27" w:rsidR="0029200E">
        <w:rPr>
          <w:rFonts w:ascii="Source Sans Pro" w:hAnsi="Source Sans Pro" w:cs="Calibri"/>
          <w:iCs/>
          <w:sz w:val="22"/>
          <w:szCs w:val="22"/>
        </w:rPr>
        <w:t xml:space="preserve">f the </w:t>
      </w:r>
      <w:r w:rsidRPr="00E96C27" w:rsidR="004C58CD">
        <w:rPr>
          <w:rFonts w:ascii="Source Sans Pro" w:hAnsi="Source Sans Pro" w:cs="Calibri"/>
          <w:iCs/>
          <w:sz w:val="22"/>
          <w:szCs w:val="22"/>
        </w:rPr>
        <w:t>20</w:t>
      </w:r>
      <w:r w:rsidRPr="00E96C27" w:rsidR="00595A9A">
        <w:rPr>
          <w:rFonts w:ascii="Source Sans Pro" w:hAnsi="Source Sans Pro" w:cs="Calibri"/>
          <w:iCs/>
          <w:sz w:val="22"/>
          <w:szCs w:val="22"/>
        </w:rPr>
        <w:t xml:space="preserve"> </w:t>
      </w:r>
      <w:r w:rsidRPr="00E96C27" w:rsidR="001D3CF8">
        <w:rPr>
          <w:rFonts w:ascii="Source Sans Pro" w:hAnsi="Source Sans Pro" w:cs="Calibri"/>
          <w:iCs/>
          <w:sz w:val="22"/>
          <w:szCs w:val="22"/>
        </w:rPr>
        <w:t>State agenc</w:t>
      </w:r>
      <w:r w:rsidRPr="00E96C27" w:rsidR="00741166">
        <w:rPr>
          <w:rFonts w:ascii="Source Sans Pro" w:hAnsi="Source Sans Pro" w:cs="Calibri"/>
          <w:iCs/>
          <w:sz w:val="22"/>
          <w:szCs w:val="22"/>
        </w:rPr>
        <w:t xml:space="preserve">ies </w:t>
      </w:r>
      <w:r w:rsidRPr="00E96C27" w:rsidR="008A6CFC">
        <w:rPr>
          <w:rFonts w:ascii="Source Sans Pro" w:hAnsi="Source Sans Pro" w:cs="Calibri"/>
          <w:iCs/>
          <w:sz w:val="22"/>
          <w:szCs w:val="22"/>
        </w:rPr>
        <w:t xml:space="preserve">submitting </w:t>
      </w:r>
      <w:r w:rsidRPr="00E96C27" w:rsidR="0031356A">
        <w:rPr>
          <w:rFonts w:ascii="Source Sans Pro" w:hAnsi="Source Sans Pro" w:cs="Calibri"/>
          <w:iCs/>
          <w:sz w:val="22"/>
          <w:szCs w:val="22"/>
        </w:rPr>
        <w:t xml:space="preserve">major change </w:t>
      </w:r>
      <w:r w:rsidRPr="00E96C27" w:rsidR="008A6CFC">
        <w:rPr>
          <w:rFonts w:ascii="Source Sans Pro" w:hAnsi="Source Sans Pro" w:cs="Calibri"/>
          <w:iCs/>
          <w:sz w:val="22"/>
          <w:szCs w:val="22"/>
        </w:rPr>
        <w:t xml:space="preserve">notifications, </w:t>
      </w:r>
      <w:r w:rsidRPr="00E96C27" w:rsidR="007542BA">
        <w:rPr>
          <w:rFonts w:ascii="Source Sans Pro" w:hAnsi="Source Sans Pro" w:cs="Calibri"/>
          <w:iCs/>
          <w:sz w:val="22"/>
          <w:szCs w:val="22"/>
        </w:rPr>
        <w:t>FNS</w:t>
      </w:r>
      <w:r w:rsidRPr="004C4417" w:rsidR="008A6CFC">
        <w:rPr>
          <w:rFonts w:ascii="Source Sans Pro" w:hAnsi="Source Sans Pro"/>
          <w:sz w:val="22"/>
        </w:rPr>
        <w:t xml:space="preserve"> estimates that </w:t>
      </w:r>
      <w:r w:rsidRPr="00E96C27" w:rsidR="00900845">
        <w:rPr>
          <w:rFonts w:ascii="Source Sans Pro" w:hAnsi="Source Sans Pro" w:cs="Calibri"/>
          <w:iCs/>
          <w:sz w:val="22"/>
          <w:szCs w:val="22"/>
        </w:rPr>
        <w:t>33</w:t>
      </w:r>
      <w:r w:rsidRPr="00E96C27" w:rsidR="008A6CFC">
        <w:rPr>
          <w:rFonts w:ascii="Source Sans Pro" w:hAnsi="Source Sans Pro" w:cs="Calibri"/>
          <w:iCs/>
          <w:sz w:val="22"/>
          <w:szCs w:val="22"/>
        </w:rPr>
        <w:t xml:space="preserve"> notifications (an increase of </w:t>
      </w:r>
      <w:r w:rsidRPr="00E96C27" w:rsidR="00900845">
        <w:rPr>
          <w:rFonts w:ascii="Source Sans Pro" w:hAnsi="Source Sans Pro" w:cs="Calibri"/>
          <w:iCs/>
          <w:sz w:val="22"/>
          <w:szCs w:val="22"/>
        </w:rPr>
        <w:t>25</w:t>
      </w:r>
      <w:r w:rsidRPr="00E96C27" w:rsidR="008A6CFC">
        <w:rPr>
          <w:rFonts w:ascii="Source Sans Pro" w:hAnsi="Source Sans Pro" w:cs="Calibri"/>
          <w:iCs/>
          <w:sz w:val="22"/>
          <w:szCs w:val="22"/>
        </w:rPr>
        <w:t>)</w:t>
      </w:r>
      <w:r w:rsidRPr="004C4417" w:rsidR="008A6CFC">
        <w:rPr>
          <w:rFonts w:ascii="Source Sans Pro" w:hAnsi="Source Sans Pro"/>
          <w:sz w:val="22"/>
        </w:rPr>
        <w:t xml:space="preserve"> will qualify </w:t>
      </w:r>
      <w:r w:rsidRPr="00E96C27" w:rsidR="008A6CFC">
        <w:rPr>
          <w:rFonts w:ascii="Source Sans Pro" w:hAnsi="Source Sans Pro" w:cs="Calibri"/>
          <w:iCs/>
          <w:sz w:val="22"/>
          <w:szCs w:val="22"/>
        </w:rPr>
        <w:t>as</w:t>
      </w:r>
      <w:r w:rsidRPr="004C4417" w:rsidR="008A6CFC">
        <w:rPr>
          <w:rFonts w:ascii="Source Sans Pro" w:hAnsi="Source Sans Pro"/>
          <w:sz w:val="22"/>
        </w:rPr>
        <w:t xml:space="preserve"> major </w:t>
      </w:r>
      <w:r w:rsidRPr="00E96C27" w:rsidR="008A6CFC">
        <w:rPr>
          <w:rFonts w:ascii="Source Sans Pro" w:hAnsi="Source Sans Pro" w:cs="Calibri"/>
          <w:iCs/>
          <w:sz w:val="22"/>
          <w:szCs w:val="22"/>
        </w:rPr>
        <w:t>changes</w:t>
      </w:r>
      <w:r w:rsidRPr="004C4417" w:rsidR="008A6CFC">
        <w:rPr>
          <w:rFonts w:ascii="Source Sans Pro" w:hAnsi="Source Sans Pro"/>
          <w:sz w:val="22"/>
        </w:rPr>
        <w:t xml:space="preserve"> requiring </w:t>
      </w:r>
      <w:r w:rsidRPr="00E96C27" w:rsidR="008A6CFC">
        <w:rPr>
          <w:rFonts w:ascii="Source Sans Pro" w:hAnsi="Source Sans Pro" w:cs="Calibri"/>
          <w:iCs/>
          <w:sz w:val="22"/>
          <w:szCs w:val="22"/>
        </w:rPr>
        <w:t>quarterly reporting</w:t>
      </w:r>
      <w:r w:rsidRPr="00E96C27" w:rsidR="002F1F2E">
        <w:rPr>
          <w:rFonts w:ascii="Source Sans Pro" w:hAnsi="Source Sans Pro" w:cs="Calibri"/>
          <w:iCs/>
          <w:sz w:val="22"/>
          <w:szCs w:val="22"/>
        </w:rPr>
        <w:t xml:space="preserve"> </w:t>
      </w:r>
      <w:r w:rsidRPr="00E96C27" w:rsidR="007E3250">
        <w:rPr>
          <w:rFonts w:ascii="Source Sans Pro" w:hAnsi="Source Sans Pro" w:cs="Calibri"/>
          <w:iCs/>
          <w:sz w:val="22"/>
          <w:szCs w:val="22"/>
        </w:rPr>
        <w:t>(Appendix</w:t>
      </w:r>
      <w:r w:rsidRPr="00E96C27" w:rsidR="001B0FAA">
        <w:rPr>
          <w:rFonts w:ascii="Source Sans Pro" w:hAnsi="Source Sans Pro" w:cs="Calibri"/>
          <w:iCs/>
          <w:sz w:val="22"/>
          <w:szCs w:val="22"/>
        </w:rPr>
        <w:t xml:space="preserve"> D)</w:t>
      </w:r>
      <w:r w:rsidRPr="00E96C27" w:rsidR="004D63CF">
        <w:rPr>
          <w:rFonts w:ascii="Source Sans Pro" w:hAnsi="Source Sans Pro" w:cs="Calibri"/>
          <w:iCs/>
          <w:sz w:val="22"/>
          <w:szCs w:val="22"/>
        </w:rPr>
        <w:t>.</w:t>
      </w:r>
      <w:r w:rsidRPr="00E96C27" w:rsidR="001703C1">
        <w:rPr>
          <w:rFonts w:ascii="Source Sans Pro" w:hAnsi="Source Sans Pro" w:cs="Calibri"/>
          <w:iCs/>
          <w:sz w:val="22"/>
          <w:szCs w:val="22"/>
        </w:rPr>
        <w:t xml:space="preserve"> </w:t>
      </w:r>
      <w:r w:rsidRPr="00E96C27" w:rsidR="000C7972">
        <w:rPr>
          <w:rFonts w:ascii="Source Sans Pro" w:hAnsi="Source Sans Pro" w:cs="Calibri"/>
          <w:iCs/>
          <w:sz w:val="22"/>
          <w:szCs w:val="22"/>
        </w:rPr>
        <w:t>The</w:t>
      </w:r>
      <w:r w:rsidRPr="00E96C27" w:rsidR="00032639">
        <w:rPr>
          <w:rFonts w:ascii="Source Sans Pro" w:hAnsi="Source Sans Pro" w:cs="Calibri"/>
          <w:iCs/>
          <w:sz w:val="22"/>
          <w:szCs w:val="22"/>
        </w:rPr>
        <w:t xml:space="preserve"> </w:t>
      </w:r>
      <w:r w:rsidRPr="00E96C27" w:rsidR="00485E27">
        <w:rPr>
          <w:rFonts w:ascii="Source Sans Pro" w:hAnsi="Source Sans Pro" w:cs="Calibri"/>
          <w:iCs/>
          <w:sz w:val="22"/>
          <w:szCs w:val="22"/>
        </w:rPr>
        <w:t>total of respondent</w:t>
      </w:r>
      <w:r w:rsidRPr="00E96C27" w:rsidR="00CB20AF">
        <w:rPr>
          <w:rFonts w:ascii="Source Sans Pro" w:hAnsi="Source Sans Pro" w:cs="Calibri"/>
          <w:iCs/>
          <w:sz w:val="22"/>
          <w:szCs w:val="22"/>
        </w:rPr>
        <w:t xml:space="preserve"> State agencies</w:t>
      </w:r>
      <w:r w:rsidRPr="00E96C27" w:rsidR="00485E27">
        <w:rPr>
          <w:rFonts w:ascii="Source Sans Pro" w:hAnsi="Source Sans Pro" w:cs="Calibri"/>
          <w:iCs/>
          <w:sz w:val="22"/>
          <w:szCs w:val="22"/>
        </w:rPr>
        <w:t xml:space="preserve"> </w:t>
      </w:r>
      <w:r w:rsidRPr="00E96C27" w:rsidR="00D10B3B">
        <w:rPr>
          <w:rFonts w:ascii="Source Sans Pro" w:hAnsi="Source Sans Pro" w:cs="Calibri"/>
          <w:iCs/>
          <w:sz w:val="22"/>
          <w:szCs w:val="22"/>
        </w:rPr>
        <w:t>remain</w:t>
      </w:r>
      <w:r w:rsidRPr="00E96C27" w:rsidR="003F2427">
        <w:rPr>
          <w:rFonts w:ascii="Source Sans Pro" w:hAnsi="Source Sans Pro" w:cs="Calibri"/>
          <w:iCs/>
          <w:sz w:val="22"/>
          <w:szCs w:val="22"/>
        </w:rPr>
        <w:t>s</w:t>
      </w:r>
      <w:r w:rsidRPr="00E96C27" w:rsidR="00485E27">
        <w:rPr>
          <w:rFonts w:ascii="Source Sans Pro" w:hAnsi="Source Sans Pro" w:cs="Calibri"/>
          <w:iCs/>
          <w:sz w:val="22"/>
          <w:szCs w:val="22"/>
        </w:rPr>
        <w:t xml:space="preserve"> </w:t>
      </w:r>
      <w:r w:rsidRPr="00E96C27" w:rsidR="00D10B3B">
        <w:rPr>
          <w:rFonts w:ascii="Source Sans Pro" w:hAnsi="Source Sans Pro" w:cs="Calibri"/>
          <w:iCs/>
          <w:sz w:val="22"/>
          <w:szCs w:val="22"/>
        </w:rPr>
        <w:t>at 20</w:t>
      </w:r>
      <w:r w:rsidRPr="00E96C27" w:rsidR="00C44601">
        <w:rPr>
          <w:rFonts w:ascii="Source Sans Pro" w:hAnsi="Source Sans Pro" w:cs="Calibri"/>
          <w:iCs/>
          <w:sz w:val="22"/>
          <w:szCs w:val="22"/>
        </w:rPr>
        <w:t xml:space="preserve"> </w:t>
      </w:r>
      <w:r w:rsidRPr="00E96C27" w:rsidR="00583D00">
        <w:rPr>
          <w:rFonts w:ascii="Source Sans Pro" w:hAnsi="Source Sans Pro" w:cs="Calibri"/>
          <w:iCs/>
          <w:sz w:val="22"/>
          <w:szCs w:val="22"/>
        </w:rPr>
        <w:t xml:space="preserve">and is </w:t>
      </w:r>
      <w:r w:rsidRPr="00E96C27" w:rsidR="000C7972">
        <w:rPr>
          <w:rFonts w:ascii="Source Sans Pro" w:hAnsi="Source Sans Pro" w:cs="Calibri"/>
          <w:iCs/>
          <w:sz w:val="22"/>
          <w:szCs w:val="22"/>
        </w:rPr>
        <w:t xml:space="preserve">included in the burden calculations but not double-counted in the respondent total. </w:t>
      </w:r>
      <w:r w:rsidRPr="00E96C27" w:rsidR="00E12EBC">
        <w:rPr>
          <w:rFonts w:ascii="Source Sans Pro" w:hAnsi="Source Sans Pro" w:cs="Calibri"/>
          <w:iCs/>
          <w:sz w:val="22"/>
          <w:szCs w:val="22"/>
        </w:rPr>
        <w:t xml:space="preserve">Each major change typically </w:t>
      </w:r>
      <w:r w:rsidRPr="00E96C27" w:rsidR="00574645">
        <w:rPr>
          <w:rFonts w:ascii="Source Sans Pro" w:hAnsi="Source Sans Pro" w:cs="Calibri"/>
          <w:iCs/>
          <w:sz w:val="22"/>
          <w:szCs w:val="22"/>
        </w:rPr>
        <w:t>necessitates</w:t>
      </w:r>
      <w:r w:rsidRPr="00E96C27" w:rsidR="00E12EBC">
        <w:rPr>
          <w:rFonts w:ascii="Source Sans Pro" w:hAnsi="Source Sans Pro" w:cs="Calibri"/>
          <w:iCs/>
          <w:sz w:val="22"/>
          <w:szCs w:val="22"/>
        </w:rPr>
        <w:t xml:space="preserve"> four (</w:t>
      </w:r>
      <w:r w:rsidRPr="004C4417" w:rsidR="00E12EBC">
        <w:rPr>
          <w:rFonts w:ascii="Source Sans Pro" w:hAnsi="Source Sans Pro"/>
          <w:sz w:val="22"/>
        </w:rPr>
        <w:t>4</w:t>
      </w:r>
      <w:r w:rsidRPr="00E96C27" w:rsidR="00E12EBC">
        <w:rPr>
          <w:rFonts w:ascii="Source Sans Pro" w:hAnsi="Source Sans Pro" w:cs="Calibri"/>
          <w:iCs/>
          <w:sz w:val="22"/>
          <w:szCs w:val="22"/>
        </w:rPr>
        <w:t>)</w:t>
      </w:r>
      <w:r w:rsidRPr="004C4417" w:rsidR="00E12EBC">
        <w:rPr>
          <w:rFonts w:ascii="Source Sans Pro" w:hAnsi="Source Sans Pro"/>
          <w:sz w:val="22"/>
        </w:rPr>
        <w:t xml:space="preserve"> quarterly reports</w:t>
      </w:r>
      <w:r w:rsidRPr="00E96C27" w:rsidR="00033678">
        <w:rPr>
          <w:rFonts w:ascii="Source Sans Pro" w:hAnsi="Source Sans Pro" w:cs="Calibri"/>
          <w:iCs/>
          <w:sz w:val="22"/>
          <w:szCs w:val="22"/>
        </w:rPr>
        <w:t xml:space="preserve">, resulting in a total of </w:t>
      </w:r>
      <w:r w:rsidRPr="00E96C27" w:rsidR="00900845">
        <w:rPr>
          <w:rFonts w:ascii="Source Sans Pro" w:hAnsi="Source Sans Pro" w:cs="Calibri"/>
          <w:iCs/>
          <w:sz w:val="22"/>
          <w:szCs w:val="22"/>
        </w:rPr>
        <w:t>132</w:t>
      </w:r>
      <w:r w:rsidRPr="00E96C27" w:rsidR="00033678">
        <w:rPr>
          <w:rFonts w:ascii="Source Sans Pro" w:hAnsi="Source Sans Pro" w:cs="Calibri"/>
          <w:iCs/>
          <w:sz w:val="22"/>
          <w:szCs w:val="22"/>
        </w:rPr>
        <w:t xml:space="preserve"> </w:t>
      </w:r>
      <w:r w:rsidRPr="00E96C27" w:rsidR="00731920">
        <w:rPr>
          <w:rFonts w:ascii="Source Sans Pro" w:hAnsi="Source Sans Pro" w:cs="Calibri"/>
          <w:iCs/>
          <w:sz w:val="22"/>
          <w:szCs w:val="22"/>
        </w:rPr>
        <w:t>quarterly</w:t>
      </w:r>
      <w:r w:rsidRPr="00E96C27" w:rsidR="00033678">
        <w:rPr>
          <w:rFonts w:ascii="Source Sans Pro" w:hAnsi="Source Sans Pro" w:cs="Calibri"/>
          <w:iCs/>
          <w:sz w:val="22"/>
          <w:szCs w:val="22"/>
        </w:rPr>
        <w:t xml:space="preserve"> reports</w:t>
      </w:r>
      <w:r w:rsidRPr="00E96C27" w:rsidR="0098195B">
        <w:rPr>
          <w:rFonts w:ascii="Source Sans Pro" w:hAnsi="Source Sans Pro" w:cs="Calibri"/>
          <w:iCs/>
          <w:sz w:val="22"/>
          <w:szCs w:val="22"/>
        </w:rPr>
        <w:t xml:space="preserve"> </w:t>
      </w:r>
      <w:r w:rsidRPr="00E96C27" w:rsidR="00B310B9">
        <w:rPr>
          <w:rFonts w:ascii="Source Sans Pro" w:hAnsi="Source Sans Pro" w:cs="Calibri"/>
          <w:iCs/>
          <w:sz w:val="22"/>
          <w:szCs w:val="22"/>
        </w:rPr>
        <w:t>(</w:t>
      </w:r>
      <w:r w:rsidRPr="00E96C27" w:rsidR="00900845">
        <w:rPr>
          <w:rFonts w:ascii="Source Sans Pro" w:hAnsi="Source Sans Pro" w:cs="Calibri"/>
          <w:iCs/>
          <w:sz w:val="22"/>
          <w:szCs w:val="22"/>
        </w:rPr>
        <w:t>33</w:t>
      </w:r>
      <w:r w:rsidRPr="00E96C27" w:rsidR="00B310B9">
        <w:rPr>
          <w:rFonts w:ascii="Source Sans Pro" w:hAnsi="Source Sans Pro" w:cs="Calibri"/>
          <w:iCs/>
          <w:sz w:val="22"/>
          <w:szCs w:val="22"/>
        </w:rPr>
        <w:t xml:space="preserve"> </w:t>
      </w:r>
      <w:r w:rsidRPr="00E96C27" w:rsidR="00D10B3B">
        <w:rPr>
          <w:rFonts w:ascii="Source Sans Pro" w:hAnsi="Source Sans Pro" w:cs="Calibri"/>
          <w:iCs/>
          <w:sz w:val="22"/>
          <w:szCs w:val="22"/>
        </w:rPr>
        <w:t xml:space="preserve">qualified </w:t>
      </w:r>
      <w:r w:rsidRPr="00E96C27" w:rsidR="00B310B9">
        <w:rPr>
          <w:rFonts w:ascii="Source Sans Pro" w:hAnsi="Source Sans Pro" w:cs="Calibri"/>
          <w:iCs/>
          <w:sz w:val="22"/>
          <w:szCs w:val="22"/>
        </w:rPr>
        <w:t>major change</w:t>
      </w:r>
      <w:r w:rsidRPr="00E96C27" w:rsidR="00C308A6">
        <w:rPr>
          <w:rFonts w:ascii="Source Sans Pro" w:hAnsi="Source Sans Pro" w:cs="Calibri"/>
          <w:iCs/>
          <w:sz w:val="22"/>
          <w:szCs w:val="22"/>
        </w:rPr>
        <w:t>s</w:t>
      </w:r>
      <w:r w:rsidRPr="00E96C27" w:rsidR="00B310B9">
        <w:rPr>
          <w:rFonts w:ascii="Source Sans Pro" w:hAnsi="Source Sans Pro" w:cs="Calibri"/>
          <w:iCs/>
          <w:sz w:val="22"/>
          <w:szCs w:val="22"/>
        </w:rPr>
        <w:t xml:space="preserve"> x 4 quarterly reports),</w:t>
      </w:r>
      <w:r w:rsidRPr="00E96C27" w:rsidR="007E08E0">
        <w:rPr>
          <w:rFonts w:ascii="Source Sans Pro" w:hAnsi="Source Sans Pro" w:cs="Calibri"/>
          <w:iCs/>
          <w:sz w:val="22"/>
          <w:szCs w:val="22"/>
        </w:rPr>
        <w:t xml:space="preserve"> </w:t>
      </w:r>
      <w:r w:rsidRPr="00E96C27" w:rsidR="00DC72FE">
        <w:rPr>
          <w:rFonts w:ascii="Source Sans Pro" w:hAnsi="Source Sans Pro" w:cs="Calibri"/>
          <w:iCs/>
          <w:sz w:val="22"/>
          <w:szCs w:val="22"/>
        </w:rPr>
        <w:t xml:space="preserve">an increase </w:t>
      </w:r>
      <w:r w:rsidRPr="00E96C27" w:rsidR="00A8385B">
        <w:rPr>
          <w:rFonts w:ascii="Source Sans Pro" w:hAnsi="Source Sans Pro" w:cs="Calibri"/>
          <w:iCs/>
          <w:sz w:val="22"/>
          <w:szCs w:val="22"/>
        </w:rPr>
        <w:t>of</w:t>
      </w:r>
      <w:r w:rsidRPr="00E96C27" w:rsidR="00DC72FE">
        <w:rPr>
          <w:rFonts w:ascii="Source Sans Pro" w:hAnsi="Source Sans Pro" w:cs="Calibri"/>
          <w:iCs/>
          <w:sz w:val="22"/>
          <w:szCs w:val="22"/>
        </w:rPr>
        <w:t xml:space="preserve"> 100</w:t>
      </w:r>
      <w:r w:rsidRPr="00E96C27" w:rsidR="007E08E0">
        <w:rPr>
          <w:rFonts w:ascii="Source Sans Pro" w:hAnsi="Source Sans Pro" w:cs="Calibri"/>
          <w:iCs/>
          <w:sz w:val="22"/>
          <w:szCs w:val="22"/>
        </w:rPr>
        <w:t xml:space="preserve"> </w:t>
      </w:r>
      <w:r w:rsidRPr="00E96C27" w:rsidR="00AC0E40">
        <w:rPr>
          <w:rFonts w:ascii="Source Sans Pro" w:hAnsi="Source Sans Pro" w:cs="Calibri"/>
          <w:iCs/>
          <w:sz w:val="22"/>
          <w:szCs w:val="22"/>
        </w:rPr>
        <w:t xml:space="preserve">quarterly reports </w:t>
      </w:r>
      <w:r w:rsidRPr="00E96C27" w:rsidR="00D07997">
        <w:rPr>
          <w:rFonts w:ascii="Source Sans Pro" w:hAnsi="Source Sans Pro" w:cs="Calibri"/>
          <w:iCs/>
          <w:sz w:val="22"/>
          <w:szCs w:val="22"/>
        </w:rPr>
        <w:t xml:space="preserve">from the </w:t>
      </w:r>
      <w:r w:rsidRPr="004C4417" w:rsidR="00D07997">
        <w:rPr>
          <w:rFonts w:ascii="Source Sans Pro" w:hAnsi="Source Sans Pro"/>
          <w:sz w:val="22"/>
        </w:rPr>
        <w:t xml:space="preserve">32 </w:t>
      </w:r>
      <w:r w:rsidRPr="00E96C27" w:rsidR="00D76248">
        <w:rPr>
          <w:rFonts w:ascii="Source Sans Pro" w:hAnsi="Source Sans Pro" w:cs="Calibri"/>
          <w:iCs/>
          <w:sz w:val="22"/>
          <w:szCs w:val="22"/>
        </w:rPr>
        <w:t>previously</w:t>
      </w:r>
      <w:r w:rsidRPr="00E96C27" w:rsidR="009200BB">
        <w:rPr>
          <w:rFonts w:ascii="Source Sans Pro" w:hAnsi="Source Sans Pro" w:cs="Calibri"/>
          <w:iCs/>
          <w:sz w:val="22"/>
          <w:szCs w:val="22"/>
        </w:rPr>
        <w:t xml:space="preserve"> approved quarterly reports</w:t>
      </w:r>
      <w:r w:rsidRPr="00E96C27" w:rsidR="00D76248">
        <w:rPr>
          <w:rFonts w:ascii="Source Sans Pro" w:hAnsi="Source Sans Pro" w:cs="Calibri"/>
          <w:iCs/>
          <w:sz w:val="22"/>
          <w:szCs w:val="22"/>
        </w:rPr>
        <w:t xml:space="preserve">. </w:t>
      </w:r>
      <w:r w:rsidRPr="00E96C27" w:rsidR="008C3F32">
        <w:rPr>
          <w:rFonts w:ascii="Source Sans Pro" w:hAnsi="Source Sans Pro" w:cs="Calibri"/>
          <w:iCs/>
          <w:sz w:val="22"/>
          <w:szCs w:val="22"/>
        </w:rPr>
        <w:t>A</w:t>
      </w:r>
      <w:r w:rsidRPr="00E96C27" w:rsidR="003E3AA2">
        <w:rPr>
          <w:rFonts w:ascii="Source Sans Pro" w:hAnsi="Source Sans Pro" w:cs="Calibri"/>
          <w:iCs/>
          <w:sz w:val="22"/>
          <w:szCs w:val="22"/>
        </w:rPr>
        <w:t>t</w:t>
      </w:r>
      <w:r w:rsidRPr="004C4417" w:rsidR="003E3AA2">
        <w:rPr>
          <w:rFonts w:ascii="Source Sans Pro" w:hAnsi="Source Sans Pro"/>
          <w:sz w:val="22"/>
        </w:rPr>
        <w:t xml:space="preserve"> </w:t>
      </w:r>
      <w:r w:rsidRPr="004C4417" w:rsidR="00FF39FC">
        <w:rPr>
          <w:rFonts w:ascii="Source Sans Pro" w:hAnsi="Source Sans Pro"/>
          <w:sz w:val="22"/>
        </w:rPr>
        <w:t>7</w:t>
      </w:r>
      <w:r w:rsidR="00FF39FC">
        <w:rPr>
          <w:rFonts w:ascii="Source Sans Pro" w:hAnsi="Source Sans Pro"/>
          <w:sz w:val="22"/>
        </w:rPr>
        <w:t>5</w:t>
      </w:r>
      <w:r w:rsidRPr="004C4417" w:rsidR="00FF39FC">
        <w:rPr>
          <w:rFonts w:ascii="Source Sans Pro" w:hAnsi="Source Sans Pro"/>
          <w:sz w:val="22"/>
        </w:rPr>
        <w:t xml:space="preserve"> </w:t>
      </w:r>
      <w:r w:rsidRPr="004C4417" w:rsidR="003E3AA2">
        <w:rPr>
          <w:rFonts w:ascii="Source Sans Pro" w:hAnsi="Source Sans Pro"/>
          <w:sz w:val="22"/>
        </w:rPr>
        <w:t xml:space="preserve">hours per </w:t>
      </w:r>
      <w:r w:rsidRPr="00E96C27" w:rsidR="00625CA4">
        <w:rPr>
          <w:rFonts w:ascii="Source Sans Pro" w:hAnsi="Source Sans Pro" w:cs="Calibri"/>
          <w:iCs/>
          <w:sz w:val="22"/>
          <w:szCs w:val="22"/>
        </w:rPr>
        <w:t>quarterly report</w:t>
      </w:r>
      <w:r w:rsidRPr="00E96C27" w:rsidR="003C6B2B">
        <w:rPr>
          <w:rFonts w:ascii="Source Sans Pro" w:hAnsi="Source Sans Pro" w:cs="Calibri"/>
          <w:iCs/>
          <w:sz w:val="22"/>
          <w:szCs w:val="22"/>
        </w:rPr>
        <w:t>, the</w:t>
      </w:r>
      <w:bookmarkStart w:id="39" w:name="_Hlk196984347"/>
      <w:r w:rsidRPr="00E96C27" w:rsidR="003E3AA2">
        <w:rPr>
          <w:rFonts w:ascii="Source Sans Pro" w:hAnsi="Source Sans Pro" w:cs="Calibri"/>
          <w:iCs/>
          <w:sz w:val="22"/>
          <w:szCs w:val="22"/>
        </w:rPr>
        <w:t xml:space="preserve"> total burden for this provision </w:t>
      </w:r>
      <w:r w:rsidRPr="00E96C27" w:rsidR="003C6B2B">
        <w:rPr>
          <w:rFonts w:ascii="Source Sans Pro" w:hAnsi="Source Sans Pro" w:cs="Calibri"/>
          <w:iCs/>
          <w:sz w:val="22"/>
          <w:szCs w:val="22"/>
        </w:rPr>
        <w:t>is</w:t>
      </w:r>
      <w:r w:rsidRPr="00E96C27" w:rsidR="003E3AA2">
        <w:rPr>
          <w:rFonts w:ascii="Source Sans Pro" w:hAnsi="Source Sans Pro" w:cs="Calibri"/>
          <w:iCs/>
          <w:sz w:val="22"/>
          <w:szCs w:val="22"/>
        </w:rPr>
        <w:t xml:space="preserve"> </w:t>
      </w:r>
      <w:r w:rsidRPr="00E96C27" w:rsidR="005D5635">
        <w:rPr>
          <w:rFonts w:ascii="Source Sans Pro" w:hAnsi="Source Sans Pro" w:cs="Calibri"/>
          <w:iCs/>
          <w:sz w:val="22"/>
          <w:szCs w:val="22"/>
        </w:rPr>
        <w:t>9</w:t>
      </w:r>
      <w:r w:rsidRPr="004C4417" w:rsidR="005D5635">
        <w:rPr>
          <w:rFonts w:ascii="Source Sans Pro" w:hAnsi="Source Sans Pro"/>
          <w:sz w:val="22"/>
        </w:rPr>
        <w:t>,</w:t>
      </w:r>
      <w:r w:rsidR="00752EB9">
        <w:rPr>
          <w:rFonts w:ascii="Source Sans Pro" w:hAnsi="Source Sans Pro"/>
          <w:sz w:val="22"/>
        </w:rPr>
        <w:t>900</w:t>
      </w:r>
      <w:r w:rsidRPr="004C4417" w:rsidR="00752EB9">
        <w:rPr>
          <w:rFonts w:ascii="Source Sans Pro" w:hAnsi="Source Sans Pro"/>
          <w:sz w:val="22"/>
        </w:rPr>
        <w:t xml:space="preserve"> </w:t>
      </w:r>
      <w:r w:rsidRPr="004C4417" w:rsidR="003E3AA2">
        <w:rPr>
          <w:rFonts w:ascii="Source Sans Pro" w:hAnsi="Source Sans Pro"/>
          <w:sz w:val="22"/>
        </w:rPr>
        <w:t>hours</w:t>
      </w:r>
      <w:r w:rsidRPr="00E96C27" w:rsidR="008C3F32">
        <w:rPr>
          <w:rFonts w:ascii="Source Sans Pro" w:hAnsi="Source Sans Pro" w:cs="Calibri"/>
          <w:iCs/>
          <w:sz w:val="22"/>
          <w:szCs w:val="22"/>
        </w:rPr>
        <w:t xml:space="preserve"> </w:t>
      </w:r>
      <w:r w:rsidRPr="00E96C27" w:rsidR="003E3AA2">
        <w:rPr>
          <w:rFonts w:ascii="Source Sans Pro" w:hAnsi="Source Sans Pro" w:cs="Calibri"/>
          <w:iCs/>
          <w:sz w:val="22"/>
          <w:szCs w:val="22"/>
        </w:rPr>
        <w:t>(</w:t>
      </w:r>
      <w:r w:rsidRPr="00E96C27" w:rsidR="00900845">
        <w:rPr>
          <w:rFonts w:ascii="Source Sans Pro" w:hAnsi="Source Sans Pro" w:cs="Calibri"/>
          <w:iCs/>
          <w:sz w:val="22"/>
          <w:szCs w:val="22"/>
        </w:rPr>
        <w:t>33</w:t>
      </w:r>
      <w:r w:rsidRPr="00E96C27" w:rsidR="003E3AA2">
        <w:rPr>
          <w:rFonts w:ascii="Source Sans Pro" w:hAnsi="Source Sans Pro" w:cs="Calibri"/>
          <w:iCs/>
          <w:sz w:val="22"/>
          <w:szCs w:val="22"/>
        </w:rPr>
        <w:t xml:space="preserve"> </w:t>
      </w:r>
      <w:r w:rsidRPr="00E96C27" w:rsidR="00816BCF">
        <w:rPr>
          <w:rFonts w:ascii="Source Sans Pro" w:hAnsi="Source Sans Pro" w:cs="Calibri"/>
          <w:iCs/>
          <w:sz w:val="22"/>
          <w:szCs w:val="22"/>
        </w:rPr>
        <w:t>major changes</w:t>
      </w:r>
      <w:r w:rsidRPr="00E96C27" w:rsidR="003E3AA2">
        <w:rPr>
          <w:rFonts w:ascii="Source Sans Pro" w:hAnsi="Source Sans Pro" w:cs="Calibri"/>
          <w:iCs/>
          <w:sz w:val="22"/>
          <w:szCs w:val="22"/>
        </w:rPr>
        <w:t xml:space="preserve"> x </w:t>
      </w:r>
      <w:r w:rsidRPr="00E96C27" w:rsidR="00816BCF">
        <w:rPr>
          <w:rFonts w:ascii="Source Sans Pro" w:hAnsi="Source Sans Pro" w:cs="Calibri"/>
          <w:iCs/>
          <w:sz w:val="22"/>
          <w:szCs w:val="22"/>
        </w:rPr>
        <w:t>4</w:t>
      </w:r>
      <w:r w:rsidRPr="00E96C27" w:rsidR="001A29AF">
        <w:rPr>
          <w:rFonts w:ascii="Source Sans Pro" w:hAnsi="Source Sans Pro" w:cs="Calibri"/>
          <w:iCs/>
          <w:sz w:val="22"/>
          <w:szCs w:val="22"/>
        </w:rPr>
        <w:t xml:space="preserve"> </w:t>
      </w:r>
      <w:r w:rsidRPr="00E96C27" w:rsidR="00816BCF">
        <w:rPr>
          <w:rFonts w:ascii="Source Sans Pro" w:hAnsi="Source Sans Pro" w:cs="Calibri"/>
          <w:iCs/>
          <w:sz w:val="22"/>
          <w:szCs w:val="22"/>
        </w:rPr>
        <w:t>quarterly reports</w:t>
      </w:r>
      <w:r w:rsidRPr="00E96C27" w:rsidR="003E3AA2">
        <w:rPr>
          <w:rFonts w:ascii="Source Sans Pro" w:hAnsi="Source Sans Pro" w:cs="Calibri"/>
          <w:iCs/>
          <w:sz w:val="22"/>
          <w:szCs w:val="22"/>
        </w:rPr>
        <w:t xml:space="preserve"> x </w:t>
      </w:r>
      <w:r w:rsidRPr="00E96C27" w:rsidR="00752EB9">
        <w:rPr>
          <w:rFonts w:ascii="Source Sans Pro" w:hAnsi="Source Sans Pro" w:cs="Calibri"/>
          <w:iCs/>
          <w:sz w:val="22"/>
          <w:szCs w:val="22"/>
        </w:rPr>
        <w:t>7</w:t>
      </w:r>
      <w:r w:rsidR="00752EB9">
        <w:rPr>
          <w:rFonts w:ascii="Source Sans Pro" w:hAnsi="Source Sans Pro" w:cs="Calibri"/>
          <w:iCs/>
          <w:sz w:val="22"/>
          <w:szCs w:val="22"/>
        </w:rPr>
        <w:t>5</w:t>
      </w:r>
      <w:r w:rsidRPr="00E96C27" w:rsidR="00752EB9">
        <w:rPr>
          <w:rFonts w:ascii="Source Sans Pro" w:hAnsi="Source Sans Pro" w:cs="Calibri"/>
          <w:iCs/>
          <w:sz w:val="22"/>
          <w:szCs w:val="22"/>
        </w:rPr>
        <w:t xml:space="preserve"> </w:t>
      </w:r>
      <w:r w:rsidRPr="00E96C27" w:rsidR="003E3AA2">
        <w:rPr>
          <w:rFonts w:ascii="Source Sans Pro" w:hAnsi="Source Sans Pro" w:cs="Calibri"/>
          <w:iCs/>
          <w:sz w:val="22"/>
          <w:szCs w:val="22"/>
        </w:rPr>
        <w:t>hours per</w:t>
      </w:r>
      <w:r w:rsidRPr="00E96C27" w:rsidR="004C45F3">
        <w:rPr>
          <w:rFonts w:ascii="Source Sans Pro" w:hAnsi="Source Sans Pro" w:cs="Calibri"/>
          <w:iCs/>
          <w:sz w:val="22"/>
          <w:szCs w:val="22"/>
        </w:rPr>
        <w:t xml:space="preserve"> quarterly</w:t>
      </w:r>
      <w:r w:rsidRPr="00E96C27" w:rsidR="003E3AA2">
        <w:rPr>
          <w:rFonts w:ascii="Source Sans Pro" w:hAnsi="Source Sans Pro" w:cs="Calibri"/>
          <w:iCs/>
          <w:sz w:val="22"/>
          <w:szCs w:val="22"/>
        </w:rPr>
        <w:t xml:space="preserve"> </w:t>
      </w:r>
      <w:r w:rsidRPr="00E96C27" w:rsidR="001F7A02">
        <w:rPr>
          <w:rFonts w:ascii="Source Sans Pro" w:hAnsi="Source Sans Pro" w:cs="Calibri"/>
          <w:iCs/>
          <w:sz w:val="22"/>
          <w:szCs w:val="22"/>
        </w:rPr>
        <w:t xml:space="preserve">report, </w:t>
      </w:r>
      <w:r w:rsidRPr="00E96C27" w:rsidR="001516A2">
        <w:rPr>
          <w:rFonts w:ascii="Source Sans Pro" w:hAnsi="Source Sans Pro" w:cs="Calibri"/>
          <w:iCs/>
          <w:sz w:val="22"/>
          <w:szCs w:val="22"/>
        </w:rPr>
        <w:t>represent</w:t>
      </w:r>
      <w:r w:rsidRPr="00E96C27" w:rsidR="001F7A02">
        <w:rPr>
          <w:rFonts w:ascii="Source Sans Pro" w:hAnsi="Source Sans Pro" w:cs="Calibri"/>
          <w:iCs/>
          <w:sz w:val="22"/>
          <w:szCs w:val="22"/>
        </w:rPr>
        <w:t>ing</w:t>
      </w:r>
      <w:r w:rsidRPr="00E96C27" w:rsidR="00F507C5">
        <w:rPr>
          <w:rFonts w:ascii="Source Sans Pro" w:hAnsi="Source Sans Pro" w:cs="Calibri"/>
          <w:iCs/>
          <w:sz w:val="22"/>
          <w:szCs w:val="22"/>
        </w:rPr>
        <w:t xml:space="preserve"> </w:t>
      </w:r>
      <w:r w:rsidRPr="00E96C27" w:rsidR="001516A2">
        <w:rPr>
          <w:rFonts w:ascii="Source Sans Pro" w:hAnsi="Source Sans Pro" w:cs="Calibri"/>
          <w:iCs/>
          <w:sz w:val="22"/>
          <w:szCs w:val="22"/>
        </w:rPr>
        <w:t xml:space="preserve">an increase of </w:t>
      </w:r>
      <w:r w:rsidR="003330FB">
        <w:rPr>
          <w:rFonts w:ascii="Source Sans Pro" w:hAnsi="Source Sans Pro" w:cs="Calibri"/>
          <w:iCs/>
          <w:sz w:val="22"/>
          <w:szCs w:val="22"/>
        </w:rPr>
        <w:t>7,66</w:t>
      </w:r>
      <w:r w:rsidRPr="00E96C27" w:rsidR="008245D5">
        <w:rPr>
          <w:rFonts w:ascii="Source Sans Pro" w:hAnsi="Source Sans Pro" w:cs="Calibri"/>
          <w:iCs/>
          <w:sz w:val="22"/>
          <w:szCs w:val="22"/>
        </w:rPr>
        <w:t>0</w:t>
      </w:r>
      <w:r w:rsidRPr="00E96C27" w:rsidR="001516A2">
        <w:rPr>
          <w:rFonts w:ascii="Source Sans Pro" w:hAnsi="Source Sans Pro" w:cs="Calibri"/>
          <w:iCs/>
          <w:sz w:val="22"/>
          <w:szCs w:val="22"/>
        </w:rPr>
        <w:t xml:space="preserve"> hours from the </w:t>
      </w:r>
      <w:r w:rsidRPr="00E96C27" w:rsidR="00F507C5">
        <w:rPr>
          <w:rFonts w:ascii="Source Sans Pro" w:hAnsi="Source Sans Pro" w:cs="Calibri"/>
          <w:iCs/>
          <w:sz w:val="22"/>
          <w:szCs w:val="22"/>
        </w:rPr>
        <w:t xml:space="preserve">prior estimate of </w:t>
      </w:r>
      <w:r w:rsidRPr="00E96C27" w:rsidR="00114365">
        <w:rPr>
          <w:rFonts w:ascii="Source Sans Pro" w:hAnsi="Source Sans Pro" w:cs="Calibri"/>
          <w:iCs/>
          <w:sz w:val="22"/>
          <w:szCs w:val="22"/>
        </w:rPr>
        <w:t>2,240</w:t>
      </w:r>
      <w:r w:rsidRPr="00E96C27" w:rsidR="00FB7FB2">
        <w:rPr>
          <w:rFonts w:ascii="Source Sans Pro" w:hAnsi="Source Sans Pro" w:cs="Calibri"/>
          <w:iCs/>
          <w:sz w:val="22"/>
          <w:szCs w:val="22"/>
        </w:rPr>
        <w:t xml:space="preserve"> </w:t>
      </w:r>
      <w:r w:rsidRPr="00E96C27" w:rsidR="00F507C5">
        <w:rPr>
          <w:rFonts w:ascii="Source Sans Pro" w:hAnsi="Source Sans Pro" w:cs="Calibri"/>
          <w:iCs/>
          <w:sz w:val="22"/>
          <w:szCs w:val="22"/>
        </w:rPr>
        <w:t>hours</w:t>
      </w:r>
      <w:r w:rsidRPr="00E96C27" w:rsidR="003028DE">
        <w:rPr>
          <w:rFonts w:ascii="Source Sans Pro" w:hAnsi="Source Sans Pro" w:cs="Calibri"/>
          <w:iCs/>
          <w:sz w:val="22"/>
          <w:szCs w:val="22"/>
        </w:rPr>
        <w:t xml:space="preserve">. </w:t>
      </w:r>
      <w:bookmarkEnd w:id="39"/>
      <w:r w:rsidRPr="00E96C27" w:rsidR="003028DE">
        <w:rPr>
          <w:rFonts w:ascii="Source Sans Pro" w:hAnsi="Source Sans Pro" w:cs="Calibri"/>
          <w:iCs/>
          <w:sz w:val="22"/>
          <w:szCs w:val="22"/>
        </w:rPr>
        <w:t>The</w:t>
      </w:r>
      <w:r w:rsidRPr="00E96C27" w:rsidR="003F7B88">
        <w:rPr>
          <w:rFonts w:ascii="Source Sans Pro" w:hAnsi="Source Sans Pro" w:cs="Calibri"/>
          <w:iCs/>
          <w:sz w:val="22"/>
          <w:szCs w:val="22"/>
        </w:rPr>
        <w:t xml:space="preserve"> per response </w:t>
      </w:r>
      <w:r w:rsidRPr="00E96C27" w:rsidR="00FA1FBF">
        <w:rPr>
          <w:rFonts w:ascii="Source Sans Pro" w:hAnsi="Source Sans Pro" w:cs="Calibri"/>
          <w:iCs/>
          <w:sz w:val="22"/>
          <w:szCs w:val="22"/>
        </w:rPr>
        <w:t xml:space="preserve">estimate </w:t>
      </w:r>
      <w:r w:rsidR="00206A98">
        <w:rPr>
          <w:rFonts w:ascii="Source Sans Pro" w:hAnsi="Source Sans Pro" w:cs="Calibri"/>
          <w:iCs/>
          <w:sz w:val="22"/>
          <w:szCs w:val="22"/>
        </w:rPr>
        <w:t xml:space="preserve">was adjusted from 70 hours </w:t>
      </w:r>
      <w:r w:rsidR="008260D7">
        <w:rPr>
          <w:rFonts w:ascii="Source Sans Pro" w:hAnsi="Source Sans Pro" w:cs="Calibri"/>
          <w:iCs/>
          <w:sz w:val="22"/>
          <w:szCs w:val="22"/>
        </w:rPr>
        <w:t>to 75 hours as a result of State agency consultations</w:t>
      </w:r>
      <w:r w:rsidRPr="00E96C27" w:rsidR="003F7B88">
        <w:rPr>
          <w:rFonts w:ascii="Source Sans Pro" w:hAnsi="Source Sans Pro" w:cs="Calibri"/>
          <w:iCs/>
          <w:sz w:val="22"/>
          <w:szCs w:val="22"/>
        </w:rPr>
        <w:t xml:space="preserve">. </w:t>
      </w:r>
      <w:r w:rsidRPr="00E96C27">
        <w:rPr>
          <w:rFonts w:ascii="Source Sans Pro" w:hAnsi="Source Sans Pro" w:cs="Calibri"/>
          <w:iCs/>
          <w:sz w:val="22"/>
          <w:szCs w:val="22"/>
        </w:rPr>
        <w:t>The increase i</w:t>
      </w:r>
      <w:r w:rsidRPr="00E96C27" w:rsidR="005D2D8F">
        <w:rPr>
          <w:rFonts w:ascii="Source Sans Pro" w:hAnsi="Source Sans Pro" w:cs="Calibri"/>
          <w:iCs/>
          <w:sz w:val="22"/>
          <w:szCs w:val="22"/>
        </w:rPr>
        <w:t xml:space="preserve">s </w:t>
      </w:r>
      <w:r w:rsidRPr="00E96C27">
        <w:rPr>
          <w:rFonts w:ascii="Source Sans Pro" w:hAnsi="Source Sans Pro" w:cs="Calibri"/>
          <w:iCs/>
          <w:sz w:val="22"/>
          <w:szCs w:val="22"/>
        </w:rPr>
        <w:t xml:space="preserve">due to </w:t>
      </w:r>
      <w:r w:rsidRPr="00E96C27" w:rsidR="005D2D8F">
        <w:rPr>
          <w:rFonts w:ascii="Source Sans Pro" w:hAnsi="Source Sans Pro" w:cs="Calibri"/>
          <w:iCs/>
          <w:sz w:val="22"/>
          <w:szCs w:val="22"/>
        </w:rPr>
        <w:t>an expanded number of State agencies</w:t>
      </w:r>
      <w:r w:rsidRPr="00E96C27" w:rsidR="008A549E">
        <w:rPr>
          <w:rFonts w:ascii="Source Sans Pro" w:hAnsi="Source Sans Pro" w:cs="Calibri"/>
          <w:iCs/>
          <w:sz w:val="22"/>
          <w:szCs w:val="22"/>
        </w:rPr>
        <w:t xml:space="preserve"> reporting</w:t>
      </w:r>
      <w:r w:rsidRPr="00E96C27" w:rsidR="00BC1FBD">
        <w:rPr>
          <w:rFonts w:ascii="Source Sans Pro" w:hAnsi="Source Sans Pro" w:cs="Calibri"/>
          <w:iCs/>
          <w:sz w:val="22"/>
          <w:szCs w:val="22"/>
        </w:rPr>
        <w:t xml:space="preserve"> major changes in SNAP design</w:t>
      </w:r>
      <w:r w:rsidRPr="00E96C27" w:rsidR="001F530F">
        <w:rPr>
          <w:rFonts w:ascii="Source Sans Pro" w:hAnsi="Source Sans Pro" w:cs="Calibri"/>
          <w:iCs/>
          <w:sz w:val="22"/>
          <w:szCs w:val="22"/>
        </w:rPr>
        <w:t xml:space="preserve"> and the growing reliance on automated systems</w:t>
      </w:r>
      <w:r w:rsidR="002A166C">
        <w:rPr>
          <w:rFonts w:ascii="Source Sans Pro" w:hAnsi="Source Sans Pro" w:cs="Calibri"/>
          <w:iCs/>
          <w:sz w:val="22"/>
          <w:szCs w:val="22"/>
        </w:rPr>
        <w:t xml:space="preserve"> and an increase from 70 hours to 75 hours per response</w:t>
      </w:r>
      <w:r w:rsidRPr="00E96C27" w:rsidR="001F530F">
        <w:rPr>
          <w:rFonts w:ascii="Source Sans Pro" w:hAnsi="Source Sans Pro" w:cs="Calibri"/>
          <w:iCs/>
          <w:sz w:val="22"/>
          <w:szCs w:val="22"/>
        </w:rPr>
        <w:t>.</w:t>
      </w:r>
      <w:r w:rsidRPr="00E96C27">
        <w:rPr>
          <w:rFonts w:ascii="Source Sans Pro" w:hAnsi="Source Sans Pro" w:cs="Calibri"/>
          <w:iCs/>
          <w:sz w:val="22"/>
          <w:szCs w:val="22"/>
        </w:rPr>
        <w:t xml:space="preserve"> </w:t>
      </w:r>
    </w:p>
    <w:p w:rsidR="00010776" w:rsidP="004C4417" w14:paraId="2183454B" w14:textId="77777777">
      <w:pPr>
        <w:pStyle w:val="Default"/>
        <w:spacing w:line="480" w:lineRule="auto"/>
        <w:ind w:firstLine="720"/>
        <w:rPr>
          <w:rFonts w:ascii="Source Sans Pro" w:hAnsi="Source Sans Pro" w:cs="Calibri"/>
          <w:iCs/>
          <w:sz w:val="22"/>
          <w:szCs w:val="22"/>
        </w:rPr>
      </w:pPr>
      <w:r w:rsidRPr="00E96C27">
        <w:rPr>
          <w:rFonts w:ascii="Source Sans Pro" w:hAnsi="Source Sans Pro" w:cs="Calibri"/>
          <w:iCs/>
          <w:sz w:val="22"/>
          <w:szCs w:val="22"/>
        </w:rPr>
        <w:t xml:space="preserve">Additionally, three of the 26 major changes will involve call center modifications, requiring four quarterly reports </w:t>
      </w:r>
      <w:r w:rsidRPr="00E96C27" w:rsidR="00A26FD2">
        <w:rPr>
          <w:rFonts w:ascii="Source Sans Pro" w:hAnsi="Source Sans Pro" w:cs="Calibri"/>
          <w:iCs/>
          <w:sz w:val="22"/>
          <w:szCs w:val="22"/>
        </w:rPr>
        <w:t xml:space="preserve">for </w:t>
      </w:r>
      <w:r w:rsidRPr="00E96C27" w:rsidR="00DC6922">
        <w:rPr>
          <w:rFonts w:ascii="Source Sans Pro" w:hAnsi="Source Sans Pro" w:cs="Calibri"/>
          <w:iCs/>
          <w:sz w:val="22"/>
          <w:szCs w:val="22"/>
        </w:rPr>
        <w:t xml:space="preserve">call center modifications </w:t>
      </w:r>
      <w:r w:rsidRPr="00E96C27">
        <w:rPr>
          <w:rFonts w:ascii="Source Sans Pro" w:hAnsi="Source Sans Pro" w:cs="Calibri"/>
          <w:iCs/>
          <w:sz w:val="22"/>
          <w:szCs w:val="22"/>
        </w:rPr>
        <w:t xml:space="preserve">each (Appendix E). </w:t>
      </w:r>
      <w:r w:rsidRPr="00E96C27" w:rsidR="00C64ACC">
        <w:rPr>
          <w:rFonts w:ascii="Source Sans Pro" w:hAnsi="Source Sans Pro" w:cs="Calibri"/>
          <w:iCs/>
          <w:sz w:val="22"/>
          <w:szCs w:val="22"/>
        </w:rPr>
        <w:t>The</w:t>
      </w:r>
      <w:r w:rsidRPr="00E96C27" w:rsidR="007E58F5">
        <w:rPr>
          <w:rFonts w:ascii="Source Sans Pro" w:hAnsi="Source Sans Pro" w:cs="Calibri"/>
          <w:iCs/>
          <w:sz w:val="22"/>
          <w:szCs w:val="22"/>
        </w:rPr>
        <w:t xml:space="preserve"> estimated number of respondent</w:t>
      </w:r>
      <w:r w:rsidRPr="00E96C27" w:rsidR="00BA65F2">
        <w:rPr>
          <w:rFonts w:ascii="Source Sans Pro" w:hAnsi="Source Sans Pro" w:cs="Calibri"/>
          <w:iCs/>
          <w:sz w:val="22"/>
          <w:szCs w:val="22"/>
        </w:rPr>
        <w:t>s</w:t>
      </w:r>
      <w:r w:rsidRPr="00E96C27">
        <w:rPr>
          <w:rFonts w:ascii="Source Sans Pro" w:hAnsi="Source Sans Pro" w:cs="Calibri"/>
          <w:iCs/>
          <w:sz w:val="22"/>
          <w:szCs w:val="22"/>
        </w:rPr>
        <w:t xml:space="preserve"> </w:t>
      </w:r>
      <w:r w:rsidRPr="00E96C27" w:rsidR="00DB5247">
        <w:rPr>
          <w:rFonts w:ascii="Source Sans Pro" w:hAnsi="Source Sans Pro" w:cs="Calibri"/>
          <w:iCs/>
          <w:sz w:val="22"/>
          <w:szCs w:val="22"/>
        </w:rPr>
        <w:t>is</w:t>
      </w:r>
      <w:r w:rsidRPr="00E96C27">
        <w:rPr>
          <w:rFonts w:ascii="Source Sans Pro" w:hAnsi="Source Sans Pro" w:cs="Calibri"/>
          <w:iCs/>
          <w:sz w:val="22"/>
          <w:szCs w:val="22"/>
        </w:rPr>
        <w:t xml:space="preserve"> included in the burden calculations but not double-counted in the respondent total. </w:t>
      </w:r>
      <w:r w:rsidRPr="00E96C27" w:rsidR="00B478A8">
        <w:rPr>
          <w:rFonts w:ascii="Source Sans Pro" w:hAnsi="Source Sans Pro" w:cs="Calibri"/>
          <w:iCs/>
          <w:sz w:val="22"/>
          <w:szCs w:val="22"/>
        </w:rPr>
        <w:t xml:space="preserve">Using </w:t>
      </w:r>
      <w:r w:rsidRPr="00E96C27" w:rsidR="000D2B2A">
        <w:rPr>
          <w:rFonts w:ascii="Source Sans Pro" w:hAnsi="Source Sans Pro" w:cs="Calibri"/>
          <w:iCs/>
          <w:sz w:val="22"/>
          <w:szCs w:val="22"/>
        </w:rPr>
        <w:t>$</w:t>
      </w:r>
      <w:r w:rsidRPr="00E96C27">
        <w:rPr>
          <w:rFonts w:ascii="Source Sans Pro" w:hAnsi="Source Sans Pro" w:cs="Calibri"/>
          <w:iCs/>
          <w:sz w:val="22"/>
          <w:szCs w:val="22"/>
        </w:rPr>
        <w:t xml:space="preserve">50 </w:t>
      </w:r>
      <w:r w:rsidRPr="00E96C27" w:rsidR="000D2B2A">
        <w:rPr>
          <w:rFonts w:ascii="Source Sans Pro" w:hAnsi="Source Sans Pro" w:cs="Calibri"/>
          <w:iCs/>
          <w:sz w:val="22"/>
          <w:szCs w:val="22"/>
        </w:rPr>
        <w:t xml:space="preserve">estimated </w:t>
      </w:r>
      <w:r w:rsidRPr="00E96C27">
        <w:rPr>
          <w:rFonts w:ascii="Source Sans Pro" w:hAnsi="Source Sans Pro" w:cs="Calibri"/>
          <w:iCs/>
          <w:sz w:val="22"/>
          <w:szCs w:val="22"/>
        </w:rPr>
        <w:t>hours per re</w:t>
      </w:r>
      <w:r w:rsidRPr="00E96C27" w:rsidR="00DC6922">
        <w:rPr>
          <w:rFonts w:ascii="Source Sans Pro" w:hAnsi="Source Sans Pro" w:cs="Calibri"/>
          <w:iCs/>
          <w:sz w:val="22"/>
          <w:szCs w:val="22"/>
        </w:rPr>
        <w:t>sponse</w:t>
      </w:r>
      <w:r w:rsidRPr="00E96C27">
        <w:rPr>
          <w:rFonts w:ascii="Source Sans Pro" w:hAnsi="Source Sans Pro" w:cs="Calibri"/>
          <w:iCs/>
          <w:sz w:val="22"/>
          <w:szCs w:val="22"/>
        </w:rPr>
        <w:t xml:space="preserve">, the total burden for call center-related changes is </w:t>
      </w:r>
      <w:r w:rsidRPr="00E96C27" w:rsidR="00B81837">
        <w:rPr>
          <w:rFonts w:ascii="Source Sans Pro" w:hAnsi="Source Sans Pro" w:cs="Calibri"/>
          <w:iCs/>
          <w:sz w:val="22"/>
          <w:szCs w:val="22"/>
        </w:rPr>
        <w:t>1</w:t>
      </w:r>
      <w:r w:rsidRPr="00E96C27" w:rsidR="006D32C7">
        <w:rPr>
          <w:rFonts w:ascii="Source Sans Pro" w:hAnsi="Source Sans Pro" w:cs="Calibri"/>
          <w:iCs/>
          <w:sz w:val="22"/>
          <w:szCs w:val="22"/>
        </w:rPr>
        <w:t>,</w:t>
      </w:r>
      <w:r w:rsidRPr="00E96C27" w:rsidR="00B81837">
        <w:rPr>
          <w:rFonts w:ascii="Source Sans Pro" w:hAnsi="Source Sans Pro" w:cs="Calibri"/>
          <w:iCs/>
          <w:sz w:val="22"/>
          <w:szCs w:val="22"/>
        </w:rPr>
        <w:t>600</w:t>
      </w:r>
      <w:r w:rsidRPr="00E96C27">
        <w:rPr>
          <w:rFonts w:ascii="Source Sans Pro" w:hAnsi="Source Sans Pro" w:cs="Calibri"/>
          <w:iCs/>
          <w:sz w:val="22"/>
          <w:szCs w:val="22"/>
        </w:rPr>
        <w:t xml:space="preserve"> hours (</w:t>
      </w:r>
      <w:r w:rsidRPr="00E96C27" w:rsidR="00AF735E">
        <w:rPr>
          <w:rFonts w:ascii="Source Sans Pro" w:hAnsi="Source Sans Pro" w:cs="Calibri"/>
          <w:iCs/>
          <w:sz w:val="22"/>
          <w:szCs w:val="22"/>
        </w:rPr>
        <w:t>8</w:t>
      </w:r>
      <w:r w:rsidRPr="00E96C27">
        <w:rPr>
          <w:rFonts w:ascii="Source Sans Pro" w:hAnsi="Source Sans Pro" w:cs="Calibri"/>
          <w:iCs/>
          <w:sz w:val="22"/>
          <w:szCs w:val="22"/>
        </w:rPr>
        <w:t xml:space="preserve"> </w:t>
      </w:r>
      <w:r w:rsidRPr="00E96C27" w:rsidR="0094325C">
        <w:rPr>
          <w:rFonts w:ascii="Source Sans Pro" w:hAnsi="Source Sans Pro" w:cs="Calibri"/>
          <w:iCs/>
          <w:sz w:val="22"/>
          <w:szCs w:val="22"/>
        </w:rPr>
        <w:t>major change</w:t>
      </w:r>
      <w:r w:rsidRPr="00E96C27">
        <w:rPr>
          <w:rFonts w:ascii="Source Sans Pro" w:hAnsi="Source Sans Pro" w:cs="Calibri"/>
          <w:iCs/>
          <w:sz w:val="22"/>
          <w:szCs w:val="22"/>
        </w:rPr>
        <w:t>s × 4</w:t>
      </w:r>
      <w:r w:rsidRPr="00E96C27" w:rsidR="0094325C">
        <w:rPr>
          <w:rFonts w:ascii="Source Sans Pro" w:hAnsi="Source Sans Pro" w:cs="Calibri"/>
          <w:iCs/>
          <w:sz w:val="22"/>
          <w:szCs w:val="22"/>
        </w:rPr>
        <w:t xml:space="preserve"> </w:t>
      </w:r>
      <w:r w:rsidR="00CD55F6">
        <w:rPr>
          <w:rFonts w:ascii="Source Sans Pro" w:hAnsi="Source Sans Pro" w:cs="Calibri"/>
          <w:iCs/>
          <w:sz w:val="22"/>
          <w:szCs w:val="22"/>
        </w:rPr>
        <w:t xml:space="preserve">quarterly </w:t>
      </w:r>
      <w:r w:rsidR="004062BF">
        <w:rPr>
          <w:rFonts w:ascii="Source Sans Pro" w:hAnsi="Source Sans Pro" w:cs="Calibri"/>
          <w:iCs/>
          <w:sz w:val="22"/>
          <w:szCs w:val="22"/>
        </w:rPr>
        <w:t xml:space="preserve">reports </w:t>
      </w:r>
      <w:r w:rsidRPr="00E96C27" w:rsidR="00C72DD1">
        <w:rPr>
          <w:rFonts w:ascii="Source Sans Pro" w:hAnsi="Source Sans Pro" w:cs="Calibri"/>
          <w:iCs/>
          <w:sz w:val="22"/>
          <w:szCs w:val="22"/>
        </w:rPr>
        <w:t xml:space="preserve">for </w:t>
      </w:r>
      <w:r w:rsidRPr="004C4417" w:rsidR="00C72DD1">
        <w:rPr>
          <w:rFonts w:ascii="Source Sans Pro" w:hAnsi="Source Sans Pro"/>
          <w:sz w:val="22"/>
        </w:rPr>
        <w:t>call center modification</w:t>
      </w:r>
      <w:r w:rsidRPr="00E96C27">
        <w:rPr>
          <w:rFonts w:ascii="Source Sans Pro" w:hAnsi="Source Sans Pro" w:cs="Calibri"/>
          <w:iCs/>
          <w:sz w:val="22"/>
          <w:szCs w:val="22"/>
        </w:rPr>
        <w:t xml:space="preserve"> × 50 hours</w:t>
      </w:r>
      <w:r w:rsidRPr="00E96C27" w:rsidR="00C72DD1">
        <w:rPr>
          <w:rFonts w:ascii="Source Sans Pro" w:hAnsi="Source Sans Pro" w:cs="Calibri"/>
          <w:iCs/>
          <w:sz w:val="22"/>
          <w:szCs w:val="22"/>
        </w:rPr>
        <w:t xml:space="preserve"> per response</w:t>
      </w:r>
      <w:r w:rsidRPr="00E96C27">
        <w:rPr>
          <w:rFonts w:ascii="Source Sans Pro" w:hAnsi="Source Sans Pro" w:cs="Calibri"/>
          <w:iCs/>
          <w:sz w:val="22"/>
          <w:szCs w:val="22"/>
        </w:rPr>
        <w:t xml:space="preserve"> = </w:t>
      </w:r>
      <w:r w:rsidRPr="00E96C27" w:rsidR="00B81837">
        <w:rPr>
          <w:rFonts w:ascii="Source Sans Pro" w:hAnsi="Source Sans Pro" w:cs="Calibri"/>
          <w:iCs/>
          <w:sz w:val="22"/>
          <w:szCs w:val="22"/>
        </w:rPr>
        <w:t>1</w:t>
      </w:r>
      <w:r w:rsidRPr="00E96C27" w:rsidR="006D32C7">
        <w:rPr>
          <w:rFonts w:ascii="Source Sans Pro" w:hAnsi="Source Sans Pro" w:cs="Calibri"/>
          <w:iCs/>
          <w:sz w:val="22"/>
          <w:szCs w:val="22"/>
        </w:rPr>
        <w:t>,</w:t>
      </w:r>
      <w:r w:rsidRPr="00E96C27" w:rsidR="00B81837">
        <w:rPr>
          <w:rFonts w:ascii="Source Sans Pro" w:hAnsi="Source Sans Pro" w:cs="Calibri"/>
          <w:iCs/>
          <w:sz w:val="22"/>
          <w:szCs w:val="22"/>
        </w:rPr>
        <w:t>600</w:t>
      </w:r>
      <w:r w:rsidRPr="00E96C27">
        <w:rPr>
          <w:rFonts w:ascii="Source Sans Pro" w:hAnsi="Source Sans Pro" w:cs="Calibri"/>
          <w:iCs/>
          <w:sz w:val="22"/>
          <w:szCs w:val="22"/>
        </w:rPr>
        <w:t xml:space="preserve"> </w:t>
      </w:r>
      <w:r w:rsidRPr="00E96C27" w:rsidR="00B10F32">
        <w:rPr>
          <w:rFonts w:ascii="Source Sans Pro" w:hAnsi="Source Sans Pro" w:cs="Calibri"/>
          <w:iCs/>
          <w:sz w:val="22"/>
          <w:szCs w:val="22"/>
        </w:rPr>
        <w:t xml:space="preserve">estimated total burden </w:t>
      </w:r>
      <w:r w:rsidRPr="00E96C27">
        <w:rPr>
          <w:rFonts w:ascii="Source Sans Pro" w:hAnsi="Source Sans Pro" w:cs="Calibri"/>
          <w:iCs/>
          <w:sz w:val="22"/>
          <w:szCs w:val="22"/>
        </w:rPr>
        <w:t>hours), a</w:t>
      </w:r>
      <w:r w:rsidRPr="00E96C27" w:rsidR="00DC3E79">
        <w:rPr>
          <w:rFonts w:ascii="Source Sans Pro" w:hAnsi="Source Sans Pro" w:cs="Calibri"/>
          <w:iCs/>
          <w:sz w:val="22"/>
          <w:szCs w:val="22"/>
        </w:rPr>
        <w:t>n increase</w:t>
      </w:r>
      <w:r w:rsidRPr="00E96C27">
        <w:rPr>
          <w:rFonts w:ascii="Source Sans Pro" w:hAnsi="Source Sans Pro" w:cs="Calibri"/>
          <w:iCs/>
          <w:sz w:val="22"/>
          <w:szCs w:val="22"/>
        </w:rPr>
        <w:t xml:space="preserve"> from the previous estimate of 1,000 hours. The per-response estimate remains at 50 hours</w:t>
      </w:r>
      <w:r w:rsidRPr="00E96C27" w:rsidR="00C72DD1">
        <w:rPr>
          <w:rFonts w:ascii="Source Sans Pro" w:hAnsi="Source Sans Pro" w:cs="Calibri"/>
          <w:iCs/>
          <w:sz w:val="22"/>
          <w:szCs w:val="22"/>
        </w:rPr>
        <w:t xml:space="preserve"> per</w:t>
      </w:r>
      <w:r w:rsidRPr="00E96C27" w:rsidR="006E3F1F">
        <w:rPr>
          <w:rFonts w:ascii="Source Sans Pro" w:hAnsi="Source Sans Pro" w:cs="Calibri"/>
          <w:iCs/>
          <w:sz w:val="22"/>
          <w:szCs w:val="22"/>
        </w:rPr>
        <w:t xml:space="preserve"> quarterly report for call center modifications</w:t>
      </w:r>
      <w:r w:rsidRPr="00E96C27">
        <w:rPr>
          <w:rFonts w:ascii="Source Sans Pro" w:hAnsi="Source Sans Pro" w:cs="Calibri"/>
          <w:iCs/>
          <w:sz w:val="22"/>
          <w:szCs w:val="22"/>
        </w:rPr>
        <w:t xml:space="preserve">. </w:t>
      </w:r>
      <w:r w:rsidRPr="00E96C27" w:rsidR="00A46BD1">
        <w:rPr>
          <w:rFonts w:ascii="Source Sans Pro" w:hAnsi="Source Sans Pro" w:cs="Calibri"/>
          <w:iCs/>
          <w:sz w:val="22"/>
          <w:szCs w:val="22"/>
        </w:rPr>
        <w:t>The increase is due to an expanded number of State agencies reporting major changes in SNAP design</w:t>
      </w:r>
      <w:r w:rsidRPr="00E96C27" w:rsidR="00E54880">
        <w:rPr>
          <w:rFonts w:ascii="Source Sans Pro" w:hAnsi="Source Sans Pro" w:cs="Calibri"/>
          <w:iCs/>
          <w:sz w:val="22"/>
          <w:szCs w:val="22"/>
        </w:rPr>
        <w:t xml:space="preserve"> through innovated processe</w:t>
      </w:r>
      <w:r w:rsidRPr="00E96C27" w:rsidR="002C3496">
        <w:rPr>
          <w:rFonts w:ascii="Source Sans Pro" w:hAnsi="Source Sans Pro" w:cs="Calibri"/>
          <w:iCs/>
          <w:sz w:val="22"/>
          <w:szCs w:val="22"/>
        </w:rPr>
        <w:t xml:space="preserve">s and modernized systems. </w:t>
      </w:r>
      <w:r w:rsidRPr="00E96C27" w:rsidR="00B76CA3">
        <w:rPr>
          <w:rFonts w:ascii="Source Sans Pro" w:hAnsi="Source Sans Pro" w:cs="Calibri"/>
          <w:iCs/>
          <w:sz w:val="22"/>
          <w:szCs w:val="22"/>
        </w:rPr>
        <w:t xml:space="preserve"> </w:t>
      </w:r>
    </w:p>
    <w:p w:rsidR="00595A9A" w:rsidRPr="004C4417" w:rsidP="004C4417" w14:paraId="5871CD3C" w14:textId="4F8E7150">
      <w:pPr>
        <w:pStyle w:val="Default"/>
        <w:spacing w:line="480" w:lineRule="auto"/>
        <w:ind w:firstLine="720"/>
        <w:rPr>
          <w:rFonts w:ascii="Source Sans Pro" w:hAnsi="Source Sans Pro"/>
          <w:sz w:val="22"/>
        </w:rPr>
      </w:pPr>
      <w:r w:rsidRPr="00E96C27">
        <w:rPr>
          <w:rFonts w:ascii="Source Sans Pro" w:hAnsi="Source Sans Pro" w:cs="Calibri"/>
          <w:iCs/>
          <w:sz w:val="22"/>
          <w:szCs w:val="22"/>
        </w:rPr>
        <w:t xml:space="preserve">Finally, </w:t>
      </w:r>
      <w:r w:rsidRPr="00E96C27" w:rsidR="007542BA">
        <w:rPr>
          <w:rFonts w:ascii="Source Sans Pro" w:hAnsi="Source Sans Pro" w:cs="Calibri"/>
          <w:iCs/>
          <w:sz w:val="22"/>
          <w:szCs w:val="22"/>
        </w:rPr>
        <w:t>FNS</w:t>
      </w:r>
      <w:r w:rsidRPr="00E96C27">
        <w:rPr>
          <w:rFonts w:ascii="Source Sans Pro" w:hAnsi="Source Sans Pro" w:cs="Calibri"/>
          <w:iCs/>
          <w:sz w:val="22"/>
          <w:szCs w:val="22"/>
        </w:rPr>
        <w:t xml:space="preserve"> anticipates that one major change notification will require reporting beyond the standard quarterly</w:t>
      </w:r>
      <w:r w:rsidRPr="00E96C27" w:rsidR="00254DEA">
        <w:rPr>
          <w:rFonts w:ascii="Source Sans Pro" w:hAnsi="Source Sans Pro" w:cs="Calibri"/>
          <w:iCs/>
          <w:sz w:val="22"/>
          <w:szCs w:val="22"/>
        </w:rPr>
        <w:t xml:space="preserve"> reporting</w:t>
      </w:r>
      <w:r w:rsidRPr="00E96C27">
        <w:rPr>
          <w:rFonts w:ascii="Source Sans Pro" w:hAnsi="Source Sans Pro" w:cs="Calibri"/>
          <w:iCs/>
          <w:sz w:val="22"/>
          <w:szCs w:val="22"/>
        </w:rPr>
        <w:t xml:space="preserve"> submissions outlined in Appendices D and E. This </w:t>
      </w:r>
      <w:r w:rsidRPr="004C4417">
        <w:rPr>
          <w:rFonts w:ascii="Source Sans Pro" w:hAnsi="Source Sans Pro"/>
          <w:sz w:val="22"/>
        </w:rPr>
        <w:t xml:space="preserve">additional </w:t>
      </w:r>
      <w:r w:rsidRPr="00E96C27">
        <w:rPr>
          <w:rFonts w:ascii="Source Sans Pro" w:hAnsi="Source Sans Pro" w:cs="Calibri"/>
          <w:iCs/>
          <w:sz w:val="22"/>
          <w:szCs w:val="22"/>
        </w:rPr>
        <w:t xml:space="preserve">reporting is included in the burden estimate but not </w:t>
      </w:r>
      <w:r w:rsidRPr="00E96C27" w:rsidR="00B717F2">
        <w:rPr>
          <w:rFonts w:ascii="Source Sans Pro" w:hAnsi="Source Sans Pro" w:cs="Calibri"/>
          <w:iCs/>
          <w:sz w:val="22"/>
          <w:szCs w:val="22"/>
        </w:rPr>
        <w:t xml:space="preserve">duplicated </w:t>
      </w:r>
      <w:r w:rsidRPr="00E96C27">
        <w:rPr>
          <w:rFonts w:ascii="Source Sans Pro" w:hAnsi="Source Sans Pro" w:cs="Calibri"/>
          <w:iCs/>
          <w:sz w:val="22"/>
          <w:szCs w:val="22"/>
        </w:rPr>
        <w:t xml:space="preserve">in the respondent count. At </w:t>
      </w:r>
      <w:r w:rsidR="00181161">
        <w:rPr>
          <w:rFonts w:ascii="Source Sans Pro" w:hAnsi="Source Sans Pro" w:cs="Calibri"/>
          <w:iCs/>
          <w:sz w:val="22"/>
          <w:szCs w:val="22"/>
        </w:rPr>
        <w:t>8</w:t>
      </w:r>
      <w:r w:rsidRPr="00E96C27">
        <w:rPr>
          <w:rFonts w:ascii="Source Sans Pro" w:hAnsi="Source Sans Pro" w:cs="Calibri"/>
          <w:iCs/>
          <w:sz w:val="22"/>
          <w:szCs w:val="22"/>
        </w:rPr>
        <w:t>0</w:t>
      </w:r>
      <w:r w:rsidRPr="00E96C27" w:rsidR="002D5A30">
        <w:rPr>
          <w:rFonts w:ascii="Source Sans Pro" w:hAnsi="Source Sans Pro" w:cs="Calibri"/>
          <w:iCs/>
          <w:sz w:val="22"/>
          <w:szCs w:val="22"/>
        </w:rPr>
        <w:t xml:space="preserve"> estimated</w:t>
      </w:r>
      <w:r w:rsidRPr="00E96C27">
        <w:rPr>
          <w:rFonts w:ascii="Source Sans Pro" w:hAnsi="Source Sans Pro" w:cs="Calibri"/>
          <w:iCs/>
          <w:sz w:val="22"/>
          <w:szCs w:val="22"/>
        </w:rPr>
        <w:t xml:space="preserve"> hours per</w:t>
      </w:r>
      <w:r w:rsidRPr="00E96C27" w:rsidR="00691D4C">
        <w:rPr>
          <w:rFonts w:ascii="Source Sans Pro" w:hAnsi="Source Sans Pro" w:cs="Calibri"/>
          <w:iCs/>
          <w:sz w:val="22"/>
          <w:szCs w:val="22"/>
        </w:rPr>
        <w:t xml:space="preserve"> </w:t>
      </w:r>
      <w:r w:rsidRPr="00E96C27">
        <w:rPr>
          <w:rFonts w:ascii="Source Sans Pro" w:hAnsi="Source Sans Pro" w:cs="Calibri"/>
          <w:iCs/>
          <w:sz w:val="22"/>
          <w:szCs w:val="22"/>
        </w:rPr>
        <w:t xml:space="preserve">response, results in a total of </w:t>
      </w:r>
      <w:r w:rsidR="005A5991">
        <w:rPr>
          <w:rFonts w:ascii="Source Sans Pro" w:hAnsi="Source Sans Pro" w:cs="Calibri"/>
          <w:iCs/>
          <w:sz w:val="22"/>
          <w:szCs w:val="22"/>
        </w:rPr>
        <w:t>32</w:t>
      </w:r>
      <w:r w:rsidRPr="00E96C27" w:rsidR="005A5991">
        <w:rPr>
          <w:rFonts w:ascii="Source Sans Pro" w:hAnsi="Source Sans Pro" w:cs="Calibri"/>
          <w:iCs/>
          <w:sz w:val="22"/>
          <w:szCs w:val="22"/>
        </w:rPr>
        <w:t xml:space="preserve">0 </w:t>
      </w:r>
      <w:r w:rsidRPr="00E96C27" w:rsidR="0085364C">
        <w:rPr>
          <w:rFonts w:ascii="Source Sans Pro" w:hAnsi="Source Sans Pro" w:cs="Calibri"/>
          <w:iCs/>
          <w:sz w:val="22"/>
          <w:szCs w:val="22"/>
        </w:rPr>
        <w:t xml:space="preserve">estimated total burden </w:t>
      </w:r>
      <w:r w:rsidRPr="00E96C27">
        <w:rPr>
          <w:rFonts w:ascii="Source Sans Pro" w:hAnsi="Source Sans Pro" w:cs="Calibri"/>
          <w:iCs/>
          <w:sz w:val="22"/>
          <w:szCs w:val="22"/>
        </w:rPr>
        <w:t xml:space="preserve">hours annually (1 </w:t>
      </w:r>
      <w:r w:rsidRPr="00E96C27" w:rsidR="00691D4C">
        <w:rPr>
          <w:rFonts w:ascii="Source Sans Pro" w:hAnsi="Source Sans Pro" w:cs="Calibri"/>
          <w:iCs/>
          <w:sz w:val="22"/>
          <w:szCs w:val="22"/>
        </w:rPr>
        <w:t xml:space="preserve">major change </w:t>
      </w:r>
      <w:r w:rsidRPr="00E96C27">
        <w:rPr>
          <w:rFonts w:ascii="Source Sans Pro" w:hAnsi="Source Sans Pro" w:cs="Calibri"/>
          <w:iCs/>
          <w:sz w:val="22"/>
          <w:szCs w:val="22"/>
        </w:rPr>
        <w:t xml:space="preserve">× 4 </w:t>
      </w:r>
      <w:r w:rsidRPr="004C4417" w:rsidR="00AA7209">
        <w:rPr>
          <w:rFonts w:ascii="Source Sans Pro" w:hAnsi="Source Sans Pro"/>
          <w:sz w:val="22"/>
        </w:rPr>
        <w:t xml:space="preserve">additional </w:t>
      </w:r>
      <w:r w:rsidRPr="00E96C27" w:rsidR="00AA7209">
        <w:rPr>
          <w:rFonts w:ascii="Source Sans Pro" w:hAnsi="Source Sans Pro" w:cs="Calibri"/>
          <w:iCs/>
          <w:sz w:val="22"/>
          <w:szCs w:val="22"/>
        </w:rPr>
        <w:t>r</w:t>
      </w:r>
      <w:r w:rsidRPr="00E96C27">
        <w:rPr>
          <w:rFonts w:ascii="Source Sans Pro" w:hAnsi="Source Sans Pro" w:cs="Calibri"/>
          <w:iCs/>
          <w:sz w:val="22"/>
          <w:szCs w:val="22"/>
        </w:rPr>
        <w:t>eport</w:t>
      </w:r>
      <w:r w:rsidRPr="00E96C27" w:rsidR="00AA7209">
        <w:rPr>
          <w:rFonts w:ascii="Source Sans Pro" w:hAnsi="Source Sans Pro" w:cs="Calibri"/>
          <w:iCs/>
          <w:sz w:val="22"/>
          <w:szCs w:val="22"/>
        </w:rPr>
        <w:t>ing</w:t>
      </w:r>
      <w:r w:rsidRPr="004C4417" w:rsidR="00AA7209">
        <w:rPr>
          <w:rFonts w:ascii="Source Sans Pro" w:hAnsi="Source Sans Pro"/>
          <w:sz w:val="22"/>
        </w:rPr>
        <w:t xml:space="preserve"> responses</w:t>
      </w:r>
      <w:r w:rsidRPr="00E96C27">
        <w:rPr>
          <w:rFonts w:ascii="Source Sans Pro" w:hAnsi="Source Sans Pro" w:cs="Calibri"/>
          <w:iCs/>
          <w:sz w:val="22"/>
          <w:szCs w:val="22"/>
        </w:rPr>
        <w:t xml:space="preserve"> × </w:t>
      </w:r>
      <w:r w:rsidR="005A5991">
        <w:rPr>
          <w:rFonts w:ascii="Source Sans Pro" w:hAnsi="Source Sans Pro" w:cs="Calibri"/>
          <w:iCs/>
          <w:sz w:val="22"/>
          <w:szCs w:val="22"/>
        </w:rPr>
        <w:t>8</w:t>
      </w:r>
      <w:r w:rsidRPr="00E96C27" w:rsidR="005A5991">
        <w:rPr>
          <w:rFonts w:ascii="Source Sans Pro" w:hAnsi="Source Sans Pro" w:cs="Calibri"/>
          <w:iCs/>
          <w:sz w:val="22"/>
          <w:szCs w:val="22"/>
        </w:rPr>
        <w:t xml:space="preserve">0 </w:t>
      </w:r>
      <w:r w:rsidRPr="00E96C27">
        <w:rPr>
          <w:rFonts w:ascii="Source Sans Pro" w:hAnsi="Source Sans Pro" w:cs="Calibri"/>
          <w:iCs/>
          <w:sz w:val="22"/>
          <w:szCs w:val="22"/>
        </w:rPr>
        <w:t xml:space="preserve">hours </w:t>
      </w:r>
      <w:r w:rsidRPr="00E96C27" w:rsidR="00AA7209">
        <w:rPr>
          <w:rFonts w:ascii="Source Sans Pro" w:hAnsi="Source Sans Pro" w:cs="Calibri"/>
          <w:iCs/>
          <w:sz w:val="22"/>
          <w:szCs w:val="22"/>
        </w:rPr>
        <w:t>per additional reporting response</w:t>
      </w:r>
      <w:r w:rsidRPr="00E96C27">
        <w:rPr>
          <w:rFonts w:ascii="Source Sans Pro" w:hAnsi="Source Sans Pro" w:cs="Calibri"/>
          <w:iCs/>
          <w:sz w:val="22"/>
          <w:szCs w:val="22"/>
        </w:rPr>
        <w:t xml:space="preserve">= </w:t>
      </w:r>
      <w:r w:rsidR="005A5991">
        <w:rPr>
          <w:rFonts w:ascii="Source Sans Pro" w:hAnsi="Source Sans Pro" w:cs="Calibri"/>
          <w:iCs/>
          <w:sz w:val="22"/>
          <w:szCs w:val="22"/>
        </w:rPr>
        <w:t>320</w:t>
      </w:r>
      <w:r w:rsidRPr="00E96C27" w:rsidR="005A5991">
        <w:rPr>
          <w:rFonts w:ascii="Source Sans Pro" w:hAnsi="Source Sans Pro" w:cs="Calibri"/>
          <w:iCs/>
          <w:sz w:val="22"/>
          <w:szCs w:val="22"/>
        </w:rPr>
        <w:t xml:space="preserve"> </w:t>
      </w:r>
      <w:r w:rsidRPr="00E96C27">
        <w:rPr>
          <w:rFonts w:ascii="Source Sans Pro" w:hAnsi="Source Sans Pro" w:cs="Calibri"/>
          <w:iCs/>
          <w:sz w:val="22"/>
          <w:szCs w:val="22"/>
        </w:rPr>
        <w:t>hours</w:t>
      </w:r>
      <w:r w:rsidRPr="00E96C27" w:rsidR="00AA7209">
        <w:rPr>
          <w:rFonts w:ascii="Source Sans Pro" w:hAnsi="Source Sans Pro" w:cs="Calibri"/>
          <w:iCs/>
          <w:sz w:val="22"/>
          <w:szCs w:val="22"/>
        </w:rPr>
        <w:t xml:space="preserve"> annually</w:t>
      </w:r>
      <w:r w:rsidRPr="00E96C27">
        <w:rPr>
          <w:rFonts w:ascii="Source Sans Pro" w:hAnsi="Source Sans Pro" w:cs="Calibri"/>
          <w:iCs/>
          <w:sz w:val="22"/>
          <w:szCs w:val="22"/>
        </w:rPr>
        <w:t>), a</w:t>
      </w:r>
      <w:r w:rsidRPr="00E96C27" w:rsidR="00FC79C8">
        <w:rPr>
          <w:rFonts w:ascii="Source Sans Pro" w:hAnsi="Source Sans Pro" w:cs="Calibri"/>
          <w:iCs/>
          <w:sz w:val="22"/>
          <w:szCs w:val="22"/>
        </w:rPr>
        <w:t xml:space="preserve"> decreas</w:t>
      </w:r>
      <w:r w:rsidRPr="00E96C27" w:rsidR="003216F9">
        <w:rPr>
          <w:rFonts w:ascii="Source Sans Pro" w:hAnsi="Source Sans Pro" w:cs="Calibri"/>
          <w:iCs/>
          <w:sz w:val="22"/>
          <w:szCs w:val="22"/>
        </w:rPr>
        <w:t xml:space="preserve">e </w:t>
      </w:r>
      <w:r w:rsidRPr="00E96C27">
        <w:rPr>
          <w:rFonts w:ascii="Source Sans Pro" w:hAnsi="Source Sans Pro" w:cs="Calibri"/>
          <w:iCs/>
          <w:sz w:val="22"/>
          <w:szCs w:val="22"/>
        </w:rPr>
        <w:t xml:space="preserve">from the previous estimate of </w:t>
      </w:r>
      <w:r w:rsidRPr="00E96C27" w:rsidR="008F2340">
        <w:rPr>
          <w:rFonts w:ascii="Source Sans Pro" w:hAnsi="Source Sans Pro" w:cs="Calibri"/>
          <w:iCs/>
          <w:sz w:val="22"/>
          <w:szCs w:val="22"/>
        </w:rPr>
        <w:t xml:space="preserve">4,840 estimated burden </w:t>
      </w:r>
      <w:r w:rsidRPr="00E96C27">
        <w:rPr>
          <w:rFonts w:ascii="Source Sans Pro" w:hAnsi="Source Sans Pro" w:cs="Calibri"/>
          <w:iCs/>
          <w:sz w:val="22"/>
          <w:szCs w:val="22"/>
        </w:rPr>
        <w:t>hours</w:t>
      </w:r>
      <w:r w:rsidRPr="00E96C27" w:rsidR="003509AB">
        <w:rPr>
          <w:rFonts w:ascii="Source Sans Pro" w:hAnsi="Source Sans Pro" w:cs="Calibri"/>
          <w:iCs/>
          <w:sz w:val="22"/>
          <w:szCs w:val="22"/>
        </w:rPr>
        <w:t xml:space="preserve"> annually</w:t>
      </w:r>
      <w:r w:rsidRPr="00E96C27">
        <w:rPr>
          <w:rFonts w:ascii="Source Sans Pro" w:hAnsi="Source Sans Pro" w:cs="Calibri"/>
          <w:iCs/>
          <w:sz w:val="22"/>
          <w:szCs w:val="22"/>
        </w:rPr>
        <w:t xml:space="preserve">. </w:t>
      </w:r>
      <w:r w:rsidRPr="004C4417">
        <w:rPr>
          <w:rFonts w:ascii="Source Sans Pro" w:hAnsi="Source Sans Pro"/>
          <w:sz w:val="22"/>
        </w:rPr>
        <w:t xml:space="preserve">This </w:t>
      </w:r>
      <w:r w:rsidRPr="00E96C27">
        <w:rPr>
          <w:rFonts w:ascii="Source Sans Pro" w:hAnsi="Source Sans Pro" w:cs="Calibri"/>
          <w:iCs/>
          <w:sz w:val="22"/>
          <w:szCs w:val="22"/>
        </w:rPr>
        <w:t xml:space="preserve">revision more accurately captures the scope of major changes </w:t>
      </w:r>
      <w:r w:rsidRPr="004C4417">
        <w:rPr>
          <w:rFonts w:ascii="Source Sans Pro" w:hAnsi="Source Sans Pro"/>
          <w:sz w:val="22"/>
        </w:rPr>
        <w:t xml:space="preserve">requiring </w:t>
      </w:r>
      <w:r w:rsidRPr="00E96C27">
        <w:rPr>
          <w:rFonts w:ascii="Source Sans Pro" w:hAnsi="Source Sans Pro" w:cs="Calibri"/>
          <w:iCs/>
          <w:sz w:val="22"/>
          <w:szCs w:val="22"/>
        </w:rPr>
        <w:t>supplemental reporting</w:t>
      </w:r>
      <w:r w:rsidR="00A3242A">
        <w:rPr>
          <w:rFonts w:ascii="Source Sans Pro" w:hAnsi="Source Sans Pro" w:cs="Calibri"/>
          <w:iCs/>
          <w:sz w:val="22"/>
          <w:szCs w:val="22"/>
        </w:rPr>
        <w:t xml:space="preserve"> and </w:t>
      </w:r>
      <w:r w:rsidR="00F00512">
        <w:rPr>
          <w:rFonts w:ascii="Source Sans Pro" w:hAnsi="Source Sans Pro" w:cs="Calibri"/>
          <w:iCs/>
          <w:sz w:val="22"/>
          <w:szCs w:val="22"/>
        </w:rPr>
        <w:t>an increase in the per response</w:t>
      </w:r>
      <w:r w:rsidR="007F5171">
        <w:rPr>
          <w:rFonts w:ascii="Source Sans Pro" w:hAnsi="Source Sans Pro" w:cs="Calibri"/>
          <w:iCs/>
          <w:sz w:val="22"/>
          <w:szCs w:val="22"/>
        </w:rPr>
        <w:t xml:space="preserve"> estimates based on State agency consultations</w:t>
      </w:r>
      <w:r w:rsidRPr="00E96C27">
        <w:rPr>
          <w:rFonts w:ascii="Source Sans Pro" w:hAnsi="Source Sans Pro" w:cs="Calibri"/>
          <w:iCs/>
          <w:sz w:val="22"/>
          <w:szCs w:val="22"/>
        </w:rPr>
        <w:t>.</w:t>
      </w:r>
      <w:r w:rsidRPr="004C4417" w:rsidR="009E79CB">
        <w:rPr>
          <w:rFonts w:ascii="Source Sans Pro" w:hAnsi="Source Sans Pro"/>
          <w:sz w:val="22"/>
        </w:rPr>
        <w:t xml:space="preserve"> </w:t>
      </w:r>
      <w:r w:rsidRPr="004C4417">
        <w:rPr>
          <w:rFonts w:ascii="Source Sans Pro" w:hAnsi="Source Sans Pro"/>
          <w:sz w:val="22"/>
        </w:rPr>
        <w:t xml:space="preserve">A summary of the burden appears below. </w:t>
      </w:r>
    </w:p>
    <w:p w:rsidR="000643DD" w:rsidP="007375BE" w14:paraId="25E596A3" w14:textId="77777777">
      <w:pPr>
        <w:pStyle w:val="Default"/>
        <w:rPr>
          <w:rFonts w:ascii="Source Sans Pro" w:hAnsi="Source Sans Pro" w:cs="Calibri"/>
        </w:rPr>
        <w:sectPr w:rsidSect="009909AD">
          <w:headerReference w:type="default" r:id="rId11"/>
          <w:footerReference w:type="default" r:id="rId12"/>
          <w:type w:val="continuous"/>
          <w:pgSz w:w="12240" w:h="15840"/>
          <w:pgMar w:top="835" w:right="1685" w:bottom="1267" w:left="1483" w:header="0" w:footer="1008" w:gutter="0"/>
          <w:cols w:space="720"/>
        </w:sectPr>
      </w:pPr>
    </w:p>
    <w:tbl>
      <w:tblPr>
        <w:tblW w:w="13949" w:type="dxa"/>
        <w:tblInd w:w="-365" w:type="dxa"/>
        <w:tblLook w:val="04A0"/>
      </w:tblPr>
      <w:tblGrid>
        <w:gridCol w:w="1482"/>
        <w:gridCol w:w="1211"/>
        <w:gridCol w:w="2157"/>
        <w:gridCol w:w="2068"/>
        <w:gridCol w:w="1535"/>
        <w:gridCol w:w="1434"/>
        <w:gridCol w:w="1236"/>
        <w:gridCol w:w="1387"/>
        <w:gridCol w:w="1439"/>
      </w:tblGrid>
      <w:tr w14:paraId="77C7B049" w14:textId="77777777" w:rsidTr="00A1636A">
        <w:tblPrEx>
          <w:tblW w:w="13949" w:type="dxa"/>
          <w:tblInd w:w="-365" w:type="dxa"/>
          <w:tblLook w:val="04A0"/>
        </w:tblPrEx>
        <w:trPr>
          <w:trHeight w:val="1050"/>
        </w:trPr>
        <w:tc>
          <w:tcPr>
            <w:tcW w:w="1482" w:type="dxa"/>
            <w:tcBorders>
              <w:top w:val="single" w:sz="4" w:space="0" w:color="auto"/>
              <w:left w:val="single" w:sz="4" w:space="0" w:color="auto"/>
              <w:bottom w:val="single" w:sz="8" w:space="0" w:color="auto"/>
              <w:right w:val="single" w:sz="4" w:space="0" w:color="auto"/>
            </w:tcBorders>
            <w:vAlign w:val="bottom"/>
            <w:hideMark/>
          </w:tcPr>
          <w:p w:rsidR="000643DD" w:rsidRPr="004C4417" w:rsidP="000643DD" w14:paraId="2AEDFDDC" w14:textId="20A6807C">
            <w:pPr>
              <w:widowControl/>
              <w:overflowPunct/>
              <w:autoSpaceDE/>
              <w:autoSpaceDN/>
              <w:adjustRightInd/>
              <w:jc w:val="center"/>
              <w:textAlignment w:val="auto"/>
              <w:rPr>
                <w:b/>
                <w:color w:val="000000"/>
              </w:rPr>
            </w:pPr>
            <w:r w:rsidRPr="00954629">
              <w:rPr>
                <w:rFonts w:cs="Calibri"/>
                <w:b/>
                <w:bCs/>
                <w:color w:val="000000"/>
                <w:szCs w:val="24"/>
              </w:rPr>
              <w:t>Type of respondents (optional)</w:t>
            </w:r>
          </w:p>
        </w:tc>
        <w:tc>
          <w:tcPr>
            <w:tcW w:w="1211" w:type="dxa"/>
            <w:tcBorders>
              <w:top w:val="single" w:sz="4" w:space="0" w:color="auto"/>
              <w:left w:val="nil"/>
              <w:bottom w:val="single" w:sz="8" w:space="0" w:color="auto"/>
              <w:right w:val="nil"/>
            </w:tcBorders>
            <w:vAlign w:val="bottom"/>
            <w:hideMark/>
          </w:tcPr>
          <w:p w:rsidR="000643DD" w:rsidRPr="004C4417" w:rsidP="000643DD" w14:paraId="0730BBE3" w14:textId="2E9BCD65">
            <w:pPr>
              <w:widowControl/>
              <w:overflowPunct/>
              <w:autoSpaceDE/>
              <w:autoSpaceDN/>
              <w:adjustRightInd/>
              <w:jc w:val="center"/>
              <w:textAlignment w:val="auto"/>
              <w:rPr>
                <w:b/>
                <w:color w:val="000000"/>
              </w:rPr>
            </w:pPr>
            <w:r w:rsidRPr="00954629">
              <w:rPr>
                <w:rFonts w:cs="Calibri"/>
                <w:b/>
                <w:bCs/>
                <w:color w:val="000000"/>
                <w:szCs w:val="24"/>
              </w:rPr>
              <w:t>Burden Activity</w:t>
            </w:r>
          </w:p>
        </w:tc>
        <w:tc>
          <w:tcPr>
            <w:tcW w:w="2157" w:type="dxa"/>
            <w:tcBorders>
              <w:top w:val="single" w:sz="4" w:space="0" w:color="auto"/>
              <w:left w:val="single" w:sz="4" w:space="0" w:color="auto"/>
              <w:bottom w:val="single" w:sz="8" w:space="0" w:color="auto"/>
              <w:right w:val="nil"/>
            </w:tcBorders>
            <w:vAlign w:val="bottom"/>
            <w:hideMark/>
          </w:tcPr>
          <w:p w:rsidR="000643DD" w:rsidRPr="004C4417" w:rsidP="000643DD" w14:paraId="73A4BA92" w14:textId="2A2365F2">
            <w:pPr>
              <w:widowControl/>
              <w:overflowPunct/>
              <w:autoSpaceDE/>
              <w:autoSpaceDN/>
              <w:adjustRightInd/>
              <w:jc w:val="center"/>
              <w:textAlignment w:val="auto"/>
              <w:rPr>
                <w:b/>
                <w:color w:val="000000"/>
              </w:rPr>
            </w:pPr>
            <w:r w:rsidRPr="00954629">
              <w:rPr>
                <w:rFonts w:cs="Calibri"/>
                <w:b/>
                <w:bCs/>
                <w:color w:val="000000"/>
                <w:szCs w:val="24"/>
              </w:rPr>
              <w:t>Forms/Instruments (Optional Column)</w:t>
            </w:r>
          </w:p>
        </w:tc>
        <w:tc>
          <w:tcPr>
            <w:tcW w:w="2068" w:type="dxa"/>
            <w:tcBorders>
              <w:top w:val="single" w:sz="4" w:space="0" w:color="auto"/>
              <w:left w:val="single" w:sz="4" w:space="0" w:color="auto"/>
              <w:bottom w:val="single" w:sz="8" w:space="0" w:color="auto"/>
              <w:right w:val="nil"/>
            </w:tcBorders>
            <w:vAlign w:val="bottom"/>
            <w:hideMark/>
          </w:tcPr>
          <w:p w:rsidR="000643DD" w:rsidRPr="004C4417" w:rsidP="000643DD" w14:paraId="11965B58" w14:textId="2B0ACEFB">
            <w:pPr>
              <w:widowControl/>
              <w:overflowPunct/>
              <w:autoSpaceDE/>
              <w:autoSpaceDN/>
              <w:adjustRightInd/>
              <w:jc w:val="center"/>
              <w:textAlignment w:val="auto"/>
              <w:rPr>
                <w:b/>
                <w:color w:val="000000"/>
              </w:rPr>
            </w:pPr>
            <w:r w:rsidRPr="00954629">
              <w:rPr>
                <w:rFonts w:cs="Calibri"/>
                <w:b/>
                <w:bCs/>
                <w:color w:val="000000"/>
                <w:szCs w:val="24"/>
              </w:rPr>
              <w:t>CFR Citation (Optional Column)</w:t>
            </w:r>
          </w:p>
        </w:tc>
        <w:tc>
          <w:tcPr>
            <w:tcW w:w="1535" w:type="dxa"/>
            <w:tcBorders>
              <w:top w:val="single" w:sz="4" w:space="0" w:color="auto"/>
              <w:left w:val="single" w:sz="8" w:space="0" w:color="auto"/>
              <w:bottom w:val="single" w:sz="8" w:space="0" w:color="auto"/>
              <w:right w:val="single" w:sz="4" w:space="0" w:color="auto"/>
            </w:tcBorders>
            <w:vAlign w:val="bottom"/>
            <w:hideMark/>
          </w:tcPr>
          <w:p w:rsidR="000643DD" w:rsidRPr="004C4417" w:rsidP="000643DD" w14:paraId="503AEC73" w14:textId="6DC79D14">
            <w:pPr>
              <w:widowControl/>
              <w:overflowPunct/>
              <w:autoSpaceDE/>
              <w:autoSpaceDN/>
              <w:adjustRightInd/>
              <w:jc w:val="center"/>
              <w:textAlignment w:val="auto"/>
              <w:rPr>
                <w:b/>
                <w:color w:val="000000"/>
              </w:rPr>
            </w:pPr>
            <w:r w:rsidRPr="004C4417">
              <w:rPr>
                <w:b/>
                <w:color w:val="000000"/>
              </w:rPr>
              <w:t>Estimated Number of Respondents</w:t>
            </w:r>
          </w:p>
        </w:tc>
        <w:tc>
          <w:tcPr>
            <w:tcW w:w="1434" w:type="dxa"/>
            <w:tcBorders>
              <w:top w:val="single" w:sz="4" w:space="0" w:color="auto"/>
              <w:left w:val="nil"/>
              <w:bottom w:val="single" w:sz="8" w:space="0" w:color="auto"/>
              <w:right w:val="single" w:sz="4" w:space="0" w:color="auto"/>
            </w:tcBorders>
            <w:vAlign w:val="bottom"/>
            <w:hideMark/>
          </w:tcPr>
          <w:p w:rsidR="000643DD" w:rsidRPr="004C4417" w:rsidP="000643DD" w14:paraId="7F8DDB6E" w14:textId="1DE1FDFB">
            <w:pPr>
              <w:widowControl/>
              <w:overflowPunct/>
              <w:autoSpaceDE/>
              <w:autoSpaceDN/>
              <w:adjustRightInd/>
              <w:jc w:val="center"/>
              <w:textAlignment w:val="auto"/>
              <w:rPr>
                <w:b/>
                <w:color w:val="000000"/>
              </w:rPr>
            </w:pPr>
            <w:r w:rsidRPr="00954629">
              <w:rPr>
                <w:rFonts w:cs="Calibri"/>
                <w:b/>
                <w:bCs/>
                <w:color w:val="000000"/>
                <w:szCs w:val="24"/>
              </w:rPr>
              <w:t>Responses per Respondent (Col. H/F)</w:t>
            </w:r>
          </w:p>
        </w:tc>
        <w:tc>
          <w:tcPr>
            <w:tcW w:w="1236" w:type="dxa"/>
            <w:tcBorders>
              <w:top w:val="single" w:sz="4" w:space="0" w:color="auto"/>
              <w:left w:val="nil"/>
              <w:bottom w:val="single" w:sz="8" w:space="0" w:color="auto"/>
              <w:right w:val="single" w:sz="4" w:space="0" w:color="auto"/>
            </w:tcBorders>
            <w:vAlign w:val="bottom"/>
            <w:hideMark/>
          </w:tcPr>
          <w:p w:rsidR="000643DD" w:rsidRPr="004C4417" w:rsidP="000643DD" w14:paraId="0027FB22" w14:textId="0796C246">
            <w:pPr>
              <w:widowControl/>
              <w:overflowPunct/>
              <w:autoSpaceDE/>
              <w:autoSpaceDN/>
              <w:adjustRightInd/>
              <w:jc w:val="center"/>
              <w:textAlignment w:val="auto"/>
              <w:rPr>
                <w:b/>
                <w:color w:val="000000"/>
              </w:rPr>
            </w:pPr>
            <w:r w:rsidRPr="004C4417">
              <w:rPr>
                <w:b/>
                <w:color w:val="000000"/>
              </w:rPr>
              <w:t xml:space="preserve">Total Annual </w:t>
            </w:r>
            <w:r w:rsidRPr="00954629">
              <w:rPr>
                <w:rFonts w:cs="Calibri"/>
                <w:b/>
                <w:bCs/>
                <w:color w:val="000000"/>
                <w:szCs w:val="24"/>
              </w:rPr>
              <w:t>responses (Col. F x G)</w:t>
            </w:r>
          </w:p>
        </w:tc>
        <w:tc>
          <w:tcPr>
            <w:tcW w:w="1387" w:type="dxa"/>
            <w:tcBorders>
              <w:top w:val="single" w:sz="4" w:space="0" w:color="auto"/>
              <w:left w:val="nil"/>
              <w:bottom w:val="single" w:sz="8" w:space="0" w:color="auto"/>
              <w:right w:val="single" w:sz="4" w:space="0" w:color="auto"/>
            </w:tcBorders>
            <w:vAlign w:val="bottom"/>
            <w:hideMark/>
          </w:tcPr>
          <w:p w:rsidR="000643DD" w:rsidRPr="004C4417" w:rsidP="000643DD" w14:paraId="18D9F7AF" w14:textId="3DA7B373">
            <w:pPr>
              <w:widowControl/>
              <w:overflowPunct/>
              <w:autoSpaceDE/>
              <w:autoSpaceDN/>
              <w:adjustRightInd/>
              <w:jc w:val="center"/>
              <w:textAlignment w:val="auto"/>
              <w:rPr>
                <w:b/>
                <w:color w:val="000000"/>
              </w:rPr>
            </w:pPr>
            <w:r w:rsidRPr="004C4417">
              <w:rPr>
                <w:b/>
                <w:color w:val="000000"/>
              </w:rPr>
              <w:t xml:space="preserve">Estimated Hours Per Response </w:t>
            </w:r>
            <w:r w:rsidRPr="00954629">
              <w:rPr>
                <w:rFonts w:cs="Calibri"/>
                <w:b/>
                <w:bCs/>
                <w:color w:val="000000"/>
                <w:szCs w:val="24"/>
              </w:rPr>
              <w:t>(Col. J/H)</w:t>
            </w:r>
          </w:p>
        </w:tc>
        <w:tc>
          <w:tcPr>
            <w:tcW w:w="1439" w:type="dxa"/>
            <w:tcBorders>
              <w:top w:val="single" w:sz="4" w:space="0" w:color="auto"/>
              <w:left w:val="nil"/>
              <w:bottom w:val="single" w:sz="8" w:space="0" w:color="auto"/>
              <w:right w:val="single" w:sz="8" w:space="0" w:color="auto"/>
            </w:tcBorders>
            <w:vAlign w:val="bottom"/>
            <w:hideMark/>
          </w:tcPr>
          <w:p w:rsidR="000643DD" w:rsidRPr="004C4417" w:rsidP="000643DD" w14:paraId="7CFFAE1E" w14:textId="77777777">
            <w:pPr>
              <w:widowControl/>
              <w:overflowPunct/>
              <w:autoSpaceDE/>
              <w:autoSpaceDN/>
              <w:adjustRightInd/>
              <w:jc w:val="center"/>
              <w:textAlignment w:val="auto"/>
              <w:rPr>
                <w:b/>
                <w:color w:val="000000"/>
              </w:rPr>
            </w:pPr>
            <w:r w:rsidRPr="004C4417">
              <w:rPr>
                <w:b/>
                <w:color w:val="000000"/>
              </w:rPr>
              <w:t xml:space="preserve">Estimated Total Burden Hours </w:t>
            </w:r>
            <w:r w:rsidRPr="00954629">
              <w:rPr>
                <w:rFonts w:cs="Calibri"/>
                <w:b/>
                <w:bCs/>
                <w:color w:val="000000"/>
                <w:szCs w:val="24"/>
              </w:rPr>
              <w:t>(Col. H x I)</w:t>
            </w:r>
          </w:p>
        </w:tc>
      </w:tr>
      <w:tr w14:paraId="19E1530E" w14:textId="77777777" w:rsidTr="00A1636A">
        <w:tblPrEx>
          <w:tblW w:w="13949" w:type="dxa"/>
          <w:tblInd w:w="-365" w:type="dxa"/>
          <w:tblLook w:val="04A0"/>
        </w:tblPrEx>
        <w:trPr>
          <w:trHeight w:val="795"/>
        </w:trPr>
        <w:tc>
          <w:tcPr>
            <w:tcW w:w="1482" w:type="dxa"/>
            <w:vMerge w:val="restart"/>
            <w:tcBorders>
              <w:top w:val="single" w:sz="4" w:space="0" w:color="auto"/>
              <w:left w:val="single" w:sz="4" w:space="0" w:color="auto"/>
              <w:bottom w:val="nil"/>
              <w:right w:val="nil"/>
            </w:tcBorders>
            <w:vAlign w:val="center"/>
            <w:hideMark/>
          </w:tcPr>
          <w:p w:rsidR="000643DD" w:rsidRPr="004C4417" w:rsidP="000643DD" w14:paraId="42C2C872" w14:textId="659C2034">
            <w:pPr>
              <w:widowControl/>
              <w:overflowPunct/>
              <w:autoSpaceDE/>
              <w:autoSpaceDN/>
              <w:adjustRightInd/>
              <w:jc w:val="center"/>
              <w:textAlignment w:val="auto"/>
              <w:rPr>
                <w:color w:val="000000"/>
                <w:sz w:val="22"/>
              </w:rPr>
            </w:pPr>
            <w:r w:rsidRPr="00550089">
              <w:rPr>
                <w:rFonts w:cs="Calibri"/>
                <w:color w:val="000000"/>
                <w:sz w:val="22"/>
                <w:szCs w:val="22"/>
              </w:rPr>
              <w:t>State Agency</w:t>
            </w:r>
          </w:p>
        </w:tc>
        <w:tc>
          <w:tcPr>
            <w:tcW w:w="1211" w:type="dxa"/>
            <w:vMerge w:val="restart"/>
            <w:tcBorders>
              <w:top w:val="single" w:sz="4" w:space="0" w:color="auto"/>
              <w:left w:val="single" w:sz="4" w:space="0" w:color="auto"/>
              <w:bottom w:val="single" w:sz="4" w:space="0" w:color="000000"/>
              <w:right w:val="single" w:sz="4" w:space="0" w:color="auto"/>
            </w:tcBorders>
            <w:vAlign w:val="center"/>
            <w:hideMark/>
          </w:tcPr>
          <w:p w:rsidR="000643DD" w:rsidRPr="00550089" w:rsidP="000643DD" w14:paraId="328D7535" w14:textId="77777777">
            <w:pPr>
              <w:widowControl/>
              <w:overflowPunct/>
              <w:autoSpaceDE/>
              <w:autoSpaceDN/>
              <w:adjustRightInd/>
              <w:jc w:val="center"/>
              <w:textAlignment w:val="auto"/>
              <w:rPr>
                <w:rFonts w:cs="Calibri"/>
                <w:color w:val="000000"/>
                <w:sz w:val="22"/>
                <w:szCs w:val="22"/>
              </w:rPr>
            </w:pPr>
            <w:r w:rsidRPr="004C4417">
              <w:rPr>
                <w:color w:val="000000"/>
                <w:sz w:val="22"/>
              </w:rPr>
              <w:t>Major Change</w:t>
            </w:r>
          </w:p>
          <w:p w:rsidR="00790D14" w:rsidRPr="004C4417" w:rsidP="000643DD" w14:paraId="459094DB" w14:textId="6DD3A47D">
            <w:pPr>
              <w:widowControl/>
              <w:overflowPunct/>
              <w:autoSpaceDE/>
              <w:autoSpaceDN/>
              <w:adjustRightInd/>
              <w:jc w:val="center"/>
              <w:textAlignment w:val="auto"/>
              <w:rPr>
                <w:color w:val="000000"/>
                <w:sz w:val="22"/>
              </w:rPr>
            </w:pPr>
            <w:r w:rsidRPr="00550089">
              <w:rPr>
                <w:rFonts w:cs="Calibri"/>
                <w:color w:val="000000"/>
                <w:sz w:val="22"/>
                <w:szCs w:val="22"/>
              </w:rPr>
              <w:t>Reporting</w:t>
            </w:r>
          </w:p>
        </w:tc>
        <w:tc>
          <w:tcPr>
            <w:tcW w:w="2157" w:type="dxa"/>
            <w:tcBorders>
              <w:top w:val="nil"/>
              <w:left w:val="nil"/>
              <w:bottom w:val="single" w:sz="4" w:space="0" w:color="auto"/>
              <w:right w:val="single" w:sz="4" w:space="0" w:color="auto"/>
            </w:tcBorders>
            <w:vAlign w:val="bottom"/>
            <w:hideMark/>
          </w:tcPr>
          <w:p w:rsidR="000643DD" w:rsidRPr="004C4417" w:rsidP="004C4417" w14:paraId="56AB6E6C" w14:textId="6B5A52AF">
            <w:pPr>
              <w:widowControl/>
              <w:overflowPunct/>
              <w:autoSpaceDE/>
              <w:autoSpaceDN/>
              <w:adjustRightInd/>
              <w:textAlignment w:val="auto"/>
              <w:rPr>
                <w:color w:val="000000"/>
                <w:sz w:val="22"/>
              </w:rPr>
            </w:pPr>
            <w:r w:rsidRPr="00550089">
              <w:rPr>
                <w:rFonts w:cs="Calibri"/>
                <w:color w:val="000000"/>
                <w:sz w:val="22"/>
                <w:szCs w:val="22"/>
              </w:rPr>
              <w:t>Major Changes Notification Template (Appendix C)</w:t>
            </w:r>
          </w:p>
        </w:tc>
        <w:tc>
          <w:tcPr>
            <w:tcW w:w="2068" w:type="dxa"/>
            <w:tcBorders>
              <w:top w:val="single" w:sz="4" w:space="0" w:color="auto"/>
              <w:left w:val="nil"/>
              <w:bottom w:val="single" w:sz="4" w:space="0" w:color="auto"/>
              <w:right w:val="single" w:sz="4" w:space="0" w:color="auto"/>
            </w:tcBorders>
            <w:vAlign w:val="center"/>
            <w:hideMark/>
          </w:tcPr>
          <w:p w:rsidR="000643DD" w:rsidRPr="004C4417" w:rsidP="000643DD" w14:paraId="09B80F69" w14:textId="0322E669">
            <w:pPr>
              <w:widowControl/>
              <w:overflowPunct/>
              <w:autoSpaceDE/>
              <w:autoSpaceDN/>
              <w:adjustRightInd/>
              <w:jc w:val="center"/>
              <w:textAlignment w:val="auto"/>
              <w:rPr>
                <w:sz w:val="22"/>
              </w:rPr>
            </w:pPr>
            <w:r w:rsidRPr="00550089">
              <w:rPr>
                <w:rFonts w:cs="Calibri"/>
                <w:sz w:val="22"/>
                <w:szCs w:val="22"/>
              </w:rPr>
              <w:t>7 CFR 272.15(a)(3)</w:t>
            </w:r>
          </w:p>
        </w:tc>
        <w:tc>
          <w:tcPr>
            <w:tcW w:w="1535" w:type="dxa"/>
            <w:tcBorders>
              <w:top w:val="nil"/>
              <w:left w:val="single" w:sz="8" w:space="0" w:color="auto"/>
              <w:bottom w:val="single" w:sz="4" w:space="0" w:color="auto"/>
              <w:right w:val="single" w:sz="4" w:space="0" w:color="auto"/>
            </w:tcBorders>
            <w:vAlign w:val="center"/>
            <w:hideMark/>
          </w:tcPr>
          <w:p w:rsidR="000643DD" w:rsidRPr="004C4417" w:rsidP="000643DD" w14:paraId="7533F161" w14:textId="7EC629D9">
            <w:pPr>
              <w:widowControl/>
              <w:overflowPunct/>
              <w:autoSpaceDE/>
              <w:autoSpaceDN/>
              <w:adjustRightInd/>
              <w:jc w:val="center"/>
              <w:textAlignment w:val="auto"/>
              <w:rPr>
                <w:color w:val="000000"/>
                <w:sz w:val="22"/>
              </w:rPr>
            </w:pPr>
            <w:r w:rsidRPr="00550089">
              <w:rPr>
                <w:rFonts w:cs="Calibri"/>
                <w:color w:val="000000"/>
                <w:sz w:val="22"/>
                <w:szCs w:val="22"/>
              </w:rPr>
              <w:t>20</w:t>
            </w:r>
          </w:p>
        </w:tc>
        <w:tc>
          <w:tcPr>
            <w:tcW w:w="1434" w:type="dxa"/>
            <w:tcBorders>
              <w:top w:val="nil"/>
              <w:left w:val="nil"/>
              <w:bottom w:val="single" w:sz="4" w:space="0" w:color="auto"/>
              <w:right w:val="single" w:sz="4" w:space="0" w:color="auto"/>
            </w:tcBorders>
            <w:vAlign w:val="center"/>
            <w:hideMark/>
          </w:tcPr>
          <w:p w:rsidR="000643DD" w:rsidRPr="004C4417" w:rsidP="000643DD" w14:paraId="64C005F4" w14:textId="134077F9">
            <w:pPr>
              <w:widowControl/>
              <w:overflowPunct/>
              <w:autoSpaceDE/>
              <w:autoSpaceDN/>
              <w:adjustRightInd/>
              <w:jc w:val="center"/>
              <w:textAlignment w:val="auto"/>
              <w:rPr>
                <w:color w:val="000000"/>
                <w:sz w:val="22"/>
              </w:rPr>
            </w:pPr>
            <w:r w:rsidRPr="00550089">
              <w:rPr>
                <w:rFonts w:cs="Calibri"/>
                <w:color w:val="000000"/>
                <w:sz w:val="22"/>
                <w:szCs w:val="22"/>
              </w:rPr>
              <w:t>2</w:t>
            </w:r>
          </w:p>
        </w:tc>
        <w:tc>
          <w:tcPr>
            <w:tcW w:w="1236" w:type="dxa"/>
            <w:tcBorders>
              <w:top w:val="nil"/>
              <w:left w:val="nil"/>
              <w:bottom w:val="nil"/>
              <w:right w:val="single" w:sz="4" w:space="0" w:color="auto"/>
            </w:tcBorders>
            <w:vAlign w:val="center"/>
            <w:hideMark/>
          </w:tcPr>
          <w:p w:rsidR="000643DD" w:rsidRPr="004C4417" w:rsidP="000643DD" w14:paraId="35B15B40" w14:textId="2B4754F7">
            <w:pPr>
              <w:widowControl/>
              <w:overflowPunct/>
              <w:autoSpaceDE/>
              <w:autoSpaceDN/>
              <w:adjustRightInd/>
              <w:jc w:val="center"/>
              <w:textAlignment w:val="auto"/>
              <w:rPr>
                <w:color w:val="000000"/>
                <w:sz w:val="22"/>
              </w:rPr>
            </w:pPr>
            <w:r w:rsidRPr="00550089">
              <w:rPr>
                <w:rFonts w:cs="Calibri"/>
                <w:color w:val="000000"/>
                <w:sz w:val="22"/>
                <w:szCs w:val="22"/>
              </w:rPr>
              <w:t>40</w:t>
            </w:r>
          </w:p>
        </w:tc>
        <w:tc>
          <w:tcPr>
            <w:tcW w:w="1387" w:type="dxa"/>
            <w:tcBorders>
              <w:top w:val="nil"/>
              <w:left w:val="nil"/>
              <w:bottom w:val="single" w:sz="4" w:space="0" w:color="auto"/>
              <w:right w:val="single" w:sz="4" w:space="0" w:color="auto"/>
            </w:tcBorders>
            <w:vAlign w:val="center"/>
            <w:hideMark/>
          </w:tcPr>
          <w:p w:rsidR="000643DD" w:rsidRPr="004C4417" w:rsidP="000643DD" w14:paraId="70067885" w14:textId="269DF73C">
            <w:pPr>
              <w:widowControl/>
              <w:overflowPunct/>
              <w:autoSpaceDE/>
              <w:autoSpaceDN/>
              <w:adjustRightInd/>
              <w:jc w:val="center"/>
              <w:textAlignment w:val="auto"/>
              <w:rPr>
                <w:color w:val="000000"/>
                <w:sz w:val="22"/>
              </w:rPr>
            </w:pPr>
            <w:r>
              <w:rPr>
                <w:color w:val="000000"/>
                <w:sz w:val="22"/>
              </w:rPr>
              <w:t>70</w:t>
            </w:r>
          </w:p>
        </w:tc>
        <w:tc>
          <w:tcPr>
            <w:tcW w:w="1439" w:type="dxa"/>
            <w:tcBorders>
              <w:top w:val="nil"/>
              <w:left w:val="nil"/>
              <w:bottom w:val="single" w:sz="4" w:space="0" w:color="auto"/>
              <w:right w:val="single" w:sz="8" w:space="0" w:color="auto"/>
            </w:tcBorders>
            <w:vAlign w:val="center"/>
            <w:hideMark/>
          </w:tcPr>
          <w:p w:rsidR="000643DD" w:rsidRPr="004C4417" w:rsidP="000643DD" w14:paraId="434A7117" w14:textId="1522853A">
            <w:pPr>
              <w:widowControl/>
              <w:overflowPunct/>
              <w:autoSpaceDE/>
              <w:autoSpaceDN/>
              <w:adjustRightInd/>
              <w:jc w:val="center"/>
              <w:textAlignment w:val="auto"/>
              <w:rPr>
                <w:color w:val="000000"/>
                <w:sz w:val="22"/>
              </w:rPr>
            </w:pPr>
            <w:r w:rsidRPr="00550089">
              <w:rPr>
                <w:rFonts w:cs="Calibri"/>
                <w:color w:val="000000"/>
                <w:sz w:val="22"/>
                <w:szCs w:val="22"/>
              </w:rPr>
              <w:t>2,</w:t>
            </w:r>
            <w:r w:rsidR="007F5171">
              <w:rPr>
                <w:rFonts w:cs="Calibri"/>
                <w:color w:val="000000"/>
                <w:sz w:val="22"/>
                <w:szCs w:val="22"/>
              </w:rPr>
              <w:t>8</w:t>
            </w:r>
            <w:r w:rsidRPr="00550089" w:rsidR="007F5171">
              <w:rPr>
                <w:rFonts w:cs="Calibri"/>
                <w:color w:val="000000"/>
                <w:sz w:val="22"/>
                <w:szCs w:val="22"/>
              </w:rPr>
              <w:t>00</w:t>
            </w:r>
          </w:p>
        </w:tc>
      </w:tr>
      <w:tr w14:paraId="520880C3" w14:textId="77777777" w:rsidTr="00A1636A">
        <w:tblPrEx>
          <w:tblW w:w="13949" w:type="dxa"/>
          <w:tblInd w:w="-365" w:type="dxa"/>
          <w:tblLook w:val="04A0"/>
        </w:tblPrEx>
        <w:trPr>
          <w:trHeight w:val="795"/>
        </w:trPr>
        <w:tc>
          <w:tcPr>
            <w:tcW w:w="1482" w:type="dxa"/>
            <w:vMerge/>
            <w:tcBorders>
              <w:top w:val="single" w:sz="4" w:space="0" w:color="auto"/>
              <w:left w:val="single" w:sz="4" w:space="0" w:color="auto"/>
              <w:bottom w:val="nil"/>
              <w:right w:val="nil"/>
            </w:tcBorders>
            <w:vAlign w:val="center"/>
            <w:hideMark/>
          </w:tcPr>
          <w:p w:rsidR="000643DD" w:rsidRPr="004C4417" w:rsidP="004C4417" w14:paraId="743BEF70" w14:textId="2E6A0562">
            <w:pPr>
              <w:widowControl/>
              <w:overflowPunct/>
              <w:autoSpaceDE/>
              <w:autoSpaceDN/>
              <w:adjustRightInd/>
              <w:textAlignment w:val="auto"/>
              <w:rPr>
                <w:color w:val="000000"/>
                <w:sz w:val="22"/>
              </w:rPr>
            </w:pPr>
          </w:p>
        </w:tc>
        <w:tc>
          <w:tcPr>
            <w:tcW w:w="1211" w:type="dxa"/>
            <w:vMerge/>
            <w:tcBorders>
              <w:top w:val="single" w:sz="4" w:space="0" w:color="auto"/>
              <w:left w:val="single" w:sz="4" w:space="0" w:color="auto"/>
              <w:bottom w:val="single" w:sz="4" w:space="0" w:color="000000"/>
              <w:right w:val="single" w:sz="4" w:space="0" w:color="auto"/>
            </w:tcBorders>
            <w:vAlign w:val="center"/>
            <w:hideMark/>
          </w:tcPr>
          <w:p w:rsidR="000643DD" w:rsidRPr="004C4417" w:rsidP="004C4417" w14:paraId="3A5D9419" w14:textId="42E09959">
            <w:pPr>
              <w:widowControl/>
              <w:overflowPunct/>
              <w:autoSpaceDE/>
              <w:autoSpaceDN/>
              <w:adjustRightInd/>
              <w:textAlignment w:val="auto"/>
              <w:rPr>
                <w:color w:val="000000"/>
                <w:sz w:val="22"/>
              </w:rPr>
            </w:pPr>
          </w:p>
        </w:tc>
        <w:tc>
          <w:tcPr>
            <w:tcW w:w="2157" w:type="dxa"/>
            <w:tcBorders>
              <w:top w:val="nil"/>
              <w:left w:val="nil"/>
              <w:bottom w:val="single" w:sz="4" w:space="0" w:color="auto"/>
              <w:right w:val="single" w:sz="4" w:space="0" w:color="auto"/>
            </w:tcBorders>
            <w:vAlign w:val="bottom"/>
            <w:hideMark/>
          </w:tcPr>
          <w:p w:rsidR="000643DD" w:rsidRPr="004C4417" w:rsidP="004C4417" w14:paraId="33075907" w14:textId="3D67C5D9">
            <w:pPr>
              <w:widowControl/>
              <w:overflowPunct/>
              <w:autoSpaceDE/>
              <w:autoSpaceDN/>
              <w:adjustRightInd/>
              <w:textAlignment w:val="auto"/>
              <w:rPr>
                <w:color w:val="000000"/>
                <w:sz w:val="22"/>
              </w:rPr>
            </w:pPr>
            <w:r w:rsidRPr="00550089">
              <w:rPr>
                <w:rFonts w:cs="Calibri"/>
                <w:color w:val="000000"/>
                <w:sz w:val="22"/>
                <w:szCs w:val="22"/>
              </w:rPr>
              <w:t>Major Changes Quarterly Reporting Template (Appendix D)</w:t>
            </w:r>
          </w:p>
        </w:tc>
        <w:tc>
          <w:tcPr>
            <w:tcW w:w="2068" w:type="dxa"/>
            <w:tcBorders>
              <w:top w:val="nil"/>
              <w:left w:val="nil"/>
              <w:bottom w:val="single" w:sz="4" w:space="0" w:color="auto"/>
              <w:right w:val="single" w:sz="4" w:space="0" w:color="auto"/>
            </w:tcBorders>
            <w:vAlign w:val="center"/>
            <w:hideMark/>
          </w:tcPr>
          <w:p w:rsidR="000643DD" w:rsidRPr="004C4417" w:rsidP="000643DD" w14:paraId="3BEF2222" w14:textId="511DD97E">
            <w:pPr>
              <w:widowControl/>
              <w:overflowPunct/>
              <w:autoSpaceDE/>
              <w:autoSpaceDN/>
              <w:adjustRightInd/>
              <w:jc w:val="center"/>
              <w:textAlignment w:val="auto"/>
              <w:rPr>
                <w:sz w:val="22"/>
              </w:rPr>
            </w:pPr>
            <w:r w:rsidRPr="00550089">
              <w:rPr>
                <w:rFonts w:cs="Calibri"/>
                <w:sz w:val="22"/>
                <w:szCs w:val="22"/>
              </w:rPr>
              <w:t>7 CFR 272.15(b)(1)-(3)</w:t>
            </w:r>
          </w:p>
        </w:tc>
        <w:tc>
          <w:tcPr>
            <w:tcW w:w="1535" w:type="dxa"/>
            <w:tcBorders>
              <w:top w:val="nil"/>
              <w:left w:val="single" w:sz="8" w:space="0" w:color="auto"/>
              <w:bottom w:val="single" w:sz="4" w:space="0" w:color="auto"/>
              <w:right w:val="single" w:sz="4" w:space="0" w:color="auto"/>
            </w:tcBorders>
            <w:vAlign w:val="center"/>
            <w:hideMark/>
          </w:tcPr>
          <w:p w:rsidR="000643DD" w:rsidRPr="004C4417" w:rsidP="000643DD" w14:paraId="5FFD3BDB" w14:textId="6CA6E82C">
            <w:pPr>
              <w:widowControl/>
              <w:overflowPunct/>
              <w:autoSpaceDE/>
              <w:autoSpaceDN/>
              <w:adjustRightInd/>
              <w:jc w:val="center"/>
              <w:textAlignment w:val="auto"/>
              <w:rPr>
                <w:color w:val="000000"/>
                <w:sz w:val="22"/>
              </w:rPr>
            </w:pPr>
            <w:r>
              <w:rPr>
                <w:rFonts w:cs="Calibri"/>
                <w:color w:val="000000"/>
                <w:sz w:val="22"/>
                <w:szCs w:val="22"/>
              </w:rPr>
              <w:t xml:space="preserve"> 20</w:t>
            </w:r>
          </w:p>
        </w:tc>
        <w:tc>
          <w:tcPr>
            <w:tcW w:w="1434" w:type="dxa"/>
            <w:tcBorders>
              <w:top w:val="nil"/>
              <w:left w:val="nil"/>
              <w:bottom w:val="single" w:sz="4" w:space="0" w:color="auto"/>
              <w:right w:val="single" w:sz="4" w:space="0" w:color="auto"/>
            </w:tcBorders>
            <w:vAlign w:val="center"/>
            <w:hideMark/>
          </w:tcPr>
          <w:p w:rsidR="000643DD" w:rsidRPr="004C4417" w:rsidP="000643DD" w14:paraId="10EE21AB" w14:textId="6A3DC1AE">
            <w:pPr>
              <w:widowControl/>
              <w:overflowPunct/>
              <w:autoSpaceDE/>
              <w:autoSpaceDN/>
              <w:adjustRightInd/>
              <w:jc w:val="center"/>
              <w:textAlignment w:val="auto"/>
              <w:rPr>
                <w:color w:val="000000"/>
                <w:sz w:val="22"/>
              </w:rPr>
            </w:pPr>
            <w:r>
              <w:rPr>
                <w:color w:val="000000"/>
                <w:sz w:val="22"/>
              </w:rPr>
              <w:t>7</w:t>
            </w:r>
          </w:p>
        </w:tc>
        <w:tc>
          <w:tcPr>
            <w:tcW w:w="1236" w:type="dxa"/>
            <w:tcBorders>
              <w:top w:val="single" w:sz="8" w:space="0" w:color="auto"/>
              <w:left w:val="nil"/>
              <w:bottom w:val="nil"/>
              <w:right w:val="single" w:sz="4" w:space="0" w:color="auto"/>
            </w:tcBorders>
            <w:vAlign w:val="center"/>
            <w:hideMark/>
          </w:tcPr>
          <w:p w:rsidR="000643DD" w:rsidRPr="004C4417" w:rsidP="000643DD" w14:paraId="1A8E602F" w14:textId="4C314749">
            <w:pPr>
              <w:widowControl/>
              <w:overflowPunct/>
              <w:autoSpaceDE/>
              <w:autoSpaceDN/>
              <w:adjustRightInd/>
              <w:jc w:val="center"/>
              <w:textAlignment w:val="auto"/>
              <w:rPr>
                <w:color w:val="000000"/>
                <w:sz w:val="22"/>
              </w:rPr>
            </w:pPr>
            <w:r w:rsidRPr="00550089">
              <w:rPr>
                <w:rFonts w:cs="Calibri"/>
                <w:color w:val="000000"/>
                <w:sz w:val="22"/>
                <w:szCs w:val="22"/>
              </w:rPr>
              <w:t>132</w:t>
            </w:r>
          </w:p>
        </w:tc>
        <w:tc>
          <w:tcPr>
            <w:tcW w:w="1387" w:type="dxa"/>
            <w:tcBorders>
              <w:top w:val="nil"/>
              <w:left w:val="nil"/>
              <w:bottom w:val="single" w:sz="4" w:space="0" w:color="auto"/>
              <w:right w:val="single" w:sz="4" w:space="0" w:color="auto"/>
            </w:tcBorders>
            <w:vAlign w:val="center"/>
            <w:hideMark/>
          </w:tcPr>
          <w:p w:rsidR="000643DD" w:rsidRPr="004C4417" w:rsidP="000643DD" w14:paraId="630CB45A" w14:textId="685DC009">
            <w:pPr>
              <w:widowControl/>
              <w:overflowPunct/>
              <w:autoSpaceDE/>
              <w:autoSpaceDN/>
              <w:adjustRightInd/>
              <w:jc w:val="center"/>
              <w:textAlignment w:val="auto"/>
              <w:rPr>
                <w:color w:val="000000"/>
                <w:sz w:val="22"/>
              </w:rPr>
            </w:pPr>
            <w:r w:rsidRPr="004C4417">
              <w:rPr>
                <w:color w:val="000000"/>
                <w:sz w:val="22"/>
              </w:rPr>
              <w:t>7</w:t>
            </w:r>
            <w:r>
              <w:rPr>
                <w:color w:val="000000"/>
                <w:sz w:val="22"/>
              </w:rPr>
              <w:t>5</w:t>
            </w:r>
          </w:p>
        </w:tc>
        <w:tc>
          <w:tcPr>
            <w:tcW w:w="1439" w:type="dxa"/>
            <w:tcBorders>
              <w:top w:val="single" w:sz="8" w:space="0" w:color="auto"/>
              <w:left w:val="nil"/>
              <w:bottom w:val="single" w:sz="4" w:space="0" w:color="auto"/>
              <w:right w:val="single" w:sz="8" w:space="0" w:color="auto"/>
            </w:tcBorders>
            <w:vAlign w:val="center"/>
            <w:hideMark/>
          </w:tcPr>
          <w:p w:rsidR="000643DD" w:rsidRPr="004C4417" w:rsidP="000643DD" w14:paraId="796FD342" w14:textId="6F9CFB6C">
            <w:pPr>
              <w:widowControl/>
              <w:overflowPunct/>
              <w:autoSpaceDE/>
              <w:autoSpaceDN/>
              <w:adjustRightInd/>
              <w:jc w:val="center"/>
              <w:textAlignment w:val="auto"/>
              <w:rPr>
                <w:color w:val="000000"/>
                <w:sz w:val="22"/>
              </w:rPr>
            </w:pPr>
            <w:r w:rsidRPr="00550089">
              <w:rPr>
                <w:rFonts w:cs="Calibri"/>
                <w:color w:val="000000"/>
                <w:sz w:val="22"/>
                <w:szCs w:val="22"/>
              </w:rPr>
              <w:t>9</w:t>
            </w:r>
            <w:r w:rsidRPr="004C4417">
              <w:rPr>
                <w:color w:val="000000"/>
                <w:sz w:val="22"/>
              </w:rPr>
              <w:t>,</w:t>
            </w:r>
            <w:r w:rsidR="00B741E2">
              <w:rPr>
                <w:color w:val="000000"/>
                <w:sz w:val="22"/>
              </w:rPr>
              <w:t>90</w:t>
            </w:r>
            <w:r w:rsidRPr="004C4417" w:rsidR="00B741E2">
              <w:rPr>
                <w:color w:val="000000"/>
                <w:sz w:val="22"/>
              </w:rPr>
              <w:t>0</w:t>
            </w:r>
          </w:p>
        </w:tc>
      </w:tr>
      <w:tr w14:paraId="5AAFB6EC" w14:textId="77777777" w:rsidTr="00A1636A">
        <w:tblPrEx>
          <w:tblW w:w="13949" w:type="dxa"/>
          <w:tblInd w:w="-365" w:type="dxa"/>
          <w:tblLook w:val="04A0"/>
        </w:tblPrEx>
        <w:trPr>
          <w:trHeight w:val="1305"/>
        </w:trPr>
        <w:tc>
          <w:tcPr>
            <w:tcW w:w="1482" w:type="dxa"/>
            <w:vMerge/>
            <w:tcBorders>
              <w:top w:val="single" w:sz="4" w:space="0" w:color="auto"/>
              <w:left w:val="single" w:sz="4" w:space="0" w:color="auto"/>
              <w:bottom w:val="nil"/>
              <w:right w:val="nil"/>
            </w:tcBorders>
            <w:vAlign w:val="center"/>
            <w:hideMark/>
          </w:tcPr>
          <w:p w:rsidR="000643DD" w:rsidRPr="004C4417" w:rsidP="004C4417" w14:paraId="2B40A75C" w14:textId="26BA345D">
            <w:pPr>
              <w:widowControl/>
              <w:overflowPunct/>
              <w:autoSpaceDE/>
              <w:autoSpaceDN/>
              <w:adjustRightInd/>
              <w:textAlignment w:val="auto"/>
              <w:rPr>
                <w:color w:val="000000"/>
                <w:sz w:val="22"/>
              </w:rPr>
            </w:pPr>
          </w:p>
        </w:tc>
        <w:tc>
          <w:tcPr>
            <w:tcW w:w="1211" w:type="dxa"/>
            <w:vMerge/>
            <w:tcBorders>
              <w:top w:val="single" w:sz="4" w:space="0" w:color="auto"/>
              <w:left w:val="single" w:sz="4" w:space="0" w:color="auto"/>
              <w:bottom w:val="single" w:sz="4" w:space="0" w:color="000000"/>
              <w:right w:val="single" w:sz="4" w:space="0" w:color="auto"/>
            </w:tcBorders>
            <w:vAlign w:val="center"/>
            <w:hideMark/>
          </w:tcPr>
          <w:p w:rsidR="000643DD" w:rsidRPr="004C4417" w:rsidP="004C4417" w14:paraId="6A614B30" w14:textId="50779725">
            <w:pPr>
              <w:widowControl/>
              <w:overflowPunct/>
              <w:autoSpaceDE/>
              <w:autoSpaceDN/>
              <w:adjustRightInd/>
              <w:textAlignment w:val="auto"/>
              <w:rPr>
                <w:color w:val="000000"/>
                <w:sz w:val="22"/>
              </w:rPr>
            </w:pPr>
          </w:p>
        </w:tc>
        <w:tc>
          <w:tcPr>
            <w:tcW w:w="2157" w:type="dxa"/>
            <w:tcBorders>
              <w:top w:val="nil"/>
              <w:left w:val="nil"/>
              <w:bottom w:val="nil"/>
              <w:right w:val="single" w:sz="4" w:space="0" w:color="auto"/>
            </w:tcBorders>
            <w:vAlign w:val="bottom"/>
            <w:hideMark/>
          </w:tcPr>
          <w:p w:rsidR="000643DD" w:rsidRPr="004C4417" w:rsidP="004C4417" w14:paraId="318E5751" w14:textId="16EE4B99">
            <w:pPr>
              <w:widowControl/>
              <w:overflowPunct/>
              <w:autoSpaceDE/>
              <w:autoSpaceDN/>
              <w:adjustRightInd/>
              <w:textAlignment w:val="auto"/>
              <w:rPr>
                <w:color w:val="000000"/>
                <w:sz w:val="22"/>
              </w:rPr>
            </w:pPr>
            <w:r w:rsidRPr="00550089">
              <w:rPr>
                <w:rFonts w:cs="Calibri"/>
                <w:color w:val="000000"/>
                <w:sz w:val="22"/>
                <w:szCs w:val="22"/>
              </w:rPr>
              <w:t>Major Changes Quarterly Reporting Template for Call Center Modifications (Appendix E)</w:t>
            </w:r>
          </w:p>
        </w:tc>
        <w:tc>
          <w:tcPr>
            <w:tcW w:w="2068" w:type="dxa"/>
            <w:tcBorders>
              <w:top w:val="nil"/>
              <w:left w:val="nil"/>
              <w:bottom w:val="single" w:sz="4" w:space="0" w:color="auto"/>
              <w:right w:val="single" w:sz="4" w:space="0" w:color="auto"/>
            </w:tcBorders>
            <w:vAlign w:val="center"/>
            <w:hideMark/>
          </w:tcPr>
          <w:p w:rsidR="000643DD" w:rsidRPr="004C4417" w:rsidP="000643DD" w14:paraId="3CB880F6" w14:textId="4ED6E84D">
            <w:pPr>
              <w:widowControl/>
              <w:overflowPunct/>
              <w:autoSpaceDE/>
              <w:autoSpaceDN/>
              <w:adjustRightInd/>
              <w:jc w:val="center"/>
              <w:textAlignment w:val="auto"/>
              <w:rPr>
                <w:sz w:val="22"/>
              </w:rPr>
            </w:pPr>
            <w:r w:rsidRPr="004C4417">
              <w:rPr>
                <w:sz w:val="22"/>
              </w:rPr>
              <w:t>7 CFR 272.15(b)(4)(iv)</w:t>
            </w:r>
          </w:p>
        </w:tc>
        <w:tc>
          <w:tcPr>
            <w:tcW w:w="1535" w:type="dxa"/>
            <w:tcBorders>
              <w:top w:val="nil"/>
              <w:left w:val="single" w:sz="8" w:space="0" w:color="auto"/>
              <w:bottom w:val="nil"/>
              <w:right w:val="single" w:sz="4" w:space="0" w:color="auto"/>
            </w:tcBorders>
            <w:vAlign w:val="center"/>
            <w:hideMark/>
          </w:tcPr>
          <w:p w:rsidR="000643DD" w:rsidRPr="004C4417" w:rsidP="000643DD" w14:paraId="0D384299" w14:textId="259AA2E6">
            <w:pPr>
              <w:widowControl/>
              <w:overflowPunct/>
              <w:autoSpaceDE/>
              <w:autoSpaceDN/>
              <w:adjustRightInd/>
              <w:jc w:val="center"/>
              <w:textAlignment w:val="auto"/>
              <w:rPr>
                <w:color w:val="000000"/>
                <w:sz w:val="22"/>
              </w:rPr>
            </w:pPr>
            <w:r w:rsidRPr="00550089">
              <w:rPr>
                <w:rFonts w:cs="Calibri"/>
                <w:color w:val="000000"/>
                <w:sz w:val="22"/>
                <w:szCs w:val="22"/>
              </w:rPr>
              <w:t>8</w:t>
            </w:r>
          </w:p>
        </w:tc>
        <w:tc>
          <w:tcPr>
            <w:tcW w:w="1434" w:type="dxa"/>
            <w:tcBorders>
              <w:top w:val="nil"/>
              <w:left w:val="nil"/>
              <w:bottom w:val="nil"/>
              <w:right w:val="single" w:sz="4" w:space="0" w:color="auto"/>
            </w:tcBorders>
            <w:vAlign w:val="center"/>
            <w:hideMark/>
          </w:tcPr>
          <w:p w:rsidR="000643DD" w:rsidRPr="004C4417" w:rsidP="000643DD" w14:paraId="425FAA45" w14:textId="79C43A0F">
            <w:pPr>
              <w:widowControl/>
              <w:overflowPunct/>
              <w:autoSpaceDE/>
              <w:autoSpaceDN/>
              <w:adjustRightInd/>
              <w:jc w:val="center"/>
              <w:textAlignment w:val="auto"/>
              <w:rPr>
                <w:color w:val="000000"/>
                <w:sz w:val="22"/>
              </w:rPr>
            </w:pPr>
            <w:r w:rsidRPr="004C4417">
              <w:rPr>
                <w:color w:val="000000"/>
                <w:sz w:val="22"/>
              </w:rPr>
              <w:t>4</w:t>
            </w:r>
          </w:p>
        </w:tc>
        <w:tc>
          <w:tcPr>
            <w:tcW w:w="1236" w:type="dxa"/>
            <w:tcBorders>
              <w:top w:val="single" w:sz="8" w:space="0" w:color="auto"/>
              <w:left w:val="nil"/>
              <w:bottom w:val="nil"/>
              <w:right w:val="single" w:sz="4" w:space="0" w:color="auto"/>
            </w:tcBorders>
            <w:vAlign w:val="center"/>
            <w:hideMark/>
          </w:tcPr>
          <w:p w:rsidR="000643DD" w:rsidRPr="004C4417" w:rsidP="000643DD" w14:paraId="6B13E5DE" w14:textId="38680BA0">
            <w:pPr>
              <w:widowControl/>
              <w:overflowPunct/>
              <w:autoSpaceDE/>
              <w:autoSpaceDN/>
              <w:adjustRightInd/>
              <w:jc w:val="center"/>
              <w:textAlignment w:val="auto"/>
              <w:rPr>
                <w:color w:val="000000"/>
                <w:sz w:val="22"/>
              </w:rPr>
            </w:pPr>
            <w:r w:rsidRPr="00550089">
              <w:rPr>
                <w:rFonts w:cs="Calibri"/>
                <w:color w:val="000000"/>
                <w:sz w:val="22"/>
                <w:szCs w:val="22"/>
              </w:rPr>
              <w:t>32</w:t>
            </w:r>
          </w:p>
        </w:tc>
        <w:tc>
          <w:tcPr>
            <w:tcW w:w="1387" w:type="dxa"/>
            <w:tcBorders>
              <w:top w:val="nil"/>
              <w:left w:val="nil"/>
              <w:bottom w:val="nil"/>
              <w:right w:val="single" w:sz="4" w:space="0" w:color="auto"/>
            </w:tcBorders>
            <w:vAlign w:val="center"/>
            <w:hideMark/>
          </w:tcPr>
          <w:p w:rsidR="000643DD" w:rsidRPr="004C4417" w:rsidP="000643DD" w14:paraId="75665674" w14:textId="00AFF2A9">
            <w:pPr>
              <w:widowControl/>
              <w:overflowPunct/>
              <w:autoSpaceDE/>
              <w:autoSpaceDN/>
              <w:adjustRightInd/>
              <w:jc w:val="center"/>
              <w:textAlignment w:val="auto"/>
              <w:rPr>
                <w:color w:val="000000"/>
                <w:sz w:val="22"/>
              </w:rPr>
            </w:pPr>
            <w:r w:rsidRPr="004C4417">
              <w:rPr>
                <w:color w:val="000000"/>
                <w:sz w:val="22"/>
              </w:rPr>
              <w:t>50</w:t>
            </w:r>
          </w:p>
        </w:tc>
        <w:tc>
          <w:tcPr>
            <w:tcW w:w="1439" w:type="dxa"/>
            <w:tcBorders>
              <w:top w:val="single" w:sz="8" w:space="0" w:color="auto"/>
              <w:left w:val="nil"/>
              <w:bottom w:val="single" w:sz="4" w:space="0" w:color="auto"/>
              <w:right w:val="single" w:sz="8" w:space="0" w:color="auto"/>
            </w:tcBorders>
            <w:vAlign w:val="center"/>
            <w:hideMark/>
          </w:tcPr>
          <w:p w:rsidR="000643DD" w:rsidRPr="004C4417" w:rsidP="000643DD" w14:paraId="720F940D" w14:textId="0A92CA33">
            <w:pPr>
              <w:widowControl/>
              <w:overflowPunct/>
              <w:autoSpaceDE/>
              <w:autoSpaceDN/>
              <w:adjustRightInd/>
              <w:jc w:val="center"/>
              <w:textAlignment w:val="auto"/>
              <w:rPr>
                <w:color w:val="000000"/>
                <w:sz w:val="22"/>
              </w:rPr>
            </w:pPr>
            <w:r w:rsidRPr="004C4417">
              <w:rPr>
                <w:color w:val="000000"/>
                <w:sz w:val="22"/>
              </w:rPr>
              <w:t>1</w:t>
            </w:r>
            <w:r w:rsidRPr="004C4417" w:rsidR="008F2340">
              <w:rPr>
                <w:color w:val="000000"/>
                <w:sz w:val="22"/>
              </w:rPr>
              <w:t>,</w:t>
            </w:r>
            <w:r w:rsidRPr="00550089">
              <w:rPr>
                <w:rFonts w:cs="Calibri"/>
                <w:color w:val="000000"/>
                <w:sz w:val="22"/>
                <w:szCs w:val="22"/>
              </w:rPr>
              <w:t>600</w:t>
            </w:r>
          </w:p>
        </w:tc>
      </w:tr>
      <w:tr w14:paraId="6819C0AB" w14:textId="77777777" w:rsidTr="00A1636A">
        <w:tblPrEx>
          <w:tblW w:w="13949" w:type="dxa"/>
          <w:tblInd w:w="-365" w:type="dxa"/>
          <w:tblLook w:val="04A0"/>
        </w:tblPrEx>
        <w:trPr>
          <w:trHeight w:val="315"/>
        </w:trPr>
        <w:tc>
          <w:tcPr>
            <w:tcW w:w="1482" w:type="dxa"/>
            <w:vMerge/>
            <w:tcBorders>
              <w:top w:val="single" w:sz="4" w:space="0" w:color="auto"/>
              <w:left w:val="single" w:sz="4" w:space="0" w:color="auto"/>
              <w:bottom w:val="single" w:sz="8" w:space="0" w:color="auto"/>
              <w:right w:val="nil"/>
            </w:tcBorders>
            <w:vAlign w:val="center"/>
            <w:hideMark/>
          </w:tcPr>
          <w:p w:rsidR="000643DD" w:rsidRPr="004C4417" w:rsidP="004C4417" w14:paraId="220973D9" w14:textId="3C63CE89">
            <w:pPr>
              <w:widowControl/>
              <w:overflowPunct/>
              <w:autoSpaceDE/>
              <w:autoSpaceDN/>
              <w:adjustRightInd/>
              <w:textAlignment w:val="auto"/>
              <w:rPr>
                <w:color w:val="000000"/>
                <w:sz w:val="22"/>
              </w:rPr>
            </w:pPr>
          </w:p>
        </w:tc>
        <w:tc>
          <w:tcPr>
            <w:tcW w:w="1211" w:type="dxa"/>
            <w:vMerge/>
            <w:tcBorders>
              <w:top w:val="single" w:sz="4" w:space="0" w:color="auto"/>
              <w:left w:val="single" w:sz="4" w:space="0" w:color="auto"/>
              <w:bottom w:val="single" w:sz="8" w:space="0" w:color="auto"/>
              <w:right w:val="single" w:sz="4" w:space="0" w:color="auto"/>
            </w:tcBorders>
            <w:vAlign w:val="center"/>
            <w:hideMark/>
          </w:tcPr>
          <w:p w:rsidR="000643DD" w:rsidRPr="004C4417" w:rsidP="004C4417" w14:paraId="5FAE05D3" w14:textId="5BF72699">
            <w:pPr>
              <w:widowControl/>
              <w:overflowPunct/>
              <w:autoSpaceDE/>
              <w:autoSpaceDN/>
              <w:adjustRightInd/>
              <w:textAlignment w:val="auto"/>
              <w:rPr>
                <w:color w:val="000000"/>
                <w:sz w:val="22"/>
              </w:rPr>
            </w:pPr>
          </w:p>
        </w:tc>
        <w:tc>
          <w:tcPr>
            <w:tcW w:w="2157" w:type="dxa"/>
            <w:tcBorders>
              <w:top w:val="single" w:sz="4" w:space="0" w:color="auto"/>
              <w:left w:val="nil"/>
              <w:bottom w:val="single" w:sz="8" w:space="0" w:color="auto"/>
              <w:right w:val="single" w:sz="4" w:space="0" w:color="auto"/>
            </w:tcBorders>
            <w:vAlign w:val="bottom"/>
            <w:hideMark/>
          </w:tcPr>
          <w:p w:rsidR="000643DD" w:rsidRPr="004C4417" w:rsidP="004C4417" w14:paraId="3222601F" w14:textId="3390AAB4">
            <w:pPr>
              <w:widowControl/>
              <w:overflowPunct/>
              <w:autoSpaceDE/>
              <w:autoSpaceDN/>
              <w:adjustRightInd/>
              <w:textAlignment w:val="auto"/>
              <w:rPr>
                <w:color w:val="000000"/>
                <w:sz w:val="22"/>
              </w:rPr>
            </w:pPr>
            <w:r w:rsidRPr="00550089">
              <w:rPr>
                <w:rFonts w:cs="Calibri"/>
                <w:color w:val="000000"/>
                <w:sz w:val="22"/>
                <w:szCs w:val="22"/>
              </w:rPr>
              <w:t> </w:t>
            </w:r>
          </w:p>
        </w:tc>
        <w:tc>
          <w:tcPr>
            <w:tcW w:w="2068" w:type="dxa"/>
            <w:tcBorders>
              <w:top w:val="nil"/>
              <w:left w:val="nil"/>
              <w:bottom w:val="single" w:sz="4" w:space="0" w:color="auto"/>
              <w:right w:val="single" w:sz="4" w:space="0" w:color="auto"/>
            </w:tcBorders>
            <w:vAlign w:val="center"/>
            <w:hideMark/>
          </w:tcPr>
          <w:p w:rsidR="000643DD" w:rsidRPr="004C4417" w:rsidP="000643DD" w14:paraId="6BCE5163" w14:textId="4FF17D2D">
            <w:pPr>
              <w:widowControl/>
              <w:overflowPunct/>
              <w:autoSpaceDE/>
              <w:autoSpaceDN/>
              <w:adjustRightInd/>
              <w:jc w:val="center"/>
              <w:textAlignment w:val="auto"/>
              <w:rPr>
                <w:sz w:val="22"/>
              </w:rPr>
            </w:pPr>
            <w:r w:rsidRPr="004C4417">
              <w:rPr>
                <w:sz w:val="22"/>
              </w:rPr>
              <w:t>7 CFR 272.15(b)(4)</w:t>
            </w:r>
          </w:p>
        </w:tc>
        <w:tc>
          <w:tcPr>
            <w:tcW w:w="1535" w:type="dxa"/>
            <w:tcBorders>
              <w:top w:val="single" w:sz="4" w:space="0" w:color="auto"/>
              <w:left w:val="single" w:sz="8" w:space="0" w:color="auto"/>
              <w:bottom w:val="nil"/>
              <w:right w:val="single" w:sz="4" w:space="0" w:color="auto"/>
            </w:tcBorders>
            <w:vAlign w:val="center"/>
            <w:hideMark/>
          </w:tcPr>
          <w:p w:rsidR="000643DD" w:rsidRPr="004C4417" w:rsidP="000643DD" w14:paraId="651531C8" w14:textId="7E5C139E">
            <w:pPr>
              <w:widowControl/>
              <w:overflowPunct/>
              <w:autoSpaceDE/>
              <w:autoSpaceDN/>
              <w:adjustRightInd/>
              <w:jc w:val="center"/>
              <w:textAlignment w:val="auto"/>
              <w:rPr>
                <w:color w:val="000000"/>
                <w:sz w:val="22"/>
              </w:rPr>
            </w:pPr>
            <w:r w:rsidRPr="00550089">
              <w:rPr>
                <w:rFonts w:cs="Calibri"/>
                <w:color w:val="000000"/>
                <w:sz w:val="22"/>
                <w:szCs w:val="22"/>
              </w:rPr>
              <w:t>1</w:t>
            </w:r>
          </w:p>
        </w:tc>
        <w:tc>
          <w:tcPr>
            <w:tcW w:w="1434" w:type="dxa"/>
            <w:tcBorders>
              <w:top w:val="single" w:sz="4" w:space="0" w:color="auto"/>
              <w:left w:val="nil"/>
              <w:bottom w:val="nil"/>
              <w:right w:val="single" w:sz="4" w:space="0" w:color="auto"/>
            </w:tcBorders>
            <w:vAlign w:val="bottom"/>
            <w:hideMark/>
          </w:tcPr>
          <w:p w:rsidR="000643DD" w:rsidRPr="004C4417" w:rsidP="000643DD" w14:paraId="7923B85E" w14:textId="77F45DC9">
            <w:pPr>
              <w:widowControl/>
              <w:overflowPunct/>
              <w:autoSpaceDE/>
              <w:autoSpaceDN/>
              <w:adjustRightInd/>
              <w:jc w:val="center"/>
              <w:textAlignment w:val="auto"/>
              <w:rPr>
                <w:color w:val="000000"/>
                <w:sz w:val="22"/>
              </w:rPr>
            </w:pPr>
            <w:r w:rsidRPr="004C4417">
              <w:rPr>
                <w:color w:val="000000"/>
                <w:sz w:val="22"/>
              </w:rPr>
              <w:t>4</w:t>
            </w:r>
          </w:p>
        </w:tc>
        <w:tc>
          <w:tcPr>
            <w:tcW w:w="1236" w:type="dxa"/>
            <w:tcBorders>
              <w:top w:val="single" w:sz="8" w:space="0" w:color="auto"/>
              <w:left w:val="nil"/>
              <w:bottom w:val="nil"/>
              <w:right w:val="single" w:sz="4" w:space="0" w:color="auto"/>
            </w:tcBorders>
            <w:vAlign w:val="bottom"/>
            <w:hideMark/>
          </w:tcPr>
          <w:p w:rsidR="000643DD" w:rsidRPr="004C4417" w:rsidP="000643DD" w14:paraId="6A64F1DF" w14:textId="2D69804C">
            <w:pPr>
              <w:widowControl/>
              <w:overflowPunct/>
              <w:autoSpaceDE/>
              <w:autoSpaceDN/>
              <w:adjustRightInd/>
              <w:jc w:val="center"/>
              <w:textAlignment w:val="auto"/>
              <w:rPr>
                <w:color w:val="000000"/>
                <w:sz w:val="22"/>
              </w:rPr>
            </w:pPr>
            <w:r w:rsidRPr="00550089">
              <w:rPr>
                <w:rFonts w:cs="Calibri"/>
                <w:color w:val="000000"/>
                <w:sz w:val="22"/>
                <w:szCs w:val="22"/>
              </w:rPr>
              <w:t>4</w:t>
            </w:r>
          </w:p>
        </w:tc>
        <w:tc>
          <w:tcPr>
            <w:tcW w:w="1387" w:type="dxa"/>
            <w:tcBorders>
              <w:top w:val="single" w:sz="4" w:space="0" w:color="auto"/>
              <w:left w:val="nil"/>
              <w:bottom w:val="nil"/>
              <w:right w:val="single" w:sz="4" w:space="0" w:color="auto"/>
            </w:tcBorders>
            <w:vAlign w:val="bottom"/>
            <w:hideMark/>
          </w:tcPr>
          <w:p w:rsidR="000643DD" w:rsidRPr="004C4417" w:rsidP="000643DD" w14:paraId="3D9FDE70" w14:textId="74665C7C">
            <w:pPr>
              <w:widowControl/>
              <w:overflowPunct/>
              <w:autoSpaceDE/>
              <w:autoSpaceDN/>
              <w:adjustRightInd/>
              <w:jc w:val="center"/>
              <w:textAlignment w:val="auto"/>
              <w:rPr>
                <w:color w:val="000000"/>
                <w:sz w:val="22"/>
              </w:rPr>
            </w:pPr>
            <w:r>
              <w:rPr>
                <w:rFonts w:cs="Calibri"/>
                <w:color w:val="000000"/>
                <w:sz w:val="22"/>
                <w:szCs w:val="22"/>
              </w:rPr>
              <w:t>8</w:t>
            </w:r>
            <w:r w:rsidRPr="00550089">
              <w:rPr>
                <w:rFonts w:cs="Calibri"/>
                <w:color w:val="000000"/>
                <w:sz w:val="22"/>
                <w:szCs w:val="22"/>
              </w:rPr>
              <w:t>0</w:t>
            </w:r>
          </w:p>
        </w:tc>
        <w:tc>
          <w:tcPr>
            <w:tcW w:w="1439" w:type="dxa"/>
            <w:tcBorders>
              <w:top w:val="single" w:sz="8" w:space="0" w:color="auto"/>
              <w:left w:val="nil"/>
              <w:bottom w:val="single" w:sz="4" w:space="0" w:color="auto"/>
              <w:right w:val="single" w:sz="8" w:space="0" w:color="auto"/>
            </w:tcBorders>
            <w:vAlign w:val="bottom"/>
            <w:hideMark/>
          </w:tcPr>
          <w:p w:rsidR="000643DD" w:rsidRPr="004C4417" w:rsidP="000643DD" w14:paraId="39255424" w14:textId="15F703CD">
            <w:pPr>
              <w:widowControl/>
              <w:overflowPunct/>
              <w:autoSpaceDE/>
              <w:autoSpaceDN/>
              <w:adjustRightInd/>
              <w:jc w:val="center"/>
              <w:textAlignment w:val="auto"/>
              <w:rPr>
                <w:color w:val="000000"/>
                <w:sz w:val="22"/>
              </w:rPr>
            </w:pPr>
            <w:r>
              <w:rPr>
                <w:rFonts w:cs="Calibri"/>
                <w:color w:val="000000"/>
                <w:sz w:val="22"/>
                <w:szCs w:val="22"/>
              </w:rPr>
              <w:t>320</w:t>
            </w:r>
          </w:p>
        </w:tc>
      </w:tr>
      <w:tr w14:paraId="0084B449" w14:textId="77777777" w:rsidTr="00A1636A">
        <w:tblPrEx>
          <w:tblW w:w="13949" w:type="dxa"/>
          <w:tblInd w:w="-365" w:type="dxa"/>
          <w:tblLook w:val="04A0"/>
        </w:tblPrEx>
        <w:trPr>
          <w:trHeight w:val="315"/>
        </w:trPr>
        <w:tc>
          <w:tcPr>
            <w:tcW w:w="4850" w:type="dxa"/>
            <w:gridSpan w:val="3"/>
            <w:tcBorders>
              <w:top w:val="single" w:sz="8" w:space="0" w:color="auto"/>
              <w:left w:val="single" w:sz="4" w:space="0" w:color="auto"/>
              <w:bottom w:val="single" w:sz="8" w:space="0" w:color="auto"/>
              <w:right w:val="nil"/>
            </w:tcBorders>
            <w:vAlign w:val="center"/>
            <w:hideMark/>
          </w:tcPr>
          <w:p w:rsidR="000643DD" w:rsidRPr="00550089" w:rsidP="000643DD" w14:paraId="3F0146EC" w14:textId="77777777">
            <w:pPr>
              <w:widowControl/>
              <w:overflowPunct/>
              <w:autoSpaceDE/>
              <w:autoSpaceDN/>
              <w:adjustRightInd/>
              <w:jc w:val="center"/>
              <w:textAlignment w:val="auto"/>
              <w:rPr>
                <w:rFonts w:cs="Calibri"/>
                <w:b/>
                <w:bCs/>
                <w:color w:val="000000"/>
                <w:sz w:val="22"/>
                <w:szCs w:val="22"/>
              </w:rPr>
            </w:pPr>
            <w:r w:rsidRPr="00550089">
              <w:rPr>
                <w:rFonts w:cs="Calibri"/>
                <w:b/>
                <w:bCs/>
                <w:color w:val="000000"/>
                <w:sz w:val="22"/>
                <w:szCs w:val="22"/>
              </w:rPr>
              <w:t>State Agency Subtotal Reporting</w:t>
            </w:r>
          </w:p>
        </w:tc>
        <w:tc>
          <w:tcPr>
            <w:tcW w:w="2068" w:type="dxa"/>
            <w:tcBorders>
              <w:top w:val="single" w:sz="8" w:space="0" w:color="auto"/>
              <w:left w:val="nil"/>
              <w:bottom w:val="single" w:sz="8" w:space="0" w:color="auto"/>
              <w:right w:val="single" w:sz="8" w:space="0" w:color="auto"/>
            </w:tcBorders>
            <w:vAlign w:val="center"/>
            <w:hideMark/>
          </w:tcPr>
          <w:p w:rsidR="000643DD" w:rsidRPr="00550089" w:rsidP="000643DD" w14:paraId="2F0AADAB" w14:textId="77777777">
            <w:pPr>
              <w:widowControl/>
              <w:overflowPunct/>
              <w:autoSpaceDE/>
              <w:autoSpaceDN/>
              <w:adjustRightInd/>
              <w:textAlignment w:val="auto"/>
              <w:rPr>
                <w:rFonts w:cs="Calibri"/>
                <w:b/>
                <w:bCs/>
                <w:color w:val="000000"/>
                <w:sz w:val="22"/>
                <w:szCs w:val="22"/>
              </w:rPr>
            </w:pPr>
            <w:r w:rsidRPr="00550089">
              <w:rPr>
                <w:rFonts w:cs="Calibri"/>
                <w:b/>
                <w:bCs/>
                <w:color w:val="000000"/>
                <w:sz w:val="22"/>
                <w:szCs w:val="22"/>
              </w:rPr>
              <w:t> </w:t>
            </w:r>
          </w:p>
        </w:tc>
        <w:tc>
          <w:tcPr>
            <w:tcW w:w="1535" w:type="dxa"/>
            <w:tcBorders>
              <w:top w:val="single" w:sz="8" w:space="0" w:color="auto"/>
              <w:left w:val="nil"/>
              <w:bottom w:val="single" w:sz="8" w:space="0" w:color="auto"/>
              <w:right w:val="single" w:sz="4" w:space="0" w:color="auto"/>
            </w:tcBorders>
            <w:vAlign w:val="center"/>
            <w:hideMark/>
          </w:tcPr>
          <w:p w:rsidR="000643DD" w:rsidRPr="00550089" w:rsidP="00E53190" w14:paraId="47B53C1B" w14:textId="647A3B41">
            <w:pPr>
              <w:widowControl/>
              <w:overflowPunct/>
              <w:autoSpaceDE/>
              <w:autoSpaceDN/>
              <w:adjustRightInd/>
              <w:jc w:val="center"/>
              <w:textAlignment w:val="auto"/>
              <w:rPr>
                <w:rFonts w:cs="Calibri"/>
                <w:b/>
                <w:bCs/>
                <w:color w:val="000000"/>
                <w:sz w:val="22"/>
                <w:szCs w:val="22"/>
              </w:rPr>
            </w:pPr>
            <w:r w:rsidRPr="00550089">
              <w:rPr>
                <w:rFonts w:cs="Calibri"/>
                <w:b/>
                <w:bCs/>
                <w:color w:val="000000"/>
                <w:sz w:val="22"/>
                <w:szCs w:val="22"/>
              </w:rPr>
              <w:t>20</w:t>
            </w:r>
          </w:p>
        </w:tc>
        <w:tc>
          <w:tcPr>
            <w:tcW w:w="1434" w:type="dxa"/>
            <w:tcBorders>
              <w:top w:val="single" w:sz="8" w:space="0" w:color="auto"/>
              <w:left w:val="nil"/>
              <w:bottom w:val="single" w:sz="8" w:space="0" w:color="auto"/>
              <w:right w:val="single" w:sz="4" w:space="0" w:color="auto"/>
            </w:tcBorders>
            <w:vAlign w:val="bottom"/>
            <w:hideMark/>
          </w:tcPr>
          <w:p w:rsidR="000643DD" w:rsidRPr="00550089" w:rsidP="00E53190" w14:paraId="0ECFC07D" w14:textId="212DC122">
            <w:pPr>
              <w:widowControl/>
              <w:overflowPunct/>
              <w:autoSpaceDE/>
              <w:autoSpaceDN/>
              <w:adjustRightInd/>
              <w:jc w:val="center"/>
              <w:textAlignment w:val="auto"/>
              <w:rPr>
                <w:rFonts w:cs="Calibri"/>
                <w:b/>
                <w:bCs/>
                <w:color w:val="000000"/>
                <w:sz w:val="22"/>
                <w:szCs w:val="22"/>
              </w:rPr>
            </w:pPr>
            <w:r w:rsidRPr="00550089">
              <w:rPr>
                <w:rFonts w:cs="Calibri"/>
                <w:b/>
                <w:bCs/>
                <w:color w:val="000000"/>
                <w:sz w:val="22"/>
                <w:szCs w:val="22"/>
              </w:rPr>
              <w:t>10</w:t>
            </w:r>
            <w:r w:rsidR="00DA263B">
              <w:rPr>
                <w:rFonts w:cs="Calibri"/>
                <w:b/>
                <w:bCs/>
                <w:color w:val="000000"/>
                <w:sz w:val="22"/>
                <w:szCs w:val="22"/>
              </w:rPr>
              <w:t>.4000</w:t>
            </w:r>
          </w:p>
        </w:tc>
        <w:tc>
          <w:tcPr>
            <w:tcW w:w="1236" w:type="dxa"/>
            <w:tcBorders>
              <w:top w:val="single" w:sz="8" w:space="0" w:color="auto"/>
              <w:left w:val="nil"/>
              <w:bottom w:val="single" w:sz="8" w:space="0" w:color="auto"/>
              <w:right w:val="single" w:sz="4" w:space="0" w:color="auto"/>
            </w:tcBorders>
            <w:vAlign w:val="bottom"/>
            <w:hideMark/>
          </w:tcPr>
          <w:p w:rsidR="000643DD" w:rsidRPr="00550089" w:rsidP="00E53190" w14:paraId="5318255F" w14:textId="739A9DEE">
            <w:pPr>
              <w:widowControl/>
              <w:overflowPunct/>
              <w:autoSpaceDE/>
              <w:autoSpaceDN/>
              <w:adjustRightInd/>
              <w:jc w:val="center"/>
              <w:textAlignment w:val="auto"/>
              <w:rPr>
                <w:rFonts w:cs="Calibri"/>
                <w:b/>
                <w:bCs/>
                <w:color w:val="000000"/>
                <w:sz w:val="22"/>
                <w:szCs w:val="22"/>
              </w:rPr>
            </w:pPr>
            <w:r w:rsidRPr="00550089">
              <w:rPr>
                <w:rFonts w:cs="Calibri"/>
                <w:b/>
                <w:bCs/>
                <w:color w:val="000000"/>
                <w:sz w:val="22"/>
                <w:szCs w:val="22"/>
              </w:rPr>
              <w:t>208</w:t>
            </w:r>
          </w:p>
        </w:tc>
        <w:tc>
          <w:tcPr>
            <w:tcW w:w="1387" w:type="dxa"/>
            <w:tcBorders>
              <w:top w:val="single" w:sz="8" w:space="0" w:color="auto"/>
              <w:left w:val="nil"/>
              <w:bottom w:val="single" w:sz="8" w:space="0" w:color="auto"/>
              <w:right w:val="single" w:sz="4" w:space="0" w:color="auto"/>
            </w:tcBorders>
            <w:vAlign w:val="bottom"/>
            <w:hideMark/>
          </w:tcPr>
          <w:p w:rsidR="000643DD" w:rsidRPr="00550089" w:rsidP="00E53190" w14:paraId="605E7C8F" w14:textId="2D41C528">
            <w:pPr>
              <w:widowControl/>
              <w:overflowPunct/>
              <w:autoSpaceDE/>
              <w:autoSpaceDN/>
              <w:adjustRightInd/>
              <w:jc w:val="center"/>
              <w:textAlignment w:val="auto"/>
              <w:rPr>
                <w:rFonts w:cs="Calibri"/>
                <w:b/>
                <w:bCs/>
                <w:color w:val="000000"/>
                <w:sz w:val="22"/>
                <w:szCs w:val="22"/>
              </w:rPr>
            </w:pPr>
            <w:r>
              <w:rPr>
                <w:rFonts w:cs="Calibri"/>
                <w:b/>
                <w:bCs/>
                <w:color w:val="000000"/>
                <w:sz w:val="22"/>
                <w:szCs w:val="22"/>
              </w:rPr>
              <w:t>70</w:t>
            </w:r>
            <w:r w:rsidR="00DA263B">
              <w:rPr>
                <w:rFonts w:cs="Calibri"/>
                <w:b/>
                <w:bCs/>
                <w:color w:val="000000"/>
                <w:sz w:val="22"/>
                <w:szCs w:val="22"/>
              </w:rPr>
              <w:t>.2855</w:t>
            </w:r>
          </w:p>
        </w:tc>
        <w:tc>
          <w:tcPr>
            <w:tcW w:w="1439" w:type="dxa"/>
            <w:tcBorders>
              <w:top w:val="single" w:sz="8" w:space="0" w:color="auto"/>
              <w:left w:val="nil"/>
              <w:bottom w:val="single" w:sz="8" w:space="0" w:color="auto"/>
              <w:right w:val="single" w:sz="8" w:space="0" w:color="auto"/>
            </w:tcBorders>
            <w:vAlign w:val="bottom"/>
            <w:hideMark/>
          </w:tcPr>
          <w:p w:rsidR="000643DD" w:rsidRPr="00550089" w:rsidP="00E53190" w14:paraId="23DD6BFE" w14:textId="44CDB847">
            <w:pPr>
              <w:widowControl/>
              <w:overflowPunct/>
              <w:autoSpaceDE/>
              <w:autoSpaceDN/>
              <w:adjustRightInd/>
              <w:jc w:val="center"/>
              <w:textAlignment w:val="auto"/>
              <w:rPr>
                <w:rFonts w:cs="Calibri"/>
                <w:b/>
                <w:bCs/>
                <w:color w:val="000000"/>
                <w:sz w:val="22"/>
                <w:szCs w:val="22"/>
              </w:rPr>
            </w:pPr>
            <w:r>
              <w:rPr>
                <w:rFonts w:cs="Calibri"/>
                <w:b/>
                <w:bCs/>
                <w:color w:val="000000"/>
                <w:sz w:val="22"/>
                <w:szCs w:val="22"/>
              </w:rPr>
              <w:t>14,620</w:t>
            </w:r>
          </w:p>
        </w:tc>
      </w:tr>
    </w:tbl>
    <w:p w:rsidR="007375BE" w:rsidRPr="00B6102B" w:rsidP="007375BE" w14:paraId="177C88CC" w14:textId="7DF43FA4">
      <w:pPr>
        <w:pStyle w:val="Default"/>
        <w:rPr>
          <w:rFonts w:ascii="Source Sans Pro" w:hAnsi="Source Sans Pro" w:cs="Calibri"/>
        </w:rPr>
      </w:pPr>
    </w:p>
    <w:p w:rsidR="00575428" w:rsidP="005E3D2A" w14:paraId="59FE4017" w14:textId="77777777">
      <w:pPr>
        <w:tabs>
          <w:tab w:val="left" w:pos="-720"/>
        </w:tabs>
        <w:suppressAutoHyphens/>
        <w:rPr>
          <w:rFonts w:cstheme="minorHAnsi"/>
          <w:szCs w:val="24"/>
        </w:rPr>
        <w:sectPr w:rsidSect="00A1636A">
          <w:pgSz w:w="15840" w:h="12240" w:orient="landscape"/>
          <w:pgMar w:top="1480" w:right="840" w:bottom="1680" w:left="1260" w:header="0" w:footer="1006" w:gutter="0"/>
          <w:cols w:space="720"/>
          <w:docGrid w:linePitch="326"/>
        </w:sectPr>
      </w:pPr>
    </w:p>
    <w:p w:rsidR="003E1BBC" w:rsidRPr="00B6102B" w:rsidP="005E3D2A" w14:paraId="6B31CD39" w14:textId="4E7E8D39">
      <w:pPr>
        <w:tabs>
          <w:tab w:val="left" w:pos="-720"/>
        </w:tabs>
        <w:suppressAutoHyphens/>
        <w:rPr>
          <w:rFonts w:cstheme="minorHAnsi"/>
          <w:szCs w:val="24"/>
        </w:rPr>
      </w:pPr>
    </w:p>
    <w:p w:rsidR="0062567E" w:rsidRPr="00B6102B" w:rsidP="004C4417" w14:paraId="7D61DA10" w14:textId="48EEC46C">
      <w:pPr>
        <w:tabs>
          <w:tab w:val="left" w:pos="0"/>
        </w:tabs>
        <w:suppressAutoHyphens/>
        <w:ind w:hanging="720"/>
        <w:rPr>
          <w:rFonts w:cstheme="minorHAnsi"/>
          <w:b/>
          <w:szCs w:val="24"/>
        </w:rPr>
      </w:pPr>
      <w:r w:rsidRPr="00B6102B">
        <w:rPr>
          <w:rFonts w:cstheme="minorHAnsi"/>
          <w:b/>
          <w:szCs w:val="24"/>
        </w:rPr>
        <w:tab/>
        <w:t xml:space="preserve">B. </w:t>
      </w:r>
      <w:r w:rsidRPr="00B6102B" w:rsidR="00FD71D3">
        <w:rPr>
          <w:rFonts w:cstheme="minorHAnsi"/>
          <w:b/>
          <w:szCs w:val="24"/>
        </w:rPr>
        <w:t>Provide estimates of annualized cost to respondents for the hour burdens for collections of information, identifying and using appropriate wage rate categories.</w:t>
      </w:r>
    </w:p>
    <w:p w:rsidR="00A308DB" w:rsidRPr="004C4417" w:rsidP="004C4417" w14:paraId="738610EB" w14:textId="77777777">
      <w:pPr>
        <w:tabs>
          <w:tab w:val="left" w:pos="0"/>
        </w:tabs>
        <w:suppressAutoHyphens/>
        <w:spacing w:line="480" w:lineRule="auto"/>
        <w:rPr>
          <w:b/>
        </w:rPr>
      </w:pPr>
    </w:p>
    <w:p w:rsidR="008442E1" w:rsidRPr="004C4417" w:rsidP="00363ADF" w14:paraId="04B23445" w14:textId="45FA3F20">
      <w:pPr>
        <w:tabs>
          <w:tab w:val="left" w:pos="-720"/>
        </w:tabs>
        <w:suppressAutoHyphens/>
        <w:spacing w:line="480" w:lineRule="auto"/>
        <w:rPr>
          <w:sz w:val="22"/>
        </w:rPr>
      </w:pPr>
      <w:r w:rsidRPr="00550089">
        <w:rPr>
          <w:rFonts w:cstheme="minorHAnsi"/>
          <w:sz w:val="22"/>
          <w:szCs w:val="22"/>
        </w:rPr>
        <w:tab/>
      </w:r>
      <w:r w:rsidRPr="004C4417" w:rsidR="00BA6501">
        <w:rPr>
          <w:sz w:val="22"/>
        </w:rPr>
        <w:t>The estimated annualized, fully loaded (x .33) cost to respondents after 50 percent reimbursement from the Federal government is $</w:t>
      </w:r>
      <w:r w:rsidR="00D12032">
        <w:rPr>
          <w:rFonts w:cstheme="minorHAnsi"/>
          <w:sz w:val="22"/>
          <w:szCs w:val="22"/>
        </w:rPr>
        <w:t>536,184.85</w:t>
      </w:r>
      <w:r w:rsidRPr="00550089" w:rsidR="00BA6501">
        <w:rPr>
          <w:rFonts w:cstheme="minorHAnsi"/>
          <w:sz w:val="22"/>
          <w:szCs w:val="22"/>
        </w:rPr>
        <w:t xml:space="preserve">. </w:t>
      </w:r>
      <w:r w:rsidRPr="00550089" w:rsidR="00BA6501">
        <w:rPr>
          <w:rFonts w:cs="Calibri"/>
          <w:sz w:val="22"/>
          <w:szCs w:val="22"/>
        </w:rPr>
        <w:t xml:space="preserve"> See table</w:t>
      </w:r>
      <w:r w:rsidRPr="004C4417" w:rsidR="00BA6501">
        <w:rPr>
          <w:sz w:val="22"/>
        </w:rPr>
        <w:t xml:space="preserve"> below.</w:t>
      </w:r>
      <w:r w:rsidR="00BA6501">
        <w:rPr>
          <w:sz w:val="22"/>
        </w:rPr>
        <w:t xml:space="preserve"> </w:t>
      </w:r>
      <w:r w:rsidRPr="004C4417">
        <w:rPr>
          <w:sz w:val="22"/>
        </w:rPr>
        <w:t xml:space="preserve">The estimate of respondent cost to the States is based on the </w:t>
      </w:r>
      <w:r w:rsidRPr="00550089" w:rsidR="00691CD3">
        <w:rPr>
          <w:rFonts w:cstheme="minorHAnsi"/>
          <w:sz w:val="22"/>
          <w:szCs w:val="22"/>
        </w:rPr>
        <w:t xml:space="preserve">estimated total </w:t>
      </w:r>
      <w:r w:rsidRPr="004C4417" w:rsidR="00691CD3">
        <w:rPr>
          <w:sz w:val="22"/>
        </w:rPr>
        <w:t xml:space="preserve">burden </w:t>
      </w:r>
      <w:r w:rsidRPr="00550089" w:rsidR="00691CD3">
        <w:rPr>
          <w:rFonts w:cstheme="minorHAnsi"/>
          <w:sz w:val="22"/>
          <w:szCs w:val="22"/>
        </w:rPr>
        <w:t>hours</w:t>
      </w:r>
      <w:r w:rsidRPr="004C4417">
        <w:rPr>
          <w:sz w:val="22"/>
        </w:rPr>
        <w:t xml:space="preserve"> and utilizes the U.S. Department of Labor, Bureau of Labor Statistics, May </w:t>
      </w:r>
      <w:r w:rsidRPr="00550089">
        <w:rPr>
          <w:rFonts w:cstheme="minorHAnsi"/>
          <w:sz w:val="22"/>
          <w:szCs w:val="22"/>
        </w:rPr>
        <w:t>202</w:t>
      </w:r>
      <w:r w:rsidRPr="00550089" w:rsidR="002054E2">
        <w:rPr>
          <w:rFonts w:cstheme="minorHAnsi"/>
          <w:sz w:val="22"/>
          <w:szCs w:val="22"/>
        </w:rPr>
        <w:t>4</w:t>
      </w:r>
      <w:r w:rsidRPr="004C4417">
        <w:rPr>
          <w:sz w:val="22"/>
        </w:rPr>
        <w:t xml:space="preserve"> National Occupational and Wage Statistics, Management Analysts (13-1111).</w:t>
      </w:r>
      <w:r>
        <w:rPr>
          <w:rStyle w:val="FootnoteReference"/>
          <w:sz w:val="22"/>
        </w:rPr>
        <w:footnoteReference w:id="3"/>
      </w:r>
      <w:r w:rsidRPr="004C4417">
        <w:rPr>
          <w:sz w:val="22"/>
        </w:rPr>
        <w:t xml:space="preserve"> The hourly mean wage for functions performed by management analysts is estimated at $</w:t>
      </w:r>
      <w:r w:rsidRPr="00550089" w:rsidR="00AB42F4">
        <w:rPr>
          <w:rFonts w:cstheme="minorHAnsi"/>
          <w:sz w:val="22"/>
          <w:szCs w:val="22"/>
        </w:rPr>
        <w:t>55.15</w:t>
      </w:r>
      <w:r w:rsidRPr="004C4417">
        <w:rPr>
          <w:sz w:val="22"/>
        </w:rPr>
        <w:t xml:space="preserve"> per staff hour. </w:t>
      </w:r>
    </w:p>
    <w:tbl>
      <w:tblPr>
        <w:tblW w:w="1061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0"/>
        <w:gridCol w:w="1927"/>
        <w:gridCol w:w="1118"/>
        <w:gridCol w:w="949"/>
        <w:gridCol w:w="1167"/>
        <w:gridCol w:w="1635"/>
        <w:gridCol w:w="1576"/>
        <w:gridCol w:w="1635"/>
      </w:tblGrid>
      <w:tr w14:paraId="57EC5573" w14:textId="77777777" w:rsidTr="009462F9">
        <w:tblPrEx>
          <w:tblW w:w="10617"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94"/>
        </w:trPr>
        <w:tc>
          <w:tcPr>
            <w:tcW w:w="1278" w:type="dxa"/>
            <w:vAlign w:val="bottom"/>
            <w:hideMark/>
          </w:tcPr>
          <w:p w:rsidR="00D12032" w:rsidRPr="004C4417" w:rsidP="00D22888" w14:paraId="3144C85D" w14:textId="16ADD221">
            <w:pPr>
              <w:widowControl/>
              <w:overflowPunct/>
              <w:autoSpaceDE/>
              <w:autoSpaceDN/>
              <w:adjustRightInd/>
              <w:jc w:val="center"/>
              <w:textAlignment w:val="auto"/>
              <w:rPr>
                <w:b/>
                <w:color w:val="000000"/>
              </w:rPr>
            </w:pPr>
            <w:r w:rsidRPr="00971A74">
              <w:rPr>
                <w:rFonts w:cs="Calibri"/>
                <w:b/>
                <w:bCs/>
                <w:color w:val="000000"/>
              </w:rPr>
              <w:t>Respondent Category</w:t>
            </w:r>
          </w:p>
        </w:tc>
        <w:tc>
          <w:tcPr>
            <w:tcW w:w="1763" w:type="dxa"/>
            <w:vAlign w:val="bottom"/>
            <w:hideMark/>
          </w:tcPr>
          <w:p w:rsidR="00D12032" w:rsidRPr="00612CF5" w:rsidP="00612CF5" w14:paraId="36C7627D" w14:textId="77777777">
            <w:pPr>
              <w:widowControl/>
              <w:overflowPunct/>
              <w:autoSpaceDE/>
              <w:autoSpaceDN/>
              <w:adjustRightInd/>
              <w:jc w:val="center"/>
              <w:textAlignment w:val="auto"/>
              <w:rPr>
                <w:rFonts w:cs="Calibri"/>
                <w:b/>
                <w:bCs/>
                <w:color w:val="000000"/>
              </w:rPr>
            </w:pPr>
            <w:r w:rsidRPr="00612CF5">
              <w:rPr>
                <w:rFonts w:cs="Calibri"/>
                <w:b/>
                <w:bCs/>
                <w:color w:val="000000"/>
              </w:rPr>
              <w:t>Forms/Instruments (Optional Column)</w:t>
            </w:r>
          </w:p>
        </w:tc>
        <w:tc>
          <w:tcPr>
            <w:tcW w:w="955" w:type="dxa"/>
            <w:vAlign w:val="bottom"/>
            <w:hideMark/>
          </w:tcPr>
          <w:p w:rsidR="00D12032" w:rsidRPr="004C4417" w:rsidP="00D22888" w14:paraId="1A1A32EC" w14:textId="77777777">
            <w:pPr>
              <w:widowControl/>
              <w:overflowPunct/>
              <w:autoSpaceDE/>
              <w:autoSpaceDN/>
              <w:adjustRightInd/>
              <w:jc w:val="center"/>
              <w:textAlignment w:val="auto"/>
              <w:rPr>
                <w:b/>
                <w:color w:val="000000"/>
              </w:rPr>
            </w:pPr>
            <w:r w:rsidRPr="00612CF5">
              <w:rPr>
                <w:rFonts w:cs="Calibri"/>
                <w:b/>
                <w:bCs/>
                <w:color w:val="000000"/>
              </w:rPr>
              <w:t xml:space="preserve">Estimated Total </w:t>
            </w:r>
            <w:r w:rsidRPr="004C4417">
              <w:rPr>
                <w:b/>
                <w:color w:val="000000"/>
              </w:rPr>
              <w:t>Burden Hours</w:t>
            </w:r>
            <w:r w:rsidRPr="00612CF5">
              <w:rPr>
                <w:rFonts w:cs="Calibri"/>
                <w:b/>
                <w:bCs/>
                <w:color w:val="000000"/>
              </w:rPr>
              <w:t xml:space="preserve"> (Col. H x I)</w:t>
            </w:r>
          </w:p>
        </w:tc>
        <w:tc>
          <w:tcPr>
            <w:tcW w:w="949" w:type="dxa"/>
            <w:vAlign w:val="bottom"/>
            <w:hideMark/>
          </w:tcPr>
          <w:p w:rsidR="00D12032" w:rsidRPr="004C4417" w:rsidP="00D22888" w14:paraId="7A205595" w14:textId="25630472">
            <w:pPr>
              <w:widowControl/>
              <w:overflowPunct/>
              <w:autoSpaceDE/>
              <w:autoSpaceDN/>
              <w:adjustRightInd/>
              <w:jc w:val="center"/>
              <w:textAlignment w:val="auto"/>
              <w:rPr>
                <w:b/>
                <w:color w:val="000000"/>
              </w:rPr>
            </w:pPr>
            <w:r w:rsidRPr="00612CF5">
              <w:rPr>
                <w:rFonts w:cs="Calibri"/>
                <w:b/>
                <w:bCs/>
                <w:color w:val="000000"/>
              </w:rPr>
              <w:t>Base</w:t>
            </w:r>
            <w:r w:rsidRPr="004C4417">
              <w:rPr>
                <w:b/>
                <w:color w:val="000000"/>
              </w:rPr>
              <w:t xml:space="preserve"> Hourly Wage</w:t>
            </w:r>
            <w:r w:rsidRPr="00612CF5">
              <w:rPr>
                <w:rFonts w:cs="Calibri"/>
                <w:b/>
                <w:bCs/>
                <w:color w:val="000000"/>
              </w:rPr>
              <w:t xml:space="preserve"> Rate (See BLS)</w:t>
            </w:r>
          </w:p>
        </w:tc>
        <w:tc>
          <w:tcPr>
            <w:tcW w:w="1167" w:type="dxa"/>
            <w:vAlign w:val="bottom"/>
            <w:hideMark/>
          </w:tcPr>
          <w:p w:rsidR="00D12032" w:rsidRPr="004C4417" w:rsidP="00D22888" w14:paraId="45802AC4" w14:textId="62AE55B0">
            <w:pPr>
              <w:widowControl/>
              <w:overflowPunct/>
              <w:autoSpaceDE/>
              <w:autoSpaceDN/>
              <w:adjustRightInd/>
              <w:jc w:val="center"/>
              <w:textAlignment w:val="auto"/>
              <w:rPr>
                <w:b/>
                <w:color w:val="000000"/>
              </w:rPr>
            </w:pPr>
            <w:r w:rsidRPr="004C4417">
              <w:rPr>
                <w:b/>
                <w:color w:val="000000"/>
              </w:rPr>
              <w:t>Fully Loaded Wage</w:t>
            </w:r>
            <w:r w:rsidRPr="00612CF5">
              <w:rPr>
                <w:rFonts w:cs="Calibri"/>
                <w:b/>
                <w:bCs/>
                <w:color w:val="000000"/>
              </w:rPr>
              <w:t xml:space="preserve"> Rate (K+ (K*.33))</w:t>
            </w:r>
          </w:p>
        </w:tc>
        <w:tc>
          <w:tcPr>
            <w:tcW w:w="1448" w:type="dxa"/>
            <w:vAlign w:val="bottom"/>
            <w:hideMark/>
          </w:tcPr>
          <w:p w:rsidR="00D12032" w:rsidRPr="004C4417" w:rsidP="00D22888" w14:paraId="60F581EF" w14:textId="56C52DE1">
            <w:pPr>
              <w:widowControl/>
              <w:overflowPunct/>
              <w:autoSpaceDE/>
              <w:autoSpaceDN/>
              <w:adjustRightInd/>
              <w:jc w:val="center"/>
              <w:textAlignment w:val="auto"/>
              <w:rPr>
                <w:b/>
                <w:color w:val="000000"/>
              </w:rPr>
            </w:pPr>
            <w:r w:rsidRPr="004C4417">
              <w:rPr>
                <w:b/>
                <w:color w:val="000000"/>
              </w:rPr>
              <w:t xml:space="preserve">Fully Loaded Wage </w:t>
            </w:r>
            <w:r w:rsidRPr="00612CF5">
              <w:rPr>
                <w:rFonts w:cs="Calibri"/>
                <w:b/>
                <w:bCs/>
                <w:color w:val="000000"/>
              </w:rPr>
              <w:t>Rate with</w:t>
            </w:r>
            <w:r w:rsidRPr="004C4417">
              <w:rPr>
                <w:b/>
                <w:color w:val="000000"/>
              </w:rPr>
              <w:t xml:space="preserve"> 50</w:t>
            </w:r>
            <w:r w:rsidRPr="00612CF5">
              <w:rPr>
                <w:rFonts w:cs="Calibri"/>
                <w:b/>
                <w:bCs/>
                <w:color w:val="000000"/>
              </w:rPr>
              <w:t>%</w:t>
            </w:r>
            <w:r w:rsidRPr="004C4417">
              <w:rPr>
                <w:b/>
                <w:color w:val="000000"/>
              </w:rPr>
              <w:t xml:space="preserve"> Reimbursement</w:t>
            </w:r>
          </w:p>
        </w:tc>
        <w:tc>
          <w:tcPr>
            <w:tcW w:w="1528" w:type="dxa"/>
          </w:tcPr>
          <w:p w:rsidR="009462F9" w:rsidP="009462F9" w14:paraId="07C2034D" w14:textId="77777777">
            <w:pPr>
              <w:widowControl/>
              <w:overflowPunct/>
              <w:autoSpaceDE/>
              <w:autoSpaceDN/>
              <w:adjustRightInd/>
              <w:textAlignment w:val="auto"/>
              <w:rPr>
                <w:rFonts w:cs="Calibri"/>
                <w:b/>
                <w:bCs/>
                <w:color w:val="000000"/>
              </w:rPr>
            </w:pPr>
          </w:p>
          <w:p w:rsidR="009462F9" w:rsidP="009462F9" w14:paraId="783DCC89" w14:textId="77777777">
            <w:pPr>
              <w:widowControl/>
              <w:overflowPunct/>
              <w:autoSpaceDE/>
              <w:autoSpaceDN/>
              <w:adjustRightInd/>
              <w:textAlignment w:val="auto"/>
              <w:rPr>
                <w:rFonts w:cs="Calibri"/>
                <w:b/>
                <w:bCs/>
                <w:color w:val="000000"/>
              </w:rPr>
            </w:pPr>
          </w:p>
          <w:p w:rsidR="00D12032" w:rsidRPr="00612CF5" w:rsidP="009462F9" w14:paraId="05383F9B" w14:textId="09255515">
            <w:pPr>
              <w:widowControl/>
              <w:overflowPunct/>
              <w:autoSpaceDE/>
              <w:autoSpaceDN/>
              <w:adjustRightInd/>
              <w:jc w:val="center"/>
              <w:textAlignment w:val="auto"/>
              <w:rPr>
                <w:rFonts w:cs="Calibri"/>
                <w:b/>
                <w:bCs/>
                <w:color w:val="000000"/>
              </w:rPr>
            </w:pPr>
            <w:r w:rsidRPr="00D12032">
              <w:rPr>
                <w:rFonts w:cs="Calibri"/>
                <w:b/>
                <w:bCs/>
                <w:color w:val="000000"/>
              </w:rPr>
              <w:t>Total Annualized Cost of Respondent Burden (J*K)</w:t>
            </w:r>
          </w:p>
        </w:tc>
        <w:tc>
          <w:tcPr>
            <w:tcW w:w="1528" w:type="dxa"/>
            <w:vAlign w:val="bottom"/>
            <w:hideMark/>
          </w:tcPr>
          <w:p w:rsidR="00D12032" w:rsidRPr="004C4417" w:rsidP="004C4417" w14:paraId="45869AC5" w14:textId="5A804086">
            <w:pPr>
              <w:widowControl/>
              <w:overflowPunct/>
              <w:autoSpaceDE/>
              <w:autoSpaceDN/>
              <w:adjustRightInd/>
              <w:jc w:val="center"/>
              <w:textAlignment w:val="auto"/>
              <w:rPr>
                <w:b/>
                <w:color w:val="000000"/>
              </w:rPr>
            </w:pPr>
            <w:r w:rsidRPr="00612CF5">
              <w:rPr>
                <w:rFonts w:cs="Calibri"/>
                <w:b/>
                <w:bCs/>
                <w:color w:val="000000"/>
              </w:rPr>
              <w:t>Annualized Cost to Respondent with 50% Reimbursement</w:t>
            </w:r>
          </w:p>
        </w:tc>
      </w:tr>
      <w:tr w14:paraId="271A2FEA" w14:textId="77777777" w:rsidTr="009462F9">
        <w:tblPrEx>
          <w:tblW w:w="10617" w:type="dxa"/>
          <w:tblInd w:w="-635" w:type="dxa"/>
          <w:tblLook w:val="04A0"/>
        </w:tblPrEx>
        <w:trPr>
          <w:trHeight w:val="754"/>
        </w:trPr>
        <w:tc>
          <w:tcPr>
            <w:tcW w:w="1278" w:type="dxa"/>
            <w:vMerge w:val="restart"/>
            <w:vAlign w:val="center"/>
            <w:hideMark/>
          </w:tcPr>
          <w:p w:rsidR="00D12032" w:rsidRPr="00550089" w:rsidP="00612CF5" w14:paraId="20970D79" w14:textId="77777777">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State Agency</w:t>
            </w:r>
          </w:p>
        </w:tc>
        <w:tc>
          <w:tcPr>
            <w:tcW w:w="1763" w:type="dxa"/>
            <w:vAlign w:val="bottom"/>
            <w:hideMark/>
          </w:tcPr>
          <w:p w:rsidR="00D12032" w:rsidRPr="00550089" w:rsidP="00612CF5" w14:paraId="5DEC95A0" w14:textId="77777777">
            <w:pPr>
              <w:widowControl/>
              <w:overflowPunct/>
              <w:autoSpaceDE/>
              <w:autoSpaceDN/>
              <w:adjustRightInd/>
              <w:textAlignment w:val="auto"/>
              <w:rPr>
                <w:rFonts w:cs="Calibri"/>
                <w:color w:val="000000"/>
                <w:sz w:val="22"/>
                <w:szCs w:val="22"/>
              </w:rPr>
            </w:pPr>
            <w:r w:rsidRPr="00550089">
              <w:rPr>
                <w:rFonts w:cs="Calibri"/>
                <w:color w:val="000000"/>
                <w:sz w:val="22"/>
                <w:szCs w:val="22"/>
              </w:rPr>
              <w:t>Major Changes Notification Template (Appendix C)</w:t>
            </w:r>
          </w:p>
        </w:tc>
        <w:tc>
          <w:tcPr>
            <w:tcW w:w="955" w:type="dxa"/>
            <w:vAlign w:val="center"/>
            <w:hideMark/>
          </w:tcPr>
          <w:p w:rsidR="00D12032" w:rsidRPr="00550089" w:rsidP="00612CF5" w14:paraId="5834FD94" w14:textId="1BDFD29B">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2,</w:t>
            </w:r>
            <w:r>
              <w:rPr>
                <w:rFonts w:cs="Calibri"/>
                <w:color w:val="000000"/>
                <w:sz w:val="22"/>
                <w:szCs w:val="22"/>
              </w:rPr>
              <w:t>8</w:t>
            </w:r>
            <w:r w:rsidRPr="00550089">
              <w:rPr>
                <w:rFonts w:cs="Calibri"/>
                <w:color w:val="000000"/>
                <w:sz w:val="22"/>
                <w:szCs w:val="22"/>
              </w:rPr>
              <w:t>00</w:t>
            </w:r>
          </w:p>
        </w:tc>
        <w:tc>
          <w:tcPr>
            <w:tcW w:w="949" w:type="dxa"/>
            <w:noWrap/>
            <w:vAlign w:val="center"/>
            <w:hideMark/>
          </w:tcPr>
          <w:p w:rsidR="00D12032" w:rsidRPr="00550089" w:rsidP="00612CF5" w14:paraId="03F10A89" w14:textId="77777777">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$55.15</w:t>
            </w:r>
          </w:p>
        </w:tc>
        <w:tc>
          <w:tcPr>
            <w:tcW w:w="1167" w:type="dxa"/>
            <w:noWrap/>
            <w:vAlign w:val="center"/>
            <w:hideMark/>
          </w:tcPr>
          <w:p w:rsidR="00D12032" w:rsidRPr="00550089" w:rsidP="00612CF5" w14:paraId="512DCF3C" w14:textId="77777777">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$73.35</w:t>
            </w:r>
          </w:p>
        </w:tc>
        <w:tc>
          <w:tcPr>
            <w:tcW w:w="1448" w:type="dxa"/>
            <w:noWrap/>
            <w:vAlign w:val="center"/>
            <w:hideMark/>
          </w:tcPr>
          <w:p w:rsidR="00D12032" w:rsidRPr="00550089" w:rsidP="00612CF5" w14:paraId="657403BE" w14:textId="77777777">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$36.67</w:t>
            </w:r>
          </w:p>
        </w:tc>
        <w:tc>
          <w:tcPr>
            <w:tcW w:w="1528" w:type="dxa"/>
          </w:tcPr>
          <w:p w:rsidR="00D12032" w:rsidP="009462F9" w14:paraId="73BCBA3F" w14:textId="77777777">
            <w:pPr>
              <w:widowControl/>
              <w:overflowPunct/>
              <w:autoSpaceDE/>
              <w:autoSpaceDN/>
              <w:adjustRightInd/>
              <w:textAlignment w:val="auto"/>
              <w:rPr>
                <w:rFonts w:cs="Calibri"/>
                <w:color w:val="000000"/>
                <w:sz w:val="22"/>
                <w:szCs w:val="22"/>
              </w:rPr>
            </w:pPr>
          </w:p>
          <w:p w:rsidR="009462F9" w:rsidP="009462F9" w14:paraId="6F88889E" w14:textId="77777777">
            <w:pPr>
              <w:widowControl/>
              <w:overflowPunct/>
              <w:autoSpaceDE/>
              <w:autoSpaceDN/>
              <w:adjustRightInd/>
              <w:textAlignment w:val="auto"/>
              <w:rPr>
                <w:rFonts w:cs="Calibri"/>
                <w:color w:val="000000"/>
                <w:sz w:val="22"/>
                <w:szCs w:val="22"/>
              </w:rPr>
            </w:pPr>
          </w:p>
          <w:p w:rsidR="00D12032" w:rsidRPr="00550089" w:rsidP="009462F9" w14:paraId="6E3A935E" w14:textId="03D262C9">
            <w:pPr>
              <w:widowControl/>
              <w:overflowPunct/>
              <w:autoSpaceDE/>
              <w:autoSpaceDN/>
              <w:adjustRightInd/>
              <w:jc w:val="center"/>
              <w:textAlignment w:val="auto"/>
              <w:rPr>
                <w:rFonts w:cs="Calibri"/>
                <w:color w:val="000000"/>
                <w:sz w:val="22"/>
                <w:szCs w:val="22"/>
              </w:rPr>
            </w:pPr>
            <w:r w:rsidRPr="00D12032">
              <w:rPr>
                <w:rFonts w:cs="Calibri"/>
                <w:color w:val="000000"/>
                <w:sz w:val="22"/>
                <w:szCs w:val="22"/>
              </w:rPr>
              <w:t>$205,378.60</w:t>
            </w:r>
          </w:p>
        </w:tc>
        <w:tc>
          <w:tcPr>
            <w:tcW w:w="1528" w:type="dxa"/>
            <w:noWrap/>
            <w:vAlign w:val="center"/>
            <w:hideMark/>
          </w:tcPr>
          <w:p w:rsidR="00D12032" w:rsidRPr="00550089" w:rsidP="00612CF5" w14:paraId="2EC06CC9" w14:textId="59ECD880">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w:t>
            </w:r>
            <w:r>
              <w:rPr>
                <w:rFonts w:cs="Calibri"/>
                <w:color w:val="000000"/>
                <w:sz w:val="22"/>
                <w:szCs w:val="22"/>
              </w:rPr>
              <w:t>102,689.30</w:t>
            </w:r>
          </w:p>
        </w:tc>
      </w:tr>
      <w:tr w14:paraId="5EAB43FF" w14:textId="77777777" w:rsidTr="009462F9">
        <w:tblPrEx>
          <w:tblW w:w="10617" w:type="dxa"/>
          <w:tblInd w:w="-635" w:type="dxa"/>
          <w:tblLook w:val="04A0"/>
        </w:tblPrEx>
        <w:trPr>
          <w:trHeight w:val="754"/>
        </w:trPr>
        <w:tc>
          <w:tcPr>
            <w:tcW w:w="1278" w:type="dxa"/>
            <w:vMerge/>
            <w:vAlign w:val="center"/>
            <w:hideMark/>
          </w:tcPr>
          <w:p w:rsidR="00D12032" w:rsidRPr="00550089" w:rsidP="00612CF5" w14:paraId="32ACF621" w14:textId="77777777">
            <w:pPr>
              <w:widowControl/>
              <w:overflowPunct/>
              <w:autoSpaceDE/>
              <w:autoSpaceDN/>
              <w:adjustRightInd/>
              <w:textAlignment w:val="auto"/>
              <w:rPr>
                <w:rFonts w:cs="Calibri"/>
                <w:color w:val="000000"/>
                <w:sz w:val="22"/>
                <w:szCs w:val="22"/>
              </w:rPr>
            </w:pPr>
          </w:p>
        </w:tc>
        <w:tc>
          <w:tcPr>
            <w:tcW w:w="1763" w:type="dxa"/>
            <w:vAlign w:val="bottom"/>
            <w:hideMark/>
          </w:tcPr>
          <w:p w:rsidR="00D12032" w:rsidRPr="004C4417" w:rsidP="00D22888" w14:paraId="306B2CD3" w14:textId="77777777">
            <w:pPr>
              <w:widowControl/>
              <w:overflowPunct/>
              <w:autoSpaceDE/>
              <w:autoSpaceDN/>
              <w:adjustRightInd/>
              <w:textAlignment w:val="auto"/>
              <w:rPr>
                <w:color w:val="000000"/>
                <w:sz w:val="22"/>
              </w:rPr>
            </w:pPr>
            <w:r w:rsidRPr="00550089">
              <w:rPr>
                <w:rFonts w:cs="Calibri"/>
                <w:color w:val="000000"/>
                <w:sz w:val="22"/>
                <w:szCs w:val="22"/>
              </w:rPr>
              <w:t xml:space="preserve">Major Changes Quarterly </w:t>
            </w:r>
            <w:r w:rsidRPr="004C4417">
              <w:rPr>
                <w:color w:val="000000"/>
                <w:sz w:val="22"/>
              </w:rPr>
              <w:t>Reporting</w:t>
            </w:r>
            <w:r w:rsidRPr="00550089">
              <w:rPr>
                <w:rFonts w:cs="Calibri"/>
                <w:color w:val="000000"/>
                <w:sz w:val="22"/>
                <w:szCs w:val="22"/>
              </w:rPr>
              <w:t xml:space="preserve"> Template (Appendix D)</w:t>
            </w:r>
          </w:p>
        </w:tc>
        <w:tc>
          <w:tcPr>
            <w:tcW w:w="955" w:type="dxa"/>
            <w:vAlign w:val="center"/>
            <w:hideMark/>
          </w:tcPr>
          <w:p w:rsidR="00D12032" w:rsidRPr="004C4417" w:rsidP="004C4417" w14:paraId="1AA37684" w14:textId="1B8227D0">
            <w:pPr>
              <w:widowControl/>
              <w:overflowPunct/>
              <w:autoSpaceDE/>
              <w:autoSpaceDN/>
              <w:adjustRightInd/>
              <w:jc w:val="center"/>
              <w:textAlignment w:val="auto"/>
              <w:rPr>
                <w:color w:val="000000"/>
                <w:sz w:val="22"/>
              </w:rPr>
            </w:pPr>
            <w:r w:rsidRPr="00550089">
              <w:rPr>
                <w:rFonts w:cs="Calibri"/>
                <w:color w:val="000000"/>
                <w:sz w:val="22"/>
                <w:szCs w:val="22"/>
              </w:rPr>
              <w:t>9,</w:t>
            </w:r>
            <w:r>
              <w:rPr>
                <w:rFonts w:cs="Calibri"/>
                <w:color w:val="000000"/>
                <w:sz w:val="22"/>
                <w:szCs w:val="22"/>
              </w:rPr>
              <w:t>90</w:t>
            </w:r>
            <w:r w:rsidRPr="00550089">
              <w:rPr>
                <w:rFonts w:cs="Calibri"/>
                <w:color w:val="000000"/>
                <w:sz w:val="22"/>
                <w:szCs w:val="22"/>
              </w:rPr>
              <w:t>0</w:t>
            </w:r>
          </w:p>
        </w:tc>
        <w:tc>
          <w:tcPr>
            <w:tcW w:w="949" w:type="dxa"/>
            <w:noWrap/>
            <w:vAlign w:val="center"/>
            <w:hideMark/>
          </w:tcPr>
          <w:p w:rsidR="00D12032" w:rsidRPr="004C4417" w:rsidP="004C4417" w14:paraId="0C0673F5" w14:textId="5A3CF56E">
            <w:pPr>
              <w:widowControl/>
              <w:overflowPunct/>
              <w:autoSpaceDE/>
              <w:autoSpaceDN/>
              <w:adjustRightInd/>
              <w:jc w:val="center"/>
              <w:textAlignment w:val="auto"/>
              <w:rPr>
                <w:color w:val="000000"/>
                <w:sz w:val="22"/>
              </w:rPr>
            </w:pPr>
            <w:r w:rsidRPr="004C4417">
              <w:rPr>
                <w:color w:val="000000"/>
                <w:sz w:val="22"/>
              </w:rPr>
              <w:t>$</w:t>
            </w:r>
            <w:r w:rsidRPr="00550089">
              <w:rPr>
                <w:rFonts w:cs="Calibri"/>
                <w:color w:val="000000"/>
                <w:sz w:val="22"/>
                <w:szCs w:val="22"/>
              </w:rPr>
              <w:t>55.15</w:t>
            </w:r>
          </w:p>
        </w:tc>
        <w:tc>
          <w:tcPr>
            <w:tcW w:w="1167" w:type="dxa"/>
            <w:noWrap/>
            <w:vAlign w:val="center"/>
            <w:hideMark/>
          </w:tcPr>
          <w:p w:rsidR="00D12032" w:rsidRPr="004C4417" w:rsidP="004C4417" w14:paraId="6E9B34D9" w14:textId="6FA066FB">
            <w:pPr>
              <w:widowControl/>
              <w:overflowPunct/>
              <w:autoSpaceDE/>
              <w:autoSpaceDN/>
              <w:adjustRightInd/>
              <w:jc w:val="center"/>
              <w:textAlignment w:val="auto"/>
              <w:rPr>
                <w:color w:val="000000"/>
                <w:sz w:val="22"/>
              </w:rPr>
            </w:pPr>
            <w:r w:rsidRPr="004C4417">
              <w:rPr>
                <w:color w:val="000000"/>
                <w:sz w:val="22"/>
              </w:rPr>
              <w:t>$</w:t>
            </w:r>
            <w:r w:rsidRPr="00550089">
              <w:rPr>
                <w:rFonts w:cs="Calibri"/>
                <w:color w:val="000000"/>
                <w:sz w:val="22"/>
                <w:szCs w:val="22"/>
              </w:rPr>
              <w:t>73.35</w:t>
            </w:r>
          </w:p>
        </w:tc>
        <w:tc>
          <w:tcPr>
            <w:tcW w:w="1448" w:type="dxa"/>
            <w:noWrap/>
            <w:vAlign w:val="center"/>
            <w:hideMark/>
          </w:tcPr>
          <w:p w:rsidR="00D12032" w:rsidRPr="004C4417" w:rsidP="004C4417" w14:paraId="53476789" w14:textId="377F8138">
            <w:pPr>
              <w:widowControl/>
              <w:overflowPunct/>
              <w:autoSpaceDE/>
              <w:autoSpaceDN/>
              <w:adjustRightInd/>
              <w:jc w:val="center"/>
              <w:textAlignment w:val="auto"/>
              <w:rPr>
                <w:color w:val="000000"/>
                <w:sz w:val="22"/>
              </w:rPr>
            </w:pPr>
            <w:r w:rsidRPr="00550089">
              <w:rPr>
                <w:rFonts w:cs="Calibri"/>
                <w:color w:val="000000"/>
                <w:sz w:val="22"/>
                <w:szCs w:val="22"/>
              </w:rPr>
              <w:t>$36.67</w:t>
            </w:r>
          </w:p>
        </w:tc>
        <w:tc>
          <w:tcPr>
            <w:tcW w:w="1528" w:type="dxa"/>
          </w:tcPr>
          <w:p w:rsidR="009462F9" w:rsidP="00D12032" w14:paraId="65B3E723" w14:textId="77777777">
            <w:pPr>
              <w:widowControl/>
              <w:overflowPunct/>
              <w:autoSpaceDE/>
              <w:autoSpaceDN/>
              <w:adjustRightInd/>
              <w:jc w:val="center"/>
              <w:textAlignment w:val="auto"/>
              <w:rPr>
                <w:color w:val="000000"/>
                <w:sz w:val="22"/>
              </w:rPr>
            </w:pPr>
          </w:p>
          <w:p w:rsidR="009462F9" w:rsidP="00D12032" w14:paraId="33191E65" w14:textId="77777777">
            <w:pPr>
              <w:widowControl/>
              <w:overflowPunct/>
              <w:autoSpaceDE/>
              <w:autoSpaceDN/>
              <w:adjustRightInd/>
              <w:jc w:val="center"/>
              <w:textAlignment w:val="auto"/>
              <w:rPr>
                <w:color w:val="000000"/>
                <w:sz w:val="22"/>
              </w:rPr>
            </w:pPr>
          </w:p>
          <w:p w:rsidR="00D12032" w:rsidRPr="00D12032" w:rsidP="00D12032" w14:paraId="4F0F2B18" w14:textId="45A3AC63">
            <w:pPr>
              <w:widowControl/>
              <w:overflowPunct/>
              <w:autoSpaceDE/>
              <w:autoSpaceDN/>
              <w:adjustRightInd/>
              <w:jc w:val="center"/>
              <w:textAlignment w:val="auto"/>
              <w:rPr>
                <w:color w:val="000000"/>
                <w:sz w:val="22"/>
              </w:rPr>
            </w:pPr>
            <w:r w:rsidRPr="00D12032">
              <w:rPr>
                <w:color w:val="000000"/>
                <w:sz w:val="22"/>
              </w:rPr>
              <w:t>$726,160.05</w:t>
            </w:r>
          </w:p>
          <w:p w:rsidR="00D12032" w:rsidRPr="004C4417" w:rsidP="00D12032" w14:paraId="70499C69" w14:textId="77777777">
            <w:pPr>
              <w:widowControl/>
              <w:overflowPunct/>
              <w:autoSpaceDE/>
              <w:autoSpaceDN/>
              <w:adjustRightInd/>
              <w:jc w:val="center"/>
              <w:textAlignment w:val="auto"/>
              <w:rPr>
                <w:color w:val="000000"/>
                <w:sz w:val="22"/>
              </w:rPr>
            </w:pPr>
          </w:p>
        </w:tc>
        <w:tc>
          <w:tcPr>
            <w:tcW w:w="1528" w:type="dxa"/>
            <w:noWrap/>
            <w:vAlign w:val="center"/>
            <w:hideMark/>
          </w:tcPr>
          <w:p w:rsidR="00D12032" w:rsidRPr="004C4417" w:rsidP="004C4417" w14:paraId="755BD29A" w14:textId="58347A6D">
            <w:pPr>
              <w:widowControl/>
              <w:overflowPunct/>
              <w:autoSpaceDE/>
              <w:autoSpaceDN/>
              <w:adjustRightInd/>
              <w:jc w:val="center"/>
              <w:textAlignment w:val="auto"/>
              <w:rPr>
                <w:color w:val="000000"/>
                <w:sz w:val="22"/>
              </w:rPr>
            </w:pPr>
            <w:r w:rsidRPr="004C4417">
              <w:rPr>
                <w:color w:val="000000"/>
                <w:sz w:val="22"/>
              </w:rPr>
              <w:t>$</w:t>
            </w:r>
            <w:r w:rsidRPr="00550089">
              <w:rPr>
                <w:rFonts w:cs="Calibri"/>
                <w:color w:val="000000"/>
                <w:sz w:val="22"/>
                <w:szCs w:val="22"/>
              </w:rPr>
              <w:t>3</w:t>
            </w:r>
            <w:r>
              <w:rPr>
                <w:rFonts w:cs="Calibri"/>
                <w:color w:val="000000"/>
                <w:sz w:val="22"/>
                <w:szCs w:val="22"/>
              </w:rPr>
              <w:t>63,080.03</w:t>
            </w:r>
          </w:p>
        </w:tc>
      </w:tr>
      <w:tr w14:paraId="54BDA28A" w14:textId="77777777" w:rsidTr="009462F9">
        <w:tblPrEx>
          <w:tblW w:w="10617" w:type="dxa"/>
          <w:tblInd w:w="-635" w:type="dxa"/>
          <w:tblLook w:val="04A0"/>
        </w:tblPrEx>
        <w:trPr>
          <w:trHeight w:val="1248"/>
        </w:trPr>
        <w:tc>
          <w:tcPr>
            <w:tcW w:w="1278" w:type="dxa"/>
            <w:vMerge/>
            <w:vAlign w:val="center"/>
            <w:hideMark/>
          </w:tcPr>
          <w:p w:rsidR="00D12032" w:rsidRPr="004C4417" w:rsidP="004C4417" w14:paraId="6B5C76C2" w14:textId="7BA00DC3">
            <w:pPr>
              <w:widowControl/>
              <w:overflowPunct/>
              <w:autoSpaceDE/>
              <w:autoSpaceDN/>
              <w:adjustRightInd/>
              <w:textAlignment w:val="auto"/>
              <w:rPr>
                <w:color w:val="000000"/>
                <w:sz w:val="22"/>
              </w:rPr>
            </w:pPr>
          </w:p>
        </w:tc>
        <w:tc>
          <w:tcPr>
            <w:tcW w:w="1763" w:type="dxa"/>
            <w:vAlign w:val="bottom"/>
            <w:hideMark/>
          </w:tcPr>
          <w:p w:rsidR="00D12032" w:rsidRPr="004C4417" w:rsidP="004C4417" w14:paraId="5544EA9C" w14:textId="289A7EB7">
            <w:pPr>
              <w:widowControl/>
              <w:overflowPunct/>
              <w:autoSpaceDE/>
              <w:autoSpaceDN/>
              <w:adjustRightInd/>
              <w:textAlignment w:val="auto"/>
              <w:rPr>
                <w:color w:val="000000"/>
                <w:sz w:val="22"/>
              </w:rPr>
            </w:pPr>
            <w:r w:rsidRPr="00550089">
              <w:rPr>
                <w:rFonts w:cs="Calibri"/>
                <w:color w:val="000000"/>
                <w:sz w:val="22"/>
                <w:szCs w:val="22"/>
              </w:rPr>
              <w:t>Major Changes Quarterly Reporting Template for Call Center Modifications (Appendix E)</w:t>
            </w:r>
          </w:p>
        </w:tc>
        <w:tc>
          <w:tcPr>
            <w:tcW w:w="955" w:type="dxa"/>
            <w:vAlign w:val="center"/>
            <w:hideMark/>
          </w:tcPr>
          <w:p w:rsidR="00D12032" w:rsidRPr="004C4417" w:rsidP="004C4417" w14:paraId="4FE93F82" w14:textId="1821F68D">
            <w:pPr>
              <w:widowControl/>
              <w:overflowPunct/>
              <w:autoSpaceDE/>
              <w:autoSpaceDN/>
              <w:adjustRightInd/>
              <w:jc w:val="center"/>
              <w:textAlignment w:val="auto"/>
              <w:rPr>
                <w:color w:val="000000"/>
                <w:sz w:val="22"/>
              </w:rPr>
            </w:pPr>
            <w:r w:rsidRPr="00550089">
              <w:rPr>
                <w:rFonts w:cs="Calibri"/>
                <w:color w:val="000000"/>
                <w:sz w:val="22"/>
                <w:szCs w:val="22"/>
              </w:rPr>
              <w:t>1,600</w:t>
            </w:r>
          </w:p>
        </w:tc>
        <w:tc>
          <w:tcPr>
            <w:tcW w:w="949" w:type="dxa"/>
            <w:noWrap/>
            <w:vAlign w:val="center"/>
            <w:hideMark/>
          </w:tcPr>
          <w:p w:rsidR="00D12032" w:rsidRPr="004C4417" w:rsidP="004C4417" w14:paraId="42363A17" w14:textId="77777777">
            <w:pPr>
              <w:widowControl/>
              <w:overflowPunct/>
              <w:autoSpaceDE/>
              <w:autoSpaceDN/>
              <w:adjustRightInd/>
              <w:jc w:val="center"/>
              <w:textAlignment w:val="auto"/>
              <w:rPr>
                <w:color w:val="000000"/>
                <w:sz w:val="22"/>
              </w:rPr>
            </w:pPr>
            <w:r w:rsidRPr="00550089">
              <w:rPr>
                <w:rFonts w:cs="Calibri"/>
                <w:color w:val="000000"/>
                <w:sz w:val="22"/>
                <w:szCs w:val="22"/>
              </w:rPr>
              <w:t>$55.15</w:t>
            </w:r>
          </w:p>
        </w:tc>
        <w:tc>
          <w:tcPr>
            <w:tcW w:w="1167" w:type="dxa"/>
            <w:noWrap/>
            <w:vAlign w:val="center"/>
            <w:hideMark/>
          </w:tcPr>
          <w:p w:rsidR="00D12032" w:rsidRPr="004C4417" w:rsidP="004C4417" w14:paraId="355F525B" w14:textId="77777777">
            <w:pPr>
              <w:widowControl/>
              <w:overflowPunct/>
              <w:autoSpaceDE/>
              <w:autoSpaceDN/>
              <w:adjustRightInd/>
              <w:jc w:val="center"/>
              <w:textAlignment w:val="auto"/>
              <w:rPr>
                <w:color w:val="000000"/>
                <w:sz w:val="22"/>
              </w:rPr>
            </w:pPr>
            <w:r w:rsidRPr="00550089">
              <w:rPr>
                <w:rFonts w:cs="Calibri"/>
                <w:color w:val="000000"/>
                <w:sz w:val="22"/>
                <w:szCs w:val="22"/>
              </w:rPr>
              <w:t>$73.35</w:t>
            </w:r>
          </w:p>
        </w:tc>
        <w:tc>
          <w:tcPr>
            <w:tcW w:w="1448" w:type="dxa"/>
            <w:noWrap/>
            <w:vAlign w:val="center"/>
            <w:hideMark/>
          </w:tcPr>
          <w:p w:rsidR="00D12032" w:rsidRPr="004C4417" w:rsidP="004C4417" w14:paraId="24E74A45" w14:textId="7EA457D8">
            <w:pPr>
              <w:widowControl/>
              <w:overflowPunct/>
              <w:autoSpaceDE/>
              <w:autoSpaceDN/>
              <w:adjustRightInd/>
              <w:jc w:val="center"/>
              <w:textAlignment w:val="auto"/>
              <w:rPr>
                <w:color w:val="000000"/>
                <w:sz w:val="22"/>
              </w:rPr>
            </w:pPr>
            <w:r w:rsidRPr="004C4417">
              <w:rPr>
                <w:color w:val="000000"/>
                <w:sz w:val="22"/>
              </w:rPr>
              <w:t>$</w:t>
            </w:r>
            <w:r w:rsidRPr="00550089">
              <w:rPr>
                <w:rFonts w:cs="Calibri"/>
                <w:color w:val="000000"/>
                <w:sz w:val="22"/>
                <w:szCs w:val="22"/>
              </w:rPr>
              <w:t>36.67</w:t>
            </w:r>
          </w:p>
        </w:tc>
        <w:tc>
          <w:tcPr>
            <w:tcW w:w="1528" w:type="dxa"/>
          </w:tcPr>
          <w:p w:rsidR="009462F9" w:rsidP="00D12032" w14:paraId="1C1492E2" w14:textId="77777777">
            <w:pPr>
              <w:widowControl/>
              <w:overflowPunct/>
              <w:autoSpaceDE/>
              <w:autoSpaceDN/>
              <w:adjustRightInd/>
              <w:jc w:val="center"/>
              <w:textAlignment w:val="auto"/>
              <w:rPr>
                <w:rFonts w:cs="Calibri"/>
                <w:color w:val="000000"/>
                <w:sz w:val="22"/>
                <w:szCs w:val="22"/>
              </w:rPr>
            </w:pPr>
          </w:p>
          <w:p w:rsidR="009462F9" w:rsidP="00D12032" w14:paraId="04926C78" w14:textId="77777777">
            <w:pPr>
              <w:widowControl/>
              <w:overflowPunct/>
              <w:autoSpaceDE/>
              <w:autoSpaceDN/>
              <w:adjustRightInd/>
              <w:jc w:val="center"/>
              <w:textAlignment w:val="auto"/>
              <w:rPr>
                <w:rFonts w:cs="Calibri"/>
                <w:color w:val="000000"/>
                <w:sz w:val="22"/>
                <w:szCs w:val="22"/>
              </w:rPr>
            </w:pPr>
          </w:p>
          <w:p w:rsidR="009462F9" w:rsidP="00D12032" w14:paraId="294A7BC1" w14:textId="77777777">
            <w:pPr>
              <w:widowControl/>
              <w:overflowPunct/>
              <w:autoSpaceDE/>
              <w:autoSpaceDN/>
              <w:adjustRightInd/>
              <w:jc w:val="center"/>
              <w:textAlignment w:val="auto"/>
              <w:rPr>
                <w:rFonts w:cs="Calibri"/>
                <w:color w:val="000000"/>
                <w:sz w:val="22"/>
                <w:szCs w:val="22"/>
              </w:rPr>
            </w:pPr>
          </w:p>
          <w:p w:rsidR="00D12032" w:rsidRPr="00D12032" w:rsidP="00D12032" w14:paraId="029D2E29" w14:textId="2B1A415E">
            <w:pPr>
              <w:widowControl/>
              <w:overflowPunct/>
              <w:autoSpaceDE/>
              <w:autoSpaceDN/>
              <w:adjustRightInd/>
              <w:jc w:val="center"/>
              <w:textAlignment w:val="auto"/>
              <w:rPr>
                <w:rFonts w:cs="Calibri"/>
                <w:color w:val="000000"/>
                <w:sz w:val="22"/>
                <w:szCs w:val="22"/>
              </w:rPr>
            </w:pPr>
            <w:r w:rsidRPr="00D12032">
              <w:rPr>
                <w:rFonts w:cs="Calibri"/>
                <w:color w:val="000000"/>
                <w:sz w:val="22"/>
                <w:szCs w:val="22"/>
              </w:rPr>
              <w:t>$117,359.20</w:t>
            </w:r>
          </w:p>
          <w:p w:rsidR="00D12032" w:rsidRPr="00550089" w:rsidP="00D12032" w14:paraId="19AFC69A" w14:textId="77777777">
            <w:pPr>
              <w:widowControl/>
              <w:overflowPunct/>
              <w:autoSpaceDE/>
              <w:autoSpaceDN/>
              <w:adjustRightInd/>
              <w:jc w:val="center"/>
              <w:textAlignment w:val="auto"/>
              <w:rPr>
                <w:rFonts w:cs="Calibri"/>
                <w:color w:val="000000"/>
                <w:sz w:val="22"/>
                <w:szCs w:val="22"/>
              </w:rPr>
            </w:pPr>
          </w:p>
        </w:tc>
        <w:tc>
          <w:tcPr>
            <w:tcW w:w="1528" w:type="dxa"/>
            <w:noWrap/>
            <w:vAlign w:val="center"/>
            <w:hideMark/>
          </w:tcPr>
          <w:p w:rsidR="00D12032" w:rsidRPr="00550089" w:rsidP="00612CF5" w14:paraId="58191168" w14:textId="530248CD">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$58,679.60</w:t>
            </w:r>
          </w:p>
        </w:tc>
      </w:tr>
      <w:tr w14:paraId="5CA8C057" w14:textId="77777777" w:rsidTr="009462F9">
        <w:tblPrEx>
          <w:tblW w:w="10617" w:type="dxa"/>
          <w:tblInd w:w="-635" w:type="dxa"/>
          <w:tblLook w:val="04A0"/>
        </w:tblPrEx>
        <w:trPr>
          <w:trHeight w:val="290"/>
        </w:trPr>
        <w:tc>
          <w:tcPr>
            <w:tcW w:w="1278" w:type="dxa"/>
            <w:vMerge/>
            <w:vAlign w:val="center"/>
            <w:hideMark/>
          </w:tcPr>
          <w:p w:rsidR="00D12032" w:rsidRPr="00550089" w:rsidP="00612CF5" w14:paraId="0A116738" w14:textId="77777777">
            <w:pPr>
              <w:widowControl/>
              <w:overflowPunct/>
              <w:autoSpaceDE/>
              <w:autoSpaceDN/>
              <w:adjustRightInd/>
              <w:textAlignment w:val="auto"/>
              <w:rPr>
                <w:rFonts w:cs="Calibri"/>
                <w:color w:val="000000"/>
                <w:sz w:val="22"/>
                <w:szCs w:val="22"/>
              </w:rPr>
            </w:pPr>
          </w:p>
        </w:tc>
        <w:tc>
          <w:tcPr>
            <w:tcW w:w="1763" w:type="dxa"/>
            <w:vAlign w:val="bottom"/>
            <w:hideMark/>
          </w:tcPr>
          <w:p w:rsidR="00D12032" w:rsidRPr="00550089" w:rsidP="00612CF5" w14:paraId="58B19613" w14:textId="7120F541">
            <w:pPr>
              <w:widowControl/>
              <w:overflowPunct/>
              <w:autoSpaceDE/>
              <w:autoSpaceDN/>
              <w:adjustRightInd/>
              <w:textAlignment w:val="auto"/>
              <w:rPr>
                <w:rFonts w:cs="Calibri"/>
                <w:color w:val="000000"/>
                <w:sz w:val="22"/>
                <w:szCs w:val="22"/>
              </w:rPr>
            </w:pPr>
            <w:r w:rsidRPr="00550089">
              <w:rPr>
                <w:rFonts w:cs="Calibri"/>
                <w:color w:val="000000"/>
                <w:sz w:val="22"/>
                <w:szCs w:val="22"/>
              </w:rPr>
              <w:t> </w:t>
            </w:r>
            <w:r>
              <w:rPr>
                <w:rFonts w:cs="Calibri"/>
                <w:color w:val="000000"/>
                <w:sz w:val="22"/>
                <w:szCs w:val="22"/>
              </w:rPr>
              <w:t>Reports with additional data collection</w:t>
            </w:r>
          </w:p>
        </w:tc>
        <w:tc>
          <w:tcPr>
            <w:tcW w:w="955" w:type="dxa"/>
            <w:vAlign w:val="bottom"/>
            <w:hideMark/>
          </w:tcPr>
          <w:p w:rsidR="00D12032" w:rsidRPr="00550089" w:rsidP="00612CF5" w14:paraId="2FD742BA" w14:textId="4A7AC09C">
            <w:pPr>
              <w:widowControl/>
              <w:overflowPunct/>
              <w:autoSpaceDE/>
              <w:autoSpaceDN/>
              <w:adjustRightInd/>
              <w:jc w:val="center"/>
              <w:textAlignment w:val="auto"/>
              <w:rPr>
                <w:rFonts w:cs="Calibri"/>
                <w:color w:val="000000"/>
                <w:sz w:val="22"/>
                <w:szCs w:val="22"/>
              </w:rPr>
            </w:pPr>
            <w:r>
              <w:rPr>
                <w:rFonts w:cs="Calibri"/>
                <w:color w:val="000000"/>
                <w:sz w:val="22"/>
                <w:szCs w:val="22"/>
              </w:rPr>
              <w:t>320</w:t>
            </w:r>
          </w:p>
        </w:tc>
        <w:tc>
          <w:tcPr>
            <w:tcW w:w="949" w:type="dxa"/>
            <w:noWrap/>
            <w:vAlign w:val="bottom"/>
            <w:hideMark/>
          </w:tcPr>
          <w:p w:rsidR="00D12032" w:rsidRPr="00550089" w:rsidP="00612CF5" w14:paraId="70279BA8" w14:textId="77777777">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$55.15</w:t>
            </w:r>
          </w:p>
        </w:tc>
        <w:tc>
          <w:tcPr>
            <w:tcW w:w="1167" w:type="dxa"/>
            <w:noWrap/>
            <w:vAlign w:val="bottom"/>
            <w:hideMark/>
          </w:tcPr>
          <w:p w:rsidR="00D12032" w:rsidRPr="00550089" w:rsidP="00612CF5" w14:paraId="3A8B5DD0" w14:textId="77777777">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$73.35</w:t>
            </w:r>
          </w:p>
        </w:tc>
        <w:tc>
          <w:tcPr>
            <w:tcW w:w="1448" w:type="dxa"/>
            <w:noWrap/>
            <w:vAlign w:val="center"/>
            <w:hideMark/>
          </w:tcPr>
          <w:p w:rsidR="00D12032" w:rsidRPr="00550089" w:rsidP="00612CF5" w14:paraId="0F9AD00E" w14:textId="77777777">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$36.67</w:t>
            </w:r>
          </w:p>
        </w:tc>
        <w:tc>
          <w:tcPr>
            <w:tcW w:w="1528" w:type="dxa"/>
          </w:tcPr>
          <w:p w:rsidR="009462F9" w:rsidP="00D12032" w14:paraId="462D8FBE" w14:textId="77777777">
            <w:pPr>
              <w:widowControl/>
              <w:overflowPunct/>
              <w:autoSpaceDE/>
              <w:autoSpaceDN/>
              <w:adjustRightInd/>
              <w:jc w:val="center"/>
              <w:textAlignment w:val="auto"/>
              <w:rPr>
                <w:rFonts w:cs="Calibri"/>
                <w:color w:val="000000"/>
                <w:sz w:val="22"/>
                <w:szCs w:val="22"/>
              </w:rPr>
            </w:pPr>
          </w:p>
          <w:p w:rsidR="00D12032" w:rsidRPr="00D12032" w:rsidP="00D12032" w14:paraId="1EFBAFAF" w14:textId="1FB036A8">
            <w:pPr>
              <w:widowControl/>
              <w:overflowPunct/>
              <w:autoSpaceDE/>
              <w:autoSpaceDN/>
              <w:adjustRightInd/>
              <w:jc w:val="center"/>
              <w:textAlignment w:val="auto"/>
              <w:rPr>
                <w:rFonts w:cs="Calibri"/>
                <w:color w:val="000000"/>
                <w:sz w:val="22"/>
                <w:szCs w:val="22"/>
              </w:rPr>
            </w:pPr>
            <w:r w:rsidRPr="00D12032">
              <w:rPr>
                <w:rFonts w:cs="Calibri"/>
                <w:color w:val="000000"/>
                <w:sz w:val="22"/>
                <w:szCs w:val="22"/>
              </w:rPr>
              <w:t>$23,471.84</w:t>
            </w:r>
          </w:p>
          <w:p w:rsidR="00D12032" w:rsidRPr="00550089" w:rsidP="00612CF5" w14:paraId="7426BBC1" w14:textId="77777777">
            <w:pPr>
              <w:widowControl/>
              <w:overflowPunct/>
              <w:autoSpaceDE/>
              <w:autoSpaceDN/>
              <w:adjustRightInd/>
              <w:jc w:val="center"/>
              <w:textAlignment w:val="auto"/>
              <w:rPr>
                <w:rFonts w:cs="Calibri"/>
                <w:color w:val="000000"/>
                <w:sz w:val="22"/>
                <w:szCs w:val="22"/>
              </w:rPr>
            </w:pPr>
          </w:p>
        </w:tc>
        <w:tc>
          <w:tcPr>
            <w:tcW w:w="1528" w:type="dxa"/>
            <w:noWrap/>
            <w:vAlign w:val="center"/>
            <w:hideMark/>
          </w:tcPr>
          <w:p w:rsidR="00D12032" w:rsidRPr="00550089" w:rsidP="00612CF5" w14:paraId="412C543F" w14:textId="0762CB87">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$1</w:t>
            </w:r>
            <w:r>
              <w:rPr>
                <w:rFonts w:cs="Calibri"/>
                <w:color w:val="000000"/>
                <w:sz w:val="22"/>
                <w:szCs w:val="22"/>
              </w:rPr>
              <w:t>1,735.92</w:t>
            </w:r>
          </w:p>
        </w:tc>
      </w:tr>
      <w:tr w14:paraId="66D2D76D" w14:textId="77777777" w:rsidTr="009462F9">
        <w:tblPrEx>
          <w:tblW w:w="10617" w:type="dxa"/>
          <w:tblInd w:w="-635" w:type="dxa"/>
          <w:tblLook w:val="04A0"/>
        </w:tblPrEx>
        <w:trPr>
          <w:trHeight w:val="290"/>
        </w:trPr>
        <w:tc>
          <w:tcPr>
            <w:tcW w:w="3042" w:type="dxa"/>
            <w:gridSpan w:val="2"/>
            <w:vAlign w:val="center"/>
            <w:hideMark/>
          </w:tcPr>
          <w:p w:rsidR="00D12032" w:rsidRPr="00612CF5" w:rsidP="00612CF5" w14:paraId="50E7A012" w14:textId="77777777">
            <w:pPr>
              <w:widowControl/>
              <w:overflowPunct/>
              <w:autoSpaceDE/>
              <w:autoSpaceDN/>
              <w:adjustRightInd/>
              <w:jc w:val="center"/>
              <w:textAlignment w:val="auto"/>
              <w:rPr>
                <w:rFonts w:cs="Calibri"/>
                <w:b/>
                <w:bCs/>
                <w:color w:val="000000"/>
              </w:rPr>
            </w:pPr>
            <w:r w:rsidRPr="00612CF5">
              <w:rPr>
                <w:rFonts w:cs="Calibri"/>
                <w:b/>
                <w:bCs/>
                <w:color w:val="000000"/>
              </w:rPr>
              <w:t>State Agency Subtotal Reporting</w:t>
            </w:r>
          </w:p>
        </w:tc>
        <w:tc>
          <w:tcPr>
            <w:tcW w:w="955" w:type="dxa"/>
            <w:vAlign w:val="bottom"/>
            <w:hideMark/>
          </w:tcPr>
          <w:p w:rsidR="00D12032" w:rsidRPr="00550089" w:rsidP="00612CF5" w14:paraId="60F4C3E7" w14:textId="3159CD06">
            <w:pPr>
              <w:widowControl/>
              <w:overflowPunct/>
              <w:autoSpaceDE/>
              <w:autoSpaceDN/>
              <w:adjustRightInd/>
              <w:jc w:val="center"/>
              <w:textAlignment w:val="auto"/>
              <w:rPr>
                <w:rFonts w:cs="Calibri"/>
                <w:b/>
                <w:bCs/>
                <w:color w:val="000000"/>
                <w:sz w:val="22"/>
                <w:szCs w:val="22"/>
              </w:rPr>
            </w:pPr>
            <w:r w:rsidRPr="00550089">
              <w:rPr>
                <w:rFonts w:cs="Calibri"/>
                <w:b/>
                <w:bCs/>
                <w:color w:val="000000"/>
                <w:sz w:val="22"/>
                <w:szCs w:val="22"/>
              </w:rPr>
              <w:t>1</w:t>
            </w:r>
            <w:r>
              <w:rPr>
                <w:rFonts w:cs="Calibri"/>
                <w:b/>
                <w:bCs/>
                <w:color w:val="000000"/>
                <w:sz w:val="22"/>
                <w:szCs w:val="22"/>
              </w:rPr>
              <w:t>4,6</w:t>
            </w:r>
            <w:r w:rsidRPr="00550089">
              <w:rPr>
                <w:rFonts w:cs="Calibri"/>
                <w:b/>
                <w:bCs/>
                <w:color w:val="000000"/>
                <w:sz w:val="22"/>
                <w:szCs w:val="22"/>
              </w:rPr>
              <w:t>20</w:t>
            </w:r>
          </w:p>
        </w:tc>
        <w:tc>
          <w:tcPr>
            <w:tcW w:w="949" w:type="dxa"/>
            <w:noWrap/>
            <w:vAlign w:val="bottom"/>
            <w:hideMark/>
          </w:tcPr>
          <w:p w:rsidR="00D12032" w:rsidRPr="00550089" w:rsidP="00612CF5" w14:paraId="290C6E4E" w14:textId="77777777">
            <w:pPr>
              <w:widowControl/>
              <w:overflowPunct/>
              <w:autoSpaceDE/>
              <w:autoSpaceDN/>
              <w:adjustRightInd/>
              <w:jc w:val="center"/>
              <w:textAlignment w:val="auto"/>
              <w:rPr>
                <w:rFonts w:cs="Calibri"/>
                <w:b/>
                <w:bCs/>
                <w:color w:val="000000"/>
                <w:sz w:val="22"/>
                <w:szCs w:val="22"/>
              </w:rPr>
            </w:pPr>
            <w:r w:rsidRPr="00550089">
              <w:rPr>
                <w:rFonts w:cs="Calibri"/>
                <w:b/>
                <w:bCs/>
                <w:color w:val="000000"/>
                <w:sz w:val="22"/>
                <w:szCs w:val="22"/>
              </w:rPr>
              <w:t>$55.15</w:t>
            </w:r>
          </w:p>
        </w:tc>
        <w:tc>
          <w:tcPr>
            <w:tcW w:w="1167" w:type="dxa"/>
            <w:noWrap/>
            <w:vAlign w:val="bottom"/>
            <w:hideMark/>
          </w:tcPr>
          <w:p w:rsidR="00D12032" w:rsidRPr="00550089" w:rsidP="00612CF5" w14:paraId="5CF063B3" w14:textId="77777777">
            <w:pPr>
              <w:widowControl/>
              <w:overflowPunct/>
              <w:autoSpaceDE/>
              <w:autoSpaceDN/>
              <w:adjustRightInd/>
              <w:jc w:val="center"/>
              <w:textAlignment w:val="auto"/>
              <w:rPr>
                <w:rFonts w:cs="Calibri"/>
                <w:b/>
                <w:bCs/>
                <w:color w:val="000000"/>
                <w:sz w:val="22"/>
                <w:szCs w:val="22"/>
              </w:rPr>
            </w:pPr>
            <w:r w:rsidRPr="00550089">
              <w:rPr>
                <w:rFonts w:cs="Calibri"/>
                <w:b/>
                <w:bCs/>
                <w:color w:val="000000"/>
                <w:sz w:val="22"/>
                <w:szCs w:val="22"/>
              </w:rPr>
              <w:t>$73.35</w:t>
            </w:r>
          </w:p>
        </w:tc>
        <w:tc>
          <w:tcPr>
            <w:tcW w:w="1448" w:type="dxa"/>
            <w:noWrap/>
            <w:vAlign w:val="bottom"/>
            <w:hideMark/>
          </w:tcPr>
          <w:p w:rsidR="00D12032" w:rsidRPr="00550089" w:rsidP="00612CF5" w14:paraId="0D2DC12B" w14:textId="77777777">
            <w:pPr>
              <w:widowControl/>
              <w:overflowPunct/>
              <w:autoSpaceDE/>
              <w:autoSpaceDN/>
              <w:adjustRightInd/>
              <w:jc w:val="center"/>
              <w:textAlignment w:val="auto"/>
              <w:rPr>
                <w:rFonts w:cs="Calibri"/>
                <w:b/>
                <w:bCs/>
                <w:color w:val="000000"/>
                <w:sz w:val="22"/>
                <w:szCs w:val="22"/>
              </w:rPr>
            </w:pPr>
            <w:r w:rsidRPr="00550089">
              <w:rPr>
                <w:rFonts w:cs="Calibri"/>
                <w:b/>
                <w:bCs/>
                <w:color w:val="000000"/>
                <w:sz w:val="22"/>
                <w:szCs w:val="22"/>
              </w:rPr>
              <w:t>$36.67</w:t>
            </w:r>
          </w:p>
        </w:tc>
        <w:tc>
          <w:tcPr>
            <w:tcW w:w="1528" w:type="dxa"/>
          </w:tcPr>
          <w:p w:rsidR="009462F9" w:rsidP="00D12032" w14:paraId="63DA2BB0" w14:textId="77777777">
            <w:pPr>
              <w:widowControl/>
              <w:overflowPunct/>
              <w:autoSpaceDE/>
              <w:autoSpaceDN/>
              <w:adjustRightInd/>
              <w:jc w:val="center"/>
              <w:textAlignment w:val="auto"/>
              <w:rPr>
                <w:rFonts w:cs="Calibri"/>
                <w:b/>
                <w:bCs/>
                <w:color w:val="000000"/>
                <w:sz w:val="22"/>
                <w:szCs w:val="22"/>
              </w:rPr>
            </w:pPr>
          </w:p>
          <w:p w:rsidR="00D12032" w:rsidRPr="009462F9" w:rsidP="009462F9" w14:paraId="7DCB9286" w14:textId="32A55CCF">
            <w:pPr>
              <w:widowControl/>
              <w:overflowPunct/>
              <w:autoSpaceDE/>
              <w:autoSpaceDN/>
              <w:adjustRightInd/>
              <w:jc w:val="center"/>
              <w:textAlignment w:val="auto"/>
              <w:rPr>
                <w:rFonts w:cs="Calibri"/>
                <w:b/>
                <w:bCs/>
                <w:color w:val="000000"/>
                <w:sz w:val="22"/>
                <w:szCs w:val="22"/>
              </w:rPr>
            </w:pPr>
            <w:r w:rsidRPr="00D12032">
              <w:rPr>
                <w:rFonts w:cs="Calibri"/>
                <w:b/>
                <w:bCs/>
                <w:color w:val="000000"/>
                <w:sz w:val="22"/>
                <w:szCs w:val="22"/>
              </w:rPr>
              <w:t>$1,072,369.69</w:t>
            </w:r>
          </w:p>
        </w:tc>
        <w:tc>
          <w:tcPr>
            <w:tcW w:w="1528" w:type="dxa"/>
            <w:noWrap/>
            <w:vAlign w:val="center"/>
            <w:hideMark/>
          </w:tcPr>
          <w:p w:rsidR="00D12032" w:rsidRPr="00550089" w:rsidP="00612CF5" w14:paraId="2F583AC1" w14:textId="0CFDC06B">
            <w:pPr>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w:t>
            </w:r>
            <w:r>
              <w:rPr>
                <w:rFonts w:cs="Calibri"/>
                <w:color w:val="000000"/>
                <w:sz w:val="22"/>
                <w:szCs w:val="22"/>
              </w:rPr>
              <w:t>536,184.85</w:t>
            </w:r>
          </w:p>
        </w:tc>
      </w:tr>
    </w:tbl>
    <w:p w:rsidR="008442E1" w:rsidRPr="00B6102B" w:rsidP="008442E1" w14:paraId="438BE660" w14:textId="77777777">
      <w:pPr>
        <w:tabs>
          <w:tab w:val="left" w:pos="-720"/>
        </w:tabs>
        <w:suppressAutoHyphens/>
        <w:rPr>
          <w:rFonts w:cstheme="minorHAnsi"/>
          <w:szCs w:val="24"/>
        </w:rPr>
      </w:pPr>
    </w:p>
    <w:p w:rsidR="00EC1019" w:rsidRPr="00B6102B" w:rsidP="00EC1019" w14:paraId="6F601081" w14:textId="77777777">
      <w:pPr>
        <w:tabs>
          <w:tab w:val="left" w:pos="-720"/>
        </w:tabs>
        <w:suppressAutoHyphens/>
        <w:rPr>
          <w:rFonts w:cstheme="minorHAnsi"/>
          <w:szCs w:val="24"/>
        </w:rPr>
      </w:pPr>
    </w:p>
    <w:p w:rsidR="00EC1019" w:rsidRPr="004C4417" w:rsidP="004C4417" w14:paraId="052F17FD" w14:textId="77777777">
      <w:pPr>
        <w:tabs>
          <w:tab w:val="left" w:pos="-720"/>
        </w:tabs>
        <w:suppressAutoHyphens/>
        <w:rPr>
          <w:sz w:val="22"/>
        </w:rPr>
      </w:pPr>
      <w:r w:rsidRPr="004C4417">
        <w:rPr>
          <w:sz w:val="22"/>
        </w:rPr>
        <w:t>Note* Total Cost to Respondent rate for Reporting and Recordkeeping is after 50 percent reimbursement by FNS.</w:t>
      </w:r>
    </w:p>
    <w:p w:rsidR="00EC1019" w:rsidRPr="00B6102B" w:rsidP="00EC1019" w14:paraId="7AB7FB61" w14:textId="77777777">
      <w:pPr>
        <w:tabs>
          <w:tab w:val="left" w:pos="-720"/>
        </w:tabs>
        <w:suppressAutoHyphens/>
        <w:rPr>
          <w:rFonts w:cstheme="minorHAnsi"/>
          <w:szCs w:val="24"/>
        </w:rPr>
      </w:pPr>
    </w:p>
    <w:p w:rsidR="003E1BBC" w:rsidRPr="00B6102B" w:rsidP="00235E84" w14:paraId="3E1C340B" w14:textId="77777777">
      <w:pPr>
        <w:tabs>
          <w:tab w:val="left" w:pos="-720"/>
        </w:tabs>
        <w:suppressAutoHyphens/>
        <w:rPr>
          <w:rFonts w:cstheme="minorHAnsi"/>
          <w:szCs w:val="24"/>
        </w:rPr>
      </w:pPr>
    </w:p>
    <w:p w:rsidR="000438E8" w:rsidRPr="004C4417" w:rsidP="0062567E" w14:paraId="352288EC" w14:textId="77777777">
      <w:pPr>
        <w:pStyle w:val="Heading1"/>
        <w:rPr>
          <w:rFonts w:ascii="Source Sans Pro" w:hAnsi="Source Sans Pro"/>
        </w:rPr>
      </w:pPr>
      <w:bookmarkStart w:id="40" w:name="_Toc401831369"/>
      <w:bookmarkStart w:id="41" w:name="_Toc401832413"/>
      <w:bookmarkStart w:id="42" w:name="_Toc229140330"/>
      <w:r w:rsidRPr="004C4417">
        <w:rPr>
          <w:rFonts w:ascii="Source Sans Pro" w:hAnsi="Source Sans Pro"/>
        </w:rPr>
        <w:t xml:space="preserve">A13.  Estimates of other total annual cost </w:t>
      </w:r>
      <w:r w:rsidRPr="004C4417" w:rsidR="00ED28F2">
        <w:rPr>
          <w:rFonts w:ascii="Source Sans Pro" w:hAnsi="Source Sans Pro"/>
        </w:rPr>
        <w:t>burden</w:t>
      </w:r>
      <w:r w:rsidRPr="004C4417">
        <w:rPr>
          <w:rFonts w:ascii="Source Sans Pro" w:hAnsi="Source Sans Pro"/>
        </w:rPr>
        <w:t>.</w:t>
      </w:r>
      <w:bookmarkEnd w:id="40"/>
      <w:bookmarkEnd w:id="41"/>
      <w:bookmarkEnd w:id="42"/>
    </w:p>
    <w:p w:rsidR="0062567E" w:rsidRPr="00B6102B" w:rsidP="000438E8" w14:paraId="463F29E8" w14:textId="77777777">
      <w:pPr>
        <w:tabs>
          <w:tab w:val="left" w:pos="0"/>
        </w:tabs>
        <w:suppressAutoHyphens/>
        <w:rPr>
          <w:rFonts w:cstheme="minorHAnsi"/>
          <w:b/>
          <w:szCs w:val="24"/>
        </w:rPr>
      </w:pPr>
    </w:p>
    <w:p w:rsidR="0062567E" w:rsidRPr="00B6102B" w:rsidP="000438E8" w14:paraId="533E1052" w14:textId="77777777">
      <w:pPr>
        <w:tabs>
          <w:tab w:val="left" w:pos="0"/>
        </w:tabs>
        <w:suppressAutoHyphens/>
        <w:rPr>
          <w:rFonts w:cstheme="minorHAnsi"/>
          <w:b/>
          <w:szCs w:val="24"/>
        </w:rPr>
      </w:pPr>
      <w:r w:rsidRPr="00B6102B">
        <w:rPr>
          <w:rFonts w:cstheme="minorHAnsi"/>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B6102B" w:rsidP="00ED28F2" w14:paraId="3B7B4B86" w14:textId="77777777">
      <w:pPr>
        <w:tabs>
          <w:tab w:val="left" w:pos="-720"/>
        </w:tabs>
        <w:suppressAutoHyphens/>
        <w:rPr>
          <w:rFonts w:cstheme="minorHAnsi"/>
          <w:szCs w:val="24"/>
        </w:rPr>
      </w:pPr>
    </w:p>
    <w:p w:rsidR="003F00E1" w:rsidRPr="004C4417" w:rsidP="00657C7A" w14:paraId="043BFE35" w14:textId="4C89DEDB">
      <w:pPr>
        <w:tabs>
          <w:tab w:val="left" w:pos="-720"/>
        </w:tabs>
        <w:suppressAutoHyphens/>
        <w:spacing w:line="480" w:lineRule="auto"/>
        <w:rPr>
          <w:sz w:val="22"/>
        </w:rPr>
      </w:pPr>
      <w:r w:rsidRPr="00550089">
        <w:rPr>
          <w:rFonts w:cstheme="minorHAnsi"/>
          <w:sz w:val="22"/>
          <w:szCs w:val="22"/>
        </w:rPr>
        <w:tab/>
      </w:r>
      <w:r w:rsidRPr="004C4417" w:rsidR="008F4A40">
        <w:rPr>
          <w:sz w:val="22"/>
        </w:rPr>
        <w:t>There are no capital/start-up or ongoing operation/maintenance costs associated with this information collection.</w:t>
      </w:r>
    </w:p>
    <w:p w:rsidR="003F00E1" w:rsidRPr="00B6102B" w:rsidP="00D049E2" w14:paraId="3FA5647F" w14:textId="77777777">
      <w:pPr>
        <w:tabs>
          <w:tab w:val="left" w:pos="-720"/>
        </w:tabs>
        <w:suppressAutoHyphens/>
        <w:rPr>
          <w:rFonts w:cstheme="minorHAnsi"/>
          <w:szCs w:val="24"/>
        </w:rPr>
      </w:pPr>
    </w:p>
    <w:p w:rsidR="00A308DB" w:rsidRPr="004C4417" w:rsidP="0062567E" w14:paraId="30437DFD" w14:textId="77777777">
      <w:pPr>
        <w:pStyle w:val="Heading1"/>
        <w:rPr>
          <w:rFonts w:ascii="Source Sans Pro" w:hAnsi="Source Sans Pro"/>
        </w:rPr>
      </w:pPr>
      <w:bookmarkStart w:id="43" w:name="_Toc401831370"/>
      <w:bookmarkStart w:id="44" w:name="_Toc401832414"/>
      <w:bookmarkStart w:id="45" w:name="_Toc229140331"/>
      <w:r w:rsidRPr="004C4417">
        <w:rPr>
          <w:rFonts w:ascii="Source Sans Pro" w:hAnsi="Source Sans Pro"/>
        </w:rPr>
        <w:t>A14.  Provide estimates of annualized cost to the Federal government.</w:t>
      </w:r>
      <w:bookmarkEnd w:id="43"/>
      <w:bookmarkEnd w:id="44"/>
      <w:bookmarkEnd w:id="45"/>
      <w:r w:rsidRPr="004C4417" w:rsidR="0088245A">
        <w:rPr>
          <w:rFonts w:ascii="Source Sans Pro" w:hAnsi="Source Sans Pro"/>
        </w:rPr>
        <w:t xml:space="preserve">  </w:t>
      </w:r>
    </w:p>
    <w:p w:rsidR="0062567E" w:rsidRPr="00B6102B" w:rsidP="000438E8" w14:paraId="5630AD66" w14:textId="77777777">
      <w:pPr>
        <w:tabs>
          <w:tab w:val="left" w:pos="0"/>
        </w:tabs>
        <w:suppressAutoHyphens/>
        <w:rPr>
          <w:rFonts w:cstheme="minorHAnsi"/>
          <w:szCs w:val="24"/>
        </w:rPr>
      </w:pPr>
    </w:p>
    <w:p w:rsidR="0062567E" w:rsidRPr="004C4417" w:rsidP="0062567E" w14:paraId="6CB08511" w14:textId="77777777">
      <w:pPr>
        <w:pStyle w:val="ListParagraph"/>
        <w:widowControl/>
        <w:spacing w:line="240" w:lineRule="auto"/>
        <w:ind w:left="0"/>
        <w:rPr>
          <w:rFonts w:ascii="Source Sans Pro" w:hAnsi="Source Sans Pro"/>
          <w:b/>
        </w:rPr>
      </w:pPr>
      <w:r w:rsidRPr="004C4417">
        <w:rPr>
          <w:rFonts w:ascii="Source Sans Pro" w:hAnsi="Source Sans Pro"/>
          <w:b/>
        </w:rPr>
        <w:t>Provide estimates of annualized cost to the Federal government.  Provide a description of the method used to estimate cost and any other expense that would not have been incurred without this collection of information.</w:t>
      </w:r>
    </w:p>
    <w:p w:rsidR="0062567E" w:rsidRPr="00B6102B" w:rsidP="000438E8" w14:paraId="61829076" w14:textId="77777777">
      <w:pPr>
        <w:tabs>
          <w:tab w:val="left" w:pos="0"/>
        </w:tabs>
        <w:suppressAutoHyphens/>
        <w:rPr>
          <w:rFonts w:cstheme="minorHAnsi"/>
          <w:szCs w:val="24"/>
        </w:rPr>
      </w:pPr>
    </w:p>
    <w:p w:rsidR="002932D7" w:rsidRPr="004C4417" w:rsidP="002932D7" w14:paraId="169E3FDA" w14:textId="1D3AC4B3">
      <w:pPr>
        <w:tabs>
          <w:tab w:val="left" w:pos="-720"/>
        </w:tabs>
        <w:suppressAutoHyphens/>
        <w:spacing w:line="480" w:lineRule="auto"/>
        <w:rPr>
          <w:sz w:val="22"/>
        </w:rPr>
      </w:pPr>
      <w:r w:rsidRPr="00550089">
        <w:rPr>
          <w:rFonts w:cstheme="minorHAnsi"/>
          <w:sz w:val="22"/>
          <w:szCs w:val="22"/>
        </w:rPr>
        <w:tab/>
      </w:r>
      <w:r w:rsidRPr="004C4417">
        <w:rPr>
          <w:sz w:val="22"/>
        </w:rPr>
        <w:t xml:space="preserve">The total annual cost to the Federal Government is </w:t>
      </w:r>
      <w:r w:rsidRPr="004C4417" w:rsidR="00396E95">
        <w:rPr>
          <w:sz w:val="22"/>
        </w:rPr>
        <w:t>$</w:t>
      </w:r>
      <w:r w:rsidR="00281327">
        <w:rPr>
          <w:rFonts w:cstheme="minorHAnsi"/>
          <w:sz w:val="22"/>
          <w:szCs w:val="22"/>
        </w:rPr>
        <w:t>538</w:t>
      </w:r>
      <w:r w:rsidR="00BD6FD4">
        <w:rPr>
          <w:rFonts w:cstheme="minorHAnsi"/>
          <w:sz w:val="22"/>
          <w:szCs w:val="22"/>
        </w:rPr>
        <w:t>,942.30</w:t>
      </w:r>
      <w:r w:rsidRPr="004C4417">
        <w:rPr>
          <w:sz w:val="22"/>
        </w:rPr>
        <w:t xml:space="preserve">. </w:t>
      </w:r>
      <w:r w:rsidRPr="004C4417" w:rsidR="007542BA">
        <w:rPr>
          <w:sz w:val="22"/>
        </w:rPr>
        <w:t>FNS</w:t>
      </w:r>
      <w:r w:rsidRPr="004C4417">
        <w:rPr>
          <w:sz w:val="22"/>
        </w:rPr>
        <w:t xml:space="preserve"> estimates that a SNAP Branch Chief, General Schedule (GS) grade 14 step 1</w:t>
      </w:r>
      <w:r w:rsidRPr="00550089" w:rsidR="00894778">
        <w:rPr>
          <w:rFonts w:cstheme="minorHAnsi"/>
          <w:sz w:val="22"/>
          <w:szCs w:val="22"/>
        </w:rPr>
        <w:t xml:space="preserve"> ($68.27</w:t>
      </w:r>
      <w:r w:rsidRPr="004C4417" w:rsidR="00894778">
        <w:rPr>
          <w:sz w:val="22"/>
        </w:rPr>
        <w:t>/hour)</w:t>
      </w:r>
      <w:r w:rsidRPr="004C4417">
        <w:rPr>
          <w:sz w:val="22"/>
        </w:rPr>
        <w:t xml:space="preserve">, and a SNAP Program Analyst, </w:t>
      </w:r>
      <w:r w:rsidRPr="004C4417" w:rsidR="00FC2D88">
        <w:rPr>
          <w:sz w:val="22"/>
        </w:rPr>
        <w:t xml:space="preserve">GS grade </w:t>
      </w:r>
      <w:r w:rsidRPr="00550089" w:rsidR="00FC2D88">
        <w:rPr>
          <w:rFonts w:cstheme="minorHAnsi"/>
          <w:sz w:val="22"/>
          <w:szCs w:val="22"/>
        </w:rPr>
        <w:t>13</w:t>
      </w:r>
      <w:r w:rsidRPr="004C4417" w:rsidR="00FC2D88">
        <w:rPr>
          <w:sz w:val="22"/>
        </w:rPr>
        <w:t xml:space="preserve"> step 1 ($</w:t>
      </w:r>
      <w:r w:rsidRPr="00550089" w:rsidR="00FC2D88">
        <w:rPr>
          <w:rFonts w:cstheme="minorHAnsi"/>
          <w:sz w:val="22"/>
          <w:szCs w:val="22"/>
        </w:rPr>
        <w:t>57.78</w:t>
      </w:r>
      <w:r w:rsidRPr="004C4417" w:rsidR="00FC2D88">
        <w:rPr>
          <w:sz w:val="22"/>
        </w:rPr>
        <w:t>/hour)</w:t>
      </w:r>
      <w:r w:rsidRPr="004C4417">
        <w:rPr>
          <w:sz w:val="22"/>
        </w:rPr>
        <w:t xml:space="preserve"> will take approximately 15 and 30 hours, respectively, to analyze data received from this information collection, totaling </w:t>
      </w:r>
      <w:r w:rsidRPr="00550089" w:rsidR="006B2A5E">
        <w:rPr>
          <w:rFonts w:cstheme="minorHAnsi"/>
          <w:sz w:val="22"/>
          <w:szCs w:val="22"/>
        </w:rPr>
        <w:t>2,757.</w:t>
      </w:r>
      <w:r w:rsidRPr="00550089" w:rsidR="00F674EF">
        <w:rPr>
          <w:rFonts w:cstheme="minorHAnsi"/>
          <w:sz w:val="22"/>
          <w:szCs w:val="22"/>
        </w:rPr>
        <w:t>45</w:t>
      </w:r>
      <w:r>
        <w:rPr>
          <w:rStyle w:val="FootnoteReference"/>
          <w:sz w:val="22"/>
        </w:rPr>
        <w:footnoteReference w:id="4"/>
      </w:r>
      <w:r w:rsidRPr="004C4417">
        <w:rPr>
          <w:sz w:val="22"/>
        </w:rPr>
        <w:t xml:space="preserve"> The fully loaded (x .33) cost is $</w:t>
      </w:r>
      <w:r w:rsidRPr="00550089" w:rsidR="000E0C82">
        <w:rPr>
          <w:rFonts w:cstheme="minorHAnsi"/>
          <w:sz w:val="22"/>
          <w:szCs w:val="22"/>
        </w:rPr>
        <w:t>3,667.41</w:t>
      </w:r>
      <w:r w:rsidRPr="004C4417">
        <w:rPr>
          <w:sz w:val="22"/>
        </w:rPr>
        <w:t>. Thus, the total annual respondent cost is $</w:t>
      </w:r>
      <w:r w:rsidR="005E6216">
        <w:rPr>
          <w:rFonts w:cstheme="minorHAnsi"/>
          <w:sz w:val="22"/>
          <w:szCs w:val="22"/>
        </w:rPr>
        <w:t>53</w:t>
      </w:r>
      <w:r w:rsidR="00EE1F2A">
        <w:rPr>
          <w:rFonts w:cstheme="minorHAnsi"/>
          <w:sz w:val="22"/>
          <w:szCs w:val="22"/>
        </w:rPr>
        <w:t>8</w:t>
      </w:r>
      <w:r w:rsidR="005239E0">
        <w:rPr>
          <w:rFonts w:cstheme="minorHAnsi"/>
          <w:sz w:val="22"/>
          <w:szCs w:val="22"/>
        </w:rPr>
        <w:t>,942.30</w:t>
      </w:r>
      <w:r w:rsidRPr="004C4417">
        <w:rPr>
          <w:sz w:val="22"/>
        </w:rPr>
        <w:t xml:space="preserve"> (including the estimates provided in 12B). A summary of the estimates appears below.</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9"/>
        <w:gridCol w:w="1382"/>
        <w:gridCol w:w="1304"/>
        <w:gridCol w:w="1835"/>
      </w:tblGrid>
      <w:tr w14:paraId="2F7F6EED" w14:textId="77777777" w:rsidTr="004C4417">
        <w:tblPrEx>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9070" w:type="dxa"/>
            <w:gridSpan w:val="4"/>
            <w:shd w:val="clear" w:color="000000" w:fill="EEECE1"/>
            <w:noWrap/>
            <w:vAlign w:val="bottom"/>
            <w:hideMark/>
          </w:tcPr>
          <w:p w:rsidR="002C500C" w:rsidRPr="002C500C" w:rsidP="00F93C27" w14:paraId="64B5DA2A" w14:textId="77777777">
            <w:pPr>
              <w:keepNext/>
              <w:widowControl/>
              <w:overflowPunct/>
              <w:autoSpaceDE/>
              <w:autoSpaceDN/>
              <w:adjustRightInd/>
              <w:jc w:val="center"/>
              <w:textAlignment w:val="auto"/>
              <w:rPr>
                <w:rFonts w:ascii="Calibri" w:hAnsi="Calibri" w:cs="Calibri"/>
                <w:b/>
                <w:bCs/>
                <w:color w:val="000000"/>
                <w:sz w:val="22"/>
                <w:szCs w:val="22"/>
              </w:rPr>
            </w:pPr>
            <w:r w:rsidRPr="002C500C">
              <w:rPr>
                <w:rFonts w:ascii="Calibri" w:hAnsi="Calibri" w:cs="Calibri"/>
                <w:b/>
                <w:bCs/>
                <w:color w:val="000000"/>
                <w:sz w:val="22"/>
                <w:szCs w:val="22"/>
              </w:rPr>
              <w:t>FNS SNAP ICR Federal Cost Estimate (OMB Control No. 0584-0579)</w:t>
            </w:r>
          </w:p>
        </w:tc>
      </w:tr>
      <w:tr w14:paraId="0153F2D0" w14:textId="77777777" w:rsidTr="004C4417">
        <w:tblPrEx>
          <w:tblW w:w="9070" w:type="dxa"/>
          <w:tblLook w:val="04A0"/>
        </w:tblPrEx>
        <w:trPr>
          <w:trHeight w:val="840"/>
        </w:trPr>
        <w:tc>
          <w:tcPr>
            <w:tcW w:w="4627" w:type="dxa"/>
            <w:vAlign w:val="center"/>
            <w:hideMark/>
          </w:tcPr>
          <w:p w:rsidR="004C4417" w:rsidRPr="004C4417" w:rsidP="004C4417" w14:paraId="0B56C6BB" w14:textId="77777777">
            <w:pPr>
              <w:keepNext/>
              <w:widowControl/>
              <w:overflowPunct/>
              <w:autoSpaceDE/>
              <w:autoSpaceDN/>
              <w:adjustRightInd/>
              <w:jc w:val="center"/>
              <w:textAlignment w:val="auto"/>
              <w:rPr>
                <w:rFonts w:ascii="Calibri" w:hAnsi="Calibri"/>
                <w:b/>
                <w:color w:val="000000"/>
                <w:sz w:val="22"/>
              </w:rPr>
            </w:pPr>
            <w:r w:rsidRPr="002C500C">
              <w:rPr>
                <w:rFonts w:ascii="Calibri" w:hAnsi="Calibri" w:cs="Calibri"/>
                <w:b/>
                <w:bCs/>
                <w:color w:val="000000"/>
                <w:sz w:val="22"/>
                <w:szCs w:val="22"/>
              </w:rPr>
              <w:t>Activity</w:t>
            </w:r>
          </w:p>
        </w:tc>
        <w:tc>
          <w:tcPr>
            <w:tcW w:w="980" w:type="dxa"/>
            <w:vAlign w:val="center"/>
            <w:hideMark/>
          </w:tcPr>
          <w:p w:rsidR="004C4417" w:rsidRPr="004C4417" w:rsidP="004C4417" w14:paraId="1B12B114" w14:textId="77777777">
            <w:pPr>
              <w:keepNext/>
              <w:widowControl/>
              <w:overflowPunct/>
              <w:autoSpaceDE/>
              <w:autoSpaceDN/>
              <w:adjustRightInd/>
              <w:jc w:val="center"/>
              <w:textAlignment w:val="auto"/>
              <w:rPr>
                <w:rFonts w:ascii="Calibri" w:hAnsi="Calibri"/>
                <w:b/>
                <w:color w:val="000000"/>
                <w:sz w:val="22"/>
              </w:rPr>
            </w:pPr>
            <w:r w:rsidRPr="002C500C">
              <w:rPr>
                <w:rFonts w:ascii="Calibri" w:hAnsi="Calibri" w:cs="Calibri"/>
                <w:b/>
                <w:bCs/>
                <w:color w:val="000000"/>
                <w:sz w:val="22"/>
                <w:szCs w:val="22"/>
              </w:rPr>
              <w:t xml:space="preserve">Estimated Total Annual </w:t>
            </w:r>
            <w:r w:rsidRPr="004C4417">
              <w:rPr>
                <w:rFonts w:ascii="Calibri" w:hAnsi="Calibri"/>
                <w:b/>
                <w:color w:val="000000"/>
                <w:sz w:val="22"/>
              </w:rPr>
              <w:t>Burden Hours</w:t>
            </w:r>
            <w:r w:rsidRPr="002C500C">
              <w:rPr>
                <w:rFonts w:ascii="Calibri" w:hAnsi="Calibri" w:cs="Calibri"/>
                <w:b/>
                <w:bCs/>
                <w:color w:val="000000"/>
                <w:sz w:val="22"/>
                <w:szCs w:val="22"/>
              </w:rPr>
              <w:t> </w:t>
            </w:r>
          </w:p>
        </w:tc>
        <w:tc>
          <w:tcPr>
            <w:tcW w:w="1304" w:type="dxa"/>
            <w:vAlign w:val="center"/>
            <w:hideMark/>
          </w:tcPr>
          <w:p w:rsidR="004C4417" w:rsidRPr="004C4417" w:rsidP="004C4417" w14:paraId="37200822" w14:textId="77777777">
            <w:pPr>
              <w:keepNext/>
              <w:widowControl/>
              <w:overflowPunct/>
              <w:autoSpaceDE/>
              <w:autoSpaceDN/>
              <w:adjustRightInd/>
              <w:jc w:val="center"/>
              <w:textAlignment w:val="auto"/>
              <w:rPr>
                <w:rFonts w:ascii="Calibri" w:hAnsi="Calibri"/>
                <w:b/>
                <w:color w:val="000000"/>
                <w:sz w:val="22"/>
              </w:rPr>
            </w:pPr>
            <w:r w:rsidRPr="002C500C">
              <w:rPr>
                <w:rFonts w:ascii="Calibri" w:hAnsi="Calibri" w:cs="Calibri"/>
                <w:b/>
                <w:bCs/>
                <w:color w:val="000000"/>
                <w:sz w:val="22"/>
                <w:szCs w:val="22"/>
              </w:rPr>
              <w:t xml:space="preserve">Estimated </w:t>
            </w:r>
            <w:r w:rsidRPr="004C4417">
              <w:rPr>
                <w:rFonts w:ascii="Calibri" w:hAnsi="Calibri"/>
                <w:b/>
                <w:color w:val="000000"/>
                <w:sz w:val="22"/>
              </w:rPr>
              <w:t>Hourly Wage Rate</w:t>
            </w:r>
            <w:r w:rsidRPr="002C500C">
              <w:rPr>
                <w:rFonts w:ascii="Calibri" w:hAnsi="Calibri" w:cs="Calibri"/>
                <w:i/>
                <w:iCs/>
                <w:color w:val="000000"/>
                <w:sz w:val="22"/>
                <w:szCs w:val="22"/>
              </w:rPr>
              <w:t> </w:t>
            </w:r>
          </w:p>
        </w:tc>
        <w:tc>
          <w:tcPr>
            <w:tcW w:w="2159" w:type="dxa"/>
            <w:vAlign w:val="center"/>
            <w:hideMark/>
          </w:tcPr>
          <w:p w:rsidR="004C4417" w:rsidRPr="004C4417" w:rsidP="004C4417" w14:paraId="62E4DF35" w14:textId="77777777">
            <w:pPr>
              <w:keepNext/>
              <w:widowControl/>
              <w:overflowPunct/>
              <w:autoSpaceDE/>
              <w:autoSpaceDN/>
              <w:adjustRightInd/>
              <w:jc w:val="center"/>
              <w:textAlignment w:val="auto"/>
              <w:rPr>
                <w:rFonts w:ascii="Calibri" w:hAnsi="Calibri"/>
                <w:b/>
                <w:color w:val="000000"/>
                <w:sz w:val="22"/>
              </w:rPr>
            </w:pPr>
            <w:r w:rsidRPr="002C500C">
              <w:rPr>
                <w:rFonts w:ascii="Calibri" w:hAnsi="Calibri" w:cs="Calibri"/>
                <w:b/>
                <w:bCs/>
                <w:color w:val="000000"/>
                <w:sz w:val="22"/>
                <w:szCs w:val="22"/>
              </w:rPr>
              <w:t>Cost (US$) (approx.)</w:t>
            </w:r>
            <w:r w:rsidRPr="002C500C">
              <w:rPr>
                <w:rFonts w:ascii="Calibri" w:hAnsi="Calibri" w:cs="Calibri"/>
                <w:i/>
                <w:iCs/>
                <w:color w:val="000000"/>
                <w:sz w:val="22"/>
                <w:szCs w:val="22"/>
              </w:rPr>
              <w:t> </w:t>
            </w:r>
          </w:p>
        </w:tc>
      </w:tr>
      <w:tr w14:paraId="608CB40A" w14:textId="77777777" w:rsidTr="004C4417">
        <w:tblPrEx>
          <w:tblW w:w="9070" w:type="dxa"/>
          <w:tblLook w:val="04A0"/>
        </w:tblPrEx>
        <w:trPr>
          <w:trHeight w:val="315"/>
        </w:trPr>
        <w:tc>
          <w:tcPr>
            <w:tcW w:w="9070" w:type="dxa"/>
            <w:gridSpan w:val="4"/>
            <w:noWrap/>
            <w:vAlign w:val="bottom"/>
            <w:hideMark/>
          </w:tcPr>
          <w:p w:rsidR="004C4417" w:rsidRPr="004C4417" w:rsidP="004C4417" w14:paraId="559F6FB1" w14:textId="77777777">
            <w:pPr>
              <w:keepNext/>
              <w:widowControl/>
              <w:overflowPunct/>
              <w:autoSpaceDE/>
              <w:autoSpaceDN/>
              <w:adjustRightInd/>
              <w:textAlignment w:val="auto"/>
              <w:rPr>
                <w:rFonts w:ascii="Calibri" w:hAnsi="Calibri"/>
                <w:b/>
                <w:color w:val="000000"/>
                <w:sz w:val="22"/>
              </w:rPr>
            </w:pPr>
            <w:r w:rsidRPr="002C500C">
              <w:rPr>
                <w:rFonts w:ascii="Calibri" w:hAnsi="Calibri" w:cs="Calibri"/>
                <w:b/>
                <w:bCs/>
                <w:color w:val="000000"/>
                <w:sz w:val="22"/>
                <w:szCs w:val="22"/>
              </w:rPr>
              <w:t>Review of Information Collection</w:t>
            </w:r>
          </w:p>
        </w:tc>
      </w:tr>
      <w:tr w14:paraId="432B4783" w14:textId="77777777" w:rsidTr="004C4417">
        <w:tblPrEx>
          <w:tblW w:w="9070" w:type="dxa"/>
          <w:tblLook w:val="04A0"/>
        </w:tblPrEx>
        <w:trPr>
          <w:trHeight w:val="600"/>
        </w:trPr>
        <w:tc>
          <w:tcPr>
            <w:tcW w:w="4627" w:type="dxa"/>
            <w:vAlign w:val="bottom"/>
            <w:hideMark/>
          </w:tcPr>
          <w:p w:rsidR="004C4417" w:rsidRPr="004C4417" w:rsidP="004C4417" w14:paraId="72878399" w14:textId="77777777">
            <w:pPr>
              <w:keepNext/>
              <w:widowControl/>
              <w:overflowPunct/>
              <w:autoSpaceDE/>
              <w:autoSpaceDN/>
              <w:adjustRightInd/>
              <w:textAlignment w:val="auto"/>
              <w:rPr>
                <w:color w:val="000000"/>
                <w:sz w:val="22"/>
              </w:rPr>
            </w:pPr>
            <w:r w:rsidRPr="00550089">
              <w:rPr>
                <w:rFonts w:cs="Calibri"/>
                <w:color w:val="000000"/>
                <w:sz w:val="22"/>
                <w:szCs w:val="22"/>
              </w:rPr>
              <w:t>Reviewing - National Office</w:t>
            </w:r>
            <w:r w:rsidRPr="004C4417">
              <w:rPr>
                <w:color w:val="000000"/>
                <w:sz w:val="22"/>
              </w:rPr>
              <w:t xml:space="preserve"> Program Analyst </w:t>
            </w:r>
            <w:r w:rsidRPr="00550089">
              <w:rPr>
                <w:rFonts w:cs="Calibri"/>
                <w:color w:val="000000"/>
                <w:sz w:val="22"/>
                <w:szCs w:val="22"/>
              </w:rPr>
              <w:t>(</w:t>
            </w:r>
            <w:r w:rsidRPr="004C4417">
              <w:rPr>
                <w:color w:val="000000"/>
                <w:sz w:val="22"/>
              </w:rPr>
              <w:t xml:space="preserve">GS </w:t>
            </w:r>
            <w:r w:rsidRPr="00550089">
              <w:rPr>
                <w:rFonts w:cs="Calibri"/>
                <w:color w:val="000000"/>
                <w:sz w:val="22"/>
                <w:szCs w:val="22"/>
              </w:rPr>
              <w:t>13/</w:t>
            </w:r>
            <w:r w:rsidRPr="004C4417">
              <w:rPr>
                <w:color w:val="000000"/>
                <w:sz w:val="22"/>
              </w:rPr>
              <w:t>1</w:t>
            </w:r>
            <w:r w:rsidRPr="00550089">
              <w:rPr>
                <w:rFonts w:cs="Calibri"/>
                <w:color w:val="000000"/>
                <w:sz w:val="22"/>
                <w:szCs w:val="22"/>
              </w:rPr>
              <w:t>)</w:t>
            </w:r>
          </w:p>
        </w:tc>
        <w:tc>
          <w:tcPr>
            <w:tcW w:w="980" w:type="dxa"/>
            <w:vAlign w:val="center"/>
            <w:hideMark/>
          </w:tcPr>
          <w:p w:rsidR="004C4417" w:rsidRPr="004C4417" w:rsidP="004C4417" w14:paraId="53D080F7" w14:textId="77777777">
            <w:pPr>
              <w:keepNext/>
              <w:widowControl/>
              <w:overflowPunct/>
              <w:autoSpaceDE/>
              <w:autoSpaceDN/>
              <w:adjustRightInd/>
              <w:jc w:val="center"/>
              <w:textAlignment w:val="auto"/>
              <w:rPr>
                <w:color w:val="000000"/>
                <w:sz w:val="22"/>
              </w:rPr>
            </w:pPr>
            <w:r w:rsidRPr="004C4417">
              <w:rPr>
                <w:color w:val="000000"/>
                <w:sz w:val="22"/>
              </w:rPr>
              <w:t>30</w:t>
            </w:r>
          </w:p>
        </w:tc>
        <w:tc>
          <w:tcPr>
            <w:tcW w:w="1304" w:type="dxa"/>
            <w:noWrap/>
            <w:vAlign w:val="center"/>
            <w:hideMark/>
          </w:tcPr>
          <w:p w:rsidR="004C4417" w:rsidRPr="004C4417" w:rsidP="004C4417" w14:paraId="00F0625E" w14:textId="77777777">
            <w:pPr>
              <w:keepNext/>
              <w:widowControl/>
              <w:overflowPunct/>
              <w:autoSpaceDE/>
              <w:autoSpaceDN/>
              <w:adjustRightInd/>
              <w:jc w:val="center"/>
              <w:textAlignment w:val="auto"/>
              <w:rPr>
                <w:color w:val="000000"/>
                <w:sz w:val="22"/>
              </w:rPr>
            </w:pPr>
            <w:r w:rsidRPr="004C4417">
              <w:rPr>
                <w:color w:val="000000"/>
                <w:sz w:val="22"/>
              </w:rPr>
              <w:t>$</w:t>
            </w:r>
            <w:r w:rsidRPr="00550089">
              <w:rPr>
                <w:rFonts w:cs="Calibri"/>
                <w:color w:val="000000"/>
                <w:sz w:val="22"/>
                <w:szCs w:val="22"/>
              </w:rPr>
              <w:t>57.78</w:t>
            </w:r>
          </w:p>
        </w:tc>
        <w:tc>
          <w:tcPr>
            <w:tcW w:w="2159" w:type="dxa"/>
            <w:vAlign w:val="center"/>
            <w:hideMark/>
          </w:tcPr>
          <w:p w:rsidR="004C4417" w:rsidRPr="004C4417" w:rsidP="004C4417" w14:paraId="20FA7370" w14:textId="77777777">
            <w:pPr>
              <w:keepNext/>
              <w:widowControl/>
              <w:overflowPunct/>
              <w:autoSpaceDE/>
              <w:autoSpaceDN/>
              <w:adjustRightInd/>
              <w:jc w:val="center"/>
              <w:textAlignment w:val="auto"/>
              <w:rPr>
                <w:color w:val="000000"/>
                <w:sz w:val="22"/>
              </w:rPr>
            </w:pPr>
            <w:r w:rsidRPr="004C4417">
              <w:rPr>
                <w:color w:val="000000"/>
                <w:sz w:val="22"/>
              </w:rPr>
              <w:t>$1,</w:t>
            </w:r>
            <w:r w:rsidRPr="00550089">
              <w:rPr>
                <w:rFonts w:cs="Calibri"/>
                <w:color w:val="000000"/>
                <w:sz w:val="22"/>
                <w:szCs w:val="22"/>
              </w:rPr>
              <w:t>733.40</w:t>
            </w:r>
          </w:p>
        </w:tc>
      </w:tr>
      <w:tr w14:paraId="1D72AF4F" w14:textId="77777777" w:rsidTr="004C4417">
        <w:tblPrEx>
          <w:tblW w:w="9070" w:type="dxa"/>
          <w:tblLook w:val="04A0"/>
        </w:tblPrEx>
        <w:trPr>
          <w:trHeight w:val="615"/>
        </w:trPr>
        <w:tc>
          <w:tcPr>
            <w:tcW w:w="4627" w:type="dxa"/>
            <w:vAlign w:val="bottom"/>
            <w:hideMark/>
          </w:tcPr>
          <w:p w:rsidR="002C500C" w:rsidRPr="00550089" w:rsidP="00F93C27" w14:paraId="2245EB51" w14:textId="77777777">
            <w:pPr>
              <w:keepNext/>
              <w:widowControl/>
              <w:overflowPunct/>
              <w:autoSpaceDE/>
              <w:autoSpaceDN/>
              <w:adjustRightInd/>
              <w:textAlignment w:val="auto"/>
              <w:rPr>
                <w:rFonts w:cs="Calibri"/>
                <w:color w:val="000000"/>
                <w:sz w:val="22"/>
                <w:szCs w:val="22"/>
              </w:rPr>
            </w:pPr>
            <w:r w:rsidRPr="00550089">
              <w:rPr>
                <w:rFonts w:cs="Calibri"/>
                <w:color w:val="000000"/>
                <w:sz w:val="22"/>
                <w:szCs w:val="22"/>
              </w:rPr>
              <w:t>Reviewing – National Office Branch Chief (14/1)</w:t>
            </w:r>
          </w:p>
        </w:tc>
        <w:tc>
          <w:tcPr>
            <w:tcW w:w="980" w:type="dxa"/>
            <w:vAlign w:val="center"/>
            <w:hideMark/>
          </w:tcPr>
          <w:p w:rsidR="002C500C" w:rsidRPr="00550089" w:rsidP="00F93C27" w14:paraId="6F613B25" w14:textId="77777777">
            <w:pPr>
              <w:keepNext/>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15</w:t>
            </w:r>
          </w:p>
        </w:tc>
        <w:tc>
          <w:tcPr>
            <w:tcW w:w="1304" w:type="dxa"/>
            <w:noWrap/>
            <w:vAlign w:val="center"/>
            <w:hideMark/>
          </w:tcPr>
          <w:p w:rsidR="002C500C" w:rsidRPr="00550089" w:rsidP="00F93C27" w14:paraId="0026E78B" w14:textId="77777777">
            <w:pPr>
              <w:keepNext/>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$68.27</w:t>
            </w:r>
          </w:p>
        </w:tc>
        <w:tc>
          <w:tcPr>
            <w:tcW w:w="2159" w:type="dxa"/>
            <w:vAlign w:val="center"/>
            <w:hideMark/>
          </w:tcPr>
          <w:p w:rsidR="002C500C" w:rsidRPr="00550089" w:rsidP="00F93C27" w14:paraId="6F8D5E97" w14:textId="77777777">
            <w:pPr>
              <w:keepNext/>
              <w:widowControl/>
              <w:overflowPunct/>
              <w:autoSpaceDE/>
              <w:autoSpaceDN/>
              <w:adjustRightInd/>
              <w:jc w:val="center"/>
              <w:textAlignment w:val="auto"/>
              <w:rPr>
                <w:rFonts w:cs="Calibri"/>
                <w:color w:val="000000"/>
                <w:sz w:val="22"/>
                <w:szCs w:val="22"/>
              </w:rPr>
            </w:pPr>
            <w:r w:rsidRPr="00550089">
              <w:rPr>
                <w:rFonts w:cs="Calibri"/>
                <w:color w:val="000000"/>
                <w:sz w:val="22"/>
                <w:szCs w:val="22"/>
              </w:rPr>
              <w:t>$1,024.05</w:t>
            </w:r>
          </w:p>
        </w:tc>
      </w:tr>
      <w:tr w14:paraId="799BF19F" w14:textId="77777777" w:rsidTr="004C4417">
        <w:tblPrEx>
          <w:tblW w:w="9070" w:type="dxa"/>
          <w:tblLook w:val="04A0"/>
        </w:tblPrEx>
        <w:trPr>
          <w:trHeight w:val="315"/>
        </w:trPr>
        <w:tc>
          <w:tcPr>
            <w:tcW w:w="6911" w:type="dxa"/>
            <w:gridSpan w:val="3"/>
            <w:vAlign w:val="center"/>
            <w:hideMark/>
          </w:tcPr>
          <w:p w:rsidR="002C500C" w:rsidRPr="004C4417" w:rsidP="004C4417" w14:paraId="53BC3381" w14:textId="6E6337ED">
            <w:pPr>
              <w:keepNext/>
              <w:widowControl/>
              <w:overflowPunct/>
              <w:autoSpaceDE/>
              <w:autoSpaceDN/>
              <w:adjustRightInd/>
              <w:textAlignment w:val="auto"/>
              <w:rPr>
                <w:i/>
                <w:color w:val="000000"/>
                <w:sz w:val="22"/>
              </w:rPr>
            </w:pPr>
            <w:r w:rsidRPr="00550089">
              <w:rPr>
                <w:rFonts w:cs="Calibri"/>
                <w:i/>
                <w:iCs/>
                <w:color w:val="000000"/>
                <w:sz w:val="22"/>
                <w:szCs w:val="22"/>
              </w:rPr>
              <w:t xml:space="preserve">Costs </w:t>
            </w:r>
            <w:r w:rsidR="00D62D67">
              <w:rPr>
                <w:rFonts w:cs="Calibri"/>
                <w:i/>
                <w:iCs/>
                <w:color w:val="000000"/>
                <w:sz w:val="22"/>
                <w:szCs w:val="22"/>
              </w:rPr>
              <w:t>of</w:t>
            </w:r>
            <w:r w:rsidRPr="004C4417">
              <w:rPr>
                <w:i/>
                <w:color w:val="000000"/>
                <w:sz w:val="22"/>
              </w:rPr>
              <w:t xml:space="preserve"> Federal Workers</w:t>
            </w:r>
            <w:r w:rsidRPr="00550089">
              <w:rPr>
                <w:rFonts w:cs="Calibri"/>
                <w:i/>
                <w:iCs/>
                <w:color w:val="000000"/>
                <w:sz w:val="22"/>
                <w:szCs w:val="22"/>
              </w:rPr>
              <w:t>  </w:t>
            </w:r>
          </w:p>
        </w:tc>
        <w:tc>
          <w:tcPr>
            <w:tcW w:w="2159" w:type="dxa"/>
            <w:vAlign w:val="center"/>
            <w:hideMark/>
          </w:tcPr>
          <w:p w:rsidR="002C500C" w:rsidRPr="004C4417" w:rsidP="004C4417" w14:paraId="7610B27A" w14:textId="6F65849E">
            <w:pPr>
              <w:keepNext/>
              <w:widowControl/>
              <w:overflowPunct/>
              <w:autoSpaceDE/>
              <w:autoSpaceDN/>
              <w:adjustRightInd/>
              <w:jc w:val="center"/>
              <w:textAlignment w:val="auto"/>
              <w:rPr>
                <w:i/>
                <w:color w:val="000000"/>
                <w:sz w:val="22"/>
              </w:rPr>
            </w:pPr>
            <w:r w:rsidRPr="004C4417">
              <w:rPr>
                <w:i/>
                <w:color w:val="000000"/>
                <w:sz w:val="22"/>
              </w:rPr>
              <w:t>$2,</w:t>
            </w:r>
            <w:r w:rsidRPr="00550089">
              <w:rPr>
                <w:rFonts w:cs="Calibri"/>
                <w:i/>
                <w:iCs/>
                <w:color w:val="000000"/>
                <w:sz w:val="22"/>
                <w:szCs w:val="22"/>
              </w:rPr>
              <w:t>757.45</w:t>
            </w:r>
          </w:p>
        </w:tc>
      </w:tr>
      <w:tr w14:paraId="7ED92F9E" w14:textId="77777777" w:rsidTr="004C4417">
        <w:tblPrEx>
          <w:tblW w:w="9070" w:type="dxa"/>
          <w:tblLook w:val="04A0"/>
        </w:tblPrEx>
        <w:trPr>
          <w:trHeight w:val="300"/>
        </w:trPr>
        <w:tc>
          <w:tcPr>
            <w:tcW w:w="6911" w:type="dxa"/>
            <w:gridSpan w:val="3"/>
            <w:vAlign w:val="center"/>
            <w:hideMark/>
          </w:tcPr>
          <w:p w:rsidR="002C500C" w:rsidRPr="00550089" w:rsidP="00F93C27" w14:paraId="6E9151FA" w14:textId="77777777">
            <w:pPr>
              <w:keepNext/>
              <w:widowControl/>
              <w:overflowPunct/>
              <w:autoSpaceDE/>
              <w:autoSpaceDN/>
              <w:adjustRightInd/>
              <w:textAlignment w:val="auto"/>
              <w:rPr>
                <w:rFonts w:cs="Calibri"/>
                <w:i/>
                <w:iCs/>
                <w:color w:val="000000"/>
                <w:sz w:val="22"/>
                <w:szCs w:val="22"/>
              </w:rPr>
            </w:pPr>
            <w:r w:rsidRPr="00550089">
              <w:rPr>
                <w:rFonts w:cs="Calibri"/>
                <w:i/>
                <w:iCs/>
                <w:color w:val="000000"/>
                <w:sz w:val="22"/>
                <w:szCs w:val="22"/>
              </w:rPr>
              <w:t xml:space="preserve">Add 50% Federal Share of State Cost </w:t>
            </w:r>
          </w:p>
        </w:tc>
        <w:tc>
          <w:tcPr>
            <w:tcW w:w="2159" w:type="dxa"/>
            <w:vAlign w:val="center"/>
            <w:hideMark/>
          </w:tcPr>
          <w:p w:rsidR="002C500C" w:rsidRPr="00550089" w:rsidP="00F93C27" w14:paraId="5802CF57" w14:textId="0AE03C7B">
            <w:pPr>
              <w:keepNext/>
              <w:widowControl/>
              <w:overflowPunct/>
              <w:autoSpaceDE/>
              <w:autoSpaceDN/>
              <w:adjustRightInd/>
              <w:jc w:val="center"/>
              <w:textAlignment w:val="auto"/>
              <w:rPr>
                <w:rFonts w:cs="Calibri"/>
                <w:i/>
                <w:iCs/>
                <w:color w:val="000000"/>
                <w:sz w:val="22"/>
                <w:szCs w:val="22"/>
              </w:rPr>
            </w:pPr>
            <w:r w:rsidRPr="00550089">
              <w:rPr>
                <w:rFonts w:cs="Calibri"/>
                <w:i/>
                <w:iCs/>
                <w:color w:val="000000"/>
                <w:sz w:val="22"/>
                <w:szCs w:val="22"/>
              </w:rPr>
              <w:t>$</w:t>
            </w:r>
            <w:r w:rsidR="009A0CF7">
              <w:rPr>
                <w:rFonts w:cs="Calibri"/>
                <w:i/>
                <w:iCs/>
                <w:color w:val="000000"/>
                <w:sz w:val="22"/>
                <w:szCs w:val="22"/>
              </w:rPr>
              <w:t>536,184.85</w:t>
            </w:r>
          </w:p>
        </w:tc>
      </w:tr>
      <w:tr w14:paraId="1618BFC6" w14:textId="77777777" w:rsidTr="004C4417">
        <w:tblPrEx>
          <w:tblW w:w="9070" w:type="dxa"/>
          <w:tblLook w:val="04A0"/>
        </w:tblPrEx>
        <w:trPr>
          <w:trHeight w:val="315"/>
        </w:trPr>
        <w:tc>
          <w:tcPr>
            <w:tcW w:w="6911" w:type="dxa"/>
            <w:gridSpan w:val="3"/>
            <w:vAlign w:val="bottom"/>
            <w:hideMark/>
          </w:tcPr>
          <w:p w:rsidR="002C500C" w:rsidRPr="004C4417" w:rsidP="004C4417" w14:paraId="6D04B9A1" w14:textId="1DCDD228">
            <w:pPr>
              <w:keepNext/>
              <w:widowControl/>
              <w:overflowPunct/>
              <w:autoSpaceDE/>
              <w:autoSpaceDN/>
              <w:adjustRightInd/>
              <w:textAlignment w:val="auto"/>
              <w:rPr>
                <w:rFonts w:ascii="Calibri" w:hAnsi="Calibri"/>
                <w:b/>
                <w:color w:val="000000"/>
                <w:sz w:val="22"/>
              </w:rPr>
            </w:pPr>
            <w:r w:rsidRPr="002C500C">
              <w:rPr>
                <w:rFonts w:ascii="Calibri" w:hAnsi="Calibri" w:cs="Calibri"/>
                <w:b/>
                <w:bCs/>
                <w:color w:val="000000"/>
                <w:sz w:val="22"/>
                <w:szCs w:val="22"/>
              </w:rPr>
              <w:t xml:space="preserve">Total Cost to </w:t>
            </w:r>
            <w:r w:rsidRPr="004C4417">
              <w:rPr>
                <w:rFonts w:ascii="Calibri" w:hAnsi="Calibri"/>
                <w:b/>
                <w:color w:val="000000"/>
                <w:sz w:val="22"/>
              </w:rPr>
              <w:t xml:space="preserve">Federal </w:t>
            </w:r>
            <w:r w:rsidRPr="002C500C">
              <w:rPr>
                <w:rFonts w:ascii="Calibri" w:hAnsi="Calibri" w:cs="Calibri"/>
                <w:b/>
                <w:bCs/>
                <w:color w:val="000000"/>
                <w:sz w:val="22"/>
                <w:szCs w:val="22"/>
              </w:rPr>
              <w:t xml:space="preserve">Government (Federal workers cost + 50% </w:t>
            </w:r>
            <w:r w:rsidRPr="004C4417">
              <w:rPr>
                <w:rFonts w:ascii="Calibri" w:hAnsi="Calibri"/>
                <w:b/>
                <w:color w:val="000000"/>
                <w:sz w:val="22"/>
              </w:rPr>
              <w:t>State Cost</w:t>
            </w:r>
            <w:r w:rsidRPr="002C500C">
              <w:rPr>
                <w:rFonts w:ascii="Calibri" w:hAnsi="Calibri" w:cs="Calibri"/>
                <w:b/>
                <w:bCs/>
                <w:color w:val="000000"/>
                <w:sz w:val="22"/>
                <w:szCs w:val="22"/>
              </w:rPr>
              <w:t>) </w:t>
            </w:r>
          </w:p>
        </w:tc>
        <w:tc>
          <w:tcPr>
            <w:tcW w:w="2159" w:type="dxa"/>
            <w:vAlign w:val="center"/>
            <w:hideMark/>
          </w:tcPr>
          <w:p w:rsidR="002C500C" w:rsidRPr="004C4417" w:rsidP="004C4417" w14:paraId="695251CB" w14:textId="6FBD6596">
            <w:pPr>
              <w:keepNext/>
              <w:widowControl/>
              <w:overflowPunct/>
              <w:autoSpaceDE/>
              <w:autoSpaceDN/>
              <w:adjustRightInd/>
              <w:jc w:val="center"/>
              <w:textAlignment w:val="auto"/>
              <w:rPr>
                <w:rFonts w:ascii="Calibri" w:hAnsi="Calibri"/>
                <w:b/>
                <w:color w:val="000000"/>
                <w:sz w:val="22"/>
              </w:rPr>
            </w:pPr>
            <w:r w:rsidRPr="004C4417">
              <w:rPr>
                <w:rFonts w:ascii="Calibri" w:hAnsi="Calibri"/>
                <w:b/>
                <w:color w:val="000000"/>
                <w:sz w:val="22"/>
              </w:rPr>
              <w:t>$</w:t>
            </w:r>
            <w:r w:rsidR="005A76C1">
              <w:rPr>
                <w:rFonts w:ascii="Calibri" w:hAnsi="Calibri" w:cs="Calibri"/>
                <w:b/>
                <w:bCs/>
                <w:color w:val="000000"/>
                <w:sz w:val="22"/>
                <w:szCs w:val="22"/>
              </w:rPr>
              <w:t>538,942.30</w:t>
            </w:r>
          </w:p>
        </w:tc>
      </w:tr>
    </w:tbl>
    <w:p w:rsidR="00F93C27" w:rsidRPr="004C4417" w:rsidP="004C4417" w14:paraId="1BD3C653" w14:textId="77777777">
      <w:pPr>
        <w:tabs>
          <w:tab w:val="left" w:pos="-720"/>
        </w:tabs>
        <w:suppressAutoHyphens/>
        <w:spacing w:line="480" w:lineRule="auto"/>
        <w:rPr>
          <w:b/>
        </w:rPr>
      </w:pPr>
    </w:p>
    <w:p w:rsidR="001721C6" w:rsidRPr="004C4417" w:rsidP="00FB7D2D" w14:paraId="628BCD64" w14:textId="11843816">
      <w:pPr>
        <w:pStyle w:val="Heading1"/>
        <w:rPr>
          <w:rFonts w:ascii="Source Sans Pro" w:hAnsi="Source Sans Pro"/>
          <w:spacing w:val="-3"/>
        </w:rPr>
      </w:pPr>
      <w:bookmarkStart w:id="46" w:name="_Toc401831371"/>
      <w:bookmarkStart w:id="47" w:name="_Toc401832415"/>
      <w:bookmarkStart w:id="48" w:name="_Toc229140332"/>
      <w:r w:rsidRPr="004C4417">
        <w:rPr>
          <w:rFonts w:ascii="Source Sans Pro" w:hAnsi="Source Sans Pro"/>
          <w:spacing w:val="-3"/>
        </w:rPr>
        <w:t>A15.  Explanation of program changes or adjustments.</w:t>
      </w:r>
      <w:bookmarkEnd w:id="46"/>
      <w:bookmarkEnd w:id="47"/>
      <w:bookmarkEnd w:id="48"/>
    </w:p>
    <w:p w:rsidR="002F5CE0" w:rsidRPr="00B6102B" w:rsidP="002F5CE0" w14:paraId="0E4A854B" w14:textId="020538EF"/>
    <w:p w:rsidR="00F50FA5" w:rsidRPr="00550089" w:rsidP="00F50FA5" w14:paraId="3BBB4931" w14:textId="23BCFBC9">
      <w:pPr>
        <w:spacing w:line="480" w:lineRule="auto"/>
        <w:ind w:firstLine="720"/>
        <w:rPr>
          <w:rFonts w:cstheme="minorHAnsi"/>
          <w:sz w:val="22"/>
          <w:szCs w:val="22"/>
        </w:rPr>
      </w:pPr>
      <w:r w:rsidRPr="00550089">
        <w:rPr>
          <w:rFonts w:cstheme="minorHAnsi"/>
          <w:sz w:val="22"/>
          <w:szCs w:val="22"/>
        </w:rPr>
        <w:t xml:space="preserve">This is a </w:t>
      </w:r>
      <w:r w:rsidRPr="00550089" w:rsidR="006D4D9D">
        <w:rPr>
          <w:rFonts w:cstheme="minorHAnsi"/>
          <w:sz w:val="22"/>
          <w:szCs w:val="22"/>
        </w:rPr>
        <w:t>revision</w:t>
      </w:r>
      <w:r w:rsidRPr="00550089">
        <w:rPr>
          <w:rFonts w:cstheme="minorHAnsi"/>
          <w:sz w:val="22"/>
          <w:szCs w:val="22"/>
        </w:rPr>
        <w:t xml:space="preserve"> of a currently approved</w:t>
      </w:r>
      <w:r w:rsidRPr="00550089" w:rsidR="0017268D">
        <w:rPr>
          <w:rFonts w:cstheme="minorHAnsi"/>
          <w:sz w:val="22"/>
          <w:szCs w:val="22"/>
        </w:rPr>
        <w:t xml:space="preserve"> information</w:t>
      </w:r>
      <w:r w:rsidRPr="00550089">
        <w:rPr>
          <w:rFonts w:cstheme="minorHAnsi"/>
          <w:sz w:val="22"/>
          <w:szCs w:val="22"/>
        </w:rPr>
        <w:t xml:space="preserve"> collection. </w:t>
      </w:r>
      <w:r w:rsidRPr="00550089" w:rsidR="00563321">
        <w:rPr>
          <w:rFonts w:cstheme="minorHAnsi"/>
          <w:sz w:val="22"/>
          <w:szCs w:val="22"/>
        </w:rPr>
        <w:t xml:space="preserve">The title listed </w:t>
      </w:r>
      <w:r w:rsidRPr="00550089" w:rsidR="00123C73">
        <w:rPr>
          <w:rFonts w:cstheme="minorHAnsi"/>
          <w:sz w:val="22"/>
          <w:szCs w:val="22"/>
        </w:rPr>
        <w:t>for</w:t>
      </w:r>
      <w:r w:rsidRPr="00550089" w:rsidR="00563321">
        <w:rPr>
          <w:rFonts w:cstheme="minorHAnsi"/>
          <w:sz w:val="22"/>
          <w:szCs w:val="22"/>
        </w:rPr>
        <w:t xml:space="preserve"> the currently approved</w:t>
      </w:r>
      <w:r w:rsidRPr="00550089" w:rsidR="00290957">
        <w:rPr>
          <w:rFonts w:cstheme="minorHAnsi"/>
          <w:sz w:val="22"/>
          <w:szCs w:val="22"/>
        </w:rPr>
        <w:t xml:space="preserve"> collection is </w:t>
      </w:r>
      <w:r w:rsidRPr="00550089" w:rsidR="00CB5D05">
        <w:rPr>
          <w:rFonts w:cstheme="minorHAnsi"/>
          <w:sz w:val="22"/>
          <w:szCs w:val="22"/>
        </w:rPr>
        <w:t>“</w:t>
      </w:r>
      <w:r w:rsidRPr="00550089" w:rsidR="00453CDA">
        <w:rPr>
          <w:rFonts w:cstheme="minorHAnsi"/>
          <w:sz w:val="22"/>
          <w:szCs w:val="22"/>
        </w:rPr>
        <w:t xml:space="preserve">A Review of </w:t>
      </w:r>
      <w:r w:rsidRPr="00550089" w:rsidR="00290957">
        <w:rPr>
          <w:rFonts w:cstheme="minorHAnsi"/>
          <w:sz w:val="22"/>
          <w:szCs w:val="22"/>
        </w:rPr>
        <w:t xml:space="preserve">Major Changes in Program Design and </w:t>
      </w:r>
      <w:r w:rsidRPr="00550089" w:rsidR="00E379B3">
        <w:rPr>
          <w:rFonts w:cstheme="minorHAnsi"/>
          <w:sz w:val="22"/>
          <w:szCs w:val="22"/>
        </w:rPr>
        <w:t>Management Evaluation</w:t>
      </w:r>
      <w:r w:rsidRPr="00550089" w:rsidR="00453CDA">
        <w:rPr>
          <w:rFonts w:cstheme="minorHAnsi"/>
          <w:sz w:val="22"/>
          <w:szCs w:val="22"/>
        </w:rPr>
        <w:t xml:space="preserve"> Systems</w:t>
      </w:r>
      <w:r w:rsidRPr="00550089" w:rsidR="00CB5D05">
        <w:rPr>
          <w:rFonts w:cstheme="minorHAnsi"/>
          <w:sz w:val="22"/>
          <w:szCs w:val="22"/>
        </w:rPr>
        <w:t>”</w:t>
      </w:r>
      <w:r w:rsidRPr="00550089" w:rsidR="00E379B3">
        <w:rPr>
          <w:rFonts w:cstheme="minorHAnsi"/>
          <w:sz w:val="22"/>
          <w:szCs w:val="22"/>
        </w:rPr>
        <w:t xml:space="preserve">.  </w:t>
      </w:r>
      <w:r w:rsidRPr="00550089" w:rsidR="00165299">
        <w:rPr>
          <w:rFonts w:cstheme="minorHAnsi"/>
          <w:sz w:val="22"/>
          <w:szCs w:val="22"/>
        </w:rPr>
        <w:t xml:space="preserve">However, this collection does not include </w:t>
      </w:r>
      <w:r w:rsidRPr="00550089" w:rsidR="00B47A91">
        <w:rPr>
          <w:rFonts w:cstheme="minorHAnsi"/>
          <w:sz w:val="22"/>
          <w:szCs w:val="22"/>
        </w:rPr>
        <w:t>information directly associated with Management Evaluation</w:t>
      </w:r>
      <w:r w:rsidRPr="00550089" w:rsidR="00C14504">
        <w:rPr>
          <w:rFonts w:cstheme="minorHAnsi"/>
          <w:sz w:val="22"/>
          <w:szCs w:val="22"/>
        </w:rPr>
        <w:t xml:space="preserve"> Systems</w:t>
      </w:r>
      <w:r w:rsidRPr="00550089" w:rsidR="00CB5D05">
        <w:rPr>
          <w:rFonts w:cstheme="minorHAnsi"/>
          <w:sz w:val="22"/>
          <w:szCs w:val="22"/>
        </w:rPr>
        <w:t xml:space="preserve"> (which is included in OMB control number 0584-0010, expiration 8/31/26)</w:t>
      </w:r>
      <w:r w:rsidRPr="00550089" w:rsidR="005F3FFE">
        <w:rPr>
          <w:rFonts w:cstheme="minorHAnsi"/>
          <w:sz w:val="22"/>
          <w:szCs w:val="22"/>
        </w:rPr>
        <w:t>.  Th</w:t>
      </w:r>
      <w:r w:rsidRPr="00550089" w:rsidR="004B0F94">
        <w:rPr>
          <w:rFonts w:cstheme="minorHAnsi"/>
          <w:sz w:val="22"/>
          <w:szCs w:val="22"/>
        </w:rPr>
        <w:t>erefore</w:t>
      </w:r>
      <w:r w:rsidRPr="00550089" w:rsidR="005F3FFE">
        <w:rPr>
          <w:rFonts w:cstheme="minorHAnsi"/>
          <w:sz w:val="22"/>
          <w:szCs w:val="22"/>
        </w:rPr>
        <w:t xml:space="preserve">, </w:t>
      </w:r>
      <w:r w:rsidR="007542BA">
        <w:rPr>
          <w:rFonts w:cstheme="minorHAnsi"/>
          <w:sz w:val="22"/>
          <w:szCs w:val="22"/>
        </w:rPr>
        <w:t>FNS</w:t>
      </w:r>
      <w:r w:rsidRPr="00550089" w:rsidR="005F3FFE">
        <w:rPr>
          <w:rFonts w:cstheme="minorHAnsi"/>
          <w:sz w:val="22"/>
          <w:szCs w:val="22"/>
        </w:rPr>
        <w:t xml:space="preserve"> requests</w:t>
      </w:r>
      <w:r w:rsidRPr="00550089" w:rsidR="00DE6FFB">
        <w:rPr>
          <w:rFonts w:cstheme="minorHAnsi"/>
          <w:sz w:val="22"/>
          <w:szCs w:val="22"/>
        </w:rPr>
        <w:t xml:space="preserve"> to revise the title to </w:t>
      </w:r>
      <w:r w:rsidRPr="00550089" w:rsidR="00CB5D05">
        <w:rPr>
          <w:rFonts w:cstheme="minorHAnsi"/>
          <w:sz w:val="22"/>
          <w:szCs w:val="22"/>
        </w:rPr>
        <w:t>“</w:t>
      </w:r>
      <w:r w:rsidRPr="00550089" w:rsidR="00DE6FFB">
        <w:rPr>
          <w:rFonts w:cstheme="minorHAnsi"/>
          <w:sz w:val="22"/>
          <w:szCs w:val="22"/>
        </w:rPr>
        <w:t>Major Changes in Program Design</w:t>
      </w:r>
      <w:r w:rsidRPr="00550089" w:rsidR="00CB5D05">
        <w:rPr>
          <w:rFonts w:cstheme="minorHAnsi"/>
          <w:sz w:val="22"/>
          <w:szCs w:val="22"/>
        </w:rPr>
        <w:t>”</w:t>
      </w:r>
      <w:r w:rsidRPr="00550089" w:rsidR="00272123">
        <w:rPr>
          <w:rFonts w:cstheme="minorHAnsi"/>
          <w:sz w:val="22"/>
          <w:szCs w:val="22"/>
        </w:rPr>
        <w:t xml:space="preserve"> to align with the information requested</w:t>
      </w:r>
      <w:r w:rsidRPr="00550089" w:rsidR="00123C73">
        <w:rPr>
          <w:rFonts w:cstheme="minorHAnsi"/>
          <w:sz w:val="22"/>
          <w:szCs w:val="22"/>
        </w:rPr>
        <w:t xml:space="preserve">.  </w:t>
      </w:r>
    </w:p>
    <w:p w:rsidR="009A4EFC" w:rsidRPr="004C4417" w:rsidP="004C4417" w14:paraId="5B57BD3F" w14:textId="4FEF2B8B">
      <w:pPr>
        <w:spacing w:line="480" w:lineRule="auto"/>
        <w:ind w:firstLine="720"/>
        <w:rPr>
          <w:sz w:val="22"/>
        </w:rPr>
      </w:pPr>
      <w:r w:rsidRPr="004C4417">
        <w:rPr>
          <w:sz w:val="22"/>
        </w:rPr>
        <w:t xml:space="preserve">The currently approved burden inventory is 13 State agency respondents. Additionally, the currently approved inventory for this collection includes a total of </w:t>
      </w:r>
      <w:r w:rsidRPr="00550089" w:rsidR="003F1DA7">
        <w:rPr>
          <w:rFonts w:cstheme="minorHAnsi"/>
          <w:sz w:val="22"/>
          <w:szCs w:val="22"/>
        </w:rPr>
        <w:t>85</w:t>
      </w:r>
      <w:r w:rsidRPr="004C4417">
        <w:rPr>
          <w:sz w:val="22"/>
        </w:rPr>
        <w:t xml:space="preserve"> annual responses and </w:t>
      </w:r>
      <w:r w:rsidRPr="00550089" w:rsidR="003F1DA7">
        <w:rPr>
          <w:rFonts w:cstheme="minorHAnsi"/>
          <w:sz w:val="22"/>
          <w:szCs w:val="22"/>
        </w:rPr>
        <w:t>8,</w:t>
      </w:r>
      <w:r w:rsidRPr="00550089" w:rsidR="006127F8">
        <w:rPr>
          <w:rFonts w:cstheme="minorHAnsi"/>
          <w:sz w:val="22"/>
          <w:szCs w:val="22"/>
        </w:rPr>
        <w:t>860</w:t>
      </w:r>
      <w:r w:rsidRPr="004C4417">
        <w:rPr>
          <w:sz w:val="22"/>
        </w:rPr>
        <w:t xml:space="preserve"> total annual burden hours for State agencies. </w:t>
      </w:r>
      <w:r w:rsidRPr="00550089">
        <w:rPr>
          <w:rFonts w:cstheme="minorHAnsi"/>
          <w:sz w:val="22"/>
          <w:szCs w:val="22"/>
        </w:rPr>
        <w:t xml:space="preserve">In this </w:t>
      </w:r>
      <w:r w:rsidRPr="00550089" w:rsidR="007D0ACB">
        <w:rPr>
          <w:rFonts w:cstheme="minorHAnsi"/>
          <w:sz w:val="22"/>
          <w:szCs w:val="22"/>
        </w:rPr>
        <w:t>adjustment</w:t>
      </w:r>
      <w:r w:rsidRPr="00550089">
        <w:rPr>
          <w:rFonts w:cstheme="minorHAnsi"/>
          <w:sz w:val="22"/>
          <w:szCs w:val="22"/>
        </w:rPr>
        <w:t xml:space="preserve">, </w:t>
      </w:r>
      <w:r w:rsidR="007542BA">
        <w:rPr>
          <w:rFonts w:cstheme="minorHAnsi"/>
          <w:sz w:val="22"/>
          <w:szCs w:val="22"/>
        </w:rPr>
        <w:t>FNS</w:t>
      </w:r>
      <w:r w:rsidRPr="00550089">
        <w:rPr>
          <w:rFonts w:cstheme="minorHAnsi"/>
          <w:sz w:val="22"/>
          <w:szCs w:val="22"/>
        </w:rPr>
        <w:t xml:space="preserve"> made revisions </w:t>
      </w:r>
      <w:r w:rsidRPr="00550089" w:rsidR="00540130">
        <w:rPr>
          <w:rFonts w:cstheme="minorHAnsi"/>
          <w:sz w:val="22"/>
          <w:szCs w:val="22"/>
        </w:rPr>
        <w:t>as a result of</w:t>
      </w:r>
      <w:r w:rsidRPr="00550089" w:rsidR="006127F8">
        <w:rPr>
          <w:rFonts w:cstheme="minorHAnsi"/>
          <w:sz w:val="22"/>
          <w:szCs w:val="22"/>
        </w:rPr>
        <w:t xml:space="preserve"> the number of State</w:t>
      </w:r>
      <w:r w:rsidRPr="00550089" w:rsidR="00B81E25">
        <w:rPr>
          <w:rFonts w:cstheme="minorHAnsi"/>
          <w:sz w:val="22"/>
          <w:szCs w:val="22"/>
        </w:rPr>
        <w:t xml:space="preserve"> agency respondents</w:t>
      </w:r>
      <w:r w:rsidR="005A76C1">
        <w:rPr>
          <w:rFonts w:cstheme="minorHAnsi"/>
          <w:sz w:val="22"/>
          <w:szCs w:val="22"/>
        </w:rPr>
        <w:t>, t</w:t>
      </w:r>
      <w:r w:rsidRPr="00550089" w:rsidR="008C479D">
        <w:rPr>
          <w:rFonts w:cstheme="minorHAnsi"/>
          <w:sz w:val="22"/>
          <w:szCs w:val="22"/>
        </w:rPr>
        <w:t xml:space="preserve">he </w:t>
      </w:r>
      <w:r w:rsidRPr="00550089" w:rsidR="004E7913">
        <w:rPr>
          <w:rFonts w:cstheme="minorHAnsi"/>
          <w:sz w:val="22"/>
          <w:szCs w:val="22"/>
        </w:rPr>
        <w:t xml:space="preserve">frequency of responses </w:t>
      </w:r>
      <w:r w:rsidRPr="00550089" w:rsidR="001C5519">
        <w:rPr>
          <w:rFonts w:cstheme="minorHAnsi"/>
          <w:sz w:val="22"/>
          <w:szCs w:val="22"/>
        </w:rPr>
        <w:t>initiated by</w:t>
      </w:r>
      <w:r w:rsidRPr="00550089" w:rsidR="00135986">
        <w:rPr>
          <w:rFonts w:cstheme="minorHAnsi"/>
          <w:sz w:val="22"/>
          <w:szCs w:val="22"/>
        </w:rPr>
        <w:t xml:space="preserve"> the respondents</w:t>
      </w:r>
      <w:r w:rsidR="005A76C1">
        <w:rPr>
          <w:rFonts w:cstheme="minorHAnsi"/>
          <w:sz w:val="22"/>
          <w:szCs w:val="22"/>
        </w:rPr>
        <w:t xml:space="preserve">, and </w:t>
      </w:r>
      <w:r w:rsidR="007010C3">
        <w:rPr>
          <w:rFonts w:cstheme="minorHAnsi"/>
          <w:sz w:val="22"/>
          <w:szCs w:val="22"/>
        </w:rPr>
        <w:t>increases in the estimated burden hours per response</w:t>
      </w:r>
      <w:r w:rsidRPr="00550089" w:rsidR="00135986">
        <w:rPr>
          <w:rFonts w:cstheme="minorHAnsi"/>
          <w:sz w:val="22"/>
          <w:szCs w:val="22"/>
        </w:rPr>
        <w:t>.</w:t>
      </w:r>
    </w:p>
    <w:p w:rsidR="00563DBD" w:rsidRPr="00550089" w:rsidP="00DC5E41" w14:paraId="78DA40E8" w14:textId="364C4B3D">
      <w:pPr>
        <w:spacing w:line="480" w:lineRule="auto"/>
        <w:ind w:firstLine="720"/>
        <w:rPr>
          <w:rFonts w:cstheme="minorHAnsi"/>
          <w:sz w:val="22"/>
          <w:szCs w:val="22"/>
        </w:rPr>
      </w:pPr>
      <w:r>
        <w:rPr>
          <w:rFonts w:cstheme="minorHAnsi"/>
          <w:sz w:val="22"/>
          <w:szCs w:val="22"/>
        </w:rPr>
        <w:t>FNS</w:t>
      </w:r>
      <w:r w:rsidRPr="00550089" w:rsidR="00B05C61">
        <w:rPr>
          <w:rFonts w:cstheme="minorHAnsi"/>
          <w:sz w:val="22"/>
          <w:szCs w:val="22"/>
        </w:rPr>
        <w:t xml:space="preserve">’s revised figures are based upon the number of </w:t>
      </w:r>
      <w:r w:rsidRPr="00550089" w:rsidR="00A87B20">
        <w:rPr>
          <w:rFonts w:cstheme="minorHAnsi"/>
          <w:sz w:val="22"/>
          <w:szCs w:val="22"/>
        </w:rPr>
        <w:t>responses (</w:t>
      </w:r>
      <w:r w:rsidRPr="00550089" w:rsidR="00B05C61">
        <w:rPr>
          <w:rFonts w:cstheme="minorHAnsi"/>
          <w:sz w:val="22"/>
          <w:szCs w:val="22"/>
        </w:rPr>
        <w:t>major change notifications</w:t>
      </w:r>
      <w:r w:rsidRPr="00550089" w:rsidR="00A87B20">
        <w:rPr>
          <w:rFonts w:cstheme="minorHAnsi"/>
          <w:sz w:val="22"/>
          <w:szCs w:val="22"/>
        </w:rPr>
        <w:t>)</w:t>
      </w:r>
      <w:r w:rsidRPr="00550089" w:rsidR="00B05C61">
        <w:rPr>
          <w:rFonts w:cstheme="minorHAnsi"/>
          <w:sz w:val="22"/>
          <w:szCs w:val="22"/>
        </w:rPr>
        <w:t xml:space="preserve"> received from FY 2023 through FY 2025.</w:t>
      </w:r>
      <w:r w:rsidRPr="00550089" w:rsidR="0027702A">
        <w:rPr>
          <w:rFonts w:cstheme="minorHAnsi"/>
          <w:sz w:val="22"/>
          <w:szCs w:val="22"/>
        </w:rPr>
        <w:t xml:space="preserve">  </w:t>
      </w:r>
      <w:r w:rsidRPr="00550089">
        <w:rPr>
          <w:rFonts w:cstheme="minorHAnsi"/>
          <w:sz w:val="22"/>
          <w:szCs w:val="22"/>
        </w:rPr>
        <w:t>Based on recent trends,</w:t>
      </w:r>
      <w:r w:rsidRPr="00550089" w:rsidR="00BE00B6">
        <w:rPr>
          <w:rFonts w:cstheme="minorHAnsi"/>
          <w:sz w:val="22"/>
          <w:szCs w:val="22"/>
        </w:rPr>
        <w:t xml:space="preserve"> </w:t>
      </w:r>
      <w:r>
        <w:rPr>
          <w:rFonts w:cstheme="minorHAnsi"/>
          <w:sz w:val="22"/>
          <w:szCs w:val="22"/>
        </w:rPr>
        <w:t>FNS</w:t>
      </w:r>
      <w:r w:rsidRPr="00550089" w:rsidR="00BE00B6">
        <w:rPr>
          <w:rFonts w:cstheme="minorHAnsi"/>
          <w:sz w:val="22"/>
          <w:szCs w:val="22"/>
        </w:rPr>
        <w:t xml:space="preserve"> </w:t>
      </w:r>
      <w:r w:rsidRPr="00550089">
        <w:rPr>
          <w:rFonts w:cstheme="minorHAnsi"/>
          <w:sz w:val="22"/>
          <w:szCs w:val="22"/>
        </w:rPr>
        <w:t xml:space="preserve">is increasing </w:t>
      </w:r>
      <w:r w:rsidRPr="00550089" w:rsidR="00E6672A">
        <w:rPr>
          <w:rFonts w:cstheme="minorHAnsi"/>
          <w:sz w:val="22"/>
          <w:szCs w:val="22"/>
        </w:rPr>
        <w:t>the</w:t>
      </w:r>
      <w:r w:rsidRPr="00550089">
        <w:rPr>
          <w:rFonts w:cstheme="minorHAnsi"/>
          <w:sz w:val="22"/>
          <w:szCs w:val="22"/>
        </w:rPr>
        <w:t xml:space="preserve"> burden estimates to account for increases in State agencies implementing major changes in non-merit </w:t>
      </w:r>
      <w:r w:rsidRPr="00550089">
        <w:rPr>
          <w:rFonts w:cstheme="minorHAnsi"/>
          <w:sz w:val="22"/>
          <w:szCs w:val="22"/>
        </w:rPr>
        <w:t>personnel and increased reliance on automated systems, such as robotic process automation (RPA) or bots. Additional data collection on advanced automation is necessary to identify and correct any adverse effect on program integrity or access including access by vulnerable households.</w:t>
      </w:r>
    </w:p>
    <w:p w:rsidR="009A4EFC" w:rsidRPr="00550089" w:rsidP="00833CE2" w14:paraId="5004075B" w14:textId="583E92EF">
      <w:pPr>
        <w:spacing w:line="480" w:lineRule="auto"/>
        <w:ind w:firstLine="720"/>
        <w:rPr>
          <w:rFonts w:cstheme="minorHAnsi"/>
          <w:sz w:val="22"/>
          <w:szCs w:val="22"/>
        </w:rPr>
      </w:pPr>
      <w:r w:rsidRPr="00550089">
        <w:rPr>
          <w:rFonts w:cstheme="minorHAnsi"/>
          <w:sz w:val="22"/>
          <w:szCs w:val="22"/>
        </w:rPr>
        <w:t xml:space="preserve">This </w:t>
      </w:r>
      <w:r w:rsidRPr="00550089" w:rsidR="00B21E0D">
        <w:rPr>
          <w:rFonts w:cstheme="minorHAnsi"/>
          <w:sz w:val="22"/>
          <w:szCs w:val="22"/>
        </w:rPr>
        <w:t>adjusted</w:t>
      </w:r>
      <w:r w:rsidRPr="00550089" w:rsidR="003E5CA3">
        <w:rPr>
          <w:rFonts w:cstheme="minorHAnsi"/>
          <w:sz w:val="22"/>
          <w:szCs w:val="22"/>
        </w:rPr>
        <w:t xml:space="preserve"> burden estimate account</w:t>
      </w:r>
      <w:r w:rsidRPr="00550089" w:rsidR="00DA49A8">
        <w:rPr>
          <w:rFonts w:cstheme="minorHAnsi"/>
          <w:sz w:val="22"/>
          <w:szCs w:val="22"/>
        </w:rPr>
        <w:t>s</w:t>
      </w:r>
      <w:r w:rsidRPr="00550089" w:rsidR="003E5CA3">
        <w:rPr>
          <w:rFonts w:cstheme="minorHAnsi"/>
          <w:sz w:val="22"/>
          <w:szCs w:val="22"/>
        </w:rPr>
        <w:t xml:space="preserve"> for </w:t>
      </w:r>
      <w:r w:rsidRPr="00550089" w:rsidR="00D250D8">
        <w:rPr>
          <w:rFonts w:cstheme="minorHAnsi"/>
          <w:sz w:val="22"/>
          <w:szCs w:val="22"/>
        </w:rPr>
        <w:t>the increase</w:t>
      </w:r>
      <w:r w:rsidRPr="00550089" w:rsidR="0094005C">
        <w:rPr>
          <w:rFonts w:cstheme="minorHAnsi"/>
          <w:sz w:val="22"/>
          <w:szCs w:val="22"/>
        </w:rPr>
        <w:t xml:space="preserve"> </w:t>
      </w:r>
      <w:r w:rsidRPr="00550089" w:rsidR="003E5CA3">
        <w:rPr>
          <w:rFonts w:cstheme="minorHAnsi"/>
          <w:sz w:val="22"/>
          <w:szCs w:val="22"/>
        </w:rPr>
        <w:t xml:space="preserve">in </w:t>
      </w:r>
      <w:r w:rsidRPr="00550089" w:rsidR="0094005C">
        <w:rPr>
          <w:rFonts w:cstheme="minorHAnsi"/>
          <w:sz w:val="22"/>
          <w:szCs w:val="22"/>
        </w:rPr>
        <w:t xml:space="preserve">the number </w:t>
      </w:r>
      <w:r w:rsidRPr="00550089" w:rsidR="000E2AC9">
        <w:rPr>
          <w:rFonts w:cstheme="minorHAnsi"/>
          <w:sz w:val="22"/>
          <w:szCs w:val="22"/>
        </w:rPr>
        <w:t xml:space="preserve">of respondents </w:t>
      </w:r>
      <w:r w:rsidRPr="00550089" w:rsidR="0098506C">
        <w:rPr>
          <w:rFonts w:cstheme="minorHAnsi"/>
          <w:sz w:val="22"/>
          <w:szCs w:val="22"/>
        </w:rPr>
        <w:t>from 13 to</w:t>
      </w:r>
      <w:r w:rsidRPr="00550089" w:rsidR="00986949">
        <w:rPr>
          <w:rFonts w:cstheme="minorHAnsi"/>
          <w:sz w:val="22"/>
          <w:szCs w:val="22"/>
        </w:rPr>
        <w:t xml:space="preserve"> </w:t>
      </w:r>
      <w:r w:rsidRPr="00550089" w:rsidR="004C58CD">
        <w:rPr>
          <w:rFonts w:cstheme="minorHAnsi"/>
          <w:sz w:val="22"/>
          <w:szCs w:val="22"/>
        </w:rPr>
        <w:t>20</w:t>
      </w:r>
      <w:r w:rsidRPr="00550089" w:rsidR="00E402CD">
        <w:rPr>
          <w:rFonts w:cstheme="minorHAnsi"/>
          <w:sz w:val="22"/>
          <w:szCs w:val="22"/>
        </w:rPr>
        <w:t xml:space="preserve"> </w:t>
      </w:r>
      <w:r w:rsidRPr="00550089" w:rsidR="00A10D0E">
        <w:rPr>
          <w:rFonts w:cstheme="minorHAnsi"/>
          <w:sz w:val="22"/>
          <w:szCs w:val="22"/>
        </w:rPr>
        <w:t xml:space="preserve">State agencies </w:t>
      </w:r>
      <w:r w:rsidRPr="00550089" w:rsidR="0094005C">
        <w:rPr>
          <w:rFonts w:cstheme="minorHAnsi"/>
          <w:sz w:val="22"/>
          <w:szCs w:val="22"/>
        </w:rPr>
        <w:t xml:space="preserve">and </w:t>
      </w:r>
      <w:r w:rsidRPr="00550089" w:rsidR="006A14D8">
        <w:rPr>
          <w:rFonts w:cstheme="minorHAnsi"/>
          <w:sz w:val="22"/>
          <w:szCs w:val="22"/>
        </w:rPr>
        <w:t>an increase</w:t>
      </w:r>
      <w:r w:rsidRPr="00550089" w:rsidR="00D27700">
        <w:rPr>
          <w:rFonts w:cstheme="minorHAnsi"/>
          <w:sz w:val="22"/>
          <w:szCs w:val="22"/>
        </w:rPr>
        <w:t xml:space="preserve"> </w:t>
      </w:r>
      <w:r w:rsidRPr="00550089" w:rsidR="006A14D8">
        <w:rPr>
          <w:rFonts w:cstheme="minorHAnsi"/>
          <w:sz w:val="22"/>
          <w:szCs w:val="22"/>
        </w:rPr>
        <w:t xml:space="preserve">in the </w:t>
      </w:r>
      <w:r w:rsidRPr="00550089" w:rsidR="0094005C">
        <w:rPr>
          <w:rFonts w:cstheme="minorHAnsi"/>
          <w:sz w:val="22"/>
          <w:szCs w:val="22"/>
        </w:rPr>
        <w:t xml:space="preserve">frequency </w:t>
      </w:r>
      <w:r w:rsidRPr="00550089" w:rsidR="00D27700">
        <w:rPr>
          <w:rFonts w:cstheme="minorHAnsi"/>
          <w:sz w:val="22"/>
          <w:szCs w:val="22"/>
        </w:rPr>
        <w:t xml:space="preserve">from 1 to 2 </w:t>
      </w:r>
      <w:r w:rsidRPr="00550089" w:rsidR="006A14D8">
        <w:rPr>
          <w:rFonts w:cstheme="minorHAnsi"/>
          <w:sz w:val="22"/>
          <w:szCs w:val="22"/>
        </w:rPr>
        <w:t>responses</w:t>
      </w:r>
      <w:r w:rsidRPr="00550089" w:rsidR="00207BE9">
        <w:rPr>
          <w:rFonts w:cstheme="minorHAnsi"/>
          <w:sz w:val="22"/>
          <w:szCs w:val="22"/>
        </w:rPr>
        <w:t xml:space="preserve"> </w:t>
      </w:r>
      <w:r w:rsidRPr="00550089" w:rsidR="002E29DF">
        <w:rPr>
          <w:rFonts w:cstheme="minorHAnsi"/>
          <w:sz w:val="22"/>
          <w:szCs w:val="22"/>
        </w:rPr>
        <w:t xml:space="preserve">(Appendix C) </w:t>
      </w:r>
      <w:r w:rsidRPr="00550089" w:rsidR="00585FD7">
        <w:rPr>
          <w:rFonts w:cstheme="minorHAnsi"/>
          <w:sz w:val="22"/>
          <w:szCs w:val="22"/>
        </w:rPr>
        <w:t xml:space="preserve">submitted by each </w:t>
      </w:r>
      <w:r w:rsidRPr="00550089" w:rsidR="004179C0">
        <w:rPr>
          <w:rFonts w:cstheme="minorHAnsi"/>
          <w:sz w:val="22"/>
          <w:szCs w:val="22"/>
        </w:rPr>
        <w:t>respondent</w:t>
      </w:r>
      <w:r w:rsidRPr="00550089" w:rsidR="001863EF">
        <w:rPr>
          <w:rFonts w:cstheme="minorHAnsi"/>
          <w:sz w:val="22"/>
          <w:szCs w:val="22"/>
        </w:rPr>
        <w:t xml:space="preserve">.  </w:t>
      </w:r>
      <w:r w:rsidRPr="00550089" w:rsidR="0057070B">
        <w:rPr>
          <w:rFonts w:cstheme="minorHAnsi"/>
          <w:sz w:val="22"/>
          <w:szCs w:val="22"/>
        </w:rPr>
        <w:t xml:space="preserve">These two revisions </w:t>
      </w:r>
      <w:r w:rsidRPr="00550089" w:rsidR="00F96033">
        <w:rPr>
          <w:rFonts w:cstheme="minorHAnsi"/>
          <w:sz w:val="22"/>
          <w:szCs w:val="22"/>
        </w:rPr>
        <w:t xml:space="preserve">correlate </w:t>
      </w:r>
      <w:r w:rsidRPr="00550089" w:rsidR="00512DFE">
        <w:rPr>
          <w:rFonts w:cstheme="minorHAnsi"/>
          <w:sz w:val="22"/>
          <w:szCs w:val="22"/>
        </w:rPr>
        <w:t>with</w:t>
      </w:r>
      <w:r w:rsidRPr="00550089" w:rsidR="006D5EDA">
        <w:rPr>
          <w:rFonts w:cstheme="minorHAnsi"/>
          <w:sz w:val="22"/>
          <w:szCs w:val="22"/>
        </w:rPr>
        <w:t xml:space="preserve"> increases in the remaining</w:t>
      </w:r>
      <w:r w:rsidRPr="00550089" w:rsidR="00C80488">
        <w:rPr>
          <w:rFonts w:cstheme="minorHAnsi"/>
          <w:sz w:val="22"/>
          <w:szCs w:val="22"/>
        </w:rPr>
        <w:t xml:space="preserve"> </w:t>
      </w:r>
      <w:r w:rsidRPr="00550089" w:rsidR="00512DFE">
        <w:rPr>
          <w:rFonts w:cstheme="minorHAnsi"/>
          <w:sz w:val="22"/>
          <w:szCs w:val="22"/>
        </w:rPr>
        <w:t>collection</w:t>
      </w:r>
      <w:r w:rsidRPr="00550089" w:rsidR="00F96033">
        <w:rPr>
          <w:rFonts w:cstheme="minorHAnsi"/>
          <w:sz w:val="22"/>
          <w:szCs w:val="22"/>
        </w:rPr>
        <w:t xml:space="preserve"> figures</w:t>
      </w:r>
      <w:r w:rsidRPr="00550089" w:rsidR="00C80488">
        <w:rPr>
          <w:rFonts w:cstheme="minorHAnsi"/>
          <w:sz w:val="22"/>
          <w:szCs w:val="22"/>
        </w:rPr>
        <w:t xml:space="preserve">. </w:t>
      </w:r>
      <w:r w:rsidRPr="00550089" w:rsidR="00DD3796">
        <w:rPr>
          <w:rFonts w:cstheme="minorHAnsi"/>
          <w:sz w:val="22"/>
          <w:szCs w:val="22"/>
        </w:rPr>
        <w:t>Subsequent</w:t>
      </w:r>
      <w:r w:rsidRPr="00550089" w:rsidR="00BF6374">
        <w:rPr>
          <w:rFonts w:cstheme="minorHAnsi"/>
          <w:sz w:val="22"/>
          <w:szCs w:val="22"/>
        </w:rPr>
        <w:t xml:space="preserve">ly, </w:t>
      </w:r>
      <w:r w:rsidRPr="00550089" w:rsidR="00A06425">
        <w:rPr>
          <w:rFonts w:cstheme="minorHAnsi"/>
          <w:sz w:val="22"/>
          <w:szCs w:val="22"/>
        </w:rPr>
        <w:t xml:space="preserve">there </w:t>
      </w:r>
      <w:r w:rsidRPr="00550089" w:rsidR="00B35873">
        <w:rPr>
          <w:rFonts w:cstheme="minorHAnsi"/>
          <w:sz w:val="22"/>
          <w:szCs w:val="22"/>
        </w:rPr>
        <w:t>are</w:t>
      </w:r>
      <w:r w:rsidRPr="00550089" w:rsidR="00A06425">
        <w:rPr>
          <w:rFonts w:cstheme="minorHAnsi"/>
          <w:sz w:val="22"/>
          <w:szCs w:val="22"/>
        </w:rPr>
        <w:t xml:space="preserve"> increase</w:t>
      </w:r>
      <w:r w:rsidRPr="00550089" w:rsidR="00B35873">
        <w:rPr>
          <w:rFonts w:cstheme="minorHAnsi"/>
          <w:sz w:val="22"/>
          <w:szCs w:val="22"/>
        </w:rPr>
        <w:t>s</w:t>
      </w:r>
      <w:r w:rsidRPr="00550089" w:rsidR="00A06425">
        <w:rPr>
          <w:rFonts w:cstheme="minorHAnsi"/>
          <w:sz w:val="22"/>
          <w:szCs w:val="22"/>
        </w:rPr>
        <w:t xml:space="preserve"> in the</w:t>
      </w:r>
      <w:r w:rsidRPr="00550089" w:rsidR="008B7391">
        <w:rPr>
          <w:rFonts w:cstheme="minorHAnsi"/>
          <w:sz w:val="22"/>
          <w:szCs w:val="22"/>
        </w:rPr>
        <w:t xml:space="preserve"> total annual responses</w:t>
      </w:r>
      <w:r w:rsidRPr="00550089" w:rsidR="0034190F">
        <w:rPr>
          <w:rFonts w:cstheme="minorHAnsi"/>
          <w:sz w:val="22"/>
          <w:szCs w:val="22"/>
        </w:rPr>
        <w:t xml:space="preserve"> (Appendi</w:t>
      </w:r>
      <w:r w:rsidRPr="00550089" w:rsidR="00D677A9">
        <w:rPr>
          <w:rFonts w:cstheme="minorHAnsi"/>
          <w:sz w:val="22"/>
          <w:szCs w:val="22"/>
        </w:rPr>
        <w:t>ces</w:t>
      </w:r>
      <w:r w:rsidRPr="00550089" w:rsidR="0034190F">
        <w:rPr>
          <w:rFonts w:cstheme="minorHAnsi"/>
          <w:sz w:val="22"/>
          <w:szCs w:val="22"/>
        </w:rPr>
        <w:t xml:space="preserve"> D</w:t>
      </w:r>
      <w:r w:rsidRPr="00550089" w:rsidR="00307EA7">
        <w:rPr>
          <w:rFonts w:cstheme="minorHAnsi"/>
          <w:sz w:val="22"/>
          <w:szCs w:val="22"/>
        </w:rPr>
        <w:t xml:space="preserve"> - </w:t>
      </w:r>
      <w:r w:rsidRPr="00550089" w:rsidR="004E7DCF">
        <w:rPr>
          <w:rFonts w:cstheme="minorHAnsi"/>
          <w:sz w:val="22"/>
          <w:szCs w:val="22"/>
        </w:rPr>
        <w:t>E</w:t>
      </w:r>
      <w:r w:rsidRPr="00550089" w:rsidR="00F33B15">
        <w:rPr>
          <w:rFonts w:cstheme="minorHAnsi"/>
          <w:sz w:val="22"/>
          <w:szCs w:val="22"/>
        </w:rPr>
        <w:t>)</w:t>
      </w:r>
      <w:r w:rsidRPr="00550089" w:rsidR="007527E0">
        <w:rPr>
          <w:rFonts w:cstheme="minorHAnsi"/>
          <w:sz w:val="22"/>
          <w:szCs w:val="22"/>
        </w:rPr>
        <w:t xml:space="preserve"> and</w:t>
      </w:r>
      <w:r w:rsidRPr="00550089" w:rsidR="005B0541">
        <w:rPr>
          <w:rFonts w:cstheme="minorHAnsi"/>
          <w:sz w:val="22"/>
          <w:szCs w:val="22"/>
        </w:rPr>
        <w:t xml:space="preserve"> additional reporting</w:t>
      </w:r>
      <w:r w:rsidRPr="00550089" w:rsidR="00EA52AC">
        <w:rPr>
          <w:rFonts w:cstheme="minorHAnsi"/>
          <w:sz w:val="22"/>
          <w:szCs w:val="22"/>
        </w:rPr>
        <w:t xml:space="preserve"> beyond mandatory reporting)</w:t>
      </w:r>
      <w:r w:rsidRPr="00550089" w:rsidR="008B7391">
        <w:rPr>
          <w:rFonts w:cstheme="minorHAnsi"/>
          <w:sz w:val="22"/>
          <w:szCs w:val="22"/>
        </w:rPr>
        <w:t xml:space="preserve"> </w:t>
      </w:r>
      <w:r w:rsidRPr="00550089" w:rsidR="00A06425">
        <w:rPr>
          <w:rFonts w:cstheme="minorHAnsi"/>
          <w:sz w:val="22"/>
          <w:szCs w:val="22"/>
        </w:rPr>
        <w:t>from</w:t>
      </w:r>
      <w:r w:rsidRPr="00550089" w:rsidR="008B7391">
        <w:rPr>
          <w:rFonts w:cstheme="minorHAnsi"/>
          <w:sz w:val="22"/>
          <w:szCs w:val="22"/>
        </w:rPr>
        <w:t xml:space="preserve"> </w:t>
      </w:r>
      <w:r w:rsidRPr="00550089" w:rsidR="003824B0">
        <w:rPr>
          <w:rFonts w:cstheme="minorHAnsi"/>
          <w:sz w:val="22"/>
          <w:szCs w:val="22"/>
        </w:rPr>
        <w:t>85</w:t>
      </w:r>
      <w:r w:rsidRPr="00550089" w:rsidR="00A06425">
        <w:rPr>
          <w:rFonts w:cstheme="minorHAnsi"/>
          <w:sz w:val="22"/>
          <w:szCs w:val="22"/>
        </w:rPr>
        <w:t xml:space="preserve"> to </w:t>
      </w:r>
      <w:r w:rsidR="006F52BD">
        <w:rPr>
          <w:rFonts w:cstheme="minorHAnsi"/>
          <w:sz w:val="22"/>
          <w:szCs w:val="22"/>
        </w:rPr>
        <w:t>320</w:t>
      </w:r>
      <w:r w:rsidR="00A34B9C">
        <w:rPr>
          <w:rFonts w:cstheme="minorHAnsi"/>
          <w:sz w:val="22"/>
          <w:szCs w:val="22"/>
        </w:rPr>
        <w:t>, increases in the burden per response as a result of State agency Consultations</w:t>
      </w:r>
      <w:r w:rsidR="00EE572E">
        <w:rPr>
          <w:rFonts w:cstheme="minorHAnsi"/>
          <w:sz w:val="22"/>
          <w:szCs w:val="22"/>
        </w:rPr>
        <w:t xml:space="preserve"> </w:t>
      </w:r>
      <w:r w:rsidRPr="00550089" w:rsidR="009D5C69">
        <w:rPr>
          <w:rFonts w:cstheme="minorHAnsi"/>
          <w:sz w:val="22"/>
          <w:szCs w:val="22"/>
        </w:rPr>
        <w:t xml:space="preserve">and </w:t>
      </w:r>
      <w:r w:rsidRPr="00550089" w:rsidR="00165754">
        <w:rPr>
          <w:rFonts w:cstheme="minorHAnsi"/>
          <w:sz w:val="22"/>
          <w:szCs w:val="22"/>
        </w:rPr>
        <w:t xml:space="preserve">the </w:t>
      </w:r>
      <w:r w:rsidRPr="00550089" w:rsidR="005E01FA">
        <w:rPr>
          <w:rFonts w:cstheme="minorHAnsi"/>
          <w:sz w:val="22"/>
          <w:szCs w:val="22"/>
        </w:rPr>
        <w:t xml:space="preserve">estimated </w:t>
      </w:r>
      <w:r w:rsidRPr="00550089" w:rsidR="00D80754">
        <w:rPr>
          <w:rFonts w:cstheme="minorHAnsi"/>
          <w:sz w:val="22"/>
          <w:szCs w:val="22"/>
        </w:rPr>
        <w:t>total</w:t>
      </w:r>
      <w:r w:rsidRPr="00550089" w:rsidR="009C519B">
        <w:rPr>
          <w:rFonts w:cstheme="minorHAnsi"/>
          <w:sz w:val="22"/>
          <w:szCs w:val="22"/>
        </w:rPr>
        <w:t xml:space="preserve"> </w:t>
      </w:r>
      <w:r w:rsidRPr="00550089" w:rsidR="005E01FA">
        <w:rPr>
          <w:rFonts w:cstheme="minorHAnsi"/>
          <w:sz w:val="22"/>
          <w:szCs w:val="22"/>
        </w:rPr>
        <w:t xml:space="preserve">burden hours from </w:t>
      </w:r>
      <w:r w:rsidRPr="00550089" w:rsidR="003F39FC">
        <w:rPr>
          <w:rFonts w:cstheme="minorHAnsi"/>
          <w:sz w:val="22"/>
          <w:szCs w:val="22"/>
        </w:rPr>
        <w:t>8,</w:t>
      </w:r>
      <w:r w:rsidRPr="00550089" w:rsidR="009D5C69">
        <w:rPr>
          <w:rFonts w:cstheme="minorHAnsi"/>
          <w:sz w:val="22"/>
          <w:szCs w:val="22"/>
        </w:rPr>
        <w:t>860</w:t>
      </w:r>
      <w:r w:rsidRPr="00550089" w:rsidR="00E61311">
        <w:rPr>
          <w:rFonts w:cstheme="minorHAnsi"/>
          <w:sz w:val="22"/>
          <w:szCs w:val="22"/>
        </w:rPr>
        <w:t xml:space="preserve"> to </w:t>
      </w:r>
      <w:r w:rsidRPr="00550089" w:rsidR="00D62219">
        <w:rPr>
          <w:rFonts w:cstheme="minorHAnsi"/>
          <w:sz w:val="22"/>
          <w:szCs w:val="22"/>
        </w:rPr>
        <w:t>1</w:t>
      </w:r>
      <w:r w:rsidR="00EE572E">
        <w:rPr>
          <w:rFonts w:cstheme="minorHAnsi"/>
          <w:sz w:val="22"/>
          <w:szCs w:val="22"/>
        </w:rPr>
        <w:t>4,6</w:t>
      </w:r>
      <w:r w:rsidRPr="00550089" w:rsidR="00D62219">
        <w:rPr>
          <w:rFonts w:cstheme="minorHAnsi"/>
          <w:sz w:val="22"/>
          <w:szCs w:val="22"/>
        </w:rPr>
        <w:t>20</w:t>
      </w:r>
      <w:r w:rsidRPr="00550089" w:rsidR="00D31370">
        <w:rPr>
          <w:rFonts w:cstheme="minorHAnsi"/>
          <w:sz w:val="22"/>
          <w:szCs w:val="22"/>
        </w:rPr>
        <w:t>.</w:t>
      </w:r>
      <w:r w:rsidRPr="00550089" w:rsidR="008A1C8F">
        <w:rPr>
          <w:rFonts w:cstheme="minorHAnsi"/>
          <w:sz w:val="22"/>
          <w:szCs w:val="22"/>
        </w:rPr>
        <w:t xml:space="preserve"> </w:t>
      </w:r>
      <w:r w:rsidRPr="00550089" w:rsidR="00607664">
        <w:rPr>
          <w:rFonts w:cstheme="minorHAnsi"/>
          <w:sz w:val="22"/>
          <w:szCs w:val="22"/>
        </w:rPr>
        <w:t>In total, there is a net increase of</w:t>
      </w:r>
      <w:r w:rsidR="008B3233">
        <w:rPr>
          <w:rFonts w:cstheme="minorHAnsi"/>
          <w:sz w:val="22"/>
          <w:szCs w:val="22"/>
        </w:rPr>
        <w:t xml:space="preserve"> 5,7</w:t>
      </w:r>
      <w:r w:rsidRPr="00550089" w:rsidR="002871F9">
        <w:rPr>
          <w:rFonts w:cstheme="minorHAnsi"/>
          <w:sz w:val="22"/>
          <w:szCs w:val="22"/>
        </w:rPr>
        <w:t>60</w:t>
      </w:r>
      <w:r w:rsidRPr="00550089" w:rsidR="00BB30C7">
        <w:rPr>
          <w:rFonts w:cstheme="minorHAnsi"/>
          <w:sz w:val="22"/>
          <w:szCs w:val="22"/>
        </w:rPr>
        <w:t xml:space="preserve"> </w:t>
      </w:r>
      <w:r w:rsidRPr="00550089" w:rsidR="00FD137D">
        <w:rPr>
          <w:rFonts w:cstheme="minorHAnsi"/>
          <w:sz w:val="22"/>
          <w:szCs w:val="22"/>
        </w:rPr>
        <w:t>estimated total</w:t>
      </w:r>
      <w:r w:rsidRPr="00550089" w:rsidR="00117379">
        <w:rPr>
          <w:rFonts w:cstheme="minorHAnsi"/>
          <w:sz w:val="22"/>
          <w:szCs w:val="22"/>
        </w:rPr>
        <w:t xml:space="preserve"> burden </w:t>
      </w:r>
      <w:r w:rsidRPr="00550089" w:rsidR="00BB30C7">
        <w:rPr>
          <w:rFonts w:cstheme="minorHAnsi"/>
          <w:sz w:val="22"/>
          <w:szCs w:val="22"/>
        </w:rPr>
        <w:t>hours to the existing information collection.</w:t>
      </w:r>
    </w:p>
    <w:p w:rsidR="003E1BBC" w:rsidRPr="00B6102B" w:rsidP="004C4417" w14:paraId="406DB0BD" w14:textId="77777777">
      <w:pPr>
        <w:tabs>
          <w:tab w:val="left" w:pos="0"/>
        </w:tabs>
        <w:suppressAutoHyphens/>
        <w:rPr>
          <w:rFonts w:cstheme="minorHAnsi"/>
          <w:szCs w:val="24"/>
        </w:rPr>
      </w:pPr>
    </w:p>
    <w:p w:rsidR="0062567E" w:rsidRPr="004C4417" w:rsidP="00EA3760" w14:paraId="0B43F928" w14:textId="7E17C147">
      <w:pPr>
        <w:pStyle w:val="Heading1"/>
        <w:rPr>
          <w:rFonts w:ascii="Source Sans Pro" w:hAnsi="Source Sans Pro"/>
        </w:rPr>
      </w:pPr>
      <w:bookmarkStart w:id="49" w:name="_Toc401831372"/>
      <w:bookmarkStart w:id="50" w:name="_Toc401832416"/>
      <w:bookmarkStart w:id="51" w:name="_Toc229140333"/>
      <w:r w:rsidRPr="004C4417">
        <w:rPr>
          <w:rFonts w:ascii="Source Sans Pro" w:hAnsi="Source Sans Pro"/>
        </w:rPr>
        <w:t xml:space="preserve">A16.  </w:t>
      </w:r>
      <w:r w:rsidRPr="004C4417" w:rsidR="00842E02">
        <w:rPr>
          <w:rFonts w:ascii="Source Sans Pro" w:hAnsi="Source Sans Pro"/>
        </w:rPr>
        <w:t>Plans</w:t>
      </w:r>
      <w:r w:rsidRPr="004C4417">
        <w:rPr>
          <w:rFonts w:ascii="Source Sans Pro" w:hAnsi="Source Sans Pro"/>
        </w:rPr>
        <w:t xml:space="preserve"> for tabulation, and publication</w:t>
      </w:r>
      <w:r w:rsidRPr="004C4417" w:rsidR="00842E02">
        <w:rPr>
          <w:rFonts w:ascii="Source Sans Pro" w:hAnsi="Source Sans Pro"/>
        </w:rPr>
        <w:t xml:space="preserve"> and project time schedule</w:t>
      </w:r>
      <w:r w:rsidRPr="004C4417">
        <w:rPr>
          <w:rFonts w:ascii="Source Sans Pro" w:hAnsi="Source Sans Pro"/>
        </w:rPr>
        <w:t>.</w:t>
      </w:r>
      <w:bookmarkEnd w:id="49"/>
      <w:bookmarkEnd w:id="50"/>
      <w:r w:rsidRPr="004C4417">
        <w:rPr>
          <w:rFonts w:ascii="Source Sans Pro" w:hAnsi="Source Sans Pro"/>
        </w:rPr>
        <w:t xml:space="preserve"> For collections of information whose results are planned to be published, outline plans for tabulation and publication.</w:t>
      </w:r>
      <w:bookmarkEnd w:id="51"/>
    </w:p>
    <w:p w:rsidR="00ED28F2" w:rsidRPr="00B6102B" w:rsidP="00ED28F2" w14:paraId="6B62F1B3" w14:textId="77777777">
      <w:pPr>
        <w:tabs>
          <w:tab w:val="left" w:pos="-720"/>
        </w:tabs>
        <w:suppressAutoHyphens/>
        <w:rPr>
          <w:rFonts w:cstheme="minorHAnsi"/>
          <w:szCs w:val="24"/>
        </w:rPr>
      </w:pPr>
    </w:p>
    <w:p w:rsidR="00913997" w:rsidRPr="00550089" w:rsidP="00913997" w14:paraId="2AF09E04" w14:textId="77777777">
      <w:pPr>
        <w:tabs>
          <w:tab w:val="left" w:pos="-720"/>
        </w:tabs>
        <w:suppressAutoHyphens/>
        <w:rPr>
          <w:rFonts w:cstheme="minorHAnsi"/>
          <w:sz w:val="22"/>
          <w:szCs w:val="22"/>
        </w:rPr>
      </w:pPr>
    </w:p>
    <w:p w:rsidR="00FE7ABA" w:rsidRPr="004C4417" w:rsidP="004C4417" w14:paraId="76049078" w14:textId="15979563">
      <w:pPr>
        <w:widowControl/>
        <w:overflowPunct/>
        <w:spacing w:line="480" w:lineRule="auto"/>
        <w:ind w:firstLine="720"/>
        <w:textAlignment w:val="auto"/>
        <w:rPr>
          <w:sz w:val="22"/>
        </w:rPr>
      </w:pPr>
      <w:r w:rsidRPr="004C4417">
        <w:rPr>
          <w:sz w:val="22"/>
        </w:rPr>
        <w:t>This collection does not employ statistical methods and there are no plans to publish the results of this collection for statistical analyses.</w:t>
      </w:r>
    </w:p>
    <w:p w:rsidR="00A14050" w:rsidRPr="00B6102B" w:rsidP="000438E8" w14:paraId="50E690F2" w14:textId="77777777">
      <w:pPr>
        <w:tabs>
          <w:tab w:val="left" w:pos="0"/>
        </w:tabs>
        <w:suppressAutoHyphens/>
        <w:rPr>
          <w:rFonts w:cstheme="minorHAnsi"/>
          <w:szCs w:val="24"/>
        </w:rPr>
      </w:pPr>
    </w:p>
    <w:p w:rsidR="0062567E" w:rsidRPr="004C4417" w:rsidP="00EA3760" w14:paraId="18D08025" w14:textId="77E736DF">
      <w:pPr>
        <w:pStyle w:val="Heading1"/>
        <w:rPr>
          <w:rFonts w:ascii="Source Sans Pro" w:hAnsi="Source Sans Pro"/>
        </w:rPr>
      </w:pPr>
      <w:bookmarkStart w:id="52" w:name="_Toc401831373"/>
      <w:bookmarkStart w:id="53" w:name="_Toc401832417"/>
      <w:bookmarkStart w:id="54" w:name="_Toc229140334"/>
      <w:r w:rsidRPr="004C4417">
        <w:rPr>
          <w:rFonts w:ascii="Source Sans Pro" w:hAnsi="Source Sans Pro"/>
        </w:rPr>
        <w:t xml:space="preserve">A17.  </w:t>
      </w:r>
      <w:r w:rsidRPr="004C4417" w:rsidR="001C6CBE">
        <w:rPr>
          <w:rFonts w:ascii="Source Sans Pro" w:hAnsi="Source Sans Pro"/>
        </w:rPr>
        <w:t>Displaying the OMB Approval Expiration Date.</w:t>
      </w:r>
      <w:bookmarkEnd w:id="52"/>
      <w:bookmarkEnd w:id="53"/>
      <w:r w:rsidRPr="004C4417" w:rsidR="00EA3760">
        <w:rPr>
          <w:rFonts w:ascii="Source Sans Pro" w:hAnsi="Source Sans Pro"/>
        </w:rPr>
        <w:t xml:space="preserve"> </w:t>
      </w:r>
      <w:r w:rsidRPr="004C4417">
        <w:rPr>
          <w:rFonts w:ascii="Source Sans Pro" w:hAnsi="Source Sans Pro"/>
        </w:rPr>
        <w:t>If seeking approval to not display the expiration date for OMB approval of the information collection, explain the reasons that display would be inappropriate.</w:t>
      </w:r>
      <w:bookmarkEnd w:id="54"/>
    </w:p>
    <w:p w:rsidR="00ED28F2" w:rsidRPr="00B6102B" w:rsidP="00ED28F2" w14:paraId="19219836" w14:textId="77777777">
      <w:pPr>
        <w:tabs>
          <w:tab w:val="left" w:pos="-720"/>
        </w:tabs>
        <w:suppressAutoHyphens/>
        <w:rPr>
          <w:rFonts w:cstheme="minorHAnsi"/>
          <w:szCs w:val="24"/>
        </w:rPr>
      </w:pPr>
    </w:p>
    <w:p w:rsidR="008C2A50" w:rsidRPr="004C4417" w:rsidP="008C2A50" w14:paraId="7F9265BA" w14:textId="1ECBE135">
      <w:pPr>
        <w:tabs>
          <w:tab w:val="left" w:pos="0"/>
        </w:tabs>
        <w:suppressAutoHyphens/>
        <w:spacing w:line="480" w:lineRule="auto"/>
        <w:rPr>
          <w:sz w:val="22"/>
        </w:rPr>
      </w:pPr>
      <w:r w:rsidRPr="00550089">
        <w:rPr>
          <w:rFonts w:cstheme="minorHAnsi"/>
          <w:sz w:val="22"/>
          <w:szCs w:val="22"/>
        </w:rPr>
        <w:tab/>
      </w:r>
      <w:r w:rsidRPr="004C4417">
        <w:rPr>
          <w:sz w:val="22"/>
        </w:rPr>
        <w:t>The agency plans to display the expiration date for OMB approval of the information collection on all instruments.</w:t>
      </w:r>
    </w:p>
    <w:p w:rsidR="003F00E1" w:rsidRPr="00B6102B" w:rsidP="000438E8" w14:paraId="47E7E146" w14:textId="77777777">
      <w:pPr>
        <w:tabs>
          <w:tab w:val="left" w:pos="0"/>
        </w:tabs>
        <w:suppressAutoHyphens/>
        <w:rPr>
          <w:rFonts w:cstheme="minorHAnsi"/>
          <w:szCs w:val="24"/>
        </w:rPr>
      </w:pPr>
    </w:p>
    <w:p w:rsidR="0062567E" w:rsidRPr="004C4417" w:rsidP="00EA3760" w14:paraId="6CC3E11A" w14:textId="11510D62">
      <w:pPr>
        <w:pStyle w:val="Heading1"/>
        <w:rPr>
          <w:rFonts w:ascii="Source Sans Pro" w:hAnsi="Source Sans Pro"/>
        </w:rPr>
      </w:pPr>
      <w:bookmarkStart w:id="55" w:name="_Toc401831374"/>
      <w:bookmarkStart w:id="56" w:name="_Toc401832418"/>
      <w:bookmarkStart w:id="57" w:name="_Toc229140335"/>
      <w:r w:rsidRPr="004C4417">
        <w:rPr>
          <w:rFonts w:ascii="Source Sans Pro" w:hAnsi="Source Sans Pro"/>
        </w:rPr>
        <w:t>A18.  Exception</w:t>
      </w:r>
      <w:r w:rsidRPr="004C4417" w:rsidR="002568E6">
        <w:rPr>
          <w:rFonts w:ascii="Source Sans Pro" w:hAnsi="Source Sans Pro"/>
        </w:rPr>
        <w:t>s</w:t>
      </w:r>
      <w:r w:rsidRPr="004C4417">
        <w:rPr>
          <w:rFonts w:ascii="Source Sans Pro" w:hAnsi="Source Sans Pro"/>
        </w:rPr>
        <w:t xml:space="preserve"> to the certification statement identified in </w:t>
      </w:r>
      <w:r w:rsidRPr="004C4417" w:rsidR="003F00E1">
        <w:rPr>
          <w:rFonts w:ascii="Source Sans Pro" w:hAnsi="Source Sans Pro"/>
        </w:rPr>
        <w:t xml:space="preserve">83-I, </w:t>
      </w:r>
      <w:r w:rsidRPr="004C4417">
        <w:rPr>
          <w:rFonts w:ascii="Source Sans Pro" w:hAnsi="Source Sans Pro"/>
        </w:rPr>
        <w:t>Item 19.</w:t>
      </w:r>
      <w:bookmarkEnd w:id="55"/>
      <w:bookmarkEnd w:id="56"/>
      <w:r w:rsidRPr="004C4417" w:rsidR="006F346E">
        <w:rPr>
          <w:rFonts w:ascii="Source Sans Pro" w:hAnsi="Source Sans Pro"/>
        </w:rPr>
        <w:t xml:space="preserve">  </w:t>
      </w:r>
      <w:r w:rsidRPr="004C4417">
        <w:rPr>
          <w:rFonts w:ascii="Source Sans Pro" w:hAnsi="Source Sans Pro"/>
        </w:rPr>
        <w:t>Explain each exception to the certification statement id</w:t>
      </w:r>
      <w:r w:rsidRPr="004C4417" w:rsidR="003F00E1">
        <w:rPr>
          <w:rFonts w:ascii="Source Sans Pro" w:hAnsi="Source Sans Pro"/>
        </w:rPr>
        <w:t xml:space="preserve">entified in Item 19 of the OMB </w:t>
      </w:r>
      <w:r w:rsidRPr="004C4417">
        <w:rPr>
          <w:rFonts w:ascii="Source Sans Pro" w:hAnsi="Source Sans Pro"/>
        </w:rPr>
        <w:t>83-I</w:t>
      </w:r>
      <w:r w:rsidRPr="004C4417" w:rsidR="003F00E1">
        <w:rPr>
          <w:rFonts w:ascii="Source Sans Pro" w:hAnsi="Source Sans Pro"/>
        </w:rPr>
        <w:t xml:space="preserve"> "</w:t>
      </w:r>
      <w:r w:rsidRPr="004C4417">
        <w:rPr>
          <w:rFonts w:ascii="Source Sans Pro" w:hAnsi="Source Sans Pro"/>
        </w:rPr>
        <w:t>Certification for Paperwork Reduction Act."</w:t>
      </w:r>
      <w:bookmarkEnd w:id="57"/>
    </w:p>
    <w:p w:rsidR="00ED28F2" w:rsidRPr="00B6102B" w:rsidP="00ED28F2" w14:paraId="769D0D3C" w14:textId="77777777">
      <w:pPr>
        <w:tabs>
          <w:tab w:val="left" w:pos="-720"/>
        </w:tabs>
        <w:suppressAutoHyphens/>
        <w:rPr>
          <w:rFonts w:cstheme="minorHAnsi"/>
          <w:szCs w:val="24"/>
        </w:rPr>
      </w:pPr>
    </w:p>
    <w:p w:rsidR="00FA760D" w:rsidRPr="004C4417" w:rsidP="004C4417" w14:paraId="1A0ABFE4" w14:textId="77777777">
      <w:pPr>
        <w:widowControl/>
        <w:overflowPunct/>
        <w:spacing w:line="480" w:lineRule="auto"/>
        <w:ind w:firstLine="720"/>
        <w:textAlignment w:val="auto"/>
        <w:rPr>
          <w:i/>
          <w:color w:val="006666"/>
          <w:sz w:val="22"/>
        </w:rPr>
      </w:pPr>
      <w:r w:rsidRPr="004C4417">
        <w:rPr>
          <w:color w:val="000000"/>
          <w:sz w:val="22"/>
        </w:rPr>
        <w:t>There are no exceptions to the certification statement.</w:t>
      </w:r>
    </w:p>
    <w:p w:rsidR="00D945D3" w:rsidRPr="00160BE8" w:rsidP="00ED28F2" w14:paraId="2A87F60F" w14:textId="3CF77A36">
      <w:pPr>
        <w:tabs>
          <w:tab w:val="left" w:pos="0"/>
        </w:tabs>
        <w:suppressAutoHyphens/>
        <w:rPr>
          <w:rFonts w:cstheme="minorHAnsi"/>
          <w:sz w:val="22"/>
          <w:szCs w:val="22"/>
        </w:rPr>
      </w:pPr>
    </w:p>
    <w:p w:rsidR="00D945D3" w:rsidRPr="00B6102B" w:rsidP="004C4417" w14:paraId="4C8C9B14" w14:textId="032C508F">
      <w:pPr>
        <w:pBdr>
          <w:bottom w:val="single" w:sz="4" w:space="1" w:color="auto"/>
        </w:pBdr>
        <w:tabs>
          <w:tab w:val="left" w:pos="0"/>
        </w:tabs>
        <w:suppressAutoHyphens/>
        <w:rPr>
          <w:rFonts w:cstheme="minorHAnsi"/>
          <w:szCs w:val="24"/>
        </w:rPr>
      </w:pPr>
      <w:r w:rsidRPr="00B6102B">
        <w:rPr>
          <w:b/>
          <w:bCs/>
          <w:spacing w:val="-2"/>
        </w:rPr>
        <w:t xml:space="preserve"> </w:t>
      </w:r>
    </w:p>
    <w:sectPr w:rsidSect="002568E6">
      <w:footerReference w:type="default" r:id="rId13"/>
      <w:footerReference w:type="firs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234FF" w14:paraId="7C1BBB9B" w14:textId="77777777">
      <w:pPr>
        <w:spacing w:line="20" w:lineRule="exact"/>
      </w:pPr>
    </w:p>
  </w:endnote>
  <w:endnote w:type="continuationSeparator" w:id="1">
    <w:p w:rsidR="00E234FF" w14:paraId="45789268" w14:textId="77777777">
      <w:r>
        <w:t xml:space="preserve"> </w:t>
      </w:r>
    </w:p>
  </w:endnote>
  <w:endnote w:type="continuationNotice" w:id="2">
    <w:p w:rsidR="00E234FF" w14:paraId="2A143E3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888" w14:paraId="699217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E2D" w:rsidRPr="00C3510E" w14:paraId="15EC428A" w14:textId="5A7EB3FE">
    <w:pPr>
      <w:pStyle w:val="Footer"/>
      <w:jc w:val="center"/>
      <w:rPr>
        <w:rFonts w:cstheme="minorHAnsi"/>
      </w:rPr>
    </w:pPr>
  </w:p>
  <w:p w:rsidR="006F6E2D" w14:paraId="7196D064"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4917" w:rsidRPr="004C4417" w14:paraId="497C168A" w14:textId="41704D30">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34FF" w14:paraId="6654986B" w14:textId="77777777">
      <w:r>
        <w:separator/>
      </w:r>
    </w:p>
  </w:footnote>
  <w:footnote w:type="continuationSeparator" w:id="1">
    <w:p w:rsidR="00E234FF" w14:paraId="734E445B" w14:textId="77777777">
      <w:r>
        <w:continuationSeparator/>
      </w:r>
    </w:p>
  </w:footnote>
  <w:footnote w:type="continuationNotice" w:id="2">
    <w:p w:rsidR="00E234FF" w14:paraId="719B19BE" w14:textId="77777777"/>
  </w:footnote>
  <w:footnote w:id="3">
    <w:p w:rsidR="008442E1" w:rsidRPr="004C4417" w:rsidP="008442E1" w14:paraId="6911CA43" w14:textId="6A37CB25">
      <w:pPr>
        <w:pStyle w:val="FootnoteText"/>
      </w:pPr>
      <w:r w:rsidRPr="004C4417">
        <w:rPr>
          <w:rStyle w:val="FootnoteReference"/>
        </w:rPr>
        <w:footnoteRef/>
      </w:r>
      <w:r>
        <w:t xml:space="preserve"> Available at: </w:t>
      </w:r>
      <w:hyperlink r:id="rId1" w:anchor="/industry/000000" w:history="1">
        <w:r w:rsidR="00C7165F">
          <w:rPr>
            <w:rStyle w:val="Hyperlink"/>
            <w:rFonts w:cstheme="minorHAnsi"/>
            <w:szCs w:val="24"/>
          </w:rPr>
          <w:t>https://data.bls.gov/oes/#/industry/000000</w:t>
        </w:r>
      </w:hyperlink>
      <w:r>
        <w:rPr>
          <w:rFonts w:cstheme="minorHAnsi"/>
          <w:szCs w:val="24"/>
        </w:rPr>
        <w:t>.</w:t>
      </w:r>
    </w:p>
  </w:footnote>
  <w:footnote w:id="4">
    <w:p w:rsidR="002932D7" w:rsidP="002932D7" w14:paraId="500448CA" w14:textId="16908F92">
      <w:pPr>
        <w:pStyle w:val="FootnoteText"/>
      </w:pPr>
      <w:r>
        <w:rPr>
          <w:rStyle w:val="FootnoteReference"/>
        </w:rPr>
        <w:footnoteRef/>
      </w:r>
      <w:r>
        <w:t xml:space="preserve"> Available at: </w:t>
      </w:r>
      <w:hyperlink r:id="rId2" w:history="1">
        <w:r w:rsidR="00A03053">
          <w:rPr>
            <w:rStyle w:val="Hyperlink"/>
            <w:rFonts w:cstheme="minorHAnsi"/>
            <w:szCs w:val="24"/>
          </w:rPr>
          <w:t>https://www.opm.gov/policy-data-oversight/pay-leave/salaries-wages/salary-tables/pdf/2025/DCB_h.pdf</w:t>
        </w:r>
      </w:hyperlink>
      <w:r>
        <w:rPr>
          <w:rFonts w:cstheme="minorHAnsi"/>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888" w:rsidRPr="008D0027" w:rsidP="008D0027" w14:paraId="348309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4C5057B"/>
    <w:multiLevelType w:val="hybridMultilevel"/>
    <w:tmpl w:val="BC76B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A3A5831"/>
    <w:multiLevelType w:val="hybridMultilevel"/>
    <w:tmpl w:val="93C6BE98"/>
    <w:lvl w:ilvl="0">
      <w:start w:val="1"/>
      <w:numFmt w:val="upperLetter"/>
      <w:lvlText w:val="%1."/>
      <w:lvlJc w:val="left"/>
      <w:pPr>
        <w:ind w:left="360" w:hanging="360"/>
      </w:pPr>
    </w:lvl>
    <w:lvl w:ilvl="1">
      <w:start w:val="1"/>
      <w:numFmt w:val="decimal"/>
      <w:lvlText w:val="%2."/>
      <w:lvlJc w:val="left"/>
      <w:pPr>
        <w:ind w:left="1080" w:hanging="360"/>
      </w:pPr>
    </w:lvl>
    <w:lvl w:ilvl="2">
      <w:start w:val="16"/>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1CD4F34"/>
    <w:multiLevelType w:val="hybridMultilevel"/>
    <w:tmpl w:val="0D8CF1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122589">
    <w:abstractNumId w:val="0"/>
  </w:num>
  <w:num w:numId="2" w16cid:durableId="1199663926">
    <w:abstractNumId w:val="2"/>
  </w:num>
  <w:num w:numId="3" w16cid:durableId="678969301">
    <w:abstractNumId w:val="1"/>
  </w:num>
  <w:num w:numId="4" w16cid:durableId="38387220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128"/>
    <w:rsid w:val="000007AA"/>
    <w:rsid w:val="00001CB2"/>
    <w:rsid w:val="00001DDD"/>
    <w:rsid w:val="00003E15"/>
    <w:rsid w:val="00003EA5"/>
    <w:rsid w:val="000044FB"/>
    <w:rsid w:val="00004FD9"/>
    <w:rsid w:val="00005EE2"/>
    <w:rsid w:val="0000604F"/>
    <w:rsid w:val="000062EF"/>
    <w:rsid w:val="000076A1"/>
    <w:rsid w:val="00007847"/>
    <w:rsid w:val="0000790A"/>
    <w:rsid w:val="00007B9E"/>
    <w:rsid w:val="000100B6"/>
    <w:rsid w:val="000103C5"/>
    <w:rsid w:val="00010776"/>
    <w:rsid w:val="000107B7"/>
    <w:rsid w:val="0001096D"/>
    <w:rsid w:val="00010DE3"/>
    <w:rsid w:val="00010DEC"/>
    <w:rsid w:val="000117C6"/>
    <w:rsid w:val="00012378"/>
    <w:rsid w:val="00012CEC"/>
    <w:rsid w:val="00013184"/>
    <w:rsid w:val="000145E1"/>
    <w:rsid w:val="00014B4D"/>
    <w:rsid w:val="00015FCF"/>
    <w:rsid w:val="0001683F"/>
    <w:rsid w:val="00016B9D"/>
    <w:rsid w:val="00017828"/>
    <w:rsid w:val="00020071"/>
    <w:rsid w:val="000206C1"/>
    <w:rsid w:val="000209A8"/>
    <w:rsid w:val="000223C1"/>
    <w:rsid w:val="00022592"/>
    <w:rsid w:val="00022B0F"/>
    <w:rsid w:val="00023013"/>
    <w:rsid w:val="00023070"/>
    <w:rsid w:val="00023076"/>
    <w:rsid w:val="000234FF"/>
    <w:rsid w:val="00023A86"/>
    <w:rsid w:val="00023BFF"/>
    <w:rsid w:val="00025E0D"/>
    <w:rsid w:val="00027233"/>
    <w:rsid w:val="00027511"/>
    <w:rsid w:val="0002791B"/>
    <w:rsid w:val="00027C0E"/>
    <w:rsid w:val="00030266"/>
    <w:rsid w:val="00030622"/>
    <w:rsid w:val="00030AB7"/>
    <w:rsid w:val="000321B7"/>
    <w:rsid w:val="0003254D"/>
    <w:rsid w:val="00032621"/>
    <w:rsid w:val="00032639"/>
    <w:rsid w:val="000329F0"/>
    <w:rsid w:val="00033678"/>
    <w:rsid w:val="00035ED0"/>
    <w:rsid w:val="00036B4F"/>
    <w:rsid w:val="000373C7"/>
    <w:rsid w:val="00037626"/>
    <w:rsid w:val="00040718"/>
    <w:rsid w:val="00041478"/>
    <w:rsid w:val="000417D2"/>
    <w:rsid w:val="00041AAB"/>
    <w:rsid w:val="000422B9"/>
    <w:rsid w:val="000431A5"/>
    <w:rsid w:val="0004364B"/>
    <w:rsid w:val="000438D2"/>
    <w:rsid w:val="000438E8"/>
    <w:rsid w:val="000447C0"/>
    <w:rsid w:val="0004487F"/>
    <w:rsid w:val="00044D8C"/>
    <w:rsid w:val="0004539F"/>
    <w:rsid w:val="000460EC"/>
    <w:rsid w:val="0004668E"/>
    <w:rsid w:val="00046C6B"/>
    <w:rsid w:val="00047338"/>
    <w:rsid w:val="000501A9"/>
    <w:rsid w:val="000502C1"/>
    <w:rsid w:val="000507EA"/>
    <w:rsid w:val="00050EDE"/>
    <w:rsid w:val="0005220F"/>
    <w:rsid w:val="00052A8C"/>
    <w:rsid w:val="00052C5C"/>
    <w:rsid w:val="000539C9"/>
    <w:rsid w:val="00053AB5"/>
    <w:rsid w:val="0005451C"/>
    <w:rsid w:val="00054647"/>
    <w:rsid w:val="000548E6"/>
    <w:rsid w:val="00054E5E"/>
    <w:rsid w:val="00055D1D"/>
    <w:rsid w:val="00056479"/>
    <w:rsid w:val="00057CE4"/>
    <w:rsid w:val="0006089A"/>
    <w:rsid w:val="00060948"/>
    <w:rsid w:val="000613D7"/>
    <w:rsid w:val="00061504"/>
    <w:rsid w:val="00061FC3"/>
    <w:rsid w:val="000621C5"/>
    <w:rsid w:val="00063761"/>
    <w:rsid w:val="00063800"/>
    <w:rsid w:val="00063A5E"/>
    <w:rsid w:val="000643DD"/>
    <w:rsid w:val="0006449A"/>
    <w:rsid w:val="00064754"/>
    <w:rsid w:val="00064ED0"/>
    <w:rsid w:val="00065613"/>
    <w:rsid w:val="00065725"/>
    <w:rsid w:val="0006580A"/>
    <w:rsid w:val="0006609B"/>
    <w:rsid w:val="00066980"/>
    <w:rsid w:val="00067E7C"/>
    <w:rsid w:val="00070A74"/>
    <w:rsid w:val="00070A9C"/>
    <w:rsid w:val="00071ACF"/>
    <w:rsid w:val="00072177"/>
    <w:rsid w:val="00072AF3"/>
    <w:rsid w:val="00072C97"/>
    <w:rsid w:val="00073EEC"/>
    <w:rsid w:val="000740DC"/>
    <w:rsid w:val="00074481"/>
    <w:rsid w:val="00074854"/>
    <w:rsid w:val="00074C37"/>
    <w:rsid w:val="000750F4"/>
    <w:rsid w:val="00075687"/>
    <w:rsid w:val="00075AFC"/>
    <w:rsid w:val="00075CA4"/>
    <w:rsid w:val="00075E43"/>
    <w:rsid w:val="00076347"/>
    <w:rsid w:val="000765DD"/>
    <w:rsid w:val="0007672D"/>
    <w:rsid w:val="00076832"/>
    <w:rsid w:val="00076D3A"/>
    <w:rsid w:val="00080C3F"/>
    <w:rsid w:val="000812F0"/>
    <w:rsid w:val="000812F7"/>
    <w:rsid w:val="000814FD"/>
    <w:rsid w:val="00083040"/>
    <w:rsid w:val="0008374B"/>
    <w:rsid w:val="00084107"/>
    <w:rsid w:val="000845D9"/>
    <w:rsid w:val="00084A9F"/>
    <w:rsid w:val="00084B36"/>
    <w:rsid w:val="000857E3"/>
    <w:rsid w:val="00086831"/>
    <w:rsid w:val="0008706F"/>
    <w:rsid w:val="00090155"/>
    <w:rsid w:val="00090C98"/>
    <w:rsid w:val="00090E7C"/>
    <w:rsid w:val="00092001"/>
    <w:rsid w:val="000923DD"/>
    <w:rsid w:val="00093427"/>
    <w:rsid w:val="000949A9"/>
    <w:rsid w:val="00094E13"/>
    <w:rsid w:val="0009567D"/>
    <w:rsid w:val="00095C26"/>
    <w:rsid w:val="00095E36"/>
    <w:rsid w:val="00097919"/>
    <w:rsid w:val="000A02F8"/>
    <w:rsid w:val="000A049B"/>
    <w:rsid w:val="000A05E3"/>
    <w:rsid w:val="000A07CB"/>
    <w:rsid w:val="000A14DF"/>
    <w:rsid w:val="000A15EC"/>
    <w:rsid w:val="000A16F8"/>
    <w:rsid w:val="000A28C4"/>
    <w:rsid w:val="000A34BE"/>
    <w:rsid w:val="000A3781"/>
    <w:rsid w:val="000A394D"/>
    <w:rsid w:val="000A419D"/>
    <w:rsid w:val="000A4960"/>
    <w:rsid w:val="000A49F8"/>
    <w:rsid w:val="000A4B2B"/>
    <w:rsid w:val="000A4DAD"/>
    <w:rsid w:val="000A4F8D"/>
    <w:rsid w:val="000A503C"/>
    <w:rsid w:val="000A60B7"/>
    <w:rsid w:val="000A7125"/>
    <w:rsid w:val="000A7424"/>
    <w:rsid w:val="000A754E"/>
    <w:rsid w:val="000A766B"/>
    <w:rsid w:val="000B1503"/>
    <w:rsid w:val="000B1720"/>
    <w:rsid w:val="000B1AFE"/>
    <w:rsid w:val="000B26F3"/>
    <w:rsid w:val="000B3823"/>
    <w:rsid w:val="000B4A4E"/>
    <w:rsid w:val="000B50C9"/>
    <w:rsid w:val="000B52FF"/>
    <w:rsid w:val="000B58E5"/>
    <w:rsid w:val="000B592D"/>
    <w:rsid w:val="000B5B45"/>
    <w:rsid w:val="000B62C6"/>
    <w:rsid w:val="000B6949"/>
    <w:rsid w:val="000B6B98"/>
    <w:rsid w:val="000B6C56"/>
    <w:rsid w:val="000B6FE2"/>
    <w:rsid w:val="000B7836"/>
    <w:rsid w:val="000B79F3"/>
    <w:rsid w:val="000C070B"/>
    <w:rsid w:val="000C089B"/>
    <w:rsid w:val="000C0B4E"/>
    <w:rsid w:val="000C0CA7"/>
    <w:rsid w:val="000C1001"/>
    <w:rsid w:val="000C10F7"/>
    <w:rsid w:val="000C2116"/>
    <w:rsid w:val="000C266F"/>
    <w:rsid w:val="000C32B4"/>
    <w:rsid w:val="000C53FD"/>
    <w:rsid w:val="000C55A2"/>
    <w:rsid w:val="000C5B0F"/>
    <w:rsid w:val="000C5DC7"/>
    <w:rsid w:val="000C6174"/>
    <w:rsid w:val="000C7340"/>
    <w:rsid w:val="000C7972"/>
    <w:rsid w:val="000D0C93"/>
    <w:rsid w:val="000D17F6"/>
    <w:rsid w:val="000D2374"/>
    <w:rsid w:val="000D274D"/>
    <w:rsid w:val="000D279A"/>
    <w:rsid w:val="000D2B2A"/>
    <w:rsid w:val="000D34E0"/>
    <w:rsid w:val="000D4D19"/>
    <w:rsid w:val="000D5750"/>
    <w:rsid w:val="000D6419"/>
    <w:rsid w:val="000D724C"/>
    <w:rsid w:val="000D7382"/>
    <w:rsid w:val="000E0528"/>
    <w:rsid w:val="000E0C82"/>
    <w:rsid w:val="000E180A"/>
    <w:rsid w:val="000E1931"/>
    <w:rsid w:val="000E1CA0"/>
    <w:rsid w:val="000E1DE9"/>
    <w:rsid w:val="000E2574"/>
    <w:rsid w:val="000E2AC9"/>
    <w:rsid w:val="000E2E6E"/>
    <w:rsid w:val="000E3AB8"/>
    <w:rsid w:val="000E3CC6"/>
    <w:rsid w:val="000E4011"/>
    <w:rsid w:val="000E4107"/>
    <w:rsid w:val="000E4917"/>
    <w:rsid w:val="000E4988"/>
    <w:rsid w:val="000E55AB"/>
    <w:rsid w:val="000E5AE6"/>
    <w:rsid w:val="000E5FC5"/>
    <w:rsid w:val="000E61B9"/>
    <w:rsid w:val="000E6538"/>
    <w:rsid w:val="000E6BC3"/>
    <w:rsid w:val="000E6CC9"/>
    <w:rsid w:val="000E742E"/>
    <w:rsid w:val="000E7D6D"/>
    <w:rsid w:val="000F02E3"/>
    <w:rsid w:val="000F1ABD"/>
    <w:rsid w:val="000F1BD4"/>
    <w:rsid w:val="000F24C8"/>
    <w:rsid w:val="000F2BAE"/>
    <w:rsid w:val="000F3F24"/>
    <w:rsid w:val="000F457D"/>
    <w:rsid w:val="000F4EE7"/>
    <w:rsid w:val="000F547A"/>
    <w:rsid w:val="000F58AA"/>
    <w:rsid w:val="000F63DF"/>
    <w:rsid w:val="000F675E"/>
    <w:rsid w:val="000F74F8"/>
    <w:rsid w:val="000F760E"/>
    <w:rsid w:val="001009EF"/>
    <w:rsid w:val="00101A2B"/>
    <w:rsid w:val="00102296"/>
    <w:rsid w:val="0010340A"/>
    <w:rsid w:val="001036E1"/>
    <w:rsid w:val="001041C1"/>
    <w:rsid w:val="0010452F"/>
    <w:rsid w:val="0010497F"/>
    <w:rsid w:val="001052BD"/>
    <w:rsid w:val="001067A3"/>
    <w:rsid w:val="0010698D"/>
    <w:rsid w:val="00107A4A"/>
    <w:rsid w:val="00110773"/>
    <w:rsid w:val="001110EA"/>
    <w:rsid w:val="00112349"/>
    <w:rsid w:val="00112B9E"/>
    <w:rsid w:val="00114365"/>
    <w:rsid w:val="0011453C"/>
    <w:rsid w:val="00115168"/>
    <w:rsid w:val="0011581D"/>
    <w:rsid w:val="00115E73"/>
    <w:rsid w:val="00116915"/>
    <w:rsid w:val="001170E4"/>
    <w:rsid w:val="00117379"/>
    <w:rsid w:val="00117A58"/>
    <w:rsid w:val="00120E7F"/>
    <w:rsid w:val="001214BA"/>
    <w:rsid w:val="00121633"/>
    <w:rsid w:val="001217FF"/>
    <w:rsid w:val="00121A08"/>
    <w:rsid w:val="00122007"/>
    <w:rsid w:val="0012249E"/>
    <w:rsid w:val="00123026"/>
    <w:rsid w:val="00123823"/>
    <w:rsid w:val="00123C73"/>
    <w:rsid w:val="00124544"/>
    <w:rsid w:val="0012493B"/>
    <w:rsid w:val="0012531F"/>
    <w:rsid w:val="00125430"/>
    <w:rsid w:val="00125B5D"/>
    <w:rsid w:val="00125C85"/>
    <w:rsid w:val="00125ECD"/>
    <w:rsid w:val="00127364"/>
    <w:rsid w:val="00127A87"/>
    <w:rsid w:val="00130FB4"/>
    <w:rsid w:val="00131584"/>
    <w:rsid w:val="001320C5"/>
    <w:rsid w:val="0013240D"/>
    <w:rsid w:val="00132E88"/>
    <w:rsid w:val="00132EF8"/>
    <w:rsid w:val="00132F0C"/>
    <w:rsid w:val="0013306C"/>
    <w:rsid w:val="00133227"/>
    <w:rsid w:val="001334EF"/>
    <w:rsid w:val="0013469F"/>
    <w:rsid w:val="00135334"/>
    <w:rsid w:val="001357CB"/>
    <w:rsid w:val="00135986"/>
    <w:rsid w:val="001363FB"/>
    <w:rsid w:val="001415DC"/>
    <w:rsid w:val="00143198"/>
    <w:rsid w:val="00143411"/>
    <w:rsid w:val="0014383A"/>
    <w:rsid w:val="00143852"/>
    <w:rsid w:val="00144801"/>
    <w:rsid w:val="001457AB"/>
    <w:rsid w:val="00145FCB"/>
    <w:rsid w:val="0014661B"/>
    <w:rsid w:val="00147708"/>
    <w:rsid w:val="001477CB"/>
    <w:rsid w:val="001506CD"/>
    <w:rsid w:val="001508AF"/>
    <w:rsid w:val="0015139F"/>
    <w:rsid w:val="001516A2"/>
    <w:rsid w:val="00151921"/>
    <w:rsid w:val="00151DF5"/>
    <w:rsid w:val="0015252A"/>
    <w:rsid w:val="00153924"/>
    <w:rsid w:val="00153CB8"/>
    <w:rsid w:val="00153F33"/>
    <w:rsid w:val="001541EF"/>
    <w:rsid w:val="00154571"/>
    <w:rsid w:val="00154AB1"/>
    <w:rsid w:val="00154D85"/>
    <w:rsid w:val="00155BAD"/>
    <w:rsid w:val="001562D3"/>
    <w:rsid w:val="0015633E"/>
    <w:rsid w:val="00156839"/>
    <w:rsid w:val="00157282"/>
    <w:rsid w:val="001575B9"/>
    <w:rsid w:val="00157C19"/>
    <w:rsid w:val="00157CF0"/>
    <w:rsid w:val="00160BE8"/>
    <w:rsid w:val="00160DAC"/>
    <w:rsid w:val="001613F6"/>
    <w:rsid w:val="00162230"/>
    <w:rsid w:val="00162D18"/>
    <w:rsid w:val="00162E25"/>
    <w:rsid w:val="00162F81"/>
    <w:rsid w:val="001630C7"/>
    <w:rsid w:val="0016344A"/>
    <w:rsid w:val="001637D2"/>
    <w:rsid w:val="00164302"/>
    <w:rsid w:val="00165299"/>
    <w:rsid w:val="00165754"/>
    <w:rsid w:val="00165A35"/>
    <w:rsid w:val="00165A3D"/>
    <w:rsid w:val="00165F4A"/>
    <w:rsid w:val="00166501"/>
    <w:rsid w:val="00166C20"/>
    <w:rsid w:val="001670B8"/>
    <w:rsid w:val="00167198"/>
    <w:rsid w:val="00167686"/>
    <w:rsid w:val="001703C1"/>
    <w:rsid w:val="001706D6"/>
    <w:rsid w:val="00170735"/>
    <w:rsid w:val="001707E2"/>
    <w:rsid w:val="00170F23"/>
    <w:rsid w:val="001712EC"/>
    <w:rsid w:val="00171619"/>
    <w:rsid w:val="001721C6"/>
    <w:rsid w:val="0017268D"/>
    <w:rsid w:val="00172B17"/>
    <w:rsid w:val="0017348C"/>
    <w:rsid w:val="00174369"/>
    <w:rsid w:val="0017525F"/>
    <w:rsid w:val="00175850"/>
    <w:rsid w:val="00175DC6"/>
    <w:rsid w:val="00177FDE"/>
    <w:rsid w:val="00180150"/>
    <w:rsid w:val="001801CD"/>
    <w:rsid w:val="00181161"/>
    <w:rsid w:val="0018218A"/>
    <w:rsid w:val="00182728"/>
    <w:rsid w:val="001829D2"/>
    <w:rsid w:val="0018306B"/>
    <w:rsid w:val="001834A9"/>
    <w:rsid w:val="00183B23"/>
    <w:rsid w:val="0018411E"/>
    <w:rsid w:val="0018456B"/>
    <w:rsid w:val="00184A5A"/>
    <w:rsid w:val="00184EAD"/>
    <w:rsid w:val="00185270"/>
    <w:rsid w:val="001863EF"/>
    <w:rsid w:val="0018740F"/>
    <w:rsid w:val="0018757F"/>
    <w:rsid w:val="00187B09"/>
    <w:rsid w:val="00190B64"/>
    <w:rsid w:val="001912C2"/>
    <w:rsid w:val="001924BC"/>
    <w:rsid w:val="00192AB3"/>
    <w:rsid w:val="00193481"/>
    <w:rsid w:val="00193565"/>
    <w:rsid w:val="00193773"/>
    <w:rsid w:val="0019500D"/>
    <w:rsid w:val="001953F4"/>
    <w:rsid w:val="00195620"/>
    <w:rsid w:val="00195FB5"/>
    <w:rsid w:val="001964E8"/>
    <w:rsid w:val="00196FED"/>
    <w:rsid w:val="00197114"/>
    <w:rsid w:val="00197E8A"/>
    <w:rsid w:val="001A01C9"/>
    <w:rsid w:val="001A01E4"/>
    <w:rsid w:val="001A1F62"/>
    <w:rsid w:val="001A29AF"/>
    <w:rsid w:val="001A41FD"/>
    <w:rsid w:val="001A4535"/>
    <w:rsid w:val="001A63AF"/>
    <w:rsid w:val="001A64FB"/>
    <w:rsid w:val="001A7F63"/>
    <w:rsid w:val="001B0FAA"/>
    <w:rsid w:val="001B1E25"/>
    <w:rsid w:val="001B3428"/>
    <w:rsid w:val="001B3484"/>
    <w:rsid w:val="001B3D92"/>
    <w:rsid w:val="001B4B47"/>
    <w:rsid w:val="001B572C"/>
    <w:rsid w:val="001B5953"/>
    <w:rsid w:val="001B6C18"/>
    <w:rsid w:val="001B76BA"/>
    <w:rsid w:val="001B7724"/>
    <w:rsid w:val="001B7F4B"/>
    <w:rsid w:val="001C15C7"/>
    <w:rsid w:val="001C256E"/>
    <w:rsid w:val="001C2643"/>
    <w:rsid w:val="001C2B97"/>
    <w:rsid w:val="001C3817"/>
    <w:rsid w:val="001C3A4C"/>
    <w:rsid w:val="001C3E68"/>
    <w:rsid w:val="001C4C39"/>
    <w:rsid w:val="001C5266"/>
    <w:rsid w:val="001C53F6"/>
    <w:rsid w:val="001C5519"/>
    <w:rsid w:val="001C568C"/>
    <w:rsid w:val="001C63BA"/>
    <w:rsid w:val="001C6CBE"/>
    <w:rsid w:val="001C70AF"/>
    <w:rsid w:val="001C7DC9"/>
    <w:rsid w:val="001D1F6E"/>
    <w:rsid w:val="001D27CE"/>
    <w:rsid w:val="001D28CC"/>
    <w:rsid w:val="001D2A9D"/>
    <w:rsid w:val="001D2E06"/>
    <w:rsid w:val="001D2F27"/>
    <w:rsid w:val="001D2F45"/>
    <w:rsid w:val="001D343E"/>
    <w:rsid w:val="001D3CF8"/>
    <w:rsid w:val="001D4E46"/>
    <w:rsid w:val="001D4FB0"/>
    <w:rsid w:val="001E0C5F"/>
    <w:rsid w:val="001E1AC8"/>
    <w:rsid w:val="001E22E9"/>
    <w:rsid w:val="001E434E"/>
    <w:rsid w:val="001E4CA8"/>
    <w:rsid w:val="001E4DEB"/>
    <w:rsid w:val="001E4DF9"/>
    <w:rsid w:val="001E5E66"/>
    <w:rsid w:val="001E663E"/>
    <w:rsid w:val="001E76EF"/>
    <w:rsid w:val="001F01C6"/>
    <w:rsid w:val="001F054A"/>
    <w:rsid w:val="001F091C"/>
    <w:rsid w:val="001F0D88"/>
    <w:rsid w:val="001F2A05"/>
    <w:rsid w:val="001F3909"/>
    <w:rsid w:val="001F3C03"/>
    <w:rsid w:val="001F40AD"/>
    <w:rsid w:val="001F4297"/>
    <w:rsid w:val="001F530F"/>
    <w:rsid w:val="001F549E"/>
    <w:rsid w:val="001F6975"/>
    <w:rsid w:val="001F6A68"/>
    <w:rsid w:val="001F6E0E"/>
    <w:rsid w:val="001F6E85"/>
    <w:rsid w:val="001F73D9"/>
    <w:rsid w:val="001F7A02"/>
    <w:rsid w:val="001F7D84"/>
    <w:rsid w:val="00201068"/>
    <w:rsid w:val="00201287"/>
    <w:rsid w:val="002023AF"/>
    <w:rsid w:val="00202A74"/>
    <w:rsid w:val="00203019"/>
    <w:rsid w:val="00203105"/>
    <w:rsid w:val="00203A15"/>
    <w:rsid w:val="00203F4B"/>
    <w:rsid w:val="00204349"/>
    <w:rsid w:val="00204CBA"/>
    <w:rsid w:val="00204E6E"/>
    <w:rsid w:val="002054E1"/>
    <w:rsid w:val="002054E2"/>
    <w:rsid w:val="00205B44"/>
    <w:rsid w:val="00205C27"/>
    <w:rsid w:val="00205C73"/>
    <w:rsid w:val="00205C99"/>
    <w:rsid w:val="002062CF"/>
    <w:rsid w:val="00206737"/>
    <w:rsid w:val="00206A98"/>
    <w:rsid w:val="002075EB"/>
    <w:rsid w:val="00207BE9"/>
    <w:rsid w:val="00210AA7"/>
    <w:rsid w:val="00210D68"/>
    <w:rsid w:val="00210FA8"/>
    <w:rsid w:val="00212905"/>
    <w:rsid w:val="00212DFE"/>
    <w:rsid w:val="00212FAA"/>
    <w:rsid w:val="00213436"/>
    <w:rsid w:val="0021409A"/>
    <w:rsid w:val="00215CB0"/>
    <w:rsid w:val="00215CC6"/>
    <w:rsid w:val="00215FE8"/>
    <w:rsid w:val="00216E75"/>
    <w:rsid w:val="0021785F"/>
    <w:rsid w:val="002179AA"/>
    <w:rsid w:val="002200EF"/>
    <w:rsid w:val="00221444"/>
    <w:rsid w:val="00221E9E"/>
    <w:rsid w:val="00222038"/>
    <w:rsid w:val="00222841"/>
    <w:rsid w:val="00222EDC"/>
    <w:rsid w:val="00223B9C"/>
    <w:rsid w:val="0022443A"/>
    <w:rsid w:val="002251B2"/>
    <w:rsid w:val="00225397"/>
    <w:rsid w:val="002264BB"/>
    <w:rsid w:val="002264DF"/>
    <w:rsid w:val="002272F1"/>
    <w:rsid w:val="002276C8"/>
    <w:rsid w:val="00231C61"/>
    <w:rsid w:val="002349FC"/>
    <w:rsid w:val="002358AE"/>
    <w:rsid w:val="00235D36"/>
    <w:rsid w:val="00235E84"/>
    <w:rsid w:val="00235EB3"/>
    <w:rsid w:val="0023612E"/>
    <w:rsid w:val="00236255"/>
    <w:rsid w:val="002362E5"/>
    <w:rsid w:val="002368CB"/>
    <w:rsid w:val="002370B7"/>
    <w:rsid w:val="00240432"/>
    <w:rsid w:val="00240690"/>
    <w:rsid w:val="002407ED"/>
    <w:rsid w:val="00240A5B"/>
    <w:rsid w:val="00241834"/>
    <w:rsid w:val="00241A8A"/>
    <w:rsid w:val="00242886"/>
    <w:rsid w:val="00242DB3"/>
    <w:rsid w:val="00245150"/>
    <w:rsid w:val="00245CF0"/>
    <w:rsid w:val="00246457"/>
    <w:rsid w:val="002468EE"/>
    <w:rsid w:val="00246939"/>
    <w:rsid w:val="00250CDE"/>
    <w:rsid w:val="00250CEF"/>
    <w:rsid w:val="00252581"/>
    <w:rsid w:val="00252CF2"/>
    <w:rsid w:val="00252E1E"/>
    <w:rsid w:val="002530D4"/>
    <w:rsid w:val="002530F0"/>
    <w:rsid w:val="00253ECC"/>
    <w:rsid w:val="00254BC8"/>
    <w:rsid w:val="00254DEA"/>
    <w:rsid w:val="00255137"/>
    <w:rsid w:val="00255709"/>
    <w:rsid w:val="0025683E"/>
    <w:rsid w:val="002568E6"/>
    <w:rsid w:val="00257961"/>
    <w:rsid w:val="00257CFF"/>
    <w:rsid w:val="00261EF8"/>
    <w:rsid w:val="00262817"/>
    <w:rsid w:val="0026333C"/>
    <w:rsid w:val="00263DBA"/>
    <w:rsid w:val="002649A9"/>
    <w:rsid w:val="00265259"/>
    <w:rsid w:val="002654BE"/>
    <w:rsid w:val="00265623"/>
    <w:rsid w:val="0026686F"/>
    <w:rsid w:val="0026761C"/>
    <w:rsid w:val="00267E64"/>
    <w:rsid w:val="00270302"/>
    <w:rsid w:val="002708C8"/>
    <w:rsid w:val="00270D71"/>
    <w:rsid w:val="00270DE2"/>
    <w:rsid w:val="00271997"/>
    <w:rsid w:val="00271DC8"/>
    <w:rsid w:val="00271DEA"/>
    <w:rsid w:val="00271EBD"/>
    <w:rsid w:val="00272015"/>
    <w:rsid w:val="00272123"/>
    <w:rsid w:val="0027213D"/>
    <w:rsid w:val="00272DD6"/>
    <w:rsid w:val="00273707"/>
    <w:rsid w:val="002737E9"/>
    <w:rsid w:val="00274109"/>
    <w:rsid w:val="00275494"/>
    <w:rsid w:val="0027695F"/>
    <w:rsid w:val="0027702A"/>
    <w:rsid w:val="002770DE"/>
    <w:rsid w:val="00277C04"/>
    <w:rsid w:val="00277E30"/>
    <w:rsid w:val="0028041C"/>
    <w:rsid w:val="0028090F"/>
    <w:rsid w:val="00281327"/>
    <w:rsid w:val="00282175"/>
    <w:rsid w:val="002828CC"/>
    <w:rsid w:val="002832FC"/>
    <w:rsid w:val="00283364"/>
    <w:rsid w:val="00283D91"/>
    <w:rsid w:val="00284A7B"/>
    <w:rsid w:val="0028663F"/>
    <w:rsid w:val="00286687"/>
    <w:rsid w:val="00286E32"/>
    <w:rsid w:val="002871F9"/>
    <w:rsid w:val="002900F6"/>
    <w:rsid w:val="002903BE"/>
    <w:rsid w:val="00290856"/>
    <w:rsid w:val="00290957"/>
    <w:rsid w:val="00290CD0"/>
    <w:rsid w:val="0029200E"/>
    <w:rsid w:val="002922F7"/>
    <w:rsid w:val="00292870"/>
    <w:rsid w:val="002932D7"/>
    <w:rsid w:val="00293B48"/>
    <w:rsid w:val="00293E47"/>
    <w:rsid w:val="0029472D"/>
    <w:rsid w:val="002954B1"/>
    <w:rsid w:val="00297363"/>
    <w:rsid w:val="002A00C3"/>
    <w:rsid w:val="002A070E"/>
    <w:rsid w:val="002A07A8"/>
    <w:rsid w:val="002A0E71"/>
    <w:rsid w:val="002A166C"/>
    <w:rsid w:val="002A1B3D"/>
    <w:rsid w:val="002A2D17"/>
    <w:rsid w:val="002A5C13"/>
    <w:rsid w:val="002A7390"/>
    <w:rsid w:val="002A7603"/>
    <w:rsid w:val="002A78C9"/>
    <w:rsid w:val="002A7CDC"/>
    <w:rsid w:val="002B0650"/>
    <w:rsid w:val="002B0654"/>
    <w:rsid w:val="002B192E"/>
    <w:rsid w:val="002B1AEA"/>
    <w:rsid w:val="002B2374"/>
    <w:rsid w:val="002B26F2"/>
    <w:rsid w:val="002B2788"/>
    <w:rsid w:val="002B2E83"/>
    <w:rsid w:val="002B30F0"/>
    <w:rsid w:val="002B319C"/>
    <w:rsid w:val="002B34FD"/>
    <w:rsid w:val="002B367F"/>
    <w:rsid w:val="002B3966"/>
    <w:rsid w:val="002B3CA3"/>
    <w:rsid w:val="002B3F42"/>
    <w:rsid w:val="002B46E1"/>
    <w:rsid w:val="002B4BE4"/>
    <w:rsid w:val="002B4F85"/>
    <w:rsid w:val="002B5582"/>
    <w:rsid w:val="002B6062"/>
    <w:rsid w:val="002B6598"/>
    <w:rsid w:val="002B6C4C"/>
    <w:rsid w:val="002B7905"/>
    <w:rsid w:val="002C05AC"/>
    <w:rsid w:val="002C06E8"/>
    <w:rsid w:val="002C0785"/>
    <w:rsid w:val="002C0A12"/>
    <w:rsid w:val="002C2401"/>
    <w:rsid w:val="002C3382"/>
    <w:rsid w:val="002C3496"/>
    <w:rsid w:val="002C35BB"/>
    <w:rsid w:val="002C443D"/>
    <w:rsid w:val="002C48B3"/>
    <w:rsid w:val="002C4936"/>
    <w:rsid w:val="002C500C"/>
    <w:rsid w:val="002C57C6"/>
    <w:rsid w:val="002C5EBF"/>
    <w:rsid w:val="002C6748"/>
    <w:rsid w:val="002C6ACE"/>
    <w:rsid w:val="002C7B26"/>
    <w:rsid w:val="002D0DED"/>
    <w:rsid w:val="002D1671"/>
    <w:rsid w:val="002D170E"/>
    <w:rsid w:val="002D1E33"/>
    <w:rsid w:val="002D2CBC"/>
    <w:rsid w:val="002D3BDB"/>
    <w:rsid w:val="002D47CD"/>
    <w:rsid w:val="002D4C5F"/>
    <w:rsid w:val="002D5A30"/>
    <w:rsid w:val="002D6C09"/>
    <w:rsid w:val="002D6C7A"/>
    <w:rsid w:val="002D71E7"/>
    <w:rsid w:val="002D7F43"/>
    <w:rsid w:val="002E014F"/>
    <w:rsid w:val="002E05FB"/>
    <w:rsid w:val="002E0FC1"/>
    <w:rsid w:val="002E130C"/>
    <w:rsid w:val="002E1315"/>
    <w:rsid w:val="002E1A35"/>
    <w:rsid w:val="002E1C69"/>
    <w:rsid w:val="002E20D5"/>
    <w:rsid w:val="002E29DF"/>
    <w:rsid w:val="002E3B1B"/>
    <w:rsid w:val="002E3D8B"/>
    <w:rsid w:val="002E3E5E"/>
    <w:rsid w:val="002E40A9"/>
    <w:rsid w:val="002E648E"/>
    <w:rsid w:val="002E6B5E"/>
    <w:rsid w:val="002E7427"/>
    <w:rsid w:val="002F1A69"/>
    <w:rsid w:val="002F1CAD"/>
    <w:rsid w:val="002F1E80"/>
    <w:rsid w:val="002F1F2E"/>
    <w:rsid w:val="002F2888"/>
    <w:rsid w:val="002F28FD"/>
    <w:rsid w:val="002F3249"/>
    <w:rsid w:val="002F3D0E"/>
    <w:rsid w:val="002F4036"/>
    <w:rsid w:val="002F501C"/>
    <w:rsid w:val="002F5951"/>
    <w:rsid w:val="002F5A5D"/>
    <w:rsid w:val="002F5CE0"/>
    <w:rsid w:val="002F7865"/>
    <w:rsid w:val="00300103"/>
    <w:rsid w:val="00301B7F"/>
    <w:rsid w:val="00302465"/>
    <w:rsid w:val="003028DE"/>
    <w:rsid w:val="00302E4A"/>
    <w:rsid w:val="00304807"/>
    <w:rsid w:val="00304D97"/>
    <w:rsid w:val="00306410"/>
    <w:rsid w:val="00306BAB"/>
    <w:rsid w:val="00307869"/>
    <w:rsid w:val="0030788F"/>
    <w:rsid w:val="00307D2B"/>
    <w:rsid w:val="00307EA7"/>
    <w:rsid w:val="00310623"/>
    <w:rsid w:val="0031071F"/>
    <w:rsid w:val="00310FBA"/>
    <w:rsid w:val="003119E2"/>
    <w:rsid w:val="003125D7"/>
    <w:rsid w:val="00312A60"/>
    <w:rsid w:val="00312C95"/>
    <w:rsid w:val="00313372"/>
    <w:rsid w:val="003133BF"/>
    <w:rsid w:val="0031356A"/>
    <w:rsid w:val="00313728"/>
    <w:rsid w:val="00313A06"/>
    <w:rsid w:val="003140F4"/>
    <w:rsid w:val="003141FE"/>
    <w:rsid w:val="00314C04"/>
    <w:rsid w:val="00315029"/>
    <w:rsid w:val="00315AD1"/>
    <w:rsid w:val="003164E9"/>
    <w:rsid w:val="003167CE"/>
    <w:rsid w:val="00317620"/>
    <w:rsid w:val="0031774A"/>
    <w:rsid w:val="003179B4"/>
    <w:rsid w:val="00320201"/>
    <w:rsid w:val="003202B3"/>
    <w:rsid w:val="00321247"/>
    <w:rsid w:val="003216F9"/>
    <w:rsid w:val="003218A6"/>
    <w:rsid w:val="00321ECB"/>
    <w:rsid w:val="003222C9"/>
    <w:rsid w:val="003224C1"/>
    <w:rsid w:val="00322744"/>
    <w:rsid w:val="003228DE"/>
    <w:rsid w:val="0032316B"/>
    <w:rsid w:val="0032356E"/>
    <w:rsid w:val="003241C7"/>
    <w:rsid w:val="003245B7"/>
    <w:rsid w:val="00324C06"/>
    <w:rsid w:val="00325195"/>
    <w:rsid w:val="0032533B"/>
    <w:rsid w:val="00326B33"/>
    <w:rsid w:val="00326F10"/>
    <w:rsid w:val="00327741"/>
    <w:rsid w:val="00330AEE"/>
    <w:rsid w:val="00330CD8"/>
    <w:rsid w:val="0033265B"/>
    <w:rsid w:val="003330FB"/>
    <w:rsid w:val="00333190"/>
    <w:rsid w:val="003333DF"/>
    <w:rsid w:val="00334635"/>
    <w:rsid w:val="0033630C"/>
    <w:rsid w:val="0033655E"/>
    <w:rsid w:val="0033721D"/>
    <w:rsid w:val="00340405"/>
    <w:rsid w:val="003409E0"/>
    <w:rsid w:val="003409EE"/>
    <w:rsid w:val="00340EA3"/>
    <w:rsid w:val="0034190F"/>
    <w:rsid w:val="00341D6E"/>
    <w:rsid w:val="00341DA8"/>
    <w:rsid w:val="00341DEE"/>
    <w:rsid w:val="00342170"/>
    <w:rsid w:val="00342F3F"/>
    <w:rsid w:val="003433AB"/>
    <w:rsid w:val="00343967"/>
    <w:rsid w:val="00343F4C"/>
    <w:rsid w:val="00343FBA"/>
    <w:rsid w:val="00344B85"/>
    <w:rsid w:val="003450E5"/>
    <w:rsid w:val="0034535B"/>
    <w:rsid w:val="0034537B"/>
    <w:rsid w:val="003474E7"/>
    <w:rsid w:val="00350550"/>
    <w:rsid w:val="003509AB"/>
    <w:rsid w:val="00351C6F"/>
    <w:rsid w:val="003521A9"/>
    <w:rsid w:val="003528E5"/>
    <w:rsid w:val="003546AB"/>
    <w:rsid w:val="00354792"/>
    <w:rsid w:val="003553FC"/>
    <w:rsid w:val="003554DD"/>
    <w:rsid w:val="0035589B"/>
    <w:rsid w:val="00356D92"/>
    <w:rsid w:val="00360053"/>
    <w:rsid w:val="00360B8B"/>
    <w:rsid w:val="0036262D"/>
    <w:rsid w:val="00362F0B"/>
    <w:rsid w:val="003637E7"/>
    <w:rsid w:val="00363ADF"/>
    <w:rsid w:val="0036473F"/>
    <w:rsid w:val="0036497A"/>
    <w:rsid w:val="00365E3F"/>
    <w:rsid w:val="0036619A"/>
    <w:rsid w:val="00366644"/>
    <w:rsid w:val="00366BB8"/>
    <w:rsid w:val="00366DCD"/>
    <w:rsid w:val="00366EBC"/>
    <w:rsid w:val="00370BFA"/>
    <w:rsid w:val="00370FE3"/>
    <w:rsid w:val="0037115C"/>
    <w:rsid w:val="00371A30"/>
    <w:rsid w:val="00372194"/>
    <w:rsid w:val="00372716"/>
    <w:rsid w:val="00372784"/>
    <w:rsid w:val="00374389"/>
    <w:rsid w:val="00374D61"/>
    <w:rsid w:val="003764C0"/>
    <w:rsid w:val="00376E39"/>
    <w:rsid w:val="0037703A"/>
    <w:rsid w:val="003770FE"/>
    <w:rsid w:val="00380862"/>
    <w:rsid w:val="00380970"/>
    <w:rsid w:val="003824B0"/>
    <w:rsid w:val="00382662"/>
    <w:rsid w:val="00383163"/>
    <w:rsid w:val="00383338"/>
    <w:rsid w:val="00383C0A"/>
    <w:rsid w:val="00385A58"/>
    <w:rsid w:val="00386068"/>
    <w:rsid w:val="00386A79"/>
    <w:rsid w:val="00387414"/>
    <w:rsid w:val="003874A5"/>
    <w:rsid w:val="0038755A"/>
    <w:rsid w:val="0039015C"/>
    <w:rsid w:val="00391EB4"/>
    <w:rsid w:val="00393405"/>
    <w:rsid w:val="0039430C"/>
    <w:rsid w:val="00394323"/>
    <w:rsid w:val="00394BAD"/>
    <w:rsid w:val="00395831"/>
    <w:rsid w:val="00396AC8"/>
    <w:rsid w:val="00396E91"/>
    <w:rsid w:val="00396E95"/>
    <w:rsid w:val="003A022B"/>
    <w:rsid w:val="003A05C2"/>
    <w:rsid w:val="003A05ED"/>
    <w:rsid w:val="003A222F"/>
    <w:rsid w:val="003A3B74"/>
    <w:rsid w:val="003A4F9D"/>
    <w:rsid w:val="003A556E"/>
    <w:rsid w:val="003A5C75"/>
    <w:rsid w:val="003A5C88"/>
    <w:rsid w:val="003A6368"/>
    <w:rsid w:val="003A7703"/>
    <w:rsid w:val="003B0B89"/>
    <w:rsid w:val="003B0FD0"/>
    <w:rsid w:val="003B10E4"/>
    <w:rsid w:val="003B1199"/>
    <w:rsid w:val="003B1D07"/>
    <w:rsid w:val="003B26D5"/>
    <w:rsid w:val="003B28E2"/>
    <w:rsid w:val="003B2E4E"/>
    <w:rsid w:val="003B2F1D"/>
    <w:rsid w:val="003B4429"/>
    <w:rsid w:val="003B457E"/>
    <w:rsid w:val="003B4929"/>
    <w:rsid w:val="003B4AD1"/>
    <w:rsid w:val="003B4C92"/>
    <w:rsid w:val="003B56D2"/>
    <w:rsid w:val="003B5D9D"/>
    <w:rsid w:val="003B6E0D"/>
    <w:rsid w:val="003C0AFF"/>
    <w:rsid w:val="003C2346"/>
    <w:rsid w:val="003C2828"/>
    <w:rsid w:val="003C3FCC"/>
    <w:rsid w:val="003C41FC"/>
    <w:rsid w:val="003C46A0"/>
    <w:rsid w:val="003C4F54"/>
    <w:rsid w:val="003C5BDC"/>
    <w:rsid w:val="003C5E7D"/>
    <w:rsid w:val="003C604F"/>
    <w:rsid w:val="003C6449"/>
    <w:rsid w:val="003C646A"/>
    <w:rsid w:val="003C6622"/>
    <w:rsid w:val="003C6A69"/>
    <w:rsid w:val="003C6B2B"/>
    <w:rsid w:val="003C6BDD"/>
    <w:rsid w:val="003C6F38"/>
    <w:rsid w:val="003C6FAF"/>
    <w:rsid w:val="003C7D58"/>
    <w:rsid w:val="003D0694"/>
    <w:rsid w:val="003D0AB1"/>
    <w:rsid w:val="003D16B0"/>
    <w:rsid w:val="003D1814"/>
    <w:rsid w:val="003D1871"/>
    <w:rsid w:val="003D2FA4"/>
    <w:rsid w:val="003D3135"/>
    <w:rsid w:val="003D4914"/>
    <w:rsid w:val="003D52B3"/>
    <w:rsid w:val="003D5BBB"/>
    <w:rsid w:val="003D5EB7"/>
    <w:rsid w:val="003D5FAD"/>
    <w:rsid w:val="003D65BF"/>
    <w:rsid w:val="003D676B"/>
    <w:rsid w:val="003D6927"/>
    <w:rsid w:val="003D7DAC"/>
    <w:rsid w:val="003D7F19"/>
    <w:rsid w:val="003E01AC"/>
    <w:rsid w:val="003E0643"/>
    <w:rsid w:val="003E0841"/>
    <w:rsid w:val="003E09E6"/>
    <w:rsid w:val="003E0D93"/>
    <w:rsid w:val="003E1144"/>
    <w:rsid w:val="003E1BBC"/>
    <w:rsid w:val="003E1FEB"/>
    <w:rsid w:val="003E2DD8"/>
    <w:rsid w:val="003E2F2D"/>
    <w:rsid w:val="003E3890"/>
    <w:rsid w:val="003E3AA2"/>
    <w:rsid w:val="003E4397"/>
    <w:rsid w:val="003E444E"/>
    <w:rsid w:val="003E466B"/>
    <w:rsid w:val="003E4E34"/>
    <w:rsid w:val="003E5472"/>
    <w:rsid w:val="003E5CA3"/>
    <w:rsid w:val="003E602B"/>
    <w:rsid w:val="003E64F6"/>
    <w:rsid w:val="003E6C71"/>
    <w:rsid w:val="003E6E7B"/>
    <w:rsid w:val="003E7950"/>
    <w:rsid w:val="003F00E1"/>
    <w:rsid w:val="003F0EAA"/>
    <w:rsid w:val="003F1D21"/>
    <w:rsid w:val="003F1DA7"/>
    <w:rsid w:val="003F2427"/>
    <w:rsid w:val="003F2787"/>
    <w:rsid w:val="003F2792"/>
    <w:rsid w:val="003F32F0"/>
    <w:rsid w:val="003F39FC"/>
    <w:rsid w:val="003F4942"/>
    <w:rsid w:val="003F59F2"/>
    <w:rsid w:val="003F5D80"/>
    <w:rsid w:val="003F69FB"/>
    <w:rsid w:val="003F6A45"/>
    <w:rsid w:val="003F70E1"/>
    <w:rsid w:val="003F7B88"/>
    <w:rsid w:val="003F7C84"/>
    <w:rsid w:val="003F7DD5"/>
    <w:rsid w:val="003F7EFD"/>
    <w:rsid w:val="004000FA"/>
    <w:rsid w:val="00400754"/>
    <w:rsid w:val="004007EF"/>
    <w:rsid w:val="00402526"/>
    <w:rsid w:val="00402713"/>
    <w:rsid w:val="00402916"/>
    <w:rsid w:val="004033DD"/>
    <w:rsid w:val="004037F9"/>
    <w:rsid w:val="0040449F"/>
    <w:rsid w:val="004047F3"/>
    <w:rsid w:val="0040495B"/>
    <w:rsid w:val="00405218"/>
    <w:rsid w:val="004059C2"/>
    <w:rsid w:val="00405B13"/>
    <w:rsid w:val="004060BE"/>
    <w:rsid w:val="004061F0"/>
    <w:rsid w:val="004062BF"/>
    <w:rsid w:val="0040633D"/>
    <w:rsid w:val="004067F3"/>
    <w:rsid w:val="00406AF4"/>
    <w:rsid w:val="00407251"/>
    <w:rsid w:val="004077FC"/>
    <w:rsid w:val="00407AEA"/>
    <w:rsid w:val="00407D16"/>
    <w:rsid w:val="004100F8"/>
    <w:rsid w:val="004102D6"/>
    <w:rsid w:val="00410324"/>
    <w:rsid w:val="0041087B"/>
    <w:rsid w:val="004113AB"/>
    <w:rsid w:val="004127EA"/>
    <w:rsid w:val="00412C03"/>
    <w:rsid w:val="00412D10"/>
    <w:rsid w:val="00412FFF"/>
    <w:rsid w:val="00413394"/>
    <w:rsid w:val="00413533"/>
    <w:rsid w:val="00415AE6"/>
    <w:rsid w:val="0041618D"/>
    <w:rsid w:val="004179C0"/>
    <w:rsid w:val="00417C54"/>
    <w:rsid w:val="00420795"/>
    <w:rsid w:val="0042099A"/>
    <w:rsid w:val="00420FB8"/>
    <w:rsid w:val="00422327"/>
    <w:rsid w:val="00423CAC"/>
    <w:rsid w:val="004243F5"/>
    <w:rsid w:val="00425443"/>
    <w:rsid w:val="00425C9A"/>
    <w:rsid w:val="004265EB"/>
    <w:rsid w:val="00426697"/>
    <w:rsid w:val="004275B4"/>
    <w:rsid w:val="004303C3"/>
    <w:rsid w:val="0043072B"/>
    <w:rsid w:val="0043148A"/>
    <w:rsid w:val="00431975"/>
    <w:rsid w:val="0043247F"/>
    <w:rsid w:val="00432672"/>
    <w:rsid w:val="00432716"/>
    <w:rsid w:val="0043383F"/>
    <w:rsid w:val="004338EC"/>
    <w:rsid w:val="00435AB5"/>
    <w:rsid w:val="00435FC9"/>
    <w:rsid w:val="00437234"/>
    <w:rsid w:val="00437471"/>
    <w:rsid w:val="004378FC"/>
    <w:rsid w:val="00437AC1"/>
    <w:rsid w:val="00437F34"/>
    <w:rsid w:val="00440392"/>
    <w:rsid w:val="0044144F"/>
    <w:rsid w:val="0044160E"/>
    <w:rsid w:val="00442B73"/>
    <w:rsid w:val="00442DBA"/>
    <w:rsid w:val="00443A6D"/>
    <w:rsid w:val="00443B6D"/>
    <w:rsid w:val="004459C6"/>
    <w:rsid w:val="00446314"/>
    <w:rsid w:val="0044639F"/>
    <w:rsid w:val="004463E1"/>
    <w:rsid w:val="0044641C"/>
    <w:rsid w:val="00446F6D"/>
    <w:rsid w:val="004470D5"/>
    <w:rsid w:val="00447A9F"/>
    <w:rsid w:val="00447C1E"/>
    <w:rsid w:val="00447FEE"/>
    <w:rsid w:val="00450097"/>
    <w:rsid w:val="00451382"/>
    <w:rsid w:val="0045176E"/>
    <w:rsid w:val="00451DEC"/>
    <w:rsid w:val="00452228"/>
    <w:rsid w:val="00452D69"/>
    <w:rsid w:val="00452E03"/>
    <w:rsid w:val="00452F43"/>
    <w:rsid w:val="00453CDA"/>
    <w:rsid w:val="004542B1"/>
    <w:rsid w:val="00454923"/>
    <w:rsid w:val="00454E98"/>
    <w:rsid w:val="00455134"/>
    <w:rsid w:val="00456C84"/>
    <w:rsid w:val="0045700A"/>
    <w:rsid w:val="004600D7"/>
    <w:rsid w:val="004609EF"/>
    <w:rsid w:val="0046116E"/>
    <w:rsid w:val="004626D2"/>
    <w:rsid w:val="00462B00"/>
    <w:rsid w:val="00462C4E"/>
    <w:rsid w:val="004631C5"/>
    <w:rsid w:val="0046423B"/>
    <w:rsid w:val="00464EBA"/>
    <w:rsid w:val="00465912"/>
    <w:rsid w:val="00465E63"/>
    <w:rsid w:val="0046673A"/>
    <w:rsid w:val="00467A4E"/>
    <w:rsid w:val="004708FD"/>
    <w:rsid w:val="0047131D"/>
    <w:rsid w:val="004714B1"/>
    <w:rsid w:val="0047241F"/>
    <w:rsid w:val="00472A8F"/>
    <w:rsid w:val="00472D81"/>
    <w:rsid w:val="00472E23"/>
    <w:rsid w:val="004731FF"/>
    <w:rsid w:val="00473EFC"/>
    <w:rsid w:val="004746B0"/>
    <w:rsid w:val="00474A8E"/>
    <w:rsid w:val="00474EA3"/>
    <w:rsid w:val="004752E2"/>
    <w:rsid w:val="0047544E"/>
    <w:rsid w:val="0047561A"/>
    <w:rsid w:val="004764F9"/>
    <w:rsid w:val="00476676"/>
    <w:rsid w:val="00477AD5"/>
    <w:rsid w:val="00477E91"/>
    <w:rsid w:val="00477F60"/>
    <w:rsid w:val="004818F2"/>
    <w:rsid w:val="00481CF4"/>
    <w:rsid w:val="004821D4"/>
    <w:rsid w:val="0048356D"/>
    <w:rsid w:val="00483781"/>
    <w:rsid w:val="00483831"/>
    <w:rsid w:val="00483CCC"/>
    <w:rsid w:val="00483F2C"/>
    <w:rsid w:val="0048484C"/>
    <w:rsid w:val="00485E27"/>
    <w:rsid w:val="00487260"/>
    <w:rsid w:val="0049077E"/>
    <w:rsid w:val="00490872"/>
    <w:rsid w:val="0049126F"/>
    <w:rsid w:val="004913E5"/>
    <w:rsid w:val="0049177A"/>
    <w:rsid w:val="00494A82"/>
    <w:rsid w:val="00495458"/>
    <w:rsid w:val="00495509"/>
    <w:rsid w:val="0049633B"/>
    <w:rsid w:val="00496883"/>
    <w:rsid w:val="004A0D89"/>
    <w:rsid w:val="004A12B9"/>
    <w:rsid w:val="004A189F"/>
    <w:rsid w:val="004A1ECC"/>
    <w:rsid w:val="004A2D34"/>
    <w:rsid w:val="004A2DBF"/>
    <w:rsid w:val="004A2F08"/>
    <w:rsid w:val="004A4738"/>
    <w:rsid w:val="004A48CA"/>
    <w:rsid w:val="004A4C4E"/>
    <w:rsid w:val="004A543C"/>
    <w:rsid w:val="004A6286"/>
    <w:rsid w:val="004A648A"/>
    <w:rsid w:val="004A6581"/>
    <w:rsid w:val="004A742A"/>
    <w:rsid w:val="004B0F94"/>
    <w:rsid w:val="004B23B1"/>
    <w:rsid w:val="004B3357"/>
    <w:rsid w:val="004B46EC"/>
    <w:rsid w:val="004B568D"/>
    <w:rsid w:val="004B5A72"/>
    <w:rsid w:val="004B5DC7"/>
    <w:rsid w:val="004B5EEF"/>
    <w:rsid w:val="004B67D1"/>
    <w:rsid w:val="004B7A6D"/>
    <w:rsid w:val="004C13E3"/>
    <w:rsid w:val="004C17EC"/>
    <w:rsid w:val="004C2A84"/>
    <w:rsid w:val="004C2E49"/>
    <w:rsid w:val="004C4417"/>
    <w:rsid w:val="004C45F3"/>
    <w:rsid w:val="004C50AE"/>
    <w:rsid w:val="004C51C7"/>
    <w:rsid w:val="004C58CD"/>
    <w:rsid w:val="004C615B"/>
    <w:rsid w:val="004C6622"/>
    <w:rsid w:val="004C69A7"/>
    <w:rsid w:val="004C7085"/>
    <w:rsid w:val="004C71F8"/>
    <w:rsid w:val="004C7294"/>
    <w:rsid w:val="004C7585"/>
    <w:rsid w:val="004C758E"/>
    <w:rsid w:val="004D04AD"/>
    <w:rsid w:val="004D11B7"/>
    <w:rsid w:val="004D1F32"/>
    <w:rsid w:val="004D1FDB"/>
    <w:rsid w:val="004D2F77"/>
    <w:rsid w:val="004D3638"/>
    <w:rsid w:val="004D3694"/>
    <w:rsid w:val="004D3812"/>
    <w:rsid w:val="004D3AF3"/>
    <w:rsid w:val="004D405B"/>
    <w:rsid w:val="004D43D3"/>
    <w:rsid w:val="004D48C7"/>
    <w:rsid w:val="004D4912"/>
    <w:rsid w:val="004D4B23"/>
    <w:rsid w:val="004D5E86"/>
    <w:rsid w:val="004D63CF"/>
    <w:rsid w:val="004D7878"/>
    <w:rsid w:val="004E11D8"/>
    <w:rsid w:val="004E136F"/>
    <w:rsid w:val="004E160F"/>
    <w:rsid w:val="004E1AED"/>
    <w:rsid w:val="004E20C1"/>
    <w:rsid w:val="004E4959"/>
    <w:rsid w:val="004E50DF"/>
    <w:rsid w:val="004E5D8C"/>
    <w:rsid w:val="004E5F58"/>
    <w:rsid w:val="004E5F80"/>
    <w:rsid w:val="004E6BFA"/>
    <w:rsid w:val="004E6F68"/>
    <w:rsid w:val="004E70C5"/>
    <w:rsid w:val="004E72D3"/>
    <w:rsid w:val="004E75CC"/>
    <w:rsid w:val="004E7651"/>
    <w:rsid w:val="004E7913"/>
    <w:rsid w:val="004E7CFD"/>
    <w:rsid w:val="004E7DCF"/>
    <w:rsid w:val="004E7FD0"/>
    <w:rsid w:val="004F0660"/>
    <w:rsid w:val="004F0D17"/>
    <w:rsid w:val="004F2405"/>
    <w:rsid w:val="004F2540"/>
    <w:rsid w:val="004F2F54"/>
    <w:rsid w:val="004F3126"/>
    <w:rsid w:val="004F4886"/>
    <w:rsid w:val="004F4D52"/>
    <w:rsid w:val="004F5994"/>
    <w:rsid w:val="004F5BC7"/>
    <w:rsid w:val="004F6805"/>
    <w:rsid w:val="004F6EDF"/>
    <w:rsid w:val="004F72C7"/>
    <w:rsid w:val="004F77ED"/>
    <w:rsid w:val="004F7A04"/>
    <w:rsid w:val="00500676"/>
    <w:rsid w:val="00500E75"/>
    <w:rsid w:val="00501A6F"/>
    <w:rsid w:val="0050255B"/>
    <w:rsid w:val="00502801"/>
    <w:rsid w:val="00502DE2"/>
    <w:rsid w:val="00503920"/>
    <w:rsid w:val="00503CA8"/>
    <w:rsid w:val="00503E17"/>
    <w:rsid w:val="00503F52"/>
    <w:rsid w:val="00505C81"/>
    <w:rsid w:val="005067E9"/>
    <w:rsid w:val="00506D32"/>
    <w:rsid w:val="005072CD"/>
    <w:rsid w:val="0051019D"/>
    <w:rsid w:val="00510518"/>
    <w:rsid w:val="0051085D"/>
    <w:rsid w:val="00510BAB"/>
    <w:rsid w:val="00511375"/>
    <w:rsid w:val="00511668"/>
    <w:rsid w:val="00511934"/>
    <w:rsid w:val="0051262E"/>
    <w:rsid w:val="005128FB"/>
    <w:rsid w:val="00512C6B"/>
    <w:rsid w:val="00512DFE"/>
    <w:rsid w:val="005140FD"/>
    <w:rsid w:val="00514374"/>
    <w:rsid w:val="00515979"/>
    <w:rsid w:val="005174C8"/>
    <w:rsid w:val="0051792A"/>
    <w:rsid w:val="00520A94"/>
    <w:rsid w:val="0052133A"/>
    <w:rsid w:val="0052186A"/>
    <w:rsid w:val="00521FD3"/>
    <w:rsid w:val="00521FE0"/>
    <w:rsid w:val="005234BE"/>
    <w:rsid w:val="005239E0"/>
    <w:rsid w:val="005263FB"/>
    <w:rsid w:val="005266CA"/>
    <w:rsid w:val="00526742"/>
    <w:rsid w:val="00526FE5"/>
    <w:rsid w:val="0052763A"/>
    <w:rsid w:val="00527872"/>
    <w:rsid w:val="00531B72"/>
    <w:rsid w:val="00533334"/>
    <w:rsid w:val="0053439F"/>
    <w:rsid w:val="00535616"/>
    <w:rsid w:val="005358BC"/>
    <w:rsid w:val="00535CF3"/>
    <w:rsid w:val="005364A3"/>
    <w:rsid w:val="005364F5"/>
    <w:rsid w:val="005368D6"/>
    <w:rsid w:val="0053694F"/>
    <w:rsid w:val="0053713F"/>
    <w:rsid w:val="00540130"/>
    <w:rsid w:val="00540608"/>
    <w:rsid w:val="00541688"/>
    <w:rsid w:val="00542038"/>
    <w:rsid w:val="00542051"/>
    <w:rsid w:val="00542C13"/>
    <w:rsid w:val="00542C4F"/>
    <w:rsid w:val="00542CE5"/>
    <w:rsid w:val="00543F77"/>
    <w:rsid w:val="005445BE"/>
    <w:rsid w:val="00544826"/>
    <w:rsid w:val="0054490E"/>
    <w:rsid w:val="0054519F"/>
    <w:rsid w:val="00545890"/>
    <w:rsid w:val="00546745"/>
    <w:rsid w:val="00546D57"/>
    <w:rsid w:val="00547C1F"/>
    <w:rsid w:val="00547E32"/>
    <w:rsid w:val="00550089"/>
    <w:rsid w:val="00550A3B"/>
    <w:rsid w:val="00550E21"/>
    <w:rsid w:val="0055158F"/>
    <w:rsid w:val="00551645"/>
    <w:rsid w:val="00551BFC"/>
    <w:rsid w:val="005524A2"/>
    <w:rsid w:val="00552781"/>
    <w:rsid w:val="005527EF"/>
    <w:rsid w:val="00552ADB"/>
    <w:rsid w:val="00553CA6"/>
    <w:rsid w:val="005547E1"/>
    <w:rsid w:val="00554911"/>
    <w:rsid w:val="00554FA8"/>
    <w:rsid w:val="00556B4F"/>
    <w:rsid w:val="005601C3"/>
    <w:rsid w:val="00560A01"/>
    <w:rsid w:val="00561A5A"/>
    <w:rsid w:val="00563321"/>
    <w:rsid w:val="00563DBD"/>
    <w:rsid w:val="00563EAF"/>
    <w:rsid w:val="0056518C"/>
    <w:rsid w:val="00565B96"/>
    <w:rsid w:val="00565D5B"/>
    <w:rsid w:val="005664D6"/>
    <w:rsid w:val="00566CD6"/>
    <w:rsid w:val="005674F7"/>
    <w:rsid w:val="00567DE7"/>
    <w:rsid w:val="00570348"/>
    <w:rsid w:val="0057070B"/>
    <w:rsid w:val="00570EEF"/>
    <w:rsid w:val="005721E3"/>
    <w:rsid w:val="0057373D"/>
    <w:rsid w:val="00573C8A"/>
    <w:rsid w:val="005740F2"/>
    <w:rsid w:val="00574181"/>
    <w:rsid w:val="00574645"/>
    <w:rsid w:val="005746FB"/>
    <w:rsid w:val="00575428"/>
    <w:rsid w:val="00575B2F"/>
    <w:rsid w:val="00576792"/>
    <w:rsid w:val="0057682A"/>
    <w:rsid w:val="00580507"/>
    <w:rsid w:val="0058079B"/>
    <w:rsid w:val="00580E97"/>
    <w:rsid w:val="00581E48"/>
    <w:rsid w:val="005827E8"/>
    <w:rsid w:val="00582BD9"/>
    <w:rsid w:val="0058381C"/>
    <w:rsid w:val="00583D00"/>
    <w:rsid w:val="00584EA4"/>
    <w:rsid w:val="005851F8"/>
    <w:rsid w:val="00585BFF"/>
    <w:rsid w:val="00585F16"/>
    <w:rsid w:val="00585FD7"/>
    <w:rsid w:val="00586A0B"/>
    <w:rsid w:val="00586EC1"/>
    <w:rsid w:val="00586F6C"/>
    <w:rsid w:val="00587699"/>
    <w:rsid w:val="00587BE6"/>
    <w:rsid w:val="005906D0"/>
    <w:rsid w:val="005906E5"/>
    <w:rsid w:val="00590E6E"/>
    <w:rsid w:val="005912FB"/>
    <w:rsid w:val="005917B8"/>
    <w:rsid w:val="00591AD7"/>
    <w:rsid w:val="00593806"/>
    <w:rsid w:val="005940EB"/>
    <w:rsid w:val="00595295"/>
    <w:rsid w:val="0059545A"/>
    <w:rsid w:val="005955C7"/>
    <w:rsid w:val="00595A9A"/>
    <w:rsid w:val="00595E0B"/>
    <w:rsid w:val="00596675"/>
    <w:rsid w:val="005967BB"/>
    <w:rsid w:val="005973F3"/>
    <w:rsid w:val="005A0901"/>
    <w:rsid w:val="005A0C2E"/>
    <w:rsid w:val="005A1E38"/>
    <w:rsid w:val="005A34B0"/>
    <w:rsid w:val="005A3F80"/>
    <w:rsid w:val="005A4055"/>
    <w:rsid w:val="005A424D"/>
    <w:rsid w:val="005A49ED"/>
    <w:rsid w:val="005A4F79"/>
    <w:rsid w:val="005A598F"/>
    <w:rsid w:val="005A5991"/>
    <w:rsid w:val="005A5EF4"/>
    <w:rsid w:val="005A676C"/>
    <w:rsid w:val="005A76C1"/>
    <w:rsid w:val="005A7CAF"/>
    <w:rsid w:val="005A7F04"/>
    <w:rsid w:val="005B00F0"/>
    <w:rsid w:val="005B02B0"/>
    <w:rsid w:val="005B0541"/>
    <w:rsid w:val="005B172E"/>
    <w:rsid w:val="005B2A87"/>
    <w:rsid w:val="005B2FFF"/>
    <w:rsid w:val="005B3BDB"/>
    <w:rsid w:val="005B3CC0"/>
    <w:rsid w:val="005B468B"/>
    <w:rsid w:val="005B5442"/>
    <w:rsid w:val="005B5F5D"/>
    <w:rsid w:val="005B743D"/>
    <w:rsid w:val="005C04BB"/>
    <w:rsid w:val="005C1A2F"/>
    <w:rsid w:val="005C286E"/>
    <w:rsid w:val="005C33B4"/>
    <w:rsid w:val="005C3684"/>
    <w:rsid w:val="005C3B2C"/>
    <w:rsid w:val="005C3EF9"/>
    <w:rsid w:val="005C423C"/>
    <w:rsid w:val="005C4DD9"/>
    <w:rsid w:val="005C4E3A"/>
    <w:rsid w:val="005C50FC"/>
    <w:rsid w:val="005C54B0"/>
    <w:rsid w:val="005C6321"/>
    <w:rsid w:val="005C68AC"/>
    <w:rsid w:val="005C71A4"/>
    <w:rsid w:val="005C7AA6"/>
    <w:rsid w:val="005C7FD7"/>
    <w:rsid w:val="005D021A"/>
    <w:rsid w:val="005D0BB4"/>
    <w:rsid w:val="005D12BF"/>
    <w:rsid w:val="005D2D8F"/>
    <w:rsid w:val="005D3301"/>
    <w:rsid w:val="005D4286"/>
    <w:rsid w:val="005D4603"/>
    <w:rsid w:val="005D532E"/>
    <w:rsid w:val="005D5635"/>
    <w:rsid w:val="005D6F4D"/>
    <w:rsid w:val="005D7906"/>
    <w:rsid w:val="005D7CF3"/>
    <w:rsid w:val="005E01FA"/>
    <w:rsid w:val="005E09CF"/>
    <w:rsid w:val="005E0A1A"/>
    <w:rsid w:val="005E223D"/>
    <w:rsid w:val="005E22A5"/>
    <w:rsid w:val="005E26E8"/>
    <w:rsid w:val="005E292E"/>
    <w:rsid w:val="005E2C5F"/>
    <w:rsid w:val="005E3D2A"/>
    <w:rsid w:val="005E4791"/>
    <w:rsid w:val="005E4B4B"/>
    <w:rsid w:val="005E5380"/>
    <w:rsid w:val="005E6216"/>
    <w:rsid w:val="005E65DC"/>
    <w:rsid w:val="005E6A3C"/>
    <w:rsid w:val="005E7121"/>
    <w:rsid w:val="005E7295"/>
    <w:rsid w:val="005F05C3"/>
    <w:rsid w:val="005F0A77"/>
    <w:rsid w:val="005F0BA8"/>
    <w:rsid w:val="005F0F5F"/>
    <w:rsid w:val="005F1643"/>
    <w:rsid w:val="005F2D36"/>
    <w:rsid w:val="005F31C0"/>
    <w:rsid w:val="005F347E"/>
    <w:rsid w:val="005F3523"/>
    <w:rsid w:val="005F3631"/>
    <w:rsid w:val="005F375D"/>
    <w:rsid w:val="005F3FFE"/>
    <w:rsid w:val="005F43D7"/>
    <w:rsid w:val="005F4411"/>
    <w:rsid w:val="005F5364"/>
    <w:rsid w:val="005F5CAF"/>
    <w:rsid w:val="005F5D8A"/>
    <w:rsid w:val="005F5FFE"/>
    <w:rsid w:val="005F6830"/>
    <w:rsid w:val="005F70E8"/>
    <w:rsid w:val="005F7252"/>
    <w:rsid w:val="005F7C5A"/>
    <w:rsid w:val="00600723"/>
    <w:rsid w:val="00600B64"/>
    <w:rsid w:val="00600B7F"/>
    <w:rsid w:val="00600F05"/>
    <w:rsid w:val="006012A4"/>
    <w:rsid w:val="0060263C"/>
    <w:rsid w:val="006032D0"/>
    <w:rsid w:val="00603FF7"/>
    <w:rsid w:val="00604241"/>
    <w:rsid w:val="006043F2"/>
    <w:rsid w:val="0060474E"/>
    <w:rsid w:val="00604BE2"/>
    <w:rsid w:val="00604E67"/>
    <w:rsid w:val="006059DF"/>
    <w:rsid w:val="00605F7B"/>
    <w:rsid w:val="006064C1"/>
    <w:rsid w:val="006068E8"/>
    <w:rsid w:val="0060707B"/>
    <w:rsid w:val="0060707E"/>
    <w:rsid w:val="0060711C"/>
    <w:rsid w:val="00607664"/>
    <w:rsid w:val="00607AE4"/>
    <w:rsid w:val="00607FA8"/>
    <w:rsid w:val="00610E1D"/>
    <w:rsid w:val="00610EDC"/>
    <w:rsid w:val="00611356"/>
    <w:rsid w:val="006127F8"/>
    <w:rsid w:val="00612B99"/>
    <w:rsid w:val="00612CF5"/>
    <w:rsid w:val="00613C8C"/>
    <w:rsid w:val="006148B6"/>
    <w:rsid w:val="00616270"/>
    <w:rsid w:val="00616358"/>
    <w:rsid w:val="00617B1B"/>
    <w:rsid w:val="00617B7D"/>
    <w:rsid w:val="00617EE2"/>
    <w:rsid w:val="00620B3E"/>
    <w:rsid w:val="006215D5"/>
    <w:rsid w:val="0062182F"/>
    <w:rsid w:val="0062241E"/>
    <w:rsid w:val="006226A2"/>
    <w:rsid w:val="006228E2"/>
    <w:rsid w:val="00622FB1"/>
    <w:rsid w:val="00623C31"/>
    <w:rsid w:val="006240B3"/>
    <w:rsid w:val="00624A31"/>
    <w:rsid w:val="0062567E"/>
    <w:rsid w:val="00625CA4"/>
    <w:rsid w:val="00626691"/>
    <w:rsid w:val="00627997"/>
    <w:rsid w:val="00630B61"/>
    <w:rsid w:val="00630C90"/>
    <w:rsid w:val="00631FA2"/>
    <w:rsid w:val="0063244C"/>
    <w:rsid w:val="00633555"/>
    <w:rsid w:val="00634222"/>
    <w:rsid w:val="00634425"/>
    <w:rsid w:val="00634E66"/>
    <w:rsid w:val="0063688D"/>
    <w:rsid w:val="00636FC1"/>
    <w:rsid w:val="00637645"/>
    <w:rsid w:val="006403D0"/>
    <w:rsid w:val="00640639"/>
    <w:rsid w:val="00640767"/>
    <w:rsid w:val="00640F7D"/>
    <w:rsid w:val="006416F8"/>
    <w:rsid w:val="0064229A"/>
    <w:rsid w:val="006428C5"/>
    <w:rsid w:val="00645C75"/>
    <w:rsid w:val="006469D1"/>
    <w:rsid w:val="00646DDA"/>
    <w:rsid w:val="0065006B"/>
    <w:rsid w:val="00650908"/>
    <w:rsid w:val="00650EBF"/>
    <w:rsid w:val="0065106C"/>
    <w:rsid w:val="006526E8"/>
    <w:rsid w:val="006530BB"/>
    <w:rsid w:val="0065352B"/>
    <w:rsid w:val="00654824"/>
    <w:rsid w:val="006554A1"/>
    <w:rsid w:val="00655D39"/>
    <w:rsid w:val="00655FC3"/>
    <w:rsid w:val="0065657E"/>
    <w:rsid w:val="006565EE"/>
    <w:rsid w:val="00656D8E"/>
    <w:rsid w:val="00657C7A"/>
    <w:rsid w:val="006604A5"/>
    <w:rsid w:val="0066069C"/>
    <w:rsid w:val="006606F0"/>
    <w:rsid w:val="00660893"/>
    <w:rsid w:val="00661AF9"/>
    <w:rsid w:val="00661B51"/>
    <w:rsid w:val="00661DBF"/>
    <w:rsid w:val="00663CF3"/>
    <w:rsid w:val="00664AD0"/>
    <w:rsid w:val="00664C7C"/>
    <w:rsid w:val="00665722"/>
    <w:rsid w:val="0066583A"/>
    <w:rsid w:val="00665B4D"/>
    <w:rsid w:val="00666728"/>
    <w:rsid w:val="0066688F"/>
    <w:rsid w:val="00666F6E"/>
    <w:rsid w:val="00667350"/>
    <w:rsid w:val="006673DA"/>
    <w:rsid w:val="00667913"/>
    <w:rsid w:val="006703FC"/>
    <w:rsid w:val="00671DD6"/>
    <w:rsid w:val="00672B70"/>
    <w:rsid w:val="00673E6A"/>
    <w:rsid w:val="0067480A"/>
    <w:rsid w:val="00675EDB"/>
    <w:rsid w:val="00676E4D"/>
    <w:rsid w:val="00677034"/>
    <w:rsid w:val="00677300"/>
    <w:rsid w:val="0068067E"/>
    <w:rsid w:val="00682090"/>
    <w:rsid w:val="0068319C"/>
    <w:rsid w:val="00683A26"/>
    <w:rsid w:val="00683F4C"/>
    <w:rsid w:val="00685869"/>
    <w:rsid w:val="00685EC2"/>
    <w:rsid w:val="006860C3"/>
    <w:rsid w:val="0068611D"/>
    <w:rsid w:val="006861B0"/>
    <w:rsid w:val="00686481"/>
    <w:rsid w:val="00686BB3"/>
    <w:rsid w:val="00686FC0"/>
    <w:rsid w:val="0068743B"/>
    <w:rsid w:val="006878F2"/>
    <w:rsid w:val="00687AF8"/>
    <w:rsid w:val="00687C66"/>
    <w:rsid w:val="00687E30"/>
    <w:rsid w:val="00690ED5"/>
    <w:rsid w:val="006912D1"/>
    <w:rsid w:val="00691CD3"/>
    <w:rsid w:val="00691D4C"/>
    <w:rsid w:val="00691F1A"/>
    <w:rsid w:val="006929FB"/>
    <w:rsid w:val="00692D33"/>
    <w:rsid w:val="00694161"/>
    <w:rsid w:val="00694A12"/>
    <w:rsid w:val="00695911"/>
    <w:rsid w:val="0069609E"/>
    <w:rsid w:val="00696634"/>
    <w:rsid w:val="00696C69"/>
    <w:rsid w:val="00697712"/>
    <w:rsid w:val="006A131B"/>
    <w:rsid w:val="006A14D8"/>
    <w:rsid w:val="006A14FB"/>
    <w:rsid w:val="006A19FA"/>
    <w:rsid w:val="006A232E"/>
    <w:rsid w:val="006A30F4"/>
    <w:rsid w:val="006A35CF"/>
    <w:rsid w:val="006A3E01"/>
    <w:rsid w:val="006A4D7E"/>
    <w:rsid w:val="006A62A1"/>
    <w:rsid w:val="006A7371"/>
    <w:rsid w:val="006A7955"/>
    <w:rsid w:val="006A7A14"/>
    <w:rsid w:val="006A7F48"/>
    <w:rsid w:val="006B005F"/>
    <w:rsid w:val="006B06A0"/>
    <w:rsid w:val="006B0C56"/>
    <w:rsid w:val="006B2A5E"/>
    <w:rsid w:val="006B2B0C"/>
    <w:rsid w:val="006B3BF8"/>
    <w:rsid w:val="006B428F"/>
    <w:rsid w:val="006B4BFE"/>
    <w:rsid w:val="006B5B80"/>
    <w:rsid w:val="006B7C00"/>
    <w:rsid w:val="006C04B5"/>
    <w:rsid w:val="006C0F33"/>
    <w:rsid w:val="006C2B18"/>
    <w:rsid w:val="006C2D08"/>
    <w:rsid w:val="006C4942"/>
    <w:rsid w:val="006C4BB2"/>
    <w:rsid w:val="006C4BE5"/>
    <w:rsid w:val="006C4C52"/>
    <w:rsid w:val="006C5136"/>
    <w:rsid w:val="006C5470"/>
    <w:rsid w:val="006C571B"/>
    <w:rsid w:val="006C57AF"/>
    <w:rsid w:val="006C60D2"/>
    <w:rsid w:val="006C6CA8"/>
    <w:rsid w:val="006C6F61"/>
    <w:rsid w:val="006C7057"/>
    <w:rsid w:val="006C7186"/>
    <w:rsid w:val="006D00D7"/>
    <w:rsid w:val="006D01FB"/>
    <w:rsid w:val="006D0EAD"/>
    <w:rsid w:val="006D0FF5"/>
    <w:rsid w:val="006D1B67"/>
    <w:rsid w:val="006D1DA6"/>
    <w:rsid w:val="006D1E02"/>
    <w:rsid w:val="006D2851"/>
    <w:rsid w:val="006D2901"/>
    <w:rsid w:val="006D32C7"/>
    <w:rsid w:val="006D34FA"/>
    <w:rsid w:val="006D352B"/>
    <w:rsid w:val="006D3DFA"/>
    <w:rsid w:val="006D4186"/>
    <w:rsid w:val="006D4327"/>
    <w:rsid w:val="006D4339"/>
    <w:rsid w:val="006D457F"/>
    <w:rsid w:val="006D4D9D"/>
    <w:rsid w:val="006D508A"/>
    <w:rsid w:val="006D5D1F"/>
    <w:rsid w:val="006D5EDA"/>
    <w:rsid w:val="006D6B2A"/>
    <w:rsid w:val="006D74A6"/>
    <w:rsid w:val="006D780D"/>
    <w:rsid w:val="006D7835"/>
    <w:rsid w:val="006D7F88"/>
    <w:rsid w:val="006E03D0"/>
    <w:rsid w:val="006E0E24"/>
    <w:rsid w:val="006E107B"/>
    <w:rsid w:val="006E1692"/>
    <w:rsid w:val="006E21AC"/>
    <w:rsid w:val="006E37AF"/>
    <w:rsid w:val="006E3F1F"/>
    <w:rsid w:val="006E3F30"/>
    <w:rsid w:val="006E429A"/>
    <w:rsid w:val="006E4AC6"/>
    <w:rsid w:val="006E4B7F"/>
    <w:rsid w:val="006E4BB8"/>
    <w:rsid w:val="006E5395"/>
    <w:rsid w:val="006E5418"/>
    <w:rsid w:val="006E5646"/>
    <w:rsid w:val="006E581E"/>
    <w:rsid w:val="006E5C97"/>
    <w:rsid w:val="006E5E54"/>
    <w:rsid w:val="006E7B27"/>
    <w:rsid w:val="006F05C3"/>
    <w:rsid w:val="006F0E5E"/>
    <w:rsid w:val="006F15B1"/>
    <w:rsid w:val="006F174B"/>
    <w:rsid w:val="006F1DE8"/>
    <w:rsid w:val="006F20C8"/>
    <w:rsid w:val="006F2557"/>
    <w:rsid w:val="006F2BF8"/>
    <w:rsid w:val="006F3032"/>
    <w:rsid w:val="006F3205"/>
    <w:rsid w:val="006F3307"/>
    <w:rsid w:val="006F346E"/>
    <w:rsid w:val="006F4DB5"/>
    <w:rsid w:val="006F4FE9"/>
    <w:rsid w:val="006F52BD"/>
    <w:rsid w:val="006F58D1"/>
    <w:rsid w:val="006F5B38"/>
    <w:rsid w:val="006F6A9F"/>
    <w:rsid w:val="006F6E2D"/>
    <w:rsid w:val="00700579"/>
    <w:rsid w:val="007008AD"/>
    <w:rsid w:val="00700F3B"/>
    <w:rsid w:val="007010C3"/>
    <w:rsid w:val="00701838"/>
    <w:rsid w:val="00701E5A"/>
    <w:rsid w:val="00702822"/>
    <w:rsid w:val="00702AC3"/>
    <w:rsid w:val="00702D9C"/>
    <w:rsid w:val="00702E53"/>
    <w:rsid w:val="0070367B"/>
    <w:rsid w:val="00705ED0"/>
    <w:rsid w:val="00706259"/>
    <w:rsid w:val="00706979"/>
    <w:rsid w:val="007071EC"/>
    <w:rsid w:val="00707ED6"/>
    <w:rsid w:val="00710268"/>
    <w:rsid w:val="00710C60"/>
    <w:rsid w:val="00710CF7"/>
    <w:rsid w:val="0071211C"/>
    <w:rsid w:val="0071282D"/>
    <w:rsid w:val="007135AF"/>
    <w:rsid w:val="007155FA"/>
    <w:rsid w:val="00715F70"/>
    <w:rsid w:val="00717835"/>
    <w:rsid w:val="00717DE4"/>
    <w:rsid w:val="00720489"/>
    <w:rsid w:val="0072072E"/>
    <w:rsid w:val="00720BC7"/>
    <w:rsid w:val="00721369"/>
    <w:rsid w:val="0072174A"/>
    <w:rsid w:val="00721C66"/>
    <w:rsid w:val="0072229F"/>
    <w:rsid w:val="007226DE"/>
    <w:rsid w:val="00722B78"/>
    <w:rsid w:val="00723374"/>
    <w:rsid w:val="00724059"/>
    <w:rsid w:val="00724294"/>
    <w:rsid w:val="007246D8"/>
    <w:rsid w:val="007247DB"/>
    <w:rsid w:val="00724F1A"/>
    <w:rsid w:val="00725377"/>
    <w:rsid w:val="007265B3"/>
    <w:rsid w:val="007277EE"/>
    <w:rsid w:val="00730697"/>
    <w:rsid w:val="0073096B"/>
    <w:rsid w:val="00730D91"/>
    <w:rsid w:val="00731649"/>
    <w:rsid w:val="007317BC"/>
    <w:rsid w:val="00731920"/>
    <w:rsid w:val="007325C8"/>
    <w:rsid w:val="007328E6"/>
    <w:rsid w:val="00733413"/>
    <w:rsid w:val="0073357B"/>
    <w:rsid w:val="00733733"/>
    <w:rsid w:val="00733A77"/>
    <w:rsid w:val="00733EA1"/>
    <w:rsid w:val="0073433E"/>
    <w:rsid w:val="007347BB"/>
    <w:rsid w:val="00734AF8"/>
    <w:rsid w:val="00734D74"/>
    <w:rsid w:val="00736CE0"/>
    <w:rsid w:val="00736FCC"/>
    <w:rsid w:val="007375BE"/>
    <w:rsid w:val="007377F1"/>
    <w:rsid w:val="00741166"/>
    <w:rsid w:val="00741A84"/>
    <w:rsid w:val="00742005"/>
    <w:rsid w:val="0074205E"/>
    <w:rsid w:val="00742246"/>
    <w:rsid w:val="007439F4"/>
    <w:rsid w:val="00743B81"/>
    <w:rsid w:val="00745B47"/>
    <w:rsid w:val="00745EE6"/>
    <w:rsid w:val="00745F3B"/>
    <w:rsid w:val="007462DC"/>
    <w:rsid w:val="0074676D"/>
    <w:rsid w:val="00746993"/>
    <w:rsid w:val="00747267"/>
    <w:rsid w:val="00747BF6"/>
    <w:rsid w:val="007505B0"/>
    <w:rsid w:val="00751946"/>
    <w:rsid w:val="0075228A"/>
    <w:rsid w:val="007527E0"/>
    <w:rsid w:val="007528AF"/>
    <w:rsid w:val="00752EB9"/>
    <w:rsid w:val="007532C9"/>
    <w:rsid w:val="00753633"/>
    <w:rsid w:val="007542BA"/>
    <w:rsid w:val="00754981"/>
    <w:rsid w:val="00754D1F"/>
    <w:rsid w:val="00755768"/>
    <w:rsid w:val="007557C4"/>
    <w:rsid w:val="00756119"/>
    <w:rsid w:val="007562B3"/>
    <w:rsid w:val="0075668F"/>
    <w:rsid w:val="00757000"/>
    <w:rsid w:val="0075702A"/>
    <w:rsid w:val="007570B7"/>
    <w:rsid w:val="00757248"/>
    <w:rsid w:val="00757445"/>
    <w:rsid w:val="00760434"/>
    <w:rsid w:val="00760457"/>
    <w:rsid w:val="00760717"/>
    <w:rsid w:val="00761877"/>
    <w:rsid w:val="00761FAB"/>
    <w:rsid w:val="00762583"/>
    <w:rsid w:val="00762B88"/>
    <w:rsid w:val="00763B43"/>
    <w:rsid w:val="00763D19"/>
    <w:rsid w:val="00764A1F"/>
    <w:rsid w:val="00764AB6"/>
    <w:rsid w:val="00764BF7"/>
    <w:rsid w:val="00764D2D"/>
    <w:rsid w:val="0076546B"/>
    <w:rsid w:val="00766004"/>
    <w:rsid w:val="00766697"/>
    <w:rsid w:val="00770180"/>
    <w:rsid w:val="007704A9"/>
    <w:rsid w:val="00770787"/>
    <w:rsid w:val="00770C15"/>
    <w:rsid w:val="0077161A"/>
    <w:rsid w:val="00771ED1"/>
    <w:rsid w:val="00772867"/>
    <w:rsid w:val="00772B26"/>
    <w:rsid w:val="00772C00"/>
    <w:rsid w:val="00772EDE"/>
    <w:rsid w:val="0077330C"/>
    <w:rsid w:val="00774B02"/>
    <w:rsid w:val="00775D40"/>
    <w:rsid w:val="00776D16"/>
    <w:rsid w:val="00777CCA"/>
    <w:rsid w:val="0078055E"/>
    <w:rsid w:val="007807C5"/>
    <w:rsid w:val="00780E71"/>
    <w:rsid w:val="00780F78"/>
    <w:rsid w:val="00783919"/>
    <w:rsid w:val="00783DA7"/>
    <w:rsid w:val="00783FD7"/>
    <w:rsid w:val="00784603"/>
    <w:rsid w:val="00784D9E"/>
    <w:rsid w:val="00785D0D"/>
    <w:rsid w:val="0078653A"/>
    <w:rsid w:val="0078695E"/>
    <w:rsid w:val="00790D14"/>
    <w:rsid w:val="007911B9"/>
    <w:rsid w:val="00791232"/>
    <w:rsid w:val="0079165D"/>
    <w:rsid w:val="00791BB5"/>
    <w:rsid w:val="00792072"/>
    <w:rsid w:val="00792C32"/>
    <w:rsid w:val="00794AFB"/>
    <w:rsid w:val="007963AF"/>
    <w:rsid w:val="00796B8E"/>
    <w:rsid w:val="00797164"/>
    <w:rsid w:val="0079737A"/>
    <w:rsid w:val="0079768B"/>
    <w:rsid w:val="00797F70"/>
    <w:rsid w:val="007A0001"/>
    <w:rsid w:val="007A033B"/>
    <w:rsid w:val="007A08CB"/>
    <w:rsid w:val="007A144F"/>
    <w:rsid w:val="007A1D1D"/>
    <w:rsid w:val="007A238A"/>
    <w:rsid w:val="007A293E"/>
    <w:rsid w:val="007A2BBA"/>
    <w:rsid w:val="007A2EF4"/>
    <w:rsid w:val="007A387D"/>
    <w:rsid w:val="007A43AD"/>
    <w:rsid w:val="007A4CFF"/>
    <w:rsid w:val="007A56BC"/>
    <w:rsid w:val="007A5E7D"/>
    <w:rsid w:val="007A6063"/>
    <w:rsid w:val="007A7123"/>
    <w:rsid w:val="007A7F3A"/>
    <w:rsid w:val="007B0003"/>
    <w:rsid w:val="007B006C"/>
    <w:rsid w:val="007B008F"/>
    <w:rsid w:val="007B0C5C"/>
    <w:rsid w:val="007B13FA"/>
    <w:rsid w:val="007B17C2"/>
    <w:rsid w:val="007B2B65"/>
    <w:rsid w:val="007B2B68"/>
    <w:rsid w:val="007B3030"/>
    <w:rsid w:val="007B3205"/>
    <w:rsid w:val="007B32AD"/>
    <w:rsid w:val="007B4A75"/>
    <w:rsid w:val="007B67DA"/>
    <w:rsid w:val="007B696C"/>
    <w:rsid w:val="007B7D65"/>
    <w:rsid w:val="007C0BE8"/>
    <w:rsid w:val="007C0D2F"/>
    <w:rsid w:val="007C0D97"/>
    <w:rsid w:val="007C0EBF"/>
    <w:rsid w:val="007C1AD0"/>
    <w:rsid w:val="007C2127"/>
    <w:rsid w:val="007C2EEC"/>
    <w:rsid w:val="007C31C5"/>
    <w:rsid w:val="007C44DA"/>
    <w:rsid w:val="007C4DFC"/>
    <w:rsid w:val="007C5041"/>
    <w:rsid w:val="007C5496"/>
    <w:rsid w:val="007C5970"/>
    <w:rsid w:val="007C7276"/>
    <w:rsid w:val="007C7686"/>
    <w:rsid w:val="007D0ACB"/>
    <w:rsid w:val="007D189D"/>
    <w:rsid w:val="007D1FBD"/>
    <w:rsid w:val="007D3C72"/>
    <w:rsid w:val="007D40E8"/>
    <w:rsid w:val="007D4491"/>
    <w:rsid w:val="007D4557"/>
    <w:rsid w:val="007D46EC"/>
    <w:rsid w:val="007D4D5F"/>
    <w:rsid w:val="007D5276"/>
    <w:rsid w:val="007D55F0"/>
    <w:rsid w:val="007D5636"/>
    <w:rsid w:val="007D5AE4"/>
    <w:rsid w:val="007D6689"/>
    <w:rsid w:val="007D73A0"/>
    <w:rsid w:val="007D76FB"/>
    <w:rsid w:val="007D7FED"/>
    <w:rsid w:val="007E0153"/>
    <w:rsid w:val="007E08E0"/>
    <w:rsid w:val="007E0B9B"/>
    <w:rsid w:val="007E0F14"/>
    <w:rsid w:val="007E1DFE"/>
    <w:rsid w:val="007E202A"/>
    <w:rsid w:val="007E2907"/>
    <w:rsid w:val="007E3170"/>
    <w:rsid w:val="007E3250"/>
    <w:rsid w:val="007E3E32"/>
    <w:rsid w:val="007E4256"/>
    <w:rsid w:val="007E5364"/>
    <w:rsid w:val="007E562B"/>
    <w:rsid w:val="007E58F5"/>
    <w:rsid w:val="007E636D"/>
    <w:rsid w:val="007F05C3"/>
    <w:rsid w:val="007F07F0"/>
    <w:rsid w:val="007F1BD7"/>
    <w:rsid w:val="007F2184"/>
    <w:rsid w:val="007F2B2C"/>
    <w:rsid w:val="007F2B52"/>
    <w:rsid w:val="007F3CD8"/>
    <w:rsid w:val="007F3E3C"/>
    <w:rsid w:val="007F3EDB"/>
    <w:rsid w:val="007F5171"/>
    <w:rsid w:val="007F57EE"/>
    <w:rsid w:val="007F5AC2"/>
    <w:rsid w:val="007F641E"/>
    <w:rsid w:val="007F7E0E"/>
    <w:rsid w:val="007F7E5C"/>
    <w:rsid w:val="00800247"/>
    <w:rsid w:val="00800EE9"/>
    <w:rsid w:val="008011EB"/>
    <w:rsid w:val="00801226"/>
    <w:rsid w:val="00801786"/>
    <w:rsid w:val="0080246F"/>
    <w:rsid w:val="00803E6C"/>
    <w:rsid w:val="00803F61"/>
    <w:rsid w:val="008050EE"/>
    <w:rsid w:val="00805A1D"/>
    <w:rsid w:val="00805E13"/>
    <w:rsid w:val="008061A7"/>
    <w:rsid w:val="00806ADA"/>
    <w:rsid w:val="008071C5"/>
    <w:rsid w:val="0080735D"/>
    <w:rsid w:val="0080769B"/>
    <w:rsid w:val="00810BB3"/>
    <w:rsid w:val="00812645"/>
    <w:rsid w:val="008128C6"/>
    <w:rsid w:val="00813EE2"/>
    <w:rsid w:val="00814493"/>
    <w:rsid w:val="00814782"/>
    <w:rsid w:val="0081502F"/>
    <w:rsid w:val="0081586E"/>
    <w:rsid w:val="008167C3"/>
    <w:rsid w:val="00816BCF"/>
    <w:rsid w:val="00816EB4"/>
    <w:rsid w:val="008173F0"/>
    <w:rsid w:val="00817A25"/>
    <w:rsid w:val="008205B4"/>
    <w:rsid w:val="008206B2"/>
    <w:rsid w:val="0082083D"/>
    <w:rsid w:val="00820D44"/>
    <w:rsid w:val="00821A0D"/>
    <w:rsid w:val="00821AC8"/>
    <w:rsid w:val="008221AA"/>
    <w:rsid w:val="0082263E"/>
    <w:rsid w:val="008229F4"/>
    <w:rsid w:val="0082448C"/>
    <w:rsid w:val="008245D5"/>
    <w:rsid w:val="00824929"/>
    <w:rsid w:val="00824D98"/>
    <w:rsid w:val="008260D7"/>
    <w:rsid w:val="00826253"/>
    <w:rsid w:val="0082671D"/>
    <w:rsid w:val="00826DD8"/>
    <w:rsid w:val="008270DC"/>
    <w:rsid w:val="00827BF4"/>
    <w:rsid w:val="0083118E"/>
    <w:rsid w:val="008311C1"/>
    <w:rsid w:val="00831EA7"/>
    <w:rsid w:val="008327CC"/>
    <w:rsid w:val="00832BD2"/>
    <w:rsid w:val="00833027"/>
    <w:rsid w:val="00833324"/>
    <w:rsid w:val="00833496"/>
    <w:rsid w:val="00833CE2"/>
    <w:rsid w:val="00835A63"/>
    <w:rsid w:val="00835DBB"/>
    <w:rsid w:val="008369A7"/>
    <w:rsid w:val="00836EE9"/>
    <w:rsid w:val="008377B5"/>
    <w:rsid w:val="0084059F"/>
    <w:rsid w:val="008406AF"/>
    <w:rsid w:val="00841089"/>
    <w:rsid w:val="00841477"/>
    <w:rsid w:val="00841562"/>
    <w:rsid w:val="00841F0F"/>
    <w:rsid w:val="008426DF"/>
    <w:rsid w:val="00842BF1"/>
    <w:rsid w:val="00842E02"/>
    <w:rsid w:val="008433F1"/>
    <w:rsid w:val="00843A83"/>
    <w:rsid w:val="00843EAF"/>
    <w:rsid w:val="008442E1"/>
    <w:rsid w:val="008452C5"/>
    <w:rsid w:val="008478B1"/>
    <w:rsid w:val="00850032"/>
    <w:rsid w:val="0085028C"/>
    <w:rsid w:val="008502C2"/>
    <w:rsid w:val="00850422"/>
    <w:rsid w:val="0085049B"/>
    <w:rsid w:val="008507EF"/>
    <w:rsid w:val="00850904"/>
    <w:rsid w:val="00850C3E"/>
    <w:rsid w:val="008525DD"/>
    <w:rsid w:val="0085364C"/>
    <w:rsid w:val="00853829"/>
    <w:rsid w:val="00853BF9"/>
    <w:rsid w:val="00854272"/>
    <w:rsid w:val="008567D3"/>
    <w:rsid w:val="00856AB0"/>
    <w:rsid w:val="00857731"/>
    <w:rsid w:val="00860984"/>
    <w:rsid w:val="0086176F"/>
    <w:rsid w:val="00861FED"/>
    <w:rsid w:val="00862A3F"/>
    <w:rsid w:val="00862FC3"/>
    <w:rsid w:val="0086366D"/>
    <w:rsid w:val="00864083"/>
    <w:rsid w:val="00864606"/>
    <w:rsid w:val="0086462D"/>
    <w:rsid w:val="008648BF"/>
    <w:rsid w:val="00864C82"/>
    <w:rsid w:val="0086543E"/>
    <w:rsid w:val="008664ED"/>
    <w:rsid w:val="008665E1"/>
    <w:rsid w:val="00866828"/>
    <w:rsid w:val="00866EA6"/>
    <w:rsid w:val="00867A91"/>
    <w:rsid w:val="00867C20"/>
    <w:rsid w:val="00870BB1"/>
    <w:rsid w:val="00870D07"/>
    <w:rsid w:val="00870E40"/>
    <w:rsid w:val="008712B6"/>
    <w:rsid w:val="00871335"/>
    <w:rsid w:val="0087187D"/>
    <w:rsid w:val="00871B17"/>
    <w:rsid w:val="00871D01"/>
    <w:rsid w:val="00871DBE"/>
    <w:rsid w:val="00871E93"/>
    <w:rsid w:val="00871EAB"/>
    <w:rsid w:val="00872B95"/>
    <w:rsid w:val="008733D8"/>
    <w:rsid w:val="00874041"/>
    <w:rsid w:val="008745A8"/>
    <w:rsid w:val="00875887"/>
    <w:rsid w:val="00877CA6"/>
    <w:rsid w:val="0088023E"/>
    <w:rsid w:val="00880C6E"/>
    <w:rsid w:val="00881131"/>
    <w:rsid w:val="0088245A"/>
    <w:rsid w:val="008832DB"/>
    <w:rsid w:val="00883488"/>
    <w:rsid w:val="00884B5C"/>
    <w:rsid w:val="0088500E"/>
    <w:rsid w:val="00886824"/>
    <w:rsid w:val="00886A2A"/>
    <w:rsid w:val="00886AC1"/>
    <w:rsid w:val="00886DCC"/>
    <w:rsid w:val="00886F51"/>
    <w:rsid w:val="008876AB"/>
    <w:rsid w:val="008912C6"/>
    <w:rsid w:val="008915FB"/>
    <w:rsid w:val="00892A8B"/>
    <w:rsid w:val="008931E5"/>
    <w:rsid w:val="00893B09"/>
    <w:rsid w:val="00894778"/>
    <w:rsid w:val="0089577E"/>
    <w:rsid w:val="00895891"/>
    <w:rsid w:val="00895CB0"/>
    <w:rsid w:val="008970B3"/>
    <w:rsid w:val="008970F2"/>
    <w:rsid w:val="008977F9"/>
    <w:rsid w:val="00897DE4"/>
    <w:rsid w:val="008A0DDF"/>
    <w:rsid w:val="008A17B6"/>
    <w:rsid w:val="008A1A85"/>
    <w:rsid w:val="008A1C8F"/>
    <w:rsid w:val="008A1F39"/>
    <w:rsid w:val="008A2615"/>
    <w:rsid w:val="008A2948"/>
    <w:rsid w:val="008A316D"/>
    <w:rsid w:val="008A53FB"/>
    <w:rsid w:val="008A549E"/>
    <w:rsid w:val="008A65AC"/>
    <w:rsid w:val="008A66A1"/>
    <w:rsid w:val="008A6CFC"/>
    <w:rsid w:val="008A7380"/>
    <w:rsid w:val="008A7EB7"/>
    <w:rsid w:val="008B05DA"/>
    <w:rsid w:val="008B0F94"/>
    <w:rsid w:val="008B25E6"/>
    <w:rsid w:val="008B2A1D"/>
    <w:rsid w:val="008B30FB"/>
    <w:rsid w:val="008B3233"/>
    <w:rsid w:val="008B3B75"/>
    <w:rsid w:val="008B3FDA"/>
    <w:rsid w:val="008B4683"/>
    <w:rsid w:val="008B472E"/>
    <w:rsid w:val="008B57A8"/>
    <w:rsid w:val="008B6735"/>
    <w:rsid w:val="008B7391"/>
    <w:rsid w:val="008C00B4"/>
    <w:rsid w:val="008C11EE"/>
    <w:rsid w:val="008C1668"/>
    <w:rsid w:val="008C1BFF"/>
    <w:rsid w:val="008C2A50"/>
    <w:rsid w:val="008C2D1C"/>
    <w:rsid w:val="008C2EB3"/>
    <w:rsid w:val="008C3819"/>
    <w:rsid w:val="008C3F32"/>
    <w:rsid w:val="008C3FAF"/>
    <w:rsid w:val="008C4600"/>
    <w:rsid w:val="008C479D"/>
    <w:rsid w:val="008C49C8"/>
    <w:rsid w:val="008C5F30"/>
    <w:rsid w:val="008C62AD"/>
    <w:rsid w:val="008C6452"/>
    <w:rsid w:val="008C6AD7"/>
    <w:rsid w:val="008C6BEB"/>
    <w:rsid w:val="008C6C0E"/>
    <w:rsid w:val="008D0027"/>
    <w:rsid w:val="008D03F2"/>
    <w:rsid w:val="008D0D97"/>
    <w:rsid w:val="008D0E49"/>
    <w:rsid w:val="008D10CF"/>
    <w:rsid w:val="008D14E9"/>
    <w:rsid w:val="008D1717"/>
    <w:rsid w:val="008D174D"/>
    <w:rsid w:val="008D1C57"/>
    <w:rsid w:val="008D2E1A"/>
    <w:rsid w:val="008D2F5D"/>
    <w:rsid w:val="008D2FF6"/>
    <w:rsid w:val="008D3DBE"/>
    <w:rsid w:val="008D4FFA"/>
    <w:rsid w:val="008D554A"/>
    <w:rsid w:val="008D5DC5"/>
    <w:rsid w:val="008D5E67"/>
    <w:rsid w:val="008D618C"/>
    <w:rsid w:val="008D70E4"/>
    <w:rsid w:val="008D7589"/>
    <w:rsid w:val="008E05A0"/>
    <w:rsid w:val="008E068C"/>
    <w:rsid w:val="008E0AA6"/>
    <w:rsid w:val="008E1A88"/>
    <w:rsid w:val="008E2B05"/>
    <w:rsid w:val="008E4D9D"/>
    <w:rsid w:val="008E569D"/>
    <w:rsid w:val="008E5C2E"/>
    <w:rsid w:val="008E5CE3"/>
    <w:rsid w:val="008F0099"/>
    <w:rsid w:val="008F0605"/>
    <w:rsid w:val="008F0A60"/>
    <w:rsid w:val="008F2340"/>
    <w:rsid w:val="008F2890"/>
    <w:rsid w:val="008F2DEC"/>
    <w:rsid w:val="008F3F14"/>
    <w:rsid w:val="008F41FE"/>
    <w:rsid w:val="008F42C3"/>
    <w:rsid w:val="008F442B"/>
    <w:rsid w:val="008F4A40"/>
    <w:rsid w:val="008F5110"/>
    <w:rsid w:val="008F54B4"/>
    <w:rsid w:val="008F68DC"/>
    <w:rsid w:val="008F6C28"/>
    <w:rsid w:val="00900845"/>
    <w:rsid w:val="00901D99"/>
    <w:rsid w:val="0090201C"/>
    <w:rsid w:val="0090251D"/>
    <w:rsid w:val="00902E57"/>
    <w:rsid w:val="00903920"/>
    <w:rsid w:val="009039B3"/>
    <w:rsid w:val="00903CF0"/>
    <w:rsid w:val="00903FBC"/>
    <w:rsid w:val="00904305"/>
    <w:rsid w:val="009049D1"/>
    <w:rsid w:val="00904B63"/>
    <w:rsid w:val="00905A5F"/>
    <w:rsid w:val="009062BF"/>
    <w:rsid w:val="00906B06"/>
    <w:rsid w:val="00906D97"/>
    <w:rsid w:val="00906F7A"/>
    <w:rsid w:val="00907039"/>
    <w:rsid w:val="009074C5"/>
    <w:rsid w:val="0090780E"/>
    <w:rsid w:val="00910330"/>
    <w:rsid w:val="00910824"/>
    <w:rsid w:val="00910888"/>
    <w:rsid w:val="00910A96"/>
    <w:rsid w:val="00910CCC"/>
    <w:rsid w:val="00911DF4"/>
    <w:rsid w:val="0091239E"/>
    <w:rsid w:val="00912BD8"/>
    <w:rsid w:val="00913997"/>
    <w:rsid w:val="009141DF"/>
    <w:rsid w:val="00914D63"/>
    <w:rsid w:val="00914DC2"/>
    <w:rsid w:val="00915267"/>
    <w:rsid w:val="00915C50"/>
    <w:rsid w:val="009161C3"/>
    <w:rsid w:val="00917120"/>
    <w:rsid w:val="009171A0"/>
    <w:rsid w:val="009200BB"/>
    <w:rsid w:val="00920B77"/>
    <w:rsid w:val="0092187D"/>
    <w:rsid w:val="00921A94"/>
    <w:rsid w:val="0092248C"/>
    <w:rsid w:val="00922DEC"/>
    <w:rsid w:val="00922ECF"/>
    <w:rsid w:val="00922FC1"/>
    <w:rsid w:val="009232EE"/>
    <w:rsid w:val="00923917"/>
    <w:rsid w:val="00923AD7"/>
    <w:rsid w:val="00923F25"/>
    <w:rsid w:val="0092466F"/>
    <w:rsid w:val="009249C2"/>
    <w:rsid w:val="00924AC8"/>
    <w:rsid w:val="00924BCD"/>
    <w:rsid w:val="00925D56"/>
    <w:rsid w:val="0092612F"/>
    <w:rsid w:val="0092640D"/>
    <w:rsid w:val="0092668F"/>
    <w:rsid w:val="00927E3F"/>
    <w:rsid w:val="00927F48"/>
    <w:rsid w:val="00930FCC"/>
    <w:rsid w:val="00931E54"/>
    <w:rsid w:val="00932D97"/>
    <w:rsid w:val="00933477"/>
    <w:rsid w:val="009339CF"/>
    <w:rsid w:val="00934129"/>
    <w:rsid w:val="0093502E"/>
    <w:rsid w:val="00935AE8"/>
    <w:rsid w:val="009361A2"/>
    <w:rsid w:val="00936A87"/>
    <w:rsid w:val="009379DE"/>
    <w:rsid w:val="0094005C"/>
    <w:rsid w:val="0094179F"/>
    <w:rsid w:val="00941CA5"/>
    <w:rsid w:val="0094325C"/>
    <w:rsid w:val="009438B7"/>
    <w:rsid w:val="00944853"/>
    <w:rsid w:val="00944E30"/>
    <w:rsid w:val="00945318"/>
    <w:rsid w:val="00945B4D"/>
    <w:rsid w:val="00945EEF"/>
    <w:rsid w:val="009462F9"/>
    <w:rsid w:val="009477FF"/>
    <w:rsid w:val="00947F66"/>
    <w:rsid w:val="009500BC"/>
    <w:rsid w:val="009506BF"/>
    <w:rsid w:val="00951D79"/>
    <w:rsid w:val="009536A2"/>
    <w:rsid w:val="009539EB"/>
    <w:rsid w:val="00954629"/>
    <w:rsid w:val="00954F94"/>
    <w:rsid w:val="00955246"/>
    <w:rsid w:val="009558B6"/>
    <w:rsid w:val="0095637D"/>
    <w:rsid w:val="00956D8E"/>
    <w:rsid w:val="009575CF"/>
    <w:rsid w:val="00957ECB"/>
    <w:rsid w:val="009609C2"/>
    <w:rsid w:val="00961994"/>
    <w:rsid w:val="00961AC1"/>
    <w:rsid w:val="00962B01"/>
    <w:rsid w:val="00962F5F"/>
    <w:rsid w:val="0096337B"/>
    <w:rsid w:val="009634B7"/>
    <w:rsid w:val="009636F6"/>
    <w:rsid w:val="00964E59"/>
    <w:rsid w:val="009655E8"/>
    <w:rsid w:val="009666C0"/>
    <w:rsid w:val="00966860"/>
    <w:rsid w:val="00967612"/>
    <w:rsid w:val="0096790E"/>
    <w:rsid w:val="00967F46"/>
    <w:rsid w:val="009705C6"/>
    <w:rsid w:val="00970914"/>
    <w:rsid w:val="00971479"/>
    <w:rsid w:val="00971A74"/>
    <w:rsid w:val="00971C3A"/>
    <w:rsid w:val="0097248A"/>
    <w:rsid w:val="00972641"/>
    <w:rsid w:val="009727E2"/>
    <w:rsid w:val="00973040"/>
    <w:rsid w:val="009739B4"/>
    <w:rsid w:val="00973A02"/>
    <w:rsid w:val="009746A1"/>
    <w:rsid w:val="00974928"/>
    <w:rsid w:val="00974A06"/>
    <w:rsid w:val="00974B18"/>
    <w:rsid w:val="00974FB2"/>
    <w:rsid w:val="009751DC"/>
    <w:rsid w:val="00976597"/>
    <w:rsid w:val="00976E8A"/>
    <w:rsid w:val="00976E96"/>
    <w:rsid w:val="00977345"/>
    <w:rsid w:val="00980270"/>
    <w:rsid w:val="00980D53"/>
    <w:rsid w:val="009810FB"/>
    <w:rsid w:val="00981759"/>
    <w:rsid w:val="0098195B"/>
    <w:rsid w:val="0098277F"/>
    <w:rsid w:val="0098306F"/>
    <w:rsid w:val="009831E6"/>
    <w:rsid w:val="00983C52"/>
    <w:rsid w:val="00983ECF"/>
    <w:rsid w:val="009842BA"/>
    <w:rsid w:val="009846F1"/>
    <w:rsid w:val="00984F1E"/>
    <w:rsid w:val="0098506C"/>
    <w:rsid w:val="00985089"/>
    <w:rsid w:val="009853F5"/>
    <w:rsid w:val="00985454"/>
    <w:rsid w:val="00985A83"/>
    <w:rsid w:val="00985C72"/>
    <w:rsid w:val="009864B2"/>
    <w:rsid w:val="00986949"/>
    <w:rsid w:val="00986A71"/>
    <w:rsid w:val="00986CFB"/>
    <w:rsid w:val="009901EE"/>
    <w:rsid w:val="00990344"/>
    <w:rsid w:val="00990736"/>
    <w:rsid w:val="009909AD"/>
    <w:rsid w:val="00991650"/>
    <w:rsid w:val="009916D5"/>
    <w:rsid w:val="00991BFF"/>
    <w:rsid w:val="00991FC3"/>
    <w:rsid w:val="00991FE7"/>
    <w:rsid w:val="00992394"/>
    <w:rsid w:val="0099276A"/>
    <w:rsid w:val="00992CA5"/>
    <w:rsid w:val="00992F01"/>
    <w:rsid w:val="00993BC1"/>
    <w:rsid w:val="009946A0"/>
    <w:rsid w:val="00994791"/>
    <w:rsid w:val="00994BF3"/>
    <w:rsid w:val="00995816"/>
    <w:rsid w:val="009961FA"/>
    <w:rsid w:val="00996370"/>
    <w:rsid w:val="00997530"/>
    <w:rsid w:val="00997DBE"/>
    <w:rsid w:val="009A0B06"/>
    <w:rsid w:val="009A0CF7"/>
    <w:rsid w:val="009A1180"/>
    <w:rsid w:val="009A11FD"/>
    <w:rsid w:val="009A12F0"/>
    <w:rsid w:val="009A1541"/>
    <w:rsid w:val="009A28AF"/>
    <w:rsid w:val="009A2E65"/>
    <w:rsid w:val="009A33D2"/>
    <w:rsid w:val="009A3AAC"/>
    <w:rsid w:val="009A3BB2"/>
    <w:rsid w:val="009A3DB4"/>
    <w:rsid w:val="009A4629"/>
    <w:rsid w:val="009A4EFC"/>
    <w:rsid w:val="009A5A09"/>
    <w:rsid w:val="009A665D"/>
    <w:rsid w:val="009A6BE0"/>
    <w:rsid w:val="009A6C0C"/>
    <w:rsid w:val="009A6E3B"/>
    <w:rsid w:val="009A7394"/>
    <w:rsid w:val="009A756D"/>
    <w:rsid w:val="009A7BE0"/>
    <w:rsid w:val="009A7C54"/>
    <w:rsid w:val="009A7F16"/>
    <w:rsid w:val="009B0D37"/>
    <w:rsid w:val="009B1988"/>
    <w:rsid w:val="009B2E15"/>
    <w:rsid w:val="009B40AE"/>
    <w:rsid w:val="009B457B"/>
    <w:rsid w:val="009B4B0D"/>
    <w:rsid w:val="009B5A43"/>
    <w:rsid w:val="009B5AC5"/>
    <w:rsid w:val="009B606D"/>
    <w:rsid w:val="009B6105"/>
    <w:rsid w:val="009B7D73"/>
    <w:rsid w:val="009C1022"/>
    <w:rsid w:val="009C1865"/>
    <w:rsid w:val="009C1A67"/>
    <w:rsid w:val="009C1EA9"/>
    <w:rsid w:val="009C32A5"/>
    <w:rsid w:val="009C3B24"/>
    <w:rsid w:val="009C419C"/>
    <w:rsid w:val="009C454E"/>
    <w:rsid w:val="009C5091"/>
    <w:rsid w:val="009C5170"/>
    <w:rsid w:val="009C519B"/>
    <w:rsid w:val="009C57E1"/>
    <w:rsid w:val="009C5B28"/>
    <w:rsid w:val="009C5B98"/>
    <w:rsid w:val="009C6CBB"/>
    <w:rsid w:val="009C7411"/>
    <w:rsid w:val="009C74D5"/>
    <w:rsid w:val="009C76F2"/>
    <w:rsid w:val="009D02BF"/>
    <w:rsid w:val="009D263A"/>
    <w:rsid w:val="009D2EC6"/>
    <w:rsid w:val="009D2F27"/>
    <w:rsid w:val="009D3C6C"/>
    <w:rsid w:val="009D465B"/>
    <w:rsid w:val="009D4F49"/>
    <w:rsid w:val="009D5A73"/>
    <w:rsid w:val="009D5B4E"/>
    <w:rsid w:val="009D5C69"/>
    <w:rsid w:val="009D5C70"/>
    <w:rsid w:val="009D7A98"/>
    <w:rsid w:val="009E0234"/>
    <w:rsid w:val="009E07EA"/>
    <w:rsid w:val="009E0A14"/>
    <w:rsid w:val="009E0AFB"/>
    <w:rsid w:val="009E0DFB"/>
    <w:rsid w:val="009E1059"/>
    <w:rsid w:val="009E120D"/>
    <w:rsid w:val="009E1234"/>
    <w:rsid w:val="009E19CE"/>
    <w:rsid w:val="009E2C93"/>
    <w:rsid w:val="009E3311"/>
    <w:rsid w:val="009E3CCB"/>
    <w:rsid w:val="009E433C"/>
    <w:rsid w:val="009E5299"/>
    <w:rsid w:val="009E6159"/>
    <w:rsid w:val="009E631E"/>
    <w:rsid w:val="009E709A"/>
    <w:rsid w:val="009E7815"/>
    <w:rsid w:val="009E79CB"/>
    <w:rsid w:val="009F0360"/>
    <w:rsid w:val="009F0786"/>
    <w:rsid w:val="009F0EAB"/>
    <w:rsid w:val="009F104D"/>
    <w:rsid w:val="009F146E"/>
    <w:rsid w:val="009F14CE"/>
    <w:rsid w:val="009F150E"/>
    <w:rsid w:val="009F1596"/>
    <w:rsid w:val="009F2049"/>
    <w:rsid w:val="009F228E"/>
    <w:rsid w:val="009F2466"/>
    <w:rsid w:val="009F54AE"/>
    <w:rsid w:val="009F5DF8"/>
    <w:rsid w:val="009F61BC"/>
    <w:rsid w:val="009F67CC"/>
    <w:rsid w:val="009F724C"/>
    <w:rsid w:val="009F7643"/>
    <w:rsid w:val="009F78B0"/>
    <w:rsid w:val="009F795C"/>
    <w:rsid w:val="009F7E1A"/>
    <w:rsid w:val="00A005C2"/>
    <w:rsid w:val="00A0104A"/>
    <w:rsid w:val="00A01B23"/>
    <w:rsid w:val="00A021C3"/>
    <w:rsid w:val="00A02382"/>
    <w:rsid w:val="00A02498"/>
    <w:rsid w:val="00A0265B"/>
    <w:rsid w:val="00A02E68"/>
    <w:rsid w:val="00A03053"/>
    <w:rsid w:val="00A038AB"/>
    <w:rsid w:val="00A045E8"/>
    <w:rsid w:val="00A05085"/>
    <w:rsid w:val="00A05302"/>
    <w:rsid w:val="00A062C9"/>
    <w:rsid w:val="00A06425"/>
    <w:rsid w:val="00A07204"/>
    <w:rsid w:val="00A10248"/>
    <w:rsid w:val="00A10D0E"/>
    <w:rsid w:val="00A10D11"/>
    <w:rsid w:val="00A1154D"/>
    <w:rsid w:val="00A116FF"/>
    <w:rsid w:val="00A119E7"/>
    <w:rsid w:val="00A12642"/>
    <w:rsid w:val="00A129A6"/>
    <w:rsid w:val="00A12F4D"/>
    <w:rsid w:val="00A13791"/>
    <w:rsid w:val="00A13BC4"/>
    <w:rsid w:val="00A13F72"/>
    <w:rsid w:val="00A13FFB"/>
    <w:rsid w:val="00A14050"/>
    <w:rsid w:val="00A14D20"/>
    <w:rsid w:val="00A150D8"/>
    <w:rsid w:val="00A15BB3"/>
    <w:rsid w:val="00A15D98"/>
    <w:rsid w:val="00A160BF"/>
    <w:rsid w:val="00A1636A"/>
    <w:rsid w:val="00A16923"/>
    <w:rsid w:val="00A171D3"/>
    <w:rsid w:val="00A17719"/>
    <w:rsid w:val="00A17EEF"/>
    <w:rsid w:val="00A20870"/>
    <w:rsid w:val="00A20EFB"/>
    <w:rsid w:val="00A2115F"/>
    <w:rsid w:val="00A2252A"/>
    <w:rsid w:val="00A23EC7"/>
    <w:rsid w:val="00A24053"/>
    <w:rsid w:val="00A24557"/>
    <w:rsid w:val="00A24C1D"/>
    <w:rsid w:val="00A25002"/>
    <w:rsid w:val="00A25628"/>
    <w:rsid w:val="00A26FD2"/>
    <w:rsid w:val="00A27B3A"/>
    <w:rsid w:val="00A308DB"/>
    <w:rsid w:val="00A3110D"/>
    <w:rsid w:val="00A31871"/>
    <w:rsid w:val="00A31B2A"/>
    <w:rsid w:val="00A3242A"/>
    <w:rsid w:val="00A32543"/>
    <w:rsid w:val="00A32799"/>
    <w:rsid w:val="00A32A5A"/>
    <w:rsid w:val="00A32F57"/>
    <w:rsid w:val="00A3317C"/>
    <w:rsid w:val="00A33954"/>
    <w:rsid w:val="00A33AF2"/>
    <w:rsid w:val="00A33CC4"/>
    <w:rsid w:val="00A342BC"/>
    <w:rsid w:val="00A34B9C"/>
    <w:rsid w:val="00A352DF"/>
    <w:rsid w:val="00A36062"/>
    <w:rsid w:val="00A370E0"/>
    <w:rsid w:val="00A37277"/>
    <w:rsid w:val="00A37C87"/>
    <w:rsid w:val="00A40589"/>
    <w:rsid w:val="00A40617"/>
    <w:rsid w:val="00A41CA6"/>
    <w:rsid w:val="00A41CA8"/>
    <w:rsid w:val="00A431C7"/>
    <w:rsid w:val="00A439DA"/>
    <w:rsid w:val="00A44347"/>
    <w:rsid w:val="00A44B87"/>
    <w:rsid w:val="00A44E65"/>
    <w:rsid w:val="00A456CE"/>
    <w:rsid w:val="00A45DE3"/>
    <w:rsid w:val="00A46A40"/>
    <w:rsid w:val="00A46BD1"/>
    <w:rsid w:val="00A500EE"/>
    <w:rsid w:val="00A51706"/>
    <w:rsid w:val="00A51D62"/>
    <w:rsid w:val="00A52128"/>
    <w:rsid w:val="00A524E2"/>
    <w:rsid w:val="00A52C90"/>
    <w:rsid w:val="00A52D0B"/>
    <w:rsid w:val="00A54413"/>
    <w:rsid w:val="00A55289"/>
    <w:rsid w:val="00A55E93"/>
    <w:rsid w:val="00A56007"/>
    <w:rsid w:val="00A56DAE"/>
    <w:rsid w:val="00A57151"/>
    <w:rsid w:val="00A6106B"/>
    <w:rsid w:val="00A61345"/>
    <w:rsid w:val="00A6165A"/>
    <w:rsid w:val="00A616E0"/>
    <w:rsid w:val="00A6182E"/>
    <w:rsid w:val="00A62264"/>
    <w:rsid w:val="00A6232F"/>
    <w:rsid w:val="00A6283D"/>
    <w:rsid w:val="00A62D5F"/>
    <w:rsid w:val="00A636D7"/>
    <w:rsid w:val="00A641B0"/>
    <w:rsid w:val="00A64291"/>
    <w:rsid w:val="00A649BB"/>
    <w:rsid w:val="00A65890"/>
    <w:rsid w:val="00A65F1A"/>
    <w:rsid w:val="00A66153"/>
    <w:rsid w:val="00A66168"/>
    <w:rsid w:val="00A66DF7"/>
    <w:rsid w:val="00A6703B"/>
    <w:rsid w:val="00A67B12"/>
    <w:rsid w:val="00A70E02"/>
    <w:rsid w:val="00A70E14"/>
    <w:rsid w:val="00A7252E"/>
    <w:rsid w:val="00A73197"/>
    <w:rsid w:val="00A73507"/>
    <w:rsid w:val="00A7459E"/>
    <w:rsid w:val="00A749EE"/>
    <w:rsid w:val="00A74C6B"/>
    <w:rsid w:val="00A753CD"/>
    <w:rsid w:val="00A75567"/>
    <w:rsid w:val="00A75863"/>
    <w:rsid w:val="00A75998"/>
    <w:rsid w:val="00A75EA7"/>
    <w:rsid w:val="00A7688B"/>
    <w:rsid w:val="00A81A9D"/>
    <w:rsid w:val="00A81B52"/>
    <w:rsid w:val="00A81B6C"/>
    <w:rsid w:val="00A81BED"/>
    <w:rsid w:val="00A825EB"/>
    <w:rsid w:val="00A82AA1"/>
    <w:rsid w:val="00A82BB4"/>
    <w:rsid w:val="00A83313"/>
    <w:rsid w:val="00A8385B"/>
    <w:rsid w:val="00A83FB0"/>
    <w:rsid w:val="00A84FED"/>
    <w:rsid w:val="00A855CF"/>
    <w:rsid w:val="00A85E5B"/>
    <w:rsid w:val="00A85FD3"/>
    <w:rsid w:val="00A86F24"/>
    <w:rsid w:val="00A86F7E"/>
    <w:rsid w:val="00A87B20"/>
    <w:rsid w:val="00A905F5"/>
    <w:rsid w:val="00A90CFF"/>
    <w:rsid w:val="00A9131A"/>
    <w:rsid w:val="00A914BA"/>
    <w:rsid w:val="00A9198F"/>
    <w:rsid w:val="00A925C9"/>
    <w:rsid w:val="00A92A22"/>
    <w:rsid w:val="00A92D91"/>
    <w:rsid w:val="00A93E2B"/>
    <w:rsid w:val="00A9504E"/>
    <w:rsid w:val="00A95A56"/>
    <w:rsid w:val="00A95BA9"/>
    <w:rsid w:val="00A95DB5"/>
    <w:rsid w:val="00A960F7"/>
    <w:rsid w:val="00A96338"/>
    <w:rsid w:val="00A969EB"/>
    <w:rsid w:val="00A96A74"/>
    <w:rsid w:val="00A96B59"/>
    <w:rsid w:val="00A970B5"/>
    <w:rsid w:val="00AA02A2"/>
    <w:rsid w:val="00AA19B1"/>
    <w:rsid w:val="00AA476C"/>
    <w:rsid w:val="00AA4E51"/>
    <w:rsid w:val="00AA55D2"/>
    <w:rsid w:val="00AA5AAD"/>
    <w:rsid w:val="00AA63C4"/>
    <w:rsid w:val="00AA65C7"/>
    <w:rsid w:val="00AA6AF1"/>
    <w:rsid w:val="00AA6BEE"/>
    <w:rsid w:val="00AA7209"/>
    <w:rsid w:val="00AB0487"/>
    <w:rsid w:val="00AB05AC"/>
    <w:rsid w:val="00AB0CBC"/>
    <w:rsid w:val="00AB0E26"/>
    <w:rsid w:val="00AB1809"/>
    <w:rsid w:val="00AB1A98"/>
    <w:rsid w:val="00AB2050"/>
    <w:rsid w:val="00AB2405"/>
    <w:rsid w:val="00AB26C0"/>
    <w:rsid w:val="00AB2898"/>
    <w:rsid w:val="00AB32B9"/>
    <w:rsid w:val="00AB3410"/>
    <w:rsid w:val="00AB37A7"/>
    <w:rsid w:val="00AB42F4"/>
    <w:rsid w:val="00AB5755"/>
    <w:rsid w:val="00AB5F42"/>
    <w:rsid w:val="00AB613D"/>
    <w:rsid w:val="00AB6241"/>
    <w:rsid w:val="00AB6633"/>
    <w:rsid w:val="00AB67B2"/>
    <w:rsid w:val="00AB6B56"/>
    <w:rsid w:val="00AB6EF7"/>
    <w:rsid w:val="00AC06B6"/>
    <w:rsid w:val="00AC0DA1"/>
    <w:rsid w:val="00AC0E40"/>
    <w:rsid w:val="00AC1218"/>
    <w:rsid w:val="00AC1566"/>
    <w:rsid w:val="00AC1CF7"/>
    <w:rsid w:val="00AC240F"/>
    <w:rsid w:val="00AC285B"/>
    <w:rsid w:val="00AC2B52"/>
    <w:rsid w:val="00AC4950"/>
    <w:rsid w:val="00AC495D"/>
    <w:rsid w:val="00AC5879"/>
    <w:rsid w:val="00AC61A8"/>
    <w:rsid w:val="00AC734E"/>
    <w:rsid w:val="00AC7616"/>
    <w:rsid w:val="00AC7C2D"/>
    <w:rsid w:val="00AD09A5"/>
    <w:rsid w:val="00AD0A18"/>
    <w:rsid w:val="00AD180E"/>
    <w:rsid w:val="00AD1B31"/>
    <w:rsid w:val="00AD2642"/>
    <w:rsid w:val="00AD2800"/>
    <w:rsid w:val="00AD2B9D"/>
    <w:rsid w:val="00AD3612"/>
    <w:rsid w:val="00AD378A"/>
    <w:rsid w:val="00AD3B2F"/>
    <w:rsid w:val="00AD4629"/>
    <w:rsid w:val="00AD4927"/>
    <w:rsid w:val="00AD5637"/>
    <w:rsid w:val="00AD63AC"/>
    <w:rsid w:val="00AD6D70"/>
    <w:rsid w:val="00AD6ECF"/>
    <w:rsid w:val="00AD79BF"/>
    <w:rsid w:val="00AD7E65"/>
    <w:rsid w:val="00AE0DA1"/>
    <w:rsid w:val="00AE146A"/>
    <w:rsid w:val="00AE1DFD"/>
    <w:rsid w:val="00AE2034"/>
    <w:rsid w:val="00AE29A3"/>
    <w:rsid w:val="00AE321C"/>
    <w:rsid w:val="00AE421F"/>
    <w:rsid w:val="00AE4C5A"/>
    <w:rsid w:val="00AE4F48"/>
    <w:rsid w:val="00AE5878"/>
    <w:rsid w:val="00AE5917"/>
    <w:rsid w:val="00AE5974"/>
    <w:rsid w:val="00AE5C63"/>
    <w:rsid w:val="00AE5E31"/>
    <w:rsid w:val="00AE694D"/>
    <w:rsid w:val="00AE6A0B"/>
    <w:rsid w:val="00AE7003"/>
    <w:rsid w:val="00AE739F"/>
    <w:rsid w:val="00AE7A2F"/>
    <w:rsid w:val="00AF10C9"/>
    <w:rsid w:val="00AF12B7"/>
    <w:rsid w:val="00AF143D"/>
    <w:rsid w:val="00AF17F4"/>
    <w:rsid w:val="00AF1939"/>
    <w:rsid w:val="00AF2BE2"/>
    <w:rsid w:val="00AF3171"/>
    <w:rsid w:val="00AF32EA"/>
    <w:rsid w:val="00AF37CD"/>
    <w:rsid w:val="00AF3A98"/>
    <w:rsid w:val="00AF3DDC"/>
    <w:rsid w:val="00AF4FC5"/>
    <w:rsid w:val="00AF55EF"/>
    <w:rsid w:val="00AF735E"/>
    <w:rsid w:val="00AF7AC8"/>
    <w:rsid w:val="00B0021F"/>
    <w:rsid w:val="00B00E2E"/>
    <w:rsid w:val="00B00FAC"/>
    <w:rsid w:val="00B01286"/>
    <w:rsid w:val="00B01769"/>
    <w:rsid w:val="00B01B6B"/>
    <w:rsid w:val="00B021AA"/>
    <w:rsid w:val="00B0396E"/>
    <w:rsid w:val="00B03D7A"/>
    <w:rsid w:val="00B050E6"/>
    <w:rsid w:val="00B05BF8"/>
    <w:rsid w:val="00B05C61"/>
    <w:rsid w:val="00B065FF"/>
    <w:rsid w:val="00B06CD9"/>
    <w:rsid w:val="00B078BF"/>
    <w:rsid w:val="00B07F88"/>
    <w:rsid w:val="00B10B4A"/>
    <w:rsid w:val="00B10F32"/>
    <w:rsid w:val="00B115CB"/>
    <w:rsid w:val="00B11B31"/>
    <w:rsid w:val="00B1261F"/>
    <w:rsid w:val="00B12820"/>
    <w:rsid w:val="00B12E55"/>
    <w:rsid w:val="00B12FBB"/>
    <w:rsid w:val="00B14F3B"/>
    <w:rsid w:val="00B151EE"/>
    <w:rsid w:val="00B15DED"/>
    <w:rsid w:val="00B20BA4"/>
    <w:rsid w:val="00B20E43"/>
    <w:rsid w:val="00B20FE5"/>
    <w:rsid w:val="00B2117C"/>
    <w:rsid w:val="00B21CC0"/>
    <w:rsid w:val="00B21E0D"/>
    <w:rsid w:val="00B2281B"/>
    <w:rsid w:val="00B22E0E"/>
    <w:rsid w:val="00B24597"/>
    <w:rsid w:val="00B255EE"/>
    <w:rsid w:val="00B27BE5"/>
    <w:rsid w:val="00B303B9"/>
    <w:rsid w:val="00B305C0"/>
    <w:rsid w:val="00B30677"/>
    <w:rsid w:val="00B30A20"/>
    <w:rsid w:val="00B310B9"/>
    <w:rsid w:val="00B31FFD"/>
    <w:rsid w:val="00B32B0B"/>
    <w:rsid w:val="00B32B17"/>
    <w:rsid w:val="00B33143"/>
    <w:rsid w:val="00B335C9"/>
    <w:rsid w:val="00B33646"/>
    <w:rsid w:val="00B33944"/>
    <w:rsid w:val="00B33FB9"/>
    <w:rsid w:val="00B346ED"/>
    <w:rsid w:val="00B35873"/>
    <w:rsid w:val="00B35F66"/>
    <w:rsid w:val="00B3636C"/>
    <w:rsid w:val="00B36D92"/>
    <w:rsid w:val="00B37BF9"/>
    <w:rsid w:val="00B37FD5"/>
    <w:rsid w:val="00B40928"/>
    <w:rsid w:val="00B40E2C"/>
    <w:rsid w:val="00B40FC1"/>
    <w:rsid w:val="00B410B9"/>
    <w:rsid w:val="00B4117A"/>
    <w:rsid w:val="00B415F7"/>
    <w:rsid w:val="00B425D6"/>
    <w:rsid w:val="00B42633"/>
    <w:rsid w:val="00B42A4C"/>
    <w:rsid w:val="00B42C15"/>
    <w:rsid w:val="00B4313D"/>
    <w:rsid w:val="00B44520"/>
    <w:rsid w:val="00B44E33"/>
    <w:rsid w:val="00B44F23"/>
    <w:rsid w:val="00B45036"/>
    <w:rsid w:val="00B46119"/>
    <w:rsid w:val="00B46247"/>
    <w:rsid w:val="00B46B49"/>
    <w:rsid w:val="00B478A8"/>
    <w:rsid w:val="00B47A91"/>
    <w:rsid w:val="00B5016E"/>
    <w:rsid w:val="00B502BF"/>
    <w:rsid w:val="00B50317"/>
    <w:rsid w:val="00B51043"/>
    <w:rsid w:val="00B512E2"/>
    <w:rsid w:val="00B51D0C"/>
    <w:rsid w:val="00B523D8"/>
    <w:rsid w:val="00B52B44"/>
    <w:rsid w:val="00B52C79"/>
    <w:rsid w:val="00B534DA"/>
    <w:rsid w:val="00B53B50"/>
    <w:rsid w:val="00B53E32"/>
    <w:rsid w:val="00B54396"/>
    <w:rsid w:val="00B55089"/>
    <w:rsid w:val="00B55589"/>
    <w:rsid w:val="00B55A53"/>
    <w:rsid w:val="00B55CA4"/>
    <w:rsid w:val="00B55D4C"/>
    <w:rsid w:val="00B57E3B"/>
    <w:rsid w:val="00B60461"/>
    <w:rsid w:val="00B6102B"/>
    <w:rsid w:val="00B616CD"/>
    <w:rsid w:val="00B6209D"/>
    <w:rsid w:val="00B621D0"/>
    <w:rsid w:val="00B62726"/>
    <w:rsid w:val="00B62994"/>
    <w:rsid w:val="00B643B9"/>
    <w:rsid w:val="00B6562C"/>
    <w:rsid w:val="00B66820"/>
    <w:rsid w:val="00B66A1A"/>
    <w:rsid w:val="00B677F2"/>
    <w:rsid w:val="00B678A6"/>
    <w:rsid w:val="00B70FC0"/>
    <w:rsid w:val="00B717F2"/>
    <w:rsid w:val="00B71DC8"/>
    <w:rsid w:val="00B72D91"/>
    <w:rsid w:val="00B73492"/>
    <w:rsid w:val="00B741E2"/>
    <w:rsid w:val="00B744BB"/>
    <w:rsid w:val="00B76CA3"/>
    <w:rsid w:val="00B77958"/>
    <w:rsid w:val="00B77C3D"/>
    <w:rsid w:val="00B77FB5"/>
    <w:rsid w:val="00B80255"/>
    <w:rsid w:val="00B81267"/>
    <w:rsid w:val="00B81837"/>
    <w:rsid w:val="00B81DF2"/>
    <w:rsid w:val="00B81E25"/>
    <w:rsid w:val="00B826AD"/>
    <w:rsid w:val="00B832E3"/>
    <w:rsid w:val="00B8362B"/>
    <w:rsid w:val="00B836B5"/>
    <w:rsid w:val="00B83A25"/>
    <w:rsid w:val="00B83C19"/>
    <w:rsid w:val="00B8422E"/>
    <w:rsid w:val="00B84B49"/>
    <w:rsid w:val="00B854BE"/>
    <w:rsid w:val="00B8604F"/>
    <w:rsid w:val="00B90582"/>
    <w:rsid w:val="00B90F16"/>
    <w:rsid w:val="00B911F0"/>
    <w:rsid w:val="00B92836"/>
    <w:rsid w:val="00B92C27"/>
    <w:rsid w:val="00B9315A"/>
    <w:rsid w:val="00B932BE"/>
    <w:rsid w:val="00B9352B"/>
    <w:rsid w:val="00B93605"/>
    <w:rsid w:val="00B9397C"/>
    <w:rsid w:val="00B93A5E"/>
    <w:rsid w:val="00B93F1B"/>
    <w:rsid w:val="00B94086"/>
    <w:rsid w:val="00B942FD"/>
    <w:rsid w:val="00B9469F"/>
    <w:rsid w:val="00B95B69"/>
    <w:rsid w:val="00B96662"/>
    <w:rsid w:val="00B96722"/>
    <w:rsid w:val="00B96907"/>
    <w:rsid w:val="00BA0215"/>
    <w:rsid w:val="00BA0965"/>
    <w:rsid w:val="00BA0AF2"/>
    <w:rsid w:val="00BA1716"/>
    <w:rsid w:val="00BA2D01"/>
    <w:rsid w:val="00BA2E7F"/>
    <w:rsid w:val="00BA3351"/>
    <w:rsid w:val="00BA3BAE"/>
    <w:rsid w:val="00BA4BA8"/>
    <w:rsid w:val="00BA4FED"/>
    <w:rsid w:val="00BA5147"/>
    <w:rsid w:val="00BA6501"/>
    <w:rsid w:val="00BA65F2"/>
    <w:rsid w:val="00BA79D7"/>
    <w:rsid w:val="00BA7A78"/>
    <w:rsid w:val="00BB1681"/>
    <w:rsid w:val="00BB1985"/>
    <w:rsid w:val="00BB30C7"/>
    <w:rsid w:val="00BB314D"/>
    <w:rsid w:val="00BB3EF7"/>
    <w:rsid w:val="00BB4B24"/>
    <w:rsid w:val="00BB4B61"/>
    <w:rsid w:val="00BB6B52"/>
    <w:rsid w:val="00BB6FE7"/>
    <w:rsid w:val="00BB762D"/>
    <w:rsid w:val="00BC060A"/>
    <w:rsid w:val="00BC0C3C"/>
    <w:rsid w:val="00BC1D73"/>
    <w:rsid w:val="00BC1DDF"/>
    <w:rsid w:val="00BC1F50"/>
    <w:rsid w:val="00BC1FBD"/>
    <w:rsid w:val="00BC207F"/>
    <w:rsid w:val="00BC23B8"/>
    <w:rsid w:val="00BC40D8"/>
    <w:rsid w:val="00BC4B90"/>
    <w:rsid w:val="00BC4C27"/>
    <w:rsid w:val="00BC6ABA"/>
    <w:rsid w:val="00BC7478"/>
    <w:rsid w:val="00BD021E"/>
    <w:rsid w:val="00BD090A"/>
    <w:rsid w:val="00BD10C2"/>
    <w:rsid w:val="00BD1D0F"/>
    <w:rsid w:val="00BD1DD0"/>
    <w:rsid w:val="00BD29F1"/>
    <w:rsid w:val="00BD3464"/>
    <w:rsid w:val="00BD3588"/>
    <w:rsid w:val="00BD3EF0"/>
    <w:rsid w:val="00BD4DF6"/>
    <w:rsid w:val="00BD52FE"/>
    <w:rsid w:val="00BD5404"/>
    <w:rsid w:val="00BD54B5"/>
    <w:rsid w:val="00BD5862"/>
    <w:rsid w:val="00BD5894"/>
    <w:rsid w:val="00BD6321"/>
    <w:rsid w:val="00BD63BE"/>
    <w:rsid w:val="00BD6F9A"/>
    <w:rsid w:val="00BD6FD4"/>
    <w:rsid w:val="00BD725A"/>
    <w:rsid w:val="00BD7936"/>
    <w:rsid w:val="00BD7B83"/>
    <w:rsid w:val="00BE00B6"/>
    <w:rsid w:val="00BE011E"/>
    <w:rsid w:val="00BE0204"/>
    <w:rsid w:val="00BE03D2"/>
    <w:rsid w:val="00BE05EB"/>
    <w:rsid w:val="00BE08D6"/>
    <w:rsid w:val="00BE0B08"/>
    <w:rsid w:val="00BE0E3C"/>
    <w:rsid w:val="00BE1E12"/>
    <w:rsid w:val="00BE1FE8"/>
    <w:rsid w:val="00BE23D4"/>
    <w:rsid w:val="00BE294C"/>
    <w:rsid w:val="00BE308A"/>
    <w:rsid w:val="00BE429E"/>
    <w:rsid w:val="00BE4553"/>
    <w:rsid w:val="00BE5228"/>
    <w:rsid w:val="00BE5423"/>
    <w:rsid w:val="00BE589F"/>
    <w:rsid w:val="00BE62C2"/>
    <w:rsid w:val="00BE6E00"/>
    <w:rsid w:val="00BE78E2"/>
    <w:rsid w:val="00BE7966"/>
    <w:rsid w:val="00BF07FF"/>
    <w:rsid w:val="00BF0A0B"/>
    <w:rsid w:val="00BF0F97"/>
    <w:rsid w:val="00BF129C"/>
    <w:rsid w:val="00BF1983"/>
    <w:rsid w:val="00BF1E7F"/>
    <w:rsid w:val="00BF2B93"/>
    <w:rsid w:val="00BF2C40"/>
    <w:rsid w:val="00BF2DF4"/>
    <w:rsid w:val="00BF2F27"/>
    <w:rsid w:val="00BF3756"/>
    <w:rsid w:val="00BF4B90"/>
    <w:rsid w:val="00BF6374"/>
    <w:rsid w:val="00BF6679"/>
    <w:rsid w:val="00BF75A1"/>
    <w:rsid w:val="00BF780B"/>
    <w:rsid w:val="00C00128"/>
    <w:rsid w:val="00C00559"/>
    <w:rsid w:val="00C010A6"/>
    <w:rsid w:val="00C019CD"/>
    <w:rsid w:val="00C02236"/>
    <w:rsid w:val="00C0267D"/>
    <w:rsid w:val="00C02B20"/>
    <w:rsid w:val="00C02C23"/>
    <w:rsid w:val="00C02C5E"/>
    <w:rsid w:val="00C02C6A"/>
    <w:rsid w:val="00C037B9"/>
    <w:rsid w:val="00C03F8B"/>
    <w:rsid w:val="00C044E1"/>
    <w:rsid w:val="00C05443"/>
    <w:rsid w:val="00C054AD"/>
    <w:rsid w:val="00C05589"/>
    <w:rsid w:val="00C05727"/>
    <w:rsid w:val="00C0703D"/>
    <w:rsid w:val="00C075A4"/>
    <w:rsid w:val="00C10076"/>
    <w:rsid w:val="00C10D1F"/>
    <w:rsid w:val="00C114AD"/>
    <w:rsid w:val="00C11879"/>
    <w:rsid w:val="00C118BF"/>
    <w:rsid w:val="00C13966"/>
    <w:rsid w:val="00C13E67"/>
    <w:rsid w:val="00C142E1"/>
    <w:rsid w:val="00C14504"/>
    <w:rsid w:val="00C15742"/>
    <w:rsid w:val="00C15920"/>
    <w:rsid w:val="00C15AB7"/>
    <w:rsid w:val="00C15DE1"/>
    <w:rsid w:val="00C16031"/>
    <w:rsid w:val="00C16587"/>
    <w:rsid w:val="00C16B36"/>
    <w:rsid w:val="00C178B8"/>
    <w:rsid w:val="00C17A13"/>
    <w:rsid w:val="00C2050E"/>
    <w:rsid w:val="00C20660"/>
    <w:rsid w:val="00C208B2"/>
    <w:rsid w:val="00C21497"/>
    <w:rsid w:val="00C21CBD"/>
    <w:rsid w:val="00C2216F"/>
    <w:rsid w:val="00C234DF"/>
    <w:rsid w:val="00C23510"/>
    <w:rsid w:val="00C23758"/>
    <w:rsid w:val="00C24355"/>
    <w:rsid w:val="00C24C23"/>
    <w:rsid w:val="00C25057"/>
    <w:rsid w:val="00C25696"/>
    <w:rsid w:val="00C26CC1"/>
    <w:rsid w:val="00C279DD"/>
    <w:rsid w:val="00C308A6"/>
    <w:rsid w:val="00C315EE"/>
    <w:rsid w:val="00C3198B"/>
    <w:rsid w:val="00C323F0"/>
    <w:rsid w:val="00C32B1D"/>
    <w:rsid w:val="00C32B7F"/>
    <w:rsid w:val="00C32DEF"/>
    <w:rsid w:val="00C333A0"/>
    <w:rsid w:val="00C33F80"/>
    <w:rsid w:val="00C34BAD"/>
    <w:rsid w:val="00C34D0E"/>
    <w:rsid w:val="00C3510E"/>
    <w:rsid w:val="00C351B7"/>
    <w:rsid w:val="00C357F3"/>
    <w:rsid w:val="00C3610F"/>
    <w:rsid w:val="00C365BA"/>
    <w:rsid w:val="00C36827"/>
    <w:rsid w:val="00C36DFA"/>
    <w:rsid w:val="00C36E90"/>
    <w:rsid w:val="00C37760"/>
    <w:rsid w:val="00C379C4"/>
    <w:rsid w:val="00C4087E"/>
    <w:rsid w:val="00C408EC"/>
    <w:rsid w:val="00C40BC0"/>
    <w:rsid w:val="00C41422"/>
    <w:rsid w:val="00C41E75"/>
    <w:rsid w:val="00C42018"/>
    <w:rsid w:val="00C421B1"/>
    <w:rsid w:val="00C4271E"/>
    <w:rsid w:val="00C427D6"/>
    <w:rsid w:val="00C427FF"/>
    <w:rsid w:val="00C42824"/>
    <w:rsid w:val="00C43C5A"/>
    <w:rsid w:val="00C44357"/>
    <w:rsid w:val="00C44601"/>
    <w:rsid w:val="00C45064"/>
    <w:rsid w:val="00C4592B"/>
    <w:rsid w:val="00C45C6B"/>
    <w:rsid w:val="00C46589"/>
    <w:rsid w:val="00C50056"/>
    <w:rsid w:val="00C50AAA"/>
    <w:rsid w:val="00C52137"/>
    <w:rsid w:val="00C5330F"/>
    <w:rsid w:val="00C53BA1"/>
    <w:rsid w:val="00C53D7B"/>
    <w:rsid w:val="00C540F2"/>
    <w:rsid w:val="00C54817"/>
    <w:rsid w:val="00C54A1A"/>
    <w:rsid w:val="00C5563E"/>
    <w:rsid w:val="00C557D4"/>
    <w:rsid w:val="00C55826"/>
    <w:rsid w:val="00C55A6C"/>
    <w:rsid w:val="00C56009"/>
    <w:rsid w:val="00C5617B"/>
    <w:rsid w:val="00C56935"/>
    <w:rsid w:val="00C57026"/>
    <w:rsid w:val="00C600AC"/>
    <w:rsid w:val="00C6025D"/>
    <w:rsid w:val="00C60F43"/>
    <w:rsid w:val="00C619D0"/>
    <w:rsid w:val="00C61B37"/>
    <w:rsid w:val="00C628BD"/>
    <w:rsid w:val="00C63504"/>
    <w:rsid w:val="00C638D7"/>
    <w:rsid w:val="00C64445"/>
    <w:rsid w:val="00C64510"/>
    <w:rsid w:val="00C64ACC"/>
    <w:rsid w:val="00C65607"/>
    <w:rsid w:val="00C65793"/>
    <w:rsid w:val="00C65F3C"/>
    <w:rsid w:val="00C65F6D"/>
    <w:rsid w:val="00C66B2E"/>
    <w:rsid w:val="00C66EB3"/>
    <w:rsid w:val="00C6742E"/>
    <w:rsid w:val="00C67909"/>
    <w:rsid w:val="00C67CCD"/>
    <w:rsid w:val="00C67FD9"/>
    <w:rsid w:val="00C7097C"/>
    <w:rsid w:val="00C70AD9"/>
    <w:rsid w:val="00C7165F"/>
    <w:rsid w:val="00C71FBE"/>
    <w:rsid w:val="00C722D2"/>
    <w:rsid w:val="00C72374"/>
    <w:rsid w:val="00C72DD1"/>
    <w:rsid w:val="00C74695"/>
    <w:rsid w:val="00C749E4"/>
    <w:rsid w:val="00C76068"/>
    <w:rsid w:val="00C77545"/>
    <w:rsid w:val="00C77BEC"/>
    <w:rsid w:val="00C77CDA"/>
    <w:rsid w:val="00C80488"/>
    <w:rsid w:val="00C81187"/>
    <w:rsid w:val="00C813A5"/>
    <w:rsid w:val="00C818BE"/>
    <w:rsid w:val="00C82339"/>
    <w:rsid w:val="00C82772"/>
    <w:rsid w:val="00C82A1A"/>
    <w:rsid w:val="00C83092"/>
    <w:rsid w:val="00C835AB"/>
    <w:rsid w:val="00C83C38"/>
    <w:rsid w:val="00C845CE"/>
    <w:rsid w:val="00C8474B"/>
    <w:rsid w:val="00C848FB"/>
    <w:rsid w:val="00C84D5A"/>
    <w:rsid w:val="00C851FC"/>
    <w:rsid w:val="00C860DE"/>
    <w:rsid w:val="00C862CD"/>
    <w:rsid w:val="00C867FB"/>
    <w:rsid w:val="00C90227"/>
    <w:rsid w:val="00C9135E"/>
    <w:rsid w:val="00C915DE"/>
    <w:rsid w:val="00C922DC"/>
    <w:rsid w:val="00C929DD"/>
    <w:rsid w:val="00C932A6"/>
    <w:rsid w:val="00C932A9"/>
    <w:rsid w:val="00C93698"/>
    <w:rsid w:val="00C93ECF"/>
    <w:rsid w:val="00C97C11"/>
    <w:rsid w:val="00C9CE89"/>
    <w:rsid w:val="00CA0412"/>
    <w:rsid w:val="00CA0800"/>
    <w:rsid w:val="00CA12DF"/>
    <w:rsid w:val="00CA1F00"/>
    <w:rsid w:val="00CA21EA"/>
    <w:rsid w:val="00CA22C0"/>
    <w:rsid w:val="00CA277B"/>
    <w:rsid w:val="00CA2EE6"/>
    <w:rsid w:val="00CA33C7"/>
    <w:rsid w:val="00CA3662"/>
    <w:rsid w:val="00CA4170"/>
    <w:rsid w:val="00CA45A9"/>
    <w:rsid w:val="00CA4C45"/>
    <w:rsid w:val="00CA5F04"/>
    <w:rsid w:val="00CA6133"/>
    <w:rsid w:val="00CA61A0"/>
    <w:rsid w:val="00CA628D"/>
    <w:rsid w:val="00CA66B2"/>
    <w:rsid w:val="00CA76E8"/>
    <w:rsid w:val="00CA7847"/>
    <w:rsid w:val="00CA7A89"/>
    <w:rsid w:val="00CA7FBE"/>
    <w:rsid w:val="00CB022F"/>
    <w:rsid w:val="00CB0419"/>
    <w:rsid w:val="00CB041E"/>
    <w:rsid w:val="00CB20AF"/>
    <w:rsid w:val="00CB2F62"/>
    <w:rsid w:val="00CB36E1"/>
    <w:rsid w:val="00CB4062"/>
    <w:rsid w:val="00CB462E"/>
    <w:rsid w:val="00CB4BAA"/>
    <w:rsid w:val="00CB5D05"/>
    <w:rsid w:val="00CB622A"/>
    <w:rsid w:val="00CB63F4"/>
    <w:rsid w:val="00CB66D2"/>
    <w:rsid w:val="00CB70F9"/>
    <w:rsid w:val="00CC03DA"/>
    <w:rsid w:val="00CC0770"/>
    <w:rsid w:val="00CC08B3"/>
    <w:rsid w:val="00CC13BD"/>
    <w:rsid w:val="00CC13E0"/>
    <w:rsid w:val="00CC2DCB"/>
    <w:rsid w:val="00CC3B51"/>
    <w:rsid w:val="00CC400E"/>
    <w:rsid w:val="00CC42FB"/>
    <w:rsid w:val="00CC44DF"/>
    <w:rsid w:val="00CC5EE3"/>
    <w:rsid w:val="00CC60B9"/>
    <w:rsid w:val="00CC710E"/>
    <w:rsid w:val="00CC78E0"/>
    <w:rsid w:val="00CC7D21"/>
    <w:rsid w:val="00CD0C17"/>
    <w:rsid w:val="00CD11B6"/>
    <w:rsid w:val="00CD4EFE"/>
    <w:rsid w:val="00CD55F6"/>
    <w:rsid w:val="00CD71F6"/>
    <w:rsid w:val="00CD7443"/>
    <w:rsid w:val="00CD77DC"/>
    <w:rsid w:val="00CE0075"/>
    <w:rsid w:val="00CE0E66"/>
    <w:rsid w:val="00CE0ECB"/>
    <w:rsid w:val="00CE104C"/>
    <w:rsid w:val="00CE1442"/>
    <w:rsid w:val="00CE15DF"/>
    <w:rsid w:val="00CE2238"/>
    <w:rsid w:val="00CE224A"/>
    <w:rsid w:val="00CE23A7"/>
    <w:rsid w:val="00CE2F33"/>
    <w:rsid w:val="00CE5DF7"/>
    <w:rsid w:val="00CE61A4"/>
    <w:rsid w:val="00CE6520"/>
    <w:rsid w:val="00CE65FD"/>
    <w:rsid w:val="00CE7C45"/>
    <w:rsid w:val="00CF0312"/>
    <w:rsid w:val="00CF054D"/>
    <w:rsid w:val="00CF07D7"/>
    <w:rsid w:val="00CF0BBA"/>
    <w:rsid w:val="00CF198E"/>
    <w:rsid w:val="00CF1D92"/>
    <w:rsid w:val="00CF2B66"/>
    <w:rsid w:val="00CF2F46"/>
    <w:rsid w:val="00CF3028"/>
    <w:rsid w:val="00CF3283"/>
    <w:rsid w:val="00CF3750"/>
    <w:rsid w:val="00CF4063"/>
    <w:rsid w:val="00CF5FC5"/>
    <w:rsid w:val="00CF71A6"/>
    <w:rsid w:val="00CF7201"/>
    <w:rsid w:val="00CF76E2"/>
    <w:rsid w:val="00CF7CB1"/>
    <w:rsid w:val="00D0059B"/>
    <w:rsid w:val="00D00EAF"/>
    <w:rsid w:val="00D01018"/>
    <w:rsid w:val="00D011C9"/>
    <w:rsid w:val="00D01BFE"/>
    <w:rsid w:val="00D01E82"/>
    <w:rsid w:val="00D01F23"/>
    <w:rsid w:val="00D01FB8"/>
    <w:rsid w:val="00D02362"/>
    <w:rsid w:val="00D034CE"/>
    <w:rsid w:val="00D04910"/>
    <w:rsid w:val="00D049E2"/>
    <w:rsid w:val="00D04B01"/>
    <w:rsid w:val="00D057E4"/>
    <w:rsid w:val="00D076D5"/>
    <w:rsid w:val="00D07997"/>
    <w:rsid w:val="00D100BF"/>
    <w:rsid w:val="00D104A6"/>
    <w:rsid w:val="00D104AF"/>
    <w:rsid w:val="00D10B3B"/>
    <w:rsid w:val="00D110E9"/>
    <w:rsid w:val="00D11338"/>
    <w:rsid w:val="00D11F5C"/>
    <w:rsid w:val="00D12032"/>
    <w:rsid w:val="00D1211B"/>
    <w:rsid w:val="00D12812"/>
    <w:rsid w:val="00D129B3"/>
    <w:rsid w:val="00D12CA2"/>
    <w:rsid w:val="00D13013"/>
    <w:rsid w:val="00D143BD"/>
    <w:rsid w:val="00D14E3E"/>
    <w:rsid w:val="00D14FAF"/>
    <w:rsid w:val="00D15723"/>
    <w:rsid w:val="00D1599F"/>
    <w:rsid w:val="00D15DF1"/>
    <w:rsid w:val="00D15EDB"/>
    <w:rsid w:val="00D15FB6"/>
    <w:rsid w:val="00D16FB7"/>
    <w:rsid w:val="00D1795D"/>
    <w:rsid w:val="00D17D90"/>
    <w:rsid w:val="00D17F46"/>
    <w:rsid w:val="00D20D4A"/>
    <w:rsid w:val="00D2128A"/>
    <w:rsid w:val="00D2213B"/>
    <w:rsid w:val="00D22329"/>
    <w:rsid w:val="00D224F2"/>
    <w:rsid w:val="00D227C2"/>
    <w:rsid w:val="00D22888"/>
    <w:rsid w:val="00D237F9"/>
    <w:rsid w:val="00D23815"/>
    <w:rsid w:val="00D24382"/>
    <w:rsid w:val="00D245FB"/>
    <w:rsid w:val="00D250D8"/>
    <w:rsid w:val="00D251DB"/>
    <w:rsid w:val="00D254A5"/>
    <w:rsid w:val="00D25C2A"/>
    <w:rsid w:val="00D25F03"/>
    <w:rsid w:val="00D266B7"/>
    <w:rsid w:val="00D270E8"/>
    <w:rsid w:val="00D27700"/>
    <w:rsid w:val="00D27E1B"/>
    <w:rsid w:val="00D30565"/>
    <w:rsid w:val="00D30967"/>
    <w:rsid w:val="00D30D24"/>
    <w:rsid w:val="00D31370"/>
    <w:rsid w:val="00D32546"/>
    <w:rsid w:val="00D33375"/>
    <w:rsid w:val="00D33545"/>
    <w:rsid w:val="00D33934"/>
    <w:rsid w:val="00D3483B"/>
    <w:rsid w:val="00D352D9"/>
    <w:rsid w:val="00D356E9"/>
    <w:rsid w:val="00D3662C"/>
    <w:rsid w:val="00D36CD3"/>
    <w:rsid w:val="00D373E1"/>
    <w:rsid w:val="00D374E2"/>
    <w:rsid w:val="00D3753F"/>
    <w:rsid w:val="00D37A4B"/>
    <w:rsid w:val="00D37C5D"/>
    <w:rsid w:val="00D4011B"/>
    <w:rsid w:val="00D408DC"/>
    <w:rsid w:val="00D41FA8"/>
    <w:rsid w:val="00D42417"/>
    <w:rsid w:val="00D4297F"/>
    <w:rsid w:val="00D44ADF"/>
    <w:rsid w:val="00D44BE1"/>
    <w:rsid w:val="00D44EF5"/>
    <w:rsid w:val="00D460AC"/>
    <w:rsid w:val="00D46D94"/>
    <w:rsid w:val="00D4719E"/>
    <w:rsid w:val="00D5046A"/>
    <w:rsid w:val="00D513ED"/>
    <w:rsid w:val="00D51AD0"/>
    <w:rsid w:val="00D5257C"/>
    <w:rsid w:val="00D528DB"/>
    <w:rsid w:val="00D52DE9"/>
    <w:rsid w:val="00D52E77"/>
    <w:rsid w:val="00D53395"/>
    <w:rsid w:val="00D535A0"/>
    <w:rsid w:val="00D53729"/>
    <w:rsid w:val="00D53D71"/>
    <w:rsid w:val="00D5435B"/>
    <w:rsid w:val="00D5490C"/>
    <w:rsid w:val="00D54BB7"/>
    <w:rsid w:val="00D55B8A"/>
    <w:rsid w:val="00D57141"/>
    <w:rsid w:val="00D57179"/>
    <w:rsid w:val="00D571DE"/>
    <w:rsid w:val="00D57A5E"/>
    <w:rsid w:val="00D57DE9"/>
    <w:rsid w:val="00D6006D"/>
    <w:rsid w:val="00D60210"/>
    <w:rsid w:val="00D603FC"/>
    <w:rsid w:val="00D60B27"/>
    <w:rsid w:val="00D60B61"/>
    <w:rsid w:val="00D60F7D"/>
    <w:rsid w:val="00D61B62"/>
    <w:rsid w:val="00D61C29"/>
    <w:rsid w:val="00D62219"/>
    <w:rsid w:val="00D624D9"/>
    <w:rsid w:val="00D62D67"/>
    <w:rsid w:val="00D64255"/>
    <w:rsid w:val="00D64307"/>
    <w:rsid w:val="00D64580"/>
    <w:rsid w:val="00D645CD"/>
    <w:rsid w:val="00D65047"/>
    <w:rsid w:val="00D65AAD"/>
    <w:rsid w:val="00D65EB0"/>
    <w:rsid w:val="00D65FFD"/>
    <w:rsid w:val="00D66261"/>
    <w:rsid w:val="00D66655"/>
    <w:rsid w:val="00D677A9"/>
    <w:rsid w:val="00D67F1F"/>
    <w:rsid w:val="00D7035E"/>
    <w:rsid w:val="00D704CC"/>
    <w:rsid w:val="00D70AE6"/>
    <w:rsid w:val="00D713CE"/>
    <w:rsid w:val="00D71878"/>
    <w:rsid w:val="00D71DFC"/>
    <w:rsid w:val="00D726F8"/>
    <w:rsid w:val="00D731D6"/>
    <w:rsid w:val="00D735F0"/>
    <w:rsid w:val="00D742D1"/>
    <w:rsid w:val="00D74300"/>
    <w:rsid w:val="00D74932"/>
    <w:rsid w:val="00D75F6D"/>
    <w:rsid w:val="00D76248"/>
    <w:rsid w:val="00D7624B"/>
    <w:rsid w:val="00D76CF7"/>
    <w:rsid w:val="00D770DD"/>
    <w:rsid w:val="00D77B69"/>
    <w:rsid w:val="00D77F76"/>
    <w:rsid w:val="00D800A0"/>
    <w:rsid w:val="00D803BD"/>
    <w:rsid w:val="00D80754"/>
    <w:rsid w:val="00D80786"/>
    <w:rsid w:val="00D815E8"/>
    <w:rsid w:val="00D82746"/>
    <w:rsid w:val="00D83489"/>
    <w:rsid w:val="00D83CFF"/>
    <w:rsid w:val="00D83DC8"/>
    <w:rsid w:val="00D843A6"/>
    <w:rsid w:val="00D84706"/>
    <w:rsid w:val="00D84C83"/>
    <w:rsid w:val="00D852B0"/>
    <w:rsid w:val="00D873F1"/>
    <w:rsid w:val="00D90867"/>
    <w:rsid w:val="00D90E61"/>
    <w:rsid w:val="00D9146B"/>
    <w:rsid w:val="00D91769"/>
    <w:rsid w:val="00D91BC2"/>
    <w:rsid w:val="00D91CEF"/>
    <w:rsid w:val="00D9254B"/>
    <w:rsid w:val="00D9274D"/>
    <w:rsid w:val="00D92841"/>
    <w:rsid w:val="00D93106"/>
    <w:rsid w:val="00D937B9"/>
    <w:rsid w:val="00D93DB0"/>
    <w:rsid w:val="00D93F80"/>
    <w:rsid w:val="00D945D3"/>
    <w:rsid w:val="00D94CD1"/>
    <w:rsid w:val="00D955D7"/>
    <w:rsid w:val="00D958A2"/>
    <w:rsid w:val="00D9610D"/>
    <w:rsid w:val="00D966F5"/>
    <w:rsid w:val="00D96C21"/>
    <w:rsid w:val="00DA07FF"/>
    <w:rsid w:val="00DA0E06"/>
    <w:rsid w:val="00DA1D72"/>
    <w:rsid w:val="00DA1EBE"/>
    <w:rsid w:val="00DA1FF4"/>
    <w:rsid w:val="00DA263B"/>
    <w:rsid w:val="00DA2F05"/>
    <w:rsid w:val="00DA3124"/>
    <w:rsid w:val="00DA3212"/>
    <w:rsid w:val="00DA33F7"/>
    <w:rsid w:val="00DA38C7"/>
    <w:rsid w:val="00DA40F0"/>
    <w:rsid w:val="00DA49A8"/>
    <w:rsid w:val="00DA4CE7"/>
    <w:rsid w:val="00DA56BB"/>
    <w:rsid w:val="00DA57ED"/>
    <w:rsid w:val="00DA5801"/>
    <w:rsid w:val="00DA5EE1"/>
    <w:rsid w:val="00DA6090"/>
    <w:rsid w:val="00DA6CF2"/>
    <w:rsid w:val="00DA744D"/>
    <w:rsid w:val="00DA761E"/>
    <w:rsid w:val="00DA7C44"/>
    <w:rsid w:val="00DB0238"/>
    <w:rsid w:val="00DB097A"/>
    <w:rsid w:val="00DB0A68"/>
    <w:rsid w:val="00DB0B62"/>
    <w:rsid w:val="00DB0C90"/>
    <w:rsid w:val="00DB0DB0"/>
    <w:rsid w:val="00DB1015"/>
    <w:rsid w:val="00DB1BA2"/>
    <w:rsid w:val="00DB201E"/>
    <w:rsid w:val="00DB28EC"/>
    <w:rsid w:val="00DB2B19"/>
    <w:rsid w:val="00DB3B00"/>
    <w:rsid w:val="00DB4209"/>
    <w:rsid w:val="00DB5247"/>
    <w:rsid w:val="00DB6ABE"/>
    <w:rsid w:val="00DB71BA"/>
    <w:rsid w:val="00DB739F"/>
    <w:rsid w:val="00DB7E31"/>
    <w:rsid w:val="00DC0880"/>
    <w:rsid w:val="00DC09F3"/>
    <w:rsid w:val="00DC0E34"/>
    <w:rsid w:val="00DC160C"/>
    <w:rsid w:val="00DC188E"/>
    <w:rsid w:val="00DC1B4E"/>
    <w:rsid w:val="00DC1BD4"/>
    <w:rsid w:val="00DC1C03"/>
    <w:rsid w:val="00DC1F99"/>
    <w:rsid w:val="00DC21CE"/>
    <w:rsid w:val="00DC25A1"/>
    <w:rsid w:val="00DC3E79"/>
    <w:rsid w:val="00DC3ED1"/>
    <w:rsid w:val="00DC42D7"/>
    <w:rsid w:val="00DC4628"/>
    <w:rsid w:val="00DC5E41"/>
    <w:rsid w:val="00DC6050"/>
    <w:rsid w:val="00DC6922"/>
    <w:rsid w:val="00DC6BEA"/>
    <w:rsid w:val="00DC72FE"/>
    <w:rsid w:val="00DD122D"/>
    <w:rsid w:val="00DD12B3"/>
    <w:rsid w:val="00DD1995"/>
    <w:rsid w:val="00DD1A9F"/>
    <w:rsid w:val="00DD1AF7"/>
    <w:rsid w:val="00DD34F5"/>
    <w:rsid w:val="00DD3796"/>
    <w:rsid w:val="00DD4661"/>
    <w:rsid w:val="00DD4DDD"/>
    <w:rsid w:val="00DD4E80"/>
    <w:rsid w:val="00DD5C89"/>
    <w:rsid w:val="00DD5DC0"/>
    <w:rsid w:val="00DD65EA"/>
    <w:rsid w:val="00DD7880"/>
    <w:rsid w:val="00DD7A23"/>
    <w:rsid w:val="00DD7AF7"/>
    <w:rsid w:val="00DD7B58"/>
    <w:rsid w:val="00DD7F51"/>
    <w:rsid w:val="00DE0571"/>
    <w:rsid w:val="00DE0656"/>
    <w:rsid w:val="00DE13FD"/>
    <w:rsid w:val="00DE18C8"/>
    <w:rsid w:val="00DE1D1B"/>
    <w:rsid w:val="00DE23F4"/>
    <w:rsid w:val="00DE2494"/>
    <w:rsid w:val="00DE25E1"/>
    <w:rsid w:val="00DE283C"/>
    <w:rsid w:val="00DE3129"/>
    <w:rsid w:val="00DE3A14"/>
    <w:rsid w:val="00DE4085"/>
    <w:rsid w:val="00DE4527"/>
    <w:rsid w:val="00DE51D0"/>
    <w:rsid w:val="00DE5266"/>
    <w:rsid w:val="00DE5319"/>
    <w:rsid w:val="00DE5638"/>
    <w:rsid w:val="00DE607E"/>
    <w:rsid w:val="00DE6C38"/>
    <w:rsid w:val="00DE6FFB"/>
    <w:rsid w:val="00DF0354"/>
    <w:rsid w:val="00DF04F9"/>
    <w:rsid w:val="00DF0886"/>
    <w:rsid w:val="00DF2C39"/>
    <w:rsid w:val="00DF2CCE"/>
    <w:rsid w:val="00DF2F7E"/>
    <w:rsid w:val="00DF38E8"/>
    <w:rsid w:val="00DF5756"/>
    <w:rsid w:val="00DF57F1"/>
    <w:rsid w:val="00DF5A38"/>
    <w:rsid w:val="00DF5E92"/>
    <w:rsid w:val="00DF70D9"/>
    <w:rsid w:val="00E00927"/>
    <w:rsid w:val="00E00C82"/>
    <w:rsid w:val="00E03085"/>
    <w:rsid w:val="00E0371E"/>
    <w:rsid w:val="00E03B56"/>
    <w:rsid w:val="00E05309"/>
    <w:rsid w:val="00E06442"/>
    <w:rsid w:val="00E065F4"/>
    <w:rsid w:val="00E06672"/>
    <w:rsid w:val="00E07207"/>
    <w:rsid w:val="00E077EA"/>
    <w:rsid w:val="00E07982"/>
    <w:rsid w:val="00E100AF"/>
    <w:rsid w:val="00E1019A"/>
    <w:rsid w:val="00E10AB6"/>
    <w:rsid w:val="00E10AE3"/>
    <w:rsid w:val="00E11A38"/>
    <w:rsid w:val="00E129E0"/>
    <w:rsid w:val="00E12AC9"/>
    <w:rsid w:val="00E12B9A"/>
    <w:rsid w:val="00E12EBC"/>
    <w:rsid w:val="00E13003"/>
    <w:rsid w:val="00E1575C"/>
    <w:rsid w:val="00E16AF8"/>
    <w:rsid w:val="00E16D1A"/>
    <w:rsid w:val="00E17503"/>
    <w:rsid w:val="00E202A6"/>
    <w:rsid w:val="00E20392"/>
    <w:rsid w:val="00E20635"/>
    <w:rsid w:val="00E20B07"/>
    <w:rsid w:val="00E2146B"/>
    <w:rsid w:val="00E228BC"/>
    <w:rsid w:val="00E234FF"/>
    <w:rsid w:val="00E23CAC"/>
    <w:rsid w:val="00E24AFC"/>
    <w:rsid w:val="00E24C4B"/>
    <w:rsid w:val="00E255E7"/>
    <w:rsid w:val="00E25718"/>
    <w:rsid w:val="00E25D43"/>
    <w:rsid w:val="00E26E43"/>
    <w:rsid w:val="00E27695"/>
    <w:rsid w:val="00E279A3"/>
    <w:rsid w:val="00E279C3"/>
    <w:rsid w:val="00E27BE9"/>
    <w:rsid w:val="00E31056"/>
    <w:rsid w:val="00E315C8"/>
    <w:rsid w:val="00E317D8"/>
    <w:rsid w:val="00E31B6A"/>
    <w:rsid w:val="00E3278B"/>
    <w:rsid w:val="00E3292E"/>
    <w:rsid w:val="00E32994"/>
    <w:rsid w:val="00E32AE1"/>
    <w:rsid w:val="00E33272"/>
    <w:rsid w:val="00E334B1"/>
    <w:rsid w:val="00E33A2F"/>
    <w:rsid w:val="00E340E6"/>
    <w:rsid w:val="00E34344"/>
    <w:rsid w:val="00E3448F"/>
    <w:rsid w:val="00E34585"/>
    <w:rsid w:val="00E3498B"/>
    <w:rsid w:val="00E35B7D"/>
    <w:rsid w:val="00E368D6"/>
    <w:rsid w:val="00E379B3"/>
    <w:rsid w:val="00E37B85"/>
    <w:rsid w:val="00E37CF7"/>
    <w:rsid w:val="00E37DC1"/>
    <w:rsid w:val="00E402CD"/>
    <w:rsid w:val="00E403BF"/>
    <w:rsid w:val="00E41819"/>
    <w:rsid w:val="00E41939"/>
    <w:rsid w:val="00E4356A"/>
    <w:rsid w:val="00E439F9"/>
    <w:rsid w:val="00E4401A"/>
    <w:rsid w:val="00E44449"/>
    <w:rsid w:val="00E44800"/>
    <w:rsid w:val="00E44AE6"/>
    <w:rsid w:val="00E45AE9"/>
    <w:rsid w:val="00E45D6E"/>
    <w:rsid w:val="00E46A27"/>
    <w:rsid w:val="00E46F66"/>
    <w:rsid w:val="00E47383"/>
    <w:rsid w:val="00E47784"/>
    <w:rsid w:val="00E478D7"/>
    <w:rsid w:val="00E50232"/>
    <w:rsid w:val="00E51CD9"/>
    <w:rsid w:val="00E52126"/>
    <w:rsid w:val="00E5237F"/>
    <w:rsid w:val="00E52732"/>
    <w:rsid w:val="00E53148"/>
    <w:rsid w:val="00E53190"/>
    <w:rsid w:val="00E534EB"/>
    <w:rsid w:val="00E5357F"/>
    <w:rsid w:val="00E539A5"/>
    <w:rsid w:val="00E53F4D"/>
    <w:rsid w:val="00E5460E"/>
    <w:rsid w:val="00E546CF"/>
    <w:rsid w:val="00E54880"/>
    <w:rsid w:val="00E54CCE"/>
    <w:rsid w:val="00E55327"/>
    <w:rsid w:val="00E563A4"/>
    <w:rsid w:val="00E5654E"/>
    <w:rsid w:val="00E56E8B"/>
    <w:rsid w:val="00E57A43"/>
    <w:rsid w:val="00E606B2"/>
    <w:rsid w:val="00E60DE9"/>
    <w:rsid w:val="00E61311"/>
    <w:rsid w:val="00E63694"/>
    <w:rsid w:val="00E63761"/>
    <w:rsid w:val="00E63930"/>
    <w:rsid w:val="00E63ADA"/>
    <w:rsid w:val="00E63BDA"/>
    <w:rsid w:val="00E66415"/>
    <w:rsid w:val="00E66579"/>
    <w:rsid w:val="00E6672A"/>
    <w:rsid w:val="00E66FD4"/>
    <w:rsid w:val="00E674D5"/>
    <w:rsid w:val="00E67720"/>
    <w:rsid w:val="00E70ABD"/>
    <w:rsid w:val="00E71DBF"/>
    <w:rsid w:val="00E71E51"/>
    <w:rsid w:val="00E722A1"/>
    <w:rsid w:val="00E724EC"/>
    <w:rsid w:val="00E72513"/>
    <w:rsid w:val="00E730BC"/>
    <w:rsid w:val="00E73899"/>
    <w:rsid w:val="00E73BA2"/>
    <w:rsid w:val="00E73C54"/>
    <w:rsid w:val="00E73CDD"/>
    <w:rsid w:val="00E757B4"/>
    <w:rsid w:val="00E75BD7"/>
    <w:rsid w:val="00E76D66"/>
    <w:rsid w:val="00E775C3"/>
    <w:rsid w:val="00E779B7"/>
    <w:rsid w:val="00E77A50"/>
    <w:rsid w:val="00E77BB4"/>
    <w:rsid w:val="00E8084A"/>
    <w:rsid w:val="00E810A3"/>
    <w:rsid w:val="00E812B2"/>
    <w:rsid w:val="00E82BCD"/>
    <w:rsid w:val="00E83BA8"/>
    <w:rsid w:val="00E83DEF"/>
    <w:rsid w:val="00E8405D"/>
    <w:rsid w:val="00E84A0C"/>
    <w:rsid w:val="00E84E10"/>
    <w:rsid w:val="00E85A92"/>
    <w:rsid w:val="00E85F55"/>
    <w:rsid w:val="00E86625"/>
    <w:rsid w:val="00E868BF"/>
    <w:rsid w:val="00E87BF7"/>
    <w:rsid w:val="00E9037B"/>
    <w:rsid w:val="00E905D4"/>
    <w:rsid w:val="00E912C9"/>
    <w:rsid w:val="00E91FD4"/>
    <w:rsid w:val="00E939B4"/>
    <w:rsid w:val="00E948E4"/>
    <w:rsid w:val="00E94B54"/>
    <w:rsid w:val="00E94D94"/>
    <w:rsid w:val="00E96345"/>
    <w:rsid w:val="00E96C27"/>
    <w:rsid w:val="00E96E76"/>
    <w:rsid w:val="00E970FB"/>
    <w:rsid w:val="00E973BF"/>
    <w:rsid w:val="00E97BEC"/>
    <w:rsid w:val="00E97E45"/>
    <w:rsid w:val="00EA0C3D"/>
    <w:rsid w:val="00EA1227"/>
    <w:rsid w:val="00EA1DE6"/>
    <w:rsid w:val="00EA2015"/>
    <w:rsid w:val="00EA24B7"/>
    <w:rsid w:val="00EA2F5B"/>
    <w:rsid w:val="00EA3139"/>
    <w:rsid w:val="00EA369C"/>
    <w:rsid w:val="00EA3760"/>
    <w:rsid w:val="00EA3C99"/>
    <w:rsid w:val="00EA4AEE"/>
    <w:rsid w:val="00EA52AC"/>
    <w:rsid w:val="00EA52B6"/>
    <w:rsid w:val="00EA5409"/>
    <w:rsid w:val="00EA578D"/>
    <w:rsid w:val="00EA5B71"/>
    <w:rsid w:val="00EA755E"/>
    <w:rsid w:val="00EA791B"/>
    <w:rsid w:val="00EB0163"/>
    <w:rsid w:val="00EB0B9A"/>
    <w:rsid w:val="00EB18AE"/>
    <w:rsid w:val="00EB1B1D"/>
    <w:rsid w:val="00EB1B2A"/>
    <w:rsid w:val="00EB252D"/>
    <w:rsid w:val="00EB2A7D"/>
    <w:rsid w:val="00EB3649"/>
    <w:rsid w:val="00EB3985"/>
    <w:rsid w:val="00EB3ABD"/>
    <w:rsid w:val="00EB3C16"/>
    <w:rsid w:val="00EB3D06"/>
    <w:rsid w:val="00EB443F"/>
    <w:rsid w:val="00EB451F"/>
    <w:rsid w:val="00EB4838"/>
    <w:rsid w:val="00EB4A80"/>
    <w:rsid w:val="00EB4ACE"/>
    <w:rsid w:val="00EB5B70"/>
    <w:rsid w:val="00EB685D"/>
    <w:rsid w:val="00EB6C27"/>
    <w:rsid w:val="00EB6E75"/>
    <w:rsid w:val="00EB716D"/>
    <w:rsid w:val="00EB7D33"/>
    <w:rsid w:val="00EC0443"/>
    <w:rsid w:val="00EC0958"/>
    <w:rsid w:val="00EC0C49"/>
    <w:rsid w:val="00EC1019"/>
    <w:rsid w:val="00EC17A9"/>
    <w:rsid w:val="00EC1D6A"/>
    <w:rsid w:val="00EC2810"/>
    <w:rsid w:val="00EC35B6"/>
    <w:rsid w:val="00EC35EA"/>
    <w:rsid w:val="00EC3C0B"/>
    <w:rsid w:val="00EC457E"/>
    <w:rsid w:val="00EC531B"/>
    <w:rsid w:val="00EC6954"/>
    <w:rsid w:val="00EC6B4E"/>
    <w:rsid w:val="00EC7429"/>
    <w:rsid w:val="00EC7AD6"/>
    <w:rsid w:val="00EC7C4D"/>
    <w:rsid w:val="00ED28F2"/>
    <w:rsid w:val="00ED3465"/>
    <w:rsid w:val="00ED349E"/>
    <w:rsid w:val="00ED3E7D"/>
    <w:rsid w:val="00ED41C0"/>
    <w:rsid w:val="00ED4E92"/>
    <w:rsid w:val="00ED5039"/>
    <w:rsid w:val="00ED5DFF"/>
    <w:rsid w:val="00ED6711"/>
    <w:rsid w:val="00ED68C0"/>
    <w:rsid w:val="00ED6EA2"/>
    <w:rsid w:val="00ED75FE"/>
    <w:rsid w:val="00ED7EE6"/>
    <w:rsid w:val="00EE0069"/>
    <w:rsid w:val="00EE0263"/>
    <w:rsid w:val="00EE136C"/>
    <w:rsid w:val="00EE1951"/>
    <w:rsid w:val="00EE19AD"/>
    <w:rsid w:val="00EE1D0D"/>
    <w:rsid w:val="00EE1F2A"/>
    <w:rsid w:val="00EE3303"/>
    <w:rsid w:val="00EE4204"/>
    <w:rsid w:val="00EE48CA"/>
    <w:rsid w:val="00EE4AE3"/>
    <w:rsid w:val="00EE50D2"/>
    <w:rsid w:val="00EE572E"/>
    <w:rsid w:val="00EE574A"/>
    <w:rsid w:val="00EE59C2"/>
    <w:rsid w:val="00EE5AFA"/>
    <w:rsid w:val="00EE6232"/>
    <w:rsid w:val="00EE62BB"/>
    <w:rsid w:val="00EE76C5"/>
    <w:rsid w:val="00EF06DF"/>
    <w:rsid w:val="00EF111A"/>
    <w:rsid w:val="00EF14C1"/>
    <w:rsid w:val="00EF249A"/>
    <w:rsid w:val="00EF347D"/>
    <w:rsid w:val="00EF3E6A"/>
    <w:rsid w:val="00EF415A"/>
    <w:rsid w:val="00EF46A2"/>
    <w:rsid w:val="00EF5157"/>
    <w:rsid w:val="00EF5778"/>
    <w:rsid w:val="00EF69D6"/>
    <w:rsid w:val="00EF6B65"/>
    <w:rsid w:val="00EF7136"/>
    <w:rsid w:val="00F00259"/>
    <w:rsid w:val="00F00458"/>
    <w:rsid w:val="00F00512"/>
    <w:rsid w:val="00F007B5"/>
    <w:rsid w:val="00F00B29"/>
    <w:rsid w:val="00F0216E"/>
    <w:rsid w:val="00F026D5"/>
    <w:rsid w:val="00F028D8"/>
    <w:rsid w:val="00F02BFD"/>
    <w:rsid w:val="00F02CF5"/>
    <w:rsid w:val="00F040B2"/>
    <w:rsid w:val="00F05414"/>
    <w:rsid w:val="00F05D6B"/>
    <w:rsid w:val="00F069B1"/>
    <w:rsid w:val="00F07336"/>
    <w:rsid w:val="00F10707"/>
    <w:rsid w:val="00F10753"/>
    <w:rsid w:val="00F10CFD"/>
    <w:rsid w:val="00F10FA6"/>
    <w:rsid w:val="00F11ED2"/>
    <w:rsid w:val="00F12D6E"/>
    <w:rsid w:val="00F1599B"/>
    <w:rsid w:val="00F15ACC"/>
    <w:rsid w:val="00F15CF0"/>
    <w:rsid w:val="00F1653D"/>
    <w:rsid w:val="00F167AA"/>
    <w:rsid w:val="00F171D2"/>
    <w:rsid w:val="00F178A6"/>
    <w:rsid w:val="00F2007B"/>
    <w:rsid w:val="00F20A31"/>
    <w:rsid w:val="00F20AEF"/>
    <w:rsid w:val="00F20D52"/>
    <w:rsid w:val="00F2112B"/>
    <w:rsid w:val="00F21B57"/>
    <w:rsid w:val="00F21F9C"/>
    <w:rsid w:val="00F22516"/>
    <w:rsid w:val="00F2281C"/>
    <w:rsid w:val="00F22867"/>
    <w:rsid w:val="00F22A97"/>
    <w:rsid w:val="00F23533"/>
    <w:rsid w:val="00F23E7C"/>
    <w:rsid w:val="00F24C51"/>
    <w:rsid w:val="00F25036"/>
    <w:rsid w:val="00F261D3"/>
    <w:rsid w:val="00F2634E"/>
    <w:rsid w:val="00F26E4E"/>
    <w:rsid w:val="00F27614"/>
    <w:rsid w:val="00F2798D"/>
    <w:rsid w:val="00F27C47"/>
    <w:rsid w:val="00F305A7"/>
    <w:rsid w:val="00F31D18"/>
    <w:rsid w:val="00F31DC7"/>
    <w:rsid w:val="00F31FC8"/>
    <w:rsid w:val="00F326B3"/>
    <w:rsid w:val="00F33B15"/>
    <w:rsid w:val="00F353FD"/>
    <w:rsid w:val="00F354E3"/>
    <w:rsid w:val="00F3592F"/>
    <w:rsid w:val="00F35CBC"/>
    <w:rsid w:val="00F36057"/>
    <w:rsid w:val="00F3693C"/>
    <w:rsid w:val="00F36940"/>
    <w:rsid w:val="00F36C0D"/>
    <w:rsid w:val="00F36C1F"/>
    <w:rsid w:val="00F4115C"/>
    <w:rsid w:val="00F411CB"/>
    <w:rsid w:val="00F430D6"/>
    <w:rsid w:val="00F432F0"/>
    <w:rsid w:val="00F43C16"/>
    <w:rsid w:val="00F443C6"/>
    <w:rsid w:val="00F45742"/>
    <w:rsid w:val="00F46F5D"/>
    <w:rsid w:val="00F470D8"/>
    <w:rsid w:val="00F4719A"/>
    <w:rsid w:val="00F47EDE"/>
    <w:rsid w:val="00F507C5"/>
    <w:rsid w:val="00F507F6"/>
    <w:rsid w:val="00F50FA5"/>
    <w:rsid w:val="00F51711"/>
    <w:rsid w:val="00F51A73"/>
    <w:rsid w:val="00F51C95"/>
    <w:rsid w:val="00F51E9B"/>
    <w:rsid w:val="00F51FDA"/>
    <w:rsid w:val="00F5264C"/>
    <w:rsid w:val="00F5367B"/>
    <w:rsid w:val="00F54087"/>
    <w:rsid w:val="00F54BF0"/>
    <w:rsid w:val="00F54D4C"/>
    <w:rsid w:val="00F55F14"/>
    <w:rsid w:val="00F56824"/>
    <w:rsid w:val="00F570E0"/>
    <w:rsid w:val="00F570EE"/>
    <w:rsid w:val="00F574A8"/>
    <w:rsid w:val="00F578AE"/>
    <w:rsid w:val="00F606DD"/>
    <w:rsid w:val="00F6108C"/>
    <w:rsid w:val="00F61377"/>
    <w:rsid w:val="00F61A8B"/>
    <w:rsid w:val="00F62C89"/>
    <w:rsid w:val="00F62E54"/>
    <w:rsid w:val="00F63FAF"/>
    <w:rsid w:val="00F6465C"/>
    <w:rsid w:val="00F64CC7"/>
    <w:rsid w:val="00F64EFC"/>
    <w:rsid w:val="00F65818"/>
    <w:rsid w:val="00F65B16"/>
    <w:rsid w:val="00F66103"/>
    <w:rsid w:val="00F66133"/>
    <w:rsid w:val="00F6670E"/>
    <w:rsid w:val="00F674EF"/>
    <w:rsid w:val="00F7052B"/>
    <w:rsid w:val="00F72396"/>
    <w:rsid w:val="00F726AA"/>
    <w:rsid w:val="00F7271B"/>
    <w:rsid w:val="00F73173"/>
    <w:rsid w:val="00F7344F"/>
    <w:rsid w:val="00F7495D"/>
    <w:rsid w:val="00F74960"/>
    <w:rsid w:val="00F74F2B"/>
    <w:rsid w:val="00F75012"/>
    <w:rsid w:val="00F7632B"/>
    <w:rsid w:val="00F764AD"/>
    <w:rsid w:val="00F77659"/>
    <w:rsid w:val="00F77CE1"/>
    <w:rsid w:val="00F8035B"/>
    <w:rsid w:val="00F8089D"/>
    <w:rsid w:val="00F80F6C"/>
    <w:rsid w:val="00F8111A"/>
    <w:rsid w:val="00F8123A"/>
    <w:rsid w:val="00F81A46"/>
    <w:rsid w:val="00F821A7"/>
    <w:rsid w:val="00F82417"/>
    <w:rsid w:val="00F8269D"/>
    <w:rsid w:val="00F82BCE"/>
    <w:rsid w:val="00F82EC7"/>
    <w:rsid w:val="00F82ED6"/>
    <w:rsid w:val="00F8336C"/>
    <w:rsid w:val="00F837E8"/>
    <w:rsid w:val="00F83C66"/>
    <w:rsid w:val="00F84248"/>
    <w:rsid w:val="00F8488E"/>
    <w:rsid w:val="00F84B6F"/>
    <w:rsid w:val="00F854FE"/>
    <w:rsid w:val="00F8629F"/>
    <w:rsid w:val="00F86533"/>
    <w:rsid w:val="00F868A2"/>
    <w:rsid w:val="00F8793E"/>
    <w:rsid w:val="00F90335"/>
    <w:rsid w:val="00F9080C"/>
    <w:rsid w:val="00F91587"/>
    <w:rsid w:val="00F91826"/>
    <w:rsid w:val="00F926D9"/>
    <w:rsid w:val="00F92CE9"/>
    <w:rsid w:val="00F934E4"/>
    <w:rsid w:val="00F936A3"/>
    <w:rsid w:val="00F93C27"/>
    <w:rsid w:val="00F943AD"/>
    <w:rsid w:val="00F95373"/>
    <w:rsid w:val="00F9592F"/>
    <w:rsid w:val="00F95D83"/>
    <w:rsid w:val="00F96033"/>
    <w:rsid w:val="00F960C4"/>
    <w:rsid w:val="00F96207"/>
    <w:rsid w:val="00F97372"/>
    <w:rsid w:val="00F97FD6"/>
    <w:rsid w:val="00FA00B2"/>
    <w:rsid w:val="00FA03F2"/>
    <w:rsid w:val="00FA0D4B"/>
    <w:rsid w:val="00FA1FBF"/>
    <w:rsid w:val="00FA2369"/>
    <w:rsid w:val="00FA2681"/>
    <w:rsid w:val="00FA28B9"/>
    <w:rsid w:val="00FA2EFA"/>
    <w:rsid w:val="00FA37CC"/>
    <w:rsid w:val="00FA37DD"/>
    <w:rsid w:val="00FA3AE3"/>
    <w:rsid w:val="00FA3BED"/>
    <w:rsid w:val="00FA3EB6"/>
    <w:rsid w:val="00FA505F"/>
    <w:rsid w:val="00FA520D"/>
    <w:rsid w:val="00FA5256"/>
    <w:rsid w:val="00FA5D38"/>
    <w:rsid w:val="00FA760D"/>
    <w:rsid w:val="00FB2203"/>
    <w:rsid w:val="00FB2D28"/>
    <w:rsid w:val="00FB3579"/>
    <w:rsid w:val="00FB3A4A"/>
    <w:rsid w:val="00FB3B8E"/>
    <w:rsid w:val="00FB41E1"/>
    <w:rsid w:val="00FB5A82"/>
    <w:rsid w:val="00FB5E72"/>
    <w:rsid w:val="00FB6150"/>
    <w:rsid w:val="00FB6A4F"/>
    <w:rsid w:val="00FB7807"/>
    <w:rsid w:val="00FB7AB0"/>
    <w:rsid w:val="00FB7D2D"/>
    <w:rsid w:val="00FB7E97"/>
    <w:rsid w:val="00FB7FB2"/>
    <w:rsid w:val="00FC0D84"/>
    <w:rsid w:val="00FC0EAD"/>
    <w:rsid w:val="00FC1049"/>
    <w:rsid w:val="00FC1110"/>
    <w:rsid w:val="00FC22DA"/>
    <w:rsid w:val="00FC26B5"/>
    <w:rsid w:val="00FC2D76"/>
    <w:rsid w:val="00FC2D88"/>
    <w:rsid w:val="00FC2EF9"/>
    <w:rsid w:val="00FC54F6"/>
    <w:rsid w:val="00FC5505"/>
    <w:rsid w:val="00FC5E8D"/>
    <w:rsid w:val="00FC5EF5"/>
    <w:rsid w:val="00FC701E"/>
    <w:rsid w:val="00FC7728"/>
    <w:rsid w:val="00FC79C8"/>
    <w:rsid w:val="00FD0633"/>
    <w:rsid w:val="00FD07C9"/>
    <w:rsid w:val="00FD0C7C"/>
    <w:rsid w:val="00FD1086"/>
    <w:rsid w:val="00FD12A3"/>
    <w:rsid w:val="00FD137D"/>
    <w:rsid w:val="00FD14C0"/>
    <w:rsid w:val="00FD1B1E"/>
    <w:rsid w:val="00FD2568"/>
    <w:rsid w:val="00FD30AE"/>
    <w:rsid w:val="00FD38C6"/>
    <w:rsid w:val="00FD4121"/>
    <w:rsid w:val="00FD44D5"/>
    <w:rsid w:val="00FD46EC"/>
    <w:rsid w:val="00FD485B"/>
    <w:rsid w:val="00FD48F4"/>
    <w:rsid w:val="00FD4EBF"/>
    <w:rsid w:val="00FD59C0"/>
    <w:rsid w:val="00FD5A0E"/>
    <w:rsid w:val="00FD5E3D"/>
    <w:rsid w:val="00FD65F1"/>
    <w:rsid w:val="00FD71D3"/>
    <w:rsid w:val="00FD7C87"/>
    <w:rsid w:val="00FE09E0"/>
    <w:rsid w:val="00FE0BD7"/>
    <w:rsid w:val="00FE1279"/>
    <w:rsid w:val="00FE1B20"/>
    <w:rsid w:val="00FE21EF"/>
    <w:rsid w:val="00FE2471"/>
    <w:rsid w:val="00FE2E5D"/>
    <w:rsid w:val="00FE37C1"/>
    <w:rsid w:val="00FE3FA3"/>
    <w:rsid w:val="00FE4809"/>
    <w:rsid w:val="00FE4AC5"/>
    <w:rsid w:val="00FE4AF1"/>
    <w:rsid w:val="00FE4B43"/>
    <w:rsid w:val="00FE5316"/>
    <w:rsid w:val="00FE6B99"/>
    <w:rsid w:val="00FE71EE"/>
    <w:rsid w:val="00FE7ABA"/>
    <w:rsid w:val="00FE7D9F"/>
    <w:rsid w:val="00FF0137"/>
    <w:rsid w:val="00FF0707"/>
    <w:rsid w:val="00FF1416"/>
    <w:rsid w:val="00FF1940"/>
    <w:rsid w:val="00FF1DA9"/>
    <w:rsid w:val="00FF3166"/>
    <w:rsid w:val="00FF3275"/>
    <w:rsid w:val="00FF39FC"/>
    <w:rsid w:val="00FF4DF1"/>
    <w:rsid w:val="00FF5663"/>
    <w:rsid w:val="00FF5B04"/>
    <w:rsid w:val="00FF6AB8"/>
    <w:rsid w:val="00FF6D22"/>
    <w:rsid w:val="00FF6DFE"/>
    <w:rsid w:val="00FF704D"/>
    <w:rsid w:val="00FF733D"/>
    <w:rsid w:val="00FF73C3"/>
    <w:rsid w:val="00FF7418"/>
    <w:rsid w:val="00FF7E68"/>
    <w:rsid w:val="021EB124"/>
    <w:rsid w:val="043A500F"/>
    <w:rsid w:val="0560FF91"/>
    <w:rsid w:val="0562E49E"/>
    <w:rsid w:val="0887CA23"/>
    <w:rsid w:val="08E7A433"/>
    <w:rsid w:val="0A8DE830"/>
    <w:rsid w:val="0C0C19BE"/>
    <w:rsid w:val="0C90CAA8"/>
    <w:rsid w:val="0CDA370D"/>
    <w:rsid w:val="0E597A7A"/>
    <w:rsid w:val="1048E242"/>
    <w:rsid w:val="10585DDD"/>
    <w:rsid w:val="10D2D020"/>
    <w:rsid w:val="1237B507"/>
    <w:rsid w:val="13B1873E"/>
    <w:rsid w:val="143B424B"/>
    <w:rsid w:val="1570F69D"/>
    <w:rsid w:val="15B39647"/>
    <w:rsid w:val="15D33EC5"/>
    <w:rsid w:val="1615192F"/>
    <w:rsid w:val="162C9CEE"/>
    <w:rsid w:val="16A938EF"/>
    <w:rsid w:val="18BFA283"/>
    <w:rsid w:val="18F006FC"/>
    <w:rsid w:val="18F25A46"/>
    <w:rsid w:val="19B58743"/>
    <w:rsid w:val="1A72E0DE"/>
    <w:rsid w:val="1B77FA57"/>
    <w:rsid w:val="1BE46CA1"/>
    <w:rsid w:val="1C29ABD1"/>
    <w:rsid w:val="1C562E41"/>
    <w:rsid w:val="1C808C8F"/>
    <w:rsid w:val="1D819BF8"/>
    <w:rsid w:val="1DB5D211"/>
    <w:rsid w:val="1F478102"/>
    <w:rsid w:val="209FE457"/>
    <w:rsid w:val="20B055E0"/>
    <w:rsid w:val="22262533"/>
    <w:rsid w:val="227C212B"/>
    <w:rsid w:val="23FF5897"/>
    <w:rsid w:val="2433D259"/>
    <w:rsid w:val="24C0EC9F"/>
    <w:rsid w:val="2531FD6D"/>
    <w:rsid w:val="25D9CBFE"/>
    <w:rsid w:val="26A9AA60"/>
    <w:rsid w:val="26B68B9D"/>
    <w:rsid w:val="26CEB7DB"/>
    <w:rsid w:val="26FB828C"/>
    <w:rsid w:val="286E517A"/>
    <w:rsid w:val="28B31598"/>
    <w:rsid w:val="28EF9914"/>
    <w:rsid w:val="2A450035"/>
    <w:rsid w:val="2A6C9639"/>
    <w:rsid w:val="2AB18D28"/>
    <w:rsid w:val="2B6063D5"/>
    <w:rsid w:val="2BDCFCAF"/>
    <w:rsid w:val="2C02861C"/>
    <w:rsid w:val="2E989AFC"/>
    <w:rsid w:val="2E9CF22D"/>
    <w:rsid w:val="30EAC058"/>
    <w:rsid w:val="3196BF3D"/>
    <w:rsid w:val="31E4D6DB"/>
    <w:rsid w:val="325FEC2B"/>
    <w:rsid w:val="32A5F50E"/>
    <w:rsid w:val="3324A19C"/>
    <w:rsid w:val="337AB80D"/>
    <w:rsid w:val="33D84E83"/>
    <w:rsid w:val="33F37C1D"/>
    <w:rsid w:val="341305F8"/>
    <w:rsid w:val="3443DAA9"/>
    <w:rsid w:val="3543321F"/>
    <w:rsid w:val="36007D13"/>
    <w:rsid w:val="364064A4"/>
    <w:rsid w:val="365ED14D"/>
    <w:rsid w:val="37039D45"/>
    <w:rsid w:val="372BD56A"/>
    <w:rsid w:val="378D5852"/>
    <w:rsid w:val="37EB5F15"/>
    <w:rsid w:val="38DCDD64"/>
    <w:rsid w:val="3B9ACE4D"/>
    <w:rsid w:val="3D151987"/>
    <w:rsid w:val="3DBA8288"/>
    <w:rsid w:val="3E9C7D3F"/>
    <w:rsid w:val="3EACC79B"/>
    <w:rsid w:val="3EF18BB9"/>
    <w:rsid w:val="3F097982"/>
    <w:rsid w:val="3F9D1707"/>
    <w:rsid w:val="3FD40D68"/>
    <w:rsid w:val="402F3677"/>
    <w:rsid w:val="40AEB43C"/>
    <w:rsid w:val="40BB4B12"/>
    <w:rsid w:val="40F97686"/>
    <w:rsid w:val="4107E818"/>
    <w:rsid w:val="418E8F9A"/>
    <w:rsid w:val="4219DF39"/>
    <w:rsid w:val="432EEEAD"/>
    <w:rsid w:val="451C30E9"/>
    <w:rsid w:val="45358A7F"/>
    <w:rsid w:val="46F37C58"/>
    <w:rsid w:val="4785E860"/>
    <w:rsid w:val="497248DF"/>
    <w:rsid w:val="49FB3F1A"/>
    <w:rsid w:val="4A1B48D4"/>
    <w:rsid w:val="4A4D9893"/>
    <w:rsid w:val="4B05CD2B"/>
    <w:rsid w:val="4BC06781"/>
    <w:rsid w:val="4C96C88E"/>
    <w:rsid w:val="4E70953A"/>
    <w:rsid w:val="4F967274"/>
    <w:rsid w:val="50E2D138"/>
    <w:rsid w:val="5125316A"/>
    <w:rsid w:val="515E5214"/>
    <w:rsid w:val="518D0438"/>
    <w:rsid w:val="51EF0834"/>
    <w:rsid w:val="5262FF7B"/>
    <w:rsid w:val="53396C2C"/>
    <w:rsid w:val="5412F39A"/>
    <w:rsid w:val="546C127A"/>
    <w:rsid w:val="54CECB10"/>
    <w:rsid w:val="54E7F36D"/>
    <w:rsid w:val="5500A6AE"/>
    <w:rsid w:val="55DE033F"/>
    <w:rsid w:val="5637E984"/>
    <w:rsid w:val="56D52087"/>
    <w:rsid w:val="57608E4B"/>
    <w:rsid w:val="58A4148D"/>
    <w:rsid w:val="5934C484"/>
    <w:rsid w:val="59722468"/>
    <w:rsid w:val="5A20FB15"/>
    <w:rsid w:val="5A25720D"/>
    <w:rsid w:val="5CB9453D"/>
    <w:rsid w:val="5D6FFDCC"/>
    <w:rsid w:val="5DB4F4BB"/>
    <w:rsid w:val="5DE97A21"/>
    <w:rsid w:val="5F376051"/>
    <w:rsid w:val="5F7B9D49"/>
    <w:rsid w:val="60122AE3"/>
    <w:rsid w:val="62E36C02"/>
    <w:rsid w:val="630471E9"/>
    <w:rsid w:val="6512FA8C"/>
    <w:rsid w:val="66316399"/>
    <w:rsid w:val="67E93926"/>
    <w:rsid w:val="680B3A7D"/>
    <w:rsid w:val="6884B6D2"/>
    <w:rsid w:val="68CD5049"/>
    <w:rsid w:val="68F72A32"/>
    <w:rsid w:val="6A469449"/>
    <w:rsid w:val="6AD7FE67"/>
    <w:rsid w:val="6BAA8050"/>
    <w:rsid w:val="6C2ECAF4"/>
    <w:rsid w:val="6D38A6A4"/>
    <w:rsid w:val="6D6D5EDB"/>
    <w:rsid w:val="6DA20B6E"/>
    <w:rsid w:val="6EDDC551"/>
    <w:rsid w:val="6F36EB63"/>
    <w:rsid w:val="702AB8FF"/>
    <w:rsid w:val="71E32604"/>
    <w:rsid w:val="7228FDBE"/>
    <w:rsid w:val="73996434"/>
    <w:rsid w:val="73F3380B"/>
    <w:rsid w:val="749CDA0B"/>
    <w:rsid w:val="75411E3B"/>
    <w:rsid w:val="78925699"/>
    <w:rsid w:val="79698AC8"/>
    <w:rsid w:val="79CE7B50"/>
    <w:rsid w:val="7A3E5D30"/>
    <w:rsid w:val="7AAF72C6"/>
    <w:rsid w:val="7AEA638B"/>
    <w:rsid w:val="7B627F17"/>
    <w:rsid w:val="7BF39822"/>
    <w:rsid w:val="7BF62A94"/>
    <w:rsid w:val="7D55CE64"/>
    <w:rsid w:val="7DC5D6EF"/>
    <w:rsid w:val="7DD7195C"/>
    <w:rsid w:val="7FB086AC"/>
    <w:rsid w:val="7FE1B9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4EE4831"/>
  <w15:docId w15:val="{C484EBD1-D994-4700-9712-289B49B3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Times New Roman" w:hAnsi="Source Sans Pro"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2888"/>
    <w:pPr>
      <w:widowControl w:val="0"/>
      <w:overflowPunct w:val="0"/>
      <w:autoSpaceDE w:val="0"/>
      <w:autoSpaceDN w:val="0"/>
      <w:adjustRightInd w:val="0"/>
      <w:textAlignment w:val="baseline"/>
    </w:p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link w:val="TOC1Char"/>
    <w:uiPriority w:val="39"/>
    <w:rsid w:val="00D22888"/>
    <w:pPr>
      <w:tabs>
        <w:tab w:val="right" w:leader="dot" w:pos="9350"/>
      </w:tabs>
      <w:spacing w:before="120" w:after="120"/>
    </w:pPr>
    <w:rPr>
      <w:rFonts w:ascii="Times New Roman" w:hAnsi="Times New Roman"/>
      <w:b/>
      <w:bCs/>
      <w:caps/>
      <w:noProof/>
    </w:rPr>
  </w:style>
  <w:style w:type="paragraph" w:styleId="TOC2">
    <w:name w:val="toc 2"/>
    <w:basedOn w:val="Normal"/>
    <w:next w:val="Normal"/>
    <w:semiHidden/>
    <w:rsid w:val="00D22888"/>
    <w:pPr>
      <w:ind w:left="240"/>
    </w:pPr>
    <w:rPr>
      <w:smallCaps/>
    </w:rPr>
  </w:style>
  <w:style w:type="paragraph" w:styleId="TOC3">
    <w:name w:val="toc 3"/>
    <w:basedOn w:val="Normal"/>
    <w:next w:val="Normal"/>
    <w:semiHidden/>
    <w:rsid w:val="00D22888"/>
    <w:pPr>
      <w:ind w:left="480"/>
    </w:pPr>
    <w:rPr>
      <w:i/>
      <w:iCs/>
    </w:rPr>
  </w:style>
  <w:style w:type="paragraph" w:styleId="TOC4">
    <w:name w:val="toc 4"/>
    <w:basedOn w:val="Normal"/>
    <w:next w:val="Normal"/>
    <w:semiHidden/>
    <w:rsid w:val="00E973BF"/>
    <w:pPr>
      <w:ind w:left="720"/>
    </w:pPr>
    <w:rPr>
      <w:sz w:val="18"/>
      <w:szCs w:val="18"/>
    </w:rPr>
  </w:style>
  <w:style w:type="paragraph" w:styleId="TOC5">
    <w:name w:val="toc 5"/>
    <w:basedOn w:val="Normal"/>
    <w:next w:val="Normal"/>
    <w:semiHidden/>
    <w:rsid w:val="00E973BF"/>
    <w:pPr>
      <w:ind w:left="960"/>
    </w:pPr>
    <w:rPr>
      <w:sz w:val="18"/>
      <w:szCs w:val="18"/>
    </w:rPr>
  </w:style>
  <w:style w:type="paragraph" w:styleId="TOC6">
    <w:name w:val="toc 6"/>
    <w:basedOn w:val="Normal"/>
    <w:next w:val="Normal"/>
    <w:semiHidden/>
    <w:rsid w:val="00E973BF"/>
    <w:pPr>
      <w:ind w:left="1200"/>
    </w:pPr>
    <w:rPr>
      <w:sz w:val="18"/>
      <w:szCs w:val="18"/>
    </w:rPr>
  </w:style>
  <w:style w:type="paragraph" w:styleId="TOC7">
    <w:name w:val="toc 7"/>
    <w:basedOn w:val="Normal"/>
    <w:next w:val="Normal"/>
    <w:semiHidden/>
    <w:rsid w:val="00E973BF"/>
    <w:pPr>
      <w:ind w:left="1440"/>
    </w:pPr>
    <w:rPr>
      <w:sz w:val="18"/>
      <w:szCs w:val="18"/>
    </w:rPr>
  </w:style>
  <w:style w:type="paragraph" w:styleId="TOC8">
    <w:name w:val="toc 8"/>
    <w:basedOn w:val="Normal"/>
    <w:next w:val="Normal"/>
    <w:semiHidden/>
    <w:rsid w:val="00E973BF"/>
    <w:pPr>
      <w:ind w:left="1680"/>
    </w:pPr>
    <w:rPr>
      <w:sz w:val="18"/>
      <w:szCs w:val="18"/>
    </w:rPr>
  </w:style>
  <w:style w:type="paragraph" w:styleId="TOC9">
    <w:name w:val="toc 9"/>
    <w:basedOn w:val="Normal"/>
    <w:next w:val="Normal"/>
    <w:semiHidden/>
    <w:rsid w:val="00E973BF"/>
    <w:pPr>
      <w:ind w:left="1920"/>
    </w:pPr>
    <w:rPr>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link w:val="BodyTextChar"/>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228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link w:val="CommentTextChar"/>
    <w:semiHidden/>
    <w:rsid w:val="00D22888"/>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Default">
    <w:name w:val="Default"/>
    <w:rsid w:val="00AB2898"/>
    <w:pPr>
      <w:autoSpaceDE w:val="0"/>
      <w:autoSpaceDN w:val="0"/>
      <w:adjustRightInd w:val="0"/>
    </w:pPr>
    <w:rPr>
      <w:rFonts w:ascii="Symbol" w:hAnsi="Symbol" w:cs="Symbol"/>
      <w:color w:val="000000"/>
      <w:sz w:val="24"/>
      <w:szCs w:val="24"/>
    </w:rPr>
  </w:style>
  <w:style w:type="character" w:customStyle="1" w:styleId="BodyTextChar">
    <w:name w:val="Body Text Char"/>
    <w:basedOn w:val="DefaultParagraphFont"/>
    <w:link w:val="BodyText"/>
    <w:rsid w:val="002B319C"/>
    <w:rPr>
      <w:b/>
      <w:sz w:val="24"/>
    </w:rPr>
  </w:style>
  <w:style w:type="paragraph" w:customStyle="1" w:styleId="TableParagraph">
    <w:name w:val="Table Paragraph"/>
    <w:basedOn w:val="Normal"/>
    <w:uiPriority w:val="1"/>
    <w:qFormat/>
    <w:rsid w:val="00D945D3"/>
    <w:pPr>
      <w:overflowPunct/>
      <w:adjustRightInd/>
      <w:ind w:left="826" w:hanging="360"/>
      <w:textAlignment w:val="auto"/>
    </w:pPr>
    <w:rPr>
      <w:rFonts w:ascii="Calibri" w:eastAsia="Calibri" w:hAnsi="Calibri" w:cs="Calibri"/>
      <w:sz w:val="22"/>
      <w:szCs w:val="22"/>
    </w:rPr>
  </w:style>
  <w:style w:type="character" w:customStyle="1" w:styleId="CommentTextChar">
    <w:name w:val="Comment Text Char"/>
    <w:basedOn w:val="DefaultParagraphFont"/>
    <w:link w:val="CommentText"/>
    <w:semiHidden/>
    <w:rsid w:val="004631C5"/>
  </w:style>
  <w:style w:type="paragraph" w:customStyle="1" w:styleId="SSP">
    <w:name w:val="SSP"/>
    <w:basedOn w:val="TOC1"/>
    <w:link w:val="SSPChar"/>
    <w:qFormat/>
    <w:rsid w:val="000B79F3"/>
    <w:rPr>
      <w:rFonts w:ascii="Source Sans Pro" w:hAnsi="Source Sans Pro"/>
      <w:sz w:val="22"/>
      <w:szCs w:val="22"/>
    </w:rPr>
  </w:style>
  <w:style w:type="character" w:customStyle="1" w:styleId="TOC1Char">
    <w:name w:val="TOC 1 Char"/>
    <w:basedOn w:val="DefaultParagraphFont"/>
    <w:link w:val="TOC1"/>
    <w:uiPriority w:val="39"/>
    <w:rsid w:val="000B79F3"/>
    <w:rPr>
      <w:rFonts w:ascii="Times New Roman" w:hAnsi="Times New Roman"/>
      <w:b/>
      <w:bCs/>
      <w:caps/>
      <w:noProof/>
    </w:rPr>
  </w:style>
  <w:style w:type="character" w:customStyle="1" w:styleId="SSPChar">
    <w:name w:val="SSP Char"/>
    <w:basedOn w:val="TOC1Char"/>
    <w:link w:val="SSP"/>
    <w:rsid w:val="000B79F3"/>
    <w:rPr>
      <w:rFonts w:ascii="Source Sans Pro" w:hAnsi="Source Sans Pro"/>
      <w:b/>
      <w:bCs/>
      <w:caps/>
      <w:noProof/>
      <w:sz w:val="22"/>
      <w:szCs w:val="22"/>
    </w:rPr>
  </w:style>
  <w:style w:type="character" w:styleId="Mention">
    <w:name w:val="Mention"/>
    <w:basedOn w:val="DefaultParagraphFont"/>
    <w:uiPriority w:val="99"/>
    <w:unhideWhenUsed/>
    <w:rsid w:val="00E56E8B"/>
    <w:rPr>
      <w:color w:val="2B579A"/>
      <w:shd w:val="clear" w:color="auto" w:fill="E1DFDD"/>
    </w:rPr>
  </w:style>
  <w:style w:type="paragraph" w:styleId="NormalWeb">
    <w:name w:val="Normal (Web)"/>
    <w:basedOn w:val="Normal"/>
    <w:semiHidden/>
    <w:unhideWhenUsed/>
    <w:rsid w:val="00B115CB"/>
    <w:rPr>
      <w:rFonts w:ascii="Times New Roman" w:hAnsi="Times New Roman"/>
      <w:szCs w:val="24"/>
    </w:rPr>
  </w:style>
  <w:style w:type="paragraph" w:styleId="NoSpacing">
    <w:name w:val="No Spacing"/>
    <w:uiPriority w:val="1"/>
    <w:qFormat/>
    <w:rsid w:val="00D22888"/>
    <w:rPr>
      <w:rFonts w:ascii="Times New Roman" w:hAnsi="Times New Roman" w:eastAsiaTheme="minorHAnsi" w:cstheme="minorBidi"/>
      <w:sz w:val="24"/>
      <w:szCs w:val="22"/>
    </w:rPr>
  </w:style>
  <w:style w:type="character" w:styleId="UnresolvedMention">
    <w:name w:val="Unresolved Mention"/>
    <w:basedOn w:val="DefaultParagraphFont"/>
    <w:uiPriority w:val="99"/>
    <w:semiHidden/>
    <w:unhideWhenUsed/>
    <w:rsid w:val="00D22888"/>
    <w:rPr>
      <w:color w:val="605E5C"/>
      <w:shd w:val="clear" w:color="auto" w:fill="E1DFDD"/>
    </w:rPr>
  </w:style>
  <w:style w:type="character" w:customStyle="1" w:styleId="cf01">
    <w:name w:val="cf01"/>
    <w:basedOn w:val="DefaultParagraphFont"/>
    <w:rsid w:val="00D22888"/>
    <w:rPr>
      <w:rFonts w:ascii="Segoe UI" w:hAnsi="Segoe UI" w:cs="Segoe UI" w:hint="default"/>
      <w:color w:val="FF0000"/>
      <w:sz w:val="18"/>
      <w:szCs w:val="18"/>
      <w:shd w:val="clear" w:color="auto" w:fill="FFFFFF"/>
    </w:rPr>
  </w:style>
  <w:style w:type="paragraph" w:customStyle="1" w:styleId="pf0">
    <w:name w:val="pf0"/>
    <w:basedOn w:val="Normal"/>
    <w:rsid w:val="00D22888"/>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cf21">
    <w:name w:val="cf21"/>
    <w:basedOn w:val="DefaultParagraphFont"/>
    <w:rsid w:val="00D22888"/>
    <w:rPr>
      <w:rFonts w:ascii="Segoe UI" w:hAnsi="Segoe UI" w:cs="Segoe UI" w:hint="default"/>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ims.fns.usd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data.bls.gov/oes/" TargetMode="External" /><Relationship Id="rId2"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activity xmlns="36eda9c1-0086-4864-b91c-42ee913a4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0BD7BCF288024DA3061B1FB16D4795" ma:contentTypeVersion="19" ma:contentTypeDescription="Create a new document." ma:contentTypeScope="" ma:versionID="5bb6f2ecc082ca66a373e53fdced5519">
  <xsd:schema xmlns:xsd="http://www.w3.org/2001/XMLSchema" xmlns:xs="http://www.w3.org/2001/XMLSchema" xmlns:p="http://schemas.microsoft.com/office/2006/metadata/properties" xmlns:ns1="http://schemas.microsoft.com/sharepoint/v3" xmlns:ns3="0b9faa02-4e31-4136-a123-da5aac8cce6b" xmlns:ns4="36eda9c1-0086-4864-b91c-42ee913a48a5" targetNamespace="http://schemas.microsoft.com/office/2006/metadata/properties" ma:root="true" ma:fieldsID="6b61fbf475a73cb28a408f57046d5794" ns1:_="" ns3:_="" ns4:_="">
    <xsd:import namespace="http://schemas.microsoft.com/sharepoint/v3"/>
    <xsd:import namespace="0b9faa02-4e31-4136-a123-da5aac8cce6b"/>
    <xsd:import namespace="36eda9c1-0086-4864-b91c-42ee913a48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9faa02-4e31-4136-a123-da5aac8cce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da9c1-0086-4864-b91c-42ee913a48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schemas.microsoft.com/office/2006/metadata/properties"/>
    <ds:schemaRef ds:uri="http://schemas.microsoft.com/sharepoint/v3"/>
    <ds:schemaRef ds:uri="36eda9c1-0086-4864-b91c-42ee913a48a5"/>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93509D3B-96DF-42A1-ACE6-A3D548C62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faa02-4e31-4136-a123-da5aac8cce6b"/>
    <ds:schemaRef ds:uri="36eda9c1-0086-4864-b91c-42ee913a4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8CEE7-D4C5-4D45-B8A7-8EBB3C709E9D}">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4245</Words>
  <Characters>24203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2</cp:revision>
  <cp:lastPrinted>2013-08-08T20:23:00Z</cp:lastPrinted>
  <dcterms:created xsi:type="dcterms:W3CDTF">2026-05-28T16:42:00Z</dcterms:created>
  <dcterms:modified xsi:type="dcterms:W3CDTF">2026-05-28T16:42:00Z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0x0101001D0BD7BCF288024DA3061B1FB16D4795</vt:lpwstr>
  </property>
  <property fmtid="{D5CDD505-2E9C-101B-9397-08002B2CF9AE}" pid="3" name="MediaServiceImageTags">
    <vt:lpwstr/>
  </property>
  <property fmtid="{D5CDD505-2E9C-101B-9397-08002B2CF9AE}" pid="4" name="Order">
    <vt:r8>500</vt:r8>
  </property>
  <property fmtid="{D5CDD505-2E9C-101B-9397-08002B2CF9AE}" pid="5" name="TemplateUrl">
    <vt:lpwstr/>
  </property>
  <property fmtid="{D5CDD505-2E9C-101B-9397-08002B2CF9AE}" pid="6" name="xd_ProgID">
    <vt:lpwstr/>
  </property>
  <property fmtid="{D5CDD505-2E9C-101B-9397-08002B2CF9AE}" pid="7" name="_dlc_DocId">
    <vt:lpwstr>PAT56XDWNNC6-1500440792-5</vt:lpwstr>
  </property>
  <property fmtid="{D5CDD505-2E9C-101B-9397-08002B2CF9AE}" pid="8" name="_dlc_DocIdItemGuid">
    <vt:lpwstr>f9460f86-ccb2-45e2-9293-8cbabf720072</vt:lpwstr>
  </property>
  <property fmtid="{D5CDD505-2E9C-101B-9397-08002B2CF9AE}" pid="9" name="_dlc_DocIdUrl">
    <vt:lpwstr>https://fncspro.usda.net/offices/ops/prao/_layouts/15/DocIdRedir.aspx?ID=PAT56XDWNNC6-1500440792-5, PAT56XDWNNC6-1500440792-5</vt:lpwstr>
  </property>
</Properties>
</file>