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91DE3" w:rsidRPr="00691DE3" w:rsidP="00691DE3" w14:paraId="6C605ADD" w14:textId="77777777">
      <w:pPr>
        <w:pStyle w:val="NoSpacing"/>
        <w:jc w:val="center"/>
        <w:rPr>
          <w:rFonts w:ascii="Arial" w:hAnsi="Arial" w:cs="Arial"/>
          <w:b/>
          <w:bCs/>
          <w:sz w:val="24"/>
          <w:szCs w:val="24"/>
        </w:rPr>
      </w:pPr>
      <w:r w:rsidRPr="00691DE3">
        <w:rPr>
          <w:rFonts w:ascii="Arial" w:hAnsi="Arial" w:cs="Arial"/>
          <w:b/>
          <w:bCs/>
          <w:sz w:val="24"/>
          <w:szCs w:val="24"/>
        </w:rPr>
        <w:t>JUSTIFICATION FOR NONMATERIALNONSUBSTANTIVE CHANGE</w:t>
      </w:r>
    </w:p>
    <w:p w:rsidR="00401231" w:rsidRPr="00401231" w:rsidP="00401231" w14:paraId="7399850D" w14:textId="77777777">
      <w:pPr>
        <w:pStyle w:val="NoSpacing"/>
        <w:jc w:val="center"/>
        <w:rPr>
          <w:rFonts w:ascii="Arial" w:hAnsi="Arial" w:cs="Arial"/>
          <w:b/>
          <w:bCs/>
          <w:sz w:val="24"/>
          <w:szCs w:val="24"/>
        </w:rPr>
      </w:pPr>
      <w:r w:rsidRPr="00401231">
        <w:rPr>
          <w:rFonts w:ascii="Arial" w:hAnsi="Arial" w:cs="Arial"/>
          <w:b/>
          <w:bCs/>
          <w:sz w:val="24"/>
          <w:szCs w:val="24"/>
        </w:rPr>
        <w:t>Patent Trial and Appeal Board (PTAB) Appeals</w:t>
      </w:r>
    </w:p>
    <w:p w:rsidR="00691DE3" w:rsidRPr="00691DE3" w:rsidP="00691DE3" w14:paraId="33E5D7BA" w14:textId="1EB7F091">
      <w:pPr>
        <w:pStyle w:val="NoSpacing"/>
        <w:jc w:val="center"/>
        <w:rPr>
          <w:rFonts w:ascii="Arial" w:hAnsi="Arial" w:cs="Arial"/>
          <w:b/>
          <w:bCs/>
          <w:sz w:val="24"/>
          <w:szCs w:val="24"/>
        </w:rPr>
      </w:pPr>
      <w:r w:rsidRPr="00691DE3">
        <w:rPr>
          <w:rFonts w:ascii="Arial" w:hAnsi="Arial" w:cs="Arial"/>
          <w:b/>
          <w:bCs/>
          <w:sz w:val="24"/>
          <w:szCs w:val="24"/>
        </w:rPr>
        <w:t>OMB Control Number 0651-00</w:t>
      </w:r>
      <w:r w:rsidR="00401231">
        <w:rPr>
          <w:rFonts w:ascii="Arial" w:hAnsi="Arial" w:cs="Arial"/>
          <w:b/>
          <w:bCs/>
          <w:sz w:val="24"/>
          <w:szCs w:val="24"/>
        </w:rPr>
        <w:t>63</w:t>
      </w:r>
    </w:p>
    <w:p w:rsidR="00691DE3" w:rsidRPr="00691DE3" w:rsidP="00691DE3" w14:paraId="1391C74D" w14:textId="77777777">
      <w:pPr>
        <w:pStyle w:val="NoSpacing"/>
        <w:rPr>
          <w:rFonts w:ascii="Arial" w:hAnsi="Arial" w:cs="Arial"/>
          <w:sz w:val="24"/>
          <w:szCs w:val="24"/>
        </w:rPr>
      </w:pPr>
    </w:p>
    <w:p w:rsidR="00691DE3" w:rsidRPr="00691DE3" w:rsidP="00691DE3" w14:paraId="5A978872" w14:textId="77777777">
      <w:pPr>
        <w:pStyle w:val="NoSpacing"/>
        <w:jc w:val="both"/>
        <w:rPr>
          <w:rFonts w:ascii="Arial" w:hAnsi="Arial" w:cs="Arial"/>
          <w:sz w:val="24"/>
          <w:szCs w:val="24"/>
          <w:u w:val="single"/>
        </w:rPr>
      </w:pPr>
      <w:r w:rsidRPr="00691DE3">
        <w:rPr>
          <w:rFonts w:ascii="Arial" w:hAnsi="Arial" w:cs="Arial"/>
          <w:sz w:val="24"/>
          <w:szCs w:val="24"/>
          <w:u w:val="single"/>
        </w:rPr>
        <w:t>Background</w:t>
      </w:r>
    </w:p>
    <w:p w:rsidR="00691DE3" w:rsidRPr="00691DE3" w:rsidP="00691DE3" w14:paraId="025A7574" w14:textId="77777777">
      <w:pPr>
        <w:pStyle w:val="NoSpacing"/>
        <w:jc w:val="both"/>
        <w:rPr>
          <w:rFonts w:ascii="Arial" w:hAnsi="Arial" w:cs="Arial"/>
          <w:sz w:val="24"/>
          <w:szCs w:val="24"/>
          <w:u w:val="single"/>
        </w:rPr>
      </w:pPr>
    </w:p>
    <w:p w:rsidR="00E10211" w:rsidP="00E10211" w14:paraId="582F4723" w14:textId="77777777">
      <w:pPr>
        <w:contextualSpacing/>
        <w:jc w:val="both"/>
        <w:rPr>
          <w:rFonts w:ascii="Arial" w:hAnsi="Arial"/>
          <w:sz w:val="24"/>
        </w:rPr>
      </w:pPr>
      <w:r w:rsidRPr="00F54544">
        <w:rPr>
          <w:rFonts w:ascii="Arial" w:hAnsi="Arial"/>
          <w:sz w:val="24"/>
        </w:rPr>
        <w:t>The Patent Trial and Appeal Board (PTAB or Board) is established by statute under 35 U.S.C</w:t>
      </w:r>
      <w:r w:rsidRPr="00623C1E">
        <w:rPr>
          <w:rFonts w:ascii="Arial" w:hAnsi="Arial" w:cs="Arial"/>
          <w:sz w:val="24"/>
          <w:szCs w:val="24"/>
        </w:rPr>
        <w:t>. 6 (American Inventor Protection Act of 1999).</w:t>
      </w:r>
      <w:r>
        <w:rPr>
          <w:rStyle w:val="FootnoteReference"/>
          <w:rFonts w:ascii="Arial" w:hAnsi="Arial" w:cs="Arial"/>
          <w:sz w:val="24"/>
          <w:szCs w:val="24"/>
        </w:rPr>
        <w:footnoteReference w:id="3"/>
      </w:r>
      <w:r w:rsidRPr="00623C1E">
        <w:rPr>
          <w:rFonts w:ascii="Arial" w:hAnsi="Arial" w:cs="Arial"/>
          <w:sz w:val="24"/>
          <w:szCs w:val="24"/>
        </w:rPr>
        <w:t xml:space="preserve"> This</w:t>
      </w:r>
      <w:r w:rsidRPr="00F54544">
        <w:rPr>
          <w:rFonts w:ascii="Arial" w:hAnsi="Arial"/>
          <w:sz w:val="24"/>
        </w:rPr>
        <w:t xml:space="preserve"> statute directs, in relevant part, that PTAB shall “on written appeal of an applicant, review adverse decisions of examiners upon applications for patents pursuant to section 134(a).”  PTAB has the authority, under 35 U.S.C. 134 and 306 to decide appeals in applications and </w:t>
      </w:r>
      <w:r w:rsidRPr="00914BFB">
        <w:rPr>
          <w:rFonts w:ascii="Arial" w:hAnsi="Arial"/>
          <w:i/>
          <w:iCs/>
          <w:sz w:val="24"/>
        </w:rPr>
        <w:t>ex parte</w:t>
      </w:r>
      <w:r w:rsidRPr="00F54544">
        <w:rPr>
          <w:rFonts w:ascii="Arial" w:hAnsi="Arial"/>
          <w:sz w:val="24"/>
        </w:rPr>
        <w:t xml:space="preserve"> reexamination proceedings, and under pre-AIA sections of the Patent Act, </w:t>
      </w:r>
      <w:r w:rsidRPr="00D814E4">
        <w:rPr>
          <w:rFonts w:ascii="Arial" w:hAnsi="Arial"/>
          <w:i/>
          <w:iCs/>
          <w:sz w:val="24"/>
        </w:rPr>
        <w:t>i.e.</w:t>
      </w:r>
      <w:r w:rsidRPr="00F54544">
        <w:rPr>
          <w:rFonts w:ascii="Arial" w:hAnsi="Arial"/>
          <w:sz w:val="24"/>
        </w:rPr>
        <w:t>, 35 U.S.C. 134</w:t>
      </w:r>
      <w:r>
        <w:rPr>
          <w:rFonts w:ascii="Arial" w:hAnsi="Arial"/>
          <w:sz w:val="24"/>
        </w:rPr>
        <w:t>, 135</w:t>
      </w:r>
      <w:r w:rsidRPr="00F54544">
        <w:rPr>
          <w:rFonts w:ascii="Arial" w:hAnsi="Arial"/>
          <w:sz w:val="24"/>
        </w:rPr>
        <w:t xml:space="preserve"> and 315, to decide appeals in </w:t>
      </w:r>
      <w:r w:rsidRPr="00D814E4">
        <w:rPr>
          <w:rFonts w:ascii="Arial" w:hAnsi="Arial"/>
          <w:i/>
          <w:iCs/>
          <w:sz w:val="24"/>
        </w:rPr>
        <w:t>inter partes</w:t>
      </w:r>
      <w:r w:rsidRPr="00F54544">
        <w:rPr>
          <w:rFonts w:ascii="Arial" w:hAnsi="Arial"/>
          <w:sz w:val="24"/>
        </w:rPr>
        <w:t xml:space="preserve"> reexamination proceedings</w:t>
      </w:r>
      <w:r>
        <w:rPr>
          <w:rFonts w:ascii="Arial" w:hAnsi="Arial"/>
          <w:sz w:val="24"/>
        </w:rPr>
        <w:t xml:space="preserve"> and interferences</w:t>
      </w:r>
      <w:r w:rsidRPr="00F54544">
        <w:rPr>
          <w:rFonts w:ascii="Arial" w:hAnsi="Arial"/>
          <w:sz w:val="24"/>
        </w:rPr>
        <w:t>. In addition, 35 U.S.C. 6 establishes the membership of PTAB as the Director, the Deputy Director, the Commissioner for Patents, the Commissioner for Trademarks, and the Administrative Patent Judges. Each appeal</w:t>
      </w:r>
      <w:r>
        <w:rPr>
          <w:rFonts w:ascii="Arial" w:hAnsi="Arial"/>
          <w:sz w:val="24"/>
        </w:rPr>
        <w:t xml:space="preserve"> and interference</w:t>
      </w:r>
      <w:r w:rsidRPr="00F54544">
        <w:rPr>
          <w:rFonts w:ascii="Arial" w:hAnsi="Arial"/>
          <w:sz w:val="24"/>
        </w:rPr>
        <w:t xml:space="preserve"> is decided by a merits panel of at least three members of the Board.</w:t>
      </w:r>
    </w:p>
    <w:p w:rsidR="00E10211" w:rsidRPr="00F54544" w:rsidP="00E10211" w14:paraId="28C8FCBB" w14:textId="77777777">
      <w:pPr>
        <w:contextualSpacing/>
        <w:jc w:val="both"/>
        <w:rPr>
          <w:rFonts w:ascii="Arial" w:hAnsi="Arial"/>
          <w:sz w:val="24"/>
        </w:rPr>
      </w:pPr>
    </w:p>
    <w:p w:rsidR="00E10211" w:rsidP="00E10211" w14:paraId="419464CE" w14:textId="77777777">
      <w:pPr>
        <w:contextualSpacing/>
        <w:jc w:val="both"/>
        <w:rPr>
          <w:rFonts w:ascii="Arial" w:hAnsi="Arial"/>
          <w:sz w:val="24"/>
        </w:rPr>
      </w:pPr>
      <w:r w:rsidRPr="00F54544">
        <w:rPr>
          <w:rFonts w:ascii="Arial" w:hAnsi="Arial"/>
          <w:sz w:val="24"/>
        </w:rPr>
        <w:t xml:space="preserve">The Board’s responsibilities under the statute include the review of </w:t>
      </w:r>
      <w:r w:rsidRPr="00D814E4">
        <w:rPr>
          <w:rFonts w:ascii="Arial" w:hAnsi="Arial"/>
          <w:i/>
          <w:iCs/>
          <w:sz w:val="24"/>
        </w:rPr>
        <w:t>ex parte</w:t>
      </w:r>
      <w:r w:rsidRPr="00F54544">
        <w:rPr>
          <w:rFonts w:ascii="Arial" w:hAnsi="Arial"/>
          <w:sz w:val="24"/>
        </w:rPr>
        <w:t xml:space="preserve"> appeals from adverse decisions of examiners in those situations where a written appeal is taken by a dissatisfied applicant or patent owner. In </w:t>
      </w:r>
      <w:r w:rsidRPr="00D814E4">
        <w:rPr>
          <w:rFonts w:ascii="Arial" w:hAnsi="Arial"/>
          <w:i/>
          <w:iCs/>
          <w:sz w:val="24"/>
        </w:rPr>
        <w:t>inter partes</w:t>
      </w:r>
      <w:r w:rsidRPr="00F54544">
        <w:rPr>
          <w:rFonts w:ascii="Arial" w:hAnsi="Arial"/>
          <w:sz w:val="24"/>
        </w:rPr>
        <w:t xml:space="preserve"> reexamination appeals, PTAB reviews </w:t>
      </w:r>
      <w:r>
        <w:rPr>
          <w:rFonts w:ascii="Arial" w:hAnsi="Arial"/>
          <w:sz w:val="24"/>
        </w:rPr>
        <w:t xml:space="preserve">an </w:t>
      </w:r>
      <w:r w:rsidRPr="00F54544">
        <w:rPr>
          <w:rFonts w:ascii="Arial" w:hAnsi="Arial"/>
          <w:sz w:val="24"/>
        </w:rPr>
        <w:t xml:space="preserve">examiner’s decisions adverse to a patent owner or a third-party requester. PTAB’s opinions and decisions for publicly available files are published on the USPTO </w:t>
      </w:r>
      <w:r>
        <w:rPr>
          <w:rFonts w:ascii="Arial" w:hAnsi="Arial"/>
          <w:sz w:val="24"/>
        </w:rPr>
        <w:t>w</w:t>
      </w:r>
      <w:r w:rsidRPr="00F54544">
        <w:rPr>
          <w:rFonts w:ascii="Arial" w:hAnsi="Arial"/>
          <w:sz w:val="24"/>
        </w:rPr>
        <w:t>ebsite.</w:t>
      </w:r>
      <w:r>
        <w:rPr>
          <w:rFonts w:ascii="Arial" w:hAnsi="Arial"/>
          <w:sz w:val="24"/>
        </w:rPr>
        <w:t xml:space="preserve"> The Board also conducts interference proceedings.</w:t>
      </w:r>
    </w:p>
    <w:p w:rsidR="00E10211" w:rsidRPr="00F54544" w:rsidP="00E10211" w14:paraId="74EC08A0" w14:textId="77777777">
      <w:pPr>
        <w:contextualSpacing/>
        <w:jc w:val="both"/>
        <w:rPr>
          <w:rFonts w:ascii="Arial" w:hAnsi="Arial"/>
          <w:sz w:val="24"/>
        </w:rPr>
      </w:pPr>
    </w:p>
    <w:p w:rsidR="00691DE3" w:rsidP="00E10211" w14:paraId="425BC8FE" w14:textId="1A092BA9">
      <w:pPr>
        <w:contextualSpacing/>
        <w:jc w:val="both"/>
        <w:rPr>
          <w:rFonts w:ascii="Arial" w:hAnsi="Arial"/>
          <w:sz w:val="24"/>
        </w:rPr>
      </w:pPr>
      <w:r w:rsidRPr="00F54544">
        <w:rPr>
          <w:rFonts w:ascii="Arial" w:hAnsi="Arial"/>
          <w:sz w:val="24"/>
        </w:rPr>
        <w:t xml:space="preserve">The items associated with this information collection include appeals in applications and </w:t>
      </w:r>
      <w:r w:rsidRPr="00D814E4">
        <w:rPr>
          <w:rFonts w:ascii="Arial" w:hAnsi="Arial"/>
          <w:i/>
          <w:iCs/>
          <w:sz w:val="24"/>
        </w:rPr>
        <w:t>ex parte</w:t>
      </w:r>
      <w:r w:rsidRPr="00F54544">
        <w:rPr>
          <w:rFonts w:ascii="Arial" w:hAnsi="Arial"/>
          <w:sz w:val="24"/>
        </w:rPr>
        <w:t xml:space="preserve"> reexamination proceedings, and appeals in </w:t>
      </w:r>
      <w:r w:rsidRPr="00D814E4">
        <w:rPr>
          <w:rFonts w:ascii="Arial" w:hAnsi="Arial"/>
          <w:i/>
          <w:iCs/>
          <w:sz w:val="24"/>
        </w:rPr>
        <w:t>inter partes</w:t>
      </w:r>
      <w:r w:rsidRPr="00F54544">
        <w:rPr>
          <w:rFonts w:ascii="Arial" w:hAnsi="Arial"/>
          <w:sz w:val="24"/>
        </w:rPr>
        <w:t xml:space="preserve"> reexamination proceedings</w:t>
      </w:r>
      <w:r>
        <w:rPr>
          <w:rFonts w:ascii="Arial" w:hAnsi="Arial"/>
          <w:sz w:val="24"/>
        </w:rPr>
        <w:t xml:space="preserve"> and interference proceedings</w:t>
      </w:r>
      <w:r w:rsidRPr="00F54544">
        <w:rPr>
          <w:rFonts w:ascii="Arial" w:hAnsi="Arial"/>
          <w:sz w:val="24"/>
        </w:rPr>
        <w:t xml:space="preserve"> that are governed by the regulations in 37 CFR</w:t>
      </w:r>
      <w:r>
        <w:rPr>
          <w:rFonts w:ascii="Arial" w:hAnsi="Arial"/>
          <w:sz w:val="24"/>
        </w:rPr>
        <w:t xml:space="preserve"> </w:t>
      </w:r>
      <w:r w:rsidRPr="00D814E4">
        <w:rPr>
          <w:rFonts w:ascii="Arial" w:hAnsi="Arial"/>
          <w:sz w:val="24"/>
        </w:rPr>
        <w:t>§</w:t>
      </w:r>
      <w:r w:rsidRPr="00F54544">
        <w:rPr>
          <w:rFonts w:ascii="Arial" w:hAnsi="Arial"/>
          <w:sz w:val="24"/>
        </w:rPr>
        <w:t xml:space="preserve"> 41. Failure to comply with the appropriate regulations may result in dismissal of the appeal or denial of entry of the submission.</w:t>
      </w:r>
    </w:p>
    <w:p w:rsidR="00FA3918" w:rsidP="00E10211" w14:paraId="3974206E" w14:textId="77777777">
      <w:pPr>
        <w:contextualSpacing/>
        <w:jc w:val="both"/>
        <w:rPr>
          <w:rFonts w:ascii="Arial" w:hAnsi="Arial"/>
          <w:sz w:val="24"/>
        </w:rPr>
      </w:pPr>
    </w:p>
    <w:p w:rsidR="001A60B9" w:rsidP="00B025F2" w14:paraId="34A6AF9F" w14:textId="05E52166">
      <w:pPr>
        <w:contextualSpacing/>
        <w:jc w:val="both"/>
        <w:rPr>
          <w:rFonts w:ascii="Arial" w:hAnsi="Arial" w:cs="Arial"/>
          <w:sz w:val="24"/>
          <w:szCs w:val="24"/>
        </w:rPr>
      </w:pPr>
      <w:r>
        <w:rPr>
          <w:rFonts w:ascii="Arial" w:hAnsi="Arial"/>
          <w:sz w:val="24"/>
        </w:rPr>
        <w:t xml:space="preserve">In 2026, the USPTO </w:t>
      </w:r>
      <w:r w:rsidR="00885CD4">
        <w:rPr>
          <w:rFonts w:ascii="Arial" w:hAnsi="Arial"/>
          <w:sz w:val="24"/>
        </w:rPr>
        <w:t xml:space="preserve">is launching </w:t>
      </w:r>
      <w:r>
        <w:rPr>
          <w:rFonts w:ascii="Arial" w:hAnsi="Arial"/>
          <w:sz w:val="24"/>
        </w:rPr>
        <w:t xml:space="preserve">the </w:t>
      </w:r>
      <w:r w:rsidRPr="00FA3918">
        <w:rPr>
          <w:rFonts w:ascii="Arial" w:hAnsi="Arial" w:cs="Arial"/>
          <w:sz w:val="24"/>
          <w:szCs w:val="24"/>
        </w:rPr>
        <w:t>Standards Participation and Representation Kudos (SPARK)</w:t>
      </w:r>
      <w:r>
        <w:rPr>
          <w:rFonts w:ascii="Arial" w:hAnsi="Arial" w:cs="Arial"/>
          <w:sz w:val="24"/>
          <w:szCs w:val="24"/>
        </w:rPr>
        <w:t xml:space="preserve"> Pilot Program </w:t>
      </w:r>
      <w:r w:rsidR="002A542B">
        <w:rPr>
          <w:rFonts w:ascii="Arial" w:hAnsi="Arial" w:cs="Arial"/>
          <w:sz w:val="24"/>
          <w:szCs w:val="24"/>
        </w:rPr>
        <w:t>in order to</w:t>
      </w:r>
      <w:r w:rsidRPr="00FD34B2" w:rsidR="00FD34B2">
        <w:rPr>
          <w:rFonts w:ascii="Arial" w:hAnsi="Arial" w:cs="Arial"/>
          <w:sz w:val="24"/>
          <w:szCs w:val="24"/>
        </w:rPr>
        <w:t xml:space="preserve"> incentivize meaningful participation by small and medium-sized </w:t>
      </w:r>
      <w:r w:rsidR="00885CD4">
        <w:rPr>
          <w:rFonts w:ascii="Arial" w:hAnsi="Arial" w:cs="Arial"/>
          <w:sz w:val="24"/>
          <w:szCs w:val="24"/>
        </w:rPr>
        <w:t xml:space="preserve">U.S. </w:t>
      </w:r>
      <w:r w:rsidRPr="00FD34B2" w:rsidR="00FD34B2">
        <w:rPr>
          <w:rFonts w:ascii="Arial" w:hAnsi="Arial" w:cs="Arial"/>
          <w:sz w:val="24"/>
          <w:szCs w:val="24"/>
        </w:rPr>
        <w:t>businesses, universities, and non-profit</w:t>
      </w:r>
      <w:r w:rsidR="00885CD4">
        <w:rPr>
          <w:rFonts w:ascii="Arial" w:hAnsi="Arial" w:cs="Arial"/>
          <w:sz w:val="24"/>
          <w:szCs w:val="24"/>
        </w:rPr>
        <w:t xml:space="preserve"> organization</w:t>
      </w:r>
      <w:r w:rsidRPr="00FD34B2" w:rsidR="00FD34B2">
        <w:rPr>
          <w:rFonts w:ascii="Arial" w:hAnsi="Arial" w:cs="Arial"/>
          <w:sz w:val="24"/>
          <w:szCs w:val="24"/>
        </w:rPr>
        <w:t>s in standards development organizations.</w:t>
      </w:r>
      <w:r w:rsidR="00FD34B2">
        <w:rPr>
          <w:rFonts w:ascii="Arial" w:hAnsi="Arial" w:cs="Arial"/>
          <w:sz w:val="24"/>
          <w:szCs w:val="24"/>
        </w:rPr>
        <w:t xml:space="preserve"> </w:t>
      </w:r>
      <w:r w:rsidR="0075190A">
        <w:rPr>
          <w:rFonts w:ascii="Arial" w:eastAsia="Arial" w:hAnsi="Arial" w:cs="Arial"/>
          <w:sz w:val="24"/>
          <w:szCs w:val="24"/>
        </w:rPr>
        <w:t xml:space="preserve">The SPARK program permits eligible U.S. entities to file a petition under </w:t>
      </w:r>
      <w:r w:rsidRPr="00D41572" w:rsidR="00D41572">
        <w:rPr>
          <w:rFonts w:ascii="Arial" w:eastAsia="Arial" w:hAnsi="Arial" w:cs="Arial"/>
          <w:sz w:val="24"/>
          <w:szCs w:val="24"/>
        </w:rPr>
        <w:t>37 CFR</w:t>
      </w:r>
      <w:r w:rsidR="00677A12">
        <w:rPr>
          <w:rFonts w:ascii="Arial" w:eastAsia="Arial" w:hAnsi="Arial" w:cs="Arial"/>
          <w:sz w:val="24"/>
          <w:szCs w:val="24"/>
        </w:rPr>
        <w:t xml:space="preserve"> </w:t>
      </w:r>
      <w:r w:rsidRPr="00D814E4" w:rsidR="00677A12">
        <w:rPr>
          <w:rFonts w:ascii="Arial" w:hAnsi="Arial"/>
          <w:sz w:val="24"/>
        </w:rPr>
        <w:t>§</w:t>
      </w:r>
      <w:r w:rsidRPr="00D41572" w:rsidR="00D41572">
        <w:rPr>
          <w:rFonts w:ascii="Arial" w:eastAsia="Arial" w:hAnsi="Arial" w:cs="Arial"/>
          <w:sz w:val="24"/>
          <w:szCs w:val="24"/>
        </w:rPr>
        <w:t xml:space="preserve"> 41.3 to expedite an ex parte appeal to the PTAB</w:t>
      </w:r>
      <w:r w:rsidR="0075190A">
        <w:rPr>
          <w:rFonts w:ascii="Arial" w:eastAsia="Arial" w:hAnsi="Arial" w:cs="Arial"/>
          <w:sz w:val="24"/>
          <w:szCs w:val="24"/>
        </w:rPr>
        <w:t>.</w:t>
      </w:r>
      <w:r>
        <w:rPr>
          <w:rStyle w:val="FootnoteReference"/>
          <w:rFonts w:ascii="Arial" w:eastAsia="Arial" w:hAnsi="Arial" w:cs="Arial"/>
          <w:sz w:val="24"/>
          <w:szCs w:val="24"/>
        </w:rPr>
        <w:footnoteReference w:id="4"/>
      </w:r>
      <w:r w:rsidR="0075190A">
        <w:rPr>
          <w:rFonts w:ascii="Arial" w:eastAsia="Arial" w:hAnsi="Arial" w:cs="Arial"/>
          <w:sz w:val="24"/>
          <w:szCs w:val="24"/>
        </w:rPr>
        <w:t xml:space="preserve"> Normally, petitions </w:t>
      </w:r>
      <w:r w:rsidR="0007784E">
        <w:rPr>
          <w:rFonts w:ascii="Arial" w:eastAsia="Arial" w:hAnsi="Arial" w:cs="Arial"/>
          <w:sz w:val="24"/>
          <w:szCs w:val="24"/>
        </w:rPr>
        <w:t xml:space="preserve">under </w:t>
      </w:r>
      <w:r w:rsidRPr="00D41572" w:rsidR="0007784E">
        <w:rPr>
          <w:rFonts w:ascii="Arial" w:eastAsia="Arial" w:hAnsi="Arial" w:cs="Arial"/>
          <w:sz w:val="24"/>
          <w:szCs w:val="24"/>
        </w:rPr>
        <w:t xml:space="preserve">37 CFR </w:t>
      </w:r>
      <w:r w:rsidRPr="00D814E4" w:rsidR="00677A12">
        <w:rPr>
          <w:rFonts w:ascii="Arial" w:hAnsi="Arial"/>
          <w:sz w:val="24"/>
        </w:rPr>
        <w:t>§</w:t>
      </w:r>
      <w:r w:rsidR="00677A12">
        <w:rPr>
          <w:rFonts w:ascii="Arial" w:hAnsi="Arial"/>
          <w:sz w:val="24"/>
        </w:rPr>
        <w:t xml:space="preserve"> </w:t>
      </w:r>
      <w:r w:rsidRPr="00D41572" w:rsidR="0007784E">
        <w:rPr>
          <w:rFonts w:ascii="Arial" w:eastAsia="Arial" w:hAnsi="Arial" w:cs="Arial"/>
          <w:sz w:val="24"/>
          <w:szCs w:val="24"/>
        </w:rPr>
        <w:t xml:space="preserve">41.3 </w:t>
      </w:r>
      <w:r w:rsidR="0075190A">
        <w:rPr>
          <w:rFonts w:ascii="Arial" w:eastAsia="Arial" w:hAnsi="Arial" w:cs="Arial"/>
          <w:sz w:val="24"/>
          <w:szCs w:val="24"/>
        </w:rPr>
        <w:t>must include the petition fee under 37 CFR</w:t>
      </w:r>
      <w:r w:rsidR="00677A12">
        <w:rPr>
          <w:rFonts w:ascii="Arial" w:eastAsia="Arial" w:hAnsi="Arial" w:cs="Arial"/>
          <w:sz w:val="24"/>
          <w:szCs w:val="24"/>
        </w:rPr>
        <w:t xml:space="preserve"> </w:t>
      </w:r>
      <w:r w:rsidRPr="00D814E4" w:rsidR="00677A12">
        <w:rPr>
          <w:rFonts w:ascii="Arial" w:hAnsi="Arial"/>
          <w:sz w:val="24"/>
        </w:rPr>
        <w:t>§</w:t>
      </w:r>
      <w:r w:rsidR="0075190A">
        <w:rPr>
          <w:rFonts w:ascii="Arial" w:eastAsia="Arial" w:hAnsi="Arial" w:cs="Arial"/>
          <w:sz w:val="24"/>
          <w:szCs w:val="24"/>
        </w:rPr>
        <w:t xml:space="preserve"> </w:t>
      </w:r>
      <w:r w:rsidR="00B7306B">
        <w:rPr>
          <w:rFonts w:ascii="Arial" w:eastAsia="Arial" w:hAnsi="Arial" w:cs="Arial"/>
          <w:sz w:val="24"/>
          <w:szCs w:val="24"/>
        </w:rPr>
        <w:t>4</w:t>
      </w:r>
      <w:r w:rsidR="0075190A">
        <w:rPr>
          <w:rFonts w:ascii="Arial" w:eastAsia="Arial" w:hAnsi="Arial" w:cs="Arial"/>
          <w:sz w:val="24"/>
          <w:szCs w:val="24"/>
        </w:rPr>
        <w:t>1.</w:t>
      </w:r>
      <w:r w:rsidR="00B7306B">
        <w:rPr>
          <w:rFonts w:ascii="Arial" w:eastAsia="Arial" w:hAnsi="Arial" w:cs="Arial"/>
          <w:sz w:val="24"/>
          <w:szCs w:val="24"/>
        </w:rPr>
        <w:t>20</w:t>
      </w:r>
      <w:r w:rsidR="0075190A">
        <w:rPr>
          <w:rFonts w:ascii="Arial" w:eastAsia="Arial" w:hAnsi="Arial" w:cs="Arial"/>
          <w:sz w:val="24"/>
          <w:szCs w:val="24"/>
        </w:rPr>
        <w:t>(</w:t>
      </w:r>
      <w:r w:rsidR="00B7306B">
        <w:rPr>
          <w:rFonts w:ascii="Arial" w:eastAsia="Arial" w:hAnsi="Arial" w:cs="Arial"/>
          <w:sz w:val="24"/>
          <w:szCs w:val="24"/>
        </w:rPr>
        <w:t>a</w:t>
      </w:r>
      <w:r w:rsidR="0075190A">
        <w:rPr>
          <w:rFonts w:ascii="Arial" w:eastAsia="Arial" w:hAnsi="Arial" w:cs="Arial"/>
          <w:sz w:val="24"/>
          <w:szCs w:val="24"/>
        </w:rPr>
        <w:t xml:space="preserve">) and are covered under Item </w:t>
      </w:r>
      <w:r w:rsidR="00AA6072">
        <w:rPr>
          <w:rFonts w:ascii="Arial" w:eastAsia="Arial" w:hAnsi="Arial" w:cs="Arial"/>
          <w:sz w:val="24"/>
          <w:szCs w:val="24"/>
        </w:rPr>
        <w:t>5</w:t>
      </w:r>
      <w:r w:rsidR="0075190A">
        <w:rPr>
          <w:rFonts w:ascii="Arial" w:eastAsia="Arial" w:hAnsi="Arial" w:cs="Arial"/>
          <w:sz w:val="24"/>
          <w:szCs w:val="24"/>
        </w:rPr>
        <w:t xml:space="preserve"> of this information collection. The SPARK program waives the petition fee under 37 CFR </w:t>
      </w:r>
      <w:r w:rsidRPr="00D814E4" w:rsidR="00677A12">
        <w:rPr>
          <w:rFonts w:ascii="Arial" w:hAnsi="Arial"/>
          <w:sz w:val="24"/>
        </w:rPr>
        <w:t>§</w:t>
      </w:r>
      <w:r w:rsidR="00677A12">
        <w:rPr>
          <w:rFonts w:ascii="Arial" w:hAnsi="Arial"/>
          <w:sz w:val="24"/>
        </w:rPr>
        <w:t xml:space="preserve"> </w:t>
      </w:r>
      <w:r w:rsidR="00704168">
        <w:rPr>
          <w:rFonts w:ascii="Arial" w:eastAsia="Arial" w:hAnsi="Arial" w:cs="Arial"/>
          <w:sz w:val="24"/>
          <w:szCs w:val="24"/>
        </w:rPr>
        <w:t>4</w:t>
      </w:r>
      <w:r w:rsidR="0075190A">
        <w:rPr>
          <w:rFonts w:ascii="Arial" w:eastAsia="Arial" w:hAnsi="Arial" w:cs="Arial"/>
          <w:sz w:val="24"/>
          <w:szCs w:val="24"/>
        </w:rPr>
        <w:t>1.</w:t>
      </w:r>
      <w:r w:rsidR="00704168">
        <w:rPr>
          <w:rFonts w:ascii="Arial" w:eastAsia="Arial" w:hAnsi="Arial" w:cs="Arial"/>
          <w:sz w:val="24"/>
          <w:szCs w:val="24"/>
        </w:rPr>
        <w:t>20</w:t>
      </w:r>
      <w:r w:rsidR="0075190A">
        <w:rPr>
          <w:rFonts w:ascii="Arial" w:eastAsia="Arial" w:hAnsi="Arial" w:cs="Arial"/>
          <w:sz w:val="24"/>
          <w:szCs w:val="24"/>
        </w:rPr>
        <w:t>(</w:t>
      </w:r>
      <w:r w:rsidR="00704168">
        <w:rPr>
          <w:rFonts w:ascii="Arial" w:eastAsia="Arial" w:hAnsi="Arial" w:cs="Arial"/>
          <w:sz w:val="24"/>
          <w:szCs w:val="24"/>
        </w:rPr>
        <w:t>a</w:t>
      </w:r>
      <w:r w:rsidR="0075190A">
        <w:rPr>
          <w:rFonts w:ascii="Arial" w:eastAsia="Arial" w:hAnsi="Arial" w:cs="Arial"/>
          <w:sz w:val="24"/>
          <w:szCs w:val="24"/>
        </w:rPr>
        <w:t xml:space="preserve">) for </w:t>
      </w:r>
      <w:r w:rsidR="00BA5EB1">
        <w:rPr>
          <w:rFonts w:ascii="Arial" w:eastAsia="Arial" w:hAnsi="Arial" w:cs="Arial"/>
          <w:sz w:val="24"/>
          <w:szCs w:val="24"/>
        </w:rPr>
        <w:t>37</w:t>
      </w:r>
      <w:r w:rsidR="00677A12">
        <w:rPr>
          <w:rFonts w:ascii="Arial" w:eastAsia="Arial" w:hAnsi="Arial" w:cs="Arial"/>
          <w:sz w:val="24"/>
          <w:szCs w:val="24"/>
        </w:rPr>
        <w:t xml:space="preserve"> </w:t>
      </w:r>
      <w:r w:rsidRPr="00D814E4" w:rsidR="00677A12">
        <w:rPr>
          <w:rFonts w:ascii="Arial" w:hAnsi="Arial"/>
          <w:sz w:val="24"/>
        </w:rPr>
        <w:t>§</w:t>
      </w:r>
      <w:r w:rsidR="00BA5EB1">
        <w:rPr>
          <w:rFonts w:ascii="Arial" w:eastAsia="Arial" w:hAnsi="Arial" w:cs="Arial"/>
          <w:sz w:val="24"/>
          <w:szCs w:val="24"/>
        </w:rPr>
        <w:t xml:space="preserve"> CFR 41.3 </w:t>
      </w:r>
      <w:r w:rsidR="0075190A">
        <w:rPr>
          <w:rFonts w:ascii="Arial" w:eastAsia="Arial" w:hAnsi="Arial" w:cs="Arial"/>
          <w:sz w:val="24"/>
          <w:szCs w:val="24"/>
        </w:rPr>
        <w:t xml:space="preserve">petitions filed under the program. </w:t>
      </w:r>
      <w:r w:rsidR="00852B2D">
        <w:rPr>
          <w:rFonts w:ascii="Arial" w:eastAsia="Arial" w:hAnsi="Arial" w:cs="Arial"/>
          <w:sz w:val="24"/>
          <w:szCs w:val="24"/>
        </w:rPr>
        <w:t>N</w:t>
      </w:r>
      <w:r w:rsidRPr="00852B2D" w:rsidR="00852B2D">
        <w:rPr>
          <w:rFonts w:ascii="Arial" w:eastAsia="Arial" w:hAnsi="Arial" w:cs="Arial"/>
          <w:sz w:val="24"/>
          <w:szCs w:val="24"/>
        </w:rPr>
        <w:t xml:space="preserve">o more than 50 </w:t>
      </w:r>
      <w:r w:rsidR="008378E1">
        <w:rPr>
          <w:rFonts w:ascii="Arial" w:eastAsia="Arial" w:hAnsi="Arial" w:cs="Arial"/>
          <w:sz w:val="24"/>
          <w:szCs w:val="24"/>
        </w:rPr>
        <w:t xml:space="preserve">37 CFR 41.3 </w:t>
      </w:r>
      <w:r w:rsidRPr="00852B2D" w:rsidR="00852B2D">
        <w:rPr>
          <w:rFonts w:ascii="Arial" w:eastAsia="Arial" w:hAnsi="Arial" w:cs="Arial"/>
          <w:sz w:val="24"/>
          <w:szCs w:val="24"/>
        </w:rPr>
        <w:t xml:space="preserve">petitions may be granted to expedite appeals under the </w:t>
      </w:r>
      <w:r w:rsidR="00852B2D">
        <w:rPr>
          <w:rFonts w:ascii="Arial" w:eastAsia="Arial" w:hAnsi="Arial" w:cs="Arial"/>
          <w:sz w:val="24"/>
          <w:szCs w:val="24"/>
        </w:rPr>
        <w:t xml:space="preserve">SPARK </w:t>
      </w:r>
      <w:r w:rsidRPr="00852B2D" w:rsidR="00852B2D">
        <w:rPr>
          <w:rFonts w:ascii="Arial" w:eastAsia="Arial" w:hAnsi="Arial" w:cs="Arial"/>
          <w:sz w:val="24"/>
          <w:szCs w:val="24"/>
        </w:rPr>
        <w:t>program</w:t>
      </w:r>
      <w:r w:rsidRPr="00340962" w:rsidR="0075190A">
        <w:rPr>
          <w:rFonts w:ascii="Arial" w:eastAsia="Arial" w:hAnsi="Arial" w:cs="Arial"/>
          <w:sz w:val="24"/>
          <w:szCs w:val="24"/>
        </w:rPr>
        <w:t>.</w:t>
      </w:r>
    </w:p>
    <w:p w:rsidR="001A60B9" w:rsidRPr="00727004" w:rsidP="00727004" w14:paraId="613F99B8" w14:textId="4E17A389">
      <w:pPr>
        <w:pStyle w:val="NoSpacing"/>
        <w:jc w:val="both"/>
      </w:pPr>
      <w:r w:rsidRPr="203A9726">
        <w:rPr>
          <w:rFonts w:ascii="Arial" w:eastAsia="Arial" w:hAnsi="Arial" w:cs="Arial"/>
          <w:sz w:val="24"/>
          <w:szCs w:val="24"/>
        </w:rPr>
        <w:t xml:space="preserve">In support of the launch of the SPARK </w:t>
      </w:r>
      <w:r w:rsidR="00E1009B">
        <w:rPr>
          <w:rFonts w:ascii="Arial" w:eastAsia="Arial" w:hAnsi="Arial" w:cs="Arial"/>
          <w:sz w:val="24"/>
          <w:szCs w:val="24"/>
        </w:rPr>
        <w:t>p</w:t>
      </w:r>
      <w:r w:rsidRPr="203A9726">
        <w:rPr>
          <w:rFonts w:ascii="Arial" w:eastAsia="Arial" w:hAnsi="Arial" w:cs="Arial"/>
          <w:sz w:val="24"/>
          <w:szCs w:val="24"/>
        </w:rPr>
        <w:t>rogram, the USPTO is adding a form to this information collection, PTO/SB/479</w:t>
      </w:r>
      <w:r>
        <w:rPr>
          <w:rFonts w:ascii="Arial" w:eastAsia="Arial" w:hAnsi="Arial" w:cs="Arial"/>
          <w:sz w:val="24"/>
          <w:szCs w:val="24"/>
        </w:rPr>
        <w:t>b</w:t>
      </w:r>
      <w:r w:rsidRPr="203A9726">
        <w:rPr>
          <w:rFonts w:ascii="Arial" w:eastAsia="Arial" w:hAnsi="Arial" w:cs="Arial"/>
          <w:sz w:val="24"/>
          <w:szCs w:val="24"/>
        </w:rPr>
        <w:t xml:space="preserve"> (</w:t>
      </w:r>
      <w:r w:rsidR="006E3D59">
        <w:rPr>
          <w:rFonts w:ascii="Arial" w:eastAsia="Arial" w:hAnsi="Arial" w:cs="Arial"/>
          <w:sz w:val="24"/>
          <w:szCs w:val="24"/>
        </w:rPr>
        <w:t xml:space="preserve">Certification and </w:t>
      </w:r>
      <w:r w:rsidRPr="203A9726">
        <w:rPr>
          <w:rFonts w:ascii="Arial" w:eastAsia="Arial" w:hAnsi="Arial" w:cs="Arial"/>
          <w:sz w:val="24"/>
          <w:szCs w:val="24"/>
        </w:rPr>
        <w:t xml:space="preserve">Petition </w:t>
      </w:r>
      <w:r w:rsidR="00E378D7">
        <w:rPr>
          <w:rFonts w:ascii="Arial" w:eastAsia="Arial" w:hAnsi="Arial" w:cs="Arial"/>
          <w:sz w:val="24"/>
          <w:szCs w:val="24"/>
        </w:rPr>
        <w:t>Under the Standards Participation and Representation Kudos</w:t>
      </w:r>
      <w:r w:rsidRPr="203A9726">
        <w:rPr>
          <w:rFonts w:ascii="Arial" w:eastAsia="Arial" w:hAnsi="Arial" w:cs="Arial"/>
          <w:sz w:val="24"/>
          <w:szCs w:val="24"/>
        </w:rPr>
        <w:t xml:space="preserve"> </w:t>
      </w:r>
      <w:r w:rsidR="00E378D7">
        <w:rPr>
          <w:rFonts w:ascii="Arial" w:eastAsia="Arial" w:hAnsi="Arial" w:cs="Arial"/>
          <w:sz w:val="24"/>
          <w:szCs w:val="24"/>
        </w:rPr>
        <w:t>(</w:t>
      </w:r>
      <w:r w:rsidRPr="203A9726">
        <w:rPr>
          <w:rFonts w:ascii="Arial" w:eastAsia="Arial" w:hAnsi="Arial" w:cs="Arial"/>
          <w:sz w:val="24"/>
          <w:szCs w:val="24"/>
        </w:rPr>
        <w:t>SPARK</w:t>
      </w:r>
      <w:r w:rsidR="00E378D7">
        <w:rPr>
          <w:rFonts w:ascii="Arial" w:eastAsia="Arial" w:hAnsi="Arial" w:cs="Arial"/>
          <w:sz w:val="24"/>
          <w:szCs w:val="24"/>
        </w:rPr>
        <w:t>)</w:t>
      </w:r>
      <w:r w:rsidRPr="203A9726">
        <w:rPr>
          <w:rFonts w:ascii="Arial" w:eastAsia="Arial" w:hAnsi="Arial" w:cs="Arial"/>
          <w:sz w:val="24"/>
          <w:szCs w:val="24"/>
        </w:rPr>
        <w:t xml:space="preserve"> </w:t>
      </w:r>
      <w:r>
        <w:rPr>
          <w:rFonts w:ascii="Arial" w:eastAsia="Arial" w:hAnsi="Arial" w:cs="Arial"/>
          <w:sz w:val="24"/>
          <w:szCs w:val="24"/>
        </w:rPr>
        <w:t>P</w:t>
      </w:r>
      <w:r w:rsidRPr="203A9726">
        <w:rPr>
          <w:rFonts w:ascii="Arial" w:eastAsia="Arial" w:hAnsi="Arial" w:cs="Arial"/>
          <w:sz w:val="24"/>
          <w:szCs w:val="24"/>
        </w:rPr>
        <w:t xml:space="preserve">ilot </w:t>
      </w:r>
      <w:r>
        <w:rPr>
          <w:rFonts w:ascii="Arial" w:eastAsia="Arial" w:hAnsi="Arial" w:cs="Arial"/>
          <w:sz w:val="24"/>
          <w:szCs w:val="24"/>
        </w:rPr>
        <w:t>P</w:t>
      </w:r>
      <w:r w:rsidRPr="203A9726">
        <w:rPr>
          <w:rFonts w:ascii="Arial" w:eastAsia="Arial" w:hAnsi="Arial" w:cs="Arial"/>
          <w:sz w:val="24"/>
          <w:szCs w:val="24"/>
        </w:rPr>
        <w:t xml:space="preserve">rogram </w:t>
      </w:r>
      <w:r w:rsidR="009F0B06">
        <w:rPr>
          <w:rFonts w:ascii="Arial" w:eastAsia="Arial" w:hAnsi="Arial" w:cs="Arial"/>
          <w:sz w:val="24"/>
          <w:szCs w:val="24"/>
        </w:rPr>
        <w:t xml:space="preserve">to Expedite </w:t>
      </w:r>
      <w:r w:rsidRPr="203A9726">
        <w:rPr>
          <w:rFonts w:ascii="Arial" w:eastAsia="Arial" w:hAnsi="Arial" w:cs="Arial"/>
          <w:sz w:val="24"/>
          <w:szCs w:val="24"/>
        </w:rPr>
        <w:t xml:space="preserve">an </w:t>
      </w:r>
      <w:r>
        <w:rPr>
          <w:rFonts w:ascii="Arial" w:eastAsia="Arial" w:hAnsi="Arial" w:cs="Arial"/>
          <w:sz w:val="24"/>
          <w:szCs w:val="24"/>
        </w:rPr>
        <w:t>A</w:t>
      </w:r>
      <w:r w:rsidRPr="203A9726">
        <w:rPr>
          <w:rFonts w:ascii="Arial" w:eastAsia="Arial" w:hAnsi="Arial" w:cs="Arial"/>
          <w:sz w:val="24"/>
          <w:szCs w:val="24"/>
        </w:rPr>
        <w:t>pp</w:t>
      </w:r>
      <w:r w:rsidR="00E378D7">
        <w:rPr>
          <w:rFonts w:ascii="Arial" w:eastAsia="Arial" w:hAnsi="Arial" w:cs="Arial"/>
          <w:sz w:val="24"/>
          <w:szCs w:val="24"/>
        </w:rPr>
        <w:t>eal to the Patent Trial and Appeal Board (PTAB)</w:t>
      </w:r>
      <w:r w:rsidRPr="203A9726">
        <w:rPr>
          <w:rFonts w:ascii="Arial" w:eastAsia="Arial" w:hAnsi="Arial" w:cs="Arial"/>
          <w:sz w:val="24"/>
          <w:szCs w:val="24"/>
        </w:rPr>
        <w:t xml:space="preserve">). </w:t>
      </w:r>
      <w:r w:rsidRPr="203A9726" w:rsidR="00677A12">
        <w:rPr>
          <w:rFonts w:ascii="Arial" w:eastAsia="Arial" w:hAnsi="Arial" w:cs="Arial"/>
          <w:sz w:val="24"/>
          <w:szCs w:val="24"/>
        </w:rPr>
        <w:t xml:space="preserve">The addition of </w:t>
      </w:r>
      <w:r w:rsidR="00677A12">
        <w:rPr>
          <w:rFonts w:ascii="Arial" w:eastAsia="Arial" w:hAnsi="Arial" w:cs="Arial"/>
          <w:sz w:val="24"/>
          <w:szCs w:val="24"/>
        </w:rPr>
        <w:t>the PTO/SB/479</w:t>
      </w:r>
      <w:r w:rsidR="00677A12">
        <w:rPr>
          <w:rFonts w:ascii="Arial" w:eastAsia="Arial" w:hAnsi="Arial" w:cs="Arial"/>
          <w:sz w:val="24"/>
          <w:szCs w:val="24"/>
        </w:rPr>
        <w:t>b</w:t>
      </w:r>
      <w:r w:rsidR="00677A12">
        <w:rPr>
          <w:rFonts w:ascii="Arial" w:eastAsia="Arial" w:hAnsi="Arial" w:cs="Arial"/>
          <w:sz w:val="24"/>
          <w:szCs w:val="24"/>
        </w:rPr>
        <w:t xml:space="preserve"> </w:t>
      </w:r>
      <w:r w:rsidRPr="203A9726" w:rsidR="00677A12">
        <w:rPr>
          <w:rFonts w:ascii="Arial" w:eastAsia="Arial" w:hAnsi="Arial" w:cs="Arial"/>
          <w:sz w:val="24"/>
          <w:szCs w:val="24"/>
        </w:rPr>
        <w:t xml:space="preserve">form to </w:t>
      </w:r>
      <w:r w:rsidR="00677A12">
        <w:rPr>
          <w:rFonts w:ascii="Arial" w:eastAsia="Arial" w:hAnsi="Arial" w:cs="Arial"/>
          <w:sz w:val="24"/>
          <w:szCs w:val="24"/>
        </w:rPr>
        <w:t xml:space="preserve">this </w:t>
      </w:r>
      <w:r w:rsidRPr="203A9726" w:rsidR="00677A12">
        <w:rPr>
          <w:rFonts w:ascii="Arial" w:eastAsia="Arial" w:hAnsi="Arial" w:cs="Arial"/>
          <w:sz w:val="24"/>
          <w:szCs w:val="24"/>
        </w:rPr>
        <w:t>information collection will add a new line (</w:t>
      </w:r>
      <w:r w:rsidR="00677A12">
        <w:rPr>
          <w:rFonts w:ascii="Arial" w:eastAsia="Arial" w:hAnsi="Arial" w:cs="Arial"/>
          <w:sz w:val="24"/>
          <w:szCs w:val="24"/>
        </w:rPr>
        <w:t>Item</w:t>
      </w:r>
      <w:r w:rsidRPr="203A9726" w:rsidR="00677A12">
        <w:rPr>
          <w:rFonts w:ascii="Arial" w:eastAsia="Arial" w:hAnsi="Arial" w:cs="Arial"/>
          <w:sz w:val="24"/>
          <w:szCs w:val="24"/>
        </w:rPr>
        <w:t xml:space="preserve"> </w:t>
      </w:r>
      <w:r w:rsidR="00677A12">
        <w:rPr>
          <w:rFonts w:ascii="Arial" w:eastAsia="Arial" w:hAnsi="Arial" w:cs="Arial"/>
          <w:sz w:val="24"/>
          <w:szCs w:val="24"/>
        </w:rPr>
        <w:t>9</w:t>
      </w:r>
      <w:r w:rsidRPr="203A9726" w:rsidR="00677A12">
        <w:rPr>
          <w:rFonts w:ascii="Arial" w:eastAsia="Arial" w:hAnsi="Arial" w:cs="Arial"/>
          <w:sz w:val="24"/>
          <w:szCs w:val="24"/>
        </w:rPr>
        <w:t xml:space="preserve">) to </w:t>
      </w:r>
      <w:r w:rsidR="00677A12">
        <w:rPr>
          <w:rFonts w:ascii="Arial" w:eastAsia="Arial" w:hAnsi="Arial" w:cs="Arial"/>
          <w:sz w:val="24"/>
          <w:szCs w:val="24"/>
        </w:rPr>
        <w:t xml:space="preserve">the </w:t>
      </w:r>
      <w:r w:rsidRPr="203A9726" w:rsidR="00677A12">
        <w:rPr>
          <w:rFonts w:ascii="Arial" w:eastAsia="Arial" w:hAnsi="Arial" w:cs="Arial"/>
          <w:sz w:val="24"/>
          <w:szCs w:val="24"/>
        </w:rPr>
        <w:t xml:space="preserve">collection (SPARK </w:t>
      </w:r>
      <w:r w:rsidR="00677A12">
        <w:rPr>
          <w:rFonts w:ascii="Arial" w:eastAsia="Arial" w:hAnsi="Arial" w:cs="Arial"/>
          <w:sz w:val="24"/>
          <w:szCs w:val="24"/>
        </w:rPr>
        <w:t xml:space="preserve">Pilot </w:t>
      </w:r>
      <w:r w:rsidRPr="203A9726" w:rsidR="00677A12">
        <w:rPr>
          <w:rFonts w:ascii="Arial" w:eastAsia="Arial" w:hAnsi="Arial" w:cs="Arial"/>
          <w:sz w:val="24"/>
          <w:szCs w:val="24"/>
        </w:rPr>
        <w:t xml:space="preserve">Program Petition to Make Special). </w:t>
      </w:r>
      <w:r w:rsidRPr="203A9726">
        <w:rPr>
          <w:rFonts w:ascii="Arial" w:eastAsia="Arial" w:hAnsi="Arial" w:cs="Arial"/>
          <w:sz w:val="24"/>
          <w:szCs w:val="24"/>
        </w:rPr>
        <w:t>The addition of this form to the information collection will increase the total estimated responses (</w:t>
      </w:r>
      <w:r>
        <w:rPr>
          <w:rFonts w:ascii="Arial" w:eastAsia="Arial" w:hAnsi="Arial" w:cs="Arial"/>
          <w:sz w:val="24"/>
          <w:szCs w:val="24"/>
        </w:rPr>
        <w:t>+</w:t>
      </w:r>
      <w:r w:rsidRPr="203A9726">
        <w:rPr>
          <w:rFonts w:ascii="Arial" w:eastAsia="Arial" w:hAnsi="Arial" w:cs="Arial"/>
          <w:sz w:val="24"/>
          <w:szCs w:val="24"/>
        </w:rPr>
        <w:t>50) and burden hours (</w:t>
      </w:r>
      <w:r>
        <w:rPr>
          <w:rFonts w:ascii="Arial" w:eastAsia="Arial" w:hAnsi="Arial" w:cs="Arial"/>
          <w:sz w:val="24"/>
          <w:szCs w:val="24"/>
        </w:rPr>
        <w:t>+</w:t>
      </w:r>
      <w:r w:rsidR="00AF2218">
        <w:rPr>
          <w:rFonts w:ascii="Arial" w:eastAsia="Arial" w:hAnsi="Arial" w:cs="Arial"/>
          <w:sz w:val="24"/>
          <w:szCs w:val="24"/>
        </w:rPr>
        <w:t>50</w:t>
      </w:r>
      <w:r w:rsidRPr="203A9726">
        <w:rPr>
          <w:rFonts w:ascii="Arial" w:eastAsia="Arial" w:hAnsi="Arial" w:cs="Arial"/>
          <w:sz w:val="24"/>
          <w:szCs w:val="24"/>
        </w:rPr>
        <w:t xml:space="preserve">). </w:t>
      </w:r>
    </w:p>
    <w:p w:rsidR="00727004" w:rsidP="00691DE3" w14:paraId="3101119E" w14:textId="77777777">
      <w:pPr>
        <w:pStyle w:val="NoSpacing"/>
        <w:rPr>
          <w:rFonts w:ascii="Arial" w:hAnsi="Arial" w:cs="Arial"/>
          <w:sz w:val="24"/>
          <w:szCs w:val="24"/>
          <w:u w:val="single"/>
        </w:rPr>
      </w:pPr>
    </w:p>
    <w:p w:rsidR="00627EF4" w:rsidP="00691DE3" w14:paraId="79E75DBC" w14:textId="18D4A66B">
      <w:pPr>
        <w:pStyle w:val="NoSpacing"/>
        <w:rPr>
          <w:rFonts w:ascii="Arial" w:hAnsi="Arial" w:cs="Arial"/>
          <w:sz w:val="24"/>
          <w:szCs w:val="24"/>
        </w:rPr>
      </w:pPr>
      <w:r>
        <w:rPr>
          <w:rFonts w:ascii="Arial" w:hAnsi="Arial" w:cs="Arial"/>
          <w:sz w:val="24"/>
          <w:szCs w:val="24"/>
          <w:u w:val="single"/>
        </w:rPr>
        <w:t>Summary of Changes</w:t>
      </w:r>
    </w:p>
    <w:p w:rsidR="00627EF4" w:rsidP="00691DE3" w14:paraId="2FDC06E9" w14:textId="77777777">
      <w:pPr>
        <w:pStyle w:val="NoSpacing"/>
        <w:rPr>
          <w:rFonts w:ascii="Arial" w:hAnsi="Arial" w:cs="Arial"/>
          <w:sz w:val="24"/>
          <w:szCs w:val="24"/>
        </w:rPr>
      </w:pPr>
    </w:p>
    <w:p w:rsidR="00627EF4" w:rsidP="00576918" w14:paraId="0E78CAFA" w14:textId="643258D6">
      <w:pPr>
        <w:pStyle w:val="NoSpacing"/>
        <w:jc w:val="both"/>
        <w:rPr>
          <w:rFonts w:ascii="Arial" w:hAnsi="Arial" w:cs="Arial"/>
          <w:sz w:val="24"/>
          <w:szCs w:val="24"/>
        </w:rPr>
      </w:pPr>
      <w:r>
        <w:rPr>
          <w:rFonts w:ascii="Arial" w:hAnsi="Arial" w:cs="Arial"/>
          <w:sz w:val="24"/>
          <w:szCs w:val="24"/>
        </w:rPr>
        <w:t xml:space="preserve">The </w:t>
      </w:r>
      <w:r w:rsidR="002B4064">
        <w:rPr>
          <w:rFonts w:ascii="Arial" w:hAnsi="Arial" w:cs="Arial"/>
          <w:sz w:val="24"/>
          <w:szCs w:val="24"/>
        </w:rPr>
        <w:t>addition</w:t>
      </w:r>
      <w:r>
        <w:rPr>
          <w:rFonts w:ascii="Arial" w:hAnsi="Arial" w:cs="Arial"/>
          <w:sz w:val="24"/>
          <w:szCs w:val="24"/>
        </w:rPr>
        <w:t xml:space="preserve"> of </w:t>
      </w:r>
      <w:r w:rsidR="002B4064">
        <w:rPr>
          <w:rFonts w:ascii="Arial" w:hAnsi="Arial" w:cs="Arial"/>
          <w:sz w:val="24"/>
          <w:szCs w:val="24"/>
        </w:rPr>
        <w:t>the PTO/SB/479b form</w:t>
      </w:r>
      <w:r>
        <w:rPr>
          <w:rFonts w:ascii="Arial" w:hAnsi="Arial" w:cs="Arial"/>
          <w:sz w:val="24"/>
          <w:szCs w:val="24"/>
        </w:rPr>
        <w:t xml:space="preserve"> results in a</w:t>
      </w:r>
      <w:r w:rsidR="002B4064">
        <w:rPr>
          <w:rFonts w:ascii="Arial" w:hAnsi="Arial" w:cs="Arial"/>
          <w:sz w:val="24"/>
          <w:szCs w:val="24"/>
        </w:rPr>
        <w:t>n</w:t>
      </w:r>
      <w:r>
        <w:rPr>
          <w:rFonts w:ascii="Arial" w:hAnsi="Arial" w:cs="Arial"/>
          <w:sz w:val="24"/>
          <w:szCs w:val="24"/>
        </w:rPr>
        <w:t xml:space="preserve"> </w:t>
      </w:r>
      <w:r w:rsidR="002B4064">
        <w:rPr>
          <w:rFonts w:ascii="Arial" w:hAnsi="Arial" w:cs="Arial"/>
          <w:sz w:val="24"/>
          <w:szCs w:val="24"/>
        </w:rPr>
        <w:t>in</w:t>
      </w:r>
      <w:r>
        <w:rPr>
          <w:rFonts w:ascii="Arial" w:hAnsi="Arial" w:cs="Arial"/>
          <w:sz w:val="24"/>
          <w:szCs w:val="24"/>
        </w:rPr>
        <w:t xml:space="preserve">crease of </w:t>
      </w:r>
      <w:r w:rsidR="002B4064">
        <w:rPr>
          <w:rFonts w:ascii="Arial" w:hAnsi="Arial" w:cs="Arial"/>
          <w:sz w:val="24"/>
          <w:szCs w:val="24"/>
        </w:rPr>
        <w:t>50</w:t>
      </w:r>
      <w:r>
        <w:rPr>
          <w:rFonts w:ascii="Arial" w:hAnsi="Arial" w:cs="Arial"/>
          <w:sz w:val="24"/>
          <w:szCs w:val="24"/>
        </w:rPr>
        <w:t xml:space="preserve"> responses to the total estimated responses and </w:t>
      </w:r>
      <w:r w:rsidR="00AF2218">
        <w:rPr>
          <w:rFonts w:ascii="Arial" w:hAnsi="Arial" w:cs="Arial"/>
          <w:sz w:val="24"/>
          <w:szCs w:val="24"/>
        </w:rPr>
        <w:t>5</w:t>
      </w:r>
      <w:r w:rsidR="002B4064">
        <w:rPr>
          <w:rFonts w:ascii="Arial" w:hAnsi="Arial" w:cs="Arial"/>
          <w:sz w:val="24"/>
          <w:szCs w:val="24"/>
        </w:rPr>
        <w:t xml:space="preserve">0 </w:t>
      </w:r>
      <w:r>
        <w:rPr>
          <w:rFonts w:ascii="Arial" w:hAnsi="Arial" w:cs="Arial"/>
          <w:sz w:val="24"/>
          <w:szCs w:val="24"/>
        </w:rPr>
        <w:t>hours to the estimated hourly burden in collection 0651-00</w:t>
      </w:r>
      <w:r w:rsidR="002B4064">
        <w:rPr>
          <w:rFonts w:ascii="Arial" w:hAnsi="Arial" w:cs="Arial"/>
          <w:sz w:val="24"/>
          <w:szCs w:val="24"/>
        </w:rPr>
        <w:t>63</w:t>
      </w:r>
      <w:r>
        <w:rPr>
          <w:rFonts w:ascii="Arial" w:hAnsi="Arial" w:cs="Arial"/>
          <w:sz w:val="24"/>
          <w:szCs w:val="24"/>
        </w:rPr>
        <w:t xml:space="preserve">. </w:t>
      </w:r>
    </w:p>
    <w:p w:rsidR="00627EF4" w:rsidP="00691DE3" w14:paraId="7E7E936A" w14:textId="77777777">
      <w:pPr>
        <w:pStyle w:val="NoSpacing"/>
        <w:rPr>
          <w:rFonts w:ascii="Arial" w:hAnsi="Arial" w:cs="Arial"/>
          <w:sz w:val="24"/>
          <w:szCs w:val="24"/>
        </w:rPr>
      </w:pPr>
    </w:p>
    <w:p w:rsidR="00627EF4" w:rsidP="00691DE3" w14:paraId="303CEFBA" w14:textId="27DF8D84">
      <w:pPr>
        <w:pStyle w:val="NoSpacing"/>
        <w:rPr>
          <w:rFonts w:ascii="Arial" w:hAnsi="Arial" w:cs="Arial"/>
          <w:sz w:val="24"/>
          <w:szCs w:val="24"/>
        </w:rPr>
      </w:pPr>
      <w:r>
        <w:rPr>
          <w:rFonts w:ascii="Arial" w:hAnsi="Arial" w:cs="Arial"/>
          <w:sz w:val="24"/>
          <w:szCs w:val="24"/>
          <w:u w:val="single"/>
        </w:rPr>
        <w:t>Changes in Burden</w:t>
      </w:r>
    </w:p>
    <w:p w:rsidR="00627EF4" w:rsidP="00691DE3" w14:paraId="55CD65FE" w14:textId="77777777">
      <w:pPr>
        <w:pStyle w:val="NoSpacing"/>
        <w:rPr>
          <w:rFonts w:ascii="Arial" w:hAnsi="Arial" w:cs="Arial"/>
          <w:sz w:val="24"/>
          <w:szCs w:val="24"/>
        </w:rPr>
      </w:pPr>
    </w:p>
    <w:tbl>
      <w:tblPr>
        <w:tblStyle w:val="TableGrid"/>
        <w:tblW w:w="0" w:type="auto"/>
        <w:tblLook w:val="04A0"/>
      </w:tblPr>
      <w:tblGrid>
        <w:gridCol w:w="3235"/>
        <w:gridCol w:w="2070"/>
        <w:gridCol w:w="1980"/>
        <w:gridCol w:w="2065"/>
      </w:tblGrid>
      <w:tr w14:paraId="426AE64D" w14:textId="77777777">
        <w:tblPrEx>
          <w:tblW w:w="0" w:type="auto"/>
          <w:tblLook w:val="04A0"/>
        </w:tblPrEx>
        <w:tc>
          <w:tcPr>
            <w:tcW w:w="3235" w:type="dxa"/>
            <w:shd w:val="clear" w:color="auto" w:fill="BDD6EE" w:themeFill="accent1" w:themeFillTint="66"/>
            <w:vAlign w:val="center"/>
          </w:tcPr>
          <w:p w:rsidR="00627EF4" w:rsidRPr="007353A9" w14:paraId="18AEAD44" w14:textId="77777777">
            <w:pPr>
              <w:pStyle w:val="NoSpacing"/>
              <w:jc w:val="center"/>
              <w:rPr>
                <w:rFonts w:ascii="Arial" w:hAnsi="Arial" w:cs="Arial"/>
                <w:b/>
                <w:sz w:val="20"/>
                <w:szCs w:val="20"/>
              </w:rPr>
            </w:pPr>
            <w:r w:rsidRPr="007353A9">
              <w:rPr>
                <w:rFonts w:ascii="Arial" w:hAnsi="Arial" w:cs="Arial"/>
                <w:b/>
                <w:sz w:val="20"/>
                <w:szCs w:val="20"/>
              </w:rPr>
              <w:t>Burden Type</w:t>
            </w:r>
          </w:p>
        </w:tc>
        <w:tc>
          <w:tcPr>
            <w:tcW w:w="2070" w:type="dxa"/>
            <w:shd w:val="clear" w:color="auto" w:fill="BDD6EE" w:themeFill="accent1" w:themeFillTint="66"/>
            <w:vAlign w:val="center"/>
          </w:tcPr>
          <w:p w:rsidR="00627EF4" w:rsidRPr="007353A9" w14:paraId="0039D8AF" w14:textId="77777777">
            <w:pPr>
              <w:pStyle w:val="NoSpacing"/>
              <w:jc w:val="center"/>
              <w:rPr>
                <w:rFonts w:ascii="Arial" w:hAnsi="Arial" w:cs="Arial"/>
                <w:b/>
                <w:sz w:val="20"/>
                <w:szCs w:val="20"/>
              </w:rPr>
            </w:pPr>
            <w:r w:rsidRPr="007353A9">
              <w:rPr>
                <w:rFonts w:ascii="Arial" w:hAnsi="Arial" w:cs="Arial"/>
                <w:b/>
                <w:sz w:val="20"/>
                <w:szCs w:val="20"/>
              </w:rPr>
              <w:t>Currently Approved</w:t>
            </w:r>
          </w:p>
        </w:tc>
        <w:tc>
          <w:tcPr>
            <w:tcW w:w="1980" w:type="dxa"/>
            <w:shd w:val="clear" w:color="auto" w:fill="BDD6EE" w:themeFill="accent1" w:themeFillTint="66"/>
            <w:vAlign w:val="center"/>
          </w:tcPr>
          <w:p w:rsidR="00627EF4" w:rsidRPr="007353A9" w14:paraId="463A4FEC" w14:textId="77777777">
            <w:pPr>
              <w:pStyle w:val="NoSpacing"/>
              <w:jc w:val="center"/>
              <w:rPr>
                <w:rFonts w:ascii="Arial" w:hAnsi="Arial" w:cs="Arial"/>
                <w:b/>
                <w:sz w:val="20"/>
                <w:szCs w:val="20"/>
              </w:rPr>
            </w:pPr>
            <w:r w:rsidRPr="007353A9">
              <w:rPr>
                <w:rFonts w:ascii="Arial" w:hAnsi="Arial" w:cs="Arial"/>
                <w:b/>
                <w:sz w:val="20"/>
                <w:szCs w:val="20"/>
              </w:rPr>
              <w:t>Proposed Change</w:t>
            </w:r>
          </w:p>
        </w:tc>
        <w:tc>
          <w:tcPr>
            <w:tcW w:w="2065" w:type="dxa"/>
            <w:shd w:val="clear" w:color="auto" w:fill="BDD6EE" w:themeFill="accent1" w:themeFillTint="66"/>
            <w:vAlign w:val="center"/>
          </w:tcPr>
          <w:p w:rsidR="00627EF4" w:rsidRPr="007353A9" w14:paraId="4618D9DE" w14:textId="77777777">
            <w:pPr>
              <w:pStyle w:val="NoSpacing"/>
              <w:jc w:val="center"/>
              <w:rPr>
                <w:rFonts w:ascii="Arial" w:hAnsi="Arial" w:cs="Arial"/>
                <w:b/>
                <w:sz w:val="20"/>
                <w:szCs w:val="20"/>
              </w:rPr>
            </w:pPr>
            <w:r w:rsidRPr="007353A9">
              <w:rPr>
                <w:rFonts w:ascii="Arial" w:hAnsi="Arial" w:cs="Arial"/>
                <w:b/>
                <w:sz w:val="20"/>
                <w:szCs w:val="20"/>
              </w:rPr>
              <w:t>New Estimate</w:t>
            </w:r>
          </w:p>
        </w:tc>
      </w:tr>
      <w:tr w14:paraId="5AD72C44" w14:textId="77777777" w:rsidTr="000A7538">
        <w:tblPrEx>
          <w:tblW w:w="0" w:type="auto"/>
          <w:tblLook w:val="04A0"/>
        </w:tblPrEx>
        <w:tc>
          <w:tcPr>
            <w:tcW w:w="3235" w:type="dxa"/>
          </w:tcPr>
          <w:p w:rsidR="00627EF4" w:rsidRPr="00864C42" w14:paraId="1A11EAD9" w14:textId="77777777">
            <w:pPr>
              <w:pStyle w:val="NoSpacing"/>
              <w:rPr>
                <w:rFonts w:ascii="Arial" w:hAnsi="Arial" w:cs="Arial"/>
                <w:bCs/>
                <w:sz w:val="20"/>
                <w:szCs w:val="20"/>
              </w:rPr>
            </w:pPr>
            <w:r w:rsidRPr="00864C42">
              <w:rPr>
                <w:rFonts w:ascii="Arial" w:hAnsi="Arial" w:cs="Arial"/>
                <w:sz w:val="20"/>
                <w:szCs w:val="20"/>
              </w:rPr>
              <w:t>Annual Number of Responses</w:t>
            </w:r>
          </w:p>
        </w:tc>
        <w:tc>
          <w:tcPr>
            <w:tcW w:w="2070" w:type="dxa"/>
            <w:vAlign w:val="center"/>
          </w:tcPr>
          <w:p w:rsidR="00627EF4" w:rsidRPr="00864C42" w14:paraId="3C6B3643" w14:textId="1A4397F1">
            <w:pPr>
              <w:pStyle w:val="NoSpacing"/>
              <w:jc w:val="right"/>
              <w:rPr>
                <w:rFonts w:ascii="Arial" w:hAnsi="Arial" w:cs="Arial"/>
                <w:bCs/>
                <w:sz w:val="20"/>
                <w:szCs w:val="20"/>
              </w:rPr>
            </w:pPr>
            <w:r w:rsidRPr="00762122">
              <w:rPr>
                <w:rFonts w:ascii="Arial" w:hAnsi="Arial" w:cs="Arial"/>
                <w:bCs/>
                <w:sz w:val="20"/>
                <w:szCs w:val="20"/>
              </w:rPr>
              <w:t>22,149</w:t>
            </w:r>
          </w:p>
        </w:tc>
        <w:tc>
          <w:tcPr>
            <w:tcW w:w="1980" w:type="dxa"/>
            <w:vAlign w:val="center"/>
          </w:tcPr>
          <w:p w:rsidR="00627EF4" w:rsidRPr="00864C42" w14:paraId="780D815A" w14:textId="1F95DC7B">
            <w:pPr>
              <w:pStyle w:val="NoSpacing"/>
              <w:jc w:val="right"/>
              <w:rPr>
                <w:rFonts w:ascii="Arial" w:hAnsi="Arial" w:cs="Arial"/>
                <w:bCs/>
                <w:sz w:val="20"/>
                <w:szCs w:val="20"/>
              </w:rPr>
            </w:pPr>
            <w:r>
              <w:rPr>
                <w:rFonts w:ascii="Arial" w:hAnsi="Arial" w:cs="Arial"/>
                <w:bCs/>
                <w:sz w:val="20"/>
                <w:szCs w:val="20"/>
              </w:rPr>
              <w:t>50</w:t>
            </w:r>
          </w:p>
        </w:tc>
        <w:tc>
          <w:tcPr>
            <w:tcW w:w="2065" w:type="dxa"/>
            <w:vAlign w:val="center"/>
          </w:tcPr>
          <w:p w:rsidR="00627EF4" w:rsidRPr="00AF2218" w14:paraId="392851CE" w14:textId="135A70E8">
            <w:pPr>
              <w:pStyle w:val="NoSpacing"/>
              <w:jc w:val="right"/>
              <w:rPr>
                <w:rFonts w:ascii="Arial" w:hAnsi="Arial" w:cs="Arial"/>
                <w:bCs/>
                <w:sz w:val="20"/>
                <w:szCs w:val="20"/>
              </w:rPr>
            </w:pPr>
            <w:r w:rsidRPr="00AF2218">
              <w:rPr>
                <w:rFonts w:ascii="Arial" w:hAnsi="Arial" w:cs="Arial"/>
                <w:bCs/>
                <w:sz w:val="20"/>
                <w:szCs w:val="20"/>
              </w:rPr>
              <w:t>22,199</w:t>
            </w:r>
          </w:p>
        </w:tc>
      </w:tr>
      <w:tr w14:paraId="61F1E201" w14:textId="77777777" w:rsidTr="000A7538">
        <w:tblPrEx>
          <w:tblW w:w="0" w:type="auto"/>
          <w:tblLook w:val="04A0"/>
        </w:tblPrEx>
        <w:tc>
          <w:tcPr>
            <w:tcW w:w="3235" w:type="dxa"/>
          </w:tcPr>
          <w:p w:rsidR="00627EF4" w:rsidRPr="00864C42" w14:paraId="0BCA2424" w14:textId="77777777">
            <w:pPr>
              <w:pStyle w:val="NoSpacing"/>
              <w:rPr>
                <w:rFonts w:ascii="Arial" w:hAnsi="Arial" w:cs="Arial"/>
                <w:b/>
                <w:sz w:val="20"/>
                <w:szCs w:val="20"/>
              </w:rPr>
            </w:pPr>
            <w:r w:rsidRPr="00864C42">
              <w:rPr>
                <w:rFonts w:ascii="Arial" w:hAnsi="Arial" w:cs="Arial"/>
                <w:sz w:val="20"/>
                <w:szCs w:val="20"/>
              </w:rPr>
              <w:t>Annual Time Burden (Hr)</w:t>
            </w:r>
          </w:p>
        </w:tc>
        <w:tc>
          <w:tcPr>
            <w:tcW w:w="2070" w:type="dxa"/>
            <w:vAlign w:val="center"/>
          </w:tcPr>
          <w:p w:rsidR="00627EF4" w:rsidRPr="00864C42" w14:paraId="64D94115" w14:textId="66FEE2E4">
            <w:pPr>
              <w:pStyle w:val="NoSpacing"/>
              <w:jc w:val="right"/>
              <w:rPr>
                <w:rFonts w:ascii="Arial" w:hAnsi="Arial" w:cs="Arial"/>
                <w:bCs/>
                <w:sz w:val="20"/>
                <w:szCs w:val="20"/>
              </w:rPr>
            </w:pPr>
            <w:r w:rsidRPr="003C098A">
              <w:rPr>
                <w:rFonts w:ascii="Arial" w:hAnsi="Arial" w:cs="Arial"/>
                <w:bCs/>
                <w:sz w:val="20"/>
                <w:szCs w:val="20"/>
              </w:rPr>
              <w:t>238,999</w:t>
            </w:r>
          </w:p>
        </w:tc>
        <w:tc>
          <w:tcPr>
            <w:tcW w:w="1980" w:type="dxa"/>
            <w:vAlign w:val="center"/>
          </w:tcPr>
          <w:p w:rsidR="00627EF4" w:rsidRPr="00864C42" w14:paraId="7DA2B1D2" w14:textId="6C8BCABC">
            <w:pPr>
              <w:pStyle w:val="NoSpacing"/>
              <w:jc w:val="right"/>
              <w:rPr>
                <w:rFonts w:ascii="Arial" w:hAnsi="Arial" w:cs="Arial"/>
                <w:bCs/>
                <w:sz w:val="20"/>
                <w:szCs w:val="20"/>
              </w:rPr>
            </w:pPr>
            <w:r>
              <w:rPr>
                <w:rFonts w:ascii="Arial" w:hAnsi="Arial" w:cs="Arial"/>
                <w:bCs/>
                <w:sz w:val="20"/>
                <w:szCs w:val="20"/>
              </w:rPr>
              <w:t>50</w:t>
            </w:r>
          </w:p>
        </w:tc>
        <w:tc>
          <w:tcPr>
            <w:tcW w:w="2065" w:type="dxa"/>
            <w:vAlign w:val="center"/>
          </w:tcPr>
          <w:p w:rsidR="00627EF4" w:rsidRPr="00AF2218" w14:paraId="658CB468" w14:textId="170A5F8D">
            <w:pPr>
              <w:pStyle w:val="NoSpacing"/>
              <w:jc w:val="right"/>
              <w:rPr>
                <w:rFonts w:ascii="Arial" w:hAnsi="Arial" w:cs="Arial"/>
                <w:bCs/>
                <w:sz w:val="20"/>
                <w:szCs w:val="20"/>
              </w:rPr>
            </w:pPr>
            <w:r w:rsidRPr="00AF2218">
              <w:rPr>
                <w:rFonts w:ascii="Arial" w:hAnsi="Arial" w:cs="Arial"/>
                <w:bCs/>
                <w:sz w:val="20"/>
                <w:szCs w:val="20"/>
              </w:rPr>
              <w:t>239,</w:t>
            </w:r>
            <w:r w:rsidRPr="00AF2218" w:rsidR="00AF2218">
              <w:rPr>
                <w:rFonts w:ascii="Arial" w:hAnsi="Arial" w:cs="Arial"/>
                <w:bCs/>
                <w:sz w:val="20"/>
                <w:szCs w:val="20"/>
              </w:rPr>
              <w:t>04</w:t>
            </w:r>
            <w:r w:rsidRPr="00AF2218">
              <w:rPr>
                <w:rFonts w:ascii="Arial" w:hAnsi="Arial" w:cs="Arial"/>
                <w:bCs/>
                <w:sz w:val="20"/>
                <w:szCs w:val="20"/>
              </w:rPr>
              <w:t>9</w:t>
            </w:r>
          </w:p>
        </w:tc>
      </w:tr>
      <w:tr w14:paraId="2369D13E" w14:textId="77777777">
        <w:tblPrEx>
          <w:tblW w:w="0" w:type="auto"/>
          <w:tblLook w:val="04A0"/>
        </w:tblPrEx>
        <w:tc>
          <w:tcPr>
            <w:tcW w:w="3235" w:type="dxa"/>
          </w:tcPr>
          <w:p w:rsidR="00627EF4" w:rsidRPr="00864C42" w14:paraId="1778339B" w14:textId="77777777">
            <w:pPr>
              <w:pStyle w:val="NoSpacing"/>
              <w:rPr>
                <w:rFonts w:ascii="Arial" w:hAnsi="Arial" w:cs="Arial"/>
                <w:sz w:val="20"/>
                <w:szCs w:val="20"/>
              </w:rPr>
            </w:pPr>
            <w:r w:rsidRPr="00864C42">
              <w:rPr>
                <w:rFonts w:ascii="Arial" w:hAnsi="Arial" w:cs="Arial"/>
                <w:sz w:val="20"/>
                <w:szCs w:val="20"/>
              </w:rPr>
              <w:t xml:space="preserve">Annual </w:t>
            </w:r>
            <w:r>
              <w:rPr>
                <w:rFonts w:ascii="Arial" w:hAnsi="Arial" w:cs="Arial"/>
                <w:sz w:val="20"/>
                <w:szCs w:val="20"/>
              </w:rPr>
              <w:t xml:space="preserve">Non-Hour </w:t>
            </w:r>
            <w:r w:rsidRPr="00864C42">
              <w:rPr>
                <w:rFonts w:ascii="Arial" w:hAnsi="Arial" w:cs="Arial"/>
                <w:sz w:val="20"/>
                <w:szCs w:val="20"/>
              </w:rPr>
              <w:t>Cost Burden ($)</w:t>
            </w:r>
          </w:p>
        </w:tc>
        <w:tc>
          <w:tcPr>
            <w:tcW w:w="2070" w:type="dxa"/>
            <w:vAlign w:val="center"/>
          </w:tcPr>
          <w:p w:rsidR="00627EF4" w:rsidRPr="007353A9" w:rsidP="003C098A" w14:paraId="796082B8" w14:textId="0D3E31F0">
            <w:pPr>
              <w:pStyle w:val="NoSpacing"/>
              <w:jc w:val="right"/>
              <w:rPr>
                <w:rFonts w:ascii="Arial" w:hAnsi="Arial" w:cs="Arial"/>
                <w:sz w:val="20"/>
                <w:szCs w:val="20"/>
              </w:rPr>
            </w:pPr>
            <w:r w:rsidRPr="003C098A">
              <w:rPr>
                <w:rFonts w:ascii="Arial" w:hAnsi="Arial" w:cs="Arial"/>
                <w:sz w:val="20"/>
                <w:szCs w:val="20"/>
              </w:rPr>
              <w:t>18,540,677</w:t>
            </w:r>
          </w:p>
        </w:tc>
        <w:tc>
          <w:tcPr>
            <w:tcW w:w="1980" w:type="dxa"/>
            <w:vAlign w:val="center"/>
          </w:tcPr>
          <w:p w:rsidR="00627EF4" w:rsidRPr="007353A9" w14:paraId="0683BCA4" w14:textId="3587CBD9">
            <w:pPr>
              <w:pStyle w:val="NoSpacing"/>
              <w:jc w:val="right"/>
              <w:rPr>
                <w:rFonts w:ascii="Arial" w:hAnsi="Arial" w:cs="Arial"/>
                <w:sz w:val="20"/>
                <w:szCs w:val="20"/>
              </w:rPr>
            </w:pPr>
            <w:r>
              <w:rPr>
                <w:rFonts w:ascii="Arial" w:hAnsi="Arial" w:cs="Arial"/>
                <w:sz w:val="20"/>
                <w:szCs w:val="20"/>
              </w:rPr>
              <w:t>0</w:t>
            </w:r>
          </w:p>
        </w:tc>
        <w:tc>
          <w:tcPr>
            <w:tcW w:w="2065" w:type="dxa"/>
            <w:vAlign w:val="center"/>
          </w:tcPr>
          <w:p w:rsidR="00627EF4" w:rsidRPr="00AF2218" w14:paraId="06E8935B" w14:textId="2ACB1726">
            <w:pPr>
              <w:pStyle w:val="NoSpacing"/>
              <w:jc w:val="right"/>
              <w:rPr>
                <w:rFonts w:ascii="Arial" w:hAnsi="Arial" w:cs="Arial"/>
                <w:sz w:val="20"/>
                <w:szCs w:val="20"/>
              </w:rPr>
            </w:pPr>
            <w:r w:rsidRPr="00AF2218">
              <w:rPr>
                <w:rFonts w:ascii="Arial" w:hAnsi="Arial" w:cs="Arial"/>
                <w:sz w:val="20"/>
                <w:szCs w:val="20"/>
              </w:rPr>
              <w:t>18,540,677</w:t>
            </w:r>
          </w:p>
        </w:tc>
      </w:tr>
    </w:tbl>
    <w:p w:rsidR="00627EF4" w:rsidP="00691DE3" w14:paraId="69F8E3FF" w14:textId="77777777">
      <w:pPr>
        <w:pStyle w:val="NoSpacing"/>
        <w:rPr>
          <w:rFonts w:ascii="Arial" w:hAnsi="Arial" w:cs="Arial"/>
          <w:sz w:val="24"/>
          <w:szCs w:val="24"/>
        </w:rPr>
      </w:pPr>
    </w:p>
    <w:p w:rsidR="00627EF4" w:rsidP="00691DE3" w14:paraId="20F3222B" w14:textId="174F078B">
      <w:pPr>
        <w:pStyle w:val="NoSpacing"/>
        <w:rPr>
          <w:rFonts w:ascii="Arial" w:hAnsi="Arial" w:cs="Arial"/>
          <w:sz w:val="24"/>
          <w:szCs w:val="24"/>
        </w:rPr>
      </w:pPr>
      <w:r>
        <w:rPr>
          <w:rFonts w:ascii="Arial" w:hAnsi="Arial" w:cs="Arial"/>
          <w:sz w:val="24"/>
          <w:szCs w:val="24"/>
        </w:rPr>
        <w:t>0651-00</w:t>
      </w:r>
      <w:r w:rsidR="002B4064">
        <w:rPr>
          <w:rFonts w:ascii="Arial" w:hAnsi="Arial" w:cs="Arial"/>
          <w:sz w:val="24"/>
          <w:szCs w:val="24"/>
        </w:rPr>
        <w:t>63</w:t>
      </w:r>
      <w:r>
        <w:rPr>
          <w:rFonts w:ascii="Arial" w:hAnsi="Arial" w:cs="Arial"/>
          <w:sz w:val="24"/>
          <w:szCs w:val="24"/>
        </w:rPr>
        <w:t>’s revised burden is as follows:</w:t>
      </w:r>
    </w:p>
    <w:p w:rsidR="00627EF4" w:rsidP="00691DE3" w14:paraId="369239D2" w14:textId="77777777">
      <w:pPr>
        <w:pStyle w:val="NoSpacing"/>
        <w:rPr>
          <w:rFonts w:ascii="Arial" w:hAnsi="Arial" w:cs="Arial"/>
          <w:sz w:val="24"/>
          <w:szCs w:val="24"/>
        </w:rPr>
      </w:pPr>
    </w:p>
    <w:p w:rsidR="00627EF4" w:rsidP="00627EF4" w14:paraId="606C837B" w14:textId="57905DB0">
      <w:pPr>
        <w:pStyle w:val="NoSpacing"/>
        <w:numPr>
          <w:ilvl w:val="0"/>
          <w:numId w:val="29"/>
        </w:numPr>
        <w:rPr>
          <w:rFonts w:ascii="Arial" w:hAnsi="Arial" w:cs="Arial"/>
          <w:sz w:val="24"/>
          <w:szCs w:val="24"/>
        </w:rPr>
      </w:pPr>
      <w:r w:rsidRPr="0045455A">
        <w:rPr>
          <w:rFonts w:ascii="Arial" w:hAnsi="Arial" w:cs="Arial"/>
          <w:sz w:val="24"/>
          <w:szCs w:val="24"/>
        </w:rPr>
        <w:t>22,199</w:t>
      </w:r>
      <w:r>
        <w:rPr>
          <w:rFonts w:ascii="Arial" w:hAnsi="Arial" w:cs="Arial"/>
          <w:sz w:val="24"/>
          <w:szCs w:val="24"/>
        </w:rPr>
        <w:t xml:space="preserve"> annual responses </w:t>
      </w:r>
    </w:p>
    <w:p w:rsidR="00627EF4" w:rsidP="00627EF4" w14:paraId="6DD4FD72" w14:textId="2E249E69">
      <w:pPr>
        <w:pStyle w:val="NoSpacing"/>
        <w:numPr>
          <w:ilvl w:val="0"/>
          <w:numId w:val="29"/>
        </w:numPr>
        <w:rPr>
          <w:rFonts w:ascii="Arial" w:hAnsi="Arial" w:cs="Arial"/>
          <w:sz w:val="24"/>
          <w:szCs w:val="24"/>
        </w:rPr>
      </w:pPr>
      <w:r w:rsidRPr="0045455A">
        <w:rPr>
          <w:rFonts w:ascii="Arial" w:hAnsi="Arial" w:cs="Arial"/>
          <w:sz w:val="24"/>
          <w:szCs w:val="24"/>
        </w:rPr>
        <w:t>239,</w:t>
      </w:r>
      <w:r w:rsidR="00AF2218">
        <w:rPr>
          <w:rFonts w:ascii="Arial" w:hAnsi="Arial" w:cs="Arial"/>
          <w:sz w:val="24"/>
          <w:szCs w:val="24"/>
        </w:rPr>
        <w:t>04</w:t>
      </w:r>
      <w:r w:rsidRPr="0045455A">
        <w:rPr>
          <w:rFonts w:ascii="Arial" w:hAnsi="Arial" w:cs="Arial"/>
          <w:sz w:val="24"/>
          <w:szCs w:val="24"/>
        </w:rPr>
        <w:t>9</w:t>
      </w:r>
      <w:r>
        <w:rPr>
          <w:rFonts w:ascii="Arial" w:hAnsi="Arial" w:cs="Arial"/>
          <w:sz w:val="24"/>
          <w:szCs w:val="24"/>
        </w:rPr>
        <w:t xml:space="preserve"> annual hourly burden</w:t>
      </w:r>
    </w:p>
    <w:p w:rsidR="00627EF4" w:rsidRPr="00627EF4" w:rsidP="00627EF4" w14:paraId="33514976" w14:textId="39BEC76F">
      <w:pPr>
        <w:pStyle w:val="NoSpacing"/>
        <w:numPr>
          <w:ilvl w:val="0"/>
          <w:numId w:val="29"/>
        </w:numPr>
        <w:rPr>
          <w:rFonts w:ascii="Arial" w:hAnsi="Arial" w:cs="Arial"/>
          <w:sz w:val="24"/>
          <w:szCs w:val="24"/>
        </w:rPr>
      </w:pPr>
      <w:r>
        <w:rPr>
          <w:rFonts w:ascii="Arial" w:hAnsi="Arial" w:cs="Arial"/>
          <w:sz w:val="24"/>
          <w:szCs w:val="24"/>
        </w:rPr>
        <w:t>$</w:t>
      </w:r>
      <w:r w:rsidRPr="003C098A" w:rsidR="003C098A">
        <w:rPr>
          <w:rFonts w:ascii="Arial" w:hAnsi="Arial" w:cs="Arial"/>
          <w:sz w:val="24"/>
          <w:szCs w:val="24"/>
        </w:rPr>
        <w:t>18,540,677</w:t>
      </w:r>
      <w:r>
        <w:rPr>
          <w:rFonts w:ascii="Arial" w:hAnsi="Arial" w:cs="Arial"/>
          <w:sz w:val="24"/>
          <w:szCs w:val="24"/>
        </w:rPr>
        <w:t xml:space="preserve"> in annual non-hourly burden costs (unchanged)</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4473E" w:rsidP="00691DE3" w14:paraId="6B097242" w14:textId="77777777">
      <w:pPr>
        <w:spacing w:after="0" w:line="240" w:lineRule="auto"/>
      </w:pPr>
      <w:r>
        <w:separator/>
      </w:r>
    </w:p>
  </w:footnote>
  <w:footnote w:type="continuationSeparator" w:id="1">
    <w:p w:rsidR="0094473E" w:rsidP="00691DE3" w14:paraId="669AF171" w14:textId="77777777">
      <w:pPr>
        <w:spacing w:after="0" w:line="240" w:lineRule="auto"/>
      </w:pPr>
      <w:r>
        <w:continuationSeparator/>
      </w:r>
    </w:p>
  </w:footnote>
  <w:footnote w:type="continuationNotice" w:id="2">
    <w:p w:rsidR="0094473E" w14:paraId="28668266" w14:textId="77777777">
      <w:pPr>
        <w:spacing w:after="0" w:line="240" w:lineRule="auto"/>
      </w:pPr>
    </w:p>
  </w:footnote>
  <w:footnote w:id="3">
    <w:p w:rsidR="00E10211" w:rsidRPr="000E340A" w:rsidP="00914BFB" w14:paraId="7BBEE39B" w14:textId="77777777">
      <w:pPr>
        <w:pStyle w:val="FootnoteText"/>
        <w:jc w:val="both"/>
        <w:rPr>
          <w:rFonts w:ascii="Arial" w:hAnsi="Arial" w:cs="Arial"/>
        </w:rPr>
      </w:pPr>
      <w:r w:rsidRPr="002A2BF0">
        <w:rPr>
          <w:rStyle w:val="FootnoteReference"/>
          <w:rFonts w:ascii="Arial" w:hAnsi="Arial" w:cs="Arial"/>
          <w:sz w:val="16"/>
        </w:rPr>
        <w:footnoteRef/>
      </w:r>
      <w:r w:rsidRPr="002A2BF0">
        <w:rPr>
          <w:rFonts w:ascii="Arial" w:hAnsi="Arial" w:cs="Arial"/>
          <w:sz w:val="16"/>
        </w:rPr>
        <w:t xml:space="preserve"> </w:t>
      </w:r>
      <w:hyperlink r:id="rId1" w:history="1">
        <w:r w:rsidRPr="0060409A">
          <w:rPr>
            <w:rStyle w:val="Hyperlink"/>
            <w:rFonts w:ascii="Arial" w:hAnsi="Arial" w:cs="Arial"/>
            <w:sz w:val="16"/>
          </w:rPr>
          <w:t>https://www.uspto.gov/patent/laws-and-regulations/american-inventors-protection-act-1999</w:t>
        </w:r>
      </w:hyperlink>
      <w:r w:rsidRPr="002A2BF0">
        <w:rPr>
          <w:rFonts w:ascii="Arial" w:hAnsi="Arial" w:cs="Arial"/>
          <w:sz w:val="16"/>
        </w:rPr>
        <w:t xml:space="preserve">. </w:t>
      </w:r>
    </w:p>
  </w:footnote>
  <w:footnote w:id="4">
    <w:p w:rsidR="0075190A" w:rsidRPr="00D629C2" w:rsidP="00914BFB" w14:paraId="3A0423B9" w14:textId="38DDDA9E">
      <w:pPr>
        <w:pStyle w:val="FootnoteText"/>
        <w:jc w:val="both"/>
        <w:rPr>
          <w:rFonts w:ascii="Arial" w:hAnsi="Arial" w:cs="Arial"/>
          <w:sz w:val="16"/>
          <w:szCs w:val="16"/>
        </w:rPr>
      </w:pPr>
      <w:r w:rsidRPr="00D629C2">
        <w:rPr>
          <w:rStyle w:val="FootnoteReference"/>
          <w:rFonts w:ascii="Arial" w:hAnsi="Arial" w:cs="Arial"/>
          <w:sz w:val="16"/>
          <w:szCs w:val="16"/>
        </w:rPr>
        <w:footnoteRef/>
      </w:r>
      <w:r w:rsidRPr="00D629C2">
        <w:rPr>
          <w:rFonts w:ascii="Arial" w:hAnsi="Arial" w:cs="Arial"/>
          <w:sz w:val="16"/>
          <w:szCs w:val="16"/>
        </w:rPr>
        <w:t xml:space="preserve"> The </w:t>
      </w:r>
      <w:r>
        <w:rPr>
          <w:rFonts w:ascii="Arial" w:hAnsi="Arial" w:cs="Arial"/>
          <w:sz w:val="16"/>
          <w:szCs w:val="16"/>
        </w:rPr>
        <w:t xml:space="preserve">SPARK </w:t>
      </w:r>
      <w:r w:rsidRPr="00D629C2">
        <w:rPr>
          <w:rFonts w:ascii="Arial" w:hAnsi="Arial" w:cs="Arial"/>
          <w:sz w:val="16"/>
          <w:szCs w:val="16"/>
        </w:rPr>
        <w:t xml:space="preserve">program also permits </w:t>
      </w:r>
      <w:r w:rsidRPr="00F41245" w:rsidR="00F41245">
        <w:rPr>
          <w:rFonts w:ascii="Arial" w:hAnsi="Arial" w:cs="Arial"/>
          <w:sz w:val="16"/>
          <w:szCs w:val="16"/>
        </w:rPr>
        <w:t>eligible U.S. entities to file a petition under 37 CFR</w:t>
      </w:r>
      <w:r w:rsidR="00677A12">
        <w:rPr>
          <w:rFonts w:ascii="Arial" w:hAnsi="Arial" w:cs="Arial"/>
          <w:sz w:val="16"/>
          <w:szCs w:val="16"/>
        </w:rPr>
        <w:t xml:space="preserve"> </w:t>
      </w:r>
      <w:r w:rsidRPr="00677A12" w:rsidR="00677A12">
        <w:rPr>
          <w:rFonts w:ascii="Arial" w:hAnsi="Arial" w:cs="Arial"/>
          <w:sz w:val="16"/>
          <w:szCs w:val="16"/>
        </w:rPr>
        <w:t>§</w:t>
      </w:r>
      <w:r w:rsidRPr="00F41245" w:rsidR="00F41245">
        <w:rPr>
          <w:rFonts w:ascii="Arial" w:hAnsi="Arial" w:cs="Arial"/>
          <w:sz w:val="16"/>
          <w:szCs w:val="16"/>
        </w:rPr>
        <w:t xml:space="preserve"> 1.102(d) to expedite the examination of an original (non-reissue) nonprovisional utility application</w:t>
      </w:r>
      <w:r w:rsidR="00F81FF3">
        <w:rPr>
          <w:rFonts w:ascii="Arial" w:hAnsi="Arial" w:cs="Arial"/>
          <w:sz w:val="16"/>
          <w:szCs w:val="16"/>
        </w:rPr>
        <w:t xml:space="preserve">. This </w:t>
      </w:r>
      <w:r w:rsidRPr="00D629C2" w:rsidR="00F81FF3">
        <w:rPr>
          <w:rFonts w:ascii="Arial" w:hAnsi="Arial" w:cs="Arial"/>
          <w:sz w:val="16"/>
          <w:szCs w:val="16"/>
        </w:rPr>
        <w:t>portion of this program is covered under 0651-00</w:t>
      </w:r>
      <w:r w:rsidR="00F81FF3">
        <w:rPr>
          <w:rFonts w:ascii="Arial" w:hAnsi="Arial" w:cs="Arial"/>
          <w:sz w:val="16"/>
          <w:szCs w:val="16"/>
        </w:rPr>
        <w:t>59</w:t>
      </w:r>
      <w:r w:rsidRPr="00D629C2" w:rsidR="00F81FF3">
        <w:rPr>
          <w:rFonts w:ascii="Arial" w:hAnsi="Arial" w:cs="Arial"/>
          <w:sz w:val="16"/>
          <w:szCs w:val="16"/>
        </w:rPr>
        <w:t xml:space="preserve"> </w:t>
      </w:r>
      <w:r w:rsidRPr="00061479" w:rsidR="00061479">
        <w:rPr>
          <w:rFonts w:ascii="Arial" w:hAnsi="Arial" w:cs="Arial"/>
          <w:sz w:val="16"/>
          <w:szCs w:val="16"/>
        </w:rPr>
        <w:t>Patent Petitions Related to Application and Reexamination Processing Fees</w:t>
      </w:r>
      <w:r w:rsidRPr="00D629C2" w:rsidR="00F81FF3">
        <w:rPr>
          <w:rFonts w:ascii="Arial" w:hAnsi="Arial" w:cs="Arial"/>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F128CC0"/>
    <w:lvl w:ilvl="0">
      <w:start w:val="1"/>
      <w:numFmt w:val="decimal"/>
      <w:lvlText w:val="%1."/>
      <w:lvlJc w:val="left"/>
      <w:pPr>
        <w:tabs>
          <w:tab w:val="num" w:pos="1800"/>
        </w:tabs>
        <w:ind w:left="1800" w:hanging="360"/>
      </w:pPr>
    </w:lvl>
  </w:abstractNum>
  <w:abstractNum w:abstractNumId="1">
    <w:nsid w:val="FFFFFF7D"/>
    <w:multiLevelType w:val="singleLevel"/>
    <w:tmpl w:val="DAA0AA1C"/>
    <w:lvl w:ilvl="0">
      <w:start w:val="1"/>
      <w:numFmt w:val="decimal"/>
      <w:lvlText w:val="%1."/>
      <w:lvlJc w:val="left"/>
      <w:pPr>
        <w:tabs>
          <w:tab w:val="num" w:pos="1440"/>
        </w:tabs>
        <w:ind w:left="1440" w:hanging="360"/>
      </w:pPr>
    </w:lvl>
  </w:abstractNum>
  <w:abstractNum w:abstractNumId="2">
    <w:nsid w:val="FFFFFF7E"/>
    <w:multiLevelType w:val="singleLevel"/>
    <w:tmpl w:val="C6928A44"/>
    <w:lvl w:ilvl="0">
      <w:start w:val="1"/>
      <w:numFmt w:val="decimal"/>
      <w:lvlText w:val="%1."/>
      <w:lvlJc w:val="left"/>
      <w:pPr>
        <w:tabs>
          <w:tab w:val="num" w:pos="1080"/>
        </w:tabs>
        <w:ind w:left="1080" w:hanging="360"/>
      </w:pPr>
    </w:lvl>
  </w:abstractNum>
  <w:abstractNum w:abstractNumId="3">
    <w:nsid w:val="FFFFFF7F"/>
    <w:multiLevelType w:val="singleLevel"/>
    <w:tmpl w:val="75ACADB0"/>
    <w:lvl w:ilvl="0">
      <w:start w:val="1"/>
      <w:numFmt w:val="decimal"/>
      <w:lvlText w:val="%1."/>
      <w:lvlJc w:val="left"/>
      <w:pPr>
        <w:tabs>
          <w:tab w:val="num" w:pos="720"/>
        </w:tabs>
        <w:ind w:left="720" w:hanging="360"/>
      </w:pPr>
    </w:lvl>
  </w:abstractNum>
  <w:abstractNum w:abstractNumId="4">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A7202F2"/>
    <w:lvl w:ilvl="0">
      <w:start w:val="1"/>
      <w:numFmt w:val="decimal"/>
      <w:lvlText w:val="%1."/>
      <w:lvlJc w:val="left"/>
      <w:pPr>
        <w:tabs>
          <w:tab w:val="num" w:pos="360"/>
        </w:tabs>
        <w:ind w:left="360" w:hanging="360"/>
      </w:pPr>
    </w:lvl>
  </w:abstractNum>
  <w:abstractNum w:abstractNumId="9">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65C271B"/>
    <w:multiLevelType w:val="hybridMultilevel"/>
    <w:tmpl w:val="26B6640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nsid w:val="3F8F1FA0"/>
    <w:multiLevelType w:val="hybridMultilevel"/>
    <w:tmpl w:val="4780731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nsid w:val="64A5519C"/>
    <w:multiLevelType w:val="hybridMultilevel"/>
    <w:tmpl w:val="4672F94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7E9B5CC8"/>
    <w:multiLevelType w:val="singleLevel"/>
    <w:tmpl w:val="04090001"/>
    <w:lvl w:ilvl="0">
      <w:start w:val="1"/>
      <w:numFmt w:val="bullet"/>
      <w:lvlText w:val=""/>
      <w:lvlJc w:val="left"/>
      <w:pPr>
        <w:ind w:left="720" w:hanging="360"/>
      </w:pPr>
      <w:rPr>
        <w:rFonts w:ascii="Symbol" w:hAnsi="Symbol" w:hint="default"/>
      </w:rPr>
    </w:lvl>
  </w:abstractNum>
  <w:num w:numId="1" w16cid:durableId="1204093834">
    <w:abstractNumId w:val="21"/>
  </w:num>
  <w:num w:numId="2" w16cid:durableId="4213704">
    <w:abstractNumId w:val="13"/>
  </w:num>
  <w:num w:numId="3" w16cid:durableId="1876772127">
    <w:abstractNumId w:val="10"/>
  </w:num>
  <w:num w:numId="4" w16cid:durableId="32391308">
    <w:abstractNumId w:val="24"/>
  </w:num>
  <w:num w:numId="5" w16cid:durableId="1856840902">
    <w:abstractNumId w:val="14"/>
  </w:num>
  <w:num w:numId="6" w16cid:durableId="819073863">
    <w:abstractNumId w:val="17"/>
  </w:num>
  <w:num w:numId="7" w16cid:durableId="443154985">
    <w:abstractNumId w:val="20"/>
  </w:num>
  <w:num w:numId="8" w16cid:durableId="1133601118">
    <w:abstractNumId w:val="9"/>
  </w:num>
  <w:num w:numId="9" w16cid:durableId="157308815">
    <w:abstractNumId w:val="7"/>
  </w:num>
  <w:num w:numId="10" w16cid:durableId="1956136333">
    <w:abstractNumId w:val="6"/>
  </w:num>
  <w:num w:numId="11" w16cid:durableId="1266380873">
    <w:abstractNumId w:val="5"/>
  </w:num>
  <w:num w:numId="12" w16cid:durableId="531654705">
    <w:abstractNumId w:val="4"/>
  </w:num>
  <w:num w:numId="13" w16cid:durableId="2039693334">
    <w:abstractNumId w:val="8"/>
  </w:num>
  <w:num w:numId="14" w16cid:durableId="1716588269">
    <w:abstractNumId w:val="3"/>
  </w:num>
  <w:num w:numId="15" w16cid:durableId="1617642093">
    <w:abstractNumId w:val="2"/>
  </w:num>
  <w:num w:numId="16" w16cid:durableId="1184593841">
    <w:abstractNumId w:val="1"/>
  </w:num>
  <w:num w:numId="17" w16cid:durableId="1870533631">
    <w:abstractNumId w:val="0"/>
  </w:num>
  <w:num w:numId="18" w16cid:durableId="334891349">
    <w:abstractNumId w:val="15"/>
  </w:num>
  <w:num w:numId="19" w16cid:durableId="1613585176">
    <w:abstractNumId w:val="16"/>
  </w:num>
  <w:num w:numId="20" w16cid:durableId="1091193860">
    <w:abstractNumId w:val="22"/>
  </w:num>
  <w:num w:numId="21" w16cid:durableId="1517377858">
    <w:abstractNumId w:val="19"/>
  </w:num>
  <w:num w:numId="22" w16cid:durableId="1715735670">
    <w:abstractNumId w:val="12"/>
  </w:num>
  <w:num w:numId="23" w16cid:durableId="1593778119">
    <w:abstractNumId w:val="25"/>
  </w:num>
  <w:num w:numId="24" w16cid:durableId="824588639">
    <w:abstractNumId w:val="26"/>
  </w:num>
  <w:num w:numId="25" w16cid:durableId="1548566821">
    <w:abstractNumId w:val="18"/>
  </w:num>
  <w:num w:numId="26" w16cid:durableId="1343507817">
    <w:abstractNumId w:val="11"/>
  </w:num>
  <w:num w:numId="27" w16cid:durableId="1247108664">
    <w:abstractNumId w:val="18"/>
  </w:num>
  <w:num w:numId="28" w16cid:durableId="304504325">
    <w:abstractNumId w:val="11"/>
  </w:num>
  <w:num w:numId="29" w16cid:durableId="190594850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DE3"/>
    <w:rsid w:val="00041AB6"/>
    <w:rsid w:val="00061479"/>
    <w:rsid w:val="0007784E"/>
    <w:rsid w:val="00082297"/>
    <w:rsid w:val="000A7538"/>
    <w:rsid w:val="000E340A"/>
    <w:rsid w:val="001245B9"/>
    <w:rsid w:val="00137E35"/>
    <w:rsid w:val="00144385"/>
    <w:rsid w:val="00153D83"/>
    <w:rsid w:val="00187966"/>
    <w:rsid w:val="001A60B9"/>
    <w:rsid w:val="001C57C7"/>
    <w:rsid w:val="001D6D6A"/>
    <w:rsid w:val="002A2BF0"/>
    <w:rsid w:val="002A542B"/>
    <w:rsid w:val="002B2A9A"/>
    <w:rsid w:val="002B4064"/>
    <w:rsid w:val="00316B4B"/>
    <w:rsid w:val="003226D3"/>
    <w:rsid w:val="00340962"/>
    <w:rsid w:val="00381032"/>
    <w:rsid w:val="003C098A"/>
    <w:rsid w:val="00401231"/>
    <w:rsid w:val="0045455A"/>
    <w:rsid w:val="0046656E"/>
    <w:rsid w:val="00512BC9"/>
    <w:rsid w:val="00576918"/>
    <w:rsid w:val="005B0363"/>
    <w:rsid w:val="005B0EC6"/>
    <w:rsid w:val="005C348C"/>
    <w:rsid w:val="0060409A"/>
    <w:rsid w:val="00622AE4"/>
    <w:rsid w:val="00623C1E"/>
    <w:rsid w:val="00627EF4"/>
    <w:rsid w:val="0063031A"/>
    <w:rsid w:val="00645252"/>
    <w:rsid w:val="00651FAE"/>
    <w:rsid w:val="00677A12"/>
    <w:rsid w:val="00691DE3"/>
    <w:rsid w:val="006D3D74"/>
    <w:rsid w:val="006E3D59"/>
    <w:rsid w:val="00704168"/>
    <w:rsid w:val="0070416F"/>
    <w:rsid w:val="00704667"/>
    <w:rsid w:val="00705A20"/>
    <w:rsid w:val="00727004"/>
    <w:rsid w:val="00727548"/>
    <w:rsid w:val="007353A9"/>
    <w:rsid w:val="0075190A"/>
    <w:rsid w:val="00762122"/>
    <w:rsid w:val="007762A8"/>
    <w:rsid w:val="00784E38"/>
    <w:rsid w:val="007A6BCA"/>
    <w:rsid w:val="007E6681"/>
    <w:rsid w:val="00824C9D"/>
    <w:rsid w:val="008328FC"/>
    <w:rsid w:val="0083569A"/>
    <w:rsid w:val="008378E1"/>
    <w:rsid w:val="008479CA"/>
    <w:rsid w:val="00852B2D"/>
    <w:rsid w:val="00864C42"/>
    <w:rsid w:val="00885CD4"/>
    <w:rsid w:val="0089630A"/>
    <w:rsid w:val="008A29E0"/>
    <w:rsid w:val="008B0C87"/>
    <w:rsid w:val="008D6FDB"/>
    <w:rsid w:val="00914BFB"/>
    <w:rsid w:val="0094473E"/>
    <w:rsid w:val="009837B5"/>
    <w:rsid w:val="009F0B06"/>
    <w:rsid w:val="00A32D37"/>
    <w:rsid w:val="00A9204E"/>
    <w:rsid w:val="00AA3D9A"/>
    <w:rsid w:val="00AA5243"/>
    <w:rsid w:val="00AA6072"/>
    <w:rsid w:val="00AF2218"/>
    <w:rsid w:val="00AF3F4F"/>
    <w:rsid w:val="00B025F2"/>
    <w:rsid w:val="00B47FDB"/>
    <w:rsid w:val="00B6785B"/>
    <w:rsid w:val="00B7306B"/>
    <w:rsid w:val="00BA5EB1"/>
    <w:rsid w:val="00C77DCB"/>
    <w:rsid w:val="00D41572"/>
    <w:rsid w:val="00D629C2"/>
    <w:rsid w:val="00D73A3E"/>
    <w:rsid w:val="00D814E4"/>
    <w:rsid w:val="00D8234B"/>
    <w:rsid w:val="00DF551D"/>
    <w:rsid w:val="00E1009B"/>
    <w:rsid w:val="00E10211"/>
    <w:rsid w:val="00E378D7"/>
    <w:rsid w:val="00E47297"/>
    <w:rsid w:val="00E80F29"/>
    <w:rsid w:val="00EB5A10"/>
    <w:rsid w:val="00EB623B"/>
    <w:rsid w:val="00EE7729"/>
    <w:rsid w:val="00F41245"/>
    <w:rsid w:val="00F502D1"/>
    <w:rsid w:val="00F504F5"/>
    <w:rsid w:val="00F54544"/>
    <w:rsid w:val="00F64374"/>
    <w:rsid w:val="00F81FF3"/>
    <w:rsid w:val="00FA3918"/>
    <w:rsid w:val="00FB0AA9"/>
    <w:rsid w:val="00FD34B2"/>
    <w:rsid w:val="00FD7E06"/>
    <w:rsid w:val="00FF6C50"/>
    <w:rsid w:val="203A9726"/>
    <w:rsid w:val="2DB58B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4885A4"/>
  <w15:chartTrackingRefBased/>
  <w15:docId w15:val="{8620B9E5-CF51-4F3E-96CD-FF108315B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1DE3"/>
    <w:pPr>
      <w:spacing w:after="160" w:line="259" w:lineRule="auto"/>
    </w:p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unhideWhenUsed/>
    <w:rsid w:val="00645252"/>
    <w:rPr>
      <w:szCs w:val="20"/>
    </w:rPr>
  </w:style>
  <w:style w:type="character" w:customStyle="1" w:styleId="FootnoteTextChar">
    <w:name w:val="Footnote Text Char"/>
    <w:basedOn w:val="DefaultParagraphFont"/>
    <w:link w:val="FootnoteText"/>
    <w:uiPriority w:val="99"/>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NoSpacing">
    <w:name w:val="No Spacing"/>
    <w:uiPriority w:val="1"/>
    <w:qFormat/>
    <w:rsid w:val="00691DE3"/>
  </w:style>
  <w:style w:type="character" w:styleId="FootnoteReference">
    <w:name w:val="footnote reference"/>
    <w:basedOn w:val="DefaultParagraphFont"/>
    <w:uiPriority w:val="99"/>
    <w:unhideWhenUsed/>
    <w:rsid w:val="00691DE3"/>
    <w:rPr>
      <w:vertAlign w:val="superscript"/>
    </w:rPr>
  </w:style>
  <w:style w:type="character" w:styleId="UnresolvedMention">
    <w:name w:val="Unresolved Mention"/>
    <w:basedOn w:val="DefaultParagraphFont"/>
    <w:uiPriority w:val="99"/>
    <w:semiHidden/>
    <w:unhideWhenUsed/>
    <w:rsid w:val="00691DE3"/>
    <w:rPr>
      <w:color w:val="605E5C"/>
      <w:shd w:val="clear" w:color="auto" w:fill="E1DFDD"/>
    </w:rPr>
  </w:style>
  <w:style w:type="table" w:styleId="TableGrid">
    <w:name w:val="Table Grid"/>
    <w:basedOn w:val="TableNormal"/>
    <w:uiPriority w:val="39"/>
    <w:rsid w:val="0069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627EF4"/>
    <w:pPr>
      <w:ind w:left="720"/>
      <w:contextualSpacing/>
    </w:pPr>
  </w:style>
  <w:style w:type="paragraph" w:styleId="Revision">
    <w:name w:val="Revision"/>
    <w:hidden/>
    <w:uiPriority w:val="99"/>
    <w:semiHidden/>
    <w:rsid w:val="00885C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uspto.gov/patent/laws-and-regulations/american-inventors-protection-act-1999"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gunther1\AppData\Local\Microsoft\Office\16.0\DTS\en-US%7B1FB751A1-860C-444E-8598-8BAB63C39022%7D\%7BB5E4DDF8-8157-4585-8C19-84EF4422A4D5%7DTF2de6fc23-48e8-448b-960e-1bdc6e9248ab13e3e5f5_win32-3981d9212dd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F176B9C2D0B489525CF344D663D72" ma:contentTypeVersion="14" ma:contentTypeDescription="Create a new document." ma:contentTypeScope="" ma:versionID="56526bd60ded95e569f075cb35b5e358">
  <xsd:schema xmlns:xsd="http://www.w3.org/2001/XMLSchema" xmlns:xs="http://www.w3.org/2001/XMLSchema" xmlns:p="http://schemas.microsoft.com/office/2006/metadata/properties" xmlns:ns2="0f5e2127-2ba4-41f5-b528-d0f9d9208b73" xmlns:ns3="ebb8c3bc-3ea9-4050-8e17-eb45cd7e46fa" targetNamespace="http://schemas.microsoft.com/office/2006/metadata/properties" ma:root="true" ma:fieldsID="81239466dab746c81b656294f88d280b" ns2:_="" ns3:_="">
    <xsd:import namespace="0f5e2127-2ba4-41f5-b528-d0f9d9208b73"/>
    <xsd:import namespace="ebb8c3bc-3ea9-4050-8e17-eb45cd7e46fa"/>
    <xsd:element name="properties">
      <xsd:complexType>
        <xsd:sequence>
          <xsd:element name="documentManagement">
            <xsd:complexType>
              <xsd:all>
                <xsd:element ref="ns2:Notes"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e2127-2ba4-41f5-b528-d0f9d9208b73" elementFormDefault="qualified">
    <xsd:import namespace="http://schemas.microsoft.com/office/2006/documentManagement/types"/>
    <xsd:import namespace="http://schemas.microsoft.com/office/infopath/2007/PartnerControls"/>
    <xsd:element name="Notes" ma:index="8" nillable="true" ma:displayName="Notes" ma:format="Dropdown" ma:internalName="Notes">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4ebad28-0e8c-4119-ae15-4b314486bd6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b8c3bc-3ea9-4050-8e17-eb45cd7e46f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b61915e-72c2-4576-a693-607e66545238}" ma:internalName="TaxCatchAll" ma:showField="CatchAllData" ma:web="ebb8c3bc-3ea9-4050-8e17-eb45cd7e46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bb8c3bc-3ea9-4050-8e17-eb45cd7e46fa" xsi:nil="true"/>
    <lcf76f155ced4ddcb4097134ff3c332f xmlns="0f5e2127-2ba4-41f5-b528-d0f9d9208b73">
      <Terms xmlns="http://schemas.microsoft.com/office/infopath/2007/PartnerControls"/>
    </lcf76f155ced4ddcb4097134ff3c332f>
    <Notes xmlns="0f5e2127-2ba4-41f5-b528-d0f9d9208b73" xsi:nil="true"/>
  </documentManagement>
</p:properties>
</file>

<file path=customXml/itemProps1.xml><?xml version="1.0" encoding="utf-8"?>
<ds:datastoreItem xmlns:ds="http://schemas.openxmlformats.org/officeDocument/2006/customXml" ds:itemID="{D7727E3D-E968-495D-A56A-56AABE469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e2127-2ba4-41f5-b528-d0f9d9208b73"/>
    <ds:schemaRef ds:uri="ebb8c3bc-3ea9-4050-8e17-eb45cd7e46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0C3CE2-16B1-441F-AA3B-DFCD03DBFB58}">
  <ds:schemaRefs>
    <ds:schemaRef ds:uri="http://schemas.openxmlformats.org/officeDocument/2006/bibliography"/>
  </ds:schemaRefs>
</ds:datastoreItem>
</file>

<file path=customXml/itemProps3.xml><?xml version="1.0" encoding="utf-8"?>
<ds:datastoreItem xmlns:ds="http://schemas.openxmlformats.org/officeDocument/2006/customXml" ds:itemID="{2149EAD6-BA39-4E93-9B86-CE903281D3C0}">
  <ds:schemaRefs>
    <ds:schemaRef ds:uri="http://schemas.microsoft.com/sharepoint/v3/contenttype/forms"/>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ebb8c3bc-3ea9-4050-8e17-eb45cd7e46fa"/>
    <ds:schemaRef ds:uri="0f5e2127-2ba4-41f5-b528-d0f9d9208b73"/>
  </ds:schemaRefs>
</ds:datastoreItem>
</file>

<file path=docProps/app.xml><?xml version="1.0" encoding="utf-8"?>
<Properties xmlns="http://schemas.openxmlformats.org/officeDocument/2006/extended-properties" xmlns:vt="http://schemas.openxmlformats.org/officeDocument/2006/docPropsVTypes">
  <Template>{B5E4DDF8-8157-4585-8C19-84EF4422A4D5}TF2de6fc23-48e8-448b-960e-1bdc6e9248ab13e3e5f5_win32-3981d9212dde</Template>
  <TotalTime>2</TotalTime>
  <Pages>2</Pages>
  <Words>581</Words>
  <Characters>3313</Characters>
  <Application>Microsoft Office Word</Application>
  <DocSecurity>0</DocSecurity>
  <Lines>27</Lines>
  <Paragraphs>7</Paragraphs>
  <ScaleCrop>false</ScaleCrop>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dc:creator>
  <cp:lastModifiedBy>Hall, Drew</cp:lastModifiedBy>
  <cp:revision>3</cp:revision>
  <dcterms:created xsi:type="dcterms:W3CDTF">2026-04-29T18:56:00Z</dcterms:created>
  <dcterms:modified xsi:type="dcterms:W3CDTF">2026-04-29T18:57:00Z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mpaignTags">
    <vt:lpwstr/>
  </property>
  <property fmtid="{D5CDD505-2E9C-101B-9397-08002B2CF9AE}" pid="3" name="ContentTypeId">
    <vt:lpwstr>0x010100B0FF176B9C2D0B489525CF344D663D72</vt:lpwstr>
  </property>
  <property fmtid="{D5CDD505-2E9C-101B-9397-08002B2CF9AE}" pid="4" name="FeatureTags">
    <vt:lpwstr/>
  </property>
  <property fmtid="{D5CDD505-2E9C-101B-9397-08002B2CF9AE}" pid="5" name="InternalTags">
    <vt:lpwstr/>
  </property>
  <property fmtid="{D5CDD505-2E9C-101B-9397-08002B2CF9AE}" pid="6" name="LocalizationTags">
    <vt:lpwstr/>
  </property>
  <property fmtid="{D5CDD505-2E9C-101B-9397-08002B2CF9AE}" pid="7" name="MediaServiceImageTags">
    <vt:lpwstr/>
  </property>
  <property fmtid="{D5CDD505-2E9C-101B-9397-08002B2CF9AE}" pid="8" name="ScenarioTags">
    <vt:lpwstr/>
  </property>
</Properties>
</file>