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2B6C" w:rsidRPr="00B92B6C" w:rsidP="00B92B6C" w14:paraId="7BB40C3E" w14:textId="03A8E308">
      <w:pPr>
        <w:spacing w:after="200" w:line="276" w:lineRule="auto"/>
        <w:rPr>
          <w:rFonts w:eastAsia="Calibri"/>
        </w:rPr>
      </w:pPr>
      <w:r w:rsidRPr="588F2003">
        <w:rPr>
          <w:rFonts w:eastAsia="Calibri"/>
          <w:b/>
          <w:bCs/>
        </w:rPr>
        <w:t>DATE:</w:t>
      </w:r>
      <w:r>
        <w:tab/>
      </w:r>
      <w:r>
        <w:tab/>
      </w:r>
      <w:r w:rsidR="00443E32">
        <w:rPr>
          <w:rFonts w:eastAsia="Calibri"/>
        </w:rPr>
        <w:t>April 29, 2026</w:t>
      </w:r>
    </w:p>
    <w:p w:rsidR="00B92B6C" w:rsidRPr="00B92B6C" w:rsidP="588F2003" w14:paraId="4546AFDE" w14:textId="483DB5F3">
      <w:pPr>
        <w:spacing w:after="200" w:line="276" w:lineRule="auto"/>
        <w:rPr>
          <w:rFonts w:eastAsia="Calibri"/>
        </w:rPr>
      </w:pPr>
      <w:r w:rsidRPr="588F2003">
        <w:rPr>
          <w:rFonts w:eastAsia="Calibri"/>
          <w:b/>
          <w:bCs/>
        </w:rPr>
        <w:t>TO:</w:t>
      </w:r>
      <w:r>
        <w:tab/>
      </w:r>
      <w:r>
        <w:tab/>
      </w:r>
      <w:r>
        <w:tab/>
      </w:r>
      <w:r w:rsidRPr="588F2003">
        <w:rPr>
          <w:rFonts w:eastAsia="Calibri"/>
        </w:rPr>
        <w:t>Desk Officer</w:t>
      </w:r>
      <w:r w:rsidRPr="588F2003" w:rsidR="09B7D0C1">
        <w:rPr>
          <w:rFonts w:eastAsia="Calibri"/>
        </w:rPr>
        <w:t>, Office of Management and Budget</w:t>
      </w:r>
    </w:p>
    <w:p w:rsidR="00B92B6C" w:rsidRPr="00B92B6C" w:rsidP="588F2003" w14:paraId="77BC1D71" w14:textId="1CE44B60">
      <w:pPr>
        <w:spacing w:after="200" w:line="276" w:lineRule="auto"/>
        <w:rPr>
          <w:rFonts w:eastAsia="Calibri"/>
        </w:rPr>
      </w:pPr>
      <w:r w:rsidRPr="588F2003">
        <w:rPr>
          <w:rFonts w:eastAsia="Calibri"/>
          <w:b/>
          <w:bCs/>
        </w:rPr>
        <w:t>FROM:</w:t>
      </w:r>
      <w:r>
        <w:tab/>
      </w:r>
      <w:r>
        <w:tab/>
      </w:r>
      <w:r w:rsidRPr="588F2003">
        <w:rPr>
          <w:rFonts w:eastAsia="Calibri"/>
        </w:rPr>
        <w:t>HRSA Information Collection Clearance Officer</w:t>
      </w:r>
      <w:r w:rsidRPr="588F2003" w:rsidR="554352F4">
        <w:rPr>
          <w:rFonts w:eastAsia="Calibri"/>
        </w:rPr>
        <w:t xml:space="preserve">; Office of Planning, </w:t>
      </w:r>
      <w:r>
        <w:tab/>
      </w:r>
      <w:r>
        <w:tab/>
      </w:r>
      <w:r>
        <w:tab/>
      </w:r>
      <w:r w:rsidR="00443E32">
        <w:tab/>
      </w:r>
      <w:r w:rsidRPr="588F2003" w:rsidR="554352F4">
        <w:rPr>
          <w:rFonts w:eastAsia="Calibri"/>
        </w:rPr>
        <w:t>Analysis and Evaluation</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7DEE25DC">
      <w:pPr>
        <w:spacing w:after="200" w:line="276" w:lineRule="auto"/>
        <w:ind w:left="2160" w:hanging="2160"/>
        <w:rPr>
          <w:rFonts w:eastAsia="Calibri"/>
        </w:rPr>
      </w:pPr>
      <w:r w:rsidRPr="11CBF7C9">
        <w:rPr>
          <w:rFonts w:eastAsia="Calibri"/>
          <w:b/>
          <w:bCs/>
        </w:rPr>
        <w:t>Request</w:t>
      </w:r>
      <w:r w:rsidRPr="11CBF7C9">
        <w:rPr>
          <w:rFonts w:eastAsia="Calibri"/>
        </w:rPr>
        <w:t xml:space="preserve">: </w:t>
      </w:r>
      <w:r>
        <w:tab/>
      </w:r>
      <w:r w:rsidRPr="00A75BD0" w:rsidR="00A75BD0">
        <w:rPr>
          <w:rFonts w:eastAsia="Calibri"/>
        </w:rPr>
        <w:t>HRSA</w:t>
      </w:r>
      <w:r w:rsidR="00A75BD0">
        <w:rPr>
          <w:rFonts w:eastAsia="Calibri"/>
        </w:rPr>
        <w:t>’s Health Systems Bureau</w:t>
      </w:r>
      <w:r w:rsidRPr="00A75BD0" w:rsidR="00A75BD0">
        <w:rPr>
          <w:rFonts w:eastAsia="Calibri"/>
        </w:rPr>
        <w:t xml:space="preserve"> requests approval to submit a non-substantive change request to OMB for the Data System for Organ Procurement and Transplantation Network (OPTN) – Ventilated Patient Form (VPF) under OMB Control No. 0906-0112 (Expiration Date: 12/31/2028).</w:t>
      </w:r>
    </w:p>
    <w:p w:rsidR="00D53307" w:rsidP="00D53307" w14:paraId="712E97D0" w14:textId="77777777">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Pr="00D53307">
        <w:rPr>
          <w:rFonts w:eastAsia="Calibri"/>
        </w:rPr>
        <w:t>The purpose of this request is to incorporate a Ventilated Patient Form (VPF) Data Dictionary for selected fields, consistent with OMB’s prior request; to clarify and refine instructions for several existing VPF fields to promote consistent reporting across Organ Procurement Organizations (OPOs); and to correct minor formatting and editorial issues in the associated VPF Data Fields documentation, including clarifying form logic and revising one field name.</w:t>
      </w:r>
    </w:p>
    <w:p w:rsidR="00C456A8" w:rsidP="00D53307" w14:paraId="0571083A" w14:textId="2382FB27">
      <w:pPr>
        <w:spacing w:after="200" w:line="276" w:lineRule="auto"/>
        <w:ind w:left="2160"/>
        <w:rPr>
          <w:rFonts w:eastAsia="Calibri"/>
        </w:rPr>
      </w:pPr>
      <w:r w:rsidRPr="00D53307">
        <w:rPr>
          <w:rFonts w:eastAsia="Calibri"/>
        </w:rPr>
        <w:t>These revisions are administrative in nature and improve clarity and standardization; they do not change the nature, scope, or burden of the approved data collection.</w:t>
      </w:r>
      <w:r>
        <w:rPr>
          <w:rFonts w:eastAsia="Calibri"/>
          <w:b/>
        </w:rPr>
        <w:tab/>
      </w:r>
    </w:p>
    <w:p w:rsidR="00D53307" w:rsidRPr="00D53307" w:rsidP="00D53307" w14:paraId="0007F283" w14:textId="3242A4DD">
      <w:pPr>
        <w:spacing w:after="200" w:line="276" w:lineRule="auto"/>
        <w:ind w:left="2160" w:hanging="2160"/>
        <w:rPr>
          <w:rFonts w:eastAsia="Calibri"/>
        </w:rPr>
      </w:pPr>
      <w:r w:rsidRPr="00C456A8">
        <w:rPr>
          <w:rFonts w:eastAsia="Calibri"/>
          <w:b/>
          <w:bCs/>
        </w:rPr>
        <w:t>Changes:</w:t>
      </w:r>
      <w:r>
        <w:rPr>
          <w:rFonts w:eastAsia="Calibri"/>
          <w:b/>
          <w:bCs/>
        </w:rPr>
        <w:tab/>
      </w:r>
      <w:r w:rsidRPr="00D53307">
        <w:rPr>
          <w:rFonts w:eastAsia="Calibri"/>
        </w:rPr>
        <w:t>A. Addition of VPF Data Dictionary (New Attachment)</w:t>
      </w:r>
    </w:p>
    <w:p w:rsidR="00D53307" w:rsidRPr="00D53307" w:rsidP="00D53307" w14:paraId="4BEF3F71" w14:textId="14EC1D41">
      <w:pPr>
        <w:spacing w:after="200" w:line="276" w:lineRule="auto"/>
        <w:ind w:left="2160"/>
        <w:rPr>
          <w:rFonts w:eastAsia="Calibri"/>
        </w:rPr>
      </w:pPr>
      <w:r w:rsidRPr="00D53307">
        <w:rPr>
          <w:rFonts w:eastAsia="Calibri"/>
        </w:rPr>
        <w:t>HRSA developed a formal Ventilated Patient Form (VPF) Data Dictionary that provides standardized definitions for selected fields, including Case Disposition and Hospital Interference response options, consistent with OMB’s prior request. The data dictionary does not introduce new questions; rather, it clarifies existing response options and, at the request of Organ Procurement Organizations (OPOs), further refines certain fields by disaggregating existing selections (e.g., through additional dropdown options)</w:t>
      </w:r>
      <w:r w:rsidR="00060398">
        <w:rPr>
          <w:rFonts w:eastAsia="Calibri"/>
        </w:rPr>
        <w:t xml:space="preserve"> and provides</w:t>
      </w:r>
      <w:r w:rsidRPr="00D53307">
        <w:rPr>
          <w:rFonts w:eastAsia="Calibri"/>
        </w:rPr>
        <w:t xml:space="preserve"> standardized definitions. These refinements improve consistency in interpretation and reporting across OPOs. They do not introduce new data elements, concepts, or reporting requirements</w:t>
      </w:r>
      <w:r w:rsidR="00060398">
        <w:rPr>
          <w:rFonts w:eastAsia="Calibri"/>
        </w:rPr>
        <w:t>, nor do they</w:t>
      </w:r>
      <w:r w:rsidRPr="00D53307">
        <w:rPr>
          <w:rFonts w:eastAsia="Calibri"/>
        </w:rPr>
        <w:t xml:space="preserve"> require additional respondent effort.</w:t>
      </w:r>
    </w:p>
    <w:p w:rsidR="00D53307" w:rsidRPr="00D53307" w:rsidP="00D53307" w14:paraId="204BBD50" w14:textId="77777777">
      <w:pPr>
        <w:spacing w:after="200" w:line="276" w:lineRule="auto"/>
        <w:ind w:left="2160"/>
        <w:rPr>
          <w:rFonts w:eastAsia="Calibri"/>
        </w:rPr>
      </w:pPr>
      <w:r w:rsidRPr="00D53307">
        <w:rPr>
          <w:rFonts w:eastAsia="Calibri"/>
        </w:rPr>
        <w:t>B. Clarifications to Ventilated Patient Form Instructions</w:t>
      </w:r>
    </w:p>
    <w:p w:rsidR="00D53307" w:rsidRPr="00D53307" w:rsidP="00D53307" w14:paraId="14AA7869" w14:textId="77777777">
      <w:pPr>
        <w:spacing w:after="200" w:line="276" w:lineRule="auto"/>
        <w:ind w:left="2160"/>
        <w:rPr>
          <w:rFonts w:eastAsia="Calibri"/>
        </w:rPr>
      </w:pPr>
      <w:r w:rsidRPr="00D53307">
        <w:rPr>
          <w:rFonts w:eastAsia="Calibri"/>
        </w:rPr>
        <w:t xml:space="preserve">Minor revisions were made to the Ventilated Patient Form Instructions to improve clarity and usability. Specifically, updates clarify cascade logic, refine reporting expectations for </w:t>
      </w:r>
      <w:r w:rsidRPr="00D53307">
        <w:rPr>
          <w:rFonts w:eastAsia="Calibri"/>
        </w:rPr>
        <w:t>select</w:t>
      </w:r>
      <w:r w:rsidRPr="00D53307">
        <w:rPr>
          <w:rFonts w:eastAsia="Calibri"/>
        </w:rPr>
        <w:t xml:space="preserve"> OPO process fields, and promote consistent interpretation of previously approved data elements. These changes are limited to clarifying existing instructions and do not alter the nature or scope of the data collected.</w:t>
      </w:r>
    </w:p>
    <w:p w:rsidR="00D53307" w:rsidRPr="00D53307" w:rsidP="00D53307" w14:paraId="4CF8272E" w14:textId="77777777">
      <w:pPr>
        <w:spacing w:after="200" w:line="276" w:lineRule="auto"/>
        <w:ind w:left="2160"/>
        <w:rPr>
          <w:rFonts w:eastAsia="Calibri"/>
        </w:rPr>
      </w:pPr>
      <w:r w:rsidRPr="00D53307">
        <w:rPr>
          <w:rFonts w:eastAsia="Calibri"/>
        </w:rPr>
        <w:t>C. VPF Data Fields – Editorial Corrections</w:t>
      </w:r>
    </w:p>
    <w:p w:rsidR="00D53307" w:rsidRPr="00D53307" w:rsidP="00D53307" w14:paraId="6703DEE8" w14:textId="562D4BEE">
      <w:pPr>
        <w:spacing w:after="200" w:line="276" w:lineRule="auto"/>
        <w:ind w:left="2160"/>
        <w:rPr>
          <w:rFonts w:eastAsia="Calibri"/>
        </w:rPr>
      </w:pPr>
      <w:r w:rsidRPr="00D53307">
        <w:rPr>
          <w:rFonts w:eastAsia="Calibri"/>
        </w:rPr>
        <w:t xml:space="preserve">The Ventilated Patient Form (VPF) Data Fields document was updated to address minor editorial and formatting issues. Revisions include </w:t>
      </w:r>
      <w:r w:rsidR="00060398">
        <w:rPr>
          <w:rFonts w:eastAsia="Calibri"/>
        </w:rPr>
        <w:t xml:space="preserve">the removal of internal numbering artifacts in Column A and the </w:t>
      </w:r>
      <w:r w:rsidRPr="00D53307">
        <w:rPr>
          <w:rFonts w:eastAsia="Calibri"/>
        </w:rPr>
        <w:t>deletion of internal HRSA comments that were inadvertently retained. Additional explanatory detail was added to the form logic column to improve transparency. In addition, one field label was revised from “Age” to “Date of Birth” to improve precision and alignment with data definitions. These updates do not affect the underlying data elements or reporting requirements.</w:t>
      </w:r>
    </w:p>
    <w:p w:rsidR="00D53307" w:rsidRPr="00D53307" w:rsidP="00D53307" w14:paraId="7178491B" w14:textId="77777777">
      <w:pPr>
        <w:spacing w:after="200" w:line="276" w:lineRule="auto"/>
        <w:ind w:left="2160"/>
        <w:rPr>
          <w:rFonts w:eastAsia="Calibri"/>
        </w:rPr>
      </w:pPr>
      <w:r w:rsidRPr="00D53307">
        <w:rPr>
          <w:rFonts w:eastAsia="Calibri"/>
        </w:rPr>
        <w:t>Nature of the Changes</w:t>
      </w:r>
    </w:p>
    <w:p w:rsidR="00141E59" w:rsidRPr="005347F8" w:rsidP="00D53307" w14:paraId="3D7315A6" w14:textId="50663F90">
      <w:pPr>
        <w:spacing w:after="200" w:line="276" w:lineRule="auto"/>
        <w:ind w:left="2160"/>
        <w:rPr>
          <w:rFonts w:eastAsia="Calibri"/>
        </w:rPr>
      </w:pPr>
      <w:r w:rsidRPr="00D53307">
        <w:rPr>
          <w:rFonts w:eastAsia="Calibri"/>
        </w:rPr>
        <w:t>These revisions are non-substantive in nature. They consist of clarifications to existing instructions, standardization of definitions, and minor editorial and formatting corrections. The changes do not introduce new data elements or topics, do not add respondents or forms, and do not result in any change to burden.</w:t>
      </w:r>
      <w:r w:rsidRPr="005347F8" w:rsidR="005347F8">
        <w:rPr>
          <w:rFonts w:eastAsia="Calibri"/>
        </w:rPr>
        <w:t xml:space="preserve"> </w:t>
      </w:r>
    </w:p>
    <w:p w:rsidR="00B92B6C" w:rsidRPr="005347F8" w:rsidP="00D53307" w14:paraId="29473172" w14:textId="528B1024">
      <w:pPr>
        <w:spacing w:after="200" w:line="276" w:lineRule="auto"/>
        <w:ind w:left="2160" w:hanging="2160"/>
        <w:rPr>
          <w:rFonts w:eastAsia="Calibri"/>
        </w:rPr>
      </w:pPr>
      <w:r w:rsidRPr="00B92B6C">
        <w:rPr>
          <w:rFonts w:eastAsia="Calibri"/>
          <w:b/>
        </w:rPr>
        <w:t>Time Sensitivity</w:t>
      </w:r>
      <w:r w:rsidR="00816253">
        <w:rPr>
          <w:rFonts w:eastAsia="Calibri"/>
        </w:rPr>
        <w:t>:</w:t>
      </w:r>
      <w:r w:rsidR="00060398">
        <w:rPr>
          <w:rFonts w:eastAsia="Calibri"/>
        </w:rPr>
        <w:t xml:space="preserve"> HRSA requests timely review and approval of this non-substantive change to support the implementation of the standardized definitions and updated documentation,</w:t>
      </w:r>
      <w:r w:rsidRPr="00D53307" w:rsidR="00D53307">
        <w:rPr>
          <w:rFonts w:eastAsia="Calibri"/>
        </w:rPr>
        <w:t xml:space="preserve"> in alignment with OPTN operational timelines. HRSA respectfully requests approval within 10 business days of submission, if feasible.</w:t>
      </w:r>
      <w:r w:rsidRPr="005347F8" w:rsidR="006934A4">
        <w:rPr>
          <w:rFonts w:eastAsia="Calibri"/>
        </w:rPr>
        <w:t xml:space="preserve"> </w:t>
      </w:r>
    </w:p>
    <w:p w:rsidR="00B92B6C" w:rsidRPr="005347F8" w:rsidP="00D53307" w14:paraId="2B40BE0E" w14:textId="46BE717B">
      <w:pPr>
        <w:spacing w:after="200" w:line="276" w:lineRule="auto"/>
        <w:ind w:left="2160" w:hanging="2160"/>
        <w:rPr>
          <w:rFonts w:eastAsia="Calibri"/>
        </w:rPr>
      </w:pPr>
      <w:r w:rsidRPr="118A5B19">
        <w:rPr>
          <w:rFonts w:eastAsia="Calibri"/>
          <w:b/>
          <w:bCs/>
        </w:rPr>
        <w:t>Burden:</w:t>
      </w:r>
      <w:r>
        <w:tab/>
      </w:r>
      <w:r w:rsidRPr="00D53307" w:rsidR="00D53307">
        <w:rPr>
          <w:rFonts w:eastAsia="Calibri"/>
        </w:rPr>
        <w:t>These revisions do not affect the currently approved reporting burden. The burden for the Ventilated Patient Form remains unchanged at 0.37 hours per response and 38,885 total annual burden hours. There is no increase or decrease in burden as a result of these updates.</w:t>
      </w:r>
    </w:p>
    <w:p w:rsidR="00B92B6C" w:rsidP="00B92B6C" w14:paraId="2876826F" w14:textId="197A4BDB">
      <w:pPr>
        <w:spacing w:after="200" w:line="276" w:lineRule="auto"/>
        <w:rPr>
          <w:rFonts w:eastAsia="Calibri"/>
          <w:b/>
        </w:rPr>
      </w:pPr>
      <w:r>
        <w:rPr>
          <w:rFonts w:eastAsia="Calibri"/>
          <w:b/>
        </w:rPr>
        <w:br w:type="column"/>
      </w: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r>
        <w:rPr>
          <w:b/>
          <w:u w:val="single"/>
        </w:rPr>
        <w:t>Table A</w:t>
      </w:r>
    </w:p>
    <w:p w:rsidR="00053774" w:rsidP="00EF41AD" w14:paraId="55778982" w14:textId="77777777">
      <w:pPr>
        <w:spacing w:line="276" w:lineRule="auto"/>
        <w:outlineLvl w:val="0"/>
        <w:rPr>
          <w:b/>
          <w:u w:val="single"/>
        </w:rPr>
      </w:pPr>
    </w:p>
    <w:tbl>
      <w:tblPr>
        <w:tblStyle w:val="TableGrid"/>
        <w:tblW w:w="9355" w:type="dxa"/>
        <w:tblInd w:w="-5" w:type="dxa"/>
        <w:tblLook w:val="04A0"/>
      </w:tblPr>
      <w:tblGrid>
        <w:gridCol w:w="1350"/>
        <w:gridCol w:w="1461"/>
        <w:gridCol w:w="3313"/>
        <w:gridCol w:w="3231"/>
      </w:tblGrid>
      <w:tr w14:paraId="277662DD" w14:textId="77777777">
        <w:tblPrEx>
          <w:tblW w:w="9355" w:type="dxa"/>
          <w:tblInd w:w="-5" w:type="dxa"/>
          <w:tblLook w:val="04A0"/>
        </w:tblPrEx>
        <w:trPr>
          <w:trHeight w:val="242"/>
        </w:trPr>
        <w:tc>
          <w:tcPr>
            <w:tcW w:w="1350" w:type="dxa"/>
          </w:tcPr>
          <w:p w:rsidR="00053774" w:rsidRPr="00ED3751" w:rsidP="002E68BC" w14:paraId="5EC80E86" w14:textId="77777777">
            <w:pPr>
              <w:spacing w:after="200"/>
              <w:rPr>
                <w:rFonts w:eastAsia="Calibri"/>
                <w:b/>
                <w:bCs/>
                <w:sz w:val="20"/>
                <w:szCs w:val="20"/>
              </w:rPr>
            </w:pPr>
            <w:r w:rsidRPr="00ED3751">
              <w:rPr>
                <w:rFonts w:eastAsia="Calibri"/>
                <w:b/>
                <w:bCs/>
                <w:sz w:val="20"/>
                <w:szCs w:val="20"/>
              </w:rPr>
              <w:t>Instrument</w:t>
            </w:r>
          </w:p>
        </w:tc>
        <w:tc>
          <w:tcPr>
            <w:tcW w:w="1461" w:type="dxa"/>
          </w:tcPr>
          <w:p w:rsidR="00053774" w:rsidRPr="00ED3751" w:rsidP="002E68BC" w14:paraId="3BE21F58" w14:textId="77777777">
            <w:pPr>
              <w:spacing w:after="200"/>
              <w:rPr>
                <w:rFonts w:eastAsia="Calibri"/>
                <w:b/>
                <w:bCs/>
                <w:sz w:val="20"/>
                <w:szCs w:val="20"/>
              </w:rPr>
            </w:pPr>
            <w:r w:rsidRPr="00ED3751">
              <w:rPr>
                <w:rFonts w:eastAsia="Calibri"/>
                <w:b/>
                <w:bCs/>
                <w:sz w:val="20"/>
                <w:szCs w:val="20"/>
              </w:rPr>
              <w:t>Variable</w:t>
            </w:r>
          </w:p>
        </w:tc>
        <w:tc>
          <w:tcPr>
            <w:tcW w:w="3313" w:type="dxa"/>
          </w:tcPr>
          <w:p w:rsidR="00053774" w:rsidRPr="00ED3751" w:rsidP="002E68BC" w14:paraId="6CD945B0" w14:textId="77777777">
            <w:pPr>
              <w:spacing w:after="200"/>
              <w:rPr>
                <w:rFonts w:eastAsia="Calibri"/>
                <w:b/>
                <w:bCs/>
                <w:sz w:val="20"/>
                <w:szCs w:val="20"/>
              </w:rPr>
            </w:pPr>
            <w:r w:rsidRPr="00ED3751">
              <w:rPr>
                <w:rFonts w:eastAsia="Calibri"/>
                <w:b/>
                <w:bCs/>
                <w:sz w:val="20"/>
                <w:szCs w:val="20"/>
              </w:rPr>
              <w:t>Change implemented</w:t>
            </w:r>
          </w:p>
        </w:tc>
        <w:tc>
          <w:tcPr>
            <w:tcW w:w="3231" w:type="dxa"/>
          </w:tcPr>
          <w:p w:rsidR="00053774" w:rsidRPr="00ED3751" w:rsidP="002E68BC" w14:paraId="66535F28" w14:textId="77777777">
            <w:pPr>
              <w:spacing w:after="200"/>
              <w:rPr>
                <w:rFonts w:eastAsia="Calibri"/>
                <w:b/>
                <w:bCs/>
                <w:sz w:val="20"/>
                <w:szCs w:val="20"/>
              </w:rPr>
            </w:pPr>
            <w:r>
              <w:rPr>
                <w:rFonts w:eastAsia="Calibri"/>
                <w:b/>
                <w:bCs/>
                <w:sz w:val="20"/>
                <w:szCs w:val="20"/>
              </w:rPr>
              <w:t>Rationale</w:t>
            </w:r>
          </w:p>
        </w:tc>
      </w:tr>
      <w:tr w14:paraId="17748759" w14:textId="77777777">
        <w:tblPrEx>
          <w:tblW w:w="9355" w:type="dxa"/>
          <w:tblInd w:w="-5" w:type="dxa"/>
          <w:tblLook w:val="04A0"/>
        </w:tblPrEx>
        <w:tc>
          <w:tcPr>
            <w:tcW w:w="1350" w:type="dxa"/>
          </w:tcPr>
          <w:p w:rsidR="00D53307" w:rsidP="002E68BC" w14:paraId="45228D15" w14:textId="3BB835D4">
            <w:pPr>
              <w:spacing w:after="200"/>
              <w:rPr>
                <w:rFonts w:eastAsia="Calibri"/>
                <w:sz w:val="20"/>
                <w:szCs w:val="20"/>
              </w:rPr>
            </w:pPr>
            <w:r w:rsidRPr="00D53307">
              <w:rPr>
                <w:rFonts w:eastAsia="Calibri"/>
                <w:sz w:val="20"/>
                <w:szCs w:val="20"/>
              </w:rPr>
              <w:t>Ventilated Patient Form (VPF)</w:t>
            </w:r>
          </w:p>
        </w:tc>
        <w:tc>
          <w:tcPr>
            <w:tcW w:w="1461" w:type="dxa"/>
          </w:tcPr>
          <w:p w:rsidR="00D53307" w:rsidP="002E68BC" w14:paraId="598B3312" w14:textId="1118264C">
            <w:pPr>
              <w:spacing w:after="200"/>
              <w:rPr>
                <w:rFonts w:eastAsia="Calibri"/>
                <w:sz w:val="20"/>
                <w:szCs w:val="20"/>
              </w:rPr>
            </w:pPr>
            <w:r w:rsidRPr="00D53307">
              <w:rPr>
                <w:rFonts w:eastAsia="Calibri"/>
                <w:sz w:val="20"/>
                <w:szCs w:val="20"/>
              </w:rPr>
              <w:t>Case Disposition (selection options)</w:t>
            </w:r>
          </w:p>
        </w:tc>
        <w:tc>
          <w:tcPr>
            <w:tcW w:w="3313" w:type="dxa"/>
          </w:tcPr>
          <w:p w:rsidR="00D53307" w:rsidP="002E68BC" w14:paraId="4C332E94" w14:textId="65C153C7">
            <w:pPr>
              <w:spacing w:after="200"/>
              <w:rPr>
                <w:rFonts w:eastAsia="Calibri"/>
                <w:sz w:val="20"/>
                <w:szCs w:val="20"/>
              </w:rPr>
            </w:pPr>
            <w:r w:rsidRPr="00D53307">
              <w:rPr>
                <w:rFonts w:eastAsia="Calibri"/>
                <w:sz w:val="20"/>
                <w:szCs w:val="20"/>
              </w:rPr>
              <w:t>Added standardized definitions via new VPF Data Dictionary; refined existing response options, including additional dropdown selections within existing fields</w:t>
            </w:r>
          </w:p>
        </w:tc>
        <w:tc>
          <w:tcPr>
            <w:tcW w:w="3231" w:type="dxa"/>
          </w:tcPr>
          <w:p w:rsidR="00D53307" w:rsidP="002E68BC" w14:paraId="628EB2F7" w14:textId="6D2A273E">
            <w:pPr>
              <w:spacing w:after="200"/>
              <w:rPr>
                <w:rFonts w:eastAsia="Calibri"/>
                <w:sz w:val="20"/>
                <w:szCs w:val="20"/>
              </w:rPr>
            </w:pPr>
            <w:r w:rsidRPr="00D53307">
              <w:rPr>
                <w:rFonts w:eastAsia="Calibri"/>
                <w:sz w:val="20"/>
                <w:szCs w:val="20"/>
              </w:rPr>
              <w:t>To promote consistent interpretation and reporting across OPOs and align with OMB’s prior request for standardized definitions</w:t>
            </w:r>
            <w:r w:rsidR="00060398">
              <w:rPr>
                <w:rFonts w:eastAsia="Calibri"/>
                <w:sz w:val="20"/>
                <w:szCs w:val="20"/>
              </w:rPr>
              <w:t>.</w:t>
            </w:r>
          </w:p>
        </w:tc>
      </w:tr>
      <w:tr w14:paraId="22B43FB6" w14:textId="77777777">
        <w:tblPrEx>
          <w:tblW w:w="9355" w:type="dxa"/>
          <w:tblInd w:w="-5" w:type="dxa"/>
          <w:tblLook w:val="04A0"/>
        </w:tblPrEx>
        <w:tc>
          <w:tcPr>
            <w:tcW w:w="1350" w:type="dxa"/>
          </w:tcPr>
          <w:p w:rsidR="00D53307" w:rsidRPr="00D53307" w:rsidP="002E68BC" w14:paraId="3398BF32" w14:textId="41675D20">
            <w:pPr>
              <w:spacing w:after="200"/>
              <w:rPr>
                <w:rFonts w:eastAsia="Calibri"/>
                <w:sz w:val="20"/>
                <w:szCs w:val="20"/>
              </w:rPr>
            </w:pPr>
            <w:r w:rsidRPr="00D53307">
              <w:rPr>
                <w:rFonts w:eastAsia="Calibri"/>
                <w:sz w:val="20"/>
                <w:szCs w:val="20"/>
              </w:rPr>
              <w:t>Ventilated Patient Form (VPF)</w:t>
            </w:r>
          </w:p>
        </w:tc>
        <w:tc>
          <w:tcPr>
            <w:tcW w:w="1461" w:type="dxa"/>
          </w:tcPr>
          <w:p w:rsidR="00D53307" w:rsidRPr="00D53307" w:rsidP="002E68BC" w14:paraId="05EBC2CD" w14:textId="2BE83025">
            <w:pPr>
              <w:spacing w:after="200"/>
              <w:rPr>
                <w:rFonts w:eastAsia="Calibri"/>
                <w:sz w:val="20"/>
                <w:szCs w:val="20"/>
              </w:rPr>
            </w:pPr>
            <w:r w:rsidRPr="00D53307">
              <w:rPr>
                <w:rFonts w:eastAsia="Calibri"/>
                <w:sz w:val="20"/>
                <w:szCs w:val="20"/>
              </w:rPr>
              <w:t>Hospital Interference (selection options)</w:t>
            </w:r>
          </w:p>
        </w:tc>
        <w:tc>
          <w:tcPr>
            <w:tcW w:w="3313" w:type="dxa"/>
          </w:tcPr>
          <w:p w:rsidR="00D53307" w:rsidRPr="00D53307" w:rsidP="002E68BC" w14:paraId="409CD996" w14:textId="36E42CC8">
            <w:pPr>
              <w:spacing w:after="200"/>
              <w:rPr>
                <w:rFonts w:eastAsia="Calibri"/>
                <w:sz w:val="20"/>
                <w:szCs w:val="20"/>
              </w:rPr>
            </w:pPr>
            <w:r w:rsidRPr="00D53307">
              <w:rPr>
                <w:rFonts w:eastAsia="Calibri"/>
                <w:sz w:val="20"/>
                <w:szCs w:val="20"/>
              </w:rPr>
              <w:t xml:space="preserve">Added standardized definitions via </w:t>
            </w:r>
            <w:r w:rsidR="00060398">
              <w:rPr>
                <w:rFonts w:eastAsia="Calibri"/>
                <w:sz w:val="20"/>
                <w:szCs w:val="20"/>
              </w:rPr>
              <w:t xml:space="preserve">the </w:t>
            </w:r>
            <w:r w:rsidRPr="00D53307">
              <w:rPr>
                <w:rFonts w:eastAsia="Calibri"/>
                <w:sz w:val="20"/>
                <w:szCs w:val="20"/>
              </w:rPr>
              <w:t>new VPF Data Dictionary; refined existing response options within existing fields</w:t>
            </w:r>
          </w:p>
        </w:tc>
        <w:tc>
          <w:tcPr>
            <w:tcW w:w="3231" w:type="dxa"/>
          </w:tcPr>
          <w:p w:rsidR="00D53307" w:rsidRPr="00D53307" w:rsidP="002E68BC" w14:paraId="5C542249" w14:textId="0D57AF0E">
            <w:pPr>
              <w:spacing w:after="200"/>
              <w:rPr>
                <w:rFonts w:eastAsia="Calibri"/>
                <w:sz w:val="20"/>
                <w:szCs w:val="20"/>
              </w:rPr>
            </w:pPr>
            <w:r w:rsidRPr="00D53307">
              <w:rPr>
                <w:rFonts w:eastAsia="Calibri"/>
                <w:sz w:val="20"/>
                <w:szCs w:val="20"/>
              </w:rPr>
              <w:t>To improve clarity and ensure consistent application of response categories across OPOs</w:t>
            </w:r>
          </w:p>
        </w:tc>
      </w:tr>
      <w:tr w14:paraId="145B5782" w14:textId="77777777" w:rsidTr="002E68BC">
        <w:tblPrEx>
          <w:tblW w:w="9355" w:type="dxa"/>
          <w:tblInd w:w="-5" w:type="dxa"/>
          <w:tblLook w:val="04A0"/>
        </w:tblPrEx>
        <w:trPr>
          <w:trHeight w:val="962"/>
        </w:trPr>
        <w:tc>
          <w:tcPr>
            <w:tcW w:w="1350" w:type="dxa"/>
          </w:tcPr>
          <w:p w:rsidR="00D53307" w:rsidRPr="00D53307" w:rsidP="002E68BC" w14:paraId="1E1BBEAB" w14:textId="42FD2B1C">
            <w:pPr>
              <w:spacing w:after="200"/>
              <w:rPr>
                <w:rFonts w:eastAsia="Calibri"/>
                <w:sz w:val="20"/>
                <w:szCs w:val="20"/>
              </w:rPr>
            </w:pPr>
            <w:r w:rsidRPr="00D53307">
              <w:rPr>
                <w:rFonts w:eastAsia="Calibri"/>
                <w:sz w:val="20"/>
                <w:szCs w:val="20"/>
              </w:rPr>
              <w:t>Ventilated Patient Form (VPF)</w:t>
            </w:r>
          </w:p>
        </w:tc>
        <w:tc>
          <w:tcPr>
            <w:tcW w:w="1461" w:type="dxa"/>
          </w:tcPr>
          <w:p w:rsidR="00D53307" w:rsidRPr="00D53307" w:rsidP="002E68BC" w14:paraId="296E5674" w14:textId="0DC73073">
            <w:pPr>
              <w:spacing w:after="200"/>
              <w:rPr>
                <w:rFonts w:eastAsia="Calibri"/>
                <w:sz w:val="20"/>
                <w:szCs w:val="20"/>
              </w:rPr>
            </w:pPr>
            <w:r w:rsidRPr="00D53307">
              <w:rPr>
                <w:rFonts w:eastAsia="Calibri"/>
                <w:sz w:val="20"/>
                <w:szCs w:val="20"/>
              </w:rPr>
              <w:t>Selected VPF fields (multiple)</w:t>
            </w:r>
          </w:p>
        </w:tc>
        <w:tc>
          <w:tcPr>
            <w:tcW w:w="3313" w:type="dxa"/>
          </w:tcPr>
          <w:p w:rsidR="00D53307" w:rsidRPr="00D53307" w:rsidP="002E68BC" w14:paraId="08F770B1" w14:textId="4A9695EE">
            <w:pPr>
              <w:spacing w:after="200"/>
              <w:rPr>
                <w:rFonts w:eastAsia="Calibri"/>
                <w:sz w:val="20"/>
                <w:szCs w:val="20"/>
              </w:rPr>
            </w:pPr>
            <w:r w:rsidRPr="00D53307">
              <w:rPr>
                <w:rFonts w:eastAsia="Calibri"/>
                <w:sz w:val="20"/>
                <w:szCs w:val="20"/>
              </w:rPr>
              <w:t>Incorporated new VPF Data Dictionary (new attachment)</w:t>
            </w:r>
            <w:r w:rsidR="00060398">
              <w:rPr>
                <w:rFonts w:eastAsia="Calibri"/>
                <w:sz w:val="20"/>
                <w:szCs w:val="20"/>
              </w:rPr>
              <w:t>,</w:t>
            </w:r>
            <w:r w:rsidRPr="00D53307">
              <w:rPr>
                <w:rFonts w:eastAsia="Calibri"/>
                <w:sz w:val="20"/>
                <w:szCs w:val="20"/>
              </w:rPr>
              <w:t xml:space="preserve"> providing definitions and structured response guidance</w:t>
            </w:r>
          </w:p>
        </w:tc>
        <w:tc>
          <w:tcPr>
            <w:tcW w:w="3231" w:type="dxa"/>
          </w:tcPr>
          <w:p w:rsidR="00D53307" w:rsidRPr="00D53307" w:rsidP="002E68BC" w14:paraId="17AAF3E5" w14:textId="49C26F7F">
            <w:pPr>
              <w:spacing w:after="200"/>
              <w:rPr>
                <w:rFonts w:eastAsia="Calibri"/>
                <w:sz w:val="20"/>
                <w:szCs w:val="20"/>
              </w:rPr>
            </w:pPr>
            <w:r w:rsidRPr="00D53307">
              <w:rPr>
                <w:rFonts w:eastAsia="Calibri"/>
                <w:sz w:val="20"/>
                <w:szCs w:val="20"/>
              </w:rPr>
              <w:t>To standardize terminology and improve data quality without introducing new data elements or burden</w:t>
            </w:r>
          </w:p>
        </w:tc>
      </w:tr>
      <w:tr w14:paraId="296D2E60" w14:textId="77777777">
        <w:tblPrEx>
          <w:tblW w:w="9355" w:type="dxa"/>
          <w:tblInd w:w="-5" w:type="dxa"/>
          <w:tblLook w:val="04A0"/>
        </w:tblPrEx>
        <w:tc>
          <w:tcPr>
            <w:tcW w:w="1350" w:type="dxa"/>
          </w:tcPr>
          <w:p w:rsidR="00D53307" w:rsidRPr="00D53307" w:rsidP="002E68BC" w14:paraId="163996C7" w14:textId="74337D10">
            <w:pPr>
              <w:spacing w:after="200"/>
              <w:rPr>
                <w:rFonts w:eastAsia="Calibri"/>
                <w:sz w:val="20"/>
                <w:szCs w:val="20"/>
              </w:rPr>
            </w:pPr>
            <w:r w:rsidRPr="00D53307">
              <w:rPr>
                <w:rFonts w:eastAsia="Calibri"/>
                <w:sz w:val="20"/>
                <w:szCs w:val="20"/>
              </w:rPr>
              <w:t>Ventilated Patient Form (VPF) Instructions</w:t>
            </w:r>
          </w:p>
        </w:tc>
        <w:tc>
          <w:tcPr>
            <w:tcW w:w="1461" w:type="dxa"/>
          </w:tcPr>
          <w:p w:rsidR="00D53307" w:rsidRPr="00D53307" w:rsidP="002E68BC" w14:paraId="3A5A0C9C" w14:textId="5A67D841">
            <w:pPr>
              <w:spacing w:after="200"/>
              <w:rPr>
                <w:rFonts w:eastAsia="Calibri"/>
                <w:sz w:val="20"/>
                <w:szCs w:val="20"/>
              </w:rPr>
            </w:pPr>
            <w:r w:rsidRPr="00D53307">
              <w:rPr>
                <w:rFonts w:eastAsia="Calibri"/>
                <w:sz w:val="20"/>
                <w:szCs w:val="20"/>
              </w:rPr>
              <w:t>Cascade logic and OPO process fields</w:t>
            </w:r>
          </w:p>
        </w:tc>
        <w:tc>
          <w:tcPr>
            <w:tcW w:w="3313" w:type="dxa"/>
          </w:tcPr>
          <w:p w:rsidR="00D53307" w:rsidRPr="00D53307" w:rsidP="002E68BC" w14:paraId="2BA29EFB" w14:textId="7CAD5F82">
            <w:pPr>
              <w:spacing w:after="200"/>
              <w:rPr>
                <w:rFonts w:eastAsia="Calibri"/>
                <w:sz w:val="20"/>
                <w:szCs w:val="20"/>
              </w:rPr>
            </w:pPr>
            <w:r w:rsidRPr="00D53307">
              <w:rPr>
                <w:rFonts w:eastAsia="Calibri"/>
                <w:sz w:val="20"/>
                <w:szCs w:val="20"/>
              </w:rPr>
              <w:t>Clarified instructions to better explain form logic and reporting expectations</w:t>
            </w:r>
          </w:p>
        </w:tc>
        <w:tc>
          <w:tcPr>
            <w:tcW w:w="3231" w:type="dxa"/>
          </w:tcPr>
          <w:p w:rsidR="00D53307" w:rsidRPr="00D53307" w:rsidP="002E68BC" w14:paraId="18B9C2A7" w14:textId="131BB043">
            <w:pPr>
              <w:spacing w:after="200"/>
              <w:rPr>
                <w:rFonts w:eastAsia="Calibri"/>
                <w:sz w:val="20"/>
                <w:szCs w:val="20"/>
              </w:rPr>
            </w:pPr>
            <w:r w:rsidRPr="00D53307">
              <w:rPr>
                <w:rFonts w:eastAsia="Calibri"/>
                <w:sz w:val="20"/>
                <w:szCs w:val="20"/>
              </w:rPr>
              <w:t>To improve usability and ensure consistent interpretation of previously approved data elements</w:t>
            </w:r>
          </w:p>
        </w:tc>
      </w:tr>
      <w:tr w14:paraId="4AD024EE" w14:textId="77777777">
        <w:tblPrEx>
          <w:tblW w:w="9355" w:type="dxa"/>
          <w:tblInd w:w="-5" w:type="dxa"/>
          <w:tblLook w:val="04A0"/>
        </w:tblPrEx>
        <w:tc>
          <w:tcPr>
            <w:tcW w:w="1350" w:type="dxa"/>
          </w:tcPr>
          <w:p w:rsidR="00D53307" w:rsidRPr="00D53307" w:rsidP="002E68BC" w14:paraId="29F61978" w14:textId="6F6AEF9A">
            <w:pPr>
              <w:spacing w:after="200"/>
              <w:rPr>
                <w:rFonts w:eastAsia="Calibri"/>
                <w:sz w:val="20"/>
                <w:szCs w:val="20"/>
              </w:rPr>
            </w:pPr>
            <w:r w:rsidRPr="00D53307">
              <w:rPr>
                <w:rFonts w:eastAsia="Calibri"/>
                <w:sz w:val="20"/>
                <w:szCs w:val="20"/>
              </w:rPr>
              <w:t>Ventilated Patient Form (VPF) Data Fields Document</w:t>
            </w:r>
          </w:p>
        </w:tc>
        <w:tc>
          <w:tcPr>
            <w:tcW w:w="1461" w:type="dxa"/>
          </w:tcPr>
          <w:p w:rsidR="00D53307" w:rsidRPr="00D53307" w:rsidP="002E68BC" w14:paraId="613BE962" w14:textId="6F2C68C6">
            <w:pPr>
              <w:spacing w:after="200"/>
              <w:rPr>
                <w:rFonts w:eastAsia="Calibri"/>
                <w:sz w:val="20"/>
                <w:szCs w:val="20"/>
              </w:rPr>
            </w:pPr>
            <w:r w:rsidRPr="00D53307">
              <w:rPr>
                <w:rFonts w:eastAsia="Calibri"/>
                <w:sz w:val="20"/>
                <w:szCs w:val="20"/>
              </w:rPr>
              <w:t>Form logic column</w:t>
            </w:r>
          </w:p>
        </w:tc>
        <w:tc>
          <w:tcPr>
            <w:tcW w:w="3313" w:type="dxa"/>
          </w:tcPr>
          <w:p w:rsidR="00D53307" w:rsidRPr="00D53307" w:rsidP="002E68BC" w14:paraId="527537CE" w14:textId="1235AF23">
            <w:pPr>
              <w:spacing w:after="200"/>
              <w:rPr>
                <w:rFonts w:eastAsia="Calibri"/>
                <w:sz w:val="20"/>
                <w:szCs w:val="20"/>
              </w:rPr>
            </w:pPr>
            <w:r w:rsidRPr="00D53307">
              <w:rPr>
                <w:rFonts w:eastAsia="Calibri"/>
                <w:sz w:val="20"/>
                <w:szCs w:val="20"/>
              </w:rPr>
              <w:t>Added additional explanatory detail</w:t>
            </w:r>
          </w:p>
        </w:tc>
        <w:tc>
          <w:tcPr>
            <w:tcW w:w="3231" w:type="dxa"/>
          </w:tcPr>
          <w:p w:rsidR="00D53307" w:rsidRPr="00D53307" w:rsidP="002E68BC" w14:paraId="75EAC68E" w14:textId="705AF17F">
            <w:pPr>
              <w:spacing w:after="200"/>
              <w:rPr>
                <w:rFonts w:eastAsia="Calibri"/>
                <w:sz w:val="20"/>
                <w:szCs w:val="20"/>
              </w:rPr>
            </w:pPr>
            <w:r w:rsidRPr="00D53307">
              <w:rPr>
                <w:rFonts w:eastAsia="Calibri"/>
                <w:sz w:val="20"/>
                <w:szCs w:val="20"/>
              </w:rPr>
              <w:t>To enhance transparency and user understanding of how fields function within the form</w:t>
            </w:r>
          </w:p>
        </w:tc>
      </w:tr>
      <w:tr w14:paraId="1BEC441F" w14:textId="77777777">
        <w:tblPrEx>
          <w:tblW w:w="9355" w:type="dxa"/>
          <w:tblInd w:w="-5" w:type="dxa"/>
          <w:tblLook w:val="04A0"/>
        </w:tblPrEx>
        <w:tc>
          <w:tcPr>
            <w:tcW w:w="1350" w:type="dxa"/>
          </w:tcPr>
          <w:p w:rsidR="00D53307" w:rsidRPr="00D53307" w:rsidP="002E68BC" w14:paraId="1232C837" w14:textId="5C1D9AC6">
            <w:pPr>
              <w:spacing w:after="200"/>
              <w:rPr>
                <w:rFonts w:eastAsia="Calibri"/>
                <w:sz w:val="20"/>
                <w:szCs w:val="20"/>
              </w:rPr>
            </w:pPr>
            <w:r w:rsidRPr="00D53307">
              <w:rPr>
                <w:rFonts w:eastAsia="Calibri"/>
                <w:sz w:val="20"/>
                <w:szCs w:val="20"/>
              </w:rPr>
              <w:t>Ventilated Patient Form (VPF) Data Fields Document</w:t>
            </w:r>
          </w:p>
        </w:tc>
        <w:tc>
          <w:tcPr>
            <w:tcW w:w="1461" w:type="dxa"/>
          </w:tcPr>
          <w:p w:rsidR="00D53307" w:rsidRPr="00D53307" w:rsidP="002E68BC" w14:paraId="41379FD3" w14:textId="18C866DC">
            <w:pPr>
              <w:spacing w:after="200"/>
              <w:rPr>
                <w:rFonts w:eastAsia="Calibri"/>
                <w:sz w:val="20"/>
                <w:szCs w:val="20"/>
              </w:rPr>
            </w:pPr>
            <w:r w:rsidRPr="00D53307">
              <w:rPr>
                <w:rFonts w:eastAsia="Calibri"/>
                <w:sz w:val="20"/>
                <w:szCs w:val="20"/>
              </w:rPr>
              <w:t>Column A formatting</w:t>
            </w:r>
          </w:p>
        </w:tc>
        <w:tc>
          <w:tcPr>
            <w:tcW w:w="3313" w:type="dxa"/>
          </w:tcPr>
          <w:p w:rsidR="00D53307" w:rsidRPr="00D53307" w:rsidP="002E68BC" w14:paraId="0DFB4430" w14:textId="50374C77">
            <w:pPr>
              <w:spacing w:after="200"/>
              <w:rPr>
                <w:rFonts w:eastAsia="Calibri"/>
                <w:sz w:val="20"/>
                <w:szCs w:val="20"/>
              </w:rPr>
            </w:pPr>
            <w:r w:rsidRPr="00D53307">
              <w:rPr>
                <w:rFonts w:eastAsia="Calibri"/>
                <w:sz w:val="20"/>
                <w:szCs w:val="20"/>
              </w:rPr>
              <w:t>Removed internal numbering artifacts and extraneous formatting</w:t>
            </w:r>
          </w:p>
        </w:tc>
        <w:tc>
          <w:tcPr>
            <w:tcW w:w="3231" w:type="dxa"/>
          </w:tcPr>
          <w:p w:rsidR="00D53307" w:rsidRPr="00D53307" w:rsidP="002E68BC" w14:paraId="7B739371" w14:textId="4301D122">
            <w:pPr>
              <w:spacing w:after="200"/>
              <w:rPr>
                <w:rFonts w:eastAsia="Calibri"/>
                <w:sz w:val="20"/>
                <w:szCs w:val="20"/>
              </w:rPr>
            </w:pPr>
            <w:r w:rsidRPr="00D53307">
              <w:rPr>
                <w:rFonts w:eastAsia="Calibri"/>
                <w:sz w:val="20"/>
                <w:szCs w:val="20"/>
              </w:rPr>
              <w:t>To correct editorial issues and improve document clarity</w:t>
            </w:r>
          </w:p>
        </w:tc>
      </w:tr>
      <w:tr w14:paraId="5E601AF8" w14:textId="77777777">
        <w:tblPrEx>
          <w:tblW w:w="9355" w:type="dxa"/>
          <w:tblInd w:w="-5" w:type="dxa"/>
          <w:tblLook w:val="04A0"/>
        </w:tblPrEx>
        <w:tc>
          <w:tcPr>
            <w:tcW w:w="1350" w:type="dxa"/>
          </w:tcPr>
          <w:p w:rsidR="00D53307" w:rsidRPr="00D53307" w:rsidP="002E68BC" w14:paraId="1F021491" w14:textId="1661CE67">
            <w:pPr>
              <w:spacing w:after="200"/>
              <w:rPr>
                <w:rFonts w:eastAsia="Calibri"/>
                <w:sz w:val="20"/>
                <w:szCs w:val="20"/>
              </w:rPr>
            </w:pPr>
            <w:r w:rsidRPr="00D53307">
              <w:rPr>
                <w:rFonts w:eastAsia="Calibri"/>
                <w:sz w:val="20"/>
                <w:szCs w:val="20"/>
              </w:rPr>
              <w:t>Ventilated Patient Form (VPF) Data Fields Document</w:t>
            </w:r>
          </w:p>
        </w:tc>
        <w:tc>
          <w:tcPr>
            <w:tcW w:w="1461" w:type="dxa"/>
          </w:tcPr>
          <w:p w:rsidR="00D53307" w:rsidRPr="00D53307" w:rsidP="002E68BC" w14:paraId="2DDBC2A3" w14:textId="606737E3">
            <w:pPr>
              <w:spacing w:after="200"/>
              <w:rPr>
                <w:rFonts w:eastAsia="Calibri"/>
                <w:sz w:val="20"/>
                <w:szCs w:val="20"/>
              </w:rPr>
            </w:pPr>
            <w:r w:rsidRPr="00D53307">
              <w:rPr>
                <w:rFonts w:eastAsia="Calibri"/>
                <w:sz w:val="20"/>
                <w:szCs w:val="20"/>
              </w:rPr>
              <w:t>Internal comments</w:t>
            </w:r>
          </w:p>
        </w:tc>
        <w:tc>
          <w:tcPr>
            <w:tcW w:w="3313" w:type="dxa"/>
          </w:tcPr>
          <w:p w:rsidR="00D53307" w:rsidRPr="00D53307" w:rsidP="002E68BC" w14:paraId="62C6B763" w14:textId="25CC2A4A">
            <w:pPr>
              <w:spacing w:after="200"/>
              <w:rPr>
                <w:rFonts w:eastAsia="Calibri"/>
                <w:sz w:val="20"/>
                <w:szCs w:val="20"/>
              </w:rPr>
            </w:pPr>
            <w:r w:rsidRPr="00D53307">
              <w:rPr>
                <w:rFonts w:eastAsia="Calibri"/>
                <w:sz w:val="20"/>
                <w:szCs w:val="20"/>
              </w:rPr>
              <w:t>Removed inadvertently retained HRSA internal comments</w:t>
            </w:r>
          </w:p>
        </w:tc>
        <w:tc>
          <w:tcPr>
            <w:tcW w:w="3231" w:type="dxa"/>
          </w:tcPr>
          <w:p w:rsidR="00D53307" w:rsidRPr="00D53307" w:rsidP="002E68BC" w14:paraId="7C763870" w14:textId="1D6B3170">
            <w:pPr>
              <w:spacing w:after="200"/>
              <w:rPr>
                <w:rFonts w:eastAsia="Calibri"/>
                <w:sz w:val="20"/>
                <w:szCs w:val="20"/>
              </w:rPr>
            </w:pPr>
            <w:r w:rsidRPr="00D53307">
              <w:rPr>
                <w:rFonts w:eastAsia="Calibri"/>
                <w:sz w:val="20"/>
                <w:szCs w:val="20"/>
              </w:rPr>
              <w:t>To ensure only respondent-relevant information is included</w:t>
            </w:r>
          </w:p>
        </w:tc>
      </w:tr>
      <w:tr w14:paraId="572AF03F" w14:textId="77777777">
        <w:tblPrEx>
          <w:tblW w:w="9355" w:type="dxa"/>
          <w:tblInd w:w="-5" w:type="dxa"/>
          <w:tblLook w:val="04A0"/>
        </w:tblPrEx>
        <w:tc>
          <w:tcPr>
            <w:tcW w:w="1350" w:type="dxa"/>
          </w:tcPr>
          <w:p w:rsidR="00D53307" w:rsidRPr="00D53307" w:rsidP="002E68BC" w14:paraId="27D71AEA" w14:textId="176BCD02">
            <w:pPr>
              <w:spacing w:after="200"/>
              <w:rPr>
                <w:rFonts w:eastAsia="Calibri"/>
                <w:sz w:val="20"/>
                <w:szCs w:val="20"/>
              </w:rPr>
            </w:pPr>
            <w:r w:rsidRPr="00D53307">
              <w:rPr>
                <w:rFonts w:eastAsia="Calibri"/>
                <w:sz w:val="20"/>
                <w:szCs w:val="20"/>
              </w:rPr>
              <w:t>Ventilated Patient Form (VPF) Data Fields Document</w:t>
            </w:r>
          </w:p>
        </w:tc>
        <w:tc>
          <w:tcPr>
            <w:tcW w:w="1461" w:type="dxa"/>
          </w:tcPr>
          <w:p w:rsidR="00D53307" w:rsidRPr="00D53307" w:rsidP="002E68BC" w14:paraId="02303C09" w14:textId="232B1105">
            <w:pPr>
              <w:spacing w:after="200"/>
              <w:rPr>
                <w:rFonts w:eastAsia="Calibri"/>
                <w:sz w:val="20"/>
                <w:szCs w:val="20"/>
              </w:rPr>
            </w:pPr>
            <w:r w:rsidRPr="00D53307">
              <w:rPr>
                <w:rFonts w:eastAsia="Calibri"/>
                <w:sz w:val="20"/>
                <w:szCs w:val="20"/>
              </w:rPr>
              <w:t>“Age” field</w:t>
            </w:r>
          </w:p>
        </w:tc>
        <w:tc>
          <w:tcPr>
            <w:tcW w:w="3313" w:type="dxa"/>
          </w:tcPr>
          <w:p w:rsidR="00D53307" w:rsidRPr="00D53307" w:rsidP="002E68BC" w14:paraId="0F7BC6A7" w14:textId="5F665127">
            <w:pPr>
              <w:spacing w:after="200"/>
              <w:rPr>
                <w:rFonts w:eastAsia="Calibri"/>
                <w:sz w:val="20"/>
                <w:szCs w:val="20"/>
              </w:rPr>
            </w:pPr>
            <w:r w:rsidRPr="00D53307">
              <w:rPr>
                <w:rFonts w:eastAsia="Calibri"/>
                <w:sz w:val="20"/>
                <w:szCs w:val="20"/>
              </w:rPr>
              <w:t>Renamed field to “Date of Birth</w:t>
            </w:r>
            <w:r w:rsidR="00060398">
              <w:rPr>
                <w:rFonts w:eastAsia="Calibri"/>
                <w:sz w:val="20"/>
                <w:szCs w:val="20"/>
              </w:rPr>
              <w:t>.</w:t>
            </w:r>
            <w:r w:rsidRPr="00D53307">
              <w:rPr>
                <w:rFonts w:eastAsia="Calibri"/>
                <w:sz w:val="20"/>
                <w:szCs w:val="20"/>
              </w:rPr>
              <w:t>”</w:t>
            </w:r>
          </w:p>
        </w:tc>
        <w:tc>
          <w:tcPr>
            <w:tcW w:w="3231" w:type="dxa"/>
          </w:tcPr>
          <w:p w:rsidR="00D53307" w:rsidRPr="00D53307" w:rsidP="002E68BC" w14:paraId="1A80B84C" w14:textId="00EEA926">
            <w:pPr>
              <w:spacing w:after="200"/>
              <w:rPr>
                <w:rFonts w:eastAsia="Calibri"/>
                <w:sz w:val="20"/>
                <w:szCs w:val="20"/>
              </w:rPr>
            </w:pPr>
            <w:r w:rsidRPr="00D53307">
              <w:rPr>
                <w:rFonts w:eastAsia="Calibri"/>
                <w:sz w:val="20"/>
                <w:szCs w:val="20"/>
              </w:rPr>
              <w:t>To improve precision and alignment with data definitions</w:t>
            </w:r>
          </w:p>
        </w:tc>
      </w:tr>
    </w:tbl>
    <w:p w:rsidR="00053774" w:rsidP="00EF41AD" w14:paraId="3F814F32" w14:textId="77777777">
      <w:pPr>
        <w:spacing w:line="276" w:lineRule="auto"/>
        <w:outlineLvl w:val="0"/>
        <w:rPr>
          <w:b/>
          <w:u w:val="single"/>
        </w:rPr>
      </w:pPr>
    </w:p>
    <w:p w:rsidR="00053774" w:rsidP="00EF41AD" w14:paraId="366B17AC" w14:textId="77777777">
      <w:pPr>
        <w:spacing w:line="276" w:lineRule="auto"/>
        <w:outlineLvl w:val="0"/>
        <w:rPr>
          <w:b/>
          <w:u w:val="single"/>
        </w:rPr>
      </w:pPr>
    </w:p>
    <w:p w:rsidR="00EF41AD" w:rsidP="00EF41AD" w14:paraId="5198480F" w14:textId="0105D8D5">
      <w:pPr>
        <w:spacing w:after="200" w:line="276" w:lineRule="auto"/>
        <w:rPr>
          <w:rFonts w:eastAsia="Calibri"/>
        </w:rPr>
      </w:pPr>
      <w:r w:rsidRPr="00193AB6">
        <w:rPr>
          <w:rFonts w:eastAsia="Calibri"/>
        </w:rPr>
        <w:t xml:space="preserve">As summarized in Table A, the Ventilated Patient Form (VPF) and its associated documentation were updated to incorporate a standardized data dictionary for selected fields, refine existing response options, and clarify instructions and form logic. In addition, minor editorial and formatting corrections were made to the VPF Data Fields document, including </w:t>
      </w:r>
      <w:r w:rsidR="00AE69AA">
        <w:rPr>
          <w:rFonts w:eastAsia="Calibri"/>
        </w:rPr>
        <w:t xml:space="preserve">the removal of internal artifacts and the </w:t>
      </w:r>
      <w:r w:rsidRPr="00193AB6">
        <w:rPr>
          <w:rFonts w:eastAsia="Calibri"/>
        </w:rPr>
        <w:t xml:space="preserve">revision of one field label. These updates are aligned across all related materials to improve clarity and consistency in reporting without changing the underlying data collection or </w:t>
      </w:r>
      <w:r w:rsidRPr="00193AB6" w:rsidR="00AE69AA">
        <w:rPr>
          <w:rFonts w:eastAsia="Calibri"/>
        </w:rPr>
        <w:t>burden.</w:t>
      </w:r>
    </w:p>
    <w:p w:rsidR="00B92B6C" w:rsidRPr="00B92B6C" w:rsidP="00F8193D" w14:paraId="4A325EA8" w14:textId="3B98090C">
      <w:pPr>
        <w:spacing w:after="200" w:line="276" w:lineRule="auto"/>
        <w:ind w:left="720"/>
        <w:contextualSpacing/>
        <w:rPr>
          <w:rFonts w:ascii="Calibri" w:eastAsia="Calibri" w:hAnsi="Calibri"/>
          <w:sz w:val="22"/>
          <w:szCs w:val="22"/>
        </w:rPr>
      </w:pPr>
    </w:p>
    <w:p w:rsidR="00B92B6C" w:rsidP="00B92B6C" w14:paraId="4C6D9A0D" w14:textId="6A741C07">
      <w:pPr>
        <w:keepNext/>
        <w:spacing w:after="200" w:line="276" w:lineRule="auto"/>
        <w:rPr>
          <w:rFonts w:eastAsia="Calibri"/>
          <w:b/>
        </w:rPr>
      </w:pPr>
      <w:r w:rsidRPr="00B92B6C">
        <w:rPr>
          <w:rFonts w:eastAsia="Calibri"/>
          <w:b/>
        </w:rPr>
        <w:t>Attachments:</w:t>
      </w:r>
    </w:p>
    <w:p w:rsidR="00193AB6" w:rsidRPr="00193AB6" w:rsidP="00193AB6" w14:paraId="40738F25" w14:textId="77777777">
      <w:pPr>
        <w:numPr>
          <w:ilvl w:val="0"/>
          <w:numId w:val="6"/>
        </w:numPr>
        <w:spacing w:after="200" w:line="276" w:lineRule="auto"/>
        <w:rPr>
          <w:rFonts w:eastAsia="Calibri"/>
        </w:rPr>
      </w:pPr>
      <w:r w:rsidRPr="00193AB6">
        <w:rPr>
          <w:rFonts w:eastAsia="Calibri"/>
        </w:rPr>
        <w:t>Ventilated Patient Form (VPF) – Data Dictionary (All additions and definitions are provided in the attached document)</w:t>
      </w:r>
    </w:p>
    <w:p w:rsidR="00193AB6" w:rsidRPr="00193AB6" w:rsidP="00193AB6" w14:paraId="2C476146" w14:textId="77777777">
      <w:pPr>
        <w:numPr>
          <w:ilvl w:val="0"/>
          <w:numId w:val="6"/>
        </w:numPr>
        <w:spacing w:after="200" w:line="276" w:lineRule="auto"/>
        <w:rPr>
          <w:rFonts w:eastAsia="Calibri"/>
        </w:rPr>
      </w:pPr>
      <w:r w:rsidRPr="00193AB6">
        <w:rPr>
          <w:rFonts w:eastAsia="Calibri"/>
        </w:rPr>
        <w:t>Ventilated Patient Form (VPF) – Instructions (All changes and clarifications are tracked in the attached document)</w:t>
      </w:r>
    </w:p>
    <w:p w:rsidR="00D47431" w:rsidP="00193AB6" w14:paraId="6161513E" w14:textId="163E9E4A">
      <w:pPr>
        <w:numPr>
          <w:ilvl w:val="0"/>
          <w:numId w:val="6"/>
        </w:numPr>
        <w:spacing w:after="200" w:line="276" w:lineRule="auto"/>
        <w:rPr>
          <w:rFonts w:eastAsia="Calibri"/>
        </w:rPr>
      </w:pPr>
      <w:r w:rsidRPr="00193AB6">
        <w:rPr>
          <w:rFonts w:eastAsia="Calibri"/>
        </w:rPr>
        <w:t>Ventilated Patient Form (VPF) – Data Fields</w:t>
      </w:r>
      <w:r w:rsidR="00AE69AA">
        <w:rPr>
          <w:rFonts w:eastAsia="Calibri"/>
        </w:rPr>
        <w:t xml:space="preserve"> </w:t>
      </w:r>
      <w:r w:rsidRPr="00193AB6">
        <w:rPr>
          <w:rFonts w:eastAsia="Calibri"/>
        </w:rPr>
        <w:t>(All changes and editorial updates are tracked in the attached document)</w:t>
      </w: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0288"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59264"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61312"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1"/>
  </w:num>
  <w:num w:numId="2" w16cid:durableId="1189493300">
    <w:abstractNumId w:val="0"/>
  </w:num>
  <w:num w:numId="3" w16cid:durableId="1131703119">
    <w:abstractNumId w:val="4"/>
  </w:num>
  <w:num w:numId="4" w16cid:durableId="77140030">
    <w:abstractNumId w:val="5"/>
  </w:num>
  <w:num w:numId="5" w16cid:durableId="818227811">
    <w:abstractNumId w:val="2"/>
  </w:num>
  <w:num w:numId="6" w16cid:durableId="412043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45B42"/>
    <w:rsid w:val="00053774"/>
    <w:rsid w:val="00054659"/>
    <w:rsid w:val="00060398"/>
    <w:rsid w:val="00077FC4"/>
    <w:rsid w:val="00086224"/>
    <w:rsid w:val="00086A3E"/>
    <w:rsid w:val="000A7DE4"/>
    <w:rsid w:val="000D2751"/>
    <w:rsid w:val="000D4ED8"/>
    <w:rsid w:val="000E7CCD"/>
    <w:rsid w:val="000F2103"/>
    <w:rsid w:val="00122B02"/>
    <w:rsid w:val="00126866"/>
    <w:rsid w:val="00141E59"/>
    <w:rsid w:val="00142733"/>
    <w:rsid w:val="00153FCB"/>
    <w:rsid w:val="00161207"/>
    <w:rsid w:val="00161D18"/>
    <w:rsid w:val="001626D3"/>
    <w:rsid w:val="001709E2"/>
    <w:rsid w:val="00184624"/>
    <w:rsid w:val="00190C2F"/>
    <w:rsid w:val="00191CE9"/>
    <w:rsid w:val="00193AB6"/>
    <w:rsid w:val="00193E7F"/>
    <w:rsid w:val="001A5F8A"/>
    <w:rsid w:val="001C15F9"/>
    <w:rsid w:val="001C250A"/>
    <w:rsid w:val="001C6B4C"/>
    <w:rsid w:val="001D6A2D"/>
    <w:rsid w:val="001E08B7"/>
    <w:rsid w:val="001E257B"/>
    <w:rsid w:val="001F7458"/>
    <w:rsid w:val="00204028"/>
    <w:rsid w:val="00220B6B"/>
    <w:rsid w:val="00233631"/>
    <w:rsid w:val="00254744"/>
    <w:rsid w:val="002558F1"/>
    <w:rsid w:val="00255B93"/>
    <w:rsid w:val="0025694D"/>
    <w:rsid w:val="00270D9F"/>
    <w:rsid w:val="00270FE3"/>
    <w:rsid w:val="002774D5"/>
    <w:rsid w:val="00284BEA"/>
    <w:rsid w:val="002940FF"/>
    <w:rsid w:val="002B17DB"/>
    <w:rsid w:val="002B1E19"/>
    <w:rsid w:val="002B2C62"/>
    <w:rsid w:val="002E68BC"/>
    <w:rsid w:val="00301C0B"/>
    <w:rsid w:val="00310E49"/>
    <w:rsid w:val="00332AC4"/>
    <w:rsid w:val="00334D1E"/>
    <w:rsid w:val="003544DE"/>
    <w:rsid w:val="0037258C"/>
    <w:rsid w:val="003747B2"/>
    <w:rsid w:val="00383ECD"/>
    <w:rsid w:val="003901DB"/>
    <w:rsid w:val="003A6602"/>
    <w:rsid w:val="003B2616"/>
    <w:rsid w:val="003B3248"/>
    <w:rsid w:val="003D33F5"/>
    <w:rsid w:val="003D4040"/>
    <w:rsid w:val="003E0442"/>
    <w:rsid w:val="003F0F33"/>
    <w:rsid w:val="004418A1"/>
    <w:rsid w:val="00441EE8"/>
    <w:rsid w:val="00443E32"/>
    <w:rsid w:val="004473B6"/>
    <w:rsid w:val="00456345"/>
    <w:rsid w:val="004669D9"/>
    <w:rsid w:val="00467E88"/>
    <w:rsid w:val="00484B13"/>
    <w:rsid w:val="004870F0"/>
    <w:rsid w:val="00493F65"/>
    <w:rsid w:val="004A289E"/>
    <w:rsid w:val="004A3B9D"/>
    <w:rsid w:val="004C5BA6"/>
    <w:rsid w:val="004E6DD2"/>
    <w:rsid w:val="004E733E"/>
    <w:rsid w:val="005114FA"/>
    <w:rsid w:val="00512E18"/>
    <w:rsid w:val="005302CD"/>
    <w:rsid w:val="005347F8"/>
    <w:rsid w:val="005439D1"/>
    <w:rsid w:val="0055021B"/>
    <w:rsid w:val="005725D4"/>
    <w:rsid w:val="00573D0B"/>
    <w:rsid w:val="00574FDB"/>
    <w:rsid w:val="0057786D"/>
    <w:rsid w:val="005950E5"/>
    <w:rsid w:val="005B1738"/>
    <w:rsid w:val="005B3157"/>
    <w:rsid w:val="005E064E"/>
    <w:rsid w:val="0061313F"/>
    <w:rsid w:val="00614C26"/>
    <w:rsid w:val="00616B50"/>
    <w:rsid w:val="006272EB"/>
    <w:rsid w:val="0063324E"/>
    <w:rsid w:val="006408E7"/>
    <w:rsid w:val="006562F9"/>
    <w:rsid w:val="00657689"/>
    <w:rsid w:val="00657C22"/>
    <w:rsid w:val="00671F80"/>
    <w:rsid w:val="00680233"/>
    <w:rsid w:val="006934A4"/>
    <w:rsid w:val="00696C96"/>
    <w:rsid w:val="006A0213"/>
    <w:rsid w:val="006A4E88"/>
    <w:rsid w:val="006A5A87"/>
    <w:rsid w:val="006C099B"/>
    <w:rsid w:val="006D6D68"/>
    <w:rsid w:val="00714AC6"/>
    <w:rsid w:val="007177BC"/>
    <w:rsid w:val="0072161F"/>
    <w:rsid w:val="007261EE"/>
    <w:rsid w:val="007279C1"/>
    <w:rsid w:val="00754D00"/>
    <w:rsid w:val="00782ABF"/>
    <w:rsid w:val="00783738"/>
    <w:rsid w:val="0078631F"/>
    <w:rsid w:val="0079084A"/>
    <w:rsid w:val="00791085"/>
    <w:rsid w:val="00793E52"/>
    <w:rsid w:val="007A3FC7"/>
    <w:rsid w:val="007B07DB"/>
    <w:rsid w:val="007B6733"/>
    <w:rsid w:val="007F4058"/>
    <w:rsid w:val="0081548F"/>
    <w:rsid w:val="00816253"/>
    <w:rsid w:val="008265D7"/>
    <w:rsid w:val="00827ADF"/>
    <w:rsid w:val="008647B2"/>
    <w:rsid w:val="00865C53"/>
    <w:rsid w:val="00867179"/>
    <w:rsid w:val="008672A0"/>
    <w:rsid w:val="00873737"/>
    <w:rsid w:val="00875450"/>
    <w:rsid w:val="0089448C"/>
    <w:rsid w:val="008A09BF"/>
    <w:rsid w:val="008A3EF2"/>
    <w:rsid w:val="008A415A"/>
    <w:rsid w:val="008C5FD9"/>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71770"/>
    <w:rsid w:val="009A60CA"/>
    <w:rsid w:val="009B37A2"/>
    <w:rsid w:val="009C3060"/>
    <w:rsid w:val="009C34AD"/>
    <w:rsid w:val="009C5238"/>
    <w:rsid w:val="009C61FB"/>
    <w:rsid w:val="009E2112"/>
    <w:rsid w:val="009E2189"/>
    <w:rsid w:val="009E6D0C"/>
    <w:rsid w:val="009F1FA3"/>
    <w:rsid w:val="00A048BA"/>
    <w:rsid w:val="00A06906"/>
    <w:rsid w:val="00A1536E"/>
    <w:rsid w:val="00A31978"/>
    <w:rsid w:val="00A31D65"/>
    <w:rsid w:val="00A60A57"/>
    <w:rsid w:val="00A73790"/>
    <w:rsid w:val="00A75BD0"/>
    <w:rsid w:val="00AC73BA"/>
    <w:rsid w:val="00AE69AA"/>
    <w:rsid w:val="00AF3431"/>
    <w:rsid w:val="00AF6A02"/>
    <w:rsid w:val="00B0690E"/>
    <w:rsid w:val="00B1243A"/>
    <w:rsid w:val="00B25482"/>
    <w:rsid w:val="00B50762"/>
    <w:rsid w:val="00B6725E"/>
    <w:rsid w:val="00B727B5"/>
    <w:rsid w:val="00B81189"/>
    <w:rsid w:val="00B820BA"/>
    <w:rsid w:val="00B86A41"/>
    <w:rsid w:val="00B92B6C"/>
    <w:rsid w:val="00BB3521"/>
    <w:rsid w:val="00BD0FD5"/>
    <w:rsid w:val="00C06EF5"/>
    <w:rsid w:val="00C23BA3"/>
    <w:rsid w:val="00C251B3"/>
    <w:rsid w:val="00C33C03"/>
    <w:rsid w:val="00C456A8"/>
    <w:rsid w:val="00C46224"/>
    <w:rsid w:val="00C5131A"/>
    <w:rsid w:val="00C51FB0"/>
    <w:rsid w:val="00C6196F"/>
    <w:rsid w:val="00C65821"/>
    <w:rsid w:val="00C76C18"/>
    <w:rsid w:val="00C80514"/>
    <w:rsid w:val="00C863D6"/>
    <w:rsid w:val="00C91D3D"/>
    <w:rsid w:val="00CA0734"/>
    <w:rsid w:val="00CA30CB"/>
    <w:rsid w:val="00CA698A"/>
    <w:rsid w:val="00CB6679"/>
    <w:rsid w:val="00CD3335"/>
    <w:rsid w:val="00CD382D"/>
    <w:rsid w:val="00CD6D52"/>
    <w:rsid w:val="00CF3D1C"/>
    <w:rsid w:val="00D00DA9"/>
    <w:rsid w:val="00D030FA"/>
    <w:rsid w:val="00D07DD8"/>
    <w:rsid w:val="00D1135B"/>
    <w:rsid w:val="00D3225E"/>
    <w:rsid w:val="00D46292"/>
    <w:rsid w:val="00D47431"/>
    <w:rsid w:val="00D53307"/>
    <w:rsid w:val="00D561ED"/>
    <w:rsid w:val="00D66D58"/>
    <w:rsid w:val="00D72BAB"/>
    <w:rsid w:val="00D8185D"/>
    <w:rsid w:val="00D91EA3"/>
    <w:rsid w:val="00D972E0"/>
    <w:rsid w:val="00DB2D70"/>
    <w:rsid w:val="00DB2ED0"/>
    <w:rsid w:val="00DB44FF"/>
    <w:rsid w:val="00DC13B0"/>
    <w:rsid w:val="00DD0EDB"/>
    <w:rsid w:val="00DE2FF6"/>
    <w:rsid w:val="00DF2527"/>
    <w:rsid w:val="00DF2945"/>
    <w:rsid w:val="00DF4076"/>
    <w:rsid w:val="00DF41D5"/>
    <w:rsid w:val="00E03B62"/>
    <w:rsid w:val="00E10C70"/>
    <w:rsid w:val="00E14FD5"/>
    <w:rsid w:val="00E25523"/>
    <w:rsid w:val="00E40EEC"/>
    <w:rsid w:val="00E471B0"/>
    <w:rsid w:val="00E47B16"/>
    <w:rsid w:val="00E60EC9"/>
    <w:rsid w:val="00E712E8"/>
    <w:rsid w:val="00E7389F"/>
    <w:rsid w:val="00E76C0F"/>
    <w:rsid w:val="00E90041"/>
    <w:rsid w:val="00E974A7"/>
    <w:rsid w:val="00EB1D65"/>
    <w:rsid w:val="00EC7B82"/>
    <w:rsid w:val="00ED3264"/>
    <w:rsid w:val="00ED3751"/>
    <w:rsid w:val="00EE3B20"/>
    <w:rsid w:val="00EE676F"/>
    <w:rsid w:val="00EF41AD"/>
    <w:rsid w:val="00F15689"/>
    <w:rsid w:val="00F23997"/>
    <w:rsid w:val="00F25576"/>
    <w:rsid w:val="00F47489"/>
    <w:rsid w:val="00F609B2"/>
    <w:rsid w:val="00F8193D"/>
    <w:rsid w:val="00F90AEE"/>
    <w:rsid w:val="00FA2B62"/>
    <w:rsid w:val="00FB215E"/>
    <w:rsid w:val="00FB4481"/>
    <w:rsid w:val="00FC1E4D"/>
    <w:rsid w:val="00FE6659"/>
    <w:rsid w:val="07E4B64C"/>
    <w:rsid w:val="09B7D0C1"/>
    <w:rsid w:val="118A5B19"/>
    <w:rsid w:val="11CBF7C9"/>
    <w:rsid w:val="276732B1"/>
    <w:rsid w:val="279DCBDF"/>
    <w:rsid w:val="3C8F4FD9"/>
    <w:rsid w:val="504AF2F4"/>
    <w:rsid w:val="554352F4"/>
    <w:rsid w:val="585C1C21"/>
    <w:rsid w:val="588F2003"/>
    <w:rsid w:val="59539200"/>
    <w:rsid w:val="66B1907D"/>
    <w:rsid w:val="67CA327D"/>
    <w:rsid w:val="6C867B1B"/>
    <w:rsid w:val="7982AC7F"/>
    <w:rsid w:val="7E354788"/>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27A54A07-634F-4C03-ABA8-771FAC25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semiHidden/>
    <w:unhideWhenUsed/>
    <w:rsid w:val="00D46292"/>
    <w:rPr>
      <w:sz w:val="20"/>
      <w:szCs w:val="20"/>
    </w:rPr>
  </w:style>
  <w:style w:type="character" w:customStyle="1" w:styleId="CommentTextChar">
    <w:name w:val="Comment Text Char"/>
    <w:basedOn w:val="DefaultParagraphFont"/>
    <w:link w:val="CommentText"/>
    <w:uiPriority w:val="99"/>
    <w:semiHidden/>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YEJUMFDJ6KMC-483555117-57404</_dlc_DocId>
    <_dlc_DocIdUrl xmlns="68c2e6f3-6ea4-42c3-835e-44e49d8f3a1e">
      <Url>https://nih.sharepoint.com/sites/HRSA-OA-OPAE/Teams/officeofexternalengagement/_layouts/15/DocIdRedir.aspx?ID=YEJUMFDJ6KMC-483555117-57404</Url>
      <Description>YEJUMFDJ6KMC-483555117-57404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3.xml><?xml version="1.0" encoding="utf-8"?>
<ds:datastoreItem xmlns:ds="http://schemas.openxmlformats.org/officeDocument/2006/customXml" ds:itemID="{FD47E63F-53BA-4DD9-9ED6-FD2C00232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5.xml><?xml version="1.0" encoding="utf-8"?>
<ds:datastoreItem xmlns:ds="http://schemas.openxmlformats.org/officeDocument/2006/customXml" ds:itemID="{72C76FBB-6048-4752-BD6E-DAC75FD21523}">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1039</Words>
  <Characters>5928</Characters>
  <Application>Microsoft Office Word</Application>
  <DocSecurity>0</DocSecurity>
  <Lines>49</Lines>
  <Paragraphs>13</Paragraphs>
  <ScaleCrop>false</ScaleCrop>
  <Company>HRSA</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Cooper, Laura (HRSA)</cp:lastModifiedBy>
  <cp:revision>10</cp:revision>
  <cp:lastPrinted>2015-10-27T16:28:00Z</cp:lastPrinted>
  <dcterms:created xsi:type="dcterms:W3CDTF">2026-04-29T18:29:00Z</dcterms:created>
  <dcterms:modified xsi:type="dcterms:W3CDTF">2026-04-29T20:33:00Z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Non-Substantive Change Memo</vt:lpwstr>
  </property>
  <property fmtid="{D5CDD505-2E9C-101B-9397-08002B2CF9AE}" pid="3" name="ComplianceAssetId">
    <vt:lpwstr/>
  </property>
  <property fmtid="{D5CDD505-2E9C-101B-9397-08002B2CF9AE}" pid="4" name="ContentTypeId">
    <vt:lpwstr>0x01010095FF7B7FA2AFEB499C29ED11FCDA9ADA</vt:lpwstr>
  </property>
  <property fmtid="{D5CDD505-2E9C-101B-9397-08002B2CF9AE}" pid="5" name="docLang">
    <vt:lpwstr>en</vt:lpwstr>
  </property>
  <property fmtid="{D5CDD505-2E9C-101B-9397-08002B2CF9AE}" pid="6" name="DocumentType">
    <vt:lpwstr>Template</vt:lpwstr>
  </property>
  <property fmtid="{D5CDD505-2E9C-101B-9397-08002B2CF9AE}" pid="7" name="GrammarlyDocumentId">
    <vt:lpwstr>bd4a12dc-23e1-4c25-87d1-cb1e933487e1</vt:lpwstr>
  </property>
  <property fmtid="{D5CDD505-2E9C-101B-9397-08002B2CF9AE}" pid="8" name="Order">
    <vt:r8>2100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ce921dec-b262-4281-858f-79c2add790d1</vt:lpwstr>
  </property>
  <property fmtid="{D5CDD505-2E9C-101B-9397-08002B2CF9AE}" pid="14" name="_ExtendedDescription">
    <vt:lpwstr/>
  </property>
</Properties>
</file>