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B306E" w:rsidRPr="0013442C" w:rsidP="005B306E" w14:paraId="2F3B3A3D" w14:textId="77777777">
      <w:pPr>
        <w:jc w:val="center"/>
        <w:rPr>
          <w:rStyle w:val="C2CtrSglS"/>
          <w:rFonts w:ascii="Calibri" w:eastAsia="Calibri" w:hAnsi="Calibri" w:cs="Courier New"/>
          <w:b/>
          <w:bCs/>
          <w:sz w:val="24"/>
          <w:szCs w:val="24"/>
        </w:rPr>
      </w:pPr>
      <w:r w:rsidRPr="0013442C">
        <w:rPr>
          <w:color w:val="2B579A"/>
          <w:sz w:val="24"/>
          <w:szCs w:val="24"/>
          <w:shd w:val="clear" w:color="auto" w:fill="E6E6E6"/>
          <w:lang w:val="en-CA"/>
        </w:rPr>
        <w:fldChar w:fldCharType="begin"/>
      </w:r>
      <w:r w:rsidRPr="0013442C">
        <w:rPr>
          <w:sz w:val="24"/>
          <w:szCs w:val="24"/>
          <w:lang w:val="en-CA"/>
        </w:rPr>
        <w:instrText xml:space="preserve"> SEQ CHAPTER \h \r 1</w:instrText>
      </w:r>
      <w:r w:rsidRPr="0013442C">
        <w:rPr>
          <w:color w:val="2B579A"/>
          <w:sz w:val="24"/>
          <w:szCs w:val="24"/>
          <w:shd w:val="clear" w:color="auto" w:fill="E6E6E6"/>
          <w:lang w:val="en-CA"/>
        </w:rPr>
        <w:fldChar w:fldCharType="separate"/>
      </w:r>
      <w:r w:rsidRPr="0013442C">
        <w:rPr>
          <w:color w:val="2B579A"/>
          <w:sz w:val="24"/>
          <w:szCs w:val="24"/>
          <w:shd w:val="clear" w:color="auto" w:fill="E6E6E6"/>
          <w:lang w:val="en-CA"/>
        </w:rPr>
        <w:fldChar w:fldCharType="end"/>
      </w:r>
      <w:r w:rsidRPr="0013442C">
        <w:rPr>
          <w:rStyle w:val="C2CtrSglS"/>
          <w:b/>
          <w:bCs/>
          <w:sz w:val="24"/>
          <w:szCs w:val="24"/>
        </w:rPr>
        <w:t>SUPPORTING STATEMENT FOR</w:t>
      </w:r>
    </w:p>
    <w:p w:rsidR="005B306E" w:rsidRPr="0013442C" w:rsidP="005B306E" w14:paraId="0E360AFB" w14:textId="77777777">
      <w:pPr>
        <w:jc w:val="center"/>
        <w:rPr>
          <w:rStyle w:val="C2CtrSglS"/>
          <w:b/>
          <w:bCs/>
          <w:sz w:val="24"/>
          <w:szCs w:val="24"/>
        </w:rPr>
      </w:pPr>
      <w:r w:rsidRPr="0013442C">
        <w:rPr>
          <w:rStyle w:val="C2CtrSglS"/>
          <w:b/>
          <w:bCs/>
          <w:sz w:val="24"/>
          <w:szCs w:val="24"/>
        </w:rPr>
        <w:t>Substance Abuse and Mental Health Services Administration</w:t>
      </w:r>
    </w:p>
    <w:p w:rsidR="005B306E" w:rsidRPr="00CC3EB3" w:rsidP="005B306E" w14:paraId="4A500A56" w14:textId="7B0AD970">
      <w:pPr>
        <w:jc w:val="center"/>
        <w:rPr>
          <w:rStyle w:val="C2CtrSglS"/>
          <w:b/>
          <w:bCs/>
          <w:sz w:val="24"/>
          <w:szCs w:val="24"/>
        </w:rPr>
      </w:pPr>
      <w:r w:rsidRPr="0013442C">
        <w:rPr>
          <w:rStyle w:val="C2CtrSglS"/>
          <w:b/>
          <w:bCs/>
          <w:sz w:val="24"/>
          <w:szCs w:val="24"/>
        </w:rPr>
        <w:t>Unified Performance Reporting Tool (SUPRT)</w:t>
      </w:r>
      <w:r w:rsidRPr="0013442C" w:rsidR="0013442C">
        <w:rPr>
          <w:b/>
          <w:bCs/>
          <w:sz w:val="24"/>
          <w:szCs w:val="24"/>
        </w:rPr>
        <w:t xml:space="preserve"> – Project (P)</w:t>
      </w:r>
    </w:p>
    <w:p w:rsidR="005B306E" w:rsidRPr="00CC3EB3" w:rsidP="005B306E" w14:paraId="7BA96632" w14:textId="77777777">
      <w:pPr>
        <w:jc w:val="center"/>
        <w:rPr>
          <w:b/>
          <w:bCs/>
          <w:sz w:val="24"/>
          <w:szCs w:val="24"/>
        </w:rPr>
      </w:pPr>
    </w:p>
    <w:p w:rsidR="005B306E" w:rsidRPr="00215394" w:rsidP="005B306E" w14:paraId="2CC28E04" w14:textId="77777777">
      <w:pPr>
        <w:rPr>
          <w:rFonts w:eastAsia="Cambria"/>
          <w:b/>
          <w:bCs/>
          <w:sz w:val="24"/>
          <w:szCs w:val="24"/>
        </w:rPr>
      </w:pPr>
      <w:r w:rsidRPr="2C30C62A">
        <w:rPr>
          <w:rFonts w:eastAsia="Cambria"/>
          <w:b/>
          <w:bCs/>
          <w:sz w:val="24"/>
          <w:szCs w:val="24"/>
        </w:rPr>
        <w:t>Check off which applies:</w:t>
      </w:r>
    </w:p>
    <w:p w:rsidR="005B306E" w:rsidRPr="00215394" w:rsidP="005B306E" w14:paraId="3ECF010D" w14:textId="77777777">
      <w:pPr>
        <w:rPr>
          <w:rFonts w:eastAsia="Cambria"/>
          <w:sz w:val="24"/>
          <w:szCs w:val="24"/>
        </w:rPr>
      </w:pPr>
      <w:sdt>
        <w:sdtPr>
          <w:rPr>
            <w:rFonts w:eastAsia="Cambria"/>
            <w:color w:val="2B579A"/>
            <w:sz w:val="24"/>
            <w:szCs w:val="24"/>
            <w:shd w:val="clear" w:color="auto" w:fill="E6E6E6"/>
          </w:rPr>
          <w:id w:val="-890880799"/>
          <w14:checkbox>
            <w14:checked w14:val="1"/>
            <w14:checkedState w14:val="2612" w14:font="MS Gothic"/>
            <w14:uncheckedState w14:val="2610" w14:font="MS Gothic"/>
          </w14:checkbox>
        </w:sdtPr>
        <w:sdtContent>
          <w:r w:rsidRPr="2C30C62A">
            <w:rPr>
              <w:rFonts w:ascii="MS Gothic" w:eastAsia="MS Gothic" w:hAnsi="MS Gothic"/>
              <w:sz w:val="24"/>
              <w:szCs w:val="24"/>
            </w:rPr>
            <w:t>☒</w:t>
          </w:r>
        </w:sdtContent>
      </w:sdt>
      <w:r w:rsidRPr="2C30C62A">
        <w:rPr>
          <w:rFonts w:eastAsia="Cambria"/>
          <w:sz w:val="24"/>
          <w:szCs w:val="24"/>
        </w:rPr>
        <w:t xml:space="preserve"> New </w:t>
      </w:r>
    </w:p>
    <w:p w:rsidR="005B306E" w:rsidRPr="00215394" w:rsidP="005B306E" w14:paraId="26682225" w14:textId="569F5171">
      <w:pPr>
        <w:rPr>
          <w:rFonts w:eastAsia="Cambria"/>
          <w:sz w:val="24"/>
          <w:szCs w:val="24"/>
        </w:rPr>
      </w:pPr>
      <w:sdt>
        <w:sdtPr>
          <w:rPr>
            <w:rFonts w:eastAsia="Cambria"/>
            <w:color w:val="2B579A"/>
            <w:sz w:val="24"/>
            <w:szCs w:val="24"/>
            <w:shd w:val="clear" w:color="auto" w:fill="E6E6E6"/>
          </w:rPr>
          <w:id w:val="-330531051"/>
          <w14:checkbox>
            <w14:checked w14:val="0"/>
            <w14:checkedState w14:val="2612" w14:font="MS Gothic"/>
            <w14:uncheckedState w14:val="2610" w14:font="MS Gothic"/>
          </w14:checkbox>
        </w:sdtPr>
        <w:sdtContent>
          <w:r w:rsidRPr="2C30C62A">
            <w:rPr>
              <w:rFonts w:ascii="MS Gothic" w:eastAsia="MS Gothic" w:hAnsi="MS Gothic"/>
              <w:sz w:val="24"/>
              <w:szCs w:val="24"/>
            </w:rPr>
            <w:t>☐</w:t>
          </w:r>
        </w:sdtContent>
      </w:sdt>
      <w:r w:rsidRPr="2C30C62A">
        <w:rPr>
          <w:rFonts w:eastAsia="Cambria"/>
          <w:sz w:val="24"/>
          <w:szCs w:val="24"/>
        </w:rPr>
        <w:t xml:space="preserve"> Revision</w:t>
      </w:r>
    </w:p>
    <w:p w:rsidR="005B306E" w:rsidRPr="00215394" w:rsidP="005B306E" w14:paraId="03F2B7CB" w14:textId="77777777">
      <w:pPr>
        <w:rPr>
          <w:rFonts w:eastAsia="Cambria"/>
          <w:sz w:val="24"/>
          <w:szCs w:val="24"/>
        </w:rPr>
      </w:pPr>
      <w:sdt>
        <w:sdtPr>
          <w:rPr>
            <w:rFonts w:eastAsia="Cambria"/>
            <w:color w:val="2B579A"/>
            <w:sz w:val="24"/>
            <w:szCs w:val="24"/>
            <w:shd w:val="clear" w:color="auto" w:fill="E6E6E6"/>
          </w:rPr>
          <w:id w:val="-1627156151"/>
          <w14:checkbox>
            <w14:checked w14:val="0"/>
            <w14:checkedState w14:val="2612" w14:font="MS Gothic"/>
            <w14:uncheckedState w14:val="2610" w14:font="MS Gothic"/>
          </w14:checkbox>
        </w:sdtPr>
        <w:sdtContent>
          <w:r w:rsidRPr="2C30C62A">
            <w:rPr>
              <w:rFonts w:ascii="MS Gothic" w:eastAsia="MS Gothic" w:hAnsi="MS Gothic" w:cs="MS Gothic"/>
              <w:sz w:val="24"/>
              <w:szCs w:val="24"/>
            </w:rPr>
            <w:t>☐</w:t>
          </w:r>
        </w:sdtContent>
      </w:sdt>
      <w:r w:rsidRPr="2C30C62A">
        <w:rPr>
          <w:rFonts w:eastAsia="Cambria"/>
          <w:sz w:val="24"/>
          <w:szCs w:val="24"/>
        </w:rPr>
        <w:t xml:space="preserve"> Reinstatement with Change </w:t>
      </w:r>
    </w:p>
    <w:p w:rsidR="005B306E" w:rsidRPr="00215394" w:rsidP="005B306E" w14:paraId="11818BC4" w14:textId="77777777">
      <w:pPr>
        <w:rPr>
          <w:rFonts w:eastAsia="Cambria"/>
          <w:sz w:val="24"/>
          <w:szCs w:val="24"/>
        </w:rPr>
      </w:pPr>
      <w:sdt>
        <w:sdtPr>
          <w:rPr>
            <w:rFonts w:eastAsia="Cambria"/>
            <w:color w:val="2B579A"/>
            <w:sz w:val="24"/>
            <w:szCs w:val="24"/>
            <w:shd w:val="clear" w:color="auto" w:fill="E6E6E6"/>
          </w:rPr>
          <w:id w:val="-1343470911"/>
          <w14:checkbox>
            <w14:checked w14:val="0"/>
            <w14:checkedState w14:val="2612" w14:font="MS Gothic"/>
            <w14:uncheckedState w14:val="2610" w14:font="MS Gothic"/>
          </w14:checkbox>
        </w:sdtPr>
        <w:sdtContent>
          <w:r w:rsidRPr="2C30C62A">
            <w:rPr>
              <w:rFonts w:ascii="MS Gothic" w:eastAsia="MS Gothic" w:hAnsi="MS Gothic" w:cs="MS Gothic"/>
              <w:sz w:val="24"/>
              <w:szCs w:val="24"/>
            </w:rPr>
            <w:t>☐</w:t>
          </w:r>
        </w:sdtContent>
      </w:sdt>
      <w:r w:rsidRPr="2C30C62A">
        <w:rPr>
          <w:rFonts w:eastAsia="Cambria"/>
          <w:sz w:val="24"/>
          <w:szCs w:val="24"/>
        </w:rPr>
        <w:t xml:space="preserve"> Reinstatement without Change </w:t>
      </w:r>
    </w:p>
    <w:p w:rsidR="005B306E" w:rsidRPr="00215394" w:rsidP="005B306E" w14:paraId="31DB8757" w14:textId="77777777">
      <w:pPr>
        <w:rPr>
          <w:rFonts w:eastAsia="Cambria"/>
          <w:sz w:val="24"/>
          <w:szCs w:val="24"/>
        </w:rPr>
      </w:pPr>
      <w:sdt>
        <w:sdtPr>
          <w:rPr>
            <w:rFonts w:eastAsia="Cambria"/>
            <w:color w:val="2B579A"/>
            <w:sz w:val="24"/>
            <w:szCs w:val="24"/>
            <w:shd w:val="clear" w:color="auto" w:fill="E6E6E6"/>
          </w:rPr>
          <w:id w:val="1950966554"/>
          <w14:checkbox>
            <w14:checked w14:val="0"/>
            <w14:checkedState w14:val="2612" w14:font="MS Gothic"/>
            <w14:uncheckedState w14:val="2610" w14:font="MS Gothic"/>
          </w14:checkbox>
        </w:sdtPr>
        <w:sdtContent>
          <w:r w:rsidRPr="2C30C62A">
            <w:rPr>
              <w:rFonts w:ascii="MS Gothic" w:eastAsia="MS Gothic" w:hAnsi="MS Gothic"/>
              <w:sz w:val="24"/>
              <w:szCs w:val="24"/>
            </w:rPr>
            <w:t>☐</w:t>
          </w:r>
        </w:sdtContent>
      </w:sdt>
      <w:r w:rsidRPr="2C30C62A">
        <w:rPr>
          <w:rFonts w:eastAsia="Cambria"/>
          <w:sz w:val="24"/>
          <w:szCs w:val="24"/>
        </w:rPr>
        <w:t xml:space="preserve"> Extension</w:t>
      </w:r>
    </w:p>
    <w:p w:rsidR="005B306E" w:rsidRPr="00215394" w:rsidP="005B306E" w14:paraId="4DE3E3BB" w14:textId="77777777">
      <w:pPr>
        <w:rPr>
          <w:rFonts w:eastAsia="Cambria"/>
          <w:sz w:val="24"/>
          <w:szCs w:val="24"/>
        </w:rPr>
      </w:pPr>
      <w:sdt>
        <w:sdtPr>
          <w:rPr>
            <w:rFonts w:eastAsia="Cambria"/>
            <w:color w:val="2B579A"/>
            <w:sz w:val="24"/>
            <w:szCs w:val="24"/>
            <w:shd w:val="clear" w:color="auto" w:fill="E6E6E6"/>
          </w:rPr>
          <w:id w:val="-936752193"/>
          <w14:checkbox>
            <w14:checked w14:val="0"/>
            <w14:checkedState w14:val="2612" w14:font="MS Gothic"/>
            <w14:uncheckedState w14:val="2610" w14:font="MS Gothic"/>
          </w14:checkbox>
        </w:sdtPr>
        <w:sdtContent>
          <w:r w:rsidRPr="2C30C62A">
            <w:rPr>
              <w:rFonts w:ascii="MS Gothic" w:eastAsia="MS Gothic" w:hAnsi="MS Gothic" w:cs="MS Gothic"/>
              <w:sz w:val="24"/>
              <w:szCs w:val="24"/>
            </w:rPr>
            <w:t>☐</w:t>
          </w:r>
        </w:sdtContent>
      </w:sdt>
      <w:r w:rsidRPr="2C30C62A">
        <w:rPr>
          <w:rFonts w:eastAsia="Cambria"/>
          <w:sz w:val="24"/>
          <w:szCs w:val="24"/>
        </w:rPr>
        <w:t xml:space="preserve"> Emergency</w:t>
      </w:r>
    </w:p>
    <w:p w:rsidR="005B306E" w:rsidRPr="00215394" w:rsidP="005B306E" w14:paraId="3AA44F95" w14:textId="77777777">
      <w:pPr>
        <w:rPr>
          <w:rFonts w:eastAsia="Cambria"/>
          <w:sz w:val="24"/>
          <w:szCs w:val="24"/>
        </w:rPr>
      </w:pPr>
      <w:sdt>
        <w:sdtPr>
          <w:rPr>
            <w:rFonts w:eastAsia="Cambria"/>
            <w:color w:val="2B579A"/>
            <w:sz w:val="24"/>
            <w:szCs w:val="24"/>
            <w:shd w:val="clear" w:color="auto" w:fill="E6E6E6"/>
          </w:rPr>
          <w:id w:val="-248038668"/>
          <w14:checkbox>
            <w14:checked w14:val="0"/>
            <w14:checkedState w14:val="2612" w14:font="MS Gothic"/>
            <w14:uncheckedState w14:val="2610" w14:font="MS Gothic"/>
          </w14:checkbox>
        </w:sdtPr>
        <w:sdtContent>
          <w:r w:rsidRPr="2C30C62A">
            <w:rPr>
              <w:rFonts w:ascii="MS Gothic" w:eastAsia="MS Gothic" w:hAnsi="MS Gothic" w:cs="MS Gothic"/>
              <w:sz w:val="24"/>
              <w:szCs w:val="24"/>
            </w:rPr>
            <w:t>☐</w:t>
          </w:r>
        </w:sdtContent>
      </w:sdt>
      <w:r w:rsidRPr="2C30C62A">
        <w:rPr>
          <w:rFonts w:eastAsia="Cambria"/>
          <w:sz w:val="24"/>
          <w:szCs w:val="24"/>
        </w:rPr>
        <w:t xml:space="preserve"> Existing</w:t>
      </w:r>
    </w:p>
    <w:p w:rsidR="005B306E" w:rsidP="005B306E" w14:paraId="4C8DC804" w14:textId="77777777">
      <w:pPr>
        <w:keepNext/>
        <w:keepLines/>
        <w:spacing w:after="120"/>
        <w:rPr>
          <w:b/>
          <w:bCs/>
          <w:sz w:val="24"/>
          <w:szCs w:val="24"/>
        </w:rPr>
      </w:pPr>
    </w:p>
    <w:p w:rsidR="005B306E" w:rsidP="005B306E" w14:paraId="763F26D4" w14:textId="2BF2AEF9">
      <w:pPr>
        <w:keepNext/>
        <w:keepLines/>
        <w:spacing w:after="120"/>
        <w:rPr>
          <w:b/>
          <w:bCs/>
          <w:sz w:val="24"/>
          <w:szCs w:val="24"/>
        </w:rPr>
      </w:pPr>
      <w:r w:rsidRPr="2C30C62A">
        <w:rPr>
          <w:b/>
          <w:bCs/>
          <w:sz w:val="24"/>
          <w:szCs w:val="24"/>
        </w:rPr>
        <w:t>JUSTIFICATION</w:t>
      </w:r>
    </w:p>
    <w:p w:rsidR="005B306E" w:rsidRPr="00307AF7" w:rsidP="00307AF7" w14:paraId="6FC18A00" w14:textId="77777777">
      <w:pPr>
        <w:pStyle w:val="Heading4"/>
        <w:rPr>
          <w:color w:val="auto"/>
          <w:sz w:val="24"/>
          <w:szCs w:val="24"/>
        </w:rPr>
      </w:pPr>
      <w:r w:rsidRPr="00307AF7">
        <w:rPr>
          <w:color w:val="auto"/>
          <w:sz w:val="24"/>
          <w:szCs w:val="24"/>
        </w:rPr>
        <w:t>A1.</w:t>
      </w:r>
      <w:r w:rsidRPr="00307AF7">
        <w:rPr>
          <w:color w:val="auto"/>
          <w:sz w:val="24"/>
          <w:szCs w:val="24"/>
        </w:rPr>
        <w:tab/>
        <w:t>Circumstances of Information Collection</w:t>
      </w:r>
    </w:p>
    <w:p w:rsidR="005B306E" w:rsidRPr="00D5792F" w:rsidP="00C1101B" w14:paraId="170ADE04" w14:textId="0D6F9F86">
      <w:pPr>
        <w:keepNext/>
        <w:tabs>
          <w:tab w:val="left" w:pos="720"/>
        </w:tabs>
        <w:spacing w:beforeAutospacing="1" w:afterAutospacing="1"/>
        <w:rPr>
          <w:sz w:val="24"/>
          <w:szCs w:val="24"/>
        </w:rPr>
      </w:pPr>
      <w:r w:rsidRPr="00D5792F">
        <w:rPr>
          <w:sz w:val="24"/>
          <w:szCs w:val="24"/>
        </w:rPr>
        <w:t xml:space="preserve">The Substance Abuse and Mental Health Services Administration (SAMHSA) is the agency within the U.S. Department of Health and Human Services that leads public health efforts to advance the behavioral health of the nation. </w:t>
      </w:r>
      <w:r w:rsidR="00B353EC">
        <w:rPr>
          <w:sz w:val="24"/>
          <w:szCs w:val="24"/>
        </w:rPr>
        <w:t xml:space="preserve">To achieve its mission, SAMHSA awards </w:t>
      </w:r>
      <w:r w:rsidR="00281AAA">
        <w:rPr>
          <w:sz w:val="24"/>
          <w:szCs w:val="24"/>
        </w:rPr>
        <w:t>discretionary and formula grant funding</w:t>
      </w:r>
      <w:r w:rsidR="00054BA8">
        <w:rPr>
          <w:sz w:val="24"/>
          <w:szCs w:val="24"/>
        </w:rPr>
        <w:t xml:space="preserve"> to states, tribes, territories, Pacific </w:t>
      </w:r>
      <w:r w:rsidR="00AA3547">
        <w:rPr>
          <w:sz w:val="24"/>
          <w:szCs w:val="24"/>
        </w:rPr>
        <w:t>Jurisdictions</w:t>
      </w:r>
      <w:r w:rsidR="00054BA8">
        <w:rPr>
          <w:sz w:val="24"/>
          <w:szCs w:val="24"/>
        </w:rPr>
        <w:t>, and communities to</w:t>
      </w:r>
      <w:r w:rsidR="00AA3547">
        <w:rPr>
          <w:sz w:val="24"/>
          <w:szCs w:val="24"/>
        </w:rPr>
        <w:t xml:space="preserve"> </w:t>
      </w:r>
      <w:r w:rsidR="00BD0267">
        <w:rPr>
          <w:sz w:val="24"/>
          <w:szCs w:val="24"/>
        </w:rPr>
        <w:t>sup</w:t>
      </w:r>
      <w:r w:rsidR="00217F46">
        <w:rPr>
          <w:sz w:val="24"/>
          <w:szCs w:val="24"/>
        </w:rPr>
        <w:t xml:space="preserve">port efforts to </w:t>
      </w:r>
      <w:r w:rsidR="00F671F9">
        <w:rPr>
          <w:sz w:val="24"/>
          <w:szCs w:val="24"/>
        </w:rPr>
        <w:t>prevent substance us</w:t>
      </w:r>
      <w:r w:rsidR="006A7305">
        <w:rPr>
          <w:sz w:val="24"/>
          <w:szCs w:val="24"/>
        </w:rPr>
        <w:t xml:space="preserve">e and overdose, </w:t>
      </w:r>
      <w:r w:rsidR="00F67429">
        <w:rPr>
          <w:sz w:val="24"/>
          <w:szCs w:val="24"/>
        </w:rPr>
        <w:t>improve access to prevention</w:t>
      </w:r>
      <w:r w:rsidR="00147814">
        <w:rPr>
          <w:sz w:val="24"/>
          <w:szCs w:val="24"/>
        </w:rPr>
        <w:t xml:space="preserve">, treatment, and recovery services, and </w:t>
      </w:r>
      <w:r w:rsidR="00256A7C">
        <w:rPr>
          <w:sz w:val="24"/>
          <w:szCs w:val="24"/>
        </w:rPr>
        <w:t>strengthen the workforce.</w:t>
      </w:r>
      <w:r w:rsidR="00054BA8">
        <w:rPr>
          <w:sz w:val="24"/>
          <w:szCs w:val="24"/>
        </w:rPr>
        <w:t xml:space="preserve"> </w:t>
      </w:r>
      <w:r w:rsidR="00074F5A">
        <w:rPr>
          <w:sz w:val="24"/>
          <w:szCs w:val="24"/>
        </w:rPr>
        <w:t xml:space="preserve">SAMHSA is </w:t>
      </w:r>
      <w:r w:rsidR="008752CD">
        <w:rPr>
          <w:sz w:val="24"/>
          <w:szCs w:val="24"/>
        </w:rPr>
        <w:t xml:space="preserve">requesting approval from the Office of Management and Budget </w:t>
      </w:r>
      <w:r w:rsidRPr="774AD3B0" w:rsidR="0D5C7FED">
        <w:rPr>
          <w:sz w:val="24"/>
          <w:szCs w:val="24"/>
        </w:rPr>
        <w:t xml:space="preserve">(OMB) </w:t>
      </w:r>
      <w:r w:rsidR="008752CD">
        <w:rPr>
          <w:sz w:val="24"/>
          <w:szCs w:val="24"/>
        </w:rPr>
        <w:t xml:space="preserve">to </w:t>
      </w:r>
      <w:r w:rsidR="00F00E7F">
        <w:rPr>
          <w:sz w:val="24"/>
          <w:szCs w:val="24"/>
        </w:rPr>
        <w:t xml:space="preserve">monitor </w:t>
      </w:r>
      <w:r w:rsidR="00204318">
        <w:rPr>
          <w:sz w:val="24"/>
          <w:szCs w:val="24"/>
        </w:rPr>
        <w:t xml:space="preserve">a set of </w:t>
      </w:r>
      <w:r w:rsidR="00281AAA">
        <w:rPr>
          <w:sz w:val="24"/>
          <w:szCs w:val="24"/>
        </w:rPr>
        <w:t xml:space="preserve">discretionary </w:t>
      </w:r>
      <w:r w:rsidR="0020059A">
        <w:rPr>
          <w:sz w:val="24"/>
          <w:szCs w:val="24"/>
        </w:rPr>
        <w:t xml:space="preserve">grant </w:t>
      </w:r>
      <w:r w:rsidR="000E1748">
        <w:rPr>
          <w:sz w:val="24"/>
          <w:szCs w:val="24"/>
        </w:rPr>
        <w:t>programs throu</w:t>
      </w:r>
      <w:r w:rsidR="006A0808">
        <w:rPr>
          <w:sz w:val="24"/>
          <w:szCs w:val="24"/>
        </w:rPr>
        <w:t xml:space="preserve">gh the administration of </w:t>
      </w:r>
      <w:r w:rsidRPr="774AD3B0" w:rsidR="0D5C7FED">
        <w:rPr>
          <w:sz w:val="24"/>
          <w:szCs w:val="24"/>
        </w:rPr>
        <w:t>SAMHSA’s Unified Performance Reporting Tool – Project (SUPRT-P).</w:t>
      </w:r>
      <w:r w:rsidR="00204318">
        <w:rPr>
          <w:sz w:val="24"/>
          <w:szCs w:val="24"/>
        </w:rPr>
        <w:t xml:space="preserve"> </w:t>
      </w:r>
    </w:p>
    <w:p w:rsidR="00937DD7" w:rsidRPr="00D5792F" w:rsidP="36005321" w14:paraId="4700A34E" w14:textId="6274C5AB">
      <w:pPr>
        <w:keepNext/>
        <w:shd w:val="clear" w:color="auto" w:fill="FFFFFF" w:themeFill="background1"/>
        <w:spacing w:beforeAutospacing="1" w:afterAutospacing="1"/>
        <w:rPr>
          <w:b/>
          <w:bCs/>
          <w:sz w:val="24"/>
          <w:szCs w:val="24"/>
          <w:u w:val="single"/>
        </w:rPr>
      </w:pPr>
      <w:r w:rsidRPr="36005321">
        <w:rPr>
          <w:b/>
          <w:bCs/>
          <w:sz w:val="24"/>
          <w:szCs w:val="24"/>
          <w:u w:val="single"/>
        </w:rPr>
        <w:t>The New SAMHSA Unified Performance Reporting Tool (SUPRT) – Pro</w:t>
      </w:r>
      <w:r w:rsidRPr="36005321" w:rsidR="5AA85165">
        <w:rPr>
          <w:b/>
          <w:bCs/>
          <w:sz w:val="24"/>
          <w:szCs w:val="24"/>
          <w:u w:val="single"/>
        </w:rPr>
        <w:t>ject</w:t>
      </w:r>
      <w:r w:rsidRPr="36005321">
        <w:rPr>
          <w:b/>
          <w:bCs/>
          <w:sz w:val="24"/>
          <w:szCs w:val="24"/>
          <w:u w:val="single"/>
        </w:rPr>
        <w:t xml:space="preserve"> (P): Purpose and Goals</w:t>
      </w:r>
    </w:p>
    <w:p w:rsidR="00AC7C3C" w:rsidRPr="00D5792F" w:rsidP="00AC7C3C" w14:paraId="249C9B92" w14:textId="450A5687">
      <w:pPr>
        <w:keepNext/>
        <w:tabs>
          <w:tab w:val="left" w:pos="720"/>
        </w:tabs>
        <w:rPr>
          <w:sz w:val="24"/>
          <w:szCs w:val="24"/>
        </w:rPr>
      </w:pPr>
      <w:r w:rsidRPr="00D5792F">
        <w:rPr>
          <w:sz w:val="24"/>
          <w:szCs w:val="24"/>
        </w:rPr>
        <w:t xml:space="preserve">Currently, over 7,500 grantees across a range of prevention, treatment, and recovery support discretionary grant programs have reported program performance data into SAMHSA's Performance Accountability and Reporting System (SPARS) that serves as a central data repository. SPARS functions as a performance management system that captures information on the substance use and mental health services delivered via the range of SAMHSA's discretionary grants. </w:t>
      </w:r>
    </w:p>
    <w:p w:rsidR="003C5AE9" w:rsidRPr="00D5792F" w:rsidP="36005321" w14:paraId="04AE2AA1" w14:textId="36A5D8B6">
      <w:pPr>
        <w:keepNext/>
        <w:shd w:val="clear" w:color="auto" w:fill="FFFFFF" w:themeFill="background1"/>
        <w:spacing w:beforeAutospacing="1" w:afterAutospacing="1"/>
        <w:rPr>
          <w:sz w:val="24"/>
          <w:szCs w:val="24"/>
        </w:rPr>
      </w:pPr>
      <w:r w:rsidRPr="36005321">
        <w:rPr>
          <w:sz w:val="24"/>
          <w:szCs w:val="24"/>
        </w:rPr>
        <w:t xml:space="preserve">In keeping with the mission that </w:t>
      </w:r>
      <w:r w:rsidRPr="14B97B33">
        <w:rPr>
          <w:sz w:val="24"/>
          <w:szCs w:val="24"/>
        </w:rPr>
        <w:t>guide</w:t>
      </w:r>
      <w:r w:rsidR="00D91D77">
        <w:rPr>
          <w:sz w:val="24"/>
          <w:szCs w:val="24"/>
        </w:rPr>
        <w:t>s</w:t>
      </w:r>
      <w:r w:rsidRPr="36005321">
        <w:rPr>
          <w:sz w:val="24"/>
          <w:szCs w:val="24"/>
        </w:rPr>
        <w:t xml:space="preserve"> the work of the agency, SAMHSA is seeking approval for the new SAMHSA Unified Performance Reporting Tool (SUPRT) – Project (P) which will replace the Center for Mental Health Services’ (CMHS) Development, Prevention, and Mental Health Promotion (IPP) Indicators</w:t>
      </w:r>
      <w:r w:rsidRPr="36005321" w:rsidR="00171DAF">
        <w:rPr>
          <w:sz w:val="24"/>
          <w:szCs w:val="24"/>
        </w:rPr>
        <w:t xml:space="preserve"> (</w:t>
      </w:r>
      <w:r w:rsidRPr="36005321" w:rsidR="6EC5F949">
        <w:rPr>
          <w:sz w:val="24"/>
          <w:szCs w:val="24"/>
        </w:rPr>
        <w:t>which are included under #</w:t>
      </w:r>
      <w:r w:rsidRPr="36005321" w:rsidR="00F266F2">
        <w:rPr>
          <w:sz w:val="24"/>
          <w:szCs w:val="24"/>
        </w:rPr>
        <w:t xml:space="preserve">0930-0285) </w:t>
      </w:r>
      <w:r w:rsidRPr="36005321" w:rsidR="00965955">
        <w:rPr>
          <w:sz w:val="24"/>
          <w:szCs w:val="24"/>
        </w:rPr>
        <w:t xml:space="preserve">and </w:t>
      </w:r>
      <w:r w:rsidRPr="36005321">
        <w:rPr>
          <w:sz w:val="24"/>
          <w:szCs w:val="24"/>
        </w:rPr>
        <w:t xml:space="preserve">create a single tool to collect grant-level </w:t>
      </w:r>
      <w:r w:rsidRPr="36005321" w:rsidR="00F36137">
        <w:rPr>
          <w:sz w:val="24"/>
          <w:szCs w:val="24"/>
        </w:rPr>
        <w:t xml:space="preserve">aggregate data on target </w:t>
      </w:r>
      <w:r w:rsidRPr="36005321">
        <w:rPr>
          <w:sz w:val="24"/>
          <w:szCs w:val="24"/>
        </w:rPr>
        <w:t>goals</w:t>
      </w:r>
      <w:r w:rsidRPr="36005321" w:rsidR="62DABE37">
        <w:rPr>
          <w:sz w:val="24"/>
          <w:szCs w:val="24"/>
        </w:rPr>
        <w:t xml:space="preserve"> and</w:t>
      </w:r>
      <w:r w:rsidRPr="36005321">
        <w:rPr>
          <w:sz w:val="24"/>
          <w:szCs w:val="24"/>
        </w:rPr>
        <w:t xml:space="preserve"> actual performance</w:t>
      </w:r>
      <w:r w:rsidRPr="36005321">
        <w:rPr>
          <w:sz w:val="24"/>
          <w:szCs w:val="24"/>
        </w:rPr>
        <w:t xml:space="preserve">, and </w:t>
      </w:r>
      <w:r w:rsidRPr="36005321">
        <w:rPr>
          <w:sz w:val="24"/>
          <w:szCs w:val="24"/>
        </w:rPr>
        <w:t xml:space="preserve">client </w:t>
      </w:r>
      <w:r w:rsidRPr="36005321">
        <w:rPr>
          <w:sz w:val="24"/>
          <w:szCs w:val="24"/>
        </w:rPr>
        <w:t>demographic characteristics</w:t>
      </w:r>
      <w:r w:rsidRPr="36005321">
        <w:rPr>
          <w:sz w:val="24"/>
          <w:szCs w:val="24"/>
        </w:rPr>
        <w:t xml:space="preserve"> </w:t>
      </w:r>
      <w:r w:rsidRPr="36005321" w:rsidR="0025719D">
        <w:rPr>
          <w:sz w:val="24"/>
          <w:szCs w:val="24"/>
        </w:rPr>
        <w:t>from</w:t>
      </w:r>
      <w:r w:rsidRPr="36005321" w:rsidR="005A6554">
        <w:rPr>
          <w:sz w:val="24"/>
          <w:szCs w:val="24"/>
        </w:rPr>
        <w:t xml:space="preserve"> </w:t>
      </w:r>
      <w:r w:rsidRPr="36005321" w:rsidR="0025719D">
        <w:rPr>
          <w:sz w:val="24"/>
          <w:szCs w:val="24"/>
        </w:rPr>
        <w:t>CMHS and Center for Substance Abuse Treatment (CSAT)</w:t>
      </w:r>
      <w:r w:rsidRPr="36005321" w:rsidR="00CB2B10">
        <w:rPr>
          <w:sz w:val="24"/>
          <w:szCs w:val="24"/>
        </w:rPr>
        <w:t xml:space="preserve">, </w:t>
      </w:r>
      <w:r w:rsidR="0078234C">
        <w:rPr>
          <w:sz w:val="24"/>
          <w:szCs w:val="24"/>
        </w:rPr>
        <w:t xml:space="preserve">Center for Substance Abuse Prevention (CSAP), </w:t>
      </w:r>
      <w:r w:rsidRPr="36005321" w:rsidR="00CB2B10">
        <w:rPr>
          <w:sz w:val="24"/>
          <w:szCs w:val="24"/>
        </w:rPr>
        <w:t xml:space="preserve">and </w:t>
      </w:r>
      <w:r w:rsidRPr="36005321" w:rsidR="00D57C48">
        <w:rPr>
          <w:color w:val="000000" w:themeColor="text1"/>
          <w:sz w:val="24"/>
          <w:szCs w:val="24"/>
        </w:rPr>
        <w:t>988 &amp; Behavioral Health Crisis Coordinating Office</w:t>
      </w:r>
      <w:r w:rsidRPr="36005321" w:rsidR="00CB2B10">
        <w:rPr>
          <w:color w:val="000000" w:themeColor="text1"/>
          <w:sz w:val="24"/>
          <w:szCs w:val="24"/>
        </w:rPr>
        <w:t xml:space="preserve"> (988)</w:t>
      </w:r>
      <w:r w:rsidRPr="36005321" w:rsidR="0025719D">
        <w:rPr>
          <w:sz w:val="24"/>
          <w:szCs w:val="24"/>
        </w:rPr>
        <w:t xml:space="preserve"> grantees</w:t>
      </w:r>
      <w:r w:rsidRPr="36005321" w:rsidR="00C57469">
        <w:rPr>
          <w:sz w:val="24"/>
          <w:szCs w:val="24"/>
        </w:rPr>
        <w:t xml:space="preserve">. </w:t>
      </w:r>
    </w:p>
    <w:p w:rsidR="005B306E" w:rsidRPr="00D5792F" w:rsidP="005B306E" w14:paraId="26AA526C" w14:textId="5A9BDBD2">
      <w:pPr>
        <w:rPr>
          <w:sz w:val="24"/>
          <w:szCs w:val="24"/>
        </w:rPr>
      </w:pPr>
      <w:r w:rsidRPr="2715BD98">
        <w:rPr>
          <w:sz w:val="24"/>
          <w:szCs w:val="24"/>
        </w:rPr>
        <w:t>Approval of this information collection will allow SAMHSA to continue to meet the Government Performance Results</w:t>
      </w:r>
      <w:r w:rsidRPr="2715BD98" w:rsidR="000D7616">
        <w:rPr>
          <w:sz w:val="24"/>
          <w:szCs w:val="24"/>
        </w:rPr>
        <w:t xml:space="preserve"> (GPRA)</w:t>
      </w:r>
      <w:r w:rsidRPr="2715BD98">
        <w:rPr>
          <w:sz w:val="24"/>
          <w:szCs w:val="24"/>
        </w:rPr>
        <w:t xml:space="preserve"> Modernization Act</w:t>
      </w:r>
      <w:r w:rsidRPr="2715BD98" w:rsidR="00EB5870">
        <w:rPr>
          <w:sz w:val="24"/>
          <w:szCs w:val="24"/>
        </w:rPr>
        <w:t xml:space="preserve"> </w:t>
      </w:r>
      <w:r w:rsidRPr="2715BD98">
        <w:rPr>
          <w:sz w:val="24"/>
          <w:szCs w:val="24"/>
        </w:rPr>
        <w:t>of 2010</w:t>
      </w:r>
      <w:r w:rsidRPr="2715BD98" w:rsidR="00EB5870">
        <w:rPr>
          <w:sz w:val="24"/>
          <w:szCs w:val="24"/>
        </w:rPr>
        <w:t xml:space="preserve"> (GPRMA)</w:t>
      </w:r>
      <w:r w:rsidRPr="2715BD98">
        <w:rPr>
          <w:sz w:val="24"/>
          <w:szCs w:val="24"/>
        </w:rPr>
        <w:t xml:space="preserve"> reporting requirements that quantify the effects and accomplishments of its discretionary grant programs, which are consistent with OMB guidance, as well as legislative mandates.  </w:t>
      </w:r>
    </w:p>
    <w:p w:rsidR="005B306E" w:rsidRPr="00307AF7" w:rsidP="36005321" w14:paraId="3E403CB5" w14:textId="34853B17">
      <w:pPr>
        <w:keepNext/>
        <w:tabs>
          <w:tab w:val="left" w:pos="720"/>
        </w:tabs>
        <w:spacing w:beforeAutospacing="1" w:afterAutospacing="1"/>
        <w:rPr>
          <w:sz w:val="24"/>
          <w:szCs w:val="24"/>
        </w:rPr>
      </w:pPr>
      <w:r w:rsidRPr="36005321">
        <w:rPr>
          <w:sz w:val="24"/>
          <w:szCs w:val="24"/>
        </w:rPr>
        <w:t>SUPRT-P reflects diverse feedback SAMHSA obtained through multiple listening sessions conducted with key stakeholders, in addition to extensive deliberations conducted by different working groups within SAMHSA. Accordingly, SUPRT-P retains some prior questions and deletes other questions from the IPP indicators</w:t>
      </w:r>
      <w:r w:rsidRPr="36005321">
        <w:rPr>
          <w:sz w:val="24"/>
          <w:szCs w:val="24"/>
        </w:rPr>
        <w:t xml:space="preserve"> and client-level performance reporting tools currently in use</w:t>
      </w:r>
      <w:r w:rsidRPr="36005321">
        <w:rPr>
          <w:sz w:val="24"/>
          <w:szCs w:val="24"/>
        </w:rPr>
        <w:t xml:space="preserve">. SUPRT-P </w:t>
      </w:r>
      <w:r w:rsidRPr="36005321">
        <w:rPr>
          <w:sz w:val="24"/>
          <w:szCs w:val="24"/>
        </w:rPr>
        <w:t xml:space="preserve">will reduce client reporting burden and </w:t>
      </w:r>
      <w:r w:rsidRPr="36005321">
        <w:rPr>
          <w:sz w:val="24"/>
          <w:szCs w:val="24"/>
        </w:rPr>
        <w:t>is projected to enhance the accuracy of the collected performance data</w:t>
      </w:r>
      <w:r w:rsidRPr="36005321" w:rsidR="004611EC">
        <w:rPr>
          <w:sz w:val="24"/>
          <w:szCs w:val="24"/>
        </w:rPr>
        <w:t xml:space="preserve"> from CMHS</w:t>
      </w:r>
      <w:r w:rsidRPr="36005321" w:rsidR="004361B1">
        <w:rPr>
          <w:sz w:val="24"/>
          <w:szCs w:val="24"/>
        </w:rPr>
        <w:t xml:space="preserve">, </w:t>
      </w:r>
      <w:r w:rsidRPr="36005321" w:rsidR="004611EC">
        <w:rPr>
          <w:sz w:val="24"/>
          <w:szCs w:val="24"/>
        </w:rPr>
        <w:t>CSAT</w:t>
      </w:r>
      <w:r w:rsidRPr="36005321" w:rsidR="004361B1">
        <w:rPr>
          <w:sz w:val="24"/>
          <w:szCs w:val="24"/>
        </w:rPr>
        <w:t>,</w:t>
      </w:r>
      <w:r w:rsidR="0078234C">
        <w:rPr>
          <w:sz w:val="24"/>
          <w:szCs w:val="24"/>
        </w:rPr>
        <w:t xml:space="preserve"> CSAP</w:t>
      </w:r>
      <w:r w:rsidRPr="36005321" w:rsidR="004361B1">
        <w:rPr>
          <w:sz w:val="24"/>
          <w:szCs w:val="24"/>
        </w:rPr>
        <w:t xml:space="preserve"> and 988</w:t>
      </w:r>
      <w:r w:rsidRPr="36005321" w:rsidR="004611EC">
        <w:rPr>
          <w:sz w:val="24"/>
          <w:szCs w:val="24"/>
        </w:rPr>
        <w:t xml:space="preserve"> grantees</w:t>
      </w:r>
      <w:r w:rsidRPr="36005321" w:rsidR="00EC4A6E">
        <w:rPr>
          <w:sz w:val="24"/>
          <w:szCs w:val="24"/>
        </w:rPr>
        <w:t>.</w:t>
      </w:r>
    </w:p>
    <w:p w:rsidR="005B306E" w:rsidRPr="00D5792F" w14:paraId="4165B183" w14:textId="3B3FD7C9">
      <w:pPr>
        <w:spacing w:beforeAutospacing="1" w:afterAutospacing="1"/>
        <w:rPr>
          <w:sz w:val="24"/>
          <w:szCs w:val="24"/>
        </w:rPr>
      </w:pPr>
      <w:r w:rsidRPr="36005321">
        <w:rPr>
          <w:sz w:val="24"/>
          <w:szCs w:val="24"/>
        </w:rPr>
        <w:t xml:space="preserve">SAMHSA will use the data collected through SUPRT-P for annual reporting required by </w:t>
      </w:r>
      <w:r w:rsidRPr="003C284A" w:rsidR="000B44DD">
        <w:rPr>
          <w:sz w:val="24"/>
          <w:szCs w:val="24"/>
        </w:rPr>
        <w:t>GPRMA</w:t>
      </w:r>
      <w:r w:rsidRPr="003C284A">
        <w:rPr>
          <w:sz w:val="24"/>
          <w:szCs w:val="24"/>
        </w:rPr>
        <w:t>, grantee</w:t>
      </w:r>
      <w:r w:rsidRPr="36005321">
        <w:rPr>
          <w:sz w:val="24"/>
          <w:szCs w:val="24"/>
        </w:rPr>
        <w:t xml:space="preserve"> monitoring, and continuous improvement of its discretionary grant programs. SUPRT-P will also align with, and strengthen, SAMHSA's complementary </w:t>
      </w:r>
      <w:r w:rsidRPr="36005321" w:rsidR="53DFE87A">
        <w:rPr>
          <w:sz w:val="24"/>
          <w:szCs w:val="24"/>
        </w:rPr>
        <w:t>performance monitoring</w:t>
      </w:r>
      <w:r w:rsidRPr="36005321">
        <w:rPr>
          <w:sz w:val="24"/>
          <w:szCs w:val="24"/>
        </w:rPr>
        <w:t xml:space="preserve"> activities of its discretionary grant programs providing client services. The information collected through this process will allow SAMHSA to (1) monitor and report on implementation and overall performance of the associated grant programs; (2) advance SAMHSA's proposed performance goals; and (3) assess the accountability and performance of its discretionary grant programs, focused on efforts that promote mental health, prevent substance use, and provide </w:t>
      </w:r>
      <w:r w:rsidRPr="378245C4" w:rsidR="46FC1788">
        <w:rPr>
          <w:sz w:val="24"/>
          <w:szCs w:val="24"/>
        </w:rPr>
        <w:t xml:space="preserve">behavioral health crisis response, </w:t>
      </w:r>
      <w:r w:rsidRPr="36005321">
        <w:rPr>
          <w:sz w:val="24"/>
          <w:szCs w:val="24"/>
        </w:rPr>
        <w:t>treatments and supports to foster recovery.</w:t>
      </w:r>
    </w:p>
    <w:p w:rsidR="005B306E" w:rsidRPr="00307AF7" w:rsidP="00307AF7" w14:paraId="7557CC8C" w14:textId="77777777">
      <w:pPr>
        <w:pStyle w:val="Heading4"/>
        <w:rPr>
          <w:color w:val="auto"/>
          <w:sz w:val="24"/>
          <w:szCs w:val="24"/>
        </w:rPr>
      </w:pPr>
      <w:r w:rsidRPr="00307AF7">
        <w:rPr>
          <w:color w:val="auto"/>
          <w:sz w:val="24"/>
          <w:szCs w:val="24"/>
        </w:rPr>
        <w:t>A2.</w:t>
      </w:r>
      <w:r w:rsidRPr="00307AF7">
        <w:rPr>
          <w:color w:val="auto"/>
          <w:sz w:val="24"/>
          <w:szCs w:val="24"/>
        </w:rPr>
        <w:tab/>
        <w:t>Purposes and Use of Information</w:t>
      </w:r>
    </w:p>
    <w:p w:rsidR="005B306E" w:rsidRPr="00D5792F" w:rsidP="005B306E" w14:paraId="444F0E85" w14:textId="77777777">
      <w:pPr>
        <w:jc w:val="both"/>
        <w:rPr>
          <w:sz w:val="24"/>
          <w:szCs w:val="24"/>
        </w:rPr>
      </w:pPr>
    </w:p>
    <w:p w:rsidR="005B306E" w:rsidRPr="00D5792F" w:rsidP="36005321" w14:paraId="27ECE14E" w14:textId="67425B32">
      <w:pPr>
        <w:pStyle w:val="pf0"/>
        <w:spacing w:before="0" w:beforeAutospacing="0" w:after="120" w:afterAutospacing="0"/>
        <w:rPr>
          <w:rStyle w:val="cf01"/>
          <w:rFonts w:ascii="Times New Roman" w:hAnsi="Times New Roman" w:cs="Times New Roman"/>
          <w:sz w:val="24"/>
          <w:szCs w:val="24"/>
        </w:rPr>
      </w:pPr>
      <w:r w:rsidRPr="004E5528">
        <w:rPr>
          <w:rStyle w:val="cf01"/>
          <w:rFonts w:ascii="Times New Roman" w:hAnsi="Times New Roman" w:cs="Times New Roman"/>
          <w:sz w:val="24"/>
          <w:szCs w:val="24"/>
        </w:rPr>
        <w:t>SAMHSA will use the</w:t>
      </w:r>
      <w:r w:rsidRPr="004E5528">
        <w:t xml:space="preserve"> </w:t>
      </w:r>
      <w:r w:rsidRPr="004E5528">
        <w:rPr>
          <w:rStyle w:val="cf01"/>
          <w:rFonts w:ascii="Times New Roman" w:hAnsi="Times New Roman" w:cs="Times New Roman"/>
          <w:sz w:val="24"/>
          <w:szCs w:val="24"/>
        </w:rPr>
        <w:t>data collected for annual reporting</w:t>
      </w:r>
      <w:r w:rsidRPr="004E5528">
        <w:t xml:space="preserve"> </w:t>
      </w:r>
      <w:r w:rsidRPr="004E5528">
        <w:rPr>
          <w:rStyle w:val="cf01"/>
          <w:rFonts w:ascii="Times New Roman" w:hAnsi="Times New Roman" w:cs="Times New Roman"/>
          <w:sz w:val="24"/>
          <w:szCs w:val="24"/>
        </w:rPr>
        <w:t xml:space="preserve">required by </w:t>
      </w:r>
      <w:r w:rsidRPr="004E5528" w:rsidR="009227D1">
        <w:t>GPRMA</w:t>
      </w:r>
      <w:r w:rsidRPr="004E5528">
        <w:rPr>
          <w:rStyle w:val="cf01"/>
          <w:rFonts w:ascii="Times New Roman" w:hAnsi="Times New Roman" w:cs="Times New Roman"/>
          <w:sz w:val="24"/>
          <w:szCs w:val="24"/>
        </w:rPr>
        <w:t xml:space="preserve"> to describe</w:t>
      </w:r>
      <w:r w:rsidRPr="36005321">
        <w:rPr>
          <w:rStyle w:val="cf01"/>
          <w:rFonts w:ascii="Times New Roman" w:hAnsi="Times New Roman" w:cs="Times New Roman"/>
          <w:sz w:val="24"/>
          <w:szCs w:val="24"/>
        </w:rPr>
        <w:t xml:space="preserve"> clients</w:t>
      </w:r>
      <w:r>
        <w:t xml:space="preserve"> </w:t>
      </w:r>
      <w:r w:rsidRPr="36005321">
        <w:rPr>
          <w:rStyle w:val="cf01"/>
          <w:rFonts w:ascii="Times New Roman" w:hAnsi="Times New Roman" w:cs="Times New Roman"/>
          <w:sz w:val="24"/>
          <w:szCs w:val="24"/>
        </w:rPr>
        <w:t>and individuals served and to</w:t>
      </w:r>
      <w:r>
        <w:t xml:space="preserve"> </w:t>
      </w:r>
      <w:r w:rsidRPr="36005321">
        <w:rPr>
          <w:rStyle w:val="cf01"/>
          <w:rFonts w:ascii="Times New Roman" w:hAnsi="Times New Roman" w:cs="Times New Roman"/>
          <w:sz w:val="24"/>
          <w:szCs w:val="24"/>
        </w:rPr>
        <w:t>summarize outputs and outcomes of</w:t>
      </w:r>
      <w:r>
        <w:t xml:space="preserve"> </w:t>
      </w:r>
      <w:r w:rsidRPr="36005321">
        <w:rPr>
          <w:rStyle w:val="cf01"/>
          <w:rFonts w:ascii="Times New Roman" w:hAnsi="Times New Roman" w:cs="Times New Roman"/>
          <w:sz w:val="24"/>
          <w:szCs w:val="24"/>
        </w:rPr>
        <w:t>grant program activities. Information</w:t>
      </w:r>
      <w:r>
        <w:t xml:space="preserve"> </w:t>
      </w:r>
      <w:r w:rsidRPr="36005321">
        <w:rPr>
          <w:rStyle w:val="cf01"/>
          <w:rFonts w:ascii="Times New Roman" w:hAnsi="Times New Roman" w:cs="Times New Roman"/>
          <w:sz w:val="24"/>
          <w:szCs w:val="24"/>
        </w:rPr>
        <w:t>collected through this request will allow</w:t>
      </w:r>
      <w:r>
        <w:t xml:space="preserve"> </w:t>
      </w:r>
      <w:r w:rsidRPr="36005321">
        <w:rPr>
          <w:rStyle w:val="cf01"/>
          <w:rFonts w:ascii="Times New Roman" w:hAnsi="Times New Roman" w:cs="Times New Roman"/>
          <w:sz w:val="24"/>
          <w:szCs w:val="24"/>
        </w:rPr>
        <w:t>SAMHSA to report on the results of</w:t>
      </w:r>
      <w:r>
        <w:t xml:space="preserve"> </w:t>
      </w:r>
      <w:r w:rsidRPr="36005321">
        <w:rPr>
          <w:rStyle w:val="cf01"/>
          <w:rFonts w:ascii="Times New Roman" w:hAnsi="Times New Roman" w:cs="Times New Roman"/>
          <w:sz w:val="24"/>
          <w:szCs w:val="24"/>
        </w:rPr>
        <w:t>these performance outcomes as well as</w:t>
      </w:r>
      <w:r>
        <w:t xml:space="preserve"> </w:t>
      </w:r>
      <w:r w:rsidRPr="36005321">
        <w:rPr>
          <w:rStyle w:val="cf01"/>
          <w:rFonts w:ascii="Times New Roman" w:hAnsi="Times New Roman" w:cs="Times New Roman"/>
          <w:sz w:val="24"/>
          <w:szCs w:val="24"/>
        </w:rPr>
        <w:t>be consistent with SAMHSA-specific</w:t>
      </w:r>
      <w:r>
        <w:t xml:space="preserve"> </w:t>
      </w:r>
      <w:r w:rsidRPr="36005321">
        <w:rPr>
          <w:rStyle w:val="cf01"/>
          <w:rFonts w:ascii="Times New Roman" w:hAnsi="Times New Roman" w:cs="Times New Roman"/>
          <w:sz w:val="24"/>
          <w:szCs w:val="24"/>
        </w:rPr>
        <w:t xml:space="preserve">performance </w:t>
      </w:r>
      <w:r w:rsidRPr="36005321" w:rsidR="00634582">
        <w:rPr>
          <w:rStyle w:val="cf01"/>
          <w:rFonts w:ascii="Times New Roman" w:hAnsi="Times New Roman" w:cs="Times New Roman"/>
          <w:sz w:val="24"/>
          <w:szCs w:val="24"/>
        </w:rPr>
        <w:t>indicators</w:t>
      </w:r>
      <w:r w:rsidRPr="36005321">
        <w:rPr>
          <w:rStyle w:val="cf01"/>
          <w:rFonts w:ascii="Times New Roman" w:hAnsi="Times New Roman" w:cs="Times New Roman"/>
          <w:sz w:val="24"/>
          <w:szCs w:val="24"/>
        </w:rPr>
        <w:t>, and to assess the</w:t>
      </w:r>
      <w:r>
        <w:t xml:space="preserve"> </w:t>
      </w:r>
      <w:r w:rsidRPr="36005321">
        <w:rPr>
          <w:rStyle w:val="cf01"/>
          <w:rFonts w:ascii="Times New Roman" w:hAnsi="Times New Roman" w:cs="Times New Roman"/>
          <w:sz w:val="24"/>
          <w:szCs w:val="24"/>
        </w:rPr>
        <w:t>accountability and performance of its</w:t>
      </w:r>
      <w:r>
        <w:t xml:space="preserve"> </w:t>
      </w:r>
      <w:r w:rsidRPr="36005321">
        <w:rPr>
          <w:rStyle w:val="cf01"/>
          <w:rFonts w:ascii="Times New Roman" w:hAnsi="Times New Roman" w:cs="Times New Roman"/>
          <w:sz w:val="24"/>
          <w:szCs w:val="24"/>
        </w:rPr>
        <w:t>discretionary grant programs. The</w:t>
      </w:r>
      <w:r>
        <w:t xml:space="preserve"> </w:t>
      </w:r>
      <w:r w:rsidRPr="36005321">
        <w:rPr>
          <w:rStyle w:val="cf01"/>
          <w:rFonts w:ascii="Times New Roman" w:hAnsi="Times New Roman" w:cs="Times New Roman"/>
          <w:sz w:val="24"/>
          <w:szCs w:val="24"/>
        </w:rPr>
        <w:t>information collected through this</w:t>
      </w:r>
      <w:r>
        <w:t xml:space="preserve"> </w:t>
      </w:r>
      <w:r w:rsidRPr="36005321">
        <w:rPr>
          <w:rStyle w:val="cf01"/>
          <w:rFonts w:ascii="Times New Roman" w:hAnsi="Times New Roman" w:cs="Times New Roman"/>
          <w:sz w:val="24"/>
          <w:szCs w:val="24"/>
        </w:rPr>
        <w:t>request will allow SAMHSA to improve</w:t>
      </w:r>
      <w:r>
        <w:t xml:space="preserve"> </w:t>
      </w:r>
      <w:r w:rsidRPr="36005321">
        <w:rPr>
          <w:rStyle w:val="cf01"/>
          <w:rFonts w:ascii="Times New Roman" w:hAnsi="Times New Roman" w:cs="Times New Roman"/>
          <w:sz w:val="24"/>
          <w:szCs w:val="24"/>
        </w:rPr>
        <w:t>its ability to assess the impact of its</w:t>
      </w:r>
      <w:r>
        <w:t xml:space="preserve"> </w:t>
      </w:r>
      <w:r w:rsidRPr="36005321">
        <w:rPr>
          <w:rStyle w:val="cf01"/>
          <w:rFonts w:ascii="Times New Roman" w:hAnsi="Times New Roman" w:cs="Times New Roman"/>
          <w:sz w:val="24"/>
          <w:szCs w:val="24"/>
        </w:rPr>
        <w:t>programs on key outcomes of interest</w:t>
      </w:r>
      <w:r>
        <w:t xml:space="preserve"> </w:t>
      </w:r>
      <w:r w:rsidRPr="36005321">
        <w:rPr>
          <w:rStyle w:val="cf01"/>
          <w:rFonts w:ascii="Times New Roman" w:hAnsi="Times New Roman" w:cs="Times New Roman"/>
          <w:sz w:val="24"/>
          <w:szCs w:val="24"/>
        </w:rPr>
        <w:t>and</w:t>
      </w:r>
      <w:r w:rsidRPr="14B97B33" w:rsidR="749BD17E">
        <w:rPr>
          <w:rStyle w:val="cf01"/>
          <w:rFonts w:ascii="Times New Roman" w:hAnsi="Times New Roman" w:cs="Times New Roman"/>
          <w:sz w:val="24"/>
          <w:szCs w:val="24"/>
        </w:rPr>
        <w:t>, in some cases,</w:t>
      </w:r>
      <w:r w:rsidRPr="36005321">
        <w:rPr>
          <w:rStyle w:val="cf01"/>
          <w:rFonts w:ascii="Times New Roman" w:hAnsi="Times New Roman" w:cs="Times New Roman"/>
          <w:sz w:val="24"/>
          <w:szCs w:val="24"/>
        </w:rPr>
        <w:t xml:space="preserve"> to gather vital descriptive</w:t>
      </w:r>
      <w:r>
        <w:t xml:space="preserve"> </w:t>
      </w:r>
      <w:r w:rsidRPr="36005321">
        <w:rPr>
          <w:rStyle w:val="cf01"/>
          <w:rFonts w:ascii="Times New Roman" w:hAnsi="Times New Roman" w:cs="Times New Roman"/>
          <w:sz w:val="24"/>
          <w:szCs w:val="24"/>
        </w:rPr>
        <w:t>characteristics about clients served by</w:t>
      </w:r>
      <w:r>
        <w:t xml:space="preserve"> </w:t>
      </w:r>
      <w:r w:rsidRPr="36005321">
        <w:rPr>
          <w:rStyle w:val="cf01"/>
          <w:rFonts w:ascii="Times New Roman" w:hAnsi="Times New Roman" w:cs="Times New Roman"/>
          <w:sz w:val="24"/>
          <w:szCs w:val="24"/>
        </w:rPr>
        <w:t>discretionary grant programs</w:t>
      </w:r>
      <w:r w:rsidRPr="36005321">
        <w:rPr>
          <w:rStyle w:val="cf01"/>
          <w:rFonts w:ascii="Times New Roman" w:hAnsi="Times New Roman" w:cs="Times New Roman"/>
          <w:sz w:val="24"/>
          <w:szCs w:val="24"/>
        </w:rPr>
        <w:t>.</w:t>
      </w:r>
    </w:p>
    <w:p w:rsidR="00EF04D1" w:rsidRPr="00D5792F" w:rsidP="00EF04D1" w14:paraId="4AF69039" w14:textId="05195A0A">
      <w:pPr>
        <w:pStyle w:val="BodyText"/>
        <w:rPr>
          <w:sz w:val="24"/>
          <w:szCs w:val="24"/>
        </w:rPr>
      </w:pPr>
      <w:r w:rsidRPr="00D5792F">
        <w:rPr>
          <w:sz w:val="24"/>
          <w:szCs w:val="24"/>
        </w:rPr>
        <w:t>These data are used by individuals at three different levels within SAMHSA: the Assistant Secretary of Substance Abuse and Mental Health Services; the Center-level administrators</w:t>
      </w:r>
      <w:r w:rsidR="00C6234D">
        <w:rPr>
          <w:sz w:val="24"/>
          <w:szCs w:val="24"/>
        </w:rPr>
        <w:t xml:space="preserve"> (CEAs</w:t>
      </w:r>
      <w:r w:rsidR="00840E86">
        <w:rPr>
          <w:sz w:val="24"/>
          <w:szCs w:val="24"/>
        </w:rPr>
        <w:t>)</w:t>
      </w:r>
      <w:r w:rsidRPr="00D5792F">
        <w:rPr>
          <w:sz w:val="24"/>
          <w:szCs w:val="24"/>
        </w:rPr>
        <w:t xml:space="preserve">, respective leadership teams, and </w:t>
      </w:r>
      <w:r w:rsidR="003E55AE">
        <w:rPr>
          <w:sz w:val="24"/>
          <w:szCs w:val="24"/>
        </w:rPr>
        <w:t>p</w:t>
      </w:r>
      <w:r w:rsidRPr="00D5792F">
        <w:rPr>
          <w:sz w:val="24"/>
          <w:szCs w:val="24"/>
        </w:rPr>
        <w:t xml:space="preserve">rogram </w:t>
      </w:r>
      <w:r w:rsidR="003E55AE">
        <w:rPr>
          <w:sz w:val="24"/>
          <w:szCs w:val="24"/>
        </w:rPr>
        <w:t>s</w:t>
      </w:r>
      <w:r w:rsidRPr="00D5792F">
        <w:rPr>
          <w:sz w:val="24"/>
          <w:szCs w:val="24"/>
        </w:rPr>
        <w:t xml:space="preserve">taff (i.e., Government Project Officers [GPOs]); and grantees.  </w:t>
      </w:r>
    </w:p>
    <w:p w:rsidR="00EF04D1" w:rsidRPr="00D5792F" w:rsidP="00EF04D1" w14:paraId="7007B824" w14:textId="3D238C9A">
      <w:pPr>
        <w:spacing w:after="120"/>
        <w:rPr>
          <w:sz w:val="24"/>
          <w:szCs w:val="24"/>
        </w:rPr>
      </w:pPr>
      <w:r w:rsidRPr="36005321">
        <w:rPr>
          <w:b/>
          <w:bCs/>
          <w:sz w:val="24"/>
          <w:szCs w:val="24"/>
        </w:rPr>
        <w:t xml:space="preserve">Assistant </w:t>
      </w:r>
      <w:r w:rsidRPr="36005321" w:rsidR="00945EE5">
        <w:rPr>
          <w:b/>
          <w:bCs/>
          <w:sz w:val="24"/>
          <w:szCs w:val="24"/>
        </w:rPr>
        <w:t>s</w:t>
      </w:r>
      <w:r w:rsidRPr="36005321">
        <w:rPr>
          <w:b/>
          <w:bCs/>
          <w:sz w:val="24"/>
          <w:szCs w:val="24"/>
        </w:rPr>
        <w:t xml:space="preserve">ecretary </w:t>
      </w:r>
      <w:r w:rsidRPr="36005321" w:rsidR="00945EE5">
        <w:rPr>
          <w:b/>
          <w:bCs/>
          <w:sz w:val="24"/>
          <w:szCs w:val="24"/>
        </w:rPr>
        <w:t>l</w:t>
      </w:r>
      <w:r w:rsidRPr="36005321">
        <w:rPr>
          <w:b/>
          <w:bCs/>
          <w:sz w:val="24"/>
          <w:szCs w:val="24"/>
        </w:rPr>
        <w:t xml:space="preserve">evel: </w:t>
      </w:r>
      <w:r w:rsidRPr="36005321">
        <w:rPr>
          <w:sz w:val="24"/>
          <w:szCs w:val="24"/>
        </w:rPr>
        <w:t xml:space="preserve">The information informs the Assistant Secretary for Mental Health and Substance Use on the performance and outcomes of all funded programs.  Performance is linked to the goals </w:t>
      </w:r>
      <w:r w:rsidRPr="004E5528">
        <w:rPr>
          <w:sz w:val="24"/>
          <w:szCs w:val="24"/>
        </w:rPr>
        <w:t>and objectives of all grant programs.  The intent is for this information to serve as the basis of the annual GPR</w:t>
      </w:r>
      <w:r w:rsidRPr="004E5528" w:rsidR="6917CBD5">
        <w:rPr>
          <w:sz w:val="24"/>
          <w:szCs w:val="24"/>
        </w:rPr>
        <w:t>MA</w:t>
      </w:r>
      <w:r w:rsidRPr="004E5528">
        <w:rPr>
          <w:sz w:val="24"/>
          <w:szCs w:val="24"/>
        </w:rPr>
        <w:t xml:space="preserve"> report</w:t>
      </w:r>
      <w:r w:rsidRPr="004E5528" w:rsidR="62AA00FE">
        <w:rPr>
          <w:sz w:val="24"/>
          <w:szCs w:val="24"/>
        </w:rPr>
        <w:t>s on key</w:t>
      </w:r>
      <w:r w:rsidRPr="36005321" w:rsidR="62AA00FE">
        <w:rPr>
          <w:sz w:val="24"/>
          <w:szCs w:val="24"/>
        </w:rPr>
        <w:t xml:space="preserve"> outputs and outcomes</w:t>
      </w:r>
      <w:r w:rsidRPr="36005321">
        <w:rPr>
          <w:sz w:val="24"/>
          <w:szCs w:val="24"/>
        </w:rPr>
        <w:t xml:space="preserve"> contained in the </w:t>
      </w:r>
      <w:r w:rsidRPr="36005321">
        <w:rPr>
          <w:sz w:val="24"/>
          <w:szCs w:val="24"/>
        </w:rPr>
        <w:t>Justifications of Budget Estimates</w:t>
      </w:r>
      <w:r w:rsidRPr="36005321" w:rsidR="1F0E93C1">
        <w:rPr>
          <w:sz w:val="24"/>
          <w:szCs w:val="24"/>
        </w:rPr>
        <w:t xml:space="preserve"> and as the basis for reports to </w:t>
      </w:r>
      <w:r w:rsidRPr="14B97B33" w:rsidR="4865135C">
        <w:rPr>
          <w:sz w:val="24"/>
          <w:szCs w:val="24"/>
        </w:rPr>
        <w:t>Congress</w:t>
      </w:r>
      <w:r w:rsidRPr="36005321" w:rsidR="1F0E93C1">
        <w:rPr>
          <w:sz w:val="24"/>
          <w:szCs w:val="24"/>
        </w:rPr>
        <w:t xml:space="preserve"> when required in statute</w:t>
      </w:r>
      <w:r w:rsidRPr="36005321">
        <w:rPr>
          <w:sz w:val="24"/>
          <w:szCs w:val="24"/>
        </w:rPr>
        <w:t xml:space="preserve">.  </w:t>
      </w:r>
    </w:p>
    <w:p w:rsidR="00EF04D1" w:rsidRPr="00D5792F" w:rsidP="00EF04D1" w14:paraId="73302A52" w14:textId="6F97A9E4">
      <w:pPr>
        <w:spacing w:after="120"/>
        <w:rPr>
          <w:sz w:val="24"/>
          <w:szCs w:val="24"/>
        </w:rPr>
      </w:pPr>
      <w:r w:rsidRPr="00D5792F">
        <w:rPr>
          <w:b/>
          <w:sz w:val="24"/>
          <w:szCs w:val="24"/>
        </w:rPr>
        <w:t>Center</w:t>
      </w:r>
      <w:r w:rsidR="00840E86">
        <w:rPr>
          <w:b/>
          <w:sz w:val="24"/>
          <w:szCs w:val="24"/>
        </w:rPr>
        <w:t>-</w:t>
      </w:r>
      <w:r w:rsidR="00945EE5">
        <w:rPr>
          <w:b/>
          <w:sz w:val="24"/>
          <w:szCs w:val="24"/>
        </w:rPr>
        <w:t>l</w:t>
      </w:r>
      <w:r w:rsidRPr="00D5792F">
        <w:rPr>
          <w:b/>
          <w:sz w:val="24"/>
          <w:szCs w:val="24"/>
        </w:rPr>
        <w:t xml:space="preserve">evel </w:t>
      </w:r>
      <w:r w:rsidR="00945EE5">
        <w:rPr>
          <w:b/>
          <w:sz w:val="24"/>
          <w:szCs w:val="24"/>
        </w:rPr>
        <w:t>a</w:t>
      </w:r>
      <w:r w:rsidRPr="00D5792F">
        <w:rPr>
          <w:b/>
          <w:sz w:val="24"/>
          <w:szCs w:val="24"/>
        </w:rPr>
        <w:t xml:space="preserve">dministrators, </w:t>
      </w:r>
      <w:r w:rsidR="00945EE5">
        <w:rPr>
          <w:b/>
          <w:sz w:val="24"/>
          <w:szCs w:val="24"/>
        </w:rPr>
        <w:t>l</w:t>
      </w:r>
      <w:r w:rsidRPr="00D5792F">
        <w:rPr>
          <w:b/>
          <w:sz w:val="24"/>
          <w:szCs w:val="24"/>
        </w:rPr>
        <w:t xml:space="preserve">eadership </w:t>
      </w:r>
      <w:r w:rsidR="00945EE5">
        <w:rPr>
          <w:b/>
          <w:sz w:val="24"/>
          <w:szCs w:val="24"/>
        </w:rPr>
        <w:t>t</w:t>
      </w:r>
      <w:r w:rsidRPr="00D5792F">
        <w:rPr>
          <w:b/>
          <w:sz w:val="24"/>
          <w:szCs w:val="24"/>
        </w:rPr>
        <w:t xml:space="preserve">eams, and </w:t>
      </w:r>
      <w:r w:rsidR="00945EE5">
        <w:rPr>
          <w:b/>
          <w:sz w:val="24"/>
          <w:szCs w:val="24"/>
        </w:rPr>
        <w:t>g</w:t>
      </w:r>
      <w:r w:rsidRPr="00D5792F">
        <w:rPr>
          <w:b/>
          <w:sz w:val="24"/>
          <w:szCs w:val="24"/>
        </w:rPr>
        <w:t xml:space="preserve">overnment </w:t>
      </w:r>
      <w:r w:rsidR="00945EE5">
        <w:rPr>
          <w:b/>
          <w:sz w:val="24"/>
          <w:szCs w:val="24"/>
        </w:rPr>
        <w:t>p</w:t>
      </w:r>
      <w:r w:rsidRPr="00D5792F">
        <w:rPr>
          <w:b/>
          <w:sz w:val="24"/>
          <w:szCs w:val="24"/>
        </w:rPr>
        <w:t xml:space="preserve">roject </w:t>
      </w:r>
      <w:r w:rsidR="00945EE5">
        <w:rPr>
          <w:b/>
          <w:sz w:val="24"/>
          <w:szCs w:val="24"/>
        </w:rPr>
        <w:t>o</w:t>
      </w:r>
      <w:r w:rsidRPr="00D5792F">
        <w:rPr>
          <w:b/>
          <w:sz w:val="24"/>
          <w:szCs w:val="24"/>
        </w:rPr>
        <w:t xml:space="preserve">fficers </w:t>
      </w:r>
      <w:r w:rsidR="00945EE5">
        <w:rPr>
          <w:b/>
          <w:sz w:val="24"/>
          <w:szCs w:val="24"/>
        </w:rPr>
        <w:t>l</w:t>
      </w:r>
      <w:r w:rsidRPr="00D5792F">
        <w:rPr>
          <w:b/>
          <w:sz w:val="24"/>
          <w:szCs w:val="24"/>
        </w:rPr>
        <w:t xml:space="preserve">evel: </w:t>
      </w:r>
      <w:r w:rsidRPr="00D5792F">
        <w:rPr>
          <w:sz w:val="24"/>
          <w:szCs w:val="24"/>
        </w:rPr>
        <w:t xml:space="preserve">In addition to providing information about the performance of the various programs, </w:t>
      </w:r>
      <w:r w:rsidR="00F3470F">
        <w:rPr>
          <w:sz w:val="24"/>
          <w:szCs w:val="24"/>
        </w:rPr>
        <w:t xml:space="preserve">CEAs, leadership teams, and GPOs will use </w:t>
      </w:r>
      <w:r w:rsidRPr="00D5792F">
        <w:rPr>
          <w:sz w:val="24"/>
          <w:szCs w:val="24"/>
        </w:rPr>
        <w:t xml:space="preserve">the information to monitor and manage individual grant projects within each program. </w:t>
      </w:r>
      <w:r w:rsidRPr="00D5792F" w:rsidR="005F47FB">
        <w:rPr>
          <w:sz w:val="24"/>
          <w:szCs w:val="24"/>
        </w:rPr>
        <w:t xml:space="preserve">GPOs </w:t>
      </w:r>
      <w:r w:rsidR="00AB1446">
        <w:rPr>
          <w:sz w:val="24"/>
          <w:szCs w:val="24"/>
        </w:rPr>
        <w:t>also use t</w:t>
      </w:r>
      <w:r w:rsidRPr="00D5792F">
        <w:rPr>
          <w:sz w:val="24"/>
          <w:szCs w:val="24"/>
        </w:rPr>
        <w:t xml:space="preserve">he information to identify program strengths and weaknesses, provide an informed basis for providing technical assistance and other support to grantees, inform continuation of funding decisions, and identify potential issues for additional evaluation.  </w:t>
      </w:r>
    </w:p>
    <w:p w:rsidR="00EF04D1" w:rsidRPr="00D5792F" w:rsidP="00EF04D1" w14:paraId="19D485B3" w14:textId="0B3F0777">
      <w:pPr>
        <w:spacing w:after="120"/>
        <w:rPr>
          <w:sz w:val="24"/>
          <w:szCs w:val="24"/>
        </w:rPr>
      </w:pPr>
      <w:r w:rsidRPr="36005321">
        <w:rPr>
          <w:b/>
          <w:bCs/>
          <w:sz w:val="24"/>
          <w:szCs w:val="24"/>
        </w:rPr>
        <w:t xml:space="preserve">Grantee </w:t>
      </w:r>
      <w:r w:rsidRPr="36005321" w:rsidR="00945EE5">
        <w:rPr>
          <w:b/>
          <w:bCs/>
          <w:sz w:val="24"/>
          <w:szCs w:val="24"/>
        </w:rPr>
        <w:t>l</w:t>
      </w:r>
      <w:r w:rsidRPr="36005321">
        <w:rPr>
          <w:b/>
          <w:bCs/>
          <w:sz w:val="24"/>
          <w:szCs w:val="24"/>
        </w:rPr>
        <w:t xml:space="preserve">evel: </w:t>
      </w:r>
      <w:r w:rsidRPr="36005321">
        <w:rPr>
          <w:sz w:val="24"/>
          <w:szCs w:val="24"/>
        </w:rPr>
        <w:t xml:space="preserve">In addition to monitoring performance and outcomes, the grantee staff can use the information to improve </w:t>
      </w:r>
      <w:r w:rsidRPr="36005321" w:rsidR="76840D87">
        <w:rPr>
          <w:sz w:val="24"/>
          <w:szCs w:val="24"/>
        </w:rPr>
        <w:t xml:space="preserve">implementation of grant program activities, including </w:t>
      </w:r>
      <w:r w:rsidRPr="36005321">
        <w:rPr>
          <w:sz w:val="24"/>
          <w:szCs w:val="24"/>
        </w:rPr>
        <w:t xml:space="preserve">the quality of services provided.  </w:t>
      </w:r>
    </w:p>
    <w:p w:rsidR="005B306E" w:rsidRPr="00D5792F" w:rsidP="005B306E" w14:paraId="458C30C5" w14:textId="0FA1D36B">
      <w:pPr>
        <w:spacing w:after="120"/>
        <w:rPr>
          <w:sz w:val="24"/>
          <w:szCs w:val="24"/>
        </w:rPr>
      </w:pPr>
      <w:r w:rsidRPr="36005321">
        <w:rPr>
          <w:sz w:val="24"/>
          <w:szCs w:val="24"/>
        </w:rPr>
        <w:t xml:space="preserve">SAMHSA has identified specific performance </w:t>
      </w:r>
      <w:r w:rsidRPr="36005321" w:rsidR="00EF3075">
        <w:rPr>
          <w:sz w:val="24"/>
          <w:szCs w:val="24"/>
        </w:rPr>
        <w:t>indicators</w:t>
      </w:r>
      <w:r w:rsidRPr="36005321">
        <w:rPr>
          <w:sz w:val="24"/>
          <w:szCs w:val="24"/>
        </w:rPr>
        <w:t xml:space="preserve"> to assess the accountability and performance of its discretionary grants. These </w:t>
      </w:r>
      <w:r w:rsidRPr="36005321" w:rsidR="00EF3075">
        <w:rPr>
          <w:sz w:val="24"/>
          <w:szCs w:val="24"/>
        </w:rPr>
        <w:t xml:space="preserve">indicators </w:t>
      </w:r>
      <w:r w:rsidRPr="36005321">
        <w:rPr>
          <w:sz w:val="24"/>
          <w:szCs w:val="24"/>
        </w:rPr>
        <w:t xml:space="preserve">represent SAMHSA’s focus on the factors that contribute to the success of mental health </w:t>
      </w:r>
      <w:r w:rsidRPr="36005321" w:rsidR="4DC358AF">
        <w:rPr>
          <w:sz w:val="24"/>
          <w:szCs w:val="24"/>
        </w:rPr>
        <w:t xml:space="preserve">promotion, </w:t>
      </w:r>
      <w:r w:rsidRPr="36005321">
        <w:rPr>
          <w:sz w:val="24"/>
          <w:szCs w:val="24"/>
        </w:rPr>
        <w:t xml:space="preserve">and the substance use </w:t>
      </w:r>
      <w:r w:rsidRPr="36005321" w:rsidR="5C2BC5C0">
        <w:rPr>
          <w:sz w:val="24"/>
          <w:szCs w:val="24"/>
        </w:rPr>
        <w:t>prevention and</w:t>
      </w:r>
      <w:r w:rsidRPr="36005321">
        <w:rPr>
          <w:sz w:val="24"/>
          <w:szCs w:val="24"/>
        </w:rPr>
        <w:t xml:space="preserve"> treatment</w:t>
      </w:r>
      <w:r w:rsidRPr="36005321" w:rsidR="38A87C5A">
        <w:rPr>
          <w:sz w:val="24"/>
          <w:szCs w:val="24"/>
        </w:rPr>
        <w:t>, treatments and supports to foster recovery, and sustained access to behavioral health crisis response</w:t>
      </w:r>
      <w:r w:rsidRPr="36005321">
        <w:rPr>
          <w:sz w:val="24"/>
          <w:szCs w:val="24"/>
        </w:rPr>
        <w:t xml:space="preserve">. Grantees will provide information quarterly and annually to address the following performance </w:t>
      </w:r>
      <w:r w:rsidRPr="36005321" w:rsidR="00EF3075">
        <w:rPr>
          <w:sz w:val="24"/>
          <w:szCs w:val="24"/>
        </w:rPr>
        <w:t>indicators</w:t>
      </w:r>
      <w:r w:rsidRPr="36005321">
        <w:rPr>
          <w:sz w:val="24"/>
          <w:szCs w:val="24"/>
        </w:rPr>
        <w:t xml:space="preserve"> using SUPRT-P</w:t>
      </w:r>
      <w:r w:rsidRPr="36005321" w:rsidR="00B57AEE">
        <w:rPr>
          <w:sz w:val="24"/>
          <w:szCs w:val="24"/>
        </w:rPr>
        <w:t xml:space="preserve"> (Attachment A: SAMHSA Unified Performance Reporting Tool (SUPRT) – P</w:t>
      </w:r>
      <w:r w:rsidRPr="36005321" w:rsidR="4A1D8B07">
        <w:rPr>
          <w:sz w:val="24"/>
          <w:szCs w:val="24"/>
        </w:rPr>
        <w:t>roject</w:t>
      </w:r>
      <w:r w:rsidR="007528B2">
        <w:rPr>
          <w:sz w:val="24"/>
          <w:szCs w:val="24"/>
        </w:rPr>
        <w:t xml:space="preserve"> (P)</w:t>
      </w:r>
      <w:r w:rsidRPr="36005321" w:rsidR="00B57AEE">
        <w:rPr>
          <w:sz w:val="24"/>
          <w:szCs w:val="24"/>
        </w:rPr>
        <w:t xml:space="preserve">). The </w:t>
      </w:r>
      <w:r w:rsidRPr="36005321" w:rsidR="515E19D1">
        <w:rPr>
          <w:sz w:val="24"/>
          <w:szCs w:val="24"/>
        </w:rPr>
        <w:t>tool</w:t>
      </w:r>
      <w:r w:rsidRPr="36005321" w:rsidR="00B57AEE">
        <w:rPr>
          <w:sz w:val="24"/>
          <w:szCs w:val="24"/>
        </w:rPr>
        <w:t xml:space="preserve"> will track</w:t>
      </w:r>
      <w:r w:rsidRPr="36005321" w:rsidR="61E8AD22">
        <w:rPr>
          <w:sz w:val="24"/>
          <w:szCs w:val="24"/>
        </w:rPr>
        <w:t xml:space="preserve"> performance on the following grant activities</w:t>
      </w:r>
      <w:r w:rsidRPr="36005321" w:rsidR="00B57AEE">
        <w:rPr>
          <w:sz w:val="24"/>
          <w:szCs w:val="24"/>
        </w:rPr>
        <w:t>:</w:t>
      </w:r>
      <w:r w:rsidRPr="36005321">
        <w:rPr>
          <w:sz w:val="24"/>
          <w:szCs w:val="24"/>
        </w:rPr>
        <w:t xml:space="preserve"> </w:t>
      </w:r>
    </w:p>
    <w:p w:rsidR="000F28BF" w:rsidRPr="000F28BF" w:rsidP="005B306E" w14:paraId="4E85F8DF" w14:textId="6FA71A67">
      <w:pPr>
        <w:pStyle w:val="ListParagraph"/>
        <w:numPr>
          <w:ilvl w:val="0"/>
          <w:numId w:val="5"/>
        </w:numPr>
        <w:spacing w:after="120"/>
        <w:ind w:left="360"/>
        <w:rPr>
          <w:sz w:val="24"/>
          <w:szCs w:val="24"/>
        </w:rPr>
      </w:pPr>
      <w:r w:rsidRPr="00BF49AC">
        <w:rPr>
          <w:b/>
          <w:bCs/>
          <w:sz w:val="24"/>
          <w:szCs w:val="24"/>
        </w:rPr>
        <w:t>Total Served and Demographics</w:t>
      </w:r>
      <w:r>
        <w:rPr>
          <w:sz w:val="24"/>
          <w:szCs w:val="24"/>
        </w:rPr>
        <w:t xml:space="preserve">: </w:t>
      </w:r>
      <w:r w:rsidR="00263A73">
        <w:rPr>
          <w:sz w:val="24"/>
          <w:szCs w:val="24"/>
        </w:rPr>
        <w:t>new</w:t>
      </w:r>
      <w:r>
        <w:rPr>
          <w:sz w:val="24"/>
          <w:szCs w:val="24"/>
        </w:rPr>
        <w:t xml:space="preserve"> individuals </w:t>
      </w:r>
      <w:r w:rsidR="00263A73">
        <w:rPr>
          <w:sz w:val="24"/>
          <w:szCs w:val="24"/>
        </w:rPr>
        <w:t>who received one or more service by the grant</w:t>
      </w:r>
    </w:p>
    <w:p w:rsidR="005B306E" w:rsidRPr="00D5792F" w:rsidP="005B306E" w14:paraId="30D9FAE6" w14:textId="34B63E6F">
      <w:pPr>
        <w:pStyle w:val="ListParagraph"/>
        <w:numPr>
          <w:ilvl w:val="0"/>
          <w:numId w:val="5"/>
        </w:numPr>
        <w:spacing w:after="120"/>
        <w:ind w:left="360"/>
        <w:rPr>
          <w:sz w:val="24"/>
          <w:szCs w:val="24"/>
        </w:rPr>
      </w:pPr>
      <w:r w:rsidRPr="36005321">
        <w:rPr>
          <w:b/>
          <w:bCs/>
          <w:sz w:val="24"/>
          <w:szCs w:val="24"/>
        </w:rPr>
        <w:t>Awareness</w:t>
      </w:r>
      <w:r w:rsidRPr="36005321" w:rsidR="00E47B35">
        <w:rPr>
          <w:sz w:val="24"/>
          <w:szCs w:val="24"/>
        </w:rPr>
        <w:t xml:space="preserve">: </w:t>
      </w:r>
      <w:r w:rsidRPr="36005321" w:rsidR="331FB593">
        <w:rPr>
          <w:sz w:val="24"/>
          <w:szCs w:val="24"/>
        </w:rPr>
        <w:t xml:space="preserve">broad </w:t>
      </w:r>
      <w:r w:rsidRPr="36005321" w:rsidR="00E47B35">
        <w:rPr>
          <w:sz w:val="24"/>
          <w:szCs w:val="24"/>
        </w:rPr>
        <w:t>messaging</w:t>
      </w:r>
      <w:r w:rsidRPr="36005321" w:rsidR="56485544">
        <w:rPr>
          <w:sz w:val="24"/>
          <w:szCs w:val="24"/>
        </w:rPr>
        <w:t xml:space="preserve"> to communities and populations</w:t>
      </w:r>
    </w:p>
    <w:p w:rsidR="00E47B35" w:rsidRPr="00D5792F" w:rsidP="004A0E07" w14:paraId="7FCC5618" w14:textId="00BACC23">
      <w:pPr>
        <w:pStyle w:val="ListParagraph"/>
        <w:numPr>
          <w:ilvl w:val="0"/>
          <w:numId w:val="5"/>
        </w:numPr>
        <w:spacing w:after="120"/>
        <w:ind w:left="360"/>
        <w:rPr>
          <w:sz w:val="24"/>
          <w:szCs w:val="24"/>
        </w:rPr>
      </w:pPr>
      <w:r w:rsidRPr="00D5792F">
        <w:rPr>
          <w:b/>
          <w:bCs/>
          <w:sz w:val="24"/>
          <w:szCs w:val="24"/>
        </w:rPr>
        <w:t>Outreach</w:t>
      </w:r>
      <w:r w:rsidRPr="00D5792F">
        <w:rPr>
          <w:sz w:val="24"/>
          <w:szCs w:val="24"/>
        </w:rPr>
        <w:t>: one-on-one communication efforts with individuals outside of the clinical setting to encourage care seeking, improve access to care, linkage to care, and retention in care</w:t>
      </w:r>
    </w:p>
    <w:p w:rsidR="004A0E07" w:rsidRPr="00D5792F" w:rsidP="005B306E" w14:paraId="33A8F827" w14:textId="16C4468A">
      <w:pPr>
        <w:pStyle w:val="ListParagraph"/>
        <w:numPr>
          <w:ilvl w:val="0"/>
          <w:numId w:val="5"/>
        </w:numPr>
        <w:spacing w:after="120"/>
        <w:ind w:left="360"/>
        <w:rPr>
          <w:b/>
          <w:bCs/>
          <w:sz w:val="24"/>
          <w:szCs w:val="24"/>
        </w:rPr>
      </w:pPr>
      <w:r w:rsidRPr="00D5792F">
        <w:rPr>
          <w:b/>
          <w:bCs/>
          <w:sz w:val="24"/>
          <w:szCs w:val="24"/>
        </w:rPr>
        <w:t xml:space="preserve">Prevention </w:t>
      </w:r>
      <w:r w:rsidR="00C14FEA">
        <w:rPr>
          <w:b/>
          <w:bCs/>
          <w:sz w:val="24"/>
          <w:szCs w:val="24"/>
        </w:rPr>
        <w:t xml:space="preserve">Activities </w:t>
      </w:r>
      <w:r w:rsidRPr="00D5792F">
        <w:rPr>
          <w:b/>
          <w:bCs/>
          <w:sz w:val="24"/>
          <w:szCs w:val="24"/>
        </w:rPr>
        <w:t>and Education</w:t>
      </w:r>
      <w:r w:rsidRPr="00D5792F" w:rsidR="00C64497">
        <w:rPr>
          <w:sz w:val="24"/>
          <w:szCs w:val="24"/>
        </w:rPr>
        <w:t>: components of universal prevention strategies delivered to individuals through one-on-one brief interactions or group setting activities</w:t>
      </w:r>
    </w:p>
    <w:p w:rsidR="005163CE" w:rsidRPr="002E4054" w:rsidP="005B306E" w14:paraId="61D0EF3D" w14:textId="18100A08">
      <w:pPr>
        <w:pStyle w:val="ListParagraph"/>
        <w:numPr>
          <w:ilvl w:val="0"/>
          <w:numId w:val="5"/>
        </w:numPr>
        <w:spacing w:after="120"/>
        <w:ind w:left="360"/>
        <w:rPr>
          <w:b/>
          <w:bCs/>
          <w:sz w:val="24"/>
          <w:szCs w:val="24"/>
        </w:rPr>
      </w:pPr>
      <w:r w:rsidRPr="36005321">
        <w:rPr>
          <w:b/>
          <w:bCs/>
          <w:sz w:val="24"/>
          <w:szCs w:val="24"/>
        </w:rPr>
        <w:t>Screen</w:t>
      </w:r>
      <w:r w:rsidRPr="36005321" w:rsidR="003F12A5">
        <w:rPr>
          <w:b/>
          <w:bCs/>
          <w:sz w:val="24"/>
          <w:szCs w:val="24"/>
        </w:rPr>
        <w:t>ing</w:t>
      </w:r>
      <w:r w:rsidRPr="36005321">
        <w:rPr>
          <w:b/>
          <w:bCs/>
          <w:sz w:val="24"/>
          <w:szCs w:val="24"/>
        </w:rPr>
        <w:t xml:space="preserve">, </w:t>
      </w:r>
      <w:r w:rsidR="002D5B3C">
        <w:rPr>
          <w:b/>
          <w:bCs/>
          <w:sz w:val="24"/>
          <w:szCs w:val="24"/>
        </w:rPr>
        <w:t>Assessment, and Testing</w:t>
      </w:r>
      <w:r w:rsidR="00E44503">
        <w:rPr>
          <w:sz w:val="24"/>
          <w:szCs w:val="24"/>
        </w:rPr>
        <w:t>:</w:t>
      </w:r>
      <w:r w:rsidRPr="36005321" w:rsidR="00FC46AA">
        <w:rPr>
          <w:sz w:val="24"/>
          <w:szCs w:val="24"/>
        </w:rPr>
        <w:t xml:space="preserve"> efforts to identify individuals with behavioral health and related </w:t>
      </w:r>
      <w:r w:rsidRPr="36005321" w:rsidR="0028743E">
        <w:rPr>
          <w:sz w:val="24"/>
          <w:szCs w:val="24"/>
        </w:rPr>
        <w:t>social needs</w:t>
      </w:r>
    </w:p>
    <w:p w:rsidR="002D5B3C" w:rsidRPr="006E23DD" w:rsidP="005B306E" w14:paraId="7D0F86B0" w14:textId="345985D7">
      <w:pPr>
        <w:pStyle w:val="ListParagraph"/>
        <w:numPr>
          <w:ilvl w:val="0"/>
          <w:numId w:val="5"/>
        </w:numPr>
        <w:spacing w:after="120"/>
        <w:ind w:left="360"/>
        <w:rPr>
          <w:b/>
          <w:bCs/>
          <w:sz w:val="24"/>
          <w:szCs w:val="24"/>
        </w:rPr>
      </w:pPr>
      <w:r w:rsidRPr="36005321">
        <w:rPr>
          <w:b/>
          <w:bCs/>
          <w:sz w:val="24"/>
          <w:szCs w:val="24"/>
        </w:rPr>
        <w:t>Referral</w:t>
      </w:r>
      <w:r w:rsidR="00E44503">
        <w:rPr>
          <w:sz w:val="24"/>
          <w:szCs w:val="24"/>
        </w:rPr>
        <w:t>:</w:t>
      </w:r>
      <w:r w:rsidR="00087150">
        <w:rPr>
          <w:b/>
          <w:bCs/>
          <w:sz w:val="24"/>
          <w:szCs w:val="24"/>
        </w:rPr>
        <w:t xml:space="preserve"> </w:t>
      </w:r>
      <w:r w:rsidR="00087150">
        <w:rPr>
          <w:sz w:val="24"/>
          <w:szCs w:val="24"/>
        </w:rPr>
        <w:t xml:space="preserve">efforts to connect the individuals identified with </w:t>
      </w:r>
      <w:r w:rsidR="006E23DD">
        <w:rPr>
          <w:sz w:val="24"/>
          <w:szCs w:val="24"/>
        </w:rPr>
        <w:t>behavioral health needs with the appropriate services</w:t>
      </w:r>
    </w:p>
    <w:p w:rsidR="006E23DD" w:rsidP="005B306E" w14:paraId="45206B88" w14:textId="0B482A93">
      <w:pPr>
        <w:pStyle w:val="ListParagraph"/>
        <w:numPr>
          <w:ilvl w:val="0"/>
          <w:numId w:val="5"/>
        </w:numPr>
        <w:spacing w:after="120"/>
        <w:ind w:left="360"/>
        <w:rPr>
          <w:b/>
          <w:bCs/>
          <w:sz w:val="24"/>
          <w:szCs w:val="24"/>
        </w:rPr>
      </w:pPr>
      <w:r>
        <w:rPr>
          <w:b/>
          <w:bCs/>
          <w:sz w:val="24"/>
          <w:szCs w:val="24"/>
        </w:rPr>
        <w:t>Access and Linkage to Care or Treatment</w:t>
      </w:r>
      <w:r w:rsidR="00E44503">
        <w:rPr>
          <w:sz w:val="24"/>
          <w:szCs w:val="24"/>
        </w:rPr>
        <w:t>:</w:t>
      </w:r>
      <w:r>
        <w:rPr>
          <w:b/>
          <w:bCs/>
          <w:sz w:val="24"/>
          <w:szCs w:val="24"/>
        </w:rPr>
        <w:t xml:space="preserve"> </w:t>
      </w:r>
      <w:r w:rsidR="00D46430">
        <w:rPr>
          <w:sz w:val="24"/>
          <w:szCs w:val="24"/>
        </w:rPr>
        <w:t xml:space="preserve">ensuring those identified with behavioral health needs are successfully linked to </w:t>
      </w:r>
      <w:r w:rsidR="00604BF3">
        <w:rPr>
          <w:sz w:val="24"/>
          <w:szCs w:val="24"/>
        </w:rPr>
        <w:t>the services for which they were referred</w:t>
      </w:r>
    </w:p>
    <w:p w:rsidR="002E4054" w:rsidRPr="0091202F" w:rsidP="005B306E" w14:paraId="1EA3AD53" w14:textId="6198E85D">
      <w:pPr>
        <w:pStyle w:val="ListParagraph"/>
        <w:numPr>
          <w:ilvl w:val="0"/>
          <w:numId w:val="5"/>
        </w:numPr>
        <w:spacing w:after="120"/>
        <w:ind w:left="360"/>
        <w:rPr>
          <w:b/>
          <w:bCs/>
          <w:sz w:val="24"/>
          <w:szCs w:val="24"/>
        </w:rPr>
      </w:pPr>
      <w:r w:rsidRPr="30BB1331">
        <w:rPr>
          <w:b/>
          <w:bCs/>
          <w:sz w:val="24"/>
          <w:szCs w:val="24"/>
        </w:rPr>
        <w:t>Brief Intervention</w:t>
      </w:r>
      <w:r w:rsidRPr="30BB1331" w:rsidR="59F93F2F">
        <w:rPr>
          <w:b/>
          <w:bCs/>
          <w:sz w:val="24"/>
          <w:szCs w:val="24"/>
        </w:rPr>
        <w:t xml:space="preserve"> and </w:t>
      </w:r>
      <w:r w:rsidRPr="30BB1331">
        <w:rPr>
          <w:b/>
          <w:bCs/>
          <w:sz w:val="24"/>
          <w:szCs w:val="24"/>
        </w:rPr>
        <w:t>Services</w:t>
      </w:r>
      <w:r w:rsidR="00E44503">
        <w:rPr>
          <w:sz w:val="24"/>
          <w:szCs w:val="24"/>
        </w:rPr>
        <w:t>:</w:t>
      </w:r>
      <w:r w:rsidRPr="30BB1331">
        <w:rPr>
          <w:b/>
          <w:bCs/>
          <w:sz w:val="24"/>
          <w:szCs w:val="24"/>
        </w:rPr>
        <w:t xml:space="preserve"> </w:t>
      </w:r>
      <w:r w:rsidRPr="30BB1331" w:rsidR="00173EE5">
        <w:rPr>
          <w:sz w:val="24"/>
          <w:szCs w:val="24"/>
        </w:rPr>
        <w:t>recei</w:t>
      </w:r>
      <w:r w:rsidRPr="30BB1331" w:rsidR="00A73731">
        <w:rPr>
          <w:sz w:val="24"/>
          <w:szCs w:val="24"/>
        </w:rPr>
        <w:t>pt of</w:t>
      </w:r>
      <w:r w:rsidRPr="30BB1331" w:rsidR="00173EE5">
        <w:rPr>
          <w:sz w:val="24"/>
          <w:szCs w:val="24"/>
        </w:rPr>
        <w:t xml:space="preserve"> specific services and supports through the grant program</w:t>
      </w:r>
    </w:p>
    <w:p w:rsidR="0091202F" w:rsidRPr="00D5792F" w:rsidP="005B306E" w14:paraId="1A05EF50" w14:textId="15014D13">
      <w:pPr>
        <w:pStyle w:val="ListParagraph"/>
        <w:numPr>
          <w:ilvl w:val="0"/>
          <w:numId w:val="5"/>
        </w:numPr>
        <w:spacing w:after="120"/>
        <w:ind w:left="360"/>
        <w:rPr>
          <w:b/>
          <w:bCs/>
          <w:sz w:val="24"/>
          <w:szCs w:val="24"/>
        </w:rPr>
      </w:pPr>
      <w:r>
        <w:rPr>
          <w:b/>
          <w:bCs/>
          <w:sz w:val="24"/>
          <w:szCs w:val="24"/>
        </w:rPr>
        <w:t>Behavioral Health Crisis</w:t>
      </w:r>
      <w:r w:rsidR="00E44503">
        <w:rPr>
          <w:sz w:val="24"/>
          <w:szCs w:val="24"/>
        </w:rPr>
        <w:t>:</w:t>
      </w:r>
      <w:r>
        <w:rPr>
          <w:b/>
          <w:bCs/>
          <w:sz w:val="24"/>
          <w:szCs w:val="24"/>
        </w:rPr>
        <w:t xml:space="preserve"> </w:t>
      </w:r>
      <w:r w:rsidR="0059175F">
        <w:rPr>
          <w:sz w:val="24"/>
          <w:szCs w:val="24"/>
        </w:rPr>
        <w:t xml:space="preserve">services provided related to behavioral health crisis </w:t>
      </w:r>
      <w:r w:rsidR="008831D6">
        <w:rPr>
          <w:sz w:val="24"/>
          <w:szCs w:val="24"/>
        </w:rPr>
        <w:t>where the programs cannot, by design, collect personally identifiable information (PII) in order to report unduplicated individuals</w:t>
      </w:r>
    </w:p>
    <w:p w:rsidR="00160FB1" w:rsidRPr="00D5792F" w:rsidP="00160FB1" w14:paraId="3CA9A6AE" w14:textId="77777777">
      <w:pPr>
        <w:pStyle w:val="ListParagraph"/>
        <w:numPr>
          <w:ilvl w:val="0"/>
          <w:numId w:val="5"/>
        </w:numPr>
        <w:spacing w:after="120"/>
        <w:ind w:left="360"/>
        <w:rPr>
          <w:b/>
          <w:bCs/>
          <w:sz w:val="24"/>
          <w:szCs w:val="24"/>
        </w:rPr>
      </w:pPr>
      <w:r w:rsidRPr="36005321">
        <w:rPr>
          <w:b/>
          <w:bCs/>
          <w:sz w:val="24"/>
          <w:szCs w:val="24"/>
        </w:rPr>
        <w:t>Training and Workforce Development</w:t>
      </w:r>
      <w:r w:rsidRPr="36005321">
        <w:rPr>
          <w:sz w:val="24"/>
          <w:szCs w:val="24"/>
        </w:rPr>
        <w:t xml:space="preserve">: training and program activities to improve the behavioral health workforce </w:t>
      </w:r>
    </w:p>
    <w:p w:rsidR="00160FB1" w:rsidRPr="00160FB1" w:rsidP="002D5B3C" w14:paraId="6264CA9F" w14:textId="282ACC19">
      <w:pPr>
        <w:pStyle w:val="ListParagraph"/>
        <w:numPr>
          <w:ilvl w:val="0"/>
          <w:numId w:val="5"/>
        </w:numPr>
        <w:spacing w:after="120"/>
        <w:ind w:left="360"/>
        <w:rPr>
          <w:sz w:val="24"/>
          <w:szCs w:val="24"/>
        </w:rPr>
      </w:pPr>
      <w:r>
        <w:rPr>
          <w:b/>
          <w:bCs/>
          <w:sz w:val="24"/>
          <w:szCs w:val="24"/>
        </w:rPr>
        <w:t>Individual Outcomes</w:t>
      </w:r>
      <w:r w:rsidR="00E44503">
        <w:rPr>
          <w:sz w:val="24"/>
          <w:szCs w:val="24"/>
        </w:rPr>
        <w:t>:</w:t>
      </w:r>
      <w:r w:rsidR="00F34055">
        <w:rPr>
          <w:sz w:val="24"/>
          <w:szCs w:val="24"/>
        </w:rPr>
        <w:t xml:space="preserve"> outcomes related to</w:t>
      </w:r>
      <w:r w:rsidR="00C74BC1">
        <w:rPr>
          <w:sz w:val="24"/>
          <w:szCs w:val="24"/>
        </w:rPr>
        <w:t xml:space="preserve"> grant program goals</w:t>
      </w:r>
    </w:p>
    <w:p w:rsidR="002D5B3C" w:rsidRPr="00D5792F" w:rsidP="002D5B3C" w14:paraId="53079446" w14:textId="086434AF">
      <w:pPr>
        <w:pStyle w:val="ListParagraph"/>
        <w:numPr>
          <w:ilvl w:val="0"/>
          <w:numId w:val="5"/>
        </w:numPr>
        <w:spacing w:after="120"/>
        <w:ind w:left="360"/>
        <w:rPr>
          <w:sz w:val="24"/>
          <w:szCs w:val="24"/>
        </w:rPr>
      </w:pPr>
      <w:r>
        <w:rPr>
          <w:b/>
          <w:bCs/>
          <w:sz w:val="24"/>
          <w:szCs w:val="24"/>
        </w:rPr>
        <w:t>Stakeholder Engagement</w:t>
      </w:r>
      <w:r w:rsidRPr="36005321">
        <w:rPr>
          <w:sz w:val="24"/>
          <w:szCs w:val="24"/>
        </w:rPr>
        <w:t xml:space="preserve">: opportunities for meaningful involvement and representation </w:t>
      </w:r>
      <w:r w:rsidR="00232413">
        <w:rPr>
          <w:sz w:val="24"/>
          <w:szCs w:val="24"/>
        </w:rPr>
        <w:t xml:space="preserve">of people with lived experience </w:t>
      </w:r>
      <w:r w:rsidRPr="36005321">
        <w:rPr>
          <w:sz w:val="24"/>
          <w:szCs w:val="24"/>
        </w:rPr>
        <w:t>within grant program activities</w:t>
      </w:r>
    </w:p>
    <w:p w:rsidR="00C14FEA" w:rsidRPr="00D5792F" w:rsidP="00C14FEA" w14:paraId="12C59B14" w14:textId="77777777">
      <w:pPr>
        <w:pStyle w:val="ListParagraph"/>
        <w:numPr>
          <w:ilvl w:val="0"/>
          <w:numId w:val="5"/>
        </w:numPr>
        <w:spacing w:after="120"/>
        <w:ind w:left="360"/>
        <w:rPr>
          <w:sz w:val="24"/>
          <w:szCs w:val="24"/>
        </w:rPr>
      </w:pPr>
      <w:r w:rsidRPr="36005321">
        <w:rPr>
          <w:b/>
          <w:bCs/>
          <w:sz w:val="24"/>
          <w:szCs w:val="24"/>
        </w:rPr>
        <w:t>Partnership/Collaboration</w:t>
      </w:r>
      <w:r w:rsidRPr="36005321">
        <w:rPr>
          <w:sz w:val="24"/>
          <w:szCs w:val="24"/>
        </w:rPr>
        <w:t>: grantee partnerships or collaborations needed to achieve program goals</w:t>
      </w:r>
    </w:p>
    <w:p w:rsidR="005163CE" w:rsidP="005163CE" w14:paraId="7B36E3D3" w14:textId="7B2E50CE">
      <w:pPr>
        <w:pStyle w:val="ListParagraph"/>
        <w:numPr>
          <w:ilvl w:val="0"/>
          <w:numId w:val="5"/>
        </w:numPr>
        <w:spacing w:after="120"/>
        <w:ind w:left="360"/>
        <w:rPr>
          <w:sz w:val="24"/>
          <w:szCs w:val="24"/>
        </w:rPr>
      </w:pPr>
      <w:r>
        <w:rPr>
          <w:b/>
          <w:bCs/>
          <w:sz w:val="24"/>
          <w:szCs w:val="24"/>
        </w:rPr>
        <w:t>Infrastructure Development, Prevention and Mental Health Promotion</w:t>
      </w:r>
      <w:r w:rsidR="00291062">
        <w:rPr>
          <w:sz w:val="24"/>
          <w:szCs w:val="24"/>
        </w:rPr>
        <w:t>:</w:t>
      </w:r>
      <w:r w:rsidR="00A73731">
        <w:rPr>
          <w:sz w:val="24"/>
          <w:szCs w:val="24"/>
        </w:rPr>
        <w:t xml:space="preserve"> </w:t>
      </w:r>
      <w:r>
        <w:rPr>
          <w:sz w:val="24"/>
          <w:szCs w:val="24"/>
        </w:rPr>
        <w:t xml:space="preserve">legacy indicators </w:t>
      </w:r>
      <w:r w:rsidR="000A0827">
        <w:rPr>
          <w:sz w:val="24"/>
          <w:szCs w:val="24"/>
        </w:rPr>
        <w:t xml:space="preserve">that are being used </w:t>
      </w:r>
      <w:r w:rsidR="00B8319C">
        <w:rPr>
          <w:sz w:val="24"/>
          <w:szCs w:val="24"/>
        </w:rPr>
        <w:t>in a grant program that is in the middle of a national cross-site evaluation</w:t>
      </w:r>
      <w:r w:rsidR="00430BE2">
        <w:rPr>
          <w:sz w:val="24"/>
          <w:szCs w:val="24"/>
        </w:rPr>
        <w:t xml:space="preserve">, measuring behavioral health crisis-related </w:t>
      </w:r>
      <w:r w:rsidR="00EC7970">
        <w:rPr>
          <w:sz w:val="24"/>
          <w:szCs w:val="24"/>
        </w:rPr>
        <w:t>grantee efforts</w:t>
      </w:r>
    </w:p>
    <w:p w:rsidR="00B550BC" w:rsidRPr="00D5792F" w:rsidP="005163CE" w14:paraId="22C5DBB7" w14:textId="24414FC5">
      <w:pPr>
        <w:pStyle w:val="ListParagraph"/>
        <w:numPr>
          <w:ilvl w:val="0"/>
          <w:numId w:val="5"/>
        </w:numPr>
        <w:spacing w:after="120"/>
        <w:ind w:left="360"/>
        <w:rPr>
          <w:sz w:val="24"/>
          <w:szCs w:val="24"/>
        </w:rPr>
      </w:pPr>
      <w:r>
        <w:rPr>
          <w:b/>
          <w:bCs/>
          <w:sz w:val="24"/>
          <w:szCs w:val="24"/>
        </w:rPr>
        <w:t>Quarterly Narrative</w:t>
      </w:r>
      <w:r w:rsidR="00E44503">
        <w:rPr>
          <w:sz w:val="24"/>
          <w:szCs w:val="24"/>
        </w:rPr>
        <w:t xml:space="preserve">: </w:t>
      </w:r>
      <w:r w:rsidR="00B623DA">
        <w:rPr>
          <w:sz w:val="24"/>
          <w:szCs w:val="24"/>
        </w:rPr>
        <w:t>brief success stories</w:t>
      </w:r>
      <w:r w:rsidR="00AF464D">
        <w:rPr>
          <w:sz w:val="24"/>
          <w:szCs w:val="24"/>
        </w:rPr>
        <w:t>,</w:t>
      </w:r>
      <w:r w:rsidR="00B623DA">
        <w:rPr>
          <w:sz w:val="24"/>
          <w:szCs w:val="24"/>
        </w:rPr>
        <w:t xml:space="preserve"> current struggles</w:t>
      </w:r>
      <w:r w:rsidR="00AF464D">
        <w:rPr>
          <w:sz w:val="24"/>
          <w:szCs w:val="24"/>
        </w:rPr>
        <w:t>,</w:t>
      </w:r>
      <w:r w:rsidR="00966550">
        <w:rPr>
          <w:sz w:val="24"/>
          <w:szCs w:val="24"/>
        </w:rPr>
        <w:t xml:space="preserve"> best practices,</w:t>
      </w:r>
      <w:r w:rsidR="00AF464D">
        <w:rPr>
          <w:sz w:val="24"/>
          <w:szCs w:val="24"/>
        </w:rPr>
        <w:t xml:space="preserve"> or comments related to the data entered</w:t>
      </w:r>
      <w:r w:rsidR="006C1C7E">
        <w:rPr>
          <w:sz w:val="24"/>
          <w:szCs w:val="24"/>
        </w:rPr>
        <w:t xml:space="preserve"> that</w:t>
      </w:r>
      <w:r w:rsidR="00AF464D">
        <w:rPr>
          <w:sz w:val="24"/>
          <w:szCs w:val="24"/>
        </w:rPr>
        <w:t xml:space="preserve"> </w:t>
      </w:r>
      <w:r w:rsidR="00C511DD">
        <w:rPr>
          <w:sz w:val="24"/>
          <w:szCs w:val="24"/>
        </w:rPr>
        <w:t>grantees</w:t>
      </w:r>
      <w:r w:rsidR="00AF464D">
        <w:rPr>
          <w:sz w:val="24"/>
          <w:szCs w:val="24"/>
        </w:rPr>
        <w:t xml:space="preserve"> may </w:t>
      </w:r>
      <w:r w:rsidR="00C511DD">
        <w:rPr>
          <w:sz w:val="24"/>
          <w:szCs w:val="24"/>
        </w:rPr>
        <w:t>want to share with their project officers</w:t>
      </w:r>
      <w:r w:rsidR="00AF464D">
        <w:rPr>
          <w:sz w:val="24"/>
          <w:szCs w:val="24"/>
        </w:rPr>
        <w:t xml:space="preserve"> </w:t>
      </w:r>
    </w:p>
    <w:p w:rsidR="005B306E" w:rsidRPr="00D5792F" w:rsidP="002847BD" w14:paraId="60253992" w14:textId="15BD8845">
      <w:pPr>
        <w:spacing w:after="120"/>
        <w:rPr>
          <w:sz w:val="24"/>
          <w:szCs w:val="24"/>
        </w:rPr>
      </w:pPr>
    </w:p>
    <w:p w:rsidR="005B306E" w:rsidRPr="00307AF7" w:rsidP="00307AF7" w14:paraId="0F1E9066" w14:textId="77777777">
      <w:pPr>
        <w:pStyle w:val="Heading4"/>
        <w:rPr>
          <w:color w:val="auto"/>
          <w:sz w:val="24"/>
          <w:szCs w:val="24"/>
        </w:rPr>
      </w:pPr>
      <w:r w:rsidRPr="00307AF7">
        <w:rPr>
          <w:color w:val="auto"/>
          <w:sz w:val="24"/>
          <w:szCs w:val="24"/>
        </w:rPr>
        <w:t>A</w:t>
      </w:r>
      <w:bookmarkStart w:id="0" w:name="_Int_8SnHUU45"/>
      <w:r w:rsidRPr="00307AF7">
        <w:rPr>
          <w:color w:val="auto"/>
          <w:sz w:val="24"/>
          <w:szCs w:val="24"/>
        </w:rPr>
        <w:t>3.</w:t>
      </w:r>
      <w:r w:rsidRPr="00307AF7">
        <w:rPr>
          <w:color w:val="auto"/>
          <w:sz w:val="24"/>
          <w:szCs w:val="24"/>
        </w:rPr>
        <w:tab/>
      </w:r>
      <w:bookmarkEnd w:id="0"/>
      <w:r w:rsidRPr="00307AF7">
        <w:rPr>
          <w:color w:val="auto"/>
          <w:sz w:val="24"/>
          <w:szCs w:val="24"/>
        </w:rPr>
        <w:t xml:space="preserve">Uses of Information Technology </w:t>
      </w:r>
    </w:p>
    <w:p w:rsidR="005B306E" w:rsidRPr="00D5792F" w:rsidP="005B306E" w14:paraId="22966449" w14:textId="3E69A67C">
      <w:pPr>
        <w:spacing w:before="240"/>
        <w:rPr>
          <w:sz w:val="24"/>
          <w:szCs w:val="24"/>
        </w:rPr>
      </w:pPr>
      <w:r w:rsidRPr="00D5792F">
        <w:rPr>
          <w:sz w:val="24"/>
          <w:szCs w:val="24"/>
        </w:rPr>
        <w:t xml:space="preserve">Information technology is used to reduce grantee respondent burden. A web-based entry system, SAMHSA’s Performance Accountability and Reporting System (SPARS) is currently used and available to all discretionary grant programs for data collection. As a web-based system, SUPRT-P allows for easy data entry, submission, and reporting to all those who have access to the system. Levels of access have been defined for users based on their authority and responsibilities regarding the data and reports. Access to the data and reports is limited to those individuals with a username and password. </w:t>
      </w:r>
      <w:r w:rsidRPr="00D5792F" w:rsidR="00F43D2C">
        <w:rPr>
          <w:sz w:val="24"/>
          <w:szCs w:val="24"/>
        </w:rPr>
        <w:t xml:space="preserve">Grantees will log into SPARS to access SUPRT-P. </w:t>
      </w:r>
    </w:p>
    <w:p w:rsidR="00C96F26" w:rsidRPr="00D5792F" w:rsidP="005B306E" w14:paraId="5684396B" w14:textId="28DD26AF">
      <w:pPr>
        <w:spacing w:before="240"/>
        <w:rPr>
          <w:sz w:val="24"/>
          <w:szCs w:val="24"/>
        </w:rPr>
      </w:pPr>
      <w:r>
        <w:rPr>
          <w:noProof/>
        </w:rPr>
        <w:drawing>
          <wp:inline distT="0" distB="0" distL="0" distR="0">
            <wp:extent cx="5943600" cy="2257079"/>
            <wp:effectExtent l="0" t="0" r="0" b="0"/>
            <wp:docPr id="1304730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30168" name=""/>
                    <pic:cNvPicPr/>
                  </pic:nvPicPr>
                  <pic:blipFill>
                    <a:blip xmlns:r="http://schemas.openxmlformats.org/officeDocument/2006/relationships" r:embed="rId7"/>
                    <a:srcRect l="22479" t="10626" r="22933" b="51098"/>
                    <a:stretch>
                      <a:fillRect/>
                    </a:stretch>
                  </pic:blipFill>
                  <pic:spPr bwMode="auto">
                    <a:xfrm>
                      <a:off x="0" y="0"/>
                      <a:ext cx="5943600" cy="225707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B306E" w:rsidRPr="00D5792F" w:rsidP="005B306E" w14:paraId="7E920614" w14:textId="77777777">
      <w:pPr>
        <w:rPr>
          <w:sz w:val="24"/>
          <w:szCs w:val="24"/>
        </w:rPr>
      </w:pPr>
    </w:p>
    <w:p w:rsidR="005B306E" w:rsidRPr="00D5792F" w:rsidP="005B306E" w14:paraId="43002AFF" w14:textId="30FFA2D1">
      <w:pPr>
        <w:rPr>
          <w:sz w:val="24"/>
          <w:szCs w:val="24"/>
        </w:rPr>
      </w:pPr>
      <w:r w:rsidRPr="00D5792F">
        <w:rPr>
          <w:sz w:val="24"/>
          <w:szCs w:val="24"/>
        </w:rPr>
        <w:t xml:space="preserve">Electronic submission of </w:t>
      </w:r>
      <w:r w:rsidRPr="378245C4" w:rsidR="3D09F368">
        <w:rPr>
          <w:sz w:val="24"/>
          <w:szCs w:val="24"/>
        </w:rPr>
        <w:t>data</w:t>
      </w:r>
      <w:r w:rsidRPr="00D5792F">
        <w:rPr>
          <w:sz w:val="24"/>
          <w:szCs w:val="24"/>
        </w:rPr>
        <w:t xml:space="preserve"> promotes enhanced data quality. With </w:t>
      </w:r>
      <w:r w:rsidRPr="378245C4" w:rsidR="1C3A9ED2">
        <w:rPr>
          <w:sz w:val="24"/>
          <w:szCs w:val="24"/>
        </w:rPr>
        <w:t>built-</w:t>
      </w:r>
      <w:r w:rsidRPr="00D5792F">
        <w:rPr>
          <w:sz w:val="24"/>
          <w:szCs w:val="24"/>
        </w:rPr>
        <w:t>in data quality checks and easy access to data outputs and reports, users of the data can feel confident about the quality of the output. Electronic submission also promotes immediate access to the dataset. Once data are entered into SUPRT-P, they are available for access, review, and reporting by all those with access to the system.</w:t>
      </w:r>
    </w:p>
    <w:p w:rsidR="005B306E" w:rsidRPr="00D5792F" w:rsidP="005B306E" w14:paraId="787E4AAE" w14:textId="77777777">
      <w:pPr>
        <w:ind w:left="720"/>
        <w:rPr>
          <w:sz w:val="24"/>
          <w:szCs w:val="24"/>
          <w:highlight w:val="yellow"/>
        </w:rPr>
      </w:pPr>
    </w:p>
    <w:p w:rsidR="005B306E" w:rsidRPr="00307AF7" w:rsidP="00307AF7" w14:paraId="2003F172" w14:textId="77777777">
      <w:pPr>
        <w:pStyle w:val="Heading4"/>
        <w:rPr>
          <w:i w:val="0"/>
          <w:iCs w:val="0"/>
          <w:color w:val="auto"/>
          <w:sz w:val="24"/>
          <w:szCs w:val="24"/>
        </w:rPr>
      </w:pPr>
      <w:r w:rsidRPr="00307AF7">
        <w:rPr>
          <w:i w:val="0"/>
          <w:iCs w:val="0"/>
          <w:color w:val="auto"/>
          <w:sz w:val="24"/>
          <w:szCs w:val="24"/>
        </w:rPr>
        <w:t>A</w:t>
      </w:r>
      <w:bookmarkStart w:id="1" w:name="_Int_LgJBtDGD"/>
      <w:r w:rsidRPr="00307AF7">
        <w:rPr>
          <w:i w:val="0"/>
          <w:iCs w:val="0"/>
          <w:color w:val="auto"/>
          <w:sz w:val="24"/>
          <w:szCs w:val="24"/>
        </w:rPr>
        <w:t>4.</w:t>
      </w:r>
      <w:r w:rsidRPr="00307AF7">
        <w:rPr>
          <w:i w:val="0"/>
          <w:iCs w:val="0"/>
          <w:color w:val="auto"/>
          <w:sz w:val="24"/>
          <w:szCs w:val="24"/>
        </w:rPr>
        <w:tab/>
      </w:r>
      <w:bookmarkEnd w:id="1"/>
      <w:r w:rsidRPr="00307AF7">
        <w:rPr>
          <w:i w:val="0"/>
          <w:iCs w:val="0"/>
          <w:color w:val="auto"/>
          <w:sz w:val="24"/>
          <w:szCs w:val="24"/>
        </w:rPr>
        <w:t>Efforts to Identify Duplication</w:t>
      </w:r>
    </w:p>
    <w:p w:rsidR="005B306E" w:rsidRPr="00D5792F" w:rsidP="005B306E" w14:paraId="52525C2F" w14:textId="7208BFE3">
      <w:pPr>
        <w:spacing w:before="240" w:after="240"/>
        <w:rPr>
          <w:sz w:val="24"/>
          <w:szCs w:val="24"/>
        </w:rPr>
      </w:pPr>
      <w:r>
        <w:rPr>
          <w:sz w:val="24"/>
          <w:szCs w:val="24"/>
        </w:rPr>
        <w:t xml:space="preserve">Grantees will not be required to respond to all SUPRT-P indicators; the selection of indicators will be determined on the basis of the grant program purpose, required activities, and objectives. </w:t>
      </w:r>
      <w:r w:rsidRPr="00D5792F">
        <w:rPr>
          <w:sz w:val="24"/>
          <w:szCs w:val="24"/>
        </w:rPr>
        <w:t xml:space="preserve">The items collected </w:t>
      </w:r>
      <w:r>
        <w:rPr>
          <w:sz w:val="24"/>
          <w:szCs w:val="24"/>
        </w:rPr>
        <w:t>will be those</w:t>
      </w:r>
      <w:r w:rsidRPr="00D5792F">
        <w:rPr>
          <w:sz w:val="24"/>
          <w:szCs w:val="24"/>
        </w:rPr>
        <w:t xml:space="preserve"> </w:t>
      </w:r>
      <w:r w:rsidRPr="00D5792F">
        <w:rPr>
          <w:sz w:val="24"/>
          <w:szCs w:val="24"/>
        </w:rPr>
        <w:t xml:space="preserve">necessary to assess </w:t>
      </w:r>
      <w:r w:rsidR="00C120FB">
        <w:rPr>
          <w:sz w:val="24"/>
          <w:szCs w:val="24"/>
        </w:rPr>
        <w:t xml:space="preserve">whether grantees implemented required activities and to monitor </w:t>
      </w:r>
      <w:r w:rsidRPr="00D5792F">
        <w:rPr>
          <w:sz w:val="24"/>
          <w:szCs w:val="24"/>
        </w:rPr>
        <w:t>grantee performance</w:t>
      </w:r>
      <w:r w:rsidR="00C120FB">
        <w:rPr>
          <w:sz w:val="24"/>
          <w:szCs w:val="24"/>
        </w:rPr>
        <w:t xml:space="preserve"> against goals.</w:t>
      </w:r>
      <w:r w:rsidRPr="00D5792F">
        <w:rPr>
          <w:sz w:val="24"/>
          <w:szCs w:val="24"/>
        </w:rPr>
        <w:t xml:space="preserve"> SAMHSA solely administers and monitors its discretionary grants programs. SAMHSA is promoting the use of consistent performance measures across all </w:t>
      </w:r>
      <w:r w:rsidR="00490A36">
        <w:rPr>
          <w:sz w:val="24"/>
          <w:szCs w:val="24"/>
        </w:rPr>
        <w:t>discretionary grant</w:t>
      </w:r>
      <w:r w:rsidRPr="00D5792F">
        <w:rPr>
          <w:sz w:val="24"/>
          <w:szCs w:val="24"/>
        </w:rPr>
        <w:t xml:space="preserve"> programs. This effort will result in less </w:t>
      </w:r>
      <w:r w:rsidRPr="00D5792F">
        <w:rPr>
          <w:sz w:val="24"/>
          <w:szCs w:val="24"/>
        </w:rPr>
        <w:t xml:space="preserve">overlap and duplication, reducing the burden on grantees and </w:t>
      </w:r>
      <w:r w:rsidR="00490A36">
        <w:rPr>
          <w:sz w:val="24"/>
          <w:szCs w:val="24"/>
        </w:rPr>
        <w:t>supported individuals</w:t>
      </w:r>
      <w:r w:rsidRPr="00D5792F" w:rsidR="00490A36">
        <w:rPr>
          <w:sz w:val="24"/>
          <w:szCs w:val="24"/>
        </w:rPr>
        <w:t xml:space="preserve"> </w:t>
      </w:r>
      <w:r w:rsidRPr="00D5792F">
        <w:rPr>
          <w:sz w:val="24"/>
          <w:szCs w:val="24"/>
        </w:rPr>
        <w:t>that can result from overlapping data demands.</w:t>
      </w:r>
    </w:p>
    <w:p w:rsidR="005B306E" w:rsidRPr="00307AF7" w:rsidP="00307AF7" w14:paraId="3CA752A3" w14:textId="77777777">
      <w:pPr>
        <w:pStyle w:val="Heading4"/>
        <w:rPr>
          <w:i w:val="0"/>
          <w:iCs w:val="0"/>
          <w:color w:val="auto"/>
          <w:sz w:val="24"/>
          <w:szCs w:val="24"/>
        </w:rPr>
      </w:pPr>
      <w:r w:rsidRPr="00307AF7">
        <w:rPr>
          <w:i w:val="0"/>
          <w:iCs w:val="0"/>
          <w:color w:val="auto"/>
          <w:sz w:val="24"/>
          <w:szCs w:val="24"/>
        </w:rPr>
        <w:t>A</w:t>
      </w:r>
      <w:bookmarkStart w:id="2" w:name="_Int_nR1zi8qo"/>
      <w:r w:rsidRPr="00307AF7">
        <w:rPr>
          <w:i w:val="0"/>
          <w:iCs w:val="0"/>
          <w:color w:val="auto"/>
          <w:sz w:val="24"/>
          <w:szCs w:val="24"/>
        </w:rPr>
        <w:t>5.</w:t>
      </w:r>
      <w:r w:rsidRPr="00307AF7">
        <w:rPr>
          <w:i w:val="0"/>
          <w:iCs w:val="0"/>
          <w:color w:val="auto"/>
          <w:sz w:val="24"/>
          <w:szCs w:val="24"/>
        </w:rPr>
        <w:tab/>
      </w:r>
      <w:bookmarkEnd w:id="2"/>
      <w:r w:rsidRPr="00307AF7">
        <w:rPr>
          <w:i w:val="0"/>
          <w:iCs w:val="0"/>
          <w:color w:val="auto"/>
          <w:sz w:val="24"/>
          <w:szCs w:val="24"/>
        </w:rPr>
        <w:t xml:space="preserve">Involvement of Small Entities </w:t>
      </w:r>
    </w:p>
    <w:p w:rsidR="005B306E" w:rsidRPr="00D5792F" w:rsidP="005B306E" w14:paraId="7A1A0FB4" w14:textId="77777777">
      <w:pPr>
        <w:rPr>
          <w:b/>
          <w:bCs/>
          <w:sz w:val="24"/>
          <w:szCs w:val="24"/>
        </w:rPr>
      </w:pPr>
    </w:p>
    <w:p w:rsidR="005B306E" w:rsidRPr="00D5792F" w:rsidP="005B306E" w14:paraId="54D95A16" w14:textId="774FD838">
      <w:pPr>
        <w:pStyle w:val="BodyTextIndent2"/>
        <w:spacing w:after="240"/>
        <w:ind w:left="0"/>
        <w:jc w:val="left"/>
        <w:rPr>
          <w:b/>
          <w:bCs/>
        </w:rPr>
      </w:pPr>
      <w:r w:rsidRPr="00D5792F">
        <w:t>Individual grantees vary from small entities to large organizations</w:t>
      </w:r>
      <w:r w:rsidR="00760918">
        <w:t>, including community-based organizations, schools and academic institutions, behavioral health providers, state and local government entities, Indian tribes and tribal organizations</w:t>
      </w:r>
      <w:r w:rsidRPr="00D5792F">
        <w:t xml:space="preserve">. Every effort has been made to reduce the number of data items collected from grantees to the least number required to accomplish the objectives of the effort </w:t>
      </w:r>
      <w:r w:rsidRPr="004E5528">
        <w:t>and to meet GPR</w:t>
      </w:r>
      <w:r w:rsidRPr="004E5528" w:rsidR="00760918">
        <w:t>MA</w:t>
      </w:r>
      <w:r w:rsidRPr="004E5528">
        <w:t xml:space="preserve"> reporting</w:t>
      </w:r>
      <w:r w:rsidRPr="00D5792F">
        <w:t xml:space="preserve"> requirements. Therefore, there is no significant impact for small entities. </w:t>
      </w:r>
    </w:p>
    <w:p w:rsidR="005B306E" w:rsidRPr="00307AF7" w:rsidP="00307AF7" w14:paraId="3161D4D6" w14:textId="77777777">
      <w:pPr>
        <w:pStyle w:val="Heading4"/>
        <w:rPr>
          <w:i w:val="0"/>
          <w:iCs w:val="0"/>
          <w:sz w:val="24"/>
          <w:szCs w:val="24"/>
        </w:rPr>
      </w:pPr>
      <w:r w:rsidRPr="00307AF7">
        <w:rPr>
          <w:i w:val="0"/>
          <w:iCs w:val="0"/>
          <w:color w:val="auto"/>
          <w:sz w:val="24"/>
          <w:szCs w:val="24"/>
        </w:rPr>
        <w:t>A</w:t>
      </w:r>
      <w:bookmarkStart w:id="3" w:name="_Int_nXNz750h"/>
      <w:r w:rsidRPr="00307AF7">
        <w:rPr>
          <w:i w:val="0"/>
          <w:iCs w:val="0"/>
          <w:color w:val="auto"/>
          <w:sz w:val="24"/>
          <w:szCs w:val="24"/>
        </w:rPr>
        <w:t>6.</w:t>
      </w:r>
      <w:r w:rsidRPr="00307AF7">
        <w:rPr>
          <w:i w:val="0"/>
          <w:iCs w:val="0"/>
          <w:color w:val="auto"/>
          <w:sz w:val="24"/>
          <w:szCs w:val="24"/>
        </w:rPr>
        <w:tab/>
      </w:r>
      <w:bookmarkEnd w:id="3"/>
      <w:r w:rsidRPr="00307AF7">
        <w:rPr>
          <w:i w:val="0"/>
          <w:iCs w:val="0"/>
          <w:color w:val="auto"/>
          <w:sz w:val="24"/>
          <w:szCs w:val="24"/>
        </w:rPr>
        <w:t>Consequences if Information Collected Less Frequently</w:t>
      </w:r>
    </w:p>
    <w:p w:rsidR="005B306E" w:rsidRPr="00D5792F" w:rsidP="005B306E" w14:paraId="112EDD3A" w14:textId="77777777">
      <w:pPr>
        <w:spacing w:before="240"/>
        <w:rPr>
          <w:sz w:val="24"/>
          <w:szCs w:val="24"/>
        </w:rPr>
      </w:pPr>
      <w:bookmarkStart w:id="4" w:name="_Hlk171927178"/>
      <w:r w:rsidRPr="00D5792F">
        <w:rPr>
          <w:sz w:val="24"/>
          <w:szCs w:val="24"/>
        </w:rPr>
        <w:t xml:space="preserve">SAMHSA expects that the discretionary grant programs </w:t>
      </w:r>
      <w:bookmarkEnd w:id="4"/>
      <w:r w:rsidRPr="00D5792F">
        <w:rPr>
          <w:sz w:val="24"/>
          <w:szCs w:val="24"/>
        </w:rPr>
        <w:t>report goals and collect data quarterly and annually based on requirements set forth for specific indicators and grants. Collecting the information less frequently would not allow SAMHSA to properly monitor grantees.</w:t>
      </w:r>
    </w:p>
    <w:p w:rsidR="005B306E" w:rsidRPr="00D5792F" w:rsidP="005B306E" w14:paraId="4DE9B87C" w14:textId="77777777">
      <w:pPr>
        <w:ind w:left="720"/>
        <w:rPr>
          <w:sz w:val="24"/>
          <w:szCs w:val="24"/>
        </w:rPr>
      </w:pPr>
    </w:p>
    <w:p w:rsidR="005B306E" w:rsidRPr="00307AF7" w:rsidP="00307AF7" w14:paraId="1A5752A7" w14:textId="77777777">
      <w:pPr>
        <w:pStyle w:val="Heading4"/>
        <w:rPr>
          <w:i w:val="0"/>
          <w:iCs w:val="0"/>
          <w:color w:val="auto"/>
          <w:sz w:val="24"/>
          <w:szCs w:val="24"/>
        </w:rPr>
      </w:pPr>
      <w:r w:rsidRPr="00307AF7">
        <w:rPr>
          <w:i w:val="0"/>
          <w:iCs w:val="0"/>
          <w:color w:val="auto"/>
          <w:sz w:val="24"/>
          <w:szCs w:val="24"/>
        </w:rPr>
        <w:t>A</w:t>
      </w:r>
      <w:bookmarkStart w:id="5" w:name="_Int_HBV1Yspg"/>
      <w:r w:rsidRPr="00307AF7">
        <w:rPr>
          <w:i w:val="0"/>
          <w:iCs w:val="0"/>
          <w:color w:val="auto"/>
          <w:sz w:val="24"/>
          <w:szCs w:val="24"/>
        </w:rPr>
        <w:t>7.</w:t>
      </w:r>
      <w:r w:rsidRPr="00307AF7">
        <w:rPr>
          <w:i w:val="0"/>
          <w:iCs w:val="0"/>
          <w:color w:val="auto"/>
          <w:sz w:val="24"/>
          <w:szCs w:val="24"/>
        </w:rPr>
        <w:tab/>
      </w:r>
      <w:bookmarkEnd w:id="5"/>
      <w:r w:rsidRPr="00307AF7">
        <w:rPr>
          <w:i w:val="0"/>
          <w:iCs w:val="0"/>
          <w:color w:val="auto"/>
          <w:sz w:val="24"/>
          <w:szCs w:val="24"/>
        </w:rPr>
        <w:t>Consistency with the Guidelines in 5 CFR 1320.5(d)(2)</w:t>
      </w:r>
    </w:p>
    <w:p w:rsidR="005B306E" w:rsidRPr="00D5792F" w:rsidP="005B306E" w14:paraId="230A8FD6" w14:textId="77777777">
      <w:pPr>
        <w:rPr>
          <w:b/>
          <w:bCs/>
          <w:sz w:val="24"/>
          <w:szCs w:val="24"/>
        </w:rPr>
      </w:pPr>
    </w:p>
    <w:p w:rsidR="005B306E" w:rsidRPr="00D5792F" w:rsidP="005B306E" w14:paraId="673CBCF0" w14:textId="77777777">
      <w:pPr>
        <w:spacing w:after="240"/>
        <w:rPr>
          <w:sz w:val="24"/>
          <w:szCs w:val="24"/>
        </w:rPr>
      </w:pPr>
      <w:r w:rsidRPr="00D5792F">
        <w:rPr>
          <w:sz w:val="24"/>
          <w:szCs w:val="24"/>
        </w:rPr>
        <w:t>This information collection fully complies with the guidelines in 5 CFR 1320.5(d)(2).</w:t>
      </w:r>
    </w:p>
    <w:p w:rsidR="005B306E" w:rsidRPr="00307AF7" w:rsidP="00307AF7" w14:paraId="202925DF" w14:textId="77777777">
      <w:pPr>
        <w:pStyle w:val="Heading4"/>
        <w:rPr>
          <w:i w:val="0"/>
          <w:iCs w:val="0"/>
          <w:color w:val="auto"/>
          <w:sz w:val="24"/>
          <w:szCs w:val="24"/>
        </w:rPr>
      </w:pPr>
      <w:r w:rsidRPr="00307AF7">
        <w:rPr>
          <w:i w:val="0"/>
          <w:iCs w:val="0"/>
          <w:color w:val="auto"/>
          <w:sz w:val="24"/>
          <w:szCs w:val="24"/>
        </w:rPr>
        <w:t>A</w:t>
      </w:r>
      <w:bookmarkStart w:id="6" w:name="_Int_DheP9NEr"/>
      <w:r w:rsidRPr="00307AF7">
        <w:rPr>
          <w:i w:val="0"/>
          <w:iCs w:val="0"/>
          <w:color w:val="auto"/>
          <w:sz w:val="24"/>
          <w:szCs w:val="24"/>
        </w:rPr>
        <w:t>8.</w:t>
      </w:r>
      <w:r w:rsidRPr="00307AF7">
        <w:rPr>
          <w:i w:val="0"/>
          <w:iCs w:val="0"/>
          <w:color w:val="auto"/>
          <w:sz w:val="24"/>
          <w:szCs w:val="24"/>
        </w:rPr>
        <w:tab/>
      </w:r>
      <w:bookmarkEnd w:id="6"/>
      <w:r w:rsidRPr="00307AF7">
        <w:rPr>
          <w:i w:val="0"/>
          <w:iCs w:val="0"/>
          <w:color w:val="auto"/>
          <w:sz w:val="24"/>
          <w:szCs w:val="24"/>
        </w:rPr>
        <w:t>Consultation Outside the Agency</w:t>
      </w:r>
    </w:p>
    <w:p w:rsidR="005B306E" w:rsidRPr="00D5792F" w:rsidP="005B306E" w14:paraId="659E97F4" w14:textId="77777777">
      <w:pPr>
        <w:rPr>
          <w:b/>
          <w:bCs/>
          <w:sz w:val="24"/>
          <w:szCs w:val="24"/>
        </w:rPr>
      </w:pPr>
    </w:p>
    <w:p w:rsidR="005B306E" w:rsidRPr="00D5792F" w:rsidP="005B306E" w14:paraId="10385179" w14:textId="4693E8F3">
      <w:pPr>
        <w:rPr>
          <w:rFonts w:ascii="Times" w:hAnsi="Times"/>
          <w:sz w:val="24"/>
          <w:szCs w:val="24"/>
        </w:rPr>
      </w:pPr>
      <w:r w:rsidRPr="00D5792F">
        <w:rPr>
          <w:rFonts w:ascii="Times" w:hAnsi="Times"/>
          <w:sz w:val="24"/>
          <w:szCs w:val="24"/>
        </w:rPr>
        <w:t xml:space="preserve">The notice required by 5 CFR 1320.8(d) was published in the </w:t>
      </w:r>
      <w:r w:rsidRPr="00D5792F">
        <w:rPr>
          <w:rFonts w:ascii="Times" w:hAnsi="Times"/>
          <w:i/>
          <w:iCs/>
          <w:sz w:val="24"/>
          <w:szCs w:val="24"/>
        </w:rPr>
        <w:t>Federal Register</w:t>
      </w:r>
      <w:r w:rsidRPr="00D5792F">
        <w:rPr>
          <w:rFonts w:ascii="Times" w:hAnsi="Times"/>
          <w:sz w:val="24"/>
          <w:szCs w:val="24"/>
        </w:rPr>
        <w:t xml:space="preserve"> on [date] (</w:t>
      </w:r>
      <w:r w:rsidRPr="00D5792F">
        <w:rPr>
          <w:rFonts w:ascii="Times" w:eastAsia="Times" w:hAnsi="Times" w:cs="Times"/>
          <w:sz w:val="24"/>
          <w:szCs w:val="24"/>
        </w:rPr>
        <w:t>FRN number</w:t>
      </w:r>
      <w:r w:rsidRPr="00D5792F">
        <w:rPr>
          <w:rFonts w:ascii="Times" w:hAnsi="Times"/>
          <w:sz w:val="24"/>
          <w:szCs w:val="24"/>
        </w:rPr>
        <w:t>). [placeholder for information regarding number of public comments and reference Attachment</w:t>
      </w:r>
      <w:r w:rsidRPr="00D5792F">
        <w:rPr>
          <w:sz w:val="24"/>
          <w:szCs w:val="24"/>
        </w:rPr>
        <w:t xml:space="preserve"> B: GPRMA Public Comment Response Matrix]</w:t>
      </w:r>
    </w:p>
    <w:p w:rsidR="005B306E" w:rsidRPr="00D5792F" w:rsidP="005B306E" w14:paraId="5B9A3CA9" w14:textId="77777777">
      <w:pPr>
        <w:ind w:left="720"/>
        <w:rPr>
          <w:rFonts w:ascii="Times" w:hAnsi="Times"/>
          <w:sz w:val="24"/>
          <w:szCs w:val="24"/>
        </w:rPr>
      </w:pPr>
    </w:p>
    <w:p w:rsidR="005B306E" w:rsidRPr="00D5792F" w:rsidP="005B306E" w14:paraId="471617F4" w14:textId="04ECF82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 w:val="24"/>
          <w:szCs w:val="24"/>
        </w:rPr>
      </w:pPr>
      <w:r w:rsidRPr="00D5792F">
        <w:rPr>
          <w:rFonts w:ascii="Times" w:hAnsi="Times"/>
          <w:sz w:val="24"/>
          <w:szCs w:val="24"/>
        </w:rPr>
        <w:t>When revising the</w:t>
      </w:r>
      <w:r w:rsidRPr="00D5792F" w:rsidR="00002833">
        <w:rPr>
          <w:rFonts w:ascii="Times" w:hAnsi="Times"/>
          <w:sz w:val="24"/>
          <w:szCs w:val="24"/>
        </w:rPr>
        <w:t xml:space="preserve"> tool</w:t>
      </w:r>
      <w:r w:rsidRPr="00D5792F">
        <w:rPr>
          <w:rFonts w:ascii="Times" w:hAnsi="Times"/>
          <w:sz w:val="24"/>
          <w:szCs w:val="24"/>
        </w:rPr>
        <w:t xml:space="preserve">, SAMHSA </w:t>
      </w:r>
      <w:r w:rsidRPr="00D5792F" w:rsidR="000E3C42">
        <w:rPr>
          <w:rFonts w:ascii="Times" w:hAnsi="Times"/>
          <w:sz w:val="24"/>
          <w:szCs w:val="24"/>
        </w:rPr>
        <w:t xml:space="preserve">reviewed the IPP indicators and </w:t>
      </w:r>
      <w:r w:rsidRPr="00D5792F">
        <w:rPr>
          <w:rFonts w:ascii="Times" w:hAnsi="Times"/>
          <w:sz w:val="24"/>
          <w:szCs w:val="24"/>
        </w:rPr>
        <w:t>consulted</w:t>
      </w:r>
      <w:r w:rsidRPr="00D5792F" w:rsidR="000E3C42">
        <w:rPr>
          <w:rFonts w:ascii="Times" w:hAnsi="Times"/>
          <w:sz w:val="24"/>
          <w:szCs w:val="24"/>
        </w:rPr>
        <w:t xml:space="preserve"> </w:t>
      </w:r>
      <w:r w:rsidRPr="00D5792F" w:rsidR="00E63D95">
        <w:rPr>
          <w:rFonts w:ascii="Times" w:hAnsi="Times"/>
          <w:sz w:val="24"/>
          <w:szCs w:val="24"/>
        </w:rPr>
        <w:t>staff</w:t>
      </w:r>
      <w:r w:rsidRPr="00D5792F" w:rsidR="000E3C42">
        <w:rPr>
          <w:rFonts w:ascii="Times" w:hAnsi="Times"/>
          <w:sz w:val="24"/>
          <w:szCs w:val="24"/>
        </w:rPr>
        <w:t xml:space="preserve"> </w:t>
      </w:r>
      <w:r w:rsidRPr="00D5792F" w:rsidR="003B0AE3">
        <w:rPr>
          <w:rFonts w:ascii="Times" w:hAnsi="Times"/>
          <w:sz w:val="24"/>
          <w:szCs w:val="24"/>
        </w:rPr>
        <w:t xml:space="preserve">at CMHS, CSAT, </w:t>
      </w:r>
      <w:r w:rsidR="00D279FD">
        <w:rPr>
          <w:rFonts w:ascii="Times" w:hAnsi="Times"/>
          <w:sz w:val="24"/>
          <w:szCs w:val="24"/>
        </w:rPr>
        <w:t xml:space="preserve">CSAP, </w:t>
      </w:r>
      <w:r w:rsidRPr="00D5792F" w:rsidR="003B0AE3">
        <w:rPr>
          <w:rFonts w:ascii="Times" w:hAnsi="Times"/>
          <w:sz w:val="24"/>
          <w:szCs w:val="24"/>
        </w:rPr>
        <w:t xml:space="preserve">and </w:t>
      </w:r>
      <w:r w:rsidRPr="00D5792F" w:rsidR="00A11AAD">
        <w:rPr>
          <w:color w:val="000000" w:themeColor="text1"/>
          <w:sz w:val="24"/>
          <w:szCs w:val="24"/>
        </w:rPr>
        <w:t>988</w:t>
      </w:r>
      <w:r w:rsidRPr="00D5792F" w:rsidR="003B0AE3">
        <w:rPr>
          <w:rFonts w:ascii="Times" w:hAnsi="Times"/>
          <w:sz w:val="24"/>
          <w:szCs w:val="24"/>
        </w:rPr>
        <w:t xml:space="preserve"> to </w:t>
      </w:r>
      <w:r w:rsidRPr="00D5792F" w:rsidR="004A1E79">
        <w:rPr>
          <w:rFonts w:ascii="Times" w:hAnsi="Times"/>
          <w:sz w:val="24"/>
          <w:szCs w:val="24"/>
        </w:rPr>
        <w:t>revise</w:t>
      </w:r>
      <w:r w:rsidRPr="00D5792F" w:rsidR="003B0AE3">
        <w:rPr>
          <w:rFonts w:ascii="Times" w:hAnsi="Times"/>
          <w:sz w:val="24"/>
          <w:szCs w:val="24"/>
        </w:rPr>
        <w:t xml:space="preserve"> existing IPP indicators and add </w:t>
      </w:r>
      <w:r w:rsidRPr="00D5792F" w:rsidR="004A1E79">
        <w:rPr>
          <w:rFonts w:ascii="Times" w:hAnsi="Times"/>
          <w:sz w:val="24"/>
          <w:szCs w:val="24"/>
        </w:rPr>
        <w:t>new indicators and related questions</w:t>
      </w:r>
      <w:r w:rsidRPr="00D5792F">
        <w:rPr>
          <w:rFonts w:ascii="Times" w:hAnsi="Times"/>
          <w:sz w:val="24"/>
          <w:szCs w:val="24"/>
        </w:rPr>
        <w:t>. SAMHSA obtained feedback and consultation regarding the availability of data, methods and frequency of collection, and the appropriateness of data elements.</w:t>
      </w:r>
    </w:p>
    <w:p w:rsidR="005B306E" w:rsidRPr="00D5792F" w:rsidP="005B306E" w14:paraId="35A1CF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 w:val="24"/>
          <w:szCs w:val="24"/>
        </w:rPr>
      </w:pPr>
    </w:p>
    <w:p w:rsidR="005B306E" w:rsidP="00DA1390" w14:paraId="1BA02028" w14:textId="31A363C9">
      <w:pPr>
        <w:pStyle w:val="ListParagraph"/>
        <w:keepNext/>
        <w:tabs>
          <w:tab w:val="left" w:pos="1260"/>
        </w:tabs>
        <w:spacing w:after="120"/>
        <w:ind w:left="0"/>
        <w:rPr>
          <w:color w:val="000000" w:themeColor="text1"/>
          <w:sz w:val="24"/>
          <w:szCs w:val="24"/>
        </w:rPr>
      </w:pPr>
      <w:r w:rsidRPr="00D5792F">
        <w:rPr>
          <w:color w:val="000000" w:themeColor="text1"/>
          <w:sz w:val="24"/>
          <w:szCs w:val="24"/>
        </w:rPr>
        <w:t>SAMHSA also complete</w:t>
      </w:r>
      <w:r w:rsidR="005E5D74">
        <w:rPr>
          <w:color w:val="000000" w:themeColor="text1"/>
          <w:sz w:val="24"/>
          <w:szCs w:val="24"/>
        </w:rPr>
        <w:t>d</w:t>
      </w:r>
      <w:r w:rsidRPr="00D5792F">
        <w:rPr>
          <w:color w:val="000000" w:themeColor="text1"/>
          <w:sz w:val="24"/>
          <w:szCs w:val="24"/>
        </w:rPr>
        <w:t xml:space="preserve"> </w:t>
      </w:r>
      <w:r w:rsidR="00A405CF">
        <w:rPr>
          <w:color w:val="000000" w:themeColor="text1"/>
          <w:sz w:val="24"/>
          <w:szCs w:val="24"/>
        </w:rPr>
        <w:t>pre</w:t>
      </w:r>
      <w:r w:rsidRPr="00D5792F">
        <w:rPr>
          <w:color w:val="000000" w:themeColor="text1"/>
          <w:sz w:val="24"/>
          <w:szCs w:val="24"/>
        </w:rPr>
        <w:t xml:space="preserve">testing with </w:t>
      </w:r>
      <w:r w:rsidR="00DD4743">
        <w:rPr>
          <w:color w:val="000000" w:themeColor="text1"/>
          <w:sz w:val="24"/>
          <w:szCs w:val="24"/>
        </w:rPr>
        <w:t>one</w:t>
      </w:r>
      <w:r w:rsidRPr="00D5792F" w:rsidR="00DD4743">
        <w:rPr>
          <w:color w:val="000000" w:themeColor="text1"/>
          <w:sz w:val="24"/>
          <w:szCs w:val="24"/>
        </w:rPr>
        <w:t xml:space="preserve"> </w:t>
      </w:r>
      <w:r w:rsidRPr="00D5792F">
        <w:rPr>
          <w:color w:val="000000" w:themeColor="text1"/>
          <w:sz w:val="24"/>
          <w:szCs w:val="24"/>
        </w:rPr>
        <w:t xml:space="preserve">CMHS grantee, </w:t>
      </w:r>
      <w:r w:rsidR="00B4090B">
        <w:rPr>
          <w:color w:val="000000" w:themeColor="text1"/>
          <w:sz w:val="24"/>
          <w:szCs w:val="24"/>
        </w:rPr>
        <w:t>six</w:t>
      </w:r>
      <w:r w:rsidRPr="00D5792F" w:rsidR="00DD4743">
        <w:rPr>
          <w:color w:val="000000" w:themeColor="text1"/>
          <w:sz w:val="24"/>
          <w:szCs w:val="24"/>
        </w:rPr>
        <w:t xml:space="preserve"> </w:t>
      </w:r>
      <w:r w:rsidRPr="00D5792F">
        <w:rPr>
          <w:color w:val="000000" w:themeColor="text1"/>
          <w:sz w:val="24"/>
          <w:szCs w:val="24"/>
        </w:rPr>
        <w:t>CSAT</w:t>
      </w:r>
      <w:r w:rsidRPr="00D5792F" w:rsidR="00A11AAD">
        <w:rPr>
          <w:color w:val="000000" w:themeColor="text1"/>
          <w:sz w:val="24"/>
          <w:szCs w:val="24"/>
        </w:rPr>
        <w:t xml:space="preserve"> </w:t>
      </w:r>
      <w:r w:rsidRPr="00D5792F">
        <w:rPr>
          <w:color w:val="000000" w:themeColor="text1"/>
          <w:sz w:val="24"/>
          <w:szCs w:val="24"/>
        </w:rPr>
        <w:t xml:space="preserve">grantees, and </w:t>
      </w:r>
      <w:r w:rsidR="00DD4743">
        <w:rPr>
          <w:color w:val="000000" w:themeColor="text1"/>
          <w:sz w:val="24"/>
          <w:szCs w:val="24"/>
        </w:rPr>
        <w:t>two</w:t>
      </w:r>
      <w:r w:rsidRPr="00D5792F" w:rsidR="00DD4743">
        <w:rPr>
          <w:color w:val="000000" w:themeColor="text1"/>
          <w:sz w:val="24"/>
          <w:szCs w:val="24"/>
        </w:rPr>
        <w:t xml:space="preserve"> </w:t>
      </w:r>
      <w:r w:rsidRPr="00D5792F">
        <w:rPr>
          <w:color w:val="000000" w:themeColor="text1"/>
          <w:sz w:val="24"/>
          <w:szCs w:val="24"/>
        </w:rPr>
        <w:t>988</w:t>
      </w:r>
      <w:r w:rsidRPr="00D5792F" w:rsidR="00A11AAD">
        <w:rPr>
          <w:color w:val="000000" w:themeColor="text1"/>
          <w:sz w:val="24"/>
          <w:szCs w:val="24"/>
        </w:rPr>
        <w:t xml:space="preserve"> </w:t>
      </w:r>
      <w:r w:rsidRPr="00D5792F">
        <w:rPr>
          <w:color w:val="000000" w:themeColor="text1"/>
          <w:sz w:val="24"/>
          <w:szCs w:val="24"/>
        </w:rPr>
        <w:t>grantee</w:t>
      </w:r>
      <w:r w:rsidR="00A405CF">
        <w:rPr>
          <w:color w:val="000000" w:themeColor="text1"/>
          <w:sz w:val="24"/>
          <w:szCs w:val="24"/>
        </w:rPr>
        <w:t>s</w:t>
      </w:r>
      <w:r w:rsidRPr="00D5792F">
        <w:rPr>
          <w:color w:val="000000" w:themeColor="text1"/>
          <w:sz w:val="24"/>
          <w:szCs w:val="24"/>
        </w:rPr>
        <w:t xml:space="preserve">, for a total of </w:t>
      </w:r>
      <w:r w:rsidR="005E5D74">
        <w:rPr>
          <w:color w:val="000000" w:themeColor="text1"/>
          <w:sz w:val="24"/>
          <w:szCs w:val="24"/>
        </w:rPr>
        <w:t>9</w:t>
      </w:r>
      <w:r w:rsidRPr="00D5792F">
        <w:rPr>
          <w:color w:val="000000" w:themeColor="text1"/>
          <w:sz w:val="24"/>
          <w:szCs w:val="24"/>
        </w:rPr>
        <w:t xml:space="preserve"> pretests. </w:t>
      </w:r>
      <w:r w:rsidRPr="00DF4CF9" w:rsidR="00DF4CF9">
        <w:rPr>
          <w:color w:val="000000" w:themeColor="text1"/>
          <w:sz w:val="24"/>
          <w:szCs w:val="24"/>
        </w:rPr>
        <w:t xml:space="preserve">Overall, most pretest grantees felt that SUPRT-P indicators </w:t>
      </w:r>
      <w:r w:rsidR="00B8421A">
        <w:rPr>
          <w:color w:val="000000" w:themeColor="text1"/>
          <w:sz w:val="24"/>
          <w:szCs w:val="24"/>
        </w:rPr>
        <w:t>will</w:t>
      </w:r>
      <w:r w:rsidRPr="00DF4CF9" w:rsidR="00DF4CF9">
        <w:rPr>
          <w:color w:val="000000" w:themeColor="text1"/>
          <w:sz w:val="24"/>
          <w:szCs w:val="24"/>
        </w:rPr>
        <w:t xml:space="preserve"> be relatively easy to report</w:t>
      </w:r>
      <w:r w:rsidR="00B8421A">
        <w:rPr>
          <w:color w:val="000000" w:themeColor="text1"/>
          <w:sz w:val="24"/>
          <w:szCs w:val="24"/>
        </w:rPr>
        <w:t xml:space="preserve">. </w:t>
      </w:r>
      <w:r w:rsidR="00770273">
        <w:rPr>
          <w:color w:val="000000" w:themeColor="text1"/>
          <w:sz w:val="24"/>
          <w:szCs w:val="24"/>
        </w:rPr>
        <w:t xml:space="preserve">SAMHSA made </w:t>
      </w:r>
      <w:r w:rsidR="009A6FA7">
        <w:rPr>
          <w:color w:val="000000" w:themeColor="text1"/>
          <w:sz w:val="24"/>
          <w:szCs w:val="24"/>
        </w:rPr>
        <w:t xml:space="preserve">structural </w:t>
      </w:r>
      <w:r w:rsidR="00770273">
        <w:rPr>
          <w:color w:val="000000" w:themeColor="text1"/>
          <w:sz w:val="24"/>
          <w:szCs w:val="24"/>
        </w:rPr>
        <w:t>revisions</w:t>
      </w:r>
      <w:r w:rsidR="001A680B">
        <w:rPr>
          <w:color w:val="000000" w:themeColor="text1"/>
          <w:sz w:val="24"/>
          <w:szCs w:val="24"/>
        </w:rPr>
        <w:t>, added indicators, and revised wording</w:t>
      </w:r>
      <w:r w:rsidR="00770273">
        <w:rPr>
          <w:color w:val="000000" w:themeColor="text1"/>
          <w:sz w:val="24"/>
          <w:szCs w:val="24"/>
        </w:rPr>
        <w:t xml:space="preserve"> of some indicators to improve clarity. These re</w:t>
      </w:r>
      <w:r w:rsidR="00C96777">
        <w:rPr>
          <w:color w:val="000000" w:themeColor="text1"/>
          <w:sz w:val="24"/>
          <w:szCs w:val="24"/>
        </w:rPr>
        <w:t xml:space="preserve">visions are reflected in the attached tool. </w:t>
      </w:r>
      <w:r w:rsidR="00770273">
        <w:rPr>
          <w:color w:val="000000" w:themeColor="text1"/>
          <w:sz w:val="24"/>
          <w:szCs w:val="24"/>
        </w:rPr>
        <w:t xml:space="preserve"> </w:t>
      </w:r>
      <w:r w:rsidRPr="00DF4CF9" w:rsidR="00DF4CF9">
        <w:rPr>
          <w:color w:val="000000" w:themeColor="text1"/>
          <w:sz w:val="24"/>
          <w:szCs w:val="24"/>
        </w:rPr>
        <w:t xml:space="preserve"> </w:t>
      </w:r>
    </w:p>
    <w:p w:rsidR="00F106C4" w:rsidRPr="00D5792F" w:rsidP="00DA1390" w14:paraId="6B8B050D" w14:textId="77777777">
      <w:pPr>
        <w:pStyle w:val="ListParagraph"/>
        <w:keepNext/>
        <w:tabs>
          <w:tab w:val="left" w:pos="1260"/>
        </w:tabs>
        <w:spacing w:after="120"/>
        <w:ind w:left="0"/>
        <w:rPr>
          <w:sz w:val="24"/>
          <w:szCs w:val="24"/>
        </w:rPr>
      </w:pPr>
    </w:p>
    <w:p w:rsidR="005B306E" w:rsidRPr="00307AF7" w:rsidP="00307AF7" w14:paraId="68FE6CE7" w14:textId="77777777">
      <w:pPr>
        <w:pStyle w:val="Heading4"/>
        <w:rPr>
          <w:i w:val="0"/>
          <w:iCs w:val="0"/>
          <w:color w:val="auto"/>
          <w:sz w:val="24"/>
          <w:szCs w:val="24"/>
        </w:rPr>
      </w:pPr>
      <w:r w:rsidRPr="00307AF7">
        <w:rPr>
          <w:i w:val="0"/>
          <w:iCs w:val="0"/>
          <w:color w:val="auto"/>
          <w:sz w:val="24"/>
          <w:szCs w:val="24"/>
        </w:rPr>
        <w:t>A9.</w:t>
      </w:r>
      <w:r w:rsidRPr="00307AF7">
        <w:rPr>
          <w:i w:val="0"/>
          <w:iCs w:val="0"/>
          <w:color w:val="auto"/>
          <w:sz w:val="24"/>
          <w:szCs w:val="24"/>
        </w:rPr>
        <w:tab/>
        <w:t>Payment to Respondents</w:t>
      </w:r>
    </w:p>
    <w:p w:rsidR="005B306E" w:rsidRPr="00D5792F" w:rsidP="005B306E" w14:paraId="03A4D9F9" w14:textId="77777777">
      <w:pPr>
        <w:rPr>
          <w:b/>
          <w:bCs/>
          <w:sz w:val="24"/>
          <w:szCs w:val="24"/>
        </w:rPr>
      </w:pPr>
    </w:p>
    <w:p w:rsidR="005B306E" w:rsidRPr="00D5792F" w:rsidP="005B306E" w14:paraId="664AE931" w14:textId="506A148F">
      <w:pPr>
        <w:rPr>
          <w:sz w:val="24"/>
          <w:szCs w:val="24"/>
        </w:rPr>
      </w:pPr>
      <w:r>
        <w:rPr>
          <w:bCs/>
          <w:sz w:val="24"/>
          <w:szCs w:val="24"/>
        </w:rPr>
        <w:t xml:space="preserve">Respondents are the recipients of SAMHSA grants, costs of internal monitoring systems and process to report data to SAMHSA are included in approved project budgets. </w:t>
      </w:r>
      <w:r w:rsidRPr="00D5792F">
        <w:rPr>
          <w:bCs/>
          <w:sz w:val="24"/>
          <w:szCs w:val="24"/>
        </w:rPr>
        <w:t>No cash incentives or gifts will be given to respondents.</w:t>
      </w:r>
    </w:p>
    <w:p w:rsidR="005B306E" w:rsidRPr="00D5792F" w:rsidP="005B306E" w14:paraId="62E0DE6E" w14:textId="77777777">
      <w:pPr>
        <w:ind w:left="43"/>
        <w:rPr>
          <w:sz w:val="24"/>
          <w:szCs w:val="24"/>
        </w:rPr>
      </w:pPr>
      <w:r w:rsidRPr="00D5792F">
        <w:rPr>
          <w:sz w:val="24"/>
          <w:szCs w:val="24"/>
        </w:rPr>
        <w:t xml:space="preserve"> </w:t>
      </w:r>
    </w:p>
    <w:p w:rsidR="005B306E" w:rsidRPr="00307AF7" w:rsidP="00307AF7" w14:paraId="67C215CC" w14:textId="77777777">
      <w:pPr>
        <w:pStyle w:val="Heading4"/>
        <w:rPr>
          <w:i w:val="0"/>
          <w:iCs w:val="0"/>
          <w:color w:val="auto"/>
          <w:sz w:val="24"/>
          <w:szCs w:val="24"/>
        </w:rPr>
      </w:pPr>
      <w:r w:rsidRPr="00307AF7">
        <w:rPr>
          <w:i w:val="0"/>
          <w:iCs w:val="0"/>
          <w:color w:val="auto"/>
          <w:sz w:val="24"/>
          <w:szCs w:val="24"/>
        </w:rPr>
        <w:t>A10.</w:t>
      </w:r>
      <w:r w:rsidRPr="00307AF7">
        <w:rPr>
          <w:i w:val="0"/>
          <w:iCs w:val="0"/>
          <w:color w:val="auto"/>
          <w:sz w:val="24"/>
          <w:szCs w:val="24"/>
        </w:rPr>
        <w:tab/>
        <w:t>Assurance of Confidentiality</w:t>
      </w:r>
    </w:p>
    <w:p w:rsidR="006757F7" w:rsidRPr="00F152F2" w:rsidP="006757F7" w14:paraId="17593C4F" w14:textId="6589FB44">
      <w:pPr>
        <w:spacing w:before="240" w:after="240"/>
        <w:rPr>
          <w:sz w:val="24"/>
          <w:szCs w:val="24"/>
        </w:rPr>
      </w:pPr>
      <w:r w:rsidRPr="501D78E7">
        <w:rPr>
          <w:sz w:val="24"/>
          <w:szCs w:val="24"/>
        </w:rPr>
        <w:t xml:space="preserve">Data will be kept private to the extent allowed by law. The privacy of information obtained from grantees will remain private throughout all points in the data collection and reporting processes. </w:t>
      </w:r>
      <w:r w:rsidRPr="501D78E7">
        <w:rPr>
          <w:sz w:val="24"/>
          <w:szCs w:val="24"/>
        </w:rPr>
        <w:t xml:space="preserve">However, SAMHSA cannot ensure complete confidentiality of </w:t>
      </w:r>
      <w:r>
        <w:rPr>
          <w:sz w:val="24"/>
          <w:szCs w:val="24"/>
        </w:rPr>
        <w:t>grantee</w:t>
      </w:r>
      <w:r w:rsidRPr="501D78E7">
        <w:rPr>
          <w:sz w:val="24"/>
          <w:szCs w:val="24"/>
        </w:rPr>
        <w:t xml:space="preserve"> </w:t>
      </w:r>
      <w:r w:rsidRPr="501D78E7">
        <w:rPr>
          <w:sz w:val="24"/>
          <w:szCs w:val="24"/>
        </w:rPr>
        <w:t xml:space="preserve">data. All data will be closely safeguarded, and no institutional or individual identifiers will be used in reports. </w:t>
      </w:r>
      <w:r w:rsidRPr="501D78E7">
        <w:rPr>
          <w:sz w:val="24"/>
          <w:szCs w:val="24"/>
        </w:rPr>
        <w:t>Only aggregated data will be reported. Pro</w:t>
      </w:r>
      <w:r>
        <w:rPr>
          <w:sz w:val="24"/>
          <w:szCs w:val="24"/>
        </w:rPr>
        <w:t>gram</w:t>
      </w:r>
      <w:r w:rsidRPr="501D78E7">
        <w:rPr>
          <w:sz w:val="24"/>
          <w:szCs w:val="24"/>
        </w:rPr>
        <w:t>-level information will be aggregated to, at least, the level of the grant funding announcement.</w:t>
      </w:r>
    </w:p>
    <w:p w:rsidR="005B306E" w:rsidRPr="00307AF7" w:rsidP="00307AF7" w14:paraId="081704F8" w14:textId="22E1677C">
      <w:pPr>
        <w:pStyle w:val="Heading4"/>
        <w:rPr>
          <w:i w:val="0"/>
          <w:iCs w:val="0"/>
          <w:color w:val="auto"/>
          <w:sz w:val="24"/>
          <w:szCs w:val="24"/>
        </w:rPr>
      </w:pPr>
      <w:r w:rsidRPr="00307AF7">
        <w:rPr>
          <w:i w:val="0"/>
          <w:iCs w:val="0"/>
          <w:color w:val="auto"/>
          <w:sz w:val="24"/>
          <w:szCs w:val="24"/>
        </w:rPr>
        <w:t>A11.</w:t>
      </w:r>
      <w:r w:rsidRPr="00307AF7">
        <w:rPr>
          <w:i w:val="0"/>
          <w:iCs w:val="0"/>
          <w:color w:val="auto"/>
          <w:sz w:val="24"/>
          <w:szCs w:val="24"/>
        </w:rPr>
        <w:tab/>
        <w:t>Questions of a Sensitive Nature</w:t>
      </w:r>
    </w:p>
    <w:p w:rsidR="005B306E" w:rsidRPr="00D5792F" w:rsidP="005B306E" w14:paraId="7626491A" w14:textId="77777777">
      <w:pPr>
        <w:rPr>
          <w:b/>
          <w:bCs/>
          <w:sz w:val="24"/>
          <w:szCs w:val="24"/>
        </w:rPr>
      </w:pPr>
    </w:p>
    <w:p w:rsidR="005B306E" w:rsidRPr="00D5792F" w:rsidP="005B306E" w14:paraId="35CF4E53" w14:textId="751BF454">
      <w:pPr>
        <w:rPr>
          <w:sz w:val="24"/>
          <w:szCs w:val="24"/>
        </w:rPr>
      </w:pPr>
      <w:bookmarkStart w:id="7" w:name="_Toc114555967"/>
      <w:r w:rsidRPr="00D5792F">
        <w:rPr>
          <w:sz w:val="24"/>
          <w:szCs w:val="24"/>
        </w:rPr>
        <w:t>SUPRT-P</w:t>
      </w:r>
      <w:r w:rsidR="001555A1">
        <w:rPr>
          <w:sz w:val="24"/>
          <w:szCs w:val="24"/>
        </w:rPr>
        <w:t xml:space="preserve"> will collect and report </w:t>
      </w:r>
      <w:r w:rsidR="00BB6285">
        <w:rPr>
          <w:sz w:val="24"/>
          <w:szCs w:val="24"/>
        </w:rPr>
        <w:t xml:space="preserve">aggregate, </w:t>
      </w:r>
      <w:r w:rsidR="00DC2407">
        <w:rPr>
          <w:sz w:val="24"/>
          <w:szCs w:val="24"/>
        </w:rPr>
        <w:t>un</w:t>
      </w:r>
      <w:r w:rsidR="00BB6285">
        <w:rPr>
          <w:sz w:val="24"/>
          <w:szCs w:val="24"/>
        </w:rPr>
        <w:t>identifiable data</w:t>
      </w:r>
      <w:r w:rsidR="00507927">
        <w:rPr>
          <w:sz w:val="24"/>
          <w:szCs w:val="24"/>
        </w:rPr>
        <w:t xml:space="preserve"> at the pro</w:t>
      </w:r>
      <w:r w:rsidR="00767B20">
        <w:rPr>
          <w:sz w:val="24"/>
          <w:szCs w:val="24"/>
        </w:rPr>
        <w:t>ject</w:t>
      </w:r>
      <w:r w:rsidR="00507927">
        <w:rPr>
          <w:sz w:val="24"/>
          <w:szCs w:val="24"/>
        </w:rPr>
        <w:t>-level</w:t>
      </w:r>
      <w:r w:rsidRPr="00D5792F">
        <w:rPr>
          <w:sz w:val="24"/>
          <w:szCs w:val="24"/>
        </w:rPr>
        <w:t xml:space="preserve">. </w:t>
      </w:r>
      <w:r w:rsidRPr="501D78E7" w:rsidR="00FA2BD9">
        <w:rPr>
          <w:sz w:val="24"/>
          <w:szCs w:val="24"/>
        </w:rPr>
        <w:t xml:space="preserve">SAMHSA and its contractors will not receive </w:t>
      </w:r>
      <w:r w:rsidR="00FA2BD9">
        <w:rPr>
          <w:sz w:val="24"/>
          <w:szCs w:val="24"/>
        </w:rPr>
        <w:t xml:space="preserve">individual or </w:t>
      </w:r>
      <w:r w:rsidRPr="501D78E7" w:rsidR="00FA2BD9">
        <w:rPr>
          <w:sz w:val="24"/>
          <w:szCs w:val="24"/>
        </w:rPr>
        <w:t>client records.</w:t>
      </w:r>
    </w:p>
    <w:p w:rsidR="005B306E" w:rsidRPr="00D5792F" w:rsidP="005B306E" w14:paraId="6CFCA4EF" w14:textId="77777777">
      <w:pPr>
        <w:rPr>
          <w:sz w:val="24"/>
          <w:szCs w:val="24"/>
        </w:rPr>
      </w:pPr>
    </w:p>
    <w:p w:rsidR="005B306E" w:rsidRPr="00307AF7" w:rsidP="00307AF7" w14:paraId="33505C69" w14:textId="3C4BBAB7">
      <w:pPr>
        <w:pStyle w:val="Heading4"/>
        <w:rPr>
          <w:b/>
          <w:bCs/>
          <w:i w:val="0"/>
          <w:iCs w:val="0"/>
          <w:color w:val="auto"/>
          <w:sz w:val="24"/>
          <w:szCs w:val="24"/>
        </w:rPr>
      </w:pPr>
      <w:r w:rsidRPr="00307AF7">
        <w:rPr>
          <w:i w:val="0"/>
          <w:iCs w:val="0"/>
          <w:color w:val="auto"/>
          <w:sz w:val="24"/>
          <w:szCs w:val="24"/>
        </w:rPr>
        <w:t>A12.</w:t>
      </w:r>
      <w:r w:rsidRPr="00307AF7">
        <w:rPr>
          <w:i w:val="0"/>
          <w:iCs w:val="0"/>
          <w:color w:val="auto"/>
          <w:sz w:val="24"/>
          <w:szCs w:val="24"/>
        </w:rPr>
        <w:tab/>
        <w:t>Estimates of Annualized Hour Burden</w:t>
      </w:r>
      <w:bookmarkEnd w:id="7"/>
      <w:r w:rsidRPr="00307AF7">
        <w:rPr>
          <w:i w:val="0"/>
          <w:iCs w:val="0"/>
          <w:color w:val="auto"/>
          <w:sz w:val="24"/>
          <w:szCs w:val="24"/>
        </w:rPr>
        <w:t xml:space="preserve"> </w:t>
      </w:r>
    </w:p>
    <w:p w:rsidR="005B306E" w:rsidRPr="00D5792F" w:rsidP="005B306E" w14:paraId="742178F1" w14:textId="01A8EF41">
      <w:pPr>
        <w:spacing w:before="216" w:after="144"/>
        <w:rPr>
          <w:sz w:val="24"/>
          <w:szCs w:val="24"/>
        </w:rPr>
      </w:pPr>
      <w:r w:rsidRPr="00D5792F">
        <w:rPr>
          <w:sz w:val="24"/>
          <w:szCs w:val="24"/>
        </w:rPr>
        <w:t xml:space="preserve">The time to complete the tool is estimated in Table 1. </w:t>
      </w:r>
      <w:r w:rsidRPr="00D5792F">
        <w:rPr>
          <w:sz w:val="24"/>
          <w:szCs w:val="24"/>
        </w:rPr>
        <w:t xml:space="preserve">SAMHSA estimates the total burden to grantees to </w:t>
      </w:r>
      <w:r w:rsidR="00FA2BD9">
        <w:rPr>
          <w:sz w:val="24"/>
          <w:szCs w:val="24"/>
        </w:rPr>
        <w:t xml:space="preserve">vary according to the complexity and size of the grant program and required activities, taking an average of </w:t>
      </w:r>
      <w:r w:rsidRPr="00D5792F">
        <w:rPr>
          <w:sz w:val="24"/>
          <w:szCs w:val="24"/>
        </w:rPr>
        <w:t xml:space="preserve">approximately </w:t>
      </w:r>
      <w:r w:rsidR="002C35AD">
        <w:rPr>
          <w:sz w:val="24"/>
          <w:szCs w:val="24"/>
        </w:rPr>
        <w:t>eight</w:t>
      </w:r>
      <w:r w:rsidRPr="00D5792F">
        <w:rPr>
          <w:sz w:val="24"/>
          <w:szCs w:val="24"/>
        </w:rPr>
        <w:t xml:space="preserve"> hours</w:t>
      </w:r>
      <w:r w:rsidR="00B56937">
        <w:rPr>
          <w:sz w:val="24"/>
          <w:szCs w:val="24"/>
        </w:rPr>
        <w:t xml:space="preserve"> </w:t>
      </w:r>
      <w:r w:rsidR="00FA2BD9">
        <w:rPr>
          <w:sz w:val="24"/>
          <w:szCs w:val="24"/>
        </w:rPr>
        <w:t>each quarter</w:t>
      </w:r>
      <w:r w:rsidR="002C35AD">
        <w:rPr>
          <w:sz w:val="24"/>
          <w:szCs w:val="24"/>
        </w:rPr>
        <w:t xml:space="preserve"> of the year</w:t>
      </w:r>
      <w:r w:rsidR="00DD4743">
        <w:rPr>
          <w:sz w:val="24"/>
          <w:szCs w:val="24"/>
        </w:rPr>
        <w:t xml:space="preserve"> for grantees to collect, compile, and report</w:t>
      </w:r>
      <w:r w:rsidRPr="00D5792F">
        <w:rPr>
          <w:sz w:val="24"/>
          <w:szCs w:val="24"/>
        </w:rPr>
        <w:t xml:space="preserve">. This estimate was derived based on </w:t>
      </w:r>
      <w:r w:rsidR="00DD4743">
        <w:rPr>
          <w:sz w:val="24"/>
          <w:szCs w:val="24"/>
        </w:rPr>
        <w:t xml:space="preserve">experience from implementation of the CMHS IPP indicators and </w:t>
      </w:r>
      <w:r w:rsidRPr="00D5792F" w:rsidR="00B04FFC">
        <w:rPr>
          <w:sz w:val="24"/>
          <w:szCs w:val="24"/>
        </w:rPr>
        <w:t>a</w:t>
      </w:r>
      <w:r w:rsidR="00C96777">
        <w:rPr>
          <w:sz w:val="24"/>
          <w:szCs w:val="24"/>
        </w:rPr>
        <w:t xml:space="preserve"> </w:t>
      </w:r>
      <w:r w:rsidRPr="00D5792F" w:rsidR="00B04FFC">
        <w:rPr>
          <w:sz w:val="24"/>
          <w:szCs w:val="24"/>
        </w:rPr>
        <w:t xml:space="preserve">pretest with </w:t>
      </w:r>
      <w:r w:rsidR="003B0024">
        <w:rPr>
          <w:sz w:val="24"/>
          <w:szCs w:val="24"/>
        </w:rPr>
        <w:t>one</w:t>
      </w:r>
      <w:r w:rsidRPr="00D5792F" w:rsidR="00B04FFC">
        <w:rPr>
          <w:sz w:val="24"/>
          <w:szCs w:val="24"/>
        </w:rPr>
        <w:t xml:space="preserve"> CMHS </w:t>
      </w:r>
      <w:r w:rsidRPr="00D5792F" w:rsidR="003B0024">
        <w:rPr>
          <w:sz w:val="24"/>
          <w:szCs w:val="24"/>
        </w:rPr>
        <w:t>grantee</w:t>
      </w:r>
      <w:r w:rsidRPr="00D5792F" w:rsidR="00B04FFC">
        <w:rPr>
          <w:sz w:val="24"/>
          <w:szCs w:val="24"/>
        </w:rPr>
        <w:t xml:space="preserve">, </w:t>
      </w:r>
      <w:r w:rsidR="003B0024">
        <w:rPr>
          <w:sz w:val="24"/>
          <w:szCs w:val="24"/>
        </w:rPr>
        <w:t>six</w:t>
      </w:r>
      <w:r w:rsidRPr="00D5792F" w:rsidR="00B04FFC">
        <w:rPr>
          <w:sz w:val="24"/>
          <w:szCs w:val="24"/>
        </w:rPr>
        <w:t xml:space="preserve"> CSAT grantees, and </w:t>
      </w:r>
      <w:r w:rsidR="003B0024">
        <w:rPr>
          <w:sz w:val="24"/>
          <w:szCs w:val="24"/>
        </w:rPr>
        <w:t>two</w:t>
      </w:r>
      <w:r w:rsidRPr="00D5792F" w:rsidR="00B04FFC">
        <w:rPr>
          <w:sz w:val="24"/>
          <w:szCs w:val="24"/>
        </w:rPr>
        <w:t xml:space="preserve"> 988 grantee</w:t>
      </w:r>
      <w:r w:rsidR="003B0024">
        <w:rPr>
          <w:sz w:val="24"/>
          <w:szCs w:val="24"/>
        </w:rPr>
        <w:t>s</w:t>
      </w:r>
      <w:r w:rsidRPr="00D5792F">
        <w:rPr>
          <w:sz w:val="24"/>
          <w:szCs w:val="24"/>
        </w:rPr>
        <w:t xml:space="preserve">. </w:t>
      </w:r>
    </w:p>
    <w:p w:rsidR="005B306E" w:rsidRPr="00D5792F" w:rsidP="005B306E" w14:paraId="4329A56B" w14:textId="32E7A3E4">
      <w:pPr>
        <w:spacing w:after="240"/>
        <w:rPr>
          <w:sz w:val="24"/>
          <w:szCs w:val="24"/>
        </w:rPr>
      </w:pPr>
      <w:r w:rsidRPr="00D5792F">
        <w:rPr>
          <w:sz w:val="24"/>
          <w:szCs w:val="24"/>
        </w:rPr>
        <w:t xml:space="preserve">Through the SUPRT-P, SAMHSA expects that the tool will result in a significant decrease in burden for grantees because of the streamlining of questions, not all items will be required at every data collection time point, not all questions will be required for a given grant, and the SUPRT-P incorporates questions for mental health, substance use treatment, and 988 indicators in one tool. </w:t>
      </w:r>
    </w:p>
    <w:p w:rsidR="005B306E" w:rsidRPr="00D5792F" w:rsidP="005B306E" w14:paraId="2FBBDB0E" w14:textId="56A226A2">
      <w:pPr>
        <w:rPr>
          <w:sz w:val="24"/>
          <w:szCs w:val="24"/>
        </w:rPr>
      </w:pPr>
      <w:r w:rsidRPr="30BB1331">
        <w:rPr>
          <w:sz w:val="24"/>
          <w:szCs w:val="24"/>
        </w:rPr>
        <w:t>Table 1: Estimates of Annualized Burden</w:t>
      </w:r>
    </w:p>
    <w:tbl>
      <w:tblPr>
        <w:tblW w:w="5680" w:type="pct"/>
        <w:tblLayout w:type="fixed"/>
        <w:tblLook w:val="06A0"/>
      </w:tblPr>
      <w:tblGrid>
        <w:gridCol w:w="1163"/>
        <w:gridCol w:w="1532"/>
        <w:gridCol w:w="1530"/>
        <w:gridCol w:w="1171"/>
        <w:gridCol w:w="1260"/>
        <w:gridCol w:w="1440"/>
        <w:gridCol w:w="1079"/>
        <w:gridCol w:w="1447"/>
      </w:tblGrid>
      <w:tr w14:paraId="4CBF99A3" w14:textId="77777777" w:rsidTr="001F3CE9">
        <w:tblPrEx>
          <w:tblW w:w="5680" w:type="pct"/>
          <w:tblLayout w:type="fixed"/>
          <w:tblLook w:val="06A0"/>
        </w:tblPrEx>
        <w:trPr>
          <w:trHeight w:val="288"/>
        </w:trPr>
        <w:tc>
          <w:tcPr>
            <w:tcW w:w="547"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E7A4C" w:rsidRPr="005440F1" w:rsidP="00BB4A7D" w14:paraId="3559AE0F" w14:textId="7C100CA1">
            <w:pPr>
              <w:jc w:val="center"/>
              <w:rPr>
                <w:b/>
                <w:bCs/>
                <w:color w:val="000000" w:themeColor="text1"/>
                <w:sz w:val="24"/>
                <w:szCs w:val="24"/>
              </w:rPr>
            </w:pPr>
            <w:r w:rsidRPr="30BB1331">
              <w:rPr>
                <w:b/>
                <w:bCs/>
                <w:color w:val="000000" w:themeColor="text1"/>
                <w:sz w:val="24"/>
                <w:szCs w:val="24"/>
              </w:rPr>
              <w:t>SAMHSA Tool</w:t>
            </w:r>
          </w:p>
        </w:tc>
        <w:tc>
          <w:tcPr>
            <w:tcW w:w="721"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E7A4C" w:rsidRPr="005440F1" w:rsidP="00BB4A7D" w14:paraId="162CD273" w14:textId="466F5B90">
            <w:pPr>
              <w:jc w:val="center"/>
              <w:rPr>
                <w:b/>
                <w:bCs/>
                <w:color w:val="000000" w:themeColor="text1"/>
                <w:sz w:val="24"/>
                <w:szCs w:val="24"/>
              </w:rPr>
            </w:pPr>
            <w:r w:rsidRPr="005440F1">
              <w:rPr>
                <w:b/>
                <w:bCs/>
                <w:color w:val="000000" w:themeColor="text1"/>
                <w:sz w:val="24"/>
                <w:szCs w:val="24"/>
              </w:rPr>
              <w:t>Number of Respondents</w:t>
            </w:r>
          </w:p>
        </w:tc>
        <w:tc>
          <w:tcPr>
            <w:tcW w:w="720"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E7A4C" w:rsidRPr="005440F1" w:rsidP="00BB4A7D" w14:paraId="50923954" w14:textId="1E949D9D">
            <w:pPr>
              <w:jc w:val="center"/>
              <w:rPr>
                <w:b/>
                <w:bCs/>
                <w:color w:val="000000" w:themeColor="text1"/>
                <w:sz w:val="24"/>
                <w:szCs w:val="24"/>
              </w:rPr>
            </w:pPr>
            <w:r w:rsidRPr="005440F1">
              <w:rPr>
                <w:b/>
                <w:bCs/>
                <w:color w:val="000000" w:themeColor="text1"/>
                <w:sz w:val="24"/>
                <w:szCs w:val="24"/>
              </w:rPr>
              <w:t>Responses per Respondent</w:t>
            </w:r>
          </w:p>
        </w:tc>
        <w:tc>
          <w:tcPr>
            <w:tcW w:w="551"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E7A4C" w:rsidRPr="005440F1" w:rsidP="00BB4A7D" w14:paraId="14AE2429" w14:textId="14871DF3">
            <w:pPr>
              <w:jc w:val="center"/>
              <w:rPr>
                <w:b/>
                <w:bCs/>
                <w:color w:val="000000" w:themeColor="text1"/>
                <w:sz w:val="24"/>
                <w:szCs w:val="24"/>
              </w:rPr>
            </w:pPr>
            <w:r w:rsidRPr="005440F1">
              <w:rPr>
                <w:b/>
                <w:bCs/>
                <w:color w:val="000000" w:themeColor="text1"/>
                <w:sz w:val="24"/>
                <w:szCs w:val="24"/>
              </w:rPr>
              <w:t>Total Responses</w:t>
            </w:r>
          </w:p>
        </w:tc>
        <w:tc>
          <w:tcPr>
            <w:tcW w:w="593"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E7A4C" w:rsidRPr="005440F1" w:rsidP="00BB4A7D" w14:paraId="77ADE7CC" w14:textId="226840B5">
            <w:pPr>
              <w:jc w:val="center"/>
              <w:rPr>
                <w:b/>
                <w:bCs/>
                <w:color w:val="000000" w:themeColor="text1"/>
                <w:sz w:val="24"/>
                <w:szCs w:val="24"/>
              </w:rPr>
            </w:pPr>
            <w:r w:rsidRPr="005440F1">
              <w:rPr>
                <w:b/>
                <w:bCs/>
                <w:color w:val="000000" w:themeColor="text1"/>
                <w:sz w:val="24"/>
                <w:szCs w:val="24"/>
              </w:rPr>
              <w:t>Hours per Response</w:t>
            </w:r>
          </w:p>
        </w:tc>
        <w:tc>
          <w:tcPr>
            <w:tcW w:w="678"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E7A4C" w:rsidRPr="005440F1" w:rsidP="00BB4A7D" w14:paraId="65A27212" w14:textId="1ECC65C0">
            <w:pPr>
              <w:jc w:val="center"/>
              <w:rPr>
                <w:b/>
                <w:bCs/>
                <w:color w:val="000000" w:themeColor="text1"/>
                <w:sz w:val="24"/>
                <w:szCs w:val="24"/>
              </w:rPr>
            </w:pPr>
            <w:r w:rsidRPr="005440F1">
              <w:rPr>
                <w:b/>
                <w:bCs/>
                <w:color w:val="000000" w:themeColor="text1"/>
                <w:sz w:val="24"/>
                <w:szCs w:val="24"/>
              </w:rPr>
              <w:t>Total Hour Burden</w:t>
            </w:r>
          </w:p>
        </w:tc>
        <w:tc>
          <w:tcPr>
            <w:tcW w:w="508"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E7A4C" w:rsidRPr="005440F1" w:rsidP="00BB4A7D" w14:paraId="23FF0B36" w14:textId="4F021AD6">
            <w:pPr>
              <w:jc w:val="center"/>
              <w:rPr>
                <w:b/>
                <w:bCs/>
                <w:color w:val="000000" w:themeColor="text1"/>
                <w:sz w:val="24"/>
                <w:szCs w:val="24"/>
              </w:rPr>
            </w:pPr>
            <w:r w:rsidRPr="005440F1">
              <w:rPr>
                <w:b/>
                <w:bCs/>
                <w:color w:val="000000" w:themeColor="text1"/>
                <w:sz w:val="24"/>
                <w:szCs w:val="24"/>
              </w:rPr>
              <w:t>Hourly Wage Cost</w:t>
            </w:r>
          </w:p>
        </w:tc>
        <w:tc>
          <w:tcPr>
            <w:tcW w:w="681"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E7A4C" w:rsidRPr="005440F1" w:rsidP="00BB4A7D" w14:paraId="0A5DD4F6" w14:textId="31A9828D">
            <w:pPr>
              <w:jc w:val="center"/>
              <w:rPr>
                <w:b/>
                <w:bCs/>
                <w:color w:val="000000" w:themeColor="text1"/>
                <w:sz w:val="24"/>
                <w:szCs w:val="24"/>
              </w:rPr>
            </w:pPr>
            <w:r w:rsidRPr="005440F1">
              <w:rPr>
                <w:b/>
                <w:bCs/>
                <w:color w:val="000000" w:themeColor="text1"/>
                <w:sz w:val="24"/>
                <w:szCs w:val="24"/>
              </w:rPr>
              <w:t>Total Cost</w:t>
            </w:r>
          </w:p>
        </w:tc>
      </w:tr>
      <w:tr w14:paraId="11A64CC0" w14:textId="77777777" w:rsidTr="001F3CE9">
        <w:tblPrEx>
          <w:tblW w:w="5680" w:type="pct"/>
          <w:tblLayout w:type="fixed"/>
          <w:tblLook w:val="06A0"/>
        </w:tblPrEx>
        <w:trPr>
          <w:trHeight w:val="510"/>
        </w:trPr>
        <w:tc>
          <w:tcPr>
            <w:tcW w:w="547" w:type="pct"/>
            <w:vMerge/>
            <w:tcBorders>
              <w:top w:val="single" w:sz="4" w:space="0" w:color="auto"/>
              <w:left w:val="single" w:sz="4" w:space="0" w:color="auto"/>
              <w:bottom w:val="single" w:sz="4" w:space="0" w:color="auto"/>
              <w:right w:val="single" w:sz="4" w:space="0" w:color="auto"/>
            </w:tcBorders>
            <w:vAlign w:val="center"/>
          </w:tcPr>
          <w:p w:rsidR="00BE7A4C" w:rsidRPr="005440F1" w:rsidP="00BB4A7D" w14:paraId="6D75EBDC" w14:textId="77777777">
            <w:pPr>
              <w:rPr>
                <w:sz w:val="24"/>
                <w:szCs w:val="24"/>
              </w:rPr>
            </w:pPr>
          </w:p>
        </w:tc>
        <w:tc>
          <w:tcPr>
            <w:tcW w:w="721" w:type="pct"/>
            <w:vMerge/>
            <w:tcBorders>
              <w:top w:val="single" w:sz="4" w:space="0" w:color="auto"/>
              <w:left w:val="single" w:sz="4" w:space="0" w:color="auto"/>
              <w:bottom w:val="single" w:sz="4" w:space="0" w:color="auto"/>
              <w:right w:val="single" w:sz="4" w:space="0" w:color="auto"/>
            </w:tcBorders>
            <w:vAlign w:val="center"/>
          </w:tcPr>
          <w:p w:rsidR="00BE7A4C" w:rsidRPr="005440F1" w:rsidP="00BB4A7D" w14:paraId="234FF0DF" w14:textId="77777777">
            <w:pPr>
              <w:rPr>
                <w:sz w:val="24"/>
                <w:szCs w:val="24"/>
              </w:rPr>
            </w:pPr>
          </w:p>
        </w:tc>
        <w:tc>
          <w:tcPr>
            <w:tcW w:w="720" w:type="pct"/>
            <w:vMerge/>
            <w:tcBorders>
              <w:top w:val="single" w:sz="4" w:space="0" w:color="auto"/>
              <w:left w:val="single" w:sz="4" w:space="0" w:color="auto"/>
              <w:bottom w:val="single" w:sz="4" w:space="0" w:color="auto"/>
              <w:right w:val="single" w:sz="4" w:space="0" w:color="auto"/>
            </w:tcBorders>
            <w:vAlign w:val="center"/>
          </w:tcPr>
          <w:p w:rsidR="00BE7A4C" w:rsidRPr="005440F1" w:rsidP="00BB4A7D" w14:paraId="4CD87287" w14:textId="77777777">
            <w:pPr>
              <w:rPr>
                <w:sz w:val="24"/>
                <w:szCs w:val="24"/>
              </w:rPr>
            </w:pPr>
          </w:p>
        </w:tc>
        <w:tc>
          <w:tcPr>
            <w:tcW w:w="551" w:type="pct"/>
            <w:vMerge/>
            <w:tcBorders>
              <w:top w:val="single" w:sz="4" w:space="0" w:color="auto"/>
              <w:left w:val="single" w:sz="4" w:space="0" w:color="auto"/>
              <w:bottom w:val="single" w:sz="4" w:space="0" w:color="auto"/>
              <w:right w:val="single" w:sz="4" w:space="0" w:color="auto"/>
            </w:tcBorders>
            <w:vAlign w:val="center"/>
          </w:tcPr>
          <w:p w:rsidR="00BE7A4C" w:rsidRPr="005440F1" w:rsidP="00BB4A7D" w14:paraId="26AE84E1" w14:textId="77777777">
            <w:pPr>
              <w:rPr>
                <w:sz w:val="24"/>
                <w:szCs w:val="24"/>
              </w:rPr>
            </w:pPr>
          </w:p>
        </w:tc>
        <w:tc>
          <w:tcPr>
            <w:tcW w:w="593" w:type="pct"/>
            <w:vMerge/>
            <w:tcBorders>
              <w:top w:val="single" w:sz="4" w:space="0" w:color="auto"/>
              <w:left w:val="single" w:sz="4" w:space="0" w:color="auto"/>
              <w:bottom w:val="single" w:sz="4" w:space="0" w:color="auto"/>
              <w:right w:val="single" w:sz="4" w:space="0" w:color="auto"/>
            </w:tcBorders>
            <w:vAlign w:val="center"/>
          </w:tcPr>
          <w:p w:rsidR="00BE7A4C" w:rsidRPr="005440F1" w:rsidP="00BB4A7D" w14:paraId="102C6B6E" w14:textId="77777777">
            <w:pPr>
              <w:rPr>
                <w:sz w:val="24"/>
                <w:szCs w:val="24"/>
              </w:rPr>
            </w:pPr>
          </w:p>
        </w:tc>
        <w:tc>
          <w:tcPr>
            <w:tcW w:w="678" w:type="pct"/>
            <w:vMerge/>
            <w:tcBorders>
              <w:top w:val="single" w:sz="4" w:space="0" w:color="auto"/>
              <w:left w:val="single" w:sz="4" w:space="0" w:color="auto"/>
              <w:bottom w:val="single" w:sz="4" w:space="0" w:color="auto"/>
              <w:right w:val="single" w:sz="4" w:space="0" w:color="auto"/>
            </w:tcBorders>
            <w:vAlign w:val="center"/>
          </w:tcPr>
          <w:p w:rsidR="00BE7A4C" w:rsidRPr="005440F1" w:rsidP="00BB4A7D" w14:paraId="13221D93" w14:textId="77777777">
            <w:pPr>
              <w:rPr>
                <w:sz w:val="24"/>
                <w:szCs w:val="24"/>
              </w:rPr>
            </w:pPr>
          </w:p>
        </w:tc>
        <w:tc>
          <w:tcPr>
            <w:tcW w:w="508" w:type="pct"/>
            <w:vMerge/>
            <w:tcBorders>
              <w:top w:val="single" w:sz="4" w:space="0" w:color="auto"/>
              <w:left w:val="single" w:sz="4" w:space="0" w:color="auto"/>
              <w:bottom w:val="single" w:sz="4" w:space="0" w:color="auto"/>
              <w:right w:val="single" w:sz="4" w:space="0" w:color="auto"/>
            </w:tcBorders>
            <w:vAlign w:val="center"/>
          </w:tcPr>
          <w:p w:rsidR="00BE7A4C" w:rsidRPr="005440F1" w:rsidP="00BB4A7D" w14:paraId="1ED5563D" w14:textId="77777777">
            <w:pPr>
              <w:rPr>
                <w:sz w:val="24"/>
                <w:szCs w:val="24"/>
              </w:rPr>
            </w:pPr>
          </w:p>
        </w:tc>
        <w:tc>
          <w:tcPr>
            <w:tcW w:w="681" w:type="pct"/>
            <w:vMerge/>
            <w:tcBorders>
              <w:top w:val="single" w:sz="4" w:space="0" w:color="auto"/>
              <w:left w:val="single" w:sz="4" w:space="0" w:color="auto"/>
              <w:bottom w:val="single" w:sz="4" w:space="0" w:color="auto"/>
              <w:right w:val="single" w:sz="4" w:space="0" w:color="auto"/>
            </w:tcBorders>
            <w:vAlign w:val="center"/>
          </w:tcPr>
          <w:p w:rsidR="00BE7A4C" w:rsidRPr="005440F1" w:rsidP="00BB4A7D" w14:paraId="795A20B9" w14:textId="77777777">
            <w:pPr>
              <w:rPr>
                <w:sz w:val="24"/>
                <w:szCs w:val="24"/>
              </w:rPr>
            </w:pPr>
          </w:p>
        </w:tc>
      </w:tr>
      <w:tr w14:paraId="4CD609F5" w14:textId="77777777" w:rsidTr="001F3CE9">
        <w:tblPrEx>
          <w:tblW w:w="5680" w:type="pct"/>
          <w:tblLayout w:type="fixed"/>
          <w:tblLook w:val="06A0"/>
        </w:tblPrEx>
        <w:trPr>
          <w:trHeight w:val="20"/>
        </w:trPr>
        <w:tc>
          <w:tcPr>
            <w:tcW w:w="547" w:type="pct"/>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BE7A4C" w:rsidRPr="005440F1" w:rsidP="00BB4A7D" w14:paraId="4D98F37F" w14:textId="3A9AAFB2">
            <w:pPr>
              <w:rPr>
                <w:color w:val="000000" w:themeColor="text1"/>
                <w:sz w:val="24"/>
                <w:szCs w:val="24"/>
              </w:rPr>
            </w:pPr>
            <w:r w:rsidRPr="005440F1">
              <w:rPr>
                <w:color w:val="000000" w:themeColor="text1"/>
                <w:sz w:val="24"/>
                <w:szCs w:val="24"/>
              </w:rPr>
              <w:t>SUPRT-P</w:t>
            </w:r>
          </w:p>
        </w:tc>
        <w:tc>
          <w:tcPr>
            <w:tcW w:w="72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E7A4C" w:rsidRPr="005440F1" w:rsidP="0012651F" w14:paraId="58FDD5B8" w14:textId="35389253">
            <w:pPr>
              <w:jc w:val="center"/>
              <w:rPr>
                <w:color w:val="000000" w:themeColor="text1"/>
                <w:sz w:val="24"/>
                <w:szCs w:val="24"/>
              </w:rPr>
            </w:pPr>
            <w:r w:rsidRPr="005440F1">
              <w:rPr>
                <w:color w:val="000000" w:themeColor="text1"/>
                <w:sz w:val="24"/>
                <w:szCs w:val="24"/>
              </w:rPr>
              <w:t>2,831</w:t>
            </w:r>
          </w:p>
        </w:tc>
        <w:tc>
          <w:tcPr>
            <w:tcW w:w="72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E7A4C" w:rsidRPr="005440F1" w:rsidP="0012651F" w14:paraId="1CFCEA9C" w14:textId="2DE56B83">
            <w:pPr>
              <w:jc w:val="center"/>
              <w:rPr>
                <w:color w:val="000000" w:themeColor="text1"/>
                <w:sz w:val="24"/>
                <w:szCs w:val="24"/>
              </w:rPr>
            </w:pPr>
            <w:r w:rsidRPr="005440F1">
              <w:rPr>
                <w:color w:val="000000" w:themeColor="text1"/>
                <w:sz w:val="24"/>
                <w:szCs w:val="24"/>
              </w:rPr>
              <w:t>4</w:t>
            </w:r>
          </w:p>
        </w:tc>
        <w:tc>
          <w:tcPr>
            <w:tcW w:w="55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E7A4C" w:rsidRPr="005440F1" w:rsidP="0012651F" w14:paraId="2DC11254" w14:textId="786BB41B">
            <w:pPr>
              <w:jc w:val="center"/>
              <w:rPr>
                <w:color w:val="000000" w:themeColor="text1"/>
                <w:sz w:val="24"/>
                <w:szCs w:val="24"/>
              </w:rPr>
            </w:pPr>
            <w:r w:rsidRPr="005440F1">
              <w:rPr>
                <w:color w:val="000000" w:themeColor="text1"/>
                <w:sz w:val="24"/>
                <w:szCs w:val="24"/>
              </w:rPr>
              <w:t>11,324</w:t>
            </w:r>
          </w:p>
        </w:tc>
        <w:tc>
          <w:tcPr>
            <w:tcW w:w="59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E7A4C" w:rsidRPr="005440F1" w:rsidP="0012651F" w14:paraId="62E8E812" w14:textId="743E80C7">
            <w:pPr>
              <w:jc w:val="center"/>
              <w:rPr>
                <w:color w:val="000000" w:themeColor="text1"/>
                <w:sz w:val="24"/>
                <w:szCs w:val="24"/>
              </w:rPr>
            </w:pPr>
            <w:r>
              <w:rPr>
                <w:color w:val="000000" w:themeColor="text1"/>
                <w:sz w:val="24"/>
                <w:szCs w:val="24"/>
              </w:rPr>
              <w:t>10</w:t>
            </w:r>
          </w:p>
        </w:tc>
        <w:tc>
          <w:tcPr>
            <w:tcW w:w="6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E7A4C" w:rsidRPr="005440F1" w:rsidP="0012651F" w14:paraId="1C1BE64A" w14:textId="6EE80CD0">
            <w:pPr>
              <w:jc w:val="center"/>
              <w:rPr>
                <w:color w:val="000000" w:themeColor="text1"/>
                <w:sz w:val="24"/>
                <w:szCs w:val="24"/>
              </w:rPr>
            </w:pPr>
            <w:r>
              <w:rPr>
                <w:color w:val="000000" w:themeColor="text1"/>
                <w:sz w:val="24"/>
                <w:szCs w:val="24"/>
              </w:rPr>
              <w:t>113,240</w:t>
            </w:r>
          </w:p>
        </w:tc>
        <w:tc>
          <w:tcPr>
            <w:tcW w:w="50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E7A4C" w:rsidRPr="005440F1" w:rsidP="0012651F" w14:paraId="755E6000" w14:textId="2EE22F2C">
            <w:pPr>
              <w:jc w:val="center"/>
              <w:rPr>
                <w:color w:val="000000" w:themeColor="text1"/>
                <w:sz w:val="24"/>
                <w:szCs w:val="24"/>
              </w:rPr>
            </w:pPr>
            <w:r w:rsidRPr="005440F1">
              <w:rPr>
                <w:color w:val="000000" w:themeColor="text1"/>
                <w:sz w:val="24"/>
                <w:szCs w:val="24"/>
              </w:rPr>
              <w:t>$25.82</w:t>
            </w:r>
            <w:r w:rsidRPr="005440F1" w:rsidR="00572D25">
              <w:rPr>
                <w:color w:val="000000" w:themeColor="text1"/>
                <w:sz w:val="24"/>
                <w:szCs w:val="24"/>
                <w:vertAlign w:val="superscript"/>
              </w:rPr>
              <w:t>1</w:t>
            </w:r>
          </w:p>
        </w:tc>
        <w:tc>
          <w:tcPr>
            <w:tcW w:w="681" w:type="pct"/>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rsidR="00BE7A4C" w:rsidRPr="005440F1" w:rsidP="0012651F" w14:paraId="4095C5E7" w14:textId="772E64C0">
            <w:pPr>
              <w:jc w:val="center"/>
              <w:rPr>
                <w:color w:val="000000" w:themeColor="text1"/>
                <w:sz w:val="24"/>
                <w:szCs w:val="24"/>
              </w:rPr>
            </w:pPr>
            <w:r w:rsidRPr="005440F1">
              <w:rPr>
                <w:color w:val="000000" w:themeColor="text1"/>
                <w:sz w:val="24"/>
                <w:szCs w:val="24"/>
              </w:rPr>
              <w:t>$2,</w:t>
            </w:r>
            <w:r w:rsidR="00540C5D">
              <w:rPr>
                <w:color w:val="000000" w:themeColor="text1"/>
                <w:sz w:val="24"/>
                <w:szCs w:val="24"/>
              </w:rPr>
              <w:t>923,856.80</w:t>
            </w:r>
          </w:p>
        </w:tc>
      </w:tr>
    </w:tbl>
    <w:p w:rsidR="005B306E" w:rsidRPr="0096637B" w:rsidP="0096637B" w14:paraId="5250DCA1" w14:textId="1668F8DB">
      <w:pPr>
        <w:spacing w:before="120" w:after="120"/>
      </w:pPr>
      <w:r>
        <w:rPr>
          <w:vertAlign w:val="superscript"/>
        </w:rPr>
        <w:t>1</w:t>
      </w:r>
      <w:r w:rsidRPr="0096637B">
        <w:t>The hourly wage estimate is $25.82 based on the Occupational Employment and Wages, Mean Hourly Wage rate for Substance Abuse, Behavioral Disorder, and Mental Health Counselors (</w:t>
      </w:r>
      <w:hyperlink r:id="rId8" w:history="1">
        <w:r w:rsidRPr="0096637B">
          <w:rPr>
            <w:rStyle w:val="Hyperlink"/>
          </w:rPr>
          <w:t>https://www.bls.gov</w:t>
        </w:r>
      </w:hyperlink>
      <w:r w:rsidRPr="0096637B">
        <w:t>)</w:t>
      </w:r>
    </w:p>
    <w:p w:rsidR="0096637B" w:rsidRPr="00D5792F" w:rsidP="005B306E" w14:paraId="3A396D8B" w14:textId="151D7C18">
      <w:pPr>
        <w:spacing w:after="120"/>
        <w:rPr>
          <w:b/>
          <w:bCs/>
          <w:sz w:val="24"/>
          <w:szCs w:val="24"/>
        </w:rPr>
      </w:pPr>
    </w:p>
    <w:p w:rsidR="005B306E" w:rsidRPr="00307AF7" w:rsidP="00307AF7" w14:paraId="032CE62E" w14:textId="77777777">
      <w:pPr>
        <w:pStyle w:val="Heading4"/>
        <w:rPr>
          <w:i w:val="0"/>
          <w:iCs w:val="0"/>
          <w:color w:val="auto"/>
          <w:sz w:val="24"/>
          <w:szCs w:val="24"/>
        </w:rPr>
      </w:pPr>
      <w:r w:rsidRPr="00307AF7">
        <w:rPr>
          <w:i w:val="0"/>
          <w:iCs w:val="0"/>
          <w:color w:val="auto"/>
          <w:sz w:val="24"/>
          <w:szCs w:val="24"/>
        </w:rPr>
        <w:fldChar w:fldCharType="begin"/>
      </w:r>
      <w:r w:rsidRPr="00307AF7">
        <w:rPr>
          <w:i w:val="0"/>
          <w:iCs w:val="0"/>
          <w:color w:val="auto"/>
          <w:sz w:val="24"/>
          <w:szCs w:val="24"/>
          <w:lang w:val="en-CA"/>
        </w:rPr>
        <w:instrText xml:space="preserve"> SEQ CHAPTER \h \r 1</w:instrText>
      </w:r>
      <w:r w:rsidRPr="00307AF7">
        <w:rPr>
          <w:i w:val="0"/>
          <w:iCs w:val="0"/>
          <w:color w:val="auto"/>
          <w:sz w:val="24"/>
          <w:szCs w:val="24"/>
          <w:shd w:val="clear" w:color="auto" w:fill="E6E6E6"/>
          <w:lang w:val="en-CA"/>
        </w:rPr>
        <w:fldChar w:fldCharType="separate"/>
      </w:r>
      <w:r w:rsidRPr="00307AF7">
        <w:rPr>
          <w:i w:val="0"/>
          <w:iCs w:val="0"/>
          <w:color w:val="auto"/>
          <w:sz w:val="24"/>
          <w:szCs w:val="24"/>
          <w:shd w:val="clear" w:color="auto" w:fill="E6E6E6"/>
          <w:lang w:val="en-CA"/>
        </w:rPr>
        <w:fldChar w:fldCharType="end"/>
      </w:r>
      <w:r w:rsidRPr="00307AF7">
        <w:rPr>
          <w:i w:val="0"/>
          <w:iCs w:val="0"/>
          <w:color w:val="auto"/>
          <w:sz w:val="24"/>
          <w:szCs w:val="24"/>
        </w:rPr>
        <w:t>A13.</w:t>
      </w:r>
      <w:r w:rsidRPr="00307AF7">
        <w:rPr>
          <w:i w:val="0"/>
          <w:iCs w:val="0"/>
          <w:color w:val="auto"/>
          <w:sz w:val="24"/>
          <w:szCs w:val="24"/>
        </w:rPr>
        <w:tab/>
        <w:t>Estimates of Annualized Cost Burden to Respondents</w:t>
      </w:r>
    </w:p>
    <w:p w:rsidR="005B306E" w:rsidRPr="00D5792F" w:rsidP="005B306E" w14:paraId="6C873672" w14:textId="77777777">
      <w:pPr>
        <w:spacing w:before="240" w:after="240"/>
        <w:rPr>
          <w:sz w:val="24"/>
          <w:szCs w:val="24"/>
        </w:rPr>
      </w:pPr>
      <w:r w:rsidRPr="00D5792F">
        <w:rPr>
          <w:color w:val="000000" w:themeColor="text1"/>
          <w:sz w:val="24"/>
          <w:szCs w:val="24"/>
        </w:rPr>
        <w:t>The</w:t>
      </w:r>
      <w:r w:rsidRPr="00D5792F">
        <w:rPr>
          <w:sz w:val="24"/>
          <w:szCs w:val="24"/>
        </w:rPr>
        <w:t>re will be no capital, start-up, operation, maintenance, nor are there any purchase costs.</w:t>
      </w:r>
    </w:p>
    <w:p w:rsidR="005B306E" w:rsidRPr="00307AF7" w:rsidP="00307AF7" w14:paraId="1A40950D" w14:textId="77777777">
      <w:pPr>
        <w:pStyle w:val="Heading4"/>
        <w:rPr>
          <w:i w:val="0"/>
          <w:iCs w:val="0"/>
          <w:color w:val="auto"/>
          <w:sz w:val="24"/>
          <w:szCs w:val="24"/>
        </w:rPr>
      </w:pPr>
      <w:r w:rsidRPr="00307AF7">
        <w:rPr>
          <w:i w:val="0"/>
          <w:iCs w:val="0"/>
          <w:color w:val="auto"/>
          <w:sz w:val="24"/>
          <w:szCs w:val="24"/>
        </w:rPr>
        <w:t>A14.</w:t>
      </w:r>
      <w:r w:rsidRPr="00307AF7">
        <w:rPr>
          <w:i w:val="0"/>
          <w:iCs w:val="0"/>
          <w:color w:val="auto"/>
          <w:sz w:val="24"/>
          <w:szCs w:val="24"/>
        </w:rPr>
        <w:tab/>
        <w:t>Estimates of Annualized Cost to the Government</w:t>
      </w:r>
    </w:p>
    <w:p w:rsidR="005B306E" w:rsidRPr="00D5792F" w:rsidP="005B306E" w14:paraId="3AA2D1D7" w14:textId="77777777">
      <w:pPr>
        <w:spacing w:before="240" w:after="120"/>
        <w:rPr>
          <w:sz w:val="24"/>
          <w:szCs w:val="24"/>
        </w:rPr>
      </w:pPr>
      <w:r w:rsidRPr="00D5792F">
        <w:rPr>
          <w:sz w:val="24"/>
          <w:szCs w:val="24"/>
        </w:rPr>
        <w:t xml:space="preserve">The principal additional cost to the government for this project is the cost of a contract to collect the data from the grantees and to conduct analyses, which generate routine reports from the data collected. </w:t>
      </w:r>
    </w:p>
    <w:p w:rsidR="005B306E" w:rsidRPr="00D5792F" w:rsidP="005B306E" w14:paraId="1358EED7" w14:textId="79A7EC53">
      <w:pPr>
        <w:spacing w:after="120" w:line="259" w:lineRule="auto"/>
        <w:rPr>
          <w:sz w:val="24"/>
          <w:szCs w:val="24"/>
        </w:rPr>
      </w:pPr>
      <w:r w:rsidRPr="00EC3FB0">
        <w:rPr>
          <w:sz w:val="24"/>
          <w:szCs w:val="24"/>
        </w:rPr>
        <w:t>The estimated annualized cost for a contract for SUPRT-P is $</w:t>
      </w:r>
      <w:r w:rsidRPr="00EC3FB0" w:rsidR="005749FC">
        <w:rPr>
          <w:sz w:val="24"/>
          <w:szCs w:val="24"/>
        </w:rPr>
        <w:t>2,200,000</w:t>
      </w:r>
      <w:r w:rsidRPr="00EC3FB0">
        <w:rPr>
          <w:sz w:val="24"/>
          <w:szCs w:val="24"/>
        </w:rPr>
        <w:t xml:space="preserve"> and the cost of </w:t>
      </w:r>
      <w:r w:rsidRPr="00EC3FB0" w:rsidR="00F96C9C">
        <w:rPr>
          <w:sz w:val="24"/>
          <w:szCs w:val="24"/>
        </w:rPr>
        <w:t xml:space="preserve">3 </w:t>
      </w:r>
      <w:r w:rsidRPr="00EC3FB0">
        <w:rPr>
          <w:sz w:val="24"/>
          <w:szCs w:val="24"/>
        </w:rPr>
        <w:t>Full-time Equivalent (FTE) staff (GS-14 100%) responsible for the data collection effort is approximately $</w:t>
      </w:r>
      <w:r w:rsidRPr="00EC3FB0" w:rsidR="00F96C9C">
        <w:rPr>
          <w:sz w:val="24"/>
          <w:szCs w:val="24"/>
        </w:rPr>
        <w:t>396</w:t>
      </w:r>
      <w:r w:rsidRPr="00EC3FB0" w:rsidR="005749FC">
        <w:rPr>
          <w:sz w:val="24"/>
          <w:szCs w:val="24"/>
        </w:rPr>
        <w:t>,000</w:t>
      </w:r>
      <w:r w:rsidRPr="00EC3FB0">
        <w:rPr>
          <w:sz w:val="24"/>
          <w:szCs w:val="24"/>
        </w:rPr>
        <w:t xml:space="preserve"> per year. The estimated annualized total cost to the government will be $</w:t>
      </w:r>
      <w:r w:rsidRPr="00EC3FB0" w:rsidR="005749FC">
        <w:rPr>
          <w:sz w:val="24"/>
          <w:szCs w:val="24"/>
        </w:rPr>
        <w:t>2,</w:t>
      </w:r>
      <w:r w:rsidRPr="00EC3FB0" w:rsidR="00F96C9C">
        <w:rPr>
          <w:sz w:val="24"/>
          <w:szCs w:val="24"/>
        </w:rPr>
        <w:t>596</w:t>
      </w:r>
      <w:r w:rsidRPr="00EC3FB0" w:rsidR="005749FC">
        <w:rPr>
          <w:sz w:val="24"/>
          <w:szCs w:val="24"/>
        </w:rPr>
        <w:t>,000</w:t>
      </w:r>
      <w:r w:rsidRPr="00EC3FB0">
        <w:rPr>
          <w:sz w:val="24"/>
          <w:szCs w:val="24"/>
        </w:rPr>
        <w:t>.</w:t>
      </w:r>
    </w:p>
    <w:p w:rsidR="005B306E" w:rsidRPr="00307AF7" w:rsidP="00307AF7" w14:paraId="55CF5764" w14:textId="77777777">
      <w:pPr>
        <w:pStyle w:val="Heading4"/>
        <w:rPr>
          <w:i w:val="0"/>
          <w:iCs w:val="0"/>
          <w:color w:val="auto"/>
          <w:sz w:val="24"/>
          <w:szCs w:val="24"/>
        </w:rPr>
      </w:pPr>
      <w:bookmarkStart w:id="8" w:name="_Toc88033481"/>
      <w:bookmarkStart w:id="9" w:name="_Toc88277964"/>
      <w:r w:rsidRPr="00307AF7">
        <w:rPr>
          <w:i w:val="0"/>
          <w:iCs w:val="0"/>
          <w:color w:val="auto"/>
          <w:sz w:val="24"/>
          <w:szCs w:val="24"/>
        </w:rPr>
        <w:t>A15.</w:t>
      </w:r>
      <w:r w:rsidRPr="00307AF7">
        <w:rPr>
          <w:i w:val="0"/>
          <w:iCs w:val="0"/>
          <w:color w:val="auto"/>
          <w:sz w:val="24"/>
          <w:szCs w:val="24"/>
        </w:rPr>
        <w:tab/>
      </w:r>
      <w:bookmarkEnd w:id="8"/>
      <w:bookmarkEnd w:id="9"/>
      <w:r w:rsidRPr="00307AF7">
        <w:rPr>
          <w:i w:val="0"/>
          <w:iCs w:val="0"/>
          <w:color w:val="auto"/>
          <w:sz w:val="24"/>
          <w:szCs w:val="24"/>
        </w:rPr>
        <w:t xml:space="preserve">Changes in Burden </w:t>
      </w:r>
    </w:p>
    <w:p w:rsidR="005B306E" w:rsidRPr="00D5792F" w:rsidP="005B306E" w14:paraId="0E587464" w14:textId="23F880AF">
      <w:pPr>
        <w:spacing w:before="240" w:after="160" w:line="257" w:lineRule="auto"/>
        <w:rPr>
          <w:sz w:val="24"/>
          <w:szCs w:val="24"/>
        </w:rPr>
      </w:pPr>
      <w:r w:rsidRPr="00D5792F">
        <w:rPr>
          <w:sz w:val="24"/>
          <w:szCs w:val="24"/>
        </w:rPr>
        <w:t xml:space="preserve">This is a new data collection request; therefore, there are no changes in burden. </w:t>
      </w:r>
    </w:p>
    <w:p w:rsidR="005B306E" w:rsidRPr="00307AF7" w:rsidP="00307AF7" w14:paraId="7275EABB" w14:textId="77777777">
      <w:pPr>
        <w:pStyle w:val="Heading4"/>
        <w:rPr>
          <w:b/>
          <w:bCs/>
          <w:i w:val="0"/>
          <w:iCs w:val="0"/>
          <w:color w:val="auto"/>
          <w:sz w:val="24"/>
          <w:szCs w:val="24"/>
        </w:rPr>
      </w:pPr>
      <w:r w:rsidRPr="00307AF7">
        <w:rPr>
          <w:i w:val="0"/>
          <w:iCs w:val="0"/>
          <w:color w:val="auto"/>
          <w:sz w:val="24"/>
          <w:szCs w:val="24"/>
        </w:rPr>
        <w:t>A16.</w:t>
      </w:r>
      <w:r w:rsidRPr="00307AF7">
        <w:rPr>
          <w:i w:val="0"/>
          <w:iCs w:val="0"/>
          <w:color w:val="auto"/>
          <w:sz w:val="24"/>
          <w:szCs w:val="24"/>
        </w:rPr>
        <w:tab/>
        <w:t>Time Schedule, Analysis and Publication Plans</w:t>
      </w:r>
      <w:r w:rsidRPr="00307AF7">
        <w:rPr>
          <w:b/>
          <w:bCs/>
          <w:i w:val="0"/>
          <w:iCs w:val="0"/>
          <w:color w:val="auto"/>
          <w:sz w:val="24"/>
          <w:szCs w:val="24"/>
        </w:rPr>
        <w:t xml:space="preserve"> </w:t>
      </w:r>
    </w:p>
    <w:p w:rsidR="00FC70A0" w:rsidRPr="00D5792F" w:rsidP="00FC70A0" w14:paraId="41477240" w14:textId="77777777">
      <w:pPr>
        <w:rPr>
          <w:sz w:val="24"/>
          <w:szCs w:val="24"/>
        </w:rPr>
      </w:pPr>
    </w:p>
    <w:p w:rsidR="00F51E5E" w:rsidRPr="00D5792F" w:rsidP="00F51E5E" w14:paraId="5D368838" w14:textId="335C95B5">
      <w:pPr>
        <w:rPr>
          <w:sz w:val="24"/>
          <w:szCs w:val="24"/>
        </w:rPr>
      </w:pPr>
      <w:r w:rsidRPr="00D5792F">
        <w:rPr>
          <w:sz w:val="24"/>
          <w:szCs w:val="24"/>
        </w:rPr>
        <w:t>SAMHSA will utilize the data collected from this data collection activity on an ongoing basis to monitor performance and to respond to GPRMA and other Federal reporting requirements. These data are used to provide the agency with information to document the overall Center performance requirements and to provide information that will assist SAMHSA in planning and monitoring program goals. Descriptive information obtained from program reporting requirements will be reviewed for monitoring and program management. Information is used internally by the agency and for performance reports.</w:t>
      </w:r>
    </w:p>
    <w:p w:rsidR="00DB272F" w:rsidRPr="00D5792F" w:rsidP="00F51E5E" w14:paraId="4139E39C" w14:textId="77777777">
      <w:pPr>
        <w:rPr>
          <w:sz w:val="24"/>
          <w:szCs w:val="24"/>
          <w:u w:val="single"/>
        </w:rPr>
      </w:pPr>
    </w:p>
    <w:p w:rsidR="00F51E5E" w:rsidRPr="00D5792F" w:rsidP="00F51E5E" w14:paraId="001AAB9A" w14:textId="12DDACB0">
      <w:pPr>
        <w:rPr>
          <w:sz w:val="24"/>
          <w:szCs w:val="24"/>
          <w:u w:val="single"/>
        </w:rPr>
      </w:pPr>
      <w:r w:rsidRPr="00D5792F">
        <w:rPr>
          <w:sz w:val="24"/>
          <w:szCs w:val="24"/>
          <w:u w:val="single"/>
        </w:rPr>
        <w:t>Analysis and Publication Plans</w:t>
      </w:r>
    </w:p>
    <w:p w:rsidR="00F51E5E" w:rsidRPr="00D5792F" w:rsidP="00F51E5E" w14:paraId="1A35D172" w14:textId="77777777">
      <w:pPr>
        <w:rPr>
          <w:sz w:val="24"/>
          <w:szCs w:val="24"/>
        </w:rPr>
      </w:pPr>
    </w:p>
    <w:p w:rsidR="00F51E5E" w:rsidRPr="00D5792F" w:rsidP="00F51E5E" w14:paraId="56F29228" w14:textId="01E81C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5792F">
        <w:rPr>
          <w:sz w:val="24"/>
          <w:szCs w:val="24"/>
        </w:rPr>
        <w:t xml:space="preserve">Data will be used to report to Congress </w:t>
      </w:r>
      <w:r w:rsidR="003663BB">
        <w:rPr>
          <w:sz w:val="24"/>
          <w:szCs w:val="24"/>
        </w:rPr>
        <w:t>on</w:t>
      </w:r>
      <w:r w:rsidRPr="00D5792F">
        <w:rPr>
          <w:sz w:val="24"/>
          <w:szCs w:val="24"/>
        </w:rPr>
        <w:t xml:space="preserve"> the GPRMA as specified in the SAMHSA Annual Justifications of Budget Estimates. The data might also be used for specific comparisons relative to the Office of National Drug Control Policy’s National Drug Control Strategic Goals</w:t>
      </w:r>
      <w:r w:rsidR="000F4042">
        <w:rPr>
          <w:sz w:val="24"/>
          <w:szCs w:val="24"/>
        </w:rPr>
        <w:t xml:space="preserve"> </w:t>
      </w:r>
      <w:r w:rsidRPr="00D5792F">
        <w:rPr>
          <w:sz w:val="24"/>
          <w:szCs w:val="24"/>
        </w:rPr>
        <w:t>Information will also be used for a wide variety of other oversight, administrative, and statistical purposes of the federal government, state governments, and Congress. Data will be tabulated and analyzed using standard descriptive and statistical analytic techniques and will be published through the reports noted above, as well as through the publication of special analytic studies.</w:t>
      </w:r>
    </w:p>
    <w:p w:rsidR="00F51E5E" w:rsidRPr="00E05522" w:rsidP="00F51E5E" w14:paraId="32DDDA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C70A0" w:rsidRPr="00FC70A0" w:rsidP="00FC70A0" w14:paraId="16C4F13F" w14:textId="77777777"/>
    <w:sectPr w:rsidSect="005B306E">
      <w:footerReference w:type="first" r:id="rId9"/>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1212065"/>
      <w:docPartObj>
        <w:docPartGallery w:val="Page Numbers (Bottom of Page)"/>
        <w:docPartUnique/>
      </w:docPartObj>
    </w:sdtPr>
    <w:sdtEndPr>
      <w:rPr>
        <w:noProof/>
      </w:rPr>
    </w:sdtEndPr>
    <w:sdtContent>
      <w:p w:rsidR="00BB4A7D" w14:paraId="4EE17018"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17</w:t>
        </w:r>
        <w:r>
          <w:rPr>
            <w:color w:val="2B579A"/>
            <w:shd w:val="clear" w:color="auto" w:fill="E6E6E6"/>
          </w:rPr>
          <w:fldChar w:fldCharType="end"/>
        </w:r>
      </w:p>
    </w:sdtContent>
  </w:sdt>
  <w:p w:rsidR="00BB4A7D" w:rsidRPr="00A06F41" w:rsidP="00BB4A7D" w14:paraId="3996355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DB1E6"/>
    <w:multiLevelType w:val="multilevel"/>
    <w:tmpl w:val="D2C09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D3CAE6F"/>
    <w:multiLevelType w:val="multilevel"/>
    <w:tmpl w:val="264EE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E300E59"/>
    <w:multiLevelType w:val="multilevel"/>
    <w:tmpl w:val="E3889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E565A70"/>
    <w:multiLevelType w:val="hybridMultilevel"/>
    <w:tmpl w:val="9722966A"/>
    <w:lvl w:ilvl="0">
      <w:start w:val="0"/>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
    <w:nsid w:val="2F4BB8F5"/>
    <w:multiLevelType w:val="multilevel"/>
    <w:tmpl w:val="4E36B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6A46133"/>
    <w:multiLevelType w:val="hybridMultilevel"/>
    <w:tmpl w:val="764E2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8D3068A"/>
    <w:multiLevelType w:val="hybridMultilevel"/>
    <w:tmpl w:val="2102D34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7650251F"/>
    <w:multiLevelType w:val="hybridMultilevel"/>
    <w:tmpl w:val="9F86502E"/>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num w:numId="1" w16cid:durableId="985008417">
    <w:abstractNumId w:val="2"/>
  </w:num>
  <w:num w:numId="2" w16cid:durableId="388000288">
    <w:abstractNumId w:val="1"/>
  </w:num>
  <w:num w:numId="3" w16cid:durableId="1682580663">
    <w:abstractNumId w:val="4"/>
  </w:num>
  <w:num w:numId="4" w16cid:durableId="163711258">
    <w:abstractNumId w:val="0"/>
  </w:num>
  <w:num w:numId="5" w16cid:durableId="272904534">
    <w:abstractNumId w:val="3"/>
  </w:num>
  <w:num w:numId="6" w16cid:durableId="694817836">
    <w:abstractNumId w:val="6"/>
  </w:num>
  <w:num w:numId="7" w16cid:durableId="57897465">
    <w:abstractNumId w:val="5"/>
  </w:num>
  <w:num w:numId="8" w16cid:durableId="891698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6E"/>
    <w:rsid w:val="00000F93"/>
    <w:rsid w:val="00002833"/>
    <w:rsid w:val="00020B20"/>
    <w:rsid w:val="00054BA8"/>
    <w:rsid w:val="000561BA"/>
    <w:rsid w:val="0007306B"/>
    <w:rsid w:val="000740EC"/>
    <w:rsid w:val="00074DBC"/>
    <w:rsid w:val="00074F5A"/>
    <w:rsid w:val="00081016"/>
    <w:rsid w:val="00087150"/>
    <w:rsid w:val="00094E26"/>
    <w:rsid w:val="0009759D"/>
    <w:rsid w:val="000A0827"/>
    <w:rsid w:val="000A2C59"/>
    <w:rsid w:val="000A6FB0"/>
    <w:rsid w:val="000B1FB4"/>
    <w:rsid w:val="000B44DD"/>
    <w:rsid w:val="000B7129"/>
    <w:rsid w:val="000C4296"/>
    <w:rsid w:val="000C4B42"/>
    <w:rsid w:val="000C5C20"/>
    <w:rsid w:val="000D31B4"/>
    <w:rsid w:val="000D3C4E"/>
    <w:rsid w:val="000D7616"/>
    <w:rsid w:val="000D76A6"/>
    <w:rsid w:val="000E1748"/>
    <w:rsid w:val="000E3C42"/>
    <w:rsid w:val="000F28BF"/>
    <w:rsid w:val="000F4042"/>
    <w:rsid w:val="000F64E3"/>
    <w:rsid w:val="00117F50"/>
    <w:rsid w:val="00125EFE"/>
    <w:rsid w:val="0012651F"/>
    <w:rsid w:val="00130CDE"/>
    <w:rsid w:val="0013442C"/>
    <w:rsid w:val="001448A1"/>
    <w:rsid w:val="00145F0A"/>
    <w:rsid w:val="00147814"/>
    <w:rsid w:val="00152FFD"/>
    <w:rsid w:val="001555A1"/>
    <w:rsid w:val="00160FB1"/>
    <w:rsid w:val="00161904"/>
    <w:rsid w:val="00161AB3"/>
    <w:rsid w:val="001643EE"/>
    <w:rsid w:val="00170689"/>
    <w:rsid w:val="00171DAF"/>
    <w:rsid w:val="00173EE5"/>
    <w:rsid w:val="00177F9C"/>
    <w:rsid w:val="001A19F5"/>
    <w:rsid w:val="001A50CE"/>
    <w:rsid w:val="001A680B"/>
    <w:rsid w:val="001D1BF5"/>
    <w:rsid w:val="001D5CE0"/>
    <w:rsid w:val="001E0DB2"/>
    <w:rsid w:val="001E1082"/>
    <w:rsid w:val="001E7C8C"/>
    <w:rsid w:val="001F3CE9"/>
    <w:rsid w:val="0020059A"/>
    <w:rsid w:val="00204318"/>
    <w:rsid w:val="00214344"/>
    <w:rsid w:val="002145F0"/>
    <w:rsid w:val="00215394"/>
    <w:rsid w:val="002176EC"/>
    <w:rsid w:val="00217F46"/>
    <w:rsid w:val="0022082F"/>
    <w:rsid w:val="00230248"/>
    <w:rsid w:val="00232413"/>
    <w:rsid w:val="00233372"/>
    <w:rsid w:val="00234D9F"/>
    <w:rsid w:val="00256A7C"/>
    <w:rsid w:val="0025719D"/>
    <w:rsid w:val="00263A73"/>
    <w:rsid w:val="00265142"/>
    <w:rsid w:val="00266EDC"/>
    <w:rsid w:val="0027093A"/>
    <w:rsid w:val="00277AEE"/>
    <w:rsid w:val="00281AAA"/>
    <w:rsid w:val="00281C29"/>
    <w:rsid w:val="002847BD"/>
    <w:rsid w:val="0028743E"/>
    <w:rsid w:val="00291062"/>
    <w:rsid w:val="002B2644"/>
    <w:rsid w:val="002B4A97"/>
    <w:rsid w:val="002B65DC"/>
    <w:rsid w:val="002C35AD"/>
    <w:rsid w:val="002C4148"/>
    <w:rsid w:val="002C587E"/>
    <w:rsid w:val="002D1D88"/>
    <w:rsid w:val="002D5B3C"/>
    <w:rsid w:val="002E4054"/>
    <w:rsid w:val="002F0DF0"/>
    <w:rsid w:val="00307AF7"/>
    <w:rsid w:val="003115AD"/>
    <w:rsid w:val="0032068D"/>
    <w:rsid w:val="00322E93"/>
    <w:rsid w:val="00323780"/>
    <w:rsid w:val="003360A9"/>
    <w:rsid w:val="00343CF3"/>
    <w:rsid w:val="0035498E"/>
    <w:rsid w:val="003654E3"/>
    <w:rsid w:val="003663BB"/>
    <w:rsid w:val="00373815"/>
    <w:rsid w:val="003738FB"/>
    <w:rsid w:val="00382C2C"/>
    <w:rsid w:val="00391761"/>
    <w:rsid w:val="003A0318"/>
    <w:rsid w:val="003B0024"/>
    <w:rsid w:val="003B0715"/>
    <w:rsid w:val="003B0AE3"/>
    <w:rsid w:val="003B73ED"/>
    <w:rsid w:val="003C284A"/>
    <w:rsid w:val="003C55AA"/>
    <w:rsid w:val="003C5AE9"/>
    <w:rsid w:val="003D2DC9"/>
    <w:rsid w:val="003E55AE"/>
    <w:rsid w:val="003F12A5"/>
    <w:rsid w:val="00403D82"/>
    <w:rsid w:val="004121C4"/>
    <w:rsid w:val="00414EDF"/>
    <w:rsid w:val="00417F46"/>
    <w:rsid w:val="00430585"/>
    <w:rsid w:val="00430BE2"/>
    <w:rsid w:val="004361B1"/>
    <w:rsid w:val="0044557C"/>
    <w:rsid w:val="00447AF7"/>
    <w:rsid w:val="0045356E"/>
    <w:rsid w:val="004611EC"/>
    <w:rsid w:val="00490A36"/>
    <w:rsid w:val="00494442"/>
    <w:rsid w:val="004A0BAD"/>
    <w:rsid w:val="004A0E07"/>
    <w:rsid w:val="004A1A56"/>
    <w:rsid w:val="004A1E79"/>
    <w:rsid w:val="004A6118"/>
    <w:rsid w:val="004B4CDD"/>
    <w:rsid w:val="004C7026"/>
    <w:rsid w:val="004D1AE8"/>
    <w:rsid w:val="004E29BC"/>
    <w:rsid w:val="004E5528"/>
    <w:rsid w:val="004E6AC2"/>
    <w:rsid w:val="004F577B"/>
    <w:rsid w:val="0050020D"/>
    <w:rsid w:val="00507927"/>
    <w:rsid w:val="005163CE"/>
    <w:rsid w:val="00525FF1"/>
    <w:rsid w:val="00526058"/>
    <w:rsid w:val="00527702"/>
    <w:rsid w:val="005347E8"/>
    <w:rsid w:val="005351B9"/>
    <w:rsid w:val="005363AA"/>
    <w:rsid w:val="00537B1E"/>
    <w:rsid w:val="0054099C"/>
    <w:rsid w:val="00540C5D"/>
    <w:rsid w:val="005440F1"/>
    <w:rsid w:val="005523B5"/>
    <w:rsid w:val="0056010C"/>
    <w:rsid w:val="00562275"/>
    <w:rsid w:val="0056727F"/>
    <w:rsid w:val="00572D25"/>
    <w:rsid w:val="005749FC"/>
    <w:rsid w:val="0057587B"/>
    <w:rsid w:val="005830C9"/>
    <w:rsid w:val="005830CD"/>
    <w:rsid w:val="00584379"/>
    <w:rsid w:val="0059175F"/>
    <w:rsid w:val="00592BD5"/>
    <w:rsid w:val="00594ADB"/>
    <w:rsid w:val="005A5421"/>
    <w:rsid w:val="005A6554"/>
    <w:rsid w:val="005B0F61"/>
    <w:rsid w:val="005B1AD9"/>
    <w:rsid w:val="005B306E"/>
    <w:rsid w:val="005B326F"/>
    <w:rsid w:val="005C59F2"/>
    <w:rsid w:val="005C652D"/>
    <w:rsid w:val="005D0D46"/>
    <w:rsid w:val="005D38B4"/>
    <w:rsid w:val="005D76AA"/>
    <w:rsid w:val="005E4C5F"/>
    <w:rsid w:val="005E5D74"/>
    <w:rsid w:val="005F390E"/>
    <w:rsid w:val="005F47FB"/>
    <w:rsid w:val="005F5A44"/>
    <w:rsid w:val="00604BF3"/>
    <w:rsid w:val="006079BE"/>
    <w:rsid w:val="0061283E"/>
    <w:rsid w:val="00614129"/>
    <w:rsid w:val="006208AC"/>
    <w:rsid w:val="00623BF6"/>
    <w:rsid w:val="00631100"/>
    <w:rsid w:val="00631FA9"/>
    <w:rsid w:val="00634582"/>
    <w:rsid w:val="00653992"/>
    <w:rsid w:val="00663172"/>
    <w:rsid w:val="00667345"/>
    <w:rsid w:val="006757F7"/>
    <w:rsid w:val="006861AF"/>
    <w:rsid w:val="00686D0B"/>
    <w:rsid w:val="00687AC8"/>
    <w:rsid w:val="00691F7C"/>
    <w:rsid w:val="006928F1"/>
    <w:rsid w:val="00694AD3"/>
    <w:rsid w:val="006A0808"/>
    <w:rsid w:val="006A7305"/>
    <w:rsid w:val="006C1C7E"/>
    <w:rsid w:val="006D37C5"/>
    <w:rsid w:val="006E23DD"/>
    <w:rsid w:val="006E657B"/>
    <w:rsid w:val="006F24A8"/>
    <w:rsid w:val="006F503C"/>
    <w:rsid w:val="006F58AE"/>
    <w:rsid w:val="007055B6"/>
    <w:rsid w:val="00707188"/>
    <w:rsid w:val="00710219"/>
    <w:rsid w:val="00716890"/>
    <w:rsid w:val="0072027E"/>
    <w:rsid w:val="007231B9"/>
    <w:rsid w:val="0072546D"/>
    <w:rsid w:val="007276B3"/>
    <w:rsid w:val="00727A30"/>
    <w:rsid w:val="007522D8"/>
    <w:rsid w:val="007528B2"/>
    <w:rsid w:val="00760918"/>
    <w:rsid w:val="007637BD"/>
    <w:rsid w:val="00764951"/>
    <w:rsid w:val="00767B20"/>
    <w:rsid w:val="00770273"/>
    <w:rsid w:val="00781431"/>
    <w:rsid w:val="00781814"/>
    <w:rsid w:val="0078234C"/>
    <w:rsid w:val="00785788"/>
    <w:rsid w:val="00786887"/>
    <w:rsid w:val="007903E1"/>
    <w:rsid w:val="00791EC1"/>
    <w:rsid w:val="00793C2F"/>
    <w:rsid w:val="007A3D1E"/>
    <w:rsid w:val="007A6620"/>
    <w:rsid w:val="007B5A91"/>
    <w:rsid w:val="007D04E5"/>
    <w:rsid w:val="007D0997"/>
    <w:rsid w:val="007D31A7"/>
    <w:rsid w:val="007D3BD9"/>
    <w:rsid w:val="007D3F68"/>
    <w:rsid w:val="007D5578"/>
    <w:rsid w:val="007E2D88"/>
    <w:rsid w:val="007E4D5C"/>
    <w:rsid w:val="007F3965"/>
    <w:rsid w:val="00802942"/>
    <w:rsid w:val="00806F75"/>
    <w:rsid w:val="008077CB"/>
    <w:rsid w:val="00812AB1"/>
    <w:rsid w:val="00827183"/>
    <w:rsid w:val="008275BF"/>
    <w:rsid w:val="00830EC3"/>
    <w:rsid w:val="00840E86"/>
    <w:rsid w:val="00843C17"/>
    <w:rsid w:val="00846117"/>
    <w:rsid w:val="00853D3C"/>
    <w:rsid w:val="00855054"/>
    <w:rsid w:val="00857F55"/>
    <w:rsid w:val="00861D53"/>
    <w:rsid w:val="0086755E"/>
    <w:rsid w:val="008752CD"/>
    <w:rsid w:val="00875D39"/>
    <w:rsid w:val="00880818"/>
    <w:rsid w:val="008831D6"/>
    <w:rsid w:val="00887E69"/>
    <w:rsid w:val="008A5040"/>
    <w:rsid w:val="008B4458"/>
    <w:rsid w:val="008B55D0"/>
    <w:rsid w:val="008B641E"/>
    <w:rsid w:val="008B6F82"/>
    <w:rsid w:val="008C1549"/>
    <w:rsid w:val="008C2438"/>
    <w:rsid w:val="008C63F1"/>
    <w:rsid w:val="008F0EC9"/>
    <w:rsid w:val="008F67EA"/>
    <w:rsid w:val="008F6D26"/>
    <w:rsid w:val="00901D4C"/>
    <w:rsid w:val="009041F2"/>
    <w:rsid w:val="0091202F"/>
    <w:rsid w:val="00920C75"/>
    <w:rsid w:val="009227D1"/>
    <w:rsid w:val="00924D7A"/>
    <w:rsid w:val="009270AE"/>
    <w:rsid w:val="00937DD7"/>
    <w:rsid w:val="0094053B"/>
    <w:rsid w:val="00942F84"/>
    <w:rsid w:val="00942F9D"/>
    <w:rsid w:val="00945EE5"/>
    <w:rsid w:val="00963500"/>
    <w:rsid w:val="00965955"/>
    <w:rsid w:val="0096637B"/>
    <w:rsid w:val="00966550"/>
    <w:rsid w:val="00966983"/>
    <w:rsid w:val="0097627B"/>
    <w:rsid w:val="009832C7"/>
    <w:rsid w:val="009906B5"/>
    <w:rsid w:val="009950C9"/>
    <w:rsid w:val="009A1EF6"/>
    <w:rsid w:val="009A6E4D"/>
    <w:rsid w:val="009A6FA7"/>
    <w:rsid w:val="009D23B6"/>
    <w:rsid w:val="009E2985"/>
    <w:rsid w:val="009E4511"/>
    <w:rsid w:val="00A00A9B"/>
    <w:rsid w:val="00A03FB0"/>
    <w:rsid w:val="00A06F41"/>
    <w:rsid w:val="00A077F7"/>
    <w:rsid w:val="00A1116F"/>
    <w:rsid w:val="00A11AAD"/>
    <w:rsid w:val="00A21F19"/>
    <w:rsid w:val="00A26B58"/>
    <w:rsid w:val="00A372B2"/>
    <w:rsid w:val="00A405CF"/>
    <w:rsid w:val="00A423E5"/>
    <w:rsid w:val="00A73396"/>
    <w:rsid w:val="00A73731"/>
    <w:rsid w:val="00A73A0F"/>
    <w:rsid w:val="00A90A51"/>
    <w:rsid w:val="00A90F28"/>
    <w:rsid w:val="00A92292"/>
    <w:rsid w:val="00AA3547"/>
    <w:rsid w:val="00AB1446"/>
    <w:rsid w:val="00AB1710"/>
    <w:rsid w:val="00AB1D2D"/>
    <w:rsid w:val="00AC7C3C"/>
    <w:rsid w:val="00AD664E"/>
    <w:rsid w:val="00AE0F4B"/>
    <w:rsid w:val="00AE69D2"/>
    <w:rsid w:val="00AF0499"/>
    <w:rsid w:val="00AF2AA5"/>
    <w:rsid w:val="00AF3CEF"/>
    <w:rsid w:val="00AF464D"/>
    <w:rsid w:val="00B03BFD"/>
    <w:rsid w:val="00B04FFC"/>
    <w:rsid w:val="00B1232C"/>
    <w:rsid w:val="00B353EC"/>
    <w:rsid w:val="00B4090B"/>
    <w:rsid w:val="00B418BA"/>
    <w:rsid w:val="00B42790"/>
    <w:rsid w:val="00B51A49"/>
    <w:rsid w:val="00B53F6C"/>
    <w:rsid w:val="00B550BC"/>
    <w:rsid w:val="00B56937"/>
    <w:rsid w:val="00B57465"/>
    <w:rsid w:val="00B574C6"/>
    <w:rsid w:val="00B57AEE"/>
    <w:rsid w:val="00B60A88"/>
    <w:rsid w:val="00B623DA"/>
    <w:rsid w:val="00B6384B"/>
    <w:rsid w:val="00B66BD6"/>
    <w:rsid w:val="00B72A6D"/>
    <w:rsid w:val="00B75371"/>
    <w:rsid w:val="00B777C6"/>
    <w:rsid w:val="00B8319C"/>
    <w:rsid w:val="00B8421A"/>
    <w:rsid w:val="00B8555E"/>
    <w:rsid w:val="00B8593B"/>
    <w:rsid w:val="00B92648"/>
    <w:rsid w:val="00BA09D1"/>
    <w:rsid w:val="00BB0532"/>
    <w:rsid w:val="00BB4A7D"/>
    <w:rsid w:val="00BB53D9"/>
    <w:rsid w:val="00BB6285"/>
    <w:rsid w:val="00BC09C3"/>
    <w:rsid w:val="00BD0267"/>
    <w:rsid w:val="00BD7E23"/>
    <w:rsid w:val="00BE4054"/>
    <w:rsid w:val="00BE4AED"/>
    <w:rsid w:val="00BE7A4C"/>
    <w:rsid w:val="00BF49AC"/>
    <w:rsid w:val="00C04179"/>
    <w:rsid w:val="00C1101B"/>
    <w:rsid w:val="00C11EEA"/>
    <w:rsid w:val="00C120FB"/>
    <w:rsid w:val="00C123EB"/>
    <w:rsid w:val="00C14FEA"/>
    <w:rsid w:val="00C22AB9"/>
    <w:rsid w:val="00C240A4"/>
    <w:rsid w:val="00C247C0"/>
    <w:rsid w:val="00C313E8"/>
    <w:rsid w:val="00C3289E"/>
    <w:rsid w:val="00C32AC9"/>
    <w:rsid w:val="00C42325"/>
    <w:rsid w:val="00C46022"/>
    <w:rsid w:val="00C466C4"/>
    <w:rsid w:val="00C511DD"/>
    <w:rsid w:val="00C53A3F"/>
    <w:rsid w:val="00C55EAE"/>
    <w:rsid w:val="00C57469"/>
    <w:rsid w:val="00C6230C"/>
    <w:rsid w:val="00C6234D"/>
    <w:rsid w:val="00C64497"/>
    <w:rsid w:val="00C65C49"/>
    <w:rsid w:val="00C72E8B"/>
    <w:rsid w:val="00C74BC1"/>
    <w:rsid w:val="00C77398"/>
    <w:rsid w:val="00C91723"/>
    <w:rsid w:val="00C91B14"/>
    <w:rsid w:val="00C96777"/>
    <w:rsid w:val="00C96F26"/>
    <w:rsid w:val="00CA4EDA"/>
    <w:rsid w:val="00CB2B10"/>
    <w:rsid w:val="00CB5B03"/>
    <w:rsid w:val="00CC06E0"/>
    <w:rsid w:val="00CC3166"/>
    <w:rsid w:val="00CC3EB3"/>
    <w:rsid w:val="00CD0FEC"/>
    <w:rsid w:val="00CE1D74"/>
    <w:rsid w:val="00CE6D49"/>
    <w:rsid w:val="00CF7B90"/>
    <w:rsid w:val="00D01281"/>
    <w:rsid w:val="00D131F1"/>
    <w:rsid w:val="00D2179A"/>
    <w:rsid w:val="00D240B9"/>
    <w:rsid w:val="00D279FD"/>
    <w:rsid w:val="00D37D1C"/>
    <w:rsid w:val="00D40A3D"/>
    <w:rsid w:val="00D46430"/>
    <w:rsid w:val="00D5792F"/>
    <w:rsid w:val="00D57C48"/>
    <w:rsid w:val="00D66452"/>
    <w:rsid w:val="00D66791"/>
    <w:rsid w:val="00D673D5"/>
    <w:rsid w:val="00D67703"/>
    <w:rsid w:val="00D76E23"/>
    <w:rsid w:val="00D83E4C"/>
    <w:rsid w:val="00D91D77"/>
    <w:rsid w:val="00D958D2"/>
    <w:rsid w:val="00DA0CBC"/>
    <w:rsid w:val="00DA1390"/>
    <w:rsid w:val="00DA1474"/>
    <w:rsid w:val="00DA186F"/>
    <w:rsid w:val="00DA584D"/>
    <w:rsid w:val="00DB06EA"/>
    <w:rsid w:val="00DB272F"/>
    <w:rsid w:val="00DB74F9"/>
    <w:rsid w:val="00DC06ED"/>
    <w:rsid w:val="00DC2407"/>
    <w:rsid w:val="00DD4743"/>
    <w:rsid w:val="00DF3863"/>
    <w:rsid w:val="00DF4CF9"/>
    <w:rsid w:val="00DF52B6"/>
    <w:rsid w:val="00DF7CD9"/>
    <w:rsid w:val="00E0087D"/>
    <w:rsid w:val="00E05522"/>
    <w:rsid w:val="00E324A1"/>
    <w:rsid w:val="00E325ED"/>
    <w:rsid w:val="00E37E00"/>
    <w:rsid w:val="00E43A70"/>
    <w:rsid w:val="00E4433F"/>
    <w:rsid w:val="00E44503"/>
    <w:rsid w:val="00E47B35"/>
    <w:rsid w:val="00E55954"/>
    <w:rsid w:val="00E63D95"/>
    <w:rsid w:val="00E640F2"/>
    <w:rsid w:val="00E72772"/>
    <w:rsid w:val="00E77A92"/>
    <w:rsid w:val="00EA63DC"/>
    <w:rsid w:val="00EB5870"/>
    <w:rsid w:val="00EC0CD9"/>
    <w:rsid w:val="00EC3FB0"/>
    <w:rsid w:val="00EC4A6E"/>
    <w:rsid w:val="00EC7970"/>
    <w:rsid w:val="00ED46DF"/>
    <w:rsid w:val="00EE41DC"/>
    <w:rsid w:val="00EE67B8"/>
    <w:rsid w:val="00EF04D1"/>
    <w:rsid w:val="00EF281A"/>
    <w:rsid w:val="00EF3075"/>
    <w:rsid w:val="00F00E7F"/>
    <w:rsid w:val="00F039CB"/>
    <w:rsid w:val="00F03AAA"/>
    <w:rsid w:val="00F106C4"/>
    <w:rsid w:val="00F1111B"/>
    <w:rsid w:val="00F152F2"/>
    <w:rsid w:val="00F26410"/>
    <w:rsid w:val="00F266F2"/>
    <w:rsid w:val="00F307DE"/>
    <w:rsid w:val="00F3120D"/>
    <w:rsid w:val="00F32397"/>
    <w:rsid w:val="00F32D64"/>
    <w:rsid w:val="00F34055"/>
    <w:rsid w:val="00F3470F"/>
    <w:rsid w:val="00F36137"/>
    <w:rsid w:val="00F43D2C"/>
    <w:rsid w:val="00F51E5E"/>
    <w:rsid w:val="00F6013A"/>
    <w:rsid w:val="00F671F9"/>
    <w:rsid w:val="00F67429"/>
    <w:rsid w:val="00F71387"/>
    <w:rsid w:val="00F7438A"/>
    <w:rsid w:val="00F75735"/>
    <w:rsid w:val="00F9034C"/>
    <w:rsid w:val="00F90A59"/>
    <w:rsid w:val="00F93217"/>
    <w:rsid w:val="00F96C9C"/>
    <w:rsid w:val="00FA2BD9"/>
    <w:rsid w:val="00FB1E2B"/>
    <w:rsid w:val="00FB3A77"/>
    <w:rsid w:val="00FC46AA"/>
    <w:rsid w:val="00FC5343"/>
    <w:rsid w:val="00FC60BC"/>
    <w:rsid w:val="00FC70A0"/>
    <w:rsid w:val="00FD6B5B"/>
    <w:rsid w:val="00FF0F66"/>
    <w:rsid w:val="0577AF56"/>
    <w:rsid w:val="07CBBEE5"/>
    <w:rsid w:val="090B6770"/>
    <w:rsid w:val="0BEE269C"/>
    <w:rsid w:val="0CB549C3"/>
    <w:rsid w:val="0D5C7FED"/>
    <w:rsid w:val="10045FF9"/>
    <w:rsid w:val="1417A6B9"/>
    <w:rsid w:val="14B97B33"/>
    <w:rsid w:val="14CE2E94"/>
    <w:rsid w:val="17F53630"/>
    <w:rsid w:val="1B4530A4"/>
    <w:rsid w:val="1B918768"/>
    <w:rsid w:val="1BE1954B"/>
    <w:rsid w:val="1C3A9ED2"/>
    <w:rsid w:val="1D1FC522"/>
    <w:rsid w:val="1DD8EF5E"/>
    <w:rsid w:val="1DF6D35D"/>
    <w:rsid w:val="1ECA9355"/>
    <w:rsid w:val="1F0E93C1"/>
    <w:rsid w:val="24323CD6"/>
    <w:rsid w:val="2715BD98"/>
    <w:rsid w:val="2856CAA1"/>
    <w:rsid w:val="2C30C62A"/>
    <w:rsid w:val="2DEB2894"/>
    <w:rsid w:val="2E26A48E"/>
    <w:rsid w:val="2E7F45B8"/>
    <w:rsid w:val="2F682A30"/>
    <w:rsid w:val="2FB143FE"/>
    <w:rsid w:val="30BB1331"/>
    <w:rsid w:val="325D7AEF"/>
    <w:rsid w:val="32AE4569"/>
    <w:rsid w:val="331FB593"/>
    <w:rsid w:val="352585A9"/>
    <w:rsid w:val="35C698D6"/>
    <w:rsid w:val="36005321"/>
    <w:rsid w:val="373D9536"/>
    <w:rsid w:val="3742B3AC"/>
    <w:rsid w:val="378245C4"/>
    <w:rsid w:val="38A87C5A"/>
    <w:rsid w:val="38D58D29"/>
    <w:rsid w:val="3A92CA74"/>
    <w:rsid w:val="3D09F368"/>
    <w:rsid w:val="3E8BFB7D"/>
    <w:rsid w:val="416CECEC"/>
    <w:rsid w:val="4288DA3F"/>
    <w:rsid w:val="46FC1788"/>
    <w:rsid w:val="4865135C"/>
    <w:rsid w:val="490C0A63"/>
    <w:rsid w:val="4A1D8B07"/>
    <w:rsid w:val="4B42C5F8"/>
    <w:rsid w:val="4B858438"/>
    <w:rsid w:val="4BA7759F"/>
    <w:rsid w:val="4BDED816"/>
    <w:rsid w:val="4DC358AF"/>
    <w:rsid w:val="4E69340E"/>
    <w:rsid w:val="501D78E7"/>
    <w:rsid w:val="506E8A68"/>
    <w:rsid w:val="515E19D1"/>
    <w:rsid w:val="53DFE87A"/>
    <w:rsid w:val="56485544"/>
    <w:rsid w:val="59209A4D"/>
    <w:rsid w:val="59D6D8D0"/>
    <w:rsid w:val="59F93F2F"/>
    <w:rsid w:val="5AA85165"/>
    <w:rsid w:val="5C2BC5C0"/>
    <w:rsid w:val="60A40914"/>
    <w:rsid w:val="60FFCE06"/>
    <w:rsid w:val="61E8AD22"/>
    <w:rsid w:val="6293B751"/>
    <w:rsid w:val="62AA00FE"/>
    <w:rsid w:val="62DABE37"/>
    <w:rsid w:val="66BFE994"/>
    <w:rsid w:val="68AA9C04"/>
    <w:rsid w:val="6917CBD5"/>
    <w:rsid w:val="6CBD71E1"/>
    <w:rsid w:val="6E8ED4C5"/>
    <w:rsid w:val="6EC5F949"/>
    <w:rsid w:val="71928AAB"/>
    <w:rsid w:val="749BD17E"/>
    <w:rsid w:val="76840D87"/>
    <w:rsid w:val="76A70DE0"/>
    <w:rsid w:val="774AD3B0"/>
    <w:rsid w:val="7792A23D"/>
    <w:rsid w:val="789D1D6C"/>
    <w:rsid w:val="799E0802"/>
    <w:rsid w:val="7DB62CB6"/>
    <w:rsid w:val="7E01CE27"/>
    <w:rsid w:val="7FE58E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66F932"/>
  <w15:chartTrackingRefBased/>
  <w15:docId w15:val="{E985171F-216B-4A5F-B12D-34A99E8B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06E"/>
    <w:pPr>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B3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0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5B30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B30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0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0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0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0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0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0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0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0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B30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06E"/>
    <w:rPr>
      <w:rFonts w:ascii="Times New Roman" w:hAnsi="Times New Roman" w:eastAsiaTheme="majorEastAsia" w:cstheme="majorBidi"/>
      <w:i/>
      <w:iCs/>
      <w:color w:val="595959" w:themeColor="text1" w:themeTint="A6"/>
      <w:kern w:val="0"/>
      <w:sz w:val="20"/>
      <w:szCs w:val="20"/>
      <w14:ligatures w14:val="none"/>
    </w:rPr>
  </w:style>
  <w:style w:type="character" w:customStyle="1" w:styleId="Heading7Char">
    <w:name w:val="Heading 7 Char"/>
    <w:basedOn w:val="DefaultParagraphFont"/>
    <w:link w:val="Heading7"/>
    <w:uiPriority w:val="9"/>
    <w:semiHidden/>
    <w:rsid w:val="005B306E"/>
    <w:rPr>
      <w:rFonts w:ascii="Times New Roman" w:hAnsi="Times New Roman" w:eastAsiaTheme="majorEastAsia" w:cstheme="majorBidi"/>
      <w:color w:val="595959" w:themeColor="text1" w:themeTint="A6"/>
      <w:kern w:val="0"/>
      <w:sz w:val="20"/>
      <w:szCs w:val="20"/>
      <w14:ligatures w14:val="none"/>
    </w:rPr>
  </w:style>
  <w:style w:type="character" w:customStyle="1" w:styleId="Heading8Char">
    <w:name w:val="Heading 8 Char"/>
    <w:basedOn w:val="DefaultParagraphFont"/>
    <w:link w:val="Heading8"/>
    <w:uiPriority w:val="9"/>
    <w:semiHidden/>
    <w:rsid w:val="005B306E"/>
    <w:rPr>
      <w:rFonts w:ascii="Times New Roman" w:hAnsi="Times New Roman" w:eastAsiaTheme="majorEastAsia" w:cstheme="majorBidi"/>
      <w:i/>
      <w:iCs/>
      <w:color w:val="272727" w:themeColor="text1" w:themeTint="D8"/>
      <w:kern w:val="0"/>
      <w:sz w:val="20"/>
      <w:szCs w:val="20"/>
      <w14:ligatures w14:val="none"/>
    </w:rPr>
  </w:style>
  <w:style w:type="character" w:customStyle="1" w:styleId="Heading9Char">
    <w:name w:val="Heading 9 Char"/>
    <w:basedOn w:val="DefaultParagraphFont"/>
    <w:link w:val="Heading9"/>
    <w:uiPriority w:val="9"/>
    <w:semiHidden/>
    <w:rsid w:val="005B306E"/>
    <w:rPr>
      <w:rFonts w:ascii="Times New Roman" w:hAnsi="Times New Roman" w:eastAsiaTheme="majorEastAsia" w:cstheme="majorBidi"/>
      <w:color w:val="272727" w:themeColor="text1" w:themeTint="D8"/>
      <w:kern w:val="0"/>
      <w:sz w:val="20"/>
      <w:szCs w:val="20"/>
      <w14:ligatures w14:val="none"/>
    </w:rPr>
  </w:style>
  <w:style w:type="paragraph" w:styleId="Title">
    <w:name w:val="Title"/>
    <w:basedOn w:val="Normal"/>
    <w:next w:val="Normal"/>
    <w:link w:val="TitleChar"/>
    <w:uiPriority w:val="10"/>
    <w:qFormat/>
    <w:rsid w:val="005B30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06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B3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06E"/>
    <w:pPr>
      <w:spacing w:before="160"/>
      <w:jc w:val="center"/>
    </w:pPr>
    <w:rPr>
      <w:i/>
      <w:iCs/>
      <w:color w:val="404040" w:themeColor="text1" w:themeTint="BF"/>
    </w:rPr>
  </w:style>
  <w:style w:type="character" w:customStyle="1" w:styleId="QuoteChar">
    <w:name w:val="Quote Char"/>
    <w:basedOn w:val="DefaultParagraphFont"/>
    <w:link w:val="Quote"/>
    <w:uiPriority w:val="29"/>
    <w:rsid w:val="005B306E"/>
    <w:rPr>
      <w:i/>
      <w:iCs/>
      <w:color w:val="404040" w:themeColor="text1" w:themeTint="BF"/>
    </w:rPr>
  </w:style>
  <w:style w:type="paragraph" w:styleId="ListParagraph">
    <w:name w:val="List Paragraph"/>
    <w:basedOn w:val="Normal"/>
    <w:uiPriority w:val="34"/>
    <w:qFormat/>
    <w:rsid w:val="005B306E"/>
    <w:pPr>
      <w:ind w:left="720"/>
      <w:contextualSpacing/>
    </w:pPr>
  </w:style>
  <w:style w:type="character" w:styleId="IntenseEmphasis">
    <w:name w:val="Intense Emphasis"/>
    <w:basedOn w:val="DefaultParagraphFont"/>
    <w:uiPriority w:val="21"/>
    <w:qFormat/>
    <w:rsid w:val="005B306E"/>
    <w:rPr>
      <w:i/>
      <w:iCs/>
      <w:color w:val="0F4761" w:themeColor="accent1" w:themeShade="BF"/>
    </w:rPr>
  </w:style>
  <w:style w:type="paragraph" w:styleId="IntenseQuote">
    <w:name w:val="Intense Quote"/>
    <w:basedOn w:val="Normal"/>
    <w:next w:val="Normal"/>
    <w:link w:val="IntenseQuoteChar"/>
    <w:uiPriority w:val="30"/>
    <w:qFormat/>
    <w:rsid w:val="005B3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06E"/>
    <w:rPr>
      <w:i/>
      <w:iCs/>
      <w:color w:val="0F4761" w:themeColor="accent1" w:themeShade="BF"/>
    </w:rPr>
  </w:style>
  <w:style w:type="character" w:styleId="IntenseReference">
    <w:name w:val="Intense Reference"/>
    <w:basedOn w:val="DefaultParagraphFont"/>
    <w:uiPriority w:val="32"/>
    <w:qFormat/>
    <w:rsid w:val="005B306E"/>
    <w:rPr>
      <w:b/>
      <w:bCs/>
      <w:smallCaps/>
      <w:color w:val="0F4761" w:themeColor="accent1" w:themeShade="BF"/>
      <w:spacing w:val="5"/>
    </w:rPr>
  </w:style>
  <w:style w:type="paragraph" w:styleId="Footer">
    <w:name w:val="footer"/>
    <w:basedOn w:val="Normal"/>
    <w:link w:val="FooterChar"/>
    <w:uiPriority w:val="99"/>
    <w:rsid w:val="005B306E"/>
    <w:pPr>
      <w:tabs>
        <w:tab w:val="center" w:pos="4320"/>
        <w:tab w:val="right" w:pos="8640"/>
      </w:tabs>
    </w:pPr>
  </w:style>
  <w:style w:type="character" w:customStyle="1" w:styleId="FooterChar">
    <w:name w:val="Footer Char"/>
    <w:basedOn w:val="DefaultParagraphFont"/>
    <w:link w:val="Footer"/>
    <w:uiPriority w:val="99"/>
    <w:rsid w:val="005B306E"/>
    <w:rPr>
      <w:rFonts w:ascii="Times New Roman" w:eastAsia="Times New Roman" w:hAnsi="Times New Roman" w:cs="Times New Roman"/>
      <w:kern w:val="0"/>
      <w:sz w:val="20"/>
      <w:szCs w:val="20"/>
      <w14:ligatures w14:val="none"/>
    </w:rPr>
  </w:style>
  <w:style w:type="character" w:styleId="FootnoteReference">
    <w:name w:val="footnote reference"/>
    <w:semiHidden/>
    <w:rsid w:val="005B306E"/>
    <w:rPr>
      <w:position w:val="6"/>
      <w:sz w:val="16"/>
      <w:szCs w:val="16"/>
    </w:rPr>
  </w:style>
  <w:style w:type="paragraph" w:styleId="FootnoteText">
    <w:name w:val="footnote text"/>
    <w:aliases w:val="F1"/>
    <w:basedOn w:val="Normal"/>
    <w:link w:val="FootnoteTextChar"/>
    <w:semiHidden/>
    <w:rsid w:val="005B306E"/>
    <w:pPr>
      <w:autoSpaceDE/>
      <w:autoSpaceDN/>
      <w:adjustRightInd/>
    </w:pPr>
    <w:rPr>
      <w:rFonts w:ascii="Tms Rmn" w:hAnsi="Tms Rmn" w:cs="Tms Rmn"/>
    </w:rPr>
  </w:style>
  <w:style w:type="character" w:customStyle="1" w:styleId="FootnoteTextChar">
    <w:name w:val="Footnote Text Char"/>
    <w:aliases w:val="F1 Char"/>
    <w:basedOn w:val="DefaultParagraphFont"/>
    <w:link w:val="FootnoteText"/>
    <w:semiHidden/>
    <w:rsid w:val="005B306E"/>
    <w:rPr>
      <w:rFonts w:ascii="Tms Rmn" w:eastAsia="Times New Roman" w:hAnsi="Tms Rmn" w:cs="Tms Rmn"/>
      <w:kern w:val="0"/>
      <w:sz w:val="20"/>
      <w:szCs w:val="20"/>
      <w14:ligatures w14:val="none"/>
    </w:rPr>
  </w:style>
  <w:style w:type="paragraph" w:styleId="BodyTextIndent2">
    <w:name w:val="Body Text Indent 2"/>
    <w:basedOn w:val="Normal"/>
    <w:link w:val="BodyTextIndent2Char"/>
    <w:rsid w:val="005B306E"/>
    <w:pPr>
      <w:ind w:left="720"/>
      <w:jc w:val="both"/>
    </w:pPr>
    <w:rPr>
      <w:sz w:val="24"/>
      <w:szCs w:val="24"/>
    </w:rPr>
  </w:style>
  <w:style w:type="character" w:customStyle="1" w:styleId="BodyTextIndent2Char">
    <w:name w:val="Body Text Indent 2 Char"/>
    <w:basedOn w:val="DefaultParagraphFont"/>
    <w:link w:val="BodyTextIndent2"/>
    <w:rsid w:val="005B306E"/>
    <w:rPr>
      <w:rFonts w:ascii="Times New Roman" w:eastAsia="Times New Roman" w:hAnsi="Times New Roman" w:cs="Times New Roman"/>
      <w:kern w:val="0"/>
      <w:sz w:val="24"/>
      <w:szCs w:val="24"/>
      <w14:ligatures w14:val="none"/>
    </w:rPr>
  </w:style>
  <w:style w:type="character" w:styleId="CommentReference">
    <w:name w:val="annotation reference"/>
    <w:uiPriority w:val="99"/>
    <w:rsid w:val="005B306E"/>
    <w:rPr>
      <w:sz w:val="16"/>
      <w:szCs w:val="16"/>
    </w:rPr>
  </w:style>
  <w:style w:type="paragraph" w:styleId="CommentText">
    <w:name w:val="annotation text"/>
    <w:basedOn w:val="Normal"/>
    <w:link w:val="CommentTextChar"/>
    <w:uiPriority w:val="99"/>
    <w:rsid w:val="005B306E"/>
  </w:style>
  <w:style w:type="character" w:customStyle="1" w:styleId="CommentTextChar">
    <w:name w:val="Comment Text Char"/>
    <w:basedOn w:val="DefaultParagraphFont"/>
    <w:link w:val="CommentText"/>
    <w:uiPriority w:val="99"/>
    <w:rsid w:val="005B306E"/>
    <w:rPr>
      <w:rFonts w:ascii="Times New Roman" w:eastAsia="Times New Roman" w:hAnsi="Times New Roman" w:cs="Times New Roman"/>
      <w:kern w:val="0"/>
      <w:sz w:val="20"/>
      <w:szCs w:val="20"/>
      <w14:ligatures w14:val="none"/>
    </w:rPr>
  </w:style>
  <w:style w:type="character" w:customStyle="1" w:styleId="C2CtrSglS">
    <w:name w:val="C2Ctr Sgl S"/>
    <w:rsid w:val="005B306E"/>
  </w:style>
  <w:style w:type="character" w:styleId="Hyperlink">
    <w:name w:val="Hyperlink"/>
    <w:basedOn w:val="DefaultParagraphFont"/>
    <w:uiPriority w:val="99"/>
    <w:unhideWhenUsed/>
    <w:rsid w:val="005B306E"/>
    <w:rPr>
      <w:color w:val="0053CC"/>
      <w:u w:val="single"/>
    </w:rPr>
  </w:style>
  <w:style w:type="character" w:customStyle="1" w:styleId="cf01">
    <w:name w:val="cf01"/>
    <w:basedOn w:val="DefaultParagraphFont"/>
    <w:rsid w:val="005B306E"/>
    <w:rPr>
      <w:rFonts w:ascii="Segoe UI" w:hAnsi="Segoe UI" w:cs="Segoe UI" w:hint="default"/>
      <w:sz w:val="18"/>
      <w:szCs w:val="18"/>
    </w:rPr>
  </w:style>
  <w:style w:type="paragraph" w:customStyle="1" w:styleId="pf0">
    <w:name w:val="pf0"/>
    <w:basedOn w:val="Normal"/>
    <w:rsid w:val="005B306E"/>
    <w:pPr>
      <w:autoSpaceDE/>
      <w:autoSpaceDN/>
      <w:adjustRightInd/>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5B306E"/>
    <w:rPr>
      <w:b/>
      <w:bCs/>
    </w:rPr>
  </w:style>
  <w:style w:type="character" w:customStyle="1" w:styleId="CommentSubjectChar">
    <w:name w:val="Comment Subject Char"/>
    <w:basedOn w:val="CommentTextChar"/>
    <w:link w:val="CommentSubject"/>
    <w:uiPriority w:val="99"/>
    <w:semiHidden/>
    <w:rsid w:val="005B306E"/>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2B4A97"/>
    <w:pPr>
      <w:tabs>
        <w:tab w:val="center" w:pos="4680"/>
        <w:tab w:val="right" w:pos="9360"/>
      </w:tabs>
    </w:pPr>
  </w:style>
  <w:style w:type="character" w:customStyle="1" w:styleId="HeaderChar">
    <w:name w:val="Header Char"/>
    <w:basedOn w:val="DefaultParagraphFont"/>
    <w:link w:val="Header"/>
    <w:uiPriority w:val="99"/>
    <w:rsid w:val="002B4A97"/>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CD0FEC"/>
    <w:pPr>
      <w:spacing w:after="0" w:line="240" w:lineRule="auto"/>
    </w:pPr>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53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F04D1"/>
    <w:pPr>
      <w:spacing w:after="120"/>
    </w:pPr>
  </w:style>
  <w:style w:type="character" w:customStyle="1" w:styleId="BodyTextChar">
    <w:name w:val="Body Text Char"/>
    <w:basedOn w:val="DefaultParagraphFont"/>
    <w:link w:val="BodyText"/>
    <w:uiPriority w:val="99"/>
    <w:semiHidden/>
    <w:rsid w:val="00EF04D1"/>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843C17"/>
    <w:rPr>
      <w:color w:val="605E5C"/>
      <w:shd w:val="clear" w:color="auto" w:fill="E1DFDD"/>
    </w:rPr>
  </w:style>
  <w:style w:type="paragraph" w:styleId="NoSpacing">
    <w:name w:val="No Spacing"/>
    <w:uiPriority w:val="1"/>
    <w:qFormat/>
    <w:rsid w:val="000F64E3"/>
    <w:pPr>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www.bl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2f0634-715c-420e-92a2-781914eb7dc1" xsi:nil="true"/>
    <TaxKeywordTaxHTField xmlns="b42f0634-715c-420e-92a2-781914eb7dc1" xsi:nil="true"/>
    <DocumentStatus xmlns="6c0b7722-e3ae-4349-a714-fe70ecbb4b44">4c - COR / ACOR Final Approval</DocumentStatus>
    <Deliverable xmlns="6c0b7722-e3ae-4349-a714-fe70ecbb4b44" xsi:nil="true"/>
    <ResourceandTrainingMaterialType xmlns="6c0b7722-e3ae-4349-a714-fe70ecbb4b44" xsi:nil="true"/>
    <SubmissionDate xmlns="6c0b7722-e3ae-4349-a714-fe70ecbb4b44">2025-09-11T04:00:00+00:00</SubmissionDate>
    <CORApproved xmlns="6c0b7722-e3ae-4349-a714-fe70ecbb4b44">4c - COR / ACOR Final Approved</CORApproved>
    <TopicType xmlns="6c0b7722-e3ae-4349-a714-fe70ecbb4b44">Report</TopicType>
    <Notes xmlns="6c0b7722-e3ae-4349-a714-fe70ecbb4b44">9/11 responds to last round of comments and ready for final review</Notes>
    <Workstream xmlns="6c0b7722-e3ae-4349-a714-fe70ecbb4b44">Cross-Center</Workstream>
    <DueDate xmlns="6c0b7722-e3ae-4349-a714-fe70ecbb4b44" xsi:nil="true"/>
    <Topic xmlns="6c0b7722-e3ae-4349-a714-fe70ecbb4b44">SUPRT P</Topic>
    <_ApprovalAssignedTo xmlns="6c0b7722-e3ae-4349-a714-fe70ecbb4b44">
      <UserInfo>
        <DisplayName/>
        <AccountId xsi:nil="true"/>
        <AccountType/>
      </UserInfo>
    </_ApprovalAssignedTo>
    <_ApprovalSentBy xmlns="6c0b7722-e3ae-4349-a714-fe70ecbb4b44">
      <UserInfo>
        <DisplayName/>
        <AccountId xsi:nil="true"/>
        <AccountType/>
      </UserInfo>
    </_ApprovalSentBy>
    <_ApprovalStatus xmlns="6c0b7722-e3ae-4349-a714-fe70ecbb4b44">0</_ApprovalStatus>
    <_ApprovalRespondedBy xmlns="6c0b7722-e3ae-4349-a714-fe70ecbb4b44">
      <UserInfo>
        <DisplayName/>
        <AccountId xsi:nil="true"/>
        <AccountType/>
      </UserInfo>
    </_ApprovalRespondedBy>
    <Sprint xmlns="6c0b7722-e3ae-4349-a714-fe70ecbb4b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872AC498655340B45FC6B21A559274" ma:contentTypeVersion="21" ma:contentTypeDescription="Create a new document." ma:contentTypeScope="" ma:versionID="e8c847095ba12e0b55ad1a5338841661">
  <xsd:schema xmlns:xsd="http://www.w3.org/2001/XMLSchema" xmlns:xs="http://www.w3.org/2001/XMLSchema" xmlns:p="http://schemas.microsoft.com/office/2006/metadata/properties" xmlns:ns2="6c0b7722-e3ae-4349-a714-fe70ecbb4b44" xmlns:ns3="b42f0634-715c-420e-92a2-781914eb7dc1" targetNamespace="http://schemas.microsoft.com/office/2006/metadata/properties" ma:root="true" ma:fieldsID="8cb6a3d204be5ee42ca30e9bdec4a6d5" ns2:_="" ns3:_="">
    <xsd:import namespace="6c0b7722-e3ae-4349-a714-fe70ecbb4b44"/>
    <xsd:import namespace="b42f0634-715c-420e-92a2-781914eb7dc1"/>
    <xsd:element name="properties">
      <xsd:complexType>
        <xsd:sequence>
          <xsd:element name="documentManagement">
            <xsd:complexType>
              <xsd:all>
                <xsd:element ref="ns2:Workstream" minOccurs="0"/>
                <xsd:element ref="ns2:DocumentStatus" minOccurs="0"/>
                <xsd:element ref="ns2:ResourceandTrainingMaterialType" minOccurs="0"/>
                <xsd:element ref="ns3:TaxKeywordTaxHTField" minOccurs="0"/>
                <xsd:element ref="ns3:TaxCatchAll" minOccurs="0"/>
                <xsd:element ref="ns2:Deliverable" minOccurs="0"/>
                <xsd:element ref="ns2:CORApproved" minOccurs="0"/>
                <xsd:element ref="ns2:Notes" minOccurs="0"/>
                <xsd:element ref="ns2:_ApprovalAssignedTo" minOccurs="0"/>
                <xsd:element ref="ns2:_ApprovalRespondedBy" minOccurs="0"/>
                <xsd:element ref="ns2:_ApprovalSentBy" minOccurs="0"/>
                <xsd:element ref="ns2:_ApprovalStatus" minOccurs="0"/>
                <xsd:element ref="ns2:Topic" minOccurs="0"/>
                <xsd:element ref="ns2:TopicType" minOccurs="0"/>
                <xsd:element ref="ns2:DueDate" minOccurs="0"/>
                <xsd:element ref="ns2:SubmissionDate" minOccurs="0"/>
                <xsd:element ref="ns2:Sprint"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b7722-e3ae-4349-a714-fe70ecbb4b44"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Ad Hoc"/>
          <xsd:enumeration value="CMHS"/>
          <xsd:enumeration value="CSAT"/>
          <xsd:enumeration value="Cross-Center"/>
          <xsd:enumeration value="CSAP"/>
          <xsd:enumeration value="TTA"/>
          <xsd:enumeration value="Help Desk"/>
          <xsd:enumeration value="ISMS"/>
          <xsd:enumeration value="SPARS Management"/>
          <xsd:enumeration value="UME"/>
          <xsd:enumeration value="General"/>
          <xsd:enumeration value="DW"/>
        </xsd:restriction>
      </xsd:simpleType>
    </xsd:element>
    <xsd:element name="DocumentStatus" ma:index="9" nillable="true" ma:displayName="Document Status" ma:format="Dropdown" ma:internalName="DocumentStatus">
      <xsd:simpleType>
        <xsd:restriction base="dms:Choice">
          <xsd:enumeration value="0 - Planned Deliverable"/>
          <xsd:enumeration value="1 - Deliverable Development"/>
          <xsd:enumeration value="2 - Interim QA"/>
          <xsd:enumeration value="3 - COR / ACOR Review"/>
          <xsd:enumeration value="4a - Interim COR Approval"/>
          <xsd:enumeration value="4b - Send to Centers / CEA for Review"/>
          <xsd:enumeration value="4c - COR / ACOR Final Approval"/>
          <xsd:enumeration value="5 - Centers / CEA Review"/>
          <xsd:enumeration value="6 - Revise Deliverable"/>
          <xsd:enumeration value="7 - PO Final Review"/>
          <xsd:enumeration value="8 - Final QA"/>
          <xsd:enumeration value="9 - 508 Compliance"/>
          <xsd:enumeration value="10 - Ready for Upload / Posting"/>
          <xsd:enumeration value="11 - Complete"/>
        </xsd:restriction>
      </xsd:simpleType>
    </xsd:element>
    <xsd:element name="ResourceandTrainingMaterialType" ma:index="10" nillable="true" ma:displayName="EO/Logo" ma:format="Dropdown" ma:internalName="ResourceandTrainingMaterialType">
      <xsd:simpleType>
        <xsd:restriction base="dms:Choice">
          <xsd:enumeration value="EO/Logo"/>
        </xsd:restriction>
      </xsd:simpleType>
    </xsd:element>
    <xsd:element name="Deliverable" ma:index="14" nillable="true" ma:displayName="Deliverable" ma:format="Dropdown" ma:internalName="Deliverable">
      <xsd:simpleType>
        <xsd:restriction base="dms:Note">
          <xsd:maxLength value="255"/>
        </xsd:restriction>
      </xsd:simpleType>
    </xsd:element>
    <xsd:element name="CORApproved" ma:index="15" nillable="true" ma:displayName="COR Approved?" ma:format="Dropdown" ma:internalName="CORApproved">
      <xsd:simpleType>
        <xsd:restriction base="dms:Choice">
          <xsd:enumeration value="4a - Interim COR / ACOR Approval"/>
          <xsd:enumeration value="4b - Send to Centers / CEA for Review"/>
          <xsd:enumeration value="4c - COR / ACOR Final Approved"/>
        </xsd:restriction>
      </xsd:simpleType>
    </xsd:element>
    <xsd:element name="Notes" ma:index="16" nillable="true" ma:displayName="Notes" ma:format="Dropdown" ma:internalName="Notes">
      <xsd:simpleType>
        <xsd:restriction base="dms:Text">
          <xsd:maxLength value="255"/>
        </xsd:restriction>
      </xsd:simpleType>
    </xsd:element>
    <xsd:element name="_ApprovalAssignedTo" ma:index="1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0" nillable="true" ma:displayName="Approval status" ma:internalName="_ApprovalStatus" ma:readOnly="true">
      <xsd:simpleType>
        <xsd:restriction base="dms:Unknown"/>
      </xsd:simpleType>
    </xsd:element>
    <xsd:element name="Topic" ma:index="21" nillable="true" ma:displayName="Topic" ma:format="Dropdown" ma:internalName="Topic">
      <xsd:simpleType>
        <xsd:restriction base="dms:Choice">
          <xsd:enumeration value="Ad Hoc"/>
          <xsd:enumeration value="CBHSQ Leadership Meeting"/>
          <xsd:enumeration value="COR/ACOR Meeting"/>
          <xsd:enumeration value="CORT"/>
          <xsd:enumeration value="Data Warehouse"/>
          <xsd:enumeration value="ED-ALT"/>
          <xsd:enumeration value="Help Desk"/>
          <xsd:enumeration value="CCPR Meeting"/>
          <xsd:enumeration value="Legacy Tools"/>
          <xsd:enumeration value="MAI-PORT"/>
          <xsd:enumeration value="Newsletter"/>
          <xsd:enumeration value="Standup Meeting"/>
          <xsd:enumeration value="Statistical Profile"/>
          <xsd:enumeration value="SUPRT A"/>
          <xsd:enumeration value="SUPRT C"/>
          <xsd:enumeration value="SUPRT P"/>
          <xsd:enumeration value="CSAT"/>
          <xsd:enumeration value="TTA"/>
          <xsd:enumeration value="UME"/>
          <xsd:enumeration value="NOMs"/>
          <xsd:enumeration value="GPRA"/>
          <xsd:enumeration value="CSAP"/>
          <xsd:enumeration value="Program Management"/>
          <xsd:enumeration value="MAI - ORA"/>
        </xsd:restriction>
      </xsd:simpleType>
    </xsd:element>
    <xsd:element name="TopicType" ma:index="22" nillable="true" ma:displayName="Topic Type" ma:format="Dropdown" ma:internalName="TopicType">
      <xsd:simpleType>
        <xsd:restriction base="dms:Choice">
          <xsd:enumeration value="Agenda"/>
          <xsd:enumeration value="Codebook"/>
          <xsd:enumeration value="Communication"/>
          <xsd:enumeration value="FAQ"/>
          <xsd:enumeration value="Form"/>
          <xsd:enumeration value="Notes"/>
          <xsd:enumeration value="Paper Tool"/>
          <xsd:enumeration value="Protocol"/>
          <xsd:enumeration value="QRG"/>
          <xsd:enumeration value="QxQ"/>
          <xsd:enumeration value="Report"/>
          <xsd:enumeration value="Requirements"/>
          <xsd:enumeration value="Slides"/>
          <xsd:enumeration value="Template"/>
        </xsd:restriction>
      </xsd:simpleType>
    </xsd:element>
    <xsd:element name="DueDate" ma:index="23" nillable="true" ma:displayName="Requested Review Date" ma:format="DateOnly" ma:internalName="DueDate">
      <xsd:simpleType>
        <xsd:restriction base="dms:DateTime"/>
      </xsd:simpleType>
    </xsd:element>
    <xsd:element name="SubmissionDate" ma:index="24" nillable="true" ma:displayName="Submission Date" ma:format="DateOnly" ma:internalName="SubmissionDate">
      <xsd:simpleType>
        <xsd:restriction base="dms:DateTime"/>
      </xsd:simpleType>
    </xsd:element>
    <xsd:element name="Sprint" ma:index="25" nillable="true" ma:displayName="Sprint" ma:format="Dropdown" ma:internalName="Sprint">
      <xsd:simpleType>
        <xsd:restriction base="dms:Choice">
          <xsd:enumeration value="Sprint 1"/>
          <xsd:enumeration value="Sprint 2"/>
          <xsd:enumeration value="Sprint 3"/>
        </xsd:restrictio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f0634-715c-420e-92a2-781914eb7dc1" elementFormDefault="qualified">
    <xsd:import namespace="http://schemas.microsoft.com/office/2006/documentManagement/types"/>
    <xsd:import namespace="http://schemas.microsoft.com/office/infopath/2007/PartnerControls"/>
    <xsd:element name="TaxKeywordTaxHTField" ma:index="12" nillable="true" ma:displayName="TaxKeywordTaxHTField" ma:hidden="true" ma:internalName="TaxKeywordTaxHTField">
      <xsd:simpleType>
        <xsd:restriction base="dms:Note"/>
      </xsd:simpleType>
    </xsd:element>
    <xsd:element name="TaxCatchAll" ma:index="13" nillable="true" ma:displayName="Taxonomy Catch All Column" ma:hidden="true" ma:list="{de4bd531-3906-46ae-a3d9-f670b4e642f7}" ma:internalName="TaxCatchAll" ma:showField="CatchAllData" ma:web="b42f0634-715c-420e-92a2-781914eb7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53825-14D3-44D4-80FE-71E6F49B2722}">
  <ds:schemaRefs>
    <ds:schemaRef ds:uri="http://schemas.microsoft.com/sharepoint/v3/contenttype/forms"/>
  </ds:schemaRefs>
</ds:datastoreItem>
</file>

<file path=customXml/itemProps2.xml><?xml version="1.0" encoding="utf-8"?>
<ds:datastoreItem xmlns:ds="http://schemas.openxmlformats.org/officeDocument/2006/customXml" ds:itemID="{E5EED918-F55C-4BB7-BDA4-8FBA9BD556FE}">
  <ds:schemaRefs>
    <ds:schemaRef ds:uri="http://schemas.microsoft.com/office/2006/metadata/properties"/>
    <ds:schemaRef ds:uri="http://schemas.microsoft.com/office/infopath/2007/PartnerControls"/>
    <ds:schemaRef ds:uri="b42f0634-715c-420e-92a2-781914eb7dc1"/>
    <ds:schemaRef ds:uri="6c0b7722-e3ae-4349-a714-fe70ecbb4b44"/>
  </ds:schemaRefs>
</ds:datastoreItem>
</file>

<file path=customXml/itemProps3.xml><?xml version="1.0" encoding="utf-8"?>
<ds:datastoreItem xmlns:ds="http://schemas.openxmlformats.org/officeDocument/2006/customXml" ds:itemID="{05CB1C7F-6BCC-41DC-B630-CB52B7966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b7722-e3ae-4349-a714-fe70ecbb4b44"/>
    <ds:schemaRef ds:uri="b42f0634-715c-420e-92a2-781914eb7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80</TotalTime>
  <Pages>7</Pages>
  <Words>2510</Words>
  <Characters>14935</Characters>
  <Application>Microsoft Office Word</Application>
  <DocSecurity>0</DocSecurity>
  <Lines>287</Lines>
  <Paragraphs>111</Paragraphs>
  <ScaleCrop>false</ScaleCrop>
  <HeadingPairs>
    <vt:vector size="2" baseType="variant">
      <vt:variant>
        <vt:lpstr>Title</vt:lpstr>
      </vt:variant>
      <vt:variant>
        <vt:i4>1</vt:i4>
      </vt:variant>
    </vt:vector>
  </HeadingPairs>
  <TitlesOfParts>
    <vt:vector size="1" baseType="lpstr">
      <vt:lpstr>OMB_NEW-SUPRT-P-Supporting Statement A (SSA)</vt:lpstr>
    </vt:vector>
  </TitlesOfParts>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OMB_NEW-SUPRT-P-Supporting Statement A (SSA)</dc:title>
  <dc:creator>Kristina Rall - Mathematica</dc:creator>
  <cp:lastModifiedBy>Alysaunde Grace</cp:lastModifiedBy>
  <cp:revision>40</cp:revision>
  <dcterms:created xsi:type="dcterms:W3CDTF">2025-09-16T10:24:00Z</dcterms:created>
  <dcterms:modified xsi:type="dcterms:W3CDTF">2026-03-31T10:36:00Z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0x0101001A872AC498655340B45FC6B21A559274</vt:lpwstr>
  </property>
  <property fmtid="{D5CDD505-2E9C-101B-9397-08002B2CF9AE}" pid="4" name="Order">
    <vt:r8>63700</vt:r8>
  </property>
  <property fmtid="{D5CDD505-2E9C-101B-9397-08002B2CF9AE}" pid="5" name="TaxKeyword">
    <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