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16A24" w:rsidP="00A16A24" w14:paraId="69D85684" w14:textId="77777777">
      <w:pPr>
        <w:pStyle w:val="Heading1"/>
        <w:spacing w:before="960"/>
      </w:pPr>
      <w:bookmarkStart w:id="0" w:name="_Toc220489636"/>
      <w:bookmarkStart w:id="1" w:name="_Toc154477460"/>
      <w:r w:rsidRPr="00B200C0">
        <w:t xml:space="preserve">Supporting Statement </w:t>
      </w:r>
      <w:r>
        <w:t>B</w:t>
      </w:r>
      <w:bookmarkEnd w:id="0"/>
      <w:r w:rsidRPr="00B200C0">
        <w:t xml:space="preserve"> </w:t>
      </w:r>
    </w:p>
    <w:bookmarkEnd w:id="1"/>
    <w:p w:rsidR="00B515BE" w:rsidP="00A16A24" w14:paraId="0894C7FC" w14:textId="2B7BFBE4">
      <w:pPr>
        <w:pStyle w:val="Heading1"/>
        <w:spacing w:after="360"/>
        <w:rPr>
          <w:b w:val="0"/>
        </w:rPr>
      </w:pPr>
    </w:p>
    <w:p w:rsidR="00F209F5" w:rsidP="004D364D" w14:paraId="631E097B" w14:textId="32093F79">
      <w:pPr>
        <w:pStyle w:val="Heading1"/>
        <w:spacing w:after="360"/>
      </w:pPr>
      <w:bookmarkStart w:id="2" w:name="_Toc154477461"/>
      <w:bookmarkStart w:id="3" w:name="_Toc220489637"/>
      <w:r w:rsidRPr="00B200C0">
        <w:t>Generic Clearance</w:t>
      </w:r>
      <w:r w:rsidR="00370065">
        <w:t xml:space="preserve"> for the Collection of</w:t>
      </w:r>
      <w:r w:rsidR="004D364D">
        <w:t xml:space="preserve"> </w:t>
      </w:r>
      <w:r w:rsidR="004D364D">
        <w:br/>
      </w:r>
      <w:r w:rsidRPr="004B20F9">
        <w:t>Medicare Current Beneficiary Survey (MCBS)</w:t>
      </w:r>
      <w:bookmarkEnd w:id="2"/>
      <w:r w:rsidR="00370065">
        <w:t xml:space="preserve"> Respondent “Pulse” Feedback</w:t>
      </w:r>
      <w:bookmarkEnd w:id="3"/>
    </w:p>
    <w:p w:rsidR="00370065" w:rsidRPr="00370065" w:rsidP="00370065" w14:paraId="44008589" w14:textId="122DC934"/>
    <w:p w:rsidR="00B515BE" w:rsidRPr="004B20F9" w:rsidP="004D364D" w14:paraId="29146B97" w14:textId="0560F89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3000"/>
        <w:jc w:val="center"/>
        <w:rPr>
          <w:rFonts w:ascii="Times New Roman" w:hAnsi="Times New Roman"/>
          <w:b/>
          <w:color w:val="000000"/>
          <w:sz w:val="36"/>
          <w:szCs w:val="36"/>
        </w:rPr>
      </w:pPr>
      <w:r>
        <w:rPr>
          <w:rFonts w:ascii="Times New Roman" w:hAnsi="Times New Roman"/>
          <w:b/>
          <w:color w:val="000000"/>
          <w:sz w:val="36"/>
          <w:szCs w:val="36"/>
        </w:rPr>
        <w:t>OMB Control No: 0938-</w:t>
      </w:r>
      <w:r w:rsidR="00370065">
        <w:rPr>
          <w:rFonts w:ascii="Times New Roman" w:hAnsi="Times New Roman"/>
          <w:b/>
          <w:color w:val="000000"/>
          <w:sz w:val="36"/>
          <w:szCs w:val="36"/>
        </w:rPr>
        <w:t>NEW</w:t>
      </w:r>
    </w:p>
    <w:p w:rsidR="0072011C" w:rsidRPr="006759E6" w:rsidP="00DA43E6" w14:paraId="3DF485DC" w14:textId="77777777">
      <w:pPr>
        <w:pStyle w:val="BodyText"/>
        <w:spacing w:after="360"/>
        <w:jc w:val="center"/>
        <w:rPr>
          <w:sz w:val="28"/>
          <w:szCs w:val="28"/>
        </w:rPr>
      </w:pPr>
      <w:r w:rsidRPr="006759E6">
        <w:rPr>
          <w:sz w:val="28"/>
          <w:szCs w:val="28"/>
        </w:rPr>
        <w:t>Contact Information:</w:t>
      </w:r>
    </w:p>
    <w:p w:rsidR="0072011C" w:rsidRPr="006759E6" w:rsidP="006759E6" w14:paraId="2FD9CF4E" w14:textId="77777777">
      <w:pPr>
        <w:pStyle w:val="BodyText"/>
        <w:contextualSpacing/>
        <w:jc w:val="center"/>
        <w:rPr>
          <w:sz w:val="28"/>
          <w:szCs w:val="28"/>
        </w:rPr>
      </w:pPr>
      <w:r w:rsidRPr="006759E6">
        <w:rPr>
          <w:sz w:val="28"/>
          <w:szCs w:val="28"/>
        </w:rPr>
        <w:t>William S. Long</w:t>
      </w:r>
    </w:p>
    <w:p w:rsidR="0072011C" w:rsidRPr="006759E6" w:rsidP="006759E6" w14:paraId="51F2A50C" w14:textId="77777777">
      <w:pPr>
        <w:pStyle w:val="BodyText"/>
        <w:contextualSpacing/>
        <w:jc w:val="center"/>
        <w:rPr>
          <w:sz w:val="28"/>
          <w:szCs w:val="28"/>
        </w:rPr>
      </w:pPr>
      <w:r w:rsidRPr="006759E6">
        <w:rPr>
          <w:sz w:val="28"/>
          <w:szCs w:val="28"/>
        </w:rPr>
        <w:t>Contracting Officer’s Representative, Medicare Current Beneficiary Survey</w:t>
      </w:r>
    </w:p>
    <w:p w:rsidR="0072011C" w:rsidRPr="006759E6" w:rsidP="006759E6" w14:paraId="64B2A2A9" w14:textId="77777777">
      <w:pPr>
        <w:pStyle w:val="BodyText"/>
        <w:contextualSpacing/>
        <w:jc w:val="center"/>
        <w:rPr>
          <w:sz w:val="28"/>
          <w:szCs w:val="28"/>
        </w:rPr>
      </w:pPr>
      <w:r w:rsidRPr="006759E6">
        <w:rPr>
          <w:sz w:val="28"/>
          <w:szCs w:val="28"/>
        </w:rPr>
        <w:t>Office of Enterprise Data and Analytics</w:t>
      </w:r>
      <w:r w:rsidRPr="006759E6">
        <w:rPr>
          <w:sz w:val="28"/>
          <w:szCs w:val="28"/>
        </w:rPr>
        <w:t>/CMS</w:t>
      </w:r>
    </w:p>
    <w:p w:rsidR="009A499C" w:rsidRPr="006759E6" w:rsidP="006759E6" w14:paraId="34171D6A" w14:textId="4A881D2F">
      <w:pPr>
        <w:pStyle w:val="BodyText"/>
        <w:contextualSpacing/>
        <w:jc w:val="center"/>
        <w:rPr>
          <w:sz w:val="28"/>
          <w:szCs w:val="28"/>
        </w:rPr>
      </w:pPr>
      <w:r w:rsidRPr="006759E6">
        <w:rPr>
          <w:sz w:val="28"/>
          <w:szCs w:val="28"/>
        </w:rPr>
        <w:t>7500 Security Boulevard, Mail Stop Mailstop B2-04-12</w:t>
      </w:r>
    </w:p>
    <w:p w:rsidR="0072011C" w:rsidRPr="002D1BC4" w:rsidP="006759E6" w14:paraId="75D0342F" w14:textId="16B46D5A">
      <w:pPr>
        <w:pStyle w:val="BodyText"/>
        <w:contextualSpacing/>
        <w:jc w:val="center"/>
        <w:rPr>
          <w:sz w:val="28"/>
          <w:szCs w:val="28"/>
          <w:lang w:val="it-IT"/>
        </w:rPr>
      </w:pPr>
      <w:r w:rsidRPr="002D1BC4">
        <w:rPr>
          <w:sz w:val="28"/>
          <w:szCs w:val="28"/>
          <w:lang w:val="it-IT"/>
        </w:rPr>
        <w:t>Baltimore, MD</w:t>
      </w:r>
      <w:r w:rsidRPr="002D1BC4" w:rsidR="004D364D">
        <w:rPr>
          <w:sz w:val="28"/>
          <w:szCs w:val="28"/>
          <w:lang w:val="it-IT"/>
        </w:rPr>
        <w:t xml:space="preserve"> </w:t>
      </w:r>
      <w:r w:rsidRPr="002D1BC4">
        <w:rPr>
          <w:sz w:val="28"/>
          <w:szCs w:val="28"/>
          <w:lang w:val="it-IT"/>
        </w:rPr>
        <w:t>21244</w:t>
      </w:r>
    </w:p>
    <w:p w:rsidR="0072011C" w:rsidRPr="002D1BC4" w:rsidP="006759E6" w14:paraId="4F6EF69E" w14:textId="77777777">
      <w:pPr>
        <w:pStyle w:val="BodyText"/>
        <w:contextualSpacing/>
        <w:jc w:val="center"/>
        <w:rPr>
          <w:sz w:val="28"/>
          <w:szCs w:val="28"/>
          <w:lang w:val="it-IT"/>
        </w:rPr>
      </w:pPr>
      <w:r w:rsidRPr="002D1BC4">
        <w:rPr>
          <w:sz w:val="28"/>
          <w:szCs w:val="28"/>
          <w:lang w:val="it-IT"/>
        </w:rPr>
        <w:t>(410) 786-7927</w:t>
      </w:r>
    </w:p>
    <w:bookmarkStart w:id="4" w:name="OLE_LINK1"/>
    <w:p w:rsidR="0072011C" w:rsidRPr="007C1536" w:rsidP="006759E6" w14:paraId="6EF7FBDD" w14:textId="1F1182FE">
      <w:pPr>
        <w:pStyle w:val="BodyText"/>
        <w:contextualSpacing/>
        <w:jc w:val="center"/>
        <w:rPr>
          <w:rStyle w:val="Hyperlink"/>
          <w:color w:val="auto"/>
          <w:sz w:val="28"/>
          <w:szCs w:val="28"/>
          <w:lang w:val="fr-FR"/>
        </w:rPr>
      </w:pPr>
      <w:r w:rsidRPr="006759E6">
        <w:rPr>
          <w:sz w:val="28"/>
          <w:szCs w:val="28"/>
          <w:u w:val="single"/>
        </w:rPr>
        <w:fldChar w:fldCharType="begin"/>
      </w:r>
      <w:r w:rsidRPr="00237497" w:rsidR="00A16A24">
        <w:rPr>
          <w:sz w:val="28"/>
          <w:szCs w:val="28"/>
          <w:u w:val="single"/>
        </w:rPr>
        <w:instrText>HYPERLINK "mailto:william.long@cms.hhs.gov" \o "Email for William Long"</w:instrText>
      </w:r>
      <w:r w:rsidRPr="006759E6">
        <w:rPr>
          <w:sz w:val="28"/>
          <w:szCs w:val="28"/>
          <w:u w:val="single"/>
        </w:rPr>
        <w:fldChar w:fldCharType="separate"/>
      </w:r>
      <w:r w:rsidRPr="007C1536">
        <w:rPr>
          <w:rStyle w:val="Hyperlink"/>
          <w:color w:val="auto"/>
          <w:sz w:val="28"/>
          <w:szCs w:val="28"/>
          <w:lang w:val="fr-FR"/>
        </w:rPr>
        <w:t>william.long@cms.hhs.gov</w:t>
      </w:r>
    </w:p>
    <w:bookmarkEnd w:id="4"/>
    <w:p w:rsidR="0072011C" w:rsidRPr="007C1536" w:rsidP="006759E6" w14:paraId="3A863FC7" w14:textId="33610073">
      <w:pPr>
        <w:pStyle w:val="BodyText"/>
        <w:contextualSpacing/>
        <w:jc w:val="center"/>
        <w:rPr>
          <w:sz w:val="28"/>
          <w:szCs w:val="28"/>
          <w:lang w:val="fr-FR"/>
        </w:rPr>
      </w:pPr>
      <w:r w:rsidRPr="006759E6">
        <w:rPr>
          <w:sz w:val="28"/>
          <w:szCs w:val="28"/>
          <w:u w:val="single"/>
        </w:rPr>
        <w:fldChar w:fldCharType="end"/>
      </w:r>
      <w:r w:rsidRPr="007C1536">
        <w:rPr>
          <w:sz w:val="28"/>
          <w:szCs w:val="28"/>
          <w:lang w:val="fr-FR"/>
        </w:rPr>
        <w:t>(410) 786-5515 (fax)</w:t>
      </w:r>
    </w:p>
    <w:p w:rsidR="0072011C" w:rsidRPr="006759E6" w:rsidP="002B2EF6" w14:paraId="5A4CE839" w14:textId="57F06974">
      <w:pPr>
        <w:pStyle w:val="BodyText"/>
        <w:spacing w:before="960"/>
        <w:jc w:val="center"/>
        <w:rPr>
          <w:sz w:val="28"/>
          <w:szCs w:val="28"/>
        </w:rPr>
      </w:pPr>
      <w:r>
        <w:rPr>
          <w:sz w:val="28"/>
          <w:szCs w:val="28"/>
        </w:rPr>
        <w:t>April 20</w:t>
      </w:r>
      <w:r w:rsidRPr="00B97C4A" w:rsidR="00DE440A">
        <w:rPr>
          <w:sz w:val="28"/>
          <w:szCs w:val="28"/>
        </w:rPr>
        <w:t>, 202</w:t>
      </w:r>
      <w:r w:rsidRPr="00B97C4A" w:rsidR="00370065">
        <w:rPr>
          <w:sz w:val="28"/>
          <w:szCs w:val="28"/>
        </w:rPr>
        <w:t>6</w:t>
      </w:r>
    </w:p>
    <w:p w:rsidR="0048683F" w14:paraId="36EFB309" w14:textId="77777777">
      <w:pPr>
        <w:widowControl/>
        <w:autoSpaceDE/>
        <w:autoSpaceDN/>
        <w:adjustRightInd/>
        <w:rPr>
          <w:b/>
        </w:rPr>
      </w:pPr>
      <w:r>
        <w:rPr>
          <w:b/>
        </w:rPr>
        <w:br w:type="page"/>
      </w:r>
    </w:p>
    <w:p w:rsidR="000B0552" w:rsidRPr="006759E6" w:rsidP="00006EB4" w14:paraId="24B437B6" w14:textId="77777777">
      <w:pPr>
        <w:pStyle w:val="Heading2-NoTOC"/>
      </w:pPr>
      <w:bookmarkStart w:id="5" w:name="_Toc220489638"/>
      <w:r w:rsidRPr="006759E6">
        <w:t xml:space="preserve">Table of </w:t>
      </w:r>
      <w:r w:rsidRPr="00006EB4">
        <w:t>Contents</w:t>
      </w:r>
      <w:bookmarkEnd w:id="5"/>
    </w:p>
    <w:p w:rsidR="00006EB4" w:rsidP="00006EB4" w14:paraId="2EE94890" w14:textId="401A13DF">
      <w:pPr>
        <w:pStyle w:val="TOC1"/>
        <w:spacing w:after="120"/>
        <w:rPr>
          <w:rFonts w:asciiTheme="minorHAnsi" w:eastAsiaTheme="minorEastAsia" w:hAnsiTheme="minorHAnsi" w:cstheme="minorBidi"/>
          <w:noProof/>
          <w:kern w:val="2"/>
          <w14:ligatures w14:val="standardContextual"/>
        </w:rPr>
      </w:pPr>
      <w:r w:rsidRPr="007A113B">
        <w:fldChar w:fldCharType="begin"/>
      </w:r>
      <w:r w:rsidRPr="007A113B">
        <w:instrText xml:space="preserve"> TOC \o "1-3" \h \z \u </w:instrText>
      </w:r>
      <w:r w:rsidRPr="007A113B">
        <w:fldChar w:fldCharType="separate"/>
      </w:r>
      <w:hyperlink w:anchor="_Toc220489639" w:history="1">
        <w:r w:rsidRPr="00B7081D">
          <w:rPr>
            <w:rStyle w:val="Hyperlink"/>
            <w:noProof/>
          </w:rPr>
          <w:t>B.</w:t>
        </w:r>
        <w:r>
          <w:rPr>
            <w:rFonts w:asciiTheme="minorHAnsi" w:eastAsiaTheme="minorEastAsia" w:hAnsiTheme="minorHAnsi" w:cstheme="minorBidi"/>
            <w:noProof/>
            <w:kern w:val="2"/>
            <w14:ligatures w14:val="standardContextual"/>
          </w:rPr>
          <w:tab/>
        </w:r>
        <w:r w:rsidRPr="00B7081D">
          <w:rPr>
            <w:rStyle w:val="Hyperlink"/>
            <w:noProof/>
          </w:rPr>
          <w:t>STATISTICAL METHODS</w:t>
        </w:r>
        <w:r>
          <w:rPr>
            <w:noProof/>
            <w:webHidden/>
          </w:rPr>
          <w:tab/>
        </w:r>
        <w:r>
          <w:rPr>
            <w:noProof/>
            <w:webHidden/>
          </w:rPr>
          <w:fldChar w:fldCharType="begin"/>
        </w:r>
        <w:r>
          <w:rPr>
            <w:noProof/>
            <w:webHidden/>
          </w:rPr>
          <w:instrText xml:space="preserve"> PAGEREF _Toc220489639 \h </w:instrText>
        </w:r>
        <w:r>
          <w:rPr>
            <w:noProof/>
            <w:webHidden/>
          </w:rPr>
          <w:fldChar w:fldCharType="separate"/>
        </w:r>
        <w:r>
          <w:rPr>
            <w:noProof/>
            <w:webHidden/>
          </w:rPr>
          <w:t>3</w:t>
        </w:r>
        <w:r>
          <w:rPr>
            <w:noProof/>
            <w:webHidden/>
          </w:rPr>
          <w:fldChar w:fldCharType="end"/>
        </w:r>
      </w:hyperlink>
    </w:p>
    <w:p w:rsidR="00006EB4" w:rsidP="00A16A24" w14:paraId="46918C56" w14:textId="0467BDE5">
      <w:pPr>
        <w:pStyle w:val="TOC3"/>
        <w:spacing w:after="120"/>
        <w:ind w:right="432" w:hanging="720"/>
        <w:rPr>
          <w:rFonts w:asciiTheme="minorHAnsi" w:eastAsiaTheme="minorEastAsia" w:hAnsiTheme="minorHAnsi" w:cstheme="minorBidi"/>
          <w:noProof/>
          <w:kern w:val="2"/>
          <w14:ligatures w14:val="standardContextual"/>
        </w:rPr>
      </w:pPr>
      <w:hyperlink w:anchor="_Toc220489640" w:history="1">
        <w:r w:rsidRPr="00B7081D">
          <w:rPr>
            <w:rStyle w:val="Hyperlink"/>
            <w:noProof/>
          </w:rPr>
          <w:t>B1.</w:t>
        </w:r>
        <w:r>
          <w:rPr>
            <w:rFonts w:asciiTheme="minorHAnsi" w:eastAsiaTheme="minorEastAsia" w:hAnsiTheme="minorHAnsi" w:cstheme="minorBidi"/>
            <w:noProof/>
            <w:kern w:val="2"/>
            <w14:ligatures w14:val="standardContextual"/>
          </w:rPr>
          <w:tab/>
        </w:r>
        <w:r w:rsidRPr="00B7081D">
          <w:rPr>
            <w:rStyle w:val="Hyperlink"/>
            <w:noProof/>
          </w:rPr>
          <w:t>Universe and Respondent Selection</w:t>
        </w:r>
        <w:r>
          <w:rPr>
            <w:noProof/>
            <w:webHidden/>
          </w:rPr>
          <w:tab/>
        </w:r>
        <w:r>
          <w:rPr>
            <w:noProof/>
            <w:webHidden/>
          </w:rPr>
          <w:fldChar w:fldCharType="begin"/>
        </w:r>
        <w:r>
          <w:rPr>
            <w:noProof/>
            <w:webHidden/>
          </w:rPr>
          <w:instrText xml:space="preserve"> PAGEREF _Toc220489640 \h </w:instrText>
        </w:r>
        <w:r>
          <w:rPr>
            <w:noProof/>
            <w:webHidden/>
          </w:rPr>
          <w:fldChar w:fldCharType="separate"/>
        </w:r>
        <w:r>
          <w:rPr>
            <w:noProof/>
            <w:webHidden/>
          </w:rPr>
          <w:t>3</w:t>
        </w:r>
        <w:r>
          <w:rPr>
            <w:noProof/>
            <w:webHidden/>
          </w:rPr>
          <w:fldChar w:fldCharType="end"/>
        </w:r>
      </w:hyperlink>
    </w:p>
    <w:p w:rsidR="00006EB4" w:rsidP="00A16A24" w14:paraId="58C198C8" w14:textId="03EF14E2">
      <w:pPr>
        <w:pStyle w:val="TOC3"/>
        <w:spacing w:after="120"/>
        <w:ind w:right="432" w:hanging="720"/>
        <w:rPr>
          <w:rFonts w:asciiTheme="minorHAnsi" w:eastAsiaTheme="minorEastAsia" w:hAnsiTheme="minorHAnsi" w:cstheme="minorBidi"/>
          <w:noProof/>
          <w:kern w:val="2"/>
          <w14:ligatures w14:val="standardContextual"/>
        </w:rPr>
      </w:pPr>
      <w:hyperlink w:anchor="_Toc220489641" w:history="1">
        <w:r w:rsidRPr="00B7081D">
          <w:rPr>
            <w:rStyle w:val="Hyperlink"/>
            <w:noProof/>
          </w:rPr>
          <w:t>B2.</w:t>
        </w:r>
        <w:r>
          <w:rPr>
            <w:rFonts w:asciiTheme="minorHAnsi" w:eastAsiaTheme="minorEastAsia" w:hAnsiTheme="minorHAnsi" w:cstheme="minorBidi"/>
            <w:noProof/>
            <w:kern w:val="2"/>
            <w14:ligatures w14:val="standardContextual"/>
          </w:rPr>
          <w:tab/>
        </w:r>
        <w:r w:rsidRPr="00B7081D">
          <w:rPr>
            <w:rStyle w:val="Hyperlink"/>
            <w:noProof/>
          </w:rPr>
          <w:t>Procedures for Collecting Information</w:t>
        </w:r>
        <w:r>
          <w:rPr>
            <w:noProof/>
            <w:webHidden/>
          </w:rPr>
          <w:tab/>
        </w:r>
        <w:r>
          <w:rPr>
            <w:noProof/>
            <w:webHidden/>
          </w:rPr>
          <w:fldChar w:fldCharType="begin"/>
        </w:r>
        <w:r>
          <w:rPr>
            <w:noProof/>
            <w:webHidden/>
          </w:rPr>
          <w:instrText xml:space="preserve"> PAGEREF _Toc220489641 \h </w:instrText>
        </w:r>
        <w:r>
          <w:rPr>
            <w:noProof/>
            <w:webHidden/>
          </w:rPr>
          <w:fldChar w:fldCharType="separate"/>
        </w:r>
        <w:r>
          <w:rPr>
            <w:noProof/>
            <w:webHidden/>
          </w:rPr>
          <w:t>4</w:t>
        </w:r>
        <w:r>
          <w:rPr>
            <w:noProof/>
            <w:webHidden/>
          </w:rPr>
          <w:fldChar w:fldCharType="end"/>
        </w:r>
      </w:hyperlink>
    </w:p>
    <w:p w:rsidR="00006EB4" w:rsidP="00A16A24" w14:paraId="160F0CD2" w14:textId="6B2AC81F">
      <w:pPr>
        <w:pStyle w:val="TOC3"/>
        <w:spacing w:after="120"/>
        <w:ind w:right="432" w:hanging="720"/>
        <w:rPr>
          <w:rFonts w:asciiTheme="minorHAnsi" w:eastAsiaTheme="minorEastAsia" w:hAnsiTheme="minorHAnsi" w:cstheme="minorBidi"/>
          <w:noProof/>
          <w:kern w:val="2"/>
          <w14:ligatures w14:val="standardContextual"/>
        </w:rPr>
      </w:pPr>
      <w:hyperlink w:anchor="_Toc220489642" w:history="1">
        <w:r w:rsidRPr="00B7081D">
          <w:rPr>
            <w:rStyle w:val="Hyperlink"/>
            <w:noProof/>
          </w:rPr>
          <w:t>B3.</w:t>
        </w:r>
        <w:r>
          <w:rPr>
            <w:rFonts w:asciiTheme="minorHAnsi" w:eastAsiaTheme="minorEastAsia" w:hAnsiTheme="minorHAnsi" w:cstheme="minorBidi"/>
            <w:noProof/>
            <w:kern w:val="2"/>
            <w14:ligatures w14:val="standardContextual"/>
          </w:rPr>
          <w:tab/>
        </w:r>
        <w:r w:rsidRPr="00B7081D">
          <w:rPr>
            <w:rStyle w:val="Hyperlink"/>
            <w:noProof/>
          </w:rPr>
          <w:t>Methods to Maximize Response</w:t>
        </w:r>
        <w:r>
          <w:rPr>
            <w:noProof/>
            <w:webHidden/>
          </w:rPr>
          <w:tab/>
        </w:r>
        <w:r>
          <w:rPr>
            <w:noProof/>
            <w:webHidden/>
          </w:rPr>
          <w:fldChar w:fldCharType="begin"/>
        </w:r>
        <w:r>
          <w:rPr>
            <w:noProof/>
            <w:webHidden/>
          </w:rPr>
          <w:instrText xml:space="preserve"> PAGEREF _Toc220489642 \h </w:instrText>
        </w:r>
        <w:r>
          <w:rPr>
            <w:noProof/>
            <w:webHidden/>
          </w:rPr>
          <w:fldChar w:fldCharType="separate"/>
        </w:r>
        <w:r>
          <w:rPr>
            <w:noProof/>
            <w:webHidden/>
          </w:rPr>
          <w:t>5</w:t>
        </w:r>
        <w:r>
          <w:rPr>
            <w:noProof/>
            <w:webHidden/>
          </w:rPr>
          <w:fldChar w:fldCharType="end"/>
        </w:r>
      </w:hyperlink>
    </w:p>
    <w:p w:rsidR="00006EB4" w:rsidP="00A16A24" w14:paraId="5A6B97CC" w14:textId="0013EDB1">
      <w:pPr>
        <w:pStyle w:val="TOC3"/>
        <w:spacing w:after="120"/>
        <w:ind w:right="432" w:hanging="720"/>
        <w:rPr>
          <w:rFonts w:asciiTheme="minorHAnsi" w:eastAsiaTheme="minorEastAsia" w:hAnsiTheme="minorHAnsi" w:cstheme="minorBidi"/>
          <w:noProof/>
          <w:kern w:val="2"/>
          <w14:ligatures w14:val="standardContextual"/>
        </w:rPr>
      </w:pPr>
      <w:hyperlink w:anchor="_Toc220489643" w:history="1">
        <w:r w:rsidRPr="00B7081D">
          <w:rPr>
            <w:rStyle w:val="Hyperlink"/>
            <w:noProof/>
          </w:rPr>
          <w:t>B4.</w:t>
        </w:r>
        <w:r>
          <w:rPr>
            <w:rFonts w:asciiTheme="minorHAnsi" w:eastAsiaTheme="minorEastAsia" w:hAnsiTheme="minorHAnsi" w:cstheme="minorBidi"/>
            <w:noProof/>
            <w:kern w:val="2"/>
            <w14:ligatures w14:val="standardContextual"/>
          </w:rPr>
          <w:tab/>
        </w:r>
        <w:r w:rsidRPr="00B7081D">
          <w:rPr>
            <w:rStyle w:val="Hyperlink"/>
            <w:noProof/>
          </w:rPr>
          <w:t>Testing of Procedures</w:t>
        </w:r>
        <w:r>
          <w:rPr>
            <w:noProof/>
            <w:webHidden/>
          </w:rPr>
          <w:tab/>
        </w:r>
        <w:r>
          <w:rPr>
            <w:noProof/>
            <w:webHidden/>
          </w:rPr>
          <w:fldChar w:fldCharType="begin"/>
        </w:r>
        <w:r>
          <w:rPr>
            <w:noProof/>
            <w:webHidden/>
          </w:rPr>
          <w:instrText xml:space="preserve"> PAGEREF _Toc220489643 \h </w:instrText>
        </w:r>
        <w:r>
          <w:rPr>
            <w:noProof/>
            <w:webHidden/>
          </w:rPr>
          <w:fldChar w:fldCharType="separate"/>
        </w:r>
        <w:r>
          <w:rPr>
            <w:noProof/>
            <w:webHidden/>
          </w:rPr>
          <w:t>5</w:t>
        </w:r>
        <w:r>
          <w:rPr>
            <w:noProof/>
            <w:webHidden/>
          </w:rPr>
          <w:fldChar w:fldCharType="end"/>
        </w:r>
      </w:hyperlink>
    </w:p>
    <w:p w:rsidR="00006EB4" w:rsidP="00A16A24" w14:paraId="6CAB6032" w14:textId="28E5BFA5">
      <w:pPr>
        <w:pStyle w:val="TOC3"/>
        <w:spacing w:after="120"/>
        <w:ind w:right="432" w:hanging="720"/>
        <w:rPr>
          <w:rFonts w:asciiTheme="minorHAnsi" w:eastAsiaTheme="minorEastAsia" w:hAnsiTheme="minorHAnsi" w:cstheme="minorBidi"/>
          <w:noProof/>
          <w:kern w:val="2"/>
          <w14:ligatures w14:val="standardContextual"/>
        </w:rPr>
      </w:pPr>
      <w:hyperlink w:anchor="_Toc220489644" w:history="1">
        <w:r w:rsidRPr="00B7081D">
          <w:rPr>
            <w:rStyle w:val="Hyperlink"/>
            <w:noProof/>
          </w:rPr>
          <w:t>B5.</w:t>
        </w:r>
        <w:r>
          <w:rPr>
            <w:rFonts w:asciiTheme="minorHAnsi" w:eastAsiaTheme="minorEastAsia" w:hAnsiTheme="minorHAnsi" w:cstheme="minorBidi"/>
            <w:noProof/>
            <w:kern w:val="2"/>
            <w14:ligatures w14:val="standardContextual"/>
          </w:rPr>
          <w:tab/>
        </w:r>
        <w:r w:rsidRPr="00B7081D">
          <w:rPr>
            <w:rStyle w:val="Hyperlink"/>
            <w:noProof/>
            <w:spacing w:val="-4"/>
          </w:rPr>
          <w:t>Individuals Consulted on Statistical Aspects and Individuals Collecting/Analyzing Data</w:t>
        </w:r>
        <w:r>
          <w:rPr>
            <w:noProof/>
            <w:webHidden/>
          </w:rPr>
          <w:tab/>
        </w:r>
        <w:r>
          <w:rPr>
            <w:noProof/>
            <w:webHidden/>
          </w:rPr>
          <w:fldChar w:fldCharType="begin"/>
        </w:r>
        <w:r>
          <w:rPr>
            <w:noProof/>
            <w:webHidden/>
          </w:rPr>
          <w:instrText xml:space="preserve"> PAGEREF _Toc220489644 \h </w:instrText>
        </w:r>
        <w:r>
          <w:rPr>
            <w:noProof/>
            <w:webHidden/>
          </w:rPr>
          <w:fldChar w:fldCharType="separate"/>
        </w:r>
        <w:r>
          <w:rPr>
            <w:noProof/>
            <w:webHidden/>
          </w:rPr>
          <w:t>5</w:t>
        </w:r>
        <w:r>
          <w:rPr>
            <w:noProof/>
            <w:webHidden/>
          </w:rPr>
          <w:fldChar w:fldCharType="end"/>
        </w:r>
      </w:hyperlink>
    </w:p>
    <w:p w:rsidR="000B0552" w:rsidRPr="006956CA" w:rsidP="006759E6" w14:paraId="208A3681" w14:textId="05965E5F">
      <w:pPr>
        <w:ind w:left="540"/>
      </w:pPr>
      <w:r w:rsidRPr="007A113B">
        <w:rPr>
          <w:b/>
          <w:bCs/>
          <w:noProof/>
        </w:rPr>
        <w:fldChar w:fldCharType="end"/>
      </w:r>
      <w:r>
        <w:rPr>
          <w:color w:val="000000"/>
        </w:rPr>
        <w:br w:type="page"/>
      </w:r>
    </w:p>
    <w:p w:rsidR="00545495" w:rsidP="00F6179C" w14:paraId="7159C522" w14:textId="3EC4F40F">
      <w:pPr>
        <w:pStyle w:val="Heading2"/>
      </w:pPr>
      <w:bookmarkStart w:id="6" w:name="_Toc220489639"/>
      <w:r w:rsidRPr="00254509">
        <w:t>B.</w:t>
      </w:r>
      <w:r w:rsidR="004D364D">
        <w:tab/>
      </w:r>
      <w:r w:rsidRPr="00254509">
        <w:t>STATISTICAL METHODS</w:t>
      </w:r>
      <w:bookmarkEnd w:id="6"/>
    </w:p>
    <w:p w:rsidR="00A94363" w:rsidP="00455B8F" w14:paraId="12B47DAE" w14:textId="67C50812">
      <w:pPr>
        <w:pStyle w:val="BodyText"/>
      </w:pPr>
      <w:r>
        <w:t>As noted in Supporting Statement Part A, t</w:t>
      </w:r>
      <w:r w:rsidRPr="00A94363">
        <w:t xml:space="preserve">he Centers for Medicare &amp; Medicaid Services (CMS) requests approval for a new generic clearance for the collection of Medicare Current Beneficiary Survey (MCBS) Respondent “Pulse” Feedback. The MCBS Pulse generic clearance is intended for contexts in which CMS </w:t>
      </w:r>
      <w:r w:rsidR="000368FD">
        <w:t>stakeholders</w:t>
      </w:r>
      <w:r w:rsidRPr="00A94363">
        <w:t xml:space="preserve"> </w:t>
      </w:r>
      <w:r w:rsidR="000368FD">
        <w:t>require</w:t>
      </w:r>
      <w:r w:rsidRPr="00A94363">
        <w:t xml:space="preserve"> time-sensitive data </w:t>
      </w:r>
      <w:r w:rsidRPr="000368FD" w:rsidR="000368FD">
        <w:t>to inform program planning and decision-making</w:t>
      </w:r>
      <w:r w:rsidRPr="00A94363">
        <w:t xml:space="preserve">. This clearance will allow CMS to </w:t>
      </w:r>
      <w:r w:rsidRPr="000368FD" w:rsidR="000368FD">
        <w:t xml:space="preserve">improve operational efficiency by establishing a data-driven process to inform emerging program initiatives, develop nascent questionnaire concepts, and obtain rapid insights on evolving beneficiary </w:t>
      </w:r>
      <w:r w:rsidRPr="000368FD" w:rsidR="00D43328">
        <w:t>needs.</w:t>
      </w:r>
      <w:r w:rsidRPr="00A94363">
        <w:t xml:space="preserve"> </w:t>
      </w:r>
      <w:r w:rsidRPr="000368FD" w:rsidR="000368FD">
        <w:t>The MCBS Pulse generic clearance will improve the CMS’s evidence-based program planning and administration and reduce administrative complexity for both the agency and its stakeholders.</w:t>
      </w:r>
      <w:r w:rsidR="000368FD">
        <w:t xml:space="preserve"> </w:t>
      </w:r>
      <w:r w:rsidR="00926F9F">
        <w:t xml:space="preserve">For each Pulse survey, </w:t>
      </w:r>
      <w:r w:rsidRPr="00837708" w:rsidR="00837708">
        <w:t>CMS will submit individual information collections requests (ICRs) under this generic clearance to OMB along with questionnaires</w:t>
      </w:r>
      <w:r w:rsidR="00837708">
        <w:t>, interviewer scripts</w:t>
      </w:r>
      <w:r w:rsidRPr="00837708" w:rsidR="00837708">
        <w:t xml:space="preserve"> and any respondent materials in advance of fielding.</w:t>
      </w:r>
    </w:p>
    <w:p w:rsidR="006E4C38" w:rsidP="00455B8F" w14:paraId="2A04132A" w14:textId="77777777">
      <w:pPr>
        <w:pStyle w:val="BodyText"/>
      </w:pPr>
      <w:r w:rsidRPr="006E4C38">
        <w:t>Statistical methods for the MCBS Pulse generic clearance are designed to maximize efficiency, minimize respondent burden, and ensure timely data collection and release.</w:t>
      </w:r>
    </w:p>
    <w:p w:rsidR="006E4C38" w:rsidRPr="006E4C38" w:rsidP="00455B8F" w14:paraId="795FED4C" w14:textId="06BB49D7">
      <w:pPr>
        <w:pStyle w:val="ListBullet"/>
      </w:pPr>
      <w:r w:rsidRPr="415E32F7">
        <w:rPr>
          <w:b/>
          <w:bCs/>
        </w:rPr>
        <w:t>Efficient design:</w:t>
      </w:r>
      <w:r>
        <w:t xml:space="preserve"> </w:t>
      </w:r>
      <w:r w:rsidR="0043437A">
        <w:t>L</w:t>
      </w:r>
      <w:r w:rsidR="00BD09E1">
        <w:t>everaging existing MCBS</w:t>
      </w:r>
      <w:r w:rsidR="0043437A">
        <w:t xml:space="preserve"> </w:t>
      </w:r>
      <w:r>
        <w:t>respondents immediately following their MCBS interview</w:t>
      </w:r>
      <w:r w:rsidR="0043437A">
        <w:t xml:space="preserve"> will</w:t>
      </w:r>
      <w:r w:rsidRPr="009A7C44" w:rsidR="0043437A">
        <w:t xml:space="preserve"> enhance</w:t>
      </w:r>
      <w:r w:rsidRPr="009A7C44" w:rsidR="009A7C44">
        <w:t xml:space="preserve"> operational efficiency while minimizing respondent burden</w:t>
      </w:r>
      <w:r>
        <w:t xml:space="preserve">. The Pulse </w:t>
      </w:r>
      <w:r w:rsidR="0043437A">
        <w:t xml:space="preserve">survey will </w:t>
      </w:r>
      <w:r w:rsidR="003A3F37">
        <w:t>ta</w:t>
      </w:r>
      <w:r w:rsidR="00291BF0">
        <w:t>ke advantage of</w:t>
      </w:r>
      <w:r w:rsidR="003A3F37">
        <w:t xml:space="preserve"> </w:t>
      </w:r>
      <w:r>
        <w:t xml:space="preserve">the full MCBS infrastructure, and the questions will be programmed in </w:t>
      </w:r>
      <w:r>
        <w:t>Voxco</w:t>
      </w:r>
      <w:r>
        <w:t xml:space="preserve">, a </w:t>
      </w:r>
      <w:r w:rsidR="0043437A">
        <w:t>cost-effective</w:t>
      </w:r>
      <w:r>
        <w:t xml:space="preserve"> platform that is easy to use.</w:t>
      </w:r>
    </w:p>
    <w:p w:rsidR="006E4C38" w:rsidRPr="006E4C38" w:rsidP="00455B8F" w14:paraId="701F81E7" w14:textId="01A5E8DB">
      <w:pPr>
        <w:pStyle w:val="ListBullet"/>
      </w:pPr>
      <w:r w:rsidRPr="006E4C38">
        <w:rPr>
          <w:b/>
          <w:bCs/>
        </w:rPr>
        <w:t>Low respondent burden:</w:t>
      </w:r>
      <w:r w:rsidRPr="006E4C38">
        <w:t xml:space="preserve"> Each Pulse survey will </w:t>
      </w:r>
      <w:r w:rsidR="006C6C1A">
        <w:t>be a very brief collection that takes n</w:t>
      </w:r>
      <w:r w:rsidRPr="006E4C38">
        <w:t xml:space="preserve">o more than two minutes to administer. This </w:t>
      </w:r>
      <w:r w:rsidRPr="006E4C38" w:rsidR="00837708">
        <w:t>limited</w:t>
      </w:r>
      <w:r w:rsidRPr="006E4C38">
        <w:t xml:space="preserve"> burden is expected to support high rates of respondent consent at the conclusion of the MCBS interview.</w:t>
      </w:r>
    </w:p>
    <w:p w:rsidR="00A94363" w:rsidRPr="00A94363" w:rsidP="00455B8F" w14:paraId="52EC4A8E" w14:textId="1E2F7C64">
      <w:pPr>
        <w:pStyle w:val="ListBullet"/>
      </w:pPr>
      <w:r w:rsidRPr="006E4C38">
        <w:rPr>
          <w:b/>
          <w:bCs/>
        </w:rPr>
        <w:t xml:space="preserve">Rapid implementation and timely </w:t>
      </w:r>
      <w:r w:rsidR="0005394C">
        <w:rPr>
          <w:b/>
          <w:bCs/>
        </w:rPr>
        <w:t xml:space="preserve">internal </w:t>
      </w:r>
      <w:r w:rsidRPr="006E4C38">
        <w:rPr>
          <w:b/>
          <w:bCs/>
        </w:rPr>
        <w:t xml:space="preserve">data </w:t>
      </w:r>
      <w:r w:rsidR="0005394C">
        <w:rPr>
          <w:b/>
          <w:bCs/>
        </w:rPr>
        <w:t>availability</w:t>
      </w:r>
      <w:r w:rsidRPr="006E4C38">
        <w:rPr>
          <w:b/>
          <w:bCs/>
        </w:rPr>
        <w:t>:</w:t>
      </w:r>
      <w:r w:rsidRPr="006E4C38">
        <w:t xml:space="preserve"> Critically, this generic clearance enables a highly accelerated timeline</w:t>
      </w:r>
      <w:r w:rsidR="00E61919">
        <w:t xml:space="preserve">. </w:t>
      </w:r>
      <w:r w:rsidRPr="006E4C38">
        <w:t xml:space="preserve">Pulse data can be designed, fielded, and released within approximately </w:t>
      </w:r>
      <w:r w:rsidR="00764873">
        <w:t>nine</w:t>
      </w:r>
      <w:r w:rsidRPr="006E4C38" w:rsidR="00764873">
        <w:t xml:space="preserve"> </w:t>
      </w:r>
      <w:r w:rsidRPr="006E4C38">
        <w:t>weeks, allowing CMS to respond quickly to emerging information needs.</w:t>
      </w:r>
    </w:p>
    <w:p w:rsidR="0072011C" w:rsidRPr="00254509" w:rsidP="00F6179C" w14:paraId="5DFB6352" w14:textId="0EF549CC">
      <w:pPr>
        <w:pStyle w:val="Heading3"/>
      </w:pPr>
      <w:bookmarkStart w:id="7" w:name="_Toc220489640"/>
      <w:r w:rsidRPr="00254509">
        <w:t>B</w:t>
      </w:r>
      <w:r w:rsidR="00847070">
        <w:t>1.</w:t>
      </w:r>
      <w:r w:rsidR="00847070">
        <w:tab/>
      </w:r>
      <w:r w:rsidRPr="00254509">
        <w:t>Universe and Respondent Selection</w:t>
      </w:r>
      <w:bookmarkEnd w:id="7"/>
    </w:p>
    <w:p w:rsidR="00333863" w:rsidP="00333863" w14:paraId="2CAE709B" w14:textId="56FDD194">
      <w:pPr>
        <w:pStyle w:val="BodyText"/>
      </w:pPr>
      <w:r w:rsidRPr="00333863">
        <w:t xml:space="preserve">As explained in the main MCBS clearance package (0938-0568, expiration </w:t>
      </w:r>
      <w:r w:rsidRPr="00CE343E" w:rsidR="00CE343E">
        <w:t>01/31/202</w:t>
      </w:r>
      <w:r w:rsidRPr="00D43328" w:rsidR="00CE343E">
        <w:t>9</w:t>
      </w:r>
      <w:r w:rsidRPr="00D43328">
        <w:t xml:space="preserve">), </w:t>
      </w:r>
      <w:r w:rsidRPr="00333863">
        <w:t xml:space="preserve">the MCBS is a continuous, multi-purpose longitudinal survey, representing the population of beneficiaries aged 65 and over and beneficiaries aged 64 and below with disabilities, residing in the United States. </w:t>
      </w:r>
      <w:r w:rsidRPr="00A94363" w:rsidR="00A94363">
        <w:t>The target universe is current Medicare beneficiaries entitled to hospital and/or supplementary medical insurance and living in the 50 states or the District of Columbia. Both institutionalized and non-institutionalized beneficiaries are represented</w:t>
      </w:r>
      <w:r w:rsidR="00837708">
        <w:t>.</w:t>
      </w:r>
    </w:p>
    <w:p w:rsidR="00A94363" w:rsidP="00333863" w14:paraId="2A641C45" w14:textId="7B340AD2">
      <w:pPr>
        <w:pStyle w:val="BodyText"/>
      </w:pPr>
      <w:r>
        <w:t xml:space="preserve">Starting in Summer 2026 Round 105 and each round thereafter, the “Pulse” survey will be conducted with Community-dwelling sampled beneficiaries who participate in the MCBS. There will be no new recruitment or additions to sample; respondents to Pulse surveys will have already been sampled and recruited and are active participants in MCBS data collection. </w:t>
      </w:r>
    </w:p>
    <w:p w:rsidR="00D84EC3" w:rsidP="00425361" w14:paraId="2F045932" w14:textId="3EEE343A">
      <w:pPr>
        <w:pStyle w:val="BodyText"/>
      </w:pPr>
      <w:r>
        <w:t xml:space="preserve">Each </w:t>
      </w:r>
      <w:r w:rsidRPr="00A94363" w:rsidR="00A94363">
        <w:t>MCBS Pulse survey will be fielded to existing MCBS respondents for up to two weeks</w:t>
      </w:r>
      <w:r w:rsidR="006C6C1A">
        <w:t xml:space="preserve"> during a given data collection round. The Pulse survey will be administered</w:t>
      </w:r>
      <w:r w:rsidRPr="00A94363" w:rsidR="00A94363">
        <w:t xml:space="preserve"> </w:t>
      </w:r>
      <w:r w:rsidR="00926F9F">
        <w:t>at the conclusion of</w:t>
      </w:r>
      <w:r w:rsidRPr="00A94363" w:rsidR="00A94363">
        <w:t xml:space="preserve"> </w:t>
      </w:r>
      <w:r w:rsidR="00210148">
        <w:t>their regular</w:t>
      </w:r>
      <w:r w:rsidRPr="00A94363" w:rsidR="00210148">
        <w:t xml:space="preserve"> </w:t>
      </w:r>
      <w:r w:rsidRPr="00A94363" w:rsidR="00A94363">
        <w:t xml:space="preserve">MCBS </w:t>
      </w:r>
      <w:r w:rsidR="00210148">
        <w:t>interview</w:t>
      </w:r>
      <w:r w:rsidRPr="00A94363" w:rsidR="00A94363">
        <w:t>.</w:t>
      </w:r>
      <w:r w:rsidR="00A94363">
        <w:t xml:space="preserve"> </w:t>
      </w:r>
      <w:r w:rsidR="00B23811">
        <w:t>T</w:t>
      </w:r>
      <w:r>
        <w:t xml:space="preserve">he MCBS design includes three rounds a year, each lasting </w:t>
      </w:r>
      <w:r w:rsidR="00C940A9">
        <w:t xml:space="preserve">approximately </w:t>
      </w:r>
      <w:r w:rsidR="00926F9F">
        <w:t>1</w:t>
      </w:r>
      <w:r>
        <w:t>6 weeks</w:t>
      </w:r>
      <w:r w:rsidR="00B23811">
        <w:t xml:space="preserve">. </w:t>
      </w:r>
      <w:r w:rsidR="00C17BA4">
        <w:t xml:space="preserve">Given that each Pulse survey is exceptionally brief, </w:t>
      </w:r>
      <w:r w:rsidR="00BA7B66">
        <w:t xml:space="preserve">a small number of </w:t>
      </w:r>
      <w:r w:rsidR="00BA7B66">
        <w:t xml:space="preserve">items </w:t>
      </w:r>
      <w:r w:rsidR="00AB2AF3">
        <w:t xml:space="preserve"> fielded</w:t>
      </w:r>
      <w:r w:rsidR="00AB2AF3">
        <w:t xml:space="preserve"> for up to </w:t>
      </w:r>
      <w:r w:rsidR="0080789E">
        <w:t xml:space="preserve">two </w:t>
      </w:r>
      <w:r w:rsidR="00AB2AF3">
        <w:t>weeks,</w:t>
      </w:r>
      <w:r>
        <w:t xml:space="preserve"> multiple Pulse surveys </w:t>
      </w:r>
      <w:r w:rsidR="006C6C1A">
        <w:t>could</w:t>
      </w:r>
      <w:r>
        <w:t xml:space="preserve"> be conducted each round. </w:t>
      </w:r>
      <w:r>
        <w:t xml:space="preserve">Therefore, the respondent burden estimated in Supporting Statement Part A assumes that </w:t>
      </w:r>
      <w:r w:rsidR="008008AC">
        <w:t>most</w:t>
      </w:r>
      <w:r w:rsidR="006C6C1A">
        <w:t xml:space="preserve"> MCBS respondents </w:t>
      </w:r>
      <w:r w:rsidR="008008AC">
        <w:t xml:space="preserve">living in the community </w:t>
      </w:r>
      <w:r w:rsidR="006C6C1A">
        <w:t>may receive a Pulse survey</w:t>
      </w:r>
      <w:r w:rsidRPr="00A94363" w:rsidR="00A94363">
        <w:t xml:space="preserve"> during each MCBS data collection round. </w:t>
      </w:r>
    </w:p>
    <w:p w:rsidR="00557290" w:rsidRPr="00455B8F" w:rsidP="00A16A24" w14:paraId="1D47E45B" w14:textId="1ACD6581">
      <w:pPr>
        <w:pStyle w:val="Caption"/>
        <w:spacing w:after="120"/>
      </w:pPr>
      <w:r w:rsidRPr="00455B8F">
        <w:t>Exhibit 1. MCBS Pulse Data Collection</w:t>
      </w:r>
    </w:p>
    <w:p w:rsidR="00745D4F" w:rsidP="00A16A24" w14:paraId="62009A4E" w14:textId="1EC20B97">
      <w:pPr>
        <w:pStyle w:val="BodyText"/>
        <w:spacing w:before="0" w:after="120"/>
        <w:jc w:val="center"/>
      </w:pPr>
      <w:r>
        <w:rPr>
          <w:noProof/>
        </w:rPr>
        <w:drawing>
          <wp:inline distT="0" distB="0" distL="0" distR="0">
            <wp:extent cx="5285740" cy="1905000"/>
            <wp:effectExtent l="0" t="0" r="0" b="0"/>
            <wp:docPr id="347121447" name="Picture 1" descr="Graphic showing MCBS pulse data collection windows in the context of the MCBS Main data collection periods (Winter, Summer, Fal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21447" name="Picture 1" descr="Graphic showing MCBS pulse data collection windows in the context of the MCBS Main data collection periods (Winter, Summer, Fall). "/>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t="5709" b="6445"/>
                    <a:stretch>
                      <a:fillRect/>
                    </a:stretch>
                  </pic:blipFill>
                  <pic:spPr bwMode="auto">
                    <a:xfrm>
                      <a:off x="0" y="0"/>
                      <a:ext cx="5303264" cy="191131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425361" w:rsidRPr="00425361" w:rsidP="00425361" w14:paraId="3FB74F66" w14:textId="0692BF2A">
      <w:pPr>
        <w:pStyle w:val="BodyText"/>
      </w:pPr>
      <w:r>
        <w:t xml:space="preserve">For each ICR submitted under this generic clearance, </w:t>
      </w:r>
      <w:r w:rsidR="00E61919">
        <w:t xml:space="preserve">CMS </w:t>
      </w:r>
      <w:r>
        <w:t xml:space="preserve">may use existing MCBS data to identify and </w:t>
      </w:r>
      <w:r w:rsidR="00F9178D">
        <w:t xml:space="preserve">interview </w:t>
      </w:r>
      <w:r>
        <w:t>only those respondents who are most relevant to the specific measures of interest. This allows Pulse questions to be asked of a focused subset of beneficiaries who are most likely to provide meaningful responses (e.g., individuals with diabetes for a Pulse survey that focused only on diabetes prevention</w:t>
      </w:r>
      <w:r w:rsidR="001414C6">
        <w:t>-</w:t>
      </w:r>
      <w:r>
        <w:t>related items). This would also reduce the respondent burden for a given Pulse survey.</w:t>
      </w:r>
    </w:p>
    <w:p w:rsidR="0072011C" w:rsidRPr="00254509" w:rsidP="00847070" w14:paraId="6D524B45" w14:textId="43532206">
      <w:pPr>
        <w:pStyle w:val="BodyText"/>
      </w:pPr>
      <w:r>
        <w:t xml:space="preserve">In most cases, Pulse data will be analyzed without </w:t>
      </w:r>
      <w:r>
        <w:t>weights</w:t>
      </w:r>
      <w:r>
        <w:t xml:space="preserve"> as these estimates will be used to </w:t>
      </w:r>
      <w:r w:rsidR="00FB4407">
        <w:t xml:space="preserve">inform </w:t>
      </w:r>
      <w:r>
        <w:t xml:space="preserve">program </w:t>
      </w:r>
      <w:r w:rsidR="00FB4407">
        <w:t xml:space="preserve">planning </w:t>
      </w:r>
      <w:r>
        <w:t xml:space="preserve">as opposed to </w:t>
      </w:r>
      <w:r w:rsidR="00E94A28">
        <w:t>making</w:t>
      </w:r>
      <w:r>
        <w:t xml:space="preserve"> population-level inferences. </w:t>
      </w:r>
      <w:r w:rsidR="00D64018">
        <w:t>On occasions w</w:t>
      </w:r>
      <w:r w:rsidR="002E0C9C">
        <w:t xml:space="preserve">hen inference to the Medicare population </w:t>
      </w:r>
      <w:r w:rsidR="0074608C">
        <w:t xml:space="preserve">may be </w:t>
      </w:r>
      <w:r w:rsidR="002E0C9C">
        <w:t xml:space="preserve">needed, </w:t>
      </w:r>
      <w:r w:rsidR="00A94363">
        <w:t>MCBS Pulse survey data</w:t>
      </w:r>
      <w:r w:rsidRPr="00333863" w:rsidR="00333863">
        <w:t xml:space="preserve"> </w:t>
      </w:r>
      <w:r w:rsidR="0074608C">
        <w:t>would</w:t>
      </w:r>
      <w:r w:rsidRPr="00333863" w:rsidR="0074608C">
        <w:t xml:space="preserve"> </w:t>
      </w:r>
      <w:r w:rsidRPr="00333863" w:rsidR="00333863">
        <w:t xml:space="preserve">be weighted using </w:t>
      </w:r>
      <w:r w:rsidR="002E0C9C">
        <w:t xml:space="preserve">intra-panel probabilities of selection and previously </w:t>
      </w:r>
      <w:r w:rsidRPr="00333863" w:rsidR="00333863">
        <w:t>maintained nonresponse-adjusted weights</w:t>
      </w:r>
      <w:r w:rsidR="002E0C9C">
        <w:t>. However, while</w:t>
      </w:r>
      <w:r w:rsidRPr="00333863" w:rsidR="00333863">
        <w:t xml:space="preserve"> </w:t>
      </w:r>
      <w:r w:rsidR="002E0C9C">
        <w:t>these weights may be</w:t>
      </w:r>
      <w:r w:rsidRPr="00333863" w:rsidR="00333863">
        <w:t xml:space="preserve"> further adjusted based on response to </w:t>
      </w:r>
      <w:r w:rsidR="00A94363">
        <w:t>Pulse</w:t>
      </w:r>
      <w:r w:rsidRPr="00333863" w:rsidR="00333863">
        <w:t xml:space="preserve">, </w:t>
      </w:r>
      <w:r w:rsidR="002E0C9C">
        <w:t xml:space="preserve">this process may not adequately address differential response bias because of the relatively small proportion of respondents who will be eligible for each Pulse and the non-random nature of selection into each survey. </w:t>
      </w:r>
    </w:p>
    <w:p w:rsidR="0072011C" w:rsidRPr="00254509" w:rsidP="004D364D" w14:paraId="13DA2318" w14:textId="34DF13C8">
      <w:pPr>
        <w:pStyle w:val="Heading3"/>
      </w:pPr>
      <w:bookmarkStart w:id="8" w:name="_Toc220489641"/>
      <w:r w:rsidRPr="00254509">
        <w:t>B</w:t>
      </w:r>
      <w:r w:rsidRPr="00254509">
        <w:t>2.</w:t>
      </w:r>
      <w:r w:rsidR="00847070">
        <w:tab/>
      </w:r>
      <w:r w:rsidRPr="00254509">
        <w:t>Procedures for Collecting Information</w:t>
      </w:r>
      <w:bookmarkEnd w:id="8"/>
    </w:p>
    <w:p w:rsidR="003D2E47" w:rsidP="00847070" w14:paraId="1C053416" w14:textId="65B119E0">
      <w:pPr>
        <w:pStyle w:val="BodyText"/>
      </w:pPr>
      <w:r>
        <w:t>D</w:t>
      </w:r>
      <w:r w:rsidRPr="00254509">
        <w:t xml:space="preserve">ata collection under this clearance request will </w:t>
      </w:r>
      <w:r w:rsidR="006E4C38">
        <w:t xml:space="preserve">primarily </w:t>
      </w:r>
      <w:r w:rsidRPr="00254509">
        <w:t xml:space="preserve">be conducted </w:t>
      </w:r>
      <w:r w:rsidRPr="00E474C8" w:rsidR="00E474C8">
        <w:t xml:space="preserve">by phone supplemented </w:t>
      </w:r>
      <w:r w:rsidR="00296BF8">
        <w:t>with</w:t>
      </w:r>
      <w:r w:rsidRPr="00E474C8" w:rsidR="00296BF8">
        <w:t xml:space="preserve"> </w:t>
      </w:r>
      <w:r w:rsidRPr="00E474C8" w:rsidR="00E474C8">
        <w:t>in-person interviewing</w:t>
      </w:r>
      <w:r w:rsidR="007569B3">
        <w:t xml:space="preserve"> for sampled beneficiaries living in the community (e.g., household)</w:t>
      </w:r>
      <w:r w:rsidRPr="00E474C8" w:rsidR="00E474C8">
        <w:t>. Phone interviews may also be enhanced with video calling when respondents are interested and can easily access this technology</w:t>
      </w:r>
      <w:r w:rsidRPr="00254509">
        <w:t xml:space="preserve">. CMS will submit </w:t>
      </w:r>
      <w:r w:rsidR="006E4C38">
        <w:t>ICRs</w:t>
      </w:r>
      <w:r w:rsidRPr="00254509">
        <w:t xml:space="preserve"> under this generic clearance to </w:t>
      </w:r>
      <w:r w:rsidRPr="00254509" w:rsidR="000E4668">
        <w:t>OMB</w:t>
      </w:r>
      <w:r w:rsidR="000E4668">
        <w:t xml:space="preserve"> </w:t>
      </w:r>
      <w:r w:rsidR="000667BD">
        <w:t xml:space="preserve">that describe the purpose of the Pulse measures, when the specific Pulse survey will be fielded </w:t>
      </w:r>
      <w:r w:rsidRPr="00254509" w:rsidR="000E4668">
        <w:t>along</w:t>
      </w:r>
      <w:r w:rsidR="006E4C38">
        <w:t xml:space="preserve"> with </w:t>
      </w:r>
      <w:r w:rsidRPr="00254509">
        <w:t>questionnaires</w:t>
      </w:r>
      <w:r w:rsidR="000667BD">
        <w:t>, scripts</w:t>
      </w:r>
      <w:r w:rsidR="006E4C38">
        <w:t xml:space="preserve"> and any respondent materials </w:t>
      </w:r>
      <w:r w:rsidRPr="00254509">
        <w:t xml:space="preserve">in advance of </w:t>
      </w:r>
      <w:r w:rsidR="006E4C38">
        <w:t>fielding</w:t>
      </w:r>
      <w:r w:rsidRPr="00254509">
        <w:t xml:space="preserve">. </w:t>
      </w:r>
    </w:p>
    <w:p w:rsidR="00C07C6C" w:rsidP="00C07C6C" w14:paraId="6284C145" w14:textId="77777777">
      <w:pPr>
        <w:pStyle w:val="BodyText"/>
      </w:pPr>
      <w:r>
        <w:t xml:space="preserve">Pulse interviews will be </w:t>
      </w:r>
      <w:r w:rsidRPr="00F47B8C" w:rsidR="00F47B8C">
        <w:t xml:space="preserve">conducted with the beneficiary or a proxy they have selected. </w:t>
      </w:r>
      <w:r w:rsidR="00F47B8C">
        <w:t>I</w:t>
      </w:r>
      <w:r w:rsidRPr="00F47B8C" w:rsidR="00F47B8C">
        <w:t xml:space="preserve">nterviewers will administer </w:t>
      </w:r>
      <w:r>
        <w:t xml:space="preserve">Pulse questions </w:t>
      </w:r>
      <w:r w:rsidRPr="00F47B8C" w:rsidR="00F47B8C">
        <w:t>as a one-time survey</w:t>
      </w:r>
      <w:r w:rsidR="00F47B8C">
        <w:t xml:space="preserve"> directly following the completion of their main MCBS interview</w:t>
      </w:r>
      <w:r w:rsidRPr="00F47B8C" w:rsidR="00F47B8C">
        <w:t>.</w:t>
      </w:r>
      <w:r w:rsidR="000E4668">
        <w:t xml:space="preserve"> </w:t>
      </w:r>
      <w:r w:rsidR="00425361">
        <w:t>CMS plans to use</w:t>
      </w:r>
      <w:r w:rsidRPr="00F47B8C" w:rsidR="00F47B8C">
        <w:t xml:space="preserve"> </w:t>
      </w:r>
      <w:r w:rsidRPr="00F47B8C" w:rsidR="00F47B8C">
        <w:t>Voxco</w:t>
      </w:r>
      <w:r w:rsidRPr="00F47B8C" w:rsidR="00F47B8C">
        <w:t>, a software platform well-suited for computer assisted interviewing</w:t>
      </w:r>
      <w:r w:rsidR="00E94A28">
        <w:t>,</w:t>
      </w:r>
      <w:r w:rsidRPr="00F47B8C" w:rsidR="00F47B8C">
        <w:t xml:space="preserve"> </w:t>
      </w:r>
      <w:r w:rsidR="00425361">
        <w:t xml:space="preserve">for </w:t>
      </w:r>
      <w:r w:rsidR="00425361">
        <w:t>programming of</w:t>
      </w:r>
      <w:r w:rsidR="00425361">
        <w:t xml:space="preserve"> Pulse survey questions. The questions</w:t>
      </w:r>
      <w:r w:rsidR="00F47B8C">
        <w:t xml:space="preserve"> </w:t>
      </w:r>
      <w:r w:rsidRPr="00F47B8C" w:rsidR="00F47B8C">
        <w:t xml:space="preserve">will be administered by </w:t>
      </w:r>
      <w:r w:rsidR="00425361">
        <w:t xml:space="preserve">the same </w:t>
      </w:r>
      <w:r w:rsidRPr="00F47B8C" w:rsidR="00F47B8C">
        <w:t xml:space="preserve">trained interviewers </w:t>
      </w:r>
      <w:r w:rsidR="00425361">
        <w:t xml:space="preserve">who are conducting the full MCBS data collection. While the interviewers use laptops </w:t>
      </w:r>
      <w:r w:rsidR="00D32394">
        <w:t xml:space="preserve">programmed for the full MCBS </w:t>
      </w:r>
      <w:r w:rsidR="00425361">
        <w:t>for MCBS administration, they will use A</w:t>
      </w:r>
      <w:r w:rsidRPr="00F47B8C" w:rsidR="00F47B8C">
        <w:t xml:space="preserve">ndroid tablets </w:t>
      </w:r>
      <w:r w:rsidR="00425361">
        <w:t xml:space="preserve">for Pulse survey administration. The </w:t>
      </w:r>
      <w:r w:rsidR="00425361">
        <w:t xml:space="preserve">interviewers are deft in integrating both technology solutions during a given interview and have demonstrated in many other projects ease of shifting from their laptop to the tablet. </w:t>
      </w:r>
      <w:r w:rsidRPr="00F47B8C" w:rsidR="00F47B8C">
        <w:t xml:space="preserve">Key technology benefits of using </w:t>
      </w:r>
      <w:r w:rsidRPr="00F47B8C" w:rsidR="00F47B8C">
        <w:t>Voxco</w:t>
      </w:r>
      <w:r w:rsidRPr="00F47B8C" w:rsidR="00F47B8C">
        <w:t xml:space="preserve"> </w:t>
      </w:r>
      <w:r w:rsidRPr="00F47B8C" w:rsidR="000E4668">
        <w:t>include</w:t>
      </w:r>
      <w:r w:rsidRPr="00F47B8C" w:rsidR="00F47B8C">
        <w:t xml:space="preserve"> programming that fully utilizes sophisticated logic checks, </w:t>
      </w:r>
      <w:r w:rsidRPr="00F47B8C" w:rsidR="00F47B8C">
        <w:t>skip</w:t>
      </w:r>
      <w:r w:rsidRPr="00F47B8C" w:rsidR="00F47B8C">
        <w:t xml:space="preserve"> patterns, and text fills to ease question administration and reduce respondent burden by shortening the interview.</w:t>
      </w:r>
    </w:p>
    <w:p w:rsidR="0072011C" w:rsidRPr="00254509" w:rsidP="00C07C6C" w14:paraId="5EC38072" w14:textId="6D1BE749">
      <w:pPr>
        <w:pStyle w:val="Heading3"/>
        <w:spacing w:after="120"/>
      </w:pPr>
      <w:bookmarkStart w:id="9" w:name="_Toc220489642"/>
      <w:r w:rsidRPr="00254509">
        <w:t>B</w:t>
      </w:r>
      <w:r w:rsidR="00847070">
        <w:t>3.</w:t>
      </w:r>
      <w:r w:rsidR="00847070">
        <w:tab/>
      </w:r>
      <w:r w:rsidRPr="00254509">
        <w:t>Methods to Maximize Response</w:t>
      </w:r>
      <w:bookmarkEnd w:id="9"/>
    </w:p>
    <w:p w:rsidR="0072011C" w:rsidRPr="00254509" w:rsidP="00847070" w14:paraId="29786970" w14:textId="6DA9F81A">
      <w:pPr>
        <w:pStyle w:val="BodyText"/>
      </w:pPr>
      <w:r w:rsidRPr="000E4668">
        <w:t xml:space="preserve">As </w:t>
      </w:r>
      <w:r>
        <w:t xml:space="preserve">also </w:t>
      </w:r>
      <w:r w:rsidRPr="000E4668">
        <w:t xml:space="preserve">explained in the main MCBS clearance package (0938-0568, expiration </w:t>
      </w:r>
      <w:r w:rsidRPr="00764873" w:rsidR="00764873">
        <w:t>01/31/2029</w:t>
      </w:r>
      <w:r w:rsidRPr="000E4668">
        <w:t xml:space="preserve">), </w:t>
      </w:r>
      <w:r w:rsidR="00680914">
        <w:t>well-honed</w:t>
      </w:r>
      <w:r>
        <w:t xml:space="preserve"> </w:t>
      </w:r>
      <w:r w:rsidR="00A323D6">
        <w:t xml:space="preserve">MCBS methods for maximizing response rates </w:t>
      </w:r>
      <w:r w:rsidR="001B6EDA">
        <w:t>with existing MCBS participants</w:t>
      </w:r>
      <w:r>
        <w:t xml:space="preserve"> are regularly used. For Pulse surveys, </w:t>
      </w:r>
      <w:r w:rsidR="00D84EC3">
        <w:t xml:space="preserve">interviewers will administer </w:t>
      </w:r>
      <w:r>
        <w:t>a brief transition script to obtain respondent consent to continue with the last few minutes of their interview. MCBS interviewers have experience with transition scripts</w:t>
      </w:r>
      <w:r w:rsidR="00675164">
        <w:t>,</w:t>
      </w:r>
      <w:r>
        <w:t xml:space="preserve"> and prior </w:t>
      </w:r>
      <w:r w:rsidR="0005394C">
        <w:t xml:space="preserve">experience </w:t>
      </w:r>
      <w:r w:rsidR="00837708">
        <w:t>indicates</w:t>
      </w:r>
      <w:r>
        <w:t xml:space="preserve"> </w:t>
      </w:r>
      <w:r w:rsidR="00680914">
        <w:t>most</w:t>
      </w:r>
      <w:r>
        <w:t xml:space="preserve"> respondents will agree to a </w:t>
      </w:r>
      <w:r w:rsidR="00D32394">
        <w:t xml:space="preserve">few </w:t>
      </w:r>
      <w:r>
        <w:t>final questions. The design of the Pulse survey benefits from administering the Pulse questions immediately following the MCBS interview for a given round. Because of the rapport interviewers establish with respondents</w:t>
      </w:r>
      <w:r w:rsidR="00680914">
        <w:t xml:space="preserve">, </w:t>
      </w:r>
      <w:r w:rsidR="006E3570">
        <w:t xml:space="preserve">CMS </w:t>
      </w:r>
      <w:r w:rsidR="00680914">
        <w:t>anticipate</w:t>
      </w:r>
      <w:r w:rsidR="006E3570">
        <w:t>s</w:t>
      </w:r>
      <w:r w:rsidR="00680914">
        <w:t xml:space="preserve"> that Pulse questions will be readily answered. Detailed metrics will be tracked on respondents who choose not to continue with Pulse questions to determine what changes if any are needed in the methods to gain their cooperation. </w:t>
      </w:r>
    </w:p>
    <w:p w:rsidR="0072011C" w:rsidRPr="00254509" w:rsidP="004D364D" w14:paraId="25EF4401" w14:textId="66B41F3E">
      <w:pPr>
        <w:pStyle w:val="Heading3"/>
      </w:pPr>
      <w:bookmarkStart w:id="10" w:name="_Toc220489643"/>
      <w:r w:rsidRPr="00254509">
        <w:t>B</w:t>
      </w:r>
      <w:r w:rsidR="00847070">
        <w:t>4.</w:t>
      </w:r>
      <w:r w:rsidR="00847070">
        <w:tab/>
      </w:r>
      <w:r w:rsidRPr="00254509">
        <w:t>Testing of Procedures</w:t>
      </w:r>
      <w:bookmarkEnd w:id="10"/>
    </w:p>
    <w:p w:rsidR="000B0552" w:rsidP="00847070" w14:paraId="023AD5FA" w14:textId="4F6105B9">
      <w:pPr>
        <w:pStyle w:val="BodyText"/>
      </w:pPr>
      <w:r w:rsidRPr="00254509">
        <w:t xml:space="preserve">This submission is a request for </w:t>
      </w:r>
      <w:r w:rsidR="00680914">
        <w:t xml:space="preserve">a generic clearance to conduct short Pulse surveys immediately following the conclusion of MCBS data collection. Pulse questions may </w:t>
      </w:r>
      <w:r w:rsidRPr="00166519" w:rsidR="00166519">
        <w:t xml:space="preserve">inform early question development for potential future topics in the </w:t>
      </w:r>
      <w:r w:rsidRPr="00166519" w:rsidR="00837708">
        <w:t>MCBS</w:t>
      </w:r>
      <w:r w:rsidR="00837708">
        <w:t xml:space="preserve"> and</w:t>
      </w:r>
      <w:r w:rsidR="00166519">
        <w:t xml:space="preserve"> </w:t>
      </w:r>
      <w:r w:rsidRPr="00166519" w:rsidR="00166519">
        <w:t xml:space="preserve">provide CMS stakeholders with timely views from the Medicare population on current topics of interest or feedback on the program. </w:t>
      </w:r>
      <w:r w:rsidR="00166519">
        <w:t xml:space="preserve">Similar research has recently been conducted under the existing MCBS generic clearance </w:t>
      </w:r>
      <w:r w:rsidRPr="00166519" w:rsidR="00166519">
        <w:t>0938-1275</w:t>
      </w:r>
      <w:r w:rsidR="00166519">
        <w:t>. The test conducted (</w:t>
      </w:r>
      <w:r w:rsidRPr="00166519" w:rsidR="00166519">
        <w:t>Test of the MCBS Pulse Supplement: Beneficiary Trust</w:t>
      </w:r>
      <w:r w:rsidR="00BA7B66">
        <w:t xml:space="preserve"> </w:t>
      </w:r>
      <w:r w:rsidR="00BA7B66">
        <w:t>GenIC</w:t>
      </w:r>
      <w:r w:rsidR="00BA7B66">
        <w:t xml:space="preserve"> #8</w:t>
      </w:r>
      <w:r w:rsidR="00166519">
        <w:t xml:space="preserve">) differed in </w:t>
      </w:r>
      <w:r w:rsidR="00837708">
        <w:t>methodology but</w:t>
      </w:r>
      <w:r w:rsidR="00166519">
        <w:t xml:space="preserve"> had similar goals and was administered with success to current and former MCBS respondents using the </w:t>
      </w:r>
      <w:r w:rsidR="00166519">
        <w:t>Voxco</w:t>
      </w:r>
      <w:r w:rsidR="00166519">
        <w:t xml:space="preserve"> survey platform. </w:t>
      </w:r>
    </w:p>
    <w:p w:rsidR="00903BD1" w:rsidP="00847070" w14:paraId="334BDE26" w14:textId="5302E3DB">
      <w:pPr>
        <w:pStyle w:val="BodyText"/>
      </w:pPr>
      <w:r w:rsidRPr="00A24ACD">
        <w:t>All Pulse data will be made available to CMS decision-makers for internal program planning and operational decision-making. Analysis will be conducted at the item level and by merging Pulse responses with other key MCBS variables (such as demographics and health status information) to provide comprehensive, stratified insights.</w:t>
      </w:r>
      <w:r>
        <w:t xml:space="preserve"> </w:t>
      </w:r>
      <w:r w:rsidR="00B3674A">
        <w:rPr>
          <w:rFonts w:cs="Times New Roman"/>
        </w:rPr>
        <w:t xml:space="preserve">Unweighted data will primarily be used by internal decision-makers to glean insights on program direction or development. </w:t>
      </w:r>
      <w:r w:rsidRPr="00903BD1">
        <w:t xml:space="preserve">Assessments of the quality will be performed for each </w:t>
      </w:r>
      <w:r>
        <w:t xml:space="preserve">Pulse survey </w:t>
      </w:r>
      <w:r w:rsidRPr="00903BD1">
        <w:t>data collection and will include evaluations of sample size</w:t>
      </w:r>
      <w:r w:rsidR="0005394C">
        <w:t xml:space="preserve"> and</w:t>
      </w:r>
      <w:r w:rsidRPr="00903BD1">
        <w:t xml:space="preserve"> response rates</w:t>
      </w:r>
      <w:r w:rsidR="00B3674A">
        <w:t xml:space="preserve">. If population-level inferences are being made, CMS will also assess weighting and calculations of base of the selected variables. </w:t>
      </w:r>
    </w:p>
    <w:p w:rsidR="0072011C" w:rsidRPr="00254509" w:rsidP="00006EB4" w14:paraId="0B07FCE1" w14:textId="0F309289">
      <w:pPr>
        <w:pStyle w:val="Heading3"/>
        <w:tabs>
          <w:tab w:val="left" w:pos="360"/>
        </w:tabs>
        <w:spacing w:after="120"/>
      </w:pPr>
      <w:bookmarkStart w:id="11" w:name="_Toc220489644"/>
      <w:r w:rsidRPr="00254509">
        <w:t>B</w:t>
      </w:r>
      <w:r w:rsidR="00847070">
        <w:t>5.</w:t>
      </w:r>
      <w:r w:rsidR="004D364D">
        <w:tab/>
      </w:r>
      <w:r w:rsidR="00847070">
        <w:tab/>
      </w:r>
      <w:r w:rsidRPr="00006EB4" w:rsidR="000B0552">
        <w:rPr>
          <w:spacing w:val="-4"/>
        </w:rPr>
        <w:t>Individuals Consulted on</w:t>
      </w:r>
      <w:r w:rsidRPr="00006EB4">
        <w:rPr>
          <w:spacing w:val="-4"/>
        </w:rPr>
        <w:t xml:space="preserve"> </w:t>
      </w:r>
      <w:r w:rsidRPr="00006EB4" w:rsidR="000B0552">
        <w:rPr>
          <w:spacing w:val="-4"/>
        </w:rPr>
        <w:t>Statistical Aspects and Individuals Collecting/Analyzing Data</w:t>
      </w:r>
      <w:bookmarkEnd w:id="11"/>
    </w:p>
    <w:p w:rsidR="0048683F" w:rsidRPr="0048683F" w:rsidP="00006EB4" w14:paraId="71F98114" w14:textId="721A33C2">
      <w:pPr>
        <w:pStyle w:val="BodyText"/>
        <w:spacing w:before="0" w:after="40"/>
        <w:rPr>
          <w:rFonts w:cs="Times New Roman"/>
        </w:rPr>
      </w:pPr>
      <w:r>
        <w:rPr>
          <w:rFonts w:cs="Times New Roman"/>
        </w:rPr>
        <w:t xml:space="preserve">Susan Paddock, </w:t>
      </w:r>
      <w:r w:rsidRPr="0005394C">
        <w:rPr>
          <w:rFonts w:cs="Times New Roman"/>
        </w:rPr>
        <w:t>Executive Vice President &amp; Chief Scientist</w:t>
      </w:r>
    </w:p>
    <w:p w:rsidR="0048683F" w:rsidRPr="00A16A24" w:rsidP="00006EB4" w14:paraId="0BD9DDF8" w14:textId="77777777">
      <w:pPr>
        <w:pStyle w:val="BodyText"/>
        <w:spacing w:before="0" w:after="40"/>
        <w:rPr>
          <w:rFonts w:cs="Times New Roman"/>
        </w:rPr>
      </w:pPr>
      <w:r w:rsidRPr="0048683F">
        <w:rPr>
          <w:rFonts w:cs="Times New Roman"/>
        </w:rPr>
        <w:t>N</w:t>
      </w:r>
      <w:r w:rsidRPr="00A16A24">
        <w:rPr>
          <w:rFonts w:cs="Times New Roman"/>
        </w:rPr>
        <w:t xml:space="preserve">ORC at the University of Chicago </w:t>
      </w:r>
    </w:p>
    <w:p w:rsidR="0048683F" w:rsidRPr="00A16A24" w:rsidP="00006EB4" w14:paraId="402536C1" w14:textId="4EA77ABC">
      <w:pPr>
        <w:pStyle w:val="BodyText"/>
        <w:spacing w:before="0" w:after="40"/>
        <w:rPr>
          <w:rFonts w:cs="Times New Roman"/>
        </w:rPr>
      </w:pPr>
      <w:r w:rsidRPr="00A16A24">
        <w:rPr>
          <w:rFonts w:cs="Times New Roman"/>
        </w:rPr>
        <w:t>55 East Monroe Street, 30th Floor</w:t>
      </w:r>
    </w:p>
    <w:p w:rsidR="0048683F" w:rsidRPr="00A16A24" w:rsidP="00006EB4" w14:paraId="6EB264C6" w14:textId="28A1B25E">
      <w:pPr>
        <w:pStyle w:val="BodyText"/>
        <w:spacing w:before="0" w:after="40"/>
        <w:rPr>
          <w:rFonts w:cs="Times New Roman"/>
        </w:rPr>
      </w:pPr>
      <w:r w:rsidRPr="00A16A24">
        <w:rPr>
          <w:rFonts w:cs="Times New Roman"/>
        </w:rPr>
        <w:t>Chicago IL 60603</w:t>
      </w:r>
    </w:p>
    <w:p w:rsidR="0048683F" w:rsidRPr="00A16A24" w:rsidP="00006EB4" w14:paraId="4CD0F7E4" w14:textId="6930B1B7">
      <w:pPr>
        <w:pStyle w:val="BodyText"/>
        <w:spacing w:before="0" w:after="40"/>
        <w:rPr>
          <w:rFonts w:cs="Times New Roman"/>
        </w:rPr>
      </w:pPr>
      <w:r w:rsidRPr="00A16A24">
        <w:rPr>
          <w:rFonts w:cs="Times New Roman"/>
        </w:rPr>
        <w:t>(312) 759-2670</w:t>
      </w:r>
    </w:p>
    <w:p w:rsidR="0048683F" w:rsidRPr="00A16A24" w:rsidP="00006EB4" w14:paraId="07C2B854" w14:textId="2728DE2F">
      <w:pPr>
        <w:pStyle w:val="BodyText"/>
        <w:spacing w:before="0" w:after="40"/>
        <w:rPr>
          <w:rFonts w:cs="Times New Roman"/>
        </w:rPr>
      </w:pPr>
      <w:hyperlink r:id="rId6" w:tooltip="Email for Susan Paddock" w:history="1">
        <w:r w:rsidRPr="00A16A24">
          <w:rPr>
            <w:rStyle w:val="Hyperlink"/>
            <w:color w:val="auto"/>
          </w:rPr>
          <w:t>paddock-susan@norc.org</w:t>
        </w:r>
      </w:hyperlink>
      <w:r w:rsidRPr="00A16A24">
        <w:t xml:space="preserve"> </w:t>
      </w:r>
    </w:p>
    <w:sectPr w:rsidSect="001B7188">
      <w:footerReference w:type="even" r:id="rId7"/>
      <w:footerReference w:type="default" r:id="rId8"/>
      <w:type w:val="continuous"/>
      <w:pgSz w:w="12240" w:h="15840"/>
      <w:pgMar w:top="1152" w:right="1440" w:bottom="153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0552" w:rsidP="00317F8B" w14:paraId="756DEB8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B0552" w14:paraId="14F1B27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7070" w:rsidP="00847070" w14:paraId="2BEB8CBD" w14:textId="37B3C8D0">
    <w:pPr>
      <w:pStyle w:val="Footer"/>
      <w:jc w:val="center"/>
    </w:pPr>
    <w:r>
      <w:fldChar w:fldCharType="begin"/>
    </w:r>
    <w:r>
      <w:instrText xml:space="preserve"> PAGE   \* MERGEFORMAT </w:instrText>
    </w:r>
    <w:r>
      <w:fldChar w:fldCharType="separate"/>
    </w:r>
    <w:r w:rsidR="00F6179C">
      <w:rPr>
        <w:noProof/>
      </w:rPr>
      <w:t>8</w:t>
    </w:r>
    <w:r>
      <w:rPr>
        <w:noProof/>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EF567842"/>
    <w:lvl w:ilvl="0">
      <w:start w:val="1"/>
      <w:numFmt w:val="decimal"/>
      <w:lvlText w:val="%1."/>
      <w:lvlJc w:val="left"/>
      <w:pPr>
        <w:tabs>
          <w:tab w:val="num" w:pos="1800"/>
        </w:tabs>
        <w:ind w:left="1800" w:hanging="360"/>
      </w:pPr>
    </w:lvl>
  </w:abstractNum>
  <w:abstractNum w:abstractNumId="1">
    <w:nsid w:val="FFFFFF7D"/>
    <w:multiLevelType w:val="singleLevel"/>
    <w:tmpl w:val="1C8EEAD0"/>
    <w:lvl w:ilvl="0">
      <w:start w:val="1"/>
      <w:numFmt w:val="decimal"/>
      <w:lvlText w:val="%1."/>
      <w:lvlJc w:val="left"/>
      <w:pPr>
        <w:tabs>
          <w:tab w:val="num" w:pos="1440"/>
        </w:tabs>
        <w:ind w:left="1440" w:hanging="360"/>
      </w:pPr>
    </w:lvl>
  </w:abstractNum>
  <w:abstractNum w:abstractNumId="2">
    <w:nsid w:val="FFFFFF7E"/>
    <w:multiLevelType w:val="singleLevel"/>
    <w:tmpl w:val="B93E3672"/>
    <w:lvl w:ilvl="0">
      <w:start w:val="1"/>
      <w:numFmt w:val="decimal"/>
      <w:lvlText w:val="%1."/>
      <w:lvlJc w:val="left"/>
      <w:pPr>
        <w:tabs>
          <w:tab w:val="num" w:pos="1080"/>
        </w:tabs>
        <w:ind w:left="1080" w:hanging="360"/>
      </w:pPr>
    </w:lvl>
  </w:abstractNum>
  <w:abstractNum w:abstractNumId="3">
    <w:nsid w:val="FFFFFF7F"/>
    <w:multiLevelType w:val="singleLevel"/>
    <w:tmpl w:val="814A83C6"/>
    <w:lvl w:ilvl="0">
      <w:start w:val="1"/>
      <w:numFmt w:val="decimal"/>
      <w:lvlText w:val="%1."/>
      <w:lvlJc w:val="left"/>
      <w:pPr>
        <w:tabs>
          <w:tab w:val="num" w:pos="720"/>
        </w:tabs>
        <w:ind w:left="720" w:hanging="360"/>
      </w:pPr>
    </w:lvl>
  </w:abstractNum>
  <w:abstractNum w:abstractNumId="4">
    <w:nsid w:val="FFFFFF80"/>
    <w:multiLevelType w:val="singleLevel"/>
    <w:tmpl w:val="DDDAA76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3F20A6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9BA16B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1B05F6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D6A6970"/>
    <w:lvl w:ilvl="0">
      <w:start w:val="1"/>
      <w:numFmt w:val="decimal"/>
      <w:lvlText w:val="%1."/>
      <w:lvlJc w:val="left"/>
      <w:pPr>
        <w:tabs>
          <w:tab w:val="num" w:pos="360"/>
        </w:tabs>
        <w:ind w:left="360" w:hanging="360"/>
      </w:pPr>
    </w:lvl>
  </w:abstractNum>
  <w:abstractNum w:abstractNumId="9">
    <w:nsid w:val="FFFFFF89"/>
    <w:multiLevelType w:val="singleLevel"/>
    <w:tmpl w:val="E86E7E6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1">
    <w:nsid w:val="00000003"/>
    <w:multiLevelType w:val="multilevel"/>
    <w:tmpl w:val="00000000"/>
    <w:name w:val="AutoList5"/>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2">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3">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4">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5">
    <w:nsid w:val="186B027A"/>
    <w:multiLevelType w:val="hybridMultilevel"/>
    <w:tmpl w:val="26F8468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6">
    <w:nsid w:val="18801594"/>
    <w:multiLevelType w:val="hybridMultilevel"/>
    <w:tmpl w:val="6E705B1E"/>
    <w:lvl w:ilvl="0">
      <w:start w:val="10"/>
      <w:numFmt w:val="decimal"/>
      <w:lvlText w:val="%1."/>
      <w:lvlJc w:val="left"/>
      <w:pPr>
        <w:tabs>
          <w:tab w:val="num" w:pos="780"/>
        </w:tabs>
        <w:ind w:left="780" w:hanging="4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1A8D3FF6"/>
    <w:multiLevelType w:val="hybridMultilevel"/>
    <w:tmpl w:val="FE602EC2"/>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24D79AF"/>
    <w:multiLevelType w:val="hybridMultilevel"/>
    <w:tmpl w:val="133089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35301D81"/>
    <w:multiLevelType w:val="hybridMultilevel"/>
    <w:tmpl w:val="4E9E8B8E"/>
    <w:lvl w:ilvl="0">
      <w:start w:val="1"/>
      <w:numFmt w:val="decimal"/>
      <w:lvlText w:val="%1)"/>
      <w:lvlJc w:val="left"/>
      <w:pPr>
        <w:ind w:left="360" w:hanging="261"/>
      </w:pPr>
      <w:rPr>
        <w:rFonts w:ascii="Times New Roman" w:eastAsia="Times New Roman" w:hAnsi="Times New Roman" w:cs="Times New Roman" w:hint="default"/>
        <w:spacing w:val="-2"/>
        <w:w w:val="99"/>
        <w:sz w:val="24"/>
        <w:szCs w:val="24"/>
      </w:rPr>
    </w:lvl>
    <w:lvl w:ilvl="1">
      <w:start w:val="0"/>
      <w:numFmt w:val="bullet"/>
      <w:lvlText w:val="•"/>
      <w:lvlJc w:val="left"/>
      <w:pPr>
        <w:ind w:left="1151" w:hanging="260"/>
      </w:pPr>
      <w:rPr>
        <w:rFonts w:ascii="Times New Roman" w:eastAsia="Times New Roman" w:hAnsi="Times New Roman" w:cs="Times New Roman" w:hint="default"/>
        <w:w w:val="99"/>
        <w:sz w:val="24"/>
        <w:szCs w:val="24"/>
      </w:rPr>
    </w:lvl>
    <w:lvl w:ilvl="2">
      <w:start w:val="0"/>
      <w:numFmt w:val="bullet"/>
      <w:lvlText w:val="•"/>
      <w:lvlJc w:val="left"/>
      <w:pPr>
        <w:ind w:left="2117" w:hanging="260"/>
      </w:pPr>
      <w:rPr>
        <w:rFonts w:hint="default"/>
      </w:rPr>
    </w:lvl>
    <w:lvl w:ilvl="3">
      <w:start w:val="0"/>
      <w:numFmt w:val="bullet"/>
      <w:lvlText w:val="•"/>
      <w:lvlJc w:val="left"/>
      <w:pPr>
        <w:ind w:left="3075" w:hanging="260"/>
      </w:pPr>
      <w:rPr>
        <w:rFonts w:hint="default"/>
      </w:rPr>
    </w:lvl>
    <w:lvl w:ilvl="4">
      <w:start w:val="0"/>
      <w:numFmt w:val="bullet"/>
      <w:lvlText w:val="•"/>
      <w:lvlJc w:val="left"/>
      <w:pPr>
        <w:ind w:left="4033" w:hanging="260"/>
      </w:pPr>
      <w:rPr>
        <w:rFonts w:hint="default"/>
      </w:rPr>
    </w:lvl>
    <w:lvl w:ilvl="5">
      <w:start w:val="0"/>
      <w:numFmt w:val="bullet"/>
      <w:lvlText w:val="•"/>
      <w:lvlJc w:val="left"/>
      <w:pPr>
        <w:ind w:left="4991" w:hanging="260"/>
      </w:pPr>
      <w:rPr>
        <w:rFonts w:hint="default"/>
      </w:rPr>
    </w:lvl>
    <w:lvl w:ilvl="6">
      <w:start w:val="0"/>
      <w:numFmt w:val="bullet"/>
      <w:lvlText w:val="•"/>
      <w:lvlJc w:val="left"/>
      <w:pPr>
        <w:ind w:left="5948" w:hanging="260"/>
      </w:pPr>
      <w:rPr>
        <w:rFonts w:hint="default"/>
      </w:rPr>
    </w:lvl>
    <w:lvl w:ilvl="7">
      <w:start w:val="0"/>
      <w:numFmt w:val="bullet"/>
      <w:lvlText w:val="•"/>
      <w:lvlJc w:val="left"/>
      <w:pPr>
        <w:ind w:left="6906" w:hanging="260"/>
      </w:pPr>
      <w:rPr>
        <w:rFonts w:hint="default"/>
      </w:rPr>
    </w:lvl>
    <w:lvl w:ilvl="8">
      <w:start w:val="0"/>
      <w:numFmt w:val="bullet"/>
      <w:lvlText w:val="•"/>
      <w:lvlJc w:val="left"/>
      <w:pPr>
        <w:ind w:left="7864" w:hanging="260"/>
      </w:pPr>
      <w:rPr>
        <w:rFonts w:hint="default"/>
      </w:rPr>
    </w:lvl>
  </w:abstractNum>
  <w:abstractNum w:abstractNumId="20">
    <w:nsid w:val="37AD1BC9"/>
    <w:multiLevelType w:val="hybridMultilevel"/>
    <w:tmpl w:val="470E606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FB36ABC"/>
    <w:multiLevelType w:val="hybridMultilevel"/>
    <w:tmpl w:val="9C14579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3A34D70"/>
    <w:multiLevelType w:val="hybridMultilevel"/>
    <w:tmpl w:val="4130455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79E234C"/>
    <w:multiLevelType w:val="hybridMultilevel"/>
    <w:tmpl w:val="9CD41B62"/>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8F505AA"/>
    <w:multiLevelType w:val="hybridMultilevel"/>
    <w:tmpl w:val="D272DDA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04D4112"/>
    <w:multiLevelType w:val="hybridMultilevel"/>
    <w:tmpl w:val="B3ECD94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29246F3"/>
    <w:multiLevelType w:val="hybridMultilevel"/>
    <w:tmpl w:val="11C4CCFA"/>
    <w:lvl w:ilvl="0">
      <w:start w:val="1"/>
      <w:numFmt w:val="bullet"/>
      <w:lvlText w:val=""/>
      <w:lvlJc w:val="left"/>
      <w:pPr>
        <w:tabs>
          <w:tab w:val="num" w:pos="360"/>
        </w:tabs>
        <w:ind w:left="360" w:hanging="360"/>
      </w:pPr>
      <w:rPr>
        <w:rFonts w:ascii="Symbol" w:eastAsia="Times New Roman" w:hAnsi="Symbol" w:cs="Aria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nsid w:val="6D3A2331"/>
    <w:multiLevelType w:val="hybridMultilevel"/>
    <w:tmpl w:val="B740A6C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E3F39C3"/>
    <w:multiLevelType w:val="hybridMultilevel"/>
    <w:tmpl w:val="ACD4D17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738D3744"/>
    <w:multiLevelType w:val="hybridMultilevel"/>
    <w:tmpl w:val="DB7829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A96229A"/>
    <w:multiLevelType w:val="multilevel"/>
    <w:tmpl w:val="38FE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BA8232E"/>
    <w:multiLevelType w:val="hybridMultilevel"/>
    <w:tmpl w:val="CBB469D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772677016">
    <w:abstractNumId w:val="1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16cid:durableId="1797596735">
    <w:abstractNumId w:val="11"/>
    <w:lvlOverride w:ilvl="0">
      <w:startOverride w:val="10"/>
      <w:lvl w:ilvl="0">
        <w:start w:val="10"/>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16cid:durableId="584846894">
    <w:abstractNumId w:val="11"/>
    <w:lvlOverride w:ilvl="0">
      <w:startOverride w:val="10"/>
      <w:lvl w:ilvl="0">
        <w:start w:val="10"/>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16cid:durableId="1190606954">
    <w:abstractNumId w:val="1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738819618">
    <w:abstractNumId w:val="1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16cid:durableId="1372538875">
    <w:abstractNumId w:val="14"/>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16cid:durableId="1945382763">
    <w:abstractNumId w:val="24"/>
  </w:num>
  <w:num w:numId="8" w16cid:durableId="1975215507">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16cid:durableId="526871102">
    <w:abstractNumId w:val="16"/>
  </w:num>
  <w:num w:numId="10" w16cid:durableId="1793742745">
    <w:abstractNumId w:val="26"/>
  </w:num>
  <w:num w:numId="11" w16cid:durableId="924732050">
    <w:abstractNumId w:val="21"/>
  </w:num>
  <w:num w:numId="12" w16cid:durableId="281957634">
    <w:abstractNumId w:val="17"/>
  </w:num>
  <w:num w:numId="13" w16cid:durableId="1734111533">
    <w:abstractNumId w:val="23"/>
  </w:num>
  <w:num w:numId="14" w16cid:durableId="1924800288">
    <w:abstractNumId w:val="28"/>
  </w:num>
  <w:num w:numId="15" w16cid:durableId="1479348376">
    <w:abstractNumId w:val="15"/>
  </w:num>
  <w:num w:numId="16" w16cid:durableId="402917242">
    <w:abstractNumId w:val="31"/>
  </w:num>
  <w:num w:numId="17" w16cid:durableId="994603385">
    <w:abstractNumId w:val="25"/>
  </w:num>
  <w:num w:numId="18" w16cid:durableId="593132613">
    <w:abstractNumId w:val="22"/>
  </w:num>
  <w:num w:numId="19" w16cid:durableId="1305084664">
    <w:abstractNumId w:val="20"/>
  </w:num>
  <w:num w:numId="20" w16cid:durableId="619150625">
    <w:abstractNumId w:val="27"/>
  </w:num>
  <w:num w:numId="21" w16cid:durableId="1571232388">
    <w:abstractNumId w:val="18"/>
  </w:num>
  <w:num w:numId="22" w16cid:durableId="1398212782">
    <w:abstractNumId w:val="19"/>
  </w:num>
  <w:num w:numId="23" w16cid:durableId="1440562303">
    <w:abstractNumId w:val="0"/>
  </w:num>
  <w:num w:numId="24" w16cid:durableId="461505984">
    <w:abstractNumId w:val="2"/>
  </w:num>
  <w:num w:numId="25" w16cid:durableId="883951564">
    <w:abstractNumId w:val="1"/>
  </w:num>
  <w:num w:numId="26" w16cid:durableId="722993642">
    <w:abstractNumId w:val="8"/>
  </w:num>
  <w:num w:numId="27" w16cid:durableId="301466618">
    <w:abstractNumId w:val="3"/>
  </w:num>
  <w:num w:numId="28" w16cid:durableId="380249977">
    <w:abstractNumId w:val="4"/>
  </w:num>
  <w:num w:numId="29" w16cid:durableId="1902132294">
    <w:abstractNumId w:val="6"/>
  </w:num>
  <w:num w:numId="30" w16cid:durableId="298220989">
    <w:abstractNumId w:val="5"/>
  </w:num>
  <w:num w:numId="31" w16cid:durableId="257178796">
    <w:abstractNumId w:val="7"/>
  </w:num>
  <w:num w:numId="32" w16cid:durableId="1340035646">
    <w:abstractNumId w:val="9"/>
  </w:num>
  <w:num w:numId="33" w16cid:durableId="1811246630">
    <w:abstractNumId w:val="29"/>
  </w:num>
  <w:num w:numId="34" w16cid:durableId="154213088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804" w:allStyles="0" w:alternateStyleNames="0" w:clearFormatting="1" w:customStyles="0" w:directFormattingOnNumbering="0" w:directFormattingOnParagraphs="0" w:directFormattingOnRuns="0" w:directFormattingOnTables="1" w:headingStyles="0" w:latentStyles="1" w:numberingStyles="0" w:stylesInUse="0" w:tableStyles="0" w:top3HeadingStyles="1" w:visibleStyles="0"/>
  <w:stylePaneSortMethod w:val="nam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F8B"/>
    <w:rsid w:val="0000091D"/>
    <w:rsid w:val="00005BBF"/>
    <w:rsid w:val="00006EB4"/>
    <w:rsid w:val="00006F5E"/>
    <w:rsid w:val="0001365B"/>
    <w:rsid w:val="000169BF"/>
    <w:rsid w:val="00020CF1"/>
    <w:rsid w:val="000243AA"/>
    <w:rsid w:val="000259DE"/>
    <w:rsid w:val="0002612E"/>
    <w:rsid w:val="00032A7B"/>
    <w:rsid w:val="000368FD"/>
    <w:rsid w:val="00047045"/>
    <w:rsid w:val="0005394C"/>
    <w:rsid w:val="00053FC7"/>
    <w:rsid w:val="000667BD"/>
    <w:rsid w:val="00070423"/>
    <w:rsid w:val="00070FB2"/>
    <w:rsid w:val="000828FB"/>
    <w:rsid w:val="00091D70"/>
    <w:rsid w:val="000A06F6"/>
    <w:rsid w:val="000A2FF3"/>
    <w:rsid w:val="000A7736"/>
    <w:rsid w:val="000B0552"/>
    <w:rsid w:val="000B140D"/>
    <w:rsid w:val="000B47A6"/>
    <w:rsid w:val="000D452E"/>
    <w:rsid w:val="000D7515"/>
    <w:rsid w:val="000E3D08"/>
    <w:rsid w:val="000E4668"/>
    <w:rsid w:val="000E4E37"/>
    <w:rsid w:val="000F4ED7"/>
    <w:rsid w:val="000F5541"/>
    <w:rsid w:val="001116B2"/>
    <w:rsid w:val="00111AF4"/>
    <w:rsid w:val="00115FC4"/>
    <w:rsid w:val="0011704C"/>
    <w:rsid w:val="00133BDA"/>
    <w:rsid w:val="001376B2"/>
    <w:rsid w:val="00140D9B"/>
    <w:rsid w:val="001414C6"/>
    <w:rsid w:val="00144FAB"/>
    <w:rsid w:val="0014649A"/>
    <w:rsid w:val="00153963"/>
    <w:rsid w:val="001577A3"/>
    <w:rsid w:val="00166519"/>
    <w:rsid w:val="00167A2B"/>
    <w:rsid w:val="00170E63"/>
    <w:rsid w:val="001756C0"/>
    <w:rsid w:val="00177C33"/>
    <w:rsid w:val="00177F94"/>
    <w:rsid w:val="00185133"/>
    <w:rsid w:val="00190617"/>
    <w:rsid w:val="00190A96"/>
    <w:rsid w:val="00192008"/>
    <w:rsid w:val="001926C8"/>
    <w:rsid w:val="00197C4A"/>
    <w:rsid w:val="001A58F6"/>
    <w:rsid w:val="001B1D29"/>
    <w:rsid w:val="001B6EDA"/>
    <w:rsid w:val="001B7188"/>
    <w:rsid w:val="001C475E"/>
    <w:rsid w:val="001C66B5"/>
    <w:rsid w:val="001D0412"/>
    <w:rsid w:val="001D5300"/>
    <w:rsid w:val="001D5B46"/>
    <w:rsid w:val="001E1B7A"/>
    <w:rsid w:val="001E278D"/>
    <w:rsid w:val="001E34F2"/>
    <w:rsid w:val="00202700"/>
    <w:rsid w:val="00210148"/>
    <w:rsid w:val="00212B29"/>
    <w:rsid w:val="0021384D"/>
    <w:rsid w:val="00220E1C"/>
    <w:rsid w:val="00222D6A"/>
    <w:rsid w:val="00226DE9"/>
    <w:rsid w:val="0022770A"/>
    <w:rsid w:val="00236073"/>
    <w:rsid w:val="00237497"/>
    <w:rsid w:val="00237B62"/>
    <w:rsid w:val="00243B56"/>
    <w:rsid w:val="00253C97"/>
    <w:rsid w:val="00254509"/>
    <w:rsid w:val="002549F9"/>
    <w:rsid w:val="00262B1C"/>
    <w:rsid w:val="002673DD"/>
    <w:rsid w:val="002703FF"/>
    <w:rsid w:val="002724D1"/>
    <w:rsid w:val="00272BA4"/>
    <w:rsid w:val="0027743D"/>
    <w:rsid w:val="00291BF0"/>
    <w:rsid w:val="00292AE0"/>
    <w:rsid w:val="00293B5F"/>
    <w:rsid w:val="00296BF8"/>
    <w:rsid w:val="002A1A52"/>
    <w:rsid w:val="002B2027"/>
    <w:rsid w:val="002B2EF6"/>
    <w:rsid w:val="002B6C97"/>
    <w:rsid w:val="002C0AE3"/>
    <w:rsid w:val="002C2E33"/>
    <w:rsid w:val="002C3A4F"/>
    <w:rsid w:val="002C42D7"/>
    <w:rsid w:val="002D1BC4"/>
    <w:rsid w:val="002E0C9C"/>
    <w:rsid w:val="002E155D"/>
    <w:rsid w:val="002E7787"/>
    <w:rsid w:val="002E7D5C"/>
    <w:rsid w:val="0030007A"/>
    <w:rsid w:val="00302A9C"/>
    <w:rsid w:val="00303475"/>
    <w:rsid w:val="0030685B"/>
    <w:rsid w:val="0031089F"/>
    <w:rsid w:val="00317F8B"/>
    <w:rsid w:val="0033028B"/>
    <w:rsid w:val="00332607"/>
    <w:rsid w:val="00333863"/>
    <w:rsid w:val="00335838"/>
    <w:rsid w:val="00344D84"/>
    <w:rsid w:val="00352EE5"/>
    <w:rsid w:val="00355ED7"/>
    <w:rsid w:val="00370065"/>
    <w:rsid w:val="00375ADE"/>
    <w:rsid w:val="00375FB8"/>
    <w:rsid w:val="0038409C"/>
    <w:rsid w:val="003878C5"/>
    <w:rsid w:val="0039143E"/>
    <w:rsid w:val="003A1AB2"/>
    <w:rsid w:val="003A3F37"/>
    <w:rsid w:val="003A7724"/>
    <w:rsid w:val="003B4B21"/>
    <w:rsid w:val="003B7630"/>
    <w:rsid w:val="003C2D97"/>
    <w:rsid w:val="003D2B32"/>
    <w:rsid w:val="003D2E47"/>
    <w:rsid w:val="003D4B79"/>
    <w:rsid w:val="003E2325"/>
    <w:rsid w:val="003E3A8D"/>
    <w:rsid w:val="003E787F"/>
    <w:rsid w:val="003F111B"/>
    <w:rsid w:val="003F3946"/>
    <w:rsid w:val="003F544B"/>
    <w:rsid w:val="00405488"/>
    <w:rsid w:val="00412165"/>
    <w:rsid w:val="0042001D"/>
    <w:rsid w:val="004215A8"/>
    <w:rsid w:val="00425361"/>
    <w:rsid w:val="0043437A"/>
    <w:rsid w:val="00444F0C"/>
    <w:rsid w:val="00454396"/>
    <w:rsid w:val="00455B8F"/>
    <w:rsid w:val="00460A3A"/>
    <w:rsid w:val="004740A5"/>
    <w:rsid w:val="00477B2A"/>
    <w:rsid w:val="00483399"/>
    <w:rsid w:val="0048683F"/>
    <w:rsid w:val="004946FF"/>
    <w:rsid w:val="00496EA4"/>
    <w:rsid w:val="004A0CE2"/>
    <w:rsid w:val="004B0D56"/>
    <w:rsid w:val="004B188E"/>
    <w:rsid w:val="004B20F9"/>
    <w:rsid w:val="004C323D"/>
    <w:rsid w:val="004C3585"/>
    <w:rsid w:val="004C3969"/>
    <w:rsid w:val="004D31D3"/>
    <w:rsid w:val="004D364D"/>
    <w:rsid w:val="004D6A4E"/>
    <w:rsid w:val="004E1EC7"/>
    <w:rsid w:val="004E71CD"/>
    <w:rsid w:val="004F1264"/>
    <w:rsid w:val="005076E6"/>
    <w:rsid w:val="0051425C"/>
    <w:rsid w:val="00521EA9"/>
    <w:rsid w:val="005450EE"/>
    <w:rsid w:val="00545495"/>
    <w:rsid w:val="00546C47"/>
    <w:rsid w:val="00550100"/>
    <w:rsid w:val="00550F95"/>
    <w:rsid w:val="00553DE4"/>
    <w:rsid w:val="00555C30"/>
    <w:rsid w:val="00556A44"/>
    <w:rsid w:val="00557290"/>
    <w:rsid w:val="0056678F"/>
    <w:rsid w:val="0057025C"/>
    <w:rsid w:val="00576192"/>
    <w:rsid w:val="005803CC"/>
    <w:rsid w:val="00586B8D"/>
    <w:rsid w:val="005922ED"/>
    <w:rsid w:val="005A7BF4"/>
    <w:rsid w:val="005A7EE9"/>
    <w:rsid w:val="005B2E1D"/>
    <w:rsid w:val="005B7C24"/>
    <w:rsid w:val="005C14B4"/>
    <w:rsid w:val="005C3787"/>
    <w:rsid w:val="005C4F71"/>
    <w:rsid w:val="005C5EA2"/>
    <w:rsid w:val="005D5A24"/>
    <w:rsid w:val="005E156C"/>
    <w:rsid w:val="005F5993"/>
    <w:rsid w:val="005F5B1E"/>
    <w:rsid w:val="00601135"/>
    <w:rsid w:val="00606B09"/>
    <w:rsid w:val="006117B4"/>
    <w:rsid w:val="00612464"/>
    <w:rsid w:val="0061354C"/>
    <w:rsid w:val="00622517"/>
    <w:rsid w:val="00625F05"/>
    <w:rsid w:val="00630CDA"/>
    <w:rsid w:val="00632529"/>
    <w:rsid w:val="00636F4B"/>
    <w:rsid w:val="00637A09"/>
    <w:rsid w:val="006420AA"/>
    <w:rsid w:val="00642AD2"/>
    <w:rsid w:val="00644E12"/>
    <w:rsid w:val="00646244"/>
    <w:rsid w:val="00651C17"/>
    <w:rsid w:val="0065250C"/>
    <w:rsid w:val="00653DE8"/>
    <w:rsid w:val="00654CE6"/>
    <w:rsid w:val="006626FF"/>
    <w:rsid w:val="006701E9"/>
    <w:rsid w:val="00675164"/>
    <w:rsid w:val="006759E6"/>
    <w:rsid w:val="00680914"/>
    <w:rsid w:val="006837D3"/>
    <w:rsid w:val="006956CA"/>
    <w:rsid w:val="006A1257"/>
    <w:rsid w:val="006B60FE"/>
    <w:rsid w:val="006C6C1A"/>
    <w:rsid w:val="006D6B5D"/>
    <w:rsid w:val="006E06AF"/>
    <w:rsid w:val="006E3570"/>
    <w:rsid w:val="006E4C38"/>
    <w:rsid w:val="006F1B16"/>
    <w:rsid w:val="00702204"/>
    <w:rsid w:val="00702F49"/>
    <w:rsid w:val="0072011C"/>
    <w:rsid w:val="00726662"/>
    <w:rsid w:val="00731269"/>
    <w:rsid w:val="0073737D"/>
    <w:rsid w:val="00745D4F"/>
    <w:rsid w:val="0074608C"/>
    <w:rsid w:val="00750C78"/>
    <w:rsid w:val="00754A9F"/>
    <w:rsid w:val="007569B3"/>
    <w:rsid w:val="007570A7"/>
    <w:rsid w:val="007605BE"/>
    <w:rsid w:val="00764531"/>
    <w:rsid w:val="00764873"/>
    <w:rsid w:val="00765582"/>
    <w:rsid w:val="00774B3A"/>
    <w:rsid w:val="00777F99"/>
    <w:rsid w:val="00785586"/>
    <w:rsid w:val="00795759"/>
    <w:rsid w:val="00795E82"/>
    <w:rsid w:val="007A113B"/>
    <w:rsid w:val="007A33B5"/>
    <w:rsid w:val="007A7B4A"/>
    <w:rsid w:val="007B0FB8"/>
    <w:rsid w:val="007B2560"/>
    <w:rsid w:val="007C1536"/>
    <w:rsid w:val="007C4C2D"/>
    <w:rsid w:val="007C54E8"/>
    <w:rsid w:val="007D137B"/>
    <w:rsid w:val="007D383F"/>
    <w:rsid w:val="007D6B9E"/>
    <w:rsid w:val="007D7424"/>
    <w:rsid w:val="007E234E"/>
    <w:rsid w:val="007E29F7"/>
    <w:rsid w:val="007E4FD2"/>
    <w:rsid w:val="007E669F"/>
    <w:rsid w:val="007F1891"/>
    <w:rsid w:val="007F6CFC"/>
    <w:rsid w:val="008008AC"/>
    <w:rsid w:val="00804EDD"/>
    <w:rsid w:val="0080789E"/>
    <w:rsid w:val="008158DC"/>
    <w:rsid w:val="008203E5"/>
    <w:rsid w:val="00825046"/>
    <w:rsid w:val="008348DE"/>
    <w:rsid w:val="00837708"/>
    <w:rsid w:val="00843D51"/>
    <w:rsid w:val="00847070"/>
    <w:rsid w:val="00856514"/>
    <w:rsid w:val="008624DA"/>
    <w:rsid w:val="00862711"/>
    <w:rsid w:val="00866FC7"/>
    <w:rsid w:val="00873DB4"/>
    <w:rsid w:val="00874383"/>
    <w:rsid w:val="008807A9"/>
    <w:rsid w:val="00883DCF"/>
    <w:rsid w:val="00887433"/>
    <w:rsid w:val="008A0685"/>
    <w:rsid w:val="008A2806"/>
    <w:rsid w:val="008B4A98"/>
    <w:rsid w:val="008B59CA"/>
    <w:rsid w:val="008C2708"/>
    <w:rsid w:val="008C6ED1"/>
    <w:rsid w:val="008D3B71"/>
    <w:rsid w:val="00901C7A"/>
    <w:rsid w:val="00902AFD"/>
    <w:rsid w:val="00903BD1"/>
    <w:rsid w:val="00907C88"/>
    <w:rsid w:val="00913A4F"/>
    <w:rsid w:val="00914C97"/>
    <w:rsid w:val="00922D31"/>
    <w:rsid w:val="0092434B"/>
    <w:rsid w:val="00925907"/>
    <w:rsid w:val="00926F9F"/>
    <w:rsid w:val="00930C0E"/>
    <w:rsid w:val="009339A3"/>
    <w:rsid w:val="0094232D"/>
    <w:rsid w:val="00942D8D"/>
    <w:rsid w:val="00945173"/>
    <w:rsid w:val="00945476"/>
    <w:rsid w:val="00953C5B"/>
    <w:rsid w:val="009605B4"/>
    <w:rsid w:val="0096396D"/>
    <w:rsid w:val="00964D93"/>
    <w:rsid w:val="00965F0E"/>
    <w:rsid w:val="00970A38"/>
    <w:rsid w:val="009800FC"/>
    <w:rsid w:val="00982C85"/>
    <w:rsid w:val="009855E3"/>
    <w:rsid w:val="00993F3D"/>
    <w:rsid w:val="009A499C"/>
    <w:rsid w:val="009A6DF8"/>
    <w:rsid w:val="009A7C44"/>
    <w:rsid w:val="009B4B8E"/>
    <w:rsid w:val="009B6651"/>
    <w:rsid w:val="009C26EA"/>
    <w:rsid w:val="009C3F41"/>
    <w:rsid w:val="009C6D70"/>
    <w:rsid w:val="009D3144"/>
    <w:rsid w:val="009E0C63"/>
    <w:rsid w:val="009E27D5"/>
    <w:rsid w:val="009E5384"/>
    <w:rsid w:val="009E706B"/>
    <w:rsid w:val="00A02AC3"/>
    <w:rsid w:val="00A16A24"/>
    <w:rsid w:val="00A1788C"/>
    <w:rsid w:val="00A17A73"/>
    <w:rsid w:val="00A17D12"/>
    <w:rsid w:val="00A21419"/>
    <w:rsid w:val="00A24ACD"/>
    <w:rsid w:val="00A323D6"/>
    <w:rsid w:val="00A327B0"/>
    <w:rsid w:val="00A43385"/>
    <w:rsid w:val="00A44841"/>
    <w:rsid w:val="00A460CF"/>
    <w:rsid w:val="00A53EE2"/>
    <w:rsid w:val="00A5579D"/>
    <w:rsid w:val="00A56C8C"/>
    <w:rsid w:val="00A621C1"/>
    <w:rsid w:val="00A65672"/>
    <w:rsid w:val="00A73435"/>
    <w:rsid w:val="00A75230"/>
    <w:rsid w:val="00A91121"/>
    <w:rsid w:val="00A91E35"/>
    <w:rsid w:val="00A94363"/>
    <w:rsid w:val="00A94C38"/>
    <w:rsid w:val="00A94C54"/>
    <w:rsid w:val="00AA47E8"/>
    <w:rsid w:val="00AA5647"/>
    <w:rsid w:val="00AA75B1"/>
    <w:rsid w:val="00AB2AF3"/>
    <w:rsid w:val="00AC01CF"/>
    <w:rsid w:val="00AC102B"/>
    <w:rsid w:val="00AC404E"/>
    <w:rsid w:val="00AD02DD"/>
    <w:rsid w:val="00AD206C"/>
    <w:rsid w:val="00AD5BA4"/>
    <w:rsid w:val="00AD6622"/>
    <w:rsid w:val="00AE3394"/>
    <w:rsid w:val="00AE4F01"/>
    <w:rsid w:val="00AF76DB"/>
    <w:rsid w:val="00AF794B"/>
    <w:rsid w:val="00B01BD6"/>
    <w:rsid w:val="00B03332"/>
    <w:rsid w:val="00B048B5"/>
    <w:rsid w:val="00B05171"/>
    <w:rsid w:val="00B053A1"/>
    <w:rsid w:val="00B07266"/>
    <w:rsid w:val="00B1182A"/>
    <w:rsid w:val="00B14020"/>
    <w:rsid w:val="00B1415A"/>
    <w:rsid w:val="00B16D09"/>
    <w:rsid w:val="00B17372"/>
    <w:rsid w:val="00B200C0"/>
    <w:rsid w:val="00B2215B"/>
    <w:rsid w:val="00B23811"/>
    <w:rsid w:val="00B346F1"/>
    <w:rsid w:val="00B362D6"/>
    <w:rsid w:val="00B3674A"/>
    <w:rsid w:val="00B515BE"/>
    <w:rsid w:val="00B543C7"/>
    <w:rsid w:val="00B55E0C"/>
    <w:rsid w:val="00B56EEB"/>
    <w:rsid w:val="00B61D62"/>
    <w:rsid w:val="00B635A4"/>
    <w:rsid w:val="00B639CF"/>
    <w:rsid w:val="00B7081D"/>
    <w:rsid w:val="00B830B0"/>
    <w:rsid w:val="00B85118"/>
    <w:rsid w:val="00B86108"/>
    <w:rsid w:val="00B91B3D"/>
    <w:rsid w:val="00B92A79"/>
    <w:rsid w:val="00B94682"/>
    <w:rsid w:val="00B94F3E"/>
    <w:rsid w:val="00B97C4A"/>
    <w:rsid w:val="00BA05F5"/>
    <w:rsid w:val="00BA28C2"/>
    <w:rsid w:val="00BA3B98"/>
    <w:rsid w:val="00BA7B66"/>
    <w:rsid w:val="00BC0FD0"/>
    <w:rsid w:val="00BC2874"/>
    <w:rsid w:val="00BD03DA"/>
    <w:rsid w:val="00BD09E1"/>
    <w:rsid w:val="00BD1C19"/>
    <w:rsid w:val="00BD46C6"/>
    <w:rsid w:val="00BD4820"/>
    <w:rsid w:val="00BD6FF4"/>
    <w:rsid w:val="00BE2CD9"/>
    <w:rsid w:val="00BE4584"/>
    <w:rsid w:val="00C0001B"/>
    <w:rsid w:val="00C02391"/>
    <w:rsid w:val="00C049BE"/>
    <w:rsid w:val="00C07C6C"/>
    <w:rsid w:val="00C112E1"/>
    <w:rsid w:val="00C17737"/>
    <w:rsid w:val="00C17BA4"/>
    <w:rsid w:val="00C232BC"/>
    <w:rsid w:val="00C34911"/>
    <w:rsid w:val="00C37AC2"/>
    <w:rsid w:val="00C41189"/>
    <w:rsid w:val="00C47D46"/>
    <w:rsid w:val="00C5002D"/>
    <w:rsid w:val="00C503DC"/>
    <w:rsid w:val="00C518C7"/>
    <w:rsid w:val="00C52433"/>
    <w:rsid w:val="00C53FC2"/>
    <w:rsid w:val="00C636AA"/>
    <w:rsid w:val="00C8106E"/>
    <w:rsid w:val="00C84BFD"/>
    <w:rsid w:val="00C940A9"/>
    <w:rsid w:val="00C947FA"/>
    <w:rsid w:val="00C951CA"/>
    <w:rsid w:val="00C96D3F"/>
    <w:rsid w:val="00CA023F"/>
    <w:rsid w:val="00CA7F61"/>
    <w:rsid w:val="00CC5C1C"/>
    <w:rsid w:val="00CC6D95"/>
    <w:rsid w:val="00CD4BD7"/>
    <w:rsid w:val="00CE0EBB"/>
    <w:rsid w:val="00CE2B3F"/>
    <w:rsid w:val="00CE2F84"/>
    <w:rsid w:val="00CE343E"/>
    <w:rsid w:val="00CF757D"/>
    <w:rsid w:val="00D03328"/>
    <w:rsid w:val="00D1589A"/>
    <w:rsid w:val="00D2788A"/>
    <w:rsid w:val="00D32394"/>
    <w:rsid w:val="00D43328"/>
    <w:rsid w:val="00D43730"/>
    <w:rsid w:val="00D632A4"/>
    <w:rsid w:val="00D64018"/>
    <w:rsid w:val="00D700A8"/>
    <w:rsid w:val="00D70341"/>
    <w:rsid w:val="00D74370"/>
    <w:rsid w:val="00D832AB"/>
    <w:rsid w:val="00D84EC3"/>
    <w:rsid w:val="00D85B1E"/>
    <w:rsid w:val="00DA1B38"/>
    <w:rsid w:val="00DA3F1B"/>
    <w:rsid w:val="00DA43E6"/>
    <w:rsid w:val="00DA4A6E"/>
    <w:rsid w:val="00DA4FDF"/>
    <w:rsid w:val="00DA65A6"/>
    <w:rsid w:val="00DB214E"/>
    <w:rsid w:val="00DB37AE"/>
    <w:rsid w:val="00DB45BA"/>
    <w:rsid w:val="00DD4C13"/>
    <w:rsid w:val="00DE440A"/>
    <w:rsid w:val="00E0017F"/>
    <w:rsid w:val="00E122BA"/>
    <w:rsid w:val="00E2236F"/>
    <w:rsid w:val="00E22E30"/>
    <w:rsid w:val="00E25071"/>
    <w:rsid w:val="00E33FF7"/>
    <w:rsid w:val="00E43AB4"/>
    <w:rsid w:val="00E449E8"/>
    <w:rsid w:val="00E474C8"/>
    <w:rsid w:val="00E537D9"/>
    <w:rsid w:val="00E6151F"/>
    <w:rsid w:val="00E61919"/>
    <w:rsid w:val="00E6781C"/>
    <w:rsid w:val="00E70C60"/>
    <w:rsid w:val="00E746EB"/>
    <w:rsid w:val="00E76911"/>
    <w:rsid w:val="00E81B3F"/>
    <w:rsid w:val="00E8536C"/>
    <w:rsid w:val="00E85B89"/>
    <w:rsid w:val="00E87E00"/>
    <w:rsid w:val="00E94A28"/>
    <w:rsid w:val="00E95962"/>
    <w:rsid w:val="00E967DB"/>
    <w:rsid w:val="00EA011A"/>
    <w:rsid w:val="00EA77B1"/>
    <w:rsid w:val="00EB3365"/>
    <w:rsid w:val="00EB7EB5"/>
    <w:rsid w:val="00EC3F0F"/>
    <w:rsid w:val="00EC62DF"/>
    <w:rsid w:val="00EC6661"/>
    <w:rsid w:val="00EC71EF"/>
    <w:rsid w:val="00ED2F1B"/>
    <w:rsid w:val="00ED3E26"/>
    <w:rsid w:val="00EF38A1"/>
    <w:rsid w:val="00EF3C24"/>
    <w:rsid w:val="00EF3F2A"/>
    <w:rsid w:val="00EF7077"/>
    <w:rsid w:val="00F01050"/>
    <w:rsid w:val="00F05A3C"/>
    <w:rsid w:val="00F0787D"/>
    <w:rsid w:val="00F14274"/>
    <w:rsid w:val="00F209F5"/>
    <w:rsid w:val="00F21B0D"/>
    <w:rsid w:val="00F25743"/>
    <w:rsid w:val="00F31D3E"/>
    <w:rsid w:val="00F34EF1"/>
    <w:rsid w:val="00F425D7"/>
    <w:rsid w:val="00F45150"/>
    <w:rsid w:val="00F4569A"/>
    <w:rsid w:val="00F4658C"/>
    <w:rsid w:val="00F47B8C"/>
    <w:rsid w:val="00F51A62"/>
    <w:rsid w:val="00F5385F"/>
    <w:rsid w:val="00F6179C"/>
    <w:rsid w:val="00F704B7"/>
    <w:rsid w:val="00F7064F"/>
    <w:rsid w:val="00F7131F"/>
    <w:rsid w:val="00F7515C"/>
    <w:rsid w:val="00F84ED1"/>
    <w:rsid w:val="00F85EAB"/>
    <w:rsid w:val="00F87E4D"/>
    <w:rsid w:val="00F90757"/>
    <w:rsid w:val="00F9178D"/>
    <w:rsid w:val="00F9740C"/>
    <w:rsid w:val="00FA057D"/>
    <w:rsid w:val="00FA11C2"/>
    <w:rsid w:val="00FA6B94"/>
    <w:rsid w:val="00FB4407"/>
    <w:rsid w:val="00FC1189"/>
    <w:rsid w:val="00FC421F"/>
    <w:rsid w:val="00FC447E"/>
    <w:rsid w:val="00FD1FBA"/>
    <w:rsid w:val="00FD3DE5"/>
    <w:rsid w:val="00FD4AEB"/>
    <w:rsid w:val="00FD6714"/>
    <w:rsid w:val="00FD68C2"/>
    <w:rsid w:val="04A48EC9"/>
    <w:rsid w:val="415E32F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18AF1BA"/>
  <w15:docId w15:val="{BA1F57E0-D3C7-450E-9410-FF42FA1EF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55B8F"/>
    <w:pPr>
      <w:widowControl w:val="0"/>
      <w:autoSpaceDE w:val="0"/>
      <w:autoSpaceDN w:val="0"/>
      <w:adjustRightInd w:val="0"/>
    </w:pPr>
    <w:rPr>
      <w:sz w:val="24"/>
      <w:szCs w:val="24"/>
    </w:rPr>
  </w:style>
  <w:style w:type="paragraph" w:styleId="Heading1">
    <w:name w:val="heading 1"/>
    <w:basedOn w:val="Style0"/>
    <w:next w:val="Normal"/>
    <w:qFormat/>
    <w:rsid w:val="00F6179C"/>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rFonts w:ascii="Times New Roman" w:hAnsi="Times New Roman"/>
      <w:b/>
      <w:color w:val="000000"/>
      <w:sz w:val="36"/>
      <w:szCs w:val="36"/>
    </w:rPr>
  </w:style>
  <w:style w:type="paragraph" w:styleId="Heading2">
    <w:name w:val="heading 2"/>
    <w:basedOn w:val="Normal"/>
    <w:next w:val="Normal"/>
    <w:qFormat/>
    <w:rsid w:val="00F6179C"/>
    <w:pPr>
      <w:keepNext/>
      <w:widowControl/>
      <w:autoSpaceDE/>
      <w:autoSpaceDN/>
      <w:adjustRightInd/>
      <w:outlineLvl w:val="1"/>
    </w:pPr>
    <w:rPr>
      <w:rFonts w:cs="Arial"/>
      <w:b/>
      <w:bCs/>
    </w:rPr>
  </w:style>
  <w:style w:type="paragraph" w:styleId="Heading3">
    <w:name w:val="heading 3"/>
    <w:basedOn w:val="Normal"/>
    <w:next w:val="Normal"/>
    <w:qFormat/>
    <w:rsid w:val="00F6179C"/>
    <w:pPr>
      <w:keepNext/>
      <w:spacing w:before="240" w:after="60"/>
      <w:outlineLvl w:val="2"/>
    </w:pPr>
    <w:rPr>
      <w:rFonts w:cs="Arial"/>
      <w:b/>
      <w:bCs/>
      <w:szCs w:val="26"/>
    </w:rPr>
  </w:style>
  <w:style w:type="paragraph" w:styleId="Heading4">
    <w:name w:val="heading 4"/>
    <w:basedOn w:val="Normal"/>
    <w:next w:val="Normal"/>
    <w:qFormat/>
    <w:rsid w:val="00F6179C"/>
    <w:pPr>
      <w:outlineLvl w:val="3"/>
    </w:pPr>
    <w:rPr>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317F8B"/>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link w:val="FooterChar"/>
    <w:uiPriority w:val="99"/>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pPr>
    <w:rPr>
      <w:rFonts w:ascii="Arial" w:hAnsi="Arial"/>
      <w:sz w:val="24"/>
      <w:szCs w:val="24"/>
    </w:rPr>
  </w:style>
  <w:style w:type="paragraph" w:styleId="HTMLPreformatted">
    <w:name w:val="HTML Preformatted"/>
    <w:basedOn w:val="Normal"/>
    <w:rsid w:val="00317F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uiPriority w:val="99"/>
    <w:rsid w:val="00317F8B"/>
    <w:rPr>
      <w:color w:val="0000FF"/>
      <w:u w:val="single"/>
    </w:rPr>
  </w:style>
  <w:style w:type="character" w:customStyle="1" w:styleId="Hypertext">
    <w:name w:val="Hypertext"/>
    <w:rsid w:val="00032A7B"/>
    <w:rPr>
      <w:color w:val="0000FF"/>
      <w:u w:val="single"/>
    </w:rPr>
  </w:style>
  <w:style w:type="paragraph" w:styleId="BodyText">
    <w:name w:val="Body Text"/>
    <w:basedOn w:val="Normal"/>
    <w:link w:val="BodyTextChar"/>
    <w:rsid w:val="00A16A24"/>
    <w:pPr>
      <w:widowControl/>
      <w:autoSpaceDE/>
      <w:autoSpaceDN/>
      <w:adjustRightInd/>
      <w:spacing w:before="120" w:after="240"/>
    </w:pPr>
    <w:rPr>
      <w:rFonts w:cs="Arial"/>
    </w:rPr>
  </w:style>
  <w:style w:type="paragraph" w:customStyle="1" w:styleId="Quick">
    <w:name w:val="Quick _"/>
    <w:basedOn w:val="Normal"/>
    <w:rsid w:val="00032A7B"/>
    <w:pPr>
      <w:ind w:left="1080" w:hanging="360"/>
    </w:pPr>
  </w:style>
  <w:style w:type="paragraph" w:styleId="PlainText">
    <w:name w:val="Plain Text"/>
    <w:basedOn w:val="Normal"/>
    <w:rsid w:val="00032A7B"/>
    <w:pPr>
      <w:widowControl/>
      <w:autoSpaceDE/>
      <w:autoSpaceDN/>
      <w:adjustRightInd/>
    </w:pPr>
    <w:rPr>
      <w:rFonts w:ascii="Courier New" w:hAnsi="Courier New" w:cs="Courier New"/>
      <w:sz w:val="20"/>
      <w:szCs w:val="20"/>
    </w:rPr>
  </w:style>
  <w:style w:type="paragraph" w:styleId="BalloonText">
    <w:name w:val="Balloon Text"/>
    <w:basedOn w:val="Normal"/>
    <w:semiHidden/>
    <w:rsid w:val="00546C47"/>
    <w:rPr>
      <w:rFonts w:ascii="Tahoma" w:hAnsi="Tahoma" w:cs="Tahoma"/>
      <w:sz w:val="16"/>
      <w:szCs w:val="16"/>
    </w:rPr>
  </w:style>
  <w:style w:type="paragraph" w:styleId="NormalWeb">
    <w:name w:val="Normal (Web)"/>
    <w:basedOn w:val="Normal"/>
    <w:uiPriority w:val="99"/>
    <w:unhideWhenUsed/>
    <w:rsid w:val="001E34F2"/>
    <w:pPr>
      <w:widowControl/>
      <w:autoSpaceDE/>
      <w:autoSpaceDN/>
      <w:adjustRightInd/>
      <w:spacing w:before="100" w:beforeAutospacing="1" w:after="100" w:afterAutospacing="1"/>
    </w:pPr>
    <w:rPr>
      <w:rFonts w:eastAsia="Calibri"/>
    </w:rPr>
  </w:style>
  <w:style w:type="character" w:customStyle="1" w:styleId="FooterChar">
    <w:name w:val="Footer Char"/>
    <w:link w:val="Footer"/>
    <w:uiPriority w:val="99"/>
    <w:rsid w:val="00DA65A6"/>
    <w:rPr>
      <w:sz w:val="24"/>
      <w:szCs w:val="24"/>
    </w:rPr>
  </w:style>
  <w:style w:type="paragraph" w:customStyle="1" w:styleId="Default">
    <w:name w:val="Default"/>
    <w:rsid w:val="006956CA"/>
    <w:pPr>
      <w:autoSpaceDE w:val="0"/>
      <w:autoSpaceDN w:val="0"/>
      <w:adjustRightInd w:val="0"/>
    </w:pPr>
    <w:rPr>
      <w:color w:val="000000"/>
      <w:sz w:val="24"/>
      <w:szCs w:val="24"/>
    </w:rPr>
  </w:style>
  <w:style w:type="paragraph" w:styleId="FootnoteText">
    <w:name w:val="footnote text"/>
    <w:basedOn w:val="Normal"/>
    <w:link w:val="FootnoteTextChar"/>
    <w:rsid w:val="00953C5B"/>
    <w:pPr>
      <w:widowControl/>
    </w:pPr>
    <w:rPr>
      <w:rFonts w:ascii="Courier 10cpi" w:hAnsi="Courier 10cpi"/>
      <w:sz w:val="20"/>
      <w:szCs w:val="20"/>
    </w:rPr>
  </w:style>
  <w:style w:type="character" w:customStyle="1" w:styleId="FootnoteTextChar">
    <w:name w:val="Footnote Text Char"/>
    <w:link w:val="FootnoteText"/>
    <w:rsid w:val="00953C5B"/>
    <w:rPr>
      <w:rFonts w:ascii="Courier 10cpi" w:hAnsi="Courier 10cpi"/>
    </w:rPr>
  </w:style>
  <w:style w:type="paragraph" w:styleId="TOCHeading">
    <w:name w:val="TOC Heading"/>
    <w:basedOn w:val="Heading1"/>
    <w:next w:val="Normal"/>
    <w:uiPriority w:val="39"/>
    <w:unhideWhenUsed/>
    <w:qFormat/>
    <w:rsid w:val="0072011C"/>
    <w:pPr>
      <w:spacing w:before="240" w:line="259" w:lineRule="auto"/>
      <w:outlineLvl w:val="9"/>
    </w:pPr>
    <w:rPr>
      <w:rFonts w:ascii="Calibri Light" w:hAnsi="Calibri Light"/>
      <w:b w:val="0"/>
      <w:bCs/>
      <w:color w:val="2E74B5"/>
      <w:sz w:val="32"/>
      <w:szCs w:val="32"/>
    </w:rPr>
  </w:style>
  <w:style w:type="paragraph" w:styleId="TOC3">
    <w:name w:val="toc 3"/>
    <w:basedOn w:val="Normal"/>
    <w:next w:val="Normal"/>
    <w:autoRedefine/>
    <w:uiPriority w:val="39"/>
    <w:rsid w:val="004D364D"/>
    <w:pPr>
      <w:tabs>
        <w:tab w:val="left" w:pos="1100"/>
        <w:tab w:val="right" w:leader="dot" w:pos="9350"/>
      </w:tabs>
      <w:ind w:left="1080" w:hanging="450"/>
    </w:pPr>
  </w:style>
  <w:style w:type="paragraph" w:styleId="TOC1">
    <w:name w:val="toc 1"/>
    <w:basedOn w:val="Normal"/>
    <w:next w:val="Normal"/>
    <w:autoRedefine/>
    <w:uiPriority w:val="39"/>
    <w:rsid w:val="004D364D"/>
    <w:pPr>
      <w:tabs>
        <w:tab w:val="right" w:leader="dot" w:pos="9350"/>
      </w:tabs>
      <w:ind w:left="360" w:hanging="360"/>
    </w:pPr>
  </w:style>
  <w:style w:type="paragraph" w:styleId="TOC2">
    <w:name w:val="toc 2"/>
    <w:basedOn w:val="Normal"/>
    <w:next w:val="Normal"/>
    <w:autoRedefine/>
    <w:uiPriority w:val="39"/>
    <w:rsid w:val="00847070"/>
    <w:pPr>
      <w:tabs>
        <w:tab w:val="right" w:leader="dot" w:pos="9350"/>
      </w:tabs>
      <w:spacing w:before="120" w:after="120"/>
      <w:ind w:left="720" w:right="432" w:hanging="475"/>
    </w:pPr>
  </w:style>
  <w:style w:type="character" w:styleId="CommentReference">
    <w:name w:val="annotation reference"/>
    <w:rsid w:val="00EB7EB5"/>
    <w:rPr>
      <w:sz w:val="16"/>
      <w:szCs w:val="16"/>
    </w:rPr>
  </w:style>
  <w:style w:type="paragraph" w:styleId="CommentText">
    <w:name w:val="annotation text"/>
    <w:basedOn w:val="Normal"/>
    <w:link w:val="CommentTextChar"/>
    <w:rsid w:val="00EB7EB5"/>
    <w:rPr>
      <w:sz w:val="20"/>
      <w:szCs w:val="20"/>
    </w:rPr>
  </w:style>
  <w:style w:type="character" w:customStyle="1" w:styleId="CommentTextChar">
    <w:name w:val="Comment Text Char"/>
    <w:basedOn w:val="DefaultParagraphFont"/>
    <w:link w:val="CommentText"/>
    <w:rsid w:val="00EB7EB5"/>
  </w:style>
  <w:style w:type="paragraph" w:styleId="CommentSubject">
    <w:name w:val="annotation subject"/>
    <w:basedOn w:val="CommentText"/>
    <w:next w:val="CommentText"/>
    <w:link w:val="CommentSubjectChar"/>
    <w:rsid w:val="00EB7EB5"/>
    <w:rPr>
      <w:b/>
      <w:bCs/>
    </w:rPr>
  </w:style>
  <w:style w:type="character" w:customStyle="1" w:styleId="CommentSubjectChar">
    <w:name w:val="Comment Subject Char"/>
    <w:link w:val="CommentSubject"/>
    <w:rsid w:val="00EB7EB5"/>
    <w:rPr>
      <w:b/>
      <w:bCs/>
    </w:rPr>
  </w:style>
  <w:style w:type="character" w:customStyle="1" w:styleId="BodyTextChar">
    <w:name w:val="Body Text Char"/>
    <w:basedOn w:val="DefaultParagraphFont"/>
    <w:link w:val="BodyText"/>
    <w:rsid w:val="00A16A24"/>
    <w:rPr>
      <w:rFonts w:cs="Arial"/>
      <w:sz w:val="24"/>
      <w:szCs w:val="24"/>
    </w:rPr>
  </w:style>
  <w:style w:type="paragraph" w:styleId="Revision">
    <w:name w:val="Revision"/>
    <w:hidden/>
    <w:uiPriority w:val="99"/>
    <w:semiHidden/>
    <w:rsid w:val="00496EA4"/>
    <w:rPr>
      <w:sz w:val="24"/>
      <w:szCs w:val="24"/>
    </w:rPr>
  </w:style>
  <w:style w:type="character" w:styleId="UnresolvedMention">
    <w:name w:val="Unresolved Mention"/>
    <w:basedOn w:val="DefaultParagraphFont"/>
    <w:uiPriority w:val="99"/>
    <w:semiHidden/>
    <w:unhideWhenUsed/>
    <w:rsid w:val="009E706B"/>
    <w:rPr>
      <w:color w:val="605E5C"/>
      <w:shd w:val="clear" w:color="auto" w:fill="E1DFDD"/>
    </w:rPr>
  </w:style>
  <w:style w:type="paragraph" w:customStyle="1" w:styleId="Heading2-NoTOC">
    <w:name w:val="Heading 2 - No TOC"/>
    <w:basedOn w:val="Heading2"/>
    <w:uiPriority w:val="1"/>
    <w:qFormat/>
    <w:rsid w:val="00006EB4"/>
    <w:pPr>
      <w:keepNext w:val="0"/>
      <w:keepLines/>
      <w:tabs>
        <w:tab w:val="left" w:pos="419"/>
      </w:tabs>
      <w:autoSpaceDE w:val="0"/>
      <w:autoSpaceDN w:val="0"/>
      <w:spacing w:after="240"/>
      <w:ind w:left="317" w:hanging="317"/>
    </w:pPr>
    <w:rPr>
      <w:rFonts w:cs="Times New Roman"/>
      <w:b w:val="0"/>
      <w:bCs w:val="0"/>
      <w:sz w:val="32"/>
      <w:szCs w:val="32"/>
    </w:rPr>
  </w:style>
  <w:style w:type="paragraph" w:styleId="ListParagraph">
    <w:name w:val="List Paragraph"/>
    <w:basedOn w:val="Normal"/>
    <w:uiPriority w:val="34"/>
    <w:qFormat/>
    <w:rsid w:val="00E22E30"/>
    <w:pPr>
      <w:ind w:left="720"/>
      <w:contextualSpacing/>
    </w:pPr>
  </w:style>
  <w:style w:type="paragraph" w:styleId="ListBullet">
    <w:name w:val="List Bullet"/>
    <w:basedOn w:val="Normal"/>
    <w:unhideWhenUsed/>
    <w:rsid w:val="00455B8F"/>
    <w:pPr>
      <w:numPr>
        <w:numId w:val="32"/>
      </w:numPr>
      <w:contextualSpacing/>
    </w:pPr>
  </w:style>
  <w:style w:type="paragraph" w:styleId="Caption">
    <w:name w:val="caption"/>
    <w:basedOn w:val="BodyText"/>
    <w:next w:val="Normal"/>
    <w:unhideWhenUsed/>
    <w:qFormat/>
    <w:rsid w:val="00455B8F"/>
    <w:rPr>
      <w:b/>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mailto:paddock-susan@norc.org"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AA023-A31E-49E9-B244-E0EA4281C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1447</Words>
  <Characters>8562</Characters>
  <Application>Microsoft Office Word</Application>
  <DocSecurity>0</DocSecurity>
  <Lines>143</Lines>
  <Paragraphs>48</Paragraphs>
  <ScaleCrop>false</ScaleCrop>
  <HeadingPairs>
    <vt:vector size="2" baseType="variant">
      <vt:variant>
        <vt:lpstr>Title</vt:lpstr>
      </vt:variant>
      <vt:variant>
        <vt:i4>1</vt:i4>
      </vt:variant>
    </vt:vector>
  </HeadingPairs>
  <TitlesOfParts>
    <vt:vector size="1" baseType="lpstr">
      <vt:lpstr>CMS-10549_Supporting_Statement_Part_B</vt:lpstr>
    </vt:vector>
  </TitlesOfParts>
  <Company>NORC</Company>
  <LinksUpToDate>false</LinksUpToDate>
  <CharactersWithSpaces>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CMS-10549_Supporting_Statement_Part_B</dc:title>
  <dc:subject>MCBS “Pulse” Generic Clearance</dc:subject>
  <dc:creator>NORC</dc:creator>
  <cp:keywords>MCBS; ICR package; OMB clearance; supporting statement</cp:keywords>
  <cp:lastModifiedBy>Stacy Gulden</cp:lastModifiedBy>
  <cp:revision>5</cp:revision>
  <cp:lastPrinted>2012-01-25T17:19:00Z</cp:lastPrinted>
  <dcterms:created xsi:type="dcterms:W3CDTF">2026-04-24T19:12:00Z</dcterms:created>
  <dcterms:modified xsi:type="dcterms:W3CDTF">2026-04-27T14:51:00Z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