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13D3" w:rsidRPr="00D547BB" w:rsidP="00D547BB" w14:paraId="5234A5DE" w14:textId="5BFBAA64">
      <w:pPr>
        <w:pStyle w:val="Heading1"/>
        <w:spacing w:before="0" w:after="120"/>
        <w:jc w:val="center"/>
        <w:rPr>
          <w:rFonts w:ascii="Calibri" w:hAnsi="Calibri" w:cs="Calibri"/>
          <w:color w:val="auto"/>
          <w:sz w:val="36"/>
          <w:szCs w:val="36"/>
        </w:rPr>
      </w:pPr>
      <w:r>
        <w:rPr>
          <w:rFonts w:ascii="Calibri" w:hAnsi="Calibri" w:cs="Calibri"/>
          <w:color w:val="auto"/>
          <w:sz w:val="36"/>
          <w:szCs w:val="36"/>
        </w:rPr>
        <w:t xml:space="preserve">MCBS </w:t>
      </w:r>
      <w:r w:rsidR="00E642F9">
        <w:rPr>
          <w:rFonts w:ascii="Calibri" w:hAnsi="Calibri" w:cs="Calibri"/>
          <w:color w:val="auto"/>
          <w:sz w:val="36"/>
          <w:szCs w:val="36"/>
        </w:rPr>
        <w:t>Pulse Generic</w:t>
      </w:r>
      <w:r w:rsidRPr="00D547BB">
        <w:rPr>
          <w:rFonts w:ascii="Calibri" w:hAnsi="Calibri" w:cs="Calibri"/>
          <w:color w:val="auto"/>
          <w:sz w:val="36"/>
          <w:szCs w:val="36"/>
        </w:rPr>
        <w:t xml:space="preserve"> Clearance </w:t>
      </w:r>
      <w:r w:rsidR="00200F8C">
        <w:rPr>
          <w:rFonts w:ascii="Calibri" w:hAnsi="Calibri" w:cs="Calibri"/>
          <w:color w:val="auto"/>
          <w:sz w:val="36"/>
          <w:szCs w:val="36"/>
        </w:rPr>
        <w:t xml:space="preserve">60-Day to </w:t>
      </w:r>
      <w:r w:rsidRPr="00D547BB">
        <w:rPr>
          <w:rFonts w:ascii="Calibri" w:hAnsi="Calibri" w:cs="Calibri"/>
          <w:color w:val="auto"/>
          <w:sz w:val="36"/>
          <w:szCs w:val="36"/>
        </w:rPr>
        <w:t>30-Day Package Crosswalk</w:t>
      </w:r>
    </w:p>
    <w:p w:rsidR="00014286" w:rsidP="00626ABE" w14:paraId="389A0372" w14:textId="46168E6F">
      <w:pPr>
        <w:pStyle w:val="BodyText"/>
      </w:pPr>
      <w:r>
        <w:t xml:space="preserve">The crosswalk below details changes made to the </w:t>
      </w:r>
      <w:r w:rsidR="000C7696">
        <w:t xml:space="preserve">MCBS </w:t>
      </w:r>
      <w:r w:rsidR="00E642F9">
        <w:t>Pulse Generic</w:t>
      </w:r>
      <w:r>
        <w:t xml:space="preserve"> Clearance package </w:t>
      </w:r>
      <w:r w:rsidR="000C6C3D">
        <w:t xml:space="preserve">between the 60-day and 30-day comment periods. </w:t>
      </w:r>
      <w:r>
        <w:t xml:space="preserve"> </w:t>
      </w:r>
    </w:p>
    <w:tbl>
      <w:tblPr>
        <w:tblStyle w:val="TableGrid"/>
        <w:tblW w:w="5000" w:type="pct"/>
        <w:jc w:val="center"/>
        <w:tblLook w:val="04A0"/>
      </w:tblPr>
      <w:tblGrid>
        <w:gridCol w:w="2605"/>
        <w:gridCol w:w="3600"/>
        <w:gridCol w:w="3145"/>
      </w:tblGrid>
      <w:tr w14:paraId="52D0BA0C" w14:textId="77777777" w:rsidTr="005C25D2">
        <w:tblPrEx>
          <w:tblW w:w="5000" w:type="pct"/>
          <w:jc w:val="center"/>
          <w:tblLook w:val="04A0"/>
        </w:tblPrEx>
        <w:trPr>
          <w:cantSplit/>
          <w:tblHeader/>
          <w:jc w:val="center"/>
        </w:trPr>
        <w:tc>
          <w:tcPr>
            <w:tcW w:w="2605" w:type="dxa"/>
            <w:tcMar>
              <w:left w:w="86" w:type="dxa"/>
              <w:right w:w="86" w:type="dxa"/>
            </w:tcMar>
          </w:tcPr>
          <w:p w:rsidR="00E706BF" w:rsidRPr="00D547BB" w:rsidP="00626ABE" w14:paraId="48E8FE03" w14:textId="49BCC9EE">
            <w:pPr>
              <w:pStyle w:val="TableHeading"/>
            </w:pPr>
            <w:r w:rsidRPr="00D547BB">
              <w:t xml:space="preserve">Section of </w:t>
            </w:r>
            <w:r w:rsidR="00F96AE7">
              <w:t>Generic</w:t>
            </w:r>
            <w:r w:rsidRPr="00D547BB">
              <w:t xml:space="preserve"> Clearance Package</w:t>
            </w:r>
          </w:p>
        </w:tc>
        <w:tc>
          <w:tcPr>
            <w:tcW w:w="3600" w:type="dxa"/>
            <w:tcMar>
              <w:left w:w="86" w:type="dxa"/>
              <w:right w:w="86" w:type="dxa"/>
            </w:tcMar>
          </w:tcPr>
          <w:p w:rsidR="00E706BF" w:rsidRPr="00D547BB" w:rsidP="00626ABE" w14:paraId="2D6592DB" w14:textId="48A9C754">
            <w:pPr>
              <w:pStyle w:val="TableHeading"/>
            </w:pPr>
            <w:r w:rsidRPr="00D547BB">
              <w:t>Page Number/</w:t>
            </w:r>
            <w:r w:rsidRPr="00D547BB">
              <w:t>Quex</w:t>
            </w:r>
            <w:r w:rsidRPr="00D547BB">
              <w:t xml:space="preserve"> Section</w:t>
            </w:r>
          </w:p>
        </w:tc>
        <w:tc>
          <w:tcPr>
            <w:tcW w:w="3145" w:type="dxa"/>
            <w:tcMar>
              <w:left w:w="86" w:type="dxa"/>
              <w:right w:w="86" w:type="dxa"/>
            </w:tcMar>
          </w:tcPr>
          <w:p w:rsidR="00E706BF" w:rsidRPr="00D547BB" w:rsidP="00626ABE" w14:paraId="2CBFA643" w14:textId="13A9678D">
            <w:pPr>
              <w:pStyle w:val="TableHeading"/>
            </w:pPr>
            <w:r w:rsidRPr="00D547BB">
              <w:t xml:space="preserve">Revision in 30-day </w:t>
            </w:r>
            <w:r w:rsidR="00F96AE7">
              <w:t>Generic</w:t>
            </w:r>
            <w:r w:rsidRPr="00D547BB">
              <w:t xml:space="preserve"> Package</w:t>
            </w:r>
          </w:p>
        </w:tc>
      </w:tr>
      <w:tr w14:paraId="3B8C3808" w14:textId="77777777" w:rsidTr="005C25D2">
        <w:tblPrEx>
          <w:tblW w:w="5000" w:type="pct"/>
          <w:jc w:val="center"/>
          <w:tblLook w:val="04A0"/>
        </w:tblPrEx>
        <w:trPr>
          <w:cantSplit/>
          <w:jc w:val="center"/>
        </w:trPr>
        <w:tc>
          <w:tcPr>
            <w:tcW w:w="2605" w:type="dxa"/>
            <w:tcMar>
              <w:left w:w="86" w:type="dxa"/>
              <w:right w:w="86" w:type="dxa"/>
            </w:tcMar>
          </w:tcPr>
          <w:p w:rsidR="007276CA" w:rsidRPr="00404F03" w:rsidP="00626ABE" w14:paraId="51452442" w14:textId="26C077B8">
            <w:pPr>
              <w:pStyle w:val="TableText"/>
            </w:pPr>
            <w:bookmarkStart w:id="0" w:name="_Hlk137565962"/>
            <w:r>
              <w:t>Supporting Statement A</w:t>
            </w:r>
          </w:p>
        </w:tc>
        <w:tc>
          <w:tcPr>
            <w:tcW w:w="3600" w:type="dxa"/>
            <w:tcMar>
              <w:left w:w="86" w:type="dxa"/>
              <w:right w:w="86" w:type="dxa"/>
            </w:tcMar>
          </w:tcPr>
          <w:p w:rsidR="007276CA" w:rsidRPr="00404F03" w:rsidP="00626ABE" w14:paraId="648CC7B3" w14:textId="3AC1B31D">
            <w:pPr>
              <w:pStyle w:val="TableText"/>
            </w:pPr>
            <w:r>
              <w:t>Cover page</w:t>
            </w:r>
          </w:p>
        </w:tc>
        <w:tc>
          <w:tcPr>
            <w:tcW w:w="3145" w:type="dxa"/>
            <w:tcMar>
              <w:left w:w="86" w:type="dxa"/>
              <w:right w:w="86" w:type="dxa"/>
            </w:tcMar>
          </w:tcPr>
          <w:p w:rsidR="00876AC3" w:rsidRPr="00404F03" w:rsidP="00626ABE" w14:paraId="07D61910" w14:textId="0E7E006B">
            <w:pPr>
              <w:pStyle w:val="TableText"/>
            </w:pPr>
            <w:r>
              <w:t>Updated date.</w:t>
            </w:r>
          </w:p>
        </w:tc>
      </w:tr>
      <w:tr w14:paraId="6E9345AA" w14:textId="77777777" w:rsidTr="005C25D2">
        <w:tblPrEx>
          <w:tblW w:w="5000" w:type="pct"/>
          <w:jc w:val="center"/>
          <w:tblLook w:val="04A0"/>
        </w:tblPrEx>
        <w:trPr>
          <w:cantSplit/>
          <w:jc w:val="center"/>
        </w:trPr>
        <w:tc>
          <w:tcPr>
            <w:tcW w:w="2605" w:type="dxa"/>
            <w:tcMar>
              <w:left w:w="86" w:type="dxa"/>
              <w:right w:w="86" w:type="dxa"/>
            </w:tcMar>
          </w:tcPr>
          <w:p w:rsidR="00DD3040" w:rsidP="00DD3040" w14:paraId="7649B245" w14:textId="143A5C2D">
            <w:pPr>
              <w:pStyle w:val="TableText"/>
            </w:pPr>
            <w:bookmarkStart w:id="1" w:name="_Hlk170458253"/>
            <w:r>
              <w:t>Supporting Statement A</w:t>
            </w:r>
          </w:p>
        </w:tc>
        <w:tc>
          <w:tcPr>
            <w:tcW w:w="3600" w:type="dxa"/>
            <w:tcMar>
              <w:left w:w="86" w:type="dxa"/>
              <w:right w:w="86" w:type="dxa"/>
            </w:tcMar>
          </w:tcPr>
          <w:p w:rsidR="00C55EF1" w:rsidP="00DD3040" w14:paraId="26081496" w14:textId="20C3BA70">
            <w:pPr>
              <w:pStyle w:val="TableText"/>
            </w:pPr>
            <w:r>
              <w:t>Section A</w:t>
            </w:r>
            <w:r w:rsidR="00F96AE7">
              <w:t>1</w:t>
            </w:r>
            <w:r>
              <w:t>, page</w:t>
            </w:r>
            <w:r w:rsidR="00F96AE7">
              <w:t xml:space="preserve"> 3</w:t>
            </w:r>
          </w:p>
          <w:p w:rsidR="00016EF4" w:rsidP="00DD3040" w14:paraId="0448FB47" w14:textId="245E2A18">
            <w:pPr>
              <w:pStyle w:val="TableText"/>
            </w:pPr>
          </w:p>
        </w:tc>
        <w:tc>
          <w:tcPr>
            <w:tcW w:w="3145" w:type="dxa"/>
            <w:tcMar>
              <w:left w:w="86" w:type="dxa"/>
              <w:right w:w="86" w:type="dxa"/>
            </w:tcMar>
          </w:tcPr>
          <w:p w:rsidR="00DD3040" w:rsidP="00DD3040" w14:paraId="7EDC9028" w14:textId="657622C8">
            <w:pPr>
              <w:pStyle w:val="TableText"/>
            </w:pPr>
            <w:r>
              <w:t>Updated statistic of how many people receive healthcare coverage under CMS programs.</w:t>
            </w:r>
            <w:r w:rsidR="00C55EF1">
              <w:t xml:space="preserve"> </w:t>
            </w:r>
          </w:p>
        </w:tc>
      </w:tr>
      <w:tr w14:paraId="72CA7AC1" w14:textId="77777777" w:rsidTr="005C25D2">
        <w:tblPrEx>
          <w:tblW w:w="5000" w:type="pct"/>
          <w:jc w:val="center"/>
          <w:tblLook w:val="04A0"/>
        </w:tblPrEx>
        <w:trPr>
          <w:cantSplit/>
          <w:jc w:val="center"/>
        </w:trPr>
        <w:tc>
          <w:tcPr>
            <w:tcW w:w="2605" w:type="dxa"/>
            <w:tcMar>
              <w:left w:w="86" w:type="dxa"/>
              <w:right w:w="86" w:type="dxa"/>
            </w:tcMar>
          </w:tcPr>
          <w:p w:rsidR="00F96AE7" w:rsidRPr="00C55EF1" w:rsidP="00C55EF1" w14:paraId="2B570182" w14:textId="58F5571A">
            <w:pPr>
              <w:pStyle w:val="TableText"/>
            </w:pPr>
            <w:r>
              <w:t>Supporting Statement A</w:t>
            </w:r>
          </w:p>
        </w:tc>
        <w:tc>
          <w:tcPr>
            <w:tcW w:w="3600" w:type="dxa"/>
            <w:tcMar>
              <w:left w:w="86" w:type="dxa"/>
              <w:right w:w="86" w:type="dxa"/>
            </w:tcMar>
          </w:tcPr>
          <w:p w:rsidR="00F96AE7" w:rsidP="00C55EF1" w14:paraId="6F6E58BF" w14:textId="77777777">
            <w:pPr>
              <w:pStyle w:val="TableText"/>
            </w:pPr>
            <w:r>
              <w:t>Section A1, page 4</w:t>
            </w:r>
          </w:p>
          <w:p w:rsidR="00BD64E4" w:rsidP="00C55EF1" w14:paraId="6CEAABCB" w14:textId="77777777">
            <w:pPr>
              <w:pStyle w:val="TableText"/>
            </w:pPr>
            <w:r>
              <w:t>Section A2, pages 9</w:t>
            </w:r>
          </w:p>
          <w:p w:rsidR="00174680" w:rsidP="00C55EF1" w14:paraId="5516F73D" w14:textId="77777777">
            <w:pPr>
              <w:pStyle w:val="TableText"/>
            </w:pPr>
            <w:r>
              <w:t>Section A3, page 10</w:t>
            </w:r>
          </w:p>
          <w:p w:rsidR="00174680" w:rsidP="00C55EF1" w14:paraId="43E199B7" w14:textId="349E2EA2">
            <w:pPr>
              <w:pStyle w:val="TableText"/>
            </w:pPr>
            <w:r>
              <w:t>Section A16, page 14</w:t>
            </w:r>
          </w:p>
        </w:tc>
        <w:tc>
          <w:tcPr>
            <w:tcW w:w="3145" w:type="dxa"/>
            <w:tcMar>
              <w:left w:w="86" w:type="dxa"/>
              <w:right w:w="86" w:type="dxa"/>
            </w:tcMar>
          </w:tcPr>
          <w:p w:rsidR="00F96AE7" w:rsidRPr="00A3764C" w:rsidP="00C55EF1" w14:paraId="40D2D1E1" w14:textId="4CB5DCAF">
            <w:pPr>
              <w:pStyle w:val="TableText"/>
              <w:rPr>
                <w:rFonts w:eastAsia="Times New Roman"/>
              </w:rPr>
            </w:pPr>
            <w:r>
              <w:rPr>
                <w:rFonts w:eastAsia="Times New Roman"/>
              </w:rPr>
              <w:t>Edited description of burden to remove number of items and instead specify that each survey will take two minutes or less to administer. Minor edits to further clarify efforts to reduce respondent burden.</w:t>
            </w:r>
          </w:p>
        </w:tc>
      </w:tr>
      <w:tr w14:paraId="694EB398" w14:textId="77777777" w:rsidTr="005C25D2">
        <w:tblPrEx>
          <w:tblW w:w="5000" w:type="pct"/>
          <w:jc w:val="center"/>
          <w:tblLook w:val="04A0"/>
        </w:tblPrEx>
        <w:trPr>
          <w:cantSplit/>
          <w:jc w:val="center"/>
        </w:trPr>
        <w:tc>
          <w:tcPr>
            <w:tcW w:w="2605" w:type="dxa"/>
            <w:tcMar>
              <w:left w:w="86" w:type="dxa"/>
              <w:right w:w="86" w:type="dxa"/>
            </w:tcMar>
          </w:tcPr>
          <w:p w:rsidR="00F96AE7" w:rsidRPr="00C55EF1" w:rsidP="00C55EF1" w14:paraId="5CD42C08" w14:textId="29251E10">
            <w:pPr>
              <w:pStyle w:val="TableText"/>
            </w:pPr>
            <w:r>
              <w:t>Supporting Statement A</w:t>
            </w:r>
          </w:p>
        </w:tc>
        <w:tc>
          <w:tcPr>
            <w:tcW w:w="3600" w:type="dxa"/>
            <w:tcMar>
              <w:left w:w="86" w:type="dxa"/>
              <w:right w:w="86" w:type="dxa"/>
            </w:tcMar>
          </w:tcPr>
          <w:p w:rsidR="00F96AE7" w:rsidP="00C55EF1" w14:paraId="52AA1ABA" w14:textId="326F32F2">
            <w:pPr>
              <w:pStyle w:val="TableText"/>
            </w:pPr>
            <w:r>
              <w:t>Section A2, page 5</w:t>
            </w:r>
          </w:p>
        </w:tc>
        <w:tc>
          <w:tcPr>
            <w:tcW w:w="3145" w:type="dxa"/>
            <w:tcMar>
              <w:left w:w="86" w:type="dxa"/>
              <w:right w:w="86" w:type="dxa"/>
            </w:tcMar>
          </w:tcPr>
          <w:p w:rsidR="00F96AE7" w:rsidRPr="00A3764C" w:rsidP="00C55EF1" w14:paraId="62D03A05" w14:textId="2AA01A0E">
            <w:pPr>
              <w:pStyle w:val="TableText"/>
              <w:rPr>
                <w:rFonts w:eastAsia="Times New Roman"/>
              </w:rPr>
            </w:pPr>
            <w:r>
              <w:rPr>
                <w:rFonts w:eastAsia="Times New Roman"/>
              </w:rPr>
              <w:t xml:space="preserve">Minor clarifying edits </w:t>
            </w:r>
            <w:r w:rsidR="00BD64E4">
              <w:rPr>
                <w:rFonts w:eastAsia="Times New Roman"/>
              </w:rPr>
              <w:t xml:space="preserve">in the introductory paragraph on CMS program planning feedback. </w:t>
            </w:r>
            <w:r>
              <w:rPr>
                <w:rFonts w:eastAsia="Times New Roman"/>
              </w:rPr>
              <w:t xml:space="preserve"> </w:t>
            </w:r>
          </w:p>
        </w:tc>
      </w:tr>
      <w:tr w14:paraId="758C1B20" w14:textId="77777777" w:rsidTr="005C25D2">
        <w:tblPrEx>
          <w:tblW w:w="5000" w:type="pct"/>
          <w:jc w:val="center"/>
          <w:tblLook w:val="04A0"/>
        </w:tblPrEx>
        <w:trPr>
          <w:cantSplit/>
          <w:jc w:val="center"/>
        </w:trPr>
        <w:tc>
          <w:tcPr>
            <w:tcW w:w="2605" w:type="dxa"/>
            <w:tcMar>
              <w:left w:w="86" w:type="dxa"/>
              <w:right w:w="86" w:type="dxa"/>
            </w:tcMar>
          </w:tcPr>
          <w:p w:rsidR="00BD64E4" w:rsidP="00C55EF1" w14:paraId="3ACE1BD4" w14:textId="6D470DF3">
            <w:pPr>
              <w:pStyle w:val="TableText"/>
            </w:pPr>
            <w:r>
              <w:t>Supporting Statement A</w:t>
            </w:r>
          </w:p>
        </w:tc>
        <w:tc>
          <w:tcPr>
            <w:tcW w:w="3600" w:type="dxa"/>
            <w:tcMar>
              <w:left w:w="86" w:type="dxa"/>
              <w:right w:w="86" w:type="dxa"/>
            </w:tcMar>
          </w:tcPr>
          <w:p w:rsidR="00BD64E4" w:rsidP="00C55EF1" w14:paraId="100E5E93" w14:textId="2EF37AD0">
            <w:pPr>
              <w:pStyle w:val="TableText"/>
            </w:pPr>
            <w:r>
              <w:t>Section A2, page 6</w:t>
            </w:r>
          </w:p>
        </w:tc>
        <w:tc>
          <w:tcPr>
            <w:tcW w:w="3145" w:type="dxa"/>
            <w:tcMar>
              <w:left w:w="86" w:type="dxa"/>
              <w:right w:w="86" w:type="dxa"/>
            </w:tcMar>
          </w:tcPr>
          <w:p w:rsidR="00BD64E4" w:rsidRPr="00BD64E4" w:rsidP="00C55EF1" w14:paraId="124ED69E" w14:textId="396B47F1">
            <w:pPr>
              <w:pStyle w:val="TableText"/>
              <w:rPr>
                <w:rFonts w:eastAsia="Times New Roman"/>
              </w:rPr>
            </w:pPr>
            <w:r>
              <w:rPr>
                <w:rFonts w:eastAsia="Times New Roman"/>
              </w:rPr>
              <w:t>Minor clarifying edits in the CMS Office of Communications paragraph.</w:t>
            </w:r>
          </w:p>
        </w:tc>
      </w:tr>
      <w:tr w14:paraId="6DC7D900" w14:textId="77777777" w:rsidTr="005C25D2">
        <w:tblPrEx>
          <w:tblW w:w="5000" w:type="pct"/>
          <w:jc w:val="center"/>
          <w:tblLook w:val="04A0"/>
        </w:tblPrEx>
        <w:trPr>
          <w:cantSplit/>
          <w:jc w:val="center"/>
        </w:trPr>
        <w:tc>
          <w:tcPr>
            <w:tcW w:w="2605" w:type="dxa"/>
            <w:tcMar>
              <w:left w:w="86" w:type="dxa"/>
              <w:right w:w="86" w:type="dxa"/>
            </w:tcMar>
          </w:tcPr>
          <w:p w:rsidR="00BD64E4" w:rsidP="00C55EF1" w14:paraId="209A3B31" w14:textId="0151259A">
            <w:pPr>
              <w:pStyle w:val="TableText"/>
            </w:pPr>
            <w:r>
              <w:t>Supporting Statement A</w:t>
            </w:r>
          </w:p>
        </w:tc>
        <w:tc>
          <w:tcPr>
            <w:tcW w:w="3600" w:type="dxa"/>
            <w:tcMar>
              <w:left w:w="86" w:type="dxa"/>
              <w:right w:w="86" w:type="dxa"/>
            </w:tcMar>
          </w:tcPr>
          <w:p w:rsidR="00BD64E4" w:rsidP="00C55EF1" w14:paraId="57DD85AA" w14:textId="5329154F">
            <w:pPr>
              <w:pStyle w:val="TableText"/>
            </w:pPr>
            <w:r>
              <w:t>Section A2, page 9</w:t>
            </w:r>
          </w:p>
        </w:tc>
        <w:tc>
          <w:tcPr>
            <w:tcW w:w="3145" w:type="dxa"/>
            <w:tcMar>
              <w:left w:w="86" w:type="dxa"/>
              <w:right w:w="86" w:type="dxa"/>
            </w:tcMar>
          </w:tcPr>
          <w:p w:rsidR="00BD64E4" w:rsidRPr="00BD64E4" w:rsidP="00C55EF1" w14:paraId="685DB3CE" w14:textId="0C638DA0">
            <w:pPr>
              <w:pStyle w:val="TableText"/>
              <w:rPr>
                <w:rFonts w:eastAsia="Times New Roman"/>
              </w:rPr>
            </w:pPr>
            <w:r>
              <w:rPr>
                <w:rFonts w:eastAsia="Times New Roman"/>
              </w:rPr>
              <w:t>Minor clarifying edits on the type of documentation that will be submitted to OMB for each individual survey.</w:t>
            </w:r>
          </w:p>
        </w:tc>
      </w:tr>
      <w:tr w14:paraId="7A8D8FEB" w14:textId="77777777" w:rsidTr="005C25D2">
        <w:tblPrEx>
          <w:tblW w:w="5000" w:type="pct"/>
          <w:jc w:val="center"/>
          <w:tblLook w:val="04A0"/>
        </w:tblPrEx>
        <w:trPr>
          <w:cantSplit/>
          <w:jc w:val="center"/>
        </w:trPr>
        <w:tc>
          <w:tcPr>
            <w:tcW w:w="2605" w:type="dxa"/>
            <w:tcMar>
              <w:left w:w="86" w:type="dxa"/>
              <w:right w:w="86" w:type="dxa"/>
            </w:tcMar>
          </w:tcPr>
          <w:p w:rsidR="00F96AE7" w:rsidRPr="00C55EF1" w:rsidP="00C55EF1" w14:paraId="3474E521" w14:textId="7259BE6C">
            <w:pPr>
              <w:pStyle w:val="TableText"/>
            </w:pPr>
            <w:r>
              <w:t>Supporting Statement A</w:t>
            </w:r>
          </w:p>
        </w:tc>
        <w:tc>
          <w:tcPr>
            <w:tcW w:w="3600" w:type="dxa"/>
            <w:tcMar>
              <w:left w:w="86" w:type="dxa"/>
              <w:right w:w="86" w:type="dxa"/>
            </w:tcMar>
          </w:tcPr>
          <w:p w:rsidR="00F96AE7" w:rsidP="00C55EF1" w14:paraId="0386E262" w14:textId="03C8AE33">
            <w:pPr>
              <w:pStyle w:val="TableText"/>
            </w:pPr>
            <w:r>
              <w:t>Section A8, page 11</w:t>
            </w:r>
          </w:p>
        </w:tc>
        <w:tc>
          <w:tcPr>
            <w:tcW w:w="3145" w:type="dxa"/>
            <w:tcMar>
              <w:left w:w="86" w:type="dxa"/>
              <w:right w:w="86" w:type="dxa"/>
            </w:tcMar>
          </w:tcPr>
          <w:p w:rsidR="00F96AE7" w:rsidRPr="00A3764C" w:rsidP="00C55EF1" w14:paraId="68A77056" w14:textId="01FDB35A">
            <w:pPr>
              <w:pStyle w:val="TableText"/>
              <w:rPr>
                <w:rFonts w:eastAsia="Times New Roman"/>
              </w:rPr>
            </w:pPr>
            <w:r w:rsidRPr="00BD64E4">
              <w:rPr>
                <w:rFonts w:eastAsia="Times New Roman"/>
              </w:rPr>
              <w:t>Added information about the 30-day comment period and summarized CMS’ response to the t</w:t>
            </w:r>
            <w:r>
              <w:rPr>
                <w:rFonts w:eastAsia="Times New Roman"/>
              </w:rPr>
              <w:t>wo</w:t>
            </w:r>
            <w:r w:rsidRPr="00BD64E4">
              <w:rPr>
                <w:rFonts w:eastAsia="Times New Roman"/>
              </w:rPr>
              <w:t xml:space="preserve"> comments received during the 60-day public comment period. Added information on the 30-day Federal Register Notice.</w:t>
            </w:r>
          </w:p>
        </w:tc>
      </w:tr>
      <w:tr w14:paraId="66CF0707" w14:textId="77777777">
        <w:tblPrEx>
          <w:tblW w:w="5000" w:type="pct"/>
          <w:jc w:val="center"/>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392110" w14:paraId="1C446571" w14:textId="77777777">
            <w:pPr>
              <w:pStyle w:val="TableText"/>
            </w:pPr>
            <w:r>
              <w:t>Supporting Statement B</w:t>
            </w:r>
          </w:p>
        </w:tc>
        <w:tc>
          <w:tcPr>
            <w:tcW w:w="36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392110" w14:paraId="06F45A46" w14:textId="77777777">
            <w:pPr>
              <w:pStyle w:val="TableText"/>
            </w:pPr>
            <w:r>
              <w:t>Cover page</w:t>
            </w:r>
          </w:p>
        </w:tc>
        <w:tc>
          <w:tcPr>
            <w:tcW w:w="314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hideMark/>
          </w:tcPr>
          <w:p w:rsidR="00392110" w14:paraId="6737E813" w14:textId="77777777">
            <w:pPr>
              <w:pStyle w:val="TableText"/>
              <w:rPr>
                <w:rFonts w:eastAsia="Times New Roman"/>
              </w:rPr>
            </w:pPr>
            <w:r>
              <w:t>Updated date.</w:t>
            </w:r>
          </w:p>
        </w:tc>
      </w:tr>
      <w:tr w14:paraId="1AFAD54F" w14:textId="77777777" w:rsidTr="005C25D2">
        <w:tblPrEx>
          <w:tblW w:w="5000" w:type="pct"/>
          <w:jc w:val="center"/>
          <w:tblLook w:val="04A0"/>
        </w:tblPrEx>
        <w:trPr>
          <w:cantSplit/>
          <w:jc w:val="center"/>
        </w:trPr>
        <w:tc>
          <w:tcPr>
            <w:tcW w:w="2605" w:type="dxa"/>
            <w:tcMar>
              <w:left w:w="86" w:type="dxa"/>
              <w:right w:w="86" w:type="dxa"/>
            </w:tcMar>
          </w:tcPr>
          <w:p w:rsidR="00BD64E4" w:rsidRPr="00C55EF1" w:rsidP="00C55EF1" w14:paraId="42D0D67C" w14:textId="287E2C9E">
            <w:pPr>
              <w:pStyle w:val="TableText"/>
            </w:pPr>
            <w:r>
              <w:t>Supporting Statement B</w:t>
            </w:r>
          </w:p>
        </w:tc>
        <w:tc>
          <w:tcPr>
            <w:tcW w:w="3600" w:type="dxa"/>
            <w:tcMar>
              <w:left w:w="86" w:type="dxa"/>
              <w:right w:w="86" w:type="dxa"/>
            </w:tcMar>
          </w:tcPr>
          <w:p w:rsidR="00BD64E4" w:rsidP="00C55EF1" w14:paraId="1B7E241D" w14:textId="77777777">
            <w:pPr>
              <w:pStyle w:val="TableText"/>
            </w:pPr>
            <w:r>
              <w:t>Section B, page 3</w:t>
            </w:r>
          </w:p>
          <w:p w:rsidR="00392110" w:rsidP="00C55EF1" w14:paraId="60C12C0F" w14:textId="5CA58549">
            <w:pPr>
              <w:pStyle w:val="TableText"/>
            </w:pPr>
            <w:r>
              <w:t>Section B1, page 3</w:t>
            </w:r>
          </w:p>
        </w:tc>
        <w:tc>
          <w:tcPr>
            <w:tcW w:w="3145" w:type="dxa"/>
            <w:tcMar>
              <w:left w:w="86" w:type="dxa"/>
              <w:right w:w="86" w:type="dxa"/>
            </w:tcMar>
          </w:tcPr>
          <w:p w:rsidR="00BD64E4" w:rsidRPr="00A3764C" w:rsidP="00C55EF1" w14:paraId="6DC4338F" w14:textId="7F0DC85E">
            <w:pPr>
              <w:pStyle w:val="TableText"/>
              <w:rPr>
                <w:rFonts w:eastAsia="Times New Roman"/>
              </w:rPr>
            </w:pPr>
            <w:r w:rsidRPr="00392110">
              <w:rPr>
                <w:rFonts w:eastAsia="Times New Roman"/>
              </w:rPr>
              <w:t>Edited description of burden to remove number of items and instead specify that each survey will take two minutes or less to administer.</w:t>
            </w:r>
          </w:p>
        </w:tc>
      </w:tr>
      <w:tr w14:paraId="05CC3920" w14:textId="77777777" w:rsidTr="005C25D2">
        <w:tblPrEx>
          <w:tblW w:w="5000" w:type="pct"/>
          <w:jc w:val="center"/>
          <w:tblLook w:val="04A0"/>
        </w:tblPrEx>
        <w:trPr>
          <w:cantSplit/>
          <w:jc w:val="center"/>
        </w:trPr>
        <w:tc>
          <w:tcPr>
            <w:tcW w:w="2605" w:type="dxa"/>
            <w:tcMar>
              <w:left w:w="86" w:type="dxa"/>
              <w:right w:w="86" w:type="dxa"/>
            </w:tcMar>
          </w:tcPr>
          <w:p w:rsidR="00BD64E4" w:rsidRPr="00C55EF1" w:rsidP="00C55EF1" w14:paraId="23D601F5" w14:textId="1A3B1C79">
            <w:pPr>
              <w:pStyle w:val="TableText"/>
            </w:pPr>
            <w:r>
              <w:t>Supporting Statement B</w:t>
            </w:r>
          </w:p>
        </w:tc>
        <w:tc>
          <w:tcPr>
            <w:tcW w:w="3600" w:type="dxa"/>
            <w:tcMar>
              <w:left w:w="86" w:type="dxa"/>
              <w:right w:w="86" w:type="dxa"/>
            </w:tcMar>
          </w:tcPr>
          <w:p w:rsidR="00BD64E4" w:rsidP="00C55EF1" w14:paraId="6415C7B4" w14:textId="493A56FD">
            <w:pPr>
              <w:pStyle w:val="TableText"/>
            </w:pPr>
            <w:r>
              <w:t>Section B4, page 5</w:t>
            </w:r>
          </w:p>
        </w:tc>
        <w:tc>
          <w:tcPr>
            <w:tcW w:w="3145" w:type="dxa"/>
            <w:tcMar>
              <w:left w:w="86" w:type="dxa"/>
              <w:right w:w="86" w:type="dxa"/>
            </w:tcMar>
          </w:tcPr>
          <w:p w:rsidR="00BD64E4" w:rsidRPr="00A3764C" w:rsidP="00C55EF1" w14:paraId="329B2AF8" w14:textId="6F71068F">
            <w:pPr>
              <w:pStyle w:val="TableText"/>
              <w:rPr>
                <w:rFonts w:eastAsia="Times New Roman"/>
              </w:rPr>
            </w:pPr>
            <w:r>
              <w:rPr>
                <w:rFonts w:eastAsia="Times New Roman"/>
              </w:rPr>
              <w:t>Added Gen</w:t>
            </w:r>
            <w:r w:rsidR="00741765">
              <w:rPr>
                <w:rFonts w:eastAsia="Times New Roman"/>
              </w:rPr>
              <w:t>eric Clearance Information Collection request</w:t>
            </w:r>
            <w:r>
              <w:rPr>
                <w:rFonts w:eastAsia="Times New Roman"/>
              </w:rPr>
              <w:t xml:space="preserve"> number for MCBS Pulse </w:t>
            </w:r>
            <w:r w:rsidR="00741765">
              <w:rPr>
                <w:rFonts w:eastAsia="Times New Roman"/>
              </w:rPr>
              <w:t xml:space="preserve">Beneficiary Trust </w:t>
            </w:r>
            <w:r>
              <w:rPr>
                <w:rFonts w:eastAsia="Times New Roman"/>
              </w:rPr>
              <w:t>Supplement test conducted</w:t>
            </w:r>
            <w:r w:rsidR="00741765">
              <w:rPr>
                <w:rFonts w:eastAsia="Times New Roman"/>
              </w:rPr>
              <w:t xml:space="preserve"> in Fall 2025</w:t>
            </w:r>
            <w:r>
              <w:rPr>
                <w:rFonts w:eastAsia="Times New Roman"/>
              </w:rPr>
              <w:t xml:space="preserve">. </w:t>
            </w:r>
          </w:p>
        </w:tc>
      </w:tr>
      <w:bookmarkEnd w:id="1"/>
      <w:bookmarkEnd w:id="0"/>
    </w:tbl>
    <w:p w:rsidR="00AD43DB" w:rsidP="00626ABE" w14:paraId="2867DEB1" w14:textId="77777777"/>
    <w:sectPr w:rsidSect="00D547BB">
      <w:headerReference w:type="default" r:id="rId5"/>
      <w:footerReference w:type="default" r:id="rId6"/>
      <w:footerReference w:type="first" r:id="rId7"/>
      <w:pgSz w:w="12240" w:h="15840" w:code="1"/>
      <w:pgMar w:top="1440" w:right="1440" w:bottom="1440" w:left="1440" w:header="720" w:footer="720" w:gutter="0"/>
      <w:cols w:space="720"/>
      <w:titlePg/>
      <w:docGrid w:linePitch="6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4492335"/>
      <w:docPartObj>
        <w:docPartGallery w:val="Page Numbers (Bottom of Page)"/>
        <w:docPartUnique/>
      </w:docPartObj>
    </w:sdtPr>
    <w:sdtEndPr>
      <w:rPr>
        <w:noProof/>
      </w:rPr>
    </w:sdtEndPr>
    <w:sdtContent>
      <w:p w:rsidR="00D547BB" w:rsidP="00D547BB" w14:paraId="52AAC635" w14:textId="0ECD78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754226"/>
      <w:docPartObj>
        <w:docPartGallery w:val="Page Numbers (Bottom of Page)"/>
        <w:docPartUnique/>
      </w:docPartObj>
    </w:sdtPr>
    <w:sdtEndPr>
      <w:rPr>
        <w:noProof/>
      </w:rPr>
    </w:sdtEndPr>
    <w:sdtContent>
      <w:p w:rsidR="00626ABE" w:rsidP="00626ABE" w14:paraId="4A6123D6" w14:textId="78425849">
        <w:pPr>
          <w:pStyle w:val="Footer"/>
          <w:jc w:val="center"/>
        </w:pPr>
        <w:r>
          <w:fldChar w:fldCharType="begin"/>
        </w:r>
        <w:r>
          <w:instrText xml:space="preserve"> PAGE   \* MERGEFORMAT </w:instrText>
        </w:r>
        <w:r>
          <w:fldChar w:fldCharType="separate"/>
        </w:r>
        <w: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2F9" w:rsidRPr="00CE62F9" w:rsidP="00CE62F9" w14:paraId="428E5FAF" w14:textId="77777777">
    <w:pPr>
      <w:pStyle w:val="Header"/>
      <w:rPr>
        <w:sz w:val="36"/>
        <w:szCs w:val="36"/>
      </w:rPr>
    </w:pPr>
    <w:r w:rsidRPr="00CE62F9">
      <w:rPr>
        <w:sz w:val="36"/>
        <w:szCs w:val="36"/>
      </w:rPr>
      <w:t>2026 Full Clearance 60-Day to 30-Day Package Crosswalk</w:t>
    </w:r>
  </w:p>
  <w:p w:rsidR="00F94AAE" w:rsidRPr="00CE62F9" w:rsidP="00CE62F9" w14:paraId="23F89C05" w14:textId="03BE9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F213B2"/>
    <w:lvl w:ilvl="0">
      <w:start w:val="1"/>
      <w:numFmt w:val="decimal"/>
      <w:lvlText w:val="%1."/>
      <w:lvlJc w:val="left"/>
      <w:pPr>
        <w:tabs>
          <w:tab w:val="num" w:pos="1800"/>
        </w:tabs>
        <w:ind w:left="1800" w:hanging="360"/>
      </w:pPr>
    </w:lvl>
  </w:abstractNum>
  <w:abstractNum w:abstractNumId="1">
    <w:nsid w:val="FFFFFF7D"/>
    <w:multiLevelType w:val="singleLevel"/>
    <w:tmpl w:val="7F5688C2"/>
    <w:lvl w:ilvl="0">
      <w:start w:val="1"/>
      <w:numFmt w:val="decimal"/>
      <w:lvlText w:val="%1."/>
      <w:lvlJc w:val="left"/>
      <w:pPr>
        <w:tabs>
          <w:tab w:val="num" w:pos="1440"/>
        </w:tabs>
        <w:ind w:left="1440" w:hanging="360"/>
      </w:pPr>
    </w:lvl>
  </w:abstractNum>
  <w:abstractNum w:abstractNumId="2">
    <w:nsid w:val="FFFFFF7E"/>
    <w:multiLevelType w:val="singleLevel"/>
    <w:tmpl w:val="6EEE36C4"/>
    <w:lvl w:ilvl="0">
      <w:start w:val="1"/>
      <w:numFmt w:val="decimal"/>
      <w:lvlText w:val="%1."/>
      <w:lvlJc w:val="left"/>
      <w:pPr>
        <w:tabs>
          <w:tab w:val="num" w:pos="1080"/>
        </w:tabs>
        <w:ind w:left="1080" w:hanging="360"/>
      </w:pPr>
    </w:lvl>
  </w:abstractNum>
  <w:abstractNum w:abstractNumId="3">
    <w:nsid w:val="FFFFFF7F"/>
    <w:multiLevelType w:val="singleLevel"/>
    <w:tmpl w:val="C714EAEE"/>
    <w:lvl w:ilvl="0">
      <w:start w:val="1"/>
      <w:numFmt w:val="decimal"/>
      <w:lvlText w:val="%1."/>
      <w:lvlJc w:val="left"/>
      <w:pPr>
        <w:tabs>
          <w:tab w:val="num" w:pos="720"/>
        </w:tabs>
        <w:ind w:left="720" w:hanging="360"/>
      </w:pPr>
    </w:lvl>
  </w:abstractNum>
  <w:abstractNum w:abstractNumId="4">
    <w:nsid w:val="FFFFFF80"/>
    <w:multiLevelType w:val="singleLevel"/>
    <w:tmpl w:val="0F9666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E868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8210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16A2A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ABC9EC8"/>
    <w:lvl w:ilvl="0">
      <w:start w:val="1"/>
      <w:numFmt w:val="decimal"/>
      <w:lvlText w:val="%1."/>
      <w:lvlJc w:val="left"/>
      <w:pPr>
        <w:tabs>
          <w:tab w:val="num" w:pos="360"/>
        </w:tabs>
        <w:ind w:left="360" w:hanging="360"/>
      </w:pPr>
    </w:lvl>
  </w:abstractNum>
  <w:abstractNum w:abstractNumId="9">
    <w:nsid w:val="FFFFFF89"/>
    <w:multiLevelType w:val="singleLevel"/>
    <w:tmpl w:val="F752B39A"/>
    <w:lvl w:ilvl="0">
      <w:start w:val="1"/>
      <w:numFmt w:val="bullet"/>
      <w:lvlText w:val=""/>
      <w:lvlJc w:val="left"/>
      <w:pPr>
        <w:tabs>
          <w:tab w:val="num" w:pos="360"/>
        </w:tabs>
        <w:ind w:left="360" w:hanging="360"/>
      </w:pPr>
      <w:rPr>
        <w:rFonts w:ascii="Symbol" w:hAnsi="Symbol" w:hint="default"/>
      </w:rPr>
    </w:lvl>
  </w:abstractNum>
  <w:abstractNum w:abstractNumId="10">
    <w:nsid w:val="33AF02D1"/>
    <w:multiLevelType w:val="hybridMultilevel"/>
    <w:tmpl w:val="AF9ED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8414701">
    <w:abstractNumId w:val="10"/>
  </w:num>
  <w:num w:numId="2" w16cid:durableId="2123958478">
    <w:abstractNumId w:val="9"/>
  </w:num>
  <w:num w:numId="3" w16cid:durableId="1427774482">
    <w:abstractNumId w:val="7"/>
  </w:num>
  <w:num w:numId="4" w16cid:durableId="1008025919">
    <w:abstractNumId w:val="6"/>
  </w:num>
  <w:num w:numId="5" w16cid:durableId="1718894339">
    <w:abstractNumId w:val="5"/>
  </w:num>
  <w:num w:numId="6" w16cid:durableId="400981946">
    <w:abstractNumId w:val="4"/>
  </w:num>
  <w:num w:numId="7" w16cid:durableId="707141970">
    <w:abstractNumId w:val="8"/>
  </w:num>
  <w:num w:numId="8" w16cid:durableId="1499151758">
    <w:abstractNumId w:val="3"/>
  </w:num>
  <w:num w:numId="9" w16cid:durableId="1577275848">
    <w:abstractNumId w:val="2"/>
  </w:num>
  <w:num w:numId="10" w16cid:durableId="830829762">
    <w:abstractNumId w:val="1"/>
  </w:num>
  <w:num w:numId="11" w16cid:durableId="29329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240"/>
  <w:drawingGridVerticalSpacing w:val="653"/>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CF"/>
    <w:rsid w:val="00014286"/>
    <w:rsid w:val="00016EF4"/>
    <w:rsid w:val="0001765E"/>
    <w:rsid w:val="000B4901"/>
    <w:rsid w:val="000C13D3"/>
    <w:rsid w:val="000C6C3D"/>
    <w:rsid w:val="000C7696"/>
    <w:rsid w:val="000F1797"/>
    <w:rsid w:val="000F29CA"/>
    <w:rsid w:val="000F5B37"/>
    <w:rsid w:val="00115604"/>
    <w:rsid w:val="001156A3"/>
    <w:rsid w:val="00123897"/>
    <w:rsid w:val="00171DBE"/>
    <w:rsid w:val="00174680"/>
    <w:rsid w:val="00182B50"/>
    <w:rsid w:val="00182E03"/>
    <w:rsid w:val="001A5559"/>
    <w:rsid w:val="001B2B59"/>
    <w:rsid w:val="001B32DF"/>
    <w:rsid w:val="001C4812"/>
    <w:rsid w:val="001D4712"/>
    <w:rsid w:val="001F4F7C"/>
    <w:rsid w:val="00200F8C"/>
    <w:rsid w:val="002046E0"/>
    <w:rsid w:val="00230F9F"/>
    <w:rsid w:val="0025317B"/>
    <w:rsid w:val="002679EB"/>
    <w:rsid w:val="00284B6D"/>
    <w:rsid w:val="002B0158"/>
    <w:rsid w:val="002B525B"/>
    <w:rsid w:val="003271FC"/>
    <w:rsid w:val="00377846"/>
    <w:rsid w:val="00381B58"/>
    <w:rsid w:val="00392110"/>
    <w:rsid w:val="003B5345"/>
    <w:rsid w:val="003B774F"/>
    <w:rsid w:val="003C6BD6"/>
    <w:rsid w:val="003F0328"/>
    <w:rsid w:val="003F42C7"/>
    <w:rsid w:val="003F7C6D"/>
    <w:rsid w:val="00404F03"/>
    <w:rsid w:val="00421C38"/>
    <w:rsid w:val="004C4B7B"/>
    <w:rsid w:val="004C6378"/>
    <w:rsid w:val="004C6731"/>
    <w:rsid w:val="004D1E90"/>
    <w:rsid w:val="004E357C"/>
    <w:rsid w:val="004F087F"/>
    <w:rsid w:val="00514AD0"/>
    <w:rsid w:val="005174E4"/>
    <w:rsid w:val="005471EE"/>
    <w:rsid w:val="00556A44"/>
    <w:rsid w:val="00564CCF"/>
    <w:rsid w:val="005805F4"/>
    <w:rsid w:val="00581DCC"/>
    <w:rsid w:val="005A5D2E"/>
    <w:rsid w:val="005B49D2"/>
    <w:rsid w:val="005C25D2"/>
    <w:rsid w:val="005D343F"/>
    <w:rsid w:val="0061171E"/>
    <w:rsid w:val="00626ABE"/>
    <w:rsid w:val="0064408A"/>
    <w:rsid w:val="006847CE"/>
    <w:rsid w:val="00694C12"/>
    <w:rsid w:val="006958A5"/>
    <w:rsid w:val="006961B4"/>
    <w:rsid w:val="006A27CA"/>
    <w:rsid w:val="006D640F"/>
    <w:rsid w:val="006E2DD4"/>
    <w:rsid w:val="006F5076"/>
    <w:rsid w:val="007276CA"/>
    <w:rsid w:val="00734535"/>
    <w:rsid w:val="0073766C"/>
    <w:rsid w:val="00741765"/>
    <w:rsid w:val="00797C39"/>
    <w:rsid w:val="007B2B67"/>
    <w:rsid w:val="007B3EBB"/>
    <w:rsid w:val="00807BA3"/>
    <w:rsid w:val="008246A3"/>
    <w:rsid w:val="00847074"/>
    <w:rsid w:val="00857B21"/>
    <w:rsid w:val="0086419E"/>
    <w:rsid w:val="00876AC3"/>
    <w:rsid w:val="008B3C33"/>
    <w:rsid w:val="008B4692"/>
    <w:rsid w:val="008B61E1"/>
    <w:rsid w:val="008B6696"/>
    <w:rsid w:val="008C4137"/>
    <w:rsid w:val="008E0016"/>
    <w:rsid w:val="008F5991"/>
    <w:rsid w:val="008F5D13"/>
    <w:rsid w:val="009100F0"/>
    <w:rsid w:val="00930EB7"/>
    <w:rsid w:val="00976693"/>
    <w:rsid w:val="00990AFA"/>
    <w:rsid w:val="0099109C"/>
    <w:rsid w:val="009B64CD"/>
    <w:rsid w:val="009C0E0E"/>
    <w:rsid w:val="009C4A62"/>
    <w:rsid w:val="009E609C"/>
    <w:rsid w:val="009E7F1B"/>
    <w:rsid w:val="00A02E63"/>
    <w:rsid w:val="00A20690"/>
    <w:rsid w:val="00A24706"/>
    <w:rsid w:val="00A3764C"/>
    <w:rsid w:val="00A477CC"/>
    <w:rsid w:val="00A530F6"/>
    <w:rsid w:val="00A53A6A"/>
    <w:rsid w:val="00A7482C"/>
    <w:rsid w:val="00A8058D"/>
    <w:rsid w:val="00AD43DB"/>
    <w:rsid w:val="00AF5926"/>
    <w:rsid w:val="00B11124"/>
    <w:rsid w:val="00B1700B"/>
    <w:rsid w:val="00B41380"/>
    <w:rsid w:val="00B4193D"/>
    <w:rsid w:val="00B84AD5"/>
    <w:rsid w:val="00BD64E4"/>
    <w:rsid w:val="00BF51F4"/>
    <w:rsid w:val="00C16ECC"/>
    <w:rsid w:val="00C23B4A"/>
    <w:rsid w:val="00C30AEE"/>
    <w:rsid w:val="00C373E1"/>
    <w:rsid w:val="00C55EF1"/>
    <w:rsid w:val="00C609A0"/>
    <w:rsid w:val="00C6204B"/>
    <w:rsid w:val="00C6478D"/>
    <w:rsid w:val="00C721A4"/>
    <w:rsid w:val="00C808C7"/>
    <w:rsid w:val="00C83855"/>
    <w:rsid w:val="00CB1BBA"/>
    <w:rsid w:val="00CC4078"/>
    <w:rsid w:val="00CE62F9"/>
    <w:rsid w:val="00CE662A"/>
    <w:rsid w:val="00D014E8"/>
    <w:rsid w:val="00D3160D"/>
    <w:rsid w:val="00D35C12"/>
    <w:rsid w:val="00D408D5"/>
    <w:rsid w:val="00D51299"/>
    <w:rsid w:val="00D53A9D"/>
    <w:rsid w:val="00D547BB"/>
    <w:rsid w:val="00D676C9"/>
    <w:rsid w:val="00D7601D"/>
    <w:rsid w:val="00D842B1"/>
    <w:rsid w:val="00D91DDF"/>
    <w:rsid w:val="00DA7269"/>
    <w:rsid w:val="00DA793A"/>
    <w:rsid w:val="00DD3040"/>
    <w:rsid w:val="00DD6971"/>
    <w:rsid w:val="00DE0315"/>
    <w:rsid w:val="00DF35B4"/>
    <w:rsid w:val="00E13FFB"/>
    <w:rsid w:val="00E31281"/>
    <w:rsid w:val="00E642F9"/>
    <w:rsid w:val="00E706BF"/>
    <w:rsid w:val="00E7416D"/>
    <w:rsid w:val="00E95A2E"/>
    <w:rsid w:val="00F00677"/>
    <w:rsid w:val="00F01DE0"/>
    <w:rsid w:val="00F04EA3"/>
    <w:rsid w:val="00F106BE"/>
    <w:rsid w:val="00F207D5"/>
    <w:rsid w:val="00F5120F"/>
    <w:rsid w:val="00F94AAE"/>
    <w:rsid w:val="00F96AE7"/>
    <w:rsid w:val="00FB6C03"/>
    <w:rsid w:val="00FE0FD1"/>
    <w:rsid w:val="00FF5F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E0E8C8"/>
  <w15:chartTrackingRefBased/>
  <w15:docId w15:val="{B825019E-4855-4677-A405-93FF5F6D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ABE"/>
  </w:style>
  <w:style w:type="paragraph" w:styleId="Heading1">
    <w:name w:val="heading 1"/>
    <w:basedOn w:val="Normal"/>
    <w:next w:val="Normal"/>
    <w:link w:val="Heading1Char"/>
    <w:uiPriority w:val="9"/>
    <w:qFormat/>
    <w:rsid w:val="00D547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F51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AAE"/>
  </w:style>
  <w:style w:type="paragraph" w:styleId="Footer">
    <w:name w:val="footer"/>
    <w:basedOn w:val="Normal"/>
    <w:link w:val="FooterChar"/>
    <w:uiPriority w:val="99"/>
    <w:unhideWhenUsed/>
    <w:rsid w:val="00F94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AAE"/>
  </w:style>
  <w:style w:type="character" w:styleId="CommentReference">
    <w:name w:val="annotation reference"/>
    <w:basedOn w:val="DefaultParagraphFont"/>
    <w:uiPriority w:val="99"/>
    <w:semiHidden/>
    <w:unhideWhenUsed/>
    <w:rsid w:val="003B5345"/>
    <w:rPr>
      <w:sz w:val="16"/>
      <w:szCs w:val="16"/>
    </w:rPr>
  </w:style>
  <w:style w:type="paragraph" w:styleId="CommentText">
    <w:name w:val="annotation text"/>
    <w:basedOn w:val="Normal"/>
    <w:link w:val="CommentTextChar"/>
    <w:uiPriority w:val="99"/>
    <w:unhideWhenUsed/>
    <w:rsid w:val="003B5345"/>
    <w:pPr>
      <w:spacing w:line="240" w:lineRule="auto"/>
    </w:pPr>
    <w:rPr>
      <w:sz w:val="20"/>
      <w:szCs w:val="20"/>
    </w:rPr>
  </w:style>
  <w:style w:type="character" w:customStyle="1" w:styleId="CommentTextChar">
    <w:name w:val="Comment Text Char"/>
    <w:basedOn w:val="DefaultParagraphFont"/>
    <w:link w:val="CommentText"/>
    <w:uiPriority w:val="99"/>
    <w:rsid w:val="003B5345"/>
    <w:rPr>
      <w:sz w:val="20"/>
      <w:szCs w:val="20"/>
    </w:rPr>
  </w:style>
  <w:style w:type="paragraph" w:styleId="CommentSubject">
    <w:name w:val="annotation subject"/>
    <w:basedOn w:val="CommentText"/>
    <w:next w:val="CommentText"/>
    <w:link w:val="CommentSubjectChar"/>
    <w:uiPriority w:val="99"/>
    <w:semiHidden/>
    <w:unhideWhenUsed/>
    <w:rsid w:val="003B5345"/>
    <w:rPr>
      <w:b/>
      <w:bCs/>
    </w:rPr>
  </w:style>
  <w:style w:type="character" w:customStyle="1" w:styleId="CommentSubjectChar">
    <w:name w:val="Comment Subject Char"/>
    <w:basedOn w:val="CommentTextChar"/>
    <w:link w:val="CommentSubject"/>
    <w:uiPriority w:val="99"/>
    <w:semiHidden/>
    <w:rsid w:val="003B5345"/>
    <w:rPr>
      <w:b/>
      <w:bCs/>
      <w:sz w:val="20"/>
      <w:szCs w:val="20"/>
    </w:rPr>
  </w:style>
  <w:style w:type="paragraph" w:styleId="BalloonText">
    <w:name w:val="Balloon Text"/>
    <w:basedOn w:val="Normal"/>
    <w:link w:val="BalloonTextChar"/>
    <w:uiPriority w:val="99"/>
    <w:semiHidden/>
    <w:unhideWhenUsed/>
    <w:rsid w:val="003B5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345"/>
    <w:rPr>
      <w:rFonts w:ascii="Segoe UI" w:hAnsi="Segoe UI" w:cs="Segoe UI"/>
      <w:sz w:val="18"/>
      <w:szCs w:val="18"/>
    </w:rPr>
  </w:style>
  <w:style w:type="paragraph" w:styleId="ListParagraph">
    <w:name w:val="List Paragraph"/>
    <w:basedOn w:val="Normal"/>
    <w:uiPriority w:val="34"/>
    <w:qFormat/>
    <w:rsid w:val="004D1E90"/>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D547B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626ABE"/>
    <w:pPr>
      <w:spacing w:after="180" w:line="240" w:lineRule="auto"/>
    </w:pPr>
    <w:rPr>
      <w:sz w:val="24"/>
    </w:rPr>
  </w:style>
  <w:style w:type="character" w:customStyle="1" w:styleId="BodyTextChar">
    <w:name w:val="Body Text Char"/>
    <w:basedOn w:val="DefaultParagraphFont"/>
    <w:link w:val="BodyText"/>
    <w:uiPriority w:val="99"/>
    <w:rsid w:val="00626ABE"/>
    <w:rPr>
      <w:sz w:val="24"/>
    </w:rPr>
  </w:style>
  <w:style w:type="paragraph" w:styleId="BodyText2">
    <w:name w:val="Body Text 2"/>
    <w:basedOn w:val="Normal"/>
    <w:link w:val="BodyText2Char"/>
    <w:uiPriority w:val="99"/>
    <w:unhideWhenUsed/>
    <w:rsid w:val="00626ABE"/>
    <w:pPr>
      <w:spacing w:before="40" w:after="40" w:line="240" w:lineRule="auto"/>
      <w:jc w:val="center"/>
    </w:pPr>
    <w:rPr>
      <w:b/>
      <w:i/>
      <w:sz w:val="24"/>
    </w:rPr>
  </w:style>
  <w:style w:type="character" w:customStyle="1" w:styleId="BodyText2Char">
    <w:name w:val="Body Text 2 Char"/>
    <w:basedOn w:val="DefaultParagraphFont"/>
    <w:link w:val="BodyText2"/>
    <w:uiPriority w:val="99"/>
    <w:rsid w:val="00626ABE"/>
    <w:rPr>
      <w:b/>
      <w:i/>
      <w:sz w:val="24"/>
    </w:rPr>
  </w:style>
  <w:style w:type="paragraph" w:customStyle="1" w:styleId="TableHeading">
    <w:name w:val="Table Heading"/>
    <w:basedOn w:val="BodyText"/>
    <w:qFormat/>
    <w:rsid w:val="00626ABE"/>
    <w:pPr>
      <w:spacing w:before="40" w:after="40"/>
      <w:jc w:val="center"/>
    </w:pPr>
    <w:rPr>
      <w:b/>
      <w:i/>
    </w:rPr>
  </w:style>
  <w:style w:type="paragraph" w:customStyle="1" w:styleId="TableText">
    <w:name w:val="Table Text"/>
    <w:basedOn w:val="BodyText"/>
    <w:qFormat/>
    <w:rsid w:val="00626ABE"/>
    <w:pPr>
      <w:spacing w:before="40" w:after="40"/>
    </w:pPr>
  </w:style>
  <w:style w:type="character" w:customStyle="1" w:styleId="Heading2Char">
    <w:name w:val="Heading 2 Char"/>
    <w:basedOn w:val="DefaultParagraphFont"/>
    <w:link w:val="Heading2"/>
    <w:uiPriority w:val="9"/>
    <w:semiHidden/>
    <w:rsid w:val="00BF51F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9C4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29A9-1885-4EB0-AB2E-525DB982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283</Words>
  <Characters>1576</Characters>
  <Application>Microsoft Office Word</Application>
  <DocSecurity>0</DocSecurity>
  <Lines>78</Lines>
  <Paragraphs>47</Paragraphs>
  <ScaleCrop>false</ScaleCrop>
  <HeadingPairs>
    <vt:vector size="2" baseType="variant">
      <vt:variant>
        <vt:lpstr>Title</vt:lpstr>
      </vt:variant>
      <vt:variant>
        <vt:i4>1</vt:i4>
      </vt:variant>
    </vt:vector>
  </HeadingPairs>
  <TitlesOfParts>
    <vt:vector size="1" baseType="lpstr">
      <vt:lpstr>2023 Full Clearance 30-day Crosswalk</vt:lpstr>
    </vt:vector>
  </TitlesOfParts>
  <Manager>NORC at the University of Chicago</Manager>
  <Company>NORC at the University of Chicago</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Full Clearance 30-day Crosswalk</dc:title>
  <dc:subject>30-day Crosswalk</dc:subject>
  <dc:creator>CMS</dc:creator>
  <cp:keywords>MCBS; ICR package; OMB clearance</cp:keywords>
  <cp:lastModifiedBy>Sara Tabatabai</cp:lastModifiedBy>
  <cp:revision>21</cp:revision>
  <dcterms:created xsi:type="dcterms:W3CDTF">2024-06-28T13:58:00Z</dcterms:created>
  <dcterms:modified xsi:type="dcterms:W3CDTF">2026-04-24T19:35:00Z</dcterms:modified>
</cp:coreProperties>
</file>