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1150" w:rsidRPr="00891150" w:rsidP="00891150" w14:paraId="371FC666" w14:textId="77777777">
      <w:pPr>
        <w:jc w:val="center"/>
        <w:rPr>
          <w:rFonts w:ascii="Times New Roman" w:hAnsi="Times New Roman"/>
          <w:b/>
        </w:rPr>
      </w:pPr>
      <w:r w:rsidRPr="00891150">
        <w:rPr>
          <w:rFonts w:ascii="Times New Roman" w:hAnsi="Times New Roman"/>
          <w:b/>
        </w:rPr>
        <w:t>Supporting Statement for Form HA-L90 and HA-L90-OP1</w:t>
      </w:r>
    </w:p>
    <w:p w:rsidR="006A7452" w:rsidRPr="006A7452" w:rsidP="006A7452" w14:paraId="4F500B42" w14:textId="77777777">
      <w:pPr>
        <w:pStyle w:val="Heading1"/>
        <w:jc w:val="center"/>
        <w:rPr>
          <w:rFonts w:ascii="Times New Roman" w:hAnsi="Times New Roman" w:cs="Times New Roman"/>
        </w:rPr>
      </w:pPr>
      <w:r w:rsidRPr="006A7452">
        <w:rPr>
          <w:rFonts w:ascii="Times New Roman" w:hAnsi="Times New Roman" w:cs="Times New Roman"/>
        </w:rPr>
        <w:t>Request to Show Cause for Failure to Appear</w:t>
      </w:r>
    </w:p>
    <w:p w:rsidR="001B730F" w:rsidRPr="001B730F" w:rsidP="001B730F" w14:paraId="7FBD524D" w14:textId="77777777">
      <w:pPr>
        <w:jc w:val="center"/>
        <w:rPr>
          <w:rFonts w:ascii="Times New Roman" w:hAnsi="Times New Roman"/>
          <w:b/>
          <w:bCs/>
          <w:spacing w:val="2"/>
        </w:rPr>
      </w:pPr>
      <w:r w:rsidRPr="001B730F">
        <w:rPr>
          <w:rFonts w:ascii="Times New Roman" w:hAnsi="Times New Roman"/>
          <w:b/>
          <w:bCs/>
          <w:spacing w:val="2"/>
        </w:rPr>
        <w:t>20 CFR 404.938, 20 CFR 416.1438, and 20 CFR 404.957(b)(i) and (ii)</w:t>
      </w:r>
    </w:p>
    <w:p w:rsidR="004430C5" w:rsidRPr="00F918DB" w:rsidP="00F918DB" w14:paraId="5409E050" w14:textId="3B97DEE1">
      <w:pPr>
        <w:jc w:val="center"/>
        <w:rPr>
          <w:rFonts w:ascii="Times New Roman" w:hAnsi="Times New Roman"/>
          <w:b/>
        </w:rPr>
      </w:pPr>
      <w:r w:rsidRPr="00C65D26">
        <w:rPr>
          <w:rFonts w:ascii="Times New Roman" w:hAnsi="Times New Roman"/>
          <w:b/>
        </w:rPr>
        <w:t>OMB No. 0960-0794</w:t>
      </w:r>
    </w:p>
    <w:p w:rsidR="007E17BD" w:rsidRPr="00BC7F42" w:rsidP="00F107B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A45D82" w14:paraId="6468FADC" w14:textId="69D06FDE">
      <w:pPr>
        <w:rPr>
          <w:rFonts w:ascii="Times New Roman" w:hAnsi="Times New Roman"/>
          <w:b/>
        </w:rPr>
      </w:pPr>
      <w:r w:rsidRPr="002321B0">
        <w:rPr>
          <w:rFonts w:ascii="Times New Roman" w:hAnsi="Times New Roman"/>
          <w:b/>
        </w:rPr>
        <w:t xml:space="preserve"> </w:t>
      </w:r>
      <w:r w:rsidR="0006379A">
        <w:rPr>
          <w:rFonts w:ascii="Times New Roman" w:hAnsi="Times New Roman"/>
          <w:b/>
        </w:rPr>
        <w:t>A.</w:t>
      </w:r>
      <w:r w:rsidR="0006379A">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F918DB" w14:paraId="2917905F" w14:textId="77777777">
      <w:pPr>
        <w:numPr>
          <w:ilvl w:val="0"/>
          <w:numId w:val="13"/>
        </w:numPr>
        <w:ind w:hanging="63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53008E" w:rsidRPr="0053008E" w:rsidP="0053008E" w14:paraId="44045CDB" w14:textId="77777777">
      <w:pPr>
        <w:pStyle w:val="ListParagraph"/>
        <w:tabs>
          <w:tab w:val="left" w:pos="1440"/>
        </w:tabs>
        <w:rPr>
          <w:rFonts w:ascii="Times New Roman" w:hAnsi="Times New Roman"/>
        </w:rPr>
      </w:pPr>
      <w:r w:rsidRPr="0053008E">
        <w:rPr>
          <w:rFonts w:ascii="Times New Roman" w:hAnsi="Times New Roman"/>
          <w:iCs/>
          <w:spacing w:val="-8"/>
        </w:rPr>
        <w:t>Sections</w:t>
      </w:r>
      <w:r w:rsidRPr="0053008E">
        <w:rPr>
          <w:rFonts w:ascii="Times New Roman" w:hAnsi="Times New Roman"/>
          <w:i/>
          <w:iCs/>
          <w:spacing w:val="-8"/>
        </w:rPr>
        <w:t xml:space="preserve"> 205, 1631(d)(1) </w:t>
      </w:r>
      <w:r w:rsidRPr="0053008E">
        <w:rPr>
          <w:rFonts w:ascii="Times New Roman" w:hAnsi="Times New Roman"/>
          <w:iCs/>
          <w:spacing w:val="-8"/>
        </w:rPr>
        <w:t>and</w:t>
      </w:r>
      <w:r w:rsidRPr="0053008E">
        <w:rPr>
          <w:rFonts w:ascii="Times New Roman" w:hAnsi="Times New Roman"/>
          <w:i/>
          <w:iCs/>
          <w:spacing w:val="-8"/>
        </w:rPr>
        <w:t xml:space="preserve"> 1872 </w:t>
      </w:r>
      <w:r w:rsidRPr="0053008E">
        <w:rPr>
          <w:rFonts w:ascii="Times New Roman" w:hAnsi="Times New Roman"/>
          <w:iCs/>
          <w:spacing w:val="-8"/>
        </w:rPr>
        <w:t>of the</w:t>
      </w:r>
      <w:r w:rsidRPr="0053008E">
        <w:rPr>
          <w:rFonts w:ascii="Times New Roman" w:hAnsi="Times New Roman"/>
          <w:i/>
          <w:iCs/>
          <w:spacing w:val="-8"/>
        </w:rPr>
        <w:t xml:space="preserve"> Social Security Act</w:t>
      </w:r>
      <w:r w:rsidRPr="0053008E">
        <w:rPr>
          <w:rFonts w:ascii="Times New Roman" w:hAnsi="Times New Roman"/>
          <w:i/>
          <w:iCs/>
        </w:rPr>
        <w:t xml:space="preserve"> </w:t>
      </w:r>
      <w:r w:rsidRPr="0053008E">
        <w:rPr>
          <w:rFonts w:ascii="Times New Roman" w:hAnsi="Times New Roman"/>
          <w:iCs/>
        </w:rPr>
        <w:t>provide the authority for the Social Security Administration (SSA) to collect the information requested on forms HA</w:t>
      </w:r>
      <w:r w:rsidRPr="0053008E">
        <w:rPr>
          <w:rFonts w:ascii="Times New Roman" w:hAnsi="Times New Roman"/>
          <w:iCs/>
        </w:rPr>
        <w:noBreakHyphen/>
        <w:t xml:space="preserve">L90 and HA-L90-OP1.  Sections </w:t>
      </w:r>
      <w:r w:rsidRPr="0053008E">
        <w:rPr>
          <w:rFonts w:ascii="Times New Roman" w:hAnsi="Times New Roman"/>
          <w:i/>
          <w:iCs/>
          <w:spacing w:val="-8"/>
        </w:rPr>
        <w:t xml:space="preserve">20 CFR 404.938, 416.1438, </w:t>
      </w:r>
      <w:r w:rsidRPr="0053008E">
        <w:rPr>
          <w:rFonts w:ascii="Times New Roman" w:hAnsi="Times New Roman"/>
          <w:iCs/>
          <w:spacing w:val="-8"/>
        </w:rPr>
        <w:t xml:space="preserve">and </w:t>
      </w:r>
      <w:r w:rsidRPr="0053008E">
        <w:rPr>
          <w:rFonts w:ascii="Times New Roman" w:hAnsi="Times New Roman"/>
          <w:i/>
          <w:iCs/>
          <w:spacing w:val="-8"/>
        </w:rPr>
        <w:t xml:space="preserve">404.957(b)(i) </w:t>
      </w:r>
      <w:r w:rsidRPr="0053008E">
        <w:rPr>
          <w:rFonts w:ascii="Times New Roman" w:hAnsi="Times New Roman"/>
          <w:iCs/>
          <w:spacing w:val="-8"/>
        </w:rPr>
        <w:t xml:space="preserve">and </w:t>
      </w:r>
      <w:r w:rsidRPr="0053008E">
        <w:rPr>
          <w:rFonts w:ascii="Times New Roman" w:hAnsi="Times New Roman"/>
          <w:i/>
          <w:iCs/>
          <w:spacing w:val="-8"/>
        </w:rPr>
        <w:t xml:space="preserve">(ii) </w:t>
      </w:r>
      <w:r w:rsidRPr="0053008E">
        <w:rPr>
          <w:rFonts w:ascii="Times New Roman" w:hAnsi="Times New Roman"/>
          <w:iCs/>
          <w:spacing w:val="-8"/>
        </w:rPr>
        <w:t>of the</w:t>
      </w:r>
      <w:r w:rsidRPr="0053008E">
        <w:rPr>
          <w:rFonts w:ascii="Times New Roman" w:hAnsi="Times New Roman"/>
          <w:i/>
          <w:iCs/>
          <w:spacing w:val="-8"/>
        </w:rPr>
        <w:t xml:space="preserve"> Code of Federal Regulations</w:t>
      </w:r>
      <w:r w:rsidRPr="0053008E">
        <w:rPr>
          <w:rFonts w:ascii="Times New Roman" w:hAnsi="Times New Roman"/>
          <w:i/>
          <w:iCs/>
          <w:spacing w:val="-8"/>
        </w:rPr>
        <w:t xml:space="preserve"> </w:t>
      </w:r>
      <w:r w:rsidRPr="0053008E">
        <w:rPr>
          <w:rFonts w:ascii="Times New Roman" w:hAnsi="Times New Roman"/>
        </w:rPr>
        <w:t>set forth the procedures and policies for implementing these regulations.</w:t>
      </w:r>
    </w:p>
    <w:p w:rsidR="00F57AD9" w:rsidRPr="00F57AD9" w:rsidP="009C390D" w14:paraId="606001FB" w14:textId="77777777">
      <w:pPr>
        <w:ind w:left="720"/>
        <w:rPr>
          <w:rFonts w:ascii="Times New Roman" w:hAnsi="Times New Roman"/>
        </w:rPr>
      </w:pPr>
    </w:p>
    <w:p w:rsidR="002E18CF" w:rsidRPr="002E18CF" w:rsidP="00BD7EFC" w14:paraId="5E38F750" w14:textId="77777777">
      <w:pPr>
        <w:numPr>
          <w:ilvl w:val="0"/>
          <w:numId w:val="10"/>
        </w:numPr>
        <w:ind w:hanging="630"/>
        <w:rPr>
          <w:rFonts w:ascii="Times New Roman" w:hAnsi="Times New Roman"/>
        </w:rPr>
      </w:pPr>
      <w:r>
        <w:rPr>
          <w:rFonts w:ascii="Times New Roman" w:hAnsi="Times New Roman"/>
          <w:b/>
        </w:rPr>
        <w:t xml:space="preserve">Description of Collection </w:t>
      </w:r>
    </w:p>
    <w:p w:rsidR="00EF125C" w:rsidP="00EF125C" w14:paraId="2B570285" w14:textId="77777777">
      <w:pPr>
        <w:pStyle w:val="ListParagraph"/>
        <w:tabs>
          <w:tab w:val="left" w:pos="1440"/>
        </w:tabs>
        <w:rPr>
          <w:rFonts w:ascii="Times New Roman" w:eastAsia="Calibri" w:hAnsi="Times New Roman"/>
        </w:rPr>
      </w:pPr>
      <w:r w:rsidRPr="00EF125C">
        <w:rPr>
          <w:rFonts w:ascii="Times New Roman" w:eastAsia="Calibri" w:hAnsi="Times New Roman"/>
        </w:rPr>
        <w:t>When claimants who requested a hearing before a judge fail to appear at their scheduled hearings, the judge may reschedule the hearings if the claimants establish good cause for missing the hearings.  To establish good cause, respondents must demonstrate one of the following:  (1) SSA did not properly notify the claimant of the hearing, or (2) an unexpected event occurred without sufficient time for the claimant to request a postponement.</w:t>
      </w:r>
    </w:p>
    <w:p w:rsidR="00562DD5" w:rsidRPr="00EF125C" w:rsidP="00EF125C" w14:paraId="00C05380" w14:textId="77777777">
      <w:pPr>
        <w:pStyle w:val="ListParagraph"/>
        <w:tabs>
          <w:tab w:val="left" w:pos="1440"/>
        </w:tabs>
        <w:rPr>
          <w:rFonts w:ascii="Times New Roman" w:eastAsia="Calibri" w:hAnsi="Times New Roman"/>
        </w:rPr>
      </w:pPr>
    </w:p>
    <w:p w:rsidR="00562DD5" w:rsidRPr="00562DD5" w:rsidP="00562DD5" w14:paraId="6073F90E" w14:textId="4D2380AB">
      <w:pPr>
        <w:tabs>
          <w:tab w:val="left" w:pos="1440"/>
        </w:tabs>
        <w:ind w:left="720"/>
        <w:rPr>
          <w:rFonts w:ascii="Times New Roman" w:eastAsia="Calibri" w:hAnsi="Times New Roman"/>
        </w:rPr>
      </w:pPr>
      <w:r w:rsidRPr="00562DD5">
        <w:rPr>
          <w:rFonts w:ascii="Times New Roman" w:eastAsia="Calibri" w:hAnsi="Times New Roman"/>
        </w:rPr>
        <w:t>The claimants can use paper Form HA</w:t>
      </w:r>
      <w:r w:rsidRPr="00562DD5">
        <w:rPr>
          <w:rFonts w:ascii="Times New Roman" w:eastAsia="Calibri" w:hAnsi="Times New Roman"/>
        </w:rPr>
        <w:noBreakHyphen/>
        <w:t xml:space="preserve">L90 or HA-L90-OP1 to provide their reason for not appearing at their scheduled hearings; or the claimants’ representatives can use Electronic Records Express (ERE), </w:t>
      </w:r>
      <w:r w:rsidR="005A737E">
        <w:rPr>
          <w:rFonts w:ascii="Times New Roman" w:eastAsia="Calibri" w:hAnsi="Times New Roman"/>
        </w:rPr>
        <w:t xml:space="preserve">OMB Control No. 0960-0753, </w:t>
      </w:r>
      <w:r w:rsidRPr="00562DD5">
        <w:rPr>
          <w:rFonts w:ascii="Times New Roman" w:eastAsia="Calibri" w:hAnsi="Times New Roman"/>
        </w:rPr>
        <w:t>to submit the HA</w:t>
      </w:r>
      <w:r w:rsidRPr="00562DD5">
        <w:rPr>
          <w:rFonts w:ascii="Times New Roman" w:eastAsia="Calibri" w:hAnsi="Times New Roman"/>
        </w:rPr>
        <w:noBreakHyphen/>
        <w:t xml:space="preserve">L90 online.  SSA requires two versions of the paper form, as a judge follows different procedures when determining good cause for fraud or similar fault redetermination cases (cases that have a prior decision and evidence on file) compared to initial claims (where we have no evidence on file).  </w:t>
      </w:r>
    </w:p>
    <w:p w:rsidR="00E439CB" w:rsidP="00E439CB" w14:paraId="40F421D1" w14:textId="77777777">
      <w:pPr>
        <w:tabs>
          <w:tab w:val="left" w:pos="-720"/>
          <w:tab w:val="left" w:pos="0"/>
          <w:tab w:val="left" w:pos="1080"/>
        </w:tabs>
        <w:suppressAutoHyphens/>
        <w:outlineLvl w:val="0"/>
        <w:rPr>
          <w:rFonts w:ascii="Times New Roman" w:hAnsi="Times New Roman"/>
          <w:color w:val="000000" w:themeColor="text1"/>
        </w:rPr>
      </w:pPr>
    </w:p>
    <w:p w:rsidR="00695FC4" w:rsidRPr="00695FC4" w:rsidP="00695FC4" w14:paraId="53E18FA0" w14:textId="441D2587">
      <w:pPr>
        <w:tabs>
          <w:tab w:val="left" w:pos="1440"/>
        </w:tabs>
        <w:ind w:left="720"/>
        <w:rPr>
          <w:rFonts w:ascii="Times New Roman" w:eastAsia="Calibri" w:hAnsi="Times New Roman"/>
        </w:rPr>
      </w:pPr>
      <w:r w:rsidRPr="00695FC4">
        <w:rPr>
          <w:rFonts w:ascii="Times New Roman" w:eastAsia="Calibri" w:hAnsi="Times New Roman"/>
        </w:rPr>
        <w:t>SSA uses the HA-L90 for initial claims, and the HA-L90-OP1 for fraud or similar fault redeterminations cases.  The ERE method automatically adjusts for the type of case, so we only need one version of the Internet screens.  If the judge in an initial claim finds that the claimant established good cause for failure to appear at the hearing, the judge reschedule</w:t>
      </w:r>
      <w:r w:rsidR="00F918DB">
        <w:rPr>
          <w:rFonts w:ascii="Times New Roman" w:eastAsia="Calibri" w:hAnsi="Times New Roman"/>
        </w:rPr>
        <w:t>s</w:t>
      </w:r>
      <w:r w:rsidRPr="00695FC4">
        <w:rPr>
          <w:rFonts w:ascii="Times New Roman" w:eastAsia="Calibri" w:hAnsi="Times New Roman"/>
        </w:rPr>
        <w:t xml:space="preserve"> the hearing.  However, if the judge does not find that </w:t>
      </w:r>
      <w:r w:rsidR="00F918DB">
        <w:rPr>
          <w:rFonts w:ascii="Times New Roman" w:eastAsia="Calibri" w:hAnsi="Times New Roman"/>
        </w:rPr>
        <w:t xml:space="preserve">the claimant established </w:t>
      </w:r>
      <w:r w:rsidRPr="00695FC4">
        <w:rPr>
          <w:rFonts w:ascii="Times New Roman" w:eastAsia="Calibri" w:hAnsi="Times New Roman"/>
        </w:rPr>
        <w:t>good cause, the</w:t>
      </w:r>
      <w:r w:rsidR="005A737E">
        <w:rPr>
          <w:rFonts w:ascii="Times New Roman" w:eastAsia="Calibri" w:hAnsi="Times New Roman"/>
        </w:rPr>
        <w:t xml:space="preserve"> judge</w:t>
      </w:r>
      <w:r w:rsidRPr="00695FC4">
        <w:rPr>
          <w:rFonts w:ascii="Times New Roman" w:eastAsia="Calibri" w:hAnsi="Times New Roman"/>
        </w:rPr>
        <w:t xml:space="preserve"> may dismiss the request for </w:t>
      </w:r>
      <w:r w:rsidR="005A737E">
        <w:rPr>
          <w:rFonts w:ascii="Times New Roman" w:eastAsia="Calibri" w:hAnsi="Times New Roman"/>
        </w:rPr>
        <w:t xml:space="preserve">a </w:t>
      </w:r>
      <w:r w:rsidRPr="00695FC4">
        <w:rPr>
          <w:rFonts w:ascii="Times New Roman" w:eastAsia="Calibri" w:hAnsi="Times New Roman"/>
        </w:rPr>
        <w:t>hearing.  The judge may also make a claims eligibility determination based on the evidence of record (if any exists).  If the judge in a fraud or similar fault redetermination case finds that the claimant established good cause for the failure to appear at the hearing, the judge reschedule</w:t>
      </w:r>
      <w:r w:rsidR="00F918DB">
        <w:rPr>
          <w:rFonts w:ascii="Times New Roman" w:eastAsia="Calibri" w:hAnsi="Times New Roman"/>
        </w:rPr>
        <w:t>s</w:t>
      </w:r>
      <w:r w:rsidRPr="00695FC4">
        <w:rPr>
          <w:rFonts w:ascii="Times New Roman" w:eastAsia="Calibri" w:hAnsi="Times New Roman"/>
        </w:rPr>
        <w:t xml:space="preserve"> the hearing.  However, if the judge does not find that</w:t>
      </w:r>
      <w:r w:rsidR="00F918DB">
        <w:rPr>
          <w:rFonts w:ascii="Times New Roman" w:eastAsia="Calibri" w:hAnsi="Times New Roman"/>
        </w:rPr>
        <w:t xml:space="preserve"> the claimant established</w:t>
      </w:r>
      <w:r w:rsidRPr="00695FC4">
        <w:rPr>
          <w:rFonts w:ascii="Times New Roman" w:eastAsia="Calibri" w:hAnsi="Times New Roman"/>
        </w:rPr>
        <w:t xml:space="preserve"> good cause, the judge issue</w:t>
      </w:r>
      <w:r w:rsidR="00F918DB">
        <w:rPr>
          <w:rFonts w:ascii="Times New Roman" w:eastAsia="Calibri" w:hAnsi="Times New Roman"/>
        </w:rPr>
        <w:t>s</w:t>
      </w:r>
      <w:r w:rsidRPr="00695FC4">
        <w:rPr>
          <w:rFonts w:ascii="Times New Roman" w:eastAsia="Calibri" w:hAnsi="Times New Roman"/>
        </w:rPr>
        <w:t xml:space="preserve"> a determination based on the evidence of record.</w:t>
      </w:r>
    </w:p>
    <w:p w:rsidR="00807106" w:rsidP="00E439CB" w14:paraId="70072421" w14:textId="77777777">
      <w:pPr>
        <w:tabs>
          <w:tab w:val="left" w:pos="-720"/>
          <w:tab w:val="left" w:pos="0"/>
          <w:tab w:val="left" w:pos="1080"/>
        </w:tabs>
        <w:suppressAutoHyphens/>
        <w:ind w:left="720"/>
        <w:outlineLvl w:val="0"/>
        <w:rPr>
          <w:rFonts w:ascii="Times New Roman" w:hAnsi="Times New Roman"/>
          <w:color w:val="000000" w:themeColor="text1"/>
        </w:rPr>
      </w:pPr>
    </w:p>
    <w:p w:rsidR="00BB3F8E" w:rsidP="00BB3F8E" w14:paraId="1C2FB823" w14:textId="77777777">
      <w:pPr>
        <w:widowControl/>
        <w:ind w:left="720"/>
        <w:rPr>
          <w:rFonts w:ascii="Times New Roman" w:hAnsi="Times New Roman"/>
          <w:color w:val="000000" w:themeColor="text1"/>
        </w:rPr>
      </w:pPr>
      <w:r w:rsidRPr="00CB3661">
        <w:rPr>
          <w:rFonts w:ascii="Times New Roman" w:hAnsi="Times New Roman"/>
          <w:color w:val="000000" w:themeColor="text1"/>
        </w:rPr>
        <w:t>We identified the following psychological costs based on the requirements for this information collection:</w:t>
      </w:r>
    </w:p>
    <w:p w:rsidR="00897C5E" w:rsidP="00BB3F8E" w14:paraId="1E50A7C2" w14:textId="77777777">
      <w:pPr>
        <w:widowControl/>
        <w:ind w:left="720"/>
        <w:rPr>
          <w:rFonts w:ascii="Times New Roman" w:hAnsi="Times New Roman"/>
          <w:color w:val="000000" w:themeColor="text1"/>
        </w:rPr>
      </w:pPr>
    </w:p>
    <w:p w:rsidR="00F933D4" w:rsidP="00F918DB" w14:paraId="71652040" w14:textId="5B5BFE40">
      <w:pPr>
        <w:pStyle w:val="ListParagraph"/>
        <w:widowControl/>
        <w:numPr>
          <w:ilvl w:val="0"/>
          <w:numId w:val="25"/>
        </w:numPr>
        <w:ind w:left="1170" w:hanging="450"/>
        <w:rPr>
          <w:rFonts w:ascii="Times New Roman" w:hAnsi="Times New Roman"/>
          <w:b/>
          <w:bCs/>
          <w:u w:val="single"/>
        </w:rPr>
      </w:pPr>
      <w:r w:rsidRPr="00CB0A40">
        <w:rPr>
          <w:rFonts w:ascii="Times New Roman" w:hAnsi="Times New Roman"/>
          <w:b/>
          <w:bCs/>
          <w:u w:val="single"/>
        </w:rPr>
        <w:t>Psychological Cost:</w:t>
      </w:r>
    </w:p>
    <w:p w:rsidR="008A543A" w:rsidP="008A543A" w14:paraId="301E37F5" w14:textId="77777777">
      <w:pPr>
        <w:pStyle w:val="ListParagraph"/>
        <w:widowControl/>
        <w:ind w:left="1776"/>
        <w:rPr>
          <w:rFonts w:ascii="Times New Roman" w:hAnsi="Times New Roman"/>
          <w:b/>
          <w:bCs/>
          <w:u w:val="single"/>
        </w:rPr>
      </w:pPr>
    </w:p>
    <w:p w:rsidR="00F918DB" w:rsidP="00F918DB" w14:paraId="1C2D0711" w14:textId="5251B24F">
      <w:pPr>
        <w:pStyle w:val="ListParagraph"/>
        <w:widowControl/>
        <w:numPr>
          <w:ilvl w:val="0"/>
          <w:numId w:val="30"/>
        </w:numPr>
        <w:spacing w:after="240"/>
        <w:ind w:left="1530"/>
        <w:rPr>
          <w:rFonts w:ascii="Times New Roman" w:eastAsia="Calibri" w:hAnsi="Times New Roman"/>
        </w:rPr>
      </w:pPr>
      <w:r w:rsidRPr="00CB0A40">
        <w:rPr>
          <w:rFonts w:ascii="Times New Roman" w:hAnsi="Times New Roman"/>
          <w:b/>
          <w:bCs/>
        </w:rPr>
        <w:t>Requirement for the Program:</w:t>
      </w:r>
      <w:r w:rsidR="00FA525C">
        <w:rPr>
          <w:rFonts w:ascii="Times New Roman" w:hAnsi="Times New Roman"/>
          <w:b/>
          <w:bCs/>
        </w:rPr>
        <w:t xml:space="preserve">  </w:t>
      </w:r>
      <w:r w:rsidRPr="00CC0566" w:rsidR="001070B1">
        <w:rPr>
          <w:rFonts w:ascii="Times New Roman" w:hAnsi="Times New Roman"/>
          <w:color w:val="000000" w:themeColor="text1"/>
        </w:rPr>
        <w:t xml:space="preserve">The HA-L90 and HA-L90-OPI </w:t>
      </w:r>
      <w:r w:rsidRPr="00CC0566" w:rsidR="00257AAA">
        <w:rPr>
          <w:rFonts w:ascii="Times New Roman" w:hAnsi="Times New Roman"/>
          <w:color w:val="000000" w:themeColor="text1"/>
        </w:rPr>
        <w:t xml:space="preserve"> </w:t>
      </w:r>
      <w:r w:rsidRPr="00CC0566" w:rsidR="0023204B">
        <w:rPr>
          <w:rFonts w:ascii="Times New Roman" w:eastAsia="Calibri" w:hAnsi="Times New Roman"/>
        </w:rPr>
        <w:t>forms provide the claimant</w:t>
      </w:r>
      <w:r>
        <w:rPr>
          <w:rFonts w:ascii="Times New Roman" w:eastAsia="Calibri" w:hAnsi="Times New Roman"/>
        </w:rPr>
        <w:t>s</w:t>
      </w:r>
      <w:r w:rsidRPr="00CC0566" w:rsidR="0023204B">
        <w:rPr>
          <w:rFonts w:ascii="Times New Roman" w:eastAsia="Calibri" w:hAnsi="Times New Roman"/>
        </w:rPr>
        <w:t>, or their representative</w:t>
      </w:r>
      <w:r>
        <w:rPr>
          <w:rFonts w:ascii="Times New Roman" w:eastAsia="Calibri" w:hAnsi="Times New Roman"/>
        </w:rPr>
        <w:t>s</w:t>
      </w:r>
      <w:r w:rsidRPr="00CC0566" w:rsidR="0023204B">
        <w:rPr>
          <w:rFonts w:ascii="Times New Roman" w:eastAsia="Calibri" w:hAnsi="Times New Roman"/>
        </w:rPr>
        <w:t xml:space="preserve">, with an opportunity to explain their failure to appear at the scheduled hearing.  This information will help the judge decide if </w:t>
      </w:r>
      <w:r>
        <w:rPr>
          <w:rFonts w:ascii="Times New Roman" w:eastAsia="Calibri" w:hAnsi="Times New Roman"/>
        </w:rPr>
        <w:t xml:space="preserve">the claimants established </w:t>
      </w:r>
      <w:r w:rsidRPr="00CC0566" w:rsidR="0023204B">
        <w:rPr>
          <w:rFonts w:ascii="Times New Roman" w:eastAsia="Calibri" w:hAnsi="Times New Roman"/>
        </w:rPr>
        <w:t>good cause for the claimant’s failure to appear.</w:t>
      </w:r>
    </w:p>
    <w:p w:rsidR="00F918DB" w:rsidRPr="00F918DB" w:rsidP="00F918DB" w14:paraId="49A07990" w14:textId="77777777">
      <w:pPr>
        <w:pStyle w:val="ListParagraph"/>
        <w:widowControl/>
        <w:spacing w:after="240"/>
        <w:ind w:left="1530"/>
        <w:rPr>
          <w:rFonts w:ascii="Times New Roman" w:eastAsia="Calibri" w:hAnsi="Times New Roman"/>
        </w:rPr>
      </w:pPr>
    </w:p>
    <w:p w:rsidR="008465A2" w:rsidRPr="00F918DB" w:rsidP="00F918DB" w14:paraId="2BBEE5F3" w14:textId="0674CB1B">
      <w:pPr>
        <w:pStyle w:val="ListParagraph"/>
        <w:widowControl/>
        <w:numPr>
          <w:ilvl w:val="0"/>
          <w:numId w:val="30"/>
        </w:numPr>
        <w:spacing w:after="240"/>
        <w:ind w:left="1530"/>
        <w:rPr>
          <w:rFonts w:ascii="Times New Roman" w:eastAsia="Calibri" w:hAnsi="Times New Roman"/>
        </w:rPr>
      </w:pPr>
      <w:r w:rsidRPr="00F918DB">
        <w:rPr>
          <w:rFonts w:ascii="Times New Roman" w:hAnsi="Times New Roman"/>
          <w:b/>
          <w:bCs/>
        </w:rPr>
        <w:t>Psychological Cost:</w:t>
      </w:r>
      <w:r w:rsidRPr="00F918DB">
        <w:rPr>
          <w:rFonts w:ascii="Times New Roman" w:hAnsi="Times New Roman"/>
        </w:rPr>
        <w:t xml:space="preserve">  </w:t>
      </w:r>
      <w:r w:rsidRPr="00F918DB">
        <w:rPr>
          <w:rFonts w:ascii="Times New Roman" w:hAnsi="Times New Roman"/>
          <w:szCs w:val="20"/>
        </w:rPr>
        <w:t>The respondents might perceive the request to provide an explanation for their failure to appear at the hearing as intrusive or that it could negatively impact their pending request for the hearing.  Because of this, some may find the process stressful and may not respond.</w:t>
      </w:r>
      <w:r w:rsidRPr="003678D7">
        <w:t xml:space="preserve"> </w:t>
      </w:r>
    </w:p>
    <w:p w:rsidR="003D337D" w:rsidP="003D337D" w14:paraId="46985C82" w14:textId="77777777">
      <w:pPr>
        <w:ind w:left="720"/>
        <w:rPr>
          <w:rFonts w:ascii="Times New Roman" w:hAnsi="Times New Roman"/>
          <w:szCs w:val="20"/>
        </w:rPr>
      </w:pPr>
      <w:r w:rsidRPr="003D337D">
        <w:rPr>
          <w:rFonts w:ascii="Times New Roman" w:hAnsi="Times New Roman"/>
          <w:szCs w:val="20"/>
        </w:rPr>
        <w:t>We understand these psychological costs may cause respondents to delay their completion of the information collection or cause them to abandon the information collection entirely.  However, we require full completion of this collection to determine good cause.  Therefore, we have taken this potential psychological cost into account when calculating our burden in #12 below.</w:t>
      </w:r>
    </w:p>
    <w:p w:rsidR="00726B54" w:rsidRPr="003D337D" w:rsidP="003D337D" w14:paraId="255BF89D" w14:textId="77777777">
      <w:pPr>
        <w:ind w:left="720"/>
        <w:rPr>
          <w:rFonts w:ascii="Times New Roman" w:hAnsi="Times New Roman"/>
          <w:szCs w:val="20"/>
        </w:rPr>
      </w:pPr>
    </w:p>
    <w:p w:rsidR="00726B54" w:rsidP="00726B54" w14:paraId="73E421AE" w14:textId="77777777">
      <w:pPr>
        <w:pStyle w:val="ListParagraph"/>
        <w:tabs>
          <w:tab w:val="left" w:pos="1080"/>
        </w:tabs>
        <w:rPr>
          <w:rFonts w:ascii="Times New Roman" w:eastAsia="Calibri" w:hAnsi="Times New Roman"/>
        </w:rPr>
      </w:pPr>
      <w:r w:rsidRPr="00726B54">
        <w:rPr>
          <w:rFonts w:ascii="Times New Roman" w:eastAsia="Calibri" w:hAnsi="Times New Roman"/>
        </w:rPr>
        <w:t xml:space="preserve">The respondents are </w:t>
      </w:r>
      <w:r w:rsidRPr="00726B54">
        <w:rPr>
          <w:rFonts w:ascii="Times New Roman" w:hAnsi="Times New Roman"/>
        </w:rPr>
        <w:t>individuals, and their representatives, who requested a hearing before a judge after SSA denied their application who are</w:t>
      </w:r>
      <w:r w:rsidRPr="00726B54">
        <w:rPr>
          <w:rFonts w:ascii="Times New Roman" w:eastAsia="Calibri" w:hAnsi="Times New Roman"/>
        </w:rPr>
        <w:t xml:space="preserve"> seeking to establish good cause for failure to appear at the scheduled hearing.</w:t>
      </w:r>
    </w:p>
    <w:p w:rsidR="00726B54" w:rsidRPr="00726B54" w:rsidP="00726B54" w14:paraId="1FD4E82B" w14:textId="77777777">
      <w:pPr>
        <w:pStyle w:val="ListParagraph"/>
        <w:tabs>
          <w:tab w:val="left" w:pos="1080"/>
        </w:tabs>
        <w:rPr>
          <w:rFonts w:ascii="Times New Roman" w:hAnsi="Times New Roman"/>
          <w:b/>
        </w:rPr>
      </w:pPr>
    </w:p>
    <w:p w:rsidR="0036696D" w:rsidRPr="00B2549D" w:rsidP="00BD7EFC" w14:paraId="6E99D7BF" w14:textId="77777777">
      <w:pPr>
        <w:numPr>
          <w:ilvl w:val="0"/>
          <w:numId w:val="10"/>
        </w:numPr>
        <w:ind w:hanging="630"/>
        <w:rPr>
          <w:rFonts w:ascii="Times New Roman" w:hAnsi="Times New Roman"/>
        </w:rPr>
      </w:pPr>
      <w:r w:rsidRPr="00B2549D">
        <w:rPr>
          <w:rFonts w:ascii="Times New Roman" w:hAnsi="Times New Roman"/>
          <w:b/>
        </w:rPr>
        <w:t>Use of Information Technology to Collect the Information</w:t>
      </w:r>
    </w:p>
    <w:p w:rsidR="00B2549D" w:rsidP="00B2549D" w14:paraId="2DF5D622" w14:textId="1F455837">
      <w:pPr>
        <w:pStyle w:val="ListParagraph"/>
        <w:rPr>
          <w:rFonts w:ascii="Times New Roman" w:hAnsi="Times New Roman"/>
          <w:color w:val="000000"/>
        </w:rPr>
      </w:pPr>
      <w:r w:rsidRPr="00B2549D">
        <w:rPr>
          <w:rFonts w:ascii="Times New Roman" w:eastAsia="Calibri" w:hAnsi="Times New Roman"/>
          <w:color w:val="000000"/>
        </w:rPr>
        <w:t>At this time, this collection does not currently have a fully public-facing Internet version</w:t>
      </w:r>
      <w:r w:rsidR="00CE2960">
        <w:rPr>
          <w:rFonts w:ascii="Times New Roman" w:eastAsia="Calibri" w:hAnsi="Times New Roman"/>
          <w:color w:val="000000"/>
        </w:rPr>
        <w:t xml:space="preserve"> for the claimants to submit</w:t>
      </w:r>
      <w:r w:rsidRPr="00B2549D">
        <w:rPr>
          <w:rFonts w:ascii="Times New Roman" w:eastAsia="Calibri" w:hAnsi="Times New Roman"/>
          <w:color w:val="000000"/>
        </w:rPr>
        <w:t xml:space="preserve">, as we prioritized other information collections for full electronic conversions.  Given that our IT Mod programming is an ongoing project, we cannot provide timelines for when we will be able to make any particular </w:t>
      </w:r>
      <w:r w:rsidR="00CE2960">
        <w:rPr>
          <w:rFonts w:ascii="Times New Roman" w:eastAsia="Calibri" w:hAnsi="Times New Roman"/>
          <w:color w:val="000000"/>
        </w:rPr>
        <w:t>information collection</w:t>
      </w:r>
      <w:r w:rsidRPr="00B2549D">
        <w:rPr>
          <w:rFonts w:ascii="Times New Roman" w:eastAsia="Calibri" w:hAnsi="Times New Roman"/>
          <w:color w:val="000000"/>
        </w:rPr>
        <w:t xml:space="preserve"> available via the Internet.  We will ultimately convert </w:t>
      </w:r>
      <w:r w:rsidRPr="00B2549D">
        <w:rPr>
          <w:rFonts w:ascii="Times New Roman" w:eastAsia="Calibri" w:hAnsi="Times New Roman"/>
          <w:color w:val="000000"/>
        </w:rPr>
        <w:t>most</w:t>
      </w:r>
      <w:r w:rsidRPr="00B2549D">
        <w:rPr>
          <w:rFonts w:ascii="Times New Roman" w:eastAsia="Calibri" w:hAnsi="Times New Roman"/>
          <w:color w:val="000000"/>
        </w:rPr>
        <w:t xml:space="preserve"> existing </w:t>
      </w:r>
      <w:r w:rsidR="00CE2960">
        <w:rPr>
          <w:rFonts w:ascii="Times New Roman" w:eastAsia="Calibri" w:hAnsi="Times New Roman"/>
          <w:color w:val="000000"/>
        </w:rPr>
        <w:t>information collections</w:t>
      </w:r>
      <w:r w:rsidRPr="00B2549D">
        <w:rPr>
          <w:rFonts w:ascii="Times New Roman" w:eastAsia="Calibri" w:hAnsi="Times New Roman"/>
          <w:color w:val="000000"/>
        </w:rPr>
        <w:t xml:space="preserve"> to full electronic versions depending on how they fall within our overall IT Mod </w:t>
      </w:r>
      <w:r w:rsidRPr="00B2549D">
        <w:rPr>
          <w:rFonts w:ascii="Times New Roman" w:eastAsia="Calibri" w:hAnsi="Times New Roman"/>
          <w:color w:val="000000"/>
        </w:rPr>
        <w:t>schema</w:t>
      </w:r>
      <w:r w:rsidRPr="00B2549D">
        <w:rPr>
          <w:rFonts w:ascii="Times New Roman" w:eastAsia="Calibri" w:hAnsi="Times New Roman"/>
          <w:color w:val="000000"/>
        </w:rPr>
        <w:t>, but this is unconnected to the PRA approval lifecycle.</w:t>
      </w:r>
      <w:r w:rsidRPr="00B2549D">
        <w:rPr>
          <w:rFonts w:ascii="Times New Roman" w:hAnsi="Times New Roman"/>
        </w:rPr>
        <w:t xml:space="preserve">  There is also a low volume of respondents to this form.  The agency has plans to convert this form to a submittable PDF, but we have not yet scheduled that conversion.  </w:t>
      </w:r>
      <w:r w:rsidRPr="00B2549D">
        <w:rPr>
          <w:rFonts w:ascii="Times New Roman" w:hAnsi="Times New Roman"/>
          <w:color w:val="000000"/>
        </w:rPr>
        <w:t xml:space="preserve">When we are able to schedule this form for conversion to a submittable PDF, we will submit a Change Request to OMB to request prior approval.  </w:t>
      </w:r>
    </w:p>
    <w:p w:rsidR="00B2549D" w:rsidP="00B2549D" w14:paraId="72CD0AEF" w14:textId="77777777">
      <w:pPr>
        <w:pStyle w:val="ListParagraph"/>
        <w:rPr>
          <w:rFonts w:ascii="Times New Roman" w:hAnsi="Times New Roman"/>
          <w:color w:val="000000"/>
        </w:rPr>
      </w:pPr>
    </w:p>
    <w:p w:rsidR="00B2549D" w:rsidRPr="00B2549D" w:rsidP="00B2549D" w14:paraId="5CFEC162" w14:textId="22030FA8">
      <w:pPr>
        <w:tabs>
          <w:tab w:val="left" w:pos="1440"/>
        </w:tabs>
        <w:ind w:left="720"/>
        <w:rPr>
          <w:rFonts w:ascii="Times New Roman" w:hAnsi="Times New Roman"/>
        </w:rPr>
      </w:pPr>
      <w:r w:rsidRPr="00B2549D">
        <w:rPr>
          <w:rFonts w:ascii="Times New Roman" w:hAnsi="Times New Roman"/>
        </w:rPr>
        <w:t>Representatives can submit and upload their claimant’s completed HA</w:t>
      </w:r>
      <w:r w:rsidRPr="00B2549D">
        <w:rPr>
          <w:rFonts w:ascii="Times New Roman" w:hAnsi="Times New Roman"/>
        </w:rPr>
        <w:noBreakHyphen/>
        <w:t>L90 or HA-L90-OP1</w:t>
      </w:r>
      <w:r w:rsidR="00CE2960">
        <w:rPr>
          <w:rFonts w:ascii="Times New Roman" w:hAnsi="Times New Roman"/>
        </w:rPr>
        <w:t xml:space="preserve"> </w:t>
      </w:r>
      <w:r w:rsidRPr="00B2549D">
        <w:rPr>
          <w:rFonts w:ascii="Times New Roman" w:hAnsi="Times New Roman"/>
        </w:rPr>
        <w:t>electronically through Electronic Records Express (ERE</w:t>
      </w:r>
      <w:r w:rsidR="00CE2960">
        <w:rPr>
          <w:rFonts w:ascii="Times New Roman" w:hAnsi="Times New Roman"/>
        </w:rPr>
        <w:t xml:space="preserve">, </w:t>
      </w:r>
      <w:r w:rsidRPr="00B2549D">
        <w:rPr>
          <w:rFonts w:ascii="Times New Roman" w:hAnsi="Times New Roman"/>
        </w:rPr>
        <w:t>OMB No. 0960-0753).  When the appointed representative uploads and properly labels a form, the system electronically notifies the hearing office that a new document arrived.  Based on our data, we estimate approximately 80% of claimants have appointed representatives who submit their forms through ERE.</w:t>
      </w:r>
    </w:p>
    <w:p w:rsidR="00B2549D" w:rsidRPr="00CE2960" w:rsidP="00CE2960" w14:paraId="2368A0A1" w14:textId="77777777">
      <w:pPr>
        <w:rPr>
          <w:rFonts w:ascii="Times New Roman" w:hAnsi="Times New Roman"/>
        </w:rPr>
      </w:pPr>
    </w:p>
    <w:p w:rsidR="000C1D18" w:rsidP="00CE2960" w14:paraId="04E8DD7F" w14:textId="77777777">
      <w:pPr>
        <w:numPr>
          <w:ilvl w:val="0"/>
          <w:numId w:val="10"/>
        </w:numPr>
        <w:ind w:hanging="63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B2549D" w:rsidRPr="00B2549D" w:rsidP="00B2549D" w14:paraId="2DD89159" w14:textId="77777777">
      <w:pPr>
        <w:pStyle w:val="ListParagraph"/>
        <w:tabs>
          <w:tab w:val="left" w:pos="1440"/>
        </w:tabs>
        <w:rPr>
          <w:rFonts w:ascii="Times New Roman" w:hAnsi="Times New Roman"/>
          <w:b/>
          <w:bCs/>
        </w:rPr>
      </w:pPr>
      <w:r w:rsidRPr="00B2549D">
        <w:rPr>
          <w:rFonts w:ascii="Times New Roman" w:hAnsi="Times New Roman"/>
        </w:rPr>
        <w:t xml:space="preserve">The nature of the information we collect and the manner in which we collect it </w:t>
      </w:r>
      <w:r w:rsidRPr="00B2549D">
        <w:rPr>
          <w:rFonts w:ascii="Times New Roman" w:hAnsi="Times New Roman"/>
        </w:rPr>
        <w:t>preclude duplication.  SSA does not use another collection instrument to collect similar data.</w:t>
      </w:r>
    </w:p>
    <w:p w:rsidR="0065701B" w:rsidRPr="0065701B" w:rsidP="0065701B" w14:paraId="62E1E5D1" w14:textId="77777777">
      <w:pPr>
        <w:pStyle w:val="ListParagraph"/>
        <w:rPr>
          <w:rFonts w:ascii="Times New Roman" w:hAnsi="Times New Roman"/>
        </w:rPr>
      </w:pPr>
    </w:p>
    <w:p w:rsidR="00077E0E" w:rsidRPr="00077E0E" w:rsidP="00CE2960" w14:paraId="3BDA7516" w14:textId="77777777">
      <w:pPr>
        <w:numPr>
          <w:ilvl w:val="0"/>
          <w:numId w:val="12"/>
        </w:numPr>
        <w:tabs>
          <w:tab w:val="clear" w:pos="360"/>
        </w:tabs>
        <w:ind w:left="720" w:hanging="630"/>
        <w:rPr>
          <w:rFonts w:ascii="Times New Roman" w:hAnsi="Times New Roman"/>
        </w:rPr>
      </w:pPr>
      <w:r>
        <w:rPr>
          <w:rFonts w:ascii="Times New Roman" w:hAnsi="Times New Roman"/>
          <w:b/>
        </w:rPr>
        <w:t>Minimizing Burden on Small Respondents</w:t>
      </w:r>
    </w:p>
    <w:p w:rsidR="00092A53" w:rsidRPr="00092A53" w:rsidP="00092A53" w14:paraId="5B680A26" w14:textId="77777777">
      <w:pPr>
        <w:ind w:left="720"/>
        <w:rPr>
          <w:rFonts w:ascii="Times New Roman" w:hAnsi="Times New Roman"/>
        </w:rPr>
      </w:pPr>
      <w:r w:rsidRPr="00092A53">
        <w:rPr>
          <w:rFonts w:ascii="Times New Roman" w:hAnsi="Times New Roman"/>
        </w:rPr>
        <w:t>This collection does not affect small businesses or other small entities.</w:t>
      </w:r>
    </w:p>
    <w:p w:rsidR="00077E0E" w:rsidP="00077E0E" w14:paraId="6410B1D9" w14:textId="77777777">
      <w:pPr>
        <w:ind w:left="720"/>
        <w:rPr>
          <w:rFonts w:ascii="Times New Roman" w:hAnsi="Times New Roman"/>
        </w:rPr>
      </w:pPr>
    </w:p>
    <w:p w:rsidR="00A45D82" w:rsidP="00CE2960" w14:paraId="17C52609" w14:textId="610F033B">
      <w:pPr>
        <w:ind w:left="720" w:hanging="63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B2549D" w:rsidRPr="00A961BF" w:rsidP="00A961BF" w14:paraId="58459D1C" w14:textId="593D369B">
      <w:pPr>
        <w:tabs>
          <w:tab w:val="left" w:pos="1440"/>
        </w:tabs>
        <w:ind w:left="720"/>
        <w:rPr>
          <w:rFonts w:ascii="Times New Roman" w:hAnsi="Times New Roman"/>
        </w:rPr>
      </w:pPr>
      <w:r w:rsidRPr="00A961BF">
        <w:rPr>
          <w:rFonts w:ascii="Times New Roman" w:hAnsi="Times New Roman"/>
        </w:rPr>
        <w:t xml:space="preserve">To comply with Federal law, SSA must collect the information on these forms.  </w:t>
      </w:r>
      <w:r w:rsidRPr="00A961BF">
        <w:rPr>
          <w:rFonts w:ascii="Times New Roman" w:hAnsi="Times New Roman"/>
        </w:rPr>
        <w:t>If we did not collect the information, when necessary, the judge would dismiss the claimant’s case when the claimant did not appear at their scheduled hearing.  Since we only collect this information on an as needed basis, we cannot collect it less frequently.</w:t>
      </w:r>
      <w:r>
        <w:rPr>
          <w:rFonts w:ascii="Times New Roman" w:hAnsi="Times New Roman"/>
        </w:rPr>
        <w:t xml:space="preserve">  </w:t>
      </w:r>
      <w:r w:rsidRPr="00A961BF">
        <w:rPr>
          <w:rFonts w:ascii="Times New Roman" w:hAnsi="Times New Roman"/>
        </w:rPr>
        <w:t>There are no technical or legal obstacles to burden reduction.</w:t>
      </w:r>
    </w:p>
    <w:p w:rsidR="00281CBA" w:rsidRPr="00A961BF" w:rsidP="00281CBA" w14:paraId="6E8C47B5" w14:textId="56BC9BBF">
      <w:pPr>
        <w:ind w:left="720" w:hanging="720"/>
        <w:rPr>
          <w:rFonts w:ascii="Times New Roman" w:hAnsi="Times New Roman"/>
          <w:i/>
        </w:rPr>
      </w:pPr>
    </w:p>
    <w:p w:rsidR="00127980" w:rsidP="00CE2960" w14:paraId="17549282" w14:textId="77777777">
      <w:pPr>
        <w:ind w:left="720" w:hanging="63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F55053" w:rsidRPr="00F55053" w:rsidP="00F55053" w14:paraId="3790B90E" w14:textId="02387642">
      <w:pPr>
        <w:ind w:left="720"/>
        <w:rPr>
          <w:rFonts w:ascii="Times New Roman" w:hAnsi="Times New Roman"/>
          <w:i/>
        </w:rPr>
      </w:pPr>
      <w:r w:rsidRPr="00F55053">
        <w:rPr>
          <w:rFonts w:ascii="Times New Roman" w:hAnsi="Times New Roman"/>
        </w:rPr>
        <w:t xml:space="preserve">There are no special circumstances that would cause SSA to conduct this information collection in a manner inconsistent with </w:t>
      </w:r>
      <w:r w:rsidRPr="00F55053">
        <w:rPr>
          <w:rFonts w:ascii="Times New Roman" w:hAnsi="Times New Roman"/>
          <w:i/>
        </w:rPr>
        <w:t>5 CFR 1320.5.</w:t>
      </w:r>
    </w:p>
    <w:p w:rsidR="00F55053" w:rsidP="00A45D82" w14:paraId="2DB86DDB" w14:textId="46181305">
      <w:pPr>
        <w:ind w:left="720" w:hanging="720"/>
        <w:rPr>
          <w:rFonts w:ascii="Times New Roman" w:hAnsi="Times New Roman"/>
          <w:b/>
        </w:rPr>
      </w:pPr>
    </w:p>
    <w:p w:rsidR="00A45D82" w:rsidRPr="00D00FC6" w:rsidP="00CE2960" w14:paraId="315CB818" w14:textId="32A5F27E">
      <w:pPr>
        <w:numPr>
          <w:ilvl w:val="0"/>
          <w:numId w:val="7"/>
        </w:numPr>
        <w:tabs>
          <w:tab w:val="clear" w:pos="720"/>
        </w:tabs>
        <w:ind w:hanging="630"/>
        <w:rPr>
          <w:rFonts w:ascii="Times New Roman" w:hAnsi="Times New Roman"/>
        </w:rPr>
      </w:pPr>
      <w:r w:rsidRPr="00BC7F42">
        <w:rPr>
          <w:rFonts w:ascii="Times New Roman" w:hAnsi="Times New Roman"/>
          <w:b/>
        </w:rPr>
        <w:t xml:space="preserve">Solicitation of Public Comment and Other Consultations with the Public </w:t>
      </w:r>
    </w:p>
    <w:p w:rsidR="00D00FC6" w:rsidRPr="00D00FC6" w:rsidP="00D00FC6" w14:paraId="42D5E4E0" w14:textId="77777777">
      <w:pPr>
        <w:pStyle w:val="ListParagraph"/>
        <w:rPr>
          <w:rFonts w:ascii="Times New Roman" w:hAnsi="Times New Roman"/>
        </w:rPr>
      </w:pPr>
      <w:r w:rsidRPr="00D00FC6">
        <w:rPr>
          <w:rFonts w:ascii="Times New Roman" w:hAnsi="Times New Roman"/>
        </w:rPr>
        <w:t xml:space="preserve">The 60-day advance Federal Register Notice published on March 23, 2026, at </w:t>
      </w:r>
    </w:p>
    <w:p w:rsidR="00D00FC6" w:rsidRPr="00A961BF" w:rsidP="00A961BF" w14:paraId="22BA4955" w14:textId="7DB6805D">
      <w:pPr>
        <w:pStyle w:val="ListParagraph"/>
        <w:tabs>
          <w:tab w:val="left" w:pos="1440"/>
        </w:tabs>
        <w:rPr>
          <w:rFonts w:ascii="Times New Roman" w:hAnsi="Times New Roman"/>
          <w:noProof/>
          <w:lang w:bidi="en-US"/>
        </w:rPr>
      </w:pPr>
      <w:r w:rsidRPr="00D00FC6">
        <w:rPr>
          <w:rFonts w:ascii="Times New Roman" w:hAnsi="Times New Roman"/>
        </w:rPr>
        <w:t xml:space="preserve">91 FR 13915, and we received </w:t>
      </w:r>
      <w:r w:rsidR="00A961BF">
        <w:rPr>
          <w:rFonts w:ascii="Times New Roman" w:hAnsi="Times New Roman"/>
        </w:rPr>
        <w:t>one</w:t>
      </w:r>
      <w:r w:rsidRPr="00D00FC6">
        <w:rPr>
          <w:rFonts w:ascii="Times New Roman" w:hAnsi="Times New Roman"/>
        </w:rPr>
        <w:t xml:space="preserve"> public comments.</w:t>
      </w:r>
      <w:r w:rsidR="006C5A8A">
        <w:rPr>
          <w:rFonts w:ascii="Times New Roman" w:hAnsi="Times New Roman"/>
        </w:rPr>
        <w:t xml:space="preserve">  </w:t>
      </w:r>
      <w:r w:rsidR="00A961BF">
        <w:rPr>
          <w:rFonts w:ascii="Times New Roman" w:hAnsi="Times New Roman"/>
          <w:noProof/>
          <w:lang w:bidi="en-US"/>
        </w:rPr>
        <w:t>Please see the Addendum for the summary of the public comments and SSA’s responses</w:t>
      </w:r>
      <w:r w:rsidRPr="00201CD3" w:rsidR="00A961BF">
        <w:rPr>
          <w:rFonts w:ascii="Times New Roman" w:hAnsi="Times New Roman"/>
          <w:noProof/>
          <w:lang w:bidi="en-US"/>
        </w:rPr>
        <w:t xml:space="preserve">.  </w:t>
      </w:r>
      <w:r w:rsidRPr="00A961BF">
        <w:rPr>
          <w:rFonts w:ascii="Times New Roman" w:hAnsi="Times New Roman"/>
        </w:rPr>
        <w:t xml:space="preserve">The 30-day FRN published on May 22, 2026, at 91 FR 30360.  If we receive any comments in response to this Notice, we will forward them to OMB. </w:t>
      </w:r>
      <w:r w:rsidR="00A961BF">
        <w:rPr>
          <w:rFonts w:ascii="Times New Roman" w:hAnsi="Times New Roman"/>
        </w:rPr>
        <w:t xml:space="preserve"> </w:t>
      </w:r>
      <w:r w:rsidRPr="00A961BF" w:rsidR="00A961BF">
        <w:rPr>
          <w:rFonts w:ascii="Times New Roman" w:hAnsi="Times New Roman"/>
        </w:rPr>
        <w:t>We did not consult with the public in the revision of this form.</w:t>
      </w:r>
      <w:r w:rsidRPr="00A961BF" w:rsidR="006C5A8A">
        <w:rPr>
          <w:rFonts w:ascii="Times New Roman" w:hAnsi="Times New Roman"/>
        </w:rPr>
        <w:t xml:space="preserve"> </w:t>
      </w:r>
    </w:p>
    <w:p w:rsidR="00D00FC6" w:rsidRPr="00BC7F42" w:rsidP="00D00FC6" w14:paraId="4A716C0F" w14:textId="77777777">
      <w:pPr>
        <w:ind w:left="720"/>
        <w:rPr>
          <w:rFonts w:ascii="Times New Roman" w:hAnsi="Times New Roman"/>
        </w:rPr>
      </w:pPr>
    </w:p>
    <w:p w:rsidR="00640A26" w:rsidP="00CE2960" w14:paraId="4D0F4157" w14:textId="77777777">
      <w:pPr>
        <w:numPr>
          <w:ilvl w:val="0"/>
          <w:numId w:val="7"/>
        </w:numPr>
        <w:ind w:hanging="630"/>
        <w:rPr>
          <w:rFonts w:ascii="Times New Roman" w:hAnsi="Times New Roman"/>
          <w:b/>
        </w:rPr>
      </w:pPr>
      <w:r w:rsidRPr="00BC7F42">
        <w:rPr>
          <w:rFonts w:ascii="Times New Roman" w:hAnsi="Times New Roman"/>
          <w:b/>
        </w:rPr>
        <w:t>Payment or Gifts to Respondents</w:t>
      </w:r>
    </w:p>
    <w:p w:rsidR="008742FF" w:rsidRPr="008742FF" w:rsidP="008742FF" w14:paraId="6FD2AE62" w14:textId="77777777">
      <w:pPr>
        <w:pStyle w:val="ListParagraph"/>
        <w:rPr>
          <w:rFonts w:ascii="Times New Roman" w:hAnsi="Times New Roman"/>
        </w:rPr>
      </w:pPr>
      <w:r w:rsidRPr="008742FF">
        <w:rPr>
          <w:rFonts w:ascii="Times New Roman" w:hAnsi="Times New Roman"/>
        </w:rPr>
        <w:t>SSA does not provide payment or gifts to the respondents.</w:t>
      </w:r>
    </w:p>
    <w:p w:rsidR="00A45D82" w:rsidRPr="00BC7F42" w:rsidP="008742FF" w14:paraId="186F1DFD" w14:textId="77777777">
      <w:pPr>
        <w:ind w:left="720"/>
        <w:rPr>
          <w:rFonts w:ascii="Times New Roman" w:hAnsi="Times New Roman"/>
        </w:rPr>
      </w:pPr>
    </w:p>
    <w:p w:rsidR="00795BAB" w:rsidP="00CE2960" w14:paraId="79DE3392" w14:textId="77777777">
      <w:pPr>
        <w:numPr>
          <w:ilvl w:val="0"/>
          <w:numId w:val="7"/>
        </w:numPr>
        <w:ind w:hanging="630"/>
        <w:rPr>
          <w:rFonts w:ascii="Times New Roman" w:hAnsi="Times New Roman"/>
          <w:b/>
        </w:rPr>
      </w:pPr>
      <w:r w:rsidRPr="00BC7F42">
        <w:rPr>
          <w:rFonts w:ascii="Times New Roman" w:hAnsi="Times New Roman"/>
          <w:b/>
        </w:rPr>
        <w:t>Assurances of Confidentiality</w:t>
      </w:r>
    </w:p>
    <w:p w:rsidR="00BD5D8A" w:rsidRPr="00BD5D8A" w:rsidP="00BD5D8A" w14:paraId="7C590BAD" w14:textId="77777777">
      <w:pPr>
        <w:pStyle w:val="ListParagraph"/>
        <w:tabs>
          <w:tab w:val="left" w:pos="-720"/>
          <w:tab w:val="left" w:pos="0"/>
          <w:tab w:val="left" w:pos="1080"/>
        </w:tabs>
        <w:suppressAutoHyphens/>
        <w:outlineLvl w:val="0"/>
        <w:rPr>
          <w:rFonts w:ascii="Times New Roman" w:hAnsi="Times New Roman"/>
          <w:b/>
          <w:color w:val="000000" w:themeColor="text1"/>
        </w:rPr>
      </w:pPr>
      <w:r w:rsidRPr="00BD5D8A">
        <w:rPr>
          <w:rFonts w:ascii="Times New Roman" w:hAnsi="Times New Roman"/>
          <w:color w:val="000000" w:themeColor="text1"/>
        </w:rPr>
        <w:t xml:space="preserve">SSA protects and holds confidential the information we collect in accordance with </w:t>
      </w:r>
      <w:r w:rsidRPr="00BD5D8A">
        <w:rPr>
          <w:rFonts w:ascii="Times New Roman" w:hAnsi="Times New Roman"/>
          <w:i/>
          <w:color w:val="000000" w:themeColor="text1"/>
        </w:rPr>
        <w:t>42 U.S.C. 1306, 20 CFR 401</w:t>
      </w:r>
      <w:r w:rsidRPr="00BD5D8A">
        <w:rPr>
          <w:rFonts w:ascii="Times New Roman" w:hAnsi="Times New Roman"/>
          <w:color w:val="000000" w:themeColor="text1"/>
        </w:rPr>
        <w:t xml:space="preserve"> and </w:t>
      </w:r>
      <w:r w:rsidRPr="00BD5D8A">
        <w:rPr>
          <w:rFonts w:ascii="Times New Roman" w:hAnsi="Times New Roman"/>
          <w:i/>
          <w:color w:val="000000" w:themeColor="text1"/>
        </w:rPr>
        <w:t>402, 5 U.S.C. 552</w:t>
      </w:r>
      <w:r w:rsidRPr="00BD5D8A">
        <w:rPr>
          <w:rFonts w:ascii="Times New Roman" w:hAnsi="Times New Roman"/>
          <w:color w:val="000000" w:themeColor="text1"/>
        </w:rPr>
        <w:t xml:space="preserve"> (Freedom of Information Act), </w:t>
      </w:r>
      <w:r w:rsidRPr="00BD5D8A">
        <w:rPr>
          <w:rFonts w:ascii="Times New Roman" w:hAnsi="Times New Roman"/>
          <w:i/>
          <w:color w:val="000000" w:themeColor="text1"/>
        </w:rPr>
        <w:t>5 U.S.C. 552a</w:t>
      </w:r>
      <w:r w:rsidRPr="00BD5D8A">
        <w:rPr>
          <w:rFonts w:ascii="Times New Roman" w:hAnsi="Times New Roman"/>
          <w:color w:val="000000" w:themeColor="text1"/>
        </w:rPr>
        <w:t xml:space="preserve"> (Privacy Act of 1974), and OMB Circular No. A-130.</w:t>
      </w:r>
    </w:p>
    <w:p w:rsidR="00A45D82" w:rsidRPr="00BC7F42" w:rsidP="00BD5D8A" w14:paraId="6F36D59D" w14:textId="2721C6F3">
      <w:pPr>
        <w:ind w:left="720"/>
        <w:rPr>
          <w:rFonts w:ascii="Times New Roman" w:hAnsi="Times New Roman"/>
        </w:rPr>
      </w:pPr>
    </w:p>
    <w:p w:rsidR="00D0011E" w:rsidP="00CE2960" w14:paraId="25ADE937" w14:textId="77777777">
      <w:pPr>
        <w:numPr>
          <w:ilvl w:val="0"/>
          <w:numId w:val="7"/>
        </w:numPr>
        <w:ind w:hanging="630"/>
        <w:rPr>
          <w:rFonts w:ascii="Times New Roman" w:hAnsi="Times New Roman"/>
          <w:b/>
        </w:rPr>
      </w:pPr>
      <w:r w:rsidRPr="00BC7F42">
        <w:rPr>
          <w:rFonts w:ascii="Times New Roman" w:hAnsi="Times New Roman"/>
          <w:b/>
        </w:rPr>
        <w:t>Justification for Sensitive Questions</w:t>
      </w:r>
    </w:p>
    <w:p w:rsidR="000D6C36" w:rsidRPr="000D6C36" w:rsidP="000D6C36" w14:paraId="02E1EBD6" w14:textId="77777777">
      <w:pPr>
        <w:pStyle w:val="ListParagraph"/>
        <w:tabs>
          <w:tab w:val="left" w:pos="-720"/>
          <w:tab w:val="left" w:pos="0"/>
          <w:tab w:val="left" w:pos="1080"/>
        </w:tabs>
        <w:suppressAutoHyphens/>
        <w:outlineLvl w:val="0"/>
        <w:rPr>
          <w:rFonts w:ascii="Times New Roman" w:hAnsi="Times New Roman"/>
          <w:color w:val="000000" w:themeColor="text1"/>
        </w:rPr>
      </w:pPr>
      <w:r w:rsidRPr="000D6C36">
        <w:rPr>
          <w:rFonts w:ascii="Times New Roman" w:hAnsi="Times New Roman"/>
          <w:color w:val="000000" w:themeColor="text1"/>
        </w:rPr>
        <w:t>The information collection does not contain any questions of a sensitive nature.</w:t>
      </w:r>
    </w:p>
    <w:p w:rsidR="00765C2A" w:rsidP="007256B3" w14:paraId="71C3AF3D" w14:textId="7B269D22">
      <w:pPr>
        <w:ind w:left="720"/>
        <w:rPr>
          <w:rFonts w:ascii="Times New Roman" w:hAnsi="Times New Roman"/>
        </w:rPr>
      </w:pPr>
    </w:p>
    <w:p w:rsidR="00F25E57" w:rsidP="00CE2960" w14:paraId="1F2B8437" w14:textId="5171B422">
      <w:pPr>
        <w:numPr>
          <w:ilvl w:val="0"/>
          <w:numId w:val="7"/>
        </w:numPr>
        <w:ind w:hanging="630"/>
        <w:rPr>
          <w:rFonts w:ascii="Times New Roman" w:hAnsi="Times New Roman"/>
          <w:b/>
        </w:rPr>
      </w:pPr>
      <w:r w:rsidRPr="00BC7F42">
        <w:rPr>
          <w:rFonts w:ascii="Times New Roman" w:hAnsi="Times New Roman"/>
          <w:b/>
        </w:rPr>
        <w:t>Estimates of Public Reporting Burden</w:t>
      </w:r>
    </w:p>
    <w:p w:rsidR="00740946" w:rsidP="00740946" w14:paraId="310841A8" w14:textId="77777777">
      <w:pPr>
        <w:rPr>
          <w:rFonts w:ascii="Times New Roman" w:hAnsi="Times New Roman"/>
          <w:b/>
        </w:rPr>
      </w:pPr>
    </w:p>
    <w:tbl>
      <w:tblPr>
        <w:tblW w:w="11599" w:type="dxa"/>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801"/>
        <w:gridCol w:w="1513"/>
        <w:gridCol w:w="1513"/>
        <w:gridCol w:w="1513"/>
        <w:gridCol w:w="1801"/>
        <w:gridCol w:w="1801"/>
      </w:tblGrid>
      <w:tr w14:paraId="0C20F5EA" w14:textId="77777777" w:rsidTr="00740946">
        <w:tblPrEx>
          <w:tblW w:w="11599" w:type="dxa"/>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57" w:type="dxa"/>
          </w:tcPr>
          <w:p w:rsidR="00740946" w:rsidRPr="00740946" w:rsidP="00E222E6" w14:paraId="6F6F627D" w14:textId="791D9420">
            <w:pPr>
              <w:suppressAutoHyphens/>
              <w:rPr>
                <w:rFonts w:ascii="Times New Roman" w:eastAsia="SimSun" w:hAnsi="Times New Roman"/>
                <w:b/>
                <w:lang w:eastAsia="ar-SA"/>
              </w:rPr>
            </w:pPr>
            <w:r w:rsidRPr="00740946">
              <w:rPr>
                <w:rFonts w:ascii="Times New Roman" w:hAnsi="Times New Roman"/>
              </w:rPr>
              <w:br w:type="page"/>
            </w:r>
            <w:r w:rsidRPr="00740946">
              <w:rPr>
                <w:rFonts w:ascii="Times New Roman" w:eastAsia="SimSun" w:hAnsi="Times New Roman"/>
                <w:b/>
                <w:lang w:eastAsia="ar-SA"/>
              </w:rPr>
              <w:t>Method of Completion</w:t>
            </w:r>
          </w:p>
        </w:tc>
        <w:tc>
          <w:tcPr>
            <w:tcW w:w="1801" w:type="dxa"/>
          </w:tcPr>
          <w:p w:rsidR="00740946" w:rsidRPr="00740946" w:rsidP="00E222E6" w14:paraId="1F2255E1" w14:textId="77777777">
            <w:pPr>
              <w:suppressAutoHyphens/>
              <w:rPr>
                <w:rFonts w:ascii="Times New Roman" w:eastAsia="SimSun" w:hAnsi="Times New Roman"/>
                <w:b/>
                <w:lang w:eastAsia="ar-SA"/>
              </w:rPr>
            </w:pPr>
            <w:r w:rsidRPr="00740946">
              <w:rPr>
                <w:rFonts w:ascii="Times New Roman" w:eastAsia="SimSun" w:hAnsi="Times New Roman"/>
                <w:b/>
                <w:lang w:eastAsia="ar-SA"/>
              </w:rPr>
              <w:t>Number of Respondents</w:t>
            </w:r>
          </w:p>
        </w:tc>
        <w:tc>
          <w:tcPr>
            <w:tcW w:w="1513" w:type="dxa"/>
          </w:tcPr>
          <w:p w:rsidR="00740946" w:rsidRPr="00740946" w:rsidP="00E222E6" w14:paraId="0345495F" w14:textId="77777777">
            <w:pPr>
              <w:suppressAutoHyphens/>
              <w:rPr>
                <w:rFonts w:ascii="Times New Roman" w:eastAsia="SimSun" w:hAnsi="Times New Roman"/>
                <w:b/>
                <w:lang w:eastAsia="ar-SA"/>
              </w:rPr>
            </w:pPr>
            <w:r w:rsidRPr="00740946">
              <w:rPr>
                <w:rFonts w:ascii="Times New Roman" w:eastAsia="SimSun" w:hAnsi="Times New Roman"/>
                <w:b/>
                <w:lang w:eastAsia="ar-SA"/>
              </w:rPr>
              <w:t>Frequency of Response</w:t>
            </w:r>
          </w:p>
        </w:tc>
        <w:tc>
          <w:tcPr>
            <w:tcW w:w="1513" w:type="dxa"/>
          </w:tcPr>
          <w:p w:rsidR="00740946" w:rsidRPr="00740946" w:rsidP="00E222E6" w14:paraId="141C7092" w14:textId="77777777">
            <w:pPr>
              <w:suppressAutoHyphens/>
              <w:rPr>
                <w:rFonts w:ascii="Times New Roman" w:eastAsia="SimSun" w:hAnsi="Times New Roman"/>
                <w:b/>
                <w:lang w:eastAsia="ar-SA"/>
              </w:rPr>
            </w:pPr>
            <w:r w:rsidRPr="00740946">
              <w:rPr>
                <w:rFonts w:ascii="Times New Roman" w:eastAsia="SimSun" w:hAnsi="Times New Roman"/>
                <w:b/>
                <w:lang w:eastAsia="ar-SA"/>
              </w:rPr>
              <w:t>Average Burden Per Response (minutes)</w:t>
            </w:r>
          </w:p>
        </w:tc>
        <w:tc>
          <w:tcPr>
            <w:tcW w:w="1513" w:type="dxa"/>
          </w:tcPr>
          <w:p w:rsidR="00740946" w:rsidRPr="00740946" w:rsidP="00E222E6" w14:paraId="22174737" w14:textId="77777777">
            <w:pPr>
              <w:suppressAutoHyphens/>
              <w:rPr>
                <w:rFonts w:ascii="Times New Roman" w:eastAsia="SimSun" w:hAnsi="Times New Roman"/>
                <w:b/>
                <w:lang w:eastAsia="ar-SA"/>
              </w:rPr>
            </w:pPr>
            <w:r w:rsidRPr="00740946">
              <w:rPr>
                <w:rFonts w:ascii="Times New Roman" w:eastAsia="SimSun" w:hAnsi="Times New Roman"/>
                <w:b/>
                <w:lang w:eastAsia="ar-SA"/>
              </w:rPr>
              <w:t>Estimated Total Annual Burden (hours)</w:t>
            </w:r>
          </w:p>
        </w:tc>
        <w:tc>
          <w:tcPr>
            <w:tcW w:w="1801" w:type="dxa"/>
          </w:tcPr>
          <w:p w:rsidR="00740946" w:rsidRPr="00740946" w:rsidP="00E222E6" w14:paraId="7213DFF8" w14:textId="77777777">
            <w:pPr>
              <w:suppressAutoHyphens/>
              <w:rPr>
                <w:rFonts w:ascii="Times New Roman" w:eastAsia="SimSun" w:hAnsi="Times New Roman"/>
                <w:b/>
                <w:lang w:eastAsia="ar-SA"/>
              </w:rPr>
            </w:pPr>
            <w:r w:rsidRPr="00740946">
              <w:rPr>
                <w:rFonts w:ascii="Times New Roman" w:eastAsia="SimSun" w:hAnsi="Times New Roman"/>
                <w:b/>
                <w:lang w:eastAsia="ar-SA"/>
              </w:rPr>
              <w:t>Average Theoretical Hourly Cost Amount (dollars)*</w:t>
            </w:r>
          </w:p>
        </w:tc>
        <w:tc>
          <w:tcPr>
            <w:tcW w:w="1801" w:type="dxa"/>
          </w:tcPr>
          <w:p w:rsidR="00740946" w:rsidRPr="00740946" w:rsidP="00E222E6" w14:paraId="7F8428DF" w14:textId="77777777">
            <w:pPr>
              <w:contextualSpacing/>
              <w:rPr>
                <w:rFonts w:ascii="Times New Roman" w:eastAsia="Calibri" w:hAnsi="Times New Roman"/>
                <w:b/>
              </w:rPr>
            </w:pPr>
            <w:r w:rsidRPr="00740946">
              <w:rPr>
                <w:rFonts w:ascii="Times New Roman" w:eastAsia="Calibri" w:hAnsi="Times New Roman"/>
                <w:b/>
              </w:rPr>
              <w:t>Total Annual Opportunity Cost (dollars)**</w:t>
            </w:r>
          </w:p>
        </w:tc>
      </w:tr>
      <w:tr w14:paraId="4B391FA9" w14:textId="77777777" w:rsidTr="00740946">
        <w:tblPrEx>
          <w:tblW w:w="11599" w:type="dxa"/>
          <w:tblInd w:w="-1487" w:type="dxa"/>
          <w:tblLook w:val="04A0"/>
        </w:tblPrEx>
        <w:tc>
          <w:tcPr>
            <w:tcW w:w="1657" w:type="dxa"/>
          </w:tcPr>
          <w:p w:rsidR="00740946" w:rsidRPr="00740946" w:rsidP="00E222E6" w14:paraId="6786D212" w14:textId="77777777">
            <w:pPr>
              <w:suppressAutoHyphens/>
              <w:rPr>
                <w:rFonts w:ascii="Times New Roman" w:eastAsia="SimSun" w:hAnsi="Times New Roman"/>
                <w:lang w:eastAsia="ar-SA"/>
              </w:rPr>
            </w:pPr>
            <w:r w:rsidRPr="00740946">
              <w:rPr>
                <w:rFonts w:ascii="Times New Roman" w:hAnsi="Times New Roman"/>
              </w:rPr>
              <w:t>HA-L90</w:t>
            </w:r>
          </w:p>
        </w:tc>
        <w:tc>
          <w:tcPr>
            <w:tcW w:w="1801" w:type="dxa"/>
          </w:tcPr>
          <w:p w:rsidR="00740946" w:rsidRPr="00740946" w:rsidP="00E222E6" w14:paraId="3A35E1FE" w14:textId="77777777">
            <w:pPr>
              <w:suppressAutoHyphens/>
              <w:jc w:val="right"/>
              <w:rPr>
                <w:rFonts w:ascii="Times New Roman" w:eastAsia="SimSun" w:hAnsi="Times New Roman"/>
                <w:lang w:eastAsia="ar-SA"/>
              </w:rPr>
            </w:pPr>
            <w:r w:rsidRPr="00740946">
              <w:rPr>
                <w:rFonts w:ascii="Times New Roman" w:hAnsi="Times New Roman"/>
              </w:rPr>
              <w:t>37,265</w:t>
            </w:r>
          </w:p>
        </w:tc>
        <w:tc>
          <w:tcPr>
            <w:tcW w:w="1513" w:type="dxa"/>
          </w:tcPr>
          <w:p w:rsidR="00740946" w:rsidRPr="00740946" w:rsidP="00E222E6" w14:paraId="402BA4DD" w14:textId="77777777">
            <w:pPr>
              <w:suppressAutoHyphens/>
              <w:jc w:val="right"/>
              <w:rPr>
                <w:rFonts w:ascii="Times New Roman" w:eastAsia="SimSun" w:hAnsi="Times New Roman"/>
                <w:lang w:eastAsia="ar-SA"/>
              </w:rPr>
            </w:pPr>
            <w:r w:rsidRPr="00740946">
              <w:rPr>
                <w:rFonts w:ascii="Times New Roman" w:hAnsi="Times New Roman"/>
              </w:rPr>
              <w:t>1</w:t>
            </w:r>
          </w:p>
        </w:tc>
        <w:tc>
          <w:tcPr>
            <w:tcW w:w="1513" w:type="dxa"/>
          </w:tcPr>
          <w:p w:rsidR="00740946" w:rsidRPr="00740946" w:rsidP="00E222E6" w14:paraId="65609916" w14:textId="77777777">
            <w:pPr>
              <w:suppressAutoHyphens/>
              <w:jc w:val="right"/>
              <w:rPr>
                <w:rFonts w:ascii="Times New Roman" w:eastAsia="SimSun" w:hAnsi="Times New Roman"/>
                <w:lang w:eastAsia="ar-SA"/>
              </w:rPr>
            </w:pPr>
            <w:r w:rsidRPr="00740946">
              <w:rPr>
                <w:rFonts w:ascii="Times New Roman" w:hAnsi="Times New Roman"/>
              </w:rPr>
              <w:t xml:space="preserve">10 </w:t>
            </w:r>
          </w:p>
        </w:tc>
        <w:tc>
          <w:tcPr>
            <w:tcW w:w="1513" w:type="dxa"/>
          </w:tcPr>
          <w:p w:rsidR="00740946" w:rsidRPr="00740946" w:rsidP="00E222E6" w14:paraId="45DDC2EC" w14:textId="77777777">
            <w:pPr>
              <w:suppressAutoHyphens/>
              <w:jc w:val="right"/>
              <w:rPr>
                <w:rFonts w:ascii="Times New Roman" w:eastAsia="SimSun" w:hAnsi="Times New Roman"/>
                <w:lang w:eastAsia="ar-SA"/>
              </w:rPr>
            </w:pPr>
            <w:r w:rsidRPr="00740946">
              <w:rPr>
                <w:rFonts w:ascii="Times New Roman" w:hAnsi="Times New Roman"/>
              </w:rPr>
              <w:t>6,211</w:t>
            </w:r>
          </w:p>
        </w:tc>
        <w:tc>
          <w:tcPr>
            <w:tcW w:w="1801" w:type="dxa"/>
          </w:tcPr>
          <w:p w:rsidR="00740946" w:rsidRPr="00740946" w:rsidP="00E222E6" w14:paraId="678BC115" w14:textId="3CE2321F">
            <w:pPr>
              <w:suppressAutoHyphens/>
              <w:jc w:val="right"/>
              <w:rPr>
                <w:rFonts w:ascii="Times New Roman" w:eastAsia="SimSun" w:hAnsi="Times New Roman"/>
                <w:lang w:eastAsia="ar-SA"/>
              </w:rPr>
            </w:pPr>
            <w:r w:rsidRPr="00740946">
              <w:rPr>
                <w:rFonts w:ascii="Times New Roman" w:hAnsi="Times New Roman"/>
              </w:rPr>
              <w:t>$23.</w:t>
            </w:r>
            <w:r>
              <w:rPr>
                <w:rFonts w:ascii="Times New Roman" w:hAnsi="Times New Roman"/>
              </w:rPr>
              <w:t>91</w:t>
            </w:r>
            <w:r w:rsidRPr="00740946">
              <w:rPr>
                <w:rFonts w:ascii="Times New Roman" w:hAnsi="Times New Roman"/>
              </w:rPr>
              <w:t>*</w:t>
            </w:r>
          </w:p>
        </w:tc>
        <w:tc>
          <w:tcPr>
            <w:tcW w:w="1801" w:type="dxa"/>
          </w:tcPr>
          <w:p w:rsidR="00740946" w:rsidRPr="00740946" w:rsidP="00E222E6" w14:paraId="777B2B4D" w14:textId="17DD94B2">
            <w:pPr>
              <w:contextualSpacing/>
              <w:jc w:val="right"/>
              <w:rPr>
                <w:rFonts w:ascii="Times New Roman" w:eastAsia="Calibri" w:hAnsi="Times New Roman"/>
              </w:rPr>
            </w:pPr>
            <w:r w:rsidRPr="00740946">
              <w:rPr>
                <w:rFonts w:ascii="Times New Roman" w:hAnsi="Times New Roman"/>
              </w:rPr>
              <w:t>$14</w:t>
            </w:r>
            <w:r>
              <w:rPr>
                <w:rFonts w:ascii="Times New Roman" w:hAnsi="Times New Roman"/>
              </w:rPr>
              <w:t>8</w:t>
            </w:r>
            <w:r w:rsidRPr="00740946">
              <w:rPr>
                <w:rFonts w:ascii="Times New Roman" w:hAnsi="Times New Roman"/>
              </w:rPr>
              <w:t>,</w:t>
            </w:r>
            <w:r>
              <w:rPr>
                <w:rFonts w:ascii="Times New Roman" w:hAnsi="Times New Roman"/>
              </w:rPr>
              <w:t>505</w:t>
            </w:r>
            <w:r w:rsidRPr="00740946">
              <w:rPr>
                <w:rFonts w:ascii="Times New Roman" w:hAnsi="Times New Roman"/>
              </w:rPr>
              <w:t>**</w:t>
            </w:r>
          </w:p>
        </w:tc>
      </w:tr>
      <w:tr w14:paraId="2BEE58A4" w14:textId="77777777" w:rsidTr="00740946">
        <w:tblPrEx>
          <w:tblW w:w="11599" w:type="dxa"/>
          <w:tblInd w:w="-1487" w:type="dxa"/>
          <w:tblLook w:val="04A0"/>
        </w:tblPrEx>
        <w:tc>
          <w:tcPr>
            <w:tcW w:w="1657" w:type="dxa"/>
          </w:tcPr>
          <w:p w:rsidR="00740946" w:rsidRPr="00740946" w:rsidP="00E222E6" w14:paraId="69806571" w14:textId="77777777">
            <w:pPr>
              <w:suppressAutoHyphens/>
              <w:rPr>
                <w:rFonts w:ascii="Times New Roman" w:eastAsia="Calibri" w:hAnsi="Times New Roman"/>
                <w:lang w:eastAsia="ar-SA"/>
              </w:rPr>
            </w:pPr>
            <w:r w:rsidRPr="00740946">
              <w:rPr>
                <w:rFonts w:ascii="Times New Roman" w:hAnsi="Times New Roman"/>
              </w:rPr>
              <w:t>HA-L90-OP1</w:t>
            </w:r>
          </w:p>
        </w:tc>
        <w:tc>
          <w:tcPr>
            <w:tcW w:w="1801" w:type="dxa"/>
          </w:tcPr>
          <w:p w:rsidR="00740946" w:rsidRPr="00740946" w:rsidP="00E222E6" w14:paraId="7DC09217" w14:textId="77777777">
            <w:pPr>
              <w:suppressAutoHyphens/>
              <w:jc w:val="right"/>
              <w:rPr>
                <w:rFonts w:ascii="Times New Roman" w:eastAsia="Calibri" w:hAnsi="Times New Roman"/>
                <w:lang w:eastAsia="ar-SA"/>
              </w:rPr>
            </w:pPr>
            <w:r w:rsidRPr="00740946">
              <w:rPr>
                <w:rFonts w:ascii="Times New Roman" w:hAnsi="Times New Roman"/>
              </w:rPr>
              <w:t>500</w:t>
            </w:r>
          </w:p>
        </w:tc>
        <w:tc>
          <w:tcPr>
            <w:tcW w:w="1513" w:type="dxa"/>
          </w:tcPr>
          <w:p w:rsidR="00740946" w:rsidRPr="00740946" w:rsidP="00E222E6" w14:paraId="5FB167BA" w14:textId="77777777">
            <w:pPr>
              <w:suppressAutoHyphens/>
              <w:jc w:val="right"/>
              <w:rPr>
                <w:rFonts w:ascii="Times New Roman" w:eastAsia="Calibri" w:hAnsi="Times New Roman"/>
                <w:lang w:eastAsia="ar-SA"/>
              </w:rPr>
            </w:pPr>
            <w:r w:rsidRPr="00740946">
              <w:rPr>
                <w:rFonts w:ascii="Times New Roman" w:hAnsi="Times New Roman"/>
              </w:rPr>
              <w:t>1</w:t>
            </w:r>
          </w:p>
        </w:tc>
        <w:tc>
          <w:tcPr>
            <w:tcW w:w="1513" w:type="dxa"/>
          </w:tcPr>
          <w:p w:rsidR="00740946" w:rsidRPr="00740946" w:rsidP="00E222E6" w14:paraId="33E52FA6" w14:textId="77777777">
            <w:pPr>
              <w:suppressAutoHyphens/>
              <w:jc w:val="right"/>
              <w:rPr>
                <w:rFonts w:ascii="Times New Roman" w:eastAsia="Calibri" w:hAnsi="Times New Roman"/>
                <w:lang w:eastAsia="ar-SA"/>
              </w:rPr>
            </w:pPr>
            <w:r w:rsidRPr="00740946">
              <w:rPr>
                <w:rFonts w:ascii="Times New Roman" w:hAnsi="Times New Roman"/>
              </w:rPr>
              <w:t>10</w:t>
            </w:r>
          </w:p>
        </w:tc>
        <w:tc>
          <w:tcPr>
            <w:tcW w:w="1513" w:type="dxa"/>
          </w:tcPr>
          <w:p w:rsidR="00740946" w:rsidRPr="00740946" w:rsidP="00E222E6" w14:paraId="7A61CE6A" w14:textId="77777777">
            <w:pPr>
              <w:suppressAutoHyphens/>
              <w:jc w:val="right"/>
              <w:rPr>
                <w:rFonts w:ascii="Times New Roman" w:eastAsia="Calibri" w:hAnsi="Times New Roman"/>
                <w:lang w:eastAsia="ar-SA"/>
              </w:rPr>
            </w:pPr>
            <w:r w:rsidRPr="00740946">
              <w:rPr>
                <w:rFonts w:ascii="Times New Roman" w:hAnsi="Times New Roman"/>
              </w:rPr>
              <w:t>83</w:t>
            </w:r>
          </w:p>
        </w:tc>
        <w:tc>
          <w:tcPr>
            <w:tcW w:w="1801" w:type="dxa"/>
          </w:tcPr>
          <w:p w:rsidR="00740946" w:rsidRPr="00740946" w:rsidP="00E222E6" w14:paraId="1538B3EB" w14:textId="326E2E31">
            <w:pPr>
              <w:suppressAutoHyphens/>
              <w:jc w:val="right"/>
              <w:rPr>
                <w:rFonts w:ascii="Times New Roman" w:eastAsia="Calibri" w:hAnsi="Times New Roman"/>
                <w:lang w:eastAsia="ar-SA"/>
              </w:rPr>
            </w:pPr>
            <w:r w:rsidRPr="00740946">
              <w:rPr>
                <w:rFonts w:ascii="Times New Roman" w:hAnsi="Times New Roman"/>
              </w:rPr>
              <w:t>$23.</w:t>
            </w:r>
            <w:r>
              <w:rPr>
                <w:rFonts w:ascii="Times New Roman" w:hAnsi="Times New Roman"/>
              </w:rPr>
              <w:t>91</w:t>
            </w:r>
            <w:r w:rsidRPr="00740946">
              <w:rPr>
                <w:rFonts w:ascii="Times New Roman" w:hAnsi="Times New Roman"/>
              </w:rPr>
              <w:t>*</w:t>
            </w:r>
          </w:p>
        </w:tc>
        <w:tc>
          <w:tcPr>
            <w:tcW w:w="1801" w:type="dxa"/>
          </w:tcPr>
          <w:p w:rsidR="00740946" w:rsidRPr="00740946" w:rsidP="00E222E6" w14:paraId="3B5AF824" w14:textId="6A52EAF9">
            <w:pPr>
              <w:contextualSpacing/>
              <w:jc w:val="right"/>
              <w:rPr>
                <w:rFonts w:ascii="Times New Roman" w:eastAsia="Calibri" w:hAnsi="Times New Roman"/>
              </w:rPr>
            </w:pPr>
            <w:r w:rsidRPr="00740946">
              <w:rPr>
                <w:rFonts w:ascii="Times New Roman" w:hAnsi="Times New Roman"/>
              </w:rPr>
              <w:t>$1,9</w:t>
            </w:r>
            <w:r>
              <w:rPr>
                <w:rFonts w:ascii="Times New Roman" w:hAnsi="Times New Roman"/>
              </w:rPr>
              <w:t>85</w:t>
            </w:r>
            <w:r w:rsidRPr="00740946">
              <w:rPr>
                <w:rFonts w:ascii="Times New Roman" w:hAnsi="Times New Roman"/>
              </w:rPr>
              <w:t>**</w:t>
            </w:r>
          </w:p>
        </w:tc>
      </w:tr>
      <w:tr w14:paraId="05515B92" w14:textId="77777777" w:rsidTr="00740946">
        <w:tblPrEx>
          <w:tblW w:w="11599" w:type="dxa"/>
          <w:tblInd w:w="-1487" w:type="dxa"/>
          <w:tblLook w:val="04A0"/>
        </w:tblPrEx>
        <w:tc>
          <w:tcPr>
            <w:tcW w:w="1657" w:type="dxa"/>
          </w:tcPr>
          <w:p w:rsidR="00740946" w:rsidRPr="00740946" w:rsidP="00E222E6" w14:paraId="71CB6411" w14:textId="77777777">
            <w:pPr>
              <w:suppressAutoHyphens/>
              <w:rPr>
                <w:rFonts w:ascii="Times New Roman" w:eastAsia="Calibri" w:hAnsi="Times New Roman"/>
                <w:lang w:eastAsia="ar-SA"/>
              </w:rPr>
            </w:pPr>
            <w:r w:rsidRPr="00740946">
              <w:rPr>
                <w:rFonts w:ascii="Times New Roman" w:hAnsi="Times New Roman"/>
                <w:b/>
              </w:rPr>
              <w:t>Totals</w:t>
            </w:r>
          </w:p>
        </w:tc>
        <w:tc>
          <w:tcPr>
            <w:tcW w:w="1801" w:type="dxa"/>
          </w:tcPr>
          <w:p w:rsidR="00740946" w:rsidRPr="00740946" w:rsidP="00E222E6" w14:paraId="22CACDDF" w14:textId="77777777">
            <w:pPr>
              <w:suppressAutoHyphens/>
              <w:jc w:val="right"/>
              <w:rPr>
                <w:rFonts w:ascii="Times New Roman" w:eastAsia="Calibri" w:hAnsi="Times New Roman"/>
                <w:lang w:eastAsia="ar-SA"/>
              </w:rPr>
            </w:pPr>
            <w:r w:rsidRPr="00740946">
              <w:rPr>
                <w:rFonts w:ascii="Times New Roman" w:hAnsi="Times New Roman"/>
                <w:b/>
              </w:rPr>
              <w:t>37,765</w:t>
            </w:r>
          </w:p>
        </w:tc>
        <w:tc>
          <w:tcPr>
            <w:tcW w:w="1513" w:type="dxa"/>
          </w:tcPr>
          <w:p w:rsidR="00740946" w:rsidRPr="00740946" w:rsidP="00E222E6" w14:paraId="5948BADA" w14:textId="77777777">
            <w:pPr>
              <w:suppressAutoHyphens/>
              <w:jc w:val="right"/>
              <w:rPr>
                <w:rFonts w:ascii="Times New Roman" w:eastAsia="Calibri" w:hAnsi="Times New Roman"/>
                <w:lang w:eastAsia="ar-SA"/>
              </w:rPr>
            </w:pPr>
          </w:p>
        </w:tc>
        <w:tc>
          <w:tcPr>
            <w:tcW w:w="1513" w:type="dxa"/>
          </w:tcPr>
          <w:p w:rsidR="00740946" w:rsidRPr="00740946" w:rsidP="00E222E6" w14:paraId="56352B0A" w14:textId="77777777">
            <w:pPr>
              <w:suppressAutoHyphens/>
              <w:jc w:val="right"/>
              <w:rPr>
                <w:rFonts w:ascii="Times New Roman" w:eastAsia="Calibri" w:hAnsi="Times New Roman"/>
                <w:lang w:eastAsia="ar-SA"/>
              </w:rPr>
            </w:pPr>
            <w:r w:rsidRPr="00740946">
              <w:rPr>
                <w:rFonts w:ascii="Times New Roman" w:hAnsi="Times New Roman"/>
                <w:b/>
              </w:rPr>
              <w:t xml:space="preserve"> </w:t>
            </w:r>
          </w:p>
        </w:tc>
        <w:tc>
          <w:tcPr>
            <w:tcW w:w="1513" w:type="dxa"/>
          </w:tcPr>
          <w:p w:rsidR="00740946" w:rsidRPr="00740946" w:rsidP="00E222E6" w14:paraId="50C10369" w14:textId="77777777">
            <w:pPr>
              <w:suppressAutoHyphens/>
              <w:jc w:val="right"/>
              <w:rPr>
                <w:rFonts w:ascii="Times New Roman" w:eastAsia="Calibri" w:hAnsi="Times New Roman"/>
                <w:lang w:eastAsia="ar-SA"/>
              </w:rPr>
            </w:pPr>
            <w:r w:rsidRPr="00740946">
              <w:rPr>
                <w:rFonts w:ascii="Times New Roman" w:hAnsi="Times New Roman"/>
                <w:b/>
              </w:rPr>
              <w:t>6,294</w:t>
            </w:r>
          </w:p>
        </w:tc>
        <w:tc>
          <w:tcPr>
            <w:tcW w:w="1801" w:type="dxa"/>
          </w:tcPr>
          <w:p w:rsidR="00740946" w:rsidRPr="00740946" w:rsidP="00E222E6" w14:paraId="17ACB8C0" w14:textId="77777777">
            <w:pPr>
              <w:suppressAutoHyphens/>
              <w:jc w:val="right"/>
              <w:rPr>
                <w:rFonts w:ascii="Times New Roman" w:eastAsia="Calibri" w:hAnsi="Times New Roman"/>
                <w:lang w:eastAsia="ar-SA"/>
              </w:rPr>
            </w:pPr>
          </w:p>
        </w:tc>
        <w:tc>
          <w:tcPr>
            <w:tcW w:w="1801" w:type="dxa"/>
          </w:tcPr>
          <w:p w:rsidR="00740946" w:rsidRPr="00740946" w:rsidP="00E222E6" w14:paraId="58385CEA" w14:textId="72F07862">
            <w:pPr>
              <w:contextualSpacing/>
              <w:jc w:val="right"/>
              <w:rPr>
                <w:rFonts w:ascii="Times New Roman" w:eastAsia="Calibri" w:hAnsi="Times New Roman"/>
              </w:rPr>
            </w:pPr>
            <w:r w:rsidRPr="00740946">
              <w:rPr>
                <w:rFonts w:ascii="Times New Roman" w:hAnsi="Times New Roman"/>
                <w:b/>
              </w:rPr>
              <w:t>$1</w:t>
            </w:r>
            <w:r w:rsidR="004B72D3">
              <w:rPr>
                <w:rFonts w:ascii="Times New Roman" w:hAnsi="Times New Roman"/>
                <w:b/>
              </w:rPr>
              <w:t>50</w:t>
            </w:r>
            <w:r w:rsidRPr="00740946">
              <w:rPr>
                <w:rFonts w:ascii="Times New Roman" w:hAnsi="Times New Roman"/>
                <w:b/>
              </w:rPr>
              <w:t>,</w:t>
            </w:r>
            <w:r w:rsidR="004B72D3">
              <w:rPr>
                <w:rFonts w:ascii="Times New Roman" w:hAnsi="Times New Roman"/>
                <w:b/>
              </w:rPr>
              <w:t>490</w:t>
            </w:r>
            <w:r w:rsidRPr="00740946">
              <w:rPr>
                <w:rFonts w:ascii="Times New Roman" w:hAnsi="Times New Roman"/>
                <w:b/>
              </w:rPr>
              <w:t>**</w:t>
            </w:r>
          </w:p>
        </w:tc>
      </w:tr>
    </w:tbl>
    <w:p w:rsidR="004B72D3" w:rsidRPr="004B72D3" w:rsidP="004B72D3" w14:paraId="76748A6A" w14:textId="6F4E2A01">
      <w:pPr>
        <w:tabs>
          <w:tab w:val="left" w:pos="1440"/>
        </w:tabs>
        <w:spacing w:after="160"/>
        <w:ind w:left="720"/>
        <w:rPr>
          <w:rStyle w:val="Hyperlink"/>
          <w:rFonts w:ascii="Times New Roman" w:hAnsi="Times New Roman"/>
        </w:rPr>
      </w:pPr>
      <w:r>
        <w:t>*</w:t>
      </w:r>
      <w:r w:rsidRPr="004B72D3">
        <w:rPr>
          <w:rFonts w:ascii="Times New Roman" w:hAnsi="Times New Roman"/>
        </w:rPr>
        <w:t>We based this figure on averaging both the average disability payments based on SSA's current FY 2026 data (</w:t>
      </w:r>
      <w:hyperlink r:id="rId5" w:history="1">
        <w:r w:rsidRPr="004B72D3">
          <w:rPr>
            <w:rStyle w:val="Hyperlink"/>
            <w:rFonts w:ascii="Times New Roman" w:hAnsi="Times New Roman"/>
          </w:rPr>
          <w:t>Effect of COLA on Average Social Security Benefits</w:t>
        </w:r>
      </w:hyperlink>
      <w:r w:rsidRPr="004B72D3">
        <w:rPr>
          <w:rFonts w:ascii="Times New Roman" w:hAnsi="Times New Roman"/>
        </w:rPr>
        <w:t>), and the average U.S. worker’s hourly wages, as reported by Bureau of Labor Statistics data (</w:t>
      </w:r>
      <w:hyperlink r:id="rId6" w:anchor="/industry/000000" w:history="1">
        <w:r w:rsidRPr="004B72D3">
          <w:rPr>
            <w:rStyle w:val="Hyperlink"/>
            <w:rFonts w:ascii="Times New Roman" w:hAnsi="Times New Roman"/>
          </w:rPr>
          <w:t>Occupational Employment and Wage Statistics</w:t>
        </w:r>
      </w:hyperlink>
      <w:r w:rsidRPr="004B72D3">
        <w:rPr>
          <w:rFonts w:ascii="Times New Roman" w:hAnsi="Times New Roman"/>
        </w:rPr>
        <w:t>).</w:t>
      </w:r>
    </w:p>
    <w:p w:rsidR="00694F69" w:rsidP="007E2888" w14:paraId="78AACF89" w14:textId="1D51DF1C">
      <w:pPr>
        <w:ind w:left="720"/>
        <w:rPr>
          <w:rFonts w:ascii="Times New Roman" w:hAnsi="Times New Roman"/>
        </w:rPr>
      </w:pPr>
      <w:r w:rsidRPr="004B72D3">
        <w:rPr>
          <w:rFonts w:ascii="Times New Roman" w:hAnsi="Times New Roman"/>
          <w:color w:val="000000" w:themeColor="text1"/>
        </w:rPr>
        <w:t xml:space="preserve">** </w:t>
      </w:r>
      <w:r w:rsidRPr="004B72D3" w:rsidR="004B72D3">
        <w:rPr>
          <w:rFonts w:ascii="Times New Roman" w:hAnsi="Times New Roman"/>
        </w:rPr>
        <w:t xml:space="preserve">This figure does not represent actual costs that we are imposing on recipients of Social Security payments to complete this application; rather, these are theoretical opportunity costs for the additional time respondents will spend to complete the application. </w:t>
      </w:r>
      <w:r w:rsidRPr="004B72D3" w:rsidR="004B72D3">
        <w:rPr>
          <w:rFonts w:ascii="Times New Roman" w:hAnsi="Times New Roman"/>
          <w:b/>
        </w:rPr>
        <w:t xml:space="preserve"> </w:t>
      </w:r>
      <w:r w:rsidRPr="004B72D3" w:rsidR="004B72D3">
        <w:rPr>
          <w:rFonts w:ascii="Times New Roman" w:hAnsi="Times New Roman"/>
          <w:b/>
          <w:u w:val="single"/>
        </w:rPr>
        <w:t>There is no actual charge to respondents to complete the application</w:t>
      </w:r>
      <w:r w:rsidRPr="004B72D3" w:rsidR="004B72D3">
        <w:rPr>
          <w:rFonts w:ascii="Times New Roman" w:hAnsi="Times New Roman"/>
        </w:rPr>
        <w:t>.</w:t>
      </w:r>
    </w:p>
    <w:p w:rsidR="00DB7578" w:rsidP="007E2888" w14:paraId="2050C41D" w14:textId="77777777">
      <w:pPr>
        <w:ind w:left="720"/>
        <w:rPr>
          <w:rFonts w:ascii="Times New Roman" w:hAnsi="Times New Roman"/>
          <w:color w:val="000000" w:themeColor="text1"/>
        </w:rPr>
      </w:pPr>
    </w:p>
    <w:p w:rsidR="00DB7578" w:rsidP="007E2888" w14:paraId="3671CA40" w14:textId="40681714">
      <w:pPr>
        <w:ind w:left="720"/>
        <w:rPr>
          <w:rFonts w:ascii="Times New Roman" w:hAnsi="Times New Roman"/>
        </w:rPr>
      </w:pPr>
      <w:r w:rsidRPr="00DB7578">
        <w:rPr>
          <w:rFonts w:ascii="Times New Roman" w:hAnsi="Times New Roman"/>
        </w:rPr>
        <w:t xml:space="preserve">We did not include travel time as per our current management information data, respondents who complete the paper forms return them to us via </w:t>
      </w:r>
      <w:r>
        <w:rPr>
          <w:rFonts w:ascii="Times New Roman" w:hAnsi="Times New Roman"/>
        </w:rPr>
        <w:t>mail or</w:t>
      </w:r>
      <w:r w:rsidRPr="00DB7578">
        <w:rPr>
          <w:rFonts w:ascii="Times New Roman" w:hAnsi="Times New Roman"/>
        </w:rPr>
        <w:t xml:space="preserve"> </w:t>
      </w:r>
      <w:r>
        <w:rPr>
          <w:rFonts w:ascii="Times New Roman" w:hAnsi="Times New Roman"/>
        </w:rPr>
        <w:t xml:space="preserve">their representatives submit the form </w:t>
      </w:r>
      <w:r w:rsidRPr="00B2549D">
        <w:rPr>
          <w:rFonts w:ascii="Times New Roman" w:hAnsi="Times New Roman"/>
        </w:rPr>
        <w:t>electronically through Electronic Records Express</w:t>
      </w:r>
      <w:r w:rsidRPr="00DB7578">
        <w:rPr>
          <w:rFonts w:ascii="Times New Roman" w:hAnsi="Times New Roman"/>
        </w:rPr>
        <w:t>.  Should this change in the future, we will include the language and chart for travel time to a field office.</w:t>
      </w:r>
    </w:p>
    <w:p w:rsidR="00DB7578" w:rsidP="007E2888" w14:paraId="204FA543" w14:textId="77777777">
      <w:pPr>
        <w:ind w:left="720"/>
        <w:rPr>
          <w:rFonts w:ascii="Times New Roman" w:hAnsi="Times New Roman"/>
        </w:rPr>
      </w:pPr>
    </w:p>
    <w:p w:rsidR="00DB7578" w:rsidRPr="00807CF5" w:rsidP="00807CF5" w14:paraId="42FE400D" w14:textId="77777777">
      <w:pPr>
        <w:ind w:left="720"/>
        <w:rPr>
          <w:rFonts w:ascii="Times New Roman" w:hAnsi="Times New Roman"/>
          <w:kern w:val="2"/>
          <w:lang w:eastAsia="ar-SA"/>
        </w:rPr>
      </w:pPr>
      <w:r w:rsidRPr="00807CF5">
        <w:rPr>
          <w:rFonts w:ascii="Times New Roman" w:hAnsi="Times New Roman"/>
          <w:kern w:val="2"/>
          <w:lang w:eastAsia="ar-SA"/>
        </w:rPr>
        <w:t>We did not include a separate Learning Cost for this information collection, as we include the Learning Cost in the burdens listed in the chart above.</w:t>
      </w:r>
    </w:p>
    <w:p w:rsidR="00DB7578" w:rsidRPr="00DB7578" w:rsidP="007E2888" w14:paraId="189FBC0F" w14:textId="77777777">
      <w:pPr>
        <w:ind w:left="720"/>
        <w:rPr>
          <w:rFonts w:ascii="Times New Roman" w:hAnsi="Times New Roman"/>
          <w:color w:val="000000" w:themeColor="text1"/>
        </w:rPr>
      </w:pPr>
    </w:p>
    <w:p w:rsidR="00A31F80" w:rsidRPr="00CB3661" w:rsidP="00CE2960" w14:paraId="716C92E0" w14:textId="2D5522A8">
      <w:pPr>
        <w:tabs>
          <w:tab w:val="left" w:pos="1080"/>
          <w:tab w:val="left" w:pos="1350"/>
        </w:tabs>
        <w:autoSpaceDE w:val="0"/>
        <w:autoSpaceDN w:val="0"/>
        <w:adjustRightInd w:val="0"/>
        <w:ind w:left="720"/>
        <w:rPr>
          <w:rFonts w:ascii="Times New Roman" w:hAnsi="Times New Roman"/>
          <w:color w:val="000000" w:themeColor="text1"/>
        </w:rPr>
      </w:pPr>
      <w:r w:rsidRPr="00CB3661">
        <w:rPr>
          <w:rFonts w:ascii="Times New Roman" w:hAnsi="Times New Roman"/>
          <w:noProof/>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5558BC">
        <w:rPr>
          <w:rFonts w:ascii="Times New Roman" w:hAnsi="Times New Roman"/>
          <w:b/>
          <w:bCs/>
          <w:noProof/>
          <w:color w:val="000000" w:themeColor="text1"/>
        </w:rPr>
        <w:t>1</w:t>
      </w:r>
      <w:r w:rsidRPr="00CB3661">
        <w:rPr>
          <w:rFonts w:ascii="Times New Roman" w:hAnsi="Times New Roman"/>
          <w:b/>
          <w:bCs/>
          <w:noProof/>
          <w:color w:val="000000" w:themeColor="text1"/>
        </w:rPr>
        <w:t xml:space="preserve">0 </w:t>
      </w:r>
      <w:r w:rsidRPr="00CB3661">
        <w:rPr>
          <w:rFonts w:ascii="Times New Roman" w:hAnsi="Times New Roman"/>
          <w:noProof/>
          <w:color w:val="000000" w:themeColor="text1"/>
        </w:rPr>
        <w:t>minutes accurately shows the average burden per response for reading the instructions, gathering the facts, and answering the questions.  Based on our current management information data, the current burden information we provided is accurate</w:t>
      </w:r>
      <w:r w:rsidRPr="00CB3661">
        <w:rPr>
          <w:rFonts w:ascii="Times New Roman" w:hAnsi="Times New Roman"/>
          <w:color w:val="000000" w:themeColor="text1"/>
        </w:rPr>
        <w:t xml:space="preserve">.  The total burden for this ICR is </w:t>
      </w:r>
      <w:r w:rsidR="005558BC">
        <w:rPr>
          <w:rFonts w:ascii="Times New Roman" w:hAnsi="Times New Roman"/>
          <w:b/>
          <w:color w:val="000000" w:themeColor="text1"/>
        </w:rPr>
        <w:t>6,294</w:t>
      </w:r>
      <w:r w:rsidRPr="00CB3661">
        <w:rPr>
          <w:rFonts w:ascii="Times New Roman" w:hAnsi="Times New Roman"/>
          <w:b/>
          <w:color w:val="000000" w:themeColor="text1"/>
        </w:rPr>
        <w:t xml:space="preserve"> </w:t>
      </w:r>
      <w:r w:rsidRPr="00CB3661">
        <w:rPr>
          <w:rFonts w:ascii="Times New Roman" w:hAnsi="Times New Roman"/>
          <w:color w:val="000000" w:themeColor="text1"/>
        </w:rPr>
        <w:t xml:space="preserve">burden hours (reflecting SSA management information data), which results in an associated theoretical (not actual) opportunity cost financial burden of </w:t>
      </w:r>
      <w:r w:rsidRPr="00CB3661">
        <w:rPr>
          <w:rFonts w:ascii="Times New Roman" w:hAnsi="Times New Roman"/>
          <w:b/>
          <w:color w:val="000000" w:themeColor="text1"/>
        </w:rPr>
        <w:t>$</w:t>
      </w:r>
      <w:r w:rsidR="005558BC">
        <w:rPr>
          <w:rFonts w:ascii="Times New Roman" w:hAnsi="Times New Roman"/>
          <w:b/>
          <w:color w:val="000000" w:themeColor="text1"/>
        </w:rPr>
        <w:t>150,490</w:t>
      </w:r>
      <w:r w:rsidRPr="00CB3661">
        <w:rPr>
          <w:rFonts w:ascii="Times New Roman" w:hAnsi="Times New Roman"/>
          <w:color w:val="000000" w:themeColor="text1"/>
        </w:rPr>
        <w:t>.</w:t>
      </w:r>
      <w:r>
        <w:rPr>
          <w:rFonts w:ascii="Times New Roman" w:hAnsi="Times New Roman"/>
          <w:color w:val="000000" w:themeColor="text1"/>
        </w:rPr>
        <w:t xml:space="preserve">  </w:t>
      </w:r>
      <w:r w:rsidRPr="00CB3661">
        <w:rPr>
          <w:rFonts w:ascii="Times New Roman" w:hAnsi="Times New Roman"/>
          <w:color w:val="000000" w:themeColor="text1"/>
        </w:rPr>
        <w:t>SSA does not charge respondents to complete our applications.</w:t>
      </w:r>
    </w:p>
    <w:p w:rsidR="00A31F80" w:rsidRPr="00CB3661" w:rsidP="009254C2" w14:paraId="4D9B8708" w14:textId="77777777">
      <w:pPr>
        <w:rPr>
          <w:rFonts w:ascii="Times New Roman" w:hAnsi="Times New Roman"/>
          <w:color w:val="000000" w:themeColor="text1"/>
        </w:rPr>
      </w:pPr>
    </w:p>
    <w:p w:rsidR="00A45D82" w:rsidRPr="00BC7F42" w:rsidP="00CE2960" w14:paraId="3A40A4EE" w14:textId="77777777">
      <w:pPr>
        <w:ind w:left="630" w:hanging="54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P="00ED57B1" w14:paraId="5D040857" w14:textId="0EB98F19">
      <w:pPr>
        <w:ind w:left="630"/>
        <w:rPr>
          <w:rFonts w:ascii="Times New Roman" w:hAnsi="Times New Roman"/>
        </w:rPr>
      </w:pPr>
      <w:r>
        <w:rPr>
          <w:rFonts w:ascii="Times New Roman" w:hAnsi="Times New Roman"/>
        </w:rPr>
        <w:t>This collection</w:t>
      </w:r>
      <w:r w:rsidRPr="009C168A" w:rsidR="009C168A">
        <w:rPr>
          <w:rFonts w:ascii="Times New Roman" w:hAnsi="Times New Roman"/>
          <w:color w:val="000000" w:themeColor="text1"/>
        </w:rPr>
        <w:t xml:space="preserve"> </w:t>
      </w:r>
      <w:r w:rsidRPr="00CB3661" w:rsidR="009C168A">
        <w:rPr>
          <w:rFonts w:ascii="Times New Roman" w:hAnsi="Times New Roman"/>
          <w:color w:val="000000" w:themeColor="text1"/>
        </w:rPr>
        <w:t>does not impose a known cost burden on the respondents</w:t>
      </w:r>
      <w:r w:rsidR="009C168A">
        <w:rPr>
          <w:rFonts w:ascii="Times New Roman" w:hAnsi="Times New Roman"/>
          <w:color w:val="000000" w:themeColor="text1"/>
        </w:rPr>
        <w:t>.</w:t>
      </w:r>
      <w:r>
        <w:rPr>
          <w:rFonts w:ascii="Times New Roman" w:hAnsi="Times New Roman"/>
        </w:rPr>
        <w:t xml:space="preserve"> </w:t>
      </w:r>
      <w:r w:rsidRPr="00BC7F42" w:rsidR="00A45D82">
        <w:rPr>
          <w:rFonts w:ascii="Times New Roman" w:hAnsi="Times New Roman"/>
        </w:rPr>
        <w:t xml:space="preserve"> </w:t>
      </w:r>
    </w:p>
    <w:p w:rsidR="003B15EC" w:rsidP="00A45D82" w14:paraId="7EC0CF30" w14:textId="77777777">
      <w:pPr>
        <w:ind w:left="720"/>
        <w:rPr>
          <w:rFonts w:ascii="Times New Roman" w:hAnsi="Times New Roman"/>
        </w:rPr>
      </w:pPr>
    </w:p>
    <w:p w:rsidR="009C168A" w:rsidP="00CE2960" w14:paraId="2C7A9CA7" w14:textId="0850B528">
      <w:pPr>
        <w:numPr>
          <w:ilvl w:val="0"/>
          <w:numId w:val="11"/>
        </w:numPr>
        <w:tabs>
          <w:tab w:val="clear" w:pos="360"/>
          <w:tab w:val="left" w:pos="720"/>
        </w:tabs>
        <w:ind w:left="720" w:hanging="63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9C168A" w:rsidRPr="005558BC" w:rsidP="005558BC" w14:paraId="4EF0CA85" w14:textId="2A80A8DF">
      <w:pPr>
        <w:ind w:left="720"/>
        <w:rPr>
          <w:rFonts w:ascii="Times New Roman" w:hAnsi="Times New Roman"/>
          <w:color w:val="000000" w:themeColor="text1"/>
        </w:rPr>
      </w:pPr>
      <w:r w:rsidRPr="005558BC">
        <w:rPr>
          <w:rFonts w:ascii="Times New Roman" w:hAnsi="Times New Roman"/>
        </w:rPr>
        <w:t xml:space="preserve">The annual cost to the Federal Government is approximately </w:t>
      </w:r>
      <w:r w:rsidRPr="005558BC">
        <w:rPr>
          <w:rFonts w:ascii="Times New Roman" w:hAnsi="Times New Roman"/>
          <w:b/>
          <w:bCs/>
        </w:rPr>
        <w:t>$184,435.32</w:t>
      </w:r>
      <w:r w:rsidRPr="005558BC">
        <w:rPr>
          <w:rFonts w:ascii="Times New Roman" w:hAnsi="Times New Roman"/>
        </w:rPr>
        <w:t xml:space="preserve">. </w:t>
      </w:r>
      <w:r w:rsidRPr="005558BC">
        <w:rPr>
          <w:rFonts w:ascii="Times New Roman" w:hAnsi="Times New Roman"/>
          <w:color w:val="000000" w:themeColor="text1"/>
        </w:rPr>
        <w:t>This estimate accounts for costs from the following areas:</w:t>
      </w:r>
    </w:p>
    <w:p w:rsidR="00A06BE2" w:rsidRPr="009C168A" w:rsidP="009C168A" w14:paraId="5B403017" w14:textId="57A74DE7">
      <w:pPr>
        <w:tabs>
          <w:tab w:val="left" w:pos="-720"/>
          <w:tab w:val="left" w:pos="0"/>
          <w:tab w:val="left" w:pos="1080"/>
        </w:tabs>
        <w:suppressAutoHyphens/>
        <w:outlineLvl w:val="0"/>
        <w:rPr>
          <w:rFonts w:ascii="Times New Roman" w:hAnsi="Times New Roman"/>
          <w:bCs/>
        </w:rPr>
      </w:pPr>
      <w:r>
        <w:rPr>
          <w:rFonts w:ascii="Times New Roman" w:hAnsi="Times New Roman"/>
          <w:bCs/>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970"/>
        <w:gridCol w:w="2155"/>
      </w:tblGrid>
      <w:tr w14:paraId="4576AF15" w14:textId="77777777" w:rsidTr="00D22BB1">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0" w:type="dxa"/>
          </w:tcPr>
          <w:p w:rsidR="005623CF" w:rsidRPr="00003983" w:rsidP="00003983"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70" w:type="dxa"/>
          </w:tcPr>
          <w:p w:rsidR="005623CF" w:rsidRPr="00003983" w:rsidP="00003983"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155" w:type="dxa"/>
          </w:tcPr>
          <w:p w:rsidR="005623CF" w:rsidRPr="00003983" w:rsidP="00003983"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4AA55BB" w14:textId="77777777" w:rsidTr="00D22BB1">
        <w:tblPrEx>
          <w:tblW w:w="0" w:type="auto"/>
          <w:tblInd w:w="715" w:type="dxa"/>
          <w:tblLook w:val="04A0"/>
        </w:tblPrEx>
        <w:tc>
          <w:tcPr>
            <w:tcW w:w="2790" w:type="dxa"/>
          </w:tcPr>
          <w:p w:rsidR="005623CF" w:rsidRPr="00003983" w:rsidP="00003983" w14:paraId="75277FF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970" w:type="dxa"/>
          </w:tcPr>
          <w:p w:rsidR="005623CF" w:rsidRPr="00003983" w:rsidP="00003983" w14:paraId="0764D736"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155" w:type="dxa"/>
          </w:tcPr>
          <w:p w:rsidR="005623CF" w:rsidRPr="00003983" w:rsidP="00D22BB1" w14:paraId="42A0FA2D" w14:textId="3D212DA7">
            <w:pPr>
              <w:pStyle w:val="ListParagraph"/>
              <w:ind w:left="0"/>
              <w:jc w:val="both"/>
              <w:rPr>
                <w:rFonts w:ascii="Times New Roman" w:hAnsi="Times New Roman"/>
                <w:color w:val="000000"/>
              </w:rPr>
            </w:pPr>
            <w:r>
              <w:rPr>
                <w:rFonts w:ascii="Times New Roman" w:hAnsi="Times New Roman"/>
                <w:color w:val="000000" w:themeColor="text1"/>
              </w:rPr>
              <w:t xml:space="preserve">   </w:t>
            </w:r>
            <w:r w:rsidR="00D22BB1">
              <w:rPr>
                <w:rFonts w:ascii="Times New Roman" w:hAnsi="Times New Roman"/>
                <w:color w:val="000000" w:themeColor="text1"/>
              </w:rPr>
              <w:t xml:space="preserve">                    $1</w:t>
            </w:r>
            <w:r w:rsidR="005558BC">
              <w:rPr>
                <w:rFonts w:ascii="Times New Roman" w:hAnsi="Times New Roman"/>
                <w:color w:val="000000" w:themeColor="text1"/>
              </w:rPr>
              <w:t>47</w:t>
            </w:r>
            <w:r>
              <w:rPr>
                <w:rFonts w:ascii="Times New Roman" w:hAnsi="Times New Roman"/>
                <w:color w:val="000000" w:themeColor="text1"/>
              </w:rPr>
              <w:t xml:space="preserve">                                </w:t>
            </w:r>
          </w:p>
        </w:tc>
      </w:tr>
      <w:tr w14:paraId="7CA8A425" w14:textId="77777777" w:rsidTr="00D22BB1">
        <w:tblPrEx>
          <w:tblW w:w="0" w:type="auto"/>
          <w:tblInd w:w="715" w:type="dxa"/>
          <w:tblLook w:val="04A0"/>
        </w:tblPrEx>
        <w:tc>
          <w:tcPr>
            <w:tcW w:w="2790" w:type="dxa"/>
          </w:tcPr>
          <w:p w:rsidR="005623CF" w:rsidRPr="00003983" w:rsidP="00003983" w14:paraId="05A7C86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970" w:type="dxa"/>
          </w:tcPr>
          <w:p w:rsidR="005623CF" w:rsidRPr="00003983" w:rsidP="00003983" w14:paraId="10C0706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155" w:type="dxa"/>
          </w:tcPr>
          <w:p w:rsidR="005623CF" w:rsidRPr="00003983" w:rsidP="00003983" w14:paraId="41A5472F" w14:textId="5A8C64AB">
            <w:pPr>
              <w:pStyle w:val="ListParagraph"/>
              <w:ind w:left="0"/>
              <w:rPr>
                <w:rFonts w:ascii="Times New Roman" w:hAnsi="Times New Roman"/>
                <w:color w:val="000000"/>
              </w:rPr>
            </w:pPr>
            <w:r>
              <w:rPr>
                <w:rFonts w:ascii="Times New Roman" w:hAnsi="Times New Roman"/>
                <w:color w:val="000000"/>
              </w:rPr>
              <w:t xml:space="preserve">   </w:t>
            </w:r>
            <w:r w:rsidR="00D22BB1">
              <w:rPr>
                <w:rFonts w:ascii="Times New Roman" w:hAnsi="Times New Roman"/>
                <w:color w:val="000000"/>
              </w:rPr>
              <w:t xml:space="preserve">                 </w:t>
            </w:r>
            <w:r>
              <w:rPr>
                <w:rFonts w:ascii="Times New Roman" w:hAnsi="Times New Roman"/>
                <w:color w:val="000000"/>
              </w:rPr>
              <w:t xml:space="preserve"> </w:t>
            </w:r>
            <w:r w:rsidR="005558BC">
              <w:rPr>
                <w:rFonts w:ascii="Times New Roman" w:hAnsi="Times New Roman"/>
                <w:color w:val="000000"/>
              </w:rPr>
              <w:t xml:space="preserve">       </w:t>
            </w:r>
            <w:r w:rsidR="00D22BB1">
              <w:rPr>
                <w:rFonts w:ascii="Times New Roman" w:hAnsi="Times New Roman"/>
                <w:color w:val="000000"/>
              </w:rPr>
              <w:t>$</w:t>
            </w:r>
            <w:r w:rsidR="005558BC">
              <w:rPr>
                <w:rFonts w:ascii="Times New Roman" w:hAnsi="Times New Roman"/>
                <w:color w:val="000000"/>
              </w:rPr>
              <w:t>0</w:t>
            </w:r>
            <w:r>
              <w:rPr>
                <w:rFonts w:ascii="Times New Roman" w:hAnsi="Times New Roman"/>
                <w:color w:val="000000"/>
              </w:rPr>
              <w:t xml:space="preserve">                            </w:t>
            </w:r>
          </w:p>
        </w:tc>
      </w:tr>
      <w:tr w14:paraId="04B847A5" w14:textId="77777777" w:rsidTr="00D22BB1">
        <w:tblPrEx>
          <w:tblW w:w="0" w:type="auto"/>
          <w:tblInd w:w="715" w:type="dxa"/>
          <w:tblLook w:val="04A0"/>
        </w:tblPrEx>
        <w:tc>
          <w:tcPr>
            <w:tcW w:w="2790" w:type="dxa"/>
          </w:tcPr>
          <w:p w:rsidR="005623CF" w:rsidRPr="00003983" w:rsidP="00003983" w14:paraId="6CAE29FB" w14:textId="77777777">
            <w:pPr>
              <w:pStyle w:val="ListParagraph"/>
              <w:ind w:left="0"/>
              <w:rPr>
                <w:rFonts w:ascii="Times New Roman" w:hAnsi="Times New Roman"/>
                <w:color w:val="000000"/>
              </w:rPr>
            </w:pPr>
            <w:r w:rsidRPr="00003983">
              <w:rPr>
                <w:rFonts w:ascii="Times New Roman" w:hAnsi="Times New Roman"/>
                <w:color w:val="000000"/>
              </w:rPr>
              <w:t xml:space="preserve">SSA Employee (e.g., field office, 800 number, DDS </w:t>
            </w:r>
            <w:r w:rsidRPr="00003983">
              <w:rPr>
                <w:rFonts w:ascii="Times New Roman" w:hAnsi="Times New Roman"/>
                <w:color w:val="000000"/>
              </w:rPr>
              <w:t>staff) Information Collection and Processing Time</w:t>
            </w:r>
          </w:p>
        </w:tc>
        <w:tc>
          <w:tcPr>
            <w:tcW w:w="2970" w:type="dxa"/>
          </w:tcPr>
          <w:p w:rsidR="005623CF" w:rsidRPr="00003983" w:rsidP="00003983" w14:paraId="708D7CD7"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155" w:type="dxa"/>
          </w:tcPr>
          <w:p w:rsidR="005623CF" w:rsidRPr="00D04C51" w:rsidP="00D04C51" w14:paraId="7EFB2B47" w14:textId="4EEA3F6F">
            <w:pPr>
              <w:pStyle w:val="ListParagraph"/>
              <w:ind w:left="0"/>
              <w:rPr>
                <w:rFonts w:ascii="Times New Roman" w:hAnsi="Times New Roman"/>
                <w:color w:val="000000"/>
              </w:rPr>
            </w:pPr>
            <w:r>
              <w:rPr>
                <w:rFonts w:ascii="Times New Roman" w:hAnsi="Times New Roman"/>
                <w:color w:val="000000" w:themeColor="text1"/>
              </w:rPr>
              <w:t xml:space="preserve"> </w:t>
            </w:r>
            <w:r w:rsidR="00D22BB1">
              <w:rPr>
                <w:rFonts w:ascii="Times New Roman" w:hAnsi="Times New Roman"/>
                <w:color w:val="000000" w:themeColor="text1"/>
              </w:rPr>
              <w:t xml:space="preserve">         </w:t>
            </w:r>
            <w:r w:rsidRPr="00D04C51" w:rsidR="00D22BB1">
              <w:rPr>
                <w:rFonts w:ascii="Times New Roman" w:hAnsi="Times New Roman"/>
                <w:color w:val="000000" w:themeColor="text1"/>
              </w:rPr>
              <w:t>$</w:t>
            </w:r>
            <w:r w:rsidRPr="00D04C51" w:rsidR="005558BC">
              <w:rPr>
                <w:rFonts w:ascii="Times New Roman" w:eastAsia="Calibri" w:hAnsi="Times New Roman"/>
                <w:color w:val="000000"/>
              </w:rPr>
              <w:t>184,288.32</w:t>
            </w:r>
          </w:p>
        </w:tc>
      </w:tr>
      <w:tr w14:paraId="035812F7" w14:textId="77777777" w:rsidTr="00D22BB1">
        <w:tblPrEx>
          <w:tblW w:w="0" w:type="auto"/>
          <w:tblInd w:w="715" w:type="dxa"/>
          <w:tblLook w:val="04A0"/>
        </w:tblPrEx>
        <w:tc>
          <w:tcPr>
            <w:tcW w:w="2790" w:type="dxa"/>
          </w:tcPr>
          <w:p w:rsidR="005623CF" w:rsidRPr="00003983" w:rsidP="00003983" w14:paraId="2CA13A5E"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970" w:type="dxa"/>
          </w:tcPr>
          <w:p w:rsidR="005623CF" w:rsidRPr="00003983" w:rsidP="00003983" w14:paraId="4048EF2E"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155" w:type="dxa"/>
          </w:tcPr>
          <w:p w:rsidR="005623CF" w:rsidRPr="00003983" w:rsidP="00003983" w14:paraId="490C990B" w14:textId="5ADAC2E3">
            <w:pPr>
              <w:pStyle w:val="ListParagraph"/>
              <w:ind w:left="0"/>
              <w:rPr>
                <w:rFonts w:ascii="Times New Roman" w:hAnsi="Times New Roman"/>
                <w:color w:val="000000"/>
              </w:rPr>
            </w:pPr>
            <w:r>
              <w:rPr>
                <w:rFonts w:ascii="Times New Roman" w:hAnsi="Times New Roman"/>
                <w:color w:val="000000"/>
              </w:rPr>
              <w:t xml:space="preserve">         </w:t>
            </w:r>
            <w:r w:rsidR="00D22BB1">
              <w:rPr>
                <w:rFonts w:ascii="Times New Roman" w:hAnsi="Times New Roman"/>
                <w:color w:val="000000"/>
              </w:rPr>
              <w:t xml:space="preserve">                 $0*</w:t>
            </w:r>
            <w:r>
              <w:rPr>
                <w:rFonts w:ascii="Times New Roman" w:hAnsi="Times New Roman"/>
                <w:color w:val="000000"/>
              </w:rPr>
              <w:t xml:space="preserve">                            </w:t>
            </w:r>
          </w:p>
        </w:tc>
      </w:tr>
      <w:tr w14:paraId="3BAA6342" w14:textId="77777777" w:rsidTr="00D22BB1">
        <w:tblPrEx>
          <w:tblW w:w="0" w:type="auto"/>
          <w:tblInd w:w="715" w:type="dxa"/>
          <w:tblLook w:val="04A0"/>
        </w:tblPrEx>
        <w:tc>
          <w:tcPr>
            <w:tcW w:w="2790" w:type="dxa"/>
          </w:tcPr>
          <w:p w:rsidR="005623CF" w:rsidRPr="00003983" w:rsidP="00003983" w14:paraId="64DC4AA5"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970" w:type="dxa"/>
          </w:tcPr>
          <w:p w:rsidR="005623CF" w:rsidRPr="00003983" w:rsidP="00003983" w14:paraId="72288FA1" w14:textId="2BCD02F6">
            <w:pPr>
              <w:pStyle w:val="ListParagraph"/>
              <w:ind w:left="0"/>
              <w:rPr>
                <w:rFonts w:ascii="Times New Roman" w:hAnsi="Times New Roman"/>
                <w:color w:val="000000"/>
              </w:rPr>
            </w:pPr>
            <w:r w:rsidRPr="00CB3661">
              <w:rPr>
                <w:rFonts w:ascii="Times New Roman" w:hAnsi="Times New Roman"/>
                <w:color w:val="000000" w:themeColor="text1"/>
              </w:rPr>
              <w:t>GS-9 employee x man hours for development, updating, maintenance</w:t>
            </w:r>
          </w:p>
        </w:tc>
        <w:tc>
          <w:tcPr>
            <w:tcW w:w="2155" w:type="dxa"/>
          </w:tcPr>
          <w:p w:rsidR="005623CF" w:rsidRPr="00003983" w:rsidP="00003983" w14:paraId="191AFEB7" w14:textId="41C85759">
            <w:pPr>
              <w:pStyle w:val="ListParagraph"/>
              <w:ind w:left="0"/>
              <w:rPr>
                <w:rFonts w:ascii="Times New Roman" w:hAnsi="Times New Roman"/>
                <w:color w:val="000000"/>
              </w:rPr>
            </w:pPr>
            <w:r>
              <w:rPr>
                <w:rFonts w:ascii="Times New Roman" w:hAnsi="Times New Roman"/>
                <w:color w:val="000000" w:themeColor="text1"/>
              </w:rPr>
              <w:t xml:space="preserve">                    </w:t>
            </w:r>
            <w:r w:rsidR="00D04C51">
              <w:rPr>
                <w:rFonts w:ascii="Times New Roman" w:hAnsi="Times New Roman"/>
                <w:color w:val="000000" w:themeColor="text1"/>
              </w:rPr>
              <w:t xml:space="preserve">      </w:t>
            </w:r>
            <w:r w:rsidRPr="00CB3661">
              <w:rPr>
                <w:rFonts w:ascii="Times New Roman" w:hAnsi="Times New Roman"/>
                <w:color w:val="000000" w:themeColor="text1"/>
              </w:rPr>
              <w:t>$</w:t>
            </w:r>
            <w:r w:rsidR="00D04C51">
              <w:rPr>
                <w:rFonts w:ascii="Times New Roman" w:hAnsi="Times New Roman"/>
                <w:color w:val="000000" w:themeColor="text1"/>
              </w:rPr>
              <w:t>0*</w:t>
            </w:r>
          </w:p>
        </w:tc>
      </w:tr>
      <w:tr w14:paraId="27F8D56F" w14:textId="77777777" w:rsidTr="00D22BB1">
        <w:tblPrEx>
          <w:tblW w:w="0" w:type="auto"/>
          <w:tblInd w:w="715" w:type="dxa"/>
          <w:tblLook w:val="04A0"/>
        </w:tblPrEx>
        <w:tc>
          <w:tcPr>
            <w:tcW w:w="2790" w:type="dxa"/>
          </w:tcPr>
          <w:p w:rsidR="005623CF" w:rsidRPr="00003983" w:rsidP="00003983"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70" w:type="dxa"/>
          </w:tcPr>
          <w:p w:rsidR="005623CF" w:rsidRPr="00003983" w:rsidP="00003983"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155" w:type="dxa"/>
          </w:tcPr>
          <w:p w:rsidR="005623CF" w:rsidRPr="00003983" w:rsidP="00003983" w14:paraId="2E5C5A16" w14:textId="4E94CFF0">
            <w:pPr>
              <w:pStyle w:val="ListParagraph"/>
              <w:ind w:left="0"/>
              <w:rPr>
                <w:rFonts w:ascii="Times New Roman" w:hAnsi="Times New Roman"/>
                <w:color w:val="000000"/>
              </w:rPr>
            </w:pPr>
            <w:r>
              <w:rPr>
                <w:rFonts w:ascii="Times New Roman" w:hAnsi="Times New Roman"/>
                <w:color w:val="000000" w:themeColor="text1"/>
              </w:rPr>
              <w:t xml:space="preserve">                          </w:t>
            </w:r>
            <w:r w:rsidRPr="00CB3661">
              <w:rPr>
                <w:rFonts w:ascii="Times New Roman" w:hAnsi="Times New Roman"/>
                <w:color w:val="000000" w:themeColor="text1"/>
              </w:rPr>
              <w:t>$0*</w:t>
            </w:r>
          </w:p>
        </w:tc>
      </w:tr>
      <w:tr w14:paraId="5362D00D" w14:textId="77777777" w:rsidTr="00D22BB1">
        <w:tblPrEx>
          <w:tblW w:w="0" w:type="auto"/>
          <w:tblInd w:w="715" w:type="dxa"/>
          <w:tblLook w:val="04A0"/>
        </w:tblPrEx>
        <w:tc>
          <w:tcPr>
            <w:tcW w:w="2790" w:type="dxa"/>
          </w:tcPr>
          <w:p w:rsidR="005623CF" w:rsidRPr="00003983" w:rsidP="00003983"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70" w:type="dxa"/>
          </w:tcPr>
          <w:p w:rsidR="005623CF" w:rsidRPr="00003983" w:rsidP="00003983" w14:paraId="3D9106FA" w14:textId="77777777">
            <w:pPr>
              <w:pStyle w:val="ListParagraph"/>
              <w:ind w:left="0"/>
              <w:rPr>
                <w:rFonts w:ascii="Times New Roman" w:hAnsi="Times New Roman"/>
                <w:b/>
                <w:bCs/>
                <w:color w:val="000000"/>
              </w:rPr>
            </w:pPr>
          </w:p>
        </w:tc>
        <w:tc>
          <w:tcPr>
            <w:tcW w:w="2155" w:type="dxa"/>
          </w:tcPr>
          <w:p w:rsidR="005623CF" w:rsidRPr="00D04C51" w:rsidP="00003983" w14:paraId="7FC5693A" w14:textId="02FA711D">
            <w:pPr>
              <w:pStyle w:val="ListParagraph"/>
              <w:ind w:left="0"/>
              <w:rPr>
                <w:rFonts w:ascii="Times New Roman" w:hAnsi="Times New Roman"/>
                <w:b/>
                <w:bCs/>
                <w:color w:val="000000"/>
              </w:rPr>
            </w:pPr>
            <w:r>
              <w:rPr>
                <w:rFonts w:ascii="Times New Roman" w:eastAsia="Calibri" w:hAnsi="Times New Roman"/>
                <w:b/>
                <w:color w:val="000000"/>
              </w:rPr>
              <w:t xml:space="preserve">            </w:t>
            </w:r>
            <w:r w:rsidRPr="00D04C51">
              <w:rPr>
                <w:rFonts w:ascii="Times New Roman" w:eastAsia="Calibri" w:hAnsi="Times New Roman"/>
                <w:b/>
                <w:color w:val="000000"/>
              </w:rPr>
              <w:t>$184,435.32</w:t>
            </w:r>
          </w:p>
        </w:tc>
      </w:tr>
    </w:tbl>
    <w:p w:rsidR="005623CF" w:rsidP="00CE2960" w14:paraId="10D477D7" w14:textId="77777777">
      <w:pPr>
        <w:ind w:left="720"/>
        <w:rPr>
          <w:rFonts w:ascii="Times New Roman" w:hAnsi="Times New Roman"/>
          <w:color w:val="000000"/>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7D30F5" w:rsidP="005623CF" w14:paraId="420622E9" w14:textId="77777777">
      <w:pPr>
        <w:rPr>
          <w:rFonts w:ascii="Times New Roman" w:hAnsi="Times New Roman"/>
          <w:color w:val="000000"/>
        </w:rPr>
      </w:pPr>
    </w:p>
    <w:p w:rsidR="00D04C51" w:rsidRPr="00D04C51" w:rsidP="00D04C51" w14:paraId="1C1A026F" w14:textId="0A73D7EE">
      <w:pPr>
        <w:tabs>
          <w:tab w:val="left" w:pos="720"/>
        </w:tabs>
        <w:ind w:left="720"/>
        <w:rPr>
          <w:rFonts w:ascii="Times New Roman" w:hAnsi="Times New Roman"/>
          <w:b/>
          <w:bCs/>
        </w:rPr>
      </w:pPr>
      <w:r w:rsidRPr="00D04C51">
        <w:rPr>
          <w:rFonts w:ascii="Times New Roman" w:hAnsi="Times New Roman"/>
          <w:lang w:eastAsia="zh-CN"/>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w:t>
      </w:r>
      <w:r w:rsidRPr="00D04C51">
        <w:rPr>
          <w:rFonts w:ascii="Times New Roman" w:hAnsi="Times New Roman"/>
          <w:lang w:eastAsia="zh-CN"/>
        </w:rPr>
        <w:t>As well</w:t>
      </w:r>
      <w:r w:rsidRPr="00D04C51">
        <w:rPr>
          <w:rFonts w:ascii="Times New Roman" w:hAnsi="Times New Roman"/>
          <w:lang w:eastAsia="zh-CN"/>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D04C51">
        <w:rPr>
          <w:rFonts w:ascii="Times New Roman" w:hAnsi="Times New Roman"/>
          <w:color w:val="000000" w:themeColor="text1"/>
        </w:rPr>
        <w:t>.</w:t>
      </w:r>
    </w:p>
    <w:p w:rsidR="00D22BB1" w:rsidRPr="00CB3661" w:rsidP="00D04C51" w14:paraId="7F7DE0C7" w14:textId="70B7EB77">
      <w:pPr>
        <w:ind w:left="720"/>
        <w:rPr>
          <w:rFonts w:ascii="Times New Roman" w:hAnsi="Times New Roman"/>
          <w:color w:val="000000" w:themeColor="text1"/>
        </w:rPr>
      </w:pPr>
    </w:p>
    <w:p w:rsidR="00063A05" w:rsidP="00CE2960" w14:paraId="1741DC9C" w14:textId="77777777">
      <w:pPr>
        <w:ind w:left="720" w:hanging="54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D04C51" w:rsidRPr="00D04C51" w:rsidP="00D04C51" w14:paraId="0398DA85" w14:textId="3B8FF9E6">
      <w:pPr>
        <w:tabs>
          <w:tab w:val="left" w:pos="720"/>
        </w:tabs>
        <w:ind w:left="720"/>
        <w:rPr>
          <w:rFonts w:ascii="Times New Roman" w:hAnsi="Times New Roman"/>
          <w:b/>
          <w:bCs/>
        </w:rPr>
      </w:pPr>
      <w:r w:rsidRPr="00D04C51">
        <w:rPr>
          <w:rFonts w:ascii="Times New Roman" w:hAnsi="Times New Roman"/>
        </w:rPr>
        <w:t>When we last cleared this IC in 2023, the burden was 6,666 hours.  We are currently reporting a burden of 6,294 hours.  This change stems from a decrease in the total number of respondents from 40,000 to 37,765.  There is no change in the burden time per response.  Although the number of responses changed, SSA did not take any actions to cause this change.  These figures represent current Management Information data for the number of responses.</w:t>
      </w:r>
    </w:p>
    <w:p w:rsidR="00063A05" w:rsidP="00D04C51" w14:paraId="54B904CB" w14:textId="1A03C5EF">
      <w:pPr>
        <w:ind w:left="720" w:hanging="720"/>
        <w:rPr>
          <w:rFonts w:ascii="Times New Roman" w:hAnsi="Times New Roman"/>
          <w:b/>
        </w:rPr>
      </w:pPr>
    </w:p>
    <w:p w:rsidR="00063A05" w:rsidP="00CE2960" w14:paraId="617D01D7" w14:textId="77777777">
      <w:pPr>
        <w:ind w:left="720" w:hanging="54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833B42" w14:paraId="683ACD9C" w14:textId="7126F085">
      <w:pPr>
        <w:pStyle w:val="NoSpacing"/>
        <w:ind w:left="720"/>
        <w:rPr>
          <w:bCs/>
          <w:iCs/>
        </w:rPr>
      </w:pPr>
      <w:r>
        <w:t>SSA will not publish the results of the information collection.</w:t>
      </w:r>
      <w:r>
        <w:t xml:space="preserve"> </w:t>
      </w:r>
    </w:p>
    <w:p w:rsidR="00A45D82" w:rsidRPr="00BC7F42" w:rsidP="00A45D82" w14:paraId="32EEC39F" w14:textId="77777777">
      <w:pPr>
        <w:pStyle w:val="Header"/>
        <w:tabs>
          <w:tab w:val="clear" w:pos="4320"/>
          <w:tab w:val="clear" w:pos="8640"/>
        </w:tabs>
        <w:rPr>
          <w:rFonts w:ascii="Times New Roman" w:hAnsi="Times New Roman"/>
        </w:rPr>
      </w:pPr>
    </w:p>
    <w:p w:rsidR="003B30B4" w:rsidP="00CE2960" w14:paraId="0CD37E76" w14:textId="77777777">
      <w:pPr>
        <w:ind w:left="720" w:hanging="54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D04C51" w:rsidRPr="00D04C51" w:rsidP="00D04C51" w14:paraId="49EC8A6D" w14:textId="703CF845">
      <w:pPr>
        <w:tabs>
          <w:tab w:val="left" w:pos="720"/>
        </w:tabs>
        <w:ind w:left="720"/>
        <w:rPr>
          <w:rFonts w:ascii="Times New Roman" w:hAnsi="Times New Roman"/>
          <w:b/>
          <w:bCs/>
        </w:rPr>
      </w:pPr>
      <w:r w:rsidRPr="00D04C51">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P="003B30B4" w14:paraId="2F2570C1" w14:textId="77777777">
      <w:pPr>
        <w:pStyle w:val="NoSpacing"/>
        <w:rPr>
          <w:b/>
          <w:bCs/>
          <w:iCs/>
          <w:u w:val="single"/>
        </w:rPr>
      </w:pPr>
    </w:p>
    <w:p w:rsidR="003B30B4" w:rsidP="00CE2960" w14:paraId="61B30AB3" w14:textId="77777777">
      <w:pPr>
        <w:numPr>
          <w:ilvl w:val="0"/>
          <w:numId w:val="15"/>
        </w:numPr>
        <w:ind w:hanging="450"/>
        <w:rPr>
          <w:rFonts w:ascii="Times New Roman" w:hAnsi="Times New Roman"/>
          <w:b/>
        </w:rPr>
      </w:pPr>
      <w:r w:rsidRPr="00BC7F42">
        <w:rPr>
          <w:rFonts w:ascii="Times New Roman" w:hAnsi="Times New Roman"/>
          <w:b/>
        </w:rPr>
        <w:t>Exceptions to Certification Statement</w:t>
      </w:r>
    </w:p>
    <w:p w:rsidR="00833B42" w:rsidRPr="00CB3661" w:rsidP="00833B42" w14:paraId="7ECB7DCE" w14:textId="2496C61B">
      <w:pPr>
        <w:tabs>
          <w:tab w:val="left" w:pos="-720"/>
          <w:tab w:val="left" w:pos="0"/>
          <w:tab w:val="left" w:pos="1080"/>
        </w:tabs>
        <w:suppressAutoHyphens/>
        <w:ind w:left="720"/>
        <w:outlineLvl w:val="0"/>
        <w:rPr>
          <w:rFonts w:ascii="Times New Roman" w:hAnsi="Times New Roman"/>
          <w:i/>
          <w:color w:val="000000" w:themeColor="text1"/>
        </w:rPr>
      </w:pPr>
      <w:r w:rsidRPr="00CB3661">
        <w:rPr>
          <w:rFonts w:ascii="Times New Roman" w:hAnsi="Times New Roman"/>
          <w:color w:val="000000" w:themeColor="text1"/>
        </w:rPr>
        <w:t xml:space="preserve">SSA is not requesting an exception to the certification requirements at </w:t>
      </w:r>
      <w:r>
        <w:rPr>
          <w:rFonts w:ascii="Times New Roman" w:hAnsi="Times New Roman"/>
          <w:color w:val="000000" w:themeColor="text1"/>
        </w:rPr>
        <w:t xml:space="preserve">                  </w:t>
      </w:r>
      <w:r w:rsidRPr="00CB3661">
        <w:rPr>
          <w:rFonts w:ascii="Times New Roman" w:hAnsi="Times New Roman"/>
          <w:i/>
          <w:color w:val="000000" w:themeColor="text1"/>
        </w:rPr>
        <w:t>5 CFR 1320.9</w:t>
      </w:r>
      <w:r w:rsidRPr="00CB3661">
        <w:rPr>
          <w:rFonts w:ascii="Times New Roman" w:hAnsi="Times New Roman"/>
          <w:color w:val="000000" w:themeColor="text1"/>
        </w:rPr>
        <w:t xml:space="preserve"> and related provisions at </w:t>
      </w:r>
      <w:r w:rsidRPr="00CB3661">
        <w:rPr>
          <w:rFonts w:ascii="Times New Roman" w:hAnsi="Times New Roman"/>
          <w:i/>
          <w:color w:val="000000" w:themeColor="text1"/>
        </w:rPr>
        <w:t>5 CFR 1320.8(b)(3).</w:t>
      </w:r>
    </w:p>
    <w:p w:rsidR="00806984" w:rsidRPr="00BC7F42" w:rsidP="00806984" w14:paraId="2CAE5BAE" w14:textId="5FA647D0">
      <w:pPr>
        <w:ind w:left="720"/>
        <w:rPr>
          <w:rFonts w:ascii="Times New Roman" w:hAnsi="Times New Roman"/>
        </w:rPr>
      </w:pPr>
    </w:p>
    <w:p w:rsidR="00A45D82" w:rsidP="00CE2960" w14:paraId="632326B7" w14:textId="75C714A3">
      <w:pPr>
        <w:tabs>
          <w:tab w:val="left" w:pos="720"/>
        </w:tabs>
        <w:ind w:left="270"/>
        <w:rPr>
          <w:rFonts w:ascii="Times New Roman" w:hAnsi="Times New Roman"/>
          <w:b/>
          <w:u w:val="single"/>
        </w:rPr>
      </w:pPr>
      <w:r w:rsidRPr="0041131C">
        <w:rPr>
          <w:rFonts w:ascii="Times New Roman" w:hAnsi="Times New Roman"/>
          <w:b/>
        </w:rPr>
        <w:t xml:space="preserve">B. </w:t>
      </w:r>
      <w:r w:rsidR="00CE2960">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2067ADAF">
      <w:pPr>
        <w:rPr>
          <w:rFonts w:ascii="Times New Roman" w:hAnsi="Times New Roman"/>
        </w:rPr>
      </w:pPr>
      <w:r>
        <w:rPr>
          <w:rFonts w:ascii="Times New Roman" w:hAnsi="Times New Roman"/>
        </w:rPr>
        <w:tab/>
      </w:r>
    </w:p>
    <w:p w:rsidR="0041131C" w:rsidRPr="00833B42" w:rsidP="0041131C" w14:paraId="0EEF510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833B42">
        <w:rPr>
          <w:rFonts w:ascii="Times New Roman" w:hAnsi="Times New Roman"/>
          <w:b w:val="0"/>
          <w:i w:val="0"/>
          <w:iCs w:val="0"/>
        </w:rPr>
        <w:t xml:space="preserve">SSA does not use statistical methods for this information collection. </w:t>
      </w:r>
    </w:p>
    <w:p w:rsidR="0041131C" w:rsidRPr="00BC7F42" w:rsidP="0041131C" w14:paraId="0E03E1DE" w14:textId="77777777">
      <w:pPr>
        <w:rPr>
          <w:rFonts w:ascii="Times New Roman" w:hAnsi="Times New Roman"/>
        </w:rPr>
      </w:pPr>
    </w:p>
    <w:p w:rsidR="00395060" w:rsidP="00A45D82" w14:paraId="4629D8BB" w14:textId="77777777">
      <w:pPr>
        <w:jc w:val="center"/>
        <w:rPr>
          <w:rFonts w:ascii="Times New Roman" w:hAnsi="Times New Roman"/>
          <w:b/>
          <w:color w:val="FF0000"/>
        </w:rPr>
      </w:pPr>
    </w:p>
    <w:p w:rsidR="00395060" w:rsidP="00A45D82" w14:paraId="304FF77F" w14:textId="77777777">
      <w:pPr>
        <w:jc w:val="center"/>
        <w:rPr>
          <w:rFonts w:ascii="Times New Roman" w:hAnsi="Times New Roman"/>
          <w:b/>
          <w:color w:val="FF0000"/>
        </w:rPr>
      </w:pPr>
    </w:p>
    <w:p w:rsidR="00395060" w:rsidP="00A45D82" w14:paraId="6F5FD65F" w14:textId="77777777">
      <w:pPr>
        <w:jc w:val="center"/>
        <w:rPr>
          <w:rFonts w:ascii="Times New Roman" w:hAnsi="Times New Roman"/>
          <w:b/>
          <w:color w:val="FF0000"/>
        </w:rPr>
      </w:pPr>
    </w:p>
    <w:p w:rsidR="00395060" w:rsidP="00A45D82" w14:paraId="5CF5876E" w14:textId="77777777">
      <w:pPr>
        <w:jc w:val="center"/>
        <w:rPr>
          <w:rFonts w:ascii="Times New Roman" w:hAnsi="Times New Roman"/>
          <w:b/>
          <w:color w:val="FF0000"/>
        </w:rPr>
      </w:pPr>
    </w:p>
    <w:p w:rsidR="00395060" w:rsidP="00833B42" w14:paraId="3F144BEC" w14:textId="77777777">
      <w:pPr>
        <w:rPr>
          <w:rFonts w:ascii="Times New Roman" w:hAnsi="Times New Roman"/>
          <w:b/>
          <w:color w:val="FF0000"/>
        </w:rPr>
      </w:pPr>
    </w:p>
    <w:p w:rsidR="00395060" w:rsidP="00A45D82" w14:paraId="1C4F695E" w14:textId="77777777">
      <w:pPr>
        <w:jc w:val="center"/>
        <w:rPr>
          <w:rFonts w:ascii="Times New Roman" w:hAnsi="Times New Roman"/>
          <w:b/>
          <w:color w:val="FF0000"/>
        </w:rPr>
      </w:pPr>
    </w:p>
    <w:p w:rsidR="00395060" w:rsidP="00A45D82" w14:paraId="230999F7" w14:textId="77777777">
      <w:pPr>
        <w:jc w:val="center"/>
        <w:rPr>
          <w:rFonts w:ascii="Times New Roman" w:hAnsi="Times New Roman"/>
          <w:b/>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FE1DE8"/>
    <w:multiLevelType w:val="hybridMultilevel"/>
    <w:tmpl w:val="9606E2D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90DF7"/>
    <w:multiLevelType w:val="hybridMultilevel"/>
    <w:tmpl w:val="C068CAF6"/>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EBF4CFA"/>
    <w:multiLevelType w:val="hybridMultilevel"/>
    <w:tmpl w:val="92FC696E"/>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9">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F42E11"/>
    <w:multiLevelType w:val="hybridMultilevel"/>
    <w:tmpl w:val="D690D4CC"/>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2">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83D456F"/>
    <w:multiLevelType w:val="hybridMultilevel"/>
    <w:tmpl w:val="F34E9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16">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F117498"/>
    <w:multiLevelType w:val="hybridMultilevel"/>
    <w:tmpl w:val="A7FCEA34"/>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8">
    <w:nsid w:val="545640C3"/>
    <w:multiLevelType w:val="hybridMultilevel"/>
    <w:tmpl w:val="39C008AA"/>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7AD6D43"/>
    <w:multiLevelType w:val="hybridMultilevel"/>
    <w:tmpl w:val="B8CAD29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2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2040936855">
    <w:abstractNumId w:val="22"/>
  </w:num>
  <w:num w:numId="2" w16cid:durableId="416291374">
    <w:abstractNumId w:val="24"/>
  </w:num>
  <w:num w:numId="3" w16cid:durableId="1574852167">
    <w:abstractNumId w:val="2"/>
  </w:num>
  <w:num w:numId="4" w16cid:durableId="1724137988">
    <w:abstractNumId w:val="1"/>
  </w:num>
  <w:num w:numId="5" w16cid:durableId="1601639384">
    <w:abstractNumId w:val="12"/>
  </w:num>
  <w:num w:numId="6" w16cid:durableId="683703255">
    <w:abstractNumId w:val="15"/>
  </w:num>
  <w:num w:numId="7" w16cid:durableId="1871380945">
    <w:abstractNumId w:val="29"/>
  </w:num>
  <w:num w:numId="8" w16cid:durableId="1141922203">
    <w:abstractNumId w:val="7"/>
  </w:num>
  <w:num w:numId="9" w16cid:durableId="1247416845">
    <w:abstractNumId w:val="4"/>
  </w:num>
  <w:num w:numId="10" w16cid:durableId="1532717304">
    <w:abstractNumId w:val="28"/>
  </w:num>
  <w:num w:numId="11" w16cid:durableId="2021155320">
    <w:abstractNumId w:val="25"/>
  </w:num>
  <w:num w:numId="12" w16cid:durableId="1109277314">
    <w:abstractNumId w:val="19"/>
  </w:num>
  <w:num w:numId="13" w16cid:durableId="532886704">
    <w:abstractNumId w:val="21"/>
  </w:num>
  <w:num w:numId="14" w16cid:durableId="83497597">
    <w:abstractNumId w:val="9"/>
  </w:num>
  <w:num w:numId="15" w16cid:durableId="676419786">
    <w:abstractNumId w:val="0"/>
  </w:num>
  <w:num w:numId="16" w16cid:durableId="1471050949">
    <w:abstractNumId w:val="10"/>
  </w:num>
  <w:num w:numId="17" w16cid:durableId="883836502">
    <w:abstractNumId w:val="26"/>
  </w:num>
  <w:num w:numId="18" w16cid:durableId="1071847806">
    <w:abstractNumId w:val="16"/>
  </w:num>
  <w:num w:numId="19" w16cid:durableId="402337084">
    <w:abstractNumId w:val="20"/>
  </w:num>
  <w:num w:numId="20" w16cid:durableId="1841895632">
    <w:abstractNumId w:val="5"/>
  </w:num>
  <w:num w:numId="21" w16cid:durableId="242184353">
    <w:abstractNumId w:val="23"/>
  </w:num>
  <w:num w:numId="22" w16cid:durableId="249043623">
    <w:abstractNumId w:val="13"/>
  </w:num>
  <w:num w:numId="23" w16cid:durableId="1422683371">
    <w:abstractNumId w:val="14"/>
  </w:num>
  <w:num w:numId="24" w16cid:durableId="213540904">
    <w:abstractNumId w:val="8"/>
  </w:num>
  <w:num w:numId="25" w16cid:durableId="1812792119">
    <w:abstractNumId w:val="6"/>
  </w:num>
  <w:num w:numId="26" w16cid:durableId="777604520">
    <w:abstractNumId w:val="27"/>
  </w:num>
  <w:num w:numId="27" w16cid:durableId="1665889692">
    <w:abstractNumId w:val="11"/>
  </w:num>
  <w:num w:numId="28" w16cid:durableId="2086342418">
    <w:abstractNumId w:val="18"/>
  </w:num>
  <w:num w:numId="29" w16cid:durableId="1300113138">
    <w:abstractNumId w:val="17"/>
  </w:num>
  <w:num w:numId="30" w16cid:durableId="48165616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6B54"/>
    <w:rsid w:val="000134FC"/>
    <w:rsid w:val="000222A7"/>
    <w:rsid w:val="00025216"/>
    <w:rsid w:val="00025D75"/>
    <w:rsid w:val="0002677F"/>
    <w:rsid w:val="000271DB"/>
    <w:rsid w:val="00030D1E"/>
    <w:rsid w:val="0004498D"/>
    <w:rsid w:val="00061926"/>
    <w:rsid w:val="0006379A"/>
    <w:rsid w:val="00063A05"/>
    <w:rsid w:val="00064229"/>
    <w:rsid w:val="0006715D"/>
    <w:rsid w:val="0007189E"/>
    <w:rsid w:val="00077720"/>
    <w:rsid w:val="00077E0E"/>
    <w:rsid w:val="00086E84"/>
    <w:rsid w:val="00092A53"/>
    <w:rsid w:val="000958AA"/>
    <w:rsid w:val="000A6AE3"/>
    <w:rsid w:val="000B2B68"/>
    <w:rsid w:val="000B3B12"/>
    <w:rsid w:val="000B7A7E"/>
    <w:rsid w:val="000C151C"/>
    <w:rsid w:val="000C1D18"/>
    <w:rsid w:val="000D2064"/>
    <w:rsid w:val="000D5F5C"/>
    <w:rsid w:val="000D6C36"/>
    <w:rsid w:val="000F6A97"/>
    <w:rsid w:val="00102E97"/>
    <w:rsid w:val="001070B1"/>
    <w:rsid w:val="00121032"/>
    <w:rsid w:val="00122EE2"/>
    <w:rsid w:val="00127980"/>
    <w:rsid w:val="00145796"/>
    <w:rsid w:val="00146275"/>
    <w:rsid w:val="00154687"/>
    <w:rsid w:val="0015576E"/>
    <w:rsid w:val="00156CE3"/>
    <w:rsid w:val="00157AD6"/>
    <w:rsid w:val="00161A18"/>
    <w:rsid w:val="0016591F"/>
    <w:rsid w:val="001779F3"/>
    <w:rsid w:val="00186C90"/>
    <w:rsid w:val="00192897"/>
    <w:rsid w:val="00192974"/>
    <w:rsid w:val="001A3317"/>
    <w:rsid w:val="001A65F9"/>
    <w:rsid w:val="001B2B88"/>
    <w:rsid w:val="001B4CF7"/>
    <w:rsid w:val="001B730F"/>
    <w:rsid w:val="001B7CF4"/>
    <w:rsid w:val="001C6D3A"/>
    <w:rsid w:val="001D0B21"/>
    <w:rsid w:val="001E1076"/>
    <w:rsid w:val="00201CD3"/>
    <w:rsid w:val="00202C06"/>
    <w:rsid w:val="00202FEC"/>
    <w:rsid w:val="00206D56"/>
    <w:rsid w:val="00225724"/>
    <w:rsid w:val="00225928"/>
    <w:rsid w:val="0023204B"/>
    <w:rsid w:val="002321B0"/>
    <w:rsid w:val="00246836"/>
    <w:rsid w:val="00257AAA"/>
    <w:rsid w:val="0026052B"/>
    <w:rsid w:val="0026724B"/>
    <w:rsid w:val="00271494"/>
    <w:rsid w:val="00276AAF"/>
    <w:rsid w:val="002801F8"/>
    <w:rsid w:val="00281CBA"/>
    <w:rsid w:val="00286FDB"/>
    <w:rsid w:val="00292DCE"/>
    <w:rsid w:val="002A4C30"/>
    <w:rsid w:val="002B0820"/>
    <w:rsid w:val="002B551D"/>
    <w:rsid w:val="002B5578"/>
    <w:rsid w:val="002C4CBF"/>
    <w:rsid w:val="002E18CF"/>
    <w:rsid w:val="002E335E"/>
    <w:rsid w:val="002F1999"/>
    <w:rsid w:val="002F1C11"/>
    <w:rsid w:val="00302545"/>
    <w:rsid w:val="00307CD3"/>
    <w:rsid w:val="003176E1"/>
    <w:rsid w:val="00331821"/>
    <w:rsid w:val="00332D11"/>
    <w:rsid w:val="00333D3D"/>
    <w:rsid w:val="00340D7D"/>
    <w:rsid w:val="003443E8"/>
    <w:rsid w:val="003444C2"/>
    <w:rsid w:val="003465DC"/>
    <w:rsid w:val="003469CA"/>
    <w:rsid w:val="00347044"/>
    <w:rsid w:val="003512E0"/>
    <w:rsid w:val="0035187E"/>
    <w:rsid w:val="0036696D"/>
    <w:rsid w:val="003678D7"/>
    <w:rsid w:val="0038050B"/>
    <w:rsid w:val="0038313E"/>
    <w:rsid w:val="003843C8"/>
    <w:rsid w:val="00395060"/>
    <w:rsid w:val="003A6E57"/>
    <w:rsid w:val="003A71A9"/>
    <w:rsid w:val="003B15EC"/>
    <w:rsid w:val="003B30B4"/>
    <w:rsid w:val="003C10BD"/>
    <w:rsid w:val="003C5FAC"/>
    <w:rsid w:val="003D337D"/>
    <w:rsid w:val="003D460C"/>
    <w:rsid w:val="003E145C"/>
    <w:rsid w:val="003E2AB0"/>
    <w:rsid w:val="003F00B3"/>
    <w:rsid w:val="00401DE1"/>
    <w:rsid w:val="00405332"/>
    <w:rsid w:val="00405548"/>
    <w:rsid w:val="0041131C"/>
    <w:rsid w:val="004145D2"/>
    <w:rsid w:val="004238CA"/>
    <w:rsid w:val="004270D4"/>
    <w:rsid w:val="004317CB"/>
    <w:rsid w:val="00432B54"/>
    <w:rsid w:val="00442D47"/>
    <w:rsid w:val="004430C5"/>
    <w:rsid w:val="00447EE9"/>
    <w:rsid w:val="0045065A"/>
    <w:rsid w:val="004509AD"/>
    <w:rsid w:val="004529BB"/>
    <w:rsid w:val="004613ED"/>
    <w:rsid w:val="00463185"/>
    <w:rsid w:val="004664B9"/>
    <w:rsid w:val="00475350"/>
    <w:rsid w:val="00477C66"/>
    <w:rsid w:val="00481B44"/>
    <w:rsid w:val="00484662"/>
    <w:rsid w:val="004915B5"/>
    <w:rsid w:val="00495B43"/>
    <w:rsid w:val="004B72D3"/>
    <w:rsid w:val="004C5327"/>
    <w:rsid w:val="004C6F33"/>
    <w:rsid w:val="004E146D"/>
    <w:rsid w:val="004F3AEE"/>
    <w:rsid w:val="0050197F"/>
    <w:rsid w:val="005040EC"/>
    <w:rsid w:val="005060EF"/>
    <w:rsid w:val="00506486"/>
    <w:rsid w:val="00516AD7"/>
    <w:rsid w:val="0053008E"/>
    <w:rsid w:val="005317C4"/>
    <w:rsid w:val="005438F0"/>
    <w:rsid w:val="005558BC"/>
    <w:rsid w:val="0056163C"/>
    <w:rsid w:val="005623CF"/>
    <w:rsid w:val="00562DD5"/>
    <w:rsid w:val="005644BF"/>
    <w:rsid w:val="00564E15"/>
    <w:rsid w:val="00570CA3"/>
    <w:rsid w:val="00571FE5"/>
    <w:rsid w:val="005721D4"/>
    <w:rsid w:val="00574BA4"/>
    <w:rsid w:val="00593A36"/>
    <w:rsid w:val="00594CB3"/>
    <w:rsid w:val="00596466"/>
    <w:rsid w:val="005A1198"/>
    <w:rsid w:val="005A737E"/>
    <w:rsid w:val="005B15E5"/>
    <w:rsid w:val="005C042F"/>
    <w:rsid w:val="005C2C39"/>
    <w:rsid w:val="005C69BB"/>
    <w:rsid w:val="005D4107"/>
    <w:rsid w:val="005D5B33"/>
    <w:rsid w:val="005E711D"/>
    <w:rsid w:val="005F208A"/>
    <w:rsid w:val="006002DD"/>
    <w:rsid w:val="006013A3"/>
    <w:rsid w:val="00605D67"/>
    <w:rsid w:val="006160ED"/>
    <w:rsid w:val="00623F5F"/>
    <w:rsid w:val="00626C22"/>
    <w:rsid w:val="00631F1B"/>
    <w:rsid w:val="0063304D"/>
    <w:rsid w:val="00637AF5"/>
    <w:rsid w:val="00640A26"/>
    <w:rsid w:val="00643726"/>
    <w:rsid w:val="006477F7"/>
    <w:rsid w:val="0065701B"/>
    <w:rsid w:val="00663881"/>
    <w:rsid w:val="00664553"/>
    <w:rsid w:val="00671749"/>
    <w:rsid w:val="006806E1"/>
    <w:rsid w:val="00694F69"/>
    <w:rsid w:val="006951C8"/>
    <w:rsid w:val="00695BE4"/>
    <w:rsid w:val="00695FC4"/>
    <w:rsid w:val="0069667B"/>
    <w:rsid w:val="006A19D0"/>
    <w:rsid w:val="006A4AA3"/>
    <w:rsid w:val="006A7452"/>
    <w:rsid w:val="006B173F"/>
    <w:rsid w:val="006B17EF"/>
    <w:rsid w:val="006B297F"/>
    <w:rsid w:val="006C5A8A"/>
    <w:rsid w:val="006C6E4D"/>
    <w:rsid w:val="006E2FB4"/>
    <w:rsid w:val="006E50CA"/>
    <w:rsid w:val="006E59B6"/>
    <w:rsid w:val="006F2B8B"/>
    <w:rsid w:val="006F48CB"/>
    <w:rsid w:val="006F4D0F"/>
    <w:rsid w:val="0070479A"/>
    <w:rsid w:val="00707B21"/>
    <w:rsid w:val="00711439"/>
    <w:rsid w:val="00712F1B"/>
    <w:rsid w:val="0071437B"/>
    <w:rsid w:val="007245C9"/>
    <w:rsid w:val="007256B3"/>
    <w:rsid w:val="007260D0"/>
    <w:rsid w:val="00726B54"/>
    <w:rsid w:val="00730D32"/>
    <w:rsid w:val="00740946"/>
    <w:rsid w:val="00740FE2"/>
    <w:rsid w:val="00742B56"/>
    <w:rsid w:val="00745462"/>
    <w:rsid w:val="007520A0"/>
    <w:rsid w:val="00765C2A"/>
    <w:rsid w:val="007752C0"/>
    <w:rsid w:val="0078051C"/>
    <w:rsid w:val="00795BAB"/>
    <w:rsid w:val="007A08D1"/>
    <w:rsid w:val="007A2DEE"/>
    <w:rsid w:val="007B007C"/>
    <w:rsid w:val="007C0384"/>
    <w:rsid w:val="007D061D"/>
    <w:rsid w:val="007D22EB"/>
    <w:rsid w:val="007D296D"/>
    <w:rsid w:val="007D30F5"/>
    <w:rsid w:val="007D4712"/>
    <w:rsid w:val="007E17BD"/>
    <w:rsid w:val="007E2888"/>
    <w:rsid w:val="007E5F77"/>
    <w:rsid w:val="008041B4"/>
    <w:rsid w:val="00805CA9"/>
    <w:rsid w:val="00806984"/>
    <w:rsid w:val="00807106"/>
    <w:rsid w:val="00807CF5"/>
    <w:rsid w:val="00810485"/>
    <w:rsid w:val="00814772"/>
    <w:rsid w:val="008170C8"/>
    <w:rsid w:val="008233E0"/>
    <w:rsid w:val="00824D72"/>
    <w:rsid w:val="00825B97"/>
    <w:rsid w:val="00831CCD"/>
    <w:rsid w:val="00833B42"/>
    <w:rsid w:val="00841F77"/>
    <w:rsid w:val="008465A2"/>
    <w:rsid w:val="0084775D"/>
    <w:rsid w:val="0086463A"/>
    <w:rsid w:val="008742FF"/>
    <w:rsid w:val="008754ED"/>
    <w:rsid w:val="00876482"/>
    <w:rsid w:val="008867F7"/>
    <w:rsid w:val="00891150"/>
    <w:rsid w:val="00891CA8"/>
    <w:rsid w:val="00892089"/>
    <w:rsid w:val="00892E12"/>
    <w:rsid w:val="00897C5E"/>
    <w:rsid w:val="008A543A"/>
    <w:rsid w:val="008B6774"/>
    <w:rsid w:val="008C34C3"/>
    <w:rsid w:val="008D158E"/>
    <w:rsid w:val="008E3A3A"/>
    <w:rsid w:val="008E3CBC"/>
    <w:rsid w:val="008F3F74"/>
    <w:rsid w:val="0090402A"/>
    <w:rsid w:val="00906892"/>
    <w:rsid w:val="009252AB"/>
    <w:rsid w:val="009254C2"/>
    <w:rsid w:val="00934D27"/>
    <w:rsid w:val="009365C9"/>
    <w:rsid w:val="00950D97"/>
    <w:rsid w:val="00951258"/>
    <w:rsid w:val="00952C5B"/>
    <w:rsid w:val="00955EC4"/>
    <w:rsid w:val="00963B73"/>
    <w:rsid w:val="009748B6"/>
    <w:rsid w:val="00975DD8"/>
    <w:rsid w:val="00976CC0"/>
    <w:rsid w:val="00983CD5"/>
    <w:rsid w:val="009A0B16"/>
    <w:rsid w:val="009A0B9C"/>
    <w:rsid w:val="009B46D3"/>
    <w:rsid w:val="009B55B7"/>
    <w:rsid w:val="009C0DD5"/>
    <w:rsid w:val="009C168A"/>
    <w:rsid w:val="009C390D"/>
    <w:rsid w:val="009E3C50"/>
    <w:rsid w:val="009E458E"/>
    <w:rsid w:val="009F16D3"/>
    <w:rsid w:val="009F23D6"/>
    <w:rsid w:val="009F7BB3"/>
    <w:rsid w:val="00A06BE2"/>
    <w:rsid w:val="00A06ECC"/>
    <w:rsid w:val="00A31F80"/>
    <w:rsid w:val="00A32C8F"/>
    <w:rsid w:val="00A337E4"/>
    <w:rsid w:val="00A33C65"/>
    <w:rsid w:val="00A34222"/>
    <w:rsid w:val="00A407B6"/>
    <w:rsid w:val="00A45D82"/>
    <w:rsid w:val="00A651A7"/>
    <w:rsid w:val="00A67D76"/>
    <w:rsid w:val="00A706B8"/>
    <w:rsid w:val="00A72056"/>
    <w:rsid w:val="00A75E40"/>
    <w:rsid w:val="00A805BA"/>
    <w:rsid w:val="00A814B4"/>
    <w:rsid w:val="00A961BF"/>
    <w:rsid w:val="00AA06A4"/>
    <w:rsid w:val="00AA0858"/>
    <w:rsid w:val="00AA0C27"/>
    <w:rsid w:val="00AA6250"/>
    <w:rsid w:val="00AB0CA7"/>
    <w:rsid w:val="00AB124A"/>
    <w:rsid w:val="00AB235B"/>
    <w:rsid w:val="00AC2A00"/>
    <w:rsid w:val="00AC2E93"/>
    <w:rsid w:val="00AC39FD"/>
    <w:rsid w:val="00AD0977"/>
    <w:rsid w:val="00AD10A6"/>
    <w:rsid w:val="00AE0527"/>
    <w:rsid w:val="00AE26A5"/>
    <w:rsid w:val="00AE7EE7"/>
    <w:rsid w:val="00AF3BEA"/>
    <w:rsid w:val="00AF7234"/>
    <w:rsid w:val="00B007C5"/>
    <w:rsid w:val="00B01D57"/>
    <w:rsid w:val="00B1122C"/>
    <w:rsid w:val="00B15FA6"/>
    <w:rsid w:val="00B1614B"/>
    <w:rsid w:val="00B22F14"/>
    <w:rsid w:val="00B2549D"/>
    <w:rsid w:val="00B33043"/>
    <w:rsid w:val="00B35478"/>
    <w:rsid w:val="00B43010"/>
    <w:rsid w:val="00B51EF0"/>
    <w:rsid w:val="00B525CA"/>
    <w:rsid w:val="00B741F6"/>
    <w:rsid w:val="00B76442"/>
    <w:rsid w:val="00B92550"/>
    <w:rsid w:val="00BA129E"/>
    <w:rsid w:val="00BA1653"/>
    <w:rsid w:val="00BA2CDB"/>
    <w:rsid w:val="00BA401A"/>
    <w:rsid w:val="00BB3F8E"/>
    <w:rsid w:val="00BC5531"/>
    <w:rsid w:val="00BC7F42"/>
    <w:rsid w:val="00BD04F0"/>
    <w:rsid w:val="00BD5D8A"/>
    <w:rsid w:val="00BD74FC"/>
    <w:rsid w:val="00BD7EFC"/>
    <w:rsid w:val="00BF026F"/>
    <w:rsid w:val="00BF4955"/>
    <w:rsid w:val="00C0290B"/>
    <w:rsid w:val="00C21357"/>
    <w:rsid w:val="00C22097"/>
    <w:rsid w:val="00C25FDC"/>
    <w:rsid w:val="00C34553"/>
    <w:rsid w:val="00C348EF"/>
    <w:rsid w:val="00C34A91"/>
    <w:rsid w:val="00C377BC"/>
    <w:rsid w:val="00C502CA"/>
    <w:rsid w:val="00C5104E"/>
    <w:rsid w:val="00C60E61"/>
    <w:rsid w:val="00C6417E"/>
    <w:rsid w:val="00C653EF"/>
    <w:rsid w:val="00C65D26"/>
    <w:rsid w:val="00C65DC5"/>
    <w:rsid w:val="00C67C8A"/>
    <w:rsid w:val="00C67F83"/>
    <w:rsid w:val="00C73D5B"/>
    <w:rsid w:val="00C74924"/>
    <w:rsid w:val="00C74A43"/>
    <w:rsid w:val="00C9283D"/>
    <w:rsid w:val="00C93220"/>
    <w:rsid w:val="00C941E2"/>
    <w:rsid w:val="00C94239"/>
    <w:rsid w:val="00CA0B15"/>
    <w:rsid w:val="00CA5F75"/>
    <w:rsid w:val="00CA6CAE"/>
    <w:rsid w:val="00CB0A40"/>
    <w:rsid w:val="00CB12B2"/>
    <w:rsid w:val="00CB3426"/>
    <w:rsid w:val="00CB3661"/>
    <w:rsid w:val="00CB6CD2"/>
    <w:rsid w:val="00CB7253"/>
    <w:rsid w:val="00CB7557"/>
    <w:rsid w:val="00CC0566"/>
    <w:rsid w:val="00CD07B4"/>
    <w:rsid w:val="00CD667A"/>
    <w:rsid w:val="00CE23C1"/>
    <w:rsid w:val="00CE2960"/>
    <w:rsid w:val="00CE402A"/>
    <w:rsid w:val="00CF0595"/>
    <w:rsid w:val="00CF5B5C"/>
    <w:rsid w:val="00D0011E"/>
    <w:rsid w:val="00D00FC6"/>
    <w:rsid w:val="00D03E8A"/>
    <w:rsid w:val="00D04C51"/>
    <w:rsid w:val="00D1095D"/>
    <w:rsid w:val="00D22BB1"/>
    <w:rsid w:val="00D24718"/>
    <w:rsid w:val="00D42EFE"/>
    <w:rsid w:val="00D44900"/>
    <w:rsid w:val="00D5531A"/>
    <w:rsid w:val="00D63B02"/>
    <w:rsid w:val="00D678F8"/>
    <w:rsid w:val="00D67C87"/>
    <w:rsid w:val="00DA07D4"/>
    <w:rsid w:val="00DA190C"/>
    <w:rsid w:val="00DB1DB4"/>
    <w:rsid w:val="00DB7578"/>
    <w:rsid w:val="00DC3E21"/>
    <w:rsid w:val="00DD1B5E"/>
    <w:rsid w:val="00DD494D"/>
    <w:rsid w:val="00DE0914"/>
    <w:rsid w:val="00DE156B"/>
    <w:rsid w:val="00DE2D89"/>
    <w:rsid w:val="00DE3642"/>
    <w:rsid w:val="00DE4CC5"/>
    <w:rsid w:val="00DE6186"/>
    <w:rsid w:val="00DF437F"/>
    <w:rsid w:val="00DF631F"/>
    <w:rsid w:val="00E0137B"/>
    <w:rsid w:val="00E065DA"/>
    <w:rsid w:val="00E222E6"/>
    <w:rsid w:val="00E3164F"/>
    <w:rsid w:val="00E31D7D"/>
    <w:rsid w:val="00E32AA9"/>
    <w:rsid w:val="00E402A1"/>
    <w:rsid w:val="00E437C5"/>
    <w:rsid w:val="00E439CB"/>
    <w:rsid w:val="00E6420B"/>
    <w:rsid w:val="00E751B4"/>
    <w:rsid w:val="00E75DB0"/>
    <w:rsid w:val="00E80456"/>
    <w:rsid w:val="00E858DF"/>
    <w:rsid w:val="00E956F3"/>
    <w:rsid w:val="00E95C4A"/>
    <w:rsid w:val="00E97136"/>
    <w:rsid w:val="00EA05D0"/>
    <w:rsid w:val="00EA6845"/>
    <w:rsid w:val="00EB0A71"/>
    <w:rsid w:val="00EC6991"/>
    <w:rsid w:val="00EC7EFD"/>
    <w:rsid w:val="00ED36D8"/>
    <w:rsid w:val="00ED57B1"/>
    <w:rsid w:val="00EE1098"/>
    <w:rsid w:val="00EE6086"/>
    <w:rsid w:val="00EF125C"/>
    <w:rsid w:val="00EF4071"/>
    <w:rsid w:val="00EF5F83"/>
    <w:rsid w:val="00EF765F"/>
    <w:rsid w:val="00F00BF6"/>
    <w:rsid w:val="00F028DE"/>
    <w:rsid w:val="00F03588"/>
    <w:rsid w:val="00F052A3"/>
    <w:rsid w:val="00F0585C"/>
    <w:rsid w:val="00F107B7"/>
    <w:rsid w:val="00F11D38"/>
    <w:rsid w:val="00F11F57"/>
    <w:rsid w:val="00F14BA8"/>
    <w:rsid w:val="00F15EF8"/>
    <w:rsid w:val="00F2154D"/>
    <w:rsid w:val="00F25E57"/>
    <w:rsid w:val="00F2693E"/>
    <w:rsid w:val="00F36E53"/>
    <w:rsid w:val="00F4316C"/>
    <w:rsid w:val="00F46176"/>
    <w:rsid w:val="00F5149E"/>
    <w:rsid w:val="00F529DF"/>
    <w:rsid w:val="00F55053"/>
    <w:rsid w:val="00F56A74"/>
    <w:rsid w:val="00F57AD9"/>
    <w:rsid w:val="00F71EDA"/>
    <w:rsid w:val="00F832E5"/>
    <w:rsid w:val="00F870A3"/>
    <w:rsid w:val="00F91762"/>
    <w:rsid w:val="00F918DB"/>
    <w:rsid w:val="00F933D4"/>
    <w:rsid w:val="00F9405B"/>
    <w:rsid w:val="00F9694D"/>
    <w:rsid w:val="00FA0FE2"/>
    <w:rsid w:val="00FA34E8"/>
    <w:rsid w:val="00FA525C"/>
    <w:rsid w:val="00FA640B"/>
    <w:rsid w:val="00FA7D4E"/>
    <w:rsid w:val="00FD256E"/>
    <w:rsid w:val="00FD549D"/>
    <w:rsid w:val="00FD6374"/>
    <w:rsid w:val="00FE1118"/>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213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C21357"/>
    <w:rPr>
      <w:rFonts w:asciiTheme="majorHAnsi" w:eastAsiaTheme="majorEastAsia" w:hAnsiTheme="majorHAnsi" w:cstheme="majorBidi"/>
      <w:snapToGrid w:val="0"/>
      <w:color w:val="2F5496" w:themeColor="accent1" w:themeShade="BF"/>
      <w:sz w:val="26"/>
      <w:szCs w:val="26"/>
    </w:rPr>
  </w:style>
  <w:style w:type="paragraph" w:styleId="NormalWeb">
    <w:name w:val="Normal (Web)"/>
    <w:basedOn w:val="Normal"/>
    <w:uiPriority w:val="99"/>
    <w:unhideWhenUsed/>
    <w:rsid w:val="008C34C3"/>
    <w:pPr>
      <w:widowControl/>
      <w:spacing w:before="100" w:beforeAutospacing="1" w:after="100" w:afterAutospacing="1"/>
    </w:pPr>
    <w:rPr>
      <w:rFonts w:ascii="Times New Roman" w:hAnsi="Times New Roman"/>
      <w:snapToGrid/>
    </w:rPr>
  </w:style>
  <w:style w:type="character" w:customStyle="1" w:styleId="ListParagraphChar">
    <w:name w:val="List Paragraph Char"/>
    <w:link w:val="ListParagraph"/>
    <w:uiPriority w:val="34"/>
    <w:locked/>
    <w:rsid w:val="00F933D4"/>
    <w:rPr>
      <w:rFonts w:ascii="Courier" w:eastAsia="Times New Roman" w:hAnsi="Courier"/>
      <w:snapToGrid w:val="0"/>
      <w:sz w:val="24"/>
      <w:szCs w:val="24"/>
    </w:rPr>
  </w:style>
  <w:style w:type="character" w:styleId="Strong">
    <w:name w:val="Strong"/>
    <w:basedOn w:val="DefaultParagraphFont"/>
    <w:uiPriority w:val="22"/>
    <w:qFormat/>
    <w:rsid w:val="004270D4"/>
    <w:rPr>
      <w:b/>
      <w:bCs/>
    </w:rPr>
  </w:style>
  <w:style w:type="paragraph" w:customStyle="1" w:styleId="pf0">
    <w:name w:val="pf0"/>
    <w:basedOn w:val="Normal"/>
    <w:rsid w:val="005C69BB"/>
    <w:pPr>
      <w:widowControl/>
      <w:spacing w:before="100" w:beforeAutospacing="1" w:after="100" w:afterAutospacing="1"/>
      <w:ind w:left="300"/>
    </w:pPr>
    <w:rPr>
      <w:rFonts w:ascii="Times New Roman" w:hAnsi="Times New Roman"/>
      <w:snapToGrid/>
    </w:rPr>
  </w:style>
  <w:style w:type="character" w:customStyle="1" w:styleId="cf01">
    <w:name w:val="cf01"/>
    <w:basedOn w:val="DefaultParagraphFont"/>
    <w:rsid w:val="005C69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1988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dcterms:created xsi:type="dcterms:W3CDTF">2026-05-27T19:13:00Z</dcterms:created>
  <dcterms:modified xsi:type="dcterms:W3CDTF">2026-05-27T19:31:00Z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1879814013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Feedback: Memo M-22-10 Documentation, Next Steps</vt:lpwstr>
  </property>
  <property fmtid="{D5CDD505-2E9C-101B-9397-08002B2CF9AE}" pid="6" name="_NewReviewCycle">
    <vt:lpwstr/>
  </property>
  <property fmtid="{D5CDD505-2E9C-101B-9397-08002B2CF9AE}" pid="7" name="_PreviousAdHocReviewCycleID">
    <vt:i4>230193780</vt:i4>
  </property>
  <property fmtid="{D5CDD505-2E9C-101B-9397-08002B2CF9AE}" pid="8" name="_ReviewingToolsShownOnce">
    <vt:lpwstr/>
  </property>
</Properties>
</file>