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F4DE5" w:rsidRPr="005F4DE5" w:rsidP="005F4DE5" w14:paraId="7E0A9978" w14:textId="32E76A5B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A</w:t>
      </w:r>
      <w:r w:rsidR="00DB0B45">
        <w:rPr>
          <w:b/>
          <w:sz w:val="24"/>
          <w:szCs w:val="24"/>
        </w:rPr>
        <w:t xml:space="preserve">ddendum to the </w:t>
      </w:r>
      <w:r w:rsidRPr="005F4DE5">
        <w:rPr>
          <w:b/>
          <w:sz w:val="24"/>
          <w:szCs w:val="24"/>
          <w:lang w:eastAsia="en-US"/>
        </w:rPr>
        <w:t>Supporting Statement for Form HA-L90</w:t>
      </w:r>
      <w:r w:rsidR="00FD0AAB">
        <w:rPr>
          <w:b/>
          <w:sz w:val="24"/>
          <w:szCs w:val="24"/>
          <w:lang w:eastAsia="en-US"/>
        </w:rPr>
        <w:t xml:space="preserve"> and HA-L90-OP1</w:t>
      </w:r>
    </w:p>
    <w:p w:rsidR="005F4DE5" w:rsidRPr="005F4DE5" w:rsidP="005F4DE5" w14:paraId="77AE9716" w14:textId="77777777">
      <w:pPr>
        <w:keepNext/>
        <w:widowControl w:val="0"/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5F4DE5">
        <w:rPr>
          <w:b/>
          <w:bCs/>
          <w:snapToGrid w:val="0"/>
          <w:sz w:val="24"/>
          <w:szCs w:val="24"/>
          <w:lang w:eastAsia="en-US"/>
        </w:rPr>
        <w:t>Request to Show Cause for Failure to Appear</w:t>
      </w:r>
    </w:p>
    <w:p w:rsidR="005F4DE5" w:rsidRPr="005F4DE5" w:rsidP="005F4DE5" w14:paraId="7FE728FD" w14:textId="77777777">
      <w:pPr>
        <w:suppressAutoHyphens w:val="0"/>
        <w:jc w:val="center"/>
        <w:rPr>
          <w:b/>
          <w:bCs/>
          <w:spacing w:val="2"/>
          <w:sz w:val="24"/>
          <w:szCs w:val="24"/>
          <w:lang w:eastAsia="en-US"/>
        </w:rPr>
      </w:pPr>
      <w:r w:rsidRPr="005F4DE5">
        <w:rPr>
          <w:b/>
          <w:bCs/>
          <w:spacing w:val="2"/>
          <w:sz w:val="24"/>
          <w:szCs w:val="24"/>
          <w:lang w:eastAsia="en-US"/>
        </w:rPr>
        <w:t>20 CFR 404.938, 20 CFR 416.1438, and 20 CFR 404.957(b)(i) and (ii)</w:t>
      </w:r>
    </w:p>
    <w:p w:rsidR="00DB0B45" w:rsidRPr="009865DC" w:rsidP="005F4DE5" w14:paraId="621C77CE" w14:textId="77777777">
      <w:pPr>
        <w:jc w:val="center"/>
        <w:rPr>
          <w:b/>
          <w:sz w:val="24"/>
          <w:szCs w:val="24"/>
        </w:rPr>
      </w:pPr>
      <w:r w:rsidRPr="005F4DE5">
        <w:rPr>
          <w:b/>
          <w:sz w:val="24"/>
          <w:szCs w:val="24"/>
          <w:lang w:eastAsia="en-US"/>
        </w:rPr>
        <w:t>OMB No. 0960-0794</w:t>
      </w:r>
    </w:p>
    <w:p w:rsidR="00BC3EA0" w:rsidP="00CF6128" w14:paraId="6EC9AF10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</w:p>
    <w:p w:rsidR="00CF6128" w:rsidRPr="00CF6128" w:rsidP="00CF6128" w14:paraId="4FF6DE34" w14:textId="7E21B92B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="00CF6128" w:rsidRPr="00CF6128" w:rsidP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="00DB0B45" w:rsidRPr="00275D32" w:rsidP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="00091C62" w:rsidRPr="00275D32" w:rsidP="00091C62" w14:paraId="63BE6DE4" w14:textId="77777777">
      <w:pPr>
        <w:rPr>
          <w:sz w:val="24"/>
          <w:szCs w:val="24"/>
        </w:rPr>
      </w:pPr>
    </w:p>
    <w:p w:rsidR="00435551" w:rsidRPr="00DE1550" w:rsidP="00DE1550" w14:paraId="1B8AAC21" w14:textId="2C4034D7">
      <w:pPr>
        <w:pStyle w:val="ListParagraph"/>
        <w:numPr>
          <w:ilvl w:val="0"/>
          <w:numId w:val="3"/>
        </w:numPr>
        <w:suppressAutoHyphens w:val="0"/>
        <w:rPr>
          <w:sz w:val="24"/>
          <w:szCs w:val="24"/>
        </w:rPr>
      </w:pPr>
      <w:r w:rsidRPr="00DE1550">
        <w:rPr>
          <w:b/>
          <w:sz w:val="24"/>
          <w:szCs w:val="24"/>
          <w:u w:val="single"/>
        </w:rPr>
        <w:t>Change #</w:t>
      </w:r>
      <w:r w:rsidRPr="00DE1550" w:rsidR="005F4DE5">
        <w:rPr>
          <w:b/>
          <w:sz w:val="24"/>
          <w:szCs w:val="24"/>
          <w:u w:val="single"/>
        </w:rPr>
        <w:t>1</w:t>
      </w:r>
      <w:r w:rsidRPr="00DE1550">
        <w:rPr>
          <w:b/>
          <w:sz w:val="24"/>
          <w:szCs w:val="24"/>
        </w:rPr>
        <w:t>:</w:t>
      </w:r>
      <w:r w:rsidRPr="00DE1550">
        <w:rPr>
          <w:sz w:val="24"/>
          <w:szCs w:val="24"/>
        </w:rPr>
        <w:t xml:space="preserve">  </w:t>
      </w:r>
      <w:r w:rsidR="008A4313">
        <w:rPr>
          <w:sz w:val="24"/>
          <w:szCs w:val="24"/>
        </w:rPr>
        <w:t xml:space="preserve"> </w:t>
      </w:r>
      <w:r w:rsidRPr="00DE1550" w:rsidR="00CF6128">
        <w:rPr>
          <w:sz w:val="24"/>
          <w:szCs w:val="24"/>
        </w:rPr>
        <w:t xml:space="preserve">We </w:t>
      </w:r>
      <w:r w:rsidRPr="00DE1550" w:rsidR="00F83CEC">
        <w:rPr>
          <w:sz w:val="24"/>
          <w:szCs w:val="24"/>
        </w:rPr>
        <w:t>removed</w:t>
      </w:r>
      <w:r w:rsidRPr="00DE1550" w:rsidR="000B4629">
        <w:rPr>
          <w:sz w:val="24"/>
          <w:szCs w:val="24"/>
        </w:rPr>
        <w:t xml:space="preserve"> </w:t>
      </w:r>
      <w:r w:rsidRPr="00DE1550" w:rsidR="001F384C">
        <w:rPr>
          <w:sz w:val="24"/>
          <w:szCs w:val="24"/>
        </w:rPr>
        <w:t xml:space="preserve">all </w:t>
      </w:r>
      <w:r w:rsidRPr="00DE1550" w:rsidR="000B4629">
        <w:rPr>
          <w:sz w:val="24"/>
          <w:szCs w:val="24"/>
        </w:rPr>
        <w:t>instances of</w:t>
      </w:r>
      <w:r w:rsidRPr="00DE1550">
        <w:rPr>
          <w:sz w:val="24"/>
          <w:szCs w:val="24"/>
        </w:rPr>
        <w:t xml:space="preserve"> </w:t>
      </w:r>
      <w:r w:rsidRPr="00DE1550" w:rsidR="000B4629">
        <w:rPr>
          <w:sz w:val="24"/>
          <w:szCs w:val="24"/>
        </w:rPr>
        <w:t>“Office of Hearings Operations</w:t>
      </w:r>
      <w:r w:rsidRPr="00DE1550" w:rsidR="00E55378">
        <w:rPr>
          <w:sz w:val="24"/>
          <w:szCs w:val="24"/>
        </w:rPr>
        <w:t>”</w:t>
      </w:r>
      <w:r w:rsidRPr="00DE1550">
        <w:rPr>
          <w:sz w:val="24"/>
          <w:szCs w:val="24"/>
        </w:rPr>
        <w:t xml:space="preserve"> on both </w:t>
      </w:r>
      <w:r w:rsidRPr="00DE1550" w:rsidR="00CF6128">
        <w:rPr>
          <w:sz w:val="24"/>
          <w:szCs w:val="24"/>
        </w:rPr>
        <w:t xml:space="preserve">the </w:t>
      </w:r>
      <w:r w:rsidRPr="00DE1550">
        <w:rPr>
          <w:sz w:val="24"/>
          <w:szCs w:val="24"/>
        </w:rPr>
        <w:t>HA-L90 and HA-L90-OP1.</w:t>
      </w:r>
    </w:p>
    <w:p w:rsidR="00435551" w:rsidP="00435551" w14:paraId="31FA41D6" w14:textId="77777777">
      <w:pPr>
        <w:suppressAutoHyphens w:val="0"/>
        <w:ind w:left="360"/>
        <w:rPr>
          <w:sz w:val="24"/>
          <w:szCs w:val="24"/>
        </w:rPr>
      </w:pPr>
    </w:p>
    <w:p w:rsidR="00DE1550" w:rsidRPr="00DE1550" w:rsidP="00DE1550" w14:paraId="067870D4" w14:textId="3637E41D">
      <w:pPr>
        <w:pStyle w:val="ListParagraph"/>
        <w:numPr>
          <w:ilvl w:val="0"/>
          <w:numId w:val="3"/>
        </w:numPr>
        <w:suppressAutoHyphens w:val="0"/>
        <w:rPr>
          <w:sz w:val="24"/>
          <w:szCs w:val="24"/>
        </w:rPr>
      </w:pPr>
      <w:r w:rsidRPr="00DE1550">
        <w:rPr>
          <w:b/>
          <w:bCs/>
          <w:sz w:val="24"/>
          <w:szCs w:val="24"/>
          <w:u w:val="single"/>
        </w:rPr>
        <w:t>Justification #</w:t>
      </w:r>
      <w:r w:rsidRPr="00DE1550" w:rsidR="005F4DE5">
        <w:rPr>
          <w:b/>
          <w:bCs/>
          <w:sz w:val="24"/>
          <w:szCs w:val="24"/>
          <w:u w:val="single"/>
        </w:rPr>
        <w:t>1</w:t>
      </w:r>
      <w:r w:rsidRPr="00DE1550">
        <w:rPr>
          <w:b/>
          <w:bCs/>
          <w:sz w:val="24"/>
          <w:szCs w:val="24"/>
        </w:rPr>
        <w:t>:</w:t>
      </w:r>
      <w:r w:rsidRPr="00DE1550">
        <w:rPr>
          <w:sz w:val="24"/>
          <w:szCs w:val="24"/>
        </w:rPr>
        <w:t xml:space="preserve"> </w:t>
      </w:r>
      <w:r w:rsidR="008A4313">
        <w:rPr>
          <w:sz w:val="24"/>
          <w:szCs w:val="24"/>
        </w:rPr>
        <w:t xml:space="preserve"> </w:t>
      </w:r>
      <w:r w:rsidRPr="00DE1550" w:rsidR="00661E06">
        <w:rPr>
          <w:sz w:val="24"/>
          <w:szCs w:val="24"/>
        </w:rPr>
        <w:t xml:space="preserve">We made this change due to </w:t>
      </w:r>
      <w:r w:rsidRPr="00DE1550" w:rsidR="00C55A29">
        <w:rPr>
          <w:sz w:val="24"/>
          <w:szCs w:val="24"/>
        </w:rPr>
        <w:t xml:space="preserve">a reorganization. </w:t>
      </w:r>
    </w:p>
    <w:p w:rsidR="00DE1550" w:rsidRPr="00DE1550" w:rsidP="00DE1550" w14:paraId="30E94EDA" w14:textId="77777777">
      <w:pPr>
        <w:suppressAutoHyphens w:val="0"/>
        <w:rPr>
          <w:sz w:val="24"/>
          <w:szCs w:val="24"/>
        </w:rPr>
      </w:pPr>
    </w:p>
    <w:p w:rsidR="00DE1550" w:rsidRPr="00DE1550" w:rsidP="00DE1550" w14:paraId="6A36EBE2" w14:textId="1936F55E">
      <w:pPr>
        <w:pStyle w:val="ListParagraph"/>
        <w:numPr>
          <w:ilvl w:val="0"/>
          <w:numId w:val="3"/>
        </w:numPr>
        <w:suppressAutoHyphens w:val="0"/>
        <w:rPr>
          <w:sz w:val="24"/>
          <w:szCs w:val="24"/>
        </w:rPr>
      </w:pPr>
      <w:r w:rsidRPr="00DE1550">
        <w:rPr>
          <w:b/>
          <w:bCs/>
          <w:sz w:val="24"/>
          <w:szCs w:val="24"/>
          <w:u w:val="single"/>
        </w:rPr>
        <w:t>Change #2:</w:t>
      </w:r>
      <w:r w:rsidRPr="00DE1550">
        <w:rPr>
          <w:sz w:val="24"/>
          <w:szCs w:val="24"/>
        </w:rPr>
        <w:t xml:space="preserve"> </w:t>
      </w:r>
      <w:r w:rsidR="008A4313">
        <w:rPr>
          <w:sz w:val="24"/>
          <w:szCs w:val="24"/>
        </w:rPr>
        <w:t xml:space="preserve"> </w:t>
      </w:r>
      <w:r w:rsidRPr="00DE1550">
        <w:rPr>
          <w:sz w:val="24"/>
          <w:szCs w:val="24"/>
        </w:rPr>
        <w:t>We are revising the Privacy Act Statement on this form.</w:t>
      </w:r>
    </w:p>
    <w:p w:rsidR="00DE1550" w:rsidRPr="00DE1550" w:rsidP="00DE1550" w14:paraId="58042B52" w14:textId="77777777">
      <w:pPr>
        <w:ind w:left="360"/>
        <w:rPr>
          <w:sz w:val="24"/>
          <w:szCs w:val="24"/>
        </w:rPr>
      </w:pPr>
    </w:p>
    <w:p w:rsidR="00DE1550" w:rsidRPr="00DE1550" w:rsidP="00DE1550" w14:paraId="32FECA0C" w14:textId="6C6FDF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E1550">
        <w:rPr>
          <w:b/>
          <w:sz w:val="24"/>
          <w:szCs w:val="24"/>
          <w:u w:val="single"/>
        </w:rPr>
        <w:t>Justification #2</w:t>
      </w:r>
      <w:r w:rsidRPr="00DE1550">
        <w:rPr>
          <w:b/>
          <w:sz w:val="24"/>
          <w:szCs w:val="24"/>
        </w:rPr>
        <w:t xml:space="preserve">: </w:t>
      </w:r>
      <w:r w:rsidR="008A4313">
        <w:rPr>
          <w:b/>
          <w:sz w:val="24"/>
          <w:szCs w:val="24"/>
        </w:rPr>
        <w:t xml:space="preserve"> </w:t>
      </w:r>
      <w:r w:rsidRPr="00DE1550">
        <w:rPr>
          <w:sz w:val="24"/>
          <w:szCs w:val="24"/>
        </w:rPr>
        <w:t>SSA’s Law and Policy is conducting a systematic review of SSA’s Privacy Act Statements on agency forms.  As a result, SSA is updating the Privacy Act Statement on this form.</w:t>
      </w:r>
    </w:p>
    <w:p w:rsidR="00DE1550" w:rsidP="00DE1550" w14:paraId="132B24AE" w14:textId="7399FF5B">
      <w:pPr>
        <w:suppressAutoHyphens w:val="0"/>
        <w:rPr>
          <w:sz w:val="24"/>
          <w:szCs w:val="24"/>
        </w:rPr>
      </w:pPr>
    </w:p>
    <w:p w:rsidR="00DE1550" w:rsidP="00901875" w14:paraId="48317668" w14:textId="77777777">
      <w:pPr>
        <w:suppressAutoHyphens w:val="0"/>
        <w:ind w:left="720"/>
        <w:rPr>
          <w:sz w:val="24"/>
          <w:szCs w:val="24"/>
        </w:rPr>
      </w:pPr>
    </w:p>
    <w:p w:rsidR="00636E36" w:rsidP="00636E36" w14:paraId="239FAF09" w14:textId="03938D4E">
      <w:pPr>
        <w:rPr>
          <w:b/>
          <w:bCs/>
          <w:sz w:val="24"/>
          <w:szCs w:val="24"/>
          <w:u w:val="single"/>
        </w:rPr>
      </w:pPr>
      <w:r w:rsidRPr="00BC3EA0">
        <w:rPr>
          <w:b/>
          <w:bCs/>
          <w:sz w:val="24"/>
          <w:szCs w:val="24"/>
          <w:u w:val="single"/>
        </w:rPr>
        <w:t xml:space="preserve">Public Comments </w:t>
      </w:r>
      <w:r>
        <w:rPr>
          <w:b/>
          <w:bCs/>
          <w:sz w:val="24"/>
          <w:szCs w:val="24"/>
          <w:u w:val="single"/>
        </w:rPr>
        <w:t>on the Information Collection</w:t>
      </w:r>
    </w:p>
    <w:p w:rsidR="00636E36" w:rsidP="00636E36" w14:paraId="1A419BF3" w14:textId="77777777">
      <w:pPr>
        <w:rPr>
          <w:b/>
          <w:bCs/>
          <w:sz w:val="24"/>
          <w:szCs w:val="24"/>
          <w:u w:val="single"/>
        </w:rPr>
      </w:pPr>
    </w:p>
    <w:p w:rsidR="00636E36" w:rsidP="00636E36" w14:paraId="74944B23" w14:textId="77777777">
      <w:pPr>
        <w:pStyle w:val="Heading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C313E">
        <w:rPr>
          <w:rFonts w:ascii="Times New Roman" w:hAnsi="Times New Roman"/>
          <w:b/>
          <w:bCs/>
          <w:color w:val="000000" w:themeColor="text1"/>
          <w:sz w:val="24"/>
          <w:szCs w:val="24"/>
        </w:rPr>
        <w:t>60-Day Comment Period Federal Register Notice (FRN):</w:t>
      </w:r>
    </w:p>
    <w:p w:rsidR="00636E36" w:rsidP="00636E36" w14:paraId="17F23889" w14:textId="2389F2EA">
      <w:pPr>
        <w:rPr>
          <w:sz w:val="24"/>
          <w:szCs w:val="24"/>
        </w:rPr>
      </w:pPr>
      <w:r w:rsidRPr="00636E36">
        <w:rPr>
          <w:sz w:val="24"/>
          <w:szCs w:val="24"/>
        </w:rPr>
        <w:t xml:space="preserve">The 60-day Comment Period began on </w:t>
      </w:r>
      <w:r>
        <w:rPr>
          <w:sz w:val="24"/>
          <w:szCs w:val="24"/>
        </w:rPr>
        <w:t>March 23</w:t>
      </w:r>
      <w:r w:rsidRPr="00636E36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Pr="00636E36">
        <w:rPr>
          <w:sz w:val="24"/>
          <w:szCs w:val="24"/>
        </w:rPr>
        <w:t xml:space="preserve">, and ended on </w:t>
      </w:r>
      <w:r>
        <w:rPr>
          <w:sz w:val="24"/>
          <w:szCs w:val="24"/>
        </w:rPr>
        <w:t>May 22, 2026</w:t>
      </w:r>
      <w:r w:rsidRPr="00636E36">
        <w:rPr>
          <w:sz w:val="24"/>
          <w:szCs w:val="24"/>
        </w:rPr>
        <w:t xml:space="preserve">, at 11:59pm.  We received </w:t>
      </w:r>
      <w:r w:rsidR="0010527A">
        <w:rPr>
          <w:sz w:val="24"/>
          <w:szCs w:val="24"/>
        </w:rPr>
        <w:t>one</w:t>
      </w:r>
      <w:r w:rsidR="005E79BB">
        <w:rPr>
          <w:sz w:val="24"/>
          <w:szCs w:val="24"/>
        </w:rPr>
        <w:t xml:space="preserve"> </w:t>
      </w:r>
      <w:r w:rsidRPr="00636E36">
        <w:rPr>
          <w:sz w:val="24"/>
          <w:szCs w:val="24"/>
        </w:rPr>
        <w:t xml:space="preserve">public comment on the 60-Day Comment Period FRN from </w:t>
      </w:r>
      <w:r w:rsidRPr="00E36607" w:rsidR="00E36607">
        <w:rPr>
          <w:b/>
          <w:bCs/>
          <w:sz w:val="24"/>
          <w:szCs w:val="24"/>
        </w:rPr>
        <w:t>1</w:t>
      </w:r>
      <w:r w:rsidRPr="00636E36">
        <w:rPr>
          <w:sz w:val="24"/>
          <w:szCs w:val="24"/>
        </w:rPr>
        <w:t xml:space="preserve"> commenter.  We acknowledge and appreciate the thoughtful feedback from the commenter, and we responded to </w:t>
      </w:r>
      <w:r w:rsidR="00061CB9">
        <w:rPr>
          <w:sz w:val="24"/>
          <w:szCs w:val="24"/>
        </w:rPr>
        <w:t>the</w:t>
      </w:r>
      <w:r w:rsidRPr="00636E36">
        <w:rPr>
          <w:sz w:val="24"/>
          <w:szCs w:val="24"/>
        </w:rPr>
        <w:t xml:space="preserve"> comments below:</w:t>
      </w:r>
    </w:p>
    <w:p w:rsidR="00E36607" w:rsidP="00636E36" w14:paraId="51DF33B1" w14:textId="77777777">
      <w:pPr>
        <w:rPr>
          <w:sz w:val="24"/>
          <w:szCs w:val="24"/>
        </w:rPr>
      </w:pPr>
    </w:p>
    <w:p w:rsidR="00E6579D" w:rsidRPr="00C2752F" w:rsidP="00636E36" w14:paraId="6694C8F1" w14:textId="7C5E4A6E">
      <w:pPr>
        <w:rPr>
          <w:b/>
          <w:bCs/>
          <w:sz w:val="24"/>
          <w:szCs w:val="24"/>
        </w:rPr>
      </w:pPr>
      <w:r w:rsidRPr="00C2752F">
        <w:rPr>
          <w:b/>
          <w:bCs/>
          <w:sz w:val="24"/>
          <w:szCs w:val="24"/>
        </w:rPr>
        <w:t xml:space="preserve">Comment </w:t>
      </w:r>
      <w:r w:rsidRPr="00C2752F">
        <w:rPr>
          <w:b/>
          <w:bCs/>
          <w:sz w:val="24"/>
          <w:szCs w:val="24"/>
        </w:rPr>
        <w:t>to recommend changes to the form to Show Cause for Failure to Appear</w:t>
      </w:r>
    </w:p>
    <w:p w:rsidR="00E6579D" w:rsidRPr="00BC3EA0" w:rsidP="00636E36" w14:paraId="4B7F9E2A" w14:textId="77777777">
      <w:pPr>
        <w:rPr>
          <w:b/>
          <w:bCs/>
          <w:sz w:val="24"/>
          <w:szCs w:val="24"/>
        </w:rPr>
      </w:pPr>
    </w:p>
    <w:p w:rsidR="0010527A" w:rsidP="00636E36" w14:paraId="3DE85C6C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527A">
        <w:rPr>
          <w:b/>
          <w:bCs/>
          <w:sz w:val="24"/>
          <w:szCs w:val="24"/>
        </w:rPr>
        <w:t>Comment</w:t>
      </w:r>
      <w:r>
        <w:rPr>
          <w:b/>
          <w:bCs/>
          <w:sz w:val="24"/>
          <w:szCs w:val="24"/>
        </w:rPr>
        <w:t xml:space="preserve"> #1</w:t>
      </w:r>
      <w:r w:rsidRPr="0010527A">
        <w:rPr>
          <w:b/>
          <w:bCs/>
          <w:sz w:val="24"/>
          <w:szCs w:val="24"/>
        </w:rPr>
        <w:t xml:space="preserve">:  </w:t>
      </w:r>
      <w:r w:rsidRPr="0010527A" w:rsidR="00E36607">
        <w:rPr>
          <w:sz w:val="24"/>
          <w:szCs w:val="24"/>
        </w:rPr>
        <w:t>Community Legal Services of Philadelphia (CLS)</w:t>
      </w:r>
      <w:r>
        <w:rPr>
          <w:sz w:val="24"/>
          <w:szCs w:val="24"/>
        </w:rPr>
        <w:t xml:space="preserve"> opined that t</w:t>
      </w:r>
      <w:r w:rsidRPr="0010527A">
        <w:rPr>
          <w:sz w:val="24"/>
          <w:szCs w:val="24"/>
        </w:rPr>
        <w:t>his form is critical</w:t>
      </w:r>
      <w:r>
        <w:rPr>
          <w:sz w:val="24"/>
          <w:szCs w:val="24"/>
        </w:rPr>
        <w:t xml:space="preserve">, as </w:t>
      </w:r>
      <w:r w:rsidRPr="0010527A">
        <w:rPr>
          <w:sz w:val="24"/>
          <w:szCs w:val="24"/>
        </w:rPr>
        <w:t xml:space="preserve">it asks claimants to identify why they missed their hearing.  </w:t>
      </w:r>
      <w:r>
        <w:rPr>
          <w:sz w:val="24"/>
          <w:szCs w:val="24"/>
        </w:rPr>
        <w:t>Further, CLS expressed that w</w:t>
      </w:r>
      <w:r w:rsidRPr="0010527A">
        <w:rPr>
          <w:sz w:val="24"/>
          <w:szCs w:val="24"/>
        </w:rPr>
        <w:t>hether the</w:t>
      </w:r>
      <w:r>
        <w:rPr>
          <w:sz w:val="24"/>
          <w:szCs w:val="24"/>
        </w:rPr>
        <w:t xml:space="preserve"> respondents’</w:t>
      </w:r>
      <w:r w:rsidRPr="0010527A">
        <w:rPr>
          <w:sz w:val="24"/>
          <w:szCs w:val="24"/>
        </w:rPr>
        <w:t xml:space="preserve"> hearing</w:t>
      </w:r>
      <w:r>
        <w:rPr>
          <w:sz w:val="24"/>
          <w:szCs w:val="24"/>
        </w:rPr>
        <w:t>s</w:t>
      </w:r>
      <w:r w:rsidRPr="0010527A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Pr="0010527A">
        <w:rPr>
          <w:sz w:val="24"/>
          <w:szCs w:val="24"/>
        </w:rPr>
        <w:t xml:space="preserve"> rescheduled hinges entirely on their response, which SSA has solicited in an open-ended way.  While </w:t>
      </w:r>
      <w:r>
        <w:rPr>
          <w:sz w:val="24"/>
          <w:szCs w:val="24"/>
        </w:rPr>
        <w:t xml:space="preserve">CLS stated that they </w:t>
      </w:r>
      <w:r w:rsidRPr="0010527A">
        <w:rPr>
          <w:sz w:val="24"/>
          <w:szCs w:val="24"/>
        </w:rPr>
        <w:t xml:space="preserve">appreciate that this form is short and concise, </w:t>
      </w:r>
      <w:r>
        <w:rPr>
          <w:sz w:val="24"/>
          <w:szCs w:val="24"/>
        </w:rPr>
        <w:t xml:space="preserve">they </w:t>
      </w:r>
      <w:r w:rsidRPr="0010527A">
        <w:rPr>
          <w:sz w:val="24"/>
          <w:szCs w:val="24"/>
        </w:rPr>
        <w:t xml:space="preserve">also know that the concept of “good cause” is complicated and may not be understood by many claimants – particularly those who are pro se or have cognitive deficits. </w:t>
      </w:r>
    </w:p>
    <w:p w:rsidR="0010527A" w:rsidP="0010527A" w14:paraId="0F11CE4B" w14:textId="77777777">
      <w:pPr>
        <w:pStyle w:val="ListParagraph"/>
        <w:ind w:left="360"/>
        <w:rPr>
          <w:b/>
          <w:bCs/>
          <w:sz w:val="24"/>
          <w:szCs w:val="24"/>
        </w:rPr>
      </w:pPr>
    </w:p>
    <w:p w:rsidR="00636E36" w:rsidRPr="0010527A" w:rsidP="0010527A" w14:paraId="13A0D8F2" w14:textId="5F70770E">
      <w:pPr>
        <w:pStyle w:val="ListParagraph"/>
        <w:ind w:left="360"/>
        <w:rPr>
          <w:sz w:val="24"/>
          <w:szCs w:val="24"/>
        </w:rPr>
      </w:pPr>
      <w:r w:rsidRPr="0010527A">
        <w:rPr>
          <w:sz w:val="24"/>
          <w:szCs w:val="24"/>
        </w:rPr>
        <w:t xml:space="preserve">CLS </w:t>
      </w:r>
      <w:r w:rsidRPr="0010527A">
        <w:rPr>
          <w:sz w:val="24"/>
          <w:szCs w:val="24"/>
        </w:rPr>
        <w:t xml:space="preserve">recommend </w:t>
      </w:r>
      <w:r>
        <w:rPr>
          <w:sz w:val="24"/>
          <w:szCs w:val="24"/>
        </w:rPr>
        <w:t xml:space="preserve">that, in addition to the open-ended question already on the form, SSA should also </w:t>
      </w:r>
      <w:r w:rsidRPr="0010527A">
        <w:rPr>
          <w:sz w:val="24"/>
          <w:szCs w:val="24"/>
        </w:rPr>
        <w:t>add several check boxes with common issues that cause people to miss a hearing that are relevant to the good cause determination such as:</w:t>
      </w:r>
    </w:p>
    <w:p w:rsidR="00636E36" w:rsidRPr="00BC3EA0" w:rsidP="0010527A" w14:paraId="1CAF8053" w14:textId="77777777">
      <w:pPr>
        <w:tabs>
          <w:tab w:val="left" w:pos="180"/>
        </w:tabs>
        <w:ind w:firstLine="360"/>
        <w:rPr>
          <w:sz w:val="24"/>
          <w:szCs w:val="24"/>
        </w:rPr>
      </w:pPr>
      <w:r w:rsidRPr="00BC3EA0">
        <w:rPr>
          <w:rFonts w:hint="eastAsia"/>
          <w:sz w:val="24"/>
          <w:szCs w:val="24"/>
        </w:rPr>
        <w:t>􀀃</w:t>
      </w:r>
      <w:r w:rsidRPr="00BC3EA0">
        <w:rPr>
          <w:sz w:val="24"/>
          <w:szCs w:val="24"/>
        </w:rPr>
        <w:t xml:space="preserve"> I did not ever receive notice of the hearing</w:t>
      </w:r>
    </w:p>
    <w:p w:rsidR="0010527A" w:rsidP="0010527A" w14:paraId="3A070451" w14:textId="77777777">
      <w:pPr>
        <w:ind w:left="360"/>
        <w:rPr>
          <w:sz w:val="24"/>
          <w:szCs w:val="24"/>
        </w:rPr>
      </w:pPr>
      <w:r w:rsidRPr="00BC3EA0">
        <w:rPr>
          <w:rFonts w:hint="eastAsia"/>
          <w:sz w:val="24"/>
          <w:szCs w:val="24"/>
        </w:rPr>
        <w:t>􀀃</w:t>
      </w:r>
      <w:r w:rsidRPr="00BC3EA0">
        <w:rPr>
          <w:sz w:val="24"/>
          <w:szCs w:val="24"/>
        </w:rPr>
        <w:t xml:space="preserve"> I got sick and could not come</w:t>
      </w:r>
    </w:p>
    <w:p w:rsidR="00636E36" w:rsidRPr="00BC3EA0" w:rsidP="00636E36" w14:paraId="5D6B5661" w14:textId="77777777">
      <w:pPr>
        <w:rPr>
          <w:sz w:val="24"/>
          <w:szCs w:val="24"/>
        </w:rPr>
      </w:pPr>
    </w:p>
    <w:p w:rsidR="00DB0B45" w:rsidRPr="0010527A" w:rsidP="00BC3EA0" w14:paraId="13FFB681" w14:textId="518B201D">
      <w:pPr>
        <w:pStyle w:val="ListParagraph"/>
        <w:numPr>
          <w:ilvl w:val="0"/>
          <w:numId w:val="4"/>
        </w:numPr>
        <w:rPr>
          <w:color w:val="0000FF"/>
          <w:sz w:val="24"/>
          <w:szCs w:val="24"/>
          <w:lang w:eastAsia="en-US"/>
        </w:rPr>
      </w:pPr>
      <w:r w:rsidRPr="0010527A">
        <w:rPr>
          <w:b/>
          <w:bCs/>
          <w:color w:val="0000FF"/>
          <w:sz w:val="24"/>
          <w:szCs w:val="24"/>
        </w:rPr>
        <w:t>SSA Response</w:t>
      </w:r>
      <w:r w:rsidR="0010527A">
        <w:rPr>
          <w:b/>
          <w:bCs/>
          <w:color w:val="0000FF"/>
          <w:sz w:val="24"/>
          <w:szCs w:val="24"/>
        </w:rPr>
        <w:t xml:space="preserve"> #1</w:t>
      </w:r>
      <w:r w:rsidRPr="0010527A">
        <w:rPr>
          <w:b/>
          <w:bCs/>
          <w:color w:val="0000FF"/>
          <w:sz w:val="24"/>
          <w:szCs w:val="24"/>
        </w:rPr>
        <w:t>:</w:t>
      </w:r>
      <w:r w:rsidRPr="0010527A" w:rsidR="00E6579D">
        <w:rPr>
          <w:b/>
          <w:bCs/>
          <w:color w:val="0000FF"/>
          <w:sz w:val="24"/>
          <w:szCs w:val="24"/>
        </w:rPr>
        <w:t xml:space="preserve">  </w:t>
      </w:r>
      <w:r w:rsidR="0010527A">
        <w:rPr>
          <w:color w:val="0000FF"/>
          <w:sz w:val="24"/>
          <w:szCs w:val="24"/>
        </w:rPr>
        <w:t xml:space="preserve">SSA carefully considered this suggestion; however, </w:t>
      </w:r>
      <w:r w:rsidRPr="0010527A" w:rsidR="00E6579D">
        <w:rPr>
          <w:color w:val="0000FF"/>
          <w:sz w:val="24"/>
          <w:szCs w:val="24"/>
        </w:rPr>
        <w:t>we respectfully decline to adopt the recommended changes to the Request to Show Cause for Failure to Appear (Form HA-L90).</w:t>
      </w:r>
      <w:r w:rsidR="0010527A">
        <w:rPr>
          <w:color w:val="0000FF"/>
          <w:sz w:val="24"/>
          <w:szCs w:val="24"/>
        </w:rPr>
        <w:t xml:space="preserve">  We believe that e</w:t>
      </w:r>
      <w:r w:rsidRPr="0010527A" w:rsidR="00E6579D">
        <w:rPr>
          <w:color w:val="0000FF"/>
          <w:sz w:val="24"/>
          <w:szCs w:val="24"/>
        </w:rPr>
        <w:t xml:space="preserve">xpanding the form to include a broader, more detailed list of examples may inadvertently create confusion or imply limitations on the types of circumstances claimants may raise.  </w:t>
      </w:r>
      <w:r w:rsidR="0010527A">
        <w:rPr>
          <w:color w:val="0000FF"/>
          <w:sz w:val="24"/>
          <w:szCs w:val="24"/>
        </w:rPr>
        <w:t>We maintain that the current format of the form, for which we created an open-ended text box, is both</w:t>
      </w:r>
      <w:r w:rsidRPr="0010527A" w:rsidR="00E6579D">
        <w:rPr>
          <w:color w:val="0000FF"/>
          <w:sz w:val="24"/>
          <w:szCs w:val="24"/>
        </w:rPr>
        <w:t xml:space="preserve"> straightforward and flexible</w:t>
      </w:r>
      <w:r w:rsidR="0010527A">
        <w:rPr>
          <w:color w:val="0000FF"/>
          <w:sz w:val="24"/>
          <w:szCs w:val="24"/>
        </w:rPr>
        <w:t xml:space="preserve">, as it allows </w:t>
      </w:r>
      <w:r w:rsidRPr="0010527A" w:rsidR="00E6579D">
        <w:rPr>
          <w:color w:val="0000FF"/>
          <w:sz w:val="24"/>
          <w:szCs w:val="24"/>
        </w:rPr>
        <w:t>claimants to provide individualized explanations in an open response format.</w:t>
      </w:r>
      <w:r w:rsidR="0010527A">
        <w:rPr>
          <w:color w:val="0000FF"/>
          <w:sz w:val="24"/>
          <w:szCs w:val="24"/>
        </w:rPr>
        <w:t xml:space="preserve">  </w:t>
      </w:r>
      <w:r w:rsidRPr="0010527A" w:rsidR="00E6579D">
        <w:rPr>
          <w:color w:val="0000FF"/>
          <w:sz w:val="24"/>
          <w:szCs w:val="24"/>
        </w:rPr>
        <w:t>For these reasons, we will maintain the form in its current state.</w:t>
      </w:r>
    </w:p>
    <w:sectPr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B45" w14:paraId="027906DB" w14:textId="77777777">
    <w:pPr>
      <w:pStyle w:val="Footer"/>
    </w:pPr>
  </w:p>
  <w:p w:rsidR="00DB0B45" w14:paraId="7808AD69" w14:textId="7777777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A87761"/>
    <w:multiLevelType w:val="hybridMultilevel"/>
    <w:tmpl w:val="ADF2BC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025DD3"/>
    <w:multiLevelType w:val="hybridMultilevel"/>
    <w:tmpl w:val="82B4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7B248E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B71C8D"/>
    <w:multiLevelType w:val="hybridMultilevel"/>
    <w:tmpl w:val="4F085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84437">
    <w:abstractNumId w:val="2"/>
  </w:num>
  <w:num w:numId="2" w16cid:durableId="2131170220">
    <w:abstractNumId w:val="1"/>
  </w:num>
  <w:num w:numId="3" w16cid:durableId="1261261685">
    <w:abstractNumId w:val="3"/>
  </w:num>
  <w:num w:numId="4" w16cid:durableId="171901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61CB9"/>
    <w:rsid w:val="00076564"/>
    <w:rsid w:val="00077466"/>
    <w:rsid w:val="00091C62"/>
    <w:rsid w:val="0009650E"/>
    <w:rsid w:val="000A0336"/>
    <w:rsid w:val="000B4629"/>
    <w:rsid w:val="0010527A"/>
    <w:rsid w:val="00184557"/>
    <w:rsid w:val="001942C6"/>
    <w:rsid w:val="001D302D"/>
    <w:rsid w:val="001F384C"/>
    <w:rsid w:val="00275D32"/>
    <w:rsid w:val="002C592F"/>
    <w:rsid w:val="00347D0D"/>
    <w:rsid w:val="00373E7A"/>
    <w:rsid w:val="0040712E"/>
    <w:rsid w:val="00435551"/>
    <w:rsid w:val="00447DD0"/>
    <w:rsid w:val="00450156"/>
    <w:rsid w:val="004E7DC7"/>
    <w:rsid w:val="004F4FC0"/>
    <w:rsid w:val="005450D3"/>
    <w:rsid w:val="00565F6D"/>
    <w:rsid w:val="005E79BB"/>
    <w:rsid w:val="005F4DE5"/>
    <w:rsid w:val="00636E36"/>
    <w:rsid w:val="00660424"/>
    <w:rsid w:val="00661E06"/>
    <w:rsid w:val="00687F33"/>
    <w:rsid w:val="006C313E"/>
    <w:rsid w:val="0073038B"/>
    <w:rsid w:val="00767172"/>
    <w:rsid w:val="008948C9"/>
    <w:rsid w:val="008A4313"/>
    <w:rsid w:val="00901875"/>
    <w:rsid w:val="00930C63"/>
    <w:rsid w:val="009353AF"/>
    <w:rsid w:val="00963B73"/>
    <w:rsid w:val="009865DC"/>
    <w:rsid w:val="00990C06"/>
    <w:rsid w:val="00A333DA"/>
    <w:rsid w:val="00A8774E"/>
    <w:rsid w:val="00AB6A12"/>
    <w:rsid w:val="00AF4C26"/>
    <w:rsid w:val="00B100AB"/>
    <w:rsid w:val="00B127A8"/>
    <w:rsid w:val="00B21FDD"/>
    <w:rsid w:val="00B422EE"/>
    <w:rsid w:val="00B841DF"/>
    <w:rsid w:val="00BB210F"/>
    <w:rsid w:val="00BB6982"/>
    <w:rsid w:val="00BB7F0A"/>
    <w:rsid w:val="00BC198B"/>
    <w:rsid w:val="00BC3EA0"/>
    <w:rsid w:val="00C2752F"/>
    <w:rsid w:val="00C3158A"/>
    <w:rsid w:val="00C35DE8"/>
    <w:rsid w:val="00C55A29"/>
    <w:rsid w:val="00CF6128"/>
    <w:rsid w:val="00CF72F3"/>
    <w:rsid w:val="00DB0B45"/>
    <w:rsid w:val="00DC2A20"/>
    <w:rsid w:val="00DE1550"/>
    <w:rsid w:val="00DE20D7"/>
    <w:rsid w:val="00E225F2"/>
    <w:rsid w:val="00E36607"/>
    <w:rsid w:val="00E55378"/>
    <w:rsid w:val="00E61A04"/>
    <w:rsid w:val="00E6579D"/>
    <w:rsid w:val="00E65DF4"/>
    <w:rsid w:val="00E755A9"/>
    <w:rsid w:val="00E858DF"/>
    <w:rsid w:val="00EA1B3F"/>
    <w:rsid w:val="00ED3CD1"/>
    <w:rsid w:val="00EE4F95"/>
    <w:rsid w:val="00EE6589"/>
    <w:rsid w:val="00F83CEC"/>
    <w:rsid w:val="00F85BDE"/>
    <w:rsid w:val="00F93F89"/>
    <w:rsid w:val="00FB2F1C"/>
    <w:rsid w:val="00FD0AAB"/>
    <w:rsid w:val="24BD424E"/>
    <w:rsid w:val="2B951AC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DBC0"/>
  <w15:docId w15:val="{F0FBAF32-0EC4-4C33-B90B-96E00268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E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ListParagraph">
    <w:name w:val="List Paragraph"/>
    <w:basedOn w:val="Normal"/>
    <w:uiPriority w:val="34"/>
    <w:qFormat/>
    <w:rsid w:val="00687F33"/>
    <w:pPr>
      <w:ind w:left="720"/>
      <w:contextualSpacing/>
    </w:pPr>
  </w:style>
  <w:style w:type="paragraph" w:styleId="Revision">
    <w:name w:val="Revision"/>
    <w:hidden/>
    <w:uiPriority w:val="99"/>
    <w:semiHidden/>
    <w:rsid w:val="00687F33"/>
    <w:rPr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E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03D22E5B51A4EB8BA2E3371204C1A" ma:contentTypeVersion="16" ma:contentTypeDescription="Create a new document." ma:contentTypeScope="" ma:versionID="7b9bb4a6a1a704b18a0b0b8f8cad3743">
  <xsd:schema xmlns:xsd="http://www.w3.org/2001/XMLSchema" xmlns:xs="http://www.w3.org/2001/XMLSchema" xmlns:p="http://schemas.microsoft.com/office/2006/metadata/properties" xmlns:ns3="9a16be28-60b6-44c9-9bbc-c40290e83457" xmlns:ns4="46db731c-7e17-40b5-ac35-8fa7e8e2146f" targetNamespace="http://schemas.microsoft.com/office/2006/metadata/properties" ma:root="true" ma:fieldsID="e929f6662b7317efd9e89ec486fb79fc" ns3:_="" ns4:_="">
    <xsd:import namespace="9a16be28-60b6-44c9-9bbc-c40290e83457"/>
    <xsd:import namespace="46db731c-7e17-40b5-ac35-8fa7e8e21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6be28-60b6-44c9-9bbc-c40290e83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b731c-7e17-40b5-ac35-8fa7e8e21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16be28-60b6-44c9-9bbc-c40290e834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7F0D6-C658-496E-A8D5-996803D69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6be28-60b6-44c9-9bbc-c40290e83457"/>
    <ds:schemaRef ds:uri="46db731c-7e17-40b5-ac35-8fa7e8e21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32177-6A61-437C-A19D-1B0691C5931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a16be28-60b6-44c9-9bbc-c40290e83457"/>
    <ds:schemaRef ds:uri="46db731c-7e17-40b5-ac35-8fa7e8e2146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CD2DC3-E60B-4792-9018-3131867D0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Naomi Sipple</cp:lastModifiedBy>
  <cp:revision>2</cp:revision>
  <cp:lastPrinted>2009-08-19T10:25:00Z</cp:lastPrinted>
  <dcterms:created xsi:type="dcterms:W3CDTF">2026-05-27T17:58:00Z</dcterms:created>
  <dcterms:modified xsi:type="dcterms:W3CDTF">2026-05-27T17:58:00Z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0x010100B0703D22E5B51A4EB8BA2E3371204C1A</vt:lpwstr>
  </property>
  <property fmtid="{D5CDD505-2E9C-101B-9397-08002B2CF9AE}" pid="3" name="_AdHocReviewCycleID">
    <vt:i4>2126790829</vt:i4>
  </property>
  <property fmtid="{D5CDD505-2E9C-101B-9397-08002B2CF9AE}" pid="4" name="_AuthorEmail">
    <vt:lpwstr>Punita.Gupta@ssa.gov</vt:lpwstr>
  </property>
  <property fmtid="{D5CDD505-2E9C-101B-9397-08002B2CF9AE}" pid="5" name="_AuthorEmailDisplayName">
    <vt:lpwstr>Gupta, Punita   LP</vt:lpwstr>
  </property>
  <property fmtid="{D5CDD505-2E9C-101B-9397-08002B2CF9AE}" pid="6" name="_EmailSubject">
    <vt:lpwstr>Revised and Reformatted- FOR YOUR REVIEW- OMB CLEARANCE PACKAGE- 0960-0794// HA-L90, HA-L90- OP1</vt:lpwstr>
  </property>
  <property fmtid="{D5CDD505-2E9C-101B-9397-08002B2CF9AE}" pid="7" name="_NewReviewCycle">
    <vt:lpwstr/>
  </property>
  <property fmtid="{D5CDD505-2E9C-101B-9397-08002B2CF9AE}" pid="8" name="_PreviousAdHocReviewCycleID">
    <vt:i4>274034880</vt:i4>
  </property>
  <property fmtid="{D5CDD505-2E9C-101B-9397-08002B2CF9AE}" pid="9" name="_ReviewingToolsShownOnce">
    <vt:lpwstr/>
  </property>
</Properties>
</file>