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42348A" w:rsidRPr="0042348A" w:rsidP="0078350B" w14:paraId="5301C247" w14:textId="76A8141D">
      <w:pPr>
        <w:widowControl w:val="0"/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681E0E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 xml:space="preserve">Addendum for </w:t>
      </w:r>
      <w:r w:rsidRPr="0042348A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 xml:space="preserve">Form </w:t>
      </w:r>
      <w:bookmarkStart w:id="0" w:name="_Hlk209685606"/>
      <w:r w:rsidRPr="0042348A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SSA-1372-BK and SSA-1372-BK-FC</w:t>
      </w:r>
    </w:p>
    <w:bookmarkEnd w:id="0"/>
    <w:p w:rsidR="0042348A" w:rsidRPr="0042348A" w:rsidP="0042348A" w14:paraId="05870EF0" w14:textId="77777777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42348A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 xml:space="preserve">Advance Notice of Termination of Child’s Benefits and </w:t>
      </w:r>
    </w:p>
    <w:p w:rsidR="0042348A" w:rsidRPr="0042348A" w:rsidP="0042348A" w14:paraId="2954CB4E" w14:textId="77777777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42348A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Student’s Statement Regarding School Attendance</w:t>
      </w:r>
    </w:p>
    <w:p w:rsidR="0042348A" w:rsidRPr="0042348A" w:rsidP="0042348A" w14:paraId="35083911" w14:textId="77777777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42348A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20 CFR 404.350-404.352, 404.367-404.368</w:t>
      </w:r>
    </w:p>
    <w:p w:rsidR="0042348A" w:rsidRPr="0042348A" w:rsidP="0042348A" w14:paraId="178210D4" w14:textId="77777777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42348A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OMB No. 0960-0105</w:t>
      </w:r>
    </w:p>
    <w:p w:rsidR="00681E0E" w:rsidRPr="00681E0E" w:rsidP="00681E0E" w14:paraId="7F91434F" w14:textId="7777777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:rsidR="00681E0E" w:rsidP="00681E0E" w14:paraId="02D03493" w14:textId="77777777">
      <w:pPr>
        <w:keepNext/>
        <w:widowControl w:val="0"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snapToGrid w:val="0"/>
          <w:kern w:val="0"/>
          <w:u w:val="single"/>
          <w14:ligatures w14:val="none"/>
        </w:rPr>
      </w:pPr>
      <w:r w:rsidRPr="00681E0E">
        <w:rPr>
          <w:rFonts w:ascii="Times New Roman" w:eastAsia="Times New Roman" w:hAnsi="Times New Roman" w:cs="Times New Roman"/>
          <w:b/>
          <w:bCs/>
          <w:snapToGrid w:val="0"/>
          <w:kern w:val="0"/>
          <w:u w:val="single"/>
          <w14:ligatures w14:val="none"/>
        </w:rPr>
        <w:t xml:space="preserve">Terms of Clearance </w:t>
      </w:r>
    </w:p>
    <w:p w:rsidR="0033018A" w:rsidP="00681E0E" w14:paraId="16E2A601" w14:textId="77777777">
      <w:pPr>
        <w:keepNext/>
        <w:widowControl w:val="0"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snapToGrid w:val="0"/>
          <w:kern w:val="0"/>
          <w:u w:val="single"/>
          <w14:ligatures w14:val="none"/>
        </w:rPr>
      </w:pPr>
    </w:p>
    <w:p w:rsidR="0033018A" w:rsidRPr="0033018A" w:rsidP="0033018A" w14:paraId="7CA75F40" w14:textId="0A7F8EF9">
      <w:pPr>
        <w:rPr>
          <w:rFonts w:ascii="Times New Roman" w:hAnsi="Times New Roman"/>
        </w:rPr>
      </w:pPr>
      <w:r>
        <w:rPr>
          <w:rFonts w:ascii="Times New Roman" w:hAnsi="Times New Roman"/>
        </w:rPr>
        <w:t>OMB placed the following Terms of Clearance on this Information Collection when they last approved it on 4/1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>/23:</w:t>
      </w:r>
    </w:p>
    <w:p w:rsidR="0033018A" w:rsidRPr="0033018A" w:rsidP="0033018A" w14:paraId="1328110D" w14:textId="77777777">
      <w:pPr>
        <w:keepNext/>
        <w:widowControl w:val="0"/>
        <w:spacing w:after="0" w:line="240" w:lineRule="auto"/>
        <w:ind w:left="720"/>
        <w:outlineLvl w:val="6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33018A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Term #1:</w:t>
      </w:r>
    </w:p>
    <w:p w:rsidR="0033018A" w:rsidRPr="0033018A" w:rsidP="0033018A" w14:paraId="1F1AF8E1" w14:textId="6432FD30">
      <w:pPr>
        <w:keepNext/>
        <w:widowControl w:val="0"/>
        <w:spacing w:after="0" w:line="240" w:lineRule="auto"/>
        <w:ind w:left="720"/>
        <w:outlineLvl w:val="6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The agency revised the burden estimates and made significant modifications to the supporting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statement to clarify how the information is conducted and to clarify why certain elements of the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information are collected.</w:t>
      </w:r>
    </w:p>
    <w:p w:rsidR="0033018A" w:rsidP="0033018A" w14:paraId="1BB5EDC4" w14:textId="77777777">
      <w:pPr>
        <w:keepNext/>
        <w:widowControl w:val="0"/>
        <w:spacing w:after="0" w:line="240" w:lineRule="auto"/>
        <w:ind w:left="720"/>
        <w:outlineLvl w:val="6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</w:p>
    <w:p w:rsidR="0033018A" w:rsidRPr="0033018A" w:rsidP="0033018A" w14:paraId="1BD2825D" w14:textId="25CFC8AB">
      <w:pPr>
        <w:keepNext/>
        <w:widowControl w:val="0"/>
        <w:spacing w:after="0" w:line="240" w:lineRule="auto"/>
        <w:ind w:left="720"/>
        <w:outlineLvl w:val="6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33018A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Term #</w:t>
      </w:r>
      <w:r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2</w:t>
      </w:r>
      <w:r w:rsidRPr="0033018A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:</w:t>
      </w:r>
    </w:p>
    <w:p w:rsidR="0033018A" w:rsidRPr="0033018A" w:rsidP="0033018A" w14:paraId="1E8C4C05" w14:textId="6774931B">
      <w:pPr>
        <w:keepNext/>
        <w:widowControl w:val="0"/>
        <w:spacing w:after="0" w:line="240" w:lineRule="auto"/>
        <w:ind w:left="720"/>
        <w:outlineLvl w:val="6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Prior to resubmission, the agency will ensure this form can be signed (including via typed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signature) by all parties and submitted by the respondent electronically via Document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Submission or a successor platform. If the agency determines this is not feasible, it will upload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as part of the supplemental documentation a fact-specific explanation for why, from a policy,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statutory, and operational perspective, this information collection cannot accommodate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electronic signature. This letter should be signed by 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 Deputy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Commissioner.</w:t>
      </w:r>
    </w:p>
    <w:p w:rsidR="0033018A" w:rsidP="0033018A" w14:paraId="5247E1AB" w14:textId="77777777">
      <w:pPr>
        <w:keepNext/>
        <w:widowControl w:val="0"/>
        <w:spacing w:after="0" w:line="240" w:lineRule="auto"/>
        <w:ind w:left="720"/>
        <w:outlineLvl w:val="6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</w:p>
    <w:p w:rsidR="0033018A" w:rsidRPr="0033018A" w:rsidP="0033018A" w14:paraId="6FBECFA4" w14:textId="5AB0F8DB">
      <w:pPr>
        <w:keepNext/>
        <w:widowControl w:val="0"/>
        <w:spacing w:after="0" w:line="240" w:lineRule="auto"/>
        <w:ind w:left="720"/>
        <w:outlineLvl w:val="6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33018A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Term #</w:t>
      </w:r>
      <w:r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3</w:t>
      </w:r>
      <w:r w:rsidRPr="0033018A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:</w:t>
      </w:r>
    </w:p>
    <w:p w:rsidR="00D61B4D" w:rsidRPr="0033018A" w:rsidP="0033018A" w14:paraId="3866349A" w14:textId="0CD2B53D">
      <w:pPr>
        <w:keepNext/>
        <w:widowControl w:val="0"/>
        <w:spacing w:after="0" w:line="240" w:lineRule="auto"/>
        <w:ind w:left="720"/>
        <w:outlineLvl w:val="6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The agency will also evaluate, including a quantified analysis of the potential trade-offs,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whether it can remove the school official's certification requirement for most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recipients and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instead use the respondent's self-allegation. If the agency determines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it is unable to remove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the requirement for a school official's certification, it will explain via a supplemental document a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fact-specific analysis of the risks or trade-offs that informed the agency's decision to retain the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requirement.</w:t>
      </w:r>
    </w:p>
    <w:p w:rsidR="0033018A" w:rsidP="0033018A" w14:paraId="40A7CB78" w14:textId="77777777">
      <w:pPr>
        <w:keepNext/>
        <w:widowControl w:val="0"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snapToGrid w:val="0"/>
          <w:kern w:val="0"/>
          <w:u w:val="single"/>
          <w14:ligatures w14:val="none"/>
        </w:rPr>
      </w:pPr>
    </w:p>
    <w:p w:rsidR="008F3D45" w:rsidRPr="0033018A" w:rsidP="00681E0E" w14:paraId="2CCD9687" w14:textId="59E372DF">
      <w:pPr>
        <w:keepNext/>
        <w:widowControl w:val="0"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:u w:val="single"/>
          <w14:ligatures w14:val="none"/>
        </w:rPr>
      </w:pPr>
      <w:r w:rsidRPr="0033018A"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:u w:val="single"/>
          <w14:ligatures w14:val="none"/>
        </w:rPr>
        <w:t xml:space="preserve">SSA Response: </w:t>
      </w:r>
    </w:p>
    <w:p w:rsidR="00612C4E" w:rsidRPr="00681E0E" w:rsidP="00681E0E" w14:paraId="4BD728D7" w14:textId="77777777">
      <w:pPr>
        <w:keepNext/>
        <w:widowControl w:val="0"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snapToGrid w:val="0"/>
          <w:kern w:val="0"/>
          <w:u w:val="single"/>
          <w14:ligatures w14:val="none"/>
        </w:rPr>
      </w:pPr>
    </w:p>
    <w:p w:rsidR="0033018A" w:rsidP="0033018A" w14:paraId="70C53351" w14:textId="6B914300">
      <w:pPr>
        <w:pStyle w:val="ListParagraph"/>
        <w:keepNext/>
        <w:widowControl w:val="0"/>
        <w:numPr>
          <w:ilvl w:val="0"/>
          <w:numId w:val="3"/>
        </w:numPr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:u w:val="single"/>
          <w14:ligatures w14:val="none"/>
        </w:rPr>
        <w:t>Term #1 (Revisions to burden estimates and modifications to the documentation)</w:t>
      </w:r>
      <w:r w:rsidRPr="0033018A"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14:ligatures w14:val="none"/>
        </w:rPr>
        <w:t>:</w:t>
      </w:r>
    </w:p>
    <w:p w:rsidR="0033018A" w:rsidRPr="0033018A" w:rsidP="0033018A" w14:paraId="09196845" w14:textId="315F838D">
      <w:pPr>
        <w:pStyle w:val="ListParagraph"/>
        <w:keepNext/>
        <w:widowControl w:val="0"/>
        <w:spacing w:after="0" w:line="240" w:lineRule="auto"/>
        <w:ind w:left="360"/>
        <w:outlineLvl w:val="6"/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SSA has maintained the revisions we made previously.  While we are currently updating the burden again, that stems from a routine decrease in the number of respondents, as per our current Management Information data.  We explain this minor reduction in #15 of the Supporting Statement.</w:t>
      </w:r>
    </w:p>
    <w:p w:rsidR="0033018A" w:rsidP="0033018A" w14:paraId="5D6A8EDB" w14:textId="77777777">
      <w:pPr>
        <w:pStyle w:val="ListParagraph"/>
        <w:keepNext/>
        <w:widowControl w:val="0"/>
        <w:spacing w:after="0" w:line="240" w:lineRule="auto"/>
        <w:ind w:left="360"/>
        <w:outlineLvl w:val="6"/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:u w:val="single"/>
          <w14:ligatures w14:val="none"/>
        </w:rPr>
      </w:pPr>
    </w:p>
    <w:p w:rsidR="0033018A" w:rsidRPr="0033018A" w:rsidP="0033018A" w14:paraId="47E61BAB" w14:textId="4EB5F22B">
      <w:pPr>
        <w:pStyle w:val="ListParagraph"/>
        <w:keepNext/>
        <w:widowControl w:val="0"/>
        <w:numPr>
          <w:ilvl w:val="0"/>
          <w:numId w:val="3"/>
        </w:numPr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:u w:val="single"/>
          <w14:ligatures w14:val="none"/>
        </w:rPr>
      </w:pPr>
      <w:r w:rsidRPr="0033018A"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:u w:val="single"/>
          <w14:ligatures w14:val="none"/>
        </w:rPr>
        <w:t xml:space="preserve">Term </w:t>
      </w:r>
      <w:r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:u w:val="single"/>
          <w14:ligatures w14:val="none"/>
        </w:rPr>
        <w:t>#2 (</w:t>
      </w:r>
      <w:r w:rsidRPr="0033018A" w:rsidR="00DD108E"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:u w:val="single"/>
          <w14:ligatures w14:val="none"/>
        </w:rPr>
        <w:t>Electronic Signatures and Submissions</w:t>
      </w:r>
      <w:r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:u w:val="single"/>
          <w14:ligatures w14:val="none"/>
        </w:rPr>
        <w:t>)</w:t>
      </w:r>
      <w:r w:rsidRPr="0033018A"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14:ligatures w14:val="none"/>
        </w:rPr>
        <w:t>:</w:t>
      </w:r>
    </w:p>
    <w:p w:rsidR="0033018A" w:rsidRPr="0033018A" w:rsidP="0033018A" w14:paraId="60D2E610" w14:textId="77777777">
      <w:pPr>
        <w:pStyle w:val="ListParagraph"/>
        <w:keepNext/>
        <w:widowControl w:val="0"/>
        <w:spacing w:after="0" w:line="240" w:lineRule="auto"/>
        <w:ind w:left="360"/>
        <w:outlineLvl w:val="6"/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:u w:val="single"/>
          <w14:ligatures w14:val="none"/>
        </w:rPr>
      </w:pPr>
      <w:r w:rsidRPr="0033018A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Since this form </w:t>
      </w:r>
      <w:r w:rsidRPr="0033018A" w:rsidR="0035597A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must be completed and signed by multiple parties (i.e., the </w:t>
      </w:r>
      <w:r w:rsidRPr="0033018A" w:rsidR="00436E9C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student/representative payee</w:t>
      </w:r>
      <w:r w:rsidRPr="0033018A" w:rsidR="00B6410F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</w:t>
      </w:r>
      <w:r w:rsidRPr="0033018A" w:rsidR="0035597A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as well as </w:t>
      </w:r>
      <w:r w:rsidRPr="0033018A" w:rsidR="00436E9C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a </w:t>
      </w:r>
      <w:r w:rsidRPr="0033018A" w:rsidR="0035597A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school official</w:t>
      </w:r>
      <w:r w:rsidRPr="0033018A" w:rsidR="00A57A86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certifying the student’s full-time attendance in school</w:t>
      </w:r>
      <w:r w:rsidRPr="0033018A" w:rsidR="0035597A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)</w:t>
      </w:r>
      <w:r w:rsidRPr="0033018A" w:rsidR="00E7127F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, it </w:t>
      </w:r>
      <w:r w:rsidRPr="0033018A" w:rsidR="004D0EA8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has not been feasible to make the form electronically signable and submittable</w:t>
      </w:r>
      <w:r w:rsidRPr="0033018A" w:rsidR="00E7127F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. </w:t>
      </w:r>
      <w:r w:rsidRPr="0033018A" w:rsidR="00082CC7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Upload Documents, </w:t>
      </w:r>
      <w:r w:rsidRPr="0033018A" w:rsidR="0036679D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our </w:t>
      </w:r>
      <w:r w:rsidRPr="0033018A" w:rsidR="00082CC7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online platform for electronic form submissions, cannot </w:t>
      </w:r>
      <w:r w:rsidRPr="0033018A" w:rsidR="00E33BEB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currently </w:t>
      </w:r>
      <w:r w:rsidRPr="0033018A" w:rsidR="00082CC7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accommodate </w:t>
      </w:r>
      <w:r w:rsidRPr="0033018A" w:rsidR="000828E3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third party </w:t>
      </w:r>
      <w:r w:rsidRPr="0033018A" w:rsidR="00370A88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signature</w:t>
      </w:r>
      <w:r w:rsidRPr="0033018A" w:rsidR="00082CC7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s</w:t>
      </w:r>
      <w:r w:rsidRPr="0033018A" w:rsidR="00370A88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. </w:t>
      </w:r>
      <w:r w:rsidRPr="0033018A" w:rsidR="00A36399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</w:t>
      </w:r>
      <w:r w:rsidRPr="0033018A" w:rsidR="000E577F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T</w:t>
      </w:r>
      <w:r w:rsidRPr="0033018A" w:rsidR="007E1C73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he agency</w:t>
      </w:r>
      <w:r w:rsidRPr="0033018A" w:rsidR="00A36399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</w:t>
      </w:r>
      <w:r w:rsidRPr="0033018A" w:rsidR="007E1C73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is</w:t>
      </w:r>
      <w:r w:rsidRPr="0033018A" w:rsidR="00A36399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exploring an </w:t>
      </w:r>
      <w:r w:rsidRPr="0033018A" w:rsidR="00A36399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enhancement</w:t>
      </w:r>
      <w:r w:rsidRPr="0033018A" w:rsidR="00A36399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to allow that capability</w:t>
      </w:r>
      <w:r w:rsidRPr="0033018A" w:rsidR="000E577F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.  Once implemented, we will reassess whether these</w:t>
      </w:r>
      <w:r w:rsidRPr="0033018A" w:rsidR="00FF5CBD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f</w:t>
      </w:r>
      <w:r w:rsidRPr="0033018A" w:rsidR="007C4341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orm</w:t>
      </w:r>
      <w:r w:rsidRPr="0033018A" w:rsidR="00FF5CBD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s</w:t>
      </w:r>
      <w:r w:rsidRPr="0033018A" w:rsidR="007C4341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</w:t>
      </w:r>
      <w:r w:rsidRPr="0033018A" w:rsidR="000E577F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c</w:t>
      </w:r>
      <w:r w:rsidRPr="0033018A" w:rsidR="00A0498E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ould </w:t>
      </w:r>
      <w:r w:rsidRPr="0033018A" w:rsidR="000E577F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be made electronic</w:t>
      </w:r>
      <w:r w:rsidRPr="0033018A" w:rsidR="00C634ED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. </w:t>
      </w:r>
    </w:p>
    <w:p w:rsidR="0033018A" w:rsidRPr="0033018A" w:rsidP="0033018A" w14:paraId="15D0DAFE" w14:textId="77777777">
      <w:pPr>
        <w:pStyle w:val="ListParagraph"/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:u w:val="single"/>
          <w14:ligatures w14:val="none"/>
        </w:rPr>
      </w:pPr>
    </w:p>
    <w:p w:rsidR="0033018A" w:rsidRPr="0033018A" w:rsidP="0033018A" w14:paraId="50346594" w14:textId="34F1A6FB">
      <w:pPr>
        <w:pStyle w:val="ListParagraph"/>
        <w:keepNext/>
        <w:widowControl w:val="0"/>
        <w:numPr>
          <w:ilvl w:val="0"/>
          <w:numId w:val="3"/>
        </w:numPr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:u w:val="single"/>
          <w14:ligatures w14:val="none"/>
        </w:rPr>
      </w:pPr>
      <w:r w:rsidRPr="0033018A"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:u w:val="single"/>
          <w14:ligatures w14:val="none"/>
        </w:rPr>
        <w:t xml:space="preserve">Term </w:t>
      </w:r>
      <w:r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:u w:val="single"/>
          <w14:ligatures w14:val="none"/>
        </w:rPr>
        <w:t>#3 (</w:t>
      </w:r>
      <w:r w:rsidRPr="0033018A" w:rsidR="00DD108E"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:u w:val="single"/>
          <w14:ligatures w14:val="none"/>
        </w:rPr>
        <w:t>Removal of School Official Certification</w:t>
      </w:r>
      <w:r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:u w:val="single"/>
          <w14:ligatures w14:val="none"/>
        </w:rPr>
        <w:t>)</w:t>
      </w:r>
      <w:r w:rsidRPr="0033018A"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14:ligatures w14:val="none"/>
        </w:rPr>
        <w:t>:</w:t>
      </w:r>
      <w:r w:rsidRPr="0033018A" w:rsidR="00DD108E"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:u w:val="single"/>
          <w14:ligatures w14:val="none"/>
        </w:rPr>
        <w:t xml:space="preserve"> </w:t>
      </w:r>
    </w:p>
    <w:p w:rsidR="00681E0E" w:rsidRPr="0033018A" w:rsidP="0033018A" w14:paraId="2E96B851" w14:textId="7BCDBB26">
      <w:pPr>
        <w:pStyle w:val="ListParagraph"/>
        <w:keepNext/>
        <w:widowControl w:val="0"/>
        <w:spacing w:after="0" w:line="240" w:lineRule="auto"/>
        <w:ind w:left="360"/>
        <w:outlineLvl w:val="6"/>
        <w:rPr>
          <w:rFonts w:ascii="Times New Roman" w:eastAsia="Times New Roman" w:hAnsi="Times New Roman" w:cs="Times New Roman"/>
          <w:b/>
          <w:bCs/>
          <w:snapToGrid w:val="0"/>
          <w:color w:val="0000FF"/>
          <w:kern w:val="0"/>
          <w:u w:val="single"/>
          <w14:ligatures w14:val="none"/>
        </w:rPr>
      </w:pPr>
      <w:r w:rsidRPr="0033018A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We </w:t>
      </w:r>
      <w:r w:rsidRPr="0033018A" w:rsidR="00906897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disagree with</w:t>
      </w:r>
      <w:r w:rsidRPr="0033018A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</w:t>
      </w:r>
      <w:r w:rsidRPr="0033018A" w:rsidR="006C29EE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remov</w:t>
      </w:r>
      <w:r w:rsidRPr="0033018A" w:rsidR="00906897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ing </w:t>
      </w:r>
      <w:r w:rsidRPr="0033018A" w:rsidR="006C29EE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the requirement for </w:t>
      </w:r>
      <w:r w:rsidRPr="0033018A" w:rsidR="00906897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a </w:t>
      </w:r>
      <w:r w:rsidRPr="0033018A" w:rsidR="006C29EE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school official </w:t>
      </w:r>
      <w:r w:rsidRPr="0033018A" w:rsidR="005D2E4D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to </w:t>
      </w:r>
      <w:r w:rsidRPr="0033018A" w:rsidR="006C29EE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certif</w:t>
      </w:r>
      <w:r w:rsidRPr="0033018A" w:rsidR="005D2E4D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y </w:t>
      </w:r>
      <w:r w:rsidRPr="0033018A" w:rsidR="00A64704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th</w:t>
      </w:r>
      <w:r w:rsidRPr="0033018A" w:rsidR="00BD5A2C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e student’s full-time attendance in school due to the </w:t>
      </w:r>
      <w:r w:rsidRPr="0033018A" w:rsidR="000E1901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high </w:t>
      </w:r>
      <w:r w:rsidRPr="0033018A" w:rsidR="009D3539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risk</w:t>
      </w:r>
      <w:r w:rsidRPr="0033018A" w:rsidR="00FD40DC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of </w:t>
      </w:r>
      <w:r w:rsidRPr="0033018A" w:rsidR="00496B84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improper payment</w:t>
      </w:r>
      <w:r w:rsidRPr="0033018A" w:rsidR="00CC7145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s</w:t>
      </w:r>
      <w:r w:rsidRPr="0033018A" w:rsidR="00496B84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or </w:t>
      </w:r>
      <w:r w:rsidRPr="0033018A" w:rsidR="00FD40DC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programmatic fraud</w:t>
      </w:r>
      <w:r w:rsidRPr="0033018A" w:rsidR="006C29EE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. </w:t>
      </w:r>
      <w:r w:rsidRPr="0033018A" w:rsidR="00C634ED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</w:t>
      </w:r>
      <w:r w:rsidRPr="0033018A" w:rsidR="00197439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Absent </w:t>
      </w:r>
      <w:r w:rsidRPr="0033018A" w:rsidR="004A5701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a </w:t>
      </w:r>
      <w:r w:rsidRPr="0033018A" w:rsidR="007742E5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school</w:t>
      </w:r>
      <w:r w:rsidRPr="0033018A" w:rsidR="004A5701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official’s</w:t>
      </w:r>
      <w:r w:rsidRPr="0033018A" w:rsidR="007742E5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</w:t>
      </w:r>
      <w:r w:rsidRPr="0033018A" w:rsidR="009D1B3F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verification</w:t>
      </w:r>
      <w:r w:rsidRPr="0033018A" w:rsidR="007742E5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, </w:t>
      </w:r>
      <w:r w:rsidRPr="0033018A" w:rsidR="004A5701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the </w:t>
      </w:r>
      <w:r w:rsidRPr="0033018A" w:rsidR="00B40787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student</w:t>
      </w:r>
      <w:r w:rsidRPr="0033018A" w:rsidR="004A5701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</w:t>
      </w:r>
      <w:r w:rsidRPr="0033018A" w:rsidR="00197439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could </w:t>
      </w:r>
      <w:r w:rsidRPr="0033018A" w:rsidR="007742E5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easily </w:t>
      </w:r>
      <w:r w:rsidRPr="0033018A" w:rsidR="009D1B3F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allege </w:t>
      </w:r>
      <w:r w:rsidRPr="0033018A" w:rsidR="00197439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fals</w:t>
      </w:r>
      <w:r w:rsidRPr="0033018A" w:rsidR="00ED414A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e information</w:t>
      </w:r>
      <w:r w:rsidRPr="0033018A" w:rsidR="00113720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</w:t>
      </w:r>
      <w:r w:rsidRPr="0033018A" w:rsidR="00581693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(</w:t>
      </w:r>
      <w:r w:rsidRPr="0033018A" w:rsidR="00113720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or </w:t>
      </w:r>
      <w:r w:rsidRPr="0033018A" w:rsidR="00573245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unintentionally </w:t>
      </w:r>
      <w:r w:rsidRPr="0033018A" w:rsidR="00113720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misrepresent</w:t>
      </w:r>
      <w:r w:rsidRPr="0033018A" w:rsidR="00581693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)</w:t>
      </w:r>
      <w:r w:rsidRPr="0033018A" w:rsidR="00ED414A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their school attendance</w:t>
      </w:r>
      <w:r w:rsidRPr="0033018A" w:rsidR="00F66EF9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</w:t>
      </w:r>
      <w:r w:rsidRPr="0033018A" w:rsidR="00620323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to</w:t>
      </w:r>
      <w:r w:rsidRPr="0033018A" w:rsidR="00F66EF9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continue </w:t>
      </w:r>
      <w:r w:rsidRPr="0033018A" w:rsidR="00581693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receiving benefits</w:t>
      </w:r>
      <w:r w:rsidRPr="0033018A" w:rsidR="00197439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.  </w:t>
      </w:r>
      <w:r w:rsidRPr="0033018A" w:rsidR="007D4539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In our experience </w:t>
      </w:r>
      <w:r w:rsidRPr="0033018A" w:rsidR="002F099F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stewarding this program,</w:t>
      </w:r>
      <w:r w:rsidRPr="0033018A" w:rsidR="00D56FFC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</w:t>
      </w:r>
      <w:r w:rsidRPr="0033018A" w:rsidR="002F099F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students </w:t>
      </w:r>
      <w:r w:rsidRPr="0033018A" w:rsidR="00D56FFC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commonly underreport </w:t>
      </w:r>
      <w:r w:rsidRPr="0033018A" w:rsidR="00573245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– whether intentionally or unintentionally – lapses </w:t>
      </w:r>
      <w:r w:rsidRPr="0033018A" w:rsidR="00D56FFC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or cessations in full-time school attendance.  </w:t>
      </w:r>
      <w:r w:rsidRPr="0033018A" w:rsidR="00C73189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By maintaining certification from a school </w:t>
      </w:r>
      <w:r w:rsidRPr="0033018A" w:rsidR="00567988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official</w:t>
      </w:r>
      <w:r w:rsidRPr="0033018A" w:rsidR="009B22F0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who has </w:t>
      </w:r>
      <w:r w:rsidRPr="0033018A" w:rsidR="00941CCF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access to </w:t>
      </w:r>
      <w:r w:rsidRPr="0033018A" w:rsidR="001C25EC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the </w:t>
      </w:r>
      <w:r w:rsidRPr="0033018A" w:rsidR="00EA20BD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student’s </w:t>
      </w:r>
      <w:r w:rsidRPr="0033018A" w:rsidR="001C25EC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most accurate school attendance records</w:t>
      </w:r>
      <w:r w:rsidRPr="0033018A" w:rsidR="009B22F0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,</w:t>
      </w:r>
      <w:r w:rsidRPr="0033018A" w:rsidR="00941CCF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we </w:t>
      </w:r>
      <w:r w:rsidRPr="0033018A" w:rsidR="00C73189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mitigate the risk of overpa</w:t>
      </w:r>
      <w:r w:rsidRPr="0033018A" w:rsidR="00752D78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ying someone </w:t>
      </w:r>
      <w:r w:rsidRPr="0033018A" w:rsidR="00D316D9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who </w:t>
      </w:r>
      <w:r w:rsidRPr="0033018A" w:rsidR="001975E8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is</w:t>
      </w:r>
      <w:r w:rsidRPr="0033018A" w:rsidR="00D316D9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 not eligible for payments </w:t>
      </w:r>
      <w:r w:rsidRPr="0033018A" w:rsidR="00A032D2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>because they are not enrolled full-time in school</w:t>
      </w:r>
      <w:r w:rsidRPr="0033018A" w:rsidR="00C73189"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  <w:t xml:space="preserve">. </w:t>
      </w:r>
    </w:p>
    <w:p w:rsidR="009C7A62" w:rsidRPr="0033018A" w:rsidP="00567988" w14:paraId="3C644097" w14:textId="77777777">
      <w:pPr>
        <w:keepNext/>
        <w:widowControl w:val="0"/>
        <w:spacing w:after="0" w:line="240" w:lineRule="auto"/>
        <w:ind w:left="720"/>
        <w:outlineLvl w:val="6"/>
        <w:rPr>
          <w:rFonts w:ascii="Times New Roman" w:eastAsia="Times New Roman" w:hAnsi="Times New Roman" w:cs="Times New Roman"/>
          <w:snapToGrid w:val="0"/>
          <w:color w:val="0000FF"/>
          <w:kern w:val="0"/>
          <w14:ligatures w14:val="none"/>
        </w:rPr>
      </w:pPr>
    </w:p>
    <w:p w:rsidR="009C7A62" w:rsidRPr="0033018A" w:rsidP="009C7A62" w14:paraId="618D8B75" w14:textId="659C3C2E">
      <w:pPr>
        <w:keepNext/>
        <w:widowControl w:val="0"/>
        <w:spacing w:after="0" w:line="240" w:lineRule="auto"/>
        <w:ind w:left="720"/>
        <w:jc w:val="right"/>
        <w:outlineLvl w:val="6"/>
        <w:rPr>
          <w:rFonts w:ascii="Times New Roman" w:hAnsi="Times New Roman" w:cs="Times New Roman"/>
        </w:rPr>
      </w:pP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Susan Wilschke </w:t>
      </w:r>
      <w:r w:rsidRPr="0033018A" w:rsidR="00FA63C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for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Mark S</w:t>
      </w:r>
      <w:r w:rsidRPr="0033018A" w:rsidR="00FD5FF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t</w:t>
      </w:r>
      <w:r w:rsidRPr="0033018A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effensen</w:t>
      </w:r>
      <w:r w:rsidRPr="0033018A" w:rsidR="00FD5FF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, Chief of Law &amp; Policy</w:t>
      </w:r>
    </w:p>
    <w:p w:rsidR="00AE5964" w:rsidRPr="0033018A" w:rsidP="009C7A62" w14:paraId="10E577B2" w14:textId="50517F4D">
      <w:pPr>
        <w:keepNext/>
        <w:widowControl w:val="0"/>
        <w:spacing w:after="0" w:line="240" w:lineRule="auto"/>
        <w:ind w:left="720"/>
        <w:jc w:val="right"/>
        <w:outlineLvl w:val="6"/>
        <w:rPr>
          <w:rFonts w:ascii="Times New Roman" w:hAnsi="Times New Roman" w:cs="Times New Roman"/>
        </w:rPr>
      </w:pPr>
      <w:r w:rsidRPr="0033018A">
        <w:rPr>
          <w:rFonts w:ascii="Times New Roman" w:hAnsi="Times New Roman" w:cs="Times New Roman"/>
        </w:rPr>
        <w:t>_____________________________________</w:t>
      </w:r>
      <w:r w:rsidRPr="0033018A">
        <w:rPr>
          <w:rFonts w:ascii="Times New Roman" w:hAnsi="Times New Roman" w:cs="Times New Roman"/>
        </w:rPr>
        <w:br/>
      </w:r>
      <w:r w:rsidRPr="0033018A" w:rsidR="00135EFB">
        <w:rPr>
          <w:rFonts w:ascii="Times New Roman" w:hAnsi="Times New Roman" w:cs="Times New Roman"/>
        </w:rPr>
        <w:t xml:space="preserve">Name/Position of Approving </w:t>
      </w:r>
      <w:r w:rsidRPr="0033018A" w:rsidR="004134C0">
        <w:rPr>
          <w:rFonts w:ascii="Times New Roman" w:hAnsi="Times New Roman" w:cs="Times New Roman"/>
        </w:rPr>
        <w:t>Official</w:t>
      </w:r>
    </w:p>
    <w:sectPr w:rsidSect="002C3592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B3B070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4BFF3911"/>
    <w:multiLevelType w:val="hybridMultilevel"/>
    <w:tmpl w:val="2BA268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A832D9"/>
    <w:multiLevelType w:val="hybridMultilevel"/>
    <w:tmpl w:val="F2E4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2B7198"/>
    <w:multiLevelType w:val="hybridMultilevel"/>
    <w:tmpl w:val="9CDE9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703255">
    <w:abstractNumId w:val="0"/>
  </w:num>
  <w:num w:numId="2" w16cid:durableId="402337084">
    <w:abstractNumId w:val="2"/>
  </w:num>
  <w:num w:numId="3" w16cid:durableId="146752494">
    <w:abstractNumId w:val="1"/>
  </w:num>
  <w:num w:numId="4" w16cid:durableId="2143763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0E"/>
    <w:rsid w:val="00032E20"/>
    <w:rsid w:val="0004060D"/>
    <w:rsid w:val="00046413"/>
    <w:rsid w:val="00064A6B"/>
    <w:rsid w:val="000828E3"/>
    <w:rsid w:val="00082CC7"/>
    <w:rsid w:val="000C3D72"/>
    <w:rsid w:val="000D150E"/>
    <w:rsid w:val="000D3298"/>
    <w:rsid w:val="000E1901"/>
    <w:rsid w:val="000E577F"/>
    <w:rsid w:val="00113720"/>
    <w:rsid w:val="00116DF9"/>
    <w:rsid w:val="00130395"/>
    <w:rsid w:val="00135EFB"/>
    <w:rsid w:val="001363B9"/>
    <w:rsid w:val="00153424"/>
    <w:rsid w:val="00182D51"/>
    <w:rsid w:val="00197439"/>
    <w:rsid w:val="001975E8"/>
    <w:rsid w:val="001C25EC"/>
    <w:rsid w:val="001F7264"/>
    <w:rsid w:val="00236599"/>
    <w:rsid w:val="00244C0E"/>
    <w:rsid w:val="002B1010"/>
    <w:rsid w:val="002C3592"/>
    <w:rsid w:val="002E2C30"/>
    <w:rsid w:val="002F099F"/>
    <w:rsid w:val="00316270"/>
    <w:rsid w:val="0033018A"/>
    <w:rsid w:val="0035597A"/>
    <w:rsid w:val="003561BF"/>
    <w:rsid w:val="0036679D"/>
    <w:rsid w:val="00370A88"/>
    <w:rsid w:val="00382707"/>
    <w:rsid w:val="003911EA"/>
    <w:rsid w:val="003A6F00"/>
    <w:rsid w:val="00402403"/>
    <w:rsid w:val="004134C0"/>
    <w:rsid w:val="0042348A"/>
    <w:rsid w:val="00423A6E"/>
    <w:rsid w:val="00436E9C"/>
    <w:rsid w:val="00481715"/>
    <w:rsid w:val="0048264F"/>
    <w:rsid w:val="00496B84"/>
    <w:rsid w:val="004A5701"/>
    <w:rsid w:val="004D0EA8"/>
    <w:rsid w:val="004D459C"/>
    <w:rsid w:val="004F3076"/>
    <w:rsid w:val="004F58C4"/>
    <w:rsid w:val="005410A7"/>
    <w:rsid w:val="00541D10"/>
    <w:rsid w:val="00556DE6"/>
    <w:rsid w:val="00567988"/>
    <w:rsid w:val="00573245"/>
    <w:rsid w:val="00581693"/>
    <w:rsid w:val="005C7C05"/>
    <w:rsid w:val="005D2E4D"/>
    <w:rsid w:val="006119D3"/>
    <w:rsid w:val="00612717"/>
    <w:rsid w:val="00612C4E"/>
    <w:rsid w:val="006142E3"/>
    <w:rsid w:val="00620323"/>
    <w:rsid w:val="00650CCF"/>
    <w:rsid w:val="00654370"/>
    <w:rsid w:val="006627C2"/>
    <w:rsid w:val="00681E0E"/>
    <w:rsid w:val="006A0B79"/>
    <w:rsid w:val="006A7287"/>
    <w:rsid w:val="006C29EE"/>
    <w:rsid w:val="00717300"/>
    <w:rsid w:val="00752D78"/>
    <w:rsid w:val="00761423"/>
    <w:rsid w:val="007742E5"/>
    <w:rsid w:val="0078350B"/>
    <w:rsid w:val="007C4341"/>
    <w:rsid w:val="007D4539"/>
    <w:rsid w:val="007D4A82"/>
    <w:rsid w:val="007E1C73"/>
    <w:rsid w:val="007F2E86"/>
    <w:rsid w:val="00876B43"/>
    <w:rsid w:val="008A1755"/>
    <w:rsid w:val="008C047B"/>
    <w:rsid w:val="008F17C4"/>
    <w:rsid w:val="008F3D45"/>
    <w:rsid w:val="00906897"/>
    <w:rsid w:val="00924C2E"/>
    <w:rsid w:val="00941CCF"/>
    <w:rsid w:val="009A1083"/>
    <w:rsid w:val="009B22F0"/>
    <w:rsid w:val="009B567F"/>
    <w:rsid w:val="009C7A62"/>
    <w:rsid w:val="009D1B3F"/>
    <w:rsid w:val="009D3539"/>
    <w:rsid w:val="009E66C3"/>
    <w:rsid w:val="00A0305F"/>
    <w:rsid w:val="00A032D2"/>
    <w:rsid w:val="00A0498E"/>
    <w:rsid w:val="00A33B64"/>
    <w:rsid w:val="00A36399"/>
    <w:rsid w:val="00A57A86"/>
    <w:rsid w:val="00A64704"/>
    <w:rsid w:val="00A64CB4"/>
    <w:rsid w:val="00A739F7"/>
    <w:rsid w:val="00A97209"/>
    <w:rsid w:val="00AD033D"/>
    <w:rsid w:val="00AE5964"/>
    <w:rsid w:val="00AF09C7"/>
    <w:rsid w:val="00B33686"/>
    <w:rsid w:val="00B40787"/>
    <w:rsid w:val="00B43388"/>
    <w:rsid w:val="00B6410F"/>
    <w:rsid w:val="00B70362"/>
    <w:rsid w:val="00B918D5"/>
    <w:rsid w:val="00B95A2A"/>
    <w:rsid w:val="00BA0833"/>
    <w:rsid w:val="00BD5A2C"/>
    <w:rsid w:val="00BF2061"/>
    <w:rsid w:val="00C00086"/>
    <w:rsid w:val="00C16161"/>
    <w:rsid w:val="00C46C23"/>
    <w:rsid w:val="00C55CA4"/>
    <w:rsid w:val="00C634ED"/>
    <w:rsid w:val="00C73189"/>
    <w:rsid w:val="00C82A19"/>
    <w:rsid w:val="00C841F6"/>
    <w:rsid w:val="00C90655"/>
    <w:rsid w:val="00C97BF7"/>
    <w:rsid w:val="00CB30A8"/>
    <w:rsid w:val="00CC7145"/>
    <w:rsid w:val="00CE79F1"/>
    <w:rsid w:val="00D163E3"/>
    <w:rsid w:val="00D316D9"/>
    <w:rsid w:val="00D56FFC"/>
    <w:rsid w:val="00D61B4D"/>
    <w:rsid w:val="00DA1050"/>
    <w:rsid w:val="00DC7208"/>
    <w:rsid w:val="00DD108E"/>
    <w:rsid w:val="00DE2D10"/>
    <w:rsid w:val="00DE3E2C"/>
    <w:rsid w:val="00E06894"/>
    <w:rsid w:val="00E20B3B"/>
    <w:rsid w:val="00E338B3"/>
    <w:rsid w:val="00E33BEB"/>
    <w:rsid w:val="00E4300A"/>
    <w:rsid w:val="00E52A11"/>
    <w:rsid w:val="00E7127F"/>
    <w:rsid w:val="00E735A2"/>
    <w:rsid w:val="00E74AC4"/>
    <w:rsid w:val="00E95246"/>
    <w:rsid w:val="00E971E8"/>
    <w:rsid w:val="00EA20BD"/>
    <w:rsid w:val="00ED414A"/>
    <w:rsid w:val="00F1570F"/>
    <w:rsid w:val="00F66EF9"/>
    <w:rsid w:val="00FA63C3"/>
    <w:rsid w:val="00FA7CD5"/>
    <w:rsid w:val="00FD1E45"/>
    <w:rsid w:val="00FD40DC"/>
    <w:rsid w:val="00FD5FF3"/>
    <w:rsid w:val="00FF5C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79F34F"/>
  <w15:chartTrackingRefBased/>
  <w15:docId w15:val="{F8E40003-E9CE-452E-BBBA-EF10ECA9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E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62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2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C73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5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2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2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2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Rinker</dc:creator>
  <cp:lastModifiedBy>Naomi Sipple</cp:lastModifiedBy>
  <cp:revision>2</cp:revision>
  <dcterms:created xsi:type="dcterms:W3CDTF">2026-04-29T18:03:00Z</dcterms:created>
  <dcterms:modified xsi:type="dcterms:W3CDTF">2026-04-29T18:03:00Z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