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B6B40" w:rsidRPr="00855442" w14:paraId="3FEC1B5F" w14:textId="77777777">
      <w:pPr>
        <w:jc w:val="center"/>
        <w:rPr>
          <w:rFonts w:ascii="Times New Roman" w:hAnsi="Times New Roman"/>
          <w:b/>
          <w:sz w:val="32"/>
          <w:szCs w:val="32"/>
        </w:rPr>
      </w:pPr>
      <w:r w:rsidRPr="00855442">
        <w:rPr>
          <w:rFonts w:ascii="Times New Roman" w:hAnsi="Times New Roman"/>
          <w:b/>
          <w:sz w:val="32"/>
          <w:szCs w:val="32"/>
        </w:rPr>
        <w:t>Supporting Statement A</w:t>
      </w:r>
    </w:p>
    <w:p w:rsidR="00DB6B40" w:rsidRPr="00855442" w14:paraId="5FE2F037" w14:textId="77777777">
      <w:pPr>
        <w:jc w:val="center"/>
        <w:rPr>
          <w:rFonts w:ascii="Times New Roman" w:hAnsi="Times New Roman"/>
          <w:b/>
          <w:sz w:val="32"/>
          <w:szCs w:val="32"/>
        </w:rPr>
      </w:pPr>
    </w:p>
    <w:p w:rsidR="00DB6B40" w:rsidRPr="00855442" w14:paraId="20264C9E" w14:textId="20B8F7D9">
      <w:pPr>
        <w:jc w:val="center"/>
        <w:rPr>
          <w:rFonts w:ascii="Times New Roman" w:hAnsi="Times New Roman"/>
          <w:b/>
          <w:sz w:val="32"/>
          <w:szCs w:val="32"/>
        </w:rPr>
      </w:pPr>
      <w:r w:rsidRPr="00855442">
        <w:rPr>
          <w:rFonts w:ascii="Times New Roman" w:hAnsi="Times New Roman"/>
          <w:b/>
          <w:sz w:val="32"/>
          <w:szCs w:val="32"/>
        </w:rPr>
        <w:t>Federal Oil and Gas</w:t>
      </w:r>
      <w:r w:rsidR="00096313">
        <w:rPr>
          <w:rFonts w:ascii="Times New Roman" w:hAnsi="Times New Roman"/>
          <w:b/>
          <w:sz w:val="32"/>
          <w:szCs w:val="32"/>
        </w:rPr>
        <w:t xml:space="preserve"> Depreciation and Platform Cost Collections</w:t>
      </w:r>
    </w:p>
    <w:p w:rsidR="00DB6B40" w:rsidRPr="00855442" w14:paraId="78560CAE" w14:textId="03B3CC27">
      <w:pPr>
        <w:jc w:val="center"/>
        <w:rPr>
          <w:rFonts w:ascii="Times New Roman" w:hAnsi="Times New Roman"/>
          <w:b/>
          <w:sz w:val="32"/>
          <w:szCs w:val="32"/>
        </w:rPr>
      </w:pPr>
      <w:r w:rsidRPr="00855442">
        <w:rPr>
          <w:rFonts w:ascii="Times New Roman" w:hAnsi="Times New Roman"/>
          <w:b/>
          <w:sz w:val="32"/>
          <w:szCs w:val="32"/>
        </w:rPr>
        <w:t>30 CFR Part 1206</w:t>
      </w:r>
    </w:p>
    <w:p w:rsidR="00DB6B40" w:rsidRPr="00855442" w14:paraId="183173C3" w14:textId="77777777">
      <w:pPr>
        <w:jc w:val="center"/>
        <w:rPr>
          <w:rFonts w:ascii="Times New Roman" w:hAnsi="Times New Roman"/>
          <w:b/>
          <w:sz w:val="32"/>
          <w:szCs w:val="32"/>
        </w:rPr>
      </w:pPr>
    </w:p>
    <w:p w:rsidR="00DB6B40" w:rsidRPr="00855442" w14:paraId="3C32BFC1" w14:textId="3C9C54EA">
      <w:pPr>
        <w:jc w:val="center"/>
        <w:rPr>
          <w:rFonts w:ascii="Times New Roman" w:hAnsi="Times New Roman"/>
          <w:b/>
          <w:sz w:val="32"/>
          <w:szCs w:val="32"/>
        </w:rPr>
      </w:pPr>
      <w:r w:rsidRPr="00855442">
        <w:rPr>
          <w:rFonts w:ascii="Times New Roman" w:hAnsi="Times New Roman"/>
          <w:b/>
          <w:sz w:val="32"/>
          <w:szCs w:val="32"/>
        </w:rPr>
        <w:t>OMB Control Number 1012-</w:t>
      </w:r>
      <w:r w:rsidR="00096313">
        <w:rPr>
          <w:rFonts w:ascii="Times New Roman" w:hAnsi="Times New Roman"/>
          <w:b/>
          <w:sz w:val="32"/>
          <w:szCs w:val="32"/>
        </w:rPr>
        <w:t>NEW</w:t>
      </w:r>
    </w:p>
    <w:p w:rsidR="00DB6B40" w:rsidRPr="00855442" w14:paraId="01F326A2" w14:textId="77777777">
      <w:pPr>
        <w:jc w:val="center"/>
        <w:rPr>
          <w:rFonts w:ascii="Times New Roman" w:hAnsi="Times New Roman"/>
          <w:b/>
          <w:sz w:val="32"/>
          <w:szCs w:val="32"/>
        </w:rPr>
      </w:pPr>
    </w:p>
    <w:p w:rsidR="00DB6B40" w:rsidRPr="00855442" w14:paraId="681DCE52" w14:textId="77777777">
      <w:pPr>
        <w:widowControl/>
        <w:tabs>
          <w:tab w:val="center" w:pos="4680"/>
        </w:tabs>
        <w:rPr>
          <w:rFonts w:ascii="Times New Roman" w:hAnsi="Times New Roman"/>
          <w:sz w:val="32"/>
          <w:szCs w:val="32"/>
        </w:rPr>
      </w:pPr>
      <w:r w:rsidRPr="00855442">
        <w:rPr>
          <w:rFonts w:ascii="Times New Roman" w:hAnsi="Times New Roman"/>
          <w:b/>
          <w:sz w:val="32"/>
          <w:szCs w:val="32"/>
        </w:rPr>
        <w:t>Terms of Clearance:</w:t>
      </w:r>
      <w:r w:rsidRPr="00855442">
        <w:rPr>
          <w:rFonts w:ascii="Times New Roman" w:hAnsi="Times New Roman"/>
          <w:sz w:val="32"/>
          <w:szCs w:val="32"/>
        </w:rPr>
        <w:t xml:space="preserve"> None.</w:t>
      </w:r>
    </w:p>
    <w:p w:rsidR="00DB6B40" w:rsidRPr="00855442" w14:paraId="5A8105D8" w14:textId="77777777">
      <w:pPr>
        <w:widowControl/>
        <w:tabs>
          <w:tab w:val="center" w:pos="4680"/>
        </w:tabs>
        <w:rPr>
          <w:rFonts w:ascii="Times New Roman" w:hAnsi="Times New Roman"/>
          <w:szCs w:val="24"/>
        </w:rPr>
      </w:pPr>
    </w:p>
    <w:p w:rsidR="00DB6B40" w:rsidRPr="00855442" w14:paraId="22CA0916" w14:textId="77777777">
      <w:pPr>
        <w:widowControl/>
        <w:tabs>
          <w:tab w:val="center" w:pos="4680"/>
        </w:tabs>
        <w:rPr>
          <w:rFonts w:ascii="Times New Roman" w:hAnsi="Times New Roman"/>
          <w:b/>
          <w:szCs w:val="24"/>
        </w:rPr>
      </w:pPr>
      <w:r w:rsidRPr="00855442">
        <w:rPr>
          <w:rFonts w:ascii="Times New Roman" w:hAnsi="Times New Roman"/>
          <w:b/>
          <w:szCs w:val="24"/>
        </w:rPr>
        <w:t>General Instructions</w:t>
      </w:r>
    </w:p>
    <w:p w:rsidR="00DB6B40" w:rsidRPr="00855442" w14:paraId="3BCB4DC2" w14:textId="77777777">
      <w:pPr>
        <w:widowControl/>
        <w:tabs>
          <w:tab w:val="center" w:pos="4680"/>
        </w:tabs>
        <w:rPr>
          <w:rFonts w:ascii="Times New Roman" w:hAnsi="Times New Roman"/>
          <w:b/>
          <w:szCs w:val="24"/>
        </w:rPr>
      </w:pPr>
    </w:p>
    <w:p w:rsidR="00DB6B40" w14:paraId="319D3189" w14:textId="30A0A1BA">
      <w:pPr>
        <w:widowControl/>
        <w:tabs>
          <w:tab w:val="center" w:pos="4680"/>
        </w:tabs>
        <w:rPr>
          <w:rFonts w:ascii="Times New Roman" w:hAnsi="Times New Roman"/>
          <w:szCs w:val="24"/>
        </w:rPr>
      </w:pPr>
      <w:r>
        <w:rPr>
          <w:rFonts w:ascii="Times New Roman" w:hAnsi="Times New Roman"/>
          <w:szCs w:val="24"/>
        </w:rPr>
        <w:tab/>
      </w:r>
      <w:r w:rsidRPr="00855442">
        <w:rPr>
          <w:rFonts w:ascii="Times New Roman" w:hAnsi="Times New Roman"/>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The Office of Management and Budget (OMB) reserves the right to require the submission of additional information with respect to any request for approval.</w:t>
      </w:r>
    </w:p>
    <w:p w:rsidR="00855442" w:rsidRPr="00855442" w14:paraId="2C0C701C" w14:textId="77777777">
      <w:pPr>
        <w:widowControl/>
        <w:tabs>
          <w:tab w:val="center" w:pos="4680"/>
        </w:tabs>
        <w:rPr>
          <w:rFonts w:ascii="Times New Roman" w:hAnsi="Times New Roman"/>
          <w:szCs w:val="24"/>
        </w:rPr>
      </w:pPr>
    </w:p>
    <w:p w:rsidR="00DB6B40" w:rsidRPr="00855442" w14:paraId="76822B16" w14:textId="77777777">
      <w:pPr>
        <w:widowControl/>
        <w:tabs>
          <w:tab w:val="center" w:pos="4680"/>
        </w:tabs>
        <w:rPr>
          <w:rFonts w:ascii="Times New Roman" w:hAnsi="Times New Roman"/>
          <w:b/>
          <w:szCs w:val="24"/>
        </w:rPr>
      </w:pPr>
      <w:r w:rsidRPr="00855442">
        <w:rPr>
          <w:rFonts w:ascii="Times New Roman" w:hAnsi="Times New Roman"/>
          <w:b/>
          <w:szCs w:val="24"/>
        </w:rPr>
        <w:t>Specific Instructions</w:t>
      </w:r>
    </w:p>
    <w:p w:rsidR="00DB6B40" w:rsidRPr="00855442" w14:paraId="7ABBD9EC" w14:textId="77777777">
      <w:pPr>
        <w:widowControl/>
        <w:tabs>
          <w:tab w:val="center" w:pos="4680"/>
        </w:tabs>
        <w:rPr>
          <w:rFonts w:ascii="Times New Roman" w:hAnsi="Times New Roman"/>
          <w:b/>
          <w:szCs w:val="24"/>
        </w:rPr>
      </w:pPr>
    </w:p>
    <w:p w:rsidR="00DB6B40" w14:paraId="13A41CC3" w14:textId="77777777">
      <w:pPr>
        <w:widowControl/>
        <w:tabs>
          <w:tab w:val="left" w:pos="-1080"/>
          <w:tab w:val="left" w:pos="-720"/>
          <w:tab w:val="left" w:pos="360"/>
          <w:tab w:val="left" w:pos="720"/>
        </w:tabs>
        <w:rPr>
          <w:rFonts w:ascii="Times New Roman" w:hAnsi="Times New Roman"/>
          <w:b/>
          <w:u w:val="single"/>
        </w:rPr>
      </w:pPr>
      <w:r>
        <w:rPr>
          <w:rFonts w:ascii="Times New Roman" w:hAnsi="Times New Roman"/>
          <w:b/>
        </w:rPr>
        <w:t>A.</w:t>
      </w:r>
      <w:r>
        <w:rPr>
          <w:rFonts w:ascii="Times New Roman" w:hAnsi="Times New Roman"/>
          <w:b/>
        </w:rPr>
        <w:tab/>
      </w:r>
      <w:r>
        <w:rPr>
          <w:rFonts w:ascii="Times New Roman" w:hAnsi="Times New Roman"/>
          <w:b/>
          <w:u w:val="single"/>
        </w:rPr>
        <w:t>Justification</w:t>
      </w:r>
    </w:p>
    <w:p w:rsidR="00DB6B40" w14:paraId="19F01938" w14:textId="77777777">
      <w:pPr>
        <w:widowControl/>
        <w:tabs>
          <w:tab w:val="left" w:pos="-1080"/>
          <w:tab w:val="left" w:pos="-720"/>
          <w:tab w:val="left" w:pos="360"/>
          <w:tab w:val="left" w:pos="720"/>
        </w:tabs>
        <w:rPr>
          <w:rFonts w:ascii="Times New Roman" w:hAnsi="Times New Roman"/>
        </w:rPr>
      </w:pPr>
    </w:p>
    <w:p w:rsidR="00DB6B40" w14:paraId="2B042B8C" w14:textId="77777777">
      <w:pPr>
        <w:widowControl/>
        <w:tabs>
          <w:tab w:val="left" w:pos="-1080"/>
          <w:tab w:val="left" w:pos="-720"/>
          <w:tab w:val="left" w:pos="360"/>
        </w:tabs>
        <w:rPr>
          <w:rFonts w:ascii="Times New Roman" w:hAnsi="Times New Roman"/>
          <w:b/>
          <w:i/>
        </w:rPr>
      </w:pPr>
      <w:r>
        <w:rPr>
          <w:rFonts w:ascii="Times New Roman" w:hAnsi="Times New Roman"/>
          <w:b/>
          <w:i/>
        </w:rPr>
        <w:t>1. Explain the circumstances that make the collection of information necessary. Identify any legal or administrative requirements that necessitate the collection.</w:t>
      </w:r>
    </w:p>
    <w:p w:rsidR="00DB6B40" w14:paraId="5A076828" w14:textId="77777777">
      <w:pPr>
        <w:widowControl/>
        <w:tabs>
          <w:tab w:val="left" w:pos="-1080"/>
          <w:tab w:val="left" w:pos="-720"/>
          <w:tab w:val="left" w:pos="360"/>
          <w:tab w:val="left" w:pos="720"/>
        </w:tabs>
        <w:rPr>
          <w:rFonts w:ascii="Times New Roman" w:hAnsi="Times New Roman"/>
        </w:rPr>
      </w:pPr>
    </w:p>
    <w:p w:rsidR="00DB6B40" w14:paraId="6933BF9D" w14:textId="16A4380A">
      <w:pPr>
        <w:pStyle w:val="PlainText"/>
        <w:rPr>
          <w:rFonts w:ascii="Times New Roman" w:hAnsi="Times New Roman"/>
          <w:sz w:val="24"/>
        </w:rPr>
      </w:pPr>
      <w:r>
        <w:rPr>
          <w:rFonts w:ascii="Times New Roman" w:hAnsi="Times New Roman"/>
          <w:sz w:val="24"/>
        </w:rPr>
        <w:t xml:space="preserve">The Secretary of the </w:t>
      </w:r>
      <w:r w:rsidR="00CE547A">
        <w:rPr>
          <w:rFonts w:ascii="Times New Roman" w:hAnsi="Times New Roman"/>
          <w:sz w:val="24"/>
        </w:rPr>
        <w:t>U.S.</w:t>
      </w:r>
      <w:r>
        <w:rPr>
          <w:rFonts w:ascii="Times New Roman" w:hAnsi="Times New Roman"/>
          <w:sz w:val="24"/>
        </w:rPr>
        <w:t xml:space="preserve"> Department of the Interior</w:t>
      </w:r>
      <w:r w:rsidR="00CE547A">
        <w:rPr>
          <w:rFonts w:ascii="Times New Roman" w:hAnsi="Times New Roman"/>
          <w:sz w:val="24"/>
        </w:rPr>
        <w:t xml:space="preserve"> (Secretary)</w:t>
      </w:r>
      <w:r>
        <w:rPr>
          <w:rFonts w:ascii="Times New Roman" w:hAnsi="Times New Roman"/>
          <w:sz w:val="24"/>
        </w:rPr>
        <w:t xml:space="preserve"> is responsible for overseeing mineral resource development on Federal and Indian lands and the Outer Continental Shelf (OCS). Under various laws, the Secretary’s responsibility is to: (1) manage mineral resource production on Federal and Indian lands and the OCS; (2) collect the royalties and other mineral revenues due: and (3) distribute the funds collected.</w:t>
      </w:r>
    </w:p>
    <w:p w:rsidR="00DB6B40" w14:paraId="014AD842" w14:textId="77777777">
      <w:pPr>
        <w:pStyle w:val="PlainText"/>
        <w:rPr>
          <w:rFonts w:ascii="Times New Roman" w:hAnsi="Times New Roman"/>
          <w:sz w:val="24"/>
        </w:rPr>
      </w:pPr>
    </w:p>
    <w:p w:rsidR="00DB6B40" w14:paraId="2F5716DF" w14:textId="05390383">
      <w:pPr>
        <w:rPr>
          <w:rFonts w:ascii="Times New Roman" w:hAnsi="Times New Roman"/>
          <w:szCs w:val="24"/>
        </w:rPr>
      </w:pPr>
      <w:r>
        <w:rPr>
          <w:rFonts w:ascii="Times New Roman" w:hAnsi="Times New Roman"/>
          <w:szCs w:val="24"/>
        </w:rPr>
        <w:t>When a company or an individual enters into a lease to explore, develop, produce, and dispose of minerals from Federal or Indian lands, that company or individual agrees to pay the lessor a share in a value of production from the leased lands. The mineral lease laws require the lessee, or his designee, to report various kinds of information to the lessor relative to the disposition of the leased minerals. Such information is generally available within the records of the lessee or others involved in developing, transporting, processing, purchasing, or selling of such minerals. The information that</w:t>
      </w:r>
      <w:r w:rsidR="00543CB1">
        <w:rPr>
          <w:rFonts w:ascii="Times New Roman" w:hAnsi="Times New Roman"/>
          <w:szCs w:val="24"/>
        </w:rPr>
        <w:t xml:space="preserve"> ONRR</w:t>
      </w:r>
      <w:r>
        <w:rPr>
          <w:rFonts w:ascii="Times New Roman" w:hAnsi="Times New Roman"/>
          <w:szCs w:val="24"/>
        </w:rPr>
        <w:t xml:space="preserve"> collect</w:t>
      </w:r>
      <w:r w:rsidR="00543CB1">
        <w:rPr>
          <w:rFonts w:ascii="Times New Roman" w:hAnsi="Times New Roman"/>
          <w:szCs w:val="24"/>
        </w:rPr>
        <w:t>s</w:t>
      </w:r>
      <w:r>
        <w:rPr>
          <w:rFonts w:ascii="Times New Roman" w:hAnsi="Times New Roman"/>
          <w:szCs w:val="24"/>
        </w:rPr>
        <w:t xml:space="preserve"> include data necessary to ensure that royalties value is established correctly. The information collections that </w:t>
      </w:r>
      <w:r w:rsidR="00543CB1">
        <w:rPr>
          <w:rFonts w:ascii="Times New Roman" w:hAnsi="Times New Roman"/>
          <w:szCs w:val="24"/>
        </w:rPr>
        <w:t>ONRR</w:t>
      </w:r>
      <w:r>
        <w:rPr>
          <w:rFonts w:ascii="Times New Roman" w:hAnsi="Times New Roman"/>
          <w:szCs w:val="24"/>
        </w:rPr>
        <w:t xml:space="preserve"> cover</w:t>
      </w:r>
      <w:r w:rsidR="00543CB1">
        <w:rPr>
          <w:rFonts w:ascii="Times New Roman" w:hAnsi="Times New Roman"/>
          <w:szCs w:val="24"/>
        </w:rPr>
        <w:t>s</w:t>
      </w:r>
      <w:r>
        <w:rPr>
          <w:rFonts w:ascii="Times New Roman" w:hAnsi="Times New Roman"/>
          <w:szCs w:val="24"/>
        </w:rPr>
        <w:t xml:space="preserve"> in this Information Collection Request (ICR) are found in the following parts of title 30 of the </w:t>
      </w:r>
      <w:r>
        <w:rPr>
          <w:rFonts w:ascii="Times New Roman" w:hAnsi="Times New Roman"/>
          <w:i/>
          <w:szCs w:val="24"/>
        </w:rPr>
        <w:t>Code of Federal Regulations</w:t>
      </w:r>
      <w:r>
        <w:rPr>
          <w:rFonts w:ascii="Times New Roman" w:hAnsi="Times New Roman"/>
          <w:szCs w:val="24"/>
        </w:rPr>
        <w:t xml:space="preserve"> (CFR):</w:t>
      </w:r>
    </w:p>
    <w:p w:rsidR="00DB6B40" w14:paraId="3B153A03" w14:textId="77777777">
      <w:pPr>
        <w:rPr>
          <w:rFonts w:ascii="Times New Roman" w:hAnsi="Times New Roman"/>
          <w:szCs w:val="24"/>
        </w:rPr>
      </w:pPr>
    </w:p>
    <w:p w:rsidR="00DB6B40" w14:paraId="0589F038" w14:textId="77777777">
      <w:pPr>
        <w:numPr>
          <w:ilvl w:val="0"/>
          <w:numId w:val="23"/>
        </w:numPr>
        <w:rPr>
          <w:rFonts w:ascii="Times New Roman" w:hAnsi="Times New Roman"/>
          <w:szCs w:val="24"/>
        </w:rPr>
      </w:pPr>
      <w:r>
        <w:rPr>
          <w:rFonts w:ascii="Times New Roman" w:hAnsi="Times New Roman"/>
          <w:szCs w:val="24"/>
        </w:rPr>
        <w:t>Part 1206, subparts C and D</w:t>
      </w:r>
    </w:p>
    <w:p w:rsidR="00DB6B40" w14:paraId="17D135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p>
    <w:p w:rsidR="00DB6B40" w14:paraId="4FF714E7" w14:textId="4EC1BCDB">
      <w:pPr>
        <w:widowControl/>
        <w:tabs>
          <w:tab w:val="left" w:pos="-1440"/>
          <w:tab w:val="left" w:pos="-720"/>
          <w:tab w:val="left" w:pos="0"/>
          <w:tab w:val="left" w:pos="720"/>
          <w:tab w:val="left" w:pos="1170"/>
        </w:tabs>
        <w:rPr>
          <w:rFonts w:ascii="Times New Roman" w:hAnsi="Times New Roman"/>
          <w:szCs w:val="24"/>
        </w:rPr>
      </w:pPr>
      <w:r>
        <w:rPr>
          <w:rFonts w:ascii="Times New Roman" w:hAnsi="Times New Roman"/>
          <w:szCs w:val="24"/>
        </w:rPr>
        <w:t>ONRR</w:t>
      </w:r>
      <w:r w:rsidR="00AE037B">
        <w:rPr>
          <w:rFonts w:ascii="Times New Roman" w:hAnsi="Times New Roman"/>
          <w:szCs w:val="24"/>
        </w:rPr>
        <w:t xml:space="preserve"> posted the following laws pertaining to mineral leases on Federal and Indian lands and the OCS at </w:t>
      </w:r>
      <w:r w:rsidR="00AE037B">
        <w:rPr>
          <w:rFonts w:ascii="Times New Roman" w:hAnsi="Times New Roman"/>
          <w:i/>
          <w:szCs w:val="24"/>
        </w:rPr>
        <w:t>http://www.onrr.gov/Laws_R_D/PubLaws/index.htm</w:t>
      </w:r>
      <w:r w:rsidR="00AE037B">
        <w:rPr>
          <w:rFonts w:ascii="Times New Roman" w:hAnsi="Times New Roman"/>
          <w:szCs w:val="24"/>
        </w:rPr>
        <w:t>:</w:t>
      </w:r>
    </w:p>
    <w:p w:rsidR="00DB6B40" w14:paraId="54E9CF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p>
    <w:p w:rsidR="00DB6B40" w14:paraId="28D4509F" w14:textId="77777777">
      <w:pPr>
        <w:widowControl/>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szCs w:val="24"/>
        </w:rPr>
        <w:t xml:space="preserve">30 U.S.C. 1701 </w:t>
      </w:r>
      <w:r>
        <w:rPr>
          <w:rFonts w:ascii="Times New Roman" w:hAnsi="Times New Roman"/>
          <w:i/>
          <w:szCs w:val="24"/>
        </w:rPr>
        <w:t>et seq</w:t>
      </w:r>
      <w:r>
        <w:rPr>
          <w:rFonts w:ascii="Times New Roman" w:hAnsi="Times New Roman"/>
          <w:szCs w:val="24"/>
        </w:rPr>
        <w:t xml:space="preserve">., </w:t>
      </w:r>
      <w:r>
        <w:rPr>
          <w:rFonts w:ascii="Times New Roman" w:hAnsi="Times New Roman"/>
        </w:rPr>
        <w:t xml:space="preserve">Federal Oil and Gas Royalty Management Act of 1982 (FOGRMA), as amended by </w:t>
      </w:r>
      <w:r>
        <w:rPr>
          <w:rFonts w:ascii="Times New Roman" w:hAnsi="Times New Roman"/>
          <w:szCs w:val="24"/>
        </w:rPr>
        <w:t>Federal Oil and Gas Royalty Simplification and Fairness Act of 1996 (RSFA, Pub. L. 104-185—Aug. 13, 1996, as corrected by Pub. L. 104-200—Sept. 22, 1996)</w:t>
      </w:r>
    </w:p>
    <w:p w:rsidR="00DB6B40" w14:paraId="7425A300" w14:textId="77777777">
      <w:pPr>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 xml:space="preserve">30 U.S.C. 181 </w:t>
      </w:r>
      <w:r>
        <w:rPr>
          <w:rFonts w:ascii="Times New Roman" w:hAnsi="Times New Roman"/>
          <w:i/>
        </w:rPr>
        <w:t>et seq</w:t>
      </w:r>
      <w:r>
        <w:rPr>
          <w:rFonts w:ascii="Times New Roman" w:hAnsi="Times New Roman"/>
        </w:rPr>
        <w:t>., The</w:t>
      </w:r>
      <w:r>
        <w:rPr>
          <w:rFonts w:ascii="Times New Roman" w:hAnsi="Times New Roman"/>
          <w:szCs w:val="24"/>
        </w:rPr>
        <w:t xml:space="preserve"> </w:t>
      </w:r>
      <w:r>
        <w:rPr>
          <w:rFonts w:ascii="Times New Roman" w:hAnsi="Times New Roman"/>
        </w:rPr>
        <w:t>Mineral Leasing Act of 1920</w:t>
      </w:r>
    </w:p>
    <w:p w:rsidR="00DB6B40" w14:paraId="62EB1C87" w14:textId="77777777">
      <w:pPr>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43 U.S.C. 1353, Chapter 29</w:t>
      </w:r>
      <w:r>
        <w:rPr>
          <w:rFonts w:ascii="Times New Roman" w:hAnsi="Times New Roman"/>
          <w:szCs w:val="24"/>
        </w:rPr>
        <w:t>—</w:t>
      </w:r>
      <w:r>
        <w:rPr>
          <w:rFonts w:ascii="Times New Roman" w:hAnsi="Times New Roman"/>
        </w:rPr>
        <w:t xml:space="preserve">Outer Continental Shelf Lands Act of 1953 </w:t>
      </w:r>
    </w:p>
    <w:p w:rsidR="00DB6B40" w14:paraId="4FE8D179"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450454" w14:paraId="4A4821B7" w14:textId="4F113A33">
      <w:pPr>
        <w:tabs>
          <w:tab w:val="left" w:pos="-1080"/>
          <w:tab w:val="left" w:pos="-720"/>
          <w:tab w:val="left" w:pos="360"/>
          <w:tab w:val="left" w:pos="720"/>
        </w:tabs>
        <w:rPr>
          <w:rFonts w:ascii="Times New Roman" w:hAnsi="Times New Roman"/>
          <w:b/>
          <w:i/>
        </w:rPr>
      </w:pPr>
      <w:r>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450454" w14:paraId="4C2340FE" w14:textId="77777777">
      <w:pPr>
        <w:tabs>
          <w:tab w:val="left" w:pos="-1080"/>
          <w:tab w:val="left" w:pos="-720"/>
          <w:tab w:val="left" w:pos="360"/>
          <w:tab w:val="left" w:pos="720"/>
        </w:tabs>
        <w:rPr>
          <w:rFonts w:ascii="Times New Roman" w:hAnsi="Times New Roman"/>
          <w:b/>
          <w:i/>
        </w:rPr>
      </w:pPr>
    </w:p>
    <w:p w:rsidR="000C2EF1" w:rsidP="006546F3" w14:paraId="10676D3B" w14:textId="712F5131">
      <w:pPr>
        <w:ind w:firstLine="720"/>
        <w:rPr>
          <w:rFonts w:ascii="Times New Roman" w:hAnsi="Times New Roman"/>
          <w:color w:val="000000"/>
        </w:rPr>
      </w:pPr>
      <w:r>
        <w:rPr>
          <w:rFonts w:ascii="Times New Roman" w:hAnsi="Times New Roman"/>
          <w:color w:val="000000"/>
        </w:rPr>
        <w:t xml:space="preserve">ONRR’s proposed Federal Oil, Gas, and Coal Amendments rulemaking(1012-AA39) </w:t>
      </w:r>
      <w:r w:rsidRPr="000C2EF1">
        <w:rPr>
          <w:rFonts w:ascii="Times New Roman" w:hAnsi="Times New Roman"/>
          <w:color w:val="000000"/>
        </w:rPr>
        <w:t>clarify that lessees may submit depreciation schedules for in-service fixed assets without existing schedules or those not compliant with allowance regulations. Each schedule must list relevant asset details such as cost, service date, depreciation method, salvage value, and useful life or production units. Assets depreciated in groups require calculations for group lifespan, reporting period expenses, and undepreciated costs; supporting documents may be provided.</w:t>
      </w:r>
    </w:p>
    <w:p w:rsidR="000C2EF1" w:rsidP="000C2EF1" w14:paraId="1C8A1430" w14:textId="77777777">
      <w:pPr>
        <w:rPr>
          <w:rFonts w:ascii="Times New Roman" w:hAnsi="Times New Roman"/>
          <w:color w:val="000000"/>
        </w:rPr>
      </w:pPr>
      <w:r w:rsidRPr="000C2EF1">
        <w:rPr>
          <w:rFonts w:ascii="Times New Roman" w:hAnsi="Times New Roman"/>
          <w:color w:val="000000"/>
        </w:rPr>
        <w:t>Revisions also specify which OCS platform costs qualify for transportation allowances, including flow assurance and pump costs for oil, and compression, dehydration, and treatment for gas where necessary for transport. Deductible platform space costs are allocated based on equipment square footage.</w:t>
      </w:r>
    </w:p>
    <w:p w:rsidR="00450454" w:rsidP="000C2EF1" w14:paraId="6E36D025" w14:textId="33F01609">
      <w:pPr>
        <w:rPr>
          <w:rFonts w:ascii="Times New Roman" w:hAnsi="Times New Roman"/>
          <w:color w:val="000000"/>
        </w:rPr>
      </w:pPr>
      <w:r w:rsidRPr="000C2EF1">
        <w:rPr>
          <w:rFonts w:ascii="Times New Roman" w:hAnsi="Times New Roman"/>
          <w:color w:val="000000"/>
        </w:rPr>
        <w:t>Lessees may propose both a depreciation schedule and alternative in-service date if no previous allowances included depreciation expense or return on capital costs.</w:t>
      </w:r>
    </w:p>
    <w:p w:rsidR="006546F3" w:rsidP="000C2EF1" w14:paraId="3499450C" w14:textId="77777777">
      <w:pPr>
        <w:rPr>
          <w:rFonts w:ascii="Times New Roman" w:hAnsi="Times New Roman"/>
          <w:color w:val="000000"/>
        </w:rPr>
      </w:pPr>
    </w:p>
    <w:p w:rsidR="006546F3" w:rsidRPr="006546F3" w:rsidP="006546F3" w14:paraId="06919B9E" w14:textId="77777777">
      <w:pPr>
        <w:ind w:firstLine="360"/>
        <w:contextualSpacing/>
        <w:rPr>
          <w:rFonts w:ascii="Times New Roman" w:eastAsia="Calibri" w:hAnsi="Times New Roman"/>
          <w:szCs w:val="24"/>
        </w:rPr>
      </w:pPr>
      <w:r w:rsidRPr="006546F3">
        <w:rPr>
          <w:rFonts w:ascii="Times New Roman" w:hAnsi="Times New Roman"/>
          <w:szCs w:val="24"/>
        </w:rPr>
        <w:t>This ICR is associated with the information covered for Federal oil and gas reporting and royalty payments in OMB Control Number 1012-0005. Following the publication of ONRR’s Federal Oil, Gas, and Coal Amendments Final Rule (RIN 1012-AA39) and subsequent approval by OMB, ONRR intends to revise OMB Control Number 1012-0005 to incorporate the information collection in this ICR. Once these information collections have been incorporated into OMB Control Number 1012-0005 and approved by OMB, ONRR will discontinue this ICR.</w:t>
      </w:r>
    </w:p>
    <w:p w:rsidR="00450454" w14:paraId="1E76BFCB" w14:textId="77777777">
      <w:pPr>
        <w:tabs>
          <w:tab w:val="left" w:pos="-1080"/>
          <w:tab w:val="left" w:pos="-720"/>
          <w:tab w:val="left" w:pos="360"/>
          <w:tab w:val="left" w:pos="720"/>
        </w:tabs>
        <w:rPr>
          <w:rFonts w:ascii="Times New Roman" w:hAnsi="Times New Roman"/>
          <w:b/>
          <w:i/>
        </w:rPr>
      </w:pPr>
    </w:p>
    <w:p w:rsidR="00450454" w14:paraId="460B9F24" w14:textId="77777777">
      <w:pPr>
        <w:tabs>
          <w:tab w:val="left" w:pos="-1080"/>
          <w:tab w:val="left" w:pos="-720"/>
          <w:tab w:val="left" w:pos="360"/>
          <w:tab w:val="left" w:pos="720"/>
        </w:tabs>
        <w:rPr>
          <w:rFonts w:ascii="Times New Roman" w:hAnsi="Times New Roman"/>
          <w:b/>
          <w:i/>
        </w:rPr>
      </w:pPr>
    </w:p>
    <w:p w:rsidR="00DB6B40" w14:paraId="59B932B7" w14:textId="77777777">
      <w:pPr>
        <w:widowControl/>
        <w:tabs>
          <w:tab w:val="left" w:pos="-1080"/>
          <w:tab w:val="left" w:pos="-720"/>
          <w:tab w:val="left" w:pos="360"/>
          <w:tab w:val="left" w:pos="720"/>
        </w:tabs>
        <w:rPr>
          <w:rFonts w:ascii="Times New Roman" w:hAnsi="Times New Roman"/>
          <w:i/>
        </w:rPr>
      </w:pPr>
      <w:r>
        <w:rPr>
          <w:rFonts w:ascii="Times New Roman" w:hAnsi="Times New Roman"/>
          <w:b/>
          <w:i/>
        </w:rPr>
        <w:t>3.</w:t>
      </w:r>
      <w:r>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Pr>
          <w:rFonts w:ascii="Times New Roman" w:hAnsi="Times New Roman"/>
          <w:b/>
          <w:i/>
        </w:rPr>
        <w:t>describe any consideration of using information technology to reduce burden and specifically how this collection meets GPEA requirements.</w:t>
      </w:r>
    </w:p>
    <w:p w:rsidR="00DB6B40" w14:paraId="30DB85C0" w14:textId="77777777">
      <w:pPr>
        <w:widowControl/>
        <w:tabs>
          <w:tab w:val="left" w:pos="-1080"/>
          <w:tab w:val="left" w:pos="-720"/>
          <w:tab w:val="left" w:pos="360"/>
          <w:tab w:val="left" w:pos="720"/>
        </w:tabs>
        <w:rPr>
          <w:rFonts w:ascii="Times New Roman" w:hAnsi="Times New Roman"/>
        </w:rPr>
      </w:pPr>
    </w:p>
    <w:p w:rsidR="00DB6B40" w14:paraId="70A6E679" w14:textId="46A3789C">
      <w:pPr>
        <w:widowControl/>
        <w:tabs>
          <w:tab w:val="left" w:pos="-1080"/>
          <w:tab w:val="left" w:pos="-720"/>
          <w:tab w:val="left" w:pos="360"/>
          <w:tab w:val="left" w:pos="720"/>
        </w:tabs>
        <w:rPr>
          <w:rFonts w:ascii="Times New Roman" w:hAnsi="Times New Roman"/>
        </w:rPr>
      </w:pPr>
      <w:r>
        <w:rPr>
          <w:rFonts w:ascii="Times New Roman" w:hAnsi="Times New Roman"/>
        </w:rPr>
        <w:t>O</w:t>
      </w:r>
      <w:r w:rsidR="00CE547A">
        <w:rPr>
          <w:rFonts w:ascii="Times New Roman" w:hAnsi="Times New Roman"/>
        </w:rPr>
        <w:t xml:space="preserve">NRR’s </w:t>
      </w:r>
      <w:r>
        <w:rPr>
          <w:rFonts w:ascii="Times New Roman" w:hAnsi="Times New Roman"/>
        </w:rPr>
        <w:t>Government Paperwork Elimination Act Plan indicates that</w:t>
      </w:r>
      <w:r w:rsidR="00CE547A">
        <w:rPr>
          <w:rFonts w:ascii="Times New Roman" w:hAnsi="Times New Roman"/>
        </w:rPr>
        <w:t xml:space="preserve"> it</w:t>
      </w:r>
      <w:r w:rsidR="00543CB1">
        <w:rPr>
          <w:rFonts w:ascii="Times New Roman" w:hAnsi="Times New Roman"/>
        </w:rPr>
        <w:t xml:space="preserve"> </w:t>
      </w:r>
      <w:r>
        <w:rPr>
          <w:rFonts w:ascii="Times New Roman" w:hAnsi="Times New Roman"/>
        </w:rPr>
        <w:t>evaluate</w:t>
      </w:r>
      <w:r w:rsidR="00543CB1">
        <w:rPr>
          <w:rFonts w:ascii="Times New Roman" w:hAnsi="Times New Roman"/>
        </w:rPr>
        <w:t>s</w:t>
      </w:r>
      <w:r>
        <w:rPr>
          <w:rFonts w:ascii="Times New Roman" w:hAnsi="Times New Roman"/>
        </w:rPr>
        <w:t xml:space="preserve"> such transactions for electronic submission. For accounting and auditing relief, </w:t>
      </w:r>
      <w:r w:rsidR="00543CB1">
        <w:rPr>
          <w:rFonts w:ascii="Times New Roman" w:hAnsi="Times New Roman"/>
        </w:rPr>
        <w:t>ONRR</w:t>
      </w:r>
      <w:r>
        <w:rPr>
          <w:rFonts w:ascii="Times New Roman" w:hAnsi="Times New Roman"/>
        </w:rPr>
        <w:t xml:space="preserve"> will accept responses by electronic mail and expect to receive an average of 95 percent of the responses electronically. Submission by electronic mail is the most efficient and immediate means for submission of the notification or relief request. The information requested of the lessee in its notification or relief request is the minimum information necessary to efficiently process the lessee’s notification or request for accounting and auditing relief.</w:t>
      </w:r>
    </w:p>
    <w:p w:rsidR="00DB6B40" w14:paraId="4DE493FC" w14:textId="77777777">
      <w:pPr>
        <w:rPr>
          <w:rFonts w:ascii="Times New Roman" w:hAnsi="Times New Roman"/>
        </w:rPr>
      </w:pPr>
    </w:p>
    <w:p w:rsidR="00DB6B40" w:rsidP="00722204" w14:paraId="189F7B0D" w14:textId="559E598B">
      <w:pPr>
        <w:widowControl/>
        <w:rPr>
          <w:rFonts w:ascii="Times New Roman" w:hAnsi="Times New Roman"/>
          <w:b/>
          <w:i/>
        </w:rPr>
      </w:pPr>
      <w:r>
        <w:rPr>
          <w:rFonts w:ascii="Times New Roman" w:hAnsi="Times New Roman"/>
          <w:b/>
          <w:i/>
        </w:rPr>
        <w:t>4.</w:t>
      </w:r>
      <w:r w:rsidR="00722204">
        <w:rPr>
          <w:rFonts w:ascii="Times New Roman" w:hAnsi="Times New Roman"/>
          <w:b/>
          <w:i/>
        </w:rPr>
        <w:t xml:space="preserve"> </w:t>
      </w:r>
      <w:r>
        <w:rPr>
          <w:rFonts w:ascii="Times New Roman" w:hAnsi="Times New Roman"/>
          <w:b/>
          <w:i/>
        </w:rPr>
        <w:t>Describe efforts to identify duplication. Show specifically why any similar information already available cannot be used or modified for use for the purposes described in Item 2 above.</w:t>
      </w:r>
    </w:p>
    <w:p w:rsidR="00DB6B40" w14:paraId="3940520D" w14:textId="77777777">
      <w:pPr>
        <w:tabs>
          <w:tab w:val="left" w:pos="-1080"/>
          <w:tab w:val="left" w:pos="-720"/>
          <w:tab w:val="left" w:pos="360"/>
          <w:tab w:val="left" w:pos="720"/>
        </w:tabs>
        <w:rPr>
          <w:rFonts w:ascii="Times New Roman" w:hAnsi="Times New Roman"/>
          <w:b/>
        </w:rPr>
      </w:pPr>
    </w:p>
    <w:p w:rsidR="00DB6B40" w14:paraId="73989CA1" w14:textId="032685EE">
      <w:pPr>
        <w:rPr>
          <w:rFonts w:ascii="Times New Roman" w:hAnsi="Times New Roman"/>
        </w:rPr>
      </w:pPr>
      <w:r>
        <w:rPr>
          <w:rFonts w:ascii="Times New Roman" w:hAnsi="Times New Roman"/>
        </w:rPr>
        <w:t xml:space="preserve">This information is not available from any other source, nor is there any other Federal government agency currently collecting similar information for other purposes that could serve our needs. </w:t>
      </w:r>
      <w:r w:rsidR="00543CB1">
        <w:rPr>
          <w:rFonts w:ascii="Times New Roman" w:hAnsi="Times New Roman"/>
        </w:rPr>
        <w:t>ONRR</w:t>
      </w:r>
      <w:r>
        <w:rPr>
          <w:rFonts w:ascii="Times New Roman" w:hAnsi="Times New Roman"/>
        </w:rPr>
        <w:t xml:space="preserve"> ensure</w:t>
      </w:r>
      <w:r w:rsidR="00543CB1">
        <w:rPr>
          <w:rFonts w:ascii="Times New Roman" w:hAnsi="Times New Roman"/>
        </w:rPr>
        <w:t>s</w:t>
      </w:r>
      <w:r>
        <w:rPr>
          <w:rFonts w:ascii="Times New Roman" w:hAnsi="Times New Roman"/>
        </w:rPr>
        <w:t xml:space="preserve"> that the lessee’s burden is minimized and not duplicated.</w:t>
      </w:r>
    </w:p>
    <w:p w:rsidR="00DB6B40" w14:paraId="40BDB982" w14:textId="77777777">
      <w:pPr>
        <w:widowControl/>
        <w:tabs>
          <w:tab w:val="left" w:pos="-1080"/>
          <w:tab w:val="left" w:pos="-720"/>
          <w:tab w:val="left" w:pos="360"/>
          <w:tab w:val="left" w:pos="720"/>
        </w:tabs>
        <w:rPr>
          <w:rFonts w:ascii="Times New Roman" w:hAnsi="Times New Roman"/>
          <w:b/>
          <w:i/>
        </w:rPr>
      </w:pPr>
    </w:p>
    <w:p w:rsidR="00DB6B40" w14:paraId="49829528" w14:textId="72BBA6AA">
      <w:pPr>
        <w:rPr>
          <w:rFonts w:ascii="Times New Roman" w:hAnsi="Times New Roman"/>
        </w:rPr>
      </w:pPr>
      <w:r>
        <w:rPr>
          <w:rFonts w:ascii="Times New Roman" w:hAnsi="Times New Roman"/>
        </w:rPr>
        <w:t xml:space="preserve">The </w:t>
      </w:r>
      <w:r w:rsidR="0036572F">
        <w:rPr>
          <w:rFonts w:ascii="Times New Roman" w:hAnsi="Times New Roman"/>
        </w:rPr>
        <w:t>depreciation</w:t>
      </w:r>
      <w:r>
        <w:rPr>
          <w:rFonts w:ascii="Times New Roman" w:hAnsi="Times New Roman"/>
        </w:rPr>
        <w:t xml:space="preserve"> and allowance information</w:t>
      </w:r>
      <w:r w:rsidR="00543CB1">
        <w:rPr>
          <w:rFonts w:ascii="Times New Roman" w:hAnsi="Times New Roman"/>
        </w:rPr>
        <w:t xml:space="preserve"> ONRR</w:t>
      </w:r>
      <w:r>
        <w:rPr>
          <w:rFonts w:ascii="Times New Roman" w:hAnsi="Times New Roman"/>
        </w:rPr>
        <w:t xml:space="preserve"> collect</w:t>
      </w:r>
      <w:r w:rsidR="00543CB1">
        <w:rPr>
          <w:rFonts w:ascii="Times New Roman" w:hAnsi="Times New Roman"/>
        </w:rPr>
        <w:t>s</w:t>
      </w:r>
      <w:r>
        <w:rPr>
          <w:rFonts w:ascii="Times New Roman" w:hAnsi="Times New Roman"/>
        </w:rPr>
        <w:t xml:space="preserve"> is unique</w:t>
      </w:r>
      <w:r w:rsidR="0036572F">
        <w:rPr>
          <w:rFonts w:ascii="Times New Roman" w:hAnsi="Times New Roman"/>
        </w:rPr>
        <w:t xml:space="preserve"> to Federal Oil and Gas and OCS platform and flow assurance costs</w:t>
      </w:r>
      <w:r>
        <w:rPr>
          <w:rFonts w:ascii="Times New Roman" w:hAnsi="Times New Roman"/>
        </w:rPr>
        <w:t>. ONRR makes every effort to avoid duplication of the information collection.</w:t>
      </w:r>
    </w:p>
    <w:p w:rsidR="00DB6B40" w14:paraId="31A0ECB5" w14:textId="77777777">
      <w:pPr>
        <w:widowControl/>
        <w:tabs>
          <w:tab w:val="left" w:pos="-1080"/>
          <w:tab w:val="left" w:pos="-720"/>
          <w:tab w:val="left" w:pos="360"/>
          <w:tab w:val="left" w:pos="720"/>
        </w:tabs>
        <w:rPr>
          <w:rFonts w:ascii="Times New Roman" w:hAnsi="Times New Roman"/>
          <w:b/>
          <w:i/>
        </w:rPr>
      </w:pPr>
    </w:p>
    <w:p w:rsidR="00DB6B40" w14:paraId="05A5B90B" w14:textId="77777777">
      <w:pPr>
        <w:widowControl/>
        <w:tabs>
          <w:tab w:val="left" w:pos="-1080"/>
          <w:tab w:val="left" w:pos="-720"/>
          <w:tab w:val="left" w:pos="360"/>
          <w:tab w:val="left" w:pos="720"/>
        </w:tabs>
        <w:rPr>
          <w:rFonts w:ascii="Times New Roman" w:hAnsi="Times New Roman"/>
          <w:i/>
        </w:rPr>
      </w:pPr>
      <w:r>
        <w:rPr>
          <w:rFonts w:ascii="Times New Roman" w:hAnsi="Times New Roman"/>
          <w:b/>
          <w:i/>
        </w:rPr>
        <w:t>5.</w:t>
      </w:r>
      <w:r>
        <w:rPr>
          <w:rFonts w:ascii="Times New Roman" w:hAnsi="Times New Roman"/>
          <w:b/>
          <w:i/>
        </w:rPr>
        <w:tab/>
        <w:t>If the collection of information impacts small businesses or other small entities, describe any methods used to minimize burden.</w:t>
      </w:r>
    </w:p>
    <w:p w:rsidR="00DB6B40" w14:paraId="41B893F1" w14:textId="77777777">
      <w:pPr>
        <w:rPr>
          <w:rFonts w:ascii="Times New Roman" w:hAnsi="Times New Roman"/>
        </w:rPr>
      </w:pPr>
    </w:p>
    <w:p w:rsidR="00DB6B40" w14:paraId="61106030" w14:textId="1D1B4A46">
      <w:pPr>
        <w:rPr>
          <w:rFonts w:ascii="Times New Roman" w:hAnsi="Times New Roman"/>
        </w:rPr>
      </w:pPr>
      <w:r>
        <w:rPr>
          <w:rFonts w:ascii="Times New Roman" w:hAnsi="Times New Roman"/>
        </w:rPr>
        <w:t xml:space="preserve">This collection, which includes 30 CFR </w:t>
      </w:r>
      <w:r w:rsidR="00096313">
        <w:rPr>
          <w:rFonts w:ascii="Times New Roman" w:hAnsi="Times New Roman"/>
        </w:rPr>
        <w:t>P</w:t>
      </w:r>
      <w:r>
        <w:rPr>
          <w:rFonts w:ascii="Times New Roman" w:hAnsi="Times New Roman"/>
        </w:rPr>
        <w:t>art 1206 regulatory requirements, does impact small entities. ONRR carefully analyzed its valuation, allowances and marginal property relief requirements to ensure that the information</w:t>
      </w:r>
      <w:r w:rsidR="00051724">
        <w:rPr>
          <w:rFonts w:ascii="Times New Roman" w:hAnsi="Times New Roman"/>
        </w:rPr>
        <w:t xml:space="preserve"> it</w:t>
      </w:r>
      <w:r w:rsidR="00543CB1">
        <w:rPr>
          <w:rFonts w:ascii="Times New Roman" w:hAnsi="Times New Roman"/>
        </w:rPr>
        <w:t xml:space="preserve"> </w:t>
      </w:r>
      <w:r>
        <w:rPr>
          <w:rFonts w:ascii="Times New Roman" w:hAnsi="Times New Roman"/>
        </w:rPr>
        <w:t>request</w:t>
      </w:r>
      <w:r w:rsidR="00543CB1">
        <w:rPr>
          <w:rFonts w:ascii="Times New Roman" w:hAnsi="Times New Roman"/>
        </w:rPr>
        <w:t>s</w:t>
      </w:r>
      <w:r>
        <w:rPr>
          <w:rFonts w:ascii="Times New Roman" w:hAnsi="Times New Roman"/>
        </w:rPr>
        <w:t xml:space="preserve"> is the minimum necessary and places the least possible burden on industry. ONRR has a long-standing policy to restrict the amount of information</w:t>
      </w:r>
      <w:r w:rsidR="00051724">
        <w:rPr>
          <w:rFonts w:ascii="Times New Roman" w:hAnsi="Times New Roman"/>
        </w:rPr>
        <w:t xml:space="preserve"> it</w:t>
      </w:r>
      <w:r w:rsidR="00543CB1">
        <w:rPr>
          <w:rFonts w:ascii="Times New Roman" w:hAnsi="Times New Roman"/>
        </w:rPr>
        <w:t xml:space="preserve"> </w:t>
      </w:r>
      <w:r>
        <w:rPr>
          <w:rFonts w:ascii="Times New Roman" w:hAnsi="Times New Roman"/>
        </w:rPr>
        <w:t>collect</w:t>
      </w:r>
      <w:r w:rsidR="00543CB1">
        <w:rPr>
          <w:rFonts w:ascii="Times New Roman" w:hAnsi="Times New Roman"/>
        </w:rPr>
        <w:t>s</w:t>
      </w:r>
      <w:r>
        <w:rPr>
          <w:rFonts w:ascii="Times New Roman" w:hAnsi="Times New Roman"/>
        </w:rPr>
        <w:t xml:space="preserve"> to the minimum necessary to efficiently</w:t>
      </w:r>
      <w:r w:rsidR="00051724">
        <w:rPr>
          <w:rFonts w:ascii="Times New Roman" w:hAnsi="Times New Roman"/>
        </w:rPr>
        <w:t xml:space="preserve"> </w:t>
      </w:r>
      <w:r>
        <w:rPr>
          <w:rFonts w:ascii="Times New Roman" w:hAnsi="Times New Roman"/>
        </w:rPr>
        <w:t>accomplish</w:t>
      </w:r>
      <w:r w:rsidR="00051724">
        <w:rPr>
          <w:rFonts w:ascii="Times New Roman" w:hAnsi="Times New Roman"/>
        </w:rPr>
        <w:t xml:space="preserve"> its</w:t>
      </w:r>
      <w:r>
        <w:rPr>
          <w:rFonts w:ascii="Times New Roman" w:hAnsi="Times New Roman"/>
        </w:rPr>
        <w:t xml:space="preserve"> mission and</w:t>
      </w:r>
      <w:r w:rsidR="00051724">
        <w:rPr>
          <w:rFonts w:ascii="Times New Roman" w:hAnsi="Times New Roman"/>
        </w:rPr>
        <w:t xml:space="preserve"> </w:t>
      </w:r>
      <w:r>
        <w:rPr>
          <w:rFonts w:ascii="Times New Roman" w:hAnsi="Times New Roman"/>
        </w:rPr>
        <w:t>fulfill</w:t>
      </w:r>
      <w:r w:rsidR="00051724">
        <w:rPr>
          <w:rFonts w:ascii="Times New Roman" w:hAnsi="Times New Roman"/>
        </w:rPr>
        <w:t xml:space="preserve"> its</w:t>
      </w:r>
      <w:r>
        <w:rPr>
          <w:rFonts w:ascii="Times New Roman" w:hAnsi="Times New Roman"/>
        </w:rPr>
        <w:t xml:space="preserve"> responsibilities.</w:t>
      </w:r>
    </w:p>
    <w:p w:rsidR="00DB6B40" w14:paraId="4C46F0E5" w14:textId="77777777">
      <w:pPr>
        <w:rPr>
          <w:rFonts w:ascii="Times New Roman" w:hAnsi="Times New Roman"/>
        </w:rPr>
      </w:pPr>
    </w:p>
    <w:p w:rsidR="00DB6B40" w14:paraId="58946AC4" w14:textId="6222BCEA">
      <w:pPr>
        <w:rPr>
          <w:rFonts w:ascii="Times New Roman" w:hAnsi="Times New Roman"/>
        </w:rPr>
      </w:pPr>
      <w:r>
        <w:rPr>
          <w:rFonts w:ascii="Times New Roman" w:hAnsi="Times New Roman"/>
        </w:rPr>
        <w:t>ONRR also determined that this collection of information has no special reporting provisions on small businesses, or other small entities, differently than larger entities. However, small businesses would likely have less information to report than larger entities would. Respondents, including small businesses or other small entities, have the flexibility to submit information to</w:t>
      </w:r>
      <w:r w:rsidR="00051724">
        <w:rPr>
          <w:rFonts w:ascii="Times New Roman" w:hAnsi="Times New Roman"/>
        </w:rPr>
        <w:t xml:space="preserve"> ONRR</w:t>
      </w:r>
      <w:r>
        <w:rPr>
          <w:rFonts w:ascii="Times New Roman" w:hAnsi="Times New Roman"/>
        </w:rPr>
        <w:t xml:space="preserve"> electronically, or in hardcopy.</w:t>
      </w:r>
    </w:p>
    <w:p w:rsidR="00DB6B40" w14:paraId="50D0B86B" w14:textId="77777777">
      <w:pPr>
        <w:rPr>
          <w:rFonts w:ascii="Times New Roman" w:hAnsi="Times New Roman"/>
        </w:rPr>
      </w:pPr>
    </w:p>
    <w:p w:rsidR="00DB6B40" w14:paraId="723FCB31" w14:textId="0F846F90">
      <w:pPr>
        <w:rPr>
          <w:rFonts w:ascii="Times New Roman" w:hAnsi="Times New Roman"/>
        </w:rPr>
      </w:pPr>
      <w:r>
        <w:rPr>
          <w:rFonts w:ascii="Times New Roman" w:hAnsi="Times New Roman"/>
        </w:rPr>
        <w:t xml:space="preserve">ONRR provides toll-free telephone </w:t>
      </w:r>
      <w:r>
        <w:rPr>
          <w:rFonts w:ascii="Times New Roman" w:hAnsi="Times New Roman"/>
          <w:szCs w:val="24"/>
        </w:rPr>
        <w:t xml:space="preserve">assistance at </w:t>
      </w:r>
      <w:r>
        <w:rPr>
          <w:rFonts w:ascii="Times New Roman" w:hAnsi="Times New Roman"/>
          <w:color w:val="222222"/>
          <w:szCs w:val="24"/>
          <w:shd w:val="clear" w:color="auto" w:fill="FFFFFF"/>
        </w:rPr>
        <w:t>1-800-525-0309</w:t>
      </w:r>
      <w:r>
        <w:rPr>
          <w:rFonts w:ascii="Times New Roman" w:hAnsi="Times New Roman"/>
        </w:rPr>
        <w:t xml:space="preserve"> and periodic training (free of charge) to all respondents in various geographic areas. This training</w:t>
      </w:r>
      <w:r w:rsidR="00051724">
        <w:rPr>
          <w:rFonts w:ascii="Times New Roman" w:hAnsi="Times New Roman"/>
        </w:rPr>
        <w:t xml:space="preserve"> helps respondents</w:t>
      </w:r>
      <w:r>
        <w:rPr>
          <w:rFonts w:ascii="Times New Roman" w:hAnsi="Times New Roman"/>
        </w:rPr>
        <w:t xml:space="preserve"> in complying with valuation, reporting and marginal property relief requirements.</w:t>
      </w:r>
      <w:r w:rsidR="00543CB1">
        <w:rPr>
          <w:rFonts w:ascii="Times New Roman" w:hAnsi="Times New Roman"/>
        </w:rPr>
        <w:t xml:space="preserve"> ONRR</w:t>
      </w:r>
      <w:r>
        <w:rPr>
          <w:rFonts w:ascii="Times New Roman" w:hAnsi="Times New Roman"/>
        </w:rPr>
        <w:t xml:space="preserve"> encourage</w:t>
      </w:r>
      <w:r w:rsidR="00543CB1">
        <w:rPr>
          <w:rFonts w:ascii="Times New Roman" w:hAnsi="Times New Roman"/>
        </w:rPr>
        <w:t>s</w:t>
      </w:r>
      <w:r>
        <w:rPr>
          <w:rFonts w:ascii="Times New Roman" w:hAnsi="Times New Roman"/>
        </w:rPr>
        <w:t xml:space="preserve"> all respondents to contact</w:t>
      </w:r>
      <w:r w:rsidR="00051724">
        <w:rPr>
          <w:rFonts w:ascii="Times New Roman" w:hAnsi="Times New Roman"/>
        </w:rPr>
        <w:t xml:space="preserve"> ONRR</w:t>
      </w:r>
      <w:r>
        <w:rPr>
          <w:rFonts w:ascii="Times New Roman" w:hAnsi="Times New Roman"/>
        </w:rPr>
        <w:t xml:space="preserve"> to better familiarize themselves with the reporting requirements. </w:t>
      </w:r>
      <w:r w:rsidR="00543CB1">
        <w:rPr>
          <w:rFonts w:ascii="Times New Roman" w:hAnsi="Times New Roman"/>
        </w:rPr>
        <w:t>ONRR</w:t>
      </w:r>
      <w:r>
        <w:rPr>
          <w:rFonts w:ascii="Times New Roman" w:hAnsi="Times New Roman"/>
        </w:rPr>
        <w:t xml:space="preserve"> also maintain</w:t>
      </w:r>
      <w:r w:rsidR="00543CB1">
        <w:rPr>
          <w:rFonts w:ascii="Times New Roman" w:hAnsi="Times New Roman"/>
        </w:rPr>
        <w:t>s</w:t>
      </w:r>
      <w:r>
        <w:rPr>
          <w:rFonts w:ascii="Times New Roman" w:hAnsi="Times New Roman"/>
        </w:rPr>
        <w:t xml:space="preserve"> ongoing contact with respondents to resolve questions as they arise. Both industry and the Federal </w:t>
      </w:r>
      <w:r w:rsidR="00AA28AC">
        <w:rPr>
          <w:rFonts w:ascii="Times New Roman" w:hAnsi="Times New Roman"/>
        </w:rPr>
        <w:t xml:space="preserve">Government </w:t>
      </w:r>
      <w:r>
        <w:rPr>
          <w:rFonts w:ascii="Times New Roman" w:hAnsi="Times New Roman"/>
        </w:rPr>
        <w:t>benefit from this exchange of information.</w:t>
      </w:r>
    </w:p>
    <w:p w:rsidR="00DB6B40" w14:paraId="14630D57" w14:textId="77777777">
      <w:pPr>
        <w:widowControl/>
        <w:rPr>
          <w:rFonts w:ascii="Times New Roman" w:hAnsi="Times New Roman"/>
        </w:rPr>
      </w:pPr>
    </w:p>
    <w:p w:rsidR="00DB6B40" w14:paraId="370383DE" w14:textId="77777777">
      <w:pPr>
        <w:widowControl/>
        <w:tabs>
          <w:tab w:val="left" w:pos="-1080"/>
          <w:tab w:val="left" w:pos="-720"/>
          <w:tab w:val="left" w:pos="360"/>
          <w:tab w:val="left" w:pos="720"/>
        </w:tabs>
        <w:rPr>
          <w:rFonts w:ascii="Times New Roman" w:hAnsi="Times New Roman"/>
        </w:rPr>
      </w:pPr>
      <w:r>
        <w:rPr>
          <w:rFonts w:ascii="Times New Roman" w:hAnsi="Times New Roman"/>
          <w:b/>
          <w:i/>
        </w:rPr>
        <w:t>6.</w:t>
      </w:r>
      <w:r>
        <w:rPr>
          <w:rFonts w:ascii="Times New Roman" w:hAnsi="Times New Roman"/>
          <w:b/>
          <w:i/>
        </w:rPr>
        <w:tab/>
        <w:t>Describe the consequence to Federal program or policy activities if the collection is not conducted or is conducted less frequently, as well as any technical or legal obstacles to reducing burden.</w:t>
      </w:r>
    </w:p>
    <w:p w:rsidR="00DB6B40" w14:paraId="1CE6BD82" w14:textId="77777777">
      <w:pPr>
        <w:rPr>
          <w:rFonts w:ascii="Times New Roman" w:hAnsi="Times New Roman"/>
        </w:rPr>
      </w:pPr>
    </w:p>
    <w:p w:rsidR="00DB6B40" w14:paraId="5B00E03E" w14:textId="77777777">
      <w:pPr>
        <w:rPr>
          <w:rFonts w:ascii="Times New Roman" w:hAnsi="Times New Roman"/>
        </w:rPr>
      </w:pPr>
      <w:r>
        <w:rPr>
          <w:rFonts w:ascii="Times New Roman" w:hAnsi="Times New Roman"/>
        </w:rPr>
        <w:t>Collecting this necessary information allows ONRR to fulfill its mission in a timely manner. In this ICR, there are no technical obstacles to reduce the burden; however, the legal obstacles are substantive.</w:t>
      </w:r>
    </w:p>
    <w:p w:rsidR="00DB6B40" w14:paraId="4BA79752" w14:textId="77777777">
      <w:pPr>
        <w:rPr>
          <w:rFonts w:ascii="Times New Roman" w:hAnsi="Times New Roman"/>
        </w:rPr>
      </w:pPr>
    </w:p>
    <w:p w:rsidR="00DB6B40" w14:paraId="7764F4BC" w14:textId="06175163">
      <w:pPr>
        <w:rPr>
          <w:rFonts w:ascii="Times New Roman" w:hAnsi="Times New Roman"/>
        </w:rPr>
      </w:pPr>
      <w:r>
        <w:rPr>
          <w:rFonts w:ascii="Times New Roman" w:hAnsi="Times New Roman"/>
        </w:rPr>
        <w:t xml:space="preserve">The information that </w:t>
      </w:r>
      <w:r w:rsidR="00543CB1">
        <w:rPr>
          <w:rFonts w:ascii="Times New Roman" w:hAnsi="Times New Roman"/>
        </w:rPr>
        <w:t>ONRR</w:t>
      </w:r>
      <w:r>
        <w:rPr>
          <w:rFonts w:ascii="Times New Roman" w:hAnsi="Times New Roman"/>
        </w:rPr>
        <w:t xml:space="preserve"> collect</w:t>
      </w:r>
      <w:r w:rsidR="00543CB1">
        <w:rPr>
          <w:rFonts w:ascii="Times New Roman" w:hAnsi="Times New Roman"/>
        </w:rPr>
        <w:t>s</w:t>
      </w:r>
      <w:r>
        <w:rPr>
          <w:rFonts w:ascii="Times New Roman" w:hAnsi="Times New Roman"/>
        </w:rPr>
        <w:t xml:space="preserve"> provides a critical link to establishing the proper value of oil and gas from Federal lands. If ONRR does not collect the valuation and allowances information, this would limit the Secretary’s ability to discharge fiduciary duties. </w:t>
      </w:r>
      <w:r w:rsidR="00543CB1">
        <w:rPr>
          <w:rFonts w:ascii="Times New Roman" w:hAnsi="Times New Roman"/>
        </w:rPr>
        <w:t>ONRR</w:t>
      </w:r>
      <w:r>
        <w:rPr>
          <w:rFonts w:ascii="Times New Roman" w:hAnsi="Times New Roman"/>
        </w:rPr>
        <w:t xml:space="preserve"> also could not accomplish</w:t>
      </w:r>
      <w:r w:rsidR="00543CB1">
        <w:rPr>
          <w:rFonts w:ascii="Times New Roman" w:hAnsi="Times New Roman"/>
        </w:rPr>
        <w:t xml:space="preserve"> its </w:t>
      </w:r>
      <w:r>
        <w:rPr>
          <w:rFonts w:ascii="Times New Roman" w:hAnsi="Times New Roman"/>
        </w:rPr>
        <w:t>mandated mission, which may result in a loss of royalties for both Federal and State governments.</w:t>
      </w:r>
    </w:p>
    <w:p w:rsidR="00DB6B40" w14:paraId="770DC93A" w14:textId="77777777">
      <w:pPr>
        <w:widowControl/>
        <w:tabs>
          <w:tab w:val="left" w:pos="-1080"/>
          <w:tab w:val="left" w:pos="-720"/>
          <w:tab w:val="left" w:pos="360"/>
          <w:tab w:val="left" w:pos="720"/>
        </w:tabs>
        <w:rPr>
          <w:rFonts w:ascii="Times New Roman" w:hAnsi="Times New Roman"/>
        </w:rPr>
      </w:pPr>
    </w:p>
    <w:p w:rsidR="00DB6B40" w14:paraId="66EDBCDD" w14:textId="77777777">
      <w:pPr>
        <w:rPr>
          <w:rFonts w:ascii="Times New Roman" w:hAnsi="Times New Roman"/>
        </w:rPr>
      </w:pPr>
      <w:r>
        <w:rPr>
          <w:rFonts w:ascii="Times New Roman" w:hAnsi="Times New Roman"/>
        </w:rPr>
        <w:t>If ONRR does not receive the information concerning marginal property relief, the lessees and its designees cannot obtain the accounting and auditing relief that RSFA section 7 offers. Wells on marginal properties may be prematurely abandoned, resulting in a permanent loss of royalty revenues to the Federal government and the State concerned, as well as a loss of production revenues to the lessee or designee.</w:t>
      </w:r>
    </w:p>
    <w:p w:rsidR="00DB6B40" w14:paraId="497361CC" w14:textId="77777777">
      <w:pPr>
        <w:widowControl/>
        <w:rPr>
          <w:rFonts w:ascii="Times New Roman" w:hAnsi="Times New Roman"/>
        </w:rPr>
      </w:pPr>
    </w:p>
    <w:p w:rsidR="00DB6B40" w14:paraId="6A7B9E15" w14:textId="77777777">
      <w:pPr>
        <w:tabs>
          <w:tab w:val="left" w:pos="-1080"/>
          <w:tab w:val="left" w:pos="-720"/>
          <w:tab w:val="left" w:pos="360"/>
          <w:tab w:val="left" w:pos="720"/>
        </w:tabs>
        <w:rPr>
          <w:rFonts w:ascii="Times New Roman" w:hAnsi="Times New Roman"/>
          <w:i/>
        </w:rPr>
      </w:pPr>
      <w:r>
        <w:rPr>
          <w:rFonts w:ascii="Times New Roman" w:hAnsi="Times New Roman"/>
          <w:b/>
          <w:i/>
        </w:rPr>
        <w:t>7.</w:t>
      </w:r>
      <w:r>
        <w:rPr>
          <w:rFonts w:ascii="Times New Roman" w:hAnsi="Times New Roman"/>
          <w:b/>
          <w:i/>
        </w:rPr>
        <w:tab/>
        <w:t>Explain any special circumstances that would cause an information collection to be conducted in a manner:</w:t>
      </w:r>
    </w:p>
    <w:p w:rsidR="00DB6B40" w14:paraId="236C76B4" w14:textId="77777777">
      <w:pPr>
        <w:tabs>
          <w:tab w:val="left" w:pos="-1080"/>
          <w:tab w:val="left" w:pos="-720"/>
          <w:tab w:val="left" w:pos="360"/>
          <w:tab w:val="left" w:pos="720"/>
        </w:tabs>
        <w:rPr>
          <w:rFonts w:ascii="Times New Roman" w:hAnsi="Times New Roman"/>
        </w:rPr>
      </w:pPr>
    </w:p>
    <w:p w:rsidR="00DB6B40" w14:paraId="1312A086" w14:textId="77777777">
      <w:pPr>
        <w:numPr>
          <w:ilvl w:val="0"/>
          <w:numId w:val="22"/>
        </w:numPr>
        <w:tabs>
          <w:tab w:val="left" w:pos="-1080"/>
          <w:tab w:val="left" w:pos="-720"/>
        </w:tabs>
        <w:rPr>
          <w:rFonts w:ascii="Times New Roman" w:hAnsi="Times New Roman"/>
          <w:b/>
        </w:rPr>
      </w:pPr>
      <w:r>
        <w:rPr>
          <w:rFonts w:ascii="Times New Roman" w:hAnsi="Times New Roman"/>
          <w:b/>
          <w:i/>
        </w:rPr>
        <w:t>requiring respondents to report information to the agency more often than quarterly.</w:t>
      </w:r>
    </w:p>
    <w:p w:rsidR="00DB6B40" w14:paraId="4CA4F2F2" w14:textId="77777777">
      <w:pPr>
        <w:widowControl/>
        <w:tabs>
          <w:tab w:val="left" w:pos="-1080"/>
          <w:tab w:val="left" w:pos="-720"/>
          <w:tab w:val="left" w:pos="360"/>
          <w:tab w:val="left" w:pos="720"/>
        </w:tabs>
        <w:rPr>
          <w:rFonts w:ascii="Times New Roman" w:hAnsi="Times New Roman"/>
          <w:szCs w:val="24"/>
        </w:rPr>
      </w:pPr>
    </w:p>
    <w:p w:rsidR="00DB6B40" w14:paraId="6F090594" w14:textId="3230B162">
      <w:pPr>
        <w:widowControl/>
        <w:tabs>
          <w:tab w:val="left" w:pos="-1080"/>
          <w:tab w:val="left" w:pos="-720"/>
          <w:tab w:val="left" w:pos="360"/>
          <w:tab w:val="left" w:pos="720"/>
        </w:tabs>
        <w:rPr>
          <w:rFonts w:ascii="Times New Roman" w:hAnsi="Times New Roman"/>
          <w:szCs w:val="24"/>
        </w:rPr>
      </w:pPr>
      <w:r w:rsidRPr="00450454">
        <w:rPr>
          <w:rFonts w:ascii="Times New Roman" w:hAnsi="Times New Roman"/>
          <w:szCs w:val="24"/>
        </w:rPr>
        <w:t xml:space="preserve">This item is not applicable in this information collection because the lessees will notify </w:t>
      </w:r>
      <w:r w:rsidRPr="00450454">
        <w:rPr>
          <w:rFonts w:ascii="Times New Roman" w:hAnsi="Times New Roman"/>
        </w:rPr>
        <w:t>ONRR</w:t>
      </w:r>
      <w:r w:rsidRPr="00450454">
        <w:rPr>
          <w:rFonts w:ascii="Times New Roman" w:hAnsi="Times New Roman"/>
          <w:szCs w:val="24"/>
        </w:rPr>
        <w:t xml:space="preserve"> occasionally and when needed, concerning </w:t>
      </w:r>
      <w:r w:rsidR="00450454">
        <w:rPr>
          <w:rFonts w:ascii="Times New Roman" w:hAnsi="Times New Roman"/>
          <w:szCs w:val="24"/>
        </w:rPr>
        <w:t xml:space="preserve">transportation </w:t>
      </w:r>
      <w:r w:rsidRPr="00450454">
        <w:rPr>
          <w:rFonts w:ascii="Times New Roman" w:hAnsi="Times New Roman"/>
          <w:szCs w:val="24"/>
        </w:rPr>
        <w:t>allowance</w:t>
      </w:r>
      <w:r w:rsidR="00450454">
        <w:rPr>
          <w:rFonts w:ascii="Times New Roman" w:hAnsi="Times New Roman"/>
          <w:szCs w:val="24"/>
        </w:rPr>
        <w:t>s</w:t>
      </w:r>
      <w:r w:rsidRPr="00450454">
        <w:rPr>
          <w:rFonts w:ascii="Times New Roman" w:hAnsi="Times New Roman"/>
          <w:szCs w:val="24"/>
        </w:rPr>
        <w:t xml:space="preserve"> </w:t>
      </w:r>
      <w:r w:rsidRPr="00450454" w:rsidR="00450454">
        <w:rPr>
          <w:rFonts w:ascii="Times New Roman" w:hAnsi="Times New Roman"/>
          <w:szCs w:val="24"/>
        </w:rPr>
        <w:t>and a depreciation schedule proposal.</w:t>
      </w:r>
    </w:p>
    <w:p w:rsidR="00DB6B40" w14:paraId="4827EC89" w14:textId="77777777">
      <w:pPr>
        <w:widowControl/>
        <w:tabs>
          <w:tab w:val="left" w:pos="-1080"/>
          <w:tab w:val="left" w:pos="-720"/>
          <w:tab w:val="left" w:pos="360"/>
          <w:tab w:val="left" w:pos="720"/>
        </w:tabs>
        <w:rPr>
          <w:rFonts w:ascii="Times New Roman" w:hAnsi="Times New Roman"/>
          <w:b/>
        </w:rPr>
      </w:pPr>
    </w:p>
    <w:p w:rsidR="00DB6B40" w14:paraId="3EAA21A8" w14:textId="77777777">
      <w:pPr>
        <w:widowControl/>
        <w:numPr>
          <w:ilvl w:val="0"/>
          <w:numId w:val="22"/>
        </w:numPr>
        <w:tabs>
          <w:tab w:val="left" w:pos="-1080"/>
          <w:tab w:val="left" w:pos="-720"/>
        </w:tabs>
        <w:rPr>
          <w:rFonts w:ascii="Times New Roman" w:hAnsi="Times New Roman"/>
          <w:b/>
          <w:i/>
        </w:rPr>
      </w:pPr>
      <w:r>
        <w:rPr>
          <w:rFonts w:ascii="Times New Roman" w:hAnsi="Times New Roman"/>
          <w:b/>
          <w:i/>
        </w:rPr>
        <w:t>requiring respondents to prepare a written response to a collection of information in fewer than 30 days after receipt of it.</w:t>
      </w:r>
    </w:p>
    <w:p w:rsidR="00DB6B40" w14:paraId="1FD9F45D" w14:textId="77777777">
      <w:pPr>
        <w:widowControl/>
        <w:tabs>
          <w:tab w:val="left" w:pos="-1080"/>
          <w:tab w:val="left" w:pos="-720"/>
          <w:tab w:val="left" w:pos="360"/>
          <w:tab w:val="left" w:pos="720"/>
        </w:tabs>
        <w:rPr>
          <w:rFonts w:ascii="Times New Roman" w:hAnsi="Times New Roman"/>
          <w:b/>
          <w:i/>
        </w:rPr>
      </w:pPr>
    </w:p>
    <w:p w:rsidR="00096313" w:rsidP="00096313" w14:paraId="7B27092C" w14:textId="1087C9B7">
      <w:pPr>
        <w:tabs>
          <w:tab w:val="left" w:pos="-1080"/>
          <w:tab w:val="left" w:pos="-720"/>
          <w:tab w:val="left" w:pos="360"/>
          <w:tab w:val="left" w:pos="720"/>
        </w:tabs>
        <w:rPr>
          <w:rFonts w:ascii="Times New Roman" w:hAnsi="Times New Roman"/>
        </w:rPr>
      </w:pPr>
      <w:r>
        <w:rPr>
          <w:rFonts w:ascii="Times New Roman" w:hAnsi="Times New Roman"/>
        </w:rPr>
        <w:t xml:space="preserve">There are no special circumstances with respect to 5 CFR </w:t>
      </w:r>
      <w:r w:rsidRPr="00450454">
        <w:rPr>
          <w:rFonts w:ascii="Times New Roman" w:hAnsi="Times New Roman"/>
        </w:rPr>
        <w:t>1320.5(d)(2)(ii).</w:t>
      </w:r>
    </w:p>
    <w:p w:rsidR="00DB6B40" w14:paraId="604E9A98" w14:textId="77777777">
      <w:pPr>
        <w:widowControl/>
        <w:tabs>
          <w:tab w:val="left" w:pos="-1080"/>
          <w:tab w:val="left" w:pos="-720"/>
          <w:tab w:val="left" w:pos="360"/>
          <w:tab w:val="left" w:pos="720"/>
        </w:tabs>
        <w:rPr>
          <w:rFonts w:ascii="Times New Roman" w:hAnsi="Times New Roman"/>
        </w:rPr>
      </w:pPr>
    </w:p>
    <w:p w:rsidR="00DB6B40" w14:paraId="428DACFC" w14:textId="77777777">
      <w:pPr>
        <w:keepNext/>
        <w:keepLines/>
        <w:widowControl/>
        <w:numPr>
          <w:ilvl w:val="0"/>
          <w:numId w:val="22"/>
        </w:numPr>
        <w:tabs>
          <w:tab w:val="left" w:pos="-1080"/>
          <w:tab w:val="left" w:pos="-720"/>
          <w:tab w:val="left" w:pos="720"/>
        </w:tabs>
        <w:rPr>
          <w:rFonts w:ascii="Times New Roman" w:hAnsi="Times New Roman"/>
          <w:b/>
          <w:i/>
        </w:rPr>
      </w:pPr>
      <w:r>
        <w:rPr>
          <w:rFonts w:ascii="Times New Roman" w:hAnsi="Times New Roman"/>
          <w:b/>
          <w:i/>
        </w:rPr>
        <w:t>requiring respondents to submit more than an original and two copies of any document.</w:t>
      </w:r>
    </w:p>
    <w:p w:rsidR="00DB6B40" w14:paraId="50320B60" w14:textId="77777777">
      <w:pPr>
        <w:tabs>
          <w:tab w:val="left" w:pos="-1080"/>
          <w:tab w:val="left" w:pos="-720"/>
          <w:tab w:val="left" w:pos="360"/>
          <w:tab w:val="left" w:pos="720"/>
        </w:tabs>
        <w:rPr>
          <w:rFonts w:ascii="Times New Roman" w:hAnsi="Times New Roman"/>
          <w:b/>
          <w:i/>
        </w:rPr>
      </w:pPr>
    </w:p>
    <w:p w:rsidR="00DB6B40" w14:paraId="2AEB34D2" w14:textId="77777777">
      <w:pPr>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1320.5(d)(2)(iii).</w:t>
      </w:r>
    </w:p>
    <w:p w:rsidR="00DB6B40" w14:paraId="1C56390E" w14:textId="77777777">
      <w:pPr>
        <w:widowControl/>
        <w:tabs>
          <w:tab w:val="left" w:pos="-1080"/>
          <w:tab w:val="left" w:pos="-720"/>
          <w:tab w:val="left" w:pos="360"/>
          <w:tab w:val="left" w:pos="720"/>
        </w:tabs>
        <w:rPr>
          <w:rFonts w:ascii="Times New Roman" w:hAnsi="Times New Roman"/>
        </w:rPr>
      </w:pPr>
    </w:p>
    <w:p w:rsidR="00DB6B40" w14:paraId="32D77C9E" w14:textId="77777777">
      <w:pPr>
        <w:widowControl/>
        <w:numPr>
          <w:ilvl w:val="0"/>
          <w:numId w:val="22"/>
        </w:numPr>
        <w:tabs>
          <w:tab w:val="left" w:pos="720"/>
        </w:tabs>
        <w:rPr>
          <w:rFonts w:ascii="Times New Roman" w:hAnsi="Times New Roman"/>
          <w:b/>
          <w:i/>
        </w:rPr>
      </w:pPr>
      <w:r>
        <w:rPr>
          <w:rFonts w:ascii="Times New Roman" w:hAnsi="Times New Roman"/>
          <w:b/>
          <w:i/>
        </w:rPr>
        <w:t>requiring respondents to retain records, other than health, medical, government contract, grant-in-aid, or tax records, for more than three years.</w:t>
      </w:r>
    </w:p>
    <w:p w:rsidR="00DB6B40" w14:paraId="0FD48B86" w14:textId="77777777">
      <w:pPr>
        <w:widowControl/>
        <w:tabs>
          <w:tab w:val="left" w:pos="-1080"/>
          <w:tab w:val="left" w:pos="-720"/>
          <w:tab w:val="left" w:pos="360"/>
          <w:tab w:val="left" w:pos="720"/>
        </w:tabs>
        <w:rPr>
          <w:rFonts w:ascii="Times New Roman" w:hAnsi="Times New Roman"/>
        </w:rPr>
      </w:pPr>
    </w:p>
    <w:p w:rsidR="00DB6B40" w14:paraId="67F94A27" w14:textId="77777777">
      <w:pPr>
        <w:widowControl/>
        <w:rPr>
          <w:rFonts w:ascii="Times New Roman" w:hAnsi="Times New Roman"/>
        </w:rPr>
      </w:pPr>
      <w:r>
        <w:rPr>
          <w:rFonts w:ascii="Times New Roman" w:hAnsi="Times New Roman"/>
        </w:rPr>
        <w:t>RSFA section 4(f) requires that Federal oil and gas lessees maintain records for seven years after the obligation becomes due.</w:t>
      </w:r>
    </w:p>
    <w:p w:rsidR="00DB6B40" w14:paraId="619E9607" w14:textId="77777777">
      <w:pPr>
        <w:widowControl/>
        <w:tabs>
          <w:tab w:val="left" w:pos="-1080"/>
          <w:tab w:val="left" w:pos="-720"/>
          <w:tab w:val="left" w:pos="360"/>
          <w:tab w:val="left" w:pos="720"/>
        </w:tabs>
        <w:rPr>
          <w:rFonts w:ascii="Times New Roman" w:hAnsi="Times New Roman"/>
          <w:b/>
          <w:i/>
        </w:rPr>
      </w:pPr>
    </w:p>
    <w:p w:rsidR="00DB6B40" w14:paraId="1BEE7EE9" w14:textId="77777777">
      <w:pPr>
        <w:widowControl/>
        <w:numPr>
          <w:ilvl w:val="0"/>
          <w:numId w:val="22"/>
        </w:numPr>
        <w:tabs>
          <w:tab w:val="left" w:pos="-1080"/>
          <w:tab w:val="left" w:pos="-720"/>
          <w:tab w:val="left" w:pos="720"/>
        </w:tabs>
        <w:rPr>
          <w:rFonts w:ascii="Times New Roman" w:hAnsi="Times New Roman"/>
          <w:b/>
          <w:i/>
        </w:rPr>
      </w:pPr>
      <w:r>
        <w:rPr>
          <w:rFonts w:ascii="Times New Roman" w:hAnsi="Times New Roman"/>
          <w:b/>
          <w:i/>
        </w:rPr>
        <w:t>in connection with a statistical survey, that is not designed to produce valid and reliable results that can be generalized to the universe of study.</w:t>
      </w:r>
    </w:p>
    <w:p w:rsidR="00DB6B40" w14:paraId="2787677E" w14:textId="77777777">
      <w:pPr>
        <w:widowControl/>
        <w:tabs>
          <w:tab w:val="left" w:pos="-1080"/>
          <w:tab w:val="left" w:pos="-720"/>
          <w:tab w:val="left" w:pos="360"/>
          <w:tab w:val="left" w:pos="720"/>
        </w:tabs>
        <w:rPr>
          <w:rFonts w:ascii="Times New Roman" w:hAnsi="Times New Roman"/>
          <w:b/>
          <w:i/>
        </w:rPr>
      </w:pPr>
    </w:p>
    <w:p w:rsidR="00DB6B40" w14:paraId="109A251E" w14:textId="77777777">
      <w:pPr>
        <w:widowControl/>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w:t>
      </w:r>
    </w:p>
    <w:p w:rsidR="00DB6B40" w14:paraId="048EA94C" w14:textId="77777777">
      <w:pPr>
        <w:widowControl/>
        <w:tabs>
          <w:tab w:val="left" w:pos="-1080"/>
          <w:tab w:val="left" w:pos="-720"/>
          <w:tab w:val="left" w:pos="360"/>
          <w:tab w:val="left" w:pos="720"/>
        </w:tabs>
        <w:rPr>
          <w:rFonts w:ascii="Times New Roman" w:hAnsi="Times New Roman"/>
          <w:b/>
        </w:rPr>
      </w:pPr>
    </w:p>
    <w:p w:rsidR="00DB6B40" w14:paraId="70018154" w14:textId="77777777">
      <w:pPr>
        <w:widowControl/>
        <w:numPr>
          <w:ilvl w:val="0"/>
          <w:numId w:val="22"/>
        </w:numPr>
        <w:tabs>
          <w:tab w:val="left" w:pos="-1080"/>
          <w:tab w:val="left" w:pos="-720"/>
          <w:tab w:val="left" w:pos="720"/>
        </w:tabs>
        <w:rPr>
          <w:rFonts w:ascii="Times New Roman" w:hAnsi="Times New Roman"/>
          <w:b/>
          <w:i/>
        </w:rPr>
      </w:pPr>
      <w:r>
        <w:rPr>
          <w:rFonts w:ascii="Times New Roman" w:hAnsi="Times New Roman"/>
          <w:b/>
          <w:i/>
        </w:rPr>
        <w:t>requiring the use of statistical data classification that OMB has not reviewed and approved.</w:t>
      </w:r>
    </w:p>
    <w:p w:rsidR="00DB6B40" w14:paraId="04CB609D" w14:textId="77777777">
      <w:pPr>
        <w:widowControl/>
        <w:tabs>
          <w:tab w:val="left" w:pos="-1080"/>
          <w:tab w:val="left" w:pos="-720"/>
          <w:tab w:val="left" w:pos="360"/>
          <w:tab w:val="left" w:pos="720"/>
        </w:tabs>
        <w:rPr>
          <w:rFonts w:ascii="Times New Roman" w:hAnsi="Times New Roman"/>
          <w:b/>
          <w:i/>
        </w:rPr>
      </w:pPr>
    </w:p>
    <w:p w:rsidR="00DB6B40" w14:paraId="09462C7F" w14:textId="77777777">
      <w:pPr>
        <w:widowControl/>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1320.5(d)(2)(vi) as this information collection is not a statistical survey and does not use statistical data classification.</w:t>
      </w:r>
    </w:p>
    <w:p w:rsidR="00DB6B40" w14:paraId="6425C639" w14:textId="77777777">
      <w:pPr>
        <w:widowControl/>
        <w:tabs>
          <w:tab w:val="left" w:pos="-1080"/>
          <w:tab w:val="left" w:pos="-720"/>
          <w:tab w:val="left" w:pos="360"/>
          <w:tab w:val="left" w:pos="720"/>
        </w:tabs>
        <w:rPr>
          <w:rFonts w:ascii="Times New Roman" w:hAnsi="Times New Roman"/>
          <w:b/>
        </w:rPr>
      </w:pPr>
    </w:p>
    <w:p w:rsidR="00DB6B40" w14:paraId="18325A7E" w14:textId="77777777">
      <w:pPr>
        <w:numPr>
          <w:ilvl w:val="0"/>
          <w:numId w:val="22"/>
        </w:numPr>
        <w:tabs>
          <w:tab w:val="left" w:pos="-1080"/>
          <w:tab w:val="left" w:pos="-720"/>
          <w:tab w:val="left" w:pos="720"/>
        </w:tabs>
        <w:rPr>
          <w:rFonts w:ascii="Times New Roman" w:hAnsi="Times New Roman"/>
          <w:b/>
          <w:i/>
        </w:rPr>
      </w:pPr>
      <w:r>
        <w:rPr>
          <w:rFonts w:ascii="Times New Roman" w:hAnsi="Times New Roman"/>
          <w:b/>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B6B40" w14:paraId="5EC648D2" w14:textId="77777777">
      <w:pPr>
        <w:tabs>
          <w:tab w:val="left" w:pos="-1080"/>
          <w:tab w:val="left" w:pos="-720"/>
          <w:tab w:val="left" w:pos="360"/>
          <w:tab w:val="left" w:pos="720"/>
        </w:tabs>
        <w:rPr>
          <w:rFonts w:ascii="Times New Roman" w:hAnsi="Times New Roman"/>
          <w:b/>
          <w:i/>
        </w:rPr>
      </w:pPr>
    </w:p>
    <w:p w:rsidR="00DB6B40" w14:paraId="77E49134" w14:textId="77777777">
      <w:pPr>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1320.5(d)(2)(vii) as this information collection does not include a pledge of confidentiality not supported by statute or regulation.</w:t>
      </w:r>
    </w:p>
    <w:p w:rsidR="00DB6B40" w14:paraId="16A36DD5" w14:textId="77777777">
      <w:pPr>
        <w:tabs>
          <w:tab w:val="left" w:pos="-1080"/>
          <w:tab w:val="left" w:pos="-720"/>
          <w:tab w:val="left" w:pos="360"/>
          <w:tab w:val="left" w:pos="720"/>
        </w:tabs>
        <w:rPr>
          <w:rFonts w:ascii="Times New Roman" w:hAnsi="Times New Roman"/>
        </w:rPr>
      </w:pPr>
    </w:p>
    <w:p w:rsidR="00DB6B40" w14:paraId="16B93443" w14:textId="77777777">
      <w:pPr>
        <w:numPr>
          <w:ilvl w:val="0"/>
          <w:numId w:val="22"/>
        </w:numPr>
        <w:tabs>
          <w:tab w:val="left" w:pos="-1080"/>
          <w:tab w:val="left" w:pos="-720"/>
          <w:tab w:val="left" w:pos="720"/>
        </w:tabs>
        <w:rPr>
          <w:rFonts w:ascii="Times New Roman" w:hAnsi="Times New Roman"/>
          <w:b/>
          <w:i/>
        </w:rPr>
      </w:pPr>
      <w:r>
        <w:rPr>
          <w:rFonts w:ascii="Times New Roman" w:hAnsi="Times New Roman"/>
          <w:b/>
          <w:i/>
        </w:rPr>
        <w:t>requiring respondents to submit proprietary trade secrets, or other confidential information, unless the agency can demonstrate that it has instituted procedures to protect the information’s confidentiality to the extent permitted by law.</w:t>
      </w:r>
    </w:p>
    <w:p w:rsidR="00DB6B40" w14:paraId="5A16A470" w14:textId="77777777">
      <w:pPr>
        <w:tabs>
          <w:tab w:val="left" w:pos="-1080"/>
          <w:tab w:val="left" w:pos="-720"/>
          <w:tab w:val="left" w:pos="360"/>
          <w:tab w:val="left" w:pos="720"/>
        </w:tabs>
        <w:rPr>
          <w:rFonts w:ascii="Times New Roman" w:hAnsi="Times New Roman"/>
          <w:b/>
          <w:i/>
        </w:rPr>
      </w:pPr>
    </w:p>
    <w:p w:rsidR="00DB6B40" w14:paraId="31AF3C13" w14:textId="279C5782">
      <w:pPr>
        <w:widowControl/>
        <w:tabs>
          <w:tab w:val="left" w:pos="-1080"/>
          <w:tab w:val="left" w:pos="-720"/>
          <w:tab w:val="left" w:pos="360"/>
          <w:tab w:val="left" w:pos="720"/>
        </w:tabs>
        <w:rPr>
          <w:rFonts w:ascii="Times New Roman" w:hAnsi="Times New Roman"/>
        </w:rPr>
      </w:pPr>
      <w:r>
        <w:rPr>
          <w:rFonts w:ascii="Times New Roman" w:hAnsi="Times New Roman"/>
        </w:rPr>
        <w:t xml:space="preserve">There are no special circumstances with respect to 5 CFR 1320.5(d)(2)(viii) as this information collection does not require proprietary, trade secret, or other confidential information not protected by agency procedures. Standard agency procedures provide strict security measures to control the use and storage of, and access to, such information. </w:t>
      </w:r>
      <w:r w:rsidR="00543CB1">
        <w:rPr>
          <w:rFonts w:ascii="Times New Roman" w:hAnsi="Times New Roman"/>
        </w:rPr>
        <w:t>ONRR</w:t>
      </w:r>
      <w:r>
        <w:rPr>
          <w:rFonts w:ascii="Times New Roman" w:hAnsi="Times New Roman"/>
        </w:rPr>
        <w:t xml:space="preserve"> protect</w:t>
      </w:r>
      <w:r w:rsidR="00543CB1">
        <w:rPr>
          <w:rFonts w:ascii="Times New Roman" w:hAnsi="Times New Roman"/>
        </w:rPr>
        <w:t>s</w:t>
      </w:r>
      <w:r>
        <w:rPr>
          <w:rFonts w:ascii="Times New Roman" w:hAnsi="Times New Roman"/>
        </w:rPr>
        <w:t xml:space="preserve"> this information collected under the standards identified in Item 10 below.</w:t>
      </w:r>
    </w:p>
    <w:p w:rsidR="00DB6B40" w14:paraId="2AA06125" w14:textId="77777777">
      <w:pPr>
        <w:widowControl/>
        <w:tabs>
          <w:tab w:val="left" w:pos="360"/>
          <w:tab w:val="left" w:pos="720"/>
          <w:tab w:val="left" w:pos="1080"/>
        </w:tabs>
        <w:rPr>
          <w:rFonts w:ascii="Times New Roman" w:hAnsi="Times New Roman"/>
          <w:b/>
          <w:i/>
        </w:rPr>
      </w:pPr>
    </w:p>
    <w:p w:rsidR="00DB6B40" w14:paraId="65BBA3C7" w14:textId="77777777">
      <w:pPr>
        <w:keepNext/>
        <w:keepLines/>
        <w:widowControl/>
        <w:tabs>
          <w:tab w:val="left" w:pos="360"/>
          <w:tab w:val="left" w:pos="720"/>
          <w:tab w:val="left" w:pos="1080"/>
        </w:tabs>
        <w:rPr>
          <w:rFonts w:ascii="Times New Roman" w:hAnsi="Times New Roman"/>
          <w:b/>
          <w:i/>
        </w:rPr>
      </w:pPr>
      <w:r>
        <w:rPr>
          <w:rFonts w:ascii="Times New Roman" w:hAnsi="Times New Roman"/>
          <w:b/>
          <w:i/>
        </w:rPr>
        <w:t>8.</w:t>
      </w:r>
      <w:r>
        <w:rPr>
          <w:rFonts w:ascii="Times New Roman" w:hAnsi="Times New Roman"/>
          <w:b/>
          <w:i/>
        </w:rPr>
        <w:tab/>
        <w:t xml:space="preserve">If applicable, provide a copy and identify the date and page number of publication in the </w:t>
      </w:r>
      <w:r>
        <w:rPr>
          <w:rFonts w:ascii="Times New Roman" w:hAnsi="Times New Roman"/>
          <w:b/>
          <w:i/>
          <w:smallCaps/>
        </w:rPr>
        <w:t>Federal Register</w:t>
      </w:r>
      <w:r>
        <w:rPr>
          <w:rFonts w:ascii="Times New Roman" w:hAnsi="Times New Roman"/>
          <w:b/>
          <w:i/>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the agency’s actions taken in response to these comments. Specifically, address comments received on cost and hour burden.</w:t>
      </w:r>
    </w:p>
    <w:p w:rsidR="00DB6B40" w14:paraId="6A86F33D" w14:textId="77777777">
      <w:pPr>
        <w:widowControl/>
        <w:tabs>
          <w:tab w:val="left" w:pos="360"/>
          <w:tab w:val="left" w:pos="720"/>
          <w:tab w:val="left" w:pos="1080"/>
        </w:tabs>
        <w:rPr>
          <w:rFonts w:ascii="Times New Roman" w:hAnsi="Times New Roman"/>
          <w:b/>
        </w:rPr>
      </w:pPr>
    </w:p>
    <w:p w:rsidR="00DB6B40" w14:paraId="562E6538" w14:textId="77777777">
      <w:pPr>
        <w:widowControl/>
        <w:tabs>
          <w:tab w:val="left" w:pos="360"/>
          <w:tab w:val="left" w:pos="720"/>
          <w:tab w:val="left" w:pos="1080"/>
        </w:tabs>
        <w:rPr>
          <w:rFonts w:ascii="Times New Roman" w:hAnsi="Times New Roman"/>
          <w:b/>
          <w:i/>
        </w:rPr>
      </w:pPr>
      <w:r>
        <w:rPr>
          <w:rFonts w:ascii="Times New Roman" w:hAnsi="Times New Roman"/>
          <w:b/>
          <w:i/>
        </w:rPr>
        <w:t xml:space="preserve">Describe efforts to consult with persons outside the agency to obtain their views on the availability of data, frequency of collection, the clarity of instructions and </w:t>
      </w:r>
      <w:r>
        <w:rPr>
          <w:rFonts w:ascii="Times New Roman" w:hAnsi="Times New Roman"/>
          <w:b/>
          <w:i/>
        </w:rPr>
        <w:t>recordkeeping, disclosure, or reporting format (if any), and on the data elements to be recorded, disclosed, or reported. [Please list the names, titles, addresses, and phone numbers of persons of persons contacted.]</w:t>
      </w:r>
    </w:p>
    <w:p w:rsidR="00DB6B40" w14:paraId="4CEDEB10" w14:textId="77777777">
      <w:pPr>
        <w:widowControl/>
        <w:tabs>
          <w:tab w:val="left" w:pos="360"/>
          <w:tab w:val="left" w:pos="720"/>
          <w:tab w:val="left" w:pos="1080"/>
        </w:tabs>
        <w:rPr>
          <w:rFonts w:ascii="Times New Roman" w:hAnsi="Times New Roman"/>
          <w:b/>
          <w:i/>
        </w:rPr>
      </w:pPr>
    </w:p>
    <w:p w:rsidR="00DB6B40" w14:paraId="5E5F96DC" w14:textId="77777777">
      <w:pPr>
        <w:widowControl/>
        <w:tabs>
          <w:tab w:val="left" w:pos="360"/>
          <w:tab w:val="left" w:pos="720"/>
          <w:tab w:val="left" w:pos="1080"/>
        </w:tabs>
        <w:rPr>
          <w:rFonts w:ascii="Times New Roman" w:hAnsi="Times New Roman"/>
          <w:b/>
          <w:i/>
        </w:rPr>
      </w:pPr>
      <w:r>
        <w:rPr>
          <w:rFonts w:ascii="Times New Roman" w:hAnsi="Times New Roman"/>
          <w:b/>
          <w:i/>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36572F" w14:paraId="6EBF2C4C" w14:textId="77777777">
      <w:pPr>
        <w:widowControl/>
        <w:tabs>
          <w:tab w:val="left" w:pos="360"/>
          <w:tab w:val="left" w:pos="720"/>
          <w:tab w:val="left" w:pos="1080"/>
        </w:tabs>
        <w:rPr>
          <w:rFonts w:ascii="Times New Roman" w:hAnsi="Times New Roman"/>
          <w:b/>
          <w:i/>
        </w:rPr>
      </w:pPr>
    </w:p>
    <w:p w:rsidR="0036572F" w:rsidRPr="0036572F" w:rsidP="0036572F" w14:paraId="27333BE2" w14:textId="77777777">
      <w:pPr>
        <w:widowControl/>
        <w:tabs>
          <w:tab w:val="left" w:pos="360"/>
          <w:tab w:val="left" w:pos="720"/>
          <w:tab w:val="left" w:pos="1080"/>
        </w:tabs>
        <w:rPr>
          <w:rFonts w:ascii="Times New Roman" w:hAnsi="Times New Roman"/>
          <w:bCs/>
        </w:rPr>
      </w:pPr>
      <w:r w:rsidRPr="0036572F">
        <w:rPr>
          <w:rFonts w:ascii="Times New Roman" w:hAnsi="Times New Roman"/>
          <w:bCs/>
        </w:rPr>
        <w:t xml:space="preserve">ONRR prepared proposed regulations (RIN 1012-AA39) that solicit the necessary information to implement the proposed changes to the information collection requirements as described in Question 2 of this supporting statement for a period of 60 days. ONRR uploaded a copy of the proposed rule to the ICR in ROCIS as a supplementary document. </w:t>
      </w:r>
    </w:p>
    <w:p w:rsidR="00DB6B40" w14:paraId="0312E44E" w14:textId="77777777">
      <w:pPr>
        <w:widowControl/>
        <w:tabs>
          <w:tab w:val="left" w:pos="-1080"/>
          <w:tab w:val="left" w:pos="-720"/>
          <w:tab w:val="left" w:pos="360"/>
          <w:tab w:val="left" w:pos="720"/>
        </w:tabs>
        <w:rPr>
          <w:rFonts w:ascii="Times New Roman" w:hAnsi="Times New Roman"/>
        </w:rPr>
      </w:pPr>
    </w:p>
    <w:p w:rsidR="00DB6B40" w14:paraId="06CD25D5" w14:textId="77777777">
      <w:pPr>
        <w:widowControl/>
        <w:tabs>
          <w:tab w:val="left" w:pos="-1080"/>
          <w:tab w:val="left" w:pos="-720"/>
          <w:tab w:val="left" w:pos="360"/>
          <w:tab w:val="left" w:pos="720"/>
        </w:tabs>
        <w:rPr>
          <w:rFonts w:ascii="Times New Roman" w:hAnsi="Times New Roman"/>
        </w:rPr>
      </w:pPr>
      <w:r>
        <w:rPr>
          <w:rFonts w:ascii="Times New Roman" w:hAnsi="Times New Roman"/>
          <w:b/>
          <w:i/>
        </w:rPr>
        <w:t>9.</w:t>
      </w:r>
      <w:r>
        <w:rPr>
          <w:rFonts w:ascii="Times New Roman" w:hAnsi="Times New Roman"/>
          <w:b/>
          <w:i/>
        </w:rPr>
        <w:tab/>
        <w:t>Explain any decision to provide any payment or gift to respondents, other than remuneration of contractors or grantees.</w:t>
      </w:r>
    </w:p>
    <w:p w:rsidR="00DB6B40" w14:paraId="07311747" w14:textId="77777777">
      <w:pPr>
        <w:widowControl/>
        <w:tabs>
          <w:tab w:val="left" w:pos="-1080"/>
          <w:tab w:val="left" w:pos="-720"/>
          <w:tab w:val="left" w:pos="360"/>
          <w:tab w:val="left" w:pos="720"/>
        </w:tabs>
        <w:rPr>
          <w:rFonts w:ascii="Times New Roman" w:hAnsi="Times New Roman"/>
        </w:rPr>
      </w:pPr>
    </w:p>
    <w:p w:rsidR="00DB6B40" w14:paraId="0156C06D" w14:textId="7F5A831D">
      <w:pPr>
        <w:widowControl/>
        <w:tabs>
          <w:tab w:val="left" w:pos="-1080"/>
          <w:tab w:val="left" w:pos="-720"/>
          <w:tab w:val="left" w:pos="360"/>
          <w:tab w:val="left" w:pos="720"/>
        </w:tabs>
        <w:rPr>
          <w:rFonts w:ascii="Times New Roman" w:hAnsi="Times New Roman"/>
        </w:rPr>
      </w:pPr>
      <w:r>
        <w:rPr>
          <w:rFonts w:ascii="Times New Roman" w:hAnsi="Times New Roman"/>
        </w:rPr>
        <w:t>ONRR will not provide any payment or gift to respondents in this collection.</w:t>
      </w:r>
    </w:p>
    <w:p w:rsidR="00B65901" w14:paraId="4E64EFBD" w14:textId="77777777">
      <w:pPr>
        <w:widowControl/>
        <w:tabs>
          <w:tab w:val="left" w:pos="-1080"/>
          <w:tab w:val="left" w:pos="-720"/>
          <w:tab w:val="left" w:pos="360"/>
          <w:tab w:val="left" w:pos="720"/>
        </w:tabs>
        <w:rPr>
          <w:rFonts w:ascii="Times New Roman" w:hAnsi="Times New Roman"/>
        </w:rPr>
      </w:pPr>
    </w:p>
    <w:p w:rsidR="00DB6B40" w14:paraId="1B31D627"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10.</w:t>
      </w:r>
      <w:r>
        <w:rPr>
          <w:rFonts w:ascii="Times New Roman" w:hAnsi="Times New Roman"/>
          <w:b/>
          <w:i/>
        </w:rPr>
        <w:tab/>
        <w:t>Describe any assurance of confidentiality provided to respondents and the basis for the assurance in statute, regulation, or agency policy.</w:t>
      </w:r>
    </w:p>
    <w:p w:rsidR="00DB6B40" w14:paraId="61F156D4" w14:textId="77777777">
      <w:pPr>
        <w:widowControl/>
        <w:tabs>
          <w:tab w:val="left" w:pos="-1080"/>
          <w:tab w:val="left" w:pos="-720"/>
          <w:tab w:val="left" w:pos="360"/>
          <w:tab w:val="left" w:pos="810"/>
        </w:tabs>
        <w:rPr>
          <w:rFonts w:ascii="Times New Roman" w:hAnsi="Times New Roman"/>
        </w:rPr>
      </w:pPr>
    </w:p>
    <w:p w:rsidR="00DB6B40" w14:paraId="029CF9DB"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Companies may provide proprietary commercial or financial information, relating to minerals that they removed from Federal and Indian leases, to ONRR. The FOGRMA, as amended (30 U.S.C. 1701 </w:t>
      </w:r>
      <w:r>
        <w:rPr>
          <w:rFonts w:ascii="Times New Roman" w:hAnsi="Times New Roman"/>
          <w:i/>
        </w:rPr>
        <w:t>et seq</w:t>
      </w:r>
      <w:r>
        <w:rPr>
          <w:rFonts w:ascii="Times New Roman" w:hAnsi="Times New Roman"/>
        </w:rPr>
        <w:t>), the Freedom of Information Act (5 U.S.C. 552 (b)(4)) and its implementing regulations establish standards to protect trade secrets and other proprietary information. ONRR also has strict security measures in place for storage of, and access to, proprietary information.</w:t>
      </w:r>
    </w:p>
    <w:p w:rsidR="00DB6B40" w14:paraId="5B29FD2E" w14:textId="77777777">
      <w:pPr>
        <w:widowControl/>
        <w:tabs>
          <w:tab w:val="left" w:pos="-1080"/>
          <w:tab w:val="left" w:pos="-720"/>
          <w:tab w:val="left" w:pos="360"/>
          <w:tab w:val="left" w:pos="810"/>
        </w:tabs>
        <w:rPr>
          <w:rFonts w:ascii="Times New Roman" w:hAnsi="Times New Roman"/>
        </w:rPr>
      </w:pPr>
    </w:p>
    <w:p w:rsidR="00DB6B40" w14:paraId="74E2B782"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11.</w:t>
      </w:r>
      <w:r>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B6B40" w14:paraId="38A6F95A" w14:textId="77777777">
      <w:pPr>
        <w:widowControl/>
        <w:tabs>
          <w:tab w:val="left" w:pos="-1080"/>
          <w:tab w:val="left" w:pos="-720"/>
          <w:tab w:val="left" w:pos="360"/>
          <w:tab w:val="left" w:pos="810"/>
        </w:tabs>
        <w:rPr>
          <w:rFonts w:ascii="Times New Roman" w:hAnsi="Times New Roman"/>
        </w:rPr>
      </w:pPr>
    </w:p>
    <w:p w:rsidR="00DB6B40" w14:paraId="78B8C6BC" w14:textId="77777777">
      <w:pPr>
        <w:widowControl/>
        <w:tabs>
          <w:tab w:val="left" w:pos="-1080"/>
          <w:tab w:val="left" w:pos="-720"/>
          <w:tab w:val="left" w:pos="360"/>
          <w:tab w:val="left" w:pos="810"/>
        </w:tabs>
        <w:rPr>
          <w:rFonts w:ascii="Times New Roman" w:hAnsi="Times New Roman"/>
          <w:b/>
          <w:i/>
        </w:rPr>
      </w:pPr>
      <w:r>
        <w:rPr>
          <w:rFonts w:ascii="Times New Roman" w:hAnsi="Times New Roman"/>
        </w:rPr>
        <w:t>This information collection does not include sensitive or private questions.</w:t>
      </w:r>
    </w:p>
    <w:p w:rsidR="00DB6B40" w14:paraId="63AD20B7" w14:textId="77777777">
      <w:pPr>
        <w:widowControl/>
        <w:tabs>
          <w:tab w:val="left" w:pos="-1080"/>
          <w:tab w:val="left" w:pos="-720"/>
          <w:tab w:val="left" w:pos="360"/>
          <w:tab w:val="left" w:pos="810"/>
        </w:tabs>
        <w:rPr>
          <w:rFonts w:ascii="Times New Roman" w:hAnsi="Times New Roman"/>
          <w:b/>
          <w:i/>
        </w:rPr>
      </w:pPr>
    </w:p>
    <w:p w:rsidR="00DB6B40" w14:paraId="03CD0797" w14:textId="77777777">
      <w:pPr>
        <w:widowControl/>
        <w:tabs>
          <w:tab w:val="left" w:pos="-1080"/>
          <w:tab w:val="left" w:pos="-720"/>
          <w:tab w:val="left" w:pos="360"/>
          <w:tab w:val="left" w:pos="810"/>
        </w:tabs>
        <w:rPr>
          <w:rFonts w:ascii="Times New Roman" w:hAnsi="Times New Roman"/>
          <w:b/>
          <w:i/>
        </w:rPr>
      </w:pPr>
      <w:bookmarkStart w:id="0" w:name="_Hlk202782266"/>
      <w:r>
        <w:rPr>
          <w:rFonts w:ascii="Times New Roman" w:hAnsi="Times New Roman"/>
          <w:b/>
          <w:i/>
        </w:rPr>
        <w:t>12.</w:t>
      </w:r>
      <w:r>
        <w:rPr>
          <w:rFonts w:ascii="Times New Roman" w:hAnsi="Times New Roman"/>
          <w:b/>
          <w:i/>
        </w:rPr>
        <w:tab/>
        <w:t>Provide estimates of the hour burden of the collection of information. The statement should:</w:t>
      </w:r>
    </w:p>
    <w:p w:rsidR="00DB6B40" w14:paraId="6BA8F00A" w14:textId="77777777">
      <w:pPr>
        <w:widowControl/>
        <w:tabs>
          <w:tab w:val="left" w:pos="-1080"/>
          <w:tab w:val="left" w:pos="-720"/>
          <w:tab w:val="left" w:pos="360"/>
          <w:tab w:val="left" w:pos="810"/>
        </w:tabs>
        <w:rPr>
          <w:rFonts w:ascii="Times New Roman" w:hAnsi="Times New Roman"/>
          <w:b/>
          <w:i/>
        </w:rPr>
      </w:pPr>
    </w:p>
    <w:p w:rsidR="00DB6B40" w14:paraId="4B0D94B6" w14:textId="77777777">
      <w:pPr>
        <w:widowControl/>
        <w:numPr>
          <w:ilvl w:val="0"/>
          <w:numId w:val="15"/>
        </w:numPr>
        <w:tabs>
          <w:tab w:val="left" w:pos="-1080"/>
          <w:tab w:val="left" w:pos="-720"/>
          <w:tab w:val="clear" w:pos="720"/>
        </w:tabs>
        <w:ind w:left="180" w:hanging="180"/>
        <w:rPr>
          <w:rFonts w:ascii="Times New Roman" w:hAnsi="Times New Roman"/>
          <w:b/>
          <w:i/>
        </w:rPr>
      </w:pPr>
      <w:r>
        <w:rPr>
          <w:rFonts w:ascii="Times New Roman" w:hAnsi="Times New Roman"/>
          <w:b/>
          <w:i/>
        </w:rPr>
        <w:t xml:space="preserve">Indicate the number of respondents, frequency of response, annual hour burden, and an explanation of how the burden was estimated. Unless directed to do so, agencies should not conduct special surveys to obtain information on which to base hour </w:t>
      </w:r>
      <w:r>
        <w:rPr>
          <w:rFonts w:ascii="Times New Roman" w:hAnsi="Times New Roman"/>
          <w:b/>
          <w:i/>
        </w:rPr>
        <w:t>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B6B40" w14:paraId="630EE54E" w14:textId="77777777">
      <w:pPr>
        <w:widowControl/>
        <w:tabs>
          <w:tab w:val="left" w:pos="-1080"/>
          <w:tab w:val="left" w:pos="-720"/>
          <w:tab w:val="left" w:pos="360"/>
          <w:tab w:val="left" w:pos="810"/>
        </w:tabs>
        <w:rPr>
          <w:rFonts w:ascii="Times New Roman" w:hAnsi="Times New Roman"/>
        </w:rPr>
      </w:pPr>
    </w:p>
    <w:p w:rsidR="00DB6B40" w14:paraId="4D7FBD59" w14:textId="31E63E57">
      <w:pPr>
        <w:widowControl/>
        <w:tabs>
          <w:tab w:val="left" w:pos="-1080"/>
          <w:tab w:val="left" w:pos="-720"/>
          <w:tab w:val="left" w:pos="360"/>
          <w:tab w:val="left" w:pos="810"/>
        </w:tabs>
        <w:rPr>
          <w:rFonts w:ascii="Times New Roman" w:hAnsi="Times New Roman"/>
          <w:szCs w:val="24"/>
        </w:rPr>
      </w:pPr>
      <w:r>
        <w:rPr>
          <w:rFonts w:ascii="Times New Roman" w:hAnsi="Times New Roman"/>
        </w:rPr>
        <w:t xml:space="preserve">For Federal oil and gas </w:t>
      </w:r>
      <w:r w:rsidR="00450454">
        <w:rPr>
          <w:rFonts w:ascii="Times New Roman" w:hAnsi="Times New Roman"/>
        </w:rPr>
        <w:t>depreciation and platform cost collections</w:t>
      </w:r>
      <w:r>
        <w:rPr>
          <w:rFonts w:ascii="Times New Roman" w:hAnsi="Times New Roman"/>
        </w:rPr>
        <w:t xml:space="preserve">, </w:t>
      </w:r>
      <w:r w:rsidR="00543CB1">
        <w:rPr>
          <w:rFonts w:ascii="Times New Roman" w:hAnsi="Times New Roman"/>
        </w:rPr>
        <w:t>ONRR</w:t>
      </w:r>
      <w:r>
        <w:rPr>
          <w:rFonts w:ascii="Times New Roman" w:hAnsi="Times New Roman"/>
        </w:rPr>
        <w:t xml:space="preserve"> estimate</w:t>
      </w:r>
      <w:r w:rsidR="00543CB1">
        <w:rPr>
          <w:rFonts w:ascii="Times New Roman" w:hAnsi="Times New Roman"/>
        </w:rPr>
        <w:t>s</w:t>
      </w:r>
      <w:r>
        <w:rPr>
          <w:rFonts w:ascii="Times New Roman" w:hAnsi="Times New Roman"/>
        </w:rPr>
        <w:t xml:space="preserve"> approximately 120</w:t>
      </w:r>
      <w:r w:rsidR="00246D27">
        <w:rPr>
          <w:rFonts w:ascii="Times New Roman" w:hAnsi="Times New Roman"/>
        </w:rPr>
        <w:t xml:space="preserve"> </w:t>
      </w:r>
      <w:r>
        <w:rPr>
          <w:rFonts w:ascii="Times New Roman" w:hAnsi="Times New Roman"/>
        </w:rPr>
        <w:t>Federal lessees/designees</w:t>
      </w:r>
      <w:r w:rsidR="00450454">
        <w:rPr>
          <w:rFonts w:ascii="Times New Roman" w:hAnsi="Times New Roman"/>
        </w:rPr>
        <w:t xml:space="preserve"> </w:t>
      </w:r>
      <w:r>
        <w:rPr>
          <w:rFonts w:ascii="Times New Roman" w:hAnsi="Times New Roman"/>
        </w:rPr>
        <w:t xml:space="preserve">who may submit the required information annually and on occasion. </w:t>
      </w:r>
      <w:r w:rsidR="00543CB1">
        <w:rPr>
          <w:rFonts w:ascii="Times New Roman" w:hAnsi="Times New Roman"/>
        </w:rPr>
        <w:t xml:space="preserve">ONRR </w:t>
      </w:r>
      <w:r>
        <w:rPr>
          <w:rFonts w:ascii="Times New Roman" w:hAnsi="Times New Roman"/>
        </w:rPr>
        <w:t xml:space="preserve">estimated the average number of responses that ONRR will receive is </w:t>
      </w:r>
      <w:r w:rsidR="00450454">
        <w:rPr>
          <w:rFonts w:ascii="Times New Roman" w:hAnsi="Times New Roman"/>
        </w:rPr>
        <w:t>7</w:t>
      </w:r>
      <w:r w:rsidR="001D6A8C">
        <w:rPr>
          <w:rFonts w:ascii="Times New Roman" w:hAnsi="Times New Roman"/>
        </w:rPr>
        <w:t>53</w:t>
      </w:r>
      <w:r w:rsidR="00246D27">
        <w:rPr>
          <w:rFonts w:ascii="Times New Roman" w:hAnsi="Times New Roman"/>
        </w:rPr>
        <w:t xml:space="preserve"> </w:t>
      </w:r>
      <w:r>
        <w:rPr>
          <w:rFonts w:ascii="Times New Roman" w:hAnsi="Times New Roman"/>
        </w:rPr>
        <w:t xml:space="preserve">per year, and the total reporting burden to both lessees and States concerned is </w:t>
      </w:r>
      <w:r w:rsidR="00450454">
        <w:rPr>
          <w:rFonts w:ascii="Times New Roman" w:hAnsi="Times New Roman"/>
        </w:rPr>
        <w:t>4</w:t>
      </w:r>
      <w:r w:rsidR="001D6A8C">
        <w:rPr>
          <w:rFonts w:ascii="Times New Roman" w:hAnsi="Times New Roman"/>
        </w:rPr>
        <w:t>6,</w:t>
      </w:r>
      <w:r w:rsidR="00450454">
        <w:rPr>
          <w:rFonts w:ascii="Times New Roman" w:hAnsi="Times New Roman"/>
        </w:rPr>
        <w:t>344</w:t>
      </w:r>
      <w:r w:rsidR="003F6126">
        <w:rPr>
          <w:rFonts w:ascii="Times New Roman" w:hAnsi="Times New Roman"/>
        </w:rPr>
        <w:t xml:space="preserve"> </w:t>
      </w:r>
      <w:r>
        <w:rPr>
          <w:rFonts w:ascii="Times New Roman" w:hAnsi="Times New Roman"/>
        </w:rPr>
        <w:t xml:space="preserve">hours per year. The burden estimates include the time for (1) reviewing instructions, (2) searching existing data sources, (3) gathering and maintaining the data needed, and (4) completing and reviewing the collection of information. </w:t>
      </w:r>
      <w:r>
        <w:rPr>
          <w:rFonts w:ascii="Times New Roman" w:hAnsi="Times New Roman"/>
          <w:szCs w:val="24"/>
        </w:rPr>
        <w:t>The States concerned require an annual in-depth analysis to inform ONRR of their decision to participate or not participate in the accounting and auditing relief.</w:t>
      </w:r>
    </w:p>
    <w:p w:rsidR="00DB6B40" w14:paraId="388FDB45" w14:textId="77777777">
      <w:pPr>
        <w:widowControl/>
        <w:tabs>
          <w:tab w:val="left" w:pos="-1080"/>
          <w:tab w:val="left" w:pos="-720"/>
          <w:tab w:val="left" w:pos="360"/>
          <w:tab w:val="left" w:pos="810"/>
        </w:tabs>
        <w:rPr>
          <w:rFonts w:ascii="Times New Roman" w:hAnsi="Times New Roman"/>
          <w:szCs w:val="24"/>
        </w:rPr>
      </w:pPr>
    </w:p>
    <w:bookmarkEnd w:id="0"/>
    <w:p w:rsidR="00DB6B40" w:rsidRPr="00722204" w:rsidP="00722204" w14:paraId="65A3215B" w14:textId="3F1B540F">
      <w:pPr>
        <w:pStyle w:val="ListParagraph"/>
        <w:numPr>
          <w:ilvl w:val="0"/>
          <w:numId w:val="15"/>
        </w:numPr>
        <w:rPr>
          <w:rFonts w:ascii="Times New Roman" w:hAnsi="Times New Roman"/>
          <w:sz w:val="24"/>
          <w:szCs w:val="24"/>
        </w:rPr>
      </w:pPr>
      <w:r w:rsidRPr="00722204">
        <w:rPr>
          <w:rFonts w:ascii="Times New Roman" w:hAnsi="Times New Roman"/>
          <w:b/>
          <w:i/>
          <w:sz w:val="24"/>
          <w:szCs w:val="24"/>
        </w:rPr>
        <w:t>If this request for approval covers more than one form, provide separate hour burden estimates for each form and aggregate the hour burdens.</w:t>
      </w:r>
    </w:p>
    <w:p w:rsidR="00DB6B40" w14:paraId="3E439F24" w14:textId="77777777">
      <w:pPr>
        <w:tabs>
          <w:tab w:val="left" w:pos="-1080"/>
          <w:tab w:val="left" w:pos="-720"/>
          <w:tab w:val="left" w:pos="360"/>
          <w:tab w:val="left" w:pos="810"/>
        </w:tabs>
        <w:rPr>
          <w:rFonts w:ascii="Times New Roman" w:hAnsi="Times New Roman"/>
        </w:rPr>
      </w:pPr>
    </w:p>
    <w:p w:rsidR="00DB6B40" w14:paraId="433CF4F4" w14:textId="77777777">
      <w:pPr>
        <w:tabs>
          <w:tab w:val="left" w:pos="-1080"/>
          <w:tab w:val="left" w:pos="-720"/>
          <w:tab w:val="left" w:pos="360"/>
          <w:tab w:val="left" w:pos="810"/>
        </w:tabs>
        <w:jc w:val="center"/>
        <w:rPr>
          <w:rFonts w:ascii="Times New Roman" w:hAnsi="Times New Roman"/>
        </w:rPr>
      </w:pPr>
      <w:bookmarkStart w:id="1" w:name="_Hlk202782087"/>
      <w:r>
        <w:rPr>
          <w:rFonts w:ascii="Times New Roman" w:hAnsi="Times New Roman"/>
          <w:b/>
        </w:rPr>
        <w:t>Summary of Information Collections</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350"/>
        <w:gridCol w:w="1170"/>
        <w:gridCol w:w="1170"/>
        <w:gridCol w:w="990"/>
        <w:gridCol w:w="1237"/>
      </w:tblGrid>
      <w:tr w14:paraId="1070FEFD" w14:textId="77777777" w:rsidTr="00361000">
        <w:tblPrEx>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68" w:type="dxa"/>
            <w:vAlign w:val="center"/>
          </w:tcPr>
          <w:p w:rsidR="00DB6B40" w14:paraId="148E1C6B" w14:textId="77777777">
            <w:pPr>
              <w:jc w:val="center"/>
              <w:rPr>
                <w:rFonts w:ascii="Times New Roman" w:hAnsi="Times New Roman"/>
                <w:b/>
                <w:sz w:val="20"/>
              </w:rPr>
            </w:pPr>
            <w:r>
              <w:rPr>
                <w:rFonts w:ascii="Times New Roman" w:hAnsi="Times New Roman"/>
                <w:b/>
                <w:sz w:val="20"/>
              </w:rPr>
              <w:t>Information Collections</w:t>
            </w:r>
          </w:p>
        </w:tc>
        <w:tc>
          <w:tcPr>
            <w:tcW w:w="1350" w:type="dxa"/>
            <w:vAlign w:val="center"/>
          </w:tcPr>
          <w:p w:rsidR="00DB6B40" w14:paraId="2AE4FE4D" w14:textId="77777777">
            <w:pPr>
              <w:jc w:val="center"/>
              <w:rPr>
                <w:rFonts w:ascii="Times New Roman" w:hAnsi="Times New Roman"/>
                <w:b/>
                <w:sz w:val="20"/>
              </w:rPr>
            </w:pPr>
            <w:r>
              <w:rPr>
                <w:rFonts w:ascii="Times New Roman" w:hAnsi="Times New Roman"/>
                <w:b/>
                <w:sz w:val="20"/>
              </w:rPr>
              <w:t>Requirement to Respond</w:t>
            </w:r>
          </w:p>
        </w:tc>
        <w:tc>
          <w:tcPr>
            <w:tcW w:w="1170" w:type="dxa"/>
            <w:vAlign w:val="center"/>
          </w:tcPr>
          <w:p w:rsidR="00DB6B40" w14:paraId="2DFCAA1D" w14:textId="77777777">
            <w:pPr>
              <w:jc w:val="center"/>
              <w:rPr>
                <w:rFonts w:ascii="Times New Roman" w:hAnsi="Times New Roman"/>
                <w:b/>
                <w:sz w:val="20"/>
              </w:rPr>
            </w:pPr>
            <w:r>
              <w:rPr>
                <w:rFonts w:ascii="Times New Roman" w:hAnsi="Times New Roman"/>
                <w:b/>
                <w:sz w:val="20"/>
              </w:rPr>
              <w:t>Frequency of Response</w:t>
            </w:r>
          </w:p>
        </w:tc>
        <w:tc>
          <w:tcPr>
            <w:tcW w:w="1170" w:type="dxa"/>
            <w:vAlign w:val="center"/>
          </w:tcPr>
          <w:p w:rsidR="00DB6B40" w14:paraId="5116E1B7" w14:textId="77777777">
            <w:pPr>
              <w:jc w:val="center"/>
              <w:rPr>
                <w:rFonts w:ascii="Times New Roman" w:hAnsi="Times New Roman"/>
                <w:b/>
                <w:sz w:val="20"/>
              </w:rPr>
            </w:pPr>
            <w:r>
              <w:rPr>
                <w:rFonts w:ascii="Times New Roman" w:hAnsi="Times New Roman"/>
                <w:b/>
                <w:sz w:val="20"/>
              </w:rPr>
              <w:t>Number of Annual Responses</w:t>
            </w:r>
          </w:p>
        </w:tc>
        <w:tc>
          <w:tcPr>
            <w:tcW w:w="990" w:type="dxa"/>
            <w:vAlign w:val="center"/>
          </w:tcPr>
          <w:p w:rsidR="00DB6B40" w14:paraId="75DE18BF" w14:textId="77777777">
            <w:pPr>
              <w:jc w:val="center"/>
              <w:rPr>
                <w:rFonts w:ascii="Times New Roman" w:hAnsi="Times New Roman"/>
                <w:b/>
                <w:sz w:val="20"/>
              </w:rPr>
            </w:pPr>
            <w:r>
              <w:rPr>
                <w:rFonts w:ascii="Times New Roman" w:hAnsi="Times New Roman"/>
                <w:b/>
                <w:sz w:val="20"/>
              </w:rPr>
              <w:t>Annual Burden Hours</w:t>
            </w:r>
          </w:p>
        </w:tc>
        <w:tc>
          <w:tcPr>
            <w:tcW w:w="1237" w:type="dxa"/>
            <w:vAlign w:val="center"/>
          </w:tcPr>
          <w:p w:rsidR="00DB6B40" w14:paraId="64684D79" w14:textId="14AD13CB">
            <w:pPr>
              <w:jc w:val="center"/>
              <w:rPr>
                <w:rFonts w:ascii="Times New Roman" w:hAnsi="Times New Roman"/>
                <w:b/>
                <w:sz w:val="20"/>
              </w:rPr>
            </w:pPr>
            <w:r>
              <w:rPr>
                <w:rFonts w:ascii="Times New Roman" w:hAnsi="Times New Roman"/>
                <w:b/>
                <w:sz w:val="20"/>
              </w:rPr>
              <w:t xml:space="preserve">Annual Cost </w:t>
            </w:r>
            <w:r>
              <w:rPr>
                <w:rFonts w:ascii="Times New Roman" w:hAnsi="Times New Roman"/>
                <w:b/>
                <w:bCs/>
                <w:color w:val="000000"/>
                <w:sz w:val="20"/>
              </w:rPr>
              <w:t>($</w:t>
            </w:r>
            <w:r w:rsidR="003227A6">
              <w:rPr>
                <w:rFonts w:ascii="Times New Roman" w:hAnsi="Times New Roman"/>
                <w:b/>
                <w:bCs/>
                <w:color w:val="000000"/>
                <w:sz w:val="20"/>
              </w:rPr>
              <w:t>63</w:t>
            </w:r>
            <w:r>
              <w:rPr>
                <w:rFonts w:ascii="Times New Roman" w:hAnsi="Times New Roman"/>
                <w:b/>
                <w:bCs/>
                <w:color w:val="000000"/>
                <w:sz w:val="20"/>
              </w:rPr>
              <w:t>/hr.)</w:t>
            </w:r>
          </w:p>
        </w:tc>
      </w:tr>
      <w:tr w14:paraId="57333D6D" w14:textId="77777777" w:rsidTr="00361000">
        <w:tblPrEx>
          <w:tblW w:w="8185" w:type="dxa"/>
          <w:tblLayout w:type="fixed"/>
          <w:tblLook w:val="01E0"/>
        </w:tblPrEx>
        <w:tc>
          <w:tcPr>
            <w:tcW w:w="2268" w:type="dxa"/>
          </w:tcPr>
          <w:p w:rsidR="00DB6B40" w14:paraId="58DB9E2D" w14:textId="4CB157A0">
            <w:pPr>
              <w:rPr>
                <w:rFonts w:ascii="Times New Roman" w:hAnsi="Times New Roman"/>
                <w:sz w:val="20"/>
              </w:rPr>
            </w:pPr>
            <w:r>
              <w:rPr>
                <w:rFonts w:ascii="Times New Roman" w:hAnsi="Times New Roman"/>
                <w:i/>
                <w:sz w:val="20"/>
              </w:rPr>
              <w:t>Platforms</w:t>
            </w:r>
            <w:r w:rsidR="00096313">
              <w:rPr>
                <w:rFonts w:ascii="Times New Roman" w:hAnsi="Times New Roman"/>
                <w:i/>
                <w:sz w:val="20"/>
              </w:rPr>
              <w:t xml:space="preserve"> Cost</w:t>
            </w:r>
            <w:r w:rsidR="007F6D40">
              <w:rPr>
                <w:rFonts w:ascii="Times New Roman" w:hAnsi="Times New Roman"/>
                <w:i/>
                <w:sz w:val="20"/>
              </w:rPr>
              <w:t xml:space="preserve"> (</w:t>
            </w:r>
            <w:r w:rsidRPr="007F6D40" w:rsidR="007F6D40">
              <w:rPr>
                <w:rFonts w:ascii="Times New Roman" w:hAnsi="Times New Roman"/>
                <w:color w:val="000000"/>
                <w:sz w:val="20"/>
                <w:szCs w:val="18"/>
              </w:rPr>
              <w:t>30 CFR 1206.111(b)(12-14), 30 CFR 1206.112(d), 30 CFR 1206.153(b)(12-14), and 30 CFR 1206.154(c)(3)</w:t>
            </w:r>
          </w:p>
        </w:tc>
        <w:tc>
          <w:tcPr>
            <w:tcW w:w="1350" w:type="dxa"/>
            <w:vAlign w:val="center"/>
          </w:tcPr>
          <w:p w:rsidR="00DB6B40" w14:paraId="7C4FFF28" w14:textId="4C1292C9">
            <w:pPr>
              <w:jc w:val="center"/>
              <w:rPr>
                <w:rFonts w:ascii="Times New Roman" w:hAnsi="Times New Roman"/>
                <w:sz w:val="20"/>
              </w:rPr>
            </w:pPr>
            <w:r>
              <w:rPr>
                <w:rFonts w:ascii="Times New Roman" w:hAnsi="Times New Roman"/>
                <w:sz w:val="20"/>
              </w:rPr>
              <w:t xml:space="preserve">Required to obtain a benefit </w:t>
            </w:r>
          </w:p>
        </w:tc>
        <w:tc>
          <w:tcPr>
            <w:tcW w:w="1170" w:type="dxa"/>
            <w:vAlign w:val="center"/>
          </w:tcPr>
          <w:p w:rsidR="00DB6B40" w14:paraId="23FCA76E" w14:textId="77777777">
            <w:pPr>
              <w:jc w:val="center"/>
              <w:rPr>
                <w:rFonts w:ascii="Times New Roman" w:hAnsi="Times New Roman"/>
                <w:sz w:val="20"/>
              </w:rPr>
            </w:pPr>
            <w:r>
              <w:rPr>
                <w:rFonts w:ascii="Times New Roman" w:hAnsi="Times New Roman"/>
                <w:sz w:val="20"/>
              </w:rPr>
              <w:t>On occasion</w:t>
            </w:r>
          </w:p>
        </w:tc>
        <w:tc>
          <w:tcPr>
            <w:tcW w:w="1170" w:type="dxa"/>
            <w:vAlign w:val="center"/>
          </w:tcPr>
          <w:p w:rsidR="00DB6B40" w14:paraId="2EAFF137" w14:textId="7A942ECD">
            <w:pPr>
              <w:jc w:val="right"/>
              <w:rPr>
                <w:rFonts w:ascii="Times New Roman" w:hAnsi="Times New Roman"/>
                <w:sz w:val="20"/>
              </w:rPr>
            </w:pPr>
            <w:r>
              <w:rPr>
                <w:rFonts w:ascii="Times New Roman" w:hAnsi="Times New Roman"/>
                <w:sz w:val="20"/>
              </w:rPr>
              <w:t>372</w:t>
            </w:r>
          </w:p>
        </w:tc>
        <w:tc>
          <w:tcPr>
            <w:tcW w:w="990" w:type="dxa"/>
            <w:vAlign w:val="center"/>
          </w:tcPr>
          <w:p w:rsidR="00DB6B40" w14:paraId="2EC5A50C" w14:textId="1BFF1997">
            <w:pPr>
              <w:jc w:val="right"/>
              <w:rPr>
                <w:rFonts w:ascii="Times New Roman" w:hAnsi="Times New Roman"/>
                <w:sz w:val="20"/>
              </w:rPr>
            </w:pPr>
            <w:r>
              <w:rPr>
                <w:rFonts w:ascii="Times New Roman" w:hAnsi="Times New Roman"/>
                <w:sz w:val="20"/>
              </w:rPr>
              <w:t>37,200</w:t>
            </w:r>
          </w:p>
        </w:tc>
        <w:tc>
          <w:tcPr>
            <w:tcW w:w="1237" w:type="dxa"/>
            <w:vAlign w:val="center"/>
          </w:tcPr>
          <w:p w:rsidR="00DB6B40" w:rsidP="00246D27" w14:paraId="6F597D92" w14:textId="4B86D9AB">
            <w:pPr>
              <w:jc w:val="right"/>
              <w:rPr>
                <w:rFonts w:ascii="Times New Roman" w:hAnsi="Times New Roman"/>
                <w:sz w:val="20"/>
              </w:rPr>
            </w:pPr>
            <w:r w:rsidRPr="00A274F5">
              <w:rPr>
                <w:rFonts w:ascii="Times New Roman" w:hAnsi="Times New Roman"/>
                <w:sz w:val="20"/>
              </w:rPr>
              <w:t>$</w:t>
            </w:r>
            <w:r w:rsidR="003227A6">
              <w:rPr>
                <w:rFonts w:ascii="Times New Roman" w:hAnsi="Times New Roman"/>
                <w:sz w:val="20"/>
              </w:rPr>
              <w:t>2,343,600</w:t>
            </w:r>
          </w:p>
        </w:tc>
      </w:tr>
      <w:tr w14:paraId="6832BEAD" w14:textId="77777777" w:rsidTr="00361000">
        <w:tblPrEx>
          <w:tblW w:w="8185" w:type="dxa"/>
          <w:tblLayout w:type="fixed"/>
          <w:tblLook w:val="01E0"/>
        </w:tblPrEx>
        <w:tc>
          <w:tcPr>
            <w:tcW w:w="2268" w:type="dxa"/>
          </w:tcPr>
          <w:p w:rsidR="00DB6B40" w14:paraId="014E8C24" w14:textId="0C31579F">
            <w:pPr>
              <w:rPr>
                <w:rFonts w:ascii="Times New Roman" w:hAnsi="Times New Roman"/>
                <w:sz w:val="20"/>
              </w:rPr>
            </w:pPr>
            <w:r>
              <w:rPr>
                <w:rFonts w:ascii="Times New Roman" w:hAnsi="Times New Roman"/>
                <w:i/>
                <w:sz w:val="20"/>
              </w:rPr>
              <w:t>Depreciation</w:t>
            </w:r>
            <w:r w:rsidR="00361000">
              <w:rPr>
                <w:rFonts w:ascii="Times New Roman" w:hAnsi="Times New Roman"/>
                <w:i/>
                <w:sz w:val="20"/>
              </w:rPr>
              <w:t xml:space="preserve"> and Alternative in service date</w:t>
            </w:r>
            <w:r w:rsidR="00C6512A">
              <w:rPr>
                <w:rFonts w:ascii="Times New Roman" w:hAnsi="Times New Roman"/>
                <w:i/>
                <w:sz w:val="20"/>
              </w:rPr>
              <w:t xml:space="preserve"> (</w:t>
            </w:r>
            <w:r w:rsidRPr="00C6512A" w:rsidR="00C6512A">
              <w:rPr>
                <w:rFonts w:ascii="Times New Roman" w:hAnsi="Times New Roman"/>
                <w:color w:val="000000"/>
                <w:sz w:val="20"/>
              </w:rPr>
              <w:t>30 CFR 1206.112(i)(1), 30 CFR 1206.154(i)(1), and 30 CFR 1206.161(h)(1</w:t>
            </w:r>
            <w:r w:rsidRPr="0063156D" w:rsidR="00C6512A">
              <w:rPr>
                <w:rFonts w:ascii="Times New Roman" w:hAnsi="Times New Roman"/>
                <w:color w:val="000000"/>
                <w:sz w:val="20"/>
              </w:rPr>
              <w:t>)</w:t>
            </w:r>
            <w:r w:rsidRPr="0063156D" w:rsidR="0063156D">
              <w:rPr>
                <w:rFonts w:ascii="Times New Roman" w:hAnsi="Times New Roman"/>
                <w:color w:val="000000"/>
                <w:sz w:val="20"/>
              </w:rPr>
              <w:t xml:space="preserve"> 30 CFR 1206.112(i)(4), 30 CFR 1206.154(i)(4), and 30 CFR</w:t>
            </w:r>
            <w:r w:rsidRPr="00AF75BC" w:rsidR="0063156D">
              <w:rPr>
                <w:rFonts w:ascii="Times New Roman" w:hAnsi="Times New Roman"/>
                <w:color w:val="000000"/>
                <w:szCs w:val="22"/>
              </w:rPr>
              <w:t xml:space="preserve"> </w:t>
            </w:r>
            <w:r w:rsidRPr="0063156D" w:rsidR="0063156D">
              <w:rPr>
                <w:rFonts w:ascii="Times New Roman" w:hAnsi="Times New Roman"/>
                <w:color w:val="000000"/>
                <w:sz w:val="20"/>
                <w:szCs w:val="18"/>
              </w:rPr>
              <w:t>1206.161(h)(4)</w:t>
            </w:r>
          </w:p>
        </w:tc>
        <w:tc>
          <w:tcPr>
            <w:tcW w:w="1350" w:type="dxa"/>
            <w:vAlign w:val="center"/>
          </w:tcPr>
          <w:p w:rsidR="00DB6B40" w14:paraId="3D630138" w14:textId="77777777">
            <w:pPr>
              <w:jc w:val="center"/>
              <w:rPr>
                <w:rFonts w:ascii="Times New Roman" w:hAnsi="Times New Roman"/>
                <w:sz w:val="20"/>
              </w:rPr>
            </w:pPr>
            <w:r>
              <w:rPr>
                <w:rFonts w:ascii="Times New Roman" w:hAnsi="Times New Roman"/>
                <w:sz w:val="20"/>
              </w:rPr>
              <w:t>Required to obtain a benefit</w:t>
            </w:r>
          </w:p>
        </w:tc>
        <w:tc>
          <w:tcPr>
            <w:tcW w:w="1170" w:type="dxa"/>
            <w:vAlign w:val="center"/>
          </w:tcPr>
          <w:p w:rsidR="00DB6B40" w14:paraId="1A328768" w14:textId="77777777">
            <w:pPr>
              <w:jc w:val="center"/>
              <w:rPr>
                <w:rFonts w:ascii="Times New Roman" w:hAnsi="Times New Roman"/>
                <w:sz w:val="20"/>
              </w:rPr>
            </w:pPr>
            <w:r>
              <w:rPr>
                <w:rFonts w:ascii="Times New Roman" w:hAnsi="Times New Roman"/>
                <w:sz w:val="20"/>
              </w:rPr>
              <w:t>On occasion</w:t>
            </w:r>
          </w:p>
        </w:tc>
        <w:tc>
          <w:tcPr>
            <w:tcW w:w="1170" w:type="dxa"/>
            <w:vAlign w:val="center"/>
          </w:tcPr>
          <w:p w:rsidR="00DB6B40" w14:paraId="1F81595B" w14:textId="724CB4B9">
            <w:pPr>
              <w:jc w:val="right"/>
              <w:rPr>
                <w:rFonts w:ascii="Times New Roman" w:hAnsi="Times New Roman"/>
                <w:sz w:val="20"/>
              </w:rPr>
            </w:pPr>
            <w:r>
              <w:rPr>
                <w:rFonts w:ascii="Times New Roman" w:hAnsi="Times New Roman"/>
                <w:sz w:val="20"/>
              </w:rPr>
              <w:t>381</w:t>
            </w:r>
          </w:p>
        </w:tc>
        <w:tc>
          <w:tcPr>
            <w:tcW w:w="990" w:type="dxa"/>
            <w:vAlign w:val="center"/>
          </w:tcPr>
          <w:p w:rsidR="00DB6B40" w14:paraId="404DB0DB" w14:textId="3F0638F8">
            <w:pPr>
              <w:jc w:val="right"/>
              <w:rPr>
                <w:rFonts w:ascii="Times New Roman" w:hAnsi="Times New Roman"/>
                <w:sz w:val="20"/>
              </w:rPr>
            </w:pPr>
            <w:r>
              <w:rPr>
                <w:rFonts w:ascii="Times New Roman" w:hAnsi="Times New Roman"/>
                <w:sz w:val="20"/>
              </w:rPr>
              <w:t>9</w:t>
            </w:r>
            <w:r w:rsidR="000E48EE">
              <w:rPr>
                <w:rFonts w:ascii="Times New Roman" w:hAnsi="Times New Roman"/>
                <w:sz w:val="20"/>
              </w:rPr>
              <w:t>,</w:t>
            </w:r>
            <w:r>
              <w:rPr>
                <w:rFonts w:ascii="Times New Roman" w:hAnsi="Times New Roman"/>
                <w:sz w:val="20"/>
              </w:rPr>
              <w:t>144</w:t>
            </w:r>
          </w:p>
        </w:tc>
        <w:tc>
          <w:tcPr>
            <w:tcW w:w="1237" w:type="dxa"/>
            <w:vAlign w:val="center"/>
          </w:tcPr>
          <w:p w:rsidR="00DB6B40" w14:paraId="7F868F41" w14:textId="732A6770">
            <w:pPr>
              <w:jc w:val="right"/>
              <w:rPr>
                <w:rFonts w:ascii="Times New Roman" w:hAnsi="Times New Roman"/>
                <w:sz w:val="20"/>
              </w:rPr>
            </w:pPr>
            <w:r>
              <w:rPr>
                <w:rFonts w:ascii="Times New Roman" w:hAnsi="Times New Roman"/>
                <w:sz w:val="20"/>
              </w:rPr>
              <w:t>$</w:t>
            </w:r>
            <w:r w:rsidR="003227A6">
              <w:rPr>
                <w:rFonts w:ascii="Times New Roman" w:hAnsi="Times New Roman"/>
                <w:sz w:val="20"/>
              </w:rPr>
              <w:t>576,072</w:t>
            </w:r>
          </w:p>
        </w:tc>
      </w:tr>
      <w:tr w14:paraId="14FCD7C8" w14:textId="77777777" w:rsidTr="00361000">
        <w:tblPrEx>
          <w:tblW w:w="8185" w:type="dxa"/>
          <w:tblLayout w:type="fixed"/>
          <w:tblLook w:val="01E0"/>
        </w:tblPrEx>
        <w:trPr>
          <w:trHeight w:val="288"/>
        </w:trPr>
        <w:tc>
          <w:tcPr>
            <w:tcW w:w="4788" w:type="dxa"/>
            <w:gridSpan w:val="3"/>
            <w:vAlign w:val="center"/>
          </w:tcPr>
          <w:p w:rsidR="00DB6B40" w14:paraId="0A49F3C4" w14:textId="77777777">
            <w:pPr>
              <w:jc w:val="right"/>
              <w:rPr>
                <w:rFonts w:ascii="Times New Roman" w:hAnsi="Times New Roman"/>
                <w:b/>
                <w:sz w:val="20"/>
              </w:rPr>
            </w:pPr>
            <w:r>
              <w:rPr>
                <w:rFonts w:ascii="Times New Roman" w:hAnsi="Times New Roman"/>
                <w:b/>
                <w:sz w:val="20"/>
              </w:rPr>
              <w:t>TOTAL</w:t>
            </w:r>
          </w:p>
        </w:tc>
        <w:tc>
          <w:tcPr>
            <w:tcW w:w="1170" w:type="dxa"/>
            <w:vAlign w:val="center"/>
          </w:tcPr>
          <w:p w:rsidR="00DB6B40" w:rsidRPr="00361000" w14:paraId="521963F1" w14:textId="407D97BB">
            <w:pPr>
              <w:jc w:val="right"/>
              <w:rPr>
                <w:rFonts w:ascii="Times New Roman" w:hAnsi="Times New Roman"/>
                <w:b/>
                <w:sz w:val="20"/>
              </w:rPr>
            </w:pPr>
            <w:r>
              <w:rPr>
                <w:rFonts w:ascii="Times New Roman" w:hAnsi="Times New Roman"/>
                <w:b/>
                <w:sz w:val="20"/>
              </w:rPr>
              <w:t>753</w:t>
            </w:r>
          </w:p>
        </w:tc>
        <w:tc>
          <w:tcPr>
            <w:tcW w:w="990" w:type="dxa"/>
            <w:vAlign w:val="center"/>
          </w:tcPr>
          <w:p w:rsidR="00DB6B40" w:rsidRPr="00361000" w14:paraId="331C082B" w14:textId="45D6E72F">
            <w:pPr>
              <w:jc w:val="right"/>
              <w:rPr>
                <w:rFonts w:ascii="Times New Roman" w:hAnsi="Times New Roman"/>
                <w:b/>
                <w:sz w:val="20"/>
              </w:rPr>
            </w:pPr>
            <w:r>
              <w:rPr>
                <w:rFonts w:ascii="Times New Roman" w:hAnsi="Times New Roman"/>
                <w:b/>
                <w:sz w:val="20"/>
              </w:rPr>
              <w:t>46</w:t>
            </w:r>
            <w:r w:rsidR="000E48EE">
              <w:rPr>
                <w:rFonts w:ascii="Times New Roman" w:hAnsi="Times New Roman"/>
                <w:b/>
                <w:sz w:val="20"/>
              </w:rPr>
              <w:t>,</w:t>
            </w:r>
            <w:r>
              <w:rPr>
                <w:rFonts w:ascii="Times New Roman" w:hAnsi="Times New Roman"/>
                <w:b/>
                <w:sz w:val="20"/>
              </w:rPr>
              <w:t>344</w:t>
            </w:r>
          </w:p>
        </w:tc>
        <w:tc>
          <w:tcPr>
            <w:tcW w:w="1237" w:type="dxa"/>
            <w:vAlign w:val="center"/>
          </w:tcPr>
          <w:p w:rsidR="00DB6B40" w:rsidRPr="00246D27" w14:paraId="55721783" w14:textId="6E9AD8EF">
            <w:pPr>
              <w:jc w:val="right"/>
              <w:rPr>
                <w:rFonts w:ascii="Times New Roman" w:hAnsi="Times New Roman"/>
                <w:b/>
                <w:sz w:val="20"/>
              </w:rPr>
            </w:pPr>
            <w:r w:rsidRPr="00246D27">
              <w:rPr>
                <w:rFonts w:ascii="Times New Roman" w:hAnsi="Times New Roman"/>
                <w:b/>
                <w:sz w:val="20"/>
              </w:rPr>
              <w:t>$</w:t>
            </w:r>
            <w:r w:rsidR="003227A6">
              <w:rPr>
                <w:rFonts w:ascii="Times New Roman" w:hAnsi="Times New Roman"/>
                <w:b/>
                <w:sz w:val="20"/>
              </w:rPr>
              <w:t>2,919,672</w:t>
            </w:r>
          </w:p>
        </w:tc>
      </w:tr>
    </w:tbl>
    <w:p w:rsidR="00DB6B40" w14:paraId="42EEC94E" w14:textId="77777777">
      <w:pPr>
        <w:widowControl/>
        <w:tabs>
          <w:tab w:val="left" w:pos="-1080"/>
          <w:tab w:val="left" w:pos="-720"/>
          <w:tab w:val="left" w:pos="360"/>
          <w:tab w:val="left" w:pos="810"/>
        </w:tabs>
        <w:rPr>
          <w:rFonts w:ascii="Times New Roman" w:hAnsi="Times New Roman"/>
        </w:rPr>
      </w:pPr>
    </w:p>
    <w:p w:rsidR="00DB6B40" w14:paraId="5DAD9145" w14:textId="77777777">
      <w:pPr>
        <w:numPr>
          <w:ilvl w:val="0"/>
          <w:numId w:val="15"/>
        </w:numPr>
        <w:tabs>
          <w:tab w:val="left" w:pos="-1080"/>
          <w:tab w:val="left" w:pos="-720"/>
          <w:tab w:val="clear" w:pos="720"/>
        </w:tabs>
        <w:ind w:left="360"/>
        <w:rPr>
          <w:rFonts w:ascii="Times New Roman" w:hAnsi="Times New Roman"/>
          <w:i/>
        </w:rPr>
      </w:pPr>
      <w:r>
        <w:rPr>
          <w:rFonts w:ascii="Times New Roman" w:hAnsi="Times New Roman"/>
          <w:b/>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B6B40" w14:paraId="66AAFF65" w14:textId="77777777">
      <w:pPr>
        <w:tabs>
          <w:tab w:val="left" w:pos="-1080"/>
          <w:tab w:val="left" w:pos="-720"/>
          <w:tab w:val="left" w:pos="360"/>
        </w:tabs>
        <w:rPr>
          <w:rFonts w:ascii="Times New Roman" w:hAnsi="Times New Roman"/>
        </w:rPr>
      </w:pPr>
    </w:p>
    <w:p w:rsidR="00DB6B40" w14:paraId="4914C525" w14:textId="15DEAD18">
      <w:pPr>
        <w:snapToGrid w:val="0"/>
        <w:rPr>
          <w:rFonts w:ascii="Times New Roman" w:hAnsi="Times New Roman"/>
          <w:snapToGrid/>
          <w:szCs w:val="24"/>
        </w:rPr>
      </w:pPr>
      <w:bookmarkStart w:id="2" w:name="OLE_LINK5"/>
      <w:bookmarkStart w:id="3" w:name="OLE_LINK6"/>
      <w:r>
        <w:rPr>
          <w:rFonts w:ascii="Times New Roman" w:hAnsi="Times New Roman"/>
          <w:snapToGrid/>
          <w:szCs w:val="24"/>
        </w:rPr>
        <w:t>ONRR</w:t>
      </w:r>
      <w:r w:rsidR="00AE037B">
        <w:rPr>
          <w:rFonts w:ascii="Times New Roman" w:hAnsi="Times New Roman"/>
          <w:snapToGrid/>
          <w:szCs w:val="24"/>
        </w:rPr>
        <w:t xml:space="preserve"> expect</w:t>
      </w:r>
      <w:r>
        <w:rPr>
          <w:rFonts w:ascii="Times New Roman" w:hAnsi="Times New Roman"/>
          <w:snapToGrid/>
          <w:szCs w:val="24"/>
        </w:rPr>
        <w:t>s</w:t>
      </w:r>
      <w:r w:rsidR="00AE037B">
        <w:rPr>
          <w:rFonts w:ascii="Times New Roman" w:hAnsi="Times New Roman"/>
          <w:snapToGrid/>
          <w:szCs w:val="24"/>
        </w:rPr>
        <w:t xml:space="preserve"> that an industry accountant will perform all the work. </w:t>
      </w:r>
      <w:r>
        <w:rPr>
          <w:rFonts w:ascii="Times New Roman" w:hAnsi="Times New Roman"/>
          <w:snapToGrid/>
          <w:szCs w:val="24"/>
        </w:rPr>
        <w:t>ONRR</w:t>
      </w:r>
      <w:r w:rsidR="00AE037B">
        <w:rPr>
          <w:rFonts w:ascii="Times New Roman" w:hAnsi="Times New Roman"/>
          <w:snapToGrid/>
          <w:szCs w:val="24"/>
        </w:rPr>
        <w:t xml:space="preserve"> estimate</w:t>
      </w:r>
      <w:r>
        <w:rPr>
          <w:rFonts w:ascii="Times New Roman" w:hAnsi="Times New Roman"/>
          <w:snapToGrid/>
          <w:szCs w:val="24"/>
        </w:rPr>
        <w:t>s</w:t>
      </w:r>
      <w:r w:rsidR="00AE037B">
        <w:rPr>
          <w:rFonts w:ascii="Times New Roman" w:hAnsi="Times New Roman"/>
          <w:snapToGrid/>
          <w:szCs w:val="24"/>
        </w:rPr>
        <w:t xml:space="preserve"> that the total annual reporting burden </w:t>
      </w:r>
      <w:r w:rsidRPr="00246D27" w:rsidR="00AE037B">
        <w:rPr>
          <w:rFonts w:ascii="Times New Roman" w:hAnsi="Times New Roman"/>
          <w:snapToGrid/>
          <w:szCs w:val="24"/>
        </w:rPr>
        <w:t xml:space="preserve">is </w:t>
      </w:r>
      <w:r w:rsidR="00361000">
        <w:rPr>
          <w:rFonts w:ascii="Times New Roman" w:hAnsi="Times New Roman"/>
          <w:snapToGrid/>
          <w:szCs w:val="24"/>
        </w:rPr>
        <w:t xml:space="preserve">46,344 </w:t>
      </w:r>
      <w:r w:rsidRPr="00246D27" w:rsidR="00AE037B">
        <w:rPr>
          <w:rFonts w:ascii="Times New Roman" w:hAnsi="Times New Roman"/>
          <w:snapToGrid/>
          <w:szCs w:val="24"/>
        </w:rPr>
        <w:t>hours</w:t>
      </w:r>
      <w:r w:rsidR="00AE037B">
        <w:rPr>
          <w:rFonts w:ascii="Times New Roman" w:hAnsi="Times New Roman"/>
          <w:snapToGrid/>
          <w:szCs w:val="24"/>
        </w:rPr>
        <w:t xml:space="preserve">. </w:t>
      </w:r>
      <w:r>
        <w:rPr>
          <w:rFonts w:ascii="Times New Roman" w:hAnsi="Times New Roman"/>
          <w:snapToGrid/>
          <w:szCs w:val="24"/>
        </w:rPr>
        <w:t>ONRR</w:t>
      </w:r>
      <w:r w:rsidR="00AE037B">
        <w:rPr>
          <w:rFonts w:ascii="Times New Roman" w:hAnsi="Times New Roman"/>
          <w:snapToGrid/>
          <w:szCs w:val="24"/>
        </w:rPr>
        <w:t xml:space="preserve"> used Bureau of Labor </w:t>
      </w:r>
      <w:r w:rsidR="00AE037B">
        <w:rPr>
          <w:rFonts w:ascii="Times New Roman" w:hAnsi="Times New Roman"/>
          <w:snapToGrid/>
          <w:szCs w:val="24"/>
        </w:rPr>
        <w:t xml:space="preserve">Statistics (BLS) National Occupational Employment and Wage Estimates, available at </w:t>
      </w:r>
      <w:hyperlink r:id="rId10" w:history="1">
        <w:r w:rsidR="00AE037B">
          <w:rPr>
            <w:rFonts w:ascii="Times New Roman" w:hAnsi="Times New Roman"/>
            <w:i/>
            <w:snapToGrid/>
            <w:szCs w:val="24"/>
          </w:rPr>
          <w:t>http://www.bls.gov/oes/current/oes132011.htm</w:t>
        </w:r>
      </w:hyperlink>
      <w:r w:rsidR="00AE037B">
        <w:rPr>
          <w:rFonts w:ascii="Times New Roman" w:hAnsi="Times New Roman"/>
          <w:iCs/>
          <w:snapToGrid/>
          <w:szCs w:val="24"/>
        </w:rPr>
        <w:t>,</w:t>
      </w:r>
      <w:r w:rsidR="00AE037B">
        <w:rPr>
          <w:rFonts w:ascii="Times New Roman" w:hAnsi="Times New Roman"/>
          <w:i/>
          <w:snapToGrid/>
          <w:szCs w:val="24"/>
        </w:rPr>
        <w:t xml:space="preserve"> </w:t>
      </w:r>
      <w:r w:rsidR="00AE037B">
        <w:rPr>
          <w:rFonts w:ascii="Times New Roman" w:hAnsi="Times New Roman"/>
          <w:snapToGrid/>
          <w:szCs w:val="24"/>
        </w:rPr>
        <w:t xml:space="preserve">to estimate the hourly cost for industry accountants in various United States locations. </w:t>
      </w:r>
      <w:r>
        <w:rPr>
          <w:rFonts w:ascii="Times New Roman" w:hAnsi="Times New Roman"/>
          <w:snapToGrid/>
          <w:szCs w:val="24"/>
        </w:rPr>
        <w:t>ONRR</w:t>
      </w:r>
      <w:r w:rsidR="00AE037B">
        <w:rPr>
          <w:rFonts w:ascii="Times New Roman" w:hAnsi="Times New Roman"/>
          <w:snapToGrid/>
          <w:szCs w:val="24"/>
        </w:rPr>
        <w:t xml:space="preserve"> used a multiplier of 1.4 for benefits based on this information; </w:t>
      </w:r>
      <w:r>
        <w:rPr>
          <w:rFonts w:ascii="Times New Roman" w:hAnsi="Times New Roman"/>
          <w:snapToGrid/>
          <w:szCs w:val="24"/>
        </w:rPr>
        <w:t>ONRR</w:t>
      </w:r>
      <w:r w:rsidR="00AE037B">
        <w:rPr>
          <w:rFonts w:ascii="Times New Roman" w:hAnsi="Times New Roman"/>
          <w:snapToGrid/>
          <w:szCs w:val="24"/>
        </w:rPr>
        <w:t xml:space="preserve"> estimated that the hourly cost for an industry accountant would be $, calculated as follows: </w:t>
      </w:r>
    </w:p>
    <w:p w:rsidR="00DB6B40" w14:paraId="3CDBF528" w14:textId="77777777">
      <w:pPr>
        <w:snapToGrid w:val="0"/>
        <w:rPr>
          <w:rFonts w:ascii="Times New Roman" w:hAnsi="Times New Roman"/>
          <w:snapToGrid/>
          <w:szCs w:val="24"/>
        </w:rPr>
      </w:pPr>
    </w:p>
    <w:p w:rsidR="00DB6B40" w:rsidP="009C4617" w14:paraId="5D58DBC4" w14:textId="160E511D">
      <w:pPr>
        <w:snapToGrid w:val="0"/>
        <w:rPr>
          <w:rFonts w:ascii="Times New Roman" w:hAnsi="Times New Roman"/>
          <w:snapToGrid/>
          <w:szCs w:val="24"/>
        </w:rPr>
      </w:pPr>
      <w:r>
        <w:rPr>
          <w:rFonts w:ascii="Times New Roman" w:hAnsi="Times New Roman"/>
          <w:snapToGrid/>
          <w:szCs w:val="24"/>
        </w:rPr>
        <w:t>$</w:t>
      </w:r>
      <w:r w:rsidR="00B2350A">
        <w:rPr>
          <w:rFonts w:ascii="Times New Roman" w:hAnsi="Times New Roman"/>
          <w:snapToGrid/>
          <w:szCs w:val="24"/>
        </w:rPr>
        <w:t>4</w:t>
      </w:r>
      <w:r w:rsidR="003227A6">
        <w:rPr>
          <w:rFonts w:ascii="Times New Roman" w:hAnsi="Times New Roman"/>
          <w:snapToGrid/>
          <w:szCs w:val="24"/>
        </w:rPr>
        <w:t>4</w:t>
      </w:r>
      <w:r w:rsidR="00B2350A">
        <w:rPr>
          <w:rFonts w:ascii="Times New Roman" w:hAnsi="Times New Roman"/>
          <w:snapToGrid/>
          <w:szCs w:val="24"/>
        </w:rPr>
        <w:t>.</w:t>
      </w:r>
      <w:r w:rsidR="003227A6">
        <w:rPr>
          <w:rFonts w:ascii="Times New Roman" w:hAnsi="Times New Roman"/>
          <w:snapToGrid/>
          <w:szCs w:val="24"/>
        </w:rPr>
        <w:t>96</w:t>
      </w:r>
      <w:r w:rsidR="00B2350A">
        <w:rPr>
          <w:rFonts w:ascii="Times New Roman" w:hAnsi="Times New Roman"/>
          <w:snapToGrid/>
          <w:szCs w:val="24"/>
        </w:rPr>
        <w:t xml:space="preserve"> </w:t>
      </w:r>
      <w:r>
        <w:rPr>
          <w:rFonts w:ascii="Times New Roman" w:hAnsi="Times New Roman"/>
          <w:snapToGrid/>
          <w:szCs w:val="24"/>
        </w:rPr>
        <w:t>[mean hourly wage] x 1.4 [benefits cost factor] = $</w:t>
      </w:r>
      <w:r w:rsidR="003227A6">
        <w:rPr>
          <w:rFonts w:ascii="Times New Roman" w:hAnsi="Times New Roman"/>
          <w:snapToGrid/>
          <w:szCs w:val="24"/>
        </w:rPr>
        <w:t>62.95</w:t>
      </w:r>
      <w:r>
        <w:rPr>
          <w:rFonts w:ascii="Times New Roman" w:hAnsi="Times New Roman"/>
          <w:snapToGrid/>
          <w:szCs w:val="24"/>
        </w:rPr>
        <w:t xml:space="preserve"> [rounded to $</w:t>
      </w:r>
      <w:r w:rsidR="003227A6">
        <w:rPr>
          <w:rFonts w:ascii="Times New Roman" w:hAnsi="Times New Roman"/>
          <w:snapToGrid/>
          <w:szCs w:val="24"/>
        </w:rPr>
        <w:t>63</w:t>
      </w:r>
      <w:r>
        <w:rPr>
          <w:rFonts w:ascii="Times New Roman" w:hAnsi="Times New Roman"/>
          <w:snapToGrid/>
          <w:szCs w:val="24"/>
        </w:rPr>
        <w:t>/hr.]</w:t>
      </w:r>
    </w:p>
    <w:p w:rsidR="00DB6B40" w14:paraId="34F3DF0C" w14:textId="77777777">
      <w:pPr>
        <w:snapToGrid w:val="0"/>
        <w:rPr>
          <w:rFonts w:ascii="Times New Roman" w:hAnsi="Times New Roman"/>
          <w:snapToGrid/>
          <w:szCs w:val="24"/>
        </w:rPr>
      </w:pPr>
    </w:p>
    <w:p w:rsidR="00DB6B40" w14:paraId="0AC097F8" w14:textId="780453C9">
      <w:pPr>
        <w:snapToGrid w:val="0"/>
        <w:rPr>
          <w:rFonts w:ascii="Times New Roman" w:hAnsi="Times New Roman"/>
          <w:snapToGrid/>
          <w:szCs w:val="24"/>
        </w:rPr>
      </w:pPr>
      <w:r>
        <w:rPr>
          <w:rFonts w:ascii="Times New Roman" w:hAnsi="Times New Roman"/>
          <w:snapToGrid/>
          <w:szCs w:val="24"/>
        </w:rPr>
        <w:t>ONRR</w:t>
      </w:r>
      <w:r w:rsidR="00AE037B">
        <w:rPr>
          <w:rFonts w:ascii="Times New Roman" w:hAnsi="Times New Roman"/>
          <w:snapToGrid/>
          <w:szCs w:val="24"/>
        </w:rPr>
        <w:t xml:space="preserve"> estimate</w:t>
      </w:r>
      <w:r>
        <w:rPr>
          <w:rFonts w:ascii="Times New Roman" w:hAnsi="Times New Roman"/>
          <w:snapToGrid/>
          <w:szCs w:val="24"/>
        </w:rPr>
        <w:t>s</w:t>
      </w:r>
      <w:r w:rsidR="00AE037B">
        <w:rPr>
          <w:rFonts w:ascii="Times New Roman" w:hAnsi="Times New Roman"/>
          <w:snapToGrid/>
          <w:szCs w:val="24"/>
        </w:rPr>
        <w:t xml:space="preserve"> the total annual cost to industry is $</w:t>
      </w:r>
      <w:r w:rsidR="003227A6">
        <w:rPr>
          <w:rFonts w:ascii="Times New Roman" w:hAnsi="Times New Roman"/>
          <w:snapToGrid/>
          <w:szCs w:val="24"/>
        </w:rPr>
        <w:t>2,919,672</w:t>
      </w:r>
      <w:r w:rsidR="00AE037B">
        <w:rPr>
          <w:rFonts w:ascii="Times New Roman" w:hAnsi="Times New Roman"/>
          <w:snapToGrid/>
          <w:szCs w:val="24"/>
        </w:rPr>
        <w:t>as follows:</w:t>
      </w:r>
    </w:p>
    <w:p w:rsidR="00DB6B40" w14:paraId="1992B8F2" w14:textId="77777777">
      <w:pPr>
        <w:snapToGrid w:val="0"/>
        <w:rPr>
          <w:rFonts w:ascii="Times New Roman" w:hAnsi="Times New Roman"/>
          <w:snapToGrid/>
          <w:szCs w:val="24"/>
        </w:rPr>
      </w:pPr>
    </w:p>
    <w:p w:rsidR="00DB6B40" w:rsidP="009C4617" w14:paraId="2CCDEA11" w14:textId="555D758C">
      <w:pPr>
        <w:snapToGrid w:val="0"/>
        <w:rPr>
          <w:rFonts w:ascii="Times New Roman" w:hAnsi="Times New Roman"/>
          <w:snapToGrid/>
          <w:szCs w:val="24"/>
        </w:rPr>
      </w:pPr>
      <w:r>
        <w:rPr>
          <w:rFonts w:ascii="Times New Roman" w:hAnsi="Times New Roman"/>
          <w:snapToGrid/>
          <w:szCs w:val="24"/>
        </w:rPr>
        <w:t xml:space="preserve">46,344 </w:t>
      </w:r>
      <w:r w:rsidR="00AE037B">
        <w:rPr>
          <w:rFonts w:ascii="Times New Roman" w:hAnsi="Times New Roman"/>
          <w:snapToGrid/>
          <w:szCs w:val="24"/>
        </w:rPr>
        <w:t>hours [reporting hours] x $</w:t>
      </w:r>
      <w:r>
        <w:rPr>
          <w:rFonts w:ascii="Times New Roman" w:hAnsi="Times New Roman"/>
          <w:snapToGrid/>
          <w:szCs w:val="24"/>
        </w:rPr>
        <w:t>63</w:t>
      </w:r>
      <w:r w:rsidR="00AE037B">
        <w:rPr>
          <w:rFonts w:ascii="Times New Roman" w:hAnsi="Times New Roman"/>
          <w:snapToGrid/>
          <w:szCs w:val="24"/>
        </w:rPr>
        <w:t xml:space="preserve"> [for industry accountants] = </w:t>
      </w:r>
      <w:r w:rsidRPr="00246D27" w:rsidR="00246D27">
        <w:rPr>
          <w:rFonts w:ascii="Times New Roman" w:hAnsi="Times New Roman"/>
          <w:snapToGrid/>
          <w:szCs w:val="24"/>
        </w:rPr>
        <w:t>$</w:t>
      </w:r>
      <w:bookmarkEnd w:id="2"/>
      <w:bookmarkEnd w:id="3"/>
      <w:r>
        <w:rPr>
          <w:rFonts w:ascii="Times New Roman" w:hAnsi="Times New Roman"/>
          <w:snapToGrid/>
          <w:szCs w:val="24"/>
        </w:rPr>
        <w:t>2,919,672</w:t>
      </w:r>
    </w:p>
    <w:p w:rsidR="00DB6B40" w14:paraId="729952F5" w14:textId="77777777">
      <w:pPr>
        <w:snapToGrid w:val="0"/>
        <w:ind w:firstLine="720"/>
        <w:rPr>
          <w:rFonts w:ascii="Times New Roman" w:hAnsi="Times New Roman"/>
          <w:snapToGrid/>
          <w:szCs w:val="24"/>
        </w:rPr>
      </w:pPr>
    </w:p>
    <w:p w:rsidR="00DB6B40" w14:paraId="72A8B909" w14:textId="4829C352">
      <w:pPr>
        <w:tabs>
          <w:tab w:val="left" w:pos="-1080"/>
          <w:tab w:val="left" w:pos="-720"/>
          <w:tab w:val="left" w:pos="360"/>
          <w:tab w:val="left" w:pos="810"/>
        </w:tabs>
        <w:rPr>
          <w:rFonts w:ascii="Times New Roman" w:hAnsi="Times New Roman"/>
          <w:szCs w:val="24"/>
        </w:rPr>
      </w:pPr>
      <w:r>
        <w:rPr>
          <w:rFonts w:ascii="Times New Roman" w:hAnsi="Times New Roman"/>
          <w:szCs w:val="24"/>
        </w:rPr>
        <w:t xml:space="preserve">There are no additional recordkeeping costs. </w:t>
      </w:r>
      <w:r w:rsidR="00543CB1">
        <w:rPr>
          <w:rFonts w:ascii="Times New Roman" w:hAnsi="Times New Roman"/>
          <w:szCs w:val="24"/>
        </w:rPr>
        <w:t>ONRR</w:t>
      </w:r>
      <w:r>
        <w:rPr>
          <w:rFonts w:ascii="Times New Roman" w:hAnsi="Times New Roman"/>
          <w:szCs w:val="24"/>
        </w:rPr>
        <w:t xml:space="preserve"> ha</w:t>
      </w:r>
      <w:r w:rsidR="00543CB1">
        <w:rPr>
          <w:rFonts w:ascii="Times New Roman" w:hAnsi="Times New Roman"/>
          <w:szCs w:val="24"/>
        </w:rPr>
        <w:t>s</w:t>
      </w:r>
      <w:r>
        <w:rPr>
          <w:rFonts w:ascii="Times New Roman" w:hAnsi="Times New Roman"/>
          <w:szCs w:val="24"/>
        </w:rPr>
        <w:t xml:space="preserve"> not included in</w:t>
      </w:r>
      <w:r w:rsidR="00543CB1">
        <w:rPr>
          <w:rFonts w:ascii="Times New Roman" w:hAnsi="Times New Roman"/>
          <w:szCs w:val="24"/>
        </w:rPr>
        <w:t xml:space="preserve"> its</w:t>
      </w:r>
      <w:r>
        <w:rPr>
          <w:rFonts w:ascii="Times New Roman" w:hAnsi="Times New Roman"/>
          <w:szCs w:val="24"/>
        </w:rPr>
        <w:t xml:space="preserve"> estimates certain requirements that companies performed in the normal course of business and that ONRR considered usual and customary.</w:t>
      </w:r>
    </w:p>
    <w:p w:rsidR="003F6126" w14:paraId="40186AB7" w14:textId="77777777">
      <w:pPr>
        <w:tabs>
          <w:tab w:val="left" w:pos="-1080"/>
          <w:tab w:val="left" w:pos="-720"/>
          <w:tab w:val="left" w:pos="360"/>
          <w:tab w:val="left" w:pos="810"/>
        </w:tabs>
        <w:rPr>
          <w:rFonts w:ascii="Times New Roman" w:hAnsi="Times New Roman"/>
        </w:rPr>
      </w:pPr>
    </w:p>
    <w:p w:rsidR="0036572F" w:rsidP="00957632" w14:paraId="3619FF81" w14:textId="7C020E42">
      <w:pPr>
        <w:rPr>
          <w:rFonts w:ascii="Times New Roman" w:hAnsi="Times New Roman"/>
          <w:szCs w:val="24"/>
        </w:rPr>
      </w:pPr>
      <w:r w:rsidRPr="00543296">
        <w:rPr>
          <w:rFonts w:ascii="Times New Roman" w:hAnsi="Times New Roman"/>
          <w:szCs w:val="24"/>
        </w:rPr>
        <w:t>The following table shows the estimated burden hours by CFR sections and paragraphs:</w:t>
      </w:r>
    </w:p>
    <w:p w:rsidR="003227A6" w:rsidRPr="00543296" w:rsidP="00957632" w14:paraId="63FFA074" w14:textId="77777777">
      <w:pPr>
        <w:rPr>
          <w:rFonts w:ascii="Times New Roman" w:hAnsi="Times New Roman"/>
          <w:szCs w:val="24"/>
        </w:rPr>
      </w:pPr>
    </w:p>
    <w:p w:rsidR="00957632" w:rsidRPr="00543296" w:rsidP="00957632" w14:paraId="3647B705" w14:textId="77777777">
      <w:pPr>
        <w:tabs>
          <w:tab w:val="left" w:pos="-1080"/>
          <w:tab w:val="left" w:pos="-720"/>
          <w:tab w:val="left" w:pos="360"/>
          <w:tab w:val="left" w:pos="810"/>
        </w:tabs>
        <w:rPr>
          <w:rFonts w:ascii="Times New Roman" w:hAnsi="Times New Roman"/>
        </w:rPr>
      </w:pPr>
    </w:p>
    <w:tbl>
      <w:tblPr>
        <w:tblW w:w="8550" w:type="dxa"/>
        <w:tblInd w:w="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120" w:type="dxa"/>
          <w:right w:w="120" w:type="dxa"/>
        </w:tblCellMar>
        <w:tblLook w:val="00A0"/>
      </w:tblPr>
      <w:tblGrid>
        <w:gridCol w:w="7"/>
        <w:gridCol w:w="1341"/>
        <w:gridCol w:w="179"/>
        <w:gridCol w:w="3243"/>
        <w:gridCol w:w="25"/>
        <w:gridCol w:w="1217"/>
        <w:gridCol w:w="15"/>
        <w:gridCol w:w="7"/>
        <w:gridCol w:w="1436"/>
        <w:gridCol w:w="7"/>
        <w:gridCol w:w="1073"/>
      </w:tblGrid>
      <w:tr w14:paraId="66FAF274" w14:textId="77777777" w:rsidTr="003227A6">
        <w:tblPrEx>
          <w:tblW w:w="8550" w:type="dxa"/>
          <w:tblInd w:w="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CellMar>
            <w:left w:w="120" w:type="dxa"/>
            <w:right w:w="120" w:type="dxa"/>
          </w:tblCellMar>
          <w:tblLook w:val="00A0"/>
        </w:tblPrEx>
        <w:trPr>
          <w:cantSplit/>
          <w:trHeight w:val="300"/>
          <w:tblHeader/>
        </w:trPr>
        <w:tc>
          <w:tcPr>
            <w:tcW w:w="1527" w:type="dxa"/>
            <w:gridSpan w:val="3"/>
            <w:tcBorders>
              <w:top w:val="single" w:sz="4" w:space="0" w:color="auto"/>
              <w:left w:val="single" w:sz="4" w:space="0" w:color="auto"/>
              <w:bottom w:val="single" w:sz="4" w:space="0" w:color="auto"/>
              <w:right w:val="single" w:sz="6" w:space="0" w:color="000000" w:themeColor="text1"/>
            </w:tcBorders>
            <w:vAlign w:val="center"/>
            <w:hideMark/>
          </w:tcPr>
          <w:p w:rsidR="0036572F" w:rsidRPr="0036572F" w14:paraId="753E7BA1"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napToGrid/>
                <w:sz w:val="20"/>
              </w:rPr>
            </w:pPr>
            <w:r w:rsidRPr="0036572F">
              <w:rPr>
                <w:rFonts w:ascii="Times New Roman" w:hAnsi="Times New Roman"/>
                <w:b/>
              </w:rPr>
              <w:t>Citation 30 CFR</w:t>
            </w:r>
          </w:p>
        </w:tc>
        <w:tc>
          <w:tcPr>
            <w:tcW w:w="3243" w:type="dxa"/>
            <w:tcBorders>
              <w:top w:val="single" w:sz="4" w:space="0" w:color="auto"/>
              <w:left w:val="single" w:sz="6" w:space="0" w:color="000000" w:themeColor="text1"/>
              <w:bottom w:val="single" w:sz="4" w:space="0" w:color="auto"/>
              <w:right w:val="single" w:sz="6" w:space="0" w:color="000000" w:themeColor="text1"/>
            </w:tcBorders>
            <w:vAlign w:val="center"/>
            <w:hideMark/>
          </w:tcPr>
          <w:p w:rsidR="0036572F" w:rsidRPr="0036572F" w14:paraId="7919B4B7"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rPr>
            </w:pPr>
            <w:r w:rsidRPr="0036572F">
              <w:rPr>
                <w:rFonts w:ascii="Times New Roman" w:hAnsi="Times New Roman"/>
                <w:b/>
              </w:rPr>
              <w:t>Reporting and Recordkeeping Requirement</w:t>
            </w:r>
          </w:p>
        </w:tc>
        <w:tc>
          <w:tcPr>
            <w:tcW w:w="1257" w:type="dxa"/>
            <w:gridSpan w:val="3"/>
            <w:tcBorders>
              <w:top w:val="single" w:sz="4" w:space="0" w:color="auto"/>
              <w:left w:val="single" w:sz="6" w:space="0" w:color="000000" w:themeColor="text1"/>
              <w:bottom w:val="single" w:sz="4" w:space="0" w:color="auto"/>
              <w:right w:val="single" w:sz="6" w:space="0" w:color="000000" w:themeColor="text1"/>
            </w:tcBorders>
            <w:vAlign w:val="center"/>
            <w:hideMark/>
          </w:tcPr>
          <w:p w:rsidR="0036572F" w:rsidRPr="0036572F" w14:paraId="6A36B99A"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rPr>
            </w:pPr>
            <w:r w:rsidRPr="0036572F">
              <w:rPr>
                <w:rFonts w:ascii="Times New Roman" w:hAnsi="Times New Roman"/>
                <w:b/>
              </w:rPr>
              <w:t>Hour Burden</w:t>
            </w:r>
          </w:p>
        </w:tc>
        <w:tc>
          <w:tcPr>
            <w:tcW w:w="1443" w:type="dxa"/>
            <w:gridSpan w:val="2"/>
            <w:tcBorders>
              <w:top w:val="single" w:sz="4" w:space="0" w:color="auto"/>
              <w:left w:val="single" w:sz="6" w:space="0" w:color="000000" w:themeColor="text1"/>
              <w:bottom w:val="single" w:sz="4" w:space="0" w:color="auto"/>
              <w:right w:val="single" w:sz="6" w:space="0" w:color="000000" w:themeColor="text1"/>
            </w:tcBorders>
            <w:vAlign w:val="center"/>
            <w:hideMark/>
          </w:tcPr>
          <w:p w:rsidR="0036572F" w:rsidRPr="0036572F" w14:paraId="507B4327"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rPr>
            </w:pPr>
            <w:r w:rsidRPr="0036572F">
              <w:rPr>
                <w:rFonts w:ascii="Times New Roman" w:hAnsi="Times New Roman"/>
                <w:b/>
              </w:rPr>
              <w:t>Average No. Annual Responses</w:t>
            </w:r>
          </w:p>
        </w:tc>
        <w:tc>
          <w:tcPr>
            <w:tcW w:w="1080" w:type="dxa"/>
            <w:gridSpan w:val="2"/>
            <w:tcBorders>
              <w:top w:val="single" w:sz="4" w:space="0" w:color="auto"/>
              <w:left w:val="single" w:sz="6" w:space="0" w:color="000000" w:themeColor="text1"/>
              <w:bottom w:val="single" w:sz="4" w:space="0" w:color="auto"/>
              <w:right w:val="single" w:sz="4" w:space="0" w:color="auto"/>
            </w:tcBorders>
            <w:vAlign w:val="center"/>
            <w:hideMark/>
          </w:tcPr>
          <w:p w:rsidR="0036572F" w:rsidRPr="0036572F" w14:paraId="23CC12D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Times New Roman" w:hAnsi="Times New Roman"/>
                <w:b/>
              </w:rPr>
            </w:pPr>
            <w:r w:rsidRPr="0036572F">
              <w:rPr>
                <w:rFonts w:ascii="Times New Roman" w:hAnsi="Times New Roman"/>
                <w:b/>
              </w:rPr>
              <w:t>Annual Burden Hours</w:t>
            </w:r>
          </w:p>
        </w:tc>
      </w:tr>
      <w:tr w14:paraId="0F559493" w14:textId="77777777" w:rsidTr="00B6177A">
        <w:tblPrEx>
          <w:tblW w:w="855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7" w:type="dxa"/>
          <w:trHeight w:val="1610"/>
        </w:trPr>
        <w:tc>
          <w:tcPr>
            <w:tcW w:w="1341" w:type="dxa"/>
            <w:tcBorders>
              <w:top w:val="single" w:sz="4" w:space="0" w:color="auto"/>
              <w:left w:val="single" w:sz="4" w:space="0" w:color="auto"/>
              <w:bottom w:val="single" w:sz="4" w:space="0" w:color="auto"/>
              <w:right w:val="single" w:sz="4" w:space="0" w:color="auto"/>
            </w:tcBorders>
            <w:shd w:val="clear" w:color="000000" w:fill="FFFFFF"/>
          </w:tcPr>
          <w:p w:rsidR="00F00648" w:rsidRPr="00A66AE0" w:rsidP="000A0A52" w14:paraId="0EF22F25" w14:textId="0D668D69">
            <w:pPr>
              <w:rPr>
                <w:rFonts w:ascii="Arial" w:hAnsi="Arial" w:cs="Arial"/>
                <w:color w:val="000000"/>
                <w:sz w:val="20"/>
              </w:rPr>
            </w:pPr>
            <w:r w:rsidRPr="00F00648">
              <w:rPr>
                <w:rFonts w:ascii="Arial" w:hAnsi="Arial" w:cs="Arial"/>
                <w:color w:val="000000"/>
                <w:sz w:val="20"/>
              </w:rPr>
              <w:t>1206.111</w:t>
            </w:r>
            <w:r>
              <w:rPr>
                <w:rFonts w:ascii="Arial" w:hAnsi="Arial" w:cs="Arial"/>
                <w:color w:val="000000"/>
                <w:sz w:val="20"/>
              </w:rPr>
              <w:t>(</w:t>
            </w:r>
            <w:r w:rsidRPr="00F00648">
              <w:rPr>
                <w:rFonts w:ascii="Arial" w:hAnsi="Arial" w:cs="Arial"/>
                <w:color w:val="000000"/>
                <w:sz w:val="20"/>
              </w:rPr>
              <w:t>b)(12)</w:t>
            </w:r>
            <w:r w:rsidR="003227A6">
              <w:rPr>
                <w:rFonts w:ascii="Arial" w:hAnsi="Arial" w:cs="Arial"/>
                <w:color w:val="000000"/>
                <w:sz w:val="20"/>
              </w:rPr>
              <w:t xml:space="preserve"> - </w:t>
            </w:r>
            <w:r w:rsidRPr="00F00648">
              <w:rPr>
                <w:rFonts w:ascii="Arial" w:hAnsi="Arial" w:cs="Arial"/>
                <w:color w:val="000000"/>
                <w:sz w:val="20"/>
              </w:rPr>
              <w:t>(14)</w:t>
            </w:r>
          </w:p>
        </w:tc>
        <w:tc>
          <w:tcPr>
            <w:tcW w:w="3447" w:type="dxa"/>
            <w:gridSpan w:val="3"/>
            <w:tcBorders>
              <w:top w:val="single" w:sz="4" w:space="0" w:color="auto"/>
              <w:left w:val="single" w:sz="4" w:space="0" w:color="auto"/>
              <w:bottom w:val="single" w:sz="4" w:space="0" w:color="auto"/>
              <w:right w:val="single" w:sz="4" w:space="0" w:color="auto"/>
            </w:tcBorders>
            <w:shd w:val="clear" w:color="000000" w:fill="FFFFFF"/>
          </w:tcPr>
          <w:p w:rsidR="00F00648" w:rsidRPr="00F00648" w:rsidP="003227A6" w14:paraId="48F59FB8" w14:textId="77777777">
            <w:pPr>
              <w:rPr>
                <w:rFonts w:ascii="Arial" w:hAnsi="Arial" w:cs="Arial"/>
                <w:color w:val="000000"/>
                <w:sz w:val="20"/>
              </w:rPr>
            </w:pPr>
            <w:r w:rsidRPr="00F00648">
              <w:rPr>
                <w:rFonts w:ascii="Arial" w:hAnsi="Arial" w:cs="Arial"/>
                <w:color w:val="000000"/>
                <w:sz w:val="20"/>
                <w:u w:val="single"/>
              </w:rPr>
              <w:t>(12) Flow assurance costs. You may deduct costs associated with ensuring the flow of oil through a pipeline…</w:t>
            </w:r>
            <w:r w:rsidRPr="00F00648">
              <w:rPr>
                <w:rFonts w:ascii="Arial" w:hAnsi="Arial" w:cs="Arial"/>
                <w:color w:val="000000"/>
                <w:sz w:val="20"/>
              </w:rPr>
              <w:t> </w:t>
            </w:r>
          </w:p>
          <w:p w:rsidR="00F00648" w:rsidRPr="00F00648" w:rsidP="003227A6" w14:paraId="11FD3FB8" w14:textId="77777777">
            <w:pPr>
              <w:rPr>
                <w:rFonts w:ascii="Arial" w:hAnsi="Arial" w:cs="Arial"/>
                <w:color w:val="000000"/>
                <w:sz w:val="20"/>
              </w:rPr>
            </w:pPr>
            <w:r w:rsidRPr="00F00648">
              <w:rPr>
                <w:rFonts w:ascii="Arial" w:hAnsi="Arial" w:cs="Arial"/>
                <w:color w:val="000000"/>
                <w:sz w:val="20"/>
                <w:u w:val="single"/>
              </w:rPr>
              <w:t>(13) OCS platform costs…</w:t>
            </w:r>
            <w:r w:rsidRPr="00F00648">
              <w:rPr>
                <w:rFonts w:ascii="Arial" w:hAnsi="Arial" w:cs="Arial"/>
                <w:color w:val="000000"/>
                <w:sz w:val="20"/>
              </w:rPr>
              <w:t> </w:t>
            </w:r>
          </w:p>
          <w:p w:rsidR="00F00648" w:rsidRPr="00F00648" w:rsidP="003227A6" w14:paraId="3B824292" w14:textId="77777777">
            <w:pPr>
              <w:rPr>
                <w:rFonts w:ascii="Arial" w:hAnsi="Arial" w:cs="Arial"/>
                <w:color w:val="000000"/>
                <w:sz w:val="20"/>
              </w:rPr>
            </w:pPr>
            <w:r w:rsidRPr="00F00648">
              <w:rPr>
                <w:rFonts w:ascii="Arial" w:hAnsi="Arial" w:cs="Arial"/>
                <w:color w:val="000000"/>
                <w:sz w:val="20"/>
                <w:u w:val="single"/>
              </w:rPr>
              <w:t>(14) Costs to repair, replace, or restore operability of a plugged or damaged pipeline…</w:t>
            </w:r>
            <w:r w:rsidRPr="00F00648">
              <w:rPr>
                <w:rFonts w:ascii="Arial" w:hAnsi="Arial" w:cs="Arial"/>
                <w:color w:val="000000"/>
                <w:sz w:val="20"/>
              </w:rPr>
              <w:t> </w:t>
            </w:r>
          </w:p>
          <w:p w:rsidR="00F00648" w:rsidRPr="000E3503" w:rsidP="000A0A52" w14:paraId="7C075536" w14:textId="77777777">
            <w:pPr>
              <w:rPr>
                <w:rFonts w:ascii="Arial" w:hAnsi="Arial" w:cs="Arial"/>
                <w:color w:val="000000"/>
                <w:sz w:val="20"/>
              </w:rPr>
            </w:pPr>
          </w:p>
        </w:tc>
        <w:tc>
          <w:tcPr>
            <w:tcW w:w="1232" w:type="dxa"/>
            <w:gridSpan w:val="2"/>
            <w:tcBorders>
              <w:top w:val="single" w:sz="4" w:space="0" w:color="auto"/>
              <w:left w:val="single" w:sz="4" w:space="0" w:color="auto"/>
              <w:bottom w:val="single" w:sz="4" w:space="0" w:color="auto"/>
              <w:right w:val="single" w:sz="4" w:space="0" w:color="auto"/>
            </w:tcBorders>
            <w:shd w:val="clear" w:color="000000" w:fill="FFFFFF"/>
          </w:tcPr>
          <w:p w:rsidR="00F00648" w:rsidRPr="000E3503" w:rsidP="000A0A52" w14:paraId="405CF05A" w14:textId="0E6AC35F">
            <w:pPr>
              <w:jc w:val="right"/>
              <w:rPr>
                <w:rFonts w:ascii="Arial" w:hAnsi="Arial" w:cs="Arial"/>
                <w:color w:val="000000"/>
                <w:sz w:val="20"/>
              </w:rPr>
            </w:pPr>
            <w:r>
              <w:rPr>
                <w:rFonts w:ascii="Arial" w:hAnsi="Arial" w:cs="Arial"/>
                <w:color w:val="000000"/>
                <w:sz w:val="20"/>
              </w:rPr>
              <w:t>100</w:t>
            </w:r>
          </w:p>
        </w:tc>
        <w:tc>
          <w:tcPr>
            <w:tcW w:w="1443" w:type="dxa"/>
            <w:gridSpan w:val="2"/>
            <w:tcBorders>
              <w:top w:val="single" w:sz="4" w:space="0" w:color="auto"/>
              <w:left w:val="single" w:sz="4" w:space="0" w:color="auto"/>
              <w:bottom w:val="single" w:sz="4" w:space="0" w:color="auto"/>
              <w:right w:val="single" w:sz="4" w:space="0" w:color="auto"/>
            </w:tcBorders>
            <w:shd w:val="clear" w:color="000000" w:fill="FFFFFF"/>
          </w:tcPr>
          <w:p w:rsidR="00F00648" w:rsidRPr="00743A6E" w:rsidP="000A0A52" w14:paraId="487D90B9" w14:textId="30541734">
            <w:pPr>
              <w:jc w:val="right"/>
              <w:rPr>
                <w:rFonts w:ascii="Arial" w:hAnsi="Arial" w:cs="Arial"/>
                <w:color w:val="000000"/>
                <w:sz w:val="20"/>
              </w:rPr>
            </w:pPr>
            <w:r>
              <w:rPr>
                <w:rFonts w:ascii="Arial" w:hAnsi="Arial" w:cs="Arial"/>
                <w:color w:val="000000"/>
                <w:sz w:val="20"/>
              </w:rPr>
              <w:t>93</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tcPr>
          <w:p w:rsidR="00F00648" w:rsidRPr="00743A6E" w:rsidP="000A0A52" w14:paraId="1425F5DB" w14:textId="1AC670DE">
            <w:pPr>
              <w:jc w:val="right"/>
              <w:rPr>
                <w:rFonts w:ascii="Arial" w:hAnsi="Arial" w:cs="Arial"/>
                <w:color w:val="000000"/>
                <w:sz w:val="20"/>
              </w:rPr>
            </w:pPr>
            <w:r>
              <w:rPr>
                <w:rFonts w:ascii="Arial" w:hAnsi="Arial" w:cs="Arial"/>
                <w:color w:val="000000"/>
                <w:sz w:val="20"/>
              </w:rPr>
              <w:t>9,300</w:t>
            </w:r>
          </w:p>
        </w:tc>
      </w:tr>
      <w:tr w14:paraId="7A10E24B" w14:textId="77777777" w:rsidTr="00B6177A">
        <w:tblPrEx>
          <w:tblW w:w="855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7" w:type="dxa"/>
          <w:trHeight w:val="638"/>
        </w:trPr>
        <w:tc>
          <w:tcPr>
            <w:tcW w:w="1341" w:type="dxa"/>
            <w:tcBorders>
              <w:top w:val="single" w:sz="4" w:space="0" w:color="auto"/>
              <w:left w:val="single" w:sz="4" w:space="0" w:color="auto"/>
              <w:bottom w:val="single" w:sz="4" w:space="0" w:color="auto"/>
              <w:right w:val="single" w:sz="4" w:space="0" w:color="auto"/>
            </w:tcBorders>
          </w:tcPr>
          <w:p w:rsidR="00F00648" w:rsidRPr="00A66AE0" w:rsidP="000A0A52" w14:paraId="0765296C" w14:textId="6C95A4C8">
            <w:pPr>
              <w:rPr>
                <w:rFonts w:ascii="Arial" w:hAnsi="Arial" w:cs="Arial"/>
                <w:color w:val="000000"/>
                <w:sz w:val="20"/>
              </w:rPr>
            </w:pPr>
            <w:r>
              <w:rPr>
                <w:rFonts w:ascii="Arial" w:hAnsi="Arial" w:cs="Arial"/>
                <w:color w:val="000000"/>
                <w:sz w:val="20"/>
              </w:rPr>
              <w:t>1206.112(d)</w:t>
            </w:r>
          </w:p>
        </w:tc>
        <w:tc>
          <w:tcPr>
            <w:tcW w:w="3447" w:type="dxa"/>
            <w:gridSpan w:val="3"/>
            <w:tcBorders>
              <w:top w:val="single" w:sz="4" w:space="0" w:color="auto"/>
              <w:left w:val="single" w:sz="4" w:space="0" w:color="auto"/>
              <w:bottom w:val="single" w:sz="4" w:space="0" w:color="auto"/>
              <w:right w:val="single" w:sz="4" w:space="0" w:color="auto"/>
            </w:tcBorders>
            <w:shd w:val="clear" w:color="000000" w:fill="FFFFFF"/>
          </w:tcPr>
          <w:p w:rsidR="00F00648" w:rsidRPr="00F00648" w:rsidP="00F00648" w14:paraId="1404F98F" w14:textId="354B2ED4">
            <w:pPr>
              <w:rPr>
                <w:rFonts w:ascii="Arial" w:hAnsi="Arial" w:cs="Arial"/>
                <w:color w:val="000000"/>
                <w:sz w:val="20"/>
              </w:rPr>
            </w:pPr>
            <w:r w:rsidRPr="00F00648">
              <w:rPr>
                <w:rFonts w:ascii="Arial" w:hAnsi="Arial" w:cs="Arial"/>
                <w:color w:val="000000"/>
                <w:sz w:val="20"/>
              </w:rPr>
              <w:t xml:space="preserve">(1)Your or your affiliate's actual costs may also include the following OCS platform costs directly allocable to:  </w:t>
            </w:r>
          </w:p>
          <w:p w:rsidR="00F00648" w:rsidRPr="00F00648" w:rsidP="00F00648" w14:paraId="3447CCB3" w14:textId="71187C18">
            <w:pPr>
              <w:rPr>
                <w:rFonts w:ascii="Arial" w:hAnsi="Arial" w:cs="Arial"/>
                <w:color w:val="000000"/>
                <w:sz w:val="20"/>
              </w:rPr>
            </w:pPr>
            <w:r w:rsidRPr="00F00648">
              <w:rPr>
                <w:rFonts w:ascii="Arial" w:hAnsi="Arial" w:cs="Arial"/>
                <w:color w:val="000000"/>
                <w:sz w:val="20"/>
              </w:rPr>
              <w:t xml:space="preserve">(i) Oil pumps used to deliver oil into the export pipeline leaving the platform.  </w:t>
            </w:r>
          </w:p>
          <w:p w:rsidR="00F00648" w:rsidRPr="00F00648" w:rsidP="00F00648" w14:paraId="1BADDA42" w14:textId="21AF026B">
            <w:pPr>
              <w:rPr>
                <w:rFonts w:ascii="Arial" w:hAnsi="Arial" w:cs="Arial"/>
                <w:color w:val="000000"/>
                <w:sz w:val="20"/>
              </w:rPr>
            </w:pPr>
            <w:r w:rsidRPr="00F00648">
              <w:rPr>
                <w:rFonts w:ascii="Arial" w:hAnsi="Arial" w:cs="Arial"/>
                <w:color w:val="000000"/>
                <w:sz w:val="20"/>
              </w:rPr>
              <w:t xml:space="preserve">(ii) Flow assurance as described in § 1206.111(b)(12).  </w:t>
            </w:r>
          </w:p>
          <w:p w:rsidR="00F00648" w:rsidRPr="00F00648" w:rsidP="00F00648" w14:paraId="0948EC24" w14:textId="20B6F792">
            <w:pPr>
              <w:rPr>
                <w:rFonts w:ascii="Arial" w:hAnsi="Arial" w:cs="Arial"/>
                <w:color w:val="000000"/>
                <w:sz w:val="20"/>
              </w:rPr>
            </w:pPr>
            <w:r w:rsidRPr="00F00648">
              <w:rPr>
                <w:rFonts w:ascii="Arial" w:hAnsi="Arial" w:cs="Arial"/>
                <w:color w:val="000000"/>
                <w:sz w:val="20"/>
              </w:rPr>
              <w:t>(iii) Platform space required to house equipment in paragraphs (i) and (ii) of this section.</w:t>
            </w:r>
            <w:r w:rsidRPr="00F00648">
              <w:rPr>
                <w:rFonts w:ascii="Arial" w:hAnsi="Arial" w:cs="Arial"/>
                <w:color w:val="000000"/>
                <w:sz w:val="20"/>
              </w:rPr>
              <w:tab/>
              <w:t xml:space="preserve">  </w:t>
            </w:r>
          </w:p>
          <w:p w:rsidR="00F00648" w:rsidRPr="00F00648" w:rsidP="00F00648" w14:paraId="57687EBC" w14:textId="238D8D13">
            <w:pPr>
              <w:rPr>
                <w:rFonts w:ascii="Arial" w:hAnsi="Arial" w:cs="Arial"/>
                <w:color w:val="000000"/>
                <w:sz w:val="20"/>
              </w:rPr>
            </w:pPr>
            <w:r w:rsidRPr="00F00648">
              <w:rPr>
                <w:rFonts w:ascii="Arial" w:hAnsi="Arial" w:cs="Arial"/>
                <w:color w:val="000000"/>
                <w:sz w:val="20"/>
              </w:rPr>
              <w:t>(iv)</w:t>
            </w:r>
            <w:r>
              <w:rPr>
                <w:rFonts w:ascii="Arial" w:hAnsi="Arial" w:cs="Arial"/>
                <w:color w:val="000000"/>
                <w:sz w:val="20"/>
              </w:rPr>
              <w:t xml:space="preserve"> </w:t>
            </w:r>
            <w:r w:rsidRPr="00F00648">
              <w:rPr>
                <w:rFonts w:ascii="Arial" w:hAnsi="Arial" w:cs="Arial"/>
                <w:color w:val="000000"/>
                <w:sz w:val="20"/>
              </w:rPr>
              <w:t xml:space="preserve">Platform buoyancy required to support the weight of equipment in (i), (ii), and (iii). </w:t>
            </w:r>
          </w:p>
          <w:p w:rsidR="00F00648" w:rsidRPr="000E3503" w:rsidP="00F00648" w14:paraId="4EF2D725" w14:textId="5ED2E490">
            <w:pPr>
              <w:rPr>
                <w:rFonts w:ascii="Arial" w:hAnsi="Arial" w:cs="Arial"/>
                <w:color w:val="000000"/>
                <w:sz w:val="20"/>
              </w:rPr>
            </w:pPr>
            <w:r w:rsidRPr="00F00648">
              <w:rPr>
                <w:rFonts w:ascii="Arial" w:hAnsi="Arial" w:cs="Arial"/>
                <w:color w:val="000000"/>
                <w:sz w:val="20"/>
              </w:rPr>
              <w:t>(2) Your or your affiliate’s actual costs may not include any other OCS platform costs. </w:t>
            </w:r>
          </w:p>
        </w:tc>
        <w:tc>
          <w:tcPr>
            <w:tcW w:w="1232" w:type="dxa"/>
            <w:gridSpan w:val="2"/>
            <w:tcBorders>
              <w:top w:val="single" w:sz="4" w:space="0" w:color="auto"/>
              <w:left w:val="single" w:sz="4" w:space="0" w:color="auto"/>
              <w:bottom w:val="single" w:sz="4" w:space="0" w:color="auto"/>
              <w:right w:val="single" w:sz="4" w:space="0" w:color="auto"/>
            </w:tcBorders>
            <w:shd w:val="clear" w:color="000000" w:fill="FFFFFF"/>
          </w:tcPr>
          <w:p w:rsidR="00F00648" w:rsidRPr="000E3503" w:rsidP="000A0A52" w14:paraId="55348826" w14:textId="5E7C7B07">
            <w:pPr>
              <w:jc w:val="right"/>
              <w:rPr>
                <w:rFonts w:ascii="Arial" w:hAnsi="Arial" w:cs="Arial"/>
                <w:color w:val="000000"/>
                <w:sz w:val="20"/>
              </w:rPr>
            </w:pPr>
            <w:r>
              <w:rPr>
                <w:rFonts w:ascii="Arial" w:hAnsi="Arial" w:cs="Arial"/>
                <w:color w:val="000000"/>
                <w:sz w:val="20"/>
              </w:rPr>
              <w:t>100</w:t>
            </w:r>
          </w:p>
        </w:tc>
        <w:tc>
          <w:tcPr>
            <w:tcW w:w="1443" w:type="dxa"/>
            <w:gridSpan w:val="2"/>
            <w:tcBorders>
              <w:top w:val="single" w:sz="4" w:space="0" w:color="auto"/>
              <w:left w:val="single" w:sz="4" w:space="0" w:color="auto"/>
              <w:bottom w:val="single" w:sz="4" w:space="0" w:color="auto"/>
              <w:right w:val="single" w:sz="4" w:space="0" w:color="auto"/>
            </w:tcBorders>
            <w:shd w:val="clear" w:color="000000" w:fill="FFFFFF"/>
          </w:tcPr>
          <w:p w:rsidR="00F00648" w:rsidRPr="00743A6E" w:rsidP="000A0A52" w14:paraId="5B57EE3F" w14:textId="3E62A6AD">
            <w:pPr>
              <w:jc w:val="right"/>
              <w:rPr>
                <w:rFonts w:ascii="Arial" w:hAnsi="Arial" w:cs="Arial"/>
                <w:color w:val="000000"/>
                <w:sz w:val="20"/>
              </w:rPr>
            </w:pPr>
            <w:r>
              <w:rPr>
                <w:rFonts w:ascii="Arial" w:hAnsi="Arial" w:cs="Arial"/>
                <w:color w:val="000000"/>
                <w:sz w:val="20"/>
              </w:rPr>
              <w:t>93</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tcPr>
          <w:p w:rsidR="00F00648" w:rsidRPr="00743A6E" w:rsidP="000A0A52" w14:paraId="575BDBEC" w14:textId="126CD627">
            <w:pPr>
              <w:jc w:val="right"/>
              <w:rPr>
                <w:rFonts w:ascii="Arial" w:hAnsi="Arial" w:cs="Arial"/>
                <w:color w:val="000000"/>
                <w:sz w:val="20"/>
              </w:rPr>
            </w:pPr>
            <w:r>
              <w:rPr>
                <w:rFonts w:ascii="Arial" w:hAnsi="Arial" w:cs="Arial"/>
                <w:color w:val="000000"/>
                <w:sz w:val="20"/>
              </w:rPr>
              <w:t>9,300</w:t>
            </w:r>
          </w:p>
        </w:tc>
      </w:tr>
      <w:tr w14:paraId="0241919F" w14:textId="77777777" w:rsidTr="00B6177A">
        <w:tblPrEx>
          <w:tblW w:w="855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7" w:type="dxa"/>
          <w:trHeight w:val="638"/>
        </w:trPr>
        <w:tc>
          <w:tcPr>
            <w:tcW w:w="1341" w:type="dxa"/>
            <w:tcBorders>
              <w:top w:val="single" w:sz="4" w:space="0" w:color="auto"/>
              <w:left w:val="single" w:sz="4" w:space="0" w:color="auto"/>
              <w:bottom w:val="single" w:sz="4" w:space="0" w:color="auto"/>
              <w:right w:val="single" w:sz="4" w:space="0" w:color="auto"/>
            </w:tcBorders>
          </w:tcPr>
          <w:p w:rsidR="00F00648" w:rsidRPr="00A66AE0" w:rsidP="000A0A52" w14:paraId="6007F1E5" w14:textId="2E5513D7">
            <w:pPr>
              <w:rPr>
                <w:rFonts w:ascii="Arial" w:hAnsi="Arial" w:cs="Arial"/>
                <w:color w:val="000000"/>
                <w:sz w:val="20"/>
              </w:rPr>
            </w:pPr>
            <w:r>
              <w:rPr>
                <w:rFonts w:ascii="Arial" w:hAnsi="Arial" w:cs="Arial"/>
                <w:color w:val="000000"/>
                <w:sz w:val="20"/>
              </w:rPr>
              <w:t>1206.112(j)(4)</w:t>
            </w:r>
          </w:p>
        </w:tc>
        <w:tc>
          <w:tcPr>
            <w:tcW w:w="3447" w:type="dxa"/>
            <w:gridSpan w:val="3"/>
            <w:tcBorders>
              <w:top w:val="single" w:sz="4" w:space="0" w:color="auto"/>
              <w:left w:val="single" w:sz="4" w:space="0" w:color="auto"/>
              <w:bottom w:val="single" w:sz="4" w:space="0" w:color="auto"/>
              <w:right w:val="single" w:sz="4" w:space="0" w:color="auto"/>
            </w:tcBorders>
            <w:shd w:val="clear" w:color="000000" w:fill="FFFFFF"/>
          </w:tcPr>
          <w:p w:rsidR="00F00648" w:rsidRPr="00F00648" w:rsidP="00F00648" w14:paraId="0DFD1ACB" w14:textId="4FA5BB82">
            <w:pPr>
              <w:rPr>
                <w:rFonts w:ascii="Arial" w:hAnsi="Arial" w:cs="Arial"/>
                <w:color w:val="000000"/>
                <w:sz w:val="20"/>
              </w:rPr>
            </w:pPr>
            <w:r w:rsidRPr="00F00648">
              <w:rPr>
                <w:rFonts w:ascii="Arial" w:hAnsi="Arial" w:cs="Arial"/>
                <w:color w:val="000000"/>
                <w:sz w:val="20"/>
              </w:rPr>
              <w:t xml:space="preserve">(4) Proposing a depreciation schedule to ONRR:  </w:t>
            </w:r>
          </w:p>
          <w:p w:rsidR="00F00648" w:rsidRPr="00F00648" w:rsidP="00F00648" w14:paraId="1E170B73" w14:textId="7CFA8D17">
            <w:pPr>
              <w:rPr>
                <w:rFonts w:ascii="Arial" w:hAnsi="Arial" w:cs="Arial"/>
                <w:color w:val="000000"/>
                <w:sz w:val="20"/>
              </w:rPr>
            </w:pPr>
            <w:r w:rsidRPr="00F00648">
              <w:rPr>
                <w:rFonts w:ascii="Arial" w:hAnsi="Arial" w:cs="Arial"/>
                <w:color w:val="000000"/>
                <w:sz w:val="20"/>
              </w:rPr>
              <w:t xml:space="preserve">(i) If no depreciation schedule under 30 CFR part 1206 exists or has existed for an in-service fixed asset, you may propose to ONRR a depreciation schedule for your transportation allowance.  </w:t>
            </w:r>
          </w:p>
          <w:p w:rsidR="00F00648" w:rsidRPr="000E3503" w:rsidP="00F00648" w14:paraId="2BD7CF42" w14:textId="751F0960">
            <w:pPr>
              <w:rPr>
                <w:rFonts w:ascii="Arial" w:hAnsi="Arial" w:cs="Arial"/>
                <w:color w:val="000000"/>
                <w:sz w:val="20"/>
              </w:rPr>
            </w:pPr>
            <w:r w:rsidRPr="00F00648">
              <w:rPr>
                <w:rFonts w:ascii="Arial" w:hAnsi="Arial" w:cs="Arial"/>
                <w:color w:val="000000"/>
                <w:sz w:val="20"/>
              </w:rPr>
              <w:t>(ii) If the depreciation schedule for an in-service fixed asset does not comply with 30 CFR part 1206, you may propose to ONRR a depreciation schedule for your transportation allowance. </w:t>
            </w:r>
          </w:p>
        </w:tc>
        <w:tc>
          <w:tcPr>
            <w:tcW w:w="1232" w:type="dxa"/>
            <w:gridSpan w:val="2"/>
            <w:tcBorders>
              <w:top w:val="single" w:sz="4" w:space="0" w:color="auto"/>
              <w:left w:val="single" w:sz="4" w:space="0" w:color="auto"/>
              <w:bottom w:val="single" w:sz="4" w:space="0" w:color="auto"/>
              <w:right w:val="single" w:sz="4" w:space="0" w:color="auto"/>
            </w:tcBorders>
            <w:shd w:val="clear" w:color="000000" w:fill="FFFFFF"/>
          </w:tcPr>
          <w:p w:rsidR="00F00648" w:rsidRPr="000E3503" w:rsidP="000A0A52" w14:paraId="1136F47E" w14:textId="1FEDB817">
            <w:pPr>
              <w:jc w:val="right"/>
              <w:rPr>
                <w:rFonts w:ascii="Arial" w:hAnsi="Arial" w:cs="Arial"/>
                <w:color w:val="000000"/>
                <w:sz w:val="20"/>
              </w:rPr>
            </w:pPr>
            <w:r>
              <w:rPr>
                <w:rFonts w:ascii="Arial" w:hAnsi="Arial" w:cs="Arial"/>
                <w:color w:val="000000"/>
                <w:sz w:val="20"/>
              </w:rPr>
              <w:t>24</w:t>
            </w:r>
          </w:p>
        </w:tc>
        <w:tc>
          <w:tcPr>
            <w:tcW w:w="1443" w:type="dxa"/>
            <w:gridSpan w:val="2"/>
            <w:tcBorders>
              <w:top w:val="single" w:sz="4" w:space="0" w:color="auto"/>
              <w:left w:val="single" w:sz="4" w:space="0" w:color="auto"/>
              <w:bottom w:val="single" w:sz="4" w:space="0" w:color="auto"/>
              <w:right w:val="single" w:sz="4" w:space="0" w:color="auto"/>
            </w:tcBorders>
            <w:shd w:val="clear" w:color="000000" w:fill="FFFFFF"/>
          </w:tcPr>
          <w:p w:rsidR="00F00648" w:rsidRPr="00743A6E" w:rsidP="000A0A52" w14:paraId="044E2D44" w14:textId="3C23ADC3">
            <w:pPr>
              <w:jc w:val="right"/>
              <w:rPr>
                <w:rFonts w:ascii="Arial" w:hAnsi="Arial" w:cs="Arial"/>
                <w:color w:val="000000"/>
                <w:sz w:val="20"/>
              </w:rPr>
            </w:pPr>
            <w:r>
              <w:rPr>
                <w:rFonts w:ascii="Arial" w:hAnsi="Arial" w:cs="Arial"/>
                <w:color w:val="000000"/>
                <w:sz w:val="20"/>
              </w:rPr>
              <w:t>186</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tcPr>
          <w:p w:rsidR="00F00648" w:rsidRPr="00743A6E" w:rsidP="000A0A52" w14:paraId="462B329D" w14:textId="7FE08E12">
            <w:pPr>
              <w:jc w:val="right"/>
              <w:rPr>
                <w:rFonts w:ascii="Arial" w:hAnsi="Arial" w:cs="Arial"/>
                <w:color w:val="000000"/>
                <w:sz w:val="20"/>
              </w:rPr>
            </w:pPr>
            <w:r>
              <w:rPr>
                <w:rFonts w:ascii="Arial" w:hAnsi="Arial" w:cs="Arial"/>
                <w:color w:val="000000"/>
                <w:sz w:val="20"/>
              </w:rPr>
              <w:t>4,464</w:t>
            </w:r>
          </w:p>
        </w:tc>
      </w:tr>
      <w:tr w14:paraId="26BE579E" w14:textId="77777777" w:rsidTr="00B6177A">
        <w:tblPrEx>
          <w:tblW w:w="855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7" w:type="dxa"/>
          <w:trHeight w:val="3986"/>
        </w:trPr>
        <w:tc>
          <w:tcPr>
            <w:tcW w:w="1341" w:type="dxa"/>
            <w:tcBorders>
              <w:top w:val="single" w:sz="4" w:space="0" w:color="auto"/>
              <w:left w:val="single" w:sz="4" w:space="0" w:color="auto"/>
              <w:bottom w:val="single" w:sz="4" w:space="0" w:color="auto"/>
              <w:right w:val="single" w:sz="4" w:space="0" w:color="auto"/>
            </w:tcBorders>
            <w:shd w:val="clear" w:color="000000" w:fill="FFFFFF"/>
            <w:noWrap/>
          </w:tcPr>
          <w:p w:rsidR="00F00648" w:rsidRPr="00041FBA" w:rsidP="000A0A52" w14:paraId="77B27AB7" w14:textId="4D9D1DC1">
            <w:pPr>
              <w:rPr>
                <w:rFonts w:ascii="Arial" w:hAnsi="Arial" w:cs="Arial"/>
                <w:color w:val="000000"/>
                <w:sz w:val="20"/>
              </w:rPr>
            </w:pPr>
            <w:r>
              <w:rPr>
                <w:rFonts w:ascii="Arial" w:hAnsi="Arial" w:cs="Arial"/>
                <w:color w:val="000000"/>
                <w:sz w:val="20"/>
              </w:rPr>
              <w:t>1206.153(b)(12)-(14)</w:t>
            </w:r>
          </w:p>
        </w:tc>
        <w:tc>
          <w:tcPr>
            <w:tcW w:w="3447" w:type="dxa"/>
            <w:gridSpan w:val="3"/>
            <w:tcBorders>
              <w:top w:val="single" w:sz="4" w:space="0" w:color="auto"/>
              <w:left w:val="single" w:sz="4" w:space="0" w:color="auto"/>
              <w:right w:val="single" w:sz="4" w:space="0" w:color="auto"/>
            </w:tcBorders>
            <w:shd w:val="clear" w:color="000000" w:fill="FFFFFF"/>
          </w:tcPr>
          <w:p w:rsidR="00F00648" w:rsidRPr="003227A6" w:rsidP="00F00648" w14:paraId="6D5314B8" w14:textId="4452AFB2">
            <w:pPr>
              <w:rPr>
                <w:rFonts w:ascii="Arial" w:hAnsi="Arial" w:cs="Arial"/>
                <w:sz w:val="20"/>
              </w:rPr>
            </w:pPr>
            <w:r>
              <w:rPr>
                <w:rFonts w:ascii="Arial" w:hAnsi="Arial" w:cs="Arial"/>
                <w:sz w:val="20"/>
              </w:rPr>
              <w:t>(</w:t>
            </w:r>
            <w:r w:rsidRPr="003227A6">
              <w:rPr>
                <w:rFonts w:ascii="Arial" w:hAnsi="Arial" w:cs="Arial"/>
                <w:sz w:val="20"/>
              </w:rPr>
              <w:t xml:space="preserve">12) Flow assurance costs. You may deduct costs associated with ensuring the flow of gas through a pipeline. This includes, but is not limited to, flow assurance chemicals, pipeline pigging equipment, and heated pipelines. This does not include the cost of operations required for producing gas, such as, but not limited to, chemicals injected in the wellbore to bring production to the surface.  </w:t>
            </w:r>
          </w:p>
          <w:p w:rsidR="00F00648" w:rsidRPr="003227A6" w:rsidP="00F00648" w14:paraId="12BFE599" w14:textId="5679884C">
            <w:pPr>
              <w:rPr>
                <w:rFonts w:ascii="Arial" w:hAnsi="Arial" w:cs="Arial"/>
                <w:sz w:val="20"/>
              </w:rPr>
            </w:pPr>
            <w:r w:rsidRPr="003227A6">
              <w:rPr>
                <w:rFonts w:ascii="Arial" w:hAnsi="Arial" w:cs="Arial"/>
                <w:sz w:val="20"/>
              </w:rPr>
              <w:t xml:space="preserve">(13) OCS platform costs. You may deduct costs directly allocable to: </w:t>
            </w:r>
          </w:p>
          <w:p w:rsidR="00F00648" w:rsidRPr="003227A6" w:rsidP="00F00648" w14:paraId="015772FA" w14:textId="4DC96AA0">
            <w:pPr>
              <w:rPr>
                <w:rFonts w:ascii="Arial" w:hAnsi="Arial" w:cs="Arial"/>
                <w:sz w:val="20"/>
              </w:rPr>
            </w:pPr>
            <w:r w:rsidRPr="003227A6">
              <w:rPr>
                <w:rFonts w:ascii="Arial" w:hAnsi="Arial" w:cs="Arial"/>
                <w:sz w:val="20"/>
              </w:rPr>
              <w:t xml:space="preserve">(i) Services described in paragraph (9) of this section.  </w:t>
            </w:r>
          </w:p>
          <w:p w:rsidR="00F00648" w:rsidRPr="003227A6" w:rsidP="00F00648" w14:paraId="1AA4CAAC" w14:textId="7B9338AA">
            <w:pPr>
              <w:rPr>
                <w:rFonts w:ascii="Arial" w:hAnsi="Arial" w:cs="Arial"/>
                <w:sz w:val="20"/>
              </w:rPr>
            </w:pPr>
            <w:r w:rsidRPr="003227A6">
              <w:rPr>
                <w:rFonts w:ascii="Arial" w:hAnsi="Arial" w:cs="Arial"/>
                <w:sz w:val="20"/>
              </w:rPr>
              <w:t xml:space="preserve">(ii) Flow assurance as described in paragraph (12) of this section.  </w:t>
            </w:r>
          </w:p>
          <w:p w:rsidR="00F00648" w:rsidRPr="003227A6" w:rsidP="00F00648" w14:paraId="79822424" w14:textId="17A6ADB2">
            <w:pPr>
              <w:rPr>
                <w:rFonts w:ascii="Arial" w:hAnsi="Arial" w:cs="Arial"/>
                <w:sz w:val="20"/>
              </w:rPr>
            </w:pPr>
            <w:r w:rsidRPr="003227A6">
              <w:rPr>
                <w:rFonts w:ascii="Arial" w:hAnsi="Arial" w:cs="Arial"/>
                <w:sz w:val="20"/>
              </w:rPr>
              <w:t>(iii) Platform space required to house equipment in paragraphs (i) and (ii) of this section.</w:t>
            </w:r>
            <w:r w:rsidRPr="003227A6">
              <w:rPr>
                <w:rFonts w:ascii="Arial" w:hAnsi="Arial" w:cs="Arial"/>
                <w:sz w:val="20"/>
              </w:rPr>
              <w:tab/>
              <w:t xml:space="preserve">  </w:t>
            </w:r>
          </w:p>
          <w:p w:rsidR="00F00648" w:rsidRPr="003227A6" w:rsidP="00F00648" w14:paraId="05161F01" w14:textId="33AE7E81">
            <w:pPr>
              <w:rPr>
                <w:rFonts w:ascii="Arial" w:hAnsi="Arial" w:cs="Arial"/>
                <w:sz w:val="20"/>
              </w:rPr>
            </w:pPr>
            <w:r w:rsidRPr="003227A6">
              <w:rPr>
                <w:rFonts w:ascii="Arial" w:hAnsi="Arial" w:cs="Arial"/>
                <w:sz w:val="20"/>
              </w:rPr>
              <w:t>(iv)</w:t>
            </w:r>
            <w:r>
              <w:rPr>
                <w:rFonts w:ascii="Arial" w:hAnsi="Arial" w:cs="Arial"/>
                <w:sz w:val="20"/>
              </w:rPr>
              <w:t xml:space="preserve"> </w:t>
            </w:r>
            <w:r w:rsidRPr="003227A6">
              <w:rPr>
                <w:rFonts w:ascii="Arial" w:hAnsi="Arial" w:cs="Arial"/>
                <w:sz w:val="20"/>
              </w:rPr>
              <w:t xml:space="preserve">Platform buoyancy required to support the weight of equipment in (i), (ii), and (iii).  </w:t>
            </w:r>
          </w:p>
          <w:p w:rsidR="00F00648" w:rsidRPr="003227A6" w:rsidP="00F00648" w14:paraId="151AB013" w14:textId="69B7A046">
            <w:pPr>
              <w:rPr>
                <w:rFonts w:ascii="Arial" w:hAnsi="Arial" w:cs="Arial"/>
                <w:sz w:val="20"/>
              </w:rPr>
            </w:pPr>
            <w:r w:rsidRPr="003227A6">
              <w:rPr>
                <w:rFonts w:ascii="Arial" w:hAnsi="Arial" w:cs="Arial"/>
                <w:sz w:val="20"/>
              </w:rPr>
              <w:t>(14) Costs to repair, replace, or restore operability of a plugged or damaged pipeline. You may deduct your reasonable actual costs for repairing, replacing, or restoring operability of a plugged or damaged pipeline. If you receive insurance compensation, you must reduce your allowance by the compensation received.</w:t>
            </w:r>
          </w:p>
        </w:tc>
        <w:tc>
          <w:tcPr>
            <w:tcW w:w="1217" w:type="dxa"/>
            <w:tcBorders>
              <w:top w:val="single" w:sz="4" w:space="0" w:color="auto"/>
              <w:left w:val="single" w:sz="4" w:space="0" w:color="auto"/>
              <w:right w:val="single" w:sz="4" w:space="0" w:color="auto"/>
            </w:tcBorders>
            <w:shd w:val="clear" w:color="000000" w:fill="FFFFFF"/>
          </w:tcPr>
          <w:p w:rsidR="00F00648" w:rsidRPr="00041FBA" w:rsidP="000A0A52" w14:paraId="3BE18A77" w14:textId="36A381C2">
            <w:pPr>
              <w:jc w:val="right"/>
              <w:rPr>
                <w:rFonts w:ascii="Arial" w:hAnsi="Arial" w:cs="Arial"/>
                <w:color w:val="000000"/>
                <w:sz w:val="20"/>
              </w:rPr>
            </w:pPr>
            <w:r>
              <w:rPr>
                <w:rFonts w:ascii="Arial" w:hAnsi="Arial" w:cs="Arial"/>
                <w:color w:val="000000"/>
                <w:sz w:val="20"/>
              </w:rPr>
              <w:t>100</w:t>
            </w:r>
          </w:p>
        </w:tc>
        <w:tc>
          <w:tcPr>
            <w:tcW w:w="1458" w:type="dxa"/>
            <w:gridSpan w:val="3"/>
            <w:tcBorders>
              <w:top w:val="single" w:sz="4" w:space="0" w:color="auto"/>
              <w:left w:val="single" w:sz="4" w:space="0" w:color="auto"/>
              <w:right w:val="single" w:sz="4" w:space="0" w:color="auto"/>
            </w:tcBorders>
            <w:shd w:val="clear" w:color="000000" w:fill="FFFFFF"/>
          </w:tcPr>
          <w:p w:rsidR="00F00648" w:rsidRPr="00041FBA" w:rsidP="000A0A52" w14:paraId="5689CE99" w14:textId="102DCD88">
            <w:pPr>
              <w:jc w:val="right"/>
              <w:rPr>
                <w:rFonts w:ascii="Arial" w:hAnsi="Arial" w:cs="Arial"/>
                <w:color w:val="000000"/>
                <w:sz w:val="20"/>
              </w:rPr>
            </w:pPr>
            <w:r>
              <w:rPr>
                <w:rFonts w:ascii="Arial" w:hAnsi="Arial" w:cs="Arial"/>
                <w:color w:val="000000"/>
                <w:sz w:val="20"/>
              </w:rPr>
              <w:t>93</w:t>
            </w:r>
          </w:p>
        </w:tc>
        <w:tc>
          <w:tcPr>
            <w:tcW w:w="1080" w:type="dxa"/>
            <w:gridSpan w:val="2"/>
            <w:tcBorders>
              <w:top w:val="single" w:sz="4" w:space="0" w:color="auto"/>
              <w:left w:val="single" w:sz="4" w:space="0" w:color="auto"/>
              <w:right w:val="single" w:sz="4" w:space="0" w:color="auto"/>
            </w:tcBorders>
            <w:shd w:val="clear" w:color="000000" w:fill="FFFFFF"/>
          </w:tcPr>
          <w:p w:rsidR="00F00648" w:rsidRPr="00041FBA" w:rsidP="000A0A52" w14:paraId="7FC7957A" w14:textId="3FA350FA">
            <w:pPr>
              <w:jc w:val="right"/>
              <w:rPr>
                <w:rFonts w:ascii="Arial" w:hAnsi="Arial" w:cs="Arial"/>
                <w:color w:val="000000"/>
                <w:sz w:val="20"/>
              </w:rPr>
            </w:pPr>
            <w:r>
              <w:rPr>
                <w:rFonts w:ascii="Arial" w:hAnsi="Arial" w:cs="Arial"/>
                <w:color w:val="000000"/>
                <w:sz w:val="20"/>
              </w:rPr>
              <w:t>9,300</w:t>
            </w:r>
          </w:p>
        </w:tc>
      </w:tr>
      <w:tr w14:paraId="20ACA58A" w14:textId="77777777" w:rsidTr="00B6177A">
        <w:tblPrEx>
          <w:tblW w:w="855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7" w:type="dxa"/>
          <w:trHeight w:val="3986"/>
        </w:trPr>
        <w:tc>
          <w:tcPr>
            <w:tcW w:w="1341" w:type="dxa"/>
            <w:tcBorders>
              <w:top w:val="single" w:sz="4" w:space="0" w:color="auto"/>
              <w:left w:val="single" w:sz="4" w:space="0" w:color="auto"/>
              <w:bottom w:val="single" w:sz="4" w:space="0" w:color="auto"/>
              <w:right w:val="single" w:sz="4" w:space="0" w:color="auto"/>
            </w:tcBorders>
            <w:shd w:val="clear" w:color="000000" w:fill="FFFFFF"/>
            <w:noWrap/>
          </w:tcPr>
          <w:p w:rsidR="00F00648" w:rsidP="000A0A52" w14:paraId="61F70704" w14:textId="6D3B9803">
            <w:pPr>
              <w:rPr>
                <w:rFonts w:ascii="Arial" w:hAnsi="Arial" w:cs="Arial"/>
                <w:color w:val="000000"/>
                <w:sz w:val="20"/>
              </w:rPr>
            </w:pPr>
            <w:r>
              <w:rPr>
                <w:rFonts w:ascii="Arial" w:hAnsi="Arial" w:cs="Arial"/>
                <w:color w:val="000000"/>
                <w:sz w:val="20"/>
              </w:rPr>
              <w:t>1206.154(j)(4)</w:t>
            </w:r>
          </w:p>
        </w:tc>
        <w:tc>
          <w:tcPr>
            <w:tcW w:w="3447" w:type="dxa"/>
            <w:gridSpan w:val="3"/>
            <w:tcBorders>
              <w:top w:val="single" w:sz="4" w:space="0" w:color="auto"/>
              <w:left w:val="single" w:sz="4" w:space="0" w:color="auto"/>
              <w:right w:val="single" w:sz="4" w:space="0" w:color="auto"/>
            </w:tcBorders>
            <w:shd w:val="clear" w:color="000000" w:fill="FFFFFF"/>
          </w:tcPr>
          <w:p w:rsidR="00F00648" w:rsidRPr="00F00648" w:rsidP="00F00648" w14:paraId="08F66940" w14:textId="650B2BEA">
            <w:pPr>
              <w:rPr>
                <w:rFonts w:ascii="Arial" w:hAnsi="Arial" w:cs="Arial"/>
                <w:sz w:val="20"/>
              </w:rPr>
            </w:pPr>
            <w:r w:rsidRPr="00F00648">
              <w:rPr>
                <w:rFonts w:ascii="Arial" w:hAnsi="Arial" w:cs="Arial"/>
                <w:sz w:val="20"/>
              </w:rPr>
              <w:t xml:space="preserve">4) Proposing a depreciation schedule to ONRR:  </w:t>
            </w:r>
          </w:p>
          <w:p w:rsidR="00F00648" w:rsidRPr="00F00648" w:rsidP="00F00648" w14:paraId="0D074693" w14:textId="268205A8">
            <w:pPr>
              <w:rPr>
                <w:rFonts w:ascii="Arial" w:hAnsi="Arial" w:cs="Arial"/>
                <w:sz w:val="20"/>
              </w:rPr>
            </w:pPr>
            <w:r w:rsidRPr="00F00648">
              <w:rPr>
                <w:rFonts w:ascii="Arial" w:hAnsi="Arial" w:cs="Arial"/>
                <w:sz w:val="20"/>
              </w:rPr>
              <w:t xml:space="preserve">(i) If no depreciation schedule under 30 CFR part 1206 exists or has existed for an in-service fixed asset, you may propose to ONRR a depreciation schedule for your transportation allowance.  </w:t>
            </w:r>
          </w:p>
          <w:p w:rsidR="00F00648" w:rsidP="00F00648" w14:paraId="5CD4FE71" w14:textId="6B2B25E1">
            <w:pPr>
              <w:rPr>
                <w:rFonts w:ascii="Arial" w:hAnsi="Arial" w:cs="Arial"/>
                <w:sz w:val="20"/>
              </w:rPr>
            </w:pPr>
            <w:r w:rsidRPr="00F00648">
              <w:rPr>
                <w:rFonts w:ascii="Arial" w:hAnsi="Arial" w:cs="Arial"/>
                <w:sz w:val="20"/>
              </w:rPr>
              <w:t>(ii) If the depreciation schedule for an in-service fixed asset does not comply with 30 CFR part 1206, you may propose to ONRR a depreciation schedule for your transportation allowance. </w:t>
            </w:r>
          </w:p>
        </w:tc>
        <w:tc>
          <w:tcPr>
            <w:tcW w:w="1217" w:type="dxa"/>
            <w:tcBorders>
              <w:top w:val="single" w:sz="4" w:space="0" w:color="auto"/>
              <w:left w:val="single" w:sz="4" w:space="0" w:color="auto"/>
              <w:right w:val="single" w:sz="4" w:space="0" w:color="auto"/>
            </w:tcBorders>
            <w:shd w:val="clear" w:color="000000" w:fill="FFFFFF"/>
          </w:tcPr>
          <w:p w:rsidR="00F00648" w:rsidP="000A0A52" w14:paraId="723214A8" w14:textId="23089F20">
            <w:pPr>
              <w:jc w:val="right"/>
              <w:rPr>
                <w:rFonts w:ascii="Arial" w:hAnsi="Arial" w:cs="Arial"/>
                <w:color w:val="000000"/>
                <w:sz w:val="20"/>
              </w:rPr>
            </w:pPr>
            <w:r>
              <w:rPr>
                <w:rFonts w:ascii="Arial" w:hAnsi="Arial" w:cs="Arial"/>
                <w:color w:val="000000"/>
                <w:sz w:val="20"/>
              </w:rPr>
              <w:t>24</w:t>
            </w:r>
          </w:p>
        </w:tc>
        <w:tc>
          <w:tcPr>
            <w:tcW w:w="1458" w:type="dxa"/>
            <w:gridSpan w:val="3"/>
            <w:tcBorders>
              <w:top w:val="single" w:sz="4" w:space="0" w:color="auto"/>
              <w:left w:val="single" w:sz="4" w:space="0" w:color="auto"/>
              <w:right w:val="single" w:sz="4" w:space="0" w:color="auto"/>
            </w:tcBorders>
            <w:shd w:val="clear" w:color="000000" w:fill="FFFFFF"/>
          </w:tcPr>
          <w:p w:rsidR="00F00648" w:rsidP="000A0A52" w14:paraId="064F688C" w14:textId="55C27437">
            <w:pPr>
              <w:jc w:val="right"/>
              <w:rPr>
                <w:rFonts w:ascii="Arial" w:hAnsi="Arial" w:cs="Arial"/>
                <w:color w:val="000000"/>
                <w:sz w:val="20"/>
              </w:rPr>
            </w:pPr>
            <w:r>
              <w:rPr>
                <w:rFonts w:ascii="Arial" w:hAnsi="Arial" w:cs="Arial"/>
                <w:color w:val="000000"/>
                <w:sz w:val="20"/>
              </w:rPr>
              <w:t>186</w:t>
            </w:r>
          </w:p>
        </w:tc>
        <w:tc>
          <w:tcPr>
            <w:tcW w:w="1080" w:type="dxa"/>
            <w:gridSpan w:val="2"/>
            <w:tcBorders>
              <w:top w:val="single" w:sz="4" w:space="0" w:color="auto"/>
              <w:left w:val="single" w:sz="4" w:space="0" w:color="auto"/>
              <w:right w:val="single" w:sz="4" w:space="0" w:color="auto"/>
            </w:tcBorders>
            <w:shd w:val="clear" w:color="000000" w:fill="FFFFFF"/>
          </w:tcPr>
          <w:p w:rsidR="00F00648" w:rsidP="000A0A52" w14:paraId="2F6A6B8C" w14:textId="744581C8">
            <w:pPr>
              <w:jc w:val="right"/>
              <w:rPr>
                <w:rFonts w:ascii="Arial" w:hAnsi="Arial" w:cs="Arial"/>
                <w:color w:val="000000"/>
                <w:sz w:val="20"/>
              </w:rPr>
            </w:pPr>
            <w:r>
              <w:rPr>
                <w:rFonts w:ascii="Arial" w:hAnsi="Arial" w:cs="Arial"/>
                <w:color w:val="000000"/>
                <w:sz w:val="20"/>
              </w:rPr>
              <w:t>4,464</w:t>
            </w:r>
          </w:p>
        </w:tc>
      </w:tr>
      <w:tr w14:paraId="11B1347D" w14:textId="77777777" w:rsidTr="00B6177A">
        <w:tblPrEx>
          <w:tblW w:w="855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7" w:type="dxa"/>
          <w:trHeight w:val="1115"/>
        </w:trPr>
        <w:tc>
          <w:tcPr>
            <w:tcW w:w="1341" w:type="dxa"/>
            <w:tcBorders>
              <w:top w:val="single" w:sz="4" w:space="0" w:color="auto"/>
              <w:left w:val="single" w:sz="4" w:space="0" w:color="auto"/>
              <w:bottom w:val="single" w:sz="4" w:space="0" w:color="auto"/>
              <w:right w:val="single" w:sz="4" w:space="0" w:color="auto"/>
            </w:tcBorders>
            <w:shd w:val="clear" w:color="000000" w:fill="FFFFFF"/>
          </w:tcPr>
          <w:p w:rsidR="00F00648" w:rsidRPr="00041FBA" w:rsidP="000A0A52" w14:paraId="1CD362BF" w14:textId="5DEFC572">
            <w:pPr>
              <w:rPr>
                <w:rFonts w:ascii="Arial" w:hAnsi="Arial" w:cs="Arial"/>
                <w:color w:val="000000"/>
                <w:sz w:val="20"/>
              </w:rPr>
            </w:pPr>
            <w:r>
              <w:rPr>
                <w:rFonts w:ascii="Arial" w:hAnsi="Arial" w:cs="Arial"/>
                <w:color w:val="000000"/>
                <w:sz w:val="20"/>
              </w:rPr>
              <w:t>1206.154(c)(3)</w:t>
            </w:r>
          </w:p>
        </w:tc>
        <w:tc>
          <w:tcPr>
            <w:tcW w:w="3447" w:type="dxa"/>
            <w:gridSpan w:val="3"/>
            <w:tcBorders>
              <w:top w:val="single" w:sz="4" w:space="0" w:color="auto"/>
              <w:left w:val="single" w:sz="4" w:space="0" w:color="auto"/>
              <w:bottom w:val="single" w:sz="4" w:space="0" w:color="auto"/>
              <w:right w:val="single" w:sz="4" w:space="0" w:color="auto"/>
            </w:tcBorders>
            <w:shd w:val="clear" w:color="000000" w:fill="FFFFFF"/>
          </w:tcPr>
          <w:p w:rsidR="00F00648" w:rsidRPr="00F00648" w:rsidP="00F00648" w14:paraId="2E99BCE0" w14:textId="648E96BA">
            <w:pPr>
              <w:rPr>
                <w:rStyle w:val="paren"/>
                <w:rFonts w:ascii="Arial" w:hAnsi="Arial" w:cs="Arial"/>
                <w:sz w:val="20"/>
              </w:rPr>
            </w:pPr>
            <w:r w:rsidRPr="00F00648">
              <w:rPr>
                <w:rStyle w:val="paren"/>
                <w:rFonts w:ascii="Arial" w:hAnsi="Arial" w:cs="Arial"/>
                <w:sz w:val="20"/>
              </w:rPr>
              <w:t xml:space="preserve">(3) Your or your affiliate's actual costs may also include the following OCS platform costs directly allocable to:  </w:t>
            </w:r>
          </w:p>
          <w:p w:rsidR="00F00648" w:rsidRPr="00F00648" w:rsidP="00F00648" w14:paraId="37606128" w14:textId="3FD8D891">
            <w:pPr>
              <w:rPr>
                <w:rStyle w:val="paren"/>
                <w:rFonts w:ascii="Arial" w:hAnsi="Arial" w:cs="Arial"/>
                <w:sz w:val="20"/>
              </w:rPr>
            </w:pPr>
            <w:r w:rsidRPr="00F00648">
              <w:rPr>
                <w:rStyle w:val="paren"/>
                <w:rFonts w:ascii="Arial" w:hAnsi="Arial" w:cs="Arial"/>
                <w:sz w:val="20"/>
              </w:rPr>
              <w:t xml:space="preserve">(i) Services described in § 1206.153(b)(9) of this section.  </w:t>
            </w:r>
          </w:p>
          <w:p w:rsidR="00F00648" w:rsidRPr="00F00648" w:rsidP="00F00648" w14:paraId="3C754465" w14:textId="7CB0B33D">
            <w:pPr>
              <w:rPr>
                <w:rStyle w:val="paren"/>
                <w:rFonts w:ascii="Arial" w:hAnsi="Arial" w:cs="Arial"/>
                <w:sz w:val="20"/>
              </w:rPr>
            </w:pPr>
            <w:r w:rsidRPr="00F00648">
              <w:rPr>
                <w:rStyle w:val="paren"/>
                <w:rFonts w:ascii="Arial" w:hAnsi="Arial" w:cs="Arial"/>
                <w:sz w:val="20"/>
              </w:rPr>
              <w:t xml:space="preserve">(ii) Flow assurance as described in § 1206.153(b)(12).  </w:t>
            </w:r>
          </w:p>
          <w:p w:rsidR="00F00648" w:rsidRPr="00F00648" w:rsidP="00F00648" w14:paraId="60B57D33" w14:textId="682BF5FE">
            <w:pPr>
              <w:rPr>
                <w:rStyle w:val="paren"/>
                <w:rFonts w:ascii="Arial" w:hAnsi="Arial" w:cs="Arial"/>
                <w:sz w:val="20"/>
              </w:rPr>
            </w:pPr>
            <w:r w:rsidRPr="00F00648">
              <w:rPr>
                <w:rStyle w:val="paren"/>
                <w:rFonts w:ascii="Arial" w:hAnsi="Arial" w:cs="Arial"/>
                <w:sz w:val="20"/>
              </w:rPr>
              <w:t>(iii) Platform space required to house equipment in paragraphs (i) and (ii) of this section.</w:t>
            </w:r>
            <w:r w:rsidRPr="00F00648">
              <w:rPr>
                <w:rStyle w:val="paren"/>
                <w:rFonts w:ascii="Arial" w:hAnsi="Arial" w:cs="Arial"/>
                <w:sz w:val="20"/>
              </w:rPr>
              <w:tab/>
              <w:t xml:space="preserve">  </w:t>
            </w:r>
          </w:p>
          <w:p w:rsidR="00F00648" w:rsidP="00F00648" w14:paraId="1DD8A8FB" w14:textId="2D9101BE">
            <w:pPr>
              <w:rPr>
                <w:rStyle w:val="paren"/>
                <w:rFonts w:ascii="Arial" w:hAnsi="Arial" w:cs="Arial"/>
                <w:sz w:val="20"/>
              </w:rPr>
            </w:pPr>
            <w:r w:rsidRPr="00F00648">
              <w:rPr>
                <w:rStyle w:val="paren"/>
                <w:rFonts w:ascii="Arial" w:hAnsi="Arial" w:cs="Arial"/>
                <w:sz w:val="20"/>
              </w:rPr>
              <w:t>(iv) Platform buoyancy required to support the weight of equipment in (i), (ii), and (iii).</w:t>
            </w:r>
          </w:p>
          <w:p w:rsidR="00F00648" w:rsidP="00F00648" w14:paraId="313A2881" w14:textId="77777777">
            <w:pPr>
              <w:rPr>
                <w:rStyle w:val="paren"/>
                <w:rFonts w:ascii="Arial" w:hAnsi="Arial" w:cs="Arial"/>
                <w:sz w:val="20"/>
              </w:rPr>
            </w:pPr>
          </w:p>
          <w:p w:rsidR="00F00648" w:rsidRPr="003227A6" w:rsidP="003227A6" w14:paraId="747FFA59" w14:textId="77777777">
            <w:pPr>
              <w:jc w:val="center"/>
            </w:pPr>
          </w:p>
        </w:tc>
        <w:tc>
          <w:tcPr>
            <w:tcW w:w="1232" w:type="dxa"/>
            <w:gridSpan w:val="2"/>
            <w:tcBorders>
              <w:top w:val="single" w:sz="4" w:space="0" w:color="auto"/>
              <w:left w:val="single" w:sz="4" w:space="0" w:color="auto"/>
              <w:bottom w:val="single" w:sz="4" w:space="0" w:color="auto"/>
              <w:right w:val="single" w:sz="4" w:space="0" w:color="auto"/>
            </w:tcBorders>
            <w:shd w:val="clear" w:color="000000" w:fill="FFFFFF"/>
          </w:tcPr>
          <w:p w:rsidR="00F00648" w:rsidRPr="00DA417A" w:rsidP="000A0A52" w14:paraId="6CB4202D" w14:textId="5F47E090">
            <w:pPr>
              <w:jc w:val="right"/>
              <w:rPr>
                <w:rFonts w:ascii="Arial" w:hAnsi="Arial" w:cs="Arial"/>
                <w:color w:val="000000"/>
                <w:sz w:val="20"/>
              </w:rPr>
            </w:pPr>
            <w:r>
              <w:rPr>
                <w:rFonts w:ascii="Arial" w:hAnsi="Arial" w:cs="Arial"/>
                <w:color w:val="000000"/>
                <w:sz w:val="20"/>
              </w:rPr>
              <w:t>100</w:t>
            </w:r>
          </w:p>
        </w:tc>
        <w:tc>
          <w:tcPr>
            <w:tcW w:w="1443" w:type="dxa"/>
            <w:gridSpan w:val="2"/>
            <w:tcBorders>
              <w:top w:val="single" w:sz="4" w:space="0" w:color="auto"/>
              <w:left w:val="single" w:sz="4" w:space="0" w:color="auto"/>
              <w:bottom w:val="single" w:sz="4" w:space="0" w:color="auto"/>
              <w:right w:val="single" w:sz="4" w:space="0" w:color="auto"/>
            </w:tcBorders>
            <w:shd w:val="clear" w:color="000000" w:fill="FFFFFF"/>
          </w:tcPr>
          <w:p w:rsidR="00F00648" w:rsidRPr="00DA417A" w:rsidP="000A0A52" w14:paraId="55435FE6" w14:textId="75C4DEC8">
            <w:pPr>
              <w:jc w:val="right"/>
              <w:rPr>
                <w:rFonts w:ascii="Arial" w:hAnsi="Arial" w:cs="Arial"/>
                <w:color w:val="000000"/>
                <w:sz w:val="20"/>
              </w:rPr>
            </w:pPr>
            <w:r>
              <w:rPr>
                <w:rFonts w:ascii="Arial" w:hAnsi="Arial" w:cs="Arial"/>
                <w:color w:val="000000"/>
                <w:sz w:val="20"/>
              </w:rPr>
              <w:t>93</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tcPr>
          <w:p w:rsidR="00F00648" w:rsidRPr="00DA417A" w:rsidP="000A0A52" w14:paraId="14C2D6A5" w14:textId="2D1E3FC3">
            <w:pPr>
              <w:jc w:val="right"/>
              <w:rPr>
                <w:rFonts w:ascii="Arial" w:hAnsi="Arial" w:cs="Arial"/>
                <w:color w:val="000000"/>
                <w:sz w:val="20"/>
              </w:rPr>
            </w:pPr>
            <w:r>
              <w:rPr>
                <w:rFonts w:ascii="Arial" w:hAnsi="Arial" w:cs="Arial"/>
                <w:color w:val="000000"/>
                <w:sz w:val="20"/>
              </w:rPr>
              <w:t>9,300</w:t>
            </w:r>
          </w:p>
        </w:tc>
      </w:tr>
      <w:tr w14:paraId="47969E26" w14:textId="77777777" w:rsidTr="00B6177A">
        <w:tblPrEx>
          <w:tblW w:w="855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tblPrEx>
        <w:trPr>
          <w:gridBefore w:val="1"/>
          <w:wBefore w:w="7" w:type="dxa"/>
          <w:trHeight w:val="1817"/>
        </w:trPr>
        <w:tc>
          <w:tcPr>
            <w:tcW w:w="1341" w:type="dxa"/>
            <w:tcBorders>
              <w:top w:val="single" w:sz="4" w:space="0" w:color="auto"/>
              <w:left w:val="single" w:sz="4" w:space="0" w:color="auto"/>
              <w:bottom w:val="single" w:sz="4" w:space="0" w:color="auto"/>
              <w:right w:val="single" w:sz="4" w:space="0" w:color="auto"/>
            </w:tcBorders>
            <w:shd w:val="clear" w:color="000000" w:fill="FFFFFF"/>
          </w:tcPr>
          <w:p w:rsidR="00EF0116" w:rsidRPr="00041FBA" w:rsidP="000A0A52" w14:paraId="40468839" w14:textId="0869F7EE">
            <w:pPr>
              <w:rPr>
                <w:rFonts w:ascii="Arial" w:hAnsi="Arial" w:cs="Arial"/>
                <w:color w:val="000000"/>
                <w:sz w:val="20"/>
              </w:rPr>
            </w:pPr>
            <w:r>
              <w:rPr>
                <w:rFonts w:ascii="Arial" w:hAnsi="Arial" w:cs="Arial"/>
                <w:color w:val="000000"/>
                <w:sz w:val="20"/>
              </w:rPr>
              <w:t>1206.161(h)(4)</w:t>
            </w:r>
          </w:p>
        </w:tc>
        <w:tc>
          <w:tcPr>
            <w:tcW w:w="3447" w:type="dxa"/>
            <w:gridSpan w:val="3"/>
            <w:tcBorders>
              <w:top w:val="single" w:sz="4" w:space="0" w:color="auto"/>
              <w:left w:val="single" w:sz="4" w:space="0" w:color="auto"/>
              <w:bottom w:val="single" w:sz="4" w:space="0" w:color="auto"/>
              <w:right w:val="single" w:sz="4" w:space="0" w:color="auto"/>
            </w:tcBorders>
            <w:shd w:val="clear" w:color="000000" w:fill="FFFFFF"/>
          </w:tcPr>
          <w:p w:rsidR="00EF0116" w:rsidRPr="00EF0116" w:rsidP="00EF0116" w14:paraId="7B5878C5" w14:textId="56F1F179">
            <w:pPr>
              <w:rPr>
                <w:rFonts w:ascii="Arial" w:hAnsi="Arial" w:cs="Arial"/>
                <w:color w:val="000000"/>
                <w:sz w:val="20"/>
              </w:rPr>
            </w:pPr>
            <w:r w:rsidRPr="00EF0116">
              <w:rPr>
                <w:rFonts w:ascii="Arial" w:hAnsi="Arial" w:cs="Arial"/>
                <w:color w:val="000000"/>
                <w:sz w:val="20"/>
              </w:rPr>
              <w:t xml:space="preserve">(4) Proposing a depreciation schedule to ONRR:  </w:t>
            </w:r>
          </w:p>
          <w:p w:rsidR="00EF0116" w:rsidRPr="00EF0116" w:rsidP="00EF0116" w14:paraId="79047059" w14:textId="2F73CB75">
            <w:pPr>
              <w:rPr>
                <w:rFonts w:ascii="Arial" w:hAnsi="Arial" w:cs="Arial"/>
                <w:color w:val="000000"/>
                <w:sz w:val="20"/>
              </w:rPr>
            </w:pPr>
            <w:r w:rsidRPr="00EF0116">
              <w:rPr>
                <w:rFonts w:ascii="Arial" w:hAnsi="Arial" w:cs="Arial"/>
                <w:color w:val="000000"/>
                <w:sz w:val="20"/>
              </w:rPr>
              <w:t xml:space="preserve">(i) If no depreciation schedule under 30 CFR part 1206 exists or has existed for an in-service fixed asset, you may propose to ONRR a depreciation schedule for your processing allowance.  </w:t>
            </w:r>
          </w:p>
          <w:p w:rsidR="00EF0116" w:rsidRPr="00041FBA" w:rsidP="00EF0116" w14:paraId="6CE4DAA1" w14:textId="3A56F2FB">
            <w:pPr>
              <w:rPr>
                <w:rFonts w:ascii="Arial" w:hAnsi="Arial" w:cs="Arial"/>
                <w:color w:val="000000"/>
                <w:sz w:val="20"/>
              </w:rPr>
            </w:pPr>
            <w:r w:rsidRPr="00EF0116">
              <w:rPr>
                <w:rFonts w:ascii="Arial" w:hAnsi="Arial" w:cs="Arial"/>
                <w:color w:val="000000"/>
                <w:sz w:val="20"/>
              </w:rPr>
              <w:t>(ii) If the depreciation schedule for an in-service fixed asset does not comply with 30 CFR part 1206, you may propose to ONRR a depreciation schedule for your processing allowance. </w:t>
            </w:r>
          </w:p>
        </w:tc>
        <w:tc>
          <w:tcPr>
            <w:tcW w:w="1232" w:type="dxa"/>
            <w:gridSpan w:val="2"/>
            <w:tcBorders>
              <w:top w:val="single" w:sz="4" w:space="0" w:color="auto"/>
              <w:left w:val="single" w:sz="4" w:space="0" w:color="auto"/>
              <w:bottom w:val="single" w:sz="4" w:space="0" w:color="auto"/>
              <w:right w:val="single" w:sz="4" w:space="0" w:color="auto"/>
            </w:tcBorders>
            <w:shd w:val="clear" w:color="000000" w:fill="FFFFFF"/>
          </w:tcPr>
          <w:p w:rsidR="00EF0116" w:rsidRPr="00DA417A" w:rsidP="000A0A52" w14:paraId="22A45038" w14:textId="48EBAA02">
            <w:pPr>
              <w:jc w:val="right"/>
              <w:rPr>
                <w:rFonts w:ascii="Arial" w:hAnsi="Arial" w:cs="Arial"/>
                <w:color w:val="000000"/>
                <w:sz w:val="20"/>
              </w:rPr>
            </w:pPr>
            <w:r>
              <w:rPr>
                <w:rFonts w:ascii="Arial" w:hAnsi="Arial" w:cs="Arial"/>
                <w:color w:val="000000"/>
                <w:sz w:val="20"/>
              </w:rPr>
              <w:t>24</w:t>
            </w:r>
          </w:p>
        </w:tc>
        <w:tc>
          <w:tcPr>
            <w:tcW w:w="1443" w:type="dxa"/>
            <w:gridSpan w:val="2"/>
            <w:tcBorders>
              <w:top w:val="single" w:sz="4" w:space="0" w:color="auto"/>
              <w:left w:val="single" w:sz="4" w:space="0" w:color="auto"/>
              <w:bottom w:val="single" w:sz="4" w:space="0" w:color="auto"/>
              <w:right w:val="single" w:sz="4" w:space="0" w:color="auto"/>
            </w:tcBorders>
            <w:shd w:val="clear" w:color="000000" w:fill="FFFFFF"/>
          </w:tcPr>
          <w:p w:rsidR="00EF0116" w:rsidRPr="00DA417A" w:rsidP="000A0A52" w14:paraId="14A64665" w14:textId="079A55AD">
            <w:pPr>
              <w:jc w:val="right"/>
              <w:rPr>
                <w:rFonts w:ascii="Arial" w:hAnsi="Arial" w:cs="Arial"/>
                <w:color w:val="000000"/>
                <w:sz w:val="20"/>
              </w:rPr>
            </w:pPr>
            <w:r>
              <w:rPr>
                <w:rFonts w:ascii="Arial" w:hAnsi="Arial" w:cs="Arial"/>
                <w:color w:val="000000"/>
                <w:sz w:val="20"/>
              </w:rPr>
              <w:t>9</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tcPr>
          <w:p w:rsidR="00EF0116" w:rsidRPr="00DA417A" w:rsidP="000A0A52" w14:paraId="49E74032" w14:textId="431B4CCA">
            <w:pPr>
              <w:jc w:val="right"/>
              <w:rPr>
                <w:rFonts w:ascii="Arial" w:hAnsi="Arial" w:cs="Arial"/>
                <w:color w:val="000000"/>
                <w:sz w:val="20"/>
              </w:rPr>
            </w:pPr>
            <w:r>
              <w:rPr>
                <w:rFonts w:ascii="Arial" w:hAnsi="Arial" w:cs="Arial"/>
                <w:color w:val="000000"/>
                <w:sz w:val="20"/>
              </w:rPr>
              <w:t>216</w:t>
            </w:r>
          </w:p>
        </w:tc>
      </w:tr>
      <w:tr w14:paraId="0C113E4A" w14:textId="77777777" w:rsidTr="0090061E">
        <w:tblPrEx>
          <w:tblW w:w="8550" w:type="dxa"/>
          <w:tblInd w:w="85" w:type="dxa"/>
          <w:tblLayout w:type="fixed"/>
          <w:tblCellMar>
            <w:left w:w="120" w:type="dxa"/>
            <w:right w:w="120" w:type="dxa"/>
          </w:tblCellMar>
          <w:tblLook w:val="00A0"/>
        </w:tblPrEx>
        <w:trPr>
          <w:gridBefore w:val="1"/>
          <w:wBefore w:w="7" w:type="dxa"/>
          <w:trHeight w:val="1457"/>
        </w:trPr>
        <w:tc>
          <w:tcPr>
            <w:tcW w:w="602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D4AB2" w14:paraId="6899242A" w14:textId="42A46B94">
            <w:pPr>
              <w:jc w:val="center"/>
              <w:rPr>
                <w:rFonts w:ascii="Arial" w:hAnsi="Arial" w:cs="Arial"/>
                <w:b/>
                <w:bCs/>
                <w:color w:val="000000"/>
                <w:sz w:val="20"/>
              </w:rPr>
            </w:pPr>
          </w:p>
        </w:tc>
        <w:tc>
          <w:tcPr>
            <w:tcW w:w="14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D4AB2" w:rsidP="000D4AB2" w14:paraId="77B6ADF6" w14:textId="77777777">
            <w:pPr>
              <w:rPr>
                <w:rFonts w:ascii="Arial" w:hAnsi="Arial" w:cs="Arial"/>
                <w:b/>
                <w:bCs/>
                <w:color w:val="000000"/>
                <w:sz w:val="20"/>
              </w:rPr>
            </w:pPr>
          </w:p>
          <w:p w:rsidR="00743A6E" w:rsidP="000D4AB2" w14:paraId="05E86016" w14:textId="77777777">
            <w:pPr>
              <w:jc w:val="center"/>
              <w:rPr>
                <w:rFonts w:ascii="Arial" w:hAnsi="Arial" w:cs="Arial"/>
                <w:b/>
                <w:bCs/>
                <w:color w:val="000000"/>
                <w:sz w:val="20"/>
              </w:rPr>
            </w:pPr>
          </w:p>
          <w:p w:rsidR="00957632" w:rsidRPr="00743A6E" w:rsidP="000D4AB2" w14:paraId="61C0659C" w14:textId="77777777">
            <w:pPr>
              <w:rPr>
                <w:rFonts w:ascii="Arial" w:hAnsi="Arial" w:cs="Arial"/>
                <w:b/>
                <w:bCs/>
                <w:color w:val="000000"/>
                <w:sz w:val="20"/>
              </w:rPr>
            </w:pPr>
          </w:p>
          <w:p w:rsidR="00957632" w:rsidRPr="00743A6E" w:rsidP="000D4AB2" w14:paraId="2D070F67" w14:textId="77777777">
            <w:pPr>
              <w:jc w:val="center"/>
              <w:rPr>
                <w:rFonts w:ascii="Arial" w:hAnsi="Arial" w:cs="Arial"/>
                <w:b/>
                <w:bCs/>
                <w:color w:val="000000"/>
                <w:sz w:val="20"/>
              </w:rPr>
            </w:pPr>
          </w:p>
          <w:p w:rsidR="00957632" w:rsidRPr="00743A6E" w:rsidP="000D4AB2" w14:paraId="02E6B452" w14:textId="77777777">
            <w:pPr>
              <w:jc w:val="center"/>
              <w:rPr>
                <w:rFonts w:ascii="Arial" w:hAnsi="Arial" w:cs="Arial"/>
                <w:b/>
                <w:bCs/>
                <w:color w:val="000000"/>
                <w:sz w:val="20"/>
              </w:rPr>
            </w:pPr>
          </w:p>
        </w:tc>
        <w:tc>
          <w:tcPr>
            <w:tcW w:w="1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743A6E" w:rsidP="000D4AB2" w14:paraId="67A04F5B" w14:textId="197BBD7B">
            <w:pPr>
              <w:jc w:val="center"/>
              <w:rPr>
                <w:rFonts w:ascii="Arial" w:hAnsi="Arial" w:cs="Arial"/>
                <w:b/>
                <w:bCs/>
                <w:color w:val="000000"/>
                <w:sz w:val="20"/>
              </w:rPr>
            </w:pPr>
          </w:p>
        </w:tc>
      </w:tr>
      <w:tr w14:paraId="5187A8A4" w14:textId="77777777" w:rsidTr="0090061E">
        <w:tblPrEx>
          <w:tblW w:w="8550" w:type="dxa"/>
          <w:tblInd w:w="85" w:type="dxa"/>
          <w:tblLayout w:type="fixed"/>
          <w:tblCellMar>
            <w:left w:w="120" w:type="dxa"/>
            <w:right w:w="120" w:type="dxa"/>
          </w:tblCellMar>
          <w:tblLook w:val="00A0"/>
        </w:tblPrEx>
        <w:trPr>
          <w:gridBefore w:val="1"/>
          <w:wBefore w:w="7" w:type="dxa"/>
          <w:trHeight w:val="278"/>
        </w:trPr>
        <w:tc>
          <w:tcPr>
            <w:tcW w:w="602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957632" w:rsidRPr="00041FBA" w:rsidP="000A0A52" w14:paraId="0C8F5A67" w14:textId="77777777">
            <w:pPr>
              <w:jc w:val="right"/>
              <w:rPr>
                <w:rFonts w:ascii="Arial" w:hAnsi="Arial" w:cs="Arial"/>
                <w:b/>
                <w:bCs/>
                <w:color w:val="000000"/>
                <w:sz w:val="20"/>
              </w:rPr>
            </w:pPr>
            <w:r w:rsidRPr="00041FBA">
              <w:rPr>
                <w:rFonts w:ascii="Arial" w:hAnsi="Arial" w:cs="Arial"/>
                <w:b/>
                <w:bCs/>
                <w:color w:val="000000"/>
                <w:sz w:val="20"/>
              </w:rPr>
              <w:t>TOTAL</w:t>
            </w:r>
          </w:p>
        </w:tc>
        <w:tc>
          <w:tcPr>
            <w:tcW w:w="144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57632" w:rsidRPr="003227A6" w:rsidP="000A0A52" w14:paraId="728BD9C3" w14:textId="5C9F8647">
            <w:pPr>
              <w:jc w:val="right"/>
              <w:rPr>
                <w:rFonts w:ascii="Arial" w:hAnsi="Arial" w:cs="Arial"/>
                <w:b/>
                <w:bCs/>
                <w:color w:val="000000"/>
                <w:sz w:val="20"/>
              </w:rPr>
            </w:pPr>
            <w:r w:rsidRPr="003227A6">
              <w:rPr>
                <w:rFonts w:ascii="Arial" w:hAnsi="Arial" w:cs="Arial"/>
                <w:b/>
                <w:bCs/>
                <w:color w:val="000000"/>
                <w:sz w:val="20"/>
              </w:rPr>
              <w:t>7</w:t>
            </w:r>
            <w:r>
              <w:rPr>
                <w:rFonts w:ascii="Arial" w:hAnsi="Arial" w:cs="Arial"/>
                <w:b/>
                <w:bCs/>
                <w:color w:val="000000"/>
                <w:sz w:val="20"/>
              </w:rPr>
              <w:t>53</w:t>
            </w:r>
          </w:p>
        </w:tc>
        <w:tc>
          <w:tcPr>
            <w:tcW w:w="1073" w:type="dxa"/>
            <w:tcBorders>
              <w:top w:val="single" w:sz="4" w:space="0" w:color="auto"/>
              <w:left w:val="single" w:sz="4" w:space="0" w:color="auto"/>
              <w:bottom w:val="single" w:sz="4" w:space="0" w:color="auto"/>
              <w:right w:val="single" w:sz="4" w:space="0" w:color="auto"/>
            </w:tcBorders>
            <w:shd w:val="clear" w:color="000000" w:fill="FFFFFF"/>
            <w:vAlign w:val="center"/>
          </w:tcPr>
          <w:p w:rsidR="00957632" w:rsidRPr="003227A6" w:rsidP="000A0A52" w14:paraId="7A2DFE74" w14:textId="6D98D151">
            <w:pPr>
              <w:jc w:val="right"/>
              <w:rPr>
                <w:rFonts w:ascii="Arial" w:hAnsi="Arial" w:cs="Arial"/>
                <w:b/>
                <w:bCs/>
                <w:color w:val="000000"/>
                <w:sz w:val="20"/>
              </w:rPr>
            </w:pPr>
            <w:r w:rsidRPr="003227A6">
              <w:rPr>
                <w:rFonts w:ascii="Arial" w:hAnsi="Arial" w:cs="Arial"/>
                <w:b/>
                <w:bCs/>
                <w:color w:val="000000"/>
                <w:sz w:val="20"/>
              </w:rPr>
              <w:t>46,344</w:t>
            </w:r>
          </w:p>
        </w:tc>
      </w:tr>
    </w:tbl>
    <w:p w:rsidR="00B65901" w:rsidRPr="00543296" w:rsidP="00B65901" w14:paraId="45A871A4" w14:textId="77777777">
      <w:pPr>
        <w:tabs>
          <w:tab w:val="left" w:pos="-1080"/>
          <w:tab w:val="left" w:pos="-720"/>
          <w:tab w:val="left" w:pos="360"/>
          <w:tab w:val="left" w:pos="810"/>
        </w:tabs>
        <w:rPr>
          <w:rFonts w:ascii="Times New Roman" w:hAnsi="Times New Roman"/>
        </w:rPr>
      </w:pPr>
    </w:p>
    <w:bookmarkEnd w:id="1"/>
    <w:p w:rsidR="00DB6B40" w14:paraId="2F16AAE9"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13.</w:t>
      </w:r>
      <w:r>
        <w:rPr>
          <w:rFonts w:ascii="Times New Roman" w:hAnsi="Times New Roman"/>
          <w:b/>
          <w:i/>
        </w:rPr>
        <w:tab/>
        <w:t>Provide an estimate of the total annual nonhour cost burden to respondents or recordkeepers resulting from the collection of information. (Do not include the cost of any hour burden already reflected in Items 12).</w:t>
      </w:r>
    </w:p>
    <w:p w:rsidR="00DB6B40" w14:paraId="13A78B5B" w14:textId="77777777">
      <w:pPr>
        <w:widowControl/>
        <w:tabs>
          <w:tab w:val="left" w:pos="-1080"/>
          <w:tab w:val="left" w:pos="-720"/>
          <w:tab w:val="left" w:pos="360"/>
          <w:tab w:val="left" w:pos="810"/>
        </w:tabs>
        <w:rPr>
          <w:rFonts w:ascii="Times New Roman" w:hAnsi="Times New Roman"/>
          <w:b/>
          <w:i/>
        </w:rPr>
      </w:pPr>
    </w:p>
    <w:p w:rsidR="00DB6B40" w14:paraId="1D99EC51" w14:textId="77777777">
      <w:pPr>
        <w:widowControl/>
        <w:numPr>
          <w:ilvl w:val="0"/>
          <w:numId w:val="15"/>
        </w:numPr>
        <w:tabs>
          <w:tab w:val="left" w:pos="-1080"/>
          <w:tab w:val="left" w:pos="-720"/>
          <w:tab w:val="left" w:pos="360"/>
          <w:tab w:val="left" w:pos="810"/>
        </w:tabs>
        <w:rPr>
          <w:rFonts w:ascii="Times New Roman" w:hAnsi="Times New Roman"/>
          <w:b/>
          <w:i/>
        </w:rPr>
      </w:pPr>
      <w:r>
        <w:rPr>
          <w:rFonts w:ascii="Times New Roman" w:hAnsi="Times New Roman"/>
          <w:b/>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B6B40" w14:paraId="350B9321" w14:textId="77777777">
      <w:pPr>
        <w:widowControl/>
        <w:tabs>
          <w:tab w:val="left" w:pos="-1080"/>
          <w:tab w:val="left" w:pos="-720"/>
          <w:tab w:val="left" w:pos="360"/>
          <w:tab w:val="left" w:pos="810"/>
        </w:tabs>
        <w:rPr>
          <w:rFonts w:ascii="Times New Roman" w:hAnsi="Times New Roman"/>
          <w:b/>
          <w:i/>
        </w:rPr>
      </w:pPr>
    </w:p>
    <w:p w:rsidR="00DB6B40" w14:paraId="18181934" w14:textId="77777777">
      <w:pPr>
        <w:widowControl/>
        <w:numPr>
          <w:ilvl w:val="0"/>
          <w:numId w:val="15"/>
        </w:numPr>
        <w:tabs>
          <w:tab w:val="left" w:pos="-1080"/>
          <w:tab w:val="left" w:pos="-720"/>
          <w:tab w:val="left" w:pos="360"/>
          <w:tab w:val="left" w:pos="810"/>
        </w:tabs>
        <w:rPr>
          <w:rFonts w:ascii="Times New Roman" w:hAnsi="Times New Roman"/>
          <w:i/>
        </w:rPr>
      </w:pPr>
      <w:r>
        <w:rPr>
          <w:rFonts w:ascii="Times New Roman" w:hAnsi="Times New Roman"/>
          <w:b/>
          <w:i/>
        </w:rPr>
        <w:t>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Pr>
          <w:rFonts w:ascii="Times New Roman" w:hAnsi="Times New Roman"/>
          <w:b/>
          <w:i/>
        </w:rPr>
        <w:t>pre-OMB</w:t>
      </w:r>
      <w:r>
        <w:rPr>
          <w:rFonts w:ascii="Times New Roman" w:hAnsi="Times New Roman"/>
          <w:b/>
        </w:rPr>
        <w:t xml:space="preserve"> </w:t>
      </w:r>
      <w:r>
        <w:rPr>
          <w:rFonts w:ascii="Times New Roman" w:hAnsi="Times New Roman"/>
          <w:b/>
          <w:i/>
        </w:rPr>
        <w:t>submission public comment process and use existing economic or regulatory impact analysis associated with the rulemaking containing the information collection, as appropriate.</w:t>
      </w:r>
    </w:p>
    <w:p w:rsidR="00DB6B40" w14:paraId="6F8BACEA" w14:textId="77777777">
      <w:pPr>
        <w:widowControl/>
        <w:tabs>
          <w:tab w:val="left" w:pos="-1080"/>
          <w:tab w:val="left" w:pos="-720"/>
          <w:tab w:val="left" w:pos="360"/>
          <w:tab w:val="left" w:pos="810"/>
        </w:tabs>
        <w:rPr>
          <w:rFonts w:ascii="Times New Roman" w:hAnsi="Times New Roman"/>
          <w:i/>
        </w:rPr>
      </w:pPr>
    </w:p>
    <w:p w:rsidR="00DB6B40" w14:paraId="5C7582B8" w14:textId="77777777">
      <w:pPr>
        <w:widowControl/>
        <w:numPr>
          <w:ilvl w:val="0"/>
          <w:numId w:val="15"/>
        </w:numPr>
        <w:tabs>
          <w:tab w:val="left" w:pos="-1080"/>
          <w:tab w:val="left" w:pos="-720"/>
          <w:tab w:val="left" w:pos="360"/>
          <w:tab w:val="left" w:pos="810"/>
        </w:tabs>
        <w:rPr>
          <w:rFonts w:ascii="Times New Roman" w:hAnsi="Times New Roman"/>
          <w:i/>
        </w:rPr>
      </w:pPr>
      <w:r>
        <w:rPr>
          <w:rFonts w:ascii="Times New Roman" w:hAnsi="Times New Roman"/>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B6B40" w14:paraId="2324B479" w14:textId="77777777">
      <w:pPr>
        <w:widowControl/>
        <w:tabs>
          <w:tab w:val="left" w:pos="-1080"/>
          <w:tab w:val="left" w:pos="-720"/>
          <w:tab w:val="left" w:pos="360"/>
          <w:tab w:val="left" w:pos="810"/>
        </w:tabs>
        <w:rPr>
          <w:rFonts w:ascii="Times New Roman" w:hAnsi="Times New Roman"/>
        </w:rPr>
      </w:pPr>
    </w:p>
    <w:p w:rsidR="00A724BC" w:rsidP="00A724BC" w14:paraId="3499E5FF" w14:textId="4B257B02">
      <w:pPr>
        <w:rPr>
          <w:rFonts w:ascii="Times New Roman" w:hAnsi="Times New Roman"/>
          <w:b/>
        </w:rPr>
      </w:pPr>
      <w:r>
        <w:rPr>
          <w:rFonts w:ascii="Times New Roman" w:hAnsi="Times New Roman"/>
        </w:rPr>
        <w:t>ONRR</w:t>
      </w:r>
      <w:r w:rsidR="00AE037B">
        <w:rPr>
          <w:rFonts w:ascii="Times New Roman" w:hAnsi="Times New Roman"/>
        </w:rPr>
        <w:t xml:space="preserve"> identified no “non-hour” cost burdens for this information collection</w:t>
      </w:r>
      <w:r w:rsidR="00AE037B">
        <w:rPr>
          <w:rFonts w:ascii="Times New Roman" w:hAnsi="Times New Roman"/>
          <w:b/>
        </w:rPr>
        <w:t>.</w:t>
      </w:r>
    </w:p>
    <w:p w:rsidR="00A724BC" w:rsidP="00A724BC" w14:paraId="56E077C4" w14:textId="77777777">
      <w:pPr>
        <w:rPr>
          <w:rFonts w:ascii="Times New Roman" w:hAnsi="Times New Roman"/>
          <w:b/>
        </w:rPr>
      </w:pPr>
    </w:p>
    <w:p w:rsidR="00A724BC" w:rsidP="00A724BC" w14:paraId="2C5F5954" w14:textId="77777777">
      <w:pPr>
        <w:rPr>
          <w:rFonts w:ascii="Times New Roman" w:hAnsi="Times New Roman"/>
          <w:b/>
        </w:rPr>
      </w:pPr>
      <w:r>
        <w:rPr>
          <w:rFonts w:ascii="Times New Roman" w:hAnsi="Times New Roman"/>
          <w:b/>
          <w:i/>
        </w:rPr>
        <w:t>14.</w:t>
      </w:r>
      <w:r>
        <w:rPr>
          <w:rFonts w:ascii="Times New Roman" w:hAnsi="Times New Roman"/>
          <w:b/>
          <w:i/>
        </w:rPr>
        <w:tab/>
        <w:t xml:space="preserve">Provide estimates of annualized cost to the Federal government. Also, provide a description of the method used to estimate cost, which should include quantification of </w:t>
      </w:r>
      <w:r>
        <w:rPr>
          <w:rFonts w:ascii="Times New Roman" w:hAnsi="Times New Roman"/>
          <w:b/>
          <w:i/>
        </w:rPr>
        <w:t>hours, operational expenses (such as equipment, overhead, printing, and support staff), and any other expense that would not have been incurred without this collection of information.</w:t>
      </w:r>
      <w:r w:rsidR="006F17E7">
        <w:rPr>
          <w:rFonts w:ascii="Times New Roman" w:hAnsi="Times New Roman"/>
          <w:bCs/>
        </w:rPr>
        <w:t xml:space="preserve"> </w:t>
      </w:r>
    </w:p>
    <w:p w:rsidR="00A724BC" w:rsidP="00A724BC" w14:paraId="2341C5DB" w14:textId="77777777">
      <w:pPr>
        <w:ind w:firstLine="720"/>
        <w:rPr>
          <w:rFonts w:ascii="Times New Roman" w:hAnsi="Times New Roman"/>
          <w:b/>
        </w:rPr>
      </w:pPr>
    </w:p>
    <w:p w:rsidR="00A724BC" w:rsidRPr="00A724BC" w:rsidP="00B02EF6" w14:paraId="3E7E047C" w14:textId="58C94DBD">
      <w:pPr>
        <w:ind w:firstLine="360"/>
        <w:rPr>
          <w:rFonts w:ascii="Times New Roman" w:hAnsi="Times New Roman"/>
          <w:b/>
        </w:rPr>
      </w:pPr>
      <w:r w:rsidRPr="006F17E7">
        <w:rPr>
          <w:rFonts w:ascii="Times New Roman" w:hAnsi="Times New Roman"/>
          <w:bCs/>
        </w:rPr>
        <w:t xml:space="preserve">ONRR </w:t>
      </w:r>
      <w:r>
        <w:rPr>
          <w:rFonts w:ascii="Times New Roman" w:hAnsi="Times New Roman"/>
          <w:bCs/>
        </w:rPr>
        <w:t>estimates that the total annual</w:t>
      </w:r>
      <w:r w:rsidR="00AE037B">
        <w:rPr>
          <w:rFonts w:ascii="Times New Roman" w:hAnsi="Times New Roman"/>
          <w:szCs w:val="24"/>
        </w:rPr>
        <w:t xml:space="preserve"> reporting burden for industry </w:t>
      </w:r>
      <w:r w:rsidR="003227A6">
        <w:rPr>
          <w:rFonts w:ascii="Times New Roman" w:hAnsi="Times New Roman"/>
          <w:szCs w:val="24"/>
        </w:rPr>
        <w:t>46,344</w:t>
      </w:r>
      <w:r w:rsidR="00AE037B">
        <w:rPr>
          <w:rFonts w:ascii="Times New Roman" w:hAnsi="Times New Roman"/>
          <w:szCs w:val="24"/>
        </w:rPr>
        <w:t xml:space="preserve"> hours, and that the Federal government accountant will spend 1 hour of their time for each burden hou</w:t>
      </w:r>
      <w:r w:rsidR="003227A6">
        <w:rPr>
          <w:rFonts w:ascii="Times New Roman" w:hAnsi="Times New Roman"/>
          <w:szCs w:val="24"/>
        </w:rPr>
        <w:t>r</w:t>
      </w:r>
      <w:r w:rsidR="00AE037B">
        <w:rPr>
          <w:rFonts w:ascii="Times New Roman" w:hAnsi="Times New Roman"/>
          <w:szCs w:val="24"/>
        </w:rPr>
        <w:t>.</w:t>
      </w:r>
      <w:r>
        <w:rPr>
          <w:rFonts w:ascii="Times New Roman" w:hAnsi="Times New Roman"/>
          <w:szCs w:val="24"/>
        </w:rPr>
        <w:t xml:space="preserve"> </w:t>
      </w:r>
      <w:r w:rsidRPr="00A724BC">
        <w:rPr>
          <w:rFonts w:ascii="Times New Roman" w:hAnsi="Times New Roman"/>
          <w:bCs/>
        </w:rPr>
        <w:t xml:space="preserve">A government accountant paid at the United States </w:t>
      </w:r>
      <w:r w:rsidRPr="00A724BC" w:rsidR="004C45D9">
        <w:rPr>
          <w:rFonts w:ascii="Times New Roman" w:hAnsi="Times New Roman"/>
          <w:bCs/>
        </w:rPr>
        <w:t>202</w:t>
      </w:r>
      <w:r w:rsidR="003227A6">
        <w:rPr>
          <w:rFonts w:ascii="Times New Roman" w:hAnsi="Times New Roman"/>
          <w:bCs/>
        </w:rPr>
        <w:t>6</w:t>
      </w:r>
      <w:r w:rsidRPr="00A724BC" w:rsidR="004C45D9">
        <w:rPr>
          <w:rFonts w:ascii="Times New Roman" w:hAnsi="Times New Roman"/>
          <w:bCs/>
        </w:rPr>
        <w:t xml:space="preserve"> </w:t>
      </w:r>
      <w:r w:rsidRPr="00A724BC">
        <w:rPr>
          <w:rFonts w:ascii="Times New Roman" w:hAnsi="Times New Roman"/>
          <w:bCs/>
        </w:rPr>
        <w:t xml:space="preserve">General Schedule, Grade 12/Step 5 pay-scale level, currently, performs the work. The </w:t>
      </w:r>
      <w:r w:rsidRPr="00A724BC" w:rsidR="004C45D9">
        <w:rPr>
          <w:rFonts w:ascii="Times New Roman" w:hAnsi="Times New Roman"/>
          <w:bCs/>
        </w:rPr>
        <w:t>202</w:t>
      </w:r>
      <w:r w:rsidR="003227A6">
        <w:rPr>
          <w:rFonts w:ascii="Times New Roman" w:hAnsi="Times New Roman"/>
          <w:bCs/>
        </w:rPr>
        <w:t>6</w:t>
      </w:r>
      <w:r w:rsidRPr="00A724BC" w:rsidR="004C45D9">
        <w:rPr>
          <w:rFonts w:ascii="Times New Roman" w:hAnsi="Times New Roman"/>
          <w:bCs/>
        </w:rPr>
        <w:t xml:space="preserve"> </w:t>
      </w:r>
      <w:r w:rsidRPr="00A724BC">
        <w:rPr>
          <w:rFonts w:ascii="Times New Roman" w:hAnsi="Times New Roman"/>
          <w:bCs/>
        </w:rPr>
        <w:t xml:space="preserve">salary tables for the Denver, Colorado, area are located at </w:t>
      </w:r>
      <w:r w:rsidRPr="004C45D9" w:rsidR="004C45D9">
        <w:rPr>
          <w:rFonts w:ascii="Times New Roman" w:hAnsi="Times New Roman"/>
          <w:bCs/>
        </w:rPr>
        <w:t>https://www.opm.gov/policy-data-oversight/pay-leave/salaries-wages/salary-tables/2</w:t>
      </w:r>
      <w:r w:rsidR="003227A6">
        <w:rPr>
          <w:rFonts w:ascii="Times New Roman" w:hAnsi="Times New Roman"/>
          <w:bCs/>
        </w:rPr>
        <w:t>6</w:t>
      </w:r>
      <w:r w:rsidRPr="004C45D9" w:rsidR="004C45D9">
        <w:rPr>
          <w:rFonts w:ascii="Times New Roman" w:hAnsi="Times New Roman"/>
          <w:bCs/>
        </w:rPr>
        <w:t>Tables/html/DEN.aspx</w:t>
      </w:r>
      <w:r w:rsidRPr="00A724BC">
        <w:rPr>
          <w:rFonts w:ascii="Times New Roman" w:hAnsi="Times New Roman"/>
          <w:bCs/>
        </w:rPr>
        <w:t>. ONRR added a multiplier of 1.6 [based on BLS News Releas</w:t>
      </w:r>
      <w:r w:rsidR="00F73D8D">
        <w:rPr>
          <w:rFonts w:ascii="Times New Roman" w:hAnsi="Times New Roman"/>
          <w:bCs/>
        </w:rPr>
        <w:t xml:space="preserve">e </w:t>
      </w:r>
      <w:r w:rsidRPr="00F73D8D" w:rsidR="00F73D8D">
        <w:rPr>
          <w:rFonts w:ascii="Times New Roman" w:hAnsi="Times New Roman"/>
          <w:bCs/>
        </w:rPr>
        <w:t>USDL-26-0505, March 20, 2026</w:t>
      </w:r>
      <w:r w:rsidR="00F73D8D">
        <w:rPr>
          <w:rFonts w:ascii="Times New Roman" w:hAnsi="Times New Roman"/>
          <w:bCs/>
        </w:rPr>
        <w:t xml:space="preserve"> </w:t>
      </w:r>
      <w:r w:rsidRPr="00A724BC">
        <w:rPr>
          <w:rFonts w:ascii="Times New Roman" w:hAnsi="Times New Roman"/>
          <w:bCs/>
        </w:rPr>
        <w:t>at</w:t>
      </w:r>
      <w:r w:rsidR="00F73D8D">
        <w:rPr>
          <w:rFonts w:ascii="Times New Roman" w:hAnsi="Times New Roman"/>
          <w:bCs/>
        </w:rPr>
        <w:t xml:space="preserve"> </w:t>
      </w:r>
      <w:r w:rsidRPr="00A724BC">
        <w:rPr>
          <w:rFonts w:ascii="Times New Roman" w:hAnsi="Times New Roman"/>
          <w:bCs/>
        </w:rPr>
        <w:t>https://www.bls.gov/news.release/eci.nr0.htm] for benefits</w:t>
      </w:r>
      <w:r>
        <w:rPr>
          <w:rFonts w:ascii="Times New Roman" w:hAnsi="Times New Roman"/>
          <w:bCs/>
        </w:rPr>
        <w:t xml:space="preserve">. </w:t>
      </w:r>
      <w:r w:rsidRPr="00A724BC">
        <w:rPr>
          <w:rFonts w:ascii="Times New Roman" w:hAnsi="Times New Roman"/>
          <w:szCs w:val="24"/>
        </w:rPr>
        <w:t xml:space="preserve">Based on this information, ONRR estimated the hourly cost for a Federal </w:t>
      </w:r>
      <w:r w:rsidR="00452852">
        <w:rPr>
          <w:rFonts w:ascii="Times New Roman" w:hAnsi="Times New Roman"/>
          <w:szCs w:val="24"/>
        </w:rPr>
        <w:t>G</w:t>
      </w:r>
      <w:r w:rsidRPr="00A724BC" w:rsidR="00452852">
        <w:rPr>
          <w:rFonts w:ascii="Times New Roman" w:hAnsi="Times New Roman"/>
          <w:szCs w:val="24"/>
        </w:rPr>
        <w:t xml:space="preserve">overnment </w:t>
      </w:r>
      <w:r w:rsidRPr="00A724BC">
        <w:rPr>
          <w:rFonts w:ascii="Times New Roman" w:hAnsi="Times New Roman"/>
          <w:szCs w:val="24"/>
        </w:rPr>
        <w:t>accountant to perform the work will be $</w:t>
      </w:r>
      <w:r w:rsidR="00452852">
        <w:rPr>
          <w:rFonts w:ascii="Times New Roman" w:hAnsi="Times New Roman"/>
          <w:szCs w:val="24"/>
        </w:rPr>
        <w:t>8</w:t>
      </w:r>
      <w:r w:rsidR="00F73D8D">
        <w:rPr>
          <w:rFonts w:ascii="Times New Roman" w:hAnsi="Times New Roman"/>
          <w:szCs w:val="24"/>
        </w:rPr>
        <w:t>7</w:t>
      </w:r>
      <w:r w:rsidRPr="00A724BC">
        <w:rPr>
          <w:rFonts w:ascii="Times New Roman" w:hAnsi="Times New Roman"/>
          <w:szCs w:val="24"/>
        </w:rPr>
        <w:t>, calculated as follows:</w:t>
      </w:r>
    </w:p>
    <w:p w:rsidR="00A724BC" w:rsidP="006F17E7" w14:paraId="54F7E11B" w14:textId="4483A725">
      <w:pPr>
        <w:keepNext/>
        <w:keepLines/>
        <w:widowControl/>
        <w:tabs>
          <w:tab w:val="left" w:pos="-1080"/>
          <w:tab w:val="left" w:pos="-720"/>
          <w:tab w:val="left" w:pos="360"/>
          <w:tab w:val="left" w:pos="810"/>
        </w:tabs>
        <w:rPr>
          <w:rFonts w:ascii="Times New Roman" w:hAnsi="Times New Roman"/>
          <w:szCs w:val="24"/>
        </w:rPr>
      </w:pPr>
    </w:p>
    <w:p w:rsidR="00A724BC" w:rsidRPr="00A724BC" w:rsidP="00A724BC" w14:paraId="56DFA763" w14:textId="3614CBF9">
      <w:pPr>
        <w:keepNext/>
        <w:keepLines/>
        <w:widowControl/>
        <w:tabs>
          <w:tab w:val="left" w:pos="-1080"/>
          <w:tab w:val="left" w:pos="-720"/>
          <w:tab w:val="left" w:pos="360"/>
          <w:tab w:val="left" w:pos="810"/>
        </w:tabs>
        <w:rPr>
          <w:rFonts w:ascii="Times New Roman" w:hAnsi="Times New Roman"/>
          <w:bCs/>
        </w:rPr>
      </w:pPr>
      <w:r w:rsidRPr="00A724BC">
        <w:rPr>
          <w:rFonts w:ascii="Times New Roman" w:hAnsi="Times New Roman"/>
          <w:bCs/>
        </w:rPr>
        <w:t>$</w:t>
      </w:r>
      <w:r w:rsidR="00F73D8D">
        <w:rPr>
          <w:rFonts w:ascii="Times New Roman" w:hAnsi="Times New Roman"/>
          <w:bCs/>
        </w:rPr>
        <w:t>54.20</w:t>
      </w:r>
      <w:r w:rsidRPr="00A724BC">
        <w:rPr>
          <w:rFonts w:ascii="Times New Roman" w:hAnsi="Times New Roman"/>
          <w:bCs/>
        </w:rPr>
        <w:t xml:space="preserve"> [GS-12/5] x 1.6 [benefits cost factor] = $</w:t>
      </w:r>
      <w:r w:rsidR="00F73D8D">
        <w:rPr>
          <w:rFonts w:ascii="Times New Roman" w:hAnsi="Times New Roman"/>
          <w:bCs/>
        </w:rPr>
        <w:t>86.72</w:t>
      </w:r>
      <w:r w:rsidRPr="00A724BC">
        <w:rPr>
          <w:rFonts w:ascii="Times New Roman" w:hAnsi="Times New Roman"/>
          <w:bCs/>
        </w:rPr>
        <w:t xml:space="preserve"> [rounded to $</w:t>
      </w:r>
      <w:r w:rsidR="00452852">
        <w:rPr>
          <w:rFonts w:ascii="Times New Roman" w:hAnsi="Times New Roman"/>
          <w:bCs/>
        </w:rPr>
        <w:t>8</w:t>
      </w:r>
      <w:r w:rsidR="00F73D8D">
        <w:rPr>
          <w:rFonts w:ascii="Times New Roman" w:hAnsi="Times New Roman"/>
          <w:bCs/>
        </w:rPr>
        <w:t>7</w:t>
      </w:r>
      <w:r w:rsidRPr="00A724BC">
        <w:rPr>
          <w:rFonts w:ascii="Times New Roman" w:hAnsi="Times New Roman"/>
          <w:bCs/>
        </w:rPr>
        <w:t xml:space="preserve">/hr.] </w:t>
      </w:r>
    </w:p>
    <w:p w:rsidR="00A724BC" w:rsidRPr="00A724BC" w:rsidP="00A724BC" w14:paraId="5D255243" w14:textId="77777777">
      <w:pPr>
        <w:keepNext/>
        <w:keepLines/>
        <w:widowControl/>
        <w:tabs>
          <w:tab w:val="left" w:pos="-1080"/>
          <w:tab w:val="left" w:pos="-720"/>
          <w:tab w:val="left" w:pos="360"/>
          <w:tab w:val="left" w:pos="810"/>
        </w:tabs>
        <w:rPr>
          <w:rFonts w:ascii="Times New Roman" w:hAnsi="Times New Roman"/>
          <w:bCs/>
        </w:rPr>
      </w:pPr>
    </w:p>
    <w:p w:rsidR="00A724BC" w:rsidRPr="00A724BC" w:rsidP="00A724BC" w14:paraId="7BD1B13F" w14:textId="1AF6DE42">
      <w:pPr>
        <w:keepNext/>
        <w:keepLines/>
        <w:widowControl/>
        <w:tabs>
          <w:tab w:val="left" w:pos="-1080"/>
          <w:tab w:val="left" w:pos="-720"/>
          <w:tab w:val="left" w:pos="360"/>
          <w:tab w:val="left" w:pos="810"/>
        </w:tabs>
        <w:rPr>
          <w:rFonts w:ascii="Times New Roman" w:hAnsi="Times New Roman"/>
          <w:bCs/>
        </w:rPr>
      </w:pPr>
      <w:r w:rsidRPr="00A724BC">
        <w:rPr>
          <w:rFonts w:ascii="Times New Roman" w:hAnsi="Times New Roman"/>
          <w:bCs/>
        </w:rPr>
        <w:t>The estimated annual cost to the Federal government is $</w:t>
      </w:r>
      <w:r>
        <w:rPr>
          <w:rFonts w:ascii="Times New Roman" w:hAnsi="Times New Roman"/>
          <w:bCs/>
        </w:rPr>
        <w:t>4,031,928</w:t>
      </w:r>
      <w:r w:rsidRPr="00A724BC">
        <w:rPr>
          <w:rFonts w:ascii="Times New Roman" w:hAnsi="Times New Roman"/>
          <w:bCs/>
        </w:rPr>
        <w:t xml:space="preserve"> calculated as follows:</w:t>
      </w:r>
    </w:p>
    <w:p w:rsidR="00A724BC" w:rsidRPr="00A724BC" w:rsidP="00A724BC" w14:paraId="3689C715" w14:textId="77777777">
      <w:pPr>
        <w:keepNext/>
        <w:keepLines/>
        <w:widowControl/>
        <w:tabs>
          <w:tab w:val="left" w:pos="-1080"/>
          <w:tab w:val="left" w:pos="-720"/>
          <w:tab w:val="left" w:pos="360"/>
          <w:tab w:val="left" w:pos="810"/>
        </w:tabs>
        <w:rPr>
          <w:rFonts w:ascii="Times New Roman" w:hAnsi="Times New Roman"/>
          <w:bCs/>
        </w:rPr>
      </w:pPr>
    </w:p>
    <w:p w:rsidR="00A724BC" w:rsidRPr="006F17E7" w:rsidP="00A724BC" w14:paraId="09B00438" w14:textId="61EF0709">
      <w:pPr>
        <w:keepNext/>
        <w:keepLines/>
        <w:widowControl/>
        <w:tabs>
          <w:tab w:val="left" w:pos="-1080"/>
          <w:tab w:val="left" w:pos="-720"/>
          <w:tab w:val="left" w:pos="360"/>
          <w:tab w:val="left" w:pos="810"/>
        </w:tabs>
        <w:rPr>
          <w:rFonts w:ascii="Times New Roman" w:hAnsi="Times New Roman"/>
          <w:bCs/>
        </w:rPr>
      </w:pPr>
      <w:r>
        <w:rPr>
          <w:rFonts w:ascii="Times New Roman" w:hAnsi="Times New Roman"/>
          <w:szCs w:val="24"/>
        </w:rPr>
        <w:t xml:space="preserve">46,344 </w:t>
      </w:r>
      <w:r w:rsidRPr="00A724BC">
        <w:rPr>
          <w:rFonts w:ascii="Times New Roman" w:hAnsi="Times New Roman"/>
          <w:bCs/>
        </w:rPr>
        <w:t>hrs./year [estimated time] x $</w:t>
      </w:r>
      <w:r>
        <w:rPr>
          <w:rFonts w:ascii="Times New Roman" w:hAnsi="Times New Roman"/>
          <w:bCs/>
        </w:rPr>
        <w:t>87</w:t>
      </w:r>
      <w:r w:rsidRPr="00A724BC">
        <w:rPr>
          <w:rFonts w:ascii="Times New Roman" w:hAnsi="Times New Roman"/>
          <w:bCs/>
        </w:rPr>
        <w:t>hr. [for Federal employee] = $</w:t>
      </w:r>
      <w:r>
        <w:rPr>
          <w:rFonts w:ascii="Times New Roman" w:hAnsi="Times New Roman"/>
          <w:bCs/>
        </w:rPr>
        <w:t>4,031,928</w:t>
      </w:r>
    </w:p>
    <w:p w:rsidR="00DB6B40" w14:paraId="4EB3BEBE" w14:textId="77777777">
      <w:pPr>
        <w:widowControl/>
        <w:tabs>
          <w:tab w:val="left" w:pos="-1080"/>
          <w:tab w:val="left" w:pos="-720"/>
          <w:tab w:val="left" w:pos="360"/>
          <w:tab w:val="left" w:pos="810"/>
        </w:tabs>
        <w:rPr>
          <w:rFonts w:ascii="Times New Roman" w:hAnsi="Times New Roman"/>
          <w:szCs w:val="24"/>
        </w:rPr>
      </w:pPr>
    </w:p>
    <w:p w:rsidR="00DB6B40" w14:paraId="60A96A05" w14:textId="77777777">
      <w:pPr>
        <w:tabs>
          <w:tab w:val="left" w:pos="-1080"/>
          <w:tab w:val="left" w:pos="-720"/>
          <w:tab w:val="left" w:pos="360"/>
          <w:tab w:val="left" w:pos="810"/>
        </w:tabs>
        <w:rPr>
          <w:rFonts w:ascii="Times New Roman" w:hAnsi="Times New Roman"/>
          <w:b/>
          <w:i/>
        </w:rPr>
      </w:pPr>
      <w:r>
        <w:rPr>
          <w:rFonts w:ascii="Times New Roman" w:hAnsi="Times New Roman"/>
          <w:b/>
          <w:i/>
        </w:rPr>
        <w:t>15.</w:t>
      </w:r>
      <w:r>
        <w:rPr>
          <w:rFonts w:ascii="Times New Roman" w:hAnsi="Times New Roman"/>
          <w:b/>
          <w:i/>
        </w:rPr>
        <w:tab/>
        <w:t>Explain the reasons for any program changes or adjustments in hour or cost burden.</w:t>
      </w:r>
    </w:p>
    <w:p w:rsidR="007F6D40" w14:paraId="7F22CB75" w14:textId="77777777">
      <w:pPr>
        <w:tabs>
          <w:tab w:val="left" w:pos="-1080"/>
          <w:tab w:val="left" w:pos="-720"/>
          <w:tab w:val="left" w:pos="360"/>
          <w:tab w:val="left" w:pos="810"/>
        </w:tabs>
        <w:rPr>
          <w:rFonts w:ascii="Times New Roman" w:hAnsi="Times New Roman"/>
          <w:b/>
          <w:i/>
        </w:rPr>
      </w:pPr>
    </w:p>
    <w:p w:rsidR="007F6D40" w14:paraId="717DC081" w14:textId="333FD673">
      <w:pPr>
        <w:tabs>
          <w:tab w:val="left" w:pos="-1080"/>
          <w:tab w:val="left" w:pos="-720"/>
          <w:tab w:val="left" w:pos="360"/>
          <w:tab w:val="left" w:pos="810"/>
        </w:tabs>
        <w:rPr>
          <w:rFonts w:ascii="Times New Roman" w:hAnsi="Times New Roman"/>
        </w:rPr>
      </w:pPr>
      <w:r w:rsidRPr="00DD5C3A">
        <w:rPr>
          <w:rFonts w:ascii="Times New Roman" w:hAnsi="Times New Roman"/>
        </w:rPr>
        <w:t xml:space="preserve">Under the proposed </w:t>
      </w:r>
      <w:r w:rsidR="00CB12CA">
        <w:rPr>
          <w:rFonts w:ascii="Times New Roman" w:hAnsi="Times New Roman"/>
        </w:rPr>
        <w:t xml:space="preserve">regulatory </w:t>
      </w:r>
      <w:r w:rsidRPr="00DD5C3A">
        <w:rPr>
          <w:rFonts w:ascii="Times New Roman" w:hAnsi="Times New Roman"/>
        </w:rPr>
        <w:t>changes at §§ 1206.112(i)(4), 1206.154(i)(4), and 1206.161(h)(4), a lessee may propose to ONRR a depreciation schedule if no depreciation schedule exists or has existed for an in-service fixed asset or if the depreciation schedule for an in-service fixed asset does not comply with the associated non-arm’s-length allowance regulations.</w:t>
      </w:r>
    </w:p>
    <w:p w:rsidR="00CB12CA" w14:paraId="6503767E" w14:textId="77777777">
      <w:pPr>
        <w:tabs>
          <w:tab w:val="left" w:pos="-1080"/>
          <w:tab w:val="left" w:pos="-720"/>
          <w:tab w:val="left" w:pos="360"/>
          <w:tab w:val="left" w:pos="810"/>
        </w:tabs>
        <w:rPr>
          <w:rFonts w:ascii="Times New Roman" w:hAnsi="Times New Roman"/>
        </w:rPr>
      </w:pPr>
    </w:p>
    <w:p w:rsidR="00CB12CA" w14:paraId="608A7C52" w14:textId="05764DAD">
      <w:pPr>
        <w:tabs>
          <w:tab w:val="left" w:pos="-1080"/>
          <w:tab w:val="left" w:pos="-720"/>
          <w:tab w:val="left" w:pos="360"/>
          <w:tab w:val="left" w:pos="810"/>
        </w:tabs>
        <w:rPr>
          <w:rFonts w:ascii="Times New Roman" w:hAnsi="Times New Roman"/>
        </w:rPr>
      </w:pPr>
      <w:r>
        <w:rPr>
          <w:rFonts w:ascii="Times New Roman" w:hAnsi="Times New Roman"/>
          <w:color w:val="000000"/>
          <w:szCs w:val="22"/>
        </w:rPr>
        <w:t>Under the proposed regulatory changes at §§ 1206.111(b)(12-14), 1206.112(d), 1206.153(b)(12-14), and 1206.154(c)(3), ONRR clarifies</w:t>
      </w:r>
      <w:r w:rsidRPr="007C276F">
        <w:rPr>
          <w:rFonts w:ascii="Times New Roman" w:hAnsi="Times New Roman"/>
          <w:color w:val="000000"/>
          <w:szCs w:val="22"/>
        </w:rPr>
        <w:t xml:space="preserve"> which OCS platform costs may be included in a transportation allowance in the regulations. This includes platform costs related to flow assurance</w:t>
      </w:r>
      <w:r>
        <w:rPr>
          <w:rFonts w:ascii="Times New Roman" w:hAnsi="Times New Roman"/>
          <w:color w:val="000000"/>
          <w:szCs w:val="22"/>
        </w:rPr>
        <w:t xml:space="preserve"> as well as </w:t>
      </w:r>
      <w:r w:rsidRPr="007C276F">
        <w:rPr>
          <w:rFonts w:ascii="Times New Roman" w:hAnsi="Times New Roman"/>
          <w:color w:val="000000"/>
          <w:szCs w:val="22"/>
        </w:rPr>
        <w:t>costs associated with pumps used to deliver oil into the export pipeline leaving the platform.</w:t>
      </w:r>
    </w:p>
    <w:p w:rsidR="00DB6B40" w14:paraId="14535E5A" w14:textId="126DA369">
      <w:pPr>
        <w:rPr>
          <w:rFonts w:ascii="Times New Roman" w:hAnsi="Times New Roman"/>
          <w:szCs w:val="24"/>
        </w:rPr>
      </w:pPr>
      <w:r>
        <w:rPr>
          <w:rFonts w:ascii="Times New Roman" w:hAnsi="Times New Roman"/>
          <w:szCs w:val="24"/>
        </w:rPr>
        <w:t xml:space="preserve"> </w:t>
      </w:r>
      <w:r>
        <w:rPr>
          <w:rFonts w:ascii="Times New Roman" w:hAnsi="Times New Roman"/>
          <w:szCs w:val="24"/>
        </w:rPr>
        <w:tab/>
      </w:r>
    </w:p>
    <w:p w:rsidR="00F73D8D" w14:paraId="3D5F6FD2" w14:textId="77777777">
      <w:pPr>
        <w:rPr>
          <w:rFonts w:ascii="Times New Roman" w:hAnsi="Times New Roman"/>
          <w:szCs w:val="24"/>
        </w:rPr>
      </w:pPr>
    </w:p>
    <w:p w:rsidR="00F73D8D" w:rsidRPr="00641F0E" w:rsidP="00F73D8D" w14:paraId="0732A5AD" w14:textId="77777777">
      <w:pPr>
        <w:numPr>
          <w:ilvl w:val="0"/>
          <w:numId w:val="28"/>
        </w:numPr>
        <w:spacing w:line="480" w:lineRule="auto"/>
        <w:contextualSpacing/>
        <w:rPr>
          <w:rFonts w:ascii="Times New Roman" w:eastAsia="Calibri" w:hAnsi="Times New Roman" w:cs="Arial"/>
          <w:szCs w:val="22"/>
        </w:rPr>
      </w:pPr>
      <w:r w:rsidRPr="00AF75BC">
        <w:rPr>
          <w:rFonts w:ascii="Times New Roman" w:hAnsi="Times New Roman"/>
          <w:color w:val="000000"/>
          <w:szCs w:val="22"/>
        </w:rPr>
        <w:t xml:space="preserve">Alternative in-service date – 30 CFR 1206.112(i)(1), 30 CFR 1206.154(i)(1), and 30 CFR 1206.161(h)(1) </w:t>
      </w:r>
    </w:p>
    <w:p w:rsidR="00F73D8D" w:rsidRPr="00AF75BC" w:rsidP="00F73D8D" w14:paraId="3D0AA33B" w14:textId="77777777">
      <w:pPr>
        <w:numPr>
          <w:ilvl w:val="0"/>
          <w:numId w:val="28"/>
        </w:numPr>
        <w:spacing w:line="480" w:lineRule="auto"/>
        <w:contextualSpacing/>
        <w:rPr>
          <w:rFonts w:ascii="Times New Roman" w:eastAsia="Calibri" w:hAnsi="Times New Roman" w:cs="Arial"/>
          <w:szCs w:val="22"/>
        </w:rPr>
      </w:pPr>
      <w:r>
        <w:rPr>
          <w:rFonts w:ascii="Times New Roman" w:hAnsi="Times New Roman"/>
          <w:color w:val="000000"/>
          <w:szCs w:val="22"/>
        </w:rPr>
        <w:t>Platform costs – 30 CFR 1206.111(b)(12-14), 30 CFR 1206.112(d), 30 CFR 1206.153(b)(12-14), and 30 CFR 1206.154(c)(3)</w:t>
      </w:r>
    </w:p>
    <w:p w:rsidR="00F73D8D" w:rsidRPr="00AF75BC" w:rsidP="00F73D8D" w14:paraId="5C24EFEA" w14:textId="77777777">
      <w:pPr>
        <w:numPr>
          <w:ilvl w:val="0"/>
          <w:numId w:val="28"/>
        </w:numPr>
        <w:spacing w:line="480" w:lineRule="auto"/>
        <w:contextualSpacing/>
        <w:rPr>
          <w:rFonts w:ascii="Times New Roman" w:eastAsia="Calibri" w:hAnsi="Times New Roman" w:cs="Arial"/>
          <w:szCs w:val="22"/>
        </w:rPr>
      </w:pPr>
      <w:r w:rsidRPr="00AF75BC">
        <w:rPr>
          <w:rFonts w:ascii="Times New Roman" w:hAnsi="Times New Roman"/>
          <w:color w:val="000000"/>
          <w:szCs w:val="22"/>
        </w:rPr>
        <w:t xml:space="preserve">Depreciation schedule proposal – 30 CFR 1206.112(i)(4), 30 CFR 1206.154(i)(4), </w:t>
      </w:r>
      <w:r w:rsidRPr="00AF75BC">
        <w:rPr>
          <w:rFonts w:ascii="Times New Roman" w:hAnsi="Times New Roman"/>
          <w:color w:val="000000"/>
          <w:szCs w:val="22"/>
        </w:rPr>
        <w:t>and 30 CFR 1206.161(</w:t>
      </w:r>
      <w:r>
        <w:rPr>
          <w:rFonts w:ascii="Times New Roman" w:hAnsi="Times New Roman"/>
          <w:color w:val="000000"/>
          <w:szCs w:val="22"/>
        </w:rPr>
        <w:t>h</w:t>
      </w:r>
      <w:r w:rsidRPr="00AF75BC">
        <w:rPr>
          <w:rFonts w:ascii="Times New Roman" w:hAnsi="Times New Roman"/>
          <w:color w:val="000000"/>
          <w:szCs w:val="22"/>
        </w:rPr>
        <w:t>)(4)</w:t>
      </w:r>
    </w:p>
    <w:p w:rsidR="00DB6B40" w:rsidP="00261DB7" w14:paraId="6E050A7C" w14:textId="2FB84DF5">
      <w:pPr>
        <w:widowControl/>
        <w:rPr>
          <w:rFonts w:ascii="Times New Roman" w:hAnsi="Times New Roman"/>
          <w:szCs w:val="24"/>
        </w:rPr>
      </w:pPr>
    </w:p>
    <w:p w:rsidR="00DB6B40" w14:paraId="52701BF9" w14:textId="77777777">
      <w:pPr>
        <w:rPr>
          <w:rFonts w:ascii="Times New Roman" w:hAnsi="Times New Roman"/>
        </w:rPr>
      </w:pPr>
    </w:p>
    <w:p w:rsidR="00DB6B40" w14:paraId="31EE1313" w14:textId="77777777">
      <w:pPr>
        <w:tabs>
          <w:tab w:val="left" w:pos="-1080"/>
          <w:tab w:val="left" w:pos="-720"/>
          <w:tab w:val="left" w:pos="360"/>
          <w:tab w:val="left" w:pos="810"/>
        </w:tabs>
        <w:rPr>
          <w:rFonts w:ascii="Times New Roman" w:hAnsi="Times New Roman"/>
        </w:rPr>
      </w:pPr>
      <w:r>
        <w:rPr>
          <w:rFonts w:ascii="Times New Roman" w:hAnsi="Times New Roman"/>
          <w:b/>
          <w:i/>
        </w:rPr>
        <w:t>16.</w:t>
      </w:r>
      <w:r>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6B40" w14:paraId="155E7DCC" w14:textId="77777777">
      <w:pPr>
        <w:widowControl/>
        <w:tabs>
          <w:tab w:val="left" w:pos="-1080"/>
          <w:tab w:val="left" w:pos="-720"/>
          <w:tab w:val="left" w:pos="360"/>
          <w:tab w:val="left" w:pos="810"/>
        </w:tabs>
        <w:rPr>
          <w:rFonts w:ascii="Times New Roman" w:hAnsi="Times New Roman"/>
        </w:rPr>
      </w:pPr>
    </w:p>
    <w:p w:rsidR="00DB6B40" w14:paraId="650CAFEF" w14:textId="77777777">
      <w:pPr>
        <w:widowControl/>
        <w:tabs>
          <w:tab w:val="left" w:pos="-1080"/>
          <w:tab w:val="left" w:pos="-720"/>
          <w:tab w:val="left" w:pos="360"/>
          <w:tab w:val="left" w:pos="810"/>
        </w:tabs>
        <w:rPr>
          <w:rFonts w:ascii="Times New Roman" w:hAnsi="Times New Roman"/>
        </w:rPr>
      </w:pPr>
      <w:r>
        <w:rPr>
          <w:rFonts w:ascii="Times New Roman" w:hAnsi="Times New Roman"/>
        </w:rPr>
        <w:t>ONRR will not publish the data.</w:t>
      </w:r>
    </w:p>
    <w:p w:rsidR="00DB6B40" w14:paraId="32C63FD6" w14:textId="77777777">
      <w:pPr>
        <w:widowControl/>
        <w:tabs>
          <w:tab w:val="left" w:pos="-1080"/>
          <w:tab w:val="left" w:pos="-720"/>
          <w:tab w:val="left" w:pos="360"/>
          <w:tab w:val="left" w:pos="810"/>
        </w:tabs>
        <w:rPr>
          <w:rFonts w:ascii="Times New Roman" w:hAnsi="Times New Roman"/>
        </w:rPr>
      </w:pPr>
    </w:p>
    <w:p w:rsidR="00DB6B40" w14:paraId="7A8BD0AD" w14:textId="77777777">
      <w:pPr>
        <w:tabs>
          <w:tab w:val="left" w:pos="-1080"/>
          <w:tab w:val="left" w:pos="-720"/>
          <w:tab w:val="left" w:pos="360"/>
          <w:tab w:val="left" w:pos="810"/>
        </w:tabs>
        <w:rPr>
          <w:rFonts w:ascii="Times New Roman" w:hAnsi="Times New Roman"/>
        </w:rPr>
      </w:pPr>
      <w:r>
        <w:rPr>
          <w:rFonts w:ascii="Times New Roman" w:hAnsi="Times New Roman"/>
          <w:b/>
          <w:i/>
        </w:rPr>
        <w:t>17.</w:t>
      </w:r>
      <w:r>
        <w:rPr>
          <w:rFonts w:ascii="Times New Roman" w:hAnsi="Times New Roman"/>
          <w:b/>
          <w:i/>
        </w:rPr>
        <w:tab/>
        <w:t>If seeking approval to not display the expiration date for OMB approval of the information collection, explain the reasons that display would be inappropriate.</w:t>
      </w:r>
    </w:p>
    <w:p w:rsidR="00DB6B40" w14:paraId="60D1782E" w14:textId="77777777">
      <w:pPr>
        <w:widowControl/>
        <w:tabs>
          <w:tab w:val="left" w:pos="-1080"/>
          <w:tab w:val="left" w:pos="-720"/>
          <w:tab w:val="left" w:pos="360"/>
          <w:tab w:val="left" w:pos="810"/>
        </w:tabs>
        <w:rPr>
          <w:rFonts w:ascii="Times New Roman" w:hAnsi="Times New Roman"/>
        </w:rPr>
      </w:pPr>
    </w:p>
    <w:p w:rsidR="00DB6B40" w14:paraId="5EFC55F3" w14:textId="77777777">
      <w:pPr>
        <w:widowControl/>
        <w:tabs>
          <w:tab w:val="left" w:pos="-1080"/>
          <w:tab w:val="left" w:pos="-720"/>
          <w:tab w:val="left" w:pos="360"/>
          <w:tab w:val="left" w:pos="810"/>
        </w:tabs>
        <w:rPr>
          <w:rFonts w:ascii="Times New Roman" w:hAnsi="Times New Roman"/>
        </w:rPr>
      </w:pPr>
      <w:r>
        <w:rPr>
          <w:rFonts w:ascii="Times New Roman" w:hAnsi="Times New Roman"/>
          <w:snapToGrid/>
          <w:szCs w:val="24"/>
        </w:rPr>
        <w:t>ONRR will display the OMB control number and expiration date on any information collection form(s).</w:t>
      </w:r>
    </w:p>
    <w:p w:rsidR="00DB6B40" w14:paraId="117A31EF" w14:textId="77777777">
      <w:pPr>
        <w:widowControl/>
        <w:tabs>
          <w:tab w:val="left" w:pos="-1080"/>
          <w:tab w:val="left" w:pos="-720"/>
          <w:tab w:val="left" w:pos="360"/>
          <w:tab w:val="left" w:pos="810"/>
        </w:tabs>
        <w:rPr>
          <w:rFonts w:ascii="Times New Roman" w:hAnsi="Times New Roman"/>
        </w:rPr>
      </w:pPr>
    </w:p>
    <w:p w:rsidR="00DB6B40" w14:paraId="17DA4B75" w14:textId="77777777">
      <w:pPr>
        <w:widowControl/>
        <w:tabs>
          <w:tab w:val="left" w:pos="-1080"/>
          <w:tab w:val="left" w:pos="-720"/>
          <w:tab w:val="left" w:pos="360"/>
          <w:tab w:val="left" w:pos="810"/>
        </w:tabs>
        <w:rPr>
          <w:rFonts w:ascii="Times New Roman" w:hAnsi="Times New Roman"/>
        </w:rPr>
      </w:pPr>
      <w:r>
        <w:rPr>
          <w:rFonts w:ascii="Times New Roman" w:hAnsi="Times New Roman"/>
          <w:b/>
          <w:i/>
        </w:rPr>
        <w:t>18.</w:t>
      </w:r>
      <w:r>
        <w:rPr>
          <w:rFonts w:ascii="Times New Roman" w:hAnsi="Times New Roman"/>
          <w:b/>
          <w:i/>
        </w:rPr>
        <w:tab/>
        <w:t>Explain each exception to the topics of the certification statement identified in “Certification for Paperwork Reduction Act Submissions.”</w:t>
      </w:r>
    </w:p>
    <w:p w:rsidR="00DB6B40" w14:paraId="2C8D92BC" w14:textId="77777777">
      <w:pPr>
        <w:widowControl/>
        <w:tabs>
          <w:tab w:val="left" w:pos="-1080"/>
          <w:tab w:val="left" w:pos="-720"/>
          <w:tab w:val="left" w:pos="360"/>
          <w:tab w:val="left" w:pos="810"/>
        </w:tabs>
        <w:rPr>
          <w:rFonts w:ascii="Times New Roman" w:hAnsi="Times New Roman"/>
        </w:rPr>
      </w:pPr>
    </w:p>
    <w:p w:rsidR="00DB6B40" w14:paraId="4E42F7DC" w14:textId="7777777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DB6B40" w14:paraId="7A2B8A49" w14:textId="77777777">
      <w:pPr>
        <w:pStyle w:val="QuickA"/>
        <w:numPr>
          <w:ilvl w:val="0"/>
          <w:numId w:val="0"/>
        </w:numPr>
        <w:tabs>
          <w:tab w:val="left" w:pos="-1080"/>
          <w:tab w:val="left" w:pos="-720"/>
          <w:tab w:val="left" w:pos="360"/>
          <w:tab w:val="left" w:pos="720"/>
        </w:tabs>
        <w:rPr>
          <w:rFonts w:ascii="Times New Roman" w:hAnsi="Times New Roman"/>
        </w:rPr>
      </w:pPr>
    </w:p>
    <w:sectPr>
      <w:footerReference w:type="even" r:id="rId11"/>
      <w:footerReference w:type="default" r:id="rId12"/>
      <w:type w:val="continuous"/>
      <w:pgSz w:w="12240" w:h="15840" w:code="1"/>
      <w:pgMar w:top="1440" w:right="21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10362" w14:paraId="207E0C2B" w14:textId="77777777">
      <w:r>
        <w:separator/>
      </w:r>
    </w:p>
    <w:p w:rsidR="00B10362" w14:paraId="1EA59135" w14:textId="77777777"/>
  </w:endnote>
  <w:endnote w:type="continuationSeparator" w:id="1">
    <w:p w:rsidR="00B10362" w14:paraId="01E04D00" w14:textId="77777777">
      <w:r>
        <w:continuationSeparator/>
      </w:r>
    </w:p>
    <w:p w:rsidR="00B10362" w14:paraId="14F6A4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B40" w14:paraId="4D29B4B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6B40" w14:paraId="54075E4C" w14:textId="77777777">
    <w:pPr>
      <w:pStyle w:val="Footer"/>
    </w:pPr>
  </w:p>
  <w:p w:rsidR="00DB6B40" w14:paraId="39B966D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B40" w14:paraId="5AFD263F" w14:textId="7777777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31</w:t>
    </w:r>
    <w:r>
      <w:rPr>
        <w:rStyle w:val="PageNumber"/>
        <w:rFonts w:ascii="Times New Roman" w:hAnsi="Times New Roman"/>
      </w:rPr>
      <w:fldChar w:fldCharType="end"/>
    </w:r>
  </w:p>
  <w:p w:rsidR="00DB6B40" w14:paraId="3CB11DF9" w14:textId="77777777">
    <w:pPr>
      <w:pStyle w:val="Footer"/>
      <w:tabs>
        <w:tab w:val="left" w:pos="1440"/>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0362" w14:paraId="005EE141" w14:textId="77777777">
      <w:r>
        <w:separator/>
      </w:r>
    </w:p>
    <w:p w:rsidR="00B10362" w14:paraId="52F417D6" w14:textId="77777777"/>
  </w:footnote>
  <w:footnote w:type="continuationSeparator" w:id="1">
    <w:p w:rsidR="00B10362" w14:paraId="240BECCB" w14:textId="77777777">
      <w:r>
        <w:continuationSeparator/>
      </w:r>
    </w:p>
    <w:p w:rsidR="00B10362" w14:paraId="7887F4F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73F6FFC4"/>
    <w:lvl w:ilvl="0">
      <w:start w:va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nsid w:val="03CD0447"/>
    <w:multiLevelType w:val="hybridMultilevel"/>
    <w:tmpl w:val="786C28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9E2BC0"/>
    <w:multiLevelType w:val="hybridMultilevel"/>
    <w:tmpl w:val="5DC6D02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
    <w:nsid w:val="0D0B19E2"/>
    <w:multiLevelType w:val="hybridMultilevel"/>
    <w:tmpl w:val="DD28C53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D6796B"/>
    <w:multiLevelType w:val="hybridMultilevel"/>
    <w:tmpl w:val="FB50F5FA"/>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D4F1FEE"/>
    <w:multiLevelType w:val="hybridMultilevel"/>
    <w:tmpl w:val="99722C9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1EED2D02"/>
    <w:multiLevelType w:val="hybridMultilevel"/>
    <w:tmpl w:val="4D589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3A3AB7"/>
    <w:multiLevelType w:val="hybridMultilevel"/>
    <w:tmpl w:val="14986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4D51AC"/>
    <w:multiLevelType w:val="hybridMultilevel"/>
    <w:tmpl w:val="13AE4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8328EA"/>
    <w:multiLevelType w:val="hybridMultilevel"/>
    <w:tmpl w:val="D622567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AFC4AE3"/>
    <w:multiLevelType w:val="hybridMultilevel"/>
    <w:tmpl w:val="74A4352A"/>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2">
    <w:nsid w:val="2F964082"/>
    <w:multiLevelType w:val="hybridMultilevel"/>
    <w:tmpl w:val="DF600E28"/>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FDC54B9"/>
    <w:multiLevelType w:val="hybridMultilevel"/>
    <w:tmpl w:val="2CE827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5041714"/>
    <w:multiLevelType w:val="hybridMultilevel"/>
    <w:tmpl w:val="6C8CC1E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62518A"/>
    <w:multiLevelType w:val="hybridMultilevel"/>
    <w:tmpl w:val="5C0A7CB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0361BBB"/>
    <w:multiLevelType w:val="hybridMultilevel"/>
    <w:tmpl w:val="322C42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29A556F"/>
    <w:multiLevelType w:val="hybridMultilevel"/>
    <w:tmpl w:val="9708AA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47E5FB3"/>
    <w:multiLevelType w:val="hybridMultilevel"/>
    <w:tmpl w:val="4630F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A76065"/>
    <w:multiLevelType w:val="hybridMultilevel"/>
    <w:tmpl w:val="171873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C5B0883"/>
    <w:multiLevelType w:val="hybridMultilevel"/>
    <w:tmpl w:val="83A829D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E8E7613"/>
    <w:multiLevelType w:val="hybridMultilevel"/>
    <w:tmpl w:val="06625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352AB"/>
    <w:multiLevelType w:val="hybridMultilevel"/>
    <w:tmpl w:val="412C85A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3">
    <w:nsid w:val="5BC841A0"/>
    <w:multiLevelType w:val="hybridMultilevel"/>
    <w:tmpl w:val="B854F7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B5B40FE"/>
    <w:multiLevelType w:val="hybridMultilevel"/>
    <w:tmpl w:val="26804B7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5">
    <w:nsid w:val="70356F23"/>
    <w:multiLevelType w:val="multilevel"/>
    <w:tmpl w:val="74A4352A"/>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6">
    <w:nsid w:val="7EA374BF"/>
    <w:multiLevelType w:val="hybridMultilevel"/>
    <w:tmpl w:val="474A327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019283031">
    <w:abstractNumId w:val="1"/>
    <w:lvlOverride w:ilvl="0">
      <w:startOverride w:val="2"/>
      <w:lvl w:ilvl="0">
        <w:start w:val="2"/>
        <w:numFmt w:val="decimal"/>
        <w:pStyle w:val="QuickA"/>
        <w:lvlText w:val="%1."/>
        <w:lvlJc w:val="left"/>
      </w:lvl>
    </w:lvlOverride>
  </w:num>
  <w:num w:numId="2" w16cid:durableId="718825141">
    <w:abstractNumId w:val="0"/>
    <w:lvlOverride w:ilvl="0">
      <w:lvl w:ilvl="0">
        <w:start w:val="0"/>
        <w:numFmt w:val="bullet"/>
        <w:lvlText w:val=""/>
        <w:legacy w:legacy="1" w:legacySpace="0" w:legacyIndent="0"/>
        <w:lvlJc w:val="left"/>
        <w:rPr>
          <w:rFonts w:ascii="Symbol" w:hAnsi="Symbol" w:hint="default"/>
        </w:rPr>
      </w:lvl>
    </w:lvlOverride>
  </w:num>
  <w:num w:numId="3" w16cid:durableId="580599187">
    <w:abstractNumId w:val="7"/>
  </w:num>
  <w:num w:numId="4" w16cid:durableId="674890970">
    <w:abstractNumId w:val="6"/>
  </w:num>
  <w:num w:numId="5" w16cid:durableId="1081567437">
    <w:abstractNumId w:val="3"/>
  </w:num>
  <w:num w:numId="6" w16cid:durableId="555972662">
    <w:abstractNumId w:val="19"/>
  </w:num>
  <w:num w:numId="7" w16cid:durableId="730272822">
    <w:abstractNumId w:val="16"/>
  </w:num>
  <w:num w:numId="8" w16cid:durableId="931745646">
    <w:abstractNumId w:val="24"/>
  </w:num>
  <w:num w:numId="9" w16cid:durableId="129251756">
    <w:abstractNumId w:val="11"/>
  </w:num>
  <w:num w:numId="10" w16cid:durableId="2082827378">
    <w:abstractNumId w:val="25"/>
  </w:num>
  <w:num w:numId="11" w16cid:durableId="996611744">
    <w:abstractNumId w:val="22"/>
  </w:num>
  <w:num w:numId="12" w16cid:durableId="274755045">
    <w:abstractNumId w:val="14"/>
  </w:num>
  <w:num w:numId="13" w16cid:durableId="1907716908">
    <w:abstractNumId w:val="2"/>
  </w:num>
  <w:num w:numId="14" w16cid:durableId="1306084590">
    <w:abstractNumId w:val="4"/>
  </w:num>
  <w:num w:numId="15" w16cid:durableId="1508204298">
    <w:abstractNumId w:val="13"/>
  </w:num>
  <w:num w:numId="16" w16cid:durableId="119080193">
    <w:abstractNumId w:val="20"/>
  </w:num>
  <w:num w:numId="17" w16cid:durableId="1310750804">
    <w:abstractNumId w:val="23"/>
  </w:num>
  <w:num w:numId="18" w16cid:durableId="2018073892">
    <w:abstractNumId w:val="0"/>
    <w:lvlOverride w:ilvl="0">
      <w:lvl w:ilvl="0">
        <w:start w:val="0"/>
        <w:numFmt w:val="bullet"/>
        <w:lvlText w:val=""/>
        <w:legacy w:legacy="1" w:legacySpace="0" w:legacyIndent="360"/>
        <w:lvlJc w:val="left"/>
        <w:rPr>
          <w:rFonts w:ascii="Symbol" w:hAnsi="Symbol" w:hint="default"/>
        </w:rPr>
      </w:lvl>
    </w:lvlOverride>
  </w:num>
  <w:num w:numId="19" w16cid:durableId="871847149">
    <w:abstractNumId w:val="5"/>
  </w:num>
  <w:num w:numId="20" w16cid:durableId="62143232">
    <w:abstractNumId w:val="10"/>
  </w:num>
  <w:num w:numId="21" w16cid:durableId="730007078">
    <w:abstractNumId w:val="15"/>
  </w:num>
  <w:num w:numId="22" w16cid:durableId="1629433708">
    <w:abstractNumId w:val="8"/>
  </w:num>
  <w:num w:numId="23" w16cid:durableId="179393969">
    <w:abstractNumId w:val="21"/>
  </w:num>
  <w:num w:numId="24" w16cid:durableId="1254319202">
    <w:abstractNumId w:val="17"/>
  </w:num>
  <w:num w:numId="25" w16cid:durableId="1827697150">
    <w:abstractNumId w:val="26"/>
  </w:num>
  <w:num w:numId="26" w16cid:durableId="858809566">
    <w:abstractNumId w:val="9"/>
  </w:num>
  <w:num w:numId="27" w16cid:durableId="1353262774">
    <w:abstractNumId w:val="12"/>
  </w:num>
  <w:num w:numId="28" w16cid:durableId="10955200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0"/>
    <w:rsid w:val="00041FBA"/>
    <w:rsid w:val="00051724"/>
    <w:rsid w:val="0007507A"/>
    <w:rsid w:val="000826C2"/>
    <w:rsid w:val="000934B0"/>
    <w:rsid w:val="00096313"/>
    <w:rsid w:val="000A0A52"/>
    <w:rsid w:val="000C2EF1"/>
    <w:rsid w:val="000D4AB2"/>
    <w:rsid w:val="000E3503"/>
    <w:rsid w:val="000E48EE"/>
    <w:rsid w:val="0014301D"/>
    <w:rsid w:val="00174415"/>
    <w:rsid w:val="001B0340"/>
    <w:rsid w:val="001B2D80"/>
    <w:rsid w:val="001B78B5"/>
    <w:rsid w:val="001D6A8C"/>
    <w:rsid w:val="002004BD"/>
    <w:rsid w:val="0023505E"/>
    <w:rsid w:val="00246D27"/>
    <w:rsid w:val="00261DB7"/>
    <w:rsid w:val="00265F71"/>
    <w:rsid w:val="002B39A0"/>
    <w:rsid w:val="003037B0"/>
    <w:rsid w:val="003227A6"/>
    <w:rsid w:val="00326698"/>
    <w:rsid w:val="00361000"/>
    <w:rsid w:val="0036572F"/>
    <w:rsid w:val="003C5C50"/>
    <w:rsid w:val="003F120E"/>
    <w:rsid w:val="003F6126"/>
    <w:rsid w:val="00425671"/>
    <w:rsid w:val="00450454"/>
    <w:rsid w:val="00452852"/>
    <w:rsid w:val="00472125"/>
    <w:rsid w:val="004C45D9"/>
    <w:rsid w:val="00535A42"/>
    <w:rsid w:val="00543296"/>
    <w:rsid w:val="00543CB1"/>
    <w:rsid w:val="00570A10"/>
    <w:rsid w:val="00593A79"/>
    <w:rsid w:val="0063156D"/>
    <w:rsid w:val="00641F0E"/>
    <w:rsid w:val="006433AD"/>
    <w:rsid w:val="006546F3"/>
    <w:rsid w:val="00662DDF"/>
    <w:rsid w:val="006F17E7"/>
    <w:rsid w:val="0072214B"/>
    <w:rsid w:val="00722204"/>
    <w:rsid w:val="0073313B"/>
    <w:rsid w:val="00743A6E"/>
    <w:rsid w:val="0074595C"/>
    <w:rsid w:val="007C276F"/>
    <w:rsid w:val="007C5977"/>
    <w:rsid w:val="007D3159"/>
    <w:rsid w:val="007F6D40"/>
    <w:rsid w:val="00855442"/>
    <w:rsid w:val="008C4737"/>
    <w:rsid w:val="008E4737"/>
    <w:rsid w:val="0090061E"/>
    <w:rsid w:val="0091565E"/>
    <w:rsid w:val="00957632"/>
    <w:rsid w:val="009A0E26"/>
    <w:rsid w:val="009C4617"/>
    <w:rsid w:val="00A274F5"/>
    <w:rsid w:val="00A42590"/>
    <w:rsid w:val="00A573CD"/>
    <w:rsid w:val="00A66AE0"/>
    <w:rsid w:val="00A724BC"/>
    <w:rsid w:val="00AA28AC"/>
    <w:rsid w:val="00AC53B3"/>
    <w:rsid w:val="00AE037B"/>
    <w:rsid w:val="00AF75BC"/>
    <w:rsid w:val="00B02EF6"/>
    <w:rsid w:val="00B10362"/>
    <w:rsid w:val="00B115A5"/>
    <w:rsid w:val="00B2350A"/>
    <w:rsid w:val="00B6177A"/>
    <w:rsid w:val="00B65901"/>
    <w:rsid w:val="00B72E11"/>
    <w:rsid w:val="00C10BF2"/>
    <w:rsid w:val="00C6512A"/>
    <w:rsid w:val="00CB12CA"/>
    <w:rsid w:val="00CB5110"/>
    <w:rsid w:val="00CE49D8"/>
    <w:rsid w:val="00CE547A"/>
    <w:rsid w:val="00CF0B33"/>
    <w:rsid w:val="00D16885"/>
    <w:rsid w:val="00D64FC3"/>
    <w:rsid w:val="00D67865"/>
    <w:rsid w:val="00DA3DA5"/>
    <w:rsid w:val="00DA417A"/>
    <w:rsid w:val="00DB6B40"/>
    <w:rsid w:val="00DD5360"/>
    <w:rsid w:val="00DD5C3A"/>
    <w:rsid w:val="00DF3E82"/>
    <w:rsid w:val="00E02864"/>
    <w:rsid w:val="00E31C2B"/>
    <w:rsid w:val="00EF0116"/>
    <w:rsid w:val="00F00648"/>
    <w:rsid w:val="00F23C96"/>
    <w:rsid w:val="00F73D8D"/>
    <w:rsid w:val="00FC77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4F0ADB"/>
  <w15:docId w15:val="{67ED5F09-84E2-4A63-B953-5A3F8DF2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rsid w:val="00AC53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qFormat/>
    <w:pPr>
      <w:keepNext/>
      <w:pBdr>
        <w:left w:val="single" w:sz="4" w:space="4" w:color="auto"/>
      </w:pBd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pPr>
      <w:numPr>
        <w:numId w:val="1"/>
      </w:numPr>
      <w:ind w:left="360" w:hanging="360"/>
    </w:pPr>
  </w:style>
  <w:style w:type="paragraph" w:styleId="BalloonText">
    <w:name w:val="Balloon Text"/>
    <w:basedOn w:val="Normal"/>
    <w:semiHidden/>
    <w:rPr>
      <w:rFonts w:ascii="MS Shell Dlg" w:hAnsi="MS Shell Dlg" w:cs="MS Shell Dlg"/>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pPr>
      <w:widowControl/>
    </w:pPr>
    <w:rPr>
      <w:snapToGrid/>
      <w:sz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rFonts w:ascii="Times New Roman" w:hAnsi="Times New Roman"/>
      <w:sz w:val="20"/>
    </w:rPr>
  </w:style>
  <w:style w:type="character" w:styleId="PageNumber">
    <w:name w:val="page number"/>
    <w:basedOn w:val="DefaultParagraphFont"/>
  </w:style>
  <w:style w:type="paragraph" w:styleId="CommentSubject">
    <w:name w:val="annotation subject"/>
    <w:basedOn w:val="CommentText"/>
    <w:next w:val="CommentText"/>
    <w:link w:val="CommentSubjectChar"/>
    <w:uiPriority w:val="99"/>
    <w:semiHidden/>
    <w:rPr>
      <w:rFonts w:ascii="Courier New" w:hAnsi="Courier New"/>
      <w:b/>
      <w:bCs/>
    </w:rPr>
  </w:style>
  <w:style w:type="character" w:styleId="Hyperlink">
    <w:name w:val="Hyperlink"/>
    <w:uiPriority w:val="99"/>
    <w:rPr>
      <w:color w:val="0000FF"/>
      <w:u w:val="single"/>
    </w:rPr>
  </w:style>
  <w:style w:type="character" w:styleId="Strong">
    <w:name w:val="Strong"/>
    <w:qFormat/>
    <w:rPr>
      <w:b/>
      <w:bCs/>
    </w:rPr>
  </w:style>
  <w:style w:type="paragraph" w:styleId="BodyText">
    <w:name w:val="Body Text"/>
    <w:basedOn w:val="Normal"/>
    <w:pPr>
      <w:tabs>
        <w:tab w:val="left" w:pos="-1080"/>
        <w:tab w:val="left" w:pos="-720"/>
        <w:tab w:val="left" w:pos="0"/>
        <w:tab w:val="left" w:pos="450"/>
        <w:tab w:val="left" w:pos="1440"/>
      </w:tabs>
    </w:pPr>
    <w:rPr>
      <w:rFonts w:ascii="Times New Roman" w:hAnsi="Times New Roman"/>
      <w:color w:val="0000FF"/>
    </w:rPr>
  </w:style>
  <w:style w:type="paragraph" w:styleId="BodyTextIndent">
    <w:name w:val="Body Text Indent"/>
    <w:basedOn w:val="Normal"/>
    <w:pPr>
      <w:spacing w:after="120"/>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spacing w:after="120" w:line="480" w:lineRule="auto"/>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Revision">
    <w:name w:val="Revision"/>
    <w:hidden/>
    <w:uiPriority w:val="99"/>
    <w:semiHidden/>
    <w:rPr>
      <w:rFonts w:ascii="Courier New" w:hAnsi="Courier New"/>
      <w:snapToGrid w:val="0"/>
      <w:sz w:val="24"/>
    </w:rPr>
  </w:style>
  <w:style w:type="character" w:customStyle="1" w:styleId="CommentTextChar">
    <w:name w:val="Comment Text Char"/>
    <w:basedOn w:val="DefaultParagraphFont"/>
    <w:link w:val="CommentText"/>
    <w:uiPriority w:val="99"/>
    <w:semiHidden/>
    <w:rsid w:val="00B65901"/>
    <w:rPr>
      <w:snapToGrid w:val="0"/>
    </w:rPr>
  </w:style>
  <w:style w:type="character" w:customStyle="1" w:styleId="CommentSubjectChar">
    <w:name w:val="Comment Subject Char"/>
    <w:basedOn w:val="CommentTextChar"/>
    <w:link w:val="CommentSubject"/>
    <w:uiPriority w:val="99"/>
    <w:semiHidden/>
    <w:rsid w:val="00B65901"/>
    <w:rPr>
      <w:rFonts w:ascii="Courier New" w:hAnsi="Courier New"/>
      <w:b/>
      <w:bCs/>
      <w:snapToGrid w:val="0"/>
    </w:rPr>
  </w:style>
  <w:style w:type="character" w:customStyle="1" w:styleId="paragraph-hierarchy">
    <w:name w:val="paragraph-hierarchy"/>
    <w:basedOn w:val="DefaultParagraphFont"/>
    <w:rsid w:val="00B65901"/>
  </w:style>
  <w:style w:type="character" w:customStyle="1" w:styleId="paren">
    <w:name w:val="paren"/>
    <w:basedOn w:val="DefaultParagraphFont"/>
    <w:rsid w:val="00B65901"/>
  </w:style>
  <w:style w:type="paragraph" w:styleId="ListParagraph">
    <w:name w:val="List Paragraph"/>
    <w:basedOn w:val="Normal"/>
    <w:uiPriority w:val="34"/>
    <w:qFormat/>
    <w:rsid w:val="00B65901"/>
    <w:pPr>
      <w:widowControl/>
      <w:spacing w:after="160" w:line="259" w:lineRule="auto"/>
      <w:ind w:left="720"/>
      <w:contextualSpacing/>
    </w:pPr>
    <w:rPr>
      <w:rFonts w:asciiTheme="minorHAnsi" w:eastAsiaTheme="minorHAnsi" w:hAnsiTheme="minorHAnsi" w:cstheme="minorBidi"/>
      <w:snapToGrid/>
      <w:sz w:val="22"/>
      <w:szCs w:val="22"/>
    </w:rPr>
  </w:style>
  <w:style w:type="paragraph" w:customStyle="1" w:styleId="indent-1">
    <w:name w:val="indent-1"/>
    <w:basedOn w:val="Normal"/>
    <w:rsid w:val="00B65901"/>
    <w:pPr>
      <w:widowControl/>
      <w:spacing w:before="100" w:beforeAutospacing="1" w:after="100" w:afterAutospacing="1"/>
    </w:pPr>
    <w:rPr>
      <w:rFonts w:ascii="Times New Roman" w:hAnsi="Times New Roman"/>
      <w:snapToGrid/>
      <w:szCs w:val="24"/>
    </w:rPr>
  </w:style>
  <w:style w:type="paragraph" w:customStyle="1" w:styleId="indent-2">
    <w:name w:val="indent-2"/>
    <w:basedOn w:val="Normal"/>
    <w:rsid w:val="00B65901"/>
    <w:pPr>
      <w:widowControl/>
      <w:spacing w:before="100" w:beforeAutospacing="1" w:after="100" w:afterAutospacing="1"/>
    </w:pPr>
    <w:rPr>
      <w:rFonts w:ascii="Times New Roman" w:hAnsi="Times New Roman"/>
      <w:snapToGrid/>
      <w:szCs w:val="24"/>
    </w:rPr>
  </w:style>
  <w:style w:type="character" w:customStyle="1" w:styleId="Heading1Char">
    <w:name w:val="Heading 1 Char"/>
    <w:basedOn w:val="DefaultParagraphFont"/>
    <w:link w:val="Heading1"/>
    <w:rsid w:val="00AC53B3"/>
    <w:rPr>
      <w:rFonts w:asciiTheme="majorHAnsi" w:eastAsiaTheme="majorEastAsia" w:hAnsiTheme="majorHAnsi" w:cstheme="majorBidi"/>
      <w:snapToGrid w:val="0"/>
      <w:color w:val="2E74B5" w:themeColor="accent1" w:themeShade="BF"/>
      <w:sz w:val="32"/>
      <w:szCs w:val="32"/>
    </w:rPr>
  </w:style>
  <w:style w:type="paragraph" w:styleId="NormalWeb">
    <w:name w:val="Normal (Web)"/>
    <w:basedOn w:val="Normal"/>
    <w:uiPriority w:val="99"/>
    <w:unhideWhenUsed/>
    <w:rsid w:val="00B72E11"/>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132011.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b56a8f-c205-45ee-9d88-4096a00fd0fc">
      <Terms xmlns="http://schemas.microsoft.com/office/infopath/2007/PartnerControls"/>
    </lcf76f155ced4ddcb4097134ff3c332f>
    <TaxCatchAll xmlns="31062a0d-ede8-4112-b4bb-00a9c1bc8e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C913228723924280983BDCB34D0F6E" ma:contentTypeVersion="13" ma:contentTypeDescription="Create a new document." ma:contentTypeScope="" ma:versionID="759ce656c7465a43006aa16b4e186b7f">
  <xsd:schema xmlns:xsd="http://www.w3.org/2001/XMLSchema" xmlns:xs="http://www.w3.org/2001/XMLSchema" xmlns:p="http://schemas.microsoft.com/office/2006/metadata/properties" xmlns:ns2="7cb56a8f-c205-45ee-9d88-4096a00fd0fc" xmlns:ns3="a6766774-30a2-4c8d-b456-98a46e3489f0" xmlns:ns4="31062a0d-ede8-4112-b4bb-00a9c1bc8e16" targetNamespace="http://schemas.microsoft.com/office/2006/metadata/properties" ma:root="true" ma:fieldsID="3f764bc1fc5d243f453c76daddba29ef" ns2:_="" ns3:_="" ns4:_="">
    <xsd:import namespace="7cb56a8f-c205-45ee-9d88-4096a00fd0fc"/>
    <xsd:import namespace="a6766774-30a2-4c8d-b456-98a46e3489f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56a8f-c205-45ee-9d88-4096a00fd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766774-30a2-4c8d-b456-98a46e3489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4d732d-dc59-4f5c-920b-044acb1ecaf4}" ma:internalName="TaxCatchAll" ma:showField="CatchAllData" ma:web="a6766774-30a2-4c8d-b456-98a46e3489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EFD0C-C327-4E4D-82EB-BBDE982C4B7B}">
  <ds:schemaRefs>
    <ds:schemaRef ds:uri="http://schemas.microsoft.com/sharepoint/v3/contenttype/forms"/>
  </ds:schemaRefs>
</ds:datastoreItem>
</file>

<file path=customXml/itemProps2.xml><?xml version="1.0" encoding="utf-8"?>
<ds:datastoreItem xmlns:ds="http://schemas.openxmlformats.org/officeDocument/2006/customXml" ds:itemID="{FC765C02-C7D3-481E-B000-C360C19C05AB}">
  <ds:schemaRefs>
    <ds:schemaRef ds:uri="http://schemas.openxmlformats.org/officeDocument/2006/bibliography"/>
  </ds:schemaRefs>
</ds:datastoreItem>
</file>

<file path=customXml/itemProps3.xml><?xml version="1.0" encoding="utf-8"?>
<ds:datastoreItem xmlns:ds="http://schemas.openxmlformats.org/officeDocument/2006/customXml" ds:itemID="{AA312997-7661-4742-BC76-48662FBEC46F}">
  <ds:schemaRefs>
    <ds:schemaRef ds:uri="http://schemas.microsoft.com/office/2006/metadata/properties"/>
    <ds:schemaRef ds:uri="http://schemas.microsoft.com/office/infopath/2007/PartnerControls"/>
    <ds:schemaRef ds:uri="7cb56a8f-c205-45ee-9d88-4096a00fd0fc"/>
    <ds:schemaRef ds:uri="31062a0d-ede8-4112-b4bb-00a9c1bc8e16"/>
  </ds:schemaRefs>
</ds:datastoreItem>
</file>

<file path=customXml/itemProps4.xml><?xml version="1.0" encoding="utf-8"?>
<ds:datastoreItem xmlns:ds="http://schemas.openxmlformats.org/officeDocument/2006/customXml" ds:itemID="{1E1D69B7-FE09-400B-9C05-8516C974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56a8f-c205-45ee-9d88-4096a00fd0fc"/>
    <ds:schemaRef ds:uri="a6766774-30a2-4c8d-b456-98a46e3489f0"/>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4169</Words>
  <Characters>23845</Characters>
  <Application>Microsoft Office Word</Application>
  <DocSecurity>0</DocSecurity>
  <Lines>645</Lines>
  <Paragraphs>184</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MMS</dc:creator>
  <cp:lastModifiedBy>Hensley, Ginger J (Federal)</cp:lastModifiedBy>
  <cp:revision>3</cp:revision>
  <cp:lastPrinted>2016-12-12T15:59:00Z</cp:lastPrinted>
  <dcterms:created xsi:type="dcterms:W3CDTF">2026-05-04T19:20:00Z</dcterms:created>
  <dcterms:modified xsi:type="dcterms:W3CDTF">2026-05-04T19:23:00Z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0x01010067C913228723924280983BDCB34D0F6E</vt:lpwstr>
  </property>
  <property fmtid="{D5CDD505-2E9C-101B-9397-08002B2CF9AE}" pid="3" name="MediaServiceImageTags">
    <vt:lpwstr/>
  </property>
  <property fmtid="{D5CDD505-2E9C-101B-9397-08002B2CF9AE}" pid="4" name="_NewReviewCycle">
    <vt:lpwstr/>
  </property>
</Properties>
</file>