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272AC" w:rsidRPr="00EB6D59" w:rsidP="00834865" w14:paraId="12A6687E" w14:textId="7D64806B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EB6D59">
        <w:rPr>
          <w:rFonts w:ascii="Times New Roman" w:hAnsi="Times New Roman"/>
          <w:b/>
          <w:bCs/>
        </w:rPr>
        <w:t>Supporting Statement for Paperwork Reduction Act Submission</w:t>
      </w:r>
    </w:p>
    <w:p w:rsidR="00F272AC" w:rsidRPr="00EB6D59" w14:paraId="3FE331FB" w14:textId="77777777">
      <w:pPr>
        <w:widowControl/>
        <w:rPr>
          <w:rFonts w:ascii="Times New Roman" w:hAnsi="Times New Roman"/>
        </w:rPr>
      </w:pPr>
    </w:p>
    <w:p w:rsidR="00F272AC" w:rsidRPr="00EB6D59" w14:paraId="0A012F1F" w14:textId="77777777">
      <w:pPr>
        <w:widowControl/>
        <w:rPr>
          <w:rFonts w:ascii="Times New Roman" w:hAnsi="Times New Roman"/>
        </w:rPr>
      </w:pPr>
      <w:r w:rsidRPr="00EB6D59">
        <w:rPr>
          <w:rFonts w:ascii="Times New Roman" w:hAnsi="Times New Roman"/>
          <w:b/>
          <w:bCs/>
        </w:rPr>
        <w:t>AGENCY:</w:t>
      </w:r>
      <w:r w:rsidRPr="00EB6D59">
        <w:rPr>
          <w:rFonts w:ascii="Times New Roman" w:hAnsi="Times New Roman"/>
        </w:rPr>
        <w:tab/>
        <w:t xml:space="preserve">Pension Benefit Guaranty Corporation </w:t>
      </w:r>
    </w:p>
    <w:p w:rsidR="00F272AC" w:rsidRPr="00EB6D59" w14:paraId="6A796FEE" w14:textId="77777777">
      <w:pPr>
        <w:widowControl/>
        <w:rPr>
          <w:rFonts w:ascii="Times New Roman" w:hAnsi="Times New Roman"/>
        </w:rPr>
      </w:pPr>
    </w:p>
    <w:p w:rsidR="00F272AC" w:rsidRPr="00EB6D59" w14:paraId="4FC7FC17" w14:textId="195C5997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EB6D59">
        <w:rPr>
          <w:rFonts w:ascii="Times New Roman" w:hAnsi="Times New Roman"/>
          <w:b/>
          <w:bCs/>
        </w:rPr>
        <w:t>TITLE:</w:t>
      </w:r>
      <w:r w:rsidRPr="00EB6D59">
        <w:rPr>
          <w:rFonts w:ascii="Times New Roman" w:hAnsi="Times New Roman"/>
        </w:rPr>
        <w:tab/>
        <w:t>Extension of Special Withdraw</w:t>
      </w:r>
      <w:r w:rsidR="000C1504">
        <w:rPr>
          <w:rFonts w:ascii="Times New Roman" w:hAnsi="Times New Roman"/>
        </w:rPr>
        <w:t>al Liability Rules (29 CFR </w:t>
      </w:r>
      <w:r w:rsidR="00834865">
        <w:rPr>
          <w:rFonts w:ascii="Times New Roman" w:hAnsi="Times New Roman"/>
        </w:rPr>
        <w:t>p</w:t>
      </w:r>
      <w:r w:rsidR="000C1504">
        <w:rPr>
          <w:rFonts w:ascii="Times New Roman" w:hAnsi="Times New Roman"/>
        </w:rPr>
        <w:t>art</w:t>
      </w:r>
      <w:r w:rsidRPr="00EB6D59" w:rsidR="000C1504">
        <w:rPr>
          <w:rFonts w:ascii="Times New Roman" w:hAnsi="Times New Roman"/>
        </w:rPr>
        <w:t> </w:t>
      </w:r>
      <w:r w:rsidRPr="00EB6D59">
        <w:rPr>
          <w:rFonts w:ascii="Times New Roman" w:hAnsi="Times New Roman"/>
        </w:rPr>
        <w:t xml:space="preserve">4203) </w:t>
      </w:r>
    </w:p>
    <w:p w:rsidR="00F272AC" w:rsidRPr="00EB6D59" w14:paraId="461ED725" w14:textId="77777777">
      <w:pPr>
        <w:widowControl/>
        <w:rPr>
          <w:rFonts w:ascii="Times New Roman" w:hAnsi="Times New Roman"/>
        </w:rPr>
      </w:pPr>
    </w:p>
    <w:p w:rsidR="00F272AC" w:rsidRPr="00DD24D7" w14:paraId="283089A6" w14:textId="58CDB2CD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EB6D59">
        <w:rPr>
          <w:rFonts w:ascii="Times New Roman" w:hAnsi="Times New Roman"/>
          <w:b/>
          <w:bCs/>
        </w:rPr>
        <w:t>STATUS:</w:t>
      </w:r>
      <w:r w:rsidRPr="00EB6D59">
        <w:rPr>
          <w:rFonts w:ascii="Times New Roman" w:hAnsi="Times New Roman"/>
        </w:rPr>
        <w:tab/>
        <w:t>Request for regular review and extension of currently approved collection (OMB control number 1212</w:t>
      </w:r>
      <w:r w:rsidRPr="00EB6D59" w:rsidR="00B110C6">
        <w:rPr>
          <w:rFonts w:ascii="Times New Roman" w:hAnsi="Times New Roman"/>
        </w:rPr>
        <w:noBreakHyphen/>
        <w:t xml:space="preserve">0023; expires </w:t>
      </w:r>
      <w:r w:rsidR="00834865">
        <w:rPr>
          <w:rFonts w:ascii="Times New Roman" w:hAnsi="Times New Roman"/>
        </w:rPr>
        <w:t>May 31, 2026</w:t>
      </w:r>
      <w:r w:rsidRPr="00DD24D7">
        <w:rPr>
          <w:rFonts w:ascii="Times New Roman" w:hAnsi="Times New Roman"/>
        </w:rPr>
        <w:t>)</w:t>
      </w:r>
    </w:p>
    <w:p w:rsidR="00F272AC" w:rsidRPr="00DD24D7" w14:paraId="691D6BA9" w14:textId="77777777">
      <w:pPr>
        <w:widowControl/>
        <w:rPr>
          <w:rFonts w:ascii="Times New Roman" w:hAnsi="Times New Roman"/>
        </w:rPr>
      </w:pPr>
    </w:p>
    <w:p w:rsidR="00F272AC" w:rsidRPr="00DD24D7" w:rsidP="00F3145A" w14:paraId="28B821BD" w14:textId="1C9BBAFD">
      <w:pPr>
        <w:widowControl/>
        <w:ind w:left="1440" w:hanging="1440"/>
        <w:rPr>
          <w:rFonts w:ascii="Times New Roman" w:hAnsi="Times New Roman"/>
        </w:rPr>
      </w:pPr>
      <w:r w:rsidRPr="00DD24D7">
        <w:rPr>
          <w:rFonts w:ascii="Times New Roman" w:hAnsi="Times New Roman"/>
          <w:b/>
          <w:bCs/>
        </w:rPr>
        <w:t>CONTACT:</w:t>
      </w:r>
      <w:r w:rsidRPr="00DD24D7" w:rsidR="00F71711">
        <w:rPr>
          <w:rFonts w:ascii="Times New Roman" w:hAnsi="Times New Roman"/>
        </w:rPr>
        <w:tab/>
      </w:r>
      <w:r w:rsidR="00834865">
        <w:rPr>
          <w:rFonts w:ascii="Times New Roman" w:hAnsi="Times New Roman"/>
        </w:rPr>
        <w:t>Monica O’Donnell</w:t>
      </w:r>
      <w:r w:rsidRPr="00DD24D7" w:rsidR="00F71711">
        <w:rPr>
          <w:rFonts w:ascii="Times New Roman" w:hAnsi="Times New Roman"/>
        </w:rPr>
        <w:t xml:space="preserve"> (</w:t>
      </w:r>
      <w:r w:rsidR="00AE74BD">
        <w:rPr>
          <w:rFonts w:ascii="Times New Roman" w:hAnsi="Times New Roman"/>
        </w:rPr>
        <w:t>202-229-</w:t>
      </w:r>
      <w:r w:rsidR="00834865">
        <w:rPr>
          <w:rFonts w:ascii="Times New Roman" w:hAnsi="Times New Roman"/>
        </w:rPr>
        <w:t>5507</w:t>
      </w:r>
      <w:r w:rsidRPr="00DD24D7">
        <w:rPr>
          <w:rFonts w:ascii="Times New Roman" w:hAnsi="Times New Roman"/>
        </w:rPr>
        <w:t>)</w:t>
      </w:r>
    </w:p>
    <w:p w:rsidR="00F272AC" w:rsidRPr="00DD24D7" w14:paraId="1D132A9B" w14:textId="77777777">
      <w:pPr>
        <w:widowControl/>
        <w:rPr>
          <w:rFonts w:ascii="Times New Roman" w:hAnsi="Times New Roman"/>
        </w:rPr>
      </w:pPr>
    </w:p>
    <w:p w:rsidR="00F272AC" w:rsidRPr="00DD24D7" w14:paraId="035642F8" w14:textId="5D36CD21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Need for collection.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>This collection of information is necessary for proper performance of agency functions under sections 4203(f) and 4208(e)(3) of the Employee Retirement Income Security Act of 1974 (ERISA).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Sections 4203(f) and 4208(e)(3) provide for the issuance of regulations by the Pension Benefit Guaranty Corporation (PBGC) under which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may approve a multiemployer pension plan</w:t>
      </w:r>
      <w:r w:rsidR="00B016AE">
        <w:rPr>
          <w:rFonts w:ascii="Times New Roman" w:hAnsi="Times New Roman"/>
        </w:rPr>
        <w:t>’</w:t>
      </w:r>
      <w:r w:rsidRPr="00EB6D59">
        <w:rPr>
          <w:rFonts w:ascii="Times New Roman" w:hAnsi="Times New Roman"/>
        </w:rPr>
        <w:t>s adoption of special rules for determining whether a complete or partial withdrawal from the plan has occurred.</w:t>
      </w:r>
      <w:r w:rsidR="00834865">
        <w:rPr>
          <w:rFonts w:ascii="Times New Roman" w:hAnsi="Times New Roman"/>
        </w:rPr>
        <w:t xml:space="preserve"> </w:t>
      </w:r>
      <w:r w:rsidRPr="00EB6D59">
        <w:rPr>
          <w:rFonts w:ascii="Times New Roman" w:hAnsi="Times New Roman"/>
        </w:rPr>
        <w:t xml:space="preserve">Section 4203(f) further provides that the regulations may permit use of special rules (1) only in </w:t>
      </w:r>
      <w:r w:rsidRPr="009D0AE1">
        <w:rPr>
          <w:rFonts w:ascii="Times New Roman" w:hAnsi="Times New Roman"/>
        </w:rPr>
        <w:t xml:space="preserve">industries that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finds have appropriate characteristics and (2) only in instances where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determines that use of such rules will not pose a significant risk to the multiemployer insurance system administered by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>.</w:t>
      </w:r>
      <w:r w:rsidR="00834865">
        <w:rPr>
          <w:rFonts w:ascii="Times New Roman" w:hAnsi="Times New Roman"/>
        </w:rPr>
        <w:t xml:space="preserve"> </w:t>
      </w:r>
    </w:p>
    <w:p w:rsidR="00F272AC" w:rsidRPr="00DD24D7" w:rsidP="00834865" w14:paraId="70285AB3" w14:textId="32CB20B2">
      <w:pPr>
        <w:widowControl/>
        <w:spacing w:line="480" w:lineRule="auto"/>
        <w:ind w:firstLine="720"/>
        <w:rPr>
          <w:rFonts w:ascii="Times New Roman" w:hAnsi="Times New Roman"/>
        </w:rPr>
        <w:sectPr w:rsidSect="00FE5CEB">
          <w:footerReference w:type="even" r:id="rId8"/>
          <w:footerReference w:type="default" r:id="rId9"/>
          <w:pgSz w:w="12240" w:h="15840"/>
          <w:pgMar w:top="1440" w:right="1440" w:bottom="1440" w:left="1440" w:header="1008" w:footer="1440" w:gutter="0"/>
          <w:cols w:space="720"/>
          <w:noEndnote/>
          <w:titlePg/>
          <w:docGrid w:linePitch="326"/>
        </w:sectPr>
      </w:pPr>
      <w:r w:rsidRPr="00DD24D7">
        <w:rPr>
          <w:rFonts w:ascii="Times New Roman" w:hAnsi="Times New Roman"/>
        </w:rPr>
        <w:t xml:space="preserve">In order to determine whether the special rules adopted by a plan meet the statutory requirements,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must have certain information about the rules, the plan, and the industry in which the plan operates.</w:t>
      </w:r>
      <w:r w:rsidR="00834865">
        <w:rPr>
          <w:rFonts w:ascii="Times New Roman" w:hAnsi="Times New Roman"/>
        </w:rPr>
        <w:t xml:space="preserve"> </w:t>
      </w:r>
      <w:r w:rsidRPr="00DD24D7" w:rsidR="00EE4537">
        <w:rPr>
          <w:rFonts w:ascii="Times New Roman" w:hAnsi="Times New Roman"/>
        </w:rPr>
        <w:t>PBGC</w:t>
      </w:r>
      <w:r w:rsidR="00270332">
        <w:rPr>
          <w:rFonts w:ascii="Times New Roman" w:hAnsi="Times New Roman"/>
        </w:rPr>
        <w:t>’</w:t>
      </w:r>
      <w:r w:rsidRPr="00EB6D59">
        <w:rPr>
          <w:rFonts w:ascii="Times New Roman" w:hAnsi="Times New Roman"/>
        </w:rPr>
        <w:t>s regulation on Extension of Special Withdrawal Liability Rules (29 CFR Pa</w:t>
      </w:r>
      <w:r w:rsidRPr="009D0AE1">
        <w:rPr>
          <w:rFonts w:ascii="Times New Roman" w:hAnsi="Times New Roman"/>
        </w:rPr>
        <w:t xml:space="preserve">rt 4203) requires a plan that adopts special rules to submit such information to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with its request for PBGC approval of the rules.</w:t>
      </w:r>
      <w:r w:rsidR="00834865">
        <w:rPr>
          <w:rFonts w:ascii="Times New Roman" w:hAnsi="Times New Roman"/>
        </w:rPr>
        <w:t xml:space="preserve"> </w:t>
      </w:r>
    </w:p>
    <w:p w:rsidR="00F272AC" w:rsidRPr="009D0AE1" w:rsidP="00DE7D82" w14:paraId="572C666F" w14:textId="36B0B604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The request must include: (1) identifying information; (2) the text of the special rules and an illustration of particular applications (for understanding the rules); (3) financial statements, participant counts, and an actuarial valuation (for assessing the special rules</w:t>
      </w:r>
      <w:r w:rsidR="00F87687">
        <w:rPr>
          <w:rFonts w:ascii="Times New Roman" w:hAnsi="Times New Roman"/>
        </w:rPr>
        <w:t>’</w:t>
      </w:r>
      <w:r w:rsidRPr="00EB6D59">
        <w:rPr>
          <w:rFonts w:ascii="Times New Roman" w:hAnsi="Times New Roman"/>
        </w:rPr>
        <w:t xml:space="preserve"> effect on the plan); </w:t>
      </w:r>
      <w:r w:rsidRPr="00EB6D59">
        <w:rPr>
          <w:rFonts w:ascii="Times New Roman" w:hAnsi="Times New Roman"/>
        </w:rPr>
        <w:t>(4) a description of the industry (for judging whether it is appropriate for sp</w:t>
      </w:r>
      <w:r w:rsidRPr="009D0AE1">
        <w:rPr>
          <w:rFonts w:ascii="Times New Roman" w:hAnsi="Times New Roman"/>
        </w:rPr>
        <w:t>ecial rules); and (5) a certification that required notices of the adoption of special rules have been given.</w:t>
      </w:r>
      <w:r w:rsidR="00834865">
        <w:rPr>
          <w:rFonts w:ascii="Times New Roman" w:hAnsi="Times New Roman"/>
        </w:rPr>
        <w:t xml:space="preserve"> </w:t>
      </w:r>
    </w:p>
    <w:p w:rsidR="00F272AC" w:rsidRPr="00DD24D7" w14:paraId="291EB623" w14:textId="01218C25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2.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Use of information.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Information submitted under the regulation is used by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in determining whether special withdrawal liability rules adopted by a plan meet the requirements of ERISA.</w:t>
      </w:r>
      <w:r w:rsidR="00834865">
        <w:rPr>
          <w:rFonts w:ascii="Times New Roman" w:hAnsi="Times New Roman"/>
        </w:rPr>
        <w:t xml:space="preserve"> </w:t>
      </w:r>
    </w:p>
    <w:p w:rsidR="00F272AC" w:rsidRPr="00DD24D7" w14:paraId="5DEE0C35" w14:textId="128B96D8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3.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Information technology.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>The reporting volume under the regulation is too low to warrant the use of high technology.</w:t>
      </w:r>
      <w:r w:rsidR="00834865">
        <w:rPr>
          <w:rFonts w:ascii="Times New Roman" w:hAnsi="Times New Roman"/>
        </w:rPr>
        <w:t xml:space="preserve"> </w:t>
      </w:r>
      <w:r w:rsidR="005C54FC">
        <w:rPr>
          <w:rFonts w:ascii="Times New Roman" w:hAnsi="Times New Roman"/>
        </w:rPr>
        <w:t>However, PBGC expects that most, if not all, plan sponsors and their representatives will use email and electronic versions of documents to provide the information required to PBGC under the regulation.</w:t>
      </w:r>
    </w:p>
    <w:p w:rsidR="00F272AC" w:rsidRPr="00DD24D7" w14:paraId="7CC27B86" w14:textId="4F23D278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4.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Duplicate or similar information.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The regulation imposes a special purpose information submission requirement that is triggered by a unique event (the adoption at a specific time by a specific plan of a specific amendment), and this is the only such requirement imposed by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for that event.</w:t>
      </w:r>
      <w:r w:rsidR="00834865">
        <w:rPr>
          <w:rFonts w:ascii="Times New Roman" w:hAnsi="Times New Roman"/>
        </w:rPr>
        <w:t xml:space="preserve"> </w:t>
      </w:r>
    </w:p>
    <w:p w:rsidR="00F272AC" w:rsidRPr="00DD24D7" w:rsidP="000275C5" w14:paraId="4C09B0DA" w14:textId="13C76D09">
      <w:pPr>
        <w:widowControl/>
        <w:spacing w:line="480" w:lineRule="auto"/>
        <w:ind w:firstLine="720"/>
        <w:rPr>
          <w:rFonts w:ascii="Times New Roman" w:hAnsi="Times New Roman"/>
        </w:rPr>
      </w:pPr>
      <w:bookmarkStart w:id="0" w:name="QuickMark"/>
      <w:bookmarkEnd w:id="0"/>
      <w:r w:rsidRPr="00DD24D7">
        <w:rPr>
          <w:rFonts w:ascii="Times New Roman" w:hAnsi="Times New Roman"/>
        </w:rPr>
        <w:t xml:space="preserve">The actuarial reports called for by the regulation are routinely prepared for other purposes (but not otherwise routinely sent to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>).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>To reduce burden, the regulation permits the submission of copi</w:t>
      </w:r>
      <w:r w:rsidRPr="00DD24D7" w:rsidR="00795A46">
        <w:rPr>
          <w:rFonts w:ascii="Times New Roman" w:hAnsi="Times New Roman"/>
        </w:rPr>
        <w:t>es of Form 5500</w:t>
      </w:r>
      <w:r w:rsidR="00637B3E">
        <w:rPr>
          <w:rFonts w:ascii="Times New Roman" w:hAnsi="Times New Roman"/>
        </w:rPr>
        <w:t>s and schedules</w:t>
      </w:r>
      <w:r w:rsidRPr="00DD24D7">
        <w:rPr>
          <w:rFonts w:ascii="Times New Roman" w:hAnsi="Times New Roman"/>
        </w:rPr>
        <w:t xml:space="preserve"> instead of financial statements and participant count information</w:t>
      </w:r>
      <w:r w:rsidRPr="00DD24D7" w:rsidR="003A7649">
        <w:rPr>
          <w:rFonts w:ascii="Times New Roman" w:hAnsi="Times New Roman"/>
        </w:rPr>
        <w:t>.</w:t>
      </w:r>
      <w:r w:rsidR="00834865">
        <w:rPr>
          <w:rFonts w:ascii="Times New Roman" w:hAnsi="Times New Roman"/>
        </w:rPr>
        <w:t xml:space="preserve"> </w:t>
      </w:r>
      <w:r w:rsidRPr="00DD24D7" w:rsidR="003A7649">
        <w:rPr>
          <w:rFonts w:ascii="Times New Roman" w:hAnsi="Times New Roman"/>
        </w:rPr>
        <w:t>Plans</w:t>
      </w:r>
      <w:r w:rsidR="004765F1">
        <w:rPr>
          <w:rFonts w:ascii="Times New Roman" w:hAnsi="Times New Roman"/>
        </w:rPr>
        <w:t>’</w:t>
      </w:r>
      <w:r w:rsidRPr="00DD24D7" w:rsidR="003A7649">
        <w:rPr>
          <w:rFonts w:ascii="Times New Roman" w:hAnsi="Times New Roman"/>
        </w:rPr>
        <w:t xml:space="preserve"> most recent Form 5500s (which may be substituted) are submitted by plans to a government contractor under a Form 5500 processing arrangement (known as “ERISA Filing Acceptance System 2” “EFAST2”), an all-electronic filing system that is managed by the Department of Labor.</w:t>
      </w:r>
      <w:r w:rsidR="00834865">
        <w:rPr>
          <w:rFonts w:ascii="Times New Roman" w:hAnsi="Times New Roman"/>
        </w:rPr>
        <w:t xml:space="preserve"> </w:t>
      </w:r>
      <w:r w:rsidRPr="00DD24D7" w:rsidR="003A7649">
        <w:rPr>
          <w:rFonts w:ascii="Times New Roman" w:hAnsi="Times New Roman"/>
        </w:rPr>
        <w:t xml:space="preserve">EFAST2 receives and displays Form 5500 filings </w:t>
      </w:r>
      <w:r w:rsidRPr="00DD24D7" w:rsidR="00720A6A">
        <w:rPr>
          <w:rFonts w:ascii="Times New Roman" w:hAnsi="Times New Roman"/>
        </w:rPr>
        <w:t xml:space="preserve">that </w:t>
      </w:r>
      <w:r w:rsidRPr="00DD24D7" w:rsidR="003A7649">
        <w:rPr>
          <w:rFonts w:ascii="Times New Roman" w:hAnsi="Times New Roman"/>
        </w:rPr>
        <w:t xml:space="preserve">PBGC (and the public) can </w:t>
      </w:r>
      <w:r w:rsidR="00F532EC">
        <w:rPr>
          <w:rFonts w:ascii="Times New Roman" w:hAnsi="Times New Roman"/>
        </w:rPr>
        <w:t xml:space="preserve">usually </w:t>
      </w:r>
      <w:r w:rsidRPr="00DD24D7" w:rsidR="003A7649">
        <w:rPr>
          <w:rFonts w:ascii="Times New Roman" w:hAnsi="Times New Roman"/>
        </w:rPr>
        <w:t>access within one day of submission.</w:t>
      </w:r>
    </w:p>
    <w:p w:rsidR="00F272AC" w:rsidRPr="00DD24D7" w14:paraId="64E102F6" w14:textId="68AA53DF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5.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Reducing the burden on small entities.</w:t>
      </w:r>
      <w:r w:rsidR="00834865">
        <w:rPr>
          <w:rFonts w:ascii="Times New Roman" w:hAnsi="Times New Roman"/>
        </w:rPr>
        <w:t xml:space="preserve"> </w:t>
      </w:r>
      <w:r w:rsidRPr="003D4F6C" w:rsidR="003D4F6C">
        <w:rPr>
          <w:rFonts w:ascii="Times New Roman" w:hAnsi="Times New Roman"/>
        </w:rPr>
        <w:t>Not applicable.</w:t>
      </w:r>
      <w:r w:rsidR="003D4F6C">
        <w:rPr>
          <w:rFonts w:ascii="Times New Roman" w:hAnsi="Times New Roman"/>
        </w:rPr>
        <w:t xml:space="preserve"> </w:t>
      </w:r>
      <w:r w:rsidRPr="003D4F6C" w:rsidR="003D4F6C">
        <w:rPr>
          <w:rFonts w:ascii="Times New Roman" w:hAnsi="Times New Roman"/>
        </w:rPr>
        <w:t>This information collection does not have significant economic impact on a substantial number of small entities.</w:t>
      </w:r>
    </w:p>
    <w:p w:rsidR="00F272AC" w:rsidRPr="00DD24D7" w14:paraId="273B7567" w14:textId="77777777">
      <w:pPr>
        <w:widowControl/>
        <w:spacing w:line="120" w:lineRule="auto"/>
        <w:rPr>
          <w:rFonts w:ascii="Times New Roman" w:hAnsi="Times New Roman"/>
        </w:rPr>
      </w:pPr>
    </w:p>
    <w:p w:rsidR="00F272AC" w:rsidRPr="00DD24D7" w14:paraId="2F13C8AF" w14:textId="07A918E0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6.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Consequence of reduced collection.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>The submission of information under the regulation occurs only when special withdrawal liability rules are adopted by a plan.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If the information were not submitted,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would not have the facts it needs to determine whether the special rules comply with ERISA.</w:t>
      </w:r>
      <w:r w:rsidR="00834865">
        <w:rPr>
          <w:rFonts w:ascii="Times New Roman" w:hAnsi="Times New Roman"/>
        </w:rPr>
        <w:t xml:space="preserve"> </w:t>
      </w:r>
    </w:p>
    <w:p w:rsidR="00F272AC" w:rsidRPr="00EB6D59" w14:paraId="0E2864FE" w14:textId="4DD1A461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7.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Consistency with guidelines.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The information collection is not conducted in a manner inconsistent with 5 CFR </w:t>
      </w:r>
      <w:r w:rsidRPr="001573AF" w:rsidR="00F87687">
        <w:rPr>
          <w:rFonts w:ascii="Times New Roman" w:hAnsi="Times New Roman"/>
        </w:rPr>
        <w:t>§</w:t>
      </w:r>
      <w:r w:rsidRPr="00EB6D59">
        <w:rPr>
          <w:rFonts w:ascii="Times New Roman" w:hAnsi="Times New Roman"/>
        </w:rPr>
        <w:t> 1320.5(d)(2).</w:t>
      </w:r>
      <w:r w:rsidR="00834865">
        <w:rPr>
          <w:rFonts w:ascii="Times New Roman" w:hAnsi="Times New Roman"/>
        </w:rPr>
        <w:t xml:space="preserve"> </w:t>
      </w:r>
    </w:p>
    <w:p w:rsidR="002360B1" w:rsidRPr="002360B1" w:rsidP="0061280F" w14:paraId="31DE6A1C" w14:textId="7381950E">
      <w:pPr>
        <w:widowControl/>
        <w:spacing w:line="480" w:lineRule="auto"/>
        <w:ind w:firstLine="720"/>
        <w:rPr>
          <w:rFonts w:ascii="Times New Roman" w:hAnsi="Times New Roman"/>
        </w:rPr>
      </w:pPr>
      <w:r w:rsidRPr="475FF899">
        <w:rPr>
          <w:rFonts w:ascii="Times New Roman" w:hAnsi="Times New Roman"/>
        </w:rPr>
        <w:t>8.</w:t>
      </w:r>
      <w:r w:rsidR="00834865">
        <w:rPr>
          <w:rFonts w:ascii="Times New Roman" w:hAnsi="Times New Roman"/>
        </w:rPr>
        <w:t xml:space="preserve"> </w:t>
      </w:r>
      <w:r w:rsidRPr="475FF899">
        <w:rPr>
          <w:rFonts w:ascii="Times New Roman" w:hAnsi="Times New Roman"/>
          <w:u w:val="single"/>
        </w:rPr>
        <w:t>Outside input.</w:t>
      </w:r>
      <w:r w:rsidR="00834865">
        <w:rPr>
          <w:rFonts w:ascii="Times New Roman" w:hAnsi="Times New Roman"/>
        </w:rPr>
        <w:t xml:space="preserve"> </w:t>
      </w:r>
      <w:r w:rsidRPr="447E1146" w:rsidR="0061280F">
        <w:rPr>
          <w:rFonts w:ascii="Times New Roman" w:hAnsi="Times New Roman"/>
        </w:rPr>
        <w:t xml:space="preserve">PBGC published a Federal Register notice soliciting public comment on this and other collections of information pursuant to 5 CFR § 1320.8(d) </w:t>
      </w:r>
      <w:r w:rsidR="0061280F">
        <w:rPr>
          <w:rFonts w:ascii="Times New Roman" w:hAnsi="Times New Roman"/>
        </w:rPr>
        <w:t xml:space="preserve">on </w:t>
      </w:r>
      <w:r w:rsidRPr="447E1146" w:rsidR="0061280F">
        <w:rPr>
          <w:rFonts w:ascii="Times New Roman" w:hAnsi="Times New Roman"/>
        </w:rPr>
        <w:t xml:space="preserve">January </w:t>
      </w:r>
      <w:r w:rsidR="0061280F">
        <w:rPr>
          <w:rFonts w:ascii="Times New Roman" w:hAnsi="Times New Roman"/>
        </w:rPr>
        <w:t>12</w:t>
      </w:r>
      <w:r w:rsidRPr="447E1146" w:rsidR="0061280F">
        <w:rPr>
          <w:rFonts w:ascii="Times New Roman" w:hAnsi="Times New Roman"/>
        </w:rPr>
        <w:t>, 202</w:t>
      </w:r>
      <w:r w:rsidR="0061280F">
        <w:rPr>
          <w:rFonts w:ascii="Times New Roman" w:hAnsi="Times New Roman"/>
        </w:rPr>
        <w:t>6 (</w:t>
      </w:r>
      <w:r w:rsidRPr="447E1146" w:rsidR="0061280F">
        <w:rPr>
          <w:rFonts w:ascii="Times New Roman" w:hAnsi="Times New Roman"/>
        </w:rPr>
        <w:t xml:space="preserve">at </w:t>
      </w:r>
      <w:r w:rsidR="0061280F">
        <w:rPr>
          <w:rFonts w:ascii="Times New Roman" w:hAnsi="Times New Roman"/>
        </w:rPr>
        <w:t>91 FR 1217</w:t>
      </w:r>
      <w:r w:rsidRPr="447E1146" w:rsidR="0061280F">
        <w:rPr>
          <w:rFonts w:ascii="Times New Roman" w:hAnsi="Times New Roman"/>
        </w:rPr>
        <w:t>).</w:t>
      </w:r>
      <w:r w:rsidR="0061280F">
        <w:rPr>
          <w:rFonts w:ascii="Times New Roman" w:hAnsi="Times New Roman"/>
        </w:rPr>
        <w:t xml:space="preserve"> </w:t>
      </w:r>
      <w:r w:rsidRPr="447E1146" w:rsidR="0061280F">
        <w:rPr>
          <w:rFonts w:ascii="Times New Roman" w:hAnsi="Times New Roman"/>
        </w:rPr>
        <w:t xml:space="preserve">No public comments were received in response to the notice. </w:t>
      </w:r>
    </w:p>
    <w:p w:rsidR="00F272AC" w:rsidRPr="00DD24D7" w14:paraId="45AF2F12" w14:textId="2B8A5E32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9.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Payment to respondents.</w:t>
      </w:r>
      <w:r w:rsidR="00834865">
        <w:rPr>
          <w:rFonts w:ascii="Times New Roman" w:hAnsi="Times New Roman"/>
        </w:rPr>
        <w:t xml:space="preserve">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provides no payments or gifts to respondents in connection with this collection of information.</w:t>
      </w:r>
      <w:r w:rsidR="00834865">
        <w:rPr>
          <w:rFonts w:ascii="Times New Roman" w:hAnsi="Times New Roman"/>
        </w:rPr>
        <w:t xml:space="preserve"> </w:t>
      </w:r>
    </w:p>
    <w:p w:rsidR="00F272AC" w:rsidRPr="00EB6D59" w14:paraId="5CB0F36F" w14:textId="1CCEA387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10.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Confidentiality.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The regulation gives no assurance of confidentiality, but information submitted to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under the regulation is accessible only in accordance with applicable law and regulations.</w:t>
      </w:r>
      <w:r w:rsidR="00834865">
        <w:rPr>
          <w:rFonts w:ascii="Times New Roman" w:hAnsi="Times New Roman"/>
        </w:rPr>
        <w:t xml:space="preserve"> </w:t>
      </w:r>
      <w:r w:rsidRPr="00DD24D7" w:rsidR="00EE4537">
        <w:rPr>
          <w:rFonts w:ascii="Times New Roman" w:hAnsi="Times New Roman"/>
        </w:rPr>
        <w:t>PBGC</w:t>
      </w:r>
      <w:r w:rsidR="00F87687">
        <w:rPr>
          <w:rFonts w:ascii="Times New Roman" w:hAnsi="Times New Roman"/>
        </w:rPr>
        <w:t>’</w:t>
      </w:r>
      <w:r w:rsidRPr="00EB6D59">
        <w:rPr>
          <w:rFonts w:ascii="Times New Roman" w:hAnsi="Times New Roman"/>
        </w:rPr>
        <w:t xml:space="preserve">s rules providing and restricting access to its records are set forth in 29 CFR </w:t>
      </w:r>
      <w:r w:rsidR="00E439F0">
        <w:rPr>
          <w:rFonts w:ascii="Times New Roman" w:hAnsi="Times New Roman"/>
        </w:rPr>
        <w:t>p</w:t>
      </w:r>
      <w:r w:rsidRPr="00EB6D59">
        <w:rPr>
          <w:rFonts w:ascii="Times New Roman" w:hAnsi="Times New Roman"/>
        </w:rPr>
        <w:t>art 4901.</w:t>
      </w:r>
      <w:r w:rsidR="00834865">
        <w:rPr>
          <w:rFonts w:ascii="Times New Roman" w:hAnsi="Times New Roman"/>
        </w:rPr>
        <w:t xml:space="preserve"> </w:t>
      </w:r>
    </w:p>
    <w:p w:rsidR="003A7649" w:rsidRPr="00DD24D7" w14:paraId="0E3060CB" w14:textId="66E6BF0F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11.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Personal questions.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The regulation does not call for submission </w:t>
      </w:r>
      <w:r w:rsidRPr="00DD24D7">
        <w:rPr>
          <w:rFonts w:ascii="Times New Roman" w:hAnsi="Times New Roman"/>
        </w:rPr>
        <w:t>of information of a sensitive nature.</w:t>
      </w:r>
    </w:p>
    <w:p w:rsidR="00F272AC" w:rsidRPr="00DD24D7" w:rsidP="0005497A" w14:paraId="7412DE35" w14:textId="64EAFD3E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12.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Hour burden on the public.</w:t>
      </w:r>
      <w:r w:rsidR="00834865">
        <w:rPr>
          <w:rFonts w:ascii="Times New Roman" w:hAnsi="Times New Roman"/>
        </w:rPr>
        <w:t xml:space="preserve">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estimates that it </w:t>
      </w:r>
      <w:r w:rsidR="00A30A53">
        <w:rPr>
          <w:rFonts w:ascii="Times New Roman" w:hAnsi="Times New Roman"/>
        </w:rPr>
        <w:t>will</w:t>
      </w:r>
      <w:r w:rsidRPr="00DD24D7">
        <w:rPr>
          <w:rFonts w:ascii="Times New Roman" w:hAnsi="Times New Roman"/>
        </w:rPr>
        <w:t xml:space="preserve"> receive at most 1 application </w:t>
      </w:r>
      <w:r w:rsidR="00A30A53">
        <w:rPr>
          <w:rFonts w:ascii="Times New Roman" w:hAnsi="Times New Roman"/>
        </w:rPr>
        <w:t>per</w:t>
      </w:r>
      <w:r w:rsidRPr="00DD24D7">
        <w:rPr>
          <w:rFonts w:ascii="Times New Roman" w:hAnsi="Times New Roman"/>
        </w:rPr>
        <w:t xml:space="preserve"> year </w:t>
      </w:r>
      <w:r w:rsidR="00A30A53">
        <w:rPr>
          <w:rFonts w:ascii="Times New Roman" w:hAnsi="Times New Roman"/>
        </w:rPr>
        <w:t xml:space="preserve">over the next 3 years </w:t>
      </w:r>
      <w:r w:rsidRPr="00DD24D7">
        <w:rPr>
          <w:rFonts w:ascii="Times New Roman" w:hAnsi="Times New Roman"/>
        </w:rPr>
        <w:t>under this regulation</w:t>
      </w:r>
      <w:r w:rsidR="000851B5">
        <w:rPr>
          <w:rFonts w:ascii="Times New Roman" w:hAnsi="Times New Roman"/>
        </w:rPr>
        <w:t>.</w:t>
      </w:r>
      <w:r w:rsidR="00834865">
        <w:rPr>
          <w:rFonts w:ascii="Times New Roman" w:hAnsi="Times New Roman"/>
        </w:rPr>
        <w:t xml:space="preserve"> </w:t>
      </w:r>
      <w:r w:rsidR="000851B5">
        <w:rPr>
          <w:rFonts w:ascii="Times New Roman" w:hAnsi="Times New Roman"/>
        </w:rPr>
        <w:t xml:space="preserve">The total </w:t>
      </w:r>
      <w:r w:rsidR="00BE2BA5">
        <w:rPr>
          <w:rFonts w:ascii="Times New Roman" w:hAnsi="Times New Roman"/>
        </w:rPr>
        <w:t xml:space="preserve">annual </w:t>
      </w:r>
      <w:r w:rsidR="000851B5">
        <w:rPr>
          <w:rFonts w:ascii="Times New Roman" w:hAnsi="Times New Roman"/>
        </w:rPr>
        <w:t xml:space="preserve">hour burden of this information collection for in-house personnel to compile information is </w:t>
      </w:r>
      <w:r w:rsidR="00DC05EB">
        <w:rPr>
          <w:rFonts w:ascii="Times New Roman" w:hAnsi="Times New Roman"/>
        </w:rPr>
        <w:t>4</w:t>
      </w:r>
      <w:r w:rsidR="000851B5">
        <w:rPr>
          <w:rFonts w:ascii="Times New Roman" w:hAnsi="Times New Roman"/>
        </w:rPr>
        <w:t xml:space="preserve"> hours.</w:t>
      </w:r>
      <w:r w:rsidR="00834865">
        <w:rPr>
          <w:rFonts w:ascii="Times New Roman" w:hAnsi="Times New Roman"/>
        </w:rPr>
        <w:t xml:space="preserve"> </w:t>
      </w:r>
      <w:r w:rsidR="000851B5">
        <w:rPr>
          <w:rFonts w:ascii="Times New Roman" w:hAnsi="Times New Roman"/>
        </w:rPr>
        <w:t xml:space="preserve">The estimated dollar equivalent of this </w:t>
      </w:r>
      <w:r w:rsidR="00BE2BA5">
        <w:rPr>
          <w:rFonts w:ascii="Times New Roman" w:hAnsi="Times New Roman"/>
        </w:rPr>
        <w:t xml:space="preserve">annual </w:t>
      </w:r>
      <w:r w:rsidR="000851B5">
        <w:rPr>
          <w:rFonts w:ascii="Times New Roman" w:hAnsi="Times New Roman"/>
        </w:rPr>
        <w:t>hour burden, based on an assumed blended hourly rate of $75 for administrative, clerical, and supervisory time</w:t>
      </w:r>
      <w:r w:rsidR="00AD00CF">
        <w:rPr>
          <w:rFonts w:ascii="Times New Roman" w:hAnsi="Times New Roman"/>
        </w:rPr>
        <w:t>,</w:t>
      </w:r>
      <w:r w:rsidR="000851B5">
        <w:rPr>
          <w:rFonts w:ascii="Times New Roman" w:hAnsi="Times New Roman"/>
        </w:rPr>
        <w:t xml:space="preserve"> is $</w:t>
      </w:r>
      <w:r w:rsidR="00D20B5B">
        <w:rPr>
          <w:rFonts w:ascii="Times New Roman" w:hAnsi="Times New Roman"/>
        </w:rPr>
        <w:t>300</w:t>
      </w:r>
      <w:r w:rsidR="000851B5">
        <w:rPr>
          <w:rFonts w:ascii="Times New Roman" w:hAnsi="Times New Roman"/>
        </w:rPr>
        <w:t>.</w:t>
      </w:r>
    </w:p>
    <w:p w:rsidR="00FF3D6C" w:rsidP="00FF3D6C" w14:paraId="41726706" w14:textId="10E8BDF9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13.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Cost burden on the public.</w:t>
      </w:r>
      <w:r w:rsidR="008348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Plans use outside attorneys and actuaries to prepare the request for </w:t>
      </w:r>
      <w:r w:rsidR="00683585">
        <w:rPr>
          <w:rFonts w:ascii="Times New Roman" w:hAnsi="Times New Roman"/>
        </w:rPr>
        <w:t>PBGC approval under the regulation</w:t>
      </w:r>
      <w:r>
        <w:rPr>
          <w:rFonts w:ascii="Times New Roman" w:hAnsi="Times New Roman"/>
        </w:rPr>
        <w:t>.</w:t>
      </w:r>
      <w:r w:rsidR="00834865">
        <w:rPr>
          <w:rFonts w:ascii="Times New Roman" w:hAnsi="Times New Roman"/>
        </w:rPr>
        <w:t xml:space="preserve"> </w:t>
      </w:r>
      <w:r w:rsidR="0090523C">
        <w:rPr>
          <w:rFonts w:ascii="Times New Roman" w:hAnsi="Times New Roman"/>
        </w:rPr>
        <w:t xml:space="preserve">Based on attorney experience, </w:t>
      </w:r>
      <w:r w:rsidR="00683585">
        <w:rPr>
          <w:rFonts w:ascii="Times New Roman" w:hAnsi="Times New Roman"/>
        </w:rPr>
        <w:t>PBGC estimates that the annual cost burden of the collection of information is $</w:t>
      </w:r>
      <w:r w:rsidR="00D20B5B">
        <w:rPr>
          <w:rFonts w:ascii="Times New Roman" w:hAnsi="Times New Roman"/>
        </w:rPr>
        <w:t>1</w:t>
      </w:r>
      <w:r w:rsidR="0005497A">
        <w:rPr>
          <w:rFonts w:ascii="Times New Roman" w:hAnsi="Times New Roman"/>
        </w:rPr>
        <w:t>5</w:t>
      </w:r>
      <w:r w:rsidR="00683585">
        <w:rPr>
          <w:rFonts w:ascii="Times New Roman" w:hAnsi="Times New Roman"/>
        </w:rPr>
        <w:t>,000</w:t>
      </w:r>
      <w:r w:rsidR="00A74F32">
        <w:rPr>
          <w:rFonts w:ascii="Times New Roman" w:hAnsi="Times New Roman"/>
        </w:rPr>
        <w:t>.</w:t>
      </w:r>
    </w:p>
    <w:p w:rsidR="00F272AC" w:rsidRPr="00DD24D7" w14:paraId="55A9C2B3" w14:textId="0C86E06C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14.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Cost to the government.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 xml:space="preserve">As discussed in item 12,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</w:t>
      </w:r>
      <w:r w:rsidR="00E733ED">
        <w:rPr>
          <w:rFonts w:ascii="Times New Roman" w:hAnsi="Times New Roman"/>
        </w:rPr>
        <w:t xml:space="preserve">staff </w:t>
      </w:r>
      <w:r w:rsidRPr="00DD24D7">
        <w:rPr>
          <w:rFonts w:ascii="Times New Roman" w:hAnsi="Times New Roman"/>
        </w:rPr>
        <w:t>typically processes at most 1 submission annually under the regulation.</w:t>
      </w:r>
      <w:r w:rsidR="00834865">
        <w:rPr>
          <w:rFonts w:ascii="Times New Roman" w:hAnsi="Times New Roman"/>
        </w:rPr>
        <w:t xml:space="preserve"> </w:t>
      </w:r>
      <w:r w:rsidR="00474C40">
        <w:rPr>
          <w:rFonts w:ascii="Times New Roman" w:hAnsi="Times New Roman"/>
        </w:rPr>
        <w:t>PBGC estimates that t</w:t>
      </w:r>
      <w:r w:rsidRPr="00E928F3" w:rsidR="00474C40">
        <w:rPr>
          <w:rFonts w:ascii="Times New Roman" w:hAnsi="Times New Roman"/>
        </w:rPr>
        <w:t>he total annual cost to the government is $</w:t>
      </w:r>
      <w:r w:rsidR="00E733ED">
        <w:rPr>
          <w:rFonts w:ascii="Times New Roman" w:hAnsi="Times New Roman"/>
        </w:rPr>
        <w:t>0</w:t>
      </w:r>
      <w:r w:rsidRPr="00E928F3" w:rsidR="00474C40">
        <w:rPr>
          <w:rFonts w:ascii="Times New Roman" w:hAnsi="Times New Roman"/>
        </w:rPr>
        <w:t>.</w:t>
      </w:r>
    </w:p>
    <w:p w:rsidR="00F272AC" w:rsidRPr="00DD24D7" w14:paraId="30C282E6" w14:textId="7926F94B">
      <w:pPr>
        <w:widowControl/>
        <w:spacing w:line="480" w:lineRule="auto"/>
        <w:ind w:firstLine="720"/>
        <w:rPr>
          <w:rFonts w:ascii="Times New Roman" w:hAnsi="Times New Roman"/>
        </w:rPr>
      </w:pPr>
      <w:r w:rsidRPr="497A00E3">
        <w:rPr>
          <w:rFonts w:ascii="Times New Roman" w:hAnsi="Times New Roman"/>
        </w:rPr>
        <w:t>15.</w:t>
      </w:r>
      <w:r w:rsidR="00834865">
        <w:rPr>
          <w:rFonts w:ascii="Times New Roman" w:hAnsi="Times New Roman"/>
        </w:rPr>
        <w:t xml:space="preserve"> </w:t>
      </w:r>
      <w:r w:rsidRPr="497A00E3">
        <w:rPr>
          <w:rFonts w:ascii="Times New Roman" w:hAnsi="Times New Roman"/>
          <w:u w:val="single"/>
        </w:rPr>
        <w:t>Explanation of burden changes.</w:t>
      </w:r>
      <w:r w:rsidR="00834865">
        <w:rPr>
          <w:rFonts w:ascii="Times New Roman" w:hAnsi="Times New Roman"/>
        </w:rPr>
        <w:t xml:space="preserve"> </w:t>
      </w:r>
      <w:r w:rsidR="008F268C">
        <w:rPr>
          <w:rFonts w:ascii="Times New Roman" w:hAnsi="Times New Roman"/>
        </w:rPr>
        <w:t xml:space="preserve">The increase in the cost burden on the public </w:t>
      </w:r>
      <w:r w:rsidR="00D74706">
        <w:rPr>
          <w:rFonts w:ascii="Times New Roman" w:hAnsi="Times New Roman"/>
        </w:rPr>
        <w:t>from $</w:t>
      </w:r>
      <w:r w:rsidR="002968A7">
        <w:rPr>
          <w:rFonts w:ascii="Times New Roman" w:hAnsi="Times New Roman"/>
        </w:rPr>
        <w:t xml:space="preserve">10,000 to $15,000 </w:t>
      </w:r>
      <w:r w:rsidR="008F268C">
        <w:rPr>
          <w:rFonts w:ascii="Times New Roman" w:hAnsi="Times New Roman"/>
        </w:rPr>
        <w:t>is attributable to the increase in attorneys’ fees since the last renewal of this collection of information.</w:t>
      </w:r>
    </w:p>
    <w:p w:rsidR="00F272AC" w:rsidRPr="00DD24D7" w14:paraId="60EAC009" w14:textId="636E795C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16.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Publication plans.</w:t>
      </w:r>
      <w:r w:rsidR="00834865">
        <w:rPr>
          <w:rFonts w:ascii="Times New Roman" w:hAnsi="Times New Roman"/>
        </w:rPr>
        <w:t xml:space="preserve">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does not intend to publish the results of this collection of information. </w:t>
      </w:r>
    </w:p>
    <w:p w:rsidR="003A7649" w:rsidRPr="00DD24D7" w14:paraId="35D328B4" w14:textId="4FE97806">
      <w:pPr>
        <w:widowControl/>
        <w:spacing w:line="480" w:lineRule="auto"/>
        <w:ind w:firstLine="720"/>
        <w:rPr>
          <w:rFonts w:ascii="Times New Roman" w:hAnsi="Times New Roman"/>
        </w:rPr>
      </w:pPr>
      <w:r w:rsidRPr="00DD24D7">
        <w:rPr>
          <w:rFonts w:ascii="Times New Roman" w:hAnsi="Times New Roman"/>
        </w:rPr>
        <w:t>17.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Display of expiration date.</w:t>
      </w:r>
      <w:r w:rsidR="00834865">
        <w:rPr>
          <w:rFonts w:ascii="Times New Roman" w:hAnsi="Times New Roman"/>
        </w:rPr>
        <w:t xml:space="preserve"> </w:t>
      </w:r>
      <w:r w:rsidRPr="00DD24D7" w:rsidR="00EE4537">
        <w:rPr>
          <w:rFonts w:ascii="Times New Roman" w:hAnsi="Times New Roman"/>
        </w:rPr>
        <w:t>PBGC</w:t>
      </w:r>
      <w:r w:rsidRPr="00DD24D7">
        <w:rPr>
          <w:rFonts w:ascii="Times New Roman" w:hAnsi="Times New Roman"/>
        </w:rPr>
        <w:t xml:space="preserve"> is not seeking approval to not display the expiration date for OMB approval of this information collection.</w:t>
      </w:r>
      <w:r w:rsidR="00834865">
        <w:rPr>
          <w:rFonts w:ascii="Times New Roman" w:hAnsi="Times New Roman"/>
        </w:rPr>
        <w:t xml:space="preserve"> </w:t>
      </w:r>
    </w:p>
    <w:p w:rsidR="00F272AC" w:rsidRPr="00DD24D7" w:rsidP="00EF2E7A" w14:paraId="00CD4CFF" w14:textId="7DDD16D9">
      <w:pPr>
        <w:widowControl/>
        <w:spacing w:line="480" w:lineRule="auto"/>
        <w:ind w:firstLine="720"/>
        <w:rPr>
          <w:rFonts w:ascii="Shruti" w:hAnsi="Shruti" w:cs="Shruti"/>
        </w:rPr>
      </w:pPr>
      <w:r w:rsidRPr="00DD24D7">
        <w:rPr>
          <w:rFonts w:ascii="Times New Roman" w:hAnsi="Times New Roman"/>
        </w:rPr>
        <w:t>18.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  <w:u w:val="single"/>
        </w:rPr>
        <w:t>Exceptions to certification statement.</w:t>
      </w:r>
      <w:r w:rsidR="00834865">
        <w:rPr>
          <w:rFonts w:ascii="Times New Roman" w:hAnsi="Times New Roman"/>
        </w:rPr>
        <w:t xml:space="preserve"> </w:t>
      </w:r>
      <w:r w:rsidRPr="00DD24D7">
        <w:rPr>
          <w:rFonts w:ascii="Times New Roman" w:hAnsi="Times New Roman"/>
        </w:rPr>
        <w:t>There are no exceptions to the certification statement.</w:t>
      </w:r>
    </w:p>
    <w:sectPr w:rsidSect="00FE5CEB">
      <w:headerReference w:type="default" r:id="rId10"/>
      <w:type w:val="continuous"/>
      <w:pgSz w:w="12240" w:h="15840"/>
      <w:pgMar w:top="1440" w:right="1440" w:bottom="1440" w:left="1440" w:header="1008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5A46" w:rsidP="002A6307" w14:paraId="6030051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95A46" w14:paraId="2D406A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5A46" w:rsidRPr="001573AF" w:rsidP="002A6307" w14:paraId="39FBE9DC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573AF">
      <w:rPr>
        <w:rStyle w:val="PageNumber"/>
        <w:rFonts w:ascii="Times New Roman" w:hAnsi="Times New Roman"/>
      </w:rPr>
      <w:fldChar w:fldCharType="begin"/>
    </w:r>
    <w:r w:rsidRPr="001573AF">
      <w:rPr>
        <w:rStyle w:val="PageNumber"/>
        <w:rFonts w:ascii="Times New Roman" w:hAnsi="Times New Roman"/>
      </w:rPr>
      <w:instrText xml:space="preserve">PAGE  </w:instrText>
    </w:r>
    <w:r w:rsidRPr="001573AF">
      <w:rPr>
        <w:rStyle w:val="PageNumber"/>
        <w:rFonts w:ascii="Times New Roman" w:hAnsi="Times New Roman"/>
      </w:rPr>
      <w:fldChar w:fldCharType="separate"/>
    </w:r>
    <w:r w:rsidR="00AD00CF">
      <w:rPr>
        <w:rStyle w:val="PageNumber"/>
        <w:rFonts w:ascii="Times New Roman" w:hAnsi="Times New Roman"/>
        <w:noProof/>
      </w:rPr>
      <w:t>2</w:t>
    </w:r>
    <w:r w:rsidRPr="001573AF">
      <w:rPr>
        <w:rStyle w:val="PageNumber"/>
        <w:rFonts w:ascii="Times New Roman" w:hAnsi="Times New Roman"/>
      </w:rPr>
      <w:fldChar w:fldCharType="end"/>
    </w:r>
  </w:p>
  <w:p w:rsidR="00795A46" w14:paraId="10476F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5A46" w14:paraId="5EFA775D" w14:textId="77777777">
    <w:pPr>
      <w:framePr w:w="9361" w:wrap="notBeside" w:vAnchor="text" w:hAnchor="text" w:x="1" w:y="1"/>
      <w:jc w:val="center"/>
    </w:pPr>
  </w:p>
  <w:p w:rsidR="00795A46" w:rsidP="00DB5C79" w14:paraId="4853476C" w14:textId="77777777">
    <w:pPr>
      <w:spacing w:line="240" w:lineRule="exact"/>
      <w:rPr>
        <w:rFonts w:ascii="Shruti" w:hAnsi="Shruti" w:cs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26C90"/>
    <w:multiLevelType w:val="hybridMultilevel"/>
    <w:tmpl w:val="37901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93049">
    <w:abstractNumId w:val="0"/>
  </w:num>
  <w:num w:numId="2" w16cid:durableId="11453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AC"/>
    <w:rsid w:val="00020430"/>
    <w:rsid w:val="000269B6"/>
    <w:rsid w:val="000275C5"/>
    <w:rsid w:val="000434D9"/>
    <w:rsid w:val="0005497A"/>
    <w:rsid w:val="00072A12"/>
    <w:rsid w:val="000851B5"/>
    <w:rsid w:val="000A4F4D"/>
    <w:rsid w:val="000C1504"/>
    <w:rsid w:val="000C5CE6"/>
    <w:rsid w:val="00110FE1"/>
    <w:rsid w:val="00154901"/>
    <w:rsid w:val="001573AF"/>
    <w:rsid w:val="001828AB"/>
    <w:rsid w:val="00197BDD"/>
    <w:rsid w:val="001A1D42"/>
    <w:rsid w:val="001D4B2C"/>
    <w:rsid w:val="001D5AF4"/>
    <w:rsid w:val="001F268B"/>
    <w:rsid w:val="001F76E0"/>
    <w:rsid w:val="00212C2D"/>
    <w:rsid w:val="002360B1"/>
    <w:rsid w:val="00247655"/>
    <w:rsid w:val="00254E60"/>
    <w:rsid w:val="00264D79"/>
    <w:rsid w:val="00270332"/>
    <w:rsid w:val="0029061F"/>
    <w:rsid w:val="00291026"/>
    <w:rsid w:val="002968A7"/>
    <w:rsid w:val="002A3FAC"/>
    <w:rsid w:val="002A5B43"/>
    <w:rsid w:val="002A5F82"/>
    <w:rsid w:val="002A6307"/>
    <w:rsid w:val="002B5288"/>
    <w:rsid w:val="002E7189"/>
    <w:rsid w:val="00307A74"/>
    <w:rsid w:val="003262D1"/>
    <w:rsid w:val="00331645"/>
    <w:rsid w:val="003351B8"/>
    <w:rsid w:val="00336675"/>
    <w:rsid w:val="0035071A"/>
    <w:rsid w:val="00373B67"/>
    <w:rsid w:val="00375E7A"/>
    <w:rsid w:val="003775F7"/>
    <w:rsid w:val="0038171E"/>
    <w:rsid w:val="003A7649"/>
    <w:rsid w:val="003B12F1"/>
    <w:rsid w:val="003B5F97"/>
    <w:rsid w:val="003D4F6C"/>
    <w:rsid w:val="003F6178"/>
    <w:rsid w:val="0040609C"/>
    <w:rsid w:val="004353DE"/>
    <w:rsid w:val="00474C40"/>
    <w:rsid w:val="004765F1"/>
    <w:rsid w:val="004852CB"/>
    <w:rsid w:val="004978AB"/>
    <w:rsid w:val="004C0E67"/>
    <w:rsid w:val="004E3199"/>
    <w:rsid w:val="004F593C"/>
    <w:rsid w:val="005022DD"/>
    <w:rsid w:val="005105D7"/>
    <w:rsid w:val="00514E05"/>
    <w:rsid w:val="00541AB4"/>
    <w:rsid w:val="005708E1"/>
    <w:rsid w:val="005B42AA"/>
    <w:rsid w:val="005C54FC"/>
    <w:rsid w:val="0061280F"/>
    <w:rsid w:val="00637B3E"/>
    <w:rsid w:val="00642F80"/>
    <w:rsid w:val="00645650"/>
    <w:rsid w:val="00663A77"/>
    <w:rsid w:val="00673825"/>
    <w:rsid w:val="00683585"/>
    <w:rsid w:val="006A11A1"/>
    <w:rsid w:val="006D0D1C"/>
    <w:rsid w:val="0071306C"/>
    <w:rsid w:val="00720A6A"/>
    <w:rsid w:val="00732B64"/>
    <w:rsid w:val="00734809"/>
    <w:rsid w:val="00742CF3"/>
    <w:rsid w:val="0074374E"/>
    <w:rsid w:val="00766611"/>
    <w:rsid w:val="007833A0"/>
    <w:rsid w:val="0078698F"/>
    <w:rsid w:val="00795A46"/>
    <w:rsid w:val="007A23C7"/>
    <w:rsid w:val="007A787D"/>
    <w:rsid w:val="007C0EA5"/>
    <w:rsid w:val="007C47B4"/>
    <w:rsid w:val="007E37BE"/>
    <w:rsid w:val="007E59AA"/>
    <w:rsid w:val="007E7E71"/>
    <w:rsid w:val="008232D7"/>
    <w:rsid w:val="00834865"/>
    <w:rsid w:val="008616C1"/>
    <w:rsid w:val="008E1227"/>
    <w:rsid w:val="008F268C"/>
    <w:rsid w:val="008F4681"/>
    <w:rsid w:val="009030A6"/>
    <w:rsid w:val="0090523C"/>
    <w:rsid w:val="009279BA"/>
    <w:rsid w:val="00964177"/>
    <w:rsid w:val="009720F2"/>
    <w:rsid w:val="009B3F02"/>
    <w:rsid w:val="009D0AE1"/>
    <w:rsid w:val="009D6B8F"/>
    <w:rsid w:val="009F1E24"/>
    <w:rsid w:val="00A0243F"/>
    <w:rsid w:val="00A057C1"/>
    <w:rsid w:val="00A20169"/>
    <w:rsid w:val="00A30A53"/>
    <w:rsid w:val="00A3780C"/>
    <w:rsid w:val="00A40610"/>
    <w:rsid w:val="00A74829"/>
    <w:rsid w:val="00A74F32"/>
    <w:rsid w:val="00AD00CF"/>
    <w:rsid w:val="00AE527E"/>
    <w:rsid w:val="00AE74BD"/>
    <w:rsid w:val="00B016AE"/>
    <w:rsid w:val="00B060A8"/>
    <w:rsid w:val="00B110C6"/>
    <w:rsid w:val="00B11894"/>
    <w:rsid w:val="00B22026"/>
    <w:rsid w:val="00B23945"/>
    <w:rsid w:val="00B2414A"/>
    <w:rsid w:val="00B24781"/>
    <w:rsid w:val="00B27777"/>
    <w:rsid w:val="00B42488"/>
    <w:rsid w:val="00BB2A80"/>
    <w:rsid w:val="00BB4411"/>
    <w:rsid w:val="00BC47C7"/>
    <w:rsid w:val="00BE240D"/>
    <w:rsid w:val="00BE2BA5"/>
    <w:rsid w:val="00BF30A2"/>
    <w:rsid w:val="00C077C0"/>
    <w:rsid w:val="00C12A28"/>
    <w:rsid w:val="00C31317"/>
    <w:rsid w:val="00C32332"/>
    <w:rsid w:val="00C70958"/>
    <w:rsid w:val="00C73CDC"/>
    <w:rsid w:val="00C87C2D"/>
    <w:rsid w:val="00CE52E6"/>
    <w:rsid w:val="00CE54D2"/>
    <w:rsid w:val="00D04D67"/>
    <w:rsid w:val="00D20B5B"/>
    <w:rsid w:val="00D2387D"/>
    <w:rsid w:val="00D60636"/>
    <w:rsid w:val="00D62141"/>
    <w:rsid w:val="00D71DDE"/>
    <w:rsid w:val="00D74706"/>
    <w:rsid w:val="00D916F2"/>
    <w:rsid w:val="00DB5C79"/>
    <w:rsid w:val="00DC05EB"/>
    <w:rsid w:val="00DC3A4F"/>
    <w:rsid w:val="00DD24D7"/>
    <w:rsid w:val="00DE112B"/>
    <w:rsid w:val="00DE7D82"/>
    <w:rsid w:val="00DF064F"/>
    <w:rsid w:val="00DF3E9A"/>
    <w:rsid w:val="00E0186B"/>
    <w:rsid w:val="00E07B4E"/>
    <w:rsid w:val="00E16E14"/>
    <w:rsid w:val="00E22C94"/>
    <w:rsid w:val="00E24C1B"/>
    <w:rsid w:val="00E37954"/>
    <w:rsid w:val="00E439F0"/>
    <w:rsid w:val="00E733ED"/>
    <w:rsid w:val="00E7770D"/>
    <w:rsid w:val="00E928F3"/>
    <w:rsid w:val="00EB6D59"/>
    <w:rsid w:val="00ED7B31"/>
    <w:rsid w:val="00EE4537"/>
    <w:rsid w:val="00EF2E7A"/>
    <w:rsid w:val="00F076C4"/>
    <w:rsid w:val="00F13BF8"/>
    <w:rsid w:val="00F230D7"/>
    <w:rsid w:val="00F272AC"/>
    <w:rsid w:val="00F3145A"/>
    <w:rsid w:val="00F532EC"/>
    <w:rsid w:val="00F71711"/>
    <w:rsid w:val="00F842B8"/>
    <w:rsid w:val="00F84D5D"/>
    <w:rsid w:val="00F86242"/>
    <w:rsid w:val="00F86A4E"/>
    <w:rsid w:val="00F87687"/>
    <w:rsid w:val="00F95E16"/>
    <w:rsid w:val="00F95E8A"/>
    <w:rsid w:val="00FD238F"/>
    <w:rsid w:val="00FE5CEB"/>
    <w:rsid w:val="00FF3D6C"/>
    <w:rsid w:val="00FF641A"/>
    <w:rsid w:val="447E1146"/>
    <w:rsid w:val="475FF899"/>
    <w:rsid w:val="497A00E3"/>
    <w:rsid w:val="6CF463D6"/>
    <w:rsid w:val="71D2C73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B17F73"/>
  <w15:docId w15:val="{D41F227F-4A12-4670-AA22-8B8549C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C73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3C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3CDC"/>
  </w:style>
  <w:style w:type="paragraph" w:styleId="BalloonText">
    <w:name w:val="Balloon Text"/>
    <w:basedOn w:val="Normal"/>
    <w:link w:val="BalloonTextChar"/>
    <w:rsid w:val="00B22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202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42F80"/>
    <w:rPr>
      <w:rFonts w:ascii="Courier" w:hAnsi="Courier"/>
      <w:sz w:val="24"/>
      <w:szCs w:val="24"/>
    </w:rPr>
  </w:style>
  <w:style w:type="character" w:styleId="Hyperlink">
    <w:name w:val="Hyperlink"/>
    <w:unhideWhenUsed/>
    <w:rsid w:val="00E0186B"/>
    <w:rPr>
      <w:strike w:val="0"/>
      <w:dstrike w:val="0"/>
      <w:color w:val="000080"/>
      <w:u w:val="none"/>
      <w:effect w:val="none"/>
    </w:rPr>
  </w:style>
  <w:style w:type="paragraph" w:styleId="FootnoteText">
    <w:name w:val="footnote text"/>
    <w:basedOn w:val="Normal"/>
    <w:link w:val="FootnoteTextChar"/>
    <w:unhideWhenUsed/>
    <w:rsid w:val="00E0186B"/>
    <w:rPr>
      <w:sz w:val="20"/>
      <w:szCs w:val="20"/>
    </w:rPr>
  </w:style>
  <w:style w:type="character" w:customStyle="1" w:styleId="FootnoteTextChar">
    <w:name w:val="Footnote Text Char"/>
    <w:link w:val="FootnoteText"/>
    <w:rsid w:val="00E0186B"/>
    <w:rPr>
      <w:rFonts w:ascii="Courier" w:hAnsi="Courier"/>
    </w:rPr>
  </w:style>
  <w:style w:type="character" w:styleId="CommentReference">
    <w:name w:val="annotation reference"/>
    <w:basedOn w:val="DefaultParagraphFont"/>
    <w:semiHidden/>
    <w:unhideWhenUsed/>
    <w:rsid w:val="00085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5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51B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5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51B5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PBGCCUI xmlns="42a8a83a-5e27-410c-a1fc-7c5ac4e503f4" xsi:nil="true"/>
    <Marking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F5C7A-4071-42A1-95CE-074AFD50BF70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52140D78-A329-4265-8FC0-7AD6B098DC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34807EB-826B-46A7-9929-0928E297C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CDC93-3E94-41CB-BEE8-A3A9F70C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5488</Characters>
  <Application>Microsoft Office Word</Application>
  <DocSecurity>0</DocSecurity>
  <Lines>45</Lines>
  <Paragraphs>12</Paragraphs>
  <ScaleCrop>false</ScaleCrop>
  <Company>PBGC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PBGC User</dc:creator>
  <cp:lastModifiedBy>O'Donnell Monica</cp:lastModifiedBy>
  <cp:revision>2</cp:revision>
  <cp:lastPrinted>2017-05-17T17:57:00Z</cp:lastPrinted>
  <dcterms:created xsi:type="dcterms:W3CDTF">2026-04-17T18:31:00Z</dcterms:created>
  <dcterms:modified xsi:type="dcterms:W3CDTF">2026-04-17T18:31:00Z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Reviewer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OGC Document Status">
    <vt:lpwstr>6;#Draft|4e9a4bc7-9032-4d66-87ab-b16dbcbcd63b</vt:lpwstr>
  </property>
  <property fmtid="{D5CDD505-2E9C-101B-9397-08002B2CF9AE}" pid="7" name="OGC_x0020_Document_x0020_Status">
    <vt:lpwstr>6;#Draft|4e9a4bc7-9032-4d66-87ab-b16dbcbcd63b</vt:lpwstr>
  </property>
  <property fmtid="{D5CDD505-2E9C-101B-9397-08002B2CF9AE}" pid="8" name="Order">
    <vt:r8>100</vt:r8>
  </property>
  <property fmtid="{D5CDD505-2E9C-101B-9397-08002B2CF9AE}" pid="9" name="Source Library">
    <vt:lpwstr/>
  </property>
  <property fmtid="{D5CDD505-2E9C-101B-9397-08002B2CF9AE}" pid="10" name="Source Type">
    <vt:lpwstr>File share</vt:lpwstr>
  </property>
</Properties>
</file>