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80396" w:rsidRPr="00E00292" w:rsidP="006E501C" w14:paraId="15D3B939" w14:textId="77777777">
      <w:pPr>
        <w:widowControl/>
        <w:tabs>
          <w:tab w:val="center" w:pos="4680"/>
        </w:tabs>
        <w:jc w:val="center"/>
        <w:rPr>
          <w:rFonts w:ascii="Times New Roman" w:hAnsi="Times New Roman"/>
        </w:rPr>
      </w:pPr>
      <w:r w:rsidRPr="00E00292">
        <w:rPr>
          <w:rFonts w:ascii="Times New Roman" w:hAnsi="Times New Roman"/>
          <w:b/>
          <w:bCs/>
        </w:rPr>
        <w:t>Supporting Statement for Paperwork Reduction Act Submission</w:t>
      </w:r>
    </w:p>
    <w:p w:rsidR="00380396" w:rsidRPr="00E00292" w14:paraId="168DD8AF" w14:textId="77777777">
      <w:pPr>
        <w:widowControl/>
        <w:rPr>
          <w:rFonts w:ascii="Times New Roman" w:hAnsi="Times New Roman"/>
        </w:rPr>
      </w:pPr>
    </w:p>
    <w:p w:rsidR="00380396" w:rsidRPr="00E00292" w14:paraId="5ABE6D71" w14:textId="77777777">
      <w:pPr>
        <w:widowControl/>
        <w:rPr>
          <w:rFonts w:ascii="Times New Roman" w:hAnsi="Times New Roman"/>
        </w:rPr>
      </w:pPr>
      <w:r w:rsidRPr="00E00292">
        <w:rPr>
          <w:rFonts w:ascii="Times New Roman" w:hAnsi="Times New Roman"/>
          <w:b/>
          <w:bCs/>
        </w:rPr>
        <w:t>AGENCY:</w:t>
      </w:r>
      <w:r w:rsidRPr="00E00292">
        <w:rPr>
          <w:rFonts w:ascii="Times New Roman" w:hAnsi="Times New Roman"/>
        </w:rPr>
        <w:tab/>
        <w:t xml:space="preserve">Pension Benefit Guaranty Corporation </w:t>
      </w:r>
    </w:p>
    <w:p w:rsidR="00380396" w:rsidRPr="00E00292" w14:paraId="567966E9" w14:textId="77777777">
      <w:pPr>
        <w:widowControl/>
        <w:rPr>
          <w:rFonts w:ascii="Times New Roman" w:hAnsi="Times New Roman"/>
        </w:rPr>
      </w:pPr>
    </w:p>
    <w:p w:rsidR="00380396" w:rsidRPr="00E00292" w14:paraId="0A6DD0D7" w14:textId="63CD6AFE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E00292">
        <w:rPr>
          <w:rFonts w:ascii="Times New Roman" w:hAnsi="Times New Roman"/>
          <w:b/>
          <w:bCs/>
        </w:rPr>
        <w:t>TITLE:</w:t>
      </w:r>
      <w:r w:rsidRPr="00E00292">
        <w:rPr>
          <w:rFonts w:ascii="Times New Roman" w:hAnsi="Times New Roman"/>
        </w:rPr>
        <w:tab/>
        <w:t xml:space="preserve">Allocating Unfunded Vested Benefits to Withdrawing Employers (29 CFR </w:t>
      </w:r>
      <w:r w:rsidR="00867749">
        <w:rPr>
          <w:rFonts w:ascii="Times New Roman" w:hAnsi="Times New Roman"/>
        </w:rPr>
        <w:t>p</w:t>
      </w:r>
      <w:r w:rsidRPr="00E00292">
        <w:rPr>
          <w:rFonts w:ascii="Times New Roman" w:hAnsi="Times New Roman"/>
        </w:rPr>
        <w:t xml:space="preserve">art 4211) </w:t>
      </w:r>
    </w:p>
    <w:p w:rsidR="00380396" w:rsidRPr="00E00292" w14:paraId="31F17391" w14:textId="77777777">
      <w:pPr>
        <w:widowControl/>
        <w:rPr>
          <w:rFonts w:ascii="Times New Roman" w:hAnsi="Times New Roman"/>
        </w:rPr>
      </w:pPr>
    </w:p>
    <w:p w:rsidR="00380396" w:rsidRPr="00D57BB6" w14:paraId="16EB42A4" w14:textId="632CD8CB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E00292">
        <w:rPr>
          <w:rFonts w:ascii="Times New Roman" w:hAnsi="Times New Roman"/>
          <w:b/>
          <w:bCs/>
        </w:rPr>
        <w:t>STATUS:</w:t>
      </w:r>
      <w:r w:rsidRPr="00E00292">
        <w:rPr>
          <w:rFonts w:ascii="Times New Roman" w:hAnsi="Times New Roman"/>
        </w:rPr>
        <w:tab/>
        <w:t>Request for regular review and extension of currently approved collection (OMB control number 1212</w:t>
      </w:r>
      <w:r w:rsidRPr="00E00292" w:rsidR="005D5225">
        <w:rPr>
          <w:rFonts w:ascii="Times New Roman" w:hAnsi="Times New Roman"/>
        </w:rPr>
        <w:t xml:space="preserve">-0035; expires </w:t>
      </w:r>
      <w:r w:rsidR="00866872">
        <w:rPr>
          <w:rFonts w:ascii="Times New Roman" w:hAnsi="Times New Roman"/>
        </w:rPr>
        <w:t>May 31, 2026</w:t>
      </w:r>
      <w:r w:rsidRPr="00D57BB6">
        <w:rPr>
          <w:rFonts w:ascii="Times New Roman" w:hAnsi="Times New Roman"/>
        </w:rPr>
        <w:t xml:space="preserve">) </w:t>
      </w:r>
    </w:p>
    <w:p w:rsidR="00380396" w:rsidRPr="00D57BB6" w14:paraId="5A68538F" w14:textId="77777777">
      <w:pPr>
        <w:widowControl/>
        <w:rPr>
          <w:rFonts w:ascii="Times New Roman" w:hAnsi="Times New Roman"/>
        </w:rPr>
      </w:pPr>
    </w:p>
    <w:p w:rsidR="00380396" w:rsidRPr="00D57BB6" w:rsidP="0090672A" w14:paraId="6F5A87D0" w14:textId="21446553">
      <w:pPr>
        <w:widowControl/>
        <w:ind w:left="1440" w:hanging="1440"/>
        <w:rPr>
          <w:rFonts w:ascii="Times New Roman" w:hAnsi="Times New Roman"/>
        </w:rPr>
      </w:pPr>
      <w:r w:rsidRPr="00D57BB6">
        <w:rPr>
          <w:rFonts w:ascii="Times New Roman" w:hAnsi="Times New Roman"/>
          <w:b/>
          <w:bCs/>
        </w:rPr>
        <w:t>CONTACT:</w:t>
      </w:r>
      <w:r w:rsidRPr="00D57BB6" w:rsidR="00EA6811">
        <w:rPr>
          <w:rFonts w:ascii="Times New Roman" w:hAnsi="Times New Roman"/>
        </w:rPr>
        <w:tab/>
      </w:r>
      <w:r w:rsidR="00866872">
        <w:rPr>
          <w:rFonts w:ascii="Times New Roman" w:hAnsi="Times New Roman"/>
        </w:rPr>
        <w:t>Monica O’Donnell (202-229-5507)</w:t>
      </w:r>
    </w:p>
    <w:p w:rsidR="00380396" w:rsidRPr="00D57BB6" w14:paraId="0234D2F6" w14:textId="77777777">
      <w:pPr>
        <w:widowControl/>
        <w:rPr>
          <w:rFonts w:ascii="Times New Roman" w:hAnsi="Times New Roman"/>
        </w:rPr>
      </w:pPr>
    </w:p>
    <w:p w:rsidR="005B4419" w:rsidRPr="00D57BB6" w14:paraId="3F8DD958" w14:textId="27BAF4DA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Need for collection.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Section 4211(c)(5)(A) of the Employee Retirement Income Security Act of 1974 (</w:t>
      </w:r>
      <w:r w:rsidRPr="00E00292">
        <w:rPr>
          <w:rFonts w:ascii="Times New Roman" w:hAnsi="Times New Roman"/>
        </w:rPr>
        <w:t>ERISA) requires the Pension Benefit Guaranty Corporation (PBGC) to prescribe by regulation a procedure whereby multiemployer pension plans can change the way they allocate unfunded vested benefits to withdrawing employers, subject to PBG</w:t>
      </w:r>
      <w:r w:rsidRPr="00D57BB6">
        <w:rPr>
          <w:rFonts w:ascii="Times New Roman" w:hAnsi="Times New Roman"/>
        </w:rPr>
        <w:t>C approval.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Approval of a change is to be based on a determination that the change will not significantly increase the risk of loss to plan participants or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</w:p>
    <w:p w:rsidR="00380396" w:rsidRPr="00E00292" w14:paraId="3FD7E4BB" w14:textId="7C10004E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 xml:space="preserve">Pursuant to this statutory requirement,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has issued a regulation on Allocating Unfunded Vested Benefits, 29 CFR </w:t>
      </w:r>
      <w:r w:rsidR="00867749">
        <w:rPr>
          <w:rFonts w:ascii="Times New Roman" w:hAnsi="Times New Roman"/>
        </w:rPr>
        <w:t>p</w:t>
      </w:r>
      <w:r w:rsidRPr="00D57BB6">
        <w:rPr>
          <w:rFonts w:ascii="Times New Roman" w:hAnsi="Times New Roman"/>
        </w:rPr>
        <w:t>art 4211.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Section 4211.22 of the regulation prescribes the information that must be submitted to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by a plan seeking PBGC approval of an amendment to its allocation method.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Information identifying the plan, the plan sponsor, and the plan sponsor</w:t>
      </w:r>
      <w:r w:rsidR="0054543A">
        <w:rPr>
          <w:rFonts w:ascii="Times New Roman" w:hAnsi="Times New Roman"/>
        </w:rPr>
        <w:t>’</w:t>
      </w:r>
      <w:r w:rsidRPr="00E00292">
        <w:rPr>
          <w:rFonts w:ascii="Times New Roman" w:hAnsi="Times New Roman"/>
        </w:rPr>
        <w:t xml:space="preserve">s representative (if any) must be provided so that </w:t>
      </w:r>
      <w:r w:rsidRPr="00E00292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knows who these parties are; information on the provisions of the old and new allocation methods must be provided so that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can evaluate the new method; and information on when the new method was adopted and whether employers and employee organizations have been notified must be provided to assure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that the plan has complied with requirements regarding timing of the submission (in </w:t>
      </w:r>
      <w:r w:rsidR="0054543A">
        <w:rPr>
          <w:rFonts w:ascii="Times New Roman" w:hAnsi="Times New Roman"/>
        </w:rPr>
        <w:t>§</w:t>
      </w:r>
      <w:r w:rsidRPr="00E00292">
        <w:rPr>
          <w:rFonts w:ascii="Times New Roman" w:hAnsi="Times New Roman"/>
        </w:rPr>
        <w:t> 4211.22(a) of the regulation) and notification of other parties (ERISA section 4214(b)).</w:t>
      </w:r>
      <w:r w:rsidR="00866872">
        <w:rPr>
          <w:rFonts w:ascii="Times New Roman" w:hAnsi="Times New Roman"/>
        </w:rPr>
        <w:t xml:space="preserve"> </w:t>
      </w:r>
    </w:p>
    <w:p w:rsidR="00380396" w:rsidRPr="00D57BB6" w14:paraId="286F7610" w14:textId="56BAE504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2.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Use of information.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The information submitted to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by a plan under this regulation is used by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to determine how the plan amendment changes the way the plan allocates unfunded vested benefits and how the change will affect the risk of loss to plan participants and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It also assures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that the plan has complied with ERISA section</w:t>
      </w:r>
      <w:r w:rsidR="00867749">
        <w:rPr>
          <w:rFonts w:ascii="Times New Roman" w:hAnsi="Times New Roman"/>
        </w:rPr>
        <w:t> </w:t>
      </w:r>
      <w:r w:rsidRPr="00D57BB6">
        <w:rPr>
          <w:rFonts w:ascii="Times New Roman" w:hAnsi="Times New Roman"/>
        </w:rPr>
        <w:t>4214(b) by informing contributing employers and employee representatives of participants about the amendment.</w:t>
      </w:r>
      <w:r w:rsidR="00866872">
        <w:rPr>
          <w:rFonts w:ascii="Times New Roman" w:hAnsi="Times New Roman"/>
        </w:rPr>
        <w:t xml:space="preserve"> </w:t>
      </w:r>
    </w:p>
    <w:p w:rsidR="00380396" w:rsidRPr="00D57BB6" w14:paraId="43BD2318" w14:textId="5EE37421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3.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Information technology.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No consideration has been given to the use of improved information technology to reduce burden.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The reporting volume under the regulation is too low to warrant the use of high technology.</w:t>
      </w:r>
      <w:r w:rsidR="00866872">
        <w:rPr>
          <w:rFonts w:ascii="Times New Roman" w:hAnsi="Times New Roman"/>
        </w:rPr>
        <w:t xml:space="preserve"> </w:t>
      </w:r>
      <w:r w:rsidR="00E009C0">
        <w:rPr>
          <w:rFonts w:ascii="Times New Roman" w:hAnsi="Times New Roman"/>
        </w:rPr>
        <w:t>However, PBGC expects that most, if not all, plan sponsors and their representatives will use email and electronic versions of documents to provide the information required to PBGC under the regulation.</w:t>
      </w:r>
    </w:p>
    <w:p w:rsidR="00380396" w:rsidRPr="00D57BB6" w14:paraId="508482F0" w14:textId="50628627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4.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Duplicate or similar information.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The information required by the regulation is unique because it describes a unique event</w:t>
      </w:r>
      <w:r w:rsidR="00542280">
        <w:rPr>
          <w:rFonts w:ascii="Times New Roman" w:hAnsi="Times New Roman"/>
        </w:rPr>
        <w:t>:</w:t>
      </w:r>
      <w:r w:rsidR="00E009C0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the adoption at a specific time by a specific plan of a specific change in its allocation method.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This is the only collection of information imposed by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for that event.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Duplication is therefore not considered to be an issue.</w:t>
      </w:r>
      <w:r w:rsidR="00866872">
        <w:rPr>
          <w:rFonts w:ascii="Times New Roman" w:hAnsi="Times New Roman"/>
        </w:rPr>
        <w:t xml:space="preserve"> </w:t>
      </w:r>
    </w:p>
    <w:p w:rsidR="00380396" w:rsidRPr="00D57BB6" w14:paraId="06A021BC" w14:textId="65963280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No information similar to that required by the regulation exists.</w:t>
      </w:r>
      <w:r w:rsidR="00866872">
        <w:rPr>
          <w:rFonts w:ascii="Times New Roman" w:hAnsi="Times New Roman"/>
        </w:rPr>
        <w:t xml:space="preserve"> </w:t>
      </w:r>
    </w:p>
    <w:p w:rsidR="00382706" w:rsidRPr="00D57BB6" w14:paraId="1431B53E" w14:textId="10A1CCBA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5.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Reducing the burden on small entities.</w:t>
      </w:r>
      <w:r w:rsidR="00866872">
        <w:rPr>
          <w:rFonts w:ascii="Times New Roman" w:hAnsi="Times New Roman"/>
        </w:rPr>
        <w:t xml:space="preserve"> </w:t>
      </w:r>
      <w:r w:rsidRPr="000867A7" w:rsidR="00B50D99">
        <w:rPr>
          <w:rFonts w:ascii="Times New Roman" w:hAnsi="Times New Roman"/>
        </w:rPr>
        <w:t>Not applicable.</w:t>
      </w:r>
      <w:r w:rsidR="00B50D99">
        <w:rPr>
          <w:rFonts w:ascii="Times New Roman" w:hAnsi="Times New Roman"/>
        </w:rPr>
        <w:t xml:space="preserve"> </w:t>
      </w:r>
      <w:r w:rsidRPr="000867A7" w:rsidR="00B50D99">
        <w:rPr>
          <w:rFonts w:ascii="Times New Roman" w:hAnsi="Times New Roman"/>
        </w:rPr>
        <w:t>This information collection does not have significant economic impact on a substantial number of small entities</w:t>
      </w:r>
      <w:r w:rsidR="00B50D99">
        <w:rPr>
          <w:rFonts w:ascii="Times New Roman" w:hAnsi="Times New Roman"/>
        </w:rPr>
        <w:t>.</w:t>
      </w:r>
    </w:p>
    <w:p w:rsidR="00380396" w:rsidRPr="00D57BB6" w14:paraId="5202D82D" w14:textId="0B7A9545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6.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Consequence of reduced collection.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Submission of information under the regulation is required only upon the occurrence of a specified event, which never occurs for most plans and is unlikely to occur more than once for any one plan.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If the information were not reported,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would not have an adequate basis for making its statutorily required determinations as to whether </w:t>
      </w:r>
      <w:r w:rsidRPr="00D57BB6">
        <w:rPr>
          <w:rFonts w:ascii="Times New Roman" w:hAnsi="Times New Roman"/>
        </w:rPr>
        <w:t xml:space="preserve">changes in allocation methods would or would not significantly increase the risk of loss to participants or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</w:p>
    <w:p w:rsidR="00380396" w:rsidRPr="00E00292" w14:paraId="7E6A7F22" w14:textId="50E89BDB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7.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Consistency with guidelines.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The information collection is not conducted in a manner inconsistent with 5 CFR </w:t>
      </w:r>
      <w:r w:rsidR="0054543A">
        <w:rPr>
          <w:rFonts w:ascii="Times New Roman" w:hAnsi="Times New Roman"/>
        </w:rPr>
        <w:t>§</w:t>
      </w:r>
      <w:r w:rsidRPr="00E00292">
        <w:rPr>
          <w:rFonts w:ascii="Times New Roman" w:hAnsi="Times New Roman"/>
        </w:rPr>
        <w:t> 1320.5(d)(2).</w:t>
      </w:r>
      <w:r w:rsidR="00866872">
        <w:rPr>
          <w:rFonts w:ascii="Times New Roman" w:hAnsi="Times New Roman"/>
        </w:rPr>
        <w:t xml:space="preserve"> </w:t>
      </w:r>
    </w:p>
    <w:p w:rsidR="00CC0B99" w14:paraId="31DF1661" w14:textId="566A51CA">
      <w:pPr>
        <w:widowControl/>
        <w:spacing w:line="480" w:lineRule="auto"/>
        <w:ind w:firstLine="720"/>
        <w:rPr>
          <w:rFonts w:ascii="Times New Roman" w:hAnsi="Times New Roman"/>
        </w:rPr>
      </w:pPr>
      <w:r w:rsidRPr="00D22051">
        <w:rPr>
          <w:rFonts w:ascii="Times New Roman" w:hAnsi="Times New Roman"/>
        </w:rPr>
        <w:t>8.</w:t>
      </w:r>
      <w:r w:rsidR="00866872">
        <w:rPr>
          <w:rFonts w:ascii="Times New Roman" w:hAnsi="Times New Roman"/>
        </w:rPr>
        <w:t xml:space="preserve"> </w:t>
      </w:r>
      <w:r w:rsidRPr="00D22051">
        <w:rPr>
          <w:rFonts w:ascii="Times New Roman" w:hAnsi="Times New Roman"/>
          <w:u w:val="single"/>
        </w:rPr>
        <w:t>Outside input.</w:t>
      </w:r>
      <w:r w:rsidR="00866872">
        <w:rPr>
          <w:rFonts w:ascii="Times New Roman" w:hAnsi="Times New Roman"/>
        </w:rPr>
        <w:t xml:space="preserve"> </w:t>
      </w:r>
      <w:r w:rsidRPr="00D22051" w:rsidR="00044EA1">
        <w:rPr>
          <w:rFonts w:ascii="Times New Roman" w:hAnsi="Times New Roman"/>
        </w:rPr>
        <w:t xml:space="preserve"> </w:t>
      </w:r>
      <w:r w:rsidRPr="447E1146">
        <w:rPr>
          <w:rFonts w:ascii="Times New Roman" w:hAnsi="Times New Roman"/>
        </w:rPr>
        <w:t xml:space="preserve">PBGC published a Federal Register notice soliciting public comment on this and other collections of information pursuant to 5 CFR § 1320.8(d) </w:t>
      </w:r>
      <w:r>
        <w:rPr>
          <w:rFonts w:ascii="Times New Roman" w:hAnsi="Times New Roman"/>
        </w:rPr>
        <w:t xml:space="preserve">on </w:t>
      </w:r>
      <w:r w:rsidRPr="447E1146">
        <w:rPr>
          <w:rFonts w:ascii="Times New Roman" w:hAnsi="Times New Roman"/>
        </w:rPr>
        <w:t xml:space="preserve">January </w:t>
      </w:r>
      <w:r>
        <w:rPr>
          <w:rFonts w:ascii="Times New Roman" w:hAnsi="Times New Roman"/>
        </w:rPr>
        <w:t>12</w:t>
      </w:r>
      <w:r w:rsidRPr="447E1146">
        <w:rPr>
          <w:rFonts w:ascii="Times New Roman" w:hAnsi="Times New Roman"/>
        </w:rPr>
        <w:t>, 202</w:t>
      </w:r>
      <w:r>
        <w:rPr>
          <w:rFonts w:ascii="Times New Roman" w:hAnsi="Times New Roman"/>
        </w:rPr>
        <w:t>6 (</w:t>
      </w:r>
      <w:r w:rsidRPr="447E1146">
        <w:rPr>
          <w:rFonts w:ascii="Times New Roman" w:hAnsi="Times New Roman"/>
        </w:rPr>
        <w:t xml:space="preserve">at </w:t>
      </w:r>
      <w:r>
        <w:rPr>
          <w:rFonts w:ascii="Times New Roman" w:hAnsi="Times New Roman"/>
        </w:rPr>
        <w:t>91 FR 1217</w:t>
      </w:r>
      <w:r w:rsidRPr="447E1146">
        <w:rPr>
          <w:rFonts w:ascii="Times New Roman" w:hAnsi="Times New Roman"/>
        </w:rPr>
        <w:t>).</w:t>
      </w:r>
      <w:r>
        <w:rPr>
          <w:rFonts w:ascii="Times New Roman" w:hAnsi="Times New Roman"/>
        </w:rPr>
        <w:t xml:space="preserve"> </w:t>
      </w:r>
      <w:r w:rsidRPr="447E1146">
        <w:rPr>
          <w:rFonts w:ascii="Times New Roman" w:hAnsi="Times New Roman"/>
        </w:rPr>
        <w:t>No public comments were received in response to the notice</w:t>
      </w:r>
      <w:r>
        <w:rPr>
          <w:rFonts w:ascii="Times New Roman" w:hAnsi="Times New Roman"/>
        </w:rPr>
        <w:t>.</w:t>
      </w:r>
    </w:p>
    <w:p w:rsidR="00380396" w:rsidRPr="00D57BB6" w14:paraId="2F83E325" w14:textId="5CBBF627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9.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Payment to respondents.</w:t>
      </w:r>
      <w:r w:rsidR="00866872">
        <w:rPr>
          <w:rFonts w:ascii="Times New Roman" w:hAnsi="Times New Roman"/>
        </w:rPr>
        <w:t xml:space="preserve">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provides no payments or gifts to respondents in connection with this collection of information.</w:t>
      </w:r>
      <w:r w:rsidR="00866872">
        <w:rPr>
          <w:rFonts w:ascii="Times New Roman" w:hAnsi="Times New Roman"/>
        </w:rPr>
        <w:t xml:space="preserve"> </w:t>
      </w:r>
    </w:p>
    <w:p w:rsidR="00380396" w:rsidRPr="00E00292" w14:paraId="33DA7F7F" w14:textId="2AD627E2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10.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Confidentiality.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The regulation gives no assurance of confidentiality, but information submitted to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under the regulation is accessible only in accordance with applicable law and regulations.</w:t>
      </w:r>
      <w:r w:rsidR="00866872">
        <w:rPr>
          <w:rFonts w:ascii="Times New Roman" w:hAnsi="Times New Roman"/>
        </w:rPr>
        <w:t xml:space="preserve"> </w:t>
      </w:r>
      <w:r w:rsidRPr="00D57BB6" w:rsidR="00EA6811">
        <w:rPr>
          <w:rFonts w:ascii="Times New Roman" w:hAnsi="Times New Roman"/>
        </w:rPr>
        <w:t>PBGC</w:t>
      </w:r>
      <w:r w:rsidR="0054543A">
        <w:rPr>
          <w:rFonts w:ascii="Times New Roman" w:hAnsi="Times New Roman"/>
        </w:rPr>
        <w:t>’</w:t>
      </w:r>
      <w:r w:rsidRPr="00E00292">
        <w:rPr>
          <w:rFonts w:ascii="Times New Roman" w:hAnsi="Times New Roman"/>
        </w:rPr>
        <w:t xml:space="preserve">s rules providing and restricting access to its records are set forth in 29 CFR </w:t>
      </w:r>
      <w:r w:rsidR="00CC0B99">
        <w:rPr>
          <w:rFonts w:ascii="Times New Roman" w:hAnsi="Times New Roman"/>
        </w:rPr>
        <w:t>p</w:t>
      </w:r>
      <w:r w:rsidRPr="00E00292">
        <w:rPr>
          <w:rFonts w:ascii="Times New Roman" w:hAnsi="Times New Roman"/>
        </w:rPr>
        <w:t>art 4901.</w:t>
      </w:r>
      <w:r w:rsidR="00866872">
        <w:rPr>
          <w:rFonts w:ascii="Times New Roman" w:hAnsi="Times New Roman"/>
        </w:rPr>
        <w:t xml:space="preserve"> </w:t>
      </w:r>
    </w:p>
    <w:p w:rsidR="00C430C1" w:rsidRPr="00D57BB6" w14:paraId="767853C5" w14:textId="22A0CAEB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11.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Personal questions.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The regulation does not call for submission of information of a sensitive nature.</w:t>
      </w:r>
      <w:r w:rsidR="00866872">
        <w:rPr>
          <w:rFonts w:ascii="Times New Roman" w:hAnsi="Times New Roman"/>
        </w:rPr>
        <w:t xml:space="preserve"> </w:t>
      </w:r>
    </w:p>
    <w:p w:rsidR="00CA1B09" w:rsidP="00CA1B09" w14:paraId="013292D9" w14:textId="6351E23A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12.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Hour burden on the public.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Based on its experience under the regulation, </w:t>
      </w:r>
      <w:r w:rsidRPr="00D57BB6" w:rsidR="00EA6811">
        <w:rPr>
          <w:rFonts w:ascii="Times New Roman" w:hAnsi="Times New Roman"/>
        </w:rPr>
        <w:t>PBGC</w:t>
      </w:r>
      <w:r w:rsidRPr="00D57BB6" w:rsidR="00C4643A">
        <w:rPr>
          <w:rFonts w:ascii="Times New Roman" w:hAnsi="Times New Roman"/>
        </w:rPr>
        <w:t xml:space="preserve"> estimates that about</w:t>
      </w:r>
      <w:r w:rsidRPr="00D57BB6" w:rsidR="00AB6D3C">
        <w:rPr>
          <w:rFonts w:ascii="Times New Roman" w:hAnsi="Times New Roman"/>
        </w:rPr>
        <w:t xml:space="preserve"> </w:t>
      </w:r>
      <w:r w:rsidRPr="00D57BB6" w:rsidR="00C4643A">
        <w:rPr>
          <w:rFonts w:ascii="Times New Roman" w:hAnsi="Times New Roman"/>
        </w:rPr>
        <w:t>10</w:t>
      </w:r>
      <w:r w:rsidRPr="00D57BB6">
        <w:rPr>
          <w:rFonts w:ascii="Times New Roman" w:hAnsi="Times New Roman"/>
        </w:rPr>
        <w:t xml:space="preserve"> plans make submissions under the regulation each year</w:t>
      </w:r>
      <w:r w:rsidR="00D4348C">
        <w:rPr>
          <w:rFonts w:ascii="Times New Roman" w:hAnsi="Times New Roman"/>
        </w:rPr>
        <w:t xml:space="preserve"> over the next 3 years</w:t>
      </w:r>
      <w:r w:rsidRPr="00D57BB6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estimates that </w:t>
      </w:r>
      <w:r w:rsidR="008A489E">
        <w:rPr>
          <w:rFonts w:ascii="Times New Roman" w:hAnsi="Times New Roman"/>
        </w:rPr>
        <w:t>2</w:t>
      </w:r>
      <w:r w:rsidR="0081673D">
        <w:rPr>
          <w:rFonts w:ascii="Times New Roman" w:hAnsi="Times New Roman"/>
        </w:rPr>
        <w:t>0</w:t>
      </w:r>
      <w:r w:rsidRPr="00D57BB6">
        <w:rPr>
          <w:rFonts w:ascii="Times New Roman" w:hAnsi="Times New Roman"/>
        </w:rPr>
        <w:t xml:space="preserve"> hours of </w:t>
      </w:r>
      <w:r>
        <w:rPr>
          <w:rFonts w:ascii="Times New Roman" w:hAnsi="Times New Roman"/>
        </w:rPr>
        <w:t xml:space="preserve">in-house </w:t>
      </w:r>
      <w:r w:rsidRPr="00D57BB6">
        <w:rPr>
          <w:rFonts w:ascii="Times New Roman" w:hAnsi="Times New Roman"/>
        </w:rPr>
        <w:t xml:space="preserve">time are required to </w:t>
      </w:r>
      <w:r w:rsidR="00852D61">
        <w:rPr>
          <w:rFonts w:ascii="Times New Roman" w:hAnsi="Times New Roman"/>
        </w:rPr>
        <w:t xml:space="preserve">compile information required for </w:t>
      </w:r>
      <w:r w:rsidRPr="00D57BB6">
        <w:rPr>
          <w:rFonts w:ascii="Times New Roman" w:hAnsi="Times New Roman"/>
        </w:rPr>
        <w:t>each submission.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Accordingly,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estimates that the </w:t>
      </w:r>
      <w:r w:rsidRPr="00D57BB6">
        <w:rPr>
          <w:rFonts w:ascii="Times New Roman" w:hAnsi="Times New Roman"/>
        </w:rPr>
        <w:t>annual hour</w:t>
      </w:r>
      <w:r w:rsidRPr="00D57BB6">
        <w:rPr>
          <w:rFonts w:ascii="Times New Roman" w:hAnsi="Times New Roman"/>
        </w:rPr>
        <w:t xml:space="preserve"> burden of this</w:t>
      </w:r>
      <w:r w:rsidRPr="00D57BB6" w:rsidR="00C4643A">
        <w:rPr>
          <w:rFonts w:ascii="Times New Roman" w:hAnsi="Times New Roman"/>
        </w:rPr>
        <w:t xml:space="preserve"> collection of information is </w:t>
      </w:r>
      <w:r w:rsidR="008A489E">
        <w:rPr>
          <w:rFonts w:ascii="Times New Roman" w:hAnsi="Times New Roman"/>
        </w:rPr>
        <w:t>2</w:t>
      </w:r>
      <w:r w:rsidR="00B83FD0">
        <w:rPr>
          <w:rFonts w:ascii="Times New Roman" w:hAnsi="Times New Roman"/>
        </w:rPr>
        <w:t>00 hour</w:t>
      </w:r>
      <w:r w:rsidR="00D4348C">
        <w:rPr>
          <w:rFonts w:ascii="Times New Roman" w:hAnsi="Times New Roman"/>
        </w:rPr>
        <w:t>s</w:t>
      </w:r>
      <w:r w:rsidR="00B83FD0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  <w:r w:rsidR="00852D61">
        <w:rPr>
          <w:rFonts w:ascii="Times New Roman" w:hAnsi="Times New Roman"/>
        </w:rPr>
        <w:t>The estimated dollar equivalent of this hour burden, based on an assumed blended hourly rate of $75 for administrative, clerical, and supervisory time</w:t>
      </w:r>
      <w:r w:rsidR="00290B15">
        <w:rPr>
          <w:rFonts w:ascii="Times New Roman" w:hAnsi="Times New Roman"/>
        </w:rPr>
        <w:t>,</w:t>
      </w:r>
      <w:r w:rsidR="00852D61">
        <w:rPr>
          <w:rFonts w:ascii="Times New Roman" w:hAnsi="Times New Roman"/>
        </w:rPr>
        <w:t xml:space="preserve"> is $</w:t>
      </w:r>
      <w:r w:rsidR="008A489E">
        <w:rPr>
          <w:rFonts w:ascii="Times New Roman" w:hAnsi="Times New Roman"/>
        </w:rPr>
        <w:t>15,0</w:t>
      </w:r>
      <w:r w:rsidR="00852D61">
        <w:rPr>
          <w:rFonts w:ascii="Times New Roman" w:hAnsi="Times New Roman"/>
        </w:rPr>
        <w:t>00.</w:t>
      </w:r>
    </w:p>
    <w:p w:rsidR="00380396" w:rsidRPr="00D57BB6" w14:paraId="143ED106" w14:textId="626A2F5A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13.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Cost burden on the public.</w:t>
      </w:r>
      <w:r w:rsidR="00866872">
        <w:rPr>
          <w:rFonts w:ascii="Times New Roman" w:hAnsi="Times New Roman"/>
        </w:rPr>
        <w:t xml:space="preserve"> </w:t>
      </w:r>
      <w:r w:rsidR="00852D61">
        <w:rPr>
          <w:rFonts w:ascii="Times New Roman" w:hAnsi="Times New Roman"/>
        </w:rPr>
        <w:t xml:space="preserve">Plans </w:t>
      </w:r>
      <w:r w:rsidR="00852D61">
        <w:rPr>
          <w:rFonts w:ascii="Times New Roman" w:hAnsi="Times New Roman"/>
        </w:rPr>
        <w:t>use</w:t>
      </w:r>
      <w:r w:rsidR="00852D61">
        <w:rPr>
          <w:rFonts w:ascii="Times New Roman" w:hAnsi="Times New Roman"/>
        </w:rPr>
        <w:t xml:space="preserve"> outside attorneys and actuaries to prepare </w:t>
      </w:r>
      <w:r w:rsidR="002312CB">
        <w:rPr>
          <w:rFonts w:ascii="Times New Roman" w:hAnsi="Times New Roman"/>
        </w:rPr>
        <w:t>the submission for PBGC approval under the regulation.</w:t>
      </w:r>
      <w:r w:rsidR="00866872">
        <w:rPr>
          <w:rFonts w:ascii="Times New Roman" w:hAnsi="Times New Roman"/>
        </w:rPr>
        <w:t xml:space="preserve"> </w:t>
      </w:r>
      <w:r w:rsidR="002312CB">
        <w:rPr>
          <w:rFonts w:ascii="Times New Roman" w:hAnsi="Times New Roman"/>
        </w:rPr>
        <w:t>The cost varies depending upon the complexity of the submission.</w:t>
      </w:r>
      <w:r w:rsidR="00866872">
        <w:rPr>
          <w:rFonts w:ascii="Times New Roman" w:hAnsi="Times New Roman"/>
        </w:rPr>
        <w:t xml:space="preserve"> </w:t>
      </w:r>
      <w:r w:rsidR="002312CB">
        <w:rPr>
          <w:rFonts w:ascii="Times New Roman" w:hAnsi="Times New Roman"/>
        </w:rPr>
        <w:t>Based on attorney experience, PBGC estimates that the cost burden for a submission is $</w:t>
      </w:r>
      <w:r w:rsidR="008A489E">
        <w:rPr>
          <w:rFonts w:ascii="Times New Roman" w:hAnsi="Times New Roman"/>
        </w:rPr>
        <w:t>2</w:t>
      </w:r>
      <w:r w:rsidR="002312CB">
        <w:rPr>
          <w:rFonts w:ascii="Times New Roman" w:hAnsi="Times New Roman"/>
        </w:rPr>
        <w:t>0,000.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The </w:t>
      </w:r>
      <w:r w:rsidR="002312CB">
        <w:rPr>
          <w:rFonts w:ascii="Times New Roman" w:hAnsi="Times New Roman"/>
        </w:rPr>
        <w:t xml:space="preserve">total </w:t>
      </w:r>
      <w:r w:rsidRPr="00D57BB6">
        <w:rPr>
          <w:rFonts w:ascii="Times New Roman" w:hAnsi="Times New Roman"/>
        </w:rPr>
        <w:t>estimated annual cost burden of the collection of information is $</w:t>
      </w:r>
      <w:r w:rsidR="008A489E">
        <w:rPr>
          <w:rFonts w:ascii="Times New Roman" w:hAnsi="Times New Roman"/>
        </w:rPr>
        <w:t>2</w:t>
      </w:r>
      <w:r w:rsidR="002312CB">
        <w:rPr>
          <w:rFonts w:ascii="Times New Roman" w:hAnsi="Times New Roman"/>
        </w:rPr>
        <w:t>00,000</w:t>
      </w:r>
      <w:r w:rsidRPr="00D57BB6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</w:p>
    <w:p w:rsidR="00380396" w:rsidRPr="00D57BB6" w14:paraId="2809F11A" w14:textId="6A746B6B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14.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Cost to the government.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 xml:space="preserve">As discussed in item 12, </w:t>
      </w:r>
      <w:r w:rsidRPr="00D57BB6" w:rsidR="00EA6811">
        <w:rPr>
          <w:rFonts w:ascii="Times New Roman" w:hAnsi="Times New Roman"/>
        </w:rPr>
        <w:t>PBGC</w:t>
      </w:r>
      <w:r w:rsidR="00044EA1">
        <w:rPr>
          <w:rFonts w:ascii="Times New Roman" w:hAnsi="Times New Roman"/>
        </w:rPr>
        <w:t xml:space="preserve"> staff</w:t>
      </w:r>
      <w:r w:rsidRPr="00D57BB6" w:rsidR="00DC316B">
        <w:rPr>
          <w:rFonts w:ascii="Times New Roman" w:hAnsi="Times New Roman"/>
        </w:rPr>
        <w:t xml:space="preserve"> processes about 10</w:t>
      </w:r>
      <w:r w:rsidRPr="00D57BB6">
        <w:rPr>
          <w:rFonts w:ascii="Times New Roman" w:hAnsi="Times New Roman"/>
        </w:rPr>
        <w:t xml:space="preserve"> submissions annually under the regulation</w:t>
      </w:r>
      <w:r w:rsidR="00044EA1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  <w:r w:rsidR="00CA1B09">
        <w:rPr>
          <w:rFonts w:ascii="Times New Roman" w:hAnsi="Times New Roman"/>
        </w:rPr>
        <w:t>PBGC estimates that t</w:t>
      </w:r>
      <w:r w:rsidRPr="00E928F3" w:rsidR="00CA1B09">
        <w:rPr>
          <w:rFonts w:ascii="Times New Roman" w:hAnsi="Times New Roman"/>
        </w:rPr>
        <w:t>he total annual cost to the government is $</w:t>
      </w:r>
      <w:r w:rsidR="00044EA1">
        <w:rPr>
          <w:rFonts w:ascii="Times New Roman" w:hAnsi="Times New Roman"/>
        </w:rPr>
        <w:t>0</w:t>
      </w:r>
      <w:r w:rsidRPr="00D57BB6">
        <w:rPr>
          <w:rFonts w:ascii="Times New Roman" w:hAnsi="Times New Roman"/>
        </w:rPr>
        <w:t>.</w:t>
      </w:r>
      <w:r w:rsidR="00866872">
        <w:rPr>
          <w:rFonts w:ascii="Times New Roman" w:hAnsi="Times New Roman"/>
        </w:rPr>
        <w:t xml:space="preserve"> </w:t>
      </w:r>
    </w:p>
    <w:p w:rsidR="00380396" w:rsidRPr="00D57BB6" w14:paraId="003175FE" w14:textId="6F384F5C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15.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Explanation of burden changes.</w:t>
      </w:r>
      <w:r w:rsidR="00866872">
        <w:rPr>
          <w:rFonts w:ascii="Times New Roman" w:hAnsi="Times New Roman"/>
        </w:rPr>
        <w:t xml:space="preserve"> </w:t>
      </w:r>
      <w:r w:rsidR="003417BC">
        <w:rPr>
          <w:rFonts w:ascii="Times New Roman" w:hAnsi="Times New Roman"/>
        </w:rPr>
        <w:t>There is no expected change in burden.</w:t>
      </w:r>
    </w:p>
    <w:p w:rsidR="00380396" w:rsidRPr="00D57BB6" w14:paraId="79581BB7" w14:textId="385C51F5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16.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Publication plans.</w:t>
      </w:r>
      <w:r w:rsidR="00866872">
        <w:rPr>
          <w:rFonts w:ascii="Times New Roman" w:hAnsi="Times New Roman"/>
        </w:rPr>
        <w:t xml:space="preserve">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does not intend to publish the results of this collection of information. </w:t>
      </w:r>
    </w:p>
    <w:p w:rsidR="00380396" w:rsidRPr="00D57BB6" w14:paraId="6F647707" w14:textId="54E5B915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17.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Display of expiration date.</w:t>
      </w:r>
      <w:r w:rsidR="00866872">
        <w:rPr>
          <w:rFonts w:ascii="Times New Roman" w:hAnsi="Times New Roman"/>
        </w:rPr>
        <w:t xml:space="preserve"> </w:t>
      </w:r>
      <w:r w:rsidRPr="00D57BB6" w:rsidR="00EA6811">
        <w:rPr>
          <w:rFonts w:ascii="Times New Roman" w:hAnsi="Times New Roman"/>
        </w:rPr>
        <w:t>PBGC</w:t>
      </w:r>
      <w:r w:rsidRPr="00D57BB6">
        <w:rPr>
          <w:rFonts w:ascii="Times New Roman" w:hAnsi="Times New Roman"/>
        </w:rPr>
        <w:t xml:space="preserve"> is not seeking approval to not display the expiration date for OMB approval of this information collection.</w:t>
      </w:r>
      <w:r w:rsidR="00866872">
        <w:rPr>
          <w:rFonts w:ascii="Times New Roman" w:hAnsi="Times New Roman"/>
        </w:rPr>
        <w:t xml:space="preserve"> </w:t>
      </w:r>
    </w:p>
    <w:p w:rsidR="00380396" w:rsidRPr="00F80D88" w:rsidP="00F80D88" w14:paraId="395BED2A" w14:textId="18DF14D6">
      <w:pPr>
        <w:widowControl/>
        <w:spacing w:line="480" w:lineRule="auto"/>
        <w:ind w:firstLine="720"/>
        <w:rPr>
          <w:rFonts w:ascii="Times New Roman" w:hAnsi="Times New Roman"/>
        </w:rPr>
      </w:pPr>
      <w:r w:rsidRPr="00D57BB6">
        <w:rPr>
          <w:rFonts w:ascii="Times New Roman" w:hAnsi="Times New Roman"/>
        </w:rPr>
        <w:t>18.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  <w:u w:val="single"/>
        </w:rPr>
        <w:t>Exceptions to certification statement.</w:t>
      </w:r>
      <w:r w:rsidR="00866872">
        <w:rPr>
          <w:rFonts w:ascii="Times New Roman" w:hAnsi="Times New Roman"/>
        </w:rPr>
        <w:t xml:space="preserve"> </w:t>
      </w:r>
      <w:r w:rsidRPr="00D57BB6">
        <w:rPr>
          <w:rFonts w:ascii="Times New Roman" w:hAnsi="Times New Roman"/>
        </w:rPr>
        <w:t>There are no exceptions to the certification statement.</w:t>
      </w:r>
      <w:r w:rsidR="00866872">
        <w:rPr>
          <w:rFonts w:ascii="Times New Roman" w:hAnsi="Times New Roman"/>
        </w:rPr>
        <w:t xml:space="preserve"> </w:t>
      </w:r>
    </w:p>
    <w:sectPr w:rsidSect="006E501C">
      <w:headerReference w:type="default" r:id="rId8"/>
      <w:footerReference w:type="default" r:id="rId9"/>
      <w:type w:val="continuous"/>
      <w:pgSz w:w="12240" w:h="15840"/>
      <w:pgMar w:top="1440" w:right="1440" w:bottom="1440" w:left="1440" w:header="1008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13C1C" w:rsidRPr="00B50D99" w:rsidP="00B50D99" w14:paraId="08859A07" w14:textId="35181BCA">
    <w:pPr>
      <w:pStyle w:val="Footer"/>
      <w:jc w:val="center"/>
      <w:rPr>
        <w:rFonts w:ascii="Times New Roman" w:hAnsi="Times New Roman"/>
      </w:rPr>
    </w:pPr>
    <w:r w:rsidRPr="00493E5F">
      <w:rPr>
        <w:rFonts w:ascii="Times New Roman" w:hAnsi="Times New Roman"/>
      </w:rPr>
      <w:fldChar w:fldCharType="begin"/>
    </w:r>
    <w:r w:rsidRPr="00493E5F">
      <w:rPr>
        <w:rFonts w:ascii="Times New Roman" w:hAnsi="Times New Roman"/>
      </w:rPr>
      <w:instrText xml:space="preserve"> PAGE   \* MERGEFORMAT </w:instrText>
    </w:r>
    <w:r w:rsidRPr="00493E5F">
      <w:rPr>
        <w:rFonts w:ascii="Times New Roman" w:hAnsi="Times New Roman"/>
      </w:rPr>
      <w:fldChar w:fldCharType="separate"/>
    </w:r>
    <w:r w:rsidR="00290B15">
      <w:rPr>
        <w:rFonts w:ascii="Times New Roman" w:hAnsi="Times New Roman"/>
        <w:noProof/>
      </w:rPr>
      <w:t>4</w:t>
    </w:r>
    <w:r w:rsidRPr="00493E5F">
      <w:rPr>
        <w:rFonts w:ascii="Times New Roman" w:hAnsi="Times New Roman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4018" w:rsidP="008B34E9" w14:paraId="5A8C6904" w14:textId="77777777">
    <w:pPr>
      <w:framePr w:w="9361" w:wrap="notBeside" w:vAnchor="text" w:hAnchor="text" w:x="1" w:y="1"/>
    </w:pPr>
  </w:p>
  <w:p w:rsidR="00864018" w14:paraId="35D4B0BA" w14:textId="77777777">
    <w:pPr>
      <w:spacing w:line="240" w:lineRule="exact"/>
      <w:rPr>
        <w:rFonts w:ascii="Shruti" w:hAnsi="Shruti" w:cs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26C90"/>
    <w:multiLevelType w:val="hybridMultilevel"/>
    <w:tmpl w:val="37901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8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396"/>
    <w:rsid w:val="00041567"/>
    <w:rsid w:val="00044EA1"/>
    <w:rsid w:val="00072A12"/>
    <w:rsid w:val="000730BE"/>
    <w:rsid w:val="000867A7"/>
    <w:rsid w:val="000A0366"/>
    <w:rsid w:val="000D029B"/>
    <w:rsid w:val="000F4AE5"/>
    <w:rsid w:val="0012522E"/>
    <w:rsid w:val="00161278"/>
    <w:rsid w:val="00161434"/>
    <w:rsid w:val="001F443B"/>
    <w:rsid w:val="00202B0C"/>
    <w:rsid w:val="00213C1C"/>
    <w:rsid w:val="002312CB"/>
    <w:rsid w:val="00231B80"/>
    <w:rsid w:val="00241A78"/>
    <w:rsid w:val="0027042F"/>
    <w:rsid w:val="00290B15"/>
    <w:rsid w:val="002A3FAC"/>
    <w:rsid w:val="003417BC"/>
    <w:rsid w:val="00341A78"/>
    <w:rsid w:val="0036397E"/>
    <w:rsid w:val="00380396"/>
    <w:rsid w:val="00382706"/>
    <w:rsid w:val="00387EF9"/>
    <w:rsid w:val="003A42D3"/>
    <w:rsid w:val="003D149D"/>
    <w:rsid w:val="003E7C6F"/>
    <w:rsid w:val="00434E12"/>
    <w:rsid w:val="00457CED"/>
    <w:rsid w:val="0048189B"/>
    <w:rsid w:val="00493E5F"/>
    <w:rsid w:val="004952B3"/>
    <w:rsid w:val="00496CBF"/>
    <w:rsid w:val="004B5091"/>
    <w:rsid w:val="004F09E5"/>
    <w:rsid w:val="005342E9"/>
    <w:rsid w:val="00542280"/>
    <w:rsid w:val="0054543A"/>
    <w:rsid w:val="00560C31"/>
    <w:rsid w:val="005B4419"/>
    <w:rsid w:val="005B7EFD"/>
    <w:rsid w:val="005D1E7A"/>
    <w:rsid w:val="005D5225"/>
    <w:rsid w:val="0062754C"/>
    <w:rsid w:val="0065119F"/>
    <w:rsid w:val="00652CFD"/>
    <w:rsid w:val="006A5F08"/>
    <w:rsid w:val="006C25DE"/>
    <w:rsid w:val="006E501C"/>
    <w:rsid w:val="006F09AF"/>
    <w:rsid w:val="00717761"/>
    <w:rsid w:val="00745657"/>
    <w:rsid w:val="0074742A"/>
    <w:rsid w:val="0078249A"/>
    <w:rsid w:val="007B1C0B"/>
    <w:rsid w:val="007C0FED"/>
    <w:rsid w:val="007C1204"/>
    <w:rsid w:val="007C1E1E"/>
    <w:rsid w:val="0080071C"/>
    <w:rsid w:val="00807E44"/>
    <w:rsid w:val="0081673D"/>
    <w:rsid w:val="00852D61"/>
    <w:rsid w:val="00864018"/>
    <w:rsid w:val="00866872"/>
    <w:rsid w:val="00867749"/>
    <w:rsid w:val="008920D4"/>
    <w:rsid w:val="00893D04"/>
    <w:rsid w:val="00896534"/>
    <w:rsid w:val="00897A96"/>
    <w:rsid w:val="008A489E"/>
    <w:rsid w:val="008B34E9"/>
    <w:rsid w:val="008D24C6"/>
    <w:rsid w:val="0090672A"/>
    <w:rsid w:val="009118BD"/>
    <w:rsid w:val="00931D36"/>
    <w:rsid w:val="00942743"/>
    <w:rsid w:val="00955ADE"/>
    <w:rsid w:val="009571DD"/>
    <w:rsid w:val="00957A7A"/>
    <w:rsid w:val="0096056D"/>
    <w:rsid w:val="00970C17"/>
    <w:rsid w:val="009A0E78"/>
    <w:rsid w:val="009C24DD"/>
    <w:rsid w:val="00A11919"/>
    <w:rsid w:val="00A30D1F"/>
    <w:rsid w:val="00A31D76"/>
    <w:rsid w:val="00A5008B"/>
    <w:rsid w:val="00A7056C"/>
    <w:rsid w:val="00AB6D3C"/>
    <w:rsid w:val="00AC0F18"/>
    <w:rsid w:val="00AC6187"/>
    <w:rsid w:val="00B00840"/>
    <w:rsid w:val="00B30F18"/>
    <w:rsid w:val="00B50D99"/>
    <w:rsid w:val="00B55095"/>
    <w:rsid w:val="00B67079"/>
    <w:rsid w:val="00B83FD0"/>
    <w:rsid w:val="00BE51ED"/>
    <w:rsid w:val="00C107DA"/>
    <w:rsid w:val="00C32EA8"/>
    <w:rsid w:val="00C430C1"/>
    <w:rsid w:val="00C4643A"/>
    <w:rsid w:val="00CA1B09"/>
    <w:rsid w:val="00CC0B99"/>
    <w:rsid w:val="00CC2FBE"/>
    <w:rsid w:val="00CD5F9A"/>
    <w:rsid w:val="00CF4066"/>
    <w:rsid w:val="00D21470"/>
    <w:rsid w:val="00D22051"/>
    <w:rsid w:val="00D4348C"/>
    <w:rsid w:val="00D57AEB"/>
    <w:rsid w:val="00D57BB6"/>
    <w:rsid w:val="00D7411D"/>
    <w:rsid w:val="00DA7F4F"/>
    <w:rsid w:val="00DC316B"/>
    <w:rsid w:val="00E00292"/>
    <w:rsid w:val="00E009C0"/>
    <w:rsid w:val="00E33627"/>
    <w:rsid w:val="00E81779"/>
    <w:rsid w:val="00E81A8A"/>
    <w:rsid w:val="00E83254"/>
    <w:rsid w:val="00E86574"/>
    <w:rsid w:val="00E87993"/>
    <w:rsid w:val="00E928F3"/>
    <w:rsid w:val="00E94C31"/>
    <w:rsid w:val="00EA6811"/>
    <w:rsid w:val="00EC3748"/>
    <w:rsid w:val="00EC78C4"/>
    <w:rsid w:val="00EC7C70"/>
    <w:rsid w:val="00ED0A5D"/>
    <w:rsid w:val="00EE3E47"/>
    <w:rsid w:val="00F05BA7"/>
    <w:rsid w:val="00F11831"/>
    <w:rsid w:val="00F1408E"/>
    <w:rsid w:val="00F272B7"/>
    <w:rsid w:val="00F63FFE"/>
    <w:rsid w:val="00F80D88"/>
    <w:rsid w:val="00F942D2"/>
    <w:rsid w:val="00FA1C76"/>
    <w:rsid w:val="00FD0346"/>
    <w:rsid w:val="00FD16C4"/>
    <w:rsid w:val="447E1146"/>
    <w:rsid w:val="63264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4AB472"/>
  <w15:docId w15:val="{FC1571A4-F47E-4AD3-A3F0-136619F3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4B50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B509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7CED"/>
  </w:style>
  <w:style w:type="paragraph" w:styleId="BalloonText">
    <w:name w:val="Balloon Text"/>
    <w:basedOn w:val="Normal"/>
    <w:link w:val="BalloonTextChar"/>
    <w:rsid w:val="00BE5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51E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13C1C"/>
    <w:rPr>
      <w:rFonts w:ascii="Courier" w:hAnsi="Courier"/>
      <w:sz w:val="24"/>
      <w:szCs w:val="24"/>
    </w:rPr>
  </w:style>
  <w:style w:type="character" w:styleId="Hyperlink">
    <w:name w:val="Hyperlink"/>
    <w:rsid w:val="00CA1B09"/>
    <w:rPr>
      <w:strike w:val="0"/>
      <w:dstrike w:val="0"/>
      <w:color w:val="000080"/>
      <w:u w:val="none"/>
      <w:effect w:val="none"/>
    </w:rPr>
  </w:style>
  <w:style w:type="paragraph" w:styleId="FootnoteText">
    <w:name w:val="footnote text"/>
    <w:basedOn w:val="Normal"/>
    <w:link w:val="FootnoteTextChar"/>
    <w:rsid w:val="00CA1B09"/>
    <w:rPr>
      <w:sz w:val="20"/>
      <w:szCs w:val="20"/>
    </w:rPr>
  </w:style>
  <w:style w:type="character" w:customStyle="1" w:styleId="FootnoteTextChar">
    <w:name w:val="Footnote Text Char"/>
    <w:link w:val="FootnoteText"/>
    <w:rsid w:val="00CA1B09"/>
    <w:rPr>
      <w:rFonts w:ascii="Courier" w:hAnsi="Courier"/>
    </w:rPr>
  </w:style>
  <w:style w:type="character" w:styleId="CommentReference">
    <w:name w:val="annotation reference"/>
    <w:basedOn w:val="DefaultParagraphFont"/>
    <w:semiHidden/>
    <w:unhideWhenUsed/>
    <w:rsid w:val="00E009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09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09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0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09C0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PBGCCUI xmlns="42a8a83a-5e27-410c-a1fc-7c5ac4e503f4" xsi:nil="true"/>
    <Marking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4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7369C070-D2A1-4927-BC0E-F39C67BD6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D4E73-A534-4A16-83A4-826C21BDF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F66DB-90D6-4C15-B6AA-8ADB58EF480C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4.xml><?xml version="1.0" encoding="utf-8"?>
<ds:datastoreItem xmlns:ds="http://schemas.openxmlformats.org/officeDocument/2006/customXml" ds:itemID="{D5D09059-564B-43A6-BC82-C618258FF6E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5264</Characters>
  <Application>Microsoft Office Word</Application>
  <DocSecurity>0</DocSecurity>
  <Lines>87</Lines>
  <Paragraphs>29</Paragraphs>
  <ScaleCrop>false</ScaleCrop>
  <Company>PBGC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PBGC User</dc:creator>
  <cp:lastModifiedBy>O'Donnell Monica</cp:lastModifiedBy>
  <cp:revision>2</cp:revision>
  <cp:lastPrinted>2017-05-18T13:06:00Z</cp:lastPrinted>
  <dcterms:created xsi:type="dcterms:W3CDTF">2026-03-24T17:53:00Z</dcterms:created>
  <dcterms:modified xsi:type="dcterms:W3CDTF">2026-03-24T17:53:00Z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Reviewer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OGC Document Status">
    <vt:lpwstr>6;#Draft|4e9a4bc7-9032-4d66-87ab-b16dbcbcd63b</vt:lpwstr>
  </property>
  <property fmtid="{D5CDD505-2E9C-101B-9397-08002B2CF9AE}" pid="7" name="OGC_x0020_Document_x0020_Status">
    <vt:lpwstr>6;#Draft|4e9a4bc7-9032-4d66-87ab-b16dbcbcd63b</vt:lpwstr>
  </property>
  <property fmtid="{D5CDD505-2E9C-101B-9397-08002B2CF9AE}" pid="8" name="Order">
    <vt:r8>100</vt:r8>
  </property>
  <property fmtid="{D5CDD505-2E9C-101B-9397-08002B2CF9AE}" pid="9" name="Source Library">
    <vt:lpwstr/>
  </property>
  <property fmtid="{D5CDD505-2E9C-101B-9397-08002B2CF9AE}" pid="10" name="Source Type">
    <vt:lpwstr>File share</vt:lpwstr>
  </property>
</Properties>
</file>