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30BA" w:rsidRPr="003308D0" w:rsidP="003D056B" w14:paraId="6DE8C49C" w14:textId="77777777">
      <w:pPr>
        <w:pStyle w:val="Title"/>
        <w:rPr>
          <w:szCs w:val="24"/>
        </w:rPr>
      </w:pPr>
      <w:r w:rsidRPr="003308D0">
        <w:rPr>
          <w:szCs w:val="24"/>
        </w:rPr>
        <w:t>SUPPORTING STATEMENT FOR</w:t>
      </w:r>
    </w:p>
    <w:p w:rsidR="00B601AB" w:rsidRPr="003308D0" w:rsidP="003D056B" w14:paraId="15CB78DB" w14:textId="77777777">
      <w:pPr>
        <w:pStyle w:val="Title"/>
        <w:rPr>
          <w:szCs w:val="24"/>
        </w:rPr>
      </w:pPr>
      <w:r w:rsidRPr="003308D0">
        <w:rPr>
          <w:szCs w:val="24"/>
        </w:rPr>
        <w:t>PAPE</w:t>
      </w:r>
      <w:r w:rsidRPr="003308D0" w:rsidR="002B2345">
        <w:rPr>
          <w:szCs w:val="24"/>
        </w:rPr>
        <w:t>RWORK REDUCTION ACT SUBMISSION</w:t>
      </w:r>
    </w:p>
    <w:p w:rsidR="00B601AB" w:rsidRPr="003308D0" w:rsidP="003D056B" w14:paraId="39E8177E" w14:textId="77777777">
      <w:pPr>
        <w:ind w:firstLine="360"/>
        <w:jc w:val="center"/>
        <w:rPr>
          <w:szCs w:val="24"/>
        </w:rPr>
      </w:pPr>
    </w:p>
    <w:p w:rsidR="00F81813" w:rsidRPr="003308D0" w:rsidP="003D056B" w14:paraId="17D9FD84" w14:textId="77777777">
      <w:pPr>
        <w:jc w:val="center"/>
        <w:rPr>
          <w:b/>
          <w:szCs w:val="24"/>
        </w:rPr>
      </w:pPr>
      <w:r w:rsidRPr="003308D0">
        <w:rPr>
          <w:b/>
          <w:szCs w:val="24"/>
        </w:rPr>
        <w:t xml:space="preserve">Request for </w:t>
      </w:r>
      <w:r w:rsidRPr="003308D0" w:rsidR="00C83638">
        <w:rPr>
          <w:b/>
          <w:szCs w:val="24"/>
        </w:rPr>
        <w:t>Commodity Jurisdiction (CJ) Determination</w:t>
      </w:r>
    </w:p>
    <w:p w:rsidR="00F81813" w:rsidRPr="003308D0" w:rsidP="003D056B" w14:paraId="20DF6209" w14:textId="77777777">
      <w:pPr>
        <w:jc w:val="center"/>
        <w:rPr>
          <w:b/>
          <w:szCs w:val="24"/>
        </w:rPr>
      </w:pPr>
      <w:r w:rsidRPr="003308D0">
        <w:rPr>
          <w:b/>
          <w:szCs w:val="24"/>
        </w:rPr>
        <w:t>OMB No. 1405-0163</w:t>
      </w:r>
    </w:p>
    <w:p w:rsidR="00B601AB" w:rsidRPr="003308D0" w:rsidP="003D056B" w14:paraId="34C0A5C6" w14:textId="77777777">
      <w:pPr>
        <w:pStyle w:val="BodyText3"/>
        <w:rPr>
          <w:sz w:val="24"/>
          <w:szCs w:val="24"/>
        </w:rPr>
      </w:pPr>
      <w:r w:rsidRPr="003308D0">
        <w:rPr>
          <w:sz w:val="24"/>
          <w:szCs w:val="24"/>
        </w:rPr>
        <w:t>Form</w:t>
      </w:r>
      <w:r w:rsidRPr="003308D0">
        <w:rPr>
          <w:sz w:val="24"/>
          <w:szCs w:val="24"/>
        </w:rPr>
        <w:t xml:space="preserve"> DS-4076</w:t>
      </w:r>
    </w:p>
    <w:p w:rsidR="00B601AB" w:rsidRPr="003308D0" w:rsidP="003D056B" w14:paraId="5DA460BD" w14:textId="77777777">
      <w:pPr>
        <w:jc w:val="center"/>
        <w:rPr>
          <w:b/>
          <w:szCs w:val="24"/>
        </w:rPr>
      </w:pPr>
    </w:p>
    <w:p w:rsidR="00B601AB" w:rsidRPr="003308D0" w:rsidP="003D056B" w14:paraId="06201B44" w14:textId="77777777">
      <w:pPr>
        <w:pStyle w:val="Heading2"/>
        <w:jc w:val="left"/>
        <w:rPr>
          <w:color w:val="auto"/>
          <w:szCs w:val="24"/>
        </w:rPr>
      </w:pPr>
      <w:r w:rsidRPr="003308D0">
        <w:rPr>
          <w:color w:val="auto"/>
          <w:szCs w:val="24"/>
        </w:rPr>
        <w:t>A.  Justification</w:t>
      </w:r>
    </w:p>
    <w:p w:rsidR="00B601AB" w:rsidRPr="003308D0" w:rsidP="003D056B" w14:paraId="18C2A2B3" w14:textId="77777777">
      <w:pPr>
        <w:jc w:val="center"/>
        <w:rPr>
          <w:b/>
          <w:szCs w:val="24"/>
        </w:rPr>
      </w:pPr>
    </w:p>
    <w:p w:rsidR="00F24DA7" w:rsidP="003D056B" w14:paraId="7DE859D5" w14:textId="3A6277CE">
      <w:pPr>
        <w:rPr>
          <w:color w:val="000000" w:themeColor="text1"/>
          <w:szCs w:val="24"/>
        </w:rPr>
      </w:pPr>
      <w:r w:rsidRPr="003308D0">
        <w:rPr>
          <w:szCs w:val="24"/>
        </w:rPr>
        <w:t>1.</w:t>
      </w:r>
      <w:r w:rsidRPr="003308D0">
        <w:rPr>
          <w:szCs w:val="24"/>
        </w:rPr>
        <w:tab/>
      </w:r>
      <w:r w:rsidRPr="003308D0">
        <w:rPr>
          <w:color w:val="000000" w:themeColor="text1"/>
          <w:szCs w:val="24"/>
        </w:rPr>
        <w:t>Why is this collection necessary and what are the legal statutes that allow this?</w:t>
      </w:r>
    </w:p>
    <w:p w:rsidR="003D056B" w:rsidRPr="003308D0" w:rsidP="003D056B" w14:paraId="6E9AE284" w14:textId="77777777">
      <w:pPr>
        <w:rPr>
          <w:i/>
          <w:color w:val="000000" w:themeColor="text1"/>
          <w:szCs w:val="24"/>
        </w:rPr>
      </w:pPr>
    </w:p>
    <w:p w:rsidR="00B601AB" w:rsidRPr="003308D0" w:rsidP="003D056B" w14:paraId="55CB320B" w14:textId="0678DE01">
      <w:pPr>
        <w:pStyle w:val="BodyText2"/>
        <w:ind w:firstLine="720"/>
        <w:rPr>
          <w:sz w:val="24"/>
          <w:szCs w:val="24"/>
        </w:rPr>
      </w:pPr>
      <w:r w:rsidRPr="3792E21C">
        <w:rPr>
          <w:sz w:val="24"/>
          <w:szCs w:val="24"/>
        </w:rPr>
        <w:t xml:space="preserve">The Directorate of Defense Trade Controls (DDTC), Bureau of Political-Military Affairs, U.S. Department of State, in accordance with the Arms Export Control Act (AECA) (22 U.S.C. 2751 </w:t>
      </w:r>
      <w:r w:rsidRPr="3792E21C">
        <w:rPr>
          <w:i/>
          <w:iCs/>
          <w:sz w:val="24"/>
          <w:szCs w:val="24"/>
        </w:rPr>
        <w:t>et seq</w:t>
      </w:r>
      <w:r w:rsidRPr="3792E21C">
        <w:rPr>
          <w:sz w:val="24"/>
          <w:szCs w:val="24"/>
        </w:rPr>
        <w:t xml:space="preserve">.) and the International Traffic in Arms Regulations (ITAR) (22 CFR </w:t>
      </w:r>
      <w:r w:rsidR="00444378">
        <w:rPr>
          <w:sz w:val="24"/>
          <w:szCs w:val="24"/>
        </w:rPr>
        <w:t>p</w:t>
      </w:r>
      <w:r w:rsidRPr="3792E21C">
        <w:rPr>
          <w:sz w:val="24"/>
          <w:szCs w:val="24"/>
        </w:rPr>
        <w:t xml:space="preserve">arts 120-130),  is responsible for regulating the export, reexport, retransfer, </w:t>
      </w:r>
      <w:r w:rsidR="001C096F">
        <w:rPr>
          <w:sz w:val="24"/>
          <w:szCs w:val="24"/>
        </w:rPr>
        <w:t xml:space="preserve"> and </w:t>
      </w:r>
      <w:r w:rsidRPr="3792E21C">
        <w:rPr>
          <w:sz w:val="24"/>
          <w:szCs w:val="24"/>
        </w:rPr>
        <w:t>temporary import</w:t>
      </w:r>
      <w:r w:rsidR="001C096F">
        <w:rPr>
          <w:sz w:val="24"/>
          <w:szCs w:val="24"/>
        </w:rPr>
        <w:t xml:space="preserve"> of</w:t>
      </w:r>
      <w:r w:rsidRPr="3792E21C">
        <w:rPr>
          <w:sz w:val="24"/>
          <w:szCs w:val="24"/>
        </w:rPr>
        <w:t xml:space="preserve"> defense articles and defense services</w:t>
      </w:r>
      <w:r w:rsidR="00A55B38">
        <w:rPr>
          <w:sz w:val="24"/>
          <w:szCs w:val="24"/>
        </w:rPr>
        <w:t xml:space="preserve"> </w:t>
      </w:r>
      <w:r w:rsidRPr="3792E21C" w:rsidR="00F74EC2">
        <w:rPr>
          <w:sz w:val="24"/>
          <w:szCs w:val="24"/>
        </w:rPr>
        <w:t>described on</w:t>
      </w:r>
      <w:r w:rsidRPr="3792E21C">
        <w:rPr>
          <w:sz w:val="24"/>
          <w:szCs w:val="24"/>
        </w:rPr>
        <w:t xml:space="preserve"> the U.S. Munitions List (USML)</w:t>
      </w:r>
      <w:r w:rsidR="000178BA">
        <w:rPr>
          <w:sz w:val="24"/>
          <w:szCs w:val="24"/>
        </w:rPr>
        <w:t xml:space="preserve"> at ITAR </w:t>
      </w:r>
      <w:r w:rsidR="0030414D">
        <w:rPr>
          <w:sz w:val="24"/>
          <w:szCs w:val="24"/>
        </w:rPr>
        <w:t>§ 121.1</w:t>
      </w:r>
      <w:r w:rsidR="001C096F">
        <w:rPr>
          <w:sz w:val="24"/>
          <w:szCs w:val="24"/>
        </w:rPr>
        <w:t xml:space="preserve">, </w:t>
      </w:r>
      <w:r w:rsidRPr="00806BD3" w:rsidR="00806BD3">
        <w:rPr>
          <w:sz w:val="24"/>
          <w:szCs w:val="24"/>
        </w:rPr>
        <w:t>and the brokering thereof which are covered by the USML or the United States Munitions Import List at 27 CFR 447.21</w:t>
      </w:r>
      <w:r w:rsidRPr="3792E21C">
        <w:rPr>
          <w:sz w:val="24"/>
          <w:szCs w:val="24"/>
        </w:rPr>
        <w:t>.</w:t>
      </w:r>
    </w:p>
    <w:p w:rsidR="00B601AB" w:rsidRPr="003308D0" w:rsidP="003D056B" w14:paraId="6F4BBEF6" w14:textId="77777777">
      <w:pPr>
        <w:rPr>
          <w:szCs w:val="24"/>
        </w:rPr>
      </w:pPr>
    </w:p>
    <w:p w:rsidR="00B601AB" w:rsidRPr="003308D0" w:rsidP="003D056B" w14:paraId="223186F2" w14:textId="4F7ECD83">
      <w:pPr>
        <w:rPr>
          <w:szCs w:val="24"/>
        </w:rPr>
      </w:pPr>
      <w:r w:rsidRPr="003308D0">
        <w:rPr>
          <w:szCs w:val="24"/>
        </w:rPr>
        <w:tab/>
      </w:r>
    </w:p>
    <w:p w:rsidR="00D72557" w:rsidRPr="003308D0" w:rsidP="003D056B" w14:paraId="6112C8E7" w14:textId="67C1F6E3">
      <w:pPr>
        <w:ind w:firstLine="720"/>
      </w:pPr>
      <w:r>
        <w:t>The statutory authority of the President to promulgate regulations with respect to the export, reexport, retransfer, and temporary import of defense articles and the provision of defense services was delegated to the Secretary of State by Executive Order 1</w:t>
      </w:r>
      <w:r w:rsidR="2315A0EE">
        <w:t>3637</w:t>
      </w:r>
      <w:r>
        <w:t xml:space="preserve">.  These regulations are primarily administered by the Deputy Assistant Secretary of State for Defense Trade </w:t>
      </w:r>
      <w:r w:rsidR="00E13B7A">
        <w:t xml:space="preserve">Controls </w:t>
      </w:r>
      <w:r>
        <w:t xml:space="preserve">and the Directorate of Defense Trade Controls </w:t>
      </w:r>
      <w:r w:rsidR="00F74EC2">
        <w:t xml:space="preserve">within the </w:t>
      </w:r>
      <w:r>
        <w:t>Bureau of Political-Military Affairs.</w:t>
      </w:r>
    </w:p>
    <w:p w:rsidR="00D72557" w:rsidRPr="003308D0" w:rsidP="003D056B" w14:paraId="28B241B4" w14:textId="77777777">
      <w:pPr>
        <w:rPr>
          <w:szCs w:val="24"/>
        </w:rPr>
      </w:pPr>
    </w:p>
    <w:p w:rsidR="00737432" w:rsidRPr="003308D0" w:rsidP="0A8EE1AB" w14:paraId="598F4C90" w14:textId="3E507DCF">
      <w:pPr>
        <w:ind w:firstLine="720"/>
      </w:pPr>
      <w:r>
        <w:t xml:space="preserve">Pursuant to ITAR </w:t>
      </w:r>
      <w:r w:rsidR="00F74EC2">
        <w:t>§ </w:t>
      </w:r>
      <w:r>
        <w:t>12</w:t>
      </w:r>
      <w:r w:rsidR="00C83638">
        <w:t>0</w:t>
      </w:r>
      <w:r>
        <w:t>.</w:t>
      </w:r>
      <w:r w:rsidR="00C83638">
        <w:t>4</w:t>
      </w:r>
      <w:r>
        <w:t xml:space="preserve">, a </w:t>
      </w:r>
      <w:r>
        <w:t xml:space="preserve">person may </w:t>
      </w:r>
      <w:r>
        <w:t xml:space="preserve">request </w:t>
      </w:r>
      <w:r>
        <w:t xml:space="preserve">a written determination </w:t>
      </w:r>
      <w:r>
        <w:t>from</w:t>
      </w:r>
      <w:r>
        <w:t xml:space="preserve"> the Department of State </w:t>
      </w:r>
      <w:r>
        <w:t>as to</w:t>
      </w:r>
      <w:r w:rsidR="0074368D">
        <w:t xml:space="preserve"> </w:t>
      </w:r>
      <w:r>
        <w:t xml:space="preserve">whether a particular article or service is covered by the USML.  DDTC’s policy on designating and determining whether an article or service is a defense article or defense service covered by the USML is described in ITAR </w:t>
      </w:r>
      <w:r w:rsidR="00F74EC2">
        <w:t>§ </w:t>
      </w:r>
      <w:r>
        <w:t>120.3</w:t>
      </w:r>
      <w:r w:rsidR="4C54EEBA">
        <w:t xml:space="preserve">.  </w:t>
      </w:r>
      <w:r w:rsidR="2960594D">
        <w:t xml:space="preserve">DDTC refers to this determination as a “commodity jurisdiction” (CJ) determination. </w:t>
      </w:r>
      <w:r>
        <w:t xml:space="preserve">Separately, section 38(e) of the Arms Export Control Act (22 U.S.C. § 2778(e)) statically cross references to and thus currently incorporates </w:t>
      </w:r>
      <w:r w:rsidR="004B031D">
        <w:t>section 1761</w:t>
      </w:r>
      <w:r w:rsidR="003901B2">
        <w:t>(a</w:t>
      </w:r>
      <w:r w:rsidR="009654BC">
        <w:t>)(1) through (4) and (7)</w:t>
      </w:r>
      <w:r w:rsidR="000930EA">
        <w:t xml:space="preserve"> of </w:t>
      </w:r>
      <w:r>
        <w:t xml:space="preserve">the Export </w:t>
      </w:r>
      <w:r w:rsidR="00EC5A4E">
        <w:t>Control Reform</w:t>
      </w:r>
      <w:r w:rsidR="00EC5A4E">
        <w:t xml:space="preserve"> </w:t>
      </w:r>
      <w:r>
        <w:t>Act</w:t>
      </w:r>
      <w:r w:rsidR="00C8295D">
        <w:t xml:space="preserve"> (50 </w:t>
      </w:r>
      <w:r w:rsidR="00183267">
        <w:t>U.S.C. 4820)</w:t>
      </w:r>
      <w:r>
        <w:t xml:space="preserve">, </w:t>
      </w:r>
      <w:r>
        <w:t>which allows broad information collection</w:t>
      </w:r>
      <w:r w:rsidR="00F25917">
        <w:t>.</w:t>
      </w:r>
    </w:p>
    <w:p w:rsidR="00B601AB" w:rsidRPr="003308D0" w:rsidP="003D056B" w14:paraId="697916AA" w14:textId="77777777">
      <w:pPr>
        <w:rPr>
          <w:szCs w:val="24"/>
        </w:rPr>
      </w:pPr>
    </w:p>
    <w:p w:rsidR="00F24DA7" w:rsidP="003D056B" w14:paraId="6567563E" w14:textId="3708F5F8">
      <w:pPr>
        <w:rPr>
          <w:color w:val="000000" w:themeColor="text1"/>
          <w:szCs w:val="24"/>
        </w:rPr>
      </w:pPr>
      <w:r w:rsidRPr="003308D0">
        <w:rPr>
          <w:color w:val="000000" w:themeColor="text1"/>
          <w:szCs w:val="24"/>
        </w:rPr>
        <w:t>2.</w:t>
      </w:r>
      <w:r w:rsidRPr="003308D0">
        <w:rPr>
          <w:color w:val="000000" w:themeColor="text1"/>
          <w:szCs w:val="24"/>
        </w:rPr>
        <w:tab/>
      </w:r>
      <w:r w:rsidRPr="003308D0">
        <w:rPr>
          <w:color w:val="000000" w:themeColor="text1"/>
          <w:szCs w:val="24"/>
        </w:rPr>
        <w:t>What business purpose is the information gathered going to be used for?</w:t>
      </w:r>
    </w:p>
    <w:p w:rsidR="003D056B" w:rsidRPr="003308D0" w:rsidP="003D056B" w14:paraId="6DD0ED8D" w14:textId="77777777">
      <w:pPr>
        <w:rPr>
          <w:color w:val="000000" w:themeColor="text1"/>
          <w:szCs w:val="24"/>
        </w:rPr>
      </w:pPr>
    </w:p>
    <w:p w:rsidR="00E776F3" w:rsidRPr="003308D0" w:rsidP="4EFDCA22" w14:paraId="4864643C" w14:textId="30F74318">
      <w:pPr>
        <w:spacing w:line="259" w:lineRule="auto"/>
        <w:ind w:firstLine="720"/>
      </w:pPr>
      <w:r>
        <w:t>Information submitted in response to this collection will be shared with the Department</w:t>
      </w:r>
      <w:r w:rsidR="00463271">
        <w:t>s</w:t>
      </w:r>
      <w:r>
        <w:t xml:space="preserve"> of Defense</w:t>
      </w:r>
      <w:r w:rsidR="00A55B38">
        <w:t xml:space="preserve"> </w:t>
      </w:r>
      <w:r w:rsidR="00463271">
        <w:t>and</w:t>
      </w:r>
      <w:r>
        <w:t xml:space="preserve"> Commerce, and other </w:t>
      </w:r>
      <w:r w:rsidR="002C0726">
        <w:t xml:space="preserve">U.S. </w:t>
      </w:r>
      <w:r w:rsidR="00AA5168">
        <w:t xml:space="preserve">Government </w:t>
      </w:r>
      <w:r w:rsidR="002C0726">
        <w:t>(</w:t>
      </w:r>
      <w:r>
        <w:t>USG</w:t>
      </w:r>
      <w:r w:rsidR="002C0726">
        <w:t>)</w:t>
      </w:r>
      <w:r>
        <w:t xml:space="preserve"> agencies, as needed, during the </w:t>
      </w:r>
      <w:r w:rsidR="002A7CA4">
        <w:t xml:space="preserve">CJ </w:t>
      </w:r>
      <w:r w:rsidR="00E32DE2">
        <w:t xml:space="preserve">review </w:t>
      </w:r>
      <w:r>
        <w:t xml:space="preserve">process.  DDTC and the agencies with </w:t>
      </w:r>
      <w:r w:rsidR="00A86754">
        <w:t>which</w:t>
      </w:r>
      <w:r>
        <w:t xml:space="preserve"> DDTC </w:t>
      </w:r>
      <w:r w:rsidR="00994C5A">
        <w:t>share</w:t>
      </w:r>
      <w:r>
        <w:t xml:space="preserve"> inf</w:t>
      </w:r>
      <w:r w:rsidR="00BE0BC1">
        <w:t>ormation will review and analyze</w:t>
      </w:r>
      <w:r>
        <w:t xml:space="preserve"> the information to determine if an </w:t>
      </w:r>
      <w:r w:rsidR="00737432">
        <w:t xml:space="preserve">article or service is covered by the </w:t>
      </w:r>
      <w:r w:rsidR="00896DA1">
        <w:t>USML and</w:t>
      </w:r>
      <w:r w:rsidR="00A30CB2">
        <w:t xml:space="preserve"> is </w:t>
      </w:r>
      <w:r w:rsidR="00E32DE2">
        <w:t>thus</w:t>
      </w:r>
      <w:r w:rsidR="00737432">
        <w:t xml:space="preserve"> subject to the export jurisdiction of the Department of State.  </w:t>
      </w:r>
      <w:r>
        <w:t xml:space="preserve">If an article </w:t>
      </w:r>
      <w:r w:rsidR="0074786F">
        <w:t xml:space="preserve">or service </w:t>
      </w:r>
      <w:r>
        <w:t xml:space="preserve">has already been determined to be covered by the USML, DDTC and other applicable </w:t>
      </w:r>
      <w:r w:rsidR="002C0726">
        <w:t xml:space="preserve">USG </w:t>
      </w:r>
      <w:r>
        <w:t xml:space="preserve">agencies will use the information to </w:t>
      </w:r>
      <w:r w:rsidR="00BE0BC1">
        <w:t xml:space="preserve">determine if the previous </w:t>
      </w:r>
      <w:r w:rsidR="4CCE7F50">
        <w:t>determination</w:t>
      </w:r>
      <w:r w:rsidR="00BE0BC1">
        <w:t xml:space="preserve"> </w:t>
      </w:r>
      <w:r w:rsidR="0085415A">
        <w:t>remains accurate</w:t>
      </w:r>
      <w:r>
        <w:t xml:space="preserve">. </w:t>
      </w:r>
    </w:p>
    <w:p w:rsidR="00737432" w:rsidRPr="003308D0" w:rsidP="003D056B" w14:paraId="4E663839" w14:textId="77777777">
      <w:pPr>
        <w:rPr>
          <w:szCs w:val="24"/>
        </w:rPr>
      </w:pPr>
    </w:p>
    <w:p w:rsidR="00F24DA7" w:rsidP="003D056B" w14:paraId="4287C829" w14:textId="63364BE4">
      <w:pPr>
        <w:rPr>
          <w:szCs w:val="24"/>
        </w:rPr>
      </w:pPr>
      <w:r w:rsidRPr="003308D0">
        <w:rPr>
          <w:szCs w:val="24"/>
        </w:rPr>
        <w:t>3.</w:t>
      </w:r>
      <w:r w:rsidRPr="003308D0">
        <w:rPr>
          <w:i/>
          <w:color w:val="000000" w:themeColor="text1"/>
          <w:szCs w:val="24"/>
        </w:rPr>
        <w:t xml:space="preserve"> </w:t>
      </w:r>
      <w:r w:rsidRPr="003308D0">
        <w:rPr>
          <w:i/>
          <w:color w:val="000000" w:themeColor="text1"/>
          <w:szCs w:val="24"/>
        </w:rPr>
        <w:tab/>
      </w:r>
      <w:r w:rsidRPr="003308D0">
        <w:rPr>
          <w:color w:val="000000" w:themeColor="text1"/>
          <w:szCs w:val="24"/>
        </w:rPr>
        <w:t>Is this collection able to be completed electronically (e.g.</w:t>
      </w:r>
      <w:r w:rsidR="00967DBF">
        <w:rPr>
          <w:color w:val="000000" w:themeColor="text1"/>
          <w:szCs w:val="24"/>
        </w:rPr>
        <w:t>,</w:t>
      </w:r>
      <w:r w:rsidRPr="003308D0">
        <w:rPr>
          <w:color w:val="000000" w:themeColor="text1"/>
          <w:szCs w:val="24"/>
        </w:rPr>
        <w:t xml:space="preserve"> through a website or application)?</w:t>
      </w:r>
    </w:p>
    <w:p w:rsidR="003D056B" w:rsidRPr="003308D0" w:rsidP="003D056B" w14:paraId="220AEF43" w14:textId="77777777">
      <w:pPr>
        <w:rPr>
          <w:szCs w:val="24"/>
        </w:rPr>
      </w:pPr>
    </w:p>
    <w:p w:rsidR="00B601AB" w:rsidRPr="003308D0" w:rsidP="003D056B" w14:paraId="6E16A47C" w14:textId="38AAC2A9">
      <w:pPr>
        <w:ind w:firstLine="720"/>
      </w:pPr>
      <w:r>
        <w:t xml:space="preserve">Yes, respondents </w:t>
      </w:r>
      <w:r w:rsidR="37D25720">
        <w:t xml:space="preserve">who wish to </w:t>
      </w:r>
      <w:r>
        <w:t xml:space="preserve">request </w:t>
      </w:r>
      <w:r w:rsidR="37D25720">
        <w:t>a C</w:t>
      </w:r>
      <w:r w:rsidR="391E72D4">
        <w:t>J</w:t>
      </w:r>
      <w:r w:rsidR="37D25720">
        <w:t xml:space="preserve"> determination should submit </w:t>
      </w:r>
      <w:r w:rsidR="3C37836B">
        <w:t xml:space="preserve">their request </w:t>
      </w:r>
      <w:r>
        <w:t xml:space="preserve">electronically </w:t>
      </w:r>
      <w:r w:rsidR="3C37836B">
        <w:t xml:space="preserve">through DDTC’s web portal, the Defense </w:t>
      </w:r>
      <w:r w:rsidR="002C0726">
        <w:t xml:space="preserve">Export </w:t>
      </w:r>
      <w:r w:rsidR="3C37836B">
        <w:t>Control and Compliance System (DECCS)</w:t>
      </w:r>
      <w:r w:rsidR="37D25720">
        <w:t xml:space="preserve">.  Respondents may access the </w:t>
      </w:r>
      <w:r w:rsidR="3C37836B">
        <w:t xml:space="preserve">web portal </w:t>
      </w:r>
      <w:r w:rsidR="003A377C">
        <w:t xml:space="preserve">through </w:t>
      </w:r>
      <w:r w:rsidR="37D25720">
        <w:t>DDTC’s website</w:t>
      </w:r>
      <w:r w:rsidR="7B1CE638">
        <w:t>, pmddtc.state.gov</w:t>
      </w:r>
      <w:r w:rsidR="37D25720">
        <w:t>.  If respondents are unable to submit their request electronically, they may submit the DS-4076 to the Department and the Department will manually upload the DS-4076 into DECCS.</w:t>
      </w:r>
    </w:p>
    <w:p w:rsidR="00B601AB" w:rsidRPr="003308D0" w:rsidP="003D056B" w14:paraId="75B10FD8" w14:textId="77777777">
      <w:pPr>
        <w:rPr>
          <w:szCs w:val="24"/>
        </w:rPr>
      </w:pPr>
    </w:p>
    <w:p w:rsidR="00F24DA7" w:rsidP="003D056B" w14:paraId="24B9D9C4" w14:textId="5A35DA55">
      <w:pPr>
        <w:rPr>
          <w:szCs w:val="24"/>
        </w:rPr>
      </w:pPr>
      <w:r w:rsidRPr="003308D0">
        <w:rPr>
          <w:szCs w:val="24"/>
        </w:rPr>
        <w:t>4.</w:t>
      </w:r>
      <w:r w:rsidRPr="003308D0">
        <w:rPr>
          <w:szCs w:val="24"/>
        </w:rPr>
        <w:t xml:space="preserve">  </w:t>
      </w:r>
      <w:r w:rsidRPr="003308D0" w:rsidR="00E32DE2">
        <w:rPr>
          <w:szCs w:val="24"/>
        </w:rPr>
        <w:tab/>
      </w:r>
      <w:r w:rsidRPr="003308D0">
        <w:rPr>
          <w:szCs w:val="24"/>
        </w:rPr>
        <w:t>Does this collection duplicate any other collection of information?</w:t>
      </w:r>
    </w:p>
    <w:p w:rsidR="003D056B" w:rsidRPr="003308D0" w:rsidP="003D056B" w14:paraId="5F05C38C" w14:textId="77777777">
      <w:pPr>
        <w:rPr>
          <w:szCs w:val="24"/>
        </w:rPr>
      </w:pPr>
    </w:p>
    <w:p w:rsidR="00B601AB" w:rsidRPr="003308D0" w:rsidP="00A55B38" w14:paraId="08E3F745" w14:textId="4F273B0E">
      <w:pPr>
        <w:spacing w:line="259" w:lineRule="auto"/>
        <w:ind w:firstLine="720"/>
        <w:rPr>
          <w:szCs w:val="24"/>
        </w:rPr>
      </w:pPr>
      <w:r>
        <w:t>No.</w:t>
      </w:r>
    </w:p>
    <w:p w:rsidR="00B601AB" w:rsidRPr="003308D0" w:rsidP="003D056B" w14:paraId="2C91B4FC" w14:textId="77777777">
      <w:pPr>
        <w:rPr>
          <w:szCs w:val="24"/>
        </w:rPr>
      </w:pPr>
    </w:p>
    <w:p w:rsidR="00F24DA7" w:rsidP="003D056B" w14:paraId="6CD8F3BF" w14:textId="0BA8B933">
      <w:pPr>
        <w:rPr>
          <w:szCs w:val="24"/>
        </w:rPr>
      </w:pPr>
      <w:r w:rsidRPr="003308D0">
        <w:rPr>
          <w:szCs w:val="24"/>
        </w:rPr>
        <w:t>5.</w:t>
      </w:r>
      <w:r w:rsidRPr="003308D0">
        <w:rPr>
          <w:szCs w:val="24"/>
        </w:rPr>
        <w:t xml:space="preserve">  </w:t>
      </w:r>
      <w:r w:rsidRPr="003308D0" w:rsidR="00E32DE2">
        <w:rPr>
          <w:szCs w:val="24"/>
        </w:rPr>
        <w:tab/>
      </w:r>
      <w:r w:rsidRPr="003308D0">
        <w:rPr>
          <w:szCs w:val="24"/>
        </w:rPr>
        <w:t>Describe any impact on small business.</w:t>
      </w:r>
    </w:p>
    <w:p w:rsidR="003D056B" w:rsidRPr="003308D0" w:rsidP="003D056B" w14:paraId="62D58210" w14:textId="77777777">
      <w:pPr>
        <w:rPr>
          <w:szCs w:val="24"/>
        </w:rPr>
      </w:pPr>
    </w:p>
    <w:p w:rsidR="00F036AC" w:rsidRPr="003308D0" w:rsidP="003D056B" w14:paraId="5A0BDC2C" w14:textId="6AE41676">
      <w:r w:rsidRPr="003308D0">
        <w:rPr>
          <w:szCs w:val="24"/>
        </w:rPr>
        <w:tab/>
      </w:r>
      <w:r w:rsidRPr="3792E21C" w:rsidR="2F2B9601">
        <w:t xml:space="preserve">Export control laws and regulations are designed to safeguard U.S. foreign policy and national security interests and to further world peace.  The law and regulations are applicable equally to large and small businesses or entities.  </w:t>
      </w:r>
      <w:r w:rsidRPr="3792E21C" w:rsidR="72E2A062">
        <w:t>Submitting a CJ r</w:t>
      </w:r>
      <w:r w:rsidRPr="3792E21C" w:rsidR="64E3B0AA">
        <w:t>equest is optional and is not required of business</w:t>
      </w:r>
      <w:r w:rsidRPr="3792E21C" w:rsidR="72E2A062">
        <w:t xml:space="preserve">es or entities unless they </w:t>
      </w:r>
      <w:r w:rsidRPr="3792E21C" w:rsidR="5AE5983A">
        <w:t>have doubt as to the export jurisdiction of their article or service</w:t>
      </w:r>
      <w:r w:rsidRPr="3792E21C" w:rsidR="00D6CEEC">
        <w:t xml:space="preserve">.  Burdens have been minimized through </w:t>
      </w:r>
      <w:r w:rsidRPr="3792E21C" w:rsidR="63390B4F">
        <w:t xml:space="preserve">the </w:t>
      </w:r>
      <w:r w:rsidRPr="3792E21C" w:rsidR="00D6CEEC">
        <w:t>development of clear guidelines for the submission of information</w:t>
      </w:r>
      <w:r w:rsidR="55AA3F47">
        <w:t xml:space="preserve">, and by changes to the </w:t>
      </w:r>
      <w:r w:rsidR="002C0726">
        <w:t>USML</w:t>
      </w:r>
      <w:r w:rsidR="55AA3F47">
        <w:t xml:space="preserve"> to reduce the </w:t>
      </w:r>
      <w:r w:rsidR="461450B3">
        <w:t xml:space="preserve">number of </w:t>
      </w:r>
      <w:r w:rsidR="10380612">
        <w:t>responses industry de</w:t>
      </w:r>
      <w:r w:rsidR="6C091908">
        <w:t>ems necessary</w:t>
      </w:r>
      <w:r w:rsidRPr="003308D0" w:rsidR="00D6CEEC">
        <w:rPr>
          <w:szCs w:val="24"/>
        </w:rPr>
        <w:t>.</w:t>
      </w:r>
    </w:p>
    <w:p w:rsidR="00B601AB" w:rsidRPr="003308D0" w:rsidP="003D056B" w14:paraId="140A7282" w14:textId="77777777">
      <w:pPr>
        <w:rPr>
          <w:szCs w:val="24"/>
        </w:rPr>
      </w:pPr>
    </w:p>
    <w:p w:rsidR="00F24DA7" w:rsidP="003D056B" w14:paraId="6FD795A1" w14:textId="766956E1">
      <w:pPr>
        <w:pStyle w:val="BodyText2"/>
        <w:rPr>
          <w:sz w:val="24"/>
          <w:szCs w:val="24"/>
        </w:rPr>
      </w:pPr>
      <w:r w:rsidRPr="003308D0">
        <w:rPr>
          <w:sz w:val="24"/>
          <w:szCs w:val="24"/>
        </w:rPr>
        <w:t>6.</w:t>
      </w:r>
      <w:r w:rsidRPr="003308D0">
        <w:rPr>
          <w:sz w:val="24"/>
          <w:szCs w:val="24"/>
        </w:rPr>
        <w:tab/>
      </w:r>
      <w:r w:rsidRPr="003308D0">
        <w:rPr>
          <w:sz w:val="24"/>
          <w:szCs w:val="24"/>
        </w:rPr>
        <w:t>What are consequences if this collection is not done?</w:t>
      </w:r>
    </w:p>
    <w:p w:rsidR="003D056B" w:rsidRPr="003308D0" w:rsidP="003D056B" w14:paraId="4236DA5E" w14:textId="77777777">
      <w:pPr>
        <w:pStyle w:val="BodyText2"/>
        <w:rPr>
          <w:sz w:val="24"/>
          <w:szCs w:val="24"/>
        </w:rPr>
      </w:pPr>
    </w:p>
    <w:p w:rsidR="00B601AB" w:rsidRPr="003308D0" w:rsidP="003D056B" w14:paraId="3C94285E" w14:textId="71AF42C1">
      <w:pPr>
        <w:pStyle w:val="BodyText2"/>
        <w:ind w:firstLine="720"/>
        <w:rPr>
          <w:sz w:val="24"/>
          <w:szCs w:val="24"/>
        </w:rPr>
      </w:pPr>
      <w:r w:rsidRPr="362003F6">
        <w:rPr>
          <w:sz w:val="24"/>
          <w:szCs w:val="24"/>
        </w:rPr>
        <w:t>Form DS-4076 provides the Department with a mechanism to</w:t>
      </w:r>
      <w:r w:rsidRPr="362003F6" w:rsidR="00395C03">
        <w:rPr>
          <w:sz w:val="24"/>
          <w:szCs w:val="24"/>
        </w:rPr>
        <w:t xml:space="preserve"> collect the information necessary to</w:t>
      </w:r>
      <w:r w:rsidRPr="362003F6">
        <w:rPr>
          <w:sz w:val="24"/>
          <w:szCs w:val="24"/>
        </w:rPr>
        <w:t xml:space="preserve"> determine whether </w:t>
      </w:r>
      <w:r w:rsidRPr="362003F6" w:rsidR="009E02FA">
        <w:rPr>
          <w:sz w:val="24"/>
          <w:szCs w:val="24"/>
        </w:rPr>
        <w:t xml:space="preserve">specific </w:t>
      </w:r>
      <w:r w:rsidRPr="362003F6">
        <w:rPr>
          <w:sz w:val="24"/>
          <w:szCs w:val="24"/>
        </w:rPr>
        <w:t xml:space="preserve">articles and services are </w:t>
      </w:r>
      <w:r w:rsidRPr="362003F6" w:rsidR="00395C03">
        <w:rPr>
          <w:sz w:val="24"/>
          <w:szCs w:val="24"/>
        </w:rPr>
        <w:t xml:space="preserve">described </w:t>
      </w:r>
      <w:r w:rsidRPr="362003F6" w:rsidR="00395C03">
        <w:rPr>
          <w:sz w:val="24"/>
          <w:szCs w:val="24"/>
        </w:rPr>
        <w:t>on</w:t>
      </w:r>
      <w:r w:rsidRPr="362003F6" w:rsidR="00395C03">
        <w:rPr>
          <w:sz w:val="24"/>
          <w:szCs w:val="24"/>
        </w:rPr>
        <w:t xml:space="preserve"> </w:t>
      </w:r>
      <w:r w:rsidRPr="362003F6">
        <w:rPr>
          <w:sz w:val="24"/>
          <w:szCs w:val="24"/>
        </w:rPr>
        <w:t>the USML</w:t>
      </w:r>
      <w:r w:rsidRPr="362003F6" w:rsidR="00395C03">
        <w:rPr>
          <w:sz w:val="24"/>
          <w:szCs w:val="24"/>
        </w:rPr>
        <w:t xml:space="preserve"> when </w:t>
      </w:r>
      <w:r w:rsidRPr="362003F6" w:rsidR="009E02FA">
        <w:rPr>
          <w:sz w:val="24"/>
          <w:szCs w:val="24"/>
        </w:rPr>
        <w:t>the requestor</w:t>
      </w:r>
      <w:r w:rsidRPr="362003F6" w:rsidR="00295BB8">
        <w:rPr>
          <w:sz w:val="24"/>
          <w:szCs w:val="24"/>
        </w:rPr>
        <w:t xml:space="preserve"> has </w:t>
      </w:r>
      <w:r w:rsidRPr="362003F6" w:rsidR="00395C03">
        <w:rPr>
          <w:sz w:val="24"/>
          <w:szCs w:val="24"/>
        </w:rPr>
        <w:t>doubt</w:t>
      </w:r>
      <w:r w:rsidRPr="362003F6" w:rsidR="006E4F5F">
        <w:rPr>
          <w:sz w:val="24"/>
          <w:szCs w:val="24"/>
        </w:rPr>
        <w:t xml:space="preserve"> </w:t>
      </w:r>
      <w:r w:rsidRPr="362003F6" w:rsidR="00395C03">
        <w:rPr>
          <w:sz w:val="24"/>
          <w:szCs w:val="24"/>
        </w:rPr>
        <w:t>as to the proper export jurisdiction</w:t>
      </w:r>
      <w:r w:rsidRPr="362003F6">
        <w:rPr>
          <w:sz w:val="24"/>
          <w:szCs w:val="24"/>
        </w:rPr>
        <w:t xml:space="preserve">.  </w:t>
      </w:r>
      <w:r w:rsidRPr="362003F6">
        <w:rPr>
          <w:sz w:val="24"/>
          <w:szCs w:val="24"/>
        </w:rPr>
        <w:t xml:space="preserve">Absent this </w:t>
      </w:r>
      <w:r w:rsidRPr="362003F6" w:rsidR="005F4264">
        <w:rPr>
          <w:sz w:val="24"/>
          <w:szCs w:val="24"/>
        </w:rPr>
        <w:t>information</w:t>
      </w:r>
      <w:r w:rsidRPr="362003F6" w:rsidR="00B0065D">
        <w:rPr>
          <w:sz w:val="24"/>
          <w:szCs w:val="24"/>
        </w:rPr>
        <w:t xml:space="preserve"> collection</w:t>
      </w:r>
      <w:r w:rsidRPr="362003F6">
        <w:rPr>
          <w:sz w:val="24"/>
          <w:szCs w:val="24"/>
        </w:rPr>
        <w:t xml:space="preserve"> </w:t>
      </w:r>
      <w:r w:rsidRPr="362003F6" w:rsidR="005F4264">
        <w:rPr>
          <w:sz w:val="24"/>
          <w:szCs w:val="24"/>
        </w:rPr>
        <w:t xml:space="preserve">the Department would not have a </w:t>
      </w:r>
      <w:r w:rsidRPr="362003F6" w:rsidR="005F4264">
        <w:rPr>
          <w:sz w:val="24"/>
          <w:szCs w:val="24"/>
        </w:rPr>
        <w:t>process</w:t>
      </w:r>
      <w:r w:rsidRPr="362003F6" w:rsidR="005F4264">
        <w:rPr>
          <w:sz w:val="24"/>
          <w:szCs w:val="24"/>
        </w:rPr>
        <w:t xml:space="preserve"> </w:t>
      </w:r>
      <w:r w:rsidRPr="362003F6" w:rsidR="00395C03">
        <w:rPr>
          <w:sz w:val="24"/>
          <w:szCs w:val="24"/>
        </w:rPr>
        <w:t xml:space="preserve">to assist </w:t>
      </w:r>
      <w:r w:rsidRPr="362003F6" w:rsidR="00295BB8">
        <w:rPr>
          <w:sz w:val="24"/>
          <w:szCs w:val="24"/>
        </w:rPr>
        <w:t xml:space="preserve">the public </w:t>
      </w:r>
      <w:r w:rsidRPr="362003F6" w:rsidR="00395C03">
        <w:rPr>
          <w:sz w:val="24"/>
          <w:szCs w:val="24"/>
        </w:rPr>
        <w:t>in determining</w:t>
      </w:r>
      <w:r w:rsidRPr="362003F6" w:rsidR="005F4264">
        <w:rPr>
          <w:sz w:val="24"/>
          <w:szCs w:val="24"/>
        </w:rPr>
        <w:t xml:space="preserve"> whether </w:t>
      </w:r>
      <w:r w:rsidRPr="362003F6" w:rsidR="00203A11">
        <w:rPr>
          <w:sz w:val="24"/>
          <w:szCs w:val="24"/>
        </w:rPr>
        <w:t xml:space="preserve">a </w:t>
      </w:r>
      <w:r w:rsidRPr="362003F6" w:rsidR="00295BB8">
        <w:rPr>
          <w:sz w:val="24"/>
          <w:szCs w:val="24"/>
        </w:rPr>
        <w:t xml:space="preserve">specific </w:t>
      </w:r>
      <w:r w:rsidRPr="362003F6" w:rsidR="00203A11">
        <w:rPr>
          <w:sz w:val="24"/>
          <w:szCs w:val="24"/>
        </w:rPr>
        <w:t xml:space="preserve">article or service is covered </w:t>
      </w:r>
      <w:r w:rsidRPr="362003F6" w:rsidR="00FB668A">
        <w:rPr>
          <w:sz w:val="24"/>
          <w:szCs w:val="24"/>
        </w:rPr>
        <w:t>by</w:t>
      </w:r>
      <w:r w:rsidRPr="362003F6" w:rsidR="00203A11">
        <w:rPr>
          <w:sz w:val="24"/>
          <w:szCs w:val="24"/>
        </w:rPr>
        <w:t xml:space="preserve"> </w:t>
      </w:r>
      <w:r w:rsidRPr="362003F6" w:rsidR="00203A11">
        <w:rPr>
          <w:sz w:val="24"/>
          <w:szCs w:val="24"/>
        </w:rPr>
        <w:t>the USML</w:t>
      </w:r>
      <w:r w:rsidRPr="362003F6" w:rsidR="00981A55">
        <w:rPr>
          <w:sz w:val="24"/>
          <w:szCs w:val="24"/>
        </w:rPr>
        <w:t>.</w:t>
      </w:r>
    </w:p>
    <w:p w:rsidR="00B601AB" w:rsidRPr="003308D0" w:rsidP="003D056B" w14:paraId="1ADD60C3" w14:textId="2501E041">
      <w:pPr>
        <w:rPr>
          <w:szCs w:val="24"/>
        </w:rPr>
      </w:pPr>
    </w:p>
    <w:p w:rsidR="00F24DA7" w:rsidP="003D056B" w14:paraId="39D5DEAC" w14:textId="79753EFD">
      <w:pPr>
        <w:rPr>
          <w:szCs w:val="24"/>
        </w:rPr>
      </w:pPr>
      <w:r w:rsidRPr="003308D0">
        <w:rPr>
          <w:szCs w:val="24"/>
        </w:rPr>
        <w:t>7.</w:t>
      </w:r>
      <w:r w:rsidRPr="003308D0">
        <w:rPr>
          <w:szCs w:val="24"/>
        </w:rPr>
        <w:tab/>
      </w:r>
      <w:r w:rsidRPr="003308D0">
        <w:rPr>
          <w:szCs w:val="24"/>
        </w:rPr>
        <w:t>Are there any special collection circumstances?</w:t>
      </w:r>
    </w:p>
    <w:p w:rsidR="003D056B" w:rsidRPr="003308D0" w:rsidP="003D056B" w14:paraId="21FE5BBC" w14:textId="77777777">
      <w:pPr>
        <w:rPr>
          <w:szCs w:val="24"/>
        </w:rPr>
      </w:pPr>
    </w:p>
    <w:p w:rsidR="00B601AB" w:rsidRPr="003308D0" w:rsidP="003D056B" w14:paraId="5CCC5169" w14:textId="6FB60789">
      <w:pPr>
        <w:ind w:firstLine="720"/>
        <w:rPr>
          <w:szCs w:val="24"/>
        </w:rPr>
      </w:pPr>
      <w:r w:rsidRPr="003308D0">
        <w:rPr>
          <w:szCs w:val="24"/>
        </w:rPr>
        <w:t>There are no special circumstances associated with this collection.</w:t>
      </w:r>
    </w:p>
    <w:p w:rsidR="001D4E9D" w:rsidRPr="003308D0" w:rsidP="003D056B" w14:paraId="354C1406" w14:textId="77777777">
      <w:pPr>
        <w:rPr>
          <w:szCs w:val="24"/>
        </w:rPr>
      </w:pPr>
    </w:p>
    <w:p w:rsidR="00F24DA7" w:rsidP="003D056B" w14:paraId="255C1CB0" w14:textId="50F7B9B7">
      <w:pPr>
        <w:rPr>
          <w:szCs w:val="24"/>
        </w:rPr>
      </w:pPr>
      <w:r w:rsidRPr="003308D0">
        <w:rPr>
          <w:szCs w:val="24"/>
        </w:rPr>
        <w:t>8.</w:t>
      </w:r>
      <w:r w:rsidRPr="003308D0">
        <w:rPr>
          <w:szCs w:val="24"/>
        </w:rPr>
        <w:tab/>
      </w:r>
      <w:r w:rsidRPr="003308D0" w:rsidR="00E776F3">
        <w:rPr>
          <w:szCs w:val="24"/>
        </w:rPr>
        <w:t>Explain the agency’s i</w:t>
      </w:r>
      <w:r w:rsidRPr="003308D0">
        <w:rPr>
          <w:szCs w:val="24"/>
        </w:rPr>
        <w:t xml:space="preserve">ntent to publish </w:t>
      </w:r>
      <w:r w:rsidRPr="003308D0" w:rsidR="00E776F3">
        <w:rPr>
          <w:szCs w:val="24"/>
        </w:rPr>
        <w:t xml:space="preserve">a notice in the </w:t>
      </w:r>
      <w:r w:rsidRPr="003308D0" w:rsidR="00E776F3">
        <w:rPr>
          <w:i/>
          <w:szCs w:val="24"/>
        </w:rPr>
        <w:t>Federal Register</w:t>
      </w:r>
      <w:r w:rsidRPr="003308D0">
        <w:rPr>
          <w:szCs w:val="24"/>
        </w:rPr>
        <w:t>.</w:t>
      </w:r>
    </w:p>
    <w:p w:rsidR="003D056B" w:rsidRPr="003308D0" w:rsidP="003D056B" w14:paraId="4A9C861C" w14:textId="77777777">
      <w:pPr>
        <w:rPr>
          <w:szCs w:val="24"/>
        </w:rPr>
      </w:pPr>
    </w:p>
    <w:p w:rsidR="00976F9F" w:rsidP="00976F9F" w14:paraId="530AEB77" w14:textId="352AE792">
      <w:pPr>
        <w:ind w:firstLine="720"/>
      </w:pPr>
      <w:r w:rsidRPr="00A55B38">
        <w:t xml:space="preserve">The Department </w:t>
      </w:r>
      <w:r w:rsidRPr="00A55B38" w:rsidR="00060E69">
        <w:t>publish</w:t>
      </w:r>
      <w:r w:rsidR="00C07CD7">
        <w:t>ed</w:t>
      </w:r>
      <w:r w:rsidRPr="00A55B38" w:rsidR="00060E69">
        <w:t xml:space="preserve"> </w:t>
      </w:r>
      <w:r w:rsidRPr="00A55B38" w:rsidR="65EC5E2A">
        <w:t>a notice</w:t>
      </w:r>
      <w:r w:rsidRPr="00A55B38" w:rsidR="00060E69">
        <w:t xml:space="preserve"> in the </w:t>
      </w:r>
      <w:r w:rsidRPr="00A55B38" w:rsidR="00060E69">
        <w:rPr>
          <w:i/>
          <w:iCs/>
        </w:rPr>
        <w:t xml:space="preserve">Federal Register </w:t>
      </w:r>
      <w:r w:rsidR="004E3AB8">
        <w:t xml:space="preserve">(91 FR </w:t>
      </w:r>
      <w:r w:rsidR="00C11130">
        <w:t xml:space="preserve">1852, Jan. 15, 2026) </w:t>
      </w:r>
      <w:r w:rsidRPr="00A55B38" w:rsidR="00060E69">
        <w:t>soliciting public comments</w:t>
      </w:r>
      <w:r w:rsidRPr="00A55B38" w:rsidR="62BF1086">
        <w:t xml:space="preserve"> for 60 days</w:t>
      </w:r>
      <w:r w:rsidR="00C07CD7">
        <w:t xml:space="preserve"> and </w:t>
      </w:r>
      <w:r>
        <w:t xml:space="preserve">multiple substantively equivalent comments were submitted, each asserting that  </w:t>
      </w:r>
    </w:p>
    <w:p w:rsidR="00976F9F" w:rsidP="00976F9F" w14:paraId="64F81689" w14:textId="77777777">
      <w:pPr>
        <w:ind w:firstLine="720"/>
      </w:pPr>
    </w:p>
    <w:p w:rsidR="00976F9F" w:rsidP="00976F9F" w14:paraId="1C856B99" w14:textId="77777777">
      <w:pPr>
        <w:ind w:firstLine="720"/>
      </w:pPr>
      <w:r>
        <w:t xml:space="preserve">1) The existing CJ form prevents members of the public from submitting a CJ without permission from the manufacturer,  </w:t>
      </w:r>
    </w:p>
    <w:p w:rsidR="00976F9F" w:rsidP="00976F9F" w14:paraId="457DA0A7" w14:textId="77777777">
      <w:pPr>
        <w:ind w:firstLine="720"/>
      </w:pPr>
    </w:p>
    <w:p w:rsidR="00976F9F" w:rsidP="00976F9F" w14:paraId="7F88F8DC" w14:textId="77777777">
      <w:pPr>
        <w:ind w:firstLine="720"/>
      </w:pPr>
      <w:r>
        <w:t xml:space="preserve">2) This prevents concerned citizens from notifying DDTC when they believe defense articles are being exported without USG authorization, and </w:t>
      </w:r>
    </w:p>
    <w:p w:rsidR="00976F9F" w:rsidP="00976F9F" w14:paraId="44C01A17" w14:textId="77777777">
      <w:pPr>
        <w:ind w:firstLine="720"/>
      </w:pPr>
    </w:p>
    <w:p w:rsidR="00976F9F" w:rsidP="00976F9F" w14:paraId="3B8C3732" w14:textId="4141B723">
      <w:pPr>
        <w:ind w:firstLine="720"/>
      </w:pPr>
      <w:r>
        <w:t xml:space="preserve">3) The CJ form should be altered to allow submissions for this purpose, even if returned without action, to enable USG notification without automatic returns without action. </w:t>
      </w:r>
    </w:p>
    <w:p w:rsidR="00976F9F" w:rsidP="00976F9F" w14:paraId="0D2E3CE7" w14:textId="77777777">
      <w:pPr>
        <w:ind w:firstLine="720"/>
      </w:pPr>
    </w:p>
    <w:p w:rsidR="00976F9F" w:rsidP="00976F9F" w14:paraId="71D036CD" w14:textId="2CD3B9AA">
      <w:pPr>
        <w:ind w:firstLine="720"/>
      </w:pPr>
      <w:r>
        <w:t>However, the CJ process is not the correct tool for members of the public to notify the Department of suspected ITAR violations. The Department welcomes tips regarding suspected violations, including potential exports of defense articles, provision of defense services, or the manufacturing of defense articles in the United States by entities that are not registered with DDTC. Tips may be submitted by emailing DDTCCustomerService@state.gov or by phoning (202)</w:t>
      </w:r>
      <w:r w:rsidR="00C11130">
        <w:t xml:space="preserve"> </w:t>
      </w:r>
      <w:r>
        <w:t xml:space="preserve">663-2838 from 8 am to 5pm ET. Reports should include as much detail as possible (who, what, when, where, why, and how) and should indicate whether the Department can contact the submitter for additional information. The Department treats tips confidentially.  Likewise, the Department will not discuss its response to a tip (including the status of any subsequent compliance reviews) with the submitter. </w:t>
      </w:r>
    </w:p>
    <w:p w:rsidR="00976F9F" w:rsidP="00976F9F" w14:paraId="5BD34BA9" w14:textId="77777777">
      <w:pPr>
        <w:ind w:firstLine="720"/>
      </w:pPr>
    </w:p>
    <w:p w:rsidR="00976F9F" w:rsidP="00976F9F" w14:paraId="64CA072C" w14:textId="351960D2">
      <w:pPr>
        <w:ind w:firstLine="720"/>
      </w:pPr>
      <w:r>
        <w:t xml:space="preserve">The Department notes that anyone may file a CJ, including those who are not registered with DDTC, and every case that is returned without action is reviewed by multiple personnel who assess whether the request could be processed following specific updates by the filer. </w:t>
      </w:r>
    </w:p>
    <w:p w:rsidR="00976F9F" w:rsidP="00976F9F" w14:paraId="358201B2" w14:textId="77777777">
      <w:pPr>
        <w:ind w:firstLine="720"/>
      </w:pPr>
    </w:p>
    <w:p w:rsidR="00976F9F" w:rsidP="00976F9F" w14:paraId="0B8560E8" w14:textId="29A434E7">
      <w:pPr>
        <w:ind w:firstLine="720"/>
      </w:pPr>
      <w:r>
        <w:t xml:space="preserve">In general, the Department does limit CJ filings to the original equipment manufacturer (OEM) or authorized representatives. The OEM is normally best positioned to provide relevant information essential to the adjudication process, including information about development history and past sales. When an OEM is unresponsive or unavailable, a CJ request may be submitted with a letter explaining why an authorization letter from the OEM is not available. The Department determines all returns without action on a case-by-case basis, including whether a CJ application without an OEM authorization letter can be processed.  </w:t>
      </w:r>
    </w:p>
    <w:p w:rsidR="00976F9F" w:rsidP="00976F9F" w14:paraId="16E34AF2" w14:textId="77777777">
      <w:pPr>
        <w:ind w:firstLine="720"/>
      </w:pPr>
    </w:p>
    <w:p w:rsidR="00976F9F" w:rsidP="00976F9F" w14:paraId="28BEF544" w14:textId="77777777">
      <w:pPr>
        <w:ind w:firstLine="720"/>
      </w:pPr>
      <w:r>
        <w:t xml:space="preserve">Details on each of these topics are also available on DDTC’s website: </w:t>
      </w:r>
    </w:p>
    <w:p w:rsidR="00976F9F" w:rsidP="00976F9F" w14:paraId="40D3F2E4" w14:textId="77777777">
      <w:pPr>
        <w:ind w:firstLine="720"/>
      </w:pPr>
    </w:p>
    <w:p w:rsidR="00976F9F" w:rsidP="00976F9F" w14:paraId="1E19EFB8" w14:textId="22A47745">
      <w:pPr>
        <w:ind w:firstLine="720"/>
      </w:pPr>
      <w:hyperlink r:id="rId9" w:history="1">
        <w:r w:rsidRPr="00976F9F">
          <w:rPr>
            <w:rStyle w:val="Hyperlink"/>
          </w:rPr>
          <w:t>“How to Submit a Tip”</w:t>
        </w:r>
      </w:hyperlink>
      <w:r>
        <w:t xml:space="preserve"> </w:t>
      </w:r>
    </w:p>
    <w:p w:rsidR="00976F9F" w:rsidP="00976F9F" w14:paraId="640E25FB" w14:textId="77777777">
      <w:pPr>
        <w:ind w:firstLine="720"/>
      </w:pPr>
    </w:p>
    <w:p w:rsidR="00976F9F" w:rsidP="00976F9F" w14:paraId="0DD3FA9C" w14:textId="34DFAC5F">
      <w:pPr>
        <w:ind w:firstLine="720"/>
      </w:pPr>
      <w:hyperlink r:id="rId10" w:history="1">
        <w:r w:rsidRPr="00976F9F">
          <w:rPr>
            <w:rStyle w:val="Hyperlink"/>
          </w:rPr>
          <w:t>“Who can submit a CJ?”</w:t>
        </w:r>
      </w:hyperlink>
      <w:r>
        <w:t xml:space="preserve"> </w:t>
      </w:r>
    </w:p>
    <w:p w:rsidR="00976F9F" w:rsidP="00976F9F" w14:paraId="1841DFC8" w14:textId="77777777">
      <w:pPr>
        <w:ind w:firstLine="720"/>
      </w:pPr>
    </w:p>
    <w:p w:rsidR="00B601AB" w:rsidRPr="00A55B38" w:rsidP="00976F9F" w14:paraId="59C542DC" w14:textId="7CFC135A">
      <w:pPr>
        <w:ind w:left="720"/>
      </w:pPr>
      <w:hyperlink r:id="rId11" w:history="1">
        <w:r w:rsidRPr="00976F9F">
          <w:rPr>
            <w:rStyle w:val="Hyperlink"/>
          </w:rPr>
          <w:t>“What if the original equipment manufacturer (OEM) no longer exists or will not give authorization for a CJ request?”</w:t>
        </w:r>
      </w:hyperlink>
      <w:r>
        <w:t xml:space="preserve"> </w:t>
      </w:r>
    </w:p>
    <w:p w:rsidR="008E2DFF" w:rsidRPr="003308D0" w:rsidP="003D056B" w14:paraId="7FA2D13A" w14:textId="77777777">
      <w:pPr>
        <w:rPr>
          <w:szCs w:val="24"/>
        </w:rPr>
      </w:pPr>
    </w:p>
    <w:p w:rsidR="00F24DA7" w:rsidP="003D056B" w14:paraId="2441A013" w14:textId="46482792">
      <w:pPr>
        <w:rPr>
          <w:szCs w:val="24"/>
        </w:rPr>
      </w:pPr>
      <w:r w:rsidRPr="003308D0">
        <w:rPr>
          <w:szCs w:val="24"/>
        </w:rPr>
        <w:t>9.</w:t>
      </w:r>
      <w:r w:rsidRPr="003308D0" w:rsidR="00B601AB">
        <w:rPr>
          <w:szCs w:val="24"/>
        </w:rPr>
        <w:tab/>
      </w:r>
      <w:r w:rsidRPr="003308D0">
        <w:rPr>
          <w:szCs w:val="24"/>
        </w:rPr>
        <w:t>Are payments or gifts given to the respondents?</w:t>
      </w:r>
    </w:p>
    <w:p w:rsidR="003D056B" w:rsidRPr="003308D0" w:rsidP="003D056B" w14:paraId="5922DB03" w14:textId="77777777">
      <w:pPr>
        <w:rPr>
          <w:szCs w:val="24"/>
        </w:rPr>
      </w:pPr>
    </w:p>
    <w:p w:rsidR="00B601AB" w:rsidRPr="003308D0" w:rsidP="003D056B" w14:paraId="04A6B214" w14:textId="77777777">
      <w:pPr>
        <w:ind w:firstLine="720"/>
        <w:rPr>
          <w:szCs w:val="24"/>
        </w:rPr>
      </w:pPr>
      <w:r w:rsidRPr="003308D0">
        <w:rPr>
          <w:szCs w:val="24"/>
        </w:rPr>
        <w:t>No payment or gift has been or will be provided to any respondent.</w:t>
      </w:r>
    </w:p>
    <w:p w:rsidR="00B601AB" w:rsidRPr="003308D0" w:rsidP="003D056B" w14:paraId="0A0A4D16" w14:textId="77777777">
      <w:pPr>
        <w:rPr>
          <w:szCs w:val="24"/>
        </w:rPr>
      </w:pPr>
    </w:p>
    <w:p w:rsidR="00F24DA7" w:rsidP="003D056B" w14:paraId="483BF1B9" w14:textId="57784565">
      <w:pPr>
        <w:rPr>
          <w:szCs w:val="24"/>
        </w:rPr>
      </w:pPr>
      <w:r>
        <w:t>10.</w:t>
      </w:r>
      <w:r>
        <w:tab/>
      </w:r>
      <w:r>
        <w:t>Describe assurances of privacy/confidentiality.</w:t>
      </w:r>
    </w:p>
    <w:p w:rsidR="00B601AB" w:rsidRPr="003308D0" w:rsidP="0A8EE1AB" w14:paraId="3EB530E8" w14:textId="79DAC669">
      <w:r>
        <w:t>Respondents to this collection may review 22 CFR 12</w:t>
      </w:r>
      <w:r w:rsidR="00AD7FF9">
        <w:t>0.21</w:t>
      </w:r>
      <w:r>
        <w:t>, which describes DDTC’s policy regarding the disclosure of information</w:t>
      </w:r>
      <w:r w:rsidR="47C44D7F">
        <w:t xml:space="preserve">, and which implements the </w:t>
      </w:r>
      <w:r w:rsidR="002C0726">
        <w:t>AECA</w:t>
      </w:r>
      <w:r w:rsidR="47C44D7F">
        <w:t xml:space="preserve">’s provision making license-related information confidential by statute (22 U.S.C. </w:t>
      </w:r>
      <w:r w:rsidR="4924989E">
        <w:t xml:space="preserve">§ </w:t>
      </w:r>
      <w:r w:rsidR="47C44D7F">
        <w:t>2778(e)</w:t>
      </w:r>
      <w:r>
        <w:t xml:space="preserve"> (cross-referencing to E</w:t>
      </w:r>
      <w:r w:rsidR="00541236">
        <w:t>xport Control Ref</w:t>
      </w:r>
      <w:r w:rsidR="000861F5">
        <w:t xml:space="preserve">orm Act </w:t>
      </w:r>
      <w:r>
        <w:t xml:space="preserve">§ </w:t>
      </w:r>
      <w:r>
        <w:t>1</w:t>
      </w:r>
      <w:r w:rsidR="000861F5">
        <w:t>761</w:t>
      </w:r>
      <w:r>
        <w:t>(</w:t>
      </w:r>
      <w:r w:rsidR="00B57F1E">
        <w:t>h</w:t>
      </w:r>
      <w:r>
        <w:t>))</w:t>
      </w:r>
      <w:r w:rsidR="47C44D7F">
        <w:t xml:space="preserve">.  </w:t>
      </w:r>
      <w:r w:rsidR="47C44D7F">
        <w:t>Beyond</w:t>
      </w:r>
      <w:r w:rsidR="47C44D7F">
        <w:t xml:space="preserve"> that, </w:t>
      </w:r>
      <w:r w:rsidR="4924989E">
        <w:t xml:space="preserve">trade secrets and commercial information obtained from respondents in connection with this submission and which are privileged or </w:t>
      </w:r>
      <w:r w:rsidR="4924989E">
        <w:t>confidential are not generally subject to public release.</w:t>
      </w:r>
      <w:r>
        <w:t xml:space="preserve">  Additionally, respondents may review the Privacy Impact Assessment (PIA) for DDTC’s electronic system (DECCS) on the Department of State’s </w:t>
      </w:r>
      <w:r w:rsidR="00906B61">
        <w:t xml:space="preserve">PIA </w:t>
      </w:r>
      <w:r>
        <w:t>webpage (</w:t>
      </w:r>
      <w:r w:rsidRPr="0A8EE1AB" w:rsidR="00906B61">
        <w:rPr>
          <w:rStyle w:val="Hyperlink"/>
        </w:rPr>
        <w:t>https://www.state.gov/privacy/pias/index.htm</w:t>
      </w:r>
      <w:r>
        <w:t xml:space="preserve">).  </w:t>
      </w:r>
      <w:r w:rsidR="00D24AB7">
        <w:t>Respondents may review t</w:t>
      </w:r>
      <w:r w:rsidR="00EF3F27">
        <w:t xml:space="preserve">he System of Records Notice </w:t>
      </w:r>
      <w:r>
        <w:t>STATE-42, Munitions Control Records</w:t>
      </w:r>
      <w:r w:rsidR="00D24AB7">
        <w:t xml:space="preserve"> on the Department of State’s </w:t>
      </w:r>
      <w:r w:rsidR="00B2697A">
        <w:t xml:space="preserve">SORN </w:t>
      </w:r>
      <w:r w:rsidR="00D24AB7">
        <w:t>webpage</w:t>
      </w:r>
      <w:r w:rsidR="00B2697A">
        <w:t xml:space="preserve"> (https://www.state.gov/system-of-records-notices-privacy-office/).</w:t>
      </w:r>
    </w:p>
    <w:p w:rsidR="002B2345" w:rsidRPr="003308D0" w:rsidP="003D056B" w14:paraId="482200EF" w14:textId="77777777">
      <w:pPr>
        <w:rPr>
          <w:szCs w:val="24"/>
        </w:rPr>
      </w:pPr>
    </w:p>
    <w:p w:rsidR="00F24DA7" w:rsidP="003D056B" w14:paraId="5B8AA3B2" w14:textId="3A7992FC">
      <w:pPr>
        <w:rPr>
          <w:szCs w:val="24"/>
        </w:rPr>
      </w:pPr>
      <w:r w:rsidRPr="003308D0">
        <w:rPr>
          <w:szCs w:val="24"/>
        </w:rPr>
        <w:t>11.</w:t>
      </w:r>
      <w:r w:rsidRPr="003308D0">
        <w:rPr>
          <w:szCs w:val="24"/>
        </w:rPr>
        <w:tab/>
      </w:r>
      <w:r w:rsidRPr="003308D0">
        <w:rPr>
          <w:szCs w:val="24"/>
        </w:rPr>
        <w:t>Are questions of a sensitive nature asked?</w:t>
      </w:r>
    </w:p>
    <w:p w:rsidR="003D056B" w:rsidRPr="003308D0" w:rsidP="003D056B" w14:paraId="6508A0B7" w14:textId="77777777">
      <w:pPr>
        <w:rPr>
          <w:szCs w:val="24"/>
        </w:rPr>
      </w:pPr>
    </w:p>
    <w:p w:rsidR="00B601AB" w:rsidP="003D056B" w14:paraId="2CF59685" w14:textId="5FF0299D">
      <w:r>
        <w:rPr>
          <w:szCs w:val="24"/>
        </w:rPr>
        <w:tab/>
      </w:r>
      <w:r w:rsidRPr="4924989E">
        <w:t>No</w:t>
      </w:r>
      <w:r>
        <w:rPr>
          <w:szCs w:val="24"/>
        </w:rPr>
        <w:t>.</w:t>
      </w:r>
    </w:p>
    <w:p w:rsidR="00EF3F27" w:rsidRPr="003308D0" w:rsidP="003D056B" w14:paraId="5974796E" w14:textId="77777777">
      <w:pPr>
        <w:rPr>
          <w:szCs w:val="24"/>
        </w:rPr>
      </w:pPr>
    </w:p>
    <w:p w:rsidR="00F24DA7" w:rsidP="003D056B" w14:paraId="649C3E10" w14:textId="26B78A93">
      <w:pPr>
        <w:rPr>
          <w:szCs w:val="24"/>
        </w:rPr>
      </w:pPr>
      <w:r w:rsidRPr="003308D0">
        <w:rPr>
          <w:szCs w:val="24"/>
        </w:rPr>
        <w:t>12.</w:t>
      </w:r>
      <w:r w:rsidRPr="003308D0" w:rsidR="00B601AB">
        <w:rPr>
          <w:szCs w:val="24"/>
        </w:rPr>
        <w:tab/>
      </w:r>
      <w:r w:rsidRPr="003308D0">
        <w:rPr>
          <w:szCs w:val="24"/>
        </w:rPr>
        <w:t>Describe the hour-time burden and hour-cost burden on the responde</w:t>
      </w:r>
      <w:r w:rsidRPr="003308D0" w:rsidR="00E776F3">
        <w:rPr>
          <w:szCs w:val="24"/>
        </w:rPr>
        <w:t>nt</w:t>
      </w:r>
      <w:r w:rsidRPr="003308D0">
        <w:rPr>
          <w:szCs w:val="24"/>
        </w:rPr>
        <w:t>.</w:t>
      </w:r>
    </w:p>
    <w:p w:rsidR="003D056B" w:rsidRPr="003308D0" w:rsidP="003D056B" w14:paraId="6A4BEF62" w14:textId="77777777">
      <w:pPr>
        <w:rPr>
          <w:szCs w:val="24"/>
        </w:rPr>
      </w:pPr>
    </w:p>
    <w:p w:rsidR="00B601AB" w:rsidRPr="003308D0" w:rsidP="003D056B" w14:paraId="5905CC2B" w14:textId="54862FC3">
      <w:pPr>
        <w:ind w:firstLine="720"/>
      </w:pPr>
      <w:r w:rsidRPr="7370E243">
        <w:t xml:space="preserve">The Department of State has reason to believe that the information </w:t>
      </w:r>
      <w:r w:rsidRPr="7370E243" w:rsidR="00272486">
        <w:t>required</w:t>
      </w:r>
      <w:r w:rsidRPr="7370E243">
        <w:t xml:space="preserve"> is already available to U.S. industry in some form due to other needs and requirements (e.g., business transactional records, tax records, quality assurance and productivity, and legal issues posed by other federal laws).  </w:t>
      </w:r>
      <w:r w:rsidRPr="7370E243" w:rsidR="00A86754">
        <w:t xml:space="preserve">DDTC expects to receive </w:t>
      </w:r>
      <w:r w:rsidRPr="7370E243" w:rsidR="00DB2507">
        <w:t>approximately</w:t>
      </w:r>
      <w:r w:rsidRPr="003308D0">
        <w:rPr>
          <w:szCs w:val="24"/>
        </w:rPr>
        <w:t xml:space="preserve"> </w:t>
      </w:r>
      <w:r w:rsidRPr="7370E243" w:rsidR="00FD5D43">
        <w:t>300</w:t>
      </w:r>
      <w:r w:rsidRPr="7370E243" w:rsidR="00DB2507">
        <w:t xml:space="preserve"> responses each year</w:t>
      </w:r>
      <w:r w:rsidRPr="003308D0">
        <w:rPr>
          <w:szCs w:val="24"/>
        </w:rPr>
        <w:t xml:space="preserve">.  </w:t>
      </w:r>
      <w:r w:rsidRPr="7370E243" w:rsidR="00E776F3">
        <w:t>The f</w:t>
      </w:r>
      <w:r w:rsidRPr="7370E243">
        <w:t xml:space="preserve">requency of response is </w:t>
      </w:r>
      <w:r w:rsidRPr="003308D0" w:rsidR="00E776F3">
        <w:rPr>
          <w:szCs w:val="24"/>
        </w:rPr>
        <w:t>“</w:t>
      </w:r>
      <w:r w:rsidRPr="7370E243">
        <w:t>on occasion</w:t>
      </w:r>
      <w:r w:rsidRPr="003308D0" w:rsidR="002254D8">
        <w:rPr>
          <w:szCs w:val="24"/>
        </w:rPr>
        <w:t>.</w:t>
      </w:r>
      <w:r w:rsidRPr="003308D0" w:rsidR="00E776F3">
        <w:rPr>
          <w:szCs w:val="24"/>
        </w:rPr>
        <w:t>”</w:t>
      </w:r>
      <w:r w:rsidRPr="003308D0">
        <w:rPr>
          <w:szCs w:val="24"/>
        </w:rPr>
        <w:t xml:space="preserve">  </w:t>
      </w:r>
      <w:r w:rsidRPr="7370E243" w:rsidR="00E776F3">
        <w:t>Each response is estimated to take</w:t>
      </w:r>
      <w:r w:rsidRPr="003308D0">
        <w:rPr>
          <w:szCs w:val="24"/>
        </w:rPr>
        <w:t xml:space="preserve"> </w:t>
      </w:r>
      <w:r w:rsidRPr="7370E243" w:rsidR="00E776F3">
        <w:t>an average of four</w:t>
      </w:r>
      <w:r w:rsidRPr="7370E243">
        <w:t xml:space="preserve"> hours</w:t>
      </w:r>
      <w:r w:rsidRPr="7370E243" w:rsidR="00E776F3">
        <w:t xml:space="preserve"> to complete and submit</w:t>
      </w:r>
      <w:r w:rsidRPr="7370E243">
        <w:t xml:space="preserve">.  The estimated annual hour burden is </w:t>
      </w:r>
      <w:r w:rsidRPr="7370E243" w:rsidR="005C0DE2">
        <w:t>1</w:t>
      </w:r>
      <w:r w:rsidRPr="003308D0" w:rsidR="00DB2507">
        <w:rPr>
          <w:szCs w:val="24"/>
        </w:rPr>
        <w:t>,</w:t>
      </w:r>
      <w:r w:rsidRPr="7370E243" w:rsidR="00FD5D43">
        <w:t>2</w:t>
      </w:r>
      <w:r w:rsidRPr="7370E243" w:rsidR="00DB2507">
        <w:t>00</w:t>
      </w:r>
      <w:r w:rsidRPr="7370E243">
        <w:t xml:space="preserve"> hours. </w:t>
      </w:r>
      <w:r w:rsidRPr="003308D0" w:rsidR="002254D8">
        <w:rPr>
          <w:szCs w:val="24"/>
        </w:rPr>
        <w:t xml:space="preserve"> </w:t>
      </w:r>
      <w:r w:rsidRPr="7370E243">
        <w:t xml:space="preserve">According to the U.S. Department of Labor Bureau of Labor Statistics website (www.bls.gov), the </w:t>
      </w:r>
      <w:r w:rsidRPr="7370E243" w:rsidR="00860EB9">
        <w:t xml:space="preserve">average </w:t>
      </w:r>
      <w:r w:rsidRPr="7370E243">
        <w:t xml:space="preserve">weighted </w:t>
      </w:r>
      <w:r w:rsidRPr="7370E243" w:rsidR="00EE5F98">
        <w:t>wage for a Compliance Officer</w:t>
      </w:r>
      <w:r>
        <w:rPr>
          <w:rStyle w:val="FootnoteReference"/>
        </w:rPr>
        <w:footnoteReference w:id="3"/>
      </w:r>
      <w:r w:rsidRPr="003308D0" w:rsidR="00860EB9">
        <w:rPr>
          <w:szCs w:val="24"/>
        </w:rPr>
        <w:t xml:space="preserve"> </w:t>
      </w:r>
      <w:r w:rsidRPr="7370E243" w:rsidR="00EE5F98">
        <w:t>is estimated to be $</w:t>
      </w:r>
      <w:r w:rsidRPr="7370E243" w:rsidR="007B0F3B">
        <w:t>81.72</w:t>
      </w:r>
      <w:r w:rsidR="00EE5F98">
        <w:rPr>
          <w:szCs w:val="24"/>
        </w:rPr>
        <w:t xml:space="preserve"> </w:t>
      </w:r>
      <w:r w:rsidRPr="7370E243">
        <w:t>per hour ($</w:t>
      </w:r>
      <w:r w:rsidRPr="7370E243" w:rsidR="007B0F3B">
        <w:t>40.86</w:t>
      </w:r>
      <w:r w:rsidRPr="7370E243" w:rsidR="00EE5F98">
        <w:t xml:space="preserve"> average wage x </w:t>
      </w:r>
      <w:r w:rsidRPr="7370E243" w:rsidR="000F3595">
        <w:t>2</w:t>
      </w:r>
      <w:r w:rsidRPr="003308D0">
        <w:rPr>
          <w:szCs w:val="24"/>
        </w:rPr>
        <w:t xml:space="preserve"> </w:t>
      </w:r>
      <w:r w:rsidRPr="7370E243">
        <w:t>multiplier</w:t>
      </w:r>
      <w:r w:rsidRPr="003308D0">
        <w:rPr>
          <w:szCs w:val="24"/>
        </w:rPr>
        <w:t xml:space="preserve">). </w:t>
      </w:r>
      <w:r w:rsidRPr="003308D0" w:rsidR="002254D8">
        <w:rPr>
          <w:szCs w:val="24"/>
        </w:rPr>
        <w:t xml:space="preserve"> </w:t>
      </w:r>
      <w:r w:rsidRPr="7370E243">
        <w:t>Therefore, the estimated annual burden hour cost to respondents is $</w:t>
      </w:r>
      <w:r w:rsidRPr="7370E243" w:rsidR="00FD5D43">
        <w:t>98,064</w:t>
      </w:r>
      <w:r w:rsidRPr="003308D0">
        <w:rPr>
          <w:szCs w:val="24"/>
        </w:rPr>
        <w:t xml:space="preserve"> (</w:t>
      </w:r>
      <w:r w:rsidRPr="7370E243" w:rsidR="008E62B7">
        <w:t>1</w:t>
      </w:r>
      <w:r w:rsidRPr="003308D0" w:rsidR="00DB2507">
        <w:rPr>
          <w:szCs w:val="24"/>
        </w:rPr>
        <w:t>,</w:t>
      </w:r>
      <w:r w:rsidRPr="7370E243" w:rsidR="00FD5D43">
        <w:t>2</w:t>
      </w:r>
      <w:r w:rsidRPr="7370E243" w:rsidR="00DB2507">
        <w:t>00</w:t>
      </w:r>
      <w:r w:rsidRPr="7370E243">
        <w:t xml:space="preserve"> annual burden hours x $</w:t>
      </w:r>
      <w:r w:rsidRPr="7370E243" w:rsidR="007B0F3B">
        <w:t>81.72</w:t>
      </w:r>
      <w:r w:rsidRPr="003308D0" w:rsidR="00DB2507">
        <w:rPr>
          <w:szCs w:val="24"/>
        </w:rPr>
        <w:t>)</w:t>
      </w:r>
      <w:r w:rsidRPr="003308D0">
        <w:rPr>
          <w:szCs w:val="24"/>
        </w:rPr>
        <w:t>.</w:t>
      </w:r>
    </w:p>
    <w:p w:rsidR="00B601AB" w:rsidRPr="003308D0" w:rsidP="003D056B" w14:paraId="4E767E17" w14:textId="77777777">
      <w:pPr>
        <w:rPr>
          <w:szCs w:val="24"/>
        </w:rPr>
      </w:pPr>
    </w:p>
    <w:p w:rsidR="00F24DA7" w:rsidP="003D056B" w14:paraId="32D0047C" w14:textId="220A8663">
      <w:pPr>
        <w:rPr>
          <w:szCs w:val="24"/>
        </w:rPr>
      </w:pPr>
      <w:r w:rsidRPr="003308D0">
        <w:rPr>
          <w:szCs w:val="24"/>
        </w:rPr>
        <w:t>13.</w:t>
      </w:r>
      <w:r w:rsidRPr="003308D0" w:rsidR="00B601AB">
        <w:rPr>
          <w:szCs w:val="24"/>
        </w:rPr>
        <w:tab/>
      </w:r>
      <w:r w:rsidRPr="003308D0" w:rsidR="00E776F3">
        <w:rPr>
          <w:szCs w:val="24"/>
        </w:rPr>
        <w:t>Describe the m</w:t>
      </w:r>
      <w:r w:rsidRPr="003308D0">
        <w:rPr>
          <w:szCs w:val="24"/>
        </w:rPr>
        <w:t>onetary burden to respondents.</w:t>
      </w:r>
    </w:p>
    <w:p w:rsidR="003D056B" w:rsidRPr="003308D0" w:rsidP="003D056B" w14:paraId="08D243A8" w14:textId="77777777">
      <w:pPr>
        <w:rPr>
          <w:szCs w:val="24"/>
        </w:rPr>
      </w:pPr>
    </w:p>
    <w:p w:rsidR="00B601AB" w:rsidRPr="003308D0" w:rsidP="3792E21C" w14:paraId="7148D180" w14:textId="050504F6">
      <w:pPr>
        <w:ind w:firstLine="720"/>
      </w:pPr>
      <w:r>
        <w:t xml:space="preserve">There </w:t>
      </w:r>
      <w:r w:rsidR="5F8EE6E2">
        <w:t xml:space="preserve">is </w:t>
      </w:r>
      <w:r>
        <w:t xml:space="preserve">no anticipated </w:t>
      </w:r>
      <w:r w:rsidR="5F8EE6E2">
        <w:t xml:space="preserve">monetary burden </w:t>
      </w:r>
      <w:r>
        <w:t>to</w:t>
      </w:r>
      <w:r>
        <w:t xml:space="preserve"> respondents.</w:t>
      </w:r>
    </w:p>
    <w:p w:rsidR="00367B66" w:rsidP="003D056B" w14:paraId="119A0E25" w14:textId="18BA51BE">
      <w:pPr>
        <w:rPr>
          <w:szCs w:val="24"/>
          <w:u w:val="single"/>
        </w:rPr>
      </w:pPr>
    </w:p>
    <w:p w:rsidR="00F24DA7" w:rsidP="003D056B" w14:paraId="5E1D5178" w14:textId="42528E25">
      <w:pPr>
        <w:rPr>
          <w:szCs w:val="24"/>
        </w:rPr>
      </w:pPr>
      <w:r w:rsidRPr="003308D0">
        <w:rPr>
          <w:szCs w:val="24"/>
        </w:rPr>
        <w:t>14.</w:t>
      </w:r>
      <w:r w:rsidRPr="003308D0">
        <w:rPr>
          <w:szCs w:val="24"/>
        </w:rPr>
        <w:tab/>
      </w:r>
      <w:r w:rsidRPr="003308D0" w:rsidR="00E776F3">
        <w:rPr>
          <w:szCs w:val="24"/>
        </w:rPr>
        <w:t>Describe the c</w:t>
      </w:r>
      <w:r w:rsidRPr="003308D0">
        <w:rPr>
          <w:szCs w:val="24"/>
        </w:rPr>
        <w:t>ost to the Federal Government.</w:t>
      </w:r>
    </w:p>
    <w:p w:rsidR="003D056B" w:rsidRPr="003308D0" w:rsidP="003D056B" w14:paraId="7423F8A8" w14:textId="77777777">
      <w:pPr>
        <w:rPr>
          <w:szCs w:val="24"/>
        </w:rPr>
      </w:pPr>
    </w:p>
    <w:p w:rsidR="00B601AB" w:rsidRPr="003308D0" w:rsidP="003D056B" w14:paraId="27BB799D" w14:textId="2F01B565">
      <w:pPr>
        <w:ind w:firstLine="720"/>
      </w:pPr>
      <w:r>
        <w:t>Three</w:t>
      </w:r>
      <w:r w:rsidR="2F2EA315">
        <w:t xml:space="preserve"> </w:t>
      </w:r>
      <w:r w:rsidRPr="3792E21C" w:rsidR="4AC44EA5">
        <w:t xml:space="preserve">DDTC </w:t>
      </w:r>
      <w:r w:rsidRPr="3792E21C" w:rsidR="4A379F99">
        <w:t xml:space="preserve">staff members support the </w:t>
      </w:r>
      <w:r w:rsidRPr="3792E21C" w:rsidR="4AC44EA5">
        <w:t xml:space="preserve">processing, analyzing, staffing, and responding to </w:t>
      </w:r>
      <w:r w:rsidRPr="3792E21C" w:rsidR="391E72D4">
        <w:t>CJ</w:t>
      </w:r>
      <w:r w:rsidRPr="3792E21C" w:rsidR="4AC44EA5">
        <w:t xml:space="preserve"> requests.  The total cost to the Federal Government </w:t>
      </w:r>
      <w:r w:rsidRPr="3792E21C" w:rsidR="4AC44EA5">
        <w:t>as a result of</w:t>
      </w:r>
      <w:r w:rsidRPr="3792E21C" w:rsidR="4AC44EA5">
        <w:t xml:space="preserve"> this collection is</w:t>
      </w:r>
      <w:r w:rsidRPr="3792E21C" w:rsidR="4A379F99">
        <w:t xml:space="preserve"> estimated at approximately</w:t>
      </w:r>
      <w:r w:rsidRPr="003308D0" w:rsidR="4AC44EA5">
        <w:rPr>
          <w:szCs w:val="24"/>
        </w:rPr>
        <w:t xml:space="preserve"> </w:t>
      </w:r>
      <w:r w:rsidRPr="3792E21C" w:rsidR="0D793727">
        <w:t>$</w:t>
      </w:r>
      <w:r w:rsidR="002B72F7">
        <w:t>422,031</w:t>
      </w:r>
      <w:r w:rsidRPr="003308D0" w:rsidR="4AC44EA5">
        <w:rPr>
          <w:szCs w:val="24"/>
        </w:rPr>
        <w:t>.</w:t>
      </w:r>
      <w:r w:rsidRPr="3792E21C" w:rsidR="72E2A062">
        <w:t xml:space="preserve">  This was calculated by taking the average wage of the GS employees</w:t>
      </w:r>
      <w:r>
        <w:rPr>
          <w:rStyle w:val="FootnoteReference"/>
        </w:rPr>
        <w:footnoteReference w:id="4"/>
      </w:r>
      <w:r w:rsidRPr="3792E21C" w:rsidR="72E2A062">
        <w:t xml:space="preserve"> who process CJ requests</w:t>
      </w:r>
      <w:r>
        <w:t xml:space="preserve"> (GS-13 step 6 $140,677 x 3 = $422,031</w:t>
      </w:r>
      <w:r w:rsidR="002B72F7">
        <w:t>)</w:t>
      </w:r>
      <w:r w:rsidRPr="3792E21C" w:rsidR="72E2A062">
        <w:t xml:space="preserve">.  </w:t>
      </w:r>
      <w:r w:rsidRPr="003308D0" w:rsidR="4AC44EA5">
        <w:rPr>
          <w:szCs w:val="24"/>
        </w:rPr>
        <w:t xml:space="preserve">  </w:t>
      </w:r>
    </w:p>
    <w:p w:rsidR="00B601AB" w:rsidRPr="003308D0" w:rsidP="003D056B" w14:paraId="5E3542FE" w14:textId="77777777">
      <w:pPr>
        <w:rPr>
          <w:szCs w:val="24"/>
          <w:highlight w:val="yellow"/>
        </w:rPr>
      </w:pPr>
    </w:p>
    <w:p w:rsidR="001C2D54" w:rsidP="003D056B" w14:paraId="4EA16F31" w14:textId="77777777">
      <w:pPr>
        <w:rPr>
          <w:szCs w:val="24"/>
        </w:rPr>
      </w:pPr>
      <w:r w:rsidRPr="003308D0">
        <w:rPr>
          <w:szCs w:val="24"/>
        </w:rPr>
        <w:t>15.</w:t>
      </w:r>
      <w:r w:rsidRPr="003308D0">
        <w:rPr>
          <w:szCs w:val="24"/>
        </w:rPr>
        <w:tab/>
      </w:r>
      <w:r w:rsidRPr="003308D0" w:rsidR="00F24DA7">
        <w:rPr>
          <w:szCs w:val="24"/>
        </w:rPr>
        <w:t>Describe changes or adjustments to this collection since the previous submission.</w:t>
      </w:r>
    </w:p>
    <w:p w:rsidR="006E3461" w:rsidRPr="003308D0" w:rsidP="003D056B" w14:paraId="277E6609" w14:textId="77777777">
      <w:pPr>
        <w:rPr>
          <w:szCs w:val="24"/>
        </w:rPr>
      </w:pPr>
    </w:p>
    <w:p w:rsidR="002F628B" w:rsidRPr="003308D0" w:rsidP="003D056B" w14:paraId="371D3AAA" w14:textId="3A216270">
      <w:pPr>
        <w:rPr>
          <w:szCs w:val="24"/>
        </w:rPr>
      </w:pPr>
      <w:r w:rsidRPr="003308D0">
        <w:rPr>
          <w:szCs w:val="24"/>
        </w:rPr>
        <w:t xml:space="preserve">DDTC has updated </w:t>
      </w:r>
      <w:r w:rsidRPr="003308D0" w:rsidR="002A7CA4">
        <w:rPr>
          <w:szCs w:val="24"/>
        </w:rPr>
        <w:t xml:space="preserve">its </w:t>
      </w:r>
      <w:r w:rsidRPr="003308D0">
        <w:rPr>
          <w:szCs w:val="24"/>
        </w:rPr>
        <w:t xml:space="preserve">response to paragraph 12.  The estimated number of responses has been lowered </w:t>
      </w:r>
      <w:r w:rsidR="006E4F5F">
        <w:rPr>
          <w:szCs w:val="24"/>
        </w:rPr>
        <w:t xml:space="preserve">to reflect </w:t>
      </w:r>
      <w:r w:rsidR="007F55C9">
        <w:rPr>
          <w:szCs w:val="24"/>
        </w:rPr>
        <w:t>actual receipt of CJ reques</w:t>
      </w:r>
      <w:r w:rsidRPr="003308D0">
        <w:rPr>
          <w:szCs w:val="24"/>
        </w:rPr>
        <w:t>t</w:t>
      </w:r>
      <w:r w:rsidR="007F55C9">
        <w:rPr>
          <w:szCs w:val="24"/>
        </w:rPr>
        <w:t>s</w:t>
      </w:r>
      <w:r w:rsidRPr="003308D0">
        <w:rPr>
          <w:szCs w:val="24"/>
        </w:rPr>
        <w:t xml:space="preserve">.  </w:t>
      </w:r>
    </w:p>
    <w:p w:rsidR="00B601AB" w:rsidRPr="003308D0" w:rsidP="003D056B" w14:paraId="77606BF6" w14:textId="77777777">
      <w:pPr>
        <w:rPr>
          <w:szCs w:val="24"/>
        </w:rPr>
      </w:pPr>
    </w:p>
    <w:p w:rsidR="00F24DA7" w:rsidP="003D056B" w14:paraId="491AC543" w14:textId="1B5E7D4E">
      <w:pPr>
        <w:rPr>
          <w:szCs w:val="24"/>
        </w:rPr>
      </w:pPr>
      <w:r w:rsidRPr="003308D0">
        <w:rPr>
          <w:szCs w:val="24"/>
        </w:rPr>
        <w:t>16.</w:t>
      </w:r>
      <w:r w:rsidRPr="003308D0" w:rsidR="00B601AB">
        <w:rPr>
          <w:szCs w:val="24"/>
        </w:rPr>
        <w:tab/>
      </w:r>
      <w:r w:rsidRPr="003308D0">
        <w:rPr>
          <w:szCs w:val="24"/>
        </w:rPr>
        <w:t>Will data gathered by this collection be published?</w:t>
      </w:r>
    </w:p>
    <w:p w:rsidR="003D056B" w:rsidRPr="003308D0" w:rsidP="003D056B" w14:paraId="12F9DE0C" w14:textId="77777777">
      <w:pPr>
        <w:rPr>
          <w:szCs w:val="24"/>
        </w:rPr>
      </w:pPr>
    </w:p>
    <w:p w:rsidR="00C23068" w:rsidRPr="003308D0" w:rsidP="003D056B" w14:paraId="230E6FC9" w14:textId="4690F83C">
      <w:pPr>
        <w:ind w:firstLine="360"/>
        <w:rPr>
          <w:szCs w:val="24"/>
        </w:rPr>
      </w:pPr>
      <w:r w:rsidRPr="003308D0">
        <w:rPr>
          <w:szCs w:val="24"/>
        </w:rPr>
        <w:t xml:space="preserve">DDTC </w:t>
      </w:r>
      <w:r w:rsidR="006A751D">
        <w:rPr>
          <w:szCs w:val="24"/>
        </w:rPr>
        <w:t xml:space="preserve">generally </w:t>
      </w:r>
      <w:r w:rsidRPr="003308D0" w:rsidR="00683A8E">
        <w:rPr>
          <w:szCs w:val="24"/>
        </w:rPr>
        <w:t>publish</w:t>
      </w:r>
      <w:r w:rsidR="006A751D">
        <w:rPr>
          <w:szCs w:val="24"/>
        </w:rPr>
        <w:t>es</w:t>
      </w:r>
      <w:r w:rsidRPr="003308D0" w:rsidR="00683A8E">
        <w:rPr>
          <w:szCs w:val="24"/>
        </w:rPr>
        <w:t xml:space="preserve"> </w:t>
      </w:r>
      <w:r w:rsidRPr="003308D0">
        <w:rPr>
          <w:szCs w:val="24"/>
        </w:rPr>
        <w:t xml:space="preserve">the following information </w:t>
      </w:r>
      <w:r w:rsidR="006A751D">
        <w:rPr>
          <w:szCs w:val="24"/>
        </w:rPr>
        <w:t xml:space="preserve">from each collection </w:t>
      </w:r>
      <w:r w:rsidRPr="003308D0">
        <w:rPr>
          <w:szCs w:val="24"/>
        </w:rPr>
        <w:t>to its website:</w:t>
      </w:r>
    </w:p>
    <w:p w:rsidR="00C23068" w:rsidRPr="003308D0" w:rsidP="003D056B" w14:paraId="5835BBDD" w14:textId="31435BEC">
      <w:pPr>
        <w:pStyle w:val="ListParagraph"/>
        <w:numPr>
          <w:ilvl w:val="0"/>
          <w:numId w:val="15"/>
        </w:numPr>
        <w:contextualSpacing w:val="0"/>
        <w:rPr>
          <w:szCs w:val="24"/>
        </w:rPr>
      </w:pPr>
      <w:r w:rsidRPr="003308D0">
        <w:rPr>
          <w:szCs w:val="24"/>
        </w:rPr>
        <w:t>Manufacturer</w:t>
      </w:r>
      <w:r w:rsidRPr="003308D0" w:rsidR="002A7CA4">
        <w:rPr>
          <w:szCs w:val="24"/>
        </w:rPr>
        <w:t xml:space="preserve"> of </w:t>
      </w:r>
      <w:r w:rsidRPr="003308D0" w:rsidR="002A7CA4">
        <w:rPr>
          <w:szCs w:val="24"/>
        </w:rPr>
        <w:t>commodity</w:t>
      </w:r>
      <w:r w:rsidRPr="003308D0">
        <w:rPr>
          <w:szCs w:val="24"/>
        </w:rPr>
        <w:t>,</w:t>
      </w:r>
    </w:p>
    <w:p w:rsidR="002A7CA4" w:rsidRPr="003308D0" w:rsidP="003D056B" w14:paraId="002A2C81" w14:textId="2AAD4811">
      <w:pPr>
        <w:pStyle w:val="ListParagraph"/>
        <w:numPr>
          <w:ilvl w:val="0"/>
          <w:numId w:val="15"/>
        </w:numPr>
        <w:contextualSpacing w:val="0"/>
        <w:rPr>
          <w:szCs w:val="24"/>
        </w:rPr>
      </w:pPr>
      <w:r w:rsidRPr="003308D0">
        <w:rPr>
          <w:szCs w:val="24"/>
        </w:rPr>
        <w:t>Name of commodity,</w:t>
      </w:r>
    </w:p>
    <w:p w:rsidR="00C23068" w:rsidRPr="003308D0" w:rsidP="003D056B" w14:paraId="2074E6FA" w14:textId="77777777">
      <w:pPr>
        <w:pStyle w:val="ListParagraph"/>
        <w:numPr>
          <w:ilvl w:val="0"/>
          <w:numId w:val="15"/>
        </w:numPr>
        <w:contextualSpacing w:val="0"/>
        <w:rPr>
          <w:szCs w:val="24"/>
        </w:rPr>
      </w:pPr>
      <w:r w:rsidRPr="003308D0">
        <w:rPr>
          <w:szCs w:val="24"/>
        </w:rPr>
        <w:t xml:space="preserve">Description of </w:t>
      </w:r>
      <w:r w:rsidRPr="003308D0">
        <w:rPr>
          <w:szCs w:val="24"/>
        </w:rPr>
        <w:t>commodity</w:t>
      </w:r>
      <w:r w:rsidRPr="003308D0">
        <w:rPr>
          <w:szCs w:val="24"/>
        </w:rPr>
        <w:t>,</w:t>
      </w:r>
    </w:p>
    <w:p w:rsidR="00C23068" w:rsidRPr="003308D0" w:rsidP="003D056B" w14:paraId="3FCDC88E" w14:textId="24AD0BA0">
      <w:pPr>
        <w:pStyle w:val="ListParagraph"/>
        <w:numPr>
          <w:ilvl w:val="0"/>
          <w:numId w:val="15"/>
        </w:numPr>
        <w:contextualSpacing w:val="0"/>
        <w:rPr>
          <w:szCs w:val="24"/>
        </w:rPr>
      </w:pPr>
      <w:r>
        <w:rPr>
          <w:szCs w:val="24"/>
        </w:rPr>
        <w:t>J</w:t>
      </w:r>
      <w:r w:rsidRPr="003308D0" w:rsidR="002A7CA4">
        <w:rPr>
          <w:szCs w:val="24"/>
        </w:rPr>
        <w:t xml:space="preserve">urisdiction </w:t>
      </w:r>
      <w:r w:rsidRPr="003308D0">
        <w:rPr>
          <w:szCs w:val="24"/>
        </w:rPr>
        <w:t>determination</w:t>
      </w:r>
      <w:r w:rsidRPr="003308D0" w:rsidR="002A7CA4">
        <w:rPr>
          <w:szCs w:val="24"/>
        </w:rPr>
        <w:t xml:space="preserve"> of </w:t>
      </w:r>
      <w:r w:rsidRPr="003308D0" w:rsidR="002A7CA4">
        <w:rPr>
          <w:szCs w:val="24"/>
        </w:rPr>
        <w:t>commodity</w:t>
      </w:r>
      <w:r w:rsidRPr="003308D0">
        <w:rPr>
          <w:szCs w:val="24"/>
        </w:rPr>
        <w:t>, and</w:t>
      </w:r>
    </w:p>
    <w:p w:rsidR="00C23068" w:rsidRPr="003308D0" w:rsidP="003D056B" w14:paraId="5493D137" w14:textId="1DA3BA9D">
      <w:pPr>
        <w:pStyle w:val="ListParagraph"/>
        <w:numPr>
          <w:ilvl w:val="0"/>
          <w:numId w:val="15"/>
        </w:numPr>
        <w:contextualSpacing w:val="0"/>
        <w:rPr>
          <w:szCs w:val="24"/>
        </w:rPr>
      </w:pPr>
      <w:r w:rsidRPr="003308D0">
        <w:rPr>
          <w:szCs w:val="24"/>
        </w:rPr>
        <w:t>Date of determination.</w:t>
      </w:r>
    </w:p>
    <w:p w:rsidR="00C969D5" w:rsidRPr="003308D0" w:rsidP="003D056B" w14:paraId="45CE1ED2" w14:textId="77777777">
      <w:pPr>
        <w:pStyle w:val="ListParagraph"/>
        <w:contextualSpacing w:val="0"/>
        <w:rPr>
          <w:szCs w:val="24"/>
        </w:rPr>
      </w:pPr>
    </w:p>
    <w:p w:rsidR="00B601AB" w:rsidRPr="003308D0" w:rsidP="003D056B" w14:paraId="0F813117" w14:textId="7F5AFB88">
      <w:pPr>
        <w:rPr>
          <w:szCs w:val="24"/>
        </w:rPr>
      </w:pPr>
      <w:r w:rsidRPr="003308D0">
        <w:rPr>
          <w:szCs w:val="24"/>
        </w:rPr>
        <w:tab/>
      </w:r>
      <w:r w:rsidRPr="003308D0" w:rsidR="00683A8E">
        <w:rPr>
          <w:szCs w:val="24"/>
        </w:rPr>
        <w:t>R</w:t>
      </w:r>
      <w:r w:rsidRPr="003308D0" w:rsidR="00E620E1">
        <w:rPr>
          <w:szCs w:val="24"/>
        </w:rPr>
        <w:t>espondent</w:t>
      </w:r>
      <w:r w:rsidRPr="003308D0" w:rsidR="00683A8E">
        <w:rPr>
          <w:szCs w:val="24"/>
        </w:rPr>
        <w:t>s</w:t>
      </w:r>
      <w:r w:rsidRPr="003308D0" w:rsidR="00E620E1">
        <w:rPr>
          <w:szCs w:val="24"/>
        </w:rPr>
        <w:t xml:space="preserve"> </w:t>
      </w:r>
      <w:r w:rsidRPr="003308D0" w:rsidR="003E115C">
        <w:rPr>
          <w:szCs w:val="24"/>
        </w:rPr>
        <w:t xml:space="preserve">may </w:t>
      </w:r>
      <w:r w:rsidRPr="003308D0" w:rsidR="00E620E1">
        <w:rPr>
          <w:szCs w:val="24"/>
        </w:rPr>
        <w:t xml:space="preserve">request that certain information </w:t>
      </w:r>
      <w:r w:rsidRPr="003308D0" w:rsidR="003E115C">
        <w:rPr>
          <w:szCs w:val="24"/>
        </w:rPr>
        <w:t>be withheld from public disclosure</w:t>
      </w:r>
      <w:r w:rsidRPr="006C413D" w:rsidR="006C413D">
        <w:rPr>
          <w:szCs w:val="24"/>
        </w:rPr>
        <w:t xml:space="preserve"> </w:t>
      </w:r>
      <w:r w:rsidR="00D97D7E">
        <w:rPr>
          <w:szCs w:val="24"/>
        </w:rPr>
        <w:t xml:space="preserve">via </w:t>
      </w:r>
      <w:r w:rsidR="008F73DE">
        <w:rPr>
          <w:szCs w:val="24"/>
        </w:rPr>
        <w:t>B</w:t>
      </w:r>
      <w:r w:rsidRPr="003308D0" w:rsidR="006C413D">
        <w:rPr>
          <w:szCs w:val="24"/>
        </w:rPr>
        <w:t>lock 13 of form DS-4076</w:t>
      </w:r>
      <w:r w:rsidRPr="003308D0">
        <w:rPr>
          <w:szCs w:val="24"/>
        </w:rPr>
        <w:t>.</w:t>
      </w:r>
    </w:p>
    <w:p w:rsidR="00B601AB" w:rsidRPr="003308D0" w:rsidP="003D056B" w14:paraId="6A44E7D1" w14:textId="77777777">
      <w:pPr>
        <w:rPr>
          <w:szCs w:val="24"/>
        </w:rPr>
      </w:pPr>
    </w:p>
    <w:p w:rsidR="00B601AB" w:rsidRPr="003308D0" w:rsidP="003D056B" w14:paraId="707E1A0F" w14:textId="2D67B97F">
      <w:pPr>
        <w:rPr>
          <w:szCs w:val="24"/>
        </w:rPr>
      </w:pPr>
      <w:r w:rsidRPr="003308D0">
        <w:rPr>
          <w:szCs w:val="24"/>
        </w:rPr>
        <w:t>17.</w:t>
      </w:r>
      <w:r w:rsidRPr="003308D0">
        <w:rPr>
          <w:szCs w:val="24"/>
        </w:rPr>
        <w:tab/>
      </w:r>
      <w:r w:rsidRPr="003308D0" w:rsidR="00367B66">
        <w:rPr>
          <w:szCs w:val="24"/>
        </w:rPr>
        <w:t xml:space="preserve">DDTC </w:t>
      </w:r>
      <w:r w:rsidRPr="003308D0" w:rsidR="00B22A5B">
        <w:rPr>
          <w:szCs w:val="24"/>
        </w:rPr>
        <w:t>will</w:t>
      </w:r>
      <w:r w:rsidRPr="003308D0" w:rsidR="00367B66">
        <w:rPr>
          <w:szCs w:val="24"/>
        </w:rPr>
        <w:t xml:space="preserve"> display the </w:t>
      </w:r>
      <w:r w:rsidRPr="003308D0" w:rsidR="00C969D5">
        <w:rPr>
          <w:szCs w:val="24"/>
        </w:rPr>
        <w:t xml:space="preserve">collection’s </w:t>
      </w:r>
      <w:r w:rsidRPr="003308D0" w:rsidR="00367B66">
        <w:rPr>
          <w:szCs w:val="24"/>
        </w:rPr>
        <w:t>expiration date on the form</w:t>
      </w:r>
      <w:r w:rsidRPr="003308D0" w:rsidR="00893819">
        <w:rPr>
          <w:szCs w:val="24"/>
        </w:rPr>
        <w:t>.</w:t>
      </w:r>
    </w:p>
    <w:p w:rsidR="00B601AB" w:rsidRPr="003308D0" w:rsidP="003D056B" w14:paraId="30BAA930" w14:textId="77777777">
      <w:pPr>
        <w:rPr>
          <w:szCs w:val="24"/>
        </w:rPr>
      </w:pPr>
    </w:p>
    <w:p w:rsidR="00B601AB" w:rsidRPr="003308D0" w:rsidP="003D056B" w14:paraId="03F953F5" w14:textId="77777777">
      <w:pPr>
        <w:rPr>
          <w:szCs w:val="24"/>
        </w:rPr>
      </w:pPr>
      <w:r w:rsidRPr="003308D0">
        <w:rPr>
          <w:szCs w:val="24"/>
        </w:rPr>
        <w:t>18.</w:t>
      </w:r>
      <w:r w:rsidRPr="003308D0" w:rsidR="00367B66">
        <w:rPr>
          <w:szCs w:val="24"/>
        </w:rPr>
        <w:tab/>
      </w:r>
      <w:r w:rsidRPr="003308D0">
        <w:rPr>
          <w:szCs w:val="24"/>
        </w:rPr>
        <w:t xml:space="preserve">The Department of State does not seek any exception to the </w:t>
      </w:r>
      <w:r w:rsidRPr="003308D0" w:rsidR="00346E07">
        <w:rPr>
          <w:szCs w:val="24"/>
        </w:rPr>
        <w:t xml:space="preserve">certification </w:t>
      </w:r>
      <w:r w:rsidRPr="003308D0">
        <w:rPr>
          <w:szCs w:val="24"/>
        </w:rPr>
        <w:t>statement</w:t>
      </w:r>
      <w:r w:rsidRPr="003308D0" w:rsidR="00346E07">
        <w:rPr>
          <w:szCs w:val="24"/>
        </w:rPr>
        <w:t>.</w:t>
      </w:r>
    </w:p>
    <w:p w:rsidR="00B601AB" w:rsidRPr="003308D0" w:rsidP="003D056B" w14:paraId="0F16965A" w14:textId="77777777">
      <w:pPr>
        <w:rPr>
          <w:szCs w:val="24"/>
        </w:rPr>
      </w:pPr>
    </w:p>
    <w:p w:rsidR="00B601AB" w:rsidRPr="003308D0" w:rsidP="003D056B" w14:paraId="7092C4F2" w14:textId="77777777">
      <w:pPr>
        <w:pStyle w:val="Heading2"/>
        <w:jc w:val="left"/>
        <w:rPr>
          <w:color w:val="auto"/>
          <w:szCs w:val="24"/>
        </w:rPr>
      </w:pPr>
      <w:r w:rsidRPr="003308D0">
        <w:rPr>
          <w:color w:val="auto"/>
          <w:szCs w:val="24"/>
        </w:rPr>
        <w:t>B.  Collections of Information Employing Statistical Methods</w:t>
      </w:r>
    </w:p>
    <w:p w:rsidR="00B601AB" w:rsidRPr="003308D0" w:rsidP="003D056B" w14:paraId="499A7857" w14:textId="77777777">
      <w:pPr>
        <w:jc w:val="center"/>
        <w:rPr>
          <w:b/>
          <w:szCs w:val="24"/>
        </w:rPr>
      </w:pPr>
    </w:p>
    <w:p w:rsidR="00B601AB" w:rsidRPr="003308D0" w:rsidP="003D056B" w14:paraId="4607882F" w14:textId="77777777">
      <w:pPr>
        <w:rPr>
          <w:szCs w:val="24"/>
        </w:rPr>
      </w:pPr>
      <w:r w:rsidRPr="003308D0">
        <w:rPr>
          <w:szCs w:val="24"/>
        </w:rPr>
        <w:tab/>
      </w:r>
      <w:r w:rsidRPr="003308D0">
        <w:rPr>
          <w:szCs w:val="24"/>
        </w:rPr>
        <w:t>This collection of information does not employ statistical methods.</w:t>
      </w:r>
    </w:p>
    <w:p w:rsidR="00893819" w:rsidRPr="003308D0" w:rsidP="003D056B" w14:paraId="2A00401A" w14:textId="77777777">
      <w:pPr>
        <w:rPr>
          <w:szCs w:val="24"/>
        </w:rPr>
      </w:pPr>
    </w:p>
    <w:p w:rsidR="0059764A" w:rsidP="003D056B" w14:paraId="56423851" w14:textId="77777777">
      <w:pPr>
        <w:rPr>
          <w:b/>
          <w:szCs w:val="24"/>
        </w:rPr>
      </w:pPr>
    </w:p>
    <w:p w:rsidR="0059764A" w:rsidP="003D056B" w14:paraId="392900FE" w14:textId="77777777">
      <w:pPr>
        <w:rPr>
          <w:b/>
          <w:szCs w:val="24"/>
        </w:rPr>
      </w:pPr>
    </w:p>
    <w:p w:rsidR="0059764A" w:rsidP="003D056B" w14:paraId="1EBC91CD" w14:textId="77777777">
      <w:pPr>
        <w:rPr>
          <w:b/>
          <w:szCs w:val="24"/>
        </w:rPr>
      </w:pPr>
    </w:p>
    <w:p w:rsidR="00614F92" w:rsidRPr="00FD5D43" w:rsidP="003D056B" w14:paraId="1563A1B7" w14:textId="6D901AA0">
      <w:pPr>
        <w:rPr>
          <w:b/>
          <w:szCs w:val="24"/>
        </w:rPr>
      </w:pPr>
    </w:p>
    <w:sectPr w:rsidSect="00BF3428">
      <w:headerReference w:type="even" r:id="rId12"/>
      <w:headerReference w:type="default" r:id="rId13"/>
      <w:footerReference w:type="even" r:id="rId14"/>
      <w:footerReference w:type="default" r:id="rId1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E07" w:rsidP="000D7488" w14:paraId="216880C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46E07" w14:paraId="41209D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E07" w:rsidRPr="00AD3A0F" w:rsidP="000D7488" w14:paraId="7B38B162" w14:textId="6B743FB9">
    <w:pPr>
      <w:pStyle w:val="Footer"/>
      <w:framePr w:wrap="around" w:vAnchor="text" w:hAnchor="margin" w:xAlign="center" w:y="1"/>
      <w:rPr>
        <w:rStyle w:val="PageNumber"/>
        <w:sz w:val="28"/>
        <w:szCs w:val="28"/>
      </w:rPr>
    </w:pPr>
    <w:r w:rsidRPr="00AD3A0F">
      <w:rPr>
        <w:rStyle w:val="PageNumber"/>
        <w:sz w:val="28"/>
        <w:szCs w:val="28"/>
      </w:rPr>
      <w:fldChar w:fldCharType="begin"/>
    </w:r>
    <w:r w:rsidRPr="00AD3A0F">
      <w:rPr>
        <w:rStyle w:val="PageNumber"/>
        <w:sz w:val="28"/>
        <w:szCs w:val="28"/>
      </w:rPr>
      <w:instrText xml:space="preserve">PAGE  </w:instrText>
    </w:r>
    <w:r w:rsidRPr="00AD3A0F">
      <w:rPr>
        <w:rStyle w:val="PageNumber"/>
        <w:sz w:val="28"/>
        <w:szCs w:val="28"/>
      </w:rPr>
      <w:fldChar w:fldCharType="separate"/>
    </w:r>
    <w:r w:rsidR="000F3595">
      <w:rPr>
        <w:rStyle w:val="PageNumber"/>
        <w:noProof/>
        <w:sz w:val="28"/>
        <w:szCs w:val="28"/>
      </w:rPr>
      <w:t>4</w:t>
    </w:r>
    <w:r w:rsidRPr="00AD3A0F">
      <w:rPr>
        <w:rStyle w:val="PageNumber"/>
        <w:sz w:val="28"/>
        <w:szCs w:val="28"/>
      </w:rPr>
      <w:fldChar w:fldCharType="end"/>
    </w:r>
  </w:p>
  <w:p w:rsidR="00346E07" w14:paraId="48FA03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D41" w14:paraId="23A8FFAC" w14:textId="77777777">
      <w:r>
        <w:separator/>
      </w:r>
    </w:p>
  </w:footnote>
  <w:footnote w:type="continuationSeparator" w:id="1">
    <w:p w:rsidR="00345D41" w14:paraId="371CCC9D" w14:textId="77777777">
      <w:r>
        <w:continuationSeparator/>
      </w:r>
    </w:p>
  </w:footnote>
  <w:footnote w:type="continuationNotice" w:id="2">
    <w:p w:rsidR="00345D41" w14:paraId="168D7533" w14:textId="77777777"/>
  </w:footnote>
  <w:footnote w:id="3">
    <w:p w:rsidR="00EE5F98" w14:paraId="0306AEF5" w14:textId="2CCF43F9">
      <w:pPr>
        <w:pStyle w:val="FootnoteText"/>
      </w:pPr>
      <w:r>
        <w:rPr>
          <w:rStyle w:val="FootnoteReference"/>
        </w:rPr>
        <w:footnoteRef/>
      </w:r>
      <w:r>
        <w:t xml:space="preserve"> Source: Bureau of Labor Statistics; Occupational Employment Statistics</w:t>
      </w:r>
      <w:r w:rsidR="00B85A16">
        <w:t>, May 2024,</w:t>
      </w:r>
      <w:r>
        <w:t xml:space="preserve"> </w:t>
      </w:r>
      <w:r w:rsidRPr="00783012">
        <w:t>https://www.bls.gov/</w:t>
      </w:r>
      <w:r w:rsidR="000F3595">
        <w:t>oes/current/oes131041.htm</w:t>
      </w:r>
    </w:p>
  </w:footnote>
  <w:footnote w:id="4">
    <w:p w:rsidR="00EE5F98" w14:paraId="6C83530B" w14:textId="6846A686">
      <w:pPr>
        <w:pStyle w:val="FootnoteText"/>
      </w:pPr>
      <w:r>
        <w:rPr>
          <w:rStyle w:val="FootnoteReference"/>
        </w:rPr>
        <w:footnoteRef/>
      </w:r>
      <w:r>
        <w:t xml:space="preserve"> Source: Office of Personnel Management; General Schedule Pay Table; </w:t>
      </w:r>
      <w:r w:rsidRPr="002B42DC" w:rsidR="002B42DC">
        <w:t>https://www.opm.gov/policy-data-oversight/pay-leave/salaries-wages/salary-tables/25Tables/html/DCB.aspx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E07" w14:paraId="1E5563A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6E07" w14:paraId="4CDC50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E07" w14:paraId="2F3A30C0" w14:textId="77777777">
    <w:pPr>
      <w:pStyle w:val="Header"/>
      <w:framePr w:wrap="around" w:vAnchor="text" w:hAnchor="margin" w:xAlign="center" w:y="1"/>
      <w:rPr>
        <w:rStyle w:val="PageNumber"/>
      </w:rPr>
    </w:pPr>
  </w:p>
  <w:p w:rsidR="00346E07" w14:paraId="666D14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9A3477"/>
    <w:multiLevelType w:val="hybridMultilevel"/>
    <w:tmpl w:val="F3582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E08D4"/>
    <w:multiLevelType w:val="hybridMultilevel"/>
    <w:tmpl w:val="9F2CC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5">
    <w:nsid w:val="27A52CD0"/>
    <w:multiLevelType w:val="hybridMultilevel"/>
    <w:tmpl w:val="6584D504"/>
    <w:lvl w:ilvl="0">
      <w:start w:val="1"/>
      <w:numFmt w:val="decimal"/>
      <w:lvlText w:val="%1."/>
      <w:lvlJc w:val="left"/>
      <w:pPr>
        <w:ind w:left="720" w:hanging="360"/>
      </w:pPr>
      <w:rPr>
        <w:rFonts w:hint="default"/>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D870C5"/>
    <w:multiLevelType w:val="hybridMultilevel"/>
    <w:tmpl w:val="4D005AD0"/>
    <w:lvl w:ilvl="0">
      <w:start w:val="1"/>
      <w:numFmt w:val="decimal"/>
      <w:lvlText w:val="%1."/>
      <w:lvlJc w:val="left"/>
      <w:pPr>
        <w:ind w:left="720" w:hanging="360"/>
      </w:pPr>
      <w:rPr>
        <w:rFonts w:hint="default"/>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136D4A"/>
    <w:multiLevelType w:val="hybridMultilevel"/>
    <w:tmpl w:val="FCC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B8673F"/>
    <w:multiLevelType w:val="hybridMultilevel"/>
    <w:tmpl w:val="6E6A4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26ABA"/>
    <w:multiLevelType w:val="hybridMultilevel"/>
    <w:tmpl w:val="78EEAC0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nsid w:val="423E748F"/>
    <w:multiLevelType w:val="hybridMultilevel"/>
    <w:tmpl w:val="C4DA8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5">
    <w:nsid w:val="5BA46C75"/>
    <w:multiLevelType w:val="hybridMultilevel"/>
    <w:tmpl w:val="C95ED17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8">
    <w:nsid w:val="67807552"/>
    <w:multiLevelType w:val="hybridMultilevel"/>
    <w:tmpl w:val="2690E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883F74"/>
    <w:multiLevelType w:val="hybridMultilevel"/>
    <w:tmpl w:val="7D884E06"/>
    <w:lvl w:ilvl="0">
      <w:start w:val="1"/>
      <w:numFmt w:val="decimal"/>
      <w:lvlText w:val="%1."/>
      <w:lvlJc w:val="left"/>
      <w:pPr>
        <w:ind w:left="720" w:hanging="360"/>
      </w:pPr>
      <w:rPr>
        <w:rFonts w:hint="default"/>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9276FC"/>
    <w:multiLevelType w:val="hybridMultilevel"/>
    <w:tmpl w:val="C86EC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2">
    <w:nsid w:val="7AF44164"/>
    <w:multiLevelType w:val="singleLevel"/>
    <w:tmpl w:val="A9780498"/>
    <w:lvl w:ilvl="0">
      <w:start w:val="1"/>
      <w:numFmt w:val="lowerLetter"/>
      <w:lvlText w:val="(%1)"/>
      <w:lvlJc w:val="left"/>
      <w:pPr>
        <w:tabs>
          <w:tab w:val="num" w:pos="675"/>
        </w:tabs>
        <w:ind w:left="675" w:hanging="375"/>
      </w:pPr>
      <w:rPr>
        <w:rFonts w:hint="default"/>
      </w:rPr>
    </w:lvl>
  </w:abstractNum>
  <w:abstractNum w:abstractNumId="23">
    <w:nsid w:val="7BF95039"/>
    <w:multiLevelType w:val="hybridMultilevel"/>
    <w:tmpl w:val="A44EE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4E3919"/>
    <w:multiLevelType w:val="hybridMultilevel"/>
    <w:tmpl w:val="8F265262"/>
    <w:lvl w:ilvl="0">
      <w:start w:val="1"/>
      <w:numFmt w:val="decimal"/>
      <w:lvlText w:val="%1."/>
      <w:lvlJc w:val="left"/>
      <w:pPr>
        <w:ind w:left="720" w:hanging="360"/>
      </w:pPr>
      <w:rPr>
        <w:rFonts w:hint="default"/>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119643">
    <w:abstractNumId w:val="20"/>
  </w:num>
  <w:num w:numId="2" w16cid:durableId="616713475">
    <w:abstractNumId w:val="9"/>
  </w:num>
  <w:num w:numId="3" w16cid:durableId="950162020">
    <w:abstractNumId w:val="10"/>
  </w:num>
  <w:num w:numId="4" w16cid:durableId="1017927911">
    <w:abstractNumId w:val="14"/>
  </w:num>
  <w:num w:numId="5" w16cid:durableId="1963464061">
    <w:abstractNumId w:val="17"/>
  </w:num>
  <w:num w:numId="6" w16cid:durableId="1731617303">
    <w:abstractNumId w:val="13"/>
  </w:num>
  <w:num w:numId="7" w16cid:durableId="1007633702">
    <w:abstractNumId w:val="11"/>
  </w:num>
  <w:num w:numId="8" w16cid:durableId="251940994">
    <w:abstractNumId w:val="1"/>
  </w:num>
  <w:num w:numId="9" w16cid:durableId="1117456283">
    <w:abstractNumId w:val="16"/>
  </w:num>
  <w:num w:numId="10" w16cid:durableId="92097170">
    <w:abstractNumId w:val="21"/>
  </w:num>
  <w:num w:numId="11" w16cid:durableId="889456519">
    <w:abstractNumId w:val="4"/>
  </w:num>
  <w:num w:numId="12" w16cid:durableId="352876392">
    <w:abstractNumId w:val="22"/>
  </w:num>
  <w:num w:numId="13" w16cid:durableId="1289505831">
    <w:abstractNumId w:val="15"/>
  </w:num>
  <w:num w:numId="14" w16cid:durableId="2904086">
    <w:abstractNumId w:val="8"/>
  </w:num>
  <w:num w:numId="15" w16cid:durableId="1215702256">
    <w:abstractNumId w:val="23"/>
  </w:num>
  <w:num w:numId="16" w16cid:durableId="609625739">
    <w:abstractNumId w:val="0"/>
  </w:num>
  <w:num w:numId="17" w16cid:durableId="1602104012">
    <w:abstractNumId w:val="5"/>
  </w:num>
  <w:num w:numId="18" w16cid:durableId="1599870650">
    <w:abstractNumId w:val="19"/>
  </w:num>
  <w:num w:numId="19" w16cid:durableId="2133673358">
    <w:abstractNumId w:val="24"/>
  </w:num>
  <w:num w:numId="20" w16cid:durableId="1689208592">
    <w:abstractNumId w:val="6"/>
  </w:num>
  <w:num w:numId="21" w16cid:durableId="1496677494">
    <w:abstractNumId w:val="2"/>
  </w:num>
  <w:num w:numId="22" w16cid:durableId="1184201777">
    <w:abstractNumId w:val="12"/>
  </w:num>
  <w:num w:numId="23" w16cid:durableId="1010642350">
    <w:abstractNumId w:val="3"/>
  </w:num>
  <w:num w:numId="24" w16cid:durableId="186142391">
    <w:abstractNumId w:val="18"/>
  </w:num>
  <w:num w:numId="25" w16cid:durableId="1652631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FA"/>
    <w:rsid w:val="00000B7A"/>
    <w:rsid w:val="00001CF7"/>
    <w:rsid w:val="00006940"/>
    <w:rsid w:val="00010EFB"/>
    <w:rsid w:val="000130EC"/>
    <w:rsid w:val="000133F4"/>
    <w:rsid w:val="000162B4"/>
    <w:rsid w:val="000178BA"/>
    <w:rsid w:val="000229A8"/>
    <w:rsid w:val="00024497"/>
    <w:rsid w:val="00032F8D"/>
    <w:rsid w:val="00036EE2"/>
    <w:rsid w:val="00041554"/>
    <w:rsid w:val="000419B8"/>
    <w:rsid w:val="0005102F"/>
    <w:rsid w:val="00051F5E"/>
    <w:rsid w:val="00053EE7"/>
    <w:rsid w:val="00060A69"/>
    <w:rsid w:val="00060E69"/>
    <w:rsid w:val="000642AF"/>
    <w:rsid w:val="00070125"/>
    <w:rsid w:val="0007251C"/>
    <w:rsid w:val="00074287"/>
    <w:rsid w:val="00081DBE"/>
    <w:rsid w:val="000861F5"/>
    <w:rsid w:val="000930EA"/>
    <w:rsid w:val="00095750"/>
    <w:rsid w:val="000A0EFE"/>
    <w:rsid w:val="000A1090"/>
    <w:rsid w:val="000B5149"/>
    <w:rsid w:val="000C0085"/>
    <w:rsid w:val="000C01A9"/>
    <w:rsid w:val="000C413B"/>
    <w:rsid w:val="000C57C8"/>
    <w:rsid w:val="000C7F6D"/>
    <w:rsid w:val="000D1C9D"/>
    <w:rsid w:val="000D51EC"/>
    <w:rsid w:val="000D7488"/>
    <w:rsid w:val="000E2F81"/>
    <w:rsid w:val="000E49EB"/>
    <w:rsid w:val="000F21C6"/>
    <w:rsid w:val="000F3595"/>
    <w:rsid w:val="000F6A26"/>
    <w:rsid w:val="00112BF4"/>
    <w:rsid w:val="00123243"/>
    <w:rsid w:val="00123267"/>
    <w:rsid w:val="001277FE"/>
    <w:rsid w:val="00127FE8"/>
    <w:rsid w:val="00130496"/>
    <w:rsid w:val="00134C23"/>
    <w:rsid w:val="00146546"/>
    <w:rsid w:val="001479E0"/>
    <w:rsid w:val="00147C49"/>
    <w:rsid w:val="0015125F"/>
    <w:rsid w:val="00153092"/>
    <w:rsid w:val="0016533A"/>
    <w:rsid w:val="00171274"/>
    <w:rsid w:val="00183267"/>
    <w:rsid w:val="00190FC3"/>
    <w:rsid w:val="00191DCA"/>
    <w:rsid w:val="00197A01"/>
    <w:rsid w:val="001A6BBF"/>
    <w:rsid w:val="001C096F"/>
    <w:rsid w:val="001C2065"/>
    <w:rsid w:val="001C2D54"/>
    <w:rsid w:val="001C302B"/>
    <w:rsid w:val="001C56EA"/>
    <w:rsid w:val="001C59DC"/>
    <w:rsid w:val="001D256C"/>
    <w:rsid w:val="001D4E9D"/>
    <w:rsid w:val="001E7CFF"/>
    <w:rsid w:val="001F0D9D"/>
    <w:rsid w:val="001F5931"/>
    <w:rsid w:val="00201760"/>
    <w:rsid w:val="00201B1D"/>
    <w:rsid w:val="00202300"/>
    <w:rsid w:val="00203A11"/>
    <w:rsid w:val="002254D8"/>
    <w:rsid w:val="0023061E"/>
    <w:rsid w:val="00230F32"/>
    <w:rsid w:val="00235906"/>
    <w:rsid w:val="0023657E"/>
    <w:rsid w:val="002450F3"/>
    <w:rsid w:val="00247CD5"/>
    <w:rsid w:val="002519F5"/>
    <w:rsid w:val="0025471A"/>
    <w:rsid w:val="00256187"/>
    <w:rsid w:val="002669B6"/>
    <w:rsid w:val="00270D7D"/>
    <w:rsid w:val="00272486"/>
    <w:rsid w:val="00290A48"/>
    <w:rsid w:val="00292AF8"/>
    <w:rsid w:val="00295BB8"/>
    <w:rsid w:val="00296D23"/>
    <w:rsid w:val="002A146A"/>
    <w:rsid w:val="002A7C09"/>
    <w:rsid w:val="002A7CA4"/>
    <w:rsid w:val="002B2345"/>
    <w:rsid w:val="002B42DC"/>
    <w:rsid w:val="002B627F"/>
    <w:rsid w:val="002B6C71"/>
    <w:rsid w:val="002B72F7"/>
    <w:rsid w:val="002C0726"/>
    <w:rsid w:val="002C142D"/>
    <w:rsid w:val="002C15BC"/>
    <w:rsid w:val="002D03AC"/>
    <w:rsid w:val="002D5188"/>
    <w:rsid w:val="002F2F31"/>
    <w:rsid w:val="002F628B"/>
    <w:rsid w:val="0030414D"/>
    <w:rsid w:val="00310AD3"/>
    <w:rsid w:val="00313326"/>
    <w:rsid w:val="003305FC"/>
    <w:rsid w:val="003308D0"/>
    <w:rsid w:val="00334955"/>
    <w:rsid w:val="0033512E"/>
    <w:rsid w:val="00335EE5"/>
    <w:rsid w:val="003368FA"/>
    <w:rsid w:val="0034543C"/>
    <w:rsid w:val="00345D41"/>
    <w:rsid w:val="00346E07"/>
    <w:rsid w:val="00351738"/>
    <w:rsid w:val="00357399"/>
    <w:rsid w:val="00364E91"/>
    <w:rsid w:val="00367B66"/>
    <w:rsid w:val="00367EE5"/>
    <w:rsid w:val="00381EF5"/>
    <w:rsid w:val="003901B2"/>
    <w:rsid w:val="00392300"/>
    <w:rsid w:val="00394A22"/>
    <w:rsid w:val="00395C03"/>
    <w:rsid w:val="003A1888"/>
    <w:rsid w:val="003A377C"/>
    <w:rsid w:val="003A414D"/>
    <w:rsid w:val="003A7514"/>
    <w:rsid w:val="003B47D9"/>
    <w:rsid w:val="003C3E87"/>
    <w:rsid w:val="003C4A0C"/>
    <w:rsid w:val="003D056B"/>
    <w:rsid w:val="003E115C"/>
    <w:rsid w:val="003E5BBC"/>
    <w:rsid w:val="003E60AE"/>
    <w:rsid w:val="003F088F"/>
    <w:rsid w:val="00403CBE"/>
    <w:rsid w:val="00404C68"/>
    <w:rsid w:val="00410187"/>
    <w:rsid w:val="004152C0"/>
    <w:rsid w:val="0042034A"/>
    <w:rsid w:val="00420B13"/>
    <w:rsid w:val="004265D7"/>
    <w:rsid w:val="00427F75"/>
    <w:rsid w:val="00434CBB"/>
    <w:rsid w:val="00437A6D"/>
    <w:rsid w:val="00440568"/>
    <w:rsid w:val="004439EF"/>
    <w:rsid w:val="00444378"/>
    <w:rsid w:val="004541FE"/>
    <w:rsid w:val="0045567D"/>
    <w:rsid w:val="00457E82"/>
    <w:rsid w:val="00463271"/>
    <w:rsid w:val="00470CF1"/>
    <w:rsid w:val="00473E37"/>
    <w:rsid w:val="00483008"/>
    <w:rsid w:val="004867B7"/>
    <w:rsid w:val="004936E9"/>
    <w:rsid w:val="004965D1"/>
    <w:rsid w:val="00496BC7"/>
    <w:rsid w:val="00497BB6"/>
    <w:rsid w:val="004A7EAD"/>
    <w:rsid w:val="004B031D"/>
    <w:rsid w:val="004B2241"/>
    <w:rsid w:val="004B51EC"/>
    <w:rsid w:val="004C36AD"/>
    <w:rsid w:val="004D153D"/>
    <w:rsid w:val="004E3AB8"/>
    <w:rsid w:val="004F30D0"/>
    <w:rsid w:val="00503BCB"/>
    <w:rsid w:val="005103D1"/>
    <w:rsid w:val="00517EB2"/>
    <w:rsid w:val="005201A1"/>
    <w:rsid w:val="00520F30"/>
    <w:rsid w:val="00523733"/>
    <w:rsid w:val="00524271"/>
    <w:rsid w:val="00525D3A"/>
    <w:rsid w:val="00532B65"/>
    <w:rsid w:val="0053617D"/>
    <w:rsid w:val="00536876"/>
    <w:rsid w:val="00541236"/>
    <w:rsid w:val="00551311"/>
    <w:rsid w:val="0055326F"/>
    <w:rsid w:val="00554D20"/>
    <w:rsid w:val="005579BB"/>
    <w:rsid w:val="00557BE9"/>
    <w:rsid w:val="0056686F"/>
    <w:rsid w:val="00574007"/>
    <w:rsid w:val="00577015"/>
    <w:rsid w:val="0057769D"/>
    <w:rsid w:val="005830BA"/>
    <w:rsid w:val="0058372C"/>
    <w:rsid w:val="00586418"/>
    <w:rsid w:val="00587961"/>
    <w:rsid w:val="0059562C"/>
    <w:rsid w:val="00595D14"/>
    <w:rsid w:val="0059764A"/>
    <w:rsid w:val="005A4D36"/>
    <w:rsid w:val="005B7FF9"/>
    <w:rsid w:val="005C0DE2"/>
    <w:rsid w:val="005C158A"/>
    <w:rsid w:val="005C50F2"/>
    <w:rsid w:val="005D0142"/>
    <w:rsid w:val="005D386C"/>
    <w:rsid w:val="005D6326"/>
    <w:rsid w:val="005E5350"/>
    <w:rsid w:val="005F4264"/>
    <w:rsid w:val="006055FA"/>
    <w:rsid w:val="00605DE9"/>
    <w:rsid w:val="00614F92"/>
    <w:rsid w:val="00616782"/>
    <w:rsid w:val="00627C65"/>
    <w:rsid w:val="0063299F"/>
    <w:rsid w:val="00636756"/>
    <w:rsid w:val="00657DC1"/>
    <w:rsid w:val="00670B57"/>
    <w:rsid w:val="00670B91"/>
    <w:rsid w:val="00675380"/>
    <w:rsid w:val="006814EC"/>
    <w:rsid w:val="00682ADC"/>
    <w:rsid w:val="006832AC"/>
    <w:rsid w:val="00683A8E"/>
    <w:rsid w:val="00691D36"/>
    <w:rsid w:val="006A50DE"/>
    <w:rsid w:val="006A751D"/>
    <w:rsid w:val="006B6E2D"/>
    <w:rsid w:val="006C203B"/>
    <w:rsid w:val="006C413D"/>
    <w:rsid w:val="006D5D21"/>
    <w:rsid w:val="006E27AA"/>
    <w:rsid w:val="006E3461"/>
    <w:rsid w:val="006E4F5F"/>
    <w:rsid w:val="006F5F75"/>
    <w:rsid w:val="00700E6B"/>
    <w:rsid w:val="00702DA0"/>
    <w:rsid w:val="00703EE1"/>
    <w:rsid w:val="0071158A"/>
    <w:rsid w:val="00723401"/>
    <w:rsid w:val="0072429A"/>
    <w:rsid w:val="00724F17"/>
    <w:rsid w:val="00727FFC"/>
    <w:rsid w:val="007316AA"/>
    <w:rsid w:val="00733ADA"/>
    <w:rsid w:val="007353CD"/>
    <w:rsid w:val="00735EAD"/>
    <w:rsid w:val="00737432"/>
    <w:rsid w:val="0074368D"/>
    <w:rsid w:val="007455C6"/>
    <w:rsid w:val="0074786F"/>
    <w:rsid w:val="00753A1D"/>
    <w:rsid w:val="00762B1A"/>
    <w:rsid w:val="00764F19"/>
    <w:rsid w:val="00781425"/>
    <w:rsid w:val="00783012"/>
    <w:rsid w:val="00787FF6"/>
    <w:rsid w:val="007935F9"/>
    <w:rsid w:val="00795067"/>
    <w:rsid w:val="007A163A"/>
    <w:rsid w:val="007B0F3B"/>
    <w:rsid w:val="007B390B"/>
    <w:rsid w:val="007B4DAA"/>
    <w:rsid w:val="007D06AA"/>
    <w:rsid w:val="007D7421"/>
    <w:rsid w:val="007E07F5"/>
    <w:rsid w:val="007E3F9D"/>
    <w:rsid w:val="007F559F"/>
    <w:rsid w:val="007F55C9"/>
    <w:rsid w:val="007F6015"/>
    <w:rsid w:val="00806BD3"/>
    <w:rsid w:val="008130DF"/>
    <w:rsid w:val="008209B0"/>
    <w:rsid w:val="008211E4"/>
    <w:rsid w:val="00823DAD"/>
    <w:rsid w:val="00827373"/>
    <w:rsid w:val="00830803"/>
    <w:rsid w:val="00831169"/>
    <w:rsid w:val="00843AA5"/>
    <w:rsid w:val="0084528B"/>
    <w:rsid w:val="0085415A"/>
    <w:rsid w:val="00860EB9"/>
    <w:rsid w:val="0087211B"/>
    <w:rsid w:val="00874A13"/>
    <w:rsid w:val="008771F1"/>
    <w:rsid w:val="008806B6"/>
    <w:rsid w:val="0088401C"/>
    <w:rsid w:val="00893819"/>
    <w:rsid w:val="00896DA1"/>
    <w:rsid w:val="00896FD9"/>
    <w:rsid w:val="008B3F63"/>
    <w:rsid w:val="008C1CA9"/>
    <w:rsid w:val="008C338A"/>
    <w:rsid w:val="008C5402"/>
    <w:rsid w:val="008C556E"/>
    <w:rsid w:val="008C7D97"/>
    <w:rsid w:val="008D2E1C"/>
    <w:rsid w:val="008D5714"/>
    <w:rsid w:val="008D6033"/>
    <w:rsid w:val="008E2DFF"/>
    <w:rsid w:val="008E62B7"/>
    <w:rsid w:val="008F35BA"/>
    <w:rsid w:val="008F73DE"/>
    <w:rsid w:val="008F79D4"/>
    <w:rsid w:val="00903BE3"/>
    <w:rsid w:val="009068B5"/>
    <w:rsid w:val="00906B61"/>
    <w:rsid w:val="00907589"/>
    <w:rsid w:val="009324A5"/>
    <w:rsid w:val="009469E0"/>
    <w:rsid w:val="00956B7F"/>
    <w:rsid w:val="00962DFC"/>
    <w:rsid w:val="009654BC"/>
    <w:rsid w:val="009665E5"/>
    <w:rsid w:val="009672D8"/>
    <w:rsid w:val="0096756F"/>
    <w:rsid w:val="00967DBF"/>
    <w:rsid w:val="00972782"/>
    <w:rsid w:val="00976F9F"/>
    <w:rsid w:val="0098187C"/>
    <w:rsid w:val="00981988"/>
    <w:rsid w:val="00981A55"/>
    <w:rsid w:val="00981BD2"/>
    <w:rsid w:val="00994C5A"/>
    <w:rsid w:val="009A5553"/>
    <w:rsid w:val="009A588C"/>
    <w:rsid w:val="009B652C"/>
    <w:rsid w:val="009E01C5"/>
    <w:rsid w:val="009E02FA"/>
    <w:rsid w:val="009E7EDA"/>
    <w:rsid w:val="00A03897"/>
    <w:rsid w:val="00A127A8"/>
    <w:rsid w:val="00A151A0"/>
    <w:rsid w:val="00A160E5"/>
    <w:rsid w:val="00A1705E"/>
    <w:rsid w:val="00A241E2"/>
    <w:rsid w:val="00A2480D"/>
    <w:rsid w:val="00A275F8"/>
    <w:rsid w:val="00A30CB2"/>
    <w:rsid w:val="00A319C5"/>
    <w:rsid w:val="00A351C2"/>
    <w:rsid w:val="00A455EC"/>
    <w:rsid w:val="00A55B38"/>
    <w:rsid w:val="00A57A60"/>
    <w:rsid w:val="00A6130F"/>
    <w:rsid w:val="00A61A00"/>
    <w:rsid w:val="00A62AD8"/>
    <w:rsid w:val="00A66CED"/>
    <w:rsid w:val="00A70C7D"/>
    <w:rsid w:val="00A7406C"/>
    <w:rsid w:val="00A753B1"/>
    <w:rsid w:val="00A779C7"/>
    <w:rsid w:val="00A856C2"/>
    <w:rsid w:val="00A86754"/>
    <w:rsid w:val="00AA11F9"/>
    <w:rsid w:val="00AA5168"/>
    <w:rsid w:val="00AA530F"/>
    <w:rsid w:val="00AA6D43"/>
    <w:rsid w:val="00AA79F4"/>
    <w:rsid w:val="00AC361F"/>
    <w:rsid w:val="00AC364C"/>
    <w:rsid w:val="00AD3A0F"/>
    <w:rsid w:val="00AD7FF9"/>
    <w:rsid w:val="00AE6B4A"/>
    <w:rsid w:val="00B0065D"/>
    <w:rsid w:val="00B025B4"/>
    <w:rsid w:val="00B0767C"/>
    <w:rsid w:val="00B10BB5"/>
    <w:rsid w:val="00B120FE"/>
    <w:rsid w:val="00B176E1"/>
    <w:rsid w:val="00B216D1"/>
    <w:rsid w:val="00B2183E"/>
    <w:rsid w:val="00B22A5B"/>
    <w:rsid w:val="00B233E8"/>
    <w:rsid w:val="00B23D89"/>
    <w:rsid w:val="00B25C59"/>
    <w:rsid w:val="00B2697A"/>
    <w:rsid w:val="00B33E34"/>
    <w:rsid w:val="00B3420F"/>
    <w:rsid w:val="00B34919"/>
    <w:rsid w:val="00B35AFC"/>
    <w:rsid w:val="00B40525"/>
    <w:rsid w:val="00B410AA"/>
    <w:rsid w:val="00B41953"/>
    <w:rsid w:val="00B44CE1"/>
    <w:rsid w:val="00B56197"/>
    <w:rsid w:val="00B57F1E"/>
    <w:rsid w:val="00B601AB"/>
    <w:rsid w:val="00B62094"/>
    <w:rsid w:val="00B80445"/>
    <w:rsid w:val="00B85A16"/>
    <w:rsid w:val="00B90919"/>
    <w:rsid w:val="00B9212F"/>
    <w:rsid w:val="00B95190"/>
    <w:rsid w:val="00B95BB7"/>
    <w:rsid w:val="00B9716B"/>
    <w:rsid w:val="00BA0413"/>
    <w:rsid w:val="00BA0A74"/>
    <w:rsid w:val="00BA33D5"/>
    <w:rsid w:val="00BB229B"/>
    <w:rsid w:val="00BB4C13"/>
    <w:rsid w:val="00BB5300"/>
    <w:rsid w:val="00BB7803"/>
    <w:rsid w:val="00BC0D93"/>
    <w:rsid w:val="00BD3C18"/>
    <w:rsid w:val="00BD4E18"/>
    <w:rsid w:val="00BE0BC1"/>
    <w:rsid w:val="00BE63FC"/>
    <w:rsid w:val="00BE745E"/>
    <w:rsid w:val="00BE7953"/>
    <w:rsid w:val="00BF3428"/>
    <w:rsid w:val="00BF3AF6"/>
    <w:rsid w:val="00C063F0"/>
    <w:rsid w:val="00C07CD7"/>
    <w:rsid w:val="00C11130"/>
    <w:rsid w:val="00C20234"/>
    <w:rsid w:val="00C23068"/>
    <w:rsid w:val="00C23A7C"/>
    <w:rsid w:val="00C32FE7"/>
    <w:rsid w:val="00C3715F"/>
    <w:rsid w:val="00C40CBC"/>
    <w:rsid w:val="00C417F0"/>
    <w:rsid w:val="00C459D3"/>
    <w:rsid w:val="00C6253C"/>
    <w:rsid w:val="00C643A3"/>
    <w:rsid w:val="00C7353C"/>
    <w:rsid w:val="00C738DB"/>
    <w:rsid w:val="00C75692"/>
    <w:rsid w:val="00C7575C"/>
    <w:rsid w:val="00C808F7"/>
    <w:rsid w:val="00C8093D"/>
    <w:rsid w:val="00C8295D"/>
    <w:rsid w:val="00C83638"/>
    <w:rsid w:val="00C94443"/>
    <w:rsid w:val="00C9534C"/>
    <w:rsid w:val="00C969D5"/>
    <w:rsid w:val="00CA65B0"/>
    <w:rsid w:val="00CB037C"/>
    <w:rsid w:val="00CB3876"/>
    <w:rsid w:val="00CB5153"/>
    <w:rsid w:val="00CD68E7"/>
    <w:rsid w:val="00CE2160"/>
    <w:rsid w:val="00CF726D"/>
    <w:rsid w:val="00D00188"/>
    <w:rsid w:val="00D065E0"/>
    <w:rsid w:val="00D12E4A"/>
    <w:rsid w:val="00D24AB7"/>
    <w:rsid w:val="00D25DAD"/>
    <w:rsid w:val="00D275BA"/>
    <w:rsid w:val="00D31811"/>
    <w:rsid w:val="00D32ABA"/>
    <w:rsid w:val="00D32AD7"/>
    <w:rsid w:val="00D41FDF"/>
    <w:rsid w:val="00D43150"/>
    <w:rsid w:val="00D5296E"/>
    <w:rsid w:val="00D563D7"/>
    <w:rsid w:val="00D6CEEC"/>
    <w:rsid w:val="00D706F2"/>
    <w:rsid w:val="00D7077B"/>
    <w:rsid w:val="00D72557"/>
    <w:rsid w:val="00D72DCB"/>
    <w:rsid w:val="00D73AA6"/>
    <w:rsid w:val="00D75106"/>
    <w:rsid w:val="00D753C3"/>
    <w:rsid w:val="00D7645D"/>
    <w:rsid w:val="00D849C4"/>
    <w:rsid w:val="00D97D7E"/>
    <w:rsid w:val="00DA0191"/>
    <w:rsid w:val="00DA2252"/>
    <w:rsid w:val="00DB2507"/>
    <w:rsid w:val="00DB606A"/>
    <w:rsid w:val="00DB70FA"/>
    <w:rsid w:val="00DB7EE4"/>
    <w:rsid w:val="00DC1148"/>
    <w:rsid w:val="00DC4626"/>
    <w:rsid w:val="00DC6AD9"/>
    <w:rsid w:val="00DD36AA"/>
    <w:rsid w:val="00DE6B53"/>
    <w:rsid w:val="00DE7296"/>
    <w:rsid w:val="00E11EF5"/>
    <w:rsid w:val="00E13B7A"/>
    <w:rsid w:val="00E14C3B"/>
    <w:rsid w:val="00E246DB"/>
    <w:rsid w:val="00E32DE2"/>
    <w:rsid w:val="00E3586B"/>
    <w:rsid w:val="00E3630C"/>
    <w:rsid w:val="00E36A97"/>
    <w:rsid w:val="00E42BB9"/>
    <w:rsid w:val="00E5220B"/>
    <w:rsid w:val="00E604A8"/>
    <w:rsid w:val="00E620E1"/>
    <w:rsid w:val="00E676F1"/>
    <w:rsid w:val="00E720B1"/>
    <w:rsid w:val="00E743E2"/>
    <w:rsid w:val="00E776F3"/>
    <w:rsid w:val="00E77976"/>
    <w:rsid w:val="00E83D87"/>
    <w:rsid w:val="00E8686B"/>
    <w:rsid w:val="00E90D96"/>
    <w:rsid w:val="00E9122A"/>
    <w:rsid w:val="00E935E6"/>
    <w:rsid w:val="00E96FFB"/>
    <w:rsid w:val="00EA088F"/>
    <w:rsid w:val="00EA55F0"/>
    <w:rsid w:val="00EB04F9"/>
    <w:rsid w:val="00EC5A4E"/>
    <w:rsid w:val="00ED6AAB"/>
    <w:rsid w:val="00EE251A"/>
    <w:rsid w:val="00EE2789"/>
    <w:rsid w:val="00EE5290"/>
    <w:rsid w:val="00EE5F98"/>
    <w:rsid w:val="00EF2D80"/>
    <w:rsid w:val="00EF3F27"/>
    <w:rsid w:val="00EF51BD"/>
    <w:rsid w:val="00EF5DAD"/>
    <w:rsid w:val="00F00183"/>
    <w:rsid w:val="00F036AC"/>
    <w:rsid w:val="00F05D0D"/>
    <w:rsid w:val="00F10ED6"/>
    <w:rsid w:val="00F13BA4"/>
    <w:rsid w:val="00F178A7"/>
    <w:rsid w:val="00F20203"/>
    <w:rsid w:val="00F24B83"/>
    <w:rsid w:val="00F24DA7"/>
    <w:rsid w:val="00F25917"/>
    <w:rsid w:val="00F30B5B"/>
    <w:rsid w:val="00F413CA"/>
    <w:rsid w:val="00F44121"/>
    <w:rsid w:val="00F450D2"/>
    <w:rsid w:val="00F5436A"/>
    <w:rsid w:val="00F54E3C"/>
    <w:rsid w:val="00F60BDF"/>
    <w:rsid w:val="00F74EC2"/>
    <w:rsid w:val="00F81813"/>
    <w:rsid w:val="00F865D6"/>
    <w:rsid w:val="00F95AC2"/>
    <w:rsid w:val="00F96BB2"/>
    <w:rsid w:val="00FB080A"/>
    <w:rsid w:val="00FB668A"/>
    <w:rsid w:val="00FC0F19"/>
    <w:rsid w:val="00FC3144"/>
    <w:rsid w:val="00FD2BCA"/>
    <w:rsid w:val="00FD4E32"/>
    <w:rsid w:val="00FD5D43"/>
    <w:rsid w:val="00FE01C2"/>
    <w:rsid w:val="00FE033E"/>
    <w:rsid w:val="00FE0CCD"/>
    <w:rsid w:val="00FE5F23"/>
    <w:rsid w:val="00FE708B"/>
    <w:rsid w:val="00FF2105"/>
    <w:rsid w:val="00FF32E5"/>
    <w:rsid w:val="0187EBB4"/>
    <w:rsid w:val="03367296"/>
    <w:rsid w:val="03D751E1"/>
    <w:rsid w:val="04F06834"/>
    <w:rsid w:val="055DDF7D"/>
    <w:rsid w:val="06F9AFDE"/>
    <w:rsid w:val="08294054"/>
    <w:rsid w:val="08EA9DDB"/>
    <w:rsid w:val="09BE0499"/>
    <w:rsid w:val="0A8EE1AB"/>
    <w:rsid w:val="0C9FD262"/>
    <w:rsid w:val="0D39910F"/>
    <w:rsid w:val="0D793727"/>
    <w:rsid w:val="0FDBE0E5"/>
    <w:rsid w:val="102CDEBF"/>
    <w:rsid w:val="10380612"/>
    <w:rsid w:val="11B6FA3D"/>
    <w:rsid w:val="124F38AA"/>
    <w:rsid w:val="1302D8F7"/>
    <w:rsid w:val="13560CB9"/>
    <w:rsid w:val="138CD92F"/>
    <w:rsid w:val="14DBD75E"/>
    <w:rsid w:val="14EE9AFF"/>
    <w:rsid w:val="15AE846E"/>
    <w:rsid w:val="1691CE64"/>
    <w:rsid w:val="16B80389"/>
    <w:rsid w:val="173A2866"/>
    <w:rsid w:val="1770B4D8"/>
    <w:rsid w:val="17EA6E3E"/>
    <w:rsid w:val="182D9EC5"/>
    <w:rsid w:val="1C868F39"/>
    <w:rsid w:val="1D61F711"/>
    <w:rsid w:val="1FE238A2"/>
    <w:rsid w:val="21A219BE"/>
    <w:rsid w:val="21B5AEF2"/>
    <w:rsid w:val="22C200B2"/>
    <w:rsid w:val="22E56328"/>
    <w:rsid w:val="2315A0EE"/>
    <w:rsid w:val="25CA6C6B"/>
    <w:rsid w:val="28B083F4"/>
    <w:rsid w:val="2960594D"/>
    <w:rsid w:val="29F0F3A2"/>
    <w:rsid w:val="2A62D8DB"/>
    <w:rsid w:val="2BB14978"/>
    <w:rsid w:val="2CC7A48F"/>
    <w:rsid w:val="2D038CF3"/>
    <w:rsid w:val="2F176F5D"/>
    <w:rsid w:val="2F2B9601"/>
    <w:rsid w:val="2F2EA315"/>
    <w:rsid w:val="2F566B74"/>
    <w:rsid w:val="2FB4D878"/>
    <w:rsid w:val="3123AFB0"/>
    <w:rsid w:val="31D969FE"/>
    <w:rsid w:val="32CE78C0"/>
    <w:rsid w:val="3399D8FF"/>
    <w:rsid w:val="33D49689"/>
    <w:rsid w:val="341DDF45"/>
    <w:rsid w:val="34CDDA39"/>
    <w:rsid w:val="34D38D07"/>
    <w:rsid w:val="35B9AFA6"/>
    <w:rsid w:val="362003F6"/>
    <w:rsid w:val="375453E4"/>
    <w:rsid w:val="3792E21C"/>
    <w:rsid w:val="37D25720"/>
    <w:rsid w:val="38521EAE"/>
    <w:rsid w:val="388CF18B"/>
    <w:rsid w:val="391E72D4"/>
    <w:rsid w:val="3B00BF74"/>
    <w:rsid w:val="3C15FBF6"/>
    <w:rsid w:val="3C289F1A"/>
    <w:rsid w:val="3C37836B"/>
    <w:rsid w:val="3E186B0F"/>
    <w:rsid w:val="3F572E4D"/>
    <w:rsid w:val="4033861C"/>
    <w:rsid w:val="404030BB"/>
    <w:rsid w:val="409CF3B5"/>
    <w:rsid w:val="41043E27"/>
    <w:rsid w:val="41960196"/>
    <w:rsid w:val="42E350BB"/>
    <w:rsid w:val="42F22E79"/>
    <w:rsid w:val="4463DCAD"/>
    <w:rsid w:val="452F1F60"/>
    <w:rsid w:val="4548F2ED"/>
    <w:rsid w:val="459FB7C9"/>
    <w:rsid w:val="45C2C2F6"/>
    <w:rsid w:val="45D2C5E4"/>
    <w:rsid w:val="461450B3"/>
    <w:rsid w:val="47B1F2AD"/>
    <w:rsid w:val="47C44D7F"/>
    <w:rsid w:val="48DC8B00"/>
    <w:rsid w:val="4924989E"/>
    <w:rsid w:val="4A379F99"/>
    <w:rsid w:val="4AC44EA5"/>
    <w:rsid w:val="4B0B464A"/>
    <w:rsid w:val="4BE4C040"/>
    <w:rsid w:val="4C54EEBA"/>
    <w:rsid w:val="4CCE7F50"/>
    <w:rsid w:val="4D2A78C4"/>
    <w:rsid w:val="4EE523C6"/>
    <w:rsid w:val="4EFDCA22"/>
    <w:rsid w:val="4F755C64"/>
    <w:rsid w:val="4FB21E92"/>
    <w:rsid w:val="50DAB21B"/>
    <w:rsid w:val="50E6399D"/>
    <w:rsid w:val="51402800"/>
    <w:rsid w:val="51533C6E"/>
    <w:rsid w:val="5180AB3A"/>
    <w:rsid w:val="51872A57"/>
    <w:rsid w:val="51B302C8"/>
    <w:rsid w:val="51E09404"/>
    <w:rsid w:val="5390471C"/>
    <w:rsid w:val="539E23AD"/>
    <w:rsid w:val="54F141D1"/>
    <w:rsid w:val="55538F84"/>
    <w:rsid w:val="55AA3F47"/>
    <w:rsid w:val="55B0A883"/>
    <w:rsid w:val="573596B0"/>
    <w:rsid w:val="5880C09F"/>
    <w:rsid w:val="5960EE5E"/>
    <w:rsid w:val="5AE5983A"/>
    <w:rsid w:val="5AFBD70A"/>
    <w:rsid w:val="5B084813"/>
    <w:rsid w:val="5E345F81"/>
    <w:rsid w:val="5F48C6B7"/>
    <w:rsid w:val="5F7CCD99"/>
    <w:rsid w:val="5F8EE6E2"/>
    <w:rsid w:val="606F619C"/>
    <w:rsid w:val="616B188E"/>
    <w:rsid w:val="62BF1086"/>
    <w:rsid w:val="62C7766E"/>
    <w:rsid w:val="630B68FB"/>
    <w:rsid w:val="63390B4F"/>
    <w:rsid w:val="64B73639"/>
    <w:rsid w:val="64E3B0AA"/>
    <w:rsid w:val="65EC5E2A"/>
    <w:rsid w:val="66CFF7FF"/>
    <w:rsid w:val="66DE0DD1"/>
    <w:rsid w:val="68AA175C"/>
    <w:rsid w:val="692006E1"/>
    <w:rsid w:val="6A0CFD0A"/>
    <w:rsid w:val="6AF9BA2C"/>
    <w:rsid w:val="6BB4A6FB"/>
    <w:rsid w:val="6C091908"/>
    <w:rsid w:val="6C20E116"/>
    <w:rsid w:val="6C4BDCB4"/>
    <w:rsid w:val="6E03CBEF"/>
    <w:rsid w:val="6E51891C"/>
    <w:rsid w:val="6FB17695"/>
    <w:rsid w:val="6FEB302A"/>
    <w:rsid w:val="707AC02F"/>
    <w:rsid w:val="7087AEA5"/>
    <w:rsid w:val="71DAE0E9"/>
    <w:rsid w:val="72E2A062"/>
    <w:rsid w:val="7370E243"/>
    <w:rsid w:val="737E5DCB"/>
    <w:rsid w:val="73EC2C96"/>
    <w:rsid w:val="748D2BDF"/>
    <w:rsid w:val="75691107"/>
    <w:rsid w:val="77BB3D5C"/>
    <w:rsid w:val="77C96FDA"/>
    <w:rsid w:val="77E05814"/>
    <w:rsid w:val="77F58F6C"/>
    <w:rsid w:val="78CCDEDA"/>
    <w:rsid w:val="79110E37"/>
    <w:rsid w:val="7A811B6B"/>
    <w:rsid w:val="7B1CE638"/>
    <w:rsid w:val="7B596336"/>
    <w:rsid w:val="7C047F9C"/>
    <w:rsid w:val="7C5CD6A7"/>
    <w:rsid w:val="7D52CD97"/>
    <w:rsid w:val="7E4753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D60622"/>
  <w15:docId w15:val="{330AF5D9-E083-4724-86EF-AD3546A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FE033E"/>
    <w:rPr>
      <w:sz w:val="16"/>
      <w:szCs w:val="16"/>
    </w:rPr>
  </w:style>
  <w:style w:type="paragraph" w:styleId="CommentText">
    <w:name w:val="annotation text"/>
    <w:basedOn w:val="Normal"/>
    <w:link w:val="CommentTextChar"/>
    <w:rsid w:val="00FE033E"/>
    <w:rPr>
      <w:sz w:val="20"/>
    </w:rPr>
  </w:style>
  <w:style w:type="character" w:customStyle="1" w:styleId="CommentTextChar">
    <w:name w:val="Comment Text Char"/>
    <w:basedOn w:val="DefaultParagraphFont"/>
    <w:link w:val="CommentText"/>
    <w:rsid w:val="00FE033E"/>
  </w:style>
  <w:style w:type="paragraph" w:styleId="CommentSubject">
    <w:name w:val="annotation subject"/>
    <w:basedOn w:val="CommentText"/>
    <w:next w:val="CommentText"/>
    <w:link w:val="CommentSubjectChar"/>
    <w:rsid w:val="00FE033E"/>
    <w:rPr>
      <w:b/>
      <w:bCs/>
    </w:rPr>
  </w:style>
  <w:style w:type="character" w:customStyle="1" w:styleId="CommentSubjectChar">
    <w:name w:val="Comment Subject Char"/>
    <w:basedOn w:val="CommentTextChar"/>
    <w:link w:val="CommentSubject"/>
    <w:rsid w:val="00FE033E"/>
    <w:rPr>
      <w:b/>
      <w:bCs/>
    </w:rPr>
  </w:style>
  <w:style w:type="table" w:styleId="TableGrid">
    <w:name w:val="Table Grid"/>
    <w:basedOn w:val="TableNormal"/>
    <w:uiPriority w:val="39"/>
    <w:rsid w:val="008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EB9"/>
    <w:pPr>
      <w:ind w:left="720"/>
      <w:contextualSpacing/>
    </w:pPr>
  </w:style>
  <w:style w:type="paragraph" w:styleId="FootnoteText">
    <w:name w:val="footnote text"/>
    <w:basedOn w:val="Normal"/>
    <w:link w:val="FootnoteTextChar"/>
    <w:rsid w:val="00364E91"/>
    <w:rPr>
      <w:sz w:val="20"/>
    </w:rPr>
  </w:style>
  <w:style w:type="character" w:customStyle="1" w:styleId="FootnoteTextChar">
    <w:name w:val="Footnote Text Char"/>
    <w:basedOn w:val="DefaultParagraphFont"/>
    <w:link w:val="FootnoteText"/>
    <w:rsid w:val="00364E91"/>
  </w:style>
  <w:style w:type="character" w:styleId="FootnoteReference">
    <w:name w:val="footnote reference"/>
    <w:basedOn w:val="DefaultParagraphFont"/>
    <w:rsid w:val="00364E91"/>
    <w:rPr>
      <w:vertAlign w:val="superscript"/>
    </w:rPr>
  </w:style>
  <w:style w:type="character" w:styleId="FollowedHyperlink">
    <w:name w:val="FollowedHyperlink"/>
    <w:basedOn w:val="DefaultParagraphFont"/>
    <w:semiHidden/>
    <w:unhideWhenUsed/>
    <w:rsid w:val="00906B61"/>
    <w:rPr>
      <w:color w:val="800080" w:themeColor="followedHyperlink"/>
      <w:u w:val="single"/>
    </w:rPr>
  </w:style>
  <w:style w:type="paragraph" w:styleId="Revision">
    <w:name w:val="Revision"/>
    <w:hidden/>
    <w:uiPriority w:val="99"/>
    <w:semiHidden/>
    <w:rsid w:val="00D12E4A"/>
    <w:rPr>
      <w:sz w:val="24"/>
    </w:rPr>
  </w:style>
  <w:style w:type="character" w:styleId="UnresolvedMention">
    <w:name w:val="Unresolved Mention"/>
    <w:basedOn w:val="DefaultParagraphFont"/>
    <w:uiPriority w:val="99"/>
    <w:unhideWhenUsed/>
    <w:rsid w:val="004965D1"/>
    <w:rPr>
      <w:color w:val="605E5C"/>
      <w:shd w:val="clear" w:color="auto" w:fill="E1DFDD"/>
    </w:rPr>
  </w:style>
  <w:style w:type="character" w:styleId="Mention">
    <w:name w:val="Mention"/>
    <w:basedOn w:val="DefaultParagraphFont"/>
    <w:uiPriority w:val="99"/>
    <w:unhideWhenUsed/>
    <w:rsid w:val="00463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mddtc.state.gov/ddtc_public?id=ddtc_public_portal_faq_detail&amp;sys_id=1c8be99cdb3d5b4044f9ff621f9619d9" TargetMode="External" /><Relationship Id="rId11" Type="http://schemas.openxmlformats.org/officeDocument/2006/relationships/hyperlink" Target="https://www.pmddtc.state.gov/ddtc_public?id=ddtc_public_portal_faq_detail&amp;sys_id=ff7be99cdb3d5b4044f9ff621f9619a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mddtc.state.gov/ddtc_public?id=ddtc_kb_article_page&amp;sys_id=KB00101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26AE0382216E4FACA565EAC2EF76B1" ma:contentTypeVersion="4" ma:contentTypeDescription="Create a new document." ma:contentTypeScope="" ma:versionID="b72a3f5622fcfb5243076f0cc3e390b0">
  <xsd:schema xmlns:xsd="http://www.w3.org/2001/XMLSchema" xmlns:xs="http://www.w3.org/2001/XMLSchema" xmlns:p="http://schemas.microsoft.com/office/2006/metadata/properties" xmlns:ns2="09270a56-3f68-464e-8b73-d4a4b56067f1" targetNamespace="http://schemas.microsoft.com/office/2006/metadata/properties" ma:root="true" ma:fieldsID="6005d03318a7ea3b6cc3c49f8b463023" ns2:_="">
    <xsd:import namespace="09270a56-3f68-464e-8b73-d4a4b5606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70a56-3f68-464e-8b73-d4a4b5606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56B33-AB88-4481-8316-C8D1225B95BB}">
  <ds:schemaRefs>
    <ds:schemaRef ds:uri="http://schemas.openxmlformats.org/officeDocument/2006/bibliography"/>
  </ds:schemaRefs>
</ds:datastoreItem>
</file>

<file path=customXml/itemProps2.xml><?xml version="1.0" encoding="utf-8"?>
<ds:datastoreItem xmlns:ds="http://schemas.openxmlformats.org/officeDocument/2006/customXml" ds:itemID="{B627187D-7B9B-4D87-A724-DFFB45DF9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70a56-3f68-464e-8b73-d4a4b5606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EC3A3-4FBC-43EB-B00D-9F64822E3449}">
  <ds:schemaRefs>
    <ds:schemaRef ds:uri="http://schemas.microsoft.com/sharepoint/v3/contenttype/forms"/>
  </ds:schemaRefs>
</ds:datastoreItem>
</file>

<file path=customXml/itemProps4.xml><?xml version="1.0" encoding="utf-8"?>
<ds:datastoreItem xmlns:ds="http://schemas.openxmlformats.org/officeDocument/2006/customXml" ds:itemID="{6C03D751-BF5C-4045-9662-906F3B58D11C}">
  <ds:schemaRefs>
    <ds:schemaRef ds:uri="http://purl.org/dc/terms/"/>
    <ds:schemaRef ds:uri="http://schemas.openxmlformats.org/package/2006/metadata/core-properties"/>
    <ds:schemaRef ds:uri="http://schemas.microsoft.com/office/2006/documentManagement/types"/>
    <ds:schemaRef ds:uri="09270a56-3f68-464e-8b73-d4a4b56067f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9570</Characters>
  <Application>Microsoft Office Word</Application>
  <DocSecurity>0</DocSecurity>
  <Lines>212</Lines>
  <Paragraphs>73</Paragraphs>
  <ScaleCrop>false</ScaleCrop>
  <Company>U S Department of State</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Battista, Andrea L</cp:lastModifiedBy>
  <cp:revision>3</cp:revision>
  <cp:lastPrinted>2018-11-20T01:10:00Z</cp:lastPrinted>
  <dcterms:created xsi:type="dcterms:W3CDTF">2026-03-24T13:57:00Z</dcterms:created>
  <dcterms:modified xsi:type="dcterms:W3CDTF">2026-03-24T13:58:00Z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0x010100EF26AE0382216E4FACA565EAC2EF76B1</vt:lpwstr>
  </property>
  <property fmtid="{D5CDD505-2E9C-101B-9397-08002B2CF9AE}" pid="3" name="MediaServiceImageTags">
    <vt:lpwstr/>
  </property>
  <property fmtid="{D5CDD505-2E9C-101B-9397-08002B2CF9AE}" pid="4" name="MSIP_Label_1665d9ee-429a-4d5f-97cc-cfb56e044a6e_ActionId">
    <vt:lpwstr>40b2033f-2a5c-4e76-aa71-b6cf7fd5e9de</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2022-02-09T21:26:57Z</vt:lpwstr>
  </property>
  <property fmtid="{D5CDD505-2E9C-101B-9397-08002B2CF9AE}" pid="10" name="MSIP_Label_1665d9ee-429a-4d5f-97cc-cfb56e044a6e_SiteId">
    <vt:lpwstr>66cf5074-5afe-48d1-a691-a12b2121f44b</vt:lpwstr>
  </property>
</Properties>
</file>